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63975" w14:textId="77777777" w:rsidR="004E61B8" w:rsidRPr="00B200D5" w:rsidRDefault="004E61B8" w:rsidP="00D84420">
      <w:pPr>
        <w:pStyle w:val="Heading1"/>
        <w:spacing w:before="0" w:after="0" w:line="240" w:lineRule="auto"/>
        <w:jc w:val="center"/>
        <w:rPr>
          <w:sz w:val="20"/>
          <w:szCs w:val="20"/>
        </w:rPr>
      </w:pPr>
      <w:bookmarkStart w:id="0" w:name="_GoBack"/>
      <w:bookmarkEnd w:id="0"/>
    </w:p>
    <w:p w14:paraId="66E71AB6" w14:textId="77777777" w:rsidR="00776737" w:rsidRPr="00B200D5" w:rsidRDefault="00B200D5" w:rsidP="00D84420">
      <w:pPr>
        <w:pStyle w:val="Heading1"/>
        <w:spacing w:before="0" w:after="0" w:line="240" w:lineRule="auto"/>
        <w:jc w:val="center"/>
      </w:pPr>
      <w:r>
        <w:t xml:space="preserve">CHAPTER </w:t>
      </w:r>
      <w:r w:rsidR="00776737" w:rsidRPr="00B200D5">
        <w:t>VI</w:t>
      </w:r>
    </w:p>
    <w:p w14:paraId="4AF8B6D2" w14:textId="77777777" w:rsidR="00776737" w:rsidRPr="00B200D5" w:rsidRDefault="00B200D5" w:rsidP="00D84420">
      <w:pPr>
        <w:pStyle w:val="Heading1"/>
        <w:spacing w:before="0" w:after="0" w:line="240" w:lineRule="auto"/>
        <w:jc w:val="center"/>
        <w:rPr>
          <w:sz w:val="28"/>
          <w:szCs w:val="28"/>
        </w:rPr>
      </w:pPr>
      <w:r>
        <w:t xml:space="preserve">INSTITUTIONAL DEVELOPMENT AND ADMINISTRATIVE AFFAIRS </w:t>
      </w:r>
      <w:r w:rsidR="009F47B2" w:rsidRPr="00B200D5">
        <w:t>(“DIAA”)</w:t>
      </w:r>
    </w:p>
    <w:p w14:paraId="428A760C" w14:textId="77777777" w:rsidR="00776737" w:rsidRPr="00B200D5" w:rsidRDefault="00776737" w:rsidP="00D84420">
      <w:pPr>
        <w:spacing w:after="0" w:line="240" w:lineRule="auto"/>
        <w:jc w:val="both"/>
        <w:rPr>
          <w:rFonts w:ascii="Cambria" w:hAnsi="Cambria" w:cs="Calibri"/>
          <w:sz w:val="20"/>
          <w:szCs w:val="20"/>
        </w:rPr>
      </w:pPr>
    </w:p>
    <w:p w14:paraId="54DF8971" w14:textId="77777777" w:rsidR="00776737" w:rsidRPr="00B200D5" w:rsidRDefault="00776737" w:rsidP="00D84420">
      <w:pPr>
        <w:spacing w:after="0" w:line="240" w:lineRule="auto"/>
        <w:jc w:val="both"/>
        <w:rPr>
          <w:rFonts w:ascii="Cambria" w:hAnsi="Cambria" w:cs="Calibri"/>
          <w:sz w:val="20"/>
          <w:szCs w:val="20"/>
        </w:rPr>
      </w:pPr>
    </w:p>
    <w:p w14:paraId="1EA8A126" w14:textId="2EB4544B" w:rsidR="00776737" w:rsidRPr="00B200D5" w:rsidRDefault="000845E5" w:rsidP="00D84420">
      <w:pPr>
        <w:pStyle w:val="Heading2"/>
        <w:rPr>
          <w:lang w:val="en-US"/>
        </w:rPr>
      </w:pPr>
      <w:r>
        <w:rPr>
          <w:lang w:val="en-US"/>
        </w:rPr>
        <w:t xml:space="preserve">IACHR Structure and Staff </w:t>
      </w:r>
    </w:p>
    <w:p w14:paraId="463AF443" w14:textId="77777777" w:rsidR="0084139C" w:rsidRPr="00B200D5" w:rsidRDefault="0084139C" w:rsidP="00D84420">
      <w:pPr>
        <w:spacing w:after="0" w:line="240" w:lineRule="auto"/>
        <w:jc w:val="both"/>
        <w:rPr>
          <w:rFonts w:ascii="Cambria" w:hAnsi="Cambria"/>
          <w:sz w:val="20"/>
          <w:szCs w:val="20"/>
        </w:rPr>
      </w:pPr>
    </w:p>
    <w:p w14:paraId="5EB996CA" w14:textId="4B03FE58" w:rsidR="0084139C" w:rsidRPr="00B200D5" w:rsidRDefault="005A6ADE" w:rsidP="00D84420">
      <w:pPr>
        <w:pStyle w:val="paragraphs"/>
        <w:ind w:left="0" w:firstLine="720"/>
        <w:rPr>
          <w:lang w:val="en-US"/>
        </w:rPr>
      </w:pPr>
      <w:r>
        <w:rPr>
          <w:lang w:val="en-US"/>
        </w:rPr>
        <w:t xml:space="preserve">The Inter-American Commission on Human Rights approved an organizational structure </w:t>
      </w:r>
      <w:r w:rsidR="00376AE5">
        <w:rPr>
          <w:lang w:val="en-US"/>
        </w:rPr>
        <w:t xml:space="preserve">for the Executive Secretariat </w:t>
      </w:r>
      <w:r w:rsidR="00071911">
        <w:rPr>
          <w:lang w:val="en-US"/>
        </w:rPr>
        <w:t xml:space="preserve">at </w:t>
      </w:r>
      <w:r w:rsidR="00376AE5">
        <w:rPr>
          <w:lang w:val="en-US"/>
        </w:rPr>
        <w:t>the 153</w:t>
      </w:r>
      <w:r w:rsidR="00376AE5" w:rsidRPr="00376AE5">
        <w:rPr>
          <w:vertAlign w:val="superscript"/>
          <w:lang w:val="en-US"/>
        </w:rPr>
        <w:t>rd</w:t>
      </w:r>
      <w:r w:rsidR="00376AE5">
        <w:rPr>
          <w:lang w:val="en-US"/>
        </w:rPr>
        <w:t xml:space="preserve"> regular session. </w:t>
      </w:r>
      <w:r w:rsidR="0048567B">
        <w:rPr>
          <w:lang w:val="en-US"/>
        </w:rPr>
        <w:t xml:space="preserve">Even though the Executive Secretariat </w:t>
      </w:r>
      <w:r w:rsidR="00667AE8">
        <w:rPr>
          <w:lang w:val="en-US"/>
        </w:rPr>
        <w:t>has been implementing this structure</w:t>
      </w:r>
      <w:r w:rsidR="00950441" w:rsidRPr="00950441">
        <w:rPr>
          <w:lang w:val="en-US"/>
        </w:rPr>
        <w:t xml:space="preserve"> </w:t>
      </w:r>
      <w:r w:rsidR="006F312E">
        <w:rPr>
          <w:lang w:val="en-US"/>
        </w:rPr>
        <w:t>at the operational level</w:t>
      </w:r>
      <w:r w:rsidR="00667AE8">
        <w:rPr>
          <w:lang w:val="en-US"/>
        </w:rPr>
        <w:t xml:space="preserve">, it has yet to be formally incorporated into the organizational structure of the OAS General Secretariat. </w:t>
      </w:r>
      <w:r w:rsidR="007F2B68">
        <w:rPr>
          <w:lang w:val="en-US"/>
        </w:rPr>
        <w:t>On September 20, 2016, t</w:t>
      </w:r>
      <w:r w:rsidR="00DE395F">
        <w:rPr>
          <w:lang w:val="en-US"/>
        </w:rPr>
        <w:t>hrough</w:t>
      </w:r>
      <w:r w:rsidR="00DE395F" w:rsidRPr="00DE395F">
        <w:rPr>
          <w:lang w:val="en-US"/>
        </w:rPr>
        <w:t xml:space="preserve"> </w:t>
      </w:r>
      <w:r w:rsidR="00AB2ADB">
        <w:rPr>
          <w:lang w:val="en-US"/>
        </w:rPr>
        <w:t xml:space="preserve">memorandum </w:t>
      </w:r>
      <w:r w:rsidR="00DE395F" w:rsidRPr="00B200D5">
        <w:rPr>
          <w:lang w:val="en-US"/>
        </w:rPr>
        <w:t>OSG/489/16</w:t>
      </w:r>
      <w:r w:rsidR="00DE395F">
        <w:rPr>
          <w:lang w:val="en-US"/>
        </w:rPr>
        <w:t xml:space="preserve">, </w:t>
      </w:r>
      <w:r w:rsidR="00B53D50">
        <w:rPr>
          <w:lang w:val="en-US"/>
        </w:rPr>
        <w:t xml:space="preserve">Secretary General Almagro </w:t>
      </w:r>
      <w:r w:rsidR="00682020">
        <w:rPr>
          <w:lang w:val="en-US"/>
        </w:rPr>
        <w:t>requested</w:t>
      </w:r>
      <w:r w:rsidR="00DB6F02" w:rsidRPr="00DB6F02">
        <w:rPr>
          <w:lang w:val="en-US"/>
        </w:rPr>
        <w:t xml:space="preserve"> </w:t>
      </w:r>
      <w:r w:rsidR="00310C53">
        <w:rPr>
          <w:lang w:val="en-US"/>
        </w:rPr>
        <w:t>that</w:t>
      </w:r>
      <w:r w:rsidR="00841A33">
        <w:rPr>
          <w:lang w:val="en-US"/>
        </w:rPr>
        <w:t>,</w:t>
      </w:r>
      <w:r w:rsidR="00682020">
        <w:rPr>
          <w:lang w:val="en-US"/>
        </w:rPr>
        <w:t xml:space="preserve"> because </w:t>
      </w:r>
      <w:r w:rsidR="00C34898">
        <w:rPr>
          <w:lang w:val="en-US"/>
        </w:rPr>
        <w:t xml:space="preserve">efforts to </w:t>
      </w:r>
      <w:r w:rsidR="00B20350">
        <w:rPr>
          <w:lang w:val="en-US"/>
        </w:rPr>
        <w:t xml:space="preserve">complete the </w:t>
      </w:r>
      <w:r w:rsidR="00C34898">
        <w:rPr>
          <w:lang w:val="en-US"/>
        </w:rPr>
        <w:t xml:space="preserve">draft </w:t>
      </w:r>
      <w:r w:rsidR="00B20350">
        <w:rPr>
          <w:lang w:val="en-US"/>
        </w:rPr>
        <w:t xml:space="preserve">of </w:t>
      </w:r>
      <w:r w:rsidR="00DA60F0">
        <w:rPr>
          <w:lang w:val="en-US"/>
        </w:rPr>
        <w:t xml:space="preserve">a </w:t>
      </w:r>
      <w:r w:rsidR="00682020">
        <w:rPr>
          <w:lang w:val="en-US"/>
        </w:rPr>
        <w:t>new Four-Year Strategic Plan</w:t>
      </w:r>
      <w:r w:rsidR="00824E49" w:rsidRPr="00824E49">
        <w:rPr>
          <w:lang w:val="en-US"/>
        </w:rPr>
        <w:t xml:space="preserve"> </w:t>
      </w:r>
      <w:r w:rsidR="00824E49">
        <w:rPr>
          <w:lang w:val="en-US"/>
        </w:rPr>
        <w:t>of the Executive Secretariat</w:t>
      </w:r>
      <w:r w:rsidR="00B04A91" w:rsidRPr="00B04A91">
        <w:rPr>
          <w:lang w:val="en-US"/>
        </w:rPr>
        <w:t xml:space="preserve"> </w:t>
      </w:r>
      <w:r w:rsidR="00B04A91">
        <w:rPr>
          <w:lang w:val="en-US"/>
        </w:rPr>
        <w:t>were still ongoing</w:t>
      </w:r>
      <w:r w:rsidR="00B258E1">
        <w:rPr>
          <w:lang w:val="en-US"/>
        </w:rPr>
        <w:t xml:space="preserve"> </w:t>
      </w:r>
      <w:r w:rsidR="00D24ECA">
        <w:rPr>
          <w:lang w:val="en-US"/>
        </w:rPr>
        <w:t xml:space="preserve">and this </w:t>
      </w:r>
      <w:r w:rsidR="00AB0DF2">
        <w:rPr>
          <w:lang w:val="en-US"/>
        </w:rPr>
        <w:t xml:space="preserve">could result in </w:t>
      </w:r>
      <w:r w:rsidR="00337289">
        <w:rPr>
          <w:lang w:val="en-US"/>
        </w:rPr>
        <w:t>“</w:t>
      </w:r>
      <w:r w:rsidR="005364C4">
        <w:rPr>
          <w:lang w:val="en-US"/>
        </w:rPr>
        <w:t xml:space="preserve">further </w:t>
      </w:r>
      <w:r w:rsidR="00014E28">
        <w:rPr>
          <w:lang w:val="en-US"/>
        </w:rPr>
        <w:t xml:space="preserve">adjustments </w:t>
      </w:r>
      <w:r w:rsidR="00337289">
        <w:rPr>
          <w:lang w:val="en-US"/>
        </w:rPr>
        <w:t xml:space="preserve">to the job of the Executive Secretariat,” the structure </w:t>
      </w:r>
      <w:r w:rsidR="00E158D0">
        <w:rPr>
          <w:lang w:val="en-US"/>
        </w:rPr>
        <w:t xml:space="preserve">should </w:t>
      </w:r>
      <w:r w:rsidR="00337289">
        <w:rPr>
          <w:lang w:val="en-US"/>
        </w:rPr>
        <w:t xml:space="preserve">be </w:t>
      </w:r>
      <w:r w:rsidR="008D371A">
        <w:rPr>
          <w:lang w:val="en-US"/>
        </w:rPr>
        <w:t xml:space="preserve">considered </w:t>
      </w:r>
      <w:r w:rsidR="00FF18BB">
        <w:rPr>
          <w:lang w:val="en-US"/>
        </w:rPr>
        <w:t xml:space="preserve">once this Plan </w:t>
      </w:r>
      <w:r w:rsidR="00997E98">
        <w:rPr>
          <w:lang w:val="en-US"/>
        </w:rPr>
        <w:t>h</w:t>
      </w:r>
      <w:r w:rsidR="00FF1468">
        <w:rPr>
          <w:lang w:val="en-US"/>
        </w:rPr>
        <w:t>as</w:t>
      </w:r>
      <w:r w:rsidR="00841A33">
        <w:rPr>
          <w:lang w:val="en-US"/>
        </w:rPr>
        <w:t xml:space="preserve"> been completed and approved. He</w:t>
      </w:r>
      <w:r w:rsidR="007E450D">
        <w:rPr>
          <w:lang w:val="en-US"/>
        </w:rPr>
        <w:t xml:space="preserve"> </w:t>
      </w:r>
      <w:r w:rsidR="00FF1468">
        <w:rPr>
          <w:lang w:val="en-US"/>
        </w:rPr>
        <w:t xml:space="preserve">concluded “that </w:t>
      </w:r>
      <w:r w:rsidR="00FF18BB">
        <w:rPr>
          <w:lang w:val="en-US"/>
        </w:rPr>
        <w:t xml:space="preserve">a new draft Executive Order </w:t>
      </w:r>
      <w:r w:rsidR="00D24ECA">
        <w:rPr>
          <w:lang w:val="en-US"/>
        </w:rPr>
        <w:t xml:space="preserve">should </w:t>
      </w:r>
      <w:r w:rsidR="00FF18BB">
        <w:rPr>
          <w:lang w:val="en-US"/>
        </w:rPr>
        <w:t xml:space="preserve">be submitted </w:t>
      </w:r>
      <w:r w:rsidR="00AB0AC7">
        <w:rPr>
          <w:lang w:val="en-US"/>
        </w:rPr>
        <w:t xml:space="preserve">at the appropriate time </w:t>
      </w:r>
      <w:r w:rsidR="00152CA1">
        <w:rPr>
          <w:lang w:val="en-US"/>
        </w:rPr>
        <w:t>to the Office of the Secretary G</w:t>
      </w:r>
      <w:r w:rsidR="00AB0AC7">
        <w:rPr>
          <w:lang w:val="en-US"/>
        </w:rPr>
        <w:t>eneral for his consideration.” A detailed explanation of t</w:t>
      </w:r>
      <w:r w:rsidR="00152CA1">
        <w:rPr>
          <w:lang w:val="en-US"/>
        </w:rPr>
        <w:t>he approval process of the Strategic P</w:t>
      </w:r>
      <w:r w:rsidR="00AB0AC7">
        <w:rPr>
          <w:lang w:val="en-US"/>
        </w:rPr>
        <w:t>lan is provided</w:t>
      </w:r>
      <w:r w:rsidR="00997E98">
        <w:rPr>
          <w:lang w:val="en-US"/>
        </w:rPr>
        <w:t xml:space="preserve"> hereunder</w:t>
      </w:r>
      <w:r w:rsidR="00152CA1">
        <w:rPr>
          <w:lang w:val="en-US"/>
        </w:rPr>
        <w:t xml:space="preserve"> in Section D.1. </w:t>
      </w:r>
      <w:r w:rsidR="00682020">
        <w:rPr>
          <w:lang w:val="en-US"/>
        </w:rPr>
        <w:t xml:space="preserve"> </w:t>
      </w:r>
      <w:r w:rsidR="00DE395F">
        <w:rPr>
          <w:lang w:val="en-US"/>
        </w:rPr>
        <w:t xml:space="preserve"> </w:t>
      </w:r>
    </w:p>
    <w:p w14:paraId="10DAA52B" w14:textId="05343101" w:rsidR="009F47B2" w:rsidRPr="00B200D5" w:rsidRDefault="00152CA1" w:rsidP="00D84420">
      <w:pPr>
        <w:pStyle w:val="paragraphs"/>
        <w:ind w:left="0" w:firstLine="720"/>
        <w:rPr>
          <w:lang w:val="en-US"/>
        </w:rPr>
      </w:pPr>
      <w:r>
        <w:rPr>
          <w:lang w:val="en-US"/>
        </w:rPr>
        <w:t xml:space="preserve">In 2016, </w:t>
      </w:r>
      <w:r w:rsidR="00B50AE2">
        <w:rPr>
          <w:lang w:val="en-US"/>
        </w:rPr>
        <w:t xml:space="preserve">the competitive process </w:t>
      </w:r>
      <w:r w:rsidR="00FC5D56">
        <w:rPr>
          <w:lang w:val="en-US"/>
        </w:rPr>
        <w:t xml:space="preserve">was reopened </w:t>
      </w:r>
      <w:r w:rsidR="00B50AE2">
        <w:rPr>
          <w:lang w:val="en-US"/>
        </w:rPr>
        <w:t xml:space="preserve">to fill </w:t>
      </w:r>
      <w:r w:rsidR="00D90706">
        <w:rPr>
          <w:lang w:val="en-US"/>
        </w:rPr>
        <w:t xml:space="preserve">previously frozen positions </w:t>
      </w:r>
      <w:r w:rsidR="00FC35F5">
        <w:rPr>
          <w:lang w:val="en-US"/>
        </w:rPr>
        <w:t>and one position that became vacant</w:t>
      </w:r>
      <w:r w:rsidR="00B50AE2">
        <w:rPr>
          <w:lang w:val="en-US"/>
        </w:rPr>
        <w:t xml:space="preserve"> </w:t>
      </w:r>
      <w:r w:rsidR="00813DBB">
        <w:rPr>
          <w:lang w:val="en-US"/>
        </w:rPr>
        <w:t xml:space="preserve">during </w:t>
      </w:r>
      <w:r w:rsidR="00B50AE2">
        <w:rPr>
          <w:lang w:val="en-US"/>
        </w:rPr>
        <w:t>the year due to a retirement</w:t>
      </w:r>
      <w:r w:rsidR="00E3780B">
        <w:rPr>
          <w:lang w:val="en-US"/>
        </w:rPr>
        <w:t>, specifically two P04-</w:t>
      </w:r>
      <w:r w:rsidR="00586066">
        <w:rPr>
          <w:lang w:val="en-US"/>
        </w:rPr>
        <w:t>l</w:t>
      </w:r>
      <w:r w:rsidR="00225BDB">
        <w:rPr>
          <w:lang w:val="en-US"/>
        </w:rPr>
        <w:t>evel human rights specialist</w:t>
      </w:r>
      <w:r w:rsidR="00586066">
        <w:rPr>
          <w:lang w:val="en-US"/>
        </w:rPr>
        <w:t xml:space="preserve"> and three G05</w:t>
      </w:r>
      <w:r w:rsidR="00E3780B">
        <w:rPr>
          <w:lang w:val="en-US"/>
        </w:rPr>
        <w:t>-level</w:t>
      </w:r>
      <w:r w:rsidR="00656026">
        <w:rPr>
          <w:lang w:val="en-US"/>
        </w:rPr>
        <w:t xml:space="preserve"> administrative assistant positions</w:t>
      </w:r>
      <w:r w:rsidR="004568DC">
        <w:rPr>
          <w:lang w:val="en-US"/>
        </w:rPr>
        <w:t xml:space="preserve">.  </w:t>
      </w:r>
      <w:r w:rsidR="00586066">
        <w:rPr>
          <w:lang w:val="en-US"/>
        </w:rPr>
        <w:t xml:space="preserve"> </w:t>
      </w:r>
      <w:r w:rsidR="008369A6">
        <w:rPr>
          <w:lang w:val="en-US"/>
        </w:rPr>
        <w:t xml:space="preserve">At the same time, the IACHR/ES </w:t>
      </w:r>
      <w:r w:rsidR="00425C60">
        <w:rPr>
          <w:lang w:val="en-US"/>
        </w:rPr>
        <w:t xml:space="preserve">transitioned from </w:t>
      </w:r>
      <w:r w:rsidR="006231F8">
        <w:rPr>
          <w:lang w:val="en-US"/>
        </w:rPr>
        <w:t xml:space="preserve">the term of </w:t>
      </w:r>
      <w:r w:rsidR="00935562">
        <w:rPr>
          <w:lang w:val="en-US"/>
        </w:rPr>
        <w:t xml:space="preserve">the </w:t>
      </w:r>
      <w:r w:rsidR="00425C60">
        <w:rPr>
          <w:lang w:val="en-US"/>
        </w:rPr>
        <w:t>outgoing</w:t>
      </w:r>
      <w:r w:rsidR="00935562">
        <w:rPr>
          <w:lang w:val="en-US"/>
        </w:rPr>
        <w:t xml:space="preserve"> former</w:t>
      </w:r>
      <w:r w:rsidR="00425C60">
        <w:rPr>
          <w:lang w:val="en-US"/>
        </w:rPr>
        <w:t xml:space="preserve"> Executive Secretary Emilio Alvarez Ic</w:t>
      </w:r>
      <w:r w:rsidR="006F6622">
        <w:rPr>
          <w:lang w:val="en-US"/>
        </w:rPr>
        <w:t xml:space="preserve">aza to the term of the incoming </w:t>
      </w:r>
      <w:r w:rsidR="00425C60">
        <w:rPr>
          <w:lang w:val="en-US"/>
        </w:rPr>
        <w:t>current Executive Secretary</w:t>
      </w:r>
      <w:r w:rsidR="004C069A">
        <w:rPr>
          <w:lang w:val="en-US"/>
        </w:rPr>
        <w:t xml:space="preserve"> </w:t>
      </w:r>
      <w:r w:rsidR="00F96592">
        <w:rPr>
          <w:lang w:val="en-US"/>
        </w:rPr>
        <w:t xml:space="preserve">Paulo Abrao. The competitive </w:t>
      </w:r>
      <w:r w:rsidR="006242C1">
        <w:rPr>
          <w:lang w:val="en-US"/>
        </w:rPr>
        <w:t xml:space="preserve">application </w:t>
      </w:r>
      <w:r w:rsidR="00F96592">
        <w:rPr>
          <w:lang w:val="en-US"/>
        </w:rPr>
        <w:t>process was conducted by</w:t>
      </w:r>
      <w:r w:rsidR="00FA1A1C">
        <w:rPr>
          <w:lang w:val="en-US"/>
        </w:rPr>
        <w:t xml:space="preserve"> </w:t>
      </w:r>
      <w:r w:rsidR="00B24530">
        <w:rPr>
          <w:lang w:val="en-US"/>
        </w:rPr>
        <w:t xml:space="preserve">the Senior </w:t>
      </w:r>
      <w:r w:rsidR="00BC2B04">
        <w:rPr>
          <w:lang w:val="en-US"/>
        </w:rPr>
        <w:t>Management</w:t>
      </w:r>
      <w:r w:rsidR="004A4C47">
        <w:rPr>
          <w:lang w:val="en-US"/>
        </w:rPr>
        <w:t xml:space="preserve"> </w:t>
      </w:r>
      <w:r w:rsidR="00FA1A1C">
        <w:rPr>
          <w:lang w:val="en-US"/>
        </w:rPr>
        <w:t>of</w:t>
      </w:r>
      <w:r w:rsidR="00F96592">
        <w:rPr>
          <w:lang w:val="en-US"/>
        </w:rPr>
        <w:t xml:space="preserve"> the </w:t>
      </w:r>
      <w:r w:rsidR="002534C2">
        <w:rPr>
          <w:lang w:val="en-US"/>
        </w:rPr>
        <w:t>DIAA</w:t>
      </w:r>
      <w:r w:rsidR="009F47B2" w:rsidRPr="00B200D5">
        <w:rPr>
          <w:lang w:val="en-US"/>
        </w:rPr>
        <w:t>.</w:t>
      </w:r>
    </w:p>
    <w:p w14:paraId="2EFF17AC" w14:textId="5531C88E" w:rsidR="00BD0896" w:rsidRPr="00B200D5" w:rsidRDefault="00C0274B" w:rsidP="00D84420">
      <w:pPr>
        <w:pStyle w:val="paragraphs"/>
        <w:ind w:left="0" w:firstLine="720"/>
        <w:rPr>
          <w:lang w:val="en-US"/>
        </w:rPr>
      </w:pPr>
      <w:r>
        <w:rPr>
          <w:lang w:val="en-US"/>
        </w:rPr>
        <w:t xml:space="preserve">The table below shows the number of </w:t>
      </w:r>
      <w:r w:rsidR="002B6815">
        <w:rPr>
          <w:lang w:val="en-US"/>
        </w:rPr>
        <w:t xml:space="preserve">employees and consultants by source of funding as of October 31, 2016. </w:t>
      </w:r>
    </w:p>
    <w:tbl>
      <w:tblPr>
        <w:tblW w:w="8198" w:type="dxa"/>
        <w:jc w:val="center"/>
        <w:tblLayout w:type="fixed"/>
        <w:tblLook w:val="04A0" w:firstRow="1" w:lastRow="0" w:firstColumn="1" w:lastColumn="0" w:noHBand="0" w:noVBand="1"/>
      </w:tblPr>
      <w:tblGrid>
        <w:gridCol w:w="2978"/>
        <w:gridCol w:w="1710"/>
        <w:gridCol w:w="2340"/>
        <w:gridCol w:w="1170"/>
      </w:tblGrid>
      <w:tr w:rsidR="002A55FA" w:rsidRPr="00B200D5" w14:paraId="021F4330" w14:textId="77777777" w:rsidTr="003976EE">
        <w:trPr>
          <w:trHeight w:val="439"/>
          <w:jc w:val="center"/>
        </w:trPr>
        <w:tc>
          <w:tcPr>
            <w:tcW w:w="2978" w:type="dxa"/>
            <w:tcBorders>
              <w:top w:val="single" w:sz="8" w:space="0" w:color="auto"/>
              <w:left w:val="single" w:sz="8" w:space="0" w:color="auto"/>
              <w:bottom w:val="single" w:sz="4" w:space="0" w:color="auto"/>
              <w:right w:val="single" w:sz="4" w:space="0" w:color="auto"/>
            </w:tcBorders>
            <w:shd w:val="clear" w:color="000000" w:fill="333399"/>
            <w:vAlign w:val="center"/>
            <w:hideMark/>
          </w:tcPr>
          <w:p w14:paraId="0B3BEC0B" w14:textId="1F2787BF" w:rsidR="002A55FA" w:rsidRPr="00B200D5" w:rsidRDefault="00FC0715" w:rsidP="004E61B8">
            <w:pPr>
              <w:spacing w:after="0" w:line="240" w:lineRule="auto"/>
              <w:jc w:val="center"/>
              <w:rPr>
                <w:rFonts w:ascii="Cambria" w:eastAsia="Times New Roman" w:hAnsi="Cambria" w:cs="Arial"/>
                <w:b/>
                <w:bCs/>
                <w:color w:val="FFFFFF"/>
                <w:sz w:val="20"/>
                <w:szCs w:val="20"/>
              </w:rPr>
            </w:pPr>
            <w:r>
              <w:rPr>
                <w:rFonts w:ascii="Cambria" w:eastAsia="Times New Roman" w:hAnsi="Cambria" w:cs="Arial"/>
                <w:b/>
                <w:bCs/>
                <w:color w:val="FFFFFF"/>
                <w:sz w:val="20"/>
                <w:szCs w:val="20"/>
              </w:rPr>
              <w:t>Category</w:t>
            </w:r>
          </w:p>
        </w:tc>
        <w:tc>
          <w:tcPr>
            <w:tcW w:w="1710" w:type="dxa"/>
            <w:tcBorders>
              <w:top w:val="single" w:sz="8" w:space="0" w:color="auto"/>
              <w:left w:val="nil"/>
              <w:bottom w:val="single" w:sz="4" w:space="0" w:color="auto"/>
              <w:right w:val="single" w:sz="4" w:space="0" w:color="auto"/>
            </w:tcBorders>
            <w:shd w:val="clear" w:color="000000" w:fill="333399"/>
            <w:vAlign w:val="center"/>
            <w:hideMark/>
          </w:tcPr>
          <w:p w14:paraId="14DB0B36" w14:textId="5BCC1488" w:rsidR="002A55FA" w:rsidRPr="00B200D5" w:rsidRDefault="00FC0715" w:rsidP="00FC0715">
            <w:pPr>
              <w:spacing w:after="0" w:line="240" w:lineRule="auto"/>
              <w:jc w:val="center"/>
              <w:rPr>
                <w:rFonts w:ascii="Cambria" w:eastAsia="Times New Roman" w:hAnsi="Cambria" w:cs="Arial"/>
                <w:b/>
                <w:bCs/>
                <w:color w:val="FFFFFF"/>
                <w:sz w:val="20"/>
                <w:szCs w:val="20"/>
              </w:rPr>
            </w:pPr>
            <w:r>
              <w:rPr>
                <w:rFonts w:ascii="Cambria" w:eastAsia="Times New Roman" w:hAnsi="Cambria" w:cs="Arial"/>
                <w:b/>
                <w:bCs/>
                <w:color w:val="FFFFFF"/>
                <w:sz w:val="20"/>
                <w:szCs w:val="20"/>
              </w:rPr>
              <w:t>Regular Fund</w:t>
            </w:r>
          </w:p>
        </w:tc>
        <w:tc>
          <w:tcPr>
            <w:tcW w:w="2340" w:type="dxa"/>
            <w:tcBorders>
              <w:top w:val="single" w:sz="8" w:space="0" w:color="auto"/>
              <w:left w:val="nil"/>
              <w:bottom w:val="single" w:sz="4" w:space="0" w:color="auto"/>
              <w:right w:val="single" w:sz="4" w:space="0" w:color="auto"/>
            </w:tcBorders>
            <w:shd w:val="clear" w:color="000000" w:fill="333399"/>
            <w:vAlign w:val="center"/>
            <w:hideMark/>
          </w:tcPr>
          <w:p w14:paraId="3249C659" w14:textId="05CA45B2" w:rsidR="002A55FA" w:rsidRPr="00B200D5" w:rsidRDefault="00FC0715" w:rsidP="00FC0715">
            <w:pPr>
              <w:spacing w:after="0" w:line="240" w:lineRule="auto"/>
              <w:jc w:val="center"/>
              <w:rPr>
                <w:rFonts w:ascii="Cambria" w:eastAsia="Times New Roman" w:hAnsi="Cambria" w:cs="Arial"/>
                <w:b/>
                <w:bCs/>
                <w:color w:val="FFFFFF"/>
                <w:sz w:val="20"/>
                <w:szCs w:val="20"/>
              </w:rPr>
            </w:pPr>
            <w:r>
              <w:rPr>
                <w:rFonts w:ascii="Cambria" w:eastAsia="Times New Roman" w:hAnsi="Cambria" w:cs="Arial"/>
                <w:b/>
                <w:bCs/>
                <w:color w:val="FFFFFF"/>
                <w:sz w:val="20"/>
                <w:szCs w:val="20"/>
              </w:rPr>
              <w:t xml:space="preserve">Specific Funds </w:t>
            </w:r>
          </w:p>
        </w:tc>
        <w:tc>
          <w:tcPr>
            <w:tcW w:w="1170" w:type="dxa"/>
            <w:tcBorders>
              <w:top w:val="single" w:sz="8" w:space="0" w:color="auto"/>
              <w:left w:val="nil"/>
              <w:bottom w:val="single" w:sz="4" w:space="0" w:color="auto"/>
              <w:right w:val="single" w:sz="8" w:space="0" w:color="auto"/>
            </w:tcBorders>
            <w:shd w:val="clear" w:color="000000" w:fill="333399"/>
            <w:vAlign w:val="center"/>
            <w:hideMark/>
          </w:tcPr>
          <w:p w14:paraId="534B12DB" w14:textId="77777777" w:rsidR="002A55FA" w:rsidRPr="00B200D5" w:rsidRDefault="002A55FA" w:rsidP="004E61B8">
            <w:pPr>
              <w:spacing w:after="0" w:line="240" w:lineRule="auto"/>
              <w:jc w:val="center"/>
              <w:rPr>
                <w:rFonts w:ascii="Cambria" w:eastAsia="Times New Roman" w:hAnsi="Cambria" w:cs="Arial"/>
                <w:b/>
                <w:bCs/>
                <w:color w:val="FFFFFF"/>
                <w:sz w:val="20"/>
                <w:szCs w:val="20"/>
              </w:rPr>
            </w:pPr>
            <w:r w:rsidRPr="00B200D5">
              <w:rPr>
                <w:rFonts w:ascii="Cambria" w:eastAsia="Times New Roman" w:hAnsi="Cambria" w:cs="Arial"/>
                <w:b/>
                <w:bCs/>
                <w:color w:val="FFFFFF"/>
                <w:sz w:val="20"/>
                <w:szCs w:val="20"/>
              </w:rPr>
              <w:t>Total</w:t>
            </w:r>
          </w:p>
        </w:tc>
      </w:tr>
      <w:tr w:rsidR="002A55FA" w:rsidRPr="00B200D5" w14:paraId="2AF3EE84" w14:textId="77777777" w:rsidTr="004E61B8">
        <w:trPr>
          <w:trHeight w:val="255"/>
          <w:jc w:val="center"/>
        </w:trPr>
        <w:tc>
          <w:tcPr>
            <w:tcW w:w="2978" w:type="dxa"/>
            <w:tcBorders>
              <w:top w:val="nil"/>
              <w:left w:val="single" w:sz="8" w:space="0" w:color="auto"/>
              <w:bottom w:val="nil"/>
              <w:right w:val="single" w:sz="4" w:space="0" w:color="auto"/>
            </w:tcBorders>
            <w:shd w:val="clear" w:color="auto" w:fill="auto"/>
            <w:noWrap/>
            <w:vAlign w:val="bottom"/>
            <w:hideMark/>
          </w:tcPr>
          <w:p w14:paraId="046143EF" w14:textId="45CC1DAD" w:rsidR="002A55FA" w:rsidRPr="00B200D5" w:rsidRDefault="00FC0715" w:rsidP="00FC0715">
            <w:pPr>
              <w:spacing w:after="60" w:line="240" w:lineRule="auto"/>
              <w:rPr>
                <w:rFonts w:ascii="Cambria" w:eastAsia="Times New Roman" w:hAnsi="Cambria" w:cs="Arial"/>
                <w:sz w:val="20"/>
                <w:szCs w:val="20"/>
              </w:rPr>
            </w:pPr>
            <w:r>
              <w:rPr>
                <w:rFonts w:ascii="Cambria" w:eastAsia="Times New Roman" w:hAnsi="Cambria" w:cs="Arial"/>
                <w:sz w:val="20"/>
                <w:szCs w:val="20"/>
              </w:rPr>
              <w:t xml:space="preserve">Executive Secretariat </w:t>
            </w:r>
          </w:p>
        </w:tc>
        <w:tc>
          <w:tcPr>
            <w:tcW w:w="1710" w:type="dxa"/>
            <w:tcBorders>
              <w:top w:val="nil"/>
              <w:left w:val="nil"/>
              <w:bottom w:val="nil"/>
              <w:right w:val="single" w:sz="4" w:space="0" w:color="auto"/>
            </w:tcBorders>
            <w:shd w:val="clear" w:color="auto" w:fill="auto"/>
            <w:noWrap/>
            <w:vAlign w:val="bottom"/>
            <w:hideMark/>
          </w:tcPr>
          <w:p w14:paraId="2277E3D9" w14:textId="77777777" w:rsidR="002A55FA" w:rsidRPr="00B200D5" w:rsidRDefault="002A55FA" w:rsidP="004E61B8">
            <w:pPr>
              <w:spacing w:after="60" w:line="240" w:lineRule="auto"/>
              <w:jc w:val="center"/>
              <w:rPr>
                <w:rFonts w:ascii="Cambria" w:eastAsia="Times New Roman" w:hAnsi="Cambria" w:cs="Arial"/>
                <w:sz w:val="20"/>
                <w:szCs w:val="20"/>
              </w:rPr>
            </w:pPr>
            <w:r w:rsidRPr="00B200D5">
              <w:rPr>
                <w:rFonts w:ascii="Cambria" w:eastAsia="Times New Roman" w:hAnsi="Cambria" w:cs="Arial"/>
                <w:sz w:val="20"/>
                <w:szCs w:val="20"/>
              </w:rPr>
              <w:t>1</w:t>
            </w:r>
          </w:p>
        </w:tc>
        <w:tc>
          <w:tcPr>
            <w:tcW w:w="2340" w:type="dxa"/>
            <w:tcBorders>
              <w:top w:val="nil"/>
              <w:left w:val="nil"/>
              <w:bottom w:val="nil"/>
              <w:right w:val="single" w:sz="4" w:space="0" w:color="auto"/>
            </w:tcBorders>
            <w:shd w:val="clear" w:color="auto" w:fill="auto"/>
            <w:noWrap/>
            <w:vAlign w:val="bottom"/>
            <w:hideMark/>
          </w:tcPr>
          <w:p w14:paraId="6C6CB2E5" w14:textId="77777777" w:rsidR="002A55FA" w:rsidRPr="00B200D5" w:rsidRDefault="002A55FA" w:rsidP="004E61B8">
            <w:pPr>
              <w:spacing w:after="60" w:line="240" w:lineRule="auto"/>
              <w:jc w:val="center"/>
              <w:rPr>
                <w:rFonts w:ascii="Cambria" w:eastAsia="Times New Roman" w:hAnsi="Cambria" w:cs="Arial"/>
                <w:sz w:val="20"/>
                <w:szCs w:val="20"/>
              </w:rPr>
            </w:pPr>
            <w:r w:rsidRPr="00B200D5">
              <w:rPr>
                <w:rFonts w:ascii="Cambria" w:eastAsia="Times New Roman" w:hAnsi="Cambria" w:cs="Arial"/>
                <w:sz w:val="20"/>
                <w:szCs w:val="20"/>
              </w:rPr>
              <w:t>0</w:t>
            </w:r>
          </w:p>
        </w:tc>
        <w:tc>
          <w:tcPr>
            <w:tcW w:w="1170" w:type="dxa"/>
            <w:tcBorders>
              <w:top w:val="nil"/>
              <w:left w:val="nil"/>
              <w:bottom w:val="nil"/>
              <w:right w:val="single" w:sz="8" w:space="0" w:color="auto"/>
            </w:tcBorders>
            <w:shd w:val="clear" w:color="auto" w:fill="auto"/>
            <w:noWrap/>
            <w:vAlign w:val="bottom"/>
            <w:hideMark/>
          </w:tcPr>
          <w:p w14:paraId="2117D931" w14:textId="77777777" w:rsidR="002A55FA" w:rsidRPr="00B200D5" w:rsidRDefault="002A55FA" w:rsidP="004E61B8">
            <w:pPr>
              <w:spacing w:after="60" w:line="240" w:lineRule="auto"/>
              <w:jc w:val="center"/>
              <w:rPr>
                <w:rFonts w:ascii="Cambria" w:eastAsia="Times New Roman" w:hAnsi="Cambria" w:cs="Arial"/>
                <w:b/>
                <w:bCs/>
                <w:sz w:val="20"/>
                <w:szCs w:val="20"/>
              </w:rPr>
            </w:pPr>
            <w:r w:rsidRPr="00B200D5">
              <w:rPr>
                <w:rFonts w:ascii="Cambria" w:eastAsia="Times New Roman" w:hAnsi="Cambria" w:cs="Arial"/>
                <w:b/>
                <w:bCs/>
                <w:sz w:val="20"/>
                <w:szCs w:val="20"/>
              </w:rPr>
              <w:t>1</w:t>
            </w:r>
          </w:p>
        </w:tc>
      </w:tr>
      <w:tr w:rsidR="002A55FA" w:rsidRPr="00B200D5" w14:paraId="5B44CCD9" w14:textId="77777777" w:rsidTr="004E61B8">
        <w:trPr>
          <w:trHeight w:val="255"/>
          <w:jc w:val="center"/>
        </w:trPr>
        <w:tc>
          <w:tcPr>
            <w:tcW w:w="2978" w:type="dxa"/>
            <w:tcBorders>
              <w:top w:val="nil"/>
              <w:left w:val="single" w:sz="8" w:space="0" w:color="auto"/>
              <w:bottom w:val="nil"/>
              <w:right w:val="single" w:sz="4" w:space="0" w:color="auto"/>
            </w:tcBorders>
            <w:shd w:val="clear" w:color="auto" w:fill="auto"/>
            <w:noWrap/>
            <w:vAlign w:val="bottom"/>
            <w:hideMark/>
          </w:tcPr>
          <w:p w14:paraId="6B11FCE4" w14:textId="279CE65F" w:rsidR="002A55FA" w:rsidRPr="00B200D5" w:rsidRDefault="00FC0715" w:rsidP="00FC0715">
            <w:pPr>
              <w:spacing w:after="60" w:line="240" w:lineRule="auto"/>
              <w:rPr>
                <w:rFonts w:ascii="Cambria" w:eastAsia="Times New Roman" w:hAnsi="Cambria" w:cs="Arial"/>
                <w:sz w:val="20"/>
                <w:szCs w:val="20"/>
              </w:rPr>
            </w:pPr>
            <w:r>
              <w:rPr>
                <w:rFonts w:ascii="Cambria" w:eastAsia="Times New Roman" w:hAnsi="Cambria" w:cs="Arial"/>
                <w:sz w:val="20"/>
                <w:szCs w:val="20"/>
              </w:rPr>
              <w:t xml:space="preserve">Assistant Executive Secretariat </w:t>
            </w:r>
          </w:p>
        </w:tc>
        <w:tc>
          <w:tcPr>
            <w:tcW w:w="1710" w:type="dxa"/>
            <w:tcBorders>
              <w:top w:val="nil"/>
              <w:left w:val="nil"/>
              <w:bottom w:val="nil"/>
              <w:right w:val="single" w:sz="4" w:space="0" w:color="auto"/>
            </w:tcBorders>
            <w:shd w:val="clear" w:color="auto" w:fill="auto"/>
            <w:noWrap/>
            <w:vAlign w:val="bottom"/>
            <w:hideMark/>
          </w:tcPr>
          <w:p w14:paraId="2C1FA6D9" w14:textId="77777777" w:rsidR="002A55FA" w:rsidRPr="00B200D5" w:rsidRDefault="002A55FA" w:rsidP="004E61B8">
            <w:pPr>
              <w:spacing w:after="60" w:line="240" w:lineRule="auto"/>
              <w:jc w:val="center"/>
              <w:rPr>
                <w:rFonts w:ascii="Cambria" w:eastAsia="Times New Roman" w:hAnsi="Cambria" w:cs="Arial"/>
                <w:sz w:val="20"/>
                <w:szCs w:val="20"/>
              </w:rPr>
            </w:pPr>
            <w:r w:rsidRPr="00B200D5">
              <w:rPr>
                <w:rFonts w:ascii="Cambria" w:eastAsia="Times New Roman" w:hAnsi="Cambria" w:cs="Arial"/>
                <w:sz w:val="20"/>
                <w:szCs w:val="20"/>
              </w:rPr>
              <w:t>1</w:t>
            </w:r>
          </w:p>
        </w:tc>
        <w:tc>
          <w:tcPr>
            <w:tcW w:w="2340" w:type="dxa"/>
            <w:tcBorders>
              <w:top w:val="nil"/>
              <w:left w:val="nil"/>
              <w:bottom w:val="nil"/>
              <w:right w:val="single" w:sz="4" w:space="0" w:color="auto"/>
            </w:tcBorders>
            <w:shd w:val="clear" w:color="auto" w:fill="auto"/>
            <w:noWrap/>
            <w:vAlign w:val="bottom"/>
            <w:hideMark/>
          </w:tcPr>
          <w:p w14:paraId="55509B96" w14:textId="77777777" w:rsidR="002A55FA" w:rsidRPr="00B200D5" w:rsidRDefault="002A55FA" w:rsidP="004E61B8">
            <w:pPr>
              <w:spacing w:after="60" w:line="240" w:lineRule="auto"/>
              <w:jc w:val="center"/>
              <w:rPr>
                <w:rFonts w:ascii="Cambria" w:eastAsia="Times New Roman" w:hAnsi="Cambria" w:cs="Arial"/>
                <w:sz w:val="20"/>
                <w:szCs w:val="20"/>
              </w:rPr>
            </w:pPr>
            <w:r w:rsidRPr="00B200D5">
              <w:rPr>
                <w:rFonts w:ascii="Cambria" w:eastAsia="Times New Roman" w:hAnsi="Cambria" w:cs="Arial"/>
                <w:sz w:val="20"/>
                <w:szCs w:val="20"/>
              </w:rPr>
              <w:t>0</w:t>
            </w:r>
          </w:p>
        </w:tc>
        <w:tc>
          <w:tcPr>
            <w:tcW w:w="1170" w:type="dxa"/>
            <w:tcBorders>
              <w:top w:val="nil"/>
              <w:left w:val="nil"/>
              <w:bottom w:val="nil"/>
              <w:right w:val="single" w:sz="8" w:space="0" w:color="auto"/>
            </w:tcBorders>
            <w:shd w:val="clear" w:color="auto" w:fill="auto"/>
            <w:noWrap/>
            <w:vAlign w:val="bottom"/>
            <w:hideMark/>
          </w:tcPr>
          <w:p w14:paraId="106DB1A5" w14:textId="77777777" w:rsidR="002A55FA" w:rsidRPr="00B200D5" w:rsidRDefault="002A55FA" w:rsidP="004E61B8">
            <w:pPr>
              <w:spacing w:after="60" w:line="240" w:lineRule="auto"/>
              <w:jc w:val="center"/>
              <w:rPr>
                <w:rFonts w:ascii="Cambria" w:eastAsia="Times New Roman" w:hAnsi="Cambria" w:cs="Arial"/>
                <w:b/>
                <w:bCs/>
                <w:sz w:val="20"/>
                <w:szCs w:val="20"/>
              </w:rPr>
            </w:pPr>
            <w:r w:rsidRPr="00B200D5">
              <w:rPr>
                <w:rFonts w:ascii="Cambria" w:eastAsia="Times New Roman" w:hAnsi="Cambria" w:cs="Arial"/>
                <w:b/>
                <w:bCs/>
                <w:sz w:val="20"/>
                <w:szCs w:val="20"/>
              </w:rPr>
              <w:t>1</w:t>
            </w:r>
          </w:p>
        </w:tc>
      </w:tr>
      <w:tr w:rsidR="002A55FA" w:rsidRPr="00B200D5" w14:paraId="3527D2F0" w14:textId="77777777" w:rsidTr="004E61B8">
        <w:trPr>
          <w:trHeight w:val="255"/>
          <w:jc w:val="center"/>
        </w:trPr>
        <w:tc>
          <w:tcPr>
            <w:tcW w:w="2978" w:type="dxa"/>
            <w:tcBorders>
              <w:top w:val="nil"/>
              <w:left w:val="single" w:sz="8" w:space="0" w:color="auto"/>
              <w:bottom w:val="nil"/>
              <w:right w:val="single" w:sz="4" w:space="0" w:color="auto"/>
            </w:tcBorders>
            <w:shd w:val="clear" w:color="auto" w:fill="auto"/>
            <w:noWrap/>
            <w:vAlign w:val="bottom"/>
            <w:hideMark/>
          </w:tcPr>
          <w:p w14:paraId="79738CBA" w14:textId="61500173" w:rsidR="002A55FA" w:rsidRPr="00B200D5" w:rsidRDefault="00FC0715" w:rsidP="00FC0715">
            <w:pPr>
              <w:spacing w:after="60" w:line="240" w:lineRule="auto"/>
              <w:rPr>
                <w:rFonts w:ascii="Cambria" w:eastAsia="Times New Roman" w:hAnsi="Cambria" w:cs="Arial"/>
                <w:sz w:val="20"/>
                <w:szCs w:val="20"/>
              </w:rPr>
            </w:pPr>
            <w:r>
              <w:rPr>
                <w:rFonts w:ascii="Cambria" w:eastAsia="Times New Roman" w:hAnsi="Cambria" w:cs="Arial"/>
                <w:sz w:val="20"/>
                <w:szCs w:val="20"/>
              </w:rPr>
              <w:t xml:space="preserve">Special Rapporteur </w:t>
            </w:r>
          </w:p>
        </w:tc>
        <w:tc>
          <w:tcPr>
            <w:tcW w:w="1710" w:type="dxa"/>
            <w:tcBorders>
              <w:top w:val="nil"/>
              <w:left w:val="nil"/>
              <w:bottom w:val="nil"/>
              <w:right w:val="single" w:sz="4" w:space="0" w:color="auto"/>
            </w:tcBorders>
            <w:shd w:val="clear" w:color="auto" w:fill="auto"/>
            <w:noWrap/>
            <w:vAlign w:val="bottom"/>
            <w:hideMark/>
          </w:tcPr>
          <w:p w14:paraId="60EAAAFD" w14:textId="77777777" w:rsidR="002A55FA" w:rsidRPr="00B200D5" w:rsidRDefault="002A55FA" w:rsidP="004E61B8">
            <w:pPr>
              <w:spacing w:after="60" w:line="240" w:lineRule="auto"/>
              <w:jc w:val="center"/>
              <w:rPr>
                <w:rFonts w:ascii="Cambria" w:eastAsia="Times New Roman" w:hAnsi="Cambria" w:cs="Arial"/>
                <w:sz w:val="20"/>
                <w:szCs w:val="20"/>
              </w:rPr>
            </w:pPr>
            <w:r w:rsidRPr="00B200D5">
              <w:rPr>
                <w:rFonts w:ascii="Cambria" w:eastAsia="Times New Roman" w:hAnsi="Cambria" w:cs="Arial"/>
                <w:sz w:val="20"/>
                <w:szCs w:val="20"/>
              </w:rPr>
              <w:t>0</w:t>
            </w:r>
          </w:p>
        </w:tc>
        <w:tc>
          <w:tcPr>
            <w:tcW w:w="2340" w:type="dxa"/>
            <w:tcBorders>
              <w:top w:val="nil"/>
              <w:left w:val="nil"/>
              <w:bottom w:val="nil"/>
              <w:right w:val="single" w:sz="4" w:space="0" w:color="auto"/>
            </w:tcBorders>
            <w:shd w:val="clear" w:color="auto" w:fill="auto"/>
            <w:noWrap/>
            <w:vAlign w:val="bottom"/>
            <w:hideMark/>
          </w:tcPr>
          <w:p w14:paraId="25AE89A6" w14:textId="77777777" w:rsidR="002A55FA" w:rsidRPr="00B200D5" w:rsidRDefault="002A55FA" w:rsidP="004E61B8">
            <w:pPr>
              <w:spacing w:after="60" w:line="240" w:lineRule="auto"/>
              <w:jc w:val="center"/>
              <w:rPr>
                <w:rFonts w:ascii="Cambria" w:eastAsia="Times New Roman" w:hAnsi="Cambria" w:cs="Arial"/>
                <w:sz w:val="20"/>
                <w:szCs w:val="20"/>
              </w:rPr>
            </w:pPr>
            <w:r w:rsidRPr="00B200D5">
              <w:rPr>
                <w:rFonts w:ascii="Cambria" w:eastAsia="Times New Roman" w:hAnsi="Cambria" w:cs="Arial"/>
                <w:sz w:val="20"/>
                <w:szCs w:val="20"/>
              </w:rPr>
              <w:t>1</w:t>
            </w:r>
          </w:p>
        </w:tc>
        <w:tc>
          <w:tcPr>
            <w:tcW w:w="1170" w:type="dxa"/>
            <w:tcBorders>
              <w:top w:val="nil"/>
              <w:left w:val="nil"/>
              <w:bottom w:val="nil"/>
              <w:right w:val="single" w:sz="8" w:space="0" w:color="auto"/>
            </w:tcBorders>
            <w:shd w:val="clear" w:color="auto" w:fill="auto"/>
            <w:noWrap/>
            <w:vAlign w:val="bottom"/>
            <w:hideMark/>
          </w:tcPr>
          <w:p w14:paraId="33E361B3" w14:textId="77777777" w:rsidR="002A55FA" w:rsidRPr="00B200D5" w:rsidRDefault="002A55FA" w:rsidP="004E61B8">
            <w:pPr>
              <w:spacing w:after="60" w:line="240" w:lineRule="auto"/>
              <w:jc w:val="center"/>
              <w:rPr>
                <w:rFonts w:ascii="Cambria" w:eastAsia="Times New Roman" w:hAnsi="Cambria" w:cs="Arial"/>
                <w:b/>
                <w:bCs/>
                <w:sz w:val="20"/>
                <w:szCs w:val="20"/>
              </w:rPr>
            </w:pPr>
            <w:r w:rsidRPr="00B200D5">
              <w:rPr>
                <w:rFonts w:ascii="Cambria" w:eastAsia="Times New Roman" w:hAnsi="Cambria" w:cs="Arial"/>
                <w:b/>
                <w:bCs/>
                <w:sz w:val="20"/>
                <w:szCs w:val="20"/>
              </w:rPr>
              <w:t>1</w:t>
            </w:r>
          </w:p>
        </w:tc>
      </w:tr>
      <w:tr w:rsidR="002A55FA" w:rsidRPr="00B200D5" w14:paraId="2BB68629" w14:textId="77777777" w:rsidTr="004E61B8">
        <w:trPr>
          <w:trHeight w:val="255"/>
          <w:jc w:val="center"/>
        </w:trPr>
        <w:tc>
          <w:tcPr>
            <w:tcW w:w="2978" w:type="dxa"/>
            <w:tcBorders>
              <w:top w:val="nil"/>
              <w:left w:val="single" w:sz="8" w:space="0" w:color="auto"/>
              <w:bottom w:val="nil"/>
              <w:right w:val="single" w:sz="4" w:space="0" w:color="auto"/>
            </w:tcBorders>
            <w:shd w:val="clear" w:color="auto" w:fill="auto"/>
            <w:noWrap/>
            <w:vAlign w:val="bottom"/>
            <w:hideMark/>
          </w:tcPr>
          <w:p w14:paraId="53D422E5" w14:textId="25F15B30" w:rsidR="002A55FA" w:rsidRPr="00B200D5" w:rsidRDefault="009A6C18" w:rsidP="00FC0715">
            <w:pPr>
              <w:spacing w:after="60" w:line="240" w:lineRule="auto"/>
              <w:rPr>
                <w:rFonts w:ascii="Cambria" w:eastAsia="Times New Roman" w:hAnsi="Cambria" w:cs="Arial"/>
                <w:sz w:val="20"/>
                <w:szCs w:val="20"/>
              </w:rPr>
            </w:pPr>
            <w:hyperlink r:id="rId9" w:history="1">
              <w:r w:rsidR="002A55FA" w:rsidRPr="00B200D5">
                <w:rPr>
                  <w:rFonts w:ascii="Cambria" w:eastAsia="Times New Roman" w:hAnsi="Cambria" w:cs="Arial"/>
                  <w:sz w:val="20"/>
                  <w:szCs w:val="20"/>
                </w:rPr>
                <w:t>Profes</w:t>
              </w:r>
              <w:r w:rsidR="00FC0715">
                <w:rPr>
                  <w:rFonts w:ascii="Cambria" w:eastAsia="Times New Roman" w:hAnsi="Cambria" w:cs="Arial"/>
                  <w:sz w:val="20"/>
                  <w:szCs w:val="20"/>
                </w:rPr>
                <w:t xml:space="preserve">sionals </w:t>
              </w:r>
            </w:hyperlink>
          </w:p>
        </w:tc>
        <w:tc>
          <w:tcPr>
            <w:tcW w:w="1710" w:type="dxa"/>
            <w:tcBorders>
              <w:top w:val="nil"/>
              <w:left w:val="nil"/>
              <w:bottom w:val="nil"/>
              <w:right w:val="single" w:sz="4" w:space="0" w:color="auto"/>
            </w:tcBorders>
            <w:shd w:val="clear" w:color="auto" w:fill="auto"/>
            <w:noWrap/>
            <w:vAlign w:val="bottom"/>
            <w:hideMark/>
          </w:tcPr>
          <w:p w14:paraId="0C4B7FA4" w14:textId="77777777" w:rsidR="002A55FA" w:rsidRPr="00B200D5" w:rsidRDefault="002A55FA" w:rsidP="004E61B8">
            <w:pPr>
              <w:spacing w:after="60" w:line="240" w:lineRule="auto"/>
              <w:jc w:val="center"/>
              <w:rPr>
                <w:rFonts w:ascii="Cambria" w:eastAsia="Times New Roman" w:hAnsi="Cambria" w:cs="Arial"/>
                <w:sz w:val="20"/>
                <w:szCs w:val="20"/>
              </w:rPr>
            </w:pPr>
            <w:r w:rsidRPr="00B200D5">
              <w:rPr>
                <w:rFonts w:ascii="Cambria" w:eastAsia="Times New Roman" w:hAnsi="Cambria" w:cs="Arial"/>
                <w:sz w:val="20"/>
                <w:szCs w:val="20"/>
              </w:rPr>
              <w:t>19</w:t>
            </w:r>
          </w:p>
        </w:tc>
        <w:tc>
          <w:tcPr>
            <w:tcW w:w="2340" w:type="dxa"/>
            <w:tcBorders>
              <w:top w:val="nil"/>
              <w:left w:val="nil"/>
              <w:bottom w:val="nil"/>
              <w:right w:val="single" w:sz="4" w:space="0" w:color="auto"/>
            </w:tcBorders>
            <w:shd w:val="clear" w:color="auto" w:fill="auto"/>
            <w:noWrap/>
            <w:vAlign w:val="bottom"/>
            <w:hideMark/>
          </w:tcPr>
          <w:p w14:paraId="476C5EE4" w14:textId="77777777" w:rsidR="002A55FA" w:rsidRPr="00B200D5" w:rsidRDefault="002A55FA" w:rsidP="004E61B8">
            <w:pPr>
              <w:spacing w:after="60" w:line="240" w:lineRule="auto"/>
              <w:jc w:val="center"/>
              <w:rPr>
                <w:rFonts w:ascii="Cambria" w:eastAsia="Times New Roman" w:hAnsi="Cambria" w:cs="Arial"/>
                <w:sz w:val="20"/>
                <w:szCs w:val="20"/>
              </w:rPr>
            </w:pPr>
            <w:r w:rsidRPr="00B200D5">
              <w:rPr>
                <w:rFonts w:ascii="Cambria" w:eastAsia="Times New Roman" w:hAnsi="Cambria" w:cs="Arial"/>
                <w:sz w:val="20"/>
                <w:szCs w:val="20"/>
              </w:rPr>
              <w:t>19</w:t>
            </w:r>
          </w:p>
        </w:tc>
        <w:tc>
          <w:tcPr>
            <w:tcW w:w="1170" w:type="dxa"/>
            <w:tcBorders>
              <w:top w:val="nil"/>
              <w:left w:val="nil"/>
              <w:bottom w:val="nil"/>
              <w:right w:val="single" w:sz="8" w:space="0" w:color="auto"/>
            </w:tcBorders>
            <w:shd w:val="clear" w:color="auto" w:fill="auto"/>
            <w:noWrap/>
            <w:vAlign w:val="bottom"/>
            <w:hideMark/>
          </w:tcPr>
          <w:p w14:paraId="23812008" w14:textId="77777777" w:rsidR="002A55FA" w:rsidRPr="00B200D5" w:rsidRDefault="002A55FA" w:rsidP="004E61B8">
            <w:pPr>
              <w:spacing w:after="60" w:line="240" w:lineRule="auto"/>
              <w:jc w:val="center"/>
              <w:rPr>
                <w:rFonts w:ascii="Cambria" w:eastAsia="Times New Roman" w:hAnsi="Cambria" w:cs="Arial"/>
                <w:b/>
                <w:bCs/>
                <w:sz w:val="20"/>
                <w:szCs w:val="20"/>
              </w:rPr>
            </w:pPr>
            <w:r w:rsidRPr="00B200D5">
              <w:rPr>
                <w:rFonts w:ascii="Cambria" w:eastAsia="Times New Roman" w:hAnsi="Cambria" w:cs="Arial"/>
                <w:b/>
                <w:bCs/>
                <w:sz w:val="20"/>
                <w:szCs w:val="20"/>
              </w:rPr>
              <w:t>38</w:t>
            </w:r>
          </w:p>
        </w:tc>
      </w:tr>
      <w:tr w:rsidR="002A55FA" w:rsidRPr="00B200D5" w14:paraId="3F6F8D03" w14:textId="77777777" w:rsidTr="004E61B8">
        <w:trPr>
          <w:trHeight w:val="255"/>
          <w:jc w:val="center"/>
        </w:trPr>
        <w:tc>
          <w:tcPr>
            <w:tcW w:w="2978" w:type="dxa"/>
            <w:tcBorders>
              <w:top w:val="nil"/>
              <w:left w:val="single" w:sz="8" w:space="0" w:color="auto"/>
              <w:bottom w:val="nil"/>
              <w:right w:val="single" w:sz="4" w:space="0" w:color="auto"/>
            </w:tcBorders>
            <w:shd w:val="clear" w:color="auto" w:fill="auto"/>
            <w:noWrap/>
            <w:vAlign w:val="bottom"/>
            <w:hideMark/>
          </w:tcPr>
          <w:p w14:paraId="14458FAA" w14:textId="0DA392EE" w:rsidR="002A55FA" w:rsidRPr="00B200D5" w:rsidRDefault="00FC0715" w:rsidP="00FC0715">
            <w:pPr>
              <w:spacing w:after="60" w:line="240" w:lineRule="auto"/>
              <w:rPr>
                <w:rFonts w:ascii="Cambria" w:eastAsia="Times New Roman" w:hAnsi="Cambria" w:cs="Arial"/>
                <w:sz w:val="20"/>
                <w:szCs w:val="20"/>
              </w:rPr>
            </w:pPr>
            <w:r>
              <w:rPr>
                <w:rFonts w:ascii="Cambria" w:eastAsia="Times New Roman" w:hAnsi="Cambria" w:cs="Arial"/>
                <w:sz w:val="20"/>
                <w:szCs w:val="20"/>
              </w:rPr>
              <w:t xml:space="preserve">Administrative Staff </w:t>
            </w:r>
          </w:p>
        </w:tc>
        <w:tc>
          <w:tcPr>
            <w:tcW w:w="1710" w:type="dxa"/>
            <w:tcBorders>
              <w:top w:val="nil"/>
              <w:left w:val="nil"/>
              <w:bottom w:val="nil"/>
              <w:right w:val="single" w:sz="4" w:space="0" w:color="auto"/>
            </w:tcBorders>
            <w:shd w:val="clear" w:color="auto" w:fill="auto"/>
            <w:noWrap/>
            <w:vAlign w:val="bottom"/>
            <w:hideMark/>
          </w:tcPr>
          <w:p w14:paraId="4BA52C26" w14:textId="77777777" w:rsidR="002A55FA" w:rsidRPr="00B200D5" w:rsidRDefault="002A55FA" w:rsidP="004E61B8">
            <w:pPr>
              <w:spacing w:after="60" w:line="240" w:lineRule="auto"/>
              <w:jc w:val="center"/>
              <w:rPr>
                <w:rFonts w:ascii="Cambria" w:eastAsia="Times New Roman" w:hAnsi="Cambria" w:cs="Arial"/>
                <w:sz w:val="20"/>
                <w:szCs w:val="20"/>
              </w:rPr>
            </w:pPr>
            <w:r w:rsidRPr="00B200D5">
              <w:rPr>
                <w:rFonts w:ascii="Cambria" w:eastAsia="Times New Roman" w:hAnsi="Cambria" w:cs="Arial"/>
                <w:sz w:val="20"/>
                <w:szCs w:val="20"/>
              </w:rPr>
              <w:t>9</w:t>
            </w:r>
          </w:p>
        </w:tc>
        <w:tc>
          <w:tcPr>
            <w:tcW w:w="2340" w:type="dxa"/>
            <w:tcBorders>
              <w:top w:val="nil"/>
              <w:left w:val="nil"/>
              <w:bottom w:val="nil"/>
              <w:right w:val="single" w:sz="4" w:space="0" w:color="auto"/>
            </w:tcBorders>
            <w:shd w:val="clear" w:color="auto" w:fill="auto"/>
            <w:noWrap/>
            <w:vAlign w:val="bottom"/>
            <w:hideMark/>
          </w:tcPr>
          <w:p w14:paraId="1A9B7AE9" w14:textId="77777777" w:rsidR="002A55FA" w:rsidRPr="00B200D5" w:rsidRDefault="002A55FA" w:rsidP="004E61B8">
            <w:pPr>
              <w:spacing w:after="60" w:line="240" w:lineRule="auto"/>
              <w:jc w:val="center"/>
              <w:rPr>
                <w:rFonts w:ascii="Cambria" w:eastAsia="Times New Roman" w:hAnsi="Cambria" w:cs="Arial"/>
                <w:sz w:val="20"/>
                <w:szCs w:val="20"/>
              </w:rPr>
            </w:pPr>
            <w:r w:rsidRPr="00B200D5">
              <w:rPr>
                <w:rFonts w:ascii="Cambria" w:eastAsia="Times New Roman" w:hAnsi="Cambria" w:cs="Arial"/>
                <w:sz w:val="20"/>
                <w:szCs w:val="20"/>
              </w:rPr>
              <w:t>3</w:t>
            </w:r>
          </w:p>
        </w:tc>
        <w:tc>
          <w:tcPr>
            <w:tcW w:w="1170" w:type="dxa"/>
            <w:tcBorders>
              <w:top w:val="nil"/>
              <w:left w:val="nil"/>
              <w:bottom w:val="nil"/>
              <w:right w:val="single" w:sz="8" w:space="0" w:color="auto"/>
            </w:tcBorders>
            <w:shd w:val="clear" w:color="auto" w:fill="auto"/>
            <w:noWrap/>
            <w:vAlign w:val="bottom"/>
            <w:hideMark/>
          </w:tcPr>
          <w:p w14:paraId="59C6EC99" w14:textId="77777777" w:rsidR="002A55FA" w:rsidRPr="00B200D5" w:rsidRDefault="002A55FA" w:rsidP="004E61B8">
            <w:pPr>
              <w:spacing w:after="60" w:line="240" w:lineRule="auto"/>
              <w:jc w:val="center"/>
              <w:rPr>
                <w:rFonts w:ascii="Cambria" w:eastAsia="Times New Roman" w:hAnsi="Cambria" w:cs="Arial"/>
                <w:b/>
                <w:bCs/>
                <w:sz w:val="20"/>
                <w:szCs w:val="20"/>
              </w:rPr>
            </w:pPr>
            <w:r w:rsidRPr="00B200D5">
              <w:rPr>
                <w:rFonts w:ascii="Cambria" w:eastAsia="Times New Roman" w:hAnsi="Cambria" w:cs="Arial"/>
                <w:b/>
                <w:bCs/>
                <w:sz w:val="20"/>
                <w:szCs w:val="20"/>
              </w:rPr>
              <w:t>12</w:t>
            </w:r>
          </w:p>
        </w:tc>
      </w:tr>
      <w:tr w:rsidR="002A55FA" w:rsidRPr="00B200D5" w14:paraId="6EA56403" w14:textId="77777777" w:rsidTr="004E61B8">
        <w:trPr>
          <w:trHeight w:val="255"/>
          <w:jc w:val="center"/>
        </w:trPr>
        <w:tc>
          <w:tcPr>
            <w:tcW w:w="2978" w:type="dxa"/>
            <w:tcBorders>
              <w:top w:val="single" w:sz="4" w:space="0" w:color="auto"/>
              <w:left w:val="single" w:sz="8" w:space="0" w:color="auto"/>
              <w:bottom w:val="single" w:sz="4" w:space="0" w:color="auto"/>
              <w:right w:val="single" w:sz="4" w:space="0" w:color="auto"/>
            </w:tcBorders>
            <w:shd w:val="clear" w:color="000000" w:fill="969696"/>
            <w:noWrap/>
            <w:vAlign w:val="bottom"/>
            <w:hideMark/>
          </w:tcPr>
          <w:p w14:paraId="3581875A" w14:textId="60F8C96E" w:rsidR="002A55FA" w:rsidRPr="00B200D5" w:rsidRDefault="002A55FA" w:rsidP="004E61B8">
            <w:pPr>
              <w:spacing w:after="60" w:line="240" w:lineRule="auto"/>
              <w:rPr>
                <w:rFonts w:ascii="Cambria" w:eastAsia="Times New Roman" w:hAnsi="Cambria" w:cs="Arial"/>
                <w:b/>
                <w:bCs/>
                <w:sz w:val="20"/>
                <w:szCs w:val="20"/>
              </w:rPr>
            </w:pPr>
            <w:r w:rsidRPr="00B200D5">
              <w:rPr>
                <w:rFonts w:ascii="Cambria" w:eastAsia="Times New Roman" w:hAnsi="Cambria" w:cs="Arial"/>
                <w:b/>
                <w:bCs/>
                <w:sz w:val="20"/>
                <w:szCs w:val="20"/>
              </w:rPr>
              <w:t>Subt</w:t>
            </w:r>
            <w:r w:rsidR="00154228">
              <w:rPr>
                <w:rFonts w:ascii="Cambria" w:eastAsia="Times New Roman" w:hAnsi="Cambria" w:cs="Arial"/>
                <w:b/>
                <w:bCs/>
                <w:sz w:val="20"/>
                <w:szCs w:val="20"/>
              </w:rPr>
              <w:t>otal Staff</w:t>
            </w:r>
          </w:p>
        </w:tc>
        <w:tc>
          <w:tcPr>
            <w:tcW w:w="1710" w:type="dxa"/>
            <w:tcBorders>
              <w:top w:val="single" w:sz="4" w:space="0" w:color="auto"/>
              <w:left w:val="nil"/>
              <w:bottom w:val="single" w:sz="4" w:space="0" w:color="auto"/>
              <w:right w:val="single" w:sz="4" w:space="0" w:color="auto"/>
            </w:tcBorders>
            <w:shd w:val="clear" w:color="000000" w:fill="969696"/>
            <w:noWrap/>
            <w:vAlign w:val="bottom"/>
            <w:hideMark/>
          </w:tcPr>
          <w:p w14:paraId="45326AAD" w14:textId="77777777" w:rsidR="002A55FA" w:rsidRPr="00B200D5" w:rsidRDefault="002A55FA" w:rsidP="004E61B8">
            <w:pPr>
              <w:spacing w:after="60" w:line="240" w:lineRule="auto"/>
              <w:jc w:val="center"/>
              <w:rPr>
                <w:rFonts w:ascii="Cambria" w:eastAsia="Times New Roman" w:hAnsi="Cambria" w:cs="Arial"/>
                <w:b/>
                <w:bCs/>
                <w:sz w:val="20"/>
                <w:szCs w:val="20"/>
              </w:rPr>
            </w:pPr>
            <w:r w:rsidRPr="00B200D5">
              <w:rPr>
                <w:rFonts w:ascii="Cambria" w:eastAsia="Times New Roman" w:hAnsi="Cambria" w:cs="Arial"/>
                <w:b/>
                <w:bCs/>
                <w:sz w:val="20"/>
                <w:szCs w:val="20"/>
              </w:rPr>
              <w:t>30</w:t>
            </w:r>
          </w:p>
        </w:tc>
        <w:tc>
          <w:tcPr>
            <w:tcW w:w="2340" w:type="dxa"/>
            <w:tcBorders>
              <w:top w:val="single" w:sz="4" w:space="0" w:color="auto"/>
              <w:left w:val="nil"/>
              <w:bottom w:val="single" w:sz="4" w:space="0" w:color="auto"/>
              <w:right w:val="single" w:sz="4" w:space="0" w:color="auto"/>
            </w:tcBorders>
            <w:shd w:val="clear" w:color="000000" w:fill="969696"/>
            <w:noWrap/>
            <w:vAlign w:val="bottom"/>
            <w:hideMark/>
          </w:tcPr>
          <w:p w14:paraId="3A3346AA" w14:textId="77777777" w:rsidR="002A55FA" w:rsidRPr="00B200D5" w:rsidRDefault="002A55FA" w:rsidP="004E61B8">
            <w:pPr>
              <w:spacing w:after="60" w:line="240" w:lineRule="auto"/>
              <w:jc w:val="center"/>
              <w:rPr>
                <w:rFonts w:ascii="Cambria" w:eastAsia="Times New Roman" w:hAnsi="Cambria" w:cs="Arial"/>
                <w:b/>
                <w:bCs/>
                <w:sz w:val="20"/>
                <w:szCs w:val="20"/>
              </w:rPr>
            </w:pPr>
            <w:r w:rsidRPr="00B200D5">
              <w:rPr>
                <w:rFonts w:ascii="Cambria" w:eastAsia="Times New Roman" w:hAnsi="Cambria" w:cs="Arial"/>
                <w:b/>
                <w:bCs/>
                <w:sz w:val="20"/>
                <w:szCs w:val="20"/>
              </w:rPr>
              <w:t>23</w:t>
            </w:r>
          </w:p>
        </w:tc>
        <w:tc>
          <w:tcPr>
            <w:tcW w:w="1170" w:type="dxa"/>
            <w:tcBorders>
              <w:top w:val="single" w:sz="4" w:space="0" w:color="auto"/>
              <w:left w:val="nil"/>
              <w:bottom w:val="single" w:sz="4" w:space="0" w:color="auto"/>
              <w:right w:val="single" w:sz="8" w:space="0" w:color="auto"/>
            </w:tcBorders>
            <w:shd w:val="clear" w:color="000000" w:fill="969696"/>
            <w:noWrap/>
            <w:vAlign w:val="bottom"/>
            <w:hideMark/>
          </w:tcPr>
          <w:p w14:paraId="5C2ABD1A" w14:textId="77777777" w:rsidR="002A55FA" w:rsidRPr="00B200D5" w:rsidRDefault="002A55FA" w:rsidP="004E61B8">
            <w:pPr>
              <w:spacing w:after="60" w:line="240" w:lineRule="auto"/>
              <w:jc w:val="center"/>
              <w:rPr>
                <w:rFonts w:ascii="Cambria" w:eastAsia="Times New Roman" w:hAnsi="Cambria" w:cs="Arial"/>
                <w:b/>
                <w:bCs/>
                <w:sz w:val="20"/>
                <w:szCs w:val="20"/>
              </w:rPr>
            </w:pPr>
            <w:r w:rsidRPr="00B200D5">
              <w:rPr>
                <w:rFonts w:ascii="Cambria" w:eastAsia="Times New Roman" w:hAnsi="Cambria" w:cs="Arial"/>
                <w:b/>
                <w:bCs/>
                <w:sz w:val="20"/>
                <w:szCs w:val="20"/>
              </w:rPr>
              <w:t>53</w:t>
            </w:r>
          </w:p>
        </w:tc>
      </w:tr>
      <w:tr w:rsidR="002A55FA" w:rsidRPr="00B200D5" w14:paraId="14389297" w14:textId="77777777" w:rsidTr="004E61B8">
        <w:trPr>
          <w:trHeight w:val="255"/>
          <w:jc w:val="center"/>
        </w:trPr>
        <w:tc>
          <w:tcPr>
            <w:tcW w:w="2978" w:type="dxa"/>
            <w:tcBorders>
              <w:top w:val="nil"/>
              <w:left w:val="single" w:sz="8" w:space="0" w:color="auto"/>
              <w:bottom w:val="nil"/>
              <w:right w:val="single" w:sz="4" w:space="0" w:color="auto"/>
            </w:tcBorders>
            <w:shd w:val="clear" w:color="auto" w:fill="auto"/>
            <w:noWrap/>
            <w:vAlign w:val="bottom"/>
            <w:hideMark/>
          </w:tcPr>
          <w:p w14:paraId="59FAB190" w14:textId="41CA1405" w:rsidR="002A55FA" w:rsidRPr="00B200D5" w:rsidRDefault="002A55FA" w:rsidP="003B1AEC">
            <w:pPr>
              <w:spacing w:after="60" w:line="240" w:lineRule="auto"/>
              <w:rPr>
                <w:rFonts w:ascii="Cambria" w:eastAsia="Times New Roman" w:hAnsi="Cambria" w:cs="Arial"/>
                <w:sz w:val="20"/>
                <w:szCs w:val="20"/>
              </w:rPr>
            </w:pPr>
            <w:r w:rsidRPr="00B200D5">
              <w:rPr>
                <w:rFonts w:ascii="Cambria" w:eastAsia="Times New Roman" w:hAnsi="Cambria" w:cs="Arial"/>
                <w:sz w:val="20"/>
                <w:szCs w:val="20"/>
              </w:rPr>
              <w:t xml:space="preserve">IACHR </w:t>
            </w:r>
            <w:r w:rsidR="003B1AEC">
              <w:rPr>
                <w:rFonts w:ascii="Cambria" w:eastAsia="Times New Roman" w:hAnsi="Cambria" w:cs="Arial"/>
                <w:sz w:val="20"/>
                <w:szCs w:val="20"/>
              </w:rPr>
              <w:t>Performance</w:t>
            </w:r>
            <w:r w:rsidR="006203AF">
              <w:rPr>
                <w:rFonts w:ascii="Cambria" w:eastAsia="Times New Roman" w:hAnsi="Cambria" w:cs="Arial"/>
                <w:sz w:val="20"/>
                <w:szCs w:val="20"/>
              </w:rPr>
              <w:t xml:space="preserve"> Contracts </w:t>
            </w:r>
          </w:p>
        </w:tc>
        <w:tc>
          <w:tcPr>
            <w:tcW w:w="1710" w:type="dxa"/>
            <w:tcBorders>
              <w:top w:val="nil"/>
              <w:left w:val="nil"/>
              <w:bottom w:val="nil"/>
              <w:right w:val="single" w:sz="4" w:space="0" w:color="auto"/>
            </w:tcBorders>
            <w:shd w:val="clear" w:color="auto" w:fill="auto"/>
            <w:noWrap/>
            <w:vAlign w:val="bottom"/>
            <w:hideMark/>
          </w:tcPr>
          <w:p w14:paraId="017ABF80" w14:textId="77777777" w:rsidR="002A55FA" w:rsidRPr="00B200D5" w:rsidRDefault="002A55FA" w:rsidP="004E61B8">
            <w:pPr>
              <w:spacing w:after="60" w:line="240" w:lineRule="auto"/>
              <w:jc w:val="center"/>
              <w:rPr>
                <w:rFonts w:ascii="Cambria" w:eastAsia="Times New Roman" w:hAnsi="Cambria" w:cs="Arial"/>
                <w:sz w:val="20"/>
                <w:szCs w:val="20"/>
              </w:rPr>
            </w:pPr>
            <w:r w:rsidRPr="00B200D5">
              <w:rPr>
                <w:rFonts w:ascii="Cambria" w:eastAsia="Times New Roman" w:hAnsi="Cambria" w:cs="Arial"/>
                <w:sz w:val="20"/>
                <w:szCs w:val="20"/>
              </w:rPr>
              <w:t>0</w:t>
            </w:r>
          </w:p>
        </w:tc>
        <w:tc>
          <w:tcPr>
            <w:tcW w:w="2340" w:type="dxa"/>
            <w:tcBorders>
              <w:top w:val="nil"/>
              <w:left w:val="nil"/>
              <w:bottom w:val="nil"/>
              <w:right w:val="single" w:sz="4" w:space="0" w:color="auto"/>
            </w:tcBorders>
            <w:shd w:val="clear" w:color="auto" w:fill="auto"/>
            <w:noWrap/>
            <w:vAlign w:val="bottom"/>
            <w:hideMark/>
          </w:tcPr>
          <w:p w14:paraId="5D115156" w14:textId="77777777" w:rsidR="002A55FA" w:rsidRPr="00B200D5" w:rsidRDefault="002A55FA" w:rsidP="004E61B8">
            <w:pPr>
              <w:spacing w:after="60" w:line="240" w:lineRule="auto"/>
              <w:jc w:val="center"/>
              <w:rPr>
                <w:rFonts w:ascii="Cambria" w:eastAsia="Times New Roman" w:hAnsi="Cambria" w:cs="Arial"/>
                <w:sz w:val="20"/>
                <w:szCs w:val="20"/>
              </w:rPr>
            </w:pPr>
            <w:r w:rsidRPr="00B200D5">
              <w:rPr>
                <w:rFonts w:ascii="Cambria" w:eastAsia="Times New Roman" w:hAnsi="Cambria" w:cs="Arial"/>
                <w:sz w:val="20"/>
                <w:szCs w:val="20"/>
              </w:rPr>
              <w:t>15</w:t>
            </w:r>
          </w:p>
        </w:tc>
        <w:tc>
          <w:tcPr>
            <w:tcW w:w="1170" w:type="dxa"/>
            <w:tcBorders>
              <w:top w:val="nil"/>
              <w:left w:val="nil"/>
              <w:bottom w:val="nil"/>
              <w:right w:val="single" w:sz="8" w:space="0" w:color="auto"/>
            </w:tcBorders>
            <w:shd w:val="clear" w:color="auto" w:fill="auto"/>
            <w:noWrap/>
            <w:vAlign w:val="bottom"/>
            <w:hideMark/>
          </w:tcPr>
          <w:p w14:paraId="7C6A4727" w14:textId="77777777" w:rsidR="002A55FA" w:rsidRPr="00B200D5" w:rsidRDefault="002A55FA" w:rsidP="004E61B8">
            <w:pPr>
              <w:spacing w:after="60" w:line="240" w:lineRule="auto"/>
              <w:jc w:val="center"/>
              <w:rPr>
                <w:rFonts w:ascii="Cambria" w:eastAsia="Times New Roman" w:hAnsi="Cambria" w:cs="Arial"/>
                <w:b/>
                <w:bCs/>
                <w:sz w:val="20"/>
                <w:szCs w:val="20"/>
              </w:rPr>
            </w:pPr>
            <w:r w:rsidRPr="00B200D5">
              <w:rPr>
                <w:rFonts w:ascii="Cambria" w:eastAsia="Times New Roman" w:hAnsi="Cambria" w:cs="Arial"/>
                <w:b/>
                <w:bCs/>
                <w:sz w:val="20"/>
                <w:szCs w:val="20"/>
              </w:rPr>
              <w:t>15</w:t>
            </w:r>
          </w:p>
        </w:tc>
      </w:tr>
      <w:tr w:rsidR="002A55FA" w:rsidRPr="00B200D5" w14:paraId="047D4449" w14:textId="77777777" w:rsidTr="004E61B8">
        <w:trPr>
          <w:trHeight w:val="255"/>
          <w:jc w:val="center"/>
        </w:trPr>
        <w:tc>
          <w:tcPr>
            <w:tcW w:w="2978" w:type="dxa"/>
            <w:tcBorders>
              <w:top w:val="nil"/>
              <w:left w:val="single" w:sz="4" w:space="0" w:color="auto"/>
              <w:bottom w:val="nil"/>
              <w:right w:val="single" w:sz="4" w:space="0" w:color="auto"/>
            </w:tcBorders>
            <w:shd w:val="clear" w:color="auto" w:fill="auto"/>
            <w:noWrap/>
            <w:vAlign w:val="bottom"/>
            <w:hideMark/>
          </w:tcPr>
          <w:p w14:paraId="595C623A" w14:textId="1A370D97" w:rsidR="002A55FA" w:rsidRPr="00B200D5" w:rsidRDefault="00132A2C" w:rsidP="00132A2C">
            <w:pPr>
              <w:spacing w:after="60" w:line="240" w:lineRule="auto"/>
              <w:rPr>
                <w:rFonts w:ascii="Cambria" w:eastAsia="Times New Roman" w:hAnsi="Cambria" w:cs="Arial"/>
                <w:sz w:val="20"/>
                <w:szCs w:val="20"/>
              </w:rPr>
            </w:pPr>
            <w:r>
              <w:rPr>
                <w:rFonts w:ascii="Cambria" w:eastAsia="Times New Roman" w:hAnsi="Cambria" w:cs="Arial"/>
                <w:sz w:val="20"/>
                <w:szCs w:val="20"/>
              </w:rPr>
              <w:t>Assoc</w:t>
            </w:r>
            <w:r w:rsidR="00154228">
              <w:rPr>
                <w:rFonts w:ascii="Cambria" w:eastAsia="Times New Roman" w:hAnsi="Cambria" w:cs="Arial"/>
                <w:sz w:val="20"/>
                <w:szCs w:val="20"/>
              </w:rPr>
              <w:t>iate Staff</w:t>
            </w:r>
            <w:r>
              <w:rPr>
                <w:rFonts w:ascii="Cambria" w:eastAsia="Times New Roman" w:hAnsi="Cambria" w:cs="Arial"/>
                <w:sz w:val="20"/>
                <w:szCs w:val="20"/>
              </w:rPr>
              <w:t xml:space="preserve"> </w:t>
            </w:r>
          </w:p>
        </w:tc>
        <w:tc>
          <w:tcPr>
            <w:tcW w:w="1710" w:type="dxa"/>
            <w:tcBorders>
              <w:top w:val="nil"/>
              <w:left w:val="nil"/>
              <w:bottom w:val="nil"/>
              <w:right w:val="single" w:sz="4" w:space="0" w:color="auto"/>
            </w:tcBorders>
            <w:shd w:val="clear" w:color="auto" w:fill="auto"/>
            <w:noWrap/>
            <w:vAlign w:val="bottom"/>
            <w:hideMark/>
          </w:tcPr>
          <w:p w14:paraId="48312DD3" w14:textId="77777777" w:rsidR="002A55FA" w:rsidRPr="00B200D5" w:rsidRDefault="002A55FA" w:rsidP="004E61B8">
            <w:pPr>
              <w:spacing w:after="60" w:line="240" w:lineRule="auto"/>
              <w:jc w:val="center"/>
              <w:rPr>
                <w:rFonts w:ascii="Cambria" w:eastAsia="Times New Roman" w:hAnsi="Cambria" w:cs="Arial"/>
                <w:sz w:val="20"/>
                <w:szCs w:val="20"/>
              </w:rPr>
            </w:pPr>
            <w:r w:rsidRPr="00B200D5">
              <w:rPr>
                <w:rFonts w:ascii="Cambria" w:eastAsia="Times New Roman" w:hAnsi="Cambria" w:cs="Arial"/>
                <w:sz w:val="20"/>
                <w:szCs w:val="20"/>
              </w:rPr>
              <w:t>0</w:t>
            </w:r>
          </w:p>
        </w:tc>
        <w:tc>
          <w:tcPr>
            <w:tcW w:w="2340" w:type="dxa"/>
            <w:tcBorders>
              <w:top w:val="nil"/>
              <w:left w:val="nil"/>
              <w:bottom w:val="nil"/>
              <w:right w:val="single" w:sz="4" w:space="0" w:color="auto"/>
            </w:tcBorders>
            <w:shd w:val="clear" w:color="auto" w:fill="auto"/>
            <w:noWrap/>
            <w:vAlign w:val="bottom"/>
            <w:hideMark/>
          </w:tcPr>
          <w:p w14:paraId="21B7E0EE" w14:textId="77777777" w:rsidR="002A55FA" w:rsidRPr="00B200D5" w:rsidRDefault="002A55FA" w:rsidP="004E61B8">
            <w:pPr>
              <w:spacing w:after="60" w:line="240" w:lineRule="auto"/>
              <w:jc w:val="center"/>
              <w:rPr>
                <w:rFonts w:ascii="Cambria" w:eastAsia="Times New Roman" w:hAnsi="Cambria" w:cs="Arial"/>
                <w:sz w:val="20"/>
                <w:szCs w:val="20"/>
              </w:rPr>
            </w:pPr>
            <w:r w:rsidRPr="00B200D5">
              <w:rPr>
                <w:rFonts w:ascii="Cambria" w:eastAsia="Times New Roman" w:hAnsi="Cambria" w:cs="Arial"/>
                <w:sz w:val="20"/>
                <w:szCs w:val="20"/>
              </w:rPr>
              <w:t>1</w:t>
            </w:r>
          </w:p>
        </w:tc>
        <w:tc>
          <w:tcPr>
            <w:tcW w:w="1170" w:type="dxa"/>
            <w:tcBorders>
              <w:top w:val="nil"/>
              <w:left w:val="nil"/>
              <w:bottom w:val="nil"/>
              <w:right w:val="single" w:sz="4" w:space="0" w:color="auto"/>
            </w:tcBorders>
            <w:shd w:val="clear" w:color="auto" w:fill="auto"/>
            <w:noWrap/>
            <w:vAlign w:val="bottom"/>
            <w:hideMark/>
          </w:tcPr>
          <w:p w14:paraId="263CC5CE" w14:textId="77777777" w:rsidR="002A55FA" w:rsidRPr="00B200D5" w:rsidRDefault="002A55FA" w:rsidP="004E61B8">
            <w:pPr>
              <w:spacing w:after="60" w:line="240" w:lineRule="auto"/>
              <w:jc w:val="center"/>
              <w:rPr>
                <w:rFonts w:ascii="Cambria" w:eastAsia="Times New Roman" w:hAnsi="Cambria" w:cs="Arial"/>
                <w:b/>
                <w:bCs/>
                <w:sz w:val="20"/>
                <w:szCs w:val="20"/>
              </w:rPr>
            </w:pPr>
            <w:r w:rsidRPr="00B200D5">
              <w:rPr>
                <w:rFonts w:ascii="Cambria" w:eastAsia="Times New Roman" w:hAnsi="Cambria" w:cs="Arial"/>
                <w:b/>
                <w:bCs/>
                <w:sz w:val="20"/>
                <w:szCs w:val="20"/>
              </w:rPr>
              <w:t>1</w:t>
            </w:r>
          </w:p>
        </w:tc>
      </w:tr>
      <w:tr w:rsidR="002A55FA" w:rsidRPr="00B200D5" w14:paraId="2B4764E7" w14:textId="77777777" w:rsidTr="004E61B8">
        <w:trPr>
          <w:trHeight w:val="270"/>
          <w:jc w:val="center"/>
        </w:trPr>
        <w:tc>
          <w:tcPr>
            <w:tcW w:w="2978" w:type="dxa"/>
            <w:tcBorders>
              <w:top w:val="single" w:sz="4" w:space="0" w:color="auto"/>
              <w:left w:val="single" w:sz="8" w:space="0" w:color="auto"/>
              <w:bottom w:val="single" w:sz="8" w:space="0" w:color="auto"/>
              <w:right w:val="single" w:sz="4" w:space="0" w:color="auto"/>
            </w:tcBorders>
            <w:shd w:val="clear" w:color="000000" w:fill="FF6600"/>
            <w:noWrap/>
            <w:vAlign w:val="bottom"/>
            <w:hideMark/>
          </w:tcPr>
          <w:p w14:paraId="54B14CD4" w14:textId="77777777" w:rsidR="002A55FA" w:rsidRPr="00B200D5" w:rsidRDefault="002A55FA" w:rsidP="004E61B8">
            <w:pPr>
              <w:spacing w:after="60" w:line="240" w:lineRule="auto"/>
              <w:rPr>
                <w:rFonts w:ascii="Cambria" w:eastAsia="Times New Roman" w:hAnsi="Cambria" w:cs="Arial"/>
                <w:b/>
                <w:bCs/>
                <w:sz w:val="20"/>
                <w:szCs w:val="20"/>
              </w:rPr>
            </w:pPr>
            <w:r w:rsidRPr="00B200D5">
              <w:rPr>
                <w:rFonts w:ascii="Cambria" w:eastAsia="Times New Roman" w:hAnsi="Cambria" w:cs="Arial"/>
                <w:b/>
                <w:bCs/>
                <w:sz w:val="20"/>
                <w:szCs w:val="20"/>
              </w:rPr>
              <w:t>Total</w:t>
            </w:r>
          </w:p>
        </w:tc>
        <w:tc>
          <w:tcPr>
            <w:tcW w:w="1710" w:type="dxa"/>
            <w:tcBorders>
              <w:top w:val="single" w:sz="4" w:space="0" w:color="auto"/>
              <w:left w:val="nil"/>
              <w:bottom w:val="single" w:sz="8" w:space="0" w:color="auto"/>
              <w:right w:val="single" w:sz="4" w:space="0" w:color="auto"/>
            </w:tcBorders>
            <w:shd w:val="clear" w:color="000000" w:fill="FF6600"/>
            <w:noWrap/>
            <w:vAlign w:val="bottom"/>
            <w:hideMark/>
          </w:tcPr>
          <w:p w14:paraId="30DD5694" w14:textId="77777777" w:rsidR="002A55FA" w:rsidRPr="00B200D5" w:rsidRDefault="002A55FA" w:rsidP="004E61B8">
            <w:pPr>
              <w:spacing w:after="60" w:line="240" w:lineRule="auto"/>
              <w:jc w:val="center"/>
              <w:rPr>
                <w:rFonts w:ascii="Cambria" w:eastAsia="Times New Roman" w:hAnsi="Cambria" w:cs="Arial"/>
                <w:b/>
                <w:bCs/>
                <w:sz w:val="20"/>
                <w:szCs w:val="20"/>
              </w:rPr>
            </w:pPr>
            <w:r w:rsidRPr="00B200D5">
              <w:rPr>
                <w:rFonts w:ascii="Cambria" w:eastAsia="Times New Roman" w:hAnsi="Cambria" w:cs="Arial"/>
                <w:b/>
                <w:bCs/>
                <w:sz w:val="20"/>
                <w:szCs w:val="20"/>
              </w:rPr>
              <w:t>30</w:t>
            </w:r>
          </w:p>
        </w:tc>
        <w:tc>
          <w:tcPr>
            <w:tcW w:w="2340" w:type="dxa"/>
            <w:tcBorders>
              <w:top w:val="single" w:sz="4" w:space="0" w:color="auto"/>
              <w:left w:val="nil"/>
              <w:bottom w:val="single" w:sz="8" w:space="0" w:color="auto"/>
              <w:right w:val="single" w:sz="4" w:space="0" w:color="auto"/>
            </w:tcBorders>
            <w:shd w:val="clear" w:color="000000" w:fill="FF6600"/>
            <w:noWrap/>
            <w:vAlign w:val="bottom"/>
            <w:hideMark/>
          </w:tcPr>
          <w:p w14:paraId="364F4561" w14:textId="77777777" w:rsidR="002A55FA" w:rsidRPr="00B200D5" w:rsidRDefault="002A55FA" w:rsidP="004E61B8">
            <w:pPr>
              <w:spacing w:after="60" w:line="240" w:lineRule="auto"/>
              <w:jc w:val="center"/>
              <w:rPr>
                <w:rFonts w:ascii="Cambria" w:eastAsia="Times New Roman" w:hAnsi="Cambria" w:cs="Arial"/>
                <w:b/>
                <w:bCs/>
                <w:sz w:val="20"/>
                <w:szCs w:val="20"/>
              </w:rPr>
            </w:pPr>
            <w:r w:rsidRPr="00B200D5">
              <w:rPr>
                <w:rFonts w:ascii="Cambria" w:eastAsia="Times New Roman" w:hAnsi="Cambria" w:cs="Arial"/>
                <w:b/>
                <w:bCs/>
                <w:sz w:val="20"/>
                <w:szCs w:val="20"/>
              </w:rPr>
              <w:t>39</w:t>
            </w:r>
          </w:p>
        </w:tc>
        <w:tc>
          <w:tcPr>
            <w:tcW w:w="1170" w:type="dxa"/>
            <w:tcBorders>
              <w:top w:val="single" w:sz="4" w:space="0" w:color="auto"/>
              <w:left w:val="nil"/>
              <w:bottom w:val="single" w:sz="8" w:space="0" w:color="auto"/>
              <w:right w:val="single" w:sz="8" w:space="0" w:color="auto"/>
            </w:tcBorders>
            <w:shd w:val="clear" w:color="000000" w:fill="FF6600"/>
            <w:noWrap/>
            <w:vAlign w:val="bottom"/>
            <w:hideMark/>
          </w:tcPr>
          <w:p w14:paraId="1A257D5F" w14:textId="77777777" w:rsidR="002A55FA" w:rsidRPr="00B200D5" w:rsidRDefault="002A55FA" w:rsidP="004E61B8">
            <w:pPr>
              <w:spacing w:after="60" w:line="240" w:lineRule="auto"/>
              <w:jc w:val="center"/>
              <w:rPr>
                <w:rFonts w:ascii="Cambria" w:eastAsia="Times New Roman" w:hAnsi="Cambria" w:cs="Arial"/>
                <w:b/>
                <w:bCs/>
                <w:sz w:val="20"/>
                <w:szCs w:val="20"/>
              </w:rPr>
            </w:pPr>
            <w:r w:rsidRPr="00B200D5">
              <w:rPr>
                <w:rFonts w:ascii="Cambria" w:eastAsia="Times New Roman" w:hAnsi="Cambria" w:cs="Arial"/>
                <w:b/>
                <w:bCs/>
                <w:sz w:val="20"/>
                <w:szCs w:val="20"/>
              </w:rPr>
              <w:t>69</w:t>
            </w:r>
          </w:p>
        </w:tc>
      </w:tr>
    </w:tbl>
    <w:p w14:paraId="6CF6BF04" w14:textId="77777777" w:rsidR="002A55FA" w:rsidRPr="00B200D5" w:rsidRDefault="002A55FA" w:rsidP="00D84420">
      <w:pPr>
        <w:spacing w:after="0" w:line="240" w:lineRule="auto"/>
        <w:ind w:firstLine="720"/>
        <w:jc w:val="both"/>
        <w:rPr>
          <w:rFonts w:ascii="Cambria" w:hAnsi="Cambria"/>
          <w:sz w:val="20"/>
          <w:szCs w:val="20"/>
        </w:rPr>
      </w:pPr>
    </w:p>
    <w:p w14:paraId="510AF922" w14:textId="2DDF841A" w:rsidR="002A55FA" w:rsidRPr="00B200D5" w:rsidRDefault="00132A2C" w:rsidP="00D84420">
      <w:pPr>
        <w:pStyle w:val="paragraphs"/>
        <w:ind w:left="0" w:firstLine="720"/>
        <w:rPr>
          <w:lang w:val="en-US"/>
        </w:rPr>
      </w:pPr>
      <w:r>
        <w:rPr>
          <w:lang w:val="en-US"/>
        </w:rPr>
        <w:t>Specifically, in</w:t>
      </w:r>
      <w:r w:rsidR="002A55FA" w:rsidRPr="00B200D5">
        <w:rPr>
          <w:lang w:val="en-US"/>
        </w:rPr>
        <w:t xml:space="preserve"> 2016, </w:t>
      </w:r>
      <w:r>
        <w:rPr>
          <w:lang w:val="en-US"/>
        </w:rPr>
        <w:t>the IACHR</w:t>
      </w:r>
      <w:r w:rsidR="00841A33">
        <w:rPr>
          <w:lang w:val="en-US"/>
        </w:rPr>
        <w:t>/ES</w:t>
      </w:r>
      <w:r>
        <w:rPr>
          <w:lang w:val="en-US"/>
        </w:rPr>
        <w:t xml:space="preserve"> was </w:t>
      </w:r>
      <w:r w:rsidR="00AA1389">
        <w:rPr>
          <w:lang w:val="en-US"/>
        </w:rPr>
        <w:t>organized</w:t>
      </w:r>
      <w:r>
        <w:rPr>
          <w:lang w:val="en-US"/>
        </w:rPr>
        <w:t xml:space="preserve"> as follows: </w:t>
      </w:r>
    </w:p>
    <w:p w14:paraId="2D0470C8" w14:textId="6685ADDE" w:rsidR="009F47B2" w:rsidRPr="00B200D5" w:rsidRDefault="00010B5B" w:rsidP="00B01989">
      <w:pPr>
        <w:pStyle w:val="ListParagraph"/>
        <w:numPr>
          <w:ilvl w:val="0"/>
          <w:numId w:val="4"/>
        </w:numPr>
        <w:spacing w:after="0" w:line="240" w:lineRule="auto"/>
        <w:ind w:left="1440" w:hanging="720"/>
        <w:contextualSpacing/>
        <w:jc w:val="both"/>
        <w:rPr>
          <w:rFonts w:ascii="Cambria" w:hAnsi="Cambria" w:cs="Calibri"/>
          <w:sz w:val="20"/>
          <w:szCs w:val="20"/>
        </w:rPr>
      </w:pPr>
      <w:r>
        <w:rPr>
          <w:rFonts w:ascii="Cambria" w:hAnsi="Cambria" w:cs="Calibri"/>
          <w:sz w:val="20"/>
          <w:szCs w:val="20"/>
        </w:rPr>
        <w:t>Off</w:t>
      </w:r>
      <w:r w:rsidR="003B50E2">
        <w:rPr>
          <w:rFonts w:ascii="Cambria" w:hAnsi="Cambria" w:cs="Calibri"/>
          <w:sz w:val="20"/>
          <w:szCs w:val="20"/>
        </w:rPr>
        <w:t>ice of the Executive Secretary</w:t>
      </w:r>
      <w:r w:rsidR="00945AF0">
        <w:rPr>
          <w:rFonts w:ascii="Cambria" w:hAnsi="Cambria" w:cs="Calibri"/>
          <w:sz w:val="20"/>
          <w:szCs w:val="20"/>
        </w:rPr>
        <w:t>, which</w:t>
      </w:r>
      <w:r>
        <w:rPr>
          <w:rFonts w:ascii="Cambria" w:hAnsi="Cambria" w:cs="Calibri"/>
          <w:sz w:val="20"/>
          <w:szCs w:val="20"/>
        </w:rPr>
        <w:t xml:space="preserve"> </w:t>
      </w:r>
      <w:r w:rsidR="00077998">
        <w:rPr>
          <w:rFonts w:ascii="Cambria" w:hAnsi="Cambria" w:cs="Calibri"/>
          <w:sz w:val="20"/>
          <w:szCs w:val="20"/>
        </w:rPr>
        <w:t>serves the</w:t>
      </w:r>
      <w:r w:rsidR="00F843C7">
        <w:rPr>
          <w:rFonts w:ascii="Cambria" w:hAnsi="Cambria" w:cs="Calibri"/>
          <w:sz w:val="20"/>
          <w:szCs w:val="20"/>
        </w:rPr>
        <w:t xml:space="preserve"> members of the</w:t>
      </w:r>
      <w:r w:rsidR="00077998">
        <w:rPr>
          <w:rFonts w:ascii="Cambria" w:hAnsi="Cambria" w:cs="Calibri"/>
          <w:sz w:val="20"/>
          <w:szCs w:val="20"/>
        </w:rPr>
        <w:t xml:space="preserve"> Commission and </w:t>
      </w:r>
      <w:r w:rsidR="00AA1389">
        <w:rPr>
          <w:rFonts w:ascii="Cambria" w:hAnsi="Cambria" w:cs="Calibri"/>
          <w:sz w:val="20"/>
          <w:szCs w:val="20"/>
        </w:rPr>
        <w:t xml:space="preserve">conducts </w:t>
      </w:r>
      <w:r w:rsidR="00402F8C">
        <w:rPr>
          <w:rFonts w:ascii="Cambria" w:hAnsi="Cambria" w:cs="Calibri"/>
          <w:sz w:val="20"/>
          <w:szCs w:val="20"/>
        </w:rPr>
        <w:t xml:space="preserve">the </w:t>
      </w:r>
      <w:r w:rsidR="00077998">
        <w:rPr>
          <w:rFonts w:ascii="Cambria" w:hAnsi="Cambria" w:cs="Calibri"/>
          <w:sz w:val="20"/>
          <w:szCs w:val="20"/>
        </w:rPr>
        <w:t>strategic management</w:t>
      </w:r>
      <w:r w:rsidR="00D535E1">
        <w:rPr>
          <w:rFonts w:ascii="Cambria" w:hAnsi="Cambria" w:cs="Calibri"/>
          <w:sz w:val="20"/>
          <w:szCs w:val="20"/>
        </w:rPr>
        <w:t xml:space="preserve"> of the Commission. It a</w:t>
      </w:r>
      <w:r w:rsidR="0058556C">
        <w:rPr>
          <w:rFonts w:ascii="Cambria" w:hAnsi="Cambria" w:cs="Calibri"/>
          <w:sz w:val="20"/>
          <w:szCs w:val="20"/>
        </w:rPr>
        <w:t>lso includes the Press Office.</w:t>
      </w:r>
    </w:p>
    <w:p w14:paraId="1E6783EC" w14:textId="77777777" w:rsidR="00D84420" w:rsidRPr="00B200D5" w:rsidRDefault="00D84420" w:rsidP="00D84420">
      <w:pPr>
        <w:pStyle w:val="ListParagraph"/>
        <w:spacing w:after="0" w:line="240" w:lineRule="auto"/>
        <w:contextualSpacing/>
        <w:jc w:val="both"/>
        <w:rPr>
          <w:rFonts w:ascii="Cambria" w:hAnsi="Cambria" w:cs="Calibri"/>
          <w:sz w:val="20"/>
          <w:szCs w:val="20"/>
        </w:rPr>
      </w:pPr>
    </w:p>
    <w:p w14:paraId="043CB15B" w14:textId="4EDAFCE8" w:rsidR="009F47B2" w:rsidRPr="00B200D5" w:rsidRDefault="00EB796D" w:rsidP="00B01989">
      <w:pPr>
        <w:pStyle w:val="ListParagraph"/>
        <w:numPr>
          <w:ilvl w:val="0"/>
          <w:numId w:val="4"/>
        </w:numPr>
        <w:spacing w:after="0" w:line="240" w:lineRule="auto"/>
        <w:ind w:left="1440" w:hanging="720"/>
        <w:contextualSpacing/>
        <w:jc w:val="both"/>
        <w:rPr>
          <w:rFonts w:ascii="Cambria" w:hAnsi="Cambria" w:cs="Calibri"/>
          <w:sz w:val="20"/>
          <w:szCs w:val="20"/>
        </w:rPr>
      </w:pPr>
      <w:r>
        <w:rPr>
          <w:rFonts w:ascii="Cambria" w:hAnsi="Cambria" w:cs="Calibri"/>
          <w:sz w:val="20"/>
          <w:szCs w:val="20"/>
        </w:rPr>
        <w:t xml:space="preserve">Office of the Assistant Executive Secretary, which provides additional support </w:t>
      </w:r>
      <w:r w:rsidR="00D967D6">
        <w:rPr>
          <w:rFonts w:ascii="Cambria" w:hAnsi="Cambria" w:cs="Calibri"/>
          <w:sz w:val="20"/>
          <w:szCs w:val="20"/>
        </w:rPr>
        <w:t xml:space="preserve">to the members of the Commission, and </w:t>
      </w:r>
      <w:r w:rsidR="0071588F">
        <w:rPr>
          <w:rFonts w:ascii="Cambria" w:hAnsi="Cambria" w:cs="Calibri"/>
          <w:sz w:val="20"/>
          <w:szCs w:val="20"/>
        </w:rPr>
        <w:t>manages the legal side</w:t>
      </w:r>
      <w:r w:rsidR="00184873">
        <w:rPr>
          <w:rFonts w:ascii="Cambria" w:hAnsi="Cambria" w:cs="Calibri"/>
          <w:sz w:val="20"/>
          <w:szCs w:val="20"/>
        </w:rPr>
        <w:t>. I</w:t>
      </w:r>
      <w:r w:rsidR="004C7A7E">
        <w:rPr>
          <w:rFonts w:ascii="Cambria" w:hAnsi="Cambria" w:cs="Calibri"/>
          <w:sz w:val="20"/>
          <w:szCs w:val="20"/>
        </w:rPr>
        <w:t>t i</w:t>
      </w:r>
      <w:r w:rsidR="00184873">
        <w:rPr>
          <w:rFonts w:ascii="Cambria" w:hAnsi="Cambria" w:cs="Calibri"/>
          <w:sz w:val="20"/>
          <w:szCs w:val="20"/>
        </w:rPr>
        <w:t>ncludes the Protection Group and the Document</w:t>
      </w:r>
      <w:r w:rsidR="00577B77">
        <w:rPr>
          <w:rFonts w:ascii="Cambria" w:hAnsi="Cambria" w:cs="Calibri"/>
          <w:sz w:val="20"/>
          <w:szCs w:val="20"/>
        </w:rPr>
        <w:t>s</w:t>
      </w:r>
      <w:r w:rsidR="00184873">
        <w:rPr>
          <w:rFonts w:ascii="Cambria" w:hAnsi="Cambria" w:cs="Calibri"/>
          <w:sz w:val="20"/>
          <w:szCs w:val="20"/>
        </w:rPr>
        <w:t xml:space="preserve"> Office</w:t>
      </w:r>
      <w:r w:rsidR="009F47B2" w:rsidRPr="00B200D5">
        <w:rPr>
          <w:rFonts w:ascii="Cambria" w:hAnsi="Cambria" w:cs="Calibri"/>
          <w:sz w:val="20"/>
          <w:szCs w:val="20"/>
        </w:rPr>
        <w:t>.</w:t>
      </w:r>
    </w:p>
    <w:p w14:paraId="276CA183" w14:textId="77777777" w:rsidR="00A74388" w:rsidRPr="00B200D5" w:rsidRDefault="00A74388" w:rsidP="00D84420">
      <w:pPr>
        <w:pStyle w:val="ListParagraph"/>
        <w:spacing w:after="0" w:line="240" w:lineRule="auto"/>
        <w:ind w:left="1440"/>
        <w:contextualSpacing/>
        <w:jc w:val="both"/>
        <w:rPr>
          <w:rFonts w:ascii="Cambria" w:hAnsi="Cambria" w:cs="Calibri"/>
          <w:sz w:val="20"/>
          <w:szCs w:val="20"/>
        </w:rPr>
      </w:pPr>
    </w:p>
    <w:p w14:paraId="0D7CF3F0" w14:textId="3D69B509" w:rsidR="00A74388" w:rsidRPr="00B200D5" w:rsidRDefault="009D35B9" w:rsidP="00B01989">
      <w:pPr>
        <w:pStyle w:val="ListParagraph"/>
        <w:numPr>
          <w:ilvl w:val="0"/>
          <w:numId w:val="4"/>
        </w:numPr>
        <w:spacing w:after="0" w:line="240" w:lineRule="auto"/>
        <w:ind w:left="1440" w:hanging="720"/>
        <w:contextualSpacing/>
        <w:jc w:val="both"/>
        <w:rPr>
          <w:rFonts w:ascii="Cambria" w:hAnsi="Cambria" w:cs="Calibri"/>
          <w:sz w:val="20"/>
          <w:szCs w:val="20"/>
        </w:rPr>
      </w:pPr>
      <w:r>
        <w:rPr>
          <w:rFonts w:ascii="Cambria" w:hAnsi="Cambria" w:cs="Calibri"/>
          <w:sz w:val="20"/>
          <w:szCs w:val="20"/>
        </w:rPr>
        <w:t>Offi</w:t>
      </w:r>
      <w:r w:rsidR="00AC21FA">
        <w:rPr>
          <w:rFonts w:ascii="Cambria" w:hAnsi="Cambria" w:cs="Calibri"/>
          <w:sz w:val="20"/>
          <w:szCs w:val="20"/>
        </w:rPr>
        <w:t>ce of the Special Rapporteur for</w:t>
      </w:r>
      <w:r>
        <w:rPr>
          <w:rFonts w:ascii="Cambria" w:hAnsi="Cambria" w:cs="Calibri"/>
          <w:sz w:val="20"/>
          <w:szCs w:val="20"/>
        </w:rPr>
        <w:t xml:space="preserve"> Freedom of Expression, whose mandate it is to </w:t>
      </w:r>
      <w:r w:rsidR="002613AE">
        <w:rPr>
          <w:rFonts w:ascii="Cambria" w:hAnsi="Cambria" w:cs="Calibri"/>
          <w:sz w:val="20"/>
          <w:szCs w:val="20"/>
        </w:rPr>
        <w:t xml:space="preserve">promote freedom of expression by writing annual reports, </w:t>
      </w:r>
      <w:r w:rsidR="0085293F">
        <w:rPr>
          <w:rFonts w:ascii="Cambria" w:hAnsi="Cambria" w:cs="Calibri"/>
          <w:sz w:val="20"/>
          <w:szCs w:val="20"/>
        </w:rPr>
        <w:t xml:space="preserve">engaging in </w:t>
      </w:r>
      <w:r w:rsidR="002613AE">
        <w:rPr>
          <w:rFonts w:ascii="Cambria" w:hAnsi="Cambria" w:cs="Calibri"/>
          <w:sz w:val="20"/>
          <w:szCs w:val="20"/>
        </w:rPr>
        <w:t>outreach and dissemination</w:t>
      </w:r>
      <w:r w:rsidR="00F50EE8">
        <w:rPr>
          <w:rFonts w:ascii="Cambria" w:hAnsi="Cambria" w:cs="Calibri"/>
          <w:sz w:val="20"/>
          <w:szCs w:val="20"/>
        </w:rPr>
        <w:t xml:space="preserve">, issuing advisories, </w:t>
      </w:r>
      <w:r w:rsidR="00965850">
        <w:rPr>
          <w:rFonts w:ascii="Cambria" w:hAnsi="Cambria" w:cs="Calibri"/>
          <w:sz w:val="20"/>
          <w:szCs w:val="20"/>
        </w:rPr>
        <w:t>conducting studies</w:t>
      </w:r>
      <w:r w:rsidR="007872ED">
        <w:rPr>
          <w:rFonts w:ascii="Cambria" w:hAnsi="Cambria" w:cs="Calibri"/>
          <w:sz w:val="20"/>
          <w:szCs w:val="20"/>
        </w:rPr>
        <w:t xml:space="preserve"> of laws and practices</w:t>
      </w:r>
      <w:r w:rsidR="00B21A77">
        <w:rPr>
          <w:rFonts w:ascii="Cambria" w:hAnsi="Cambria" w:cs="Calibri"/>
          <w:sz w:val="20"/>
          <w:szCs w:val="20"/>
        </w:rPr>
        <w:t>,</w:t>
      </w:r>
      <w:r w:rsidR="007872ED">
        <w:rPr>
          <w:rFonts w:ascii="Cambria" w:hAnsi="Cambria" w:cs="Calibri"/>
          <w:sz w:val="20"/>
          <w:szCs w:val="20"/>
        </w:rPr>
        <w:t xml:space="preserve"> </w:t>
      </w:r>
      <w:r w:rsidR="003B6E33">
        <w:rPr>
          <w:rFonts w:ascii="Cambria" w:hAnsi="Cambria" w:cs="Calibri"/>
          <w:sz w:val="20"/>
          <w:szCs w:val="20"/>
        </w:rPr>
        <w:t xml:space="preserve">that are </w:t>
      </w:r>
      <w:r w:rsidR="00B21A77">
        <w:rPr>
          <w:rFonts w:ascii="Cambria" w:hAnsi="Cambria" w:cs="Calibri"/>
          <w:sz w:val="20"/>
          <w:szCs w:val="20"/>
        </w:rPr>
        <w:t xml:space="preserve">inconsistent with </w:t>
      </w:r>
      <w:r w:rsidR="003C7C70">
        <w:rPr>
          <w:rFonts w:ascii="Cambria" w:hAnsi="Cambria" w:cs="Calibri"/>
          <w:sz w:val="20"/>
          <w:szCs w:val="20"/>
        </w:rPr>
        <w:t>international standards in this field</w:t>
      </w:r>
      <w:r w:rsidR="00DE215A">
        <w:rPr>
          <w:rFonts w:ascii="Cambria" w:hAnsi="Cambria" w:cs="Calibri"/>
          <w:sz w:val="20"/>
          <w:szCs w:val="20"/>
        </w:rPr>
        <w:t>,</w:t>
      </w:r>
      <w:r w:rsidR="003C7C70">
        <w:rPr>
          <w:rFonts w:ascii="Cambria" w:hAnsi="Cambria" w:cs="Calibri"/>
          <w:sz w:val="20"/>
          <w:szCs w:val="20"/>
        </w:rPr>
        <w:t xml:space="preserve"> and supporting the drafting of repor</w:t>
      </w:r>
      <w:r w:rsidR="00DE215A">
        <w:rPr>
          <w:rFonts w:ascii="Cambria" w:hAnsi="Cambria" w:cs="Calibri"/>
          <w:sz w:val="20"/>
          <w:szCs w:val="20"/>
        </w:rPr>
        <w:t>ts in contentious matters and</w:t>
      </w:r>
      <w:r w:rsidR="003C7C70">
        <w:rPr>
          <w:rFonts w:ascii="Cambria" w:hAnsi="Cambria" w:cs="Calibri"/>
          <w:sz w:val="20"/>
          <w:szCs w:val="20"/>
        </w:rPr>
        <w:t xml:space="preserve"> precautionary </w:t>
      </w:r>
      <w:r w:rsidR="006D0AC0">
        <w:rPr>
          <w:rFonts w:ascii="Cambria" w:hAnsi="Cambria" w:cs="Calibri"/>
          <w:sz w:val="20"/>
          <w:szCs w:val="20"/>
        </w:rPr>
        <w:t>measures relating to this topic</w:t>
      </w:r>
      <w:r w:rsidR="00A74388" w:rsidRPr="00B200D5">
        <w:rPr>
          <w:rFonts w:ascii="Cambria" w:hAnsi="Cambria" w:cs="Calibri"/>
          <w:sz w:val="20"/>
          <w:szCs w:val="20"/>
        </w:rPr>
        <w:t>.</w:t>
      </w:r>
    </w:p>
    <w:p w14:paraId="0DA6ED65" w14:textId="77777777" w:rsidR="00A74388" w:rsidRPr="00B200D5" w:rsidRDefault="00A74388" w:rsidP="00D84420">
      <w:pPr>
        <w:pStyle w:val="ListParagraph"/>
        <w:spacing w:after="0" w:line="240" w:lineRule="auto"/>
        <w:ind w:left="1440"/>
        <w:contextualSpacing/>
        <w:jc w:val="both"/>
        <w:rPr>
          <w:rFonts w:ascii="Cambria" w:hAnsi="Cambria" w:cs="Calibri"/>
          <w:sz w:val="20"/>
          <w:szCs w:val="20"/>
        </w:rPr>
      </w:pPr>
    </w:p>
    <w:p w14:paraId="57EDFFCD" w14:textId="20BACBBD" w:rsidR="009F47B2" w:rsidRPr="00B200D5" w:rsidRDefault="00310C08" w:rsidP="00B01989">
      <w:pPr>
        <w:pStyle w:val="ListParagraph"/>
        <w:numPr>
          <w:ilvl w:val="0"/>
          <w:numId w:val="4"/>
        </w:numPr>
        <w:spacing w:after="0" w:line="240" w:lineRule="auto"/>
        <w:ind w:left="1440" w:hanging="720"/>
        <w:contextualSpacing/>
        <w:jc w:val="both"/>
        <w:rPr>
          <w:rFonts w:ascii="Cambria" w:hAnsi="Cambria" w:cs="Calibri"/>
          <w:sz w:val="20"/>
          <w:szCs w:val="20"/>
        </w:rPr>
      </w:pPr>
      <w:r>
        <w:rPr>
          <w:rFonts w:ascii="Cambria" w:hAnsi="Cambria" w:cs="Calibri"/>
          <w:sz w:val="20"/>
          <w:szCs w:val="20"/>
        </w:rPr>
        <w:t>Department of Petitions and Cases (“DPC”</w:t>
      </w:r>
      <w:r w:rsidR="00A83A6E">
        <w:rPr>
          <w:rFonts w:ascii="Cambria" w:hAnsi="Cambria" w:cs="Calibri"/>
          <w:sz w:val="20"/>
          <w:szCs w:val="20"/>
        </w:rPr>
        <w:t xml:space="preserve">), whose purpose it is to assist the IACHR in its duty to receive, examine and process individual petitions alleging human rights violations. </w:t>
      </w:r>
      <w:r w:rsidR="00AC3D8A">
        <w:rPr>
          <w:rFonts w:ascii="Cambria" w:hAnsi="Cambria" w:cs="Calibri"/>
          <w:sz w:val="20"/>
          <w:szCs w:val="20"/>
        </w:rPr>
        <w:t xml:space="preserve">It is made up of the following sections: </w:t>
      </w:r>
    </w:p>
    <w:p w14:paraId="607B3995" w14:textId="77777777" w:rsidR="00A74388" w:rsidRPr="00B200D5" w:rsidRDefault="00A74388" w:rsidP="00D84420">
      <w:pPr>
        <w:pStyle w:val="ListParagraph"/>
        <w:spacing w:after="0" w:line="240" w:lineRule="auto"/>
        <w:ind w:left="1440"/>
        <w:contextualSpacing/>
        <w:jc w:val="both"/>
        <w:rPr>
          <w:rFonts w:ascii="Cambria" w:hAnsi="Cambria" w:cs="Calibri"/>
          <w:sz w:val="20"/>
          <w:szCs w:val="20"/>
        </w:rPr>
      </w:pPr>
    </w:p>
    <w:p w14:paraId="725CE85C" w14:textId="3926CAFB" w:rsidR="009F47B2" w:rsidRPr="00B200D5" w:rsidRDefault="0032743A" w:rsidP="00B01989">
      <w:pPr>
        <w:pStyle w:val="ListParagraph"/>
        <w:numPr>
          <w:ilvl w:val="1"/>
          <w:numId w:val="4"/>
        </w:numPr>
        <w:spacing w:after="0" w:line="240" w:lineRule="auto"/>
        <w:ind w:left="1800"/>
        <w:contextualSpacing/>
        <w:jc w:val="both"/>
        <w:rPr>
          <w:rFonts w:ascii="Cambria" w:hAnsi="Cambria" w:cs="Calibri"/>
          <w:sz w:val="20"/>
          <w:szCs w:val="20"/>
        </w:rPr>
      </w:pPr>
      <w:r>
        <w:rPr>
          <w:rFonts w:ascii="Cambria" w:hAnsi="Cambria" w:cs="Calibri"/>
          <w:sz w:val="20"/>
          <w:szCs w:val="20"/>
        </w:rPr>
        <w:t xml:space="preserve">Procedural Backlog Group; </w:t>
      </w:r>
    </w:p>
    <w:p w14:paraId="714B0C74" w14:textId="2045D74D" w:rsidR="009F47B2" w:rsidRPr="00B200D5" w:rsidRDefault="0032743A" w:rsidP="00B01989">
      <w:pPr>
        <w:pStyle w:val="ListParagraph"/>
        <w:numPr>
          <w:ilvl w:val="1"/>
          <w:numId w:val="4"/>
        </w:numPr>
        <w:spacing w:after="0" w:line="240" w:lineRule="auto"/>
        <w:ind w:left="1800"/>
        <w:contextualSpacing/>
        <w:jc w:val="both"/>
        <w:rPr>
          <w:rFonts w:ascii="Cambria" w:hAnsi="Cambria" w:cs="Calibri"/>
          <w:sz w:val="20"/>
          <w:szCs w:val="20"/>
        </w:rPr>
      </w:pPr>
      <w:r>
        <w:rPr>
          <w:rFonts w:ascii="Cambria" w:hAnsi="Cambria" w:cs="Calibri"/>
          <w:sz w:val="20"/>
          <w:szCs w:val="20"/>
        </w:rPr>
        <w:t xml:space="preserve">Registry Section; </w:t>
      </w:r>
    </w:p>
    <w:p w14:paraId="6729A1DE" w14:textId="32616FD4" w:rsidR="009F47B2" w:rsidRPr="00B200D5" w:rsidRDefault="0032743A" w:rsidP="00B01989">
      <w:pPr>
        <w:pStyle w:val="ListParagraph"/>
        <w:numPr>
          <w:ilvl w:val="1"/>
          <w:numId w:val="4"/>
        </w:numPr>
        <w:spacing w:after="0" w:line="240" w:lineRule="auto"/>
        <w:ind w:left="1800"/>
        <w:contextualSpacing/>
        <w:jc w:val="both"/>
        <w:rPr>
          <w:rFonts w:ascii="Cambria" w:hAnsi="Cambria" w:cs="Calibri"/>
          <w:sz w:val="20"/>
          <w:szCs w:val="20"/>
        </w:rPr>
      </w:pPr>
      <w:r>
        <w:rPr>
          <w:rFonts w:ascii="Cambria" w:hAnsi="Cambria" w:cs="Calibri"/>
          <w:sz w:val="20"/>
          <w:szCs w:val="20"/>
        </w:rPr>
        <w:t xml:space="preserve">Petitions Section; </w:t>
      </w:r>
    </w:p>
    <w:p w14:paraId="4333B8DC" w14:textId="5F0BDD19" w:rsidR="009F47B2" w:rsidRPr="00B200D5" w:rsidRDefault="007A7487" w:rsidP="00B01989">
      <w:pPr>
        <w:pStyle w:val="ListParagraph"/>
        <w:numPr>
          <w:ilvl w:val="1"/>
          <w:numId w:val="4"/>
        </w:numPr>
        <w:spacing w:after="0" w:line="240" w:lineRule="auto"/>
        <w:ind w:left="1800"/>
        <w:contextualSpacing/>
        <w:jc w:val="both"/>
        <w:rPr>
          <w:rFonts w:ascii="Cambria" w:hAnsi="Cambria" w:cs="Calibri"/>
          <w:sz w:val="20"/>
          <w:szCs w:val="20"/>
        </w:rPr>
      </w:pPr>
      <w:r>
        <w:rPr>
          <w:rFonts w:ascii="Cambria" w:hAnsi="Cambria" w:cs="Calibri"/>
          <w:sz w:val="20"/>
          <w:szCs w:val="20"/>
        </w:rPr>
        <w:t xml:space="preserve">Cases Section, divided into two Groups: Merits and Court; and </w:t>
      </w:r>
    </w:p>
    <w:p w14:paraId="3247A963" w14:textId="104A44B7" w:rsidR="009F47B2" w:rsidRPr="00B200D5" w:rsidRDefault="00D14F86" w:rsidP="00B01989">
      <w:pPr>
        <w:pStyle w:val="ListParagraph"/>
        <w:numPr>
          <w:ilvl w:val="1"/>
          <w:numId w:val="4"/>
        </w:numPr>
        <w:spacing w:after="0" w:line="240" w:lineRule="auto"/>
        <w:ind w:left="1800"/>
        <w:contextualSpacing/>
        <w:jc w:val="both"/>
        <w:rPr>
          <w:rFonts w:ascii="Cambria" w:hAnsi="Cambria" w:cs="Calibri"/>
          <w:sz w:val="20"/>
          <w:szCs w:val="20"/>
        </w:rPr>
      </w:pPr>
      <w:r>
        <w:rPr>
          <w:rFonts w:ascii="Cambria" w:hAnsi="Cambria" w:cs="Calibri"/>
          <w:sz w:val="20"/>
          <w:szCs w:val="20"/>
        </w:rPr>
        <w:t>Friendly S</w:t>
      </w:r>
      <w:r w:rsidR="006D0AC0">
        <w:rPr>
          <w:rFonts w:ascii="Cambria" w:hAnsi="Cambria" w:cs="Calibri"/>
          <w:sz w:val="20"/>
          <w:szCs w:val="20"/>
        </w:rPr>
        <w:t>ettlement and Follow-Up Section</w:t>
      </w:r>
      <w:r w:rsidR="009F47B2" w:rsidRPr="00B200D5">
        <w:rPr>
          <w:rFonts w:ascii="Cambria" w:hAnsi="Cambria" w:cs="Calibri"/>
          <w:sz w:val="20"/>
          <w:szCs w:val="20"/>
        </w:rPr>
        <w:t>.</w:t>
      </w:r>
    </w:p>
    <w:p w14:paraId="023A102A" w14:textId="77777777" w:rsidR="00A74388" w:rsidRPr="00B200D5" w:rsidRDefault="00A74388" w:rsidP="00D84420">
      <w:pPr>
        <w:pStyle w:val="ListParagraph"/>
        <w:spacing w:after="0" w:line="240" w:lineRule="auto"/>
        <w:ind w:left="1440"/>
        <w:contextualSpacing/>
        <w:jc w:val="both"/>
        <w:rPr>
          <w:rFonts w:ascii="Cambria" w:hAnsi="Cambria" w:cs="Calibri"/>
          <w:sz w:val="20"/>
          <w:szCs w:val="20"/>
        </w:rPr>
      </w:pPr>
    </w:p>
    <w:p w14:paraId="088ABC88" w14:textId="6B950FF5" w:rsidR="009F47B2" w:rsidRPr="00B200D5" w:rsidRDefault="00F81586" w:rsidP="00B01989">
      <w:pPr>
        <w:pStyle w:val="ListParagraph"/>
        <w:numPr>
          <w:ilvl w:val="0"/>
          <w:numId w:val="4"/>
        </w:numPr>
        <w:spacing w:after="0" w:line="240" w:lineRule="auto"/>
        <w:ind w:left="1440" w:hanging="720"/>
        <w:contextualSpacing/>
        <w:jc w:val="both"/>
        <w:rPr>
          <w:rFonts w:ascii="Cambria" w:hAnsi="Cambria" w:cs="Calibri"/>
          <w:sz w:val="20"/>
          <w:szCs w:val="20"/>
        </w:rPr>
      </w:pPr>
      <w:r>
        <w:rPr>
          <w:rFonts w:ascii="Cambria" w:hAnsi="Cambria" w:cs="Calibri"/>
          <w:sz w:val="20"/>
          <w:szCs w:val="20"/>
        </w:rPr>
        <w:t xml:space="preserve">Department of Geographic Monitoring </w:t>
      </w:r>
      <w:r w:rsidR="00065A95">
        <w:rPr>
          <w:rFonts w:ascii="Cambria" w:hAnsi="Cambria" w:cs="Calibri"/>
          <w:sz w:val="20"/>
          <w:szCs w:val="20"/>
        </w:rPr>
        <w:t>(“DMG”)</w:t>
      </w:r>
      <w:r w:rsidR="009F47B2" w:rsidRPr="00B200D5">
        <w:rPr>
          <w:rFonts w:ascii="Cambria" w:hAnsi="Cambria" w:cs="Calibri"/>
          <w:sz w:val="20"/>
          <w:szCs w:val="20"/>
        </w:rPr>
        <w:t xml:space="preserve">, </w:t>
      </w:r>
      <w:r w:rsidR="00990831">
        <w:rPr>
          <w:rFonts w:ascii="Cambria" w:hAnsi="Cambria" w:cs="Calibri"/>
          <w:sz w:val="20"/>
          <w:szCs w:val="20"/>
        </w:rPr>
        <w:t xml:space="preserve">which </w:t>
      </w:r>
      <w:r w:rsidR="00E42FAB">
        <w:rPr>
          <w:rFonts w:ascii="Cambria" w:hAnsi="Cambria" w:cs="Calibri"/>
          <w:sz w:val="20"/>
          <w:szCs w:val="20"/>
        </w:rPr>
        <w:t xml:space="preserve">ensures </w:t>
      </w:r>
      <w:r w:rsidR="001439A3">
        <w:rPr>
          <w:rFonts w:ascii="Cambria" w:hAnsi="Cambria" w:cs="Calibri"/>
          <w:sz w:val="20"/>
          <w:szCs w:val="20"/>
        </w:rPr>
        <w:t xml:space="preserve">that the IACHR is continually following up on </w:t>
      </w:r>
      <w:r w:rsidR="00EF0F86">
        <w:rPr>
          <w:rFonts w:ascii="Cambria" w:hAnsi="Cambria" w:cs="Calibri"/>
          <w:sz w:val="20"/>
          <w:szCs w:val="20"/>
        </w:rPr>
        <w:t>human rights situations throughou</w:t>
      </w:r>
      <w:r w:rsidR="00A77CCE">
        <w:rPr>
          <w:rFonts w:ascii="Cambria" w:hAnsi="Cambria" w:cs="Calibri"/>
          <w:sz w:val="20"/>
          <w:szCs w:val="20"/>
        </w:rPr>
        <w:t xml:space="preserve">t the States of the hemisphere </w:t>
      </w:r>
      <w:r w:rsidR="003F5AA1">
        <w:rPr>
          <w:rFonts w:ascii="Cambria" w:hAnsi="Cambria" w:cs="Calibri"/>
          <w:sz w:val="20"/>
          <w:szCs w:val="20"/>
        </w:rPr>
        <w:t>by sub</w:t>
      </w:r>
      <w:r w:rsidR="00F2640A">
        <w:rPr>
          <w:rFonts w:ascii="Cambria" w:hAnsi="Cambria" w:cs="Calibri"/>
          <w:sz w:val="20"/>
          <w:szCs w:val="20"/>
        </w:rPr>
        <w:t>-</w:t>
      </w:r>
      <w:r w:rsidR="003F5AA1">
        <w:rPr>
          <w:rFonts w:ascii="Cambria" w:hAnsi="Cambria" w:cs="Calibri"/>
          <w:sz w:val="20"/>
          <w:szCs w:val="20"/>
        </w:rPr>
        <w:t>region</w:t>
      </w:r>
      <w:r w:rsidR="00A77CCE">
        <w:rPr>
          <w:rFonts w:ascii="Cambria" w:hAnsi="Cambria" w:cs="Calibri"/>
          <w:sz w:val="20"/>
          <w:szCs w:val="20"/>
        </w:rPr>
        <w:t xml:space="preserve"> or country</w:t>
      </w:r>
      <w:r w:rsidR="00474AA8">
        <w:rPr>
          <w:rFonts w:ascii="Cambria" w:hAnsi="Cambria" w:cs="Calibri"/>
          <w:sz w:val="20"/>
          <w:szCs w:val="20"/>
        </w:rPr>
        <w:t xml:space="preserve">. It includes the Geographic Monitoring Section. </w:t>
      </w:r>
    </w:p>
    <w:p w14:paraId="4D6F5366" w14:textId="77777777" w:rsidR="00A74388" w:rsidRPr="00B200D5" w:rsidRDefault="00A74388" w:rsidP="00D84420">
      <w:pPr>
        <w:pStyle w:val="ListParagraph"/>
        <w:spacing w:after="0" w:line="240" w:lineRule="auto"/>
        <w:ind w:left="1440"/>
        <w:contextualSpacing/>
        <w:jc w:val="both"/>
        <w:rPr>
          <w:rFonts w:ascii="Cambria" w:hAnsi="Cambria" w:cs="Calibri"/>
          <w:sz w:val="20"/>
          <w:szCs w:val="20"/>
        </w:rPr>
      </w:pPr>
    </w:p>
    <w:p w14:paraId="42DF3E0C" w14:textId="53CCC364" w:rsidR="009F47B2" w:rsidRPr="00B200D5" w:rsidRDefault="00F15A8D" w:rsidP="00B01989">
      <w:pPr>
        <w:pStyle w:val="ListParagraph"/>
        <w:numPr>
          <w:ilvl w:val="0"/>
          <w:numId w:val="4"/>
        </w:numPr>
        <w:spacing w:after="0" w:line="240" w:lineRule="auto"/>
        <w:ind w:left="1440" w:hanging="720"/>
        <w:contextualSpacing/>
        <w:jc w:val="both"/>
        <w:rPr>
          <w:rFonts w:ascii="Cambria" w:hAnsi="Cambria" w:cs="Calibri"/>
          <w:sz w:val="20"/>
          <w:szCs w:val="20"/>
        </w:rPr>
      </w:pPr>
      <w:r>
        <w:rPr>
          <w:rFonts w:ascii="Cambria" w:hAnsi="Cambria" w:cs="Calibri"/>
          <w:sz w:val="20"/>
          <w:szCs w:val="20"/>
        </w:rPr>
        <w:t xml:space="preserve">Department of Thematic Monitoring </w:t>
      </w:r>
      <w:r w:rsidR="009F47B2" w:rsidRPr="00B200D5">
        <w:rPr>
          <w:rFonts w:ascii="Cambria" w:hAnsi="Cambria" w:cs="Calibri"/>
          <w:sz w:val="20"/>
          <w:szCs w:val="20"/>
        </w:rPr>
        <w:t xml:space="preserve">(“DMT”), </w:t>
      </w:r>
      <w:r w:rsidR="00E009C0">
        <w:rPr>
          <w:rFonts w:ascii="Cambria" w:hAnsi="Cambria" w:cs="Calibri"/>
          <w:sz w:val="20"/>
          <w:szCs w:val="20"/>
        </w:rPr>
        <w:t xml:space="preserve">which </w:t>
      </w:r>
      <w:r w:rsidR="005A7C80">
        <w:rPr>
          <w:rFonts w:ascii="Cambria" w:hAnsi="Cambria" w:cs="Calibri"/>
          <w:sz w:val="20"/>
          <w:szCs w:val="20"/>
        </w:rPr>
        <w:t>conducts themat</w:t>
      </w:r>
      <w:r w:rsidR="009861EB">
        <w:rPr>
          <w:rFonts w:ascii="Cambria" w:hAnsi="Cambria" w:cs="Calibri"/>
          <w:sz w:val="20"/>
          <w:szCs w:val="20"/>
        </w:rPr>
        <w:t>ic follow-up on the situation in</w:t>
      </w:r>
      <w:r w:rsidR="005A7C80">
        <w:rPr>
          <w:rFonts w:ascii="Cambria" w:hAnsi="Cambria" w:cs="Calibri"/>
          <w:sz w:val="20"/>
          <w:szCs w:val="20"/>
        </w:rPr>
        <w:t xml:space="preserve"> the OAS member countries. </w:t>
      </w:r>
      <w:r w:rsidR="00A57056">
        <w:rPr>
          <w:rFonts w:ascii="Cambria" w:hAnsi="Cambria" w:cs="Calibri"/>
          <w:sz w:val="20"/>
          <w:szCs w:val="20"/>
        </w:rPr>
        <w:t>It includes</w:t>
      </w:r>
      <w:r w:rsidR="00D75685">
        <w:rPr>
          <w:rFonts w:ascii="Cambria" w:hAnsi="Cambria" w:cs="Calibri"/>
          <w:sz w:val="20"/>
          <w:szCs w:val="20"/>
        </w:rPr>
        <w:t xml:space="preserve"> the Thematic Monitoring Section</w:t>
      </w:r>
      <w:r w:rsidR="00A57056">
        <w:rPr>
          <w:rFonts w:ascii="Cambria" w:hAnsi="Cambria" w:cs="Calibri"/>
          <w:sz w:val="20"/>
          <w:szCs w:val="20"/>
        </w:rPr>
        <w:t xml:space="preserve"> and </w:t>
      </w:r>
      <w:r w:rsidR="00D75685">
        <w:rPr>
          <w:rFonts w:ascii="Cambria" w:hAnsi="Cambria" w:cs="Calibri"/>
          <w:sz w:val="20"/>
          <w:szCs w:val="20"/>
        </w:rPr>
        <w:t>supports the work</w:t>
      </w:r>
      <w:r w:rsidR="00A57056">
        <w:rPr>
          <w:rFonts w:ascii="Cambria" w:hAnsi="Cambria" w:cs="Calibri"/>
          <w:sz w:val="20"/>
          <w:szCs w:val="20"/>
        </w:rPr>
        <w:t xml:space="preserve"> of the following Rapporteurships and Units: </w:t>
      </w:r>
    </w:p>
    <w:p w14:paraId="095C204A" w14:textId="77777777" w:rsidR="00A74388" w:rsidRPr="00B200D5" w:rsidRDefault="00A74388" w:rsidP="00D84420">
      <w:pPr>
        <w:pStyle w:val="ListParagraph"/>
        <w:spacing w:after="0" w:line="240" w:lineRule="auto"/>
        <w:ind w:left="1440"/>
        <w:contextualSpacing/>
        <w:jc w:val="both"/>
        <w:rPr>
          <w:rFonts w:ascii="Cambria" w:hAnsi="Cambria" w:cs="Calibri"/>
          <w:sz w:val="20"/>
          <w:szCs w:val="20"/>
        </w:rPr>
      </w:pPr>
    </w:p>
    <w:p w14:paraId="2E4F66C3" w14:textId="07BA1548" w:rsidR="009F47B2" w:rsidRPr="00B200D5" w:rsidRDefault="00BB1FA0" w:rsidP="00B01989">
      <w:pPr>
        <w:pStyle w:val="ListParagraph"/>
        <w:numPr>
          <w:ilvl w:val="1"/>
          <w:numId w:val="4"/>
        </w:numPr>
        <w:spacing w:after="0" w:line="240" w:lineRule="auto"/>
        <w:ind w:left="1800"/>
        <w:contextualSpacing/>
        <w:jc w:val="both"/>
        <w:rPr>
          <w:rFonts w:ascii="Cambria" w:hAnsi="Cambria" w:cs="Calibri"/>
          <w:sz w:val="20"/>
          <w:szCs w:val="20"/>
        </w:rPr>
      </w:pPr>
      <w:r>
        <w:rPr>
          <w:rFonts w:ascii="Cambria" w:hAnsi="Cambria" w:cs="Calibri"/>
          <w:sz w:val="20"/>
          <w:szCs w:val="20"/>
          <w:u w:val="single"/>
        </w:rPr>
        <w:t>Rapporteurship on the Rights of Indigenous Peoples</w:t>
      </w:r>
      <w:r w:rsidR="009F47B2" w:rsidRPr="00B200D5">
        <w:rPr>
          <w:rFonts w:ascii="Cambria" w:hAnsi="Cambria" w:cs="Calibri"/>
          <w:sz w:val="20"/>
          <w:szCs w:val="20"/>
        </w:rPr>
        <w:t xml:space="preserve">: </w:t>
      </w:r>
      <w:r w:rsidR="00DB43F6">
        <w:rPr>
          <w:rFonts w:ascii="Cambria" w:hAnsi="Cambria" w:cs="Calibri"/>
          <w:sz w:val="20"/>
          <w:szCs w:val="20"/>
        </w:rPr>
        <w:t xml:space="preserve">It was created to serve the indigenous peoples of the Americas, who are particularly vulnerable to human rights violations, and to strengthen, promote and systematize </w:t>
      </w:r>
      <w:r w:rsidR="00CE7C8F">
        <w:rPr>
          <w:rFonts w:ascii="Cambria" w:hAnsi="Cambria" w:cs="Calibri"/>
          <w:sz w:val="20"/>
          <w:szCs w:val="20"/>
        </w:rPr>
        <w:t xml:space="preserve">the work of the Commission in this field. </w:t>
      </w:r>
    </w:p>
    <w:p w14:paraId="3726234D" w14:textId="77777777" w:rsidR="00A74388" w:rsidRPr="00B200D5" w:rsidRDefault="00A74388" w:rsidP="00D84420">
      <w:pPr>
        <w:pStyle w:val="ListParagraph"/>
        <w:spacing w:after="0" w:line="240" w:lineRule="auto"/>
        <w:ind w:left="1440"/>
        <w:contextualSpacing/>
        <w:jc w:val="both"/>
        <w:rPr>
          <w:rFonts w:ascii="Cambria" w:hAnsi="Cambria" w:cs="Calibri"/>
          <w:sz w:val="20"/>
          <w:szCs w:val="20"/>
        </w:rPr>
      </w:pPr>
    </w:p>
    <w:p w14:paraId="4D25205B" w14:textId="2ACF0350" w:rsidR="009F47B2" w:rsidRPr="00B200D5" w:rsidRDefault="00CB3836" w:rsidP="00B01989">
      <w:pPr>
        <w:pStyle w:val="ListParagraph"/>
        <w:numPr>
          <w:ilvl w:val="1"/>
          <w:numId w:val="4"/>
        </w:numPr>
        <w:spacing w:after="0" w:line="240" w:lineRule="auto"/>
        <w:ind w:left="1800"/>
        <w:contextualSpacing/>
        <w:jc w:val="both"/>
        <w:rPr>
          <w:rFonts w:ascii="Cambria" w:hAnsi="Cambria" w:cs="Calibri"/>
          <w:sz w:val="20"/>
          <w:szCs w:val="20"/>
        </w:rPr>
      </w:pPr>
      <w:r>
        <w:rPr>
          <w:rFonts w:ascii="Cambria" w:hAnsi="Cambria" w:cs="Calibri"/>
          <w:sz w:val="20"/>
          <w:szCs w:val="20"/>
          <w:u w:val="single"/>
        </w:rPr>
        <w:t>Rapporteurship on the Rights of Women</w:t>
      </w:r>
      <w:r w:rsidR="009F47B2" w:rsidRPr="00B200D5">
        <w:rPr>
          <w:rFonts w:ascii="Cambria" w:hAnsi="Cambria" w:cs="Calibri"/>
          <w:sz w:val="20"/>
          <w:szCs w:val="20"/>
        </w:rPr>
        <w:t xml:space="preserve">: </w:t>
      </w:r>
      <w:r w:rsidR="00F6291B">
        <w:rPr>
          <w:rFonts w:ascii="Cambria" w:hAnsi="Cambria" w:cs="Calibri"/>
          <w:sz w:val="20"/>
          <w:szCs w:val="20"/>
        </w:rPr>
        <w:t>It was created in 1994 with the initial mandate</w:t>
      </w:r>
      <w:r w:rsidR="0025613E">
        <w:rPr>
          <w:rFonts w:ascii="Cambria" w:hAnsi="Cambria" w:cs="Calibri"/>
          <w:sz w:val="20"/>
          <w:szCs w:val="20"/>
        </w:rPr>
        <w:t xml:space="preserve"> to determine to what extent legislation and practices of the OAS Member States </w:t>
      </w:r>
      <w:r w:rsidR="0059641E">
        <w:rPr>
          <w:rFonts w:ascii="Cambria" w:hAnsi="Cambria" w:cs="Calibri"/>
          <w:sz w:val="20"/>
          <w:szCs w:val="20"/>
        </w:rPr>
        <w:t xml:space="preserve">ensured </w:t>
      </w:r>
      <w:r w:rsidR="0025613E">
        <w:rPr>
          <w:rFonts w:ascii="Cambria" w:hAnsi="Cambria" w:cs="Calibri"/>
          <w:sz w:val="20"/>
          <w:szCs w:val="20"/>
        </w:rPr>
        <w:t xml:space="preserve">the rights of women and </w:t>
      </w:r>
      <w:r w:rsidR="00A56F1F">
        <w:rPr>
          <w:rFonts w:ascii="Cambria" w:hAnsi="Cambria" w:cs="Calibri"/>
          <w:sz w:val="20"/>
          <w:szCs w:val="20"/>
        </w:rPr>
        <w:t xml:space="preserve">abided by </w:t>
      </w:r>
      <w:r w:rsidR="0025613E">
        <w:rPr>
          <w:rFonts w:ascii="Cambria" w:hAnsi="Cambria" w:cs="Calibri"/>
          <w:sz w:val="20"/>
          <w:szCs w:val="20"/>
        </w:rPr>
        <w:t xml:space="preserve">the general obligations to </w:t>
      </w:r>
      <w:r w:rsidR="00AE3EFE">
        <w:rPr>
          <w:rFonts w:ascii="Cambria" w:hAnsi="Cambria" w:cs="Calibri"/>
          <w:sz w:val="20"/>
          <w:szCs w:val="20"/>
        </w:rPr>
        <w:t xml:space="preserve">protect </w:t>
      </w:r>
      <w:r w:rsidR="00914C62">
        <w:rPr>
          <w:rFonts w:ascii="Cambria" w:hAnsi="Cambria" w:cs="Calibri"/>
          <w:sz w:val="20"/>
          <w:szCs w:val="20"/>
        </w:rPr>
        <w:t xml:space="preserve">equality and </w:t>
      </w:r>
      <w:r w:rsidR="00A56F1F">
        <w:rPr>
          <w:rFonts w:ascii="Cambria" w:hAnsi="Cambria" w:cs="Calibri"/>
          <w:sz w:val="20"/>
          <w:szCs w:val="20"/>
        </w:rPr>
        <w:t>prevent non-</w:t>
      </w:r>
      <w:r w:rsidR="005F65C0">
        <w:rPr>
          <w:rFonts w:ascii="Cambria" w:hAnsi="Cambria" w:cs="Calibri"/>
          <w:sz w:val="20"/>
          <w:szCs w:val="20"/>
        </w:rPr>
        <w:t>discrimination</w:t>
      </w:r>
      <w:r w:rsidR="00A56F1F">
        <w:rPr>
          <w:rFonts w:ascii="Cambria" w:hAnsi="Cambria" w:cs="Calibri"/>
          <w:sz w:val="20"/>
          <w:szCs w:val="20"/>
        </w:rPr>
        <w:t>,</w:t>
      </w:r>
      <w:r w:rsidR="005F65C0">
        <w:rPr>
          <w:rFonts w:ascii="Cambria" w:hAnsi="Cambria" w:cs="Calibri"/>
          <w:sz w:val="20"/>
          <w:szCs w:val="20"/>
        </w:rPr>
        <w:t xml:space="preserve"> as set forth in the American Convention on Human Rights (hereinafter “American Convention”)</w:t>
      </w:r>
      <w:r w:rsidR="00A56F1F">
        <w:rPr>
          <w:rFonts w:ascii="Cambria" w:hAnsi="Cambria" w:cs="Calibri"/>
          <w:sz w:val="20"/>
          <w:szCs w:val="20"/>
        </w:rPr>
        <w:t xml:space="preserve"> and the American Declaration of</w:t>
      </w:r>
      <w:r w:rsidR="00D74472">
        <w:rPr>
          <w:rFonts w:ascii="Cambria" w:hAnsi="Cambria" w:cs="Calibri"/>
          <w:sz w:val="20"/>
          <w:szCs w:val="20"/>
        </w:rPr>
        <w:t xml:space="preserve"> the Rights and Duties of Man (hereinafter “American Declaration”). In creating the Rapporteurship, the Commission reaffirmed its commitment to ensure full respect for the rights of women in every </w:t>
      </w:r>
      <w:r w:rsidR="002D0759">
        <w:rPr>
          <w:rFonts w:ascii="Cambria" w:hAnsi="Cambria" w:cs="Calibri"/>
          <w:sz w:val="20"/>
          <w:szCs w:val="20"/>
        </w:rPr>
        <w:t>OAS Member State</w:t>
      </w:r>
      <w:r w:rsidR="00E513D4">
        <w:rPr>
          <w:rFonts w:ascii="Cambria" w:hAnsi="Cambria" w:cs="Calibri"/>
          <w:sz w:val="20"/>
          <w:szCs w:val="20"/>
        </w:rPr>
        <w:t xml:space="preserve">. The Rapporteurship </w:t>
      </w:r>
      <w:r w:rsidR="00CC0332">
        <w:rPr>
          <w:rFonts w:ascii="Cambria" w:hAnsi="Cambria" w:cs="Calibri"/>
          <w:sz w:val="20"/>
          <w:szCs w:val="20"/>
        </w:rPr>
        <w:t xml:space="preserve">promotes </w:t>
      </w:r>
      <w:r w:rsidR="00E513D4">
        <w:rPr>
          <w:rFonts w:ascii="Cambria" w:hAnsi="Cambria" w:cs="Calibri"/>
          <w:sz w:val="20"/>
          <w:szCs w:val="20"/>
        </w:rPr>
        <w:t>full understanding</w:t>
      </w:r>
      <w:r w:rsidR="00F85B3D">
        <w:rPr>
          <w:rFonts w:ascii="Cambria" w:hAnsi="Cambria" w:cs="Calibri"/>
          <w:sz w:val="20"/>
          <w:szCs w:val="20"/>
        </w:rPr>
        <w:t xml:space="preserve"> </w:t>
      </w:r>
      <w:r w:rsidR="00C7123E">
        <w:rPr>
          <w:rFonts w:ascii="Cambria" w:hAnsi="Cambria" w:cs="Calibri"/>
          <w:sz w:val="20"/>
          <w:szCs w:val="20"/>
        </w:rPr>
        <w:t xml:space="preserve">of the need for additional measures </w:t>
      </w:r>
      <w:r w:rsidR="00B276B8">
        <w:rPr>
          <w:rFonts w:ascii="Cambria" w:hAnsi="Cambria" w:cs="Calibri"/>
          <w:sz w:val="20"/>
          <w:szCs w:val="20"/>
        </w:rPr>
        <w:t xml:space="preserve">to </w:t>
      </w:r>
      <w:r w:rsidR="00FA652D">
        <w:rPr>
          <w:rFonts w:ascii="Cambria" w:hAnsi="Cambria" w:cs="Calibri"/>
          <w:sz w:val="20"/>
          <w:szCs w:val="20"/>
        </w:rPr>
        <w:t xml:space="preserve">make sure that </w:t>
      </w:r>
      <w:r w:rsidR="006500E2">
        <w:rPr>
          <w:rFonts w:ascii="Cambria" w:hAnsi="Cambria" w:cs="Calibri"/>
          <w:sz w:val="20"/>
          <w:szCs w:val="20"/>
        </w:rPr>
        <w:t>women are able to</w:t>
      </w:r>
      <w:r w:rsidR="00B276B8">
        <w:rPr>
          <w:rFonts w:ascii="Cambria" w:hAnsi="Cambria" w:cs="Calibri"/>
          <w:sz w:val="20"/>
          <w:szCs w:val="20"/>
        </w:rPr>
        <w:t xml:space="preserve"> full</w:t>
      </w:r>
      <w:r w:rsidR="006500E2">
        <w:rPr>
          <w:rFonts w:ascii="Cambria" w:hAnsi="Cambria" w:cs="Calibri"/>
          <w:sz w:val="20"/>
          <w:szCs w:val="20"/>
        </w:rPr>
        <w:t>y</w:t>
      </w:r>
      <w:r w:rsidR="00B276B8">
        <w:rPr>
          <w:rFonts w:ascii="Cambria" w:hAnsi="Cambria" w:cs="Calibri"/>
          <w:sz w:val="20"/>
          <w:szCs w:val="20"/>
        </w:rPr>
        <w:t xml:space="preserve"> exercise </w:t>
      </w:r>
      <w:r w:rsidR="006500E2">
        <w:rPr>
          <w:rFonts w:ascii="Cambria" w:hAnsi="Cambria" w:cs="Calibri"/>
          <w:sz w:val="20"/>
          <w:szCs w:val="20"/>
        </w:rPr>
        <w:t xml:space="preserve">their </w:t>
      </w:r>
      <w:r w:rsidR="00B276B8">
        <w:rPr>
          <w:rFonts w:ascii="Cambria" w:hAnsi="Cambria" w:cs="Calibri"/>
          <w:sz w:val="20"/>
          <w:szCs w:val="20"/>
        </w:rPr>
        <w:t xml:space="preserve">basic rights and </w:t>
      </w:r>
      <w:r w:rsidR="00293E93">
        <w:rPr>
          <w:rFonts w:ascii="Cambria" w:hAnsi="Cambria" w:cs="Calibri"/>
          <w:sz w:val="20"/>
          <w:szCs w:val="20"/>
        </w:rPr>
        <w:t xml:space="preserve">issues </w:t>
      </w:r>
      <w:r w:rsidR="00985D33">
        <w:rPr>
          <w:rFonts w:ascii="Cambria" w:hAnsi="Cambria" w:cs="Calibri"/>
          <w:sz w:val="20"/>
          <w:szCs w:val="20"/>
        </w:rPr>
        <w:t xml:space="preserve">recommendations </w:t>
      </w:r>
      <w:r w:rsidR="00910D49">
        <w:rPr>
          <w:rFonts w:ascii="Cambria" w:hAnsi="Cambria" w:cs="Calibri"/>
          <w:sz w:val="20"/>
          <w:szCs w:val="20"/>
        </w:rPr>
        <w:t xml:space="preserve">to </w:t>
      </w:r>
      <w:r w:rsidR="007D5A82">
        <w:rPr>
          <w:rFonts w:ascii="Cambria" w:hAnsi="Cambria" w:cs="Calibri"/>
          <w:sz w:val="20"/>
          <w:szCs w:val="20"/>
        </w:rPr>
        <w:t xml:space="preserve">prompt </w:t>
      </w:r>
      <w:r w:rsidR="009D1D54">
        <w:rPr>
          <w:rFonts w:ascii="Cambria" w:hAnsi="Cambria" w:cs="Calibri"/>
          <w:sz w:val="20"/>
          <w:szCs w:val="20"/>
        </w:rPr>
        <w:t xml:space="preserve">states to </w:t>
      </w:r>
      <w:r w:rsidR="00194CBB">
        <w:rPr>
          <w:rFonts w:ascii="Cambria" w:hAnsi="Cambria" w:cs="Calibri"/>
          <w:sz w:val="20"/>
          <w:szCs w:val="20"/>
        </w:rPr>
        <w:t xml:space="preserve">improve compliance with priority obligations </w:t>
      </w:r>
      <w:r w:rsidR="0075389C">
        <w:rPr>
          <w:rFonts w:ascii="Cambria" w:hAnsi="Cambria" w:cs="Calibri"/>
          <w:sz w:val="20"/>
          <w:szCs w:val="20"/>
        </w:rPr>
        <w:t>relating to e</w:t>
      </w:r>
      <w:r w:rsidR="00F265A5">
        <w:rPr>
          <w:rFonts w:ascii="Cambria" w:hAnsi="Cambria" w:cs="Calibri"/>
          <w:sz w:val="20"/>
          <w:szCs w:val="20"/>
        </w:rPr>
        <w:t>quality and non-</w:t>
      </w:r>
      <w:r w:rsidR="0075389C">
        <w:rPr>
          <w:rFonts w:ascii="Cambria" w:hAnsi="Cambria" w:cs="Calibri"/>
          <w:sz w:val="20"/>
          <w:szCs w:val="20"/>
        </w:rPr>
        <w:t xml:space="preserve">discrimination. </w:t>
      </w:r>
      <w:r w:rsidR="00F265A5">
        <w:rPr>
          <w:rFonts w:ascii="Cambria" w:hAnsi="Cambria" w:cs="Calibri"/>
          <w:sz w:val="20"/>
          <w:szCs w:val="20"/>
        </w:rPr>
        <w:t xml:space="preserve">The Rapporteurship additionally promotes the application of the mechanisms of the Inter-American human rights system </w:t>
      </w:r>
      <w:r w:rsidR="00D9003B">
        <w:rPr>
          <w:rFonts w:ascii="Cambria" w:hAnsi="Cambria" w:cs="Calibri"/>
          <w:sz w:val="20"/>
          <w:szCs w:val="20"/>
        </w:rPr>
        <w:t xml:space="preserve">to protect the rights of women, </w:t>
      </w:r>
      <w:r w:rsidR="00811271">
        <w:rPr>
          <w:rFonts w:ascii="Cambria" w:hAnsi="Cambria" w:cs="Calibri"/>
          <w:sz w:val="20"/>
          <w:szCs w:val="20"/>
        </w:rPr>
        <w:t>conducts</w:t>
      </w:r>
      <w:r w:rsidR="00ED1470">
        <w:rPr>
          <w:rFonts w:ascii="Cambria" w:hAnsi="Cambria" w:cs="Calibri"/>
          <w:sz w:val="20"/>
          <w:szCs w:val="20"/>
        </w:rPr>
        <w:t xml:space="preserve"> </w:t>
      </w:r>
      <w:r w:rsidR="00D9003B">
        <w:rPr>
          <w:rFonts w:ascii="Cambria" w:hAnsi="Cambria" w:cs="Calibri"/>
          <w:sz w:val="20"/>
          <w:szCs w:val="20"/>
        </w:rPr>
        <w:t xml:space="preserve">specialized </w:t>
      </w:r>
      <w:r w:rsidR="006C3D7F">
        <w:rPr>
          <w:rFonts w:ascii="Cambria" w:hAnsi="Cambria" w:cs="Calibri"/>
          <w:sz w:val="20"/>
          <w:szCs w:val="20"/>
        </w:rPr>
        <w:t xml:space="preserve">studies and prepares the </w:t>
      </w:r>
      <w:r w:rsidR="00A5053B">
        <w:rPr>
          <w:rFonts w:ascii="Cambria" w:hAnsi="Cambria" w:cs="Calibri"/>
          <w:sz w:val="20"/>
          <w:szCs w:val="20"/>
        </w:rPr>
        <w:t xml:space="preserve">corresponding </w:t>
      </w:r>
      <w:r w:rsidR="006C3D7F">
        <w:rPr>
          <w:rFonts w:ascii="Cambria" w:hAnsi="Cambria" w:cs="Calibri"/>
          <w:sz w:val="20"/>
          <w:szCs w:val="20"/>
        </w:rPr>
        <w:t xml:space="preserve">reports, and supports the Inter-American Commission in formulating responses to petitions and to other complaints </w:t>
      </w:r>
      <w:r w:rsidR="00932005">
        <w:rPr>
          <w:rFonts w:ascii="Cambria" w:hAnsi="Cambria" w:cs="Calibri"/>
          <w:sz w:val="20"/>
          <w:szCs w:val="20"/>
        </w:rPr>
        <w:t xml:space="preserve">of human rights violations in the region. </w:t>
      </w:r>
    </w:p>
    <w:p w14:paraId="245725AB" w14:textId="77777777" w:rsidR="009F47B2" w:rsidRPr="00B200D5" w:rsidRDefault="009F47B2" w:rsidP="00D84420">
      <w:pPr>
        <w:pStyle w:val="ListParagraph"/>
        <w:spacing w:after="0" w:line="240" w:lineRule="auto"/>
        <w:ind w:left="1440"/>
        <w:jc w:val="both"/>
        <w:rPr>
          <w:rFonts w:ascii="Cambria" w:hAnsi="Cambria" w:cs="Calibri"/>
          <w:sz w:val="20"/>
          <w:szCs w:val="20"/>
        </w:rPr>
      </w:pPr>
    </w:p>
    <w:p w14:paraId="3E4CC619" w14:textId="42FE0E66" w:rsidR="009F47B2" w:rsidRPr="00B200D5" w:rsidRDefault="00077531" w:rsidP="00B01989">
      <w:pPr>
        <w:pStyle w:val="ListParagraph"/>
        <w:numPr>
          <w:ilvl w:val="1"/>
          <w:numId w:val="4"/>
        </w:numPr>
        <w:spacing w:after="0" w:line="240" w:lineRule="auto"/>
        <w:ind w:left="1800"/>
        <w:contextualSpacing/>
        <w:jc w:val="both"/>
        <w:rPr>
          <w:rFonts w:ascii="Cambria" w:hAnsi="Cambria" w:cs="Calibri"/>
          <w:sz w:val="20"/>
          <w:szCs w:val="20"/>
          <w:u w:val="single"/>
        </w:rPr>
      </w:pPr>
      <w:r>
        <w:rPr>
          <w:rFonts w:ascii="Cambria" w:hAnsi="Cambria" w:cs="Calibri"/>
          <w:sz w:val="20"/>
          <w:szCs w:val="20"/>
          <w:u w:val="single"/>
        </w:rPr>
        <w:t>Repporteurship on the Rights of Migrants</w:t>
      </w:r>
      <w:r w:rsidR="009F47B2" w:rsidRPr="00B200D5">
        <w:rPr>
          <w:rFonts w:ascii="Cambria" w:hAnsi="Cambria" w:cs="Calibri"/>
          <w:sz w:val="20"/>
          <w:szCs w:val="20"/>
        </w:rPr>
        <w:t xml:space="preserve">: </w:t>
      </w:r>
      <w:r w:rsidR="00B324A9">
        <w:rPr>
          <w:rFonts w:ascii="Cambria" w:hAnsi="Cambria" w:cs="Calibri"/>
          <w:sz w:val="20"/>
          <w:szCs w:val="20"/>
        </w:rPr>
        <w:t xml:space="preserve">Its purpose is to promote respect and ensure the rights of migrants and their family members, asylum seekers, refugees, applicants and beneficiaries of </w:t>
      </w:r>
      <w:r w:rsidR="00DE40A7">
        <w:rPr>
          <w:rFonts w:ascii="Cambria" w:hAnsi="Cambria" w:cs="Calibri"/>
          <w:sz w:val="20"/>
          <w:szCs w:val="20"/>
        </w:rPr>
        <w:t xml:space="preserve">supplemental </w:t>
      </w:r>
      <w:r w:rsidR="00B324A9">
        <w:rPr>
          <w:rFonts w:ascii="Cambria" w:hAnsi="Cambria" w:cs="Calibri"/>
          <w:sz w:val="20"/>
          <w:szCs w:val="20"/>
        </w:rPr>
        <w:t xml:space="preserve">protection, stateless persons, victims of </w:t>
      </w:r>
      <w:r w:rsidR="00687801">
        <w:rPr>
          <w:rFonts w:ascii="Cambria" w:hAnsi="Cambria" w:cs="Calibri"/>
          <w:sz w:val="20"/>
          <w:szCs w:val="20"/>
        </w:rPr>
        <w:t>trafficking in persons</w:t>
      </w:r>
      <w:r w:rsidR="00B324A9">
        <w:rPr>
          <w:rFonts w:ascii="Cambria" w:hAnsi="Cambria" w:cs="Calibri"/>
          <w:sz w:val="20"/>
          <w:szCs w:val="20"/>
        </w:rPr>
        <w:t xml:space="preserve">, </w:t>
      </w:r>
      <w:r w:rsidR="001821E8">
        <w:rPr>
          <w:rFonts w:ascii="Cambria" w:hAnsi="Cambria" w:cs="Calibri"/>
          <w:sz w:val="20"/>
          <w:szCs w:val="20"/>
        </w:rPr>
        <w:t xml:space="preserve">internally displaced persons and other vulnerable groups in the context of human mobility. </w:t>
      </w:r>
    </w:p>
    <w:p w14:paraId="225870AB" w14:textId="77777777" w:rsidR="009F47B2" w:rsidRPr="00B200D5" w:rsidRDefault="009F47B2" w:rsidP="00D84420">
      <w:pPr>
        <w:spacing w:after="0" w:line="240" w:lineRule="auto"/>
        <w:jc w:val="both"/>
        <w:rPr>
          <w:rFonts w:ascii="Cambria" w:hAnsi="Cambria" w:cs="Calibri"/>
          <w:sz w:val="20"/>
          <w:szCs w:val="20"/>
        </w:rPr>
      </w:pPr>
    </w:p>
    <w:p w14:paraId="35E723D1" w14:textId="0ED9F225" w:rsidR="009F47B2" w:rsidRPr="00B200D5" w:rsidRDefault="00D12DC5" w:rsidP="00B01989">
      <w:pPr>
        <w:pStyle w:val="ListParagraph"/>
        <w:numPr>
          <w:ilvl w:val="1"/>
          <w:numId w:val="4"/>
        </w:numPr>
        <w:spacing w:after="0" w:line="240" w:lineRule="auto"/>
        <w:ind w:left="1800"/>
        <w:contextualSpacing/>
        <w:jc w:val="both"/>
        <w:rPr>
          <w:rFonts w:ascii="Cambria" w:hAnsi="Cambria" w:cs="Calibri"/>
          <w:sz w:val="20"/>
          <w:szCs w:val="20"/>
          <w:u w:val="single"/>
        </w:rPr>
      </w:pPr>
      <w:r>
        <w:rPr>
          <w:rFonts w:ascii="Cambria" w:hAnsi="Cambria" w:cs="Calibri"/>
          <w:sz w:val="20"/>
          <w:szCs w:val="20"/>
          <w:u w:val="single"/>
        </w:rPr>
        <w:t>Rapporteurship on the Rights of Children</w:t>
      </w:r>
      <w:r w:rsidR="009F47B2" w:rsidRPr="00B200D5">
        <w:rPr>
          <w:rFonts w:ascii="Cambria" w:hAnsi="Cambria" w:cs="Calibri"/>
          <w:sz w:val="20"/>
          <w:szCs w:val="20"/>
        </w:rPr>
        <w:t xml:space="preserve">: </w:t>
      </w:r>
      <w:r w:rsidR="005D03FA">
        <w:rPr>
          <w:rFonts w:ascii="Cambria" w:hAnsi="Cambria" w:cs="Calibri"/>
          <w:sz w:val="20"/>
          <w:szCs w:val="20"/>
        </w:rPr>
        <w:t xml:space="preserve">It </w:t>
      </w:r>
      <w:r w:rsidR="00BC0071">
        <w:rPr>
          <w:rFonts w:ascii="Cambria" w:hAnsi="Cambria" w:cs="Calibri"/>
          <w:sz w:val="20"/>
          <w:szCs w:val="20"/>
        </w:rPr>
        <w:t>provides support</w:t>
      </w:r>
      <w:r w:rsidR="005D03FA">
        <w:rPr>
          <w:rFonts w:ascii="Cambria" w:hAnsi="Cambria" w:cs="Calibri"/>
          <w:sz w:val="20"/>
          <w:szCs w:val="20"/>
        </w:rPr>
        <w:t xml:space="preserve"> in the </w:t>
      </w:r>
      <w:r w:rsidR="00BC0071">
        <w:rPr>
          <w:rFonts w:ascii="Cambria" w:hAnsi="Cambria" w:cs="Calibri"/>
          <w:sz w:val="20"/>
          <w:szCs w:val="20"/>
        </w:rPr>
        <w:t xml:space="preserve">examination and assessment </w:t>
      </w:r>
      <w:r w:rsidR="00D558EB">
        <w:rPr>
          <w:rFonts w:ascii="Cambria" w:hAnsi="Cambria" w:cs="Calibri"/>
          <w:sz w:val="20"/>
          <w:szCs w:val="20"/>
        </w:rPr>
        <w:t xml:space="preserve">of the human rights situation of children in the Americas. </w:t>
      </w:r>
      <w:r w:rsidR="00A256DD">
        <w:rPr>
          <w:rFonts w:ascii="Cambria" w:hAnsi="Cambria" w:cs="Calibri"/>
          <w:sz w:val="20"/>
          <w:szCs w:val="20"/>
        </w:rPr>
        <w:t xml:space="preserve">The </w:t>
      </w:r>
      <w:r w:rsidR="00A256DD">
        <w:rPr>
          <w:rFonts w:ascii="Cambria" w:hAnsi="Cambria" w:cs="Calibri"/>
          <w:sz w:val="20"/>
          <w:szCs w:val="20"/>
        </w:rPr>
        <w:lastRenderedPageBreak/>
        <w:t xml:space="preserve">Rapporteurship advises the IACHR in proceedings pertaining to </w:t>
      </w:r>
      <w:r w:rsidR="00206972">
        <w:rPr>
          <w:rFonts w:ascii="Cambria" w:hAnsi="Cambria" w:cs="Calibri"/>
          <w:sz w:val="20"/>
          <w:szCs w:val="20"/>
        </w:rPr>
        <w:t xml:space="preserve">individual petitions, cases and requests for precautionary </w:t>
      </w:r>
      <w:r w:rsidR="008B102E">
        <w:rPr>
          <w:rFonts w:ascii="Cambria" w:hAnsi="Cambria" w:cs="Calibri"/>
          <w:sz w:val="20"/>
          <w:szCs w:val="20"/>
        </w:rPr>
        <w:t xml:space="preserve">and provisional </w:t>
      </w:r>
      <w:r w:rsidR="00206972">
        <w:rPr>
          <w:rFonts w:ascii="Cambria" w:hAnsi="Cambria" w:cs="Calibri"/>
          <w:sz w:val="20"/>
          <w:szCs w:val="20"/>
        </w:rPr>
        <w:t>measures</w:t>
      </w:r>
      <w:r w:rsidR="008E67F9">
        <w:rPr>
          <w:rFonts w:ascii="Cambria" w:hAnsi="Cambria" w:cs="Calibri"/>
          <w:sz w:val="20"/>
          <w:szCs w:val="20"/>
        </w:rPr>
        <w:t xml:space="preserve">, which address the rights of children.  The Rapporteurship also </w:t>
      </w:r>
      <w:r w:rsidR="003274C9">
        <w:rPr>
          <w:rFonts w:ascii="Cambria" w:hAnsi="Cambria" w:cs="Calibri"/>
          <w:sz w:val="20"/>
          <w:szCs w:val="20"/>
        </w:rPr>
        <w:t xml:space="preserve">conducts country visits to OAS Member States and prepares studies and publications on this topic. </w:t>
      </w:r>
      <w:r w:rsidR="004A6E63">
        <w:rPr>
          <w:rFonts w:ascii="Cambria" w:hAnsi="Cambria" w:cs="Calibri"/>
          <w:sz w:val="20"/>
          <w:szCs w:val="20"/>
        </w:rPr>
        <w:t>The Rapporteur</w:t>
      </w:r>
      <w:r w:rsidR="001328B1">
        <w:rPr>
          <w:rFonts w:ascii="Cambria" w:hAnsi="Cambria" w:cs="Calibri"/>
          <w:sz w:val="20"/>
          <w:szCs w:val="20"/>
        </w:rPr>
        <w:t>s</w:t>
      </w:r>
      <w:r w:rsidR="004A6E63">
        <w:rPr>
          <w:rFonts w:ascii="Cambria" w:hAnsi="Cambria" w:cs="Calibri"/>
          <w:sz w:val="20"/>
          <w:szCs w:val="20"/>
        </w:rPr>
        <w:t xml:space="preserve">hip </w:t>
      </w:r>
      <w:r w:rsidR="00B41C3A">
        <w:rPr>
          <w:rFonts w:ascii="Cambria" w:hAnsi="Cambria" w:cs="Calibri"/>
          <w:sz w:val="20"/>
          <w:szCs w:val="20"/>
        </w:rPr>
        <w:t xml:space="preserve">contributes its </w:t>
      </w:r>
      <w:r w:rsidR="00E659DF">
        <w:rPr>
          <w:rFonts w:ascii="Cambria" w:hAnsi="Cambria" w:cs="Calibri"/>
          <w:sz w:val="20"/>
          <w:szCs w:val="20"/>
        </w:rPr>
        <w:t>exper</w:t>
      </w:r>
      <w:r w:rsidR="00B41C3A">
        <w:rPr>
          <w:rFonts w:ascii="Cambria" w:hAnsi="Cambria" w:cs="Calibri"/>
          <w:sz w:val="20"/>
          <w:szCs w:val="20"/>
        </w:rPr>
        <w:t xml:space="preserve">tise, as well as international legal precedents and studies, to </w:t>
      </w:r>
      <w:r w:rsidR="00341372">
        <w:rPr>
          <w:rFonts w:ascii="Cambria" w:hAnsi="Cambria" w:cs="Calibri"/>
          <w:sz w:val="20"/>
          <w:szCs w:val="20"/>
        </w:rPr>
        <w:t xml:space="preserve">the deliberations of the Commission. </w:t>
      </w:r>
      <w:r w:rsidR="00384928">
        <w:rPr>
          <w:rFonts w:ascii="Cambria" w:hAnsi="Cambria" w:cs="Calibri"/>
          <w:sz w:val="20"/>
          <w:szCs w:val="20"/>
        </w:rPr>
        <w:t xml:space="preserve">It is also </w:t>
      </w:r>
      <w:r w:rsidR="00623D2A">
        <w:rPr>
          <w:rFonts w:ascii="Cambria" w:hAnsi="Cambria" w:cs="Calibri"/>
          <w:sz w:val="20"/>
          <w:szCs w:val="20"/>
        </w:rPr>
        <w:t xml:space="preserve">the point of contact for </w:t>
      </w:r>
      <w:r w:rsidR="005404A5">
        <w:rPr>
          <w:rFonts w:ascii="Cambria" w:hAnsi="Cambria" w:cs="Calibri"/>
          <w:sz w:val="20"/>
          <w:szCs w:val="20"/>
        </w:rPr>
        <w:t xml:space="preserve">civil society organizations </w:t>
      </w:r>
      <w:r w:rsidR="00CA42B7">
        <w:rPr>
          <w:rFonts w:ascii="Cambria" w:hAnsi="Cambria" w:cs="Calibri"/>
          <w:sz w:val="20"/>
          <w:szCs w:val="20"/>
        </w:rPr>
        <w:t xml:space="preserve">working in the field of children’s rights. </w:t>
      </w:r>
      <w:r w:rsidR="00B41C3A">
        <w:rPr>
          <w:rFonts w:ascii="Cambria" w:hAnsi="Cambria" w:cs="Calibri"/>
          <w:sz w:val="20"/>
          <w:szCs w:val="20"/>
        </w:rPr>
        <w:t xml:space="preserve"> </w:t>
      </w:r>
      <w:r w:rsidR="00206972">
        <w:rPr>
          <w:rFonts w:ascii="Cambria" w:hAnsi="Cambria" w:cs="Calibri"/>
          <w:sz w:val="20"/>
          <w:szCs w:val="20"/>
        </w:rPr>
        <w:t xml:space="preserve"> </w:t>
      </w:r>
    </w:p>
    <w:p w14:paraId="7F55DEA4" w14:textId="77777777" w:rsidR="009F47B2" w:rsidRPr="00B200D5" w:rsidRDefault="009F47B2" w:rsidP="00D84420">
      <w:pPr>
        <w:spacing w:after="0" w:line="240" w:lineRule="auto"/>
        <w:jc w:val="both"/>
        <w:rPr>
          <w:rFonts w:ascii="Cambria" w:hAnsi="Cambria" w:cs="Calibri"/>
          <w:sz w:val="20"/>
          <w:szCs w:val="20"/>
          <w:u w:val="single"/>
        </w:rPr>
      </w:pPr>
    </w:p>
    <w:p w14:paraId="1C4B31FE" w14:textId="569E933C" w:rsidR="009F47B2" w:rsidRPr="00B200D5" w:rsidRDefault="00887E9A" w:rsidP="00B01989">
      <w:pPr>
        <w:pStyle w:val="ListParagraph"/>
        <w:numPr>
          <w:ilvl w:val="1"/>
          <w:numId w:val="4"/>
        </w:numPr>
        <w:spacing w:after="0" w:line="240" w:lineRule="auto"/>
        <w:ind w:left="1800"/>
        <w:contextualSpacing/>
        <w:jc w:val="both"/>
        <w:rPr>
          <w:rFonts w:ascii="Cambria" w:hAnsi="Cambria" w:cs="Calibri"/>
          <w:sz w:val="20"/>
          <w:szCs w:val="20"/>
          <w:u w:val="single"/>
        </w:rPr>
      </w:pPr>
      <w:r>
        <w:rPr>
          <w:rFonts w:ascii="Cambria" w:hAnsi="Cambria" w:cs="Calibri"/>
          <w:sz w:val="20"/>
          <w:szCs w:val="20"/>
          <w:u w:val="single"/>
        </w:rPr>
        <w:t>Rapporteurship on the Rights of Persons Deprived of Liberty:</w:t>
      </w:r>
      <w:r w:rsidR="00C67865">
        <w:rPr>
          <w:rFonts w:ascii="Cambria" w:hAnsi="Cambria" w:cs="Calibri"/>
          <w:sz w:val="20"/>
          <w:szCs w:val="20"/>
        </w:rPr>
        <w:t xml:space="preserve"> </w:t>
      </w:r>
      <w:r w:rsidR="00B54374">
        <w:rPr>
          <w:rFonts w:ascii="Cambria" w:hAnsi="Cambria" w:cs="Calibri"/>
          <w:sz w:val="20"/>
          <w:szCs w:val="20"/>
        </w:rPr>
        <w:t xml:space="preserve">Its </w:t>
      </w:r>
      <w:r w:rsidR="00C67865">
        <w:rPr>
          <w:rFonts w:ascii="Cambria" w:hAnsi="Cambria" w:cs="Calibri"/>
          <w:sz w:val="20"/>
          <w:szCs w:val="20"/>
        </w:rPr>
        <w:t xml:space="preserve">mission is to closely monitor, </w:t>
      </w:r>
      <w:r w:rsidR="00B54374">
        <w:rPr>
          <w:rFonts w:ascii="Cambria" w:hAnsi="Cambria" w:cs="Calibri"/>
          <w:sz w:val="20"/>
          <w:szCs w:val="20"/>
        </w:rPr>
        <w:t xml:space="preserve">through any </w:t>
      </w:r>
      <w:r w:rsidR="00C67865">
        <w:rPr>
          <w:rFonts w:ascii="Cambria" w:hAnsi="Cambria" w:cs="Calibri"/>
          <w:sz w:val="20"/>
          <w:szCs w:val="20"/>
        </w:rPr>
        <w:t>reliable</w:t>
      </w:r>
      <w:r w:rsidR="00B54374">
        <w:rPr>
          <w:rFonts w:ascii="Cambria" w:hAnsi="Cambria" w:cs="Calibri"/>
          <w:sz w:val="20"/>
          <w:szCs w:val="20"/>
        </w:rPr>
        <w:t xml:space="preserve"> source, the situation of persons subject to any form of detention or imprisonment</w:t>
      </w:r>
      <w:r w:rsidR="00046C49">
        <w:rPr>
          <w:rFonts w:ascii="Cambria" w:hAnsi="Cambria" w:cs="Calibri"/>
          <w:sz w:val="20"/>
          <w:szCs w:val="20"/>
        </w:rPr>
        <w:t xml:space="preserve"> in the Member States; conduct visits </w:t>
      </w:r>
      <w:r w:rsidR="003238A6">
        <w:rPr>
          <w:rFonts w:ascii="Cambria" w:hAnsi="Cambria" w:cs="Calibri"/>
          <w:sz w:val="20"/>
          <w:szCs w:val="20"/>
        </w:rPr>
        <w:t xml:space="preserve">to OAS Member States in order to gather information </w:t>
      </w:r>
      <w:r w:rsidR="00EE390E">
        <w:rPr>
          <w:rFonts w:ascii="Cambria" w:hAnsi="Cambria" w:cs="Calibri"/>
          <w:sz w:val="20"/>
          <w:szCs w:val="20"/>
        </w:rPr>
        <w:t xml:space="preserve">and issue recommendations to the States; </w:t>
      </w:r>
      <w:r w:rsidR="00C67865">
        <w:rPr>
          <w:rFonts w:ascii="Cambria" w:hAnsi="Cambria" w:cs="Calibri"/>
          <w:sz w:val="20"/>
          <w:szCs w:val="20"/>
        </w:rPr>
        <w:t>write</w:t>
      </w:r>
      <w:r w:rsidR="00EE390E">
        <w:rPr>
          <w:rFonts w:ascii="Cambria" w:hAnsi="Cambria" w:cs="Calibri"/>
          <w:sz w:val="20"/>
          <w:szCs w:val="20"/>
        </w:rPr>
        <w:t xml:space="preserve"> reports </w:t>
      </w:r>
      <w:r w:rsidR="00D33C96">
        <w:rPr>
          <w:rFonts w:ascii="Cambria" w:hAnsi="Cambria" w:cs="Calibri"/>
          <w:sz w:val="20"/>
          <w:szCs w:val="20"/>
        </w:rPr>
        <w:t xml:space="preserve">for the Commission on </w:t>
      </w:r>
      <w:r w:rsidR="00033FD3">
        <w:rPr>
          <w:rFonts w:ascii="Cambria" w:hAnsi="Cambria" w:cs="Calibri"/>
          <w:sz w:val="20"/>
          <w:szCs w:val="20"/>
        </w:rPr>
        <w:t xml:space="preserve">the situation of prison </w:t>
      </w:r>
      <w:r w:rsidR="00D33C96">
        <w:rPr>
          <w:rFonts w:ascii="Cambria" w:hAnsi="Cambria" w:cs="Calibri"/>
          <w:sz w:val="20"/>
          <w:szCs w:val="20"/>
        </w:rPr>
        <w:t>conditions at</w:t>
      </w:r>
      <w:r w:rsidR="00461420">
        <w:rPr>
          <w:rFonts w:ascii="Cambria" w:hAnsi="Cambria" w:cs="Calibri"/>
          <w:sz w:val="20"/>
          <w:szCs w:val="20"/>
        </w:rPr>
        <w:t xml:space="preserve"> a particular </w:t>
      </w:r>
      <w:r w:rsidR="007B14CF">
        <w:rPr>
          <w:rFonts w:ascii="Cambria" w:hAnsi="Cambria" w:cs="Calibri"/>
          <w:sz w:val="20"/>
          <w:szCs w:val="20"/>
        </w:rPr>
        <w:t>detention facility or</w:t>
      </w:r>
      <w:r w:rsidR="00D33C96">
        <w:rPr>
          <w:rFonts w:ascii="Cambria" w:hAnsi="Cambria" w:cs="Calibri"/>
          <w:sz w:val="20"/>
          <w:szCs w:val="20"/>
        </w:rPr>
        <w:t xml:space="preserve"> in a particular</w:t>
      </w:r>
      <w:r w:rsidR="007B14CF">
        <w:rPr>
          <w:rFonts w:ascii="Cambria" w:hAnsi="Cambria" w:cs="Calibri"/>
          <w:sz w:val="20"/>
          <w:szCs w:val="20"/>
        </w:rPr>
        <w:t xml:space="preserve"> country</w:t>
      </w:r>
      <w:r w:rsidR="00033FD3">
        <w:rPr>
          <w:rFonts w:ascii="Cambria" w:hAnsi="Cambria" w:cs="Calibri"/>
          <w:sz w:val="20"/>
          <w:szCs w:val="20"/>
        </w:rPr>
        <w:t xml:space="preserve">, region or sub-region, along </w:t>
      </w:r>
      <w:r w:rsidR="00E55ECE">
        <w:rPr>
          <w:rFonts w:ascii="Cambria" w:hAnsi="Cambria" w:cs="Calibri"/>
          <w:sz w:val="20"/>
          <w:szCs w:val="20"/>
        </w:rPr>
        <w:t xml:space="preserve">with </w:t>
      </w:r>
      <w:r w:rsidR="00BF524E">
        <w:rPr>
          <w:rFonts w:ascii="Cambria" w:hAnsi="Cambria" w:cs="Calibri"/>
          <w:sz w:val="20"/>
          <w:szCs w:val="20"/>
        </w:rPr>
        <w:t xml:space="preserve">any </w:t>
      </w:r>
      <w:r w:rsidR="00E55ECE">
        <w:rPr>
          <w:rFonts w:ascii="Cambria" w:hAnsi="Cambria" w:cs="Calibri"/>
          <w:sz w:val="20"/>
          <w:szCs w:val="20"/>
        </w:rPr>
        <w:t>recommendations</w:t>
      </w:r>
      <w:r w:rsidR="00BF524E">
        <w:rPr>
          <w:rFonts w:ascii="Cambria" w:hAnsi="Cambria" w:cs="Calibri"/>
          <w:sz w:val="20"/>
          <w:szCs w:val="20"/>
        </w:rPr>
        <w:t xml:space="preserve"> that are deemed necessary for the Commission; conduct promotion and education activities </w:t>
      </w:r>
      <w:r w:rsidR="00DD4FB6">
        <w:rPr>
          <w:rFonts w:ascii="Cambria" w:hAnsi="Cambria" w:cs="Calibri"/>
          <w:sz w:val="20"/>
          <w:szCs w:val="20"/>
        </w:rPr>
        <w:t>in the realm</w:t>
      </w:r>
      <w:r w:rsidR="001D7535">
        <w:rPr>
          <w:rFonts w:ascii="Cambria" w:hAnsi="Cambria" w:cs="Calibri"/>
          <w:sz w:val="20"/>
          <w:szCs w:val="20"/>
        </w:rPr>
        <w:t xml:space="preserve"> </w:t>
      </w:r>
      <w:r w:rsidR="00DD4FB6">
        <w:rPr>
          <w:rFonts w:ascii="Cambria" w:hAnsi="Cambria" w:cs="Calibri"/>
          <w:sz w:val="20"/>
          <w:szCs w:val="20"/>
        </w:rPr>
        <w:t>of human rights</w:t>
      </w:r>
      <w:r w:rsidR="00100FDB">
        <w:rPr>
          <w:rFonts w:ascii="Cambria" w:hAnsi="Cambria" w:cs="Calibri"/>
          <w:sz w:val="20"/>
          <w:szCs w:val="20"/>
        </w:rPr>
        <w:t>; coordi</w:t>
      </w:r>
      <w:r w:rsidR="002A6075">
        <w:rPr>
          <w:rFonts w:ascii="Cambria" w:hAnsi="Cambria" w:cs="Calibri"/>
          <w:sz w:val="20"/>
          <w:szCs w:val="20"/>
        </w:rPr>
        <w:t>nate promotion efforts with non-</w:t>
      </w:r>
      <w:r w:rsidR="00100FDB">
        <w:rPr>
          <w:rFonts w:ascii="Cambria" w:hAnsi="Cambria" w:cs="Calibri"/>
          <w:sz w:val="20"/>
          <w:szCs w:val="20"/>
        </w:rPr>
        <w:t xml:space="preserve">governmental organizations or other </w:t>
      </w:r>
      <w:r w:rsidR="003F12BC">
        <w:rPr>
          <w:rFonts w:ascii="Cambria" w:hAnsi="Cambria" w:cs="Calibri"/>
          <w:sz w:val="20"/>
          <w:szCs w:val="20"/>
        </w:rPr>
        <w:t xml:space="preserve">international </w:t>
      </w:r>
      <w:r w:rsidR="00100FDB">
        <w:rPr>
          <w:rFonts w:ascii="Cambria" w:hAnsi="Cambria" w:cs="Calibri"/>
          <w:sz w:val="20"/>
          <w:szCs w:val="20"/>
        </w:rPr>
        <w:t>human rights protection instit</w:t>
      </w:r>
      <w:r w:rsidR="00A5293F">
        <w:rPr>
          <w:rFonts w:ascii="Cambria" w:hAnsi="Cambria" w:cs="Calibri"/>
          <w:sz w:val="20"/>
          <w:szCs w:val="20"/>
        </w:rPr>
        <w:t>utions</w:t>
      </w:r>
      <w:r w:rsidR="00FE2A95">
        <w:rPr>
          <w:rFonts w:ascii="Cambria" w:hAnsi="Cambria" w:cs="Calibri"/>
          <w:sz w:val="20"/>
          <w:szCs w:val="20"/>
        </w:rPr>
        <w:t xml:space="preserve"> and take any other measure deemed necessary to protect persons deprived of liberty, as provided for under the mandate of the </w:t>
      </w:r>
      <w:r w:rsidR="001443DE">
        <w:rPr>
          <w:rFonts w:ascii="Cambria" w:hAnsi="Cambria" w:cs="Calibri"/>
          <w:sz w:val="20"/>
          <w:szCs w:val="20"/>
        </w:rPr>
        <w:t xml:space="preserve">Inter-American Commission on Human Rights. </w:t>
      </w:r>
    </w:p>
    <w:p w14:paraId="0BC98CDB" w14:textId="77777777" w:rsidR="009F47B2" w:rsidRPr="00B200D5" w:rsidRDefault="009F47B2" w:rsidP="00D84420">
      <w:pPr>
        <w:spacing w:after="0" w:line="240" w:lineRule="auto"/>
        <w:jc w:val="both"/>
        <w:rPr>
          <w:rFonts w:ascii="Cambria" w:hAnsi="Cambria" w:cs="Calibri"/>
          <w:sz w:val="20"/>
          <w:szCs w:val="20"/>
          <w:u w:val="single"/>
        </w:rPr>
      </w:pPr>
    </w:p>
    <w:p w14:paraId="4E2D6E25" w14:textId="37EB8B4D" w:rsidR="009F47B2" w:rsidRPr="00B200D5" w:rsidRDefault="00D70BD0" w:rsidP="00B01989">
      <w:pPr>
        <w:pStyle w:val="ListParagraph"/>
        <w:numPr>
          <w:ilvl w:val="1"/>
          <w:numId w:val="4"/>
        </w:numPr>
        <w:spacing w:after="0" w:line="240" w:lineRule="auto"/>
        <w:ind w:left="1800"/>
        <w:contextualSpacing/>
        <w:jc w:val="both"/>
        <w:rPr>
          <w:rFonts w:ascii="Cambria" w:hAnsi="Cambria" w:cs="Calibri"/>
          <w:sz w:val="20"/>
          <w:szCs w:val="20"/>
        </w:rPr>
      </w:pPr>
      <w:r>
        <w:rPr>
          <w:rFonts w:ascii="Cambria" w:hAnsi="Cambria" w:cs="Calibri"/>
          <w:sz w:val="20"/>
          <w:szCs w:val="20"/>
          <w:u w:val="single"/>
        </w:rPr>
        <w:t xml:space="preserve">Rapporteurship on the Rights of </w:t>
      </w:r>
      <w:r w:rsidR="00B57769">
        <w:rPr>
          <w:rFonts w:ascii="Cambria" w:hAnsi="Cambria" w:cs="Calibri"/>
          <w:sz w:val="20"/>
          <w:szCs w:val="20"/>
          <w:u w:val="single"/>
        </w:rPr>
        <w:t>Afro-descendan</w:t>
      </w:r>
      <w:r w:rsidR="002A1D5E">
        <w:rPr>
          <w:rFonts w:ascii="Cambria" w:hAnsi="Cambria" w:cs="Calibri"/>
          <w:sz w:val="20"/>
          <w:szCs w:val="20"/>
          <w:u w:val="single"/>
        </w:rPr>
        <w:t>ts</w:t>
      </w:r>
      <w:r w:rsidR="00FD20BC">
        <w:rPr>
          <w:rFonts w:ascii="Cambria" w:hAnsi="Cambria" w:cs="Calibri"/>
          <w:sz w:val="20"/>
          <w:szCs w:val="20"/>
          <w:u w:val="single"/>
        </w:rPr>
        <w:t xml:space="preserve"> and against Racial Discrimination</w:t>
      </w:r>
      <w:r w:rsidR="002A1D5E">
        <w:rPr>
          <w:rFonts w:ascii="Cambria" w:hAnsi="Cambria" w:cs="Calibri"/>
          <w:sz w:val="20"/>
          <w:szCs w:val="20"/>
          <w:u w:val="single"/>
        </w:rPr>
        <w:t>:</w:t>
      </w:r>
      <w:r w:rsidR="00FD20BC">
        <w:rPr>
          <w:rFonts w:ascii="Cambria" w:hAnsi="Cambria" w:cs="Calibri"/>
          <w:sz w:val="20"/>
          <w:szCs w:val="20"/>
        </w:rPr>
        <w:t xml:space="preserve"> </w:t>
      </w:r>
      <w:r w:rsidR="00B57769">
        <w:rPr>
          <w:rFonts w:ascii="Cambria" w:hAnsi="Cambria" w:cs="Calibri"/>
          <w:sz w:val="20"/>
          <w:szCs w:val="20"/>
        </w:rPr>
        <w:t>Its purpose is to encourage, systematize, reinforce and consolidate the actions of the Inter-American Commission with regard to the rights of persons of African descent an</w:t>
      </w:r>
      <w:r w:rsidR="00FD20BC">
        <w:rPr>
          <w:rFonts w:ascii="Cambria" w:hAnsi="Cambria" w:cs="Calibri"/>
          <w:sz w:val="20"/>
          <w:szCs w:val="20"/>
        </w:rPr>
        <w:t>d against racial discrimination</w:t>
      </w:r>
      <w:r w:rsidR="00A74388" w:rsidRPr="00B200D5">
        <w:rPr>
          <w:rFonts w:ascii="Cambria" w:hAnsi="Cambria" w:cs="Calibri"/>
          <w:sz w:val="20"/>
          <w:szCs w:val="20"/>
        </w:rPr>
        <w:t>.</w:t>
      </w:r>
    </w:p>
    <w:p w14:paraId="3FE7714F" w14:textId="77777777" w:rsidR="009F47B2" w:rsidRPr="00B200D5" w:rsidRDefault="009F47B2" w:rsidP="00D84420">
      <w:pPr>
        <w:pStyle w:val="ListParagraph"/>
        <w:spacing w:after="0" w:line="240" w:lineRule="auto"/>
        <w:ind w:left="1440"/>
        <w:jc w:val="both"/>
        <w:rPr>
          <w:rFonts w:ascii="Cambria" w:hAnsi="Cambria" w:cs="Calibri"/>
          <w:sz w:val="20"/>
          <w:szCs w:val="20"/>
          <w:u w:val="single"/>
        </w:rPr>
      </w:pPr>
    </w:p>
    <w:p w14:paraId="2CF2C4CF" w14:textId="0A5FBBD7" w:rsidR="009F47B2" w:rsidRPr="00B200D5" w:rsidRDefault="00DF6C8F" w:rsidP="00B01989">
      <w:pPr>
        <w:pStyle w:val="ListParagraph"/>
        <w:numPr>
          <w:ilvl w:val="1"/>
          <w:numId w:val="4"/>
        </w:numPr>
        <w:spacing w:after="0" w:line="240" w:lineRule="auto"/>
        <w:ind w:left="1800"/>
        <w:contextualSpacing/>
        <w:jc w:val="both"/>
        <w:rPr>
          <w:rFonts w:ascii="Cambria" w:hAnsi="Cambria" w:cs="Calibri"/>
          <w:sz w:val="20"/>
          <w:szCs w:val="20"/>
        </w:rPr>
      </w:pPr>
      <w:r>
        <w:rPr>
          <w:rFonts w:ascii="Cambria" w:hAnsi="Cambria" w:cs="Calibri"/>
          <w:sz w:val="20"/>
          <w:szCs w:val="20"/>
          <w:u w:val="single"/>
        </w:rPr>
        <w:t>Rapporteurship on Human Rights Defenders</w:t>
      </w:r>
      <w:r w:rsidR="009F47B2" w:rsidRPr="00B200D5">
        <w:rPr>
          <w:rFonts w:ascii="Cambria" w:hAnsi="Cambria" w:cs="Calibri"/>
          <w:sz w:val="20"/>
          <w:szCs w:val="20"/>
        </w:rPr>
        <w:t xml:space="preserve">: </w:t>
      </w:r>
      <w:r w:rsidR="00962857">
        <w:rPr>
          <w:rFonts w:ascii="Cambria" w:hAnsi="Cambria" w:cs="Calibri"/>
          <w:sz w:val="20"/>
          <w:szCs w:val="20"/>
        </w:rPr>
        <w:t xml:space="preserve">Through a variety of undertakings, the Rapporteurship </w:t>
      </w:r>
      <w:r w:rsidR="00AF13B8">
        <w:rPr>
          <w:rFonts w:ascii="Cambria" w:hAnsi="Cambria" w:cs="Calibri"/>
          <w:sz w:val="20"/>
          <w:szCs w:val="20"/>
        </w:rPr>
        <w:t xml:space="preserve">closely </w:t>
      </w:r>
      <w:r w:rsidR="00B1336D">
        <w:rPr>
          <w:rFonts w:ascii="Cambria" w:hAnsi="Cambria" w:cs="Calibri"/>
          <w:sz w:val="20"/>
          <w:szCs w:val="20"/>
        </w:rPr>
        <w:t>monitors</w:t>
      </w:r>
      <w:r w:rsidR="00AF13B8">
        <w:rPr>
          <w:rFonts w:ascii="Cambria" w:hAnsi="Cambria" w:cs="Calibri"/>
          <w:sz w:val="20"/>
          <w:szCs w:val="20"/>
        </w:rPr>
        <w:t xml:space="preserve"> the situation of persons engaged in the defense of rights in the region, including the situation of operators of justice. </w:t>
      </w:r>
    </w:p>
    <w:p w14:paraId="7874FC42" w14:textId="77777777" w:rsidR="009F47B2" w:rsidRPr="00B200D5" w:rsidRDefault="009F47B2" w:rsidP="00D84420">
      <w:pPr>
        <w:spacing w:after="0" w:line="240" w:lineRule="auto"/>
        <w:jc w:val="both"/>
        <w:rPr>
          <w:rFonts w:ascii="Cambria" w:hAnsi="Cambria" w:cs="Calibri"/>
          <w:sz w:val="20"/>
          <w:szCs w:val="20"/>
          <w:u w:val="single"/>
        </w:rPr>
      </w:pPr>
    </w:p>
    <w:p w14:paraId="3AFE5F9F" w14:textId="45DAAF40" w:rsidR="009F47B2" w:rsidRPr="00B200D5" w:rsidRDefault="00A95621" w:rsidP="00B01989">
      <w:pPr>
        <w:pStyle w:val="ListParagraph"/>
        <w:numPr>
          <w:ilvl w:val="1"/>
          <w:numId w:val="4"/>
        </w:numPr>
        <w:spacing w:after="0" w:line="240" w:lineRule="auto"/>
        <w:ind w:left="1800"/>
        <w:contextualSpacing/>
        <w:jc w:val="both"/>
        <w:rPr>
          <w:rFonts w:ascii="Cambria" w:hAnsi="Cambria" w:cs="Calibri"/>
          <w:sz w:val="20"/>
          <w:szCs w:val="20"/>
          <w:u w:val="single"/>
        </w:rPr>
      </w:pPr>
      <w:r>
        <w:rPr>
          <w:rFonts w:ascii="Cambria" w:hAnsi="Cambria" w:cs="Calibri"/>
          <w:sz w:val="20"/>
          <w:szCs w:val="20"/>
          <w:u w:val="single"/>
        </w:rPr>
        <w:t xml:space="preserve">Rapporteurship on the Rights of Lesbian, Gay, Bisexual, Trans and Intersex (“LGBTI”) Persons: </w:t>
      </w:r>
      <w:r w:rsidR="009F47B2" w:rsidRPr="00B200D5">
        <w:rPr>
          <w:rFonts w:ascii="Cambria" w:hAnsi="Cambria" w:cs="Calibri"/>
          <w:sz w:val="20"/>
          <w:szCs w:val="20"/>
          <w:u w:val="single"/>
        </w:rPr>
        <w:t>(¨LGBTI”)</w:t>
      </w:r>
      <w:r w:rsidR="009F47B2" w:rsidRPr="00B200D5">
        <w:rPr>
          <w:rFonts w:ascii="Cambria" w:hAnsi="Cambria" w:cs="Calibri"/>
          <w:sz w:val="20"/>
          <w:szCs w:val="20"/>
        </w:rPr>
        <w:t xml:space="preserve">: </w:t>
      </w:r>
      <w:r w:rsidR="004963A9">
        <w:rPr>
          <w:rFonts w:ascii="Cambria" w:hAnsi="Cambria" w:cs="Calibri"/>
          <w:sz w:val="20"/>
          <w:szCs w:val="20"/>
        </w:rPr>
        <w:t xml:space="preserve">Its job involves monitoring the human rights situation </w:t>
      </w:r>
      <w:r w:rsidR="008A6C69">
        <w:rPr>
          <w:rFonts w:ascii="Cambria" w:hAnsi="Cambria" w:cs="Calibri"/>
          <w:sz w:val="20"/>
          <w:szCs w:val="20"/>
        </w:rPr>
        <w:t>of lesbian, gay, bisexual, trans and intersex persons throughout the region and pro</w:t>
      </w:r>
      <w:r w:rsidR="002B626C">
        <w:rPr>
          <w:rFonts w:ascii="Cambria" w:hAnsi="Cambria" w:cs="Calibri"/>
          <w:sz w:val="20"/>
          <w:szCs w:val="20"/>
        </w:rPr>
        <w:t>moting respect for their rights</w:t>
      </w:r>
      <w:r w:rsidR="00A74388" w:rsidRPr="00B200D5">
        <w:rPr>
          <w:rFonts w:ascii="Cambria" w:hAnsi="Cambria" w:cs="Calibri"/>
          <w:sz w:val="20"/>
          <w:szCs w:val="20"/>
        </w:rPr>
        <w:t>.</w:t>
      </w:r>
    </w:p>
    <w:p w14:paraId="4BA7231D" w14:textId="77777777" w:rsidR="009F47B2" w:rsidRPr="00B200D5" w:rsidRDefault="009F47B2" w:rsidP="00D84420">
      <w:pPr>
        <w:spacing w:after="0" w:line="240" w:lineRule="auto"/>
        <w:jc w:val="both"/>
        <w:rPr>
          <w:rFonts w:ascii="Cambria" w:hAnsi="Cambria" w:cs="Calibri"/>
          <w:sz w:val="20"/>
          <w:szCs w:val="20"/>
          <w:u w:val="single"/>
        </w:rPr>
      </w:pPr>
    </w:p>
    <w:p w14:paraId="65FAECE5" w14:textId="63969998" w:rsidR="009F47B2" w:rsidRPr="00B200D5" w:rsidRDefault="00291C10" w:rsidP="00B01989">
      <w:pPr>
        <w:pStyle w:val="ListParagraph"/>
        <w:numPr>
          <w:ilvl w:val="0"/>
          <w:numId w:val="4"/>
        </w:numPr>
        <w:spacing w:after="0" w:line="240" w:lineRule="auto"/>
        <w:ind w:left="1080"/>
        <w:contextualSpacing/>
        <w:jc w:val="both"/>
        <w:rPr>
          <w:rFonts w:ascii="Cambria" w:hAnsi="Cambria" w:cs="Calibri"/>
          <w:sz w:val="20"/>
          <w:szCs w:val="20"/>
        </w:rPr>
      </w:pPr>
      <w:r>
        <w:rPr>
          <w:rFonts w:ascii="Cambria" w:hAnsi="Cambria" w:cs="Calibri"/>
          <w:sz w:val="20"/>
          <w:szCs w:val="20"/>
          <w:u w:val="single"/>
        </w:rPr>
        <w:t>Unit on Economic, Social and Cultural Right</w:t>
      </w:r>
      <w:r w:rsidR="00C22144">
        <w:rPr>
          <w:rFonts w:ascii="Cambria" w:hAnsi="Cambria" w:cs="Calibri"/>
          <w:sz w:val="20"/>
          <w:szCs w:val="20"/>
          <w:u w:val="single"/>
        </w:rPr>
        <w:t>s (“ESCR”)</w:t>
      </w:r>
      <w:r>
        <w:rPr>
          <w:rFonts w:ascii="Cambria" w:hAnsi="Cambria" w:cs="Calibri"/>
          <w:sz w:val="20"/>
          <w:szCs w:val="20"/>
          <w:u w:val="single"/>
        </w:rPr>
        <w:t>:</w:t>
      </w:r>
      <w:r w:rsidR="009F47B2" w:rsidRPr="00B200D5">
        <w:rPr>
          <w:rStyle w:val="FootnoteReference"/>
          <w:rFonts w:ascii="Cambria" w:hAnsi="Cambria"/>
          <w:b/>
          <w:sz w:val="20"/>
          <w:szCs w:val="20"/>
        </w:rPr>
        <w:footnoteReference w:id="1"/>
      </w:r>
      <w:r w:rsidR="009F47B2" w:rsidRPr="00B200D5">
        <w:rPr>
          <w:rFonts w:ascii="Cambria" w:hAnsi="Cambria" w:cs="Calibri"/>
          <w:sz w:val="20"/>
          <w:szCs w:val="20"/>
        </w:rPr>
        <w:t xml:space="preserve"> </w:t>
      </w:r>
      <w:r w:rsidR="008547DB">
        <w:rPr>
          <w:rFonts w:ascii="Cambria" w:hAnsi="Cambria" w:cs="Calibri"/>
          <w:sz w:val="20"/>
          <w:szCs w:val="20"/>
        </w:rPr>
        <w:t xml:space="preserve">It </w:t>
      </w:r>
      <w:r w:rsidR="00C22144">
        <w:rPr>
          <w:rFonts w:ascii="Cambria" w:hAnsi="Cambria" w:cs="Calibri"/>
          <w:sz w:val="20"/>
          <w:szCs w:val="20"/>
        </w:rPr>
        <w:t>collaborates in the</w:t>
      </w:r>
      <w:r w:rsidR="008547DB">
        <w:rPr>
          <w:rFonts w:ascii="Cambria" w:hAnsi="Cambria" w:cs="Calibri"/>
          <w:sz w:val="20"/>
          <w:szCs w:val="20"/>
        </w:rPr>
        <w:t xml:space="preserve"> examination and </w:t>
      </w:r>
      <w:r w:rsidR="00F33174">
        <w:rPr>
          <w:rFonts w:ascii="Cambria" w:hAnsi="Cambria" w:cs="Calibri"/>
          <w:sz w:val="20"/>
          <w:szCs w:val="20"/>
        </w:rPr>
        <w:t xml:space="preserve">assessment </w:t>
      </w:r>
      <w:r w:rsidR="008547DB">
        <w:rPr>
          <w:rFonts w:ascii="Cambria" w:hAnsi="Cambria" w:cs="Calibri"/>
          <w:sz w:val="20"/>
          <w:szCs w:val="20"/>
        </w:rPr>
        <w:t xml:space="preserve">of the human rights situation in the Americas, advises </w:t>
      </w:r>
      <w:r w:rsidR="00174686">
        <w:rPr>
          <w:rFonts w:ascii="Cambria" w:hAnsi="Cambria" w:cs="Calibri"/>
          <w:sz w:val="20"/>
          <w:szCs w:val="20"/>
        </w:rPr>
        <w:t>the IACHR on the processing of individual petitions and cases</w:t>
      </w:r>
      <w:r w:rsidR="00C32494">
        <w:rPr>
          <w:rFonts w:ascii="Cambria" w:hAnsi="Cambria" w:cs="Calibri"/>
          <w:sz w:val="20"/>
          <w:szCs w:val="20"/>
        </w:rPr>
        <w:t xml:space="preserve"> and requests for precautionary and provisional measures, which </w:t>
      </w:r>
      <w:r w:rsidR="00C13853">
        <w:rPr>
          <w:rFonts w:ascii="Cambria" w:hAnsi="Cambria" w:cs="Calibri"/>
          <w:sz w:val="20"/>
          <w:szCs w:val="20"/>
        </w:rPr>
        <w:t xml:space="preserve">involve </w:t>
      </w:r>
      <w:r w:rsidR="00C32494">
        <w:rPr>
          <w:rFonts w:ascii="Cambria" w:hAnsi="Cambria" w:cs="Calibri"/>
          <w:sz w:val="20"/>
          <w:szCs w:val="20"/>
        </w:rPr>
        <w:t xml:space="preserve">these rights, conducts visits to OAS Member States and prepares studies and publications, in particular, on international norms. </w:t>
      </w:r>
    </w:p>
    <w:p w14:paraId="665EF377" w14:textId="77777777" w:rsidR="00EA61B7" w:rsidRPr="00B200D5" w:rsidRDefault="00EA61B7" w:rsidP="00D84420">
      <w:pPr>
        <w:pStyle w:val="ListParagraph"/>
        <w:spacing w:after="0" w:line="240" w:lineRule="auto"/>
        <w:ind w:left="1080"/>
        <w:contextualSpacing/>
        <w:jc w:val="both"/>
        <w:rPr>
          <w:rFonts w:ascii="Cambria" w:hAnsi="Cambria" w:cs="Calibri"/>
          <w:sz w:val="20"/>
          <w:szCs w:val="20"/>
        </w:rPr>
      </w:pPr>
    </w:p>
    <w:p w14:paraId="63AF1A1C" w14:textId="17566CFC" w:rsidR="009F47B2" w:rsidRPr="00B200D5" w:rsidRDefault="007B63AF" w:rsidP="00B01989">
      <w:pPr>
        <w:pStyle w:val="ListParagraph"/>
        <w:numPr>
          <w:ilvl w:val="0"/>
          <w:numId w:val="4"/>
        </w:numPr>
        <w:spacing w:after="0" w:line="240" w:lineRule="auto"/>
        <w:ind w:left="1080"/>
        <w:contextualSpacing/>
        <w:jc w:val="both"/>
        <w:rPr>
          <w:rFonts w:ascii="Cambria" w:hAnsi="Cambria" w:cs="Calibri"/>
          <w:sz w:val="20"/>
          <w:szCs w:val="20"/>
        </w:rPr>
      </w:pPr>
      <w:r>
        <w:rPr>
          <w:rFonts w:ascii="Cambria" w:hAnsi="Cambria" w:cs="Calibri"/>
          <w:sz w:val="20"/>
          <w:szCs w:val="20"/>
        </w:rPr>
        <w:t xml:space="preserve">Department of Promotion and Public Policies </w:t>
      </w:r>
      <w:r w:rsidR="009F47B2" w:rsidRPr="00B200D5">
        <w:rPr>
          <w:rFonts w:ascii="Cambria" w:hAnsi="Cambria" w:cs="Calibri"/>
          <w:sz w:val="20"/>
          <w:szCs w:val="20"/>
        </w:rPr>
        <w:t xml:space="preserve">(“DPPP”), </w:t>
      </w:r>
      <w:r>
        <w:rPr>
          <w:rFonts w:ascii="Cambria" w:hAnsi="Cambria" w:cs="Calibri"/>
          <w:sz w:val="20"/>
          <w:szCs w:val="20"/>
        </w:rPr>
        <w:t>the purpose of which</w:t>
      </w:r>
      <w:r w:rsidR="00FC76C7">
        <w:rPr>
          <w:rFonts w:ascii="Cambria" w:hAnsi="Cambria" w:cs="Calibri"/>
          <w:sz w:val="20"/>
          <w:szCs w:val="20"/>
        </w:rPr>
        <w:t xml:space="preserve"> is to support the IACHR in conducting </w:t>
      </w:r>
      <w:r>
        <w:rPr>
          <w:rFonts w:ascii="Cambria" w:hAnsi="Cambria" w:cs="Calibri"/>
          <w:sz w:val="20"/>
          <w:szCs w:val="20"/>
        </w:rPr>
        <w:t xml:space="preserve">human rights promotion around the region. It is made up of three sections: </w:t>
      </w:r>
    </w:p>
    <w:p w14:paraId="4F898401" w14:textId="77777777" w:rsidR="00EA61B7" w:rsidRPr="00B200D5" w:rsidRDefault="00EA61B7" w:rsidP="00D84420">
      <w:pPr>
        <w:pStyle w:val="ListParagraph"/>
        <w:spacing w:after="0" w:line="240" w:lineRule="auto"/>
        <w:ind w:left="1080"/>
        <w:contextualSpacing/>
        <w:jc w:val="both"/>
        <w:rPr>
          <w:rFonts w:ascii="Cambria" w:hAnsi="Cambria" w:cs="Calibri"/>
          <w:sz w:val="20"/>
          <w:szCs w:val="20"/>
        </w:rPr>
      </w:pPr>
    </w:p>
    <w:p w14:paraId="699A006A" w14:textId="33A5B792" w:rsidR="009F47B2" w:rsidRPr="00B200D5" w:rsidRDefault="00AA6D93" w:rsidP="00B01989">
      <w:pPr>
        <w:pStyle w:val="ListParagraph"/>
        <w:numPr>
          <w:ilvl w:val="1"/>
          <w:numId w:val="4"/>
        </w:numPr>
        <w:spacing w:after="0" w:line="240" w:lineRule="auto"/>
        <w:ind w:left="2160"/>
        <w:contextualSpacing/>
        <w:jc w:val="both"/>
        <w:rPr>
          <w:rFonts w:ascii="Cambria" w:hAnsi="Cambria" w:cs="Calibri"/>
          <w:sz w:val="20"/>
          <w:szCs w:val="20"/>
        </w:rPr>
      </w:pPr>
      <w:r>
        <w:rPr>
          <w:rFonts w:ascii="Cambria" w:hAnsi="Cambria" w:cs="Calibri"/>
          <w:sz w:val="20"/>
          <w:szCs w:val="20"/>
        </w:rPr>
        <w:t xml:space="preserve">Section of </w:t>
      </w:r>
      <w:r w:rsidR="00E63349">
        <w:rPr>
          <w:rFonts w:ascii="Cambria" w:hAnsi="Cambria" w:cs="Calibri"/>
          <w:sz w:val="20"/>
          <w:szCs w:val="20"/>
        </w:rPr>
        <w:t>Advisory Services to States</w:t>
      </w:r>
      <w:r w:rsidR="009F47B2" w:rsidRPr="00B200D5">
        <w:rPr>
          <w:rFonts w:ascii="Cambria" w:hAnsi="Cambria" w:cs="Calibri"/>
          <w:sz w:val="20"/>
          <w:szCs w:val="20"/>
        </w:rPr>
        <w:t>;</w:t>
      </w:r>
    </w:p>
    <w:p w14:paraId="540ECB7B" w14:textId="36EDE921" w:rsidR="009F47B2" w:rsidRPr="00B200D5" w:rsidRDefault="00E63349" w:rsidP="00B01989">
      <w:pPr>
        <w:pStyle w:val="ListParagraph"/>
        <w:numPr>
          <w:ilvl w:val="1"/>
          <w:numId w:val="4"/>
        </w:numPr>
        <w:spacing w:after="0" w:line="240" w:lineRule="auto"/>
        <w:ind w:left="2160"/>
        <w:contextualSpacing/>
        <w:jc w:val="both"/>
        <w:rPr>
          <w:rFonts w:ascii="Cambria" w:hAnsi="Cambria" w:cs="Calibri"/>
          <w:sz w:val="20"/>
          <w:szCs w:val="20"/>
        </w:rPr>
      </w:pPr>
      <w:r>
        <w:rPr>
          <w:rFonts w:ascii="Cambria" w:hAnsi="Cambria" w:cs="Calibri"/>
          <w:sz w:val="20"/>
          <w:szCs w:val="20"/>
        </w:rPr>
        <w:t>Training and Dissemination Section; and</w:t>
      </w:r>
    </w:p>
    <w:p w14:paraId="56A119E1" w14:textId="1915BABA" w:rsidR="009F47B2" w:rsidRPr="00B200D5" w:rsidRDefault="008376ED" w:rsidP="00B01989">
      <w:pPr>
        <w:pStyle w:val="ListParagraph"/>
        <w:numPr>
          <w:ilvl w:val="1"/>
          <w:numId w:val="4"/>
        </w:numPr>
        <w:spacing w:after="0" w:line="240" w:lineRule="auto"/>
        <w:ind w:left="2160"/>
        <w:contextualSpacing/>
        <w:jc w:val="both"/>
        <w:rPr>
          <w:rFonts w:ascii="Cambria" w:hAnsi="Cambria" w:cs="Calibri"/>
          <w:sz w:val="20"/>
          <w:szCs w:val="20"/>
        </w:rPr>
      </w:pPr>
      <w:r>
        <w:rPr>
          <w:rFonts w:ascii="Cambria" w:hAnsi="Cambria" w:cs="Calibri"/>
          <w:sz w:val="20"/>
          <w:szCs w:val="20"/>
        </w:rPr>
        <w:t>Public P</w:t>
      </w:r>
      <w:r w:rsidR="00A72ED3">
        <w:rPr>
          <w:rFonts w:ascii="Cambria" w:hAnsi="Cambria" w:cs="Calibri"/>
          <w:sz w:val="20"/>
          <w:szCs w:val="20"/>
        </w:rPr>
        <w:t>olicy</w:t>
      </w:r>
      <w:r>
        <w:rPr>
          <w:rFonts w:ascii="Cambria" w:hAnsi="Cambria" w:cs="Calibri"/>
          <w:sz w:val="20"/>
          <w:szCs w:val="20"/>
        </w:rPr>
        <w:t xml:space="preserve"> Section </w:t>
      </w:r>
    </w:p>
    <w:p w14:paraId="7D6AB1AA" w14:textId="77777777" w:rsidR="00EA61B7" w:rsidRPr="00B200D5" w:rsidRDefault="00EA61B7" w:rsidP="00D84420">
      <w:pPr>
        <w:pStyle w:val="ListParagraph"/>
        <w:spacing w:after="0" w:line="240" w:lineRule="auto"/>
        <w:contextualSpacing/>
        <w:jc w:val="both"/>
        <w:rPr>
          <w:rFonts w:ascii="Cambria" w:hAnsi="Cambria" w:cs="Calibri"/>
          <w:sz w:val="20"/>
          <w:szCs w:val="20"/>
        </w:rPr>
      </w:pPr>
    </w:p>
    <w:p w14:paraId="012EBA4D" w14:textId="4D7EBAE8" w:rsidR="009F47B2" w:rsidRPr="00B200D5" w:rsidRDefault="00E72711" w:rsidP="00B01989">
      <w:pPr>
        <w:pStyle w:val="ListParagraph"/>
        <w:numPr>
          <w:ilvl w:val="0"/>
          <w:numId w:val="4"/>
        </w:numPr>
        <w:spacing w:after="0" w:line="240" w:lineRule="auto"/>
        <w:ind w:left="1080"/>
        <w:contextualSpacing/>
        <w:jc w:val="both"/>
        <w:rPr>
          <w:rFonts w:ascii="Cambria" w:hAnsi="Cambria" w:cs="Calibri"/>
          <w:sz w:val="20"/>
          <w:szCs w:val="20"/>
        </w:rPr>
      </w:pPr>
      <w:r>
        <w:rPr>
          <w:rFonts w:ascii="Cambria" w:hAnsi="Cambria" w:cs="Calibri"/>
          <w:sz w:val="20"/>
          <w:szCs w:val="20"/>
        </w:rPr>
        <w:t xml:space="preserve">Department of Institutional Development and Administrative Affairs </w:t>
      </w:r>
      <w:r w:rsidR="009F47B2" w:rsidRPr="00B200D5">
        <w:rPr>
          <w:rFonts w:ascii="Cambria" w:hAnsi="Cambria" w:cs="Calibri"/>
          <w:sz w:val="20"/>
          <w:szCs w:val="20"/>
        </w:rPr>
        <w:t xml:space="preserve">(“DIAA”), </w:t>
      </w:r>
      <w:r>
        <w:rPr>
          <w:rFonts w:ascii="Cambria" w:hAnsi="Cambria" w:cs="Calibri"/>
          <w:sz w:val="20"/>
          <w:szCs w:val="20"/>
        </w:rPr>
        <w:t xml:space="preserve">which is in charge of all </w:t>
      </w:r>
      <w:r w:rsidR="00FC76C7">
        <w:rPr>
          <w:rFonts w:ascii="Cambria" w:hAnsi="Cambria" w:cs="Calibri"/>
          <w:sz w:val="20"/>
          <w:szCs w:val="20"/>
        </w:rPr>
        <w:t xml:space="preserve">the Commission’s </w:t>
      </w:r>
      <w:r>
        <w:rPr>
          <w:rFonts w:ascii="Cambria" w:hAnsi="Cambria" w:cs="Calibri"/>
          <w:sz w:val="20"/>
          <w:szCs w:val="20"/>
        </w:rPr>
        <w:t>financial and operational plans and reports, human resource management and administrative lo</w:t>
      </w:r>
      <w:r w:rsidR="006F5766">
        <w:rPr>
          <w:rFonts w:ascii="Cambria" w:hAnsi="Cambria" w:cs="Calibri"/>
          <w:sz w:val="20"/>
          <w:szCs w:val="20"/>
        </w:rPr>
        <w:t xml:space="preserve">gistics, coordination of all administrative personnel assigned </w:t>
      </w:r>
      <w:r w:rsidR="006F5766">
        <w:rPr>
          <w:rFonts w:ascii="Cambria" w:hAnsi="Cambria" w:cs="Calibri"/>
          <w:sz w:val="20"/>
          <w:szCs w:val="20"/>
        </w:rPr>
        <w:lastRenderedPageBreak/>
        <w:t xml:space="preserve">to the regional sections and rapporteurships. Additionally, under the new structure, it includes </w:t>
      </w:r>
      <w:r w:rsidR="00DF1618">
        <w:rPr>
          <w:rFonts w:ascii="Cambria" w:hAnsi="Cambria" w:cs="Calibri"/>
          <w:sz w:val="20"/>
          <w:szCs w:val="20"/>
        </w:rPr>
        <w:t>communication</w:t>
      </w:r>
      <w:r w:rsidR="004A354F">
        <w:rPr>
          <w:rFonts w:ascii="Cambria" w:hAnsi="Cambria" w:cs="Calibri"/>
          <w:sz w:val="20"/>
          <w:szCs w:val="20"/>
        </w:rPr>
        <w:t>s</w:t>
      </w:r>
      <w:r w:rsidR="00DF1618">
        <w:rPr>
          <w:rFonts w:ascii="Cambria" w:hAnsi="Cambria" w:cs="Calibri"/>
          <w:sz w:val="20"/>
          <w:szCs w:val="20"/>
        </w:rPr>
        <w:t xml:space="preserve"> strategy coordination </w:t>
      </w:r>
      <w:r w:rsidR="006F4880">
        <w:rPr>
          <w:rFonts w:ascii="Cambria" w:hAnsi="Cambria" w:cs="Calibri"/>
          <w:sz w:val="20"/>
          <w:szCs w:val="20"/>
        </w:rPr>
        <w:t>and IACHR relations with other regional and United Nations h</w:t>
      </w:r>
      <w:r w:rsidR="00CF4669">
        <w:rPr>
          <w:rFonts w:ascii="Cambria" w:hAnsi="Cambria" w:cs="Calibri"/>
          <w:sz w:val="20"/>
          <w:szCs w:val="20"/>
        </w:rPr>
        <w:t>uman rights mechanisms, and other institutions, as well as technology and automated tools strategy. It is made up of the follow</w:t>
      </w:r>
      <w:r w:rsidR="004A354F">
        <w:rPr>
          <w:rFonts w:ascii="Cambria" w:hAnsi="Cambria" w:cs="Calibri"/>
          <w:sz w:val="20"/>
          <w:szCs w:val="20"/>
        </w:rPr>
        <w:t>ing three sections and one unit</w:t>
      </w:r>
      <w:r w:rsidR="009F47B2" w:rsidRPr="00B200D5">
        <w:rPr>
          <w:rFonts w:ascii="Cambria" w:hAnsi="Cambria" w:cs="Calibri"/>
          <w:sz w:val="20"/>
          <w:szCs w:val="20"/>
        </w:rPr>
        <w:t>:</w:t>
      </w:r>
    </w:p>
    <w:p w14:paraId="78ADD30B" w14:textId="77777777" w:rsidR="00EA61B7" w:rsidRPr="00B200D5" w:rsidRDefault="00EA61B7" w:rsidP="00D84420">
      <w:pPr>
        <w:pStyle w:val="ListParagraph"/>
        <w:spacing w:after="0" w:line="240" w:lineRule="auto"/>
        <w:ind w:left="1080"/>
        <w:contextualSpacing/>
        <w:jc w:val="both"/>
        <w:rPr>
          <w:rFonts w:ascii="Cambria" w:hAnsi="Cambria" w:cs="Calibri"/>
          <w:sz w:val="20"/>
          <w:szCs w:val="20"/>
        </w:rPr>
      </w:pPr>
    </w:p>
    <w:p w14:paraId="3F863A3E" w14:textId="5C0C1DB6" w:rsidR="009F47B2" w:rsidRPr="00B200D5" w:rsidRDefault="003134CB" w:rsidP="00B01989">
      <w:pPr>
        <w:pStyle w:val="ListParagraph"/>
        <w:numPr>
          <w:ilvl w:val="1"/>
          <w:numId w:val="4"/>
        </w:numPr>
        <w:spacing w:after="0" w:line="240" w:lineRule="auto"/>
        <w:ind w:left="1800"/>
        <w:contextualSpacing/>
        <w:jc w:val="both"/>
        <w:rPr>
          <w:rFonts w:ascii="Cambria" w:hAnsi="Cambria" w:cs="Calibri"/>
          <w:sz w:val="20"/>
          <w:szCs w:val="20"/>
        </w:rPr>
      </w:pPr>
      <w:r>
        <w:rPr>
          <w:rFonts w:ascii="Cambria" w:hAnsi="Cambria" w:cs="Calibri"/>
          <w:sz w:val="20"/>
          <w:szCs w:val="20"/>
        </w:rPr>
        <w:t xml:space="preserve">Administrative Management </w:t>
      </w:r>
      <w:r w:rsidR="00397496">
        <w:rPr>
          <w:rFonts w:ascii="Cambria" w:hAnsi="Cambria" w:cs="Calibri"/>
          <w:sz w:val="20"/>
          <w:szCs w:val="20"/>
        </w:rPr>
        <w:t xml:space="preserve">Support </w:t>
      </w:r>
      <w:r>
        <w:rPr>
          <w:rFonts w:ascii="Cambria" w:hAnsi="Cambria" w:cs="Calibri"/>
          <w:sz w:val="20"/>
          <w:szCs w:val="20"/>
        </w:rPr>
        <w:t xml:space="preserve">Section; </w:t>
      </w:r>
    </w:p>
    <w:p w14:paraId="1B753B76" w14:textId="57DCC55A" w:rsidR="009F47B2" w:rsidRPr="00B200D5" w:rsidRDefault="00397496" w:rsidP="00B01989">
      <w:pPr>
        <w:pStyle w:val="ListParagraph"/>
        <w:numPr>
          <w:ilvl w:val="1"/>
          <w:numId w:val="4"/>
        </w:numPr>
        <w:spacing w:after="0" w:line="240" w:lineRule="auto"/>
        <w:ind w:left="1800"/>
        <w:contextualSpacing/>
        <w:jc w:val="both"/>
        <w:rPr>
          <w:rFonts w:ascii="Cambria" w:hAnsi="Cambria" w:cs="Calibri"/>
          <w:sz w:val="20"/>
          <w:szCs w:val="20"/>
        </w:rPr>
      </w:pPr>
      <w:r>
        <w:rPr>
          <w:rFonts w:ascii="Cambria" w:hAnsi="Cambria" w:cs="Calibri"/>
          <w:sz w:val="20"/>
          <w:szCs w:val="20"/>
        </w:rPr>
        <w:t>Fundraising and Project Administration Section</w:t>
      </w:r>
      <w:r w:rsidR="009F47B2" w:rsidRPr="00B200D5">
        <w:rPr>
          <w:rFonts w:ascii="Cambria" w:hAnsi="Cambria" w:cs="Calibri"/>
          <w:sz w:val="20"/>
          <w:szCs w:val="20"/>
        </w:rPr>
        <w:t>;</w:t>
      </w:r>
    </w:p>
    <w:p w14:paraId="7B76D6A9" w14:textId="103DDB97" w:rsidR="009F47B2" w:rsidRPr="00B200D5" w:rsidRDefault="007755DE" w:rsidP="00B01989">
      <w:pPr>
        <w:pStyle w:val="ListParagraph"/>
        <w:numPr>
          <w:ilvl w:val="1"/>
          <w:numId w:val="4"/>
        </w:numPr>
        <w:spacing w:after="0" w:line="240" w:lineRule="auto"/>
        <w:ind w:left="1800"/>
        <w:contextualSpacing/>
        <w:jc w:val="both"/>
        <w:rPr>
          <w:rFonts w:ascii="Cambria" w:hAnsi="Cambria" w:cs="Calibri"/>
          <w:sz w:val="20"/>
          <w:szCs w:val="20"/>
        </w:rPr>
      </w:pPr>
      <w:r>
        <w:rPr>
          <w:rFonts w:ascii="Cambria" w:hAnsi="Cambria" w:cs="Calibri"/>
          <w:sz w:val="20"/>
          <w:szCs w:val="20"/>
        </w:rPr>
        <w:t>Inter</w:t>
      </w:r>
      <w:r w:rsidR="00397496">
        <w:rPr>
          <w:rFonts w:ascii="Cambria" w:hAnsi="Cambria" w:cs="Calibri"/>
          <w:sz w:val="20"/>
          <w:szCs w:val="20"/>
        </w:rPr>
        <w:t xml:space="preserve">institutional Relations Section; and </w:t>
      </w:r>
    </w:p>
    <w:p w14:paraId="19160576" w14:textId="1165AD3D" w:rsidR="009F47B2" w:rsidRPr="00B200D5" w:rsidRDefault="00397496" w:rsidP="00B01989">
      <w:pPr>
        <w:pStyle w:val="ListParagraph"/>
        <w:numPr>
          <w:ilvl w:val="1"/>
          <w:numId w:val="4"/>
        </w:numPr>
        <w:spacing w:after="0" w:line="240" w:lineRule="auto"/>
        <w:ind w:left="1800"/>
        <w:contextualSpacing/>
        <w:jc w:val="both"/>
        <w:rPr>
          <w:rFonts w:ascii="Cambria" w:hAnsi="Cambria" w:cs="Calibri"/>
          <w:sz w:val="20"/>
          <w:szCs w:val="20"/>
        </w:rPr>
      </w:pPr>
      <w:r>
        <w:rPr>
          <w:rFonts w:ascii="Cambria" w:hAnsi="Cambria" w:cs="Calibri"/>
          <w:sz w:val="20"/>
          <w:szCs w:val="20"/>
        </w:rPr>
        <w:t>Technology</w:t>
      </w:r>
      <w:r w:rsidR="002D0DD5">
        <w:rPr>
          <w:rFonts w:ascii="Cambria" w:hAnsi="Cambria" w:cs="Calibri"/>
          <w:sz w:val="20"/>
          <w:szCs w:val="20"/>
        </w:rPr>
        <w:t xml:space="preserve"> and Systems Unit.</w:t>
      </w:r>
    </w:p>
    <w:p w14:paraId="7CDC4147" w14:textId="77777777" w:rsidR="002A55FA" w:rsidRPr="00B200D5" w:rsidRDefault="002A55FA" w:rsidP="00D84420">
      <w:pPr>
        <w:spacing w:after="0" w:line="240" w:lineRule="auto"/>
        <w:ind w:firstLine="720"/>
        <w:jc w:val="both"/>
        <w:rPr>
          <w:rFonts w:ascii="Cambria" w:hAnsi="Cambria"/>
          <w:sz w:val="20"/>
          <w:szCs w:val="20"/>
        </w:rPr>
      </w:pPr>
    </w:p>
    <w:p w14:paraId="28C13096" w14:textId="5814F3E2" w:rsidR="00776737" w:rsidRPr="00B200D5" w:rsidRDefault="00397496" w:rsidP="00D84420">
      <w:pPr>
        <w:pStyle w:val="Heading2"/>
        <w:rPr>
          <w:lang w:val="en-US"/>
        </w:rPr>
      </w:pPr>
      <w:r>
        <w:rPr>
          <w:lang w:val="en-US"/>
        </w:rPr>
        <w:t xml:space="preserve">Personnel Training </w:t>
      </w:r>
    </w:p>
    <w:p w14:paraId="1671C4A2" w14:textId="77777777" w:rsidR="00567CA4" w:rsidRPr="00B200D5" w:rsidRDefault="00567CA4" w:rsidP="00D84420">
      <w:pPr>
        <w:pStyle w:val="ListParagraph"/>
        <w:spacing w:after="0" w:line="240" w:lineRule="auto"/>
        <w:ind w:firstLine="360"/>
        <w:jc w:val="both"/>
        <w:rPr>
          <w:rFonts w:ascii="Cambria" w:hAnsi="Cambria" w:cs="Calibri"/>
          <w:sz w:val="20"/>
          <w:szCs w:val="20"/>
        </w:rPr>
      </w:pPr>
    </w:p>
    <w:p w14:paraId="25914209" w14:textId="76E1E242" w:rsidR="00567CA4" w:rsidRPr="00B200D5" w:rsidRDefault="00397496" w:rsidP="00D84420">
      <w:pPr>
        <w:pStyle w:val="paragraphs"/>
        <w:ind w:left="0" w:firstLine="720"/>
        <w:rPr>
          <w:rFonts w:cs="Calibri"/>
          <w:lang w:val="en-US"/>
        </w:rPr>
      </w:pPr>
      <w:r>
        <w:rPr>
          <w:rFonts w:cs="Calibri"/>
          <w:lang w:val="en-US"/>
        </w:rPr>
        <w:t xml:space="preserve">On July </w:t>
      </w:r>
      <w:r w:rsidR="00567CA4" w:rsidRPr="00B200D5">
        <w:rPr>
          <w:rFonts w:cs="Calibri"/>
          <w:lang w:val="en-US"/>
        </w:rPr>
        <w:t>27</w:t>
      </w:r>
      <w:r>
        <w:rPr>
          <w:rFonts w:cs="Calibri"/>
          <w:lang w:val="en-US"/>
        </w:rPr>
        <w:t>,</w:t>
      </w:r>
      <w:r w:rsidR="00567CA4" w:rsidRPr="00B200D5">
        <w:rPr>
          <w:rFonts w:cs="Calibri"/>
          <w:lang w:val="en-US"/>
        </w:rPr>
        <w:t xml:space="preserve"> 2016, </w:t>
      </w:r>
      <w:r w:rsidR="008A386A">
        <w:rPr>
          <w:rFonts w:cs="Calibri"/>
          <w:lang w:val="en-US"/>
        </w:rPr>
        <w:t xml:space="preserve">the </w:t>
      </w:r>
      <w:r w:rsidR="00567CA4" w:rsidRPr="00B200D5">
        <w:rPr>
          <w:rFonts w:cs="Calibri"/>
          <w:lang w:val="en-US"/>
        </w:rPr>
        <w:t xml:space="preserve">DIAA </w:t>
      </w:r>
      <w:r w:rsidR="008A386A">
        <w:rPr>
          <w:rFonts w:cs="Calibri"/>
          <w:lang w:val="en-US"/>
        </w:rPr>
        <w:t>and the area of Promotion and Public Poli</w:t>
      </w:r>
      <w:r w:rsidR="00A77EE1">
        <w:rPr>
          <w:rFonts w:cs="Calibri"/>
          <w:lang w:val="en-US"/>
        </w:rPr>
        <w:t>c</w:t>
      </w:r>
      <w:r w:rsidR="00567CA4" w:rsidRPr="00B200D5">
        <w:rPr>
          <w:rFonts w:cs="Calibri"/>
          <w:lang w:val="en-US"/>
        </w:rPr>
        <w:t xml:space="preserve">y </w:t>
      </w:r>
      <w:r w:rsidR="00F43BB2">
        <w:rPr>
          <w:rFonts w:cs="Calibri"/>
          <w:lang w:val="en-US"/>
        </w:rPr>
        <w:t xml:space="preserve">jointly conducted a training </w:t>
      </w:r>
      <w:r w:rsidR="001F4F56">
        <w:rPr>
          <w:rFonts w:cs="Calibri"/>
          <w:lang w:val="en-US"/>
        </w:rPr>
        <w:t xml:space="preserve">session </w:t>
      </w:r>
      <w:r w:rsidR="00F43BB2">
        <w:rPr>
          <w:rFonts w:cs="Calibri"/>
          <w:lang w:val="en-US"/>
        </w:rPr>
        <w:t xml:space="preserve">for the Commissioners titled “Introduction to Cultural Diversity and Social Inclusion in the international work place,” </w:t>
      </w:r>
      <w:r w:rsidR="00124B67">
        <w:rPr>
          <w:rFonts w:cs="Calibri"/>
          <w:lang w:val="en-US"/>
        </w:rPr>
        <w:t xml:space="preserve">attended by all of the Commission members and the new Executive Secretary. </w:t>
      </w:r>
      <w:r w:rsidR="003A4F24">
        <w:rPr>
          <w:rFonts w:cs="Calibri"/>
          <w:lang w:val="en-US"/>
        </w:rPr>
        <w:t xml:space="preserve">The lead speaker was Mrs. </w:t>
      </w:r>
      <w:r w:rsidR="00567CA4" w:rsidRPr="00B200D5">
        <w:rPr>
          <w:rFonts w:cs="Calibri"/>
          <w:lang w:val="en-US"/>
        </w:rPr>
        <w:t xml:space="preserve">Zakiya Carr Johnson, </w:t>
      </w:r>
      <w:r w:rsidR="00F659A7">
        <w:rPr>
          <w:rFonts w:cs="Calibri"/>
          <w:lang w:val="en-US"/>
        </w:rPr>
        <w:t xml:space="preserve">Senior Advisor of the Race, Ethnicity and Social Inclusion Unit of the Bureau of Western Hemisphere Affairs of the US Department of State. </w:t>
      </w:r>
    </w:p>
    <w:p w14:paraId="509F1C2D" w14:textId="407A964C" w:rsidR="00776737" w:rsidRPr="00B200D5" w:rsidRDefault="000E42D6" w:rsidP="00D84420">
      <w:pPr>
        <w:pStyle w:val="Heading2"/>
        <w:rPr>
          <w:lang w:val="en-US"/>
        </w:rPr>
      </w:pPr>
      <w:r>
        <w:rPr>
          <w:lang w:val="en-US"/>
        </w:rPr>
        <w:t xml:space="preserve">Financial Resources and Budget Execution </w:t>
      </w:r>
    </w:p>
    <w:p w14:paraId="0308BA13" w14:textId="77777777" w:rsidR="00815EBE" w:rsidRPr="00B200D5" w:rsidRDefault="00815EBE" w:rsidP="00D84420">
      <w:pPr>
        <w:spacing w:after="0" w:line="240" w:lineRule="auto"/>
      </w:pPr>
    </w:p>
    <w:p w14:paraId="00D72893" w14:textId="11665545" w:rsidR="00776737" w:rsidRPr="00B200D5" w:rsidRDefault="00E83573" w:rsidP="005D6345">
      <w:pPr>
        <w:pStyle w:val="Heading3"/>
        <w:rPr>
          <w:lang w:val="en-US"/>
        </w:rPr>
      </w:pPr>
      <w:r>
        <w:rPr>
          <w:lang w:val="en-US"/>
        </w:rPr>
        <w:t>Regular Fund</w:t>
      </w:r>
    </w:p>
    <w:p w14:paraId="593C2F53" w14:textId="77777777" w:rsidR="00815EBE" w:rsidRPr="00B200D5" w:rsidRDefault="00815EBE" w:rsidP="00D84420">
      <w:pPr>
        <w:pStyle w:val="ListParagraph"/>
        <w:spacing w:after="0" w:line="240" w:lineRule="auto"/>
        <w:ind w:firstLine="360"/>
        <w:jc w:val="both"/>
        <w:rPr>
          <w:rFonts w:ascii="Cambria" w:hAnsi="Cambria" w:cs="Calibri"/>
          <w:sz w:val="20"/>
          <w:szCs w:val="20"/>
        </w:rPr>
      </w:pPr>
    </w:p>
    <w:p w14:paraId="74F05C29" w14:textId="20D426FC" w:rsidR="00815EBE" w:rsidRPr="00B200D5" w:rsidRDefault="000228AB" w:rsidP="00D84420">
      <w:pPr>
        <w:pStyle w:val="paragraphs"/>
        <w:ind w:left="0" w:firstLine="720"/>
        <w:rPr>
          <w:rFonts w:cs="Calibri"/>
          <w:lang w:val="en-US"/>
        </w:rPr>
      </w:pPr>
      <w:r>
        <w:rPr>
          <w:rFonts w:cs="Calibri"/>
          <w:lang w:val="en-US"/>
        </w:rPr>
        <w:t>For fiscal year</w:t>
      </w:r>
      <w:r w:rsidR="009220AD">
        <w:rPr>
          <w:rFonts w:cs="Calibri"/>
          <w:lang w:val="en-US"/>
        </w:rPr>
        <w:t xml:space="preserve"> </w:t>
      </w:r>
      <w:r w:rsidR="00F74DA1">
        <w:rPr>
          <w:rFonts w:cs="Calibri"/>
          <w:lang w:val="en-US"/>
        </w:rPr>
        <w:t>2016</w:t>
      </w:r>
      <w:r w:rsidR="00942E1D">
        <w:rPr>
          <w:rFonts w:cs="Calibri"/>
          <w:lang w:val="en-US"/>
        </w:rPr>
        <w:t xml:space="preserve">, the </w:t>
      </w:r>
      <w:r w:rsidR="006B0A2A">
        <w:rPr>
          <w:rFonts w:cs="Calibri"/>
          <w:lang w:val="en-US"/>
        </w:rPr>
        <w:t xml:space="preserve">OAS </w:t>
      </w:r>
      <w:r w:rsidR="00942E1D">
        <w:rPr>
          <w:rFonts w:cs="Calibri"/>
          <w:lang w:val="en-US"/>
        </w:rPr>
        <w:t>General Assembly approv</w:t>
      </w:r>
      <w:r w:rsidR="005E7040">
        <w:rPr>
          <w:rFonts w:cs="Calibri"/>
          <w:lang w:val="en-US"/>
        </w:rPr>
        <w:t xml:space="preserve">ed a budget of $5,634,300 for the IACHR, </w:t>
      </w:r>
      <w:r w:rsidR="008A0C90">
        <w:rPr>
          <w:rFonts w:cs="Calibri"/>
          <w:lang w:val="en-US"/>
        </w:rPr>
        <w:t xml:space="preserve">of which </w:t>
      </w:r>
      <w:r w:rsidR="005E7040">
        <w:rPr>
          <w:rFonts w:cs="Calibri"/>
          <w:lang w:val="en-US"/>
        </w:rPr>
        <w:t xml:space="preserve">$4,651,800 is for personnel </w:t>
      </w:r>
      <w:r w:rsidR="00CC06FE">
        <w:rPr>
          <w:rFonts w:cs="Calibri"/>
          <w:lang w:val="en-US"/>
        </w:rPr>
        <w:t xml:space="preserve">expenditures </w:t>
      </w:r>
      <w:r w:rsidR="005E7040">
        <w:rPr>
          <w:rFonts w:cs="Calibri"/>
          <w:lang w:val="en-US"/>
        </w:rPr>
        <w:t>and $982,500</w:t>
      </w:r>
      <w:r w:rsidR="003F3EDE">
        <w:rPr>
          <w:rFonts w:cs="Calibri"/>
          <w:lang w:val="en-US"/>
        </w:rPr>
        <w:t>,</w:t>
      </w:r>
      <w:r w:rsidR="00A87006">
        <w:rPr>
          <w:rFonts w:cs="Calibri"/>
          <w:lang w:val="en-US"/>
        </w:rPr>
        <w:t xml:space="preserve"> </w:t>
      </w:r>
      <w:r w:rsidR="005E7040">
        <w:rPr>
          <w:rFonts w:cs="Calibri"/>
          <w:lang w:val="en-US"/>
        </w:rPr>
        <w:t xml:space="preserve">for operational expenditures. </w:t>
      </w:r>
      <w:r>
        <w:rPr>
          <w:rFonts w:cs="Calibri"/>
          <w:lang w:val="en-US"/>
        </w:rPr>
        <w:t xml:space="preserve"> </w:t>
      </w:r>
      <w:r w:rsidR="003966FB">
        <w:rPr>
          <w:rFonts w:cs="Calibri"/>
          <w:lang w:val="en-US"/>
        </w:rPr>
        <w:t xml:space="preserve">Even though this 2016 budget </w:t>
      </w:r>
      <w:r w:rsidR="005F4E42">
        <w:rPr>
          <w:rFonts w:cs="Calibri"/>
          <w:lang w:val="en-US"/>
        </w:rPr>
        <w:t>raised the IACHR’s</w:t>
      </w:r>
      <w:r w:rsidR="003966FB">
        <w:rPr>
          <w:rFonts w:cs="Calibri"/>
          <w:lang w:val="en-US"/>
        </w:rPr>
        <w:t xml:space="preserve"> budget allocation</w:t>
      </w:r>
      <w:r w:rsidR="00187DC5">
        <w:rPr>
          <w:rFonts w:cs="Calibri"/>
          <w:lang w:val="en-US"/>
        </w:rPr>
        <w:t xml:space="preserve"> </w:t>
      </w:r>
      <w:r w:rsidR="005F4E42">
        <w:rPr>
          <w:rFonts w:cs="Calibri"/>
          <w:lang w:val="en-US"/>
        </w:rPr>
        <w:t>by $206,400</w:t>
      </w:r>
      <w:r w:rsidR="00187DC5">
        <w:rPr>
          <w:rFonts w:cs="Calibri"/>
          <w:lang w:val="en-US"/>
        </w:rPr>
        <w:t xml:space="preserve"> over </w:t>
      </w:r>
      <w:r w:rsidR="00F162B0">
        <w:rPr>
          <w:rFonts w:cs="Calibri"/>
          <w:lang w:val="en-US"/>
        </w:rPr>
        <w:t xml:space="preserve">the </w:t>
      </w:r>
      <w:r w:rsidR="00187DC5">
        <w:rPr>
          <w:rFonts w:cs="Calibri"/>
          <w:lang w:val="en-US"/>
        </w:rPr>
        <w:t>2015</w:t>
      </w:r>
      <w:r w:rsidR="00F162B0">
        <w:rPr>
          <w:rFonts w:cs="Calibri"/>
          <w:lang w:val="en-US"/>
        </w:rPr>
        <w:t xml:space="preserve"> budget amount</w:t>
      </w:r>
      <w:r w:rsidR="005D327F">
        <w:rPr>
          <w:rFonts w:cs="Calibri"/>
          <w:lang w:val="en-US"/>
        </w:rPr>
        <w:t xml:space="preserve">, </w:t>
      </w:r>
      <w:r w:rsidR="00445AB8">
        <w:rPr>
          <w:rFonts w:cs="Calibri"/>
          <w:lang w:val="en-US"/>
        </w:rPr>
        <w:t xml:space="preserve">the fact of the matter is that </w:t>
      </w:r>
      <w:r w:rsidR="003F3EDE">
        <w:rPr>
          <w:rFonts w:cs="Calibri"/>
          <w:lang w:val="en-US"/>
        </w:rPr>
        <w:t xml:space="preserve">as the year opened, </w:t>
      </w:r>
      <w:r w:rsidR="00445AB8">
        <w:rPr>
          <w:rFonts w:cs="Calibri"/>
          <w:lang w:val="en-US"/>
        </w:rPr>
        <w:t xml:space="preserve">several positions </w:t>
      </w:r>
      <w:r w:rsidR="00F65DBC">
        <w:rPr>
          <w:rFonts w:cs="Calibri"/>
          <w:lang w:val="en-US"/>
        </w:rPr>
        <w:t xml:space="preserve">were still in the process of </w:t>
      </w:r>
      <w:r w:rsidR="00013E86">
        <w:rPr>
          <w:rFonts w:cs="Calibri"/>
          <w:lang w:val="en-US"/>
        </w:rPr>
        <w:t xml:space="preserve">being filled and additional vacancies were left open by departures and </w:t>
      </w:r>
      <w:r w:rsidR="002746BC">
        <w:rPr>
          <w:rFonts w:cs="Calibri"/>
          <w:lang w:val="en-US"/>
        </w:rPr>
        <w:t xml:space="preserve">retirements. As depicted in the graph below, </w:t>
      </w:r>
      <w:r w:rsidR="00221B31">
        <w:rPr>
          <w:rFonts w:cs="Calibri"/>
          <w:lang w:val="en-US"/>
        </w:rPr>
        <w:t>taking into account the</w:t>
      </w:r>
      <w:r w:rsidR="00940A59">
        <w:rPr>
          <w:rFonts w:cs="Calibri"/>
          <w:lang w:val="en-US"/>
        </w:rPr>
        <w:t xml:space="preserve"> factor of</w:t>
      </w:r>
      <w:r w:rsidR="00221B31">
        <w:rPr>
          <w:rFonts w:cs="Calibri"/>
          <w:lang w:val="en-US"/>
        </w:rPr>
        <w:t xml:space="preserve"> vacant positions, the net amount </w:t>
      </w:r>
      <w:r w:rsidR="00751DE5">
        <w:rPr>
          <w:rFonts w:cs="Calibri"/>
          <w:lang w:val="en-US"/>
        </w:rPr>
        <w:t>provided to</w:t>
      </w:r>
      <w:r w:rsidR="00221B31">
        <w:rPr>
          <w:rFonts w:cs="Calibri"/>
          <w:lang w:val="en-US"/>
        </w:rPr>
        <w:t xml:space="preserve"> t</w:t>
      </w:r>
      <w:r w:rsidR="00563478">
        <w:rPr>
          <w:rFonts w:cs="Calibri"/>
          <w:lang w:val="en-US"/>
        </w:rPr>
        <w:t>he IACHR as of October 31, 2016</w:t>
      </w:r>
      <w:r w:rsidR="00221B31">
        <w:rPr>
          <w:rFonts w:cs="Calibri"/>
          <w:lang w:val="en-US"/>
        </w:rPr>
        <w:t xml:space="preserve"> is significantly lower than the amount approved, </w:t>
      </w:r>
      <w:r w:rsidR="00A05A07">
        <w:rPr>
          <w:rFonts w:cs="Calibri"/>
          <w:lang w:val="en-US"/>
        </w:rPr>
        <w:t xml:space="preserve">specifically </w:t>
      </w:r>
      <w:r w:rsidR="00F73583">
        <w:rPr>
          <w:rFonts w:cs="Calibri"/>
          <w:lang w:val="en-US"/>
        </w:rPr>
        <w:t>$841,000</w:t>
      </w:r>
      <w:r w:rsidR="00A05A07">
        <w:rPr>
          <w:rFonts w:cs="Calibri"/>
          <w:lang w:val="en-US"/>
        </w:rPr>
        <w:t xml:space="preserve"> lower</w:t>
      </w:r>
      <w:r w:rsidR="00F73583">
        <w:rPr>
          <w:rFonts w:cs="Calibri"/>
          <w:lang w:val="en-US"/>
        </w:rPr>
        <w:t xml:space="preserve">. </w:t>
      </w:r>
    </w:p>
    <w:p w14:paraId="440C75E6" w14:textId="6CDBC329" w:rsidR="00815EBE" w:rsidRPr="00B200D5" w:rsidRDefault="000E795F" w:rsidP="005D6345">
      <w:pPr>
        <w:spacing w:after="0" w:line="240" w:lineRule="auto"/>
        <w:ind w:left="180"/>
        <w:jc w:val="center"/>
        <w:rPr>
          <w:rFonts w:ascii="Cambria" w:hAnsi="Cambria"/>
          <w:b/>
          <w:sz w:val="20"/>
          <w:szCs w:val="20"/>
        </w:rPr>
      </w:pPr>
      <w:r>
        <w:rPr>
          <w:rFonts w:ascii="Cambria" w:hAnsi="Cambria"/>
          <w:b/>
          <w:noProof/>
          <w:sz w:val="20"/>
          <w:szCs w:val="20"/>
        </w:rPr>
        <w:drawing>
          <wp:inline distT="0" distB="0" distL="0" distR="0" wp14:anchorId="2F6874A1" wp14:editId="62803E1D">
            <wp:extent cx="4095750" cy="29813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0" cy="2981325"/>
                    </a:xfrm>
                    <a:prstGeom prst="rect">
                      <a:avLst/>
                    </a:prstGeom>
                    <a:noFill/>
                    <a:ln>
                      <a:noFill/>
                    </a:ln>
                  </pic:spPr>
                </pic:pic>
              </a:graphicData>
            </a:graphic>
          </wp:inline>
        </w:drawing>
      </w:r>
    </w:p>
    <w:p w14:paraId="2D13CCB3" w14:textId="77777777" w:rsidR="00C52A8F" w:rsidRPr="00B200D5" w:rsidRDefault="00C52A8F" w:rsidP="00D84420">
      <w:pPr>
        <w:spacing w:after="0" w:line="240" w:lineRule="auto"/>
        <w:ind w:left="1080"/>
        <w:rPr>
          <w:rFonts w:ascii="Cambria" w:hAnsi="Cambria"/>
          <w:b/>
          <w:sz w:val="20"/>
          <w:szCs w:val="20"/>
        </w:rPr>
      </w:pPr>
    </w:p>
    <w:p w14:paraId="6BA0C831" w14:textId="48AFA73D" w:rsidR="00D32B65" w:rsidRPr="00B200D5" w:rsidRDefault="00085DA8" w:rsidP="00D84420">
      <w:pPr>
        <w:pStyle w:val="paragraphs"/>
        <w:ind w:left="0" w:firstLine="720"/>
        <w:rPr>
          <w:lang w:val="en-US"/>
        </w:rPr>
      </w:pPr>
      <w:r>
        <w:rPr>
          <w:rFonts w:cs="Calibri"/>
          <w:lang w:val="en-US"/>
        </w:rPr>
        <w:lastRenderedPageBreak/>
        <w:t>Regarding the two P04</w:t>
      </w:r>
      <w:r w:rsidR="006C7188">
        <w:rPr>
          <w:rFonts w:cs="Calibri"/>
          <w:lang w:val="en-US"/>
        </w:rPr>
        <w:t xml:space="preserve"> </w:t>
      </w:r>
      <w:r w:rsidR="00A271FF">
        <w:rPr>
          <w:rFonts w:cs="Calibri"/>
          <w:lang w:val="en-US"/>
        </w:rPr>
        <w:t>level and one of the three G05</w:t>
      </w:r>
      <w:r w:rsidR="006C7188">
        <w:rPr>
          <w:rFonts w:cs="Calibri"/>
          <w:lang w:val="en-US"/>
        </w:rPr>
        <w:t xml:space="preserve"> </w:t>
      </w:r>
      <w:r w:rsidR="00A271FF">
        <w:rPr>
          <w:rFonts w:cs="Calibri"/>
          <w:lang w:val="en-US"/>
        </w:rPr>
        <w:t>level positions</w:t>
      </w:r>
      <w:r w:rsidR="0055717F">
        <w:rPr>
          <w:rFonts w:cs="Calibri"/>
          <w:lang w:val="en-US"/>
        </w:rPr>
        <w:t xml:space="preserve">, as of October 31, 2016, the processes were in the applicant selection </w:t>
      </w:r>
      <w:r w:rsidR="009410BA">
        <w:rPr>
          <w:rFonts w:cs="Calibri"/>
          <w:lang w:val="en-US"/>
        </w:rPr>
        <w:t xml:space="preserve">memorandum </w:t>
      </w:r>
      <w:r w:rsidR="0055717F">
        <w:rPr>
          <w:rFonts w:cs="Calibri"/>
          <w:lang w:val="en-US"/>
        </w:rPr>
        <w:t>phase</w:t>
      </w:r>
      <w:r w:rsidR="00D32B65" w:rsidRPr="00B200D5">
        <w:rPr>
          <w:lang w:val="en-US"/>
        </w:rPr>
        <w:t>.</w:t>
      </w:r>
      <w:r w:rsidR="00D32B65" w:rsidRPr="00B200D5">
        <w:rPr>
          <w:rStyle w:val="FootnoteReference"/>
          <w:lang w:val="en-US"/>
        </w:rPr>
        <w:footnoteReference w:id="2"/>
      </w:r>
      <w:r w:rsidR="00D32B65" w:rsidRPr="00B200D5">
        <w:rPr>
          <w:lang w:val="en-US"/>
        </w:rPr>
        <w:t xml:space="preserve">  </w:t>
      </w:r>
      <w:r w:rsidR="006C7188">
        <w:rPr>
          <w:lang w:val="en-US"/>
        </w:rPr>
        <w:t xml:space="preserve">As for the remaining two G05 </w:t>
      </w:r>
      <w:r w:rsidR="0055631F">
        <w:rPr>
          <w:lang w:val="en-US"/>
        </w:rPr>
        <w:t>level positions, the deadlin</w:t>
      </w:r>
      <w:r w:rsidR="006C7188">
        <w:rPr>
          <w:lang w:val="en-US"/>
        </w:rPr>
        <w:t>e for application was October 9</w:t>
      </w:r>
      <w:r w:rsidR="0055631F">
        <w:rPr>
          <w:lang w:val="en-US"/>
        </w:rPr>
        <w:t xml:space="preserve"> </w:t>
      </w:r>
      <w:r w:rsidR="006C7188">
        <w:rPr>
          <w:lang w:val="en-US"/>
        </w:rPr>
        <w:t>and the more than 100 applicants</w:t>
      </w:r>
      <w:r w:rsidR="0055631F">
        <w:rPr>
          <w:lang w:val="en-US"/>
        </w:rPr>
        <w:t xml:space="preserve"> are b</w:t>
      </w:r>
      <w:r w:rsidR="00EC4B24">
        <w:rPr>
          <w:lang w:val="en-US"/>
        </w:rPr>
        <w:t xml:space="preserve">eing </w:t>
      </w:r>
      <w:r w:rsidR="00EB32AC">
        <w:rPr>
          <w:lang w:val="en-US"/>
        </w:rPr>
        <w:t xml:space="preserve">vetted </w:t>
      </w:r>
      <w:r w:rsidR="00CC1319">
        <w:rPr>
          <w:lang w:val="en-US"/>
        </w:rPr>
        <w:t xml:space="preserve">to determine which ones meet </w:t>
      </w:r>
      <w:r w:rsidR="003F3469">
        <w:rPr>
          <w:lang w:val="en-US"/>
        </w:rPr>
        <w:t>eligibility criteria</w:t>
      </w:r>
      <w:r w:rsidR="00D32B65" w:rsidRPr="00B200D5">
        <w:rPr>
          <w:lang w:val="en-US"/>
        </w:rPr>
        <w:t>.</w:t>
      </w:r>
    </w:p>
    <w:p w14:paraId="122CDF7D" w14:textId="582A038A" w:rsidR="00D32B65" w:rsidRPr="00B200D5" w:rsidRDefault="000B37F6" w:rsidP="002C1CB9">
      <w:pPr>
        <w:pStyle w:val="paragraphs"/>
        <w:widowControl w:val="0"/>
        <w:ind w:left="0" w:firstLine="720"/>
        <w:rPr>
          <w:lang w:val="en-US"/>
        </w:rPr>
      </w:pPr>
      <w:r>
        <w:rPr>
          <w:lang w:val="en-US"/>
        </w:rPr>
        <w:t>In l</w:t>
      </w:r>
      <w:r w:rsidR="00705CCC">
        <w:rPr>
          <w:lang w:val="en-US"/>
        </w:rPr>
        <w:t xml:space="preserve">ooking </w:t>
      </w:r>
      <w:r w:rsidR="001938D8">
        <w:rPr>
          <w:lang w:val="en-US"/>
        </w:rPr>
        <w:t xml:space="preserve">at </w:t>
      </w:r>
      <w:r w:rsidR="0071098D">
        <w:rPr>
          <w:lang w:val="en-US"/>
        </w:rPr>
        <w:t>2017, it is</w:t>
      </w:r>
      <w:r w:rsidR="00B925E1">
        <w:rPr>
          <w:lang w:val="en-US"/>
        </w:rPr>
        <w:t xml:space="preserve"> important</w:t>
      </w:r>
      <w:r w:rsidR="00705CCC">
        <w:rPr>
          <w:lang w:val="en-US"/>
        </w:rPr>
        <w:t xml:space="preserve"> to stress </w:t>
      </w:r>
      <w:r w:rsidR="00C66BC5">
        <w:rPr>
          <w:lang w:val="en-US"/>
        </w:rPr>
        <w:t>once again</w:t>
      </w:r>
      <w:r w:rsidR="00FF25B2">
        <w:rPr>
          <w:lang w:val="en-US"/>
        </w:rPr>
        <w:t xml:space="preserve"> that</w:t>
      </w:r>
      <w:r w:rsidR="00C66BC5">
        <w:rPr>
          <w:lang w:val="en-US"/>
        </w:rPr>
        <w:t xml:space="preserve"> </w:t>
      </w:r>
      <w:r w:rsidR="00850FCE">
        <w:rPr>
          <w:lang w:val="en-US"/>
        </w:rPr>
        <w:t xml:space="preserve">despite </w:t>
      </w:r>
      <w:r w:rsidR="005A5410">
        <w:rPr>
          <w:lang w:val="en-US"/>
        </w:rPr>
        <w:t xml:space="preserve">the </w:t>
      </w:r>
      <w:r w:rsidR="00850FCE">
        <w:rPr>
          <w:lang w:val="en-US"/>
        </w:rPr>
        <w:t xml:space="preserve">drastic cuts </w:t>
      </w:r>
      <w:r w:rsidR="00CA0717">
        <w:rPr>
          <w:lang w:val="en-US"/>
        </w:rPr>
        <w:t xml:space="preserve">made </w:t>
      </w:r>
      <w:r w:rsidR="00BE45A7">
        <w:rPr>
          <w:lang w:val="en-US"/>
        </w:rPr>
        <w:t xml:space="preserve">across the board at </w:t>
      </w:r>
      <w:r w:rsidR="00850FCE">
        <w:rPr>
          <w:lang w:val="en-US"/>
        </w:rPr>
        <w:t>the organization, the General Assembly agreed to not cut the budget of the Inter-American</w:t>
      </w:r>
      <w:r w:rsidR="00805861">
        <w:rPr>
          <w:lang w:val="en-US"/>
        </w:rPr>
        <w:t xml:space="preserve"> human rights protection system and negotiations are ongoing to</w:t>
      </w:r>
      <w:r w:rsidR="006000C0">
        <w:rPr>
          <w:lang w:val="en-US"/>
        </w:rPr>
        <w:t xml:space="preserve"> consider a proposal </w:t>
      </w:r>
      <w:r w:rsidR="00147739">
        <w:rPr>
          <w:lang w:val="en-US"/>
        </w:rPr>
        <w:t xml:space="preserve">to maybe double the amount of resources coming from the </w:t>
      </w:r>
      <w:r w:rsidR="000B7195">
        <w:rPr>
          <w:lang w:val="en-US"/>
        </w:rPr>
        <w:t>Regular Fund to the IA</w:t>
      </w:r>
      <w:r w:rsidR="00260144">
        <w:rPr>
          <w:lang w:val="en-US"/>
        </w:rPr>
        <w:t>CHR</w:t>
      </w:r>
      <w:r w:rsidR="00416389">
        <w:rPr>
          <w:lang w:val="en-US"/>
        </w:rPr>
        <w:t>/ES</w:t>
      </w:r>
      <w:r w:rsidR="00AE0C7C">
        <w:rPr>
          <w:lang w:val="en-US"/>
        </w:rPr>
        <w:t xml:space="preserve">.  This proposal, introduced by the Government of Mexico, </w:t>
      </w:r>
      <w:r w:rsidR="006E58F3">
        <w:rPr>
          <w:lang w:val="en-US"/>
        </w:rPr>
        <w:t>will be considered at</w:t>
      </w:r>
      <w:r w:rsidR="004B5EBE">
        <w:rPr>
          <w:lang w:val="en-US"/>
        </w:rPr>
        <w:t xml:space="preserve"> the 47</w:t>
      </w:r>
      <w:r w:rsidR="004B5EBE" w:rsidRPr="004B5EBE">
        <w:rPr>
          <w:vertAlign w:val="superscript"/>
          <w:lang w:val="en-US"/>
        </w:rPr>
        <w:t>th</w:t>
      </w:r>
      <w:r w:rsidR="004B5EBE">
        <w:rPr>
          <w:lang w:val="en-US"/>
        </w:rPr>
        <w:t xml:space="preserve"> General Assembly in June 2017. </w:t>
      </w:r>
    </w:p>
    <w:p w14:paraId="5E86703C" w14:textId="23C2BB1F" w:rsidR="00237379" w:rsidRPr="00B200D5" w:rsidRDefault="004C706F" w:rsidP="002C1CB9">
      <w:pPr>
        <w:pStyle w:val="paragraphs"/>
        <w:widowControl w:val="0"/>
        <w:ind w:left="0" w:firstLine="720"/>
        <w:rPr>
          <w:rFonts w:cs="Calibri"/>
          <w:lang w:val="en-US"/>
        </w:rPr>
      </w:pPr>
      <w:r>
        <w:rPr>
          <w:rFonts w:cs="Calibri"/>
          <w:lang w:val="en-US"/>
        </w:rPr>
        <w:t>With regard to execution of its regular fund allocation fo</w:t>
      </w:r>
      <w:r w:rsidR="003B46C7">
        <w:rPr>
          <w:rFonts w:cs="Calibri"/>
          <w:lang w:val="en-US"/>
        </w:rPr>
        <w:t>r 2016, as of October 31, 2016</w:t>
      </w:r>
      <w:r w:rsidR="00237379" w:rsidRPr="00B200D5">
        <w:rPr>
          <w:rFonts w:cs="Calibri"/>
          <w:lang w:val="en-US"/>
        </w:rPr>
        <w:t>,</w:t>
      </w:r>
      <w:r w:rsidR="00237379" w:rsidRPr="00B200D5">
        <w:rPr>
          <w:rStyle w:val="FootnoteReference"/>
          <w:rFonts w:cs="Calibri"/>
          <w:lang w:val="en-US"/>
        </w:rPr>
        <w:footnoteReference w:id="3"/>
      </w:r>
      <w:r w:rsidR="00237379" w:rsidRPr="00B200D5">
        <w:rPr>
          <w:rFonts w:cs="Calibri"/>
          <w:lang w:val="en-US"/>
        </w:rPr>
        <w:t xml:space="preserve"> </w:t>
      </w:r>
      <w:r w:rsidR="008665AA">
        <w:rPr>
          <w:rFonts w:cs="Calibri"/>
          <w:lang w:val="en-US"/>
        </w:rPr>
        <w:t xml:space="preserve">the IACHR had executed 83%, with a </w:t>
      </w:r>
      <w:r w:rsidR="00AC7297">
        <w:rPr>
          <w:rFonts w:cs="Calibri"/>
          <w:lang w:val="en-US"/>
        </w:rPr>
        <w:t xml:space="preserve">balance of </w:t>
      </w:r>
      <w:r w:rsidR="003E7723">
        <w:rPr>
          <w:rFonts w:cs="Calibri"/>
          <w:lang w:val="en-US"/>
        </w:rPr>
        <w:t>US$810,</w:t>
      </w:r>
      <w:r w:rsidR="00237379" w:rsidRPr="00B200D5">
        <w:rPr>
          <w:rFonts w:cs="Calibri"/>
          <w:lang w:val="en-US"/>
        </w:rPr>
        <w:t xml:space="preserve">900, </w:t>
      </w:r>
      <w:r w:rsidR="00AC7297">
        <w:rPr>
          <w:rFonts w:cs="Calibri"/>
          <w:lang w:val="en-US"/>
        </w:rPr>
        <w:t>against which</w:t>
      </w:r>
      <w:r w:rsidR="005C0946">
        <w:rPr>
          <w:rFonts w:cs="Calibri"/>
          <w:lang w:val="en-US"/>
        </w:rPr>
        <w:t xml:space="preserve"> </w:t>
      </w:r>
      <w:r w:rsidR="00284929">
        <w:rPr>
          <w:rFonts w:cs="Calibri"/>
          <w:lang w:val="en-US"/>
        </w:rPr>
        <w:t xml:space="preserve">prior obligations in </w:t>
      </w:r>
      <w:r w:rsidR="005C0946">
        <w:rPr>
          <w:rFonts w:cs="Calibri"/>
          <w:lang w:val="en-US"/>
        </w:rPr>
        <w:t>the amount of</w:t>
      </w:r>
      <w:r w:rsidR="00AC7297">
        <w:rPr>
          <w:rFonts w:cs="Calibri"/>
          <w:lang w:val="en-US"/>
        </w:rPr>
        <w:t xml:space="preserve"> </w:t>
      </w:r>
      <w:r w:rsidR="007F0862">
        <w:rPr>
          <w:rFonts w:cs="Calibri"/>
          <w:lang w:val="en-US"/>
        </w:rPr>
        <w:t>US$74</w:t>
      </w:r>
      <w:r w:rsidR="00B31105">
        <w:rPr>
          <w:rFonts w:cs="Calibri"/>
          <w:lang w:val="en-US"/>
        </w:rPr>
        <w:t>1</w:t>
      </w:r>
      <w:r w:rsidR="007F0862">
        <w:rPr>
          <w:rFonts w:cs="Calibri"/>
          <w:lang w:val="en-US"/>
        </w:rPr>
        <w:t>,</w:t>
      </w:r>
      <w:r w:rsidR="00AC7297" w:rsidRPr="00B200D5">
        <w:rPr>
          <w:rFonts w:cs="Calibri"/>
          <w:lang w:val="en-US"/>
        </w:rPr>
        <w:t>000</w:t>
      </w:r>
      <w:r w:rsidR="00AC7297">
        <w:rPr>
          <w:rFonts w:cs="Calibri"/>
          <w:lang w:val="en-US"/>
        </w:rPr>
        <w:t xml:space="preserve"> </w:t>
      </w:r>
      <w:r w:rsidR="00074ED4">
        <w:rPr>
          <w:rFonts w:cs="Calibri"/>
          <w:lang w:val="en-US"/>
        </w:rPr>
        <w:t>were o</w:t>
      </w:r>
      <w:r w:rsidR="00B31105">
        <w:rPr>
          <w:rFonts w:cs="Calibri"/>
          <w:lang w:val="en-US"/>
        </w:rPr>
        <w:t>n the ledger.</w:t>
      </w:r>
      <w:r w:rsidR="00237379" w:rsidRPr="00B200D5">
        <w:rPr>
          <w:rFonts w:cs="Calibri"/>
          <w:lang w:val="en-US"/>
        </w:rPr>
        <w:t xml:space="preserve"> </w:t>
      </w:r>
    </w:p>
    <w:p w14:paraId="7150E892" w14:textId="501F5C6B" w:rsidR="00237379" w:rsidRPr="00B200D5" w:rsidRDefault="000E795F" w:rsidP="004451DF">
      <w:pPr>
        <w:pStyle w:val="ListParagraph"/>
        <w:spacing w:after="0" w:line="240" w:lineRule="auto"/>
        <w:ind w:left="180"/>
        <w:jc w:val="center"/>
        <w:rPr>
          <w:rFonts w:ascii="Cambria" w:hAnsi="Cambria"/>
          <w:sz w:val="20"/>
          <w:szCs w:val="20"/>
        </w:rPr>
      </w:pPr>
      <w:r>
        <w:rPr>
          <w:rFonts w:ascii="Cambria" w:hAnsi="Cambria"/>
          <w:noProof/>
          <w:sz w:val="20"/>
          <w:szCs w:val="20"/>
        </w:rPr>
        <w:drawing>
          <wp:inline distT="0" distB="0" distL="0" distR="0" wp14:anchorId="18292F1E" wp14:editId="55B306F9">
            <wp:extent cx="4914900"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3343275"/>
                    </a:xfrm>
                    <a:prstGeom prst="rect">
                      <a:avLst/>
                    </a:prstGeom>
                    <a:noFill/>
                    <a:ln>
                      <a:noFill/>
                    </a:ln>
                  </pic:spPr>
                </pic:pic>
              </a:graphicData>
            </a:graphic>
          </wp:inline>
        </w:drawing>
      </w:r>
    </w:p>
    <w:p w14:paraId="47F71BE7" w14:textId="6D729E59" w:rsidR="00776737" w:rsidRPr="00B200D5" w:rsidRDefault="00612391" w:rsidP="002C1CB9">
      <w:pPr>
        <w:pStyle w:val="Heading3"/>
        <w:rPr>
          <w:lang w:val="en-US"/>
        </w:rPr>
      </w:pPr>
      <w:r>
        <w:rPr>
          <w:lang w:val="en-US"/>
        </w:rPr>
        <w:t xml:space="preserve">Specific Funds </w:t>
      </w:r>
    </w:p>
    <w:p w14:paraId="6DF6584A" w14:textId="77777777" w:rsidR="000015B2" w:rsidRPr="00B200D5" w:rsidRDefault="000015B2" w:rsidP="00D84420">
      <w:pPr>
        <w:spacing w:after="0" w:line="240" w:lineRule="auto"/>
        <w:ind w:left="1080"/>
        <w:rPr>
          <w:rFonts w:ascii="Cambria" w:hAnsi="Cambria"/>
          <w:b/>
          <w:sz w:val="20"/>
          <w:szCs w:val="20"/>
        </w:rPr>
      </w:pPr>
    </w:p>
    <w:p w14:paraId="1EA5F3E3" w14:textId="42851038" w:rsidR="000015B2" w:rsidRPr="00B200D5" w:rsidRDefault="00226D42" w:rsidP="00D84420">
      <w:pPr>
        <w:pStyle w:val="paragraphs"/>
        <w:ind w:left="0" w:firstLine="720"/>
        <w:rPr>
          <w:rFonts w:cs="Calibri"/>
          <w:lang w:val="en-US"/>
        </w:rPr>
      </w:pPr>
      <w:r>
        <w:rPr>
          <w:rFonts w:cs="Calibri"/>
          <w:lang w:val="en-US"/>
        </w:rPr>
        <w:t xml:space="preserve">As of October 31, 2016, a total of </w:t>
      </w:r>
      <w:r w:rsidRPr="00B200D5">
        <w:rPr>
          <w:rFonts w:cs="Calibri"/>
          <w:lang w:val="en-US"/>
        </w:rPr>
        <w:t xml:space="preserve">US$ 5,305.900 </w:t>
      </w:r>
      <w:r>
        <w:rPr>
          <w:rFonts w:cs="Calibri"/>
          <w:lang w:val="en-US"/>
        </w:rPr>
        <w:t>wa</w:t>
      </w:r>
      <w:r w:rsidR="00415DC8">
        <w:rPr>
          <w:rFonts w:cs="Calibri"/>
          <w:lang w:val="en-US"/>
        </w:rPr>
        <w:t>s received from contributions by</w:t>
      </w:r>
      <w:r>
        <w:rPr>
          <w:rFonts w:cs="Calibri"/>
          <w:lang w:val="en-US"/>
        </w:rPr>
        <w:t xml:space="preserve"> the following Member States: </w:t>
      </w:r>
      <w:r w:rsidR="00434E76">
        <w:rPr>
          <w:rFonts w:cs="Calibri"/>
          <w:lang w:val="en-US"/>
        </w:rPr>
        <w:t>Antigua and Barbuda</w:t>
      </w:r>
      <w:r w:rsidR="000015B2" w:rsidRPr="00B200D5">
        <w:rPr>
          <w:rFonts w:cs="Calibri"/>
          <w:lang w:val="en-US"/>
        </w:rPr>
        <w:t xml:space="preserve">, Argentina, Chile, Colombia, Costa Rica, </w:t>
      </w:r>
      <w:r w:rsidR="00C55A94">
        <w:rPr>
          <w:rFonts w:cs="Calibri"/>
          <w:lang w:val="en-US"/>
        </w:rPr>
        <w:t xml:space="preserve">United States, Mexico, Panama, Peru, Uruguay; from Permanent Observers: Denmark, Spain, </w:t>
      </w:r>
      <w:r w:rsidR="00104E6E">
        <w:rPr>
          <w:rFonts w:cs="Calibri"/>
          <w:lang w:val="en-US"/>
        </w:rPr>
        <w:t xml:space="preserve">Sweden, </w:t>
      </w:r>
      <w:r w:rsidR="00C55A94">
        <w:rPr>
          <w:rFonts w:cs="Calibri"/>
          <w:lang w:val="en-US"/>
        </w:rPr>
        <w:t>Switzerland,</w:t>
      </w:r>
      <w:r w:rsidR="00B84065">
        <w:rPr>
          <w:rFonts w:cs="Calibri"/>
          <w:lang w:val="en-US"/>
        </w:rPr>
        <w:t xml:space="preserve"> European Union; and from non-</w:t>
      </w:r>
      <w:r w:rsidR="00104E6E">
        <w:rPr>
          <w:rFonts w:cs="Calibri"/>
          <w:lang w:val="en-US"/>
        </w:rPr>
        <w:t xml:space="preserve">member states and others: UNHCR, </w:t>
      </w:r>
      <w:r w:rsidR="00751DE5">
        <w:rPr>
          <w:rFonts w:cs="Calibri"/>
          <w:lang w:val="en-US"/>
        </w:rPr>
        <w:t>Av</w:t>
      </w:r>
      <w:r w:rsidR="00104E6E">
        <w:rPr>
          <w:rFonts w:cs="Calibri"/>
          <w:lang w:val="en-US"/>
        </w:rPr>
        <w:t xml:space="preserve">inna, </w:t>
      </w:r>
      <w:r w:rsidR="00104E6E" w:rsidRPr="00B200D5">
        <w:rPr>
          <w:rFonts w:cs="Calibri"/>
          <w:lang w:val="en-US"/>
        </w:rPr>
        <w:t>Arcus</w:t>
      </w:r>
      <w:r w:rsidR="00751DE5">
        <w:rPr>
          <w:rFonts w:cs="Calibri"/>
          <w:lang w:val="en-US"/>
        </w:rPr>
        <w:t xml:space="preserve"> Foundation</w:t>
      </w:r>
      <w:r w:rsidR="000A2541">
        <w:rPr>
          <w:rFonts w:cs="Calibri"/>
          <w:lang w:val="en-US"/>
        </w:rPr>
        <w:t xml:space="preserve">, </w:t>
      </w:r>
      <w:r w:rsidR="00751DE5">
        <w:rPr>
          <w:rFonts w:cs="Calibri"/>
          <w:lang w:val="en-US"/>
        </w:rPr>
        <w:t xml:space="preserve">University of </w:t>
      </w:r>
      <w:r w:rsidR="00104E6E">
        <w:rPr>
          <w:rFonts w:cs="Calibri"/>
          <w:lang w:val="en-US"/>
        </w:rPr>
        <w:t xml:space="preserve">Notre Dame and Stanford University. </w:t>
      </w:r>
      <w:r w:rsidR="00D2559E">
        <w:rPr>
          <w:rFonts w:cs="Calibri"/>
          <w:lang w:val="en-US"/>
        </w:rPr>
        <w:t xml:space="preserve"> Table No. 2 shows contributions to IACHR specific funds as of January 1 to October 31, 2016. Specific funds are donations over and above any regular contributions of Member States to the Organization, and are specifically earmarked for </w:t>
      </w:r>
      <w:r w:rsidR="007B7359">
        <w:rPr>
          <w:rFonts w:cs="Calibri"/>
          <w:lang w:val="en-US"/>
        </w:rPr>
        <w:t xml:space="preserve">certain purposes, themes or projects. </w:t>
      </w:r>
    </w:p>
    <w:p w14:paraId="5F8A1F9C" w14:textId="140B38B7" w:rsidR="00776737" w:rsidRDefault="000015B2" w:rsidP="00492E93">
      <w:pPr>
        <w:spacing w:after="0" w:line="240" w:lineRule="auto"/>
        <w:ind w:left="1080"/>
        <w:jc w:val="center"/>
        <w:rPr>
          <w:rFonts w:ascii="Cambria" w:hAnsi="Cambria"/>
          <w:b/>
          <w:sz w:val="20"/>
          <w:szCs w:val="20"/>
        </w:rPr>
      </w:pPr>
      <w:r w:rsidRPr="00B200D5">
        <w:rPr>
          <w:rFonts w:ascii="Cambria" w:hAnsi="Cambria"/>
          <w:b/>
          <w:sz w:val="20"/>
          <w:szCs w:val="20"/>
        </w:rPr>
        <w:br w:type="page"/>
      </w:r>
      <w:r w:rsidR="00676D5F">
        <w:rPr>
          <w:rFonts w:ascii="Cambria" w:hAnsi="Cambria"/>
          <w:b/>
          <w:sz w:val="20"/>
          <w:szCs w:val="20"/>
        </w:rPr>
        <w:lastRenderedPageBreak/>
        <w:t>Table</w:t>
      </w:r>
      <w:r w:rsidRPr="00B200D5">
        <w:rPr>
          <w:rFonts w:ascii="Cambria" w:hAnsi="Cambria"/>
          <w:b/>
          <w:sz w:val="20"/>
          <w:szCs w:val="20"/>
        </w:rPr>
        <w:t xml:space="preserve"> 2.</w:t>
      </w:r>
    </w:p>
    <w:p w14:paraId="1FB94B5C" w14:textId="14D3DBDF" w:rsidR="00C35B98" w:rsidRDefault="00C35B98" w:rsidP="00492E93">
      <w:pPr>
        <w:spacing w:after="0" w:line="240" w:lineRule="auto"/>
        <w:ind w:left="1080"/>
        <w:jc w:val="center"/>
        <w:rPr>
          <w:rFonts w:ascii="Cambria" w:hAnsi="Cambria"/>
          <w:b/>
          <w:sz w:val="20"/>
          <w:szCs w:val="20"/>
        </w:rPr>
      </w:pPr>
      <w:r w:rsidRPr="000E795F">
        <w:rPr>
          <w:noProof/>
        </w:rPr>
        <w:drawing>
          <wp:inline distT="0" distB="0" distL="0" distR="0" wp14:anchorId="1EA6C4A5" wp14:editId="7ED29E1E">
            <wp:extent cx="5111316" cy="7658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1316" cy="7658100"/>
                    </a:xfrm>
                    <a:prstGeom prst="rect">
                      <a:avLst/>
                    </a:prstGeom>
                    <a:noFill/>
                    <a:ln>
                      <a:noFill/>
                    </a:ln>
                  </pic:spPr>
                </pic:pic>
              </a:graphicData>
            </a:graphic>
          </wp:inline>
        </w:drawing>
      </w:r>
    </w:p>
    <w:p w14:paraId="228CB8D4" w14:textId="77777777" w:rsidR="00C35B98" w:rsidRDefault="00C35B98" w:rsidP="00492E93">
      <w:pPr>
        <w:spacing w:after="0" w:line="240" w:lineRule="auto"/>
        <w:ind w:left="1080"/>
        <w:jc w:val="center"/>
        <w:rPr>
          <w:rFonts w:ascii="Cambria" w:hAnsi="Cambria"/>
          <w:b/>
          <w:sz w:val="20"/>
          <w:szCs w:val="20"/>
        </w:rPr>
      </w:pPr>
    </w:p>
    <w:p w14:paraId="0B9B5D88" w14:textId="77777777" w:rsidR="00C35B98" w:rsidRDefault="00C35B98" w:rsidP="00492E93">
      <w:pPr>
        <w:spacing w:after="0" w:line="240" w:lineRule="auto"/>
        <w:ind w:left="1080"/>
        <w:jc w:val="center"/>
        <w:rPr>
          <w:rFonts w:ascii="Cambria" w:hAnsi="Cambria"/>
          <w:b/>
          <w:sz w:val="20"/>
          <w:szCs w:val="20"/>
        </w:rPr>
      </w:pPr>
    </w:p>
    <w:p w14:paraId="4FD761E8" w14:textId="77777777" w:rsidR="00C35B98" w:rsidRPr="00B200D5" w:rsidRDefault="00C35B98" w:rsidP="00492E93">
      <w:pPr>
        <w:spacing w:after="0" w:line="240" w:lineRule="auto"/>
        <w:ind w:left="1080"/>
        <w:jc w:val="center"/>
        <w:rPr>
          <w:rFonts w:ascii="Cambria" w:hAnsi="Cambria"/>
          <w:b/>
          <w:sz w:val="20"/>
          <w:szCs w:val="20"/>
        </w:rPr>
      </w:pPr>
    </w:p>
    <w:p w14:paraId="7520FD6C" w14:textId="53353FB8" w:rsidR="00246EC7" w:rsidRPr="00A415BA" w:rsidRDefault="001244C5" w:rsidP="00A415BA">
      <w:pPr>
        <w:pStyle w:val="paragraphs"/>
        <w:ind w:left="0" w:firstLine="720"/>
        <w:rPr>
          <w:rFonts w:cs="Calibri"/>
          <w:lang w:val="en-US"/>
        </w:rPr>
      </w:pPr>
      <w:r w:rsidRPr="00A415BA">
        <w:rPr>
          <w:lang w:val="en-US"/>
        </w:rPr>
        <w:t xml:space="preserve">It must be noted that </w:t>
      </w:r>
      <w:r w:rsidR="00DC0044" w:rsidRPr="00A415BA">
        <w:rPr>
          <w:lang w:val="en-US"/>
        </w:rPr>
        <w:t xml:space="preserve">even taking into </w:t>
      </w:r>
      <w:r w:rsidRPr="00A415BA">
        <w:rPr>
          <w:lang w:val="en-US"/>
        </w:rPr>
        <w:t xml:space="preserve">account the Member States’ commitment to endow the IACHR with financial resources, </w:t>
      </w:r>
      <w:r w:rsidR="00B572CB" w:rsidRPr="00A415BA">
        <w:rPr>
          <w:lang w:val="en-US"/>
        </w:rPr>
        <w:t xml:space="preserve">the Regular Fund accounts for only around half of the annual executed budget of the Executive Secretariat. </w:t>
      </w:r>
    </w:p>
    <w:p w14:paraId="0DA716B7" w14:textId="31D01E3A" w:rsidR="00246EC7" w:rsidRDefault="000E795F" w:rsidP="00492E93">
      <w:pPr>
        <w:spacing w:after="0" w:line="240" w:lineRule="auto"/>
        <w:ind w:left="-630"/>
        <w:jc w:val="center"/>
        <w:rPr>
          <w:rFonts w:ascii="Cambria" w:hAnsi="Cambria" w:cs="Calibri"/>
          <w:sz w:val="20"/>
          <w:szCs w:val="20"/>
        </w:rPr>
      </w:pPr>
      <w:r>
        <w:rPr>
          <w:rFonts w:ascii="Cambria" w:hAnsi="Cambria" w:cs="Calibri"/>
          <w:noProof/>
          <w:sz w:val="20"/>
          <w:szCs w:val="20"/>
        </w:rPr>
        <w:drawing>
          <wp:inline distT="0" distB="0" distL="0" distR="0" wp14:anchorId="737DD952" wp14:editId="190D645E">
            <wp:extent cx="5038725"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3429000"/>
                    </a:xfrm>
                    <a:prstGeom prst="rect">
                      <a:avLst/>
                    </a:prstGeom>
                    <a:noFill/>
                    <a:ln>
                      <a:noFill/>
                    </a:ln>
                  </pic:spPr>
                </pic:pic>
              </a:graphicData>
            </a:graphic>
          </wp:inline>
        </w:drawing>
      </w:r>
    </w:p>
    <w:p w14:paraId="49235D90" w14:textId="77777777" w:rsidR="00492E93" w:rsidRDefault="00492E93" w:rsidP="00492E93">
      <w:pPr>
        <w:spacing w:after="0" w:line="240" w:lineRule="auto"/>
        <w:ind w:left="-630"/>
        <w:jc w:val="center"/>
        <w:rPr>
          <w:rFonts w:ascii="Cambria" w:hAnsi="Cambria" w:cs="Calibri"/>
          <w:sz w:val="20"/>
          <w:szCs w:val="20"/>
        </w:rPr>
      </w:pPr>
    </w:p>
    <w:p w14:paraId="3DFD0120" w14:textId="6327AFA4" w:rsidR="00BE19A0" w:rsidRPr="00B200D5" w:rsidRDefault="000E795F" w:rsidP="00D84420">
      <w:pPr>
        <w:spacing w:after="0" w:line="240" w:lineRule="auto"/>
        <w:jc w:val="center"/>
        <w:rPr>
          <w:rFonts w:ascii="Cambria" w:hAnsi="Cambria" w:cs="Calibri"/>
          <w:sz w:val="20"/>
          <w:szCs w:val="20"/>
        </w:rPr>
      </w:pPr>
      <w:r>
        <w:rPr>
          <w:rFonts w:ascii="Cambria" w:hAnsi="Cambria" w:cs="Calibri"/>
          <w:noProof/>
          <w:sz w:val="20"/>
          <w:szCs w:val="20"/>
        </w:rPr>
        <w:drawing>
          <wp:inline distT="0" distB="0" distL="0" distR="0" wp14:anchorId="75DA4FB7" wp14:editId="50DA5625">
            <wp:extent cx="5248275" cy="3571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275" cy="3571875"/>
                    </a:xfrm>
                    <a:prstGeom prst="rect">
                      <a:avLst/>
                    </a:prstGeom>
                    <a:noFill/>
                    <a:ln>
                      <a:noFill/>
                    </a:ln>
                  </pic:spPr>
                </pic:pic>
              </a:graphicData>
            </a:graphic>
          </wp:inline>
        </w:drawing>
      </w:r>
    </w:p>
    <w:p w14:paraId="2E20F8BA" w14:textId="77777777" w:rsidR="00BE19A0" w:rsidRPr="00B200D5" w:rsidRDefault="00BE19A0" w:rsidP="00D84420">
      <w:pPr>
        <w:spacing w:after="0" w:line="240" w:lineRule="auto"/>
        <w:rPr>
          <w:rFonts w:ascii="Cambria" w:hAnsi="Cambria" w:cs="Calibri"/>
          <w:sz w:val="20"/>
          <w:szCs w:val="20"/>
        </w:rPr>
      </w:pPr>
    </w:p>
    <w:p w14:paraId="65F7D4E1" w14:textId="5A33A650" w:rsidR="00776737" w:rsidRPr="00B200D5" w:rsidRDefault="00EA129C" w:rsidP="00D84420">
      <w:pPr>
        <w:pStyle w:val="Heading2"/>
        <w:rPr>
          <w:lang w:val="en-US"/>
        </w:rPr>
      </w:pPr>
      <w:r>
        <w:rPr>
          <w:lang w:val="en-US"/>
        </w:rPr>
        <w:lastRenderedPageBreak/>
        <w:t xml:space="preserve">Fundraising and Project Administration </w:t>
      </w:r>
    </w:p>
    <w:p w14:paraId="6FAEA768" w14:textId="77777777" w:rsidR="00C01A19" w:rsidRPr="00B200D5" w:rsidRDefault="00C01A19" w:rsidP="00C01A19">
      <w:pPr>
        <w:spacing w:after="0" w:line="240" w:lineRule="auto"/>
        <w:ind w:left="1440" w:hanging="720"/>
        <w:jc w:val="both"/>
        <w:rPr>
          <w:rFonts w:ascii="Cambria" w:eastAsia="Cambria" w:hAnsi="Cambria" w:cs="Cambria"/>
          <w:sz w:val="20"/>
          <w:szCs w:val="20"/>
        </w:rPr>
      </w:pPr>
    </w:p>
    <w:p w14:paraId="1A5941A9" w14:textId="4041FB52" w:rsidR="00C01A19" w:rsidRPr="00B200D5" w:rsidRDefault="00EA129C" w:rsidP="00C01A19">
      <w:pPr>
        <w:pStyle w:val="Heading3"/>
        <w:numPr>
          <w:ilvl w:val="0"/>
          <w:numId w:val="35"/>
        </w:numPr>
        <w:ind w:left="1440" w:hanging="720"/>
        <w:rPr>
          <w:lang w:val="en-US"/>
        </w:rPr>
      </w:pPr>
      <w:r>
        <w:rPr>
          <w:lang w:val="en-US"/>
        </w:rPr>
        <w:t xml:space="preserve">IACHR Strategic Planning </w:t>
      </w:r>
    </w:p>
    <w:p w14:paraId="6D38B40D" w14:textId="77777777" w:rsidR="00C01A19" w:rsidRPr="00B200D5" w:rsidRDefault="00C01A19" w:rsidP="00C01A19">
      <w:pPr>
        <w:pStyle w:val="ListParagraph"/>
        <w:spacing w:after="0" w:line="240" w:lineRule="auto"/>
        <w:ind w:left="0" w:firstLine="360"/>
        <w:jc w:val="both"/>
        <w:rPr>
          <w:rFonts w:ascii="Cambria" w:eastAsia="Cambria" w:hAnsi="Cambria" w:cs="Cambria"/>
          <w:sz w:val="20"/>
          <w:szCs w:val="20"/>
        </w:rPr>
      </w:pPr>
    </w:p>
    <w:p w14:paraId="336057C0" w14:textId="77B8A40C" w:rsidR="00C01A19" w:rsidRPr="00B200D5" w:rsidRDefault="00264AF5" w:rsidP="00C01A19">
      <w:pPr>
        <w:pStyle w:val="paragraphs"/>
        <w:ind w:left="0" w:firstLine="720"/>
        <w:rPr>
          <w:rFonts w:eastAsia="Cambria" w:cs="Cambria"/>
          <w:lang w:val="en-US"/>
        </w:rPr>
      </w:pPr>
      <w:r>
        <w:rPr>
          <w:rFonts w:eastAsia="Cambria" w:cs="Cambria"/>
          <w:lang w:val="en-US"/>
        </w:rPr>
        <w:t>In</w:t>
      </w:r>
      <w:r w:rsidR="00EA129C">
        <w:rPr>
          <w:rFonts w:eastAsia="Cambria" w:cs="Cambria"/>
          <w:lang w:val="en-US"/>
        </w:rPr>
        <w:t xml:space="preserve"> </w:t>
      </w:r>
      <w:r w:rsidR="00F73424">
        <w:rPr>
          <w:rFonts w:eastAsia="Cambria" w:cs="Cambria"/>
          <w:lang w:val="en-US"/>
        </w:rPr>
        <w:t xml:space="preserve">2016, the IACHR made </w:t>
      </w:r>
      <w:r w:rsidR="007E21B0">
        <w:rPr>
          <w:rFonts w:eastAsia="Cambria" w:cs="Cambria"/>
          <w:lang w:val="en-US"/>
        </w:rPr>
        <w:t xml:space="preserve">progress </w:t>
      </w:r>
      <w:r w:rsidR="00F73424">
        <w:rPr>
          <w:rFonts w:eastAsia="Cambria" w:cs="Cambria"/>
          <w:lang w:val="en-US"/>
        </w:rPr>
        <w:t xml:space="preserve">in </w:t>
      </w:r>
      <w:r w:rsidR="00692369">
        <w:rPr>
          <w:rFonts w:eastAsia="Cambria" w:cs="Cambria"/>
          <w:lang w:val="en-US"/>
        </w:rPr>
        <w:t xml:space="preserve">crafting </w:t>
      </w:r>
      <w:r w:rsidR="002C3C53">
        <w:rPr>
          <w:rFonts w:eastAsia="Cambria" w:cs="Cambria"/>
          <w:lang w:val="en-US"/>
        </w:rPr>
        <w:t xml:space="preserve">its </w:t>
      </w:r>
      <w:r w:rsidR="00F73424">
        <w:rPr>
          <w:rFonts w:eastAsia="Cambria" w:cs="Cambria"/>
          <w:lang w:val="en-US"/>
        </w:rPr>
        <w:t>strategic plan for th</w:t>
      </w:r>
      <w:r w:rsidR="00C00D9C">
        <w:rPr>
          <w:rFonts w:eastAsia="Cambria" w:cs="Cambria"/>
          <w:lang w:val="en-US"/>
        </w:rPr>
        <w:t xml:space="preserve">e new period. </w:t>
      </w:r>
      <w:r w:rsidR="00726E1E">
        <w:rPr>
          <w:rFonts w:eastAsia="Cambria" w:cs="Cambria"/>
          <w:lang w:val="en-US"/>
        </w:rPr>
        <w:t xml:space="preserve">In </w:t>
      </w:r>
      <w:r w:rsidR="00E26039">
        <w:rPr>
          <w:rFonts w:eastAsia="Cambria" w:cs="Cambria"/>
          <w:lang w:val="en-US"/>
        </w:rPr>
        <w:t xml:space="preserve">so </w:t>
      </w:r>
      <w:r w:rsidR="00726E1E">
        <w:rPr>
          <w:rFonts w:eastAsia="Cambria" w:cs="Cambria"/>
          <w:lang w:val="en-US"/>
        </w:rPr>
        <w:t>doing,</w:t>
      </w:r>
      <w:r w:rsidR="00C00D9C">
        <w:rPr>
          <w:rFonts w:eastAsia="Cambria" w:cs="Cambria"/>
          <w:lang w:val="en-US"/>
        </w:rPr>
        <w:t xml:space="preserve"> it </w:t>
      </w:r>
      <w:r w:rsidR="001C6D9B">
        <w:rPr>
          <w:rFonts w:eastAsia="Cambria" w:cs="Cambria"/>
          <w:lang w:val="en-US"/>
        </w:rPr>
        <w:t>devised</w:t>
      </w:r>
      <w:r w:rsidR="00C00D9C">
        <w:rPr>
          <w:rFonts w:eastAsia="Cambria" w:cs="Cambria"/>
          <w:lang w:val="en-US"/>
        </w:rPr>
        <w:t xml:space="preserve"> a participatory methodology consisting of three stages: a conceptual phase, a concrete proposal design and construction phase and a</w:t>
      </w:r>
      <w:r w:rsidR="002802FD">
        <w:rPr>
          <w:rFonts w:eastAsia="Cambria" w:cs="Cambria"/>
          <w:lang w:val="en-US"/>
        </w:rPr>
        <w:t xml:space="preserve"> third discussion and approval phase. </w:t>
      </w:r>
    </w:p>
    <w:p w14:paraId="12133280" w14:textId="0CE1270F" w:rsidR="00C01A19" w:rsidRPr="00B200D5" w:rsidRDefault="003525D0" w:rsidP="00C01A19">
      <w:pPr>
        <w:pStyle w:val="paragraphs"/>
        <w:ind w:left="0" w:firstLine="720"/>
        <w:rPr>
          <w:rFonts w:eastAsia="Cambria" w:cs="Cambria"/>
          <w:lang w:val="en-US"/>
        </w:rPr>
      </w:pPr>
      <w:r>
        <w:rPr>
          <w:rFonts w:eastAsia="Cambria" w:cs="Cambria"/>
          <w:lang w:val="en-US"/>
        </w:rPr>
        <w:t>The first</w:t>
      </w:r>
      <w:r w:rsidR="008D3445">
        <w:rPr>
          <w:rFonts w:eastAsia="Cambria" w:cs="Cambria"/>
          <w:lang w:val="en-US"/>
        </w:rPr>
        <w:t xml:space="preserve"> </w:t>
      </w:r>
      <w:r w:rsidR="002A2226">
        <w:rPr>
          <w:rFonts w:eastAsia="Cambria" w:cs="Cambria"/>
          <w:lang w:val="en-US"/>
        </w:rPr>
        <w:t xml:space="preserve">phase involved a </w:t>
      </w:r>
      <w:r w:rsidR="00B1585E">
        <w:rPr>
          <w:rFonts w:eastAsia="Cambria" w:cs="Cambria"/>
          <w:lang w:val="en-US"/>
        </w:rPr>
        <w:t xml:space="preserve">sending out a </w:t>
      </w:r>
      <w:r w:rsidR="002A2226">
        <w:rPr>
          <w:rFonts w:eastAsia="Cambria" w:cs="Cambria"/>
          <w:lang w:val="en-US"/>
        </w:rPr>
        <w:t xml:space="preserve">questionnaire </w:t>
      </w:r>
      <w:r w:rsidR="008D3445">
        <w:rPr>
          <w:rFonts w:eastAsia="Cambria" w:cs="Cambria"/>
          <w:lang w:val="en-US"/>
        </w:rPr>
        <w:t>to civil</w:t>
      </w:r>
      <w:r w:rsidR="007F2F97">
        <w:rPr>
          <w:rFonts w:eastAsia="Cambria" w:cs="Cambria"/>
          <w:lang w:val="en-US"/>
        </w:rPr>
        <w:t xml:space="preserve"> society and the Member States and receiving their initial input to lay </w:t>
      </w:r>
      <w:r w:rsidR="00EF74E1">
        <w:rPr>
          <w:rFonts w:eastAsia="Cambria" w:cs="Cambria"/>
          <w:lang w:val="en-US"/>
        </w:rPr>
        <w:t xml:space="preserve">the groundwork for the Plan.  This consultation yielded input on effects, impacts, advancements and opportunities for improvement </w:t>
      </w:r>
      <w:r w:rsidR="00EF2448">
        <w:rPr>
          <w:rFonts w:eastAsia="Cambria" w:cs="Cambria"/>
          <w:lang w:val="en-US"/>
        </w:rPr>
        <w:t xml:space="preserve">over the prior Strategic Plan. </w:t>
      </w:r>
      <w:r w:rsidR="00EB56EA">
        <w:rPr>
          <w:rFonts w:eastAsia="Cambria" w:cs="Cambria"/>
          <w:lang w:val="en-US"/>
        </w:rPr>
        <w:t xml:space="preserve"> The </w:t>
      </w:r>
      <w:r w:rsidR="00C83211">
        <w:rPr>
          <w:rFonts w:eastAsia="Cambria" w:cs="Cambria"/>
          <w:lang w:val="en-US"/>
        </w:rPr>
        <w:t xml:space="preserve">consultation </w:t>
      </w:r>
      <w:r w:rsidR="00F94070">
        <w:rPr>
          <w:rFonts w:eastAsia="Cambria" w:cs="Cambria"/>
          <w:lang w:val="en-US"/>
        </w:rPr>
        <w:t xml:space="preserve">also </w:t>
      </w:r>
      <w:r w:rsidR="00C83211">
        <w:rPr>
          <w:rFonts w:eastAsia="Cambria" w:cs="Cambria"/>
          <w:lang w:val="en-US"/>
        </w:rPr>
        <w:t xml:space="preserve">made it possible </w:t>
      </w:r>
      <w:r w:rsidR="00F94070">
        <w:rPr>
          <w:rFonts w:eastAsia="Cambria" w:cs="Cambria"/>
          <w:lang w:val="en-US"/>
        </w:rPr>
        <w:t xml:space="preserve">to </w:t>
      </w:r>
      <w:r w:rsidR="00C83211">
        <w:rPr>
          <w:rFonts w:eastAsia="Cambria" w:cs="Cambria"/>
          <w:lang w:val="en-US"/>
        </w:rPr>
        <w:t xml:space="preserve">identify challenges and define </w:t>
      </w:r>
      <w:r w:rsidR="00846A06">
        <w:rPr>
          <w:rFonts w:eastAsia="Cambria" w:cs="Cambria"/>
          <w:lang w:val="en-US"/>
        </w:rPr>
        <w:t xml:space="preserve">the </w:t>
      </w:r>
      <w:r w:rsidR="00C83211">
        <w:rPr>
          <w:rFonts w:eastAsia="Cambria" w:cs="Cambria"/>
          <w:lang w:val="en-US"/>
        </w:rPr>
        <w:t xml:space="preserve">priorities </w:t>
      </w:r>
      <w:r w:rsidR="00FE0679">
        <w:rPr>
          <w:rFonts w:eastAsia="Cambria" w:cs="Cambria"/>
          <w:lang w:val="en-US"/>
        </w:rPr>
        <w:t xml:space="preserve">and issues to be addressed </w:t>
      </w:r>
      <w:r w:rsidR="00FD2530">
        <w:rPr>
          <w:rFonts w:eastAsia="Cambria" w:cs="Cambria"/>
          <w:lang w:val="en-US"/>
        </w:rPr>
        <w:t xml:space="preserve">by the IACHR in its new Plan. </w:t>
      </w:r>
      <w:r w:rsidR="002E7600">
        <w:rPr>
          <w:rFonts w:eastAsia="Cambria" w:cs="Cambria"/>
          <w:lang w:val="en-US"/>
        </w:rPr>
        <w:t>By the end of t</w:t>
      </w:r>
      <w:r w:rsidR="00DE5133">
        <w:rPr>
          <w:rFonts w:eastAsia="Cambria" w:cs="Cambria"/>
          <w:lang w:val="en-US"/>
        </w:rPr>
        <w:t>his stage</w:t>
      </w:r>
      <w:r w:rsidR="002E7600">
        <w:rPr>
          <w:rFonts w:eastAsia="Cambria" w:cs="Cambria"/>
          <w:lang w:val="en-US"/>
        </w:rPr>
        <w:t>,</w:t>
      </w:r>
      <w:r w:rsidR="00DE5133">
        <w:rPr>
          <w:rFonts w:eastAsia="Cambria" w:cs="Cambria"/>
          <w:lang w:val="en-US"/>
        </w:rPr>
        <w:t xml:space="preserve"> 49</w:t>
      </w:r>
      <w:r w:rsidR="0036280A">
        <w:rPr>
          <w:rFonts w:eastAsia="Cambria" w:cs="Cambria"/>
          <w:lang w:val="en-US"/>
        </w:rPr>
        <w:t xml:space="preserve"> responses to the questionnaire</w:t>
      </w:r>
      <w:r w:rsidR="002E7600">
        <w:rPr>
          <w:rFonts w:eastAsia="Cambria" w:cs="Cambria"/>
          <w:lang w:val="en-US"/>
        </w:rPr>
        <w:t xml:space="preserve"> had been received</w:t>
      </w:r>
      <w:r w:rsidR="00DE5133">
        <w:rPr>
          <w:rFonts w:eastAsia="Cambria" w:cs="Cambria"/>
          <w:lang w:val="en-US"/>
        </w:rPr>
        <w:t xml:space="preserve">. </w:t>
      </w:r>
      <w:r w:rsidR="000A34F7">
        <w:rPr>
          <w:rFonts w:eastAsia="Cambria" w:cs="Cambria"/>
          <w:lang w:val="en-US"/>
        </w:rPr>
        <w:t>T</w:t>
      </w:r>
      <w:r w:rsidR="00DE5133">
        <w:rPr>
          <w:rFonts w:eastAsia="Cambria" w:cs="Cambria"/>
          <w:lang w:val="en-US"/>
        </w:rPr>
        <w:t xml:space="preserve">he IACHR </w:t>
      </w:r>
      <w:r w:rsidR="000A34F7">
        <w:rPr>
          <w:rFonts w:eastAsia="Cambria" w:cs="Cambria"/>
          <w:lang w:val="en-US"/>
        </w:rPr>
        <w:t>used this input to draft a Conceptual Paper</w:t>
      </w:r>
      <w:r w:rsidR="00135F05">
        <w:rPr>
          <w:rFonts w:eastAsia="Cambria" w:cs="Cambria"/>
          <w:lang w:val="en-US"/>
        </w:rPr>
        <w:t>, setting forth</w:t>
      </w:r>
      <w:r w:rsidR="00DE5133">
        <w:rPr>
          <w:rFonts w:eastAsia="Cambria" w:cs="Cambria"/>
          <w:lang w:val="en-US"/>
        </w:rPr>
        <w:t xml:space="preserve"> guidelines for the di</w:t>
      </w:r>
      <w:r w:rsidR="001B6F3F">
        <w:rPr>
          <w:rFonts w:eastAsia="Cambria" w:cs="Cambria"/>
          <w:lang w:val="en-US"/>
        </w:rPr>
        <w:t xml:space="preserve">scussion on the Strategic Plan.  </w:t>
      </w:r>
      <w:r w:rsidR="007645EC">
        <w:rPr>
          <w:rFonts w:eastAsia="Cambria" w:cs="Cambria"/>
          <w:lang w:val="en-US"/>
        </w:rPr>
        <w:t xml:space="preserve">Member States provided </w:t>
      </w:r>
      <w:r w:rsidR="00DE5133">
        <w:rPr>
          <w:rFonts w:eastAsia="Cambria" w:cs="Cambria"/>
          <w:lang w:val="en-US"/>
        </w:rPr>
        <w:t xml:space="preserve">comments and suggestions </w:t>
      </w:r>
      <w:r w:rsidR="00D9285E">
        <w:rPr>
          <w:rFonts w:eastAsia="Cambria" w:cs="Cambria"/>
          <w:lang w:val="en-US"/>
        </w:rPr>
        <w:t xml:space="preserve">on this paper </w:t>
      </w:r>
      <w:r w:rsidR="00DE5133">
        <w:rPr>
          <w:rFonts w:eastAsia="Cambria" w:cs="Cambria"/>
          <w:lang w:val="en-US"/>
        </w:rPr>
        <w:t xml:space="preserve">at meetings held in July </w:t>
      </w:r>
      <w:r w:rsidR="00D9285E">
        <w:rPr>
          <w:rFonts w:eastAsia="Cambria" w:cs="Cambria"/>
          <w:lang w:val="en-US"/>
        </w:rPr>
        <w:t xml:space="preserve">of </w:t>
      </w:r>
      <w:r w:rsidR="00DE5133">
        <w:rPr>
          <w:rFonts w:eastAsia="Cambria" w:cs="Cambria"/>
          <w:lang w:val="en-US"/>
        </w:rPr>
        <w:t xml:space="preserve">last year. </w:t>
      </w:r>
    </w:p>
    <w:p w14:paraId="05851280" w14:textId="48573C45" w:rsidR="00C01A19" w:rsidRPr="00B200D5" w:rsidRDefault="00E95B86" w:rsidP="00C01A19">
      <w:pPr>
        <w:pStyle w:val="paragraphs"/>
        <w:ind w:left="0" w:firstLine="720"/>
        <w:rPr>
          <w:rFonts w:eastAsia="Cambria" w:cs="Cambria"/>
          <w:lang w:val="en-US"/>
        </w:rPr>
      </w:pPr>
      <w:r>
        <w:rPr>
          <w:rFonts w:eastAsia="Cambria" w:cs="Cambria"/>
          <w:lang w:val="en-US"/>
        </w:rPr>
        <w:t>In the second phase, the Commission expande</w:t>
      </w:r>
      <w:r w:rsidR="00726A51">
        <w:rPr>
          <w:rFonts w:eastAsia="Cambria" w:cs="Cambria"/>
          <w:lang w:val="en-US"/>
        </w:rPr>
        <w:t xml:space="preserve">d </w:t>
      </w:r>
      <w:r w:rsidR="009E3599">
        <w:rPr>
          <w:rFonts w:eastAsia="Cambria" w:cs="Cambria"/>
          <w:lang w:val="en-US"/>
        </w:rPr>
        <w:t xml:space="preserve">the </w:t>
      </w:r>
      <w:r w:rsidR="00726A51">
        <w:rPr>
          <w:rFonts w:eastAsia="Cambria" w:cs="Cambria"/>
          <w:lang w:val="en-US"/>
        </w:rPr>
        <w:t xml:space="preserve">channels and mechanisms for listening and participating in order to receive concrete proposals for the design and drafting of the Strategic Plan. </w:t>
      </w:r>
      <w:r w:rsidR="00194ABE">
        <w:rPr>
          <w:rFonts w:eastAsia="Cambria" w:cs="Cambria"/>
          <w:lang w:val="en-US"/>
        </w:rPr>
        <w:t xml:space="preserve">In December 2016, five workshops were held </w:t>
      </w:r>
      <w:r w:rsidR="001B2AB4">
        <w:rPr>
          <w:rFonts w:eastAsia="Cambria" w:cs="Cambria"/>
          <w:lang w:val="en-US"/>
        </w:rPr>
        <w:t xml:space="preserve">at </w:t>
      </w:r>
      <w:r w:rsidR="00194ABE">
        <w:rPr>
          <w:rFonts w:eastAsia="Cambria" w:cs="Cambria"/>
          <w:lang w:val="en-US"/>
        </w:rPr>
        <w:t>the 159</w:t>
      </w:r>
      <w:r w:rsidR="00194ABE" w:rsidRPr="00194ABE">
        <w:rPr>
          <w:rFonts w:eastAsia="Cambria" w:cs="Cambria"/>
          <w:vertAlign w:val="superscript"/>
          <w:lang w:val="en-US"/>
        </w:rPr>
        <w:t>th</w:t>
      </w:r>
      <w:r w:rsidR="00194ABE">
        <w:rPr>
          <w:rFonts w:eastAsia="Cambria" w:cs="Cambria"/>
          <w:lang w:val="en-US"/>
        </w:rPr>
        <w:t xml:space="preserve"> and 160</w:t>
      </w:r>
      <w:r w:rsidR="00194ABE" w:rsidRPr="00194ABE">
        <w:rPr>
          <w:rFonts w:eastAsia="Cambria" w:cs="Cambria"/>
          <w:vertAlign w:val="superscript"/>
          <w:lang w:val="en-US"/>
        </w:rPr>
        <w:t>th</w:t>
      </w:r>
      <w:r w:rsidR="00194ABE">
        <w:rPr>
          <w:rFonts w:eastAsia="Cambria" w:cs="Cambria"/>
          <w:lang w:val="en-US"/>
        </w:rPr>
        <w:t xml:space="preserve"> </w:t>
      </w:r>
      <w:r w:rsidR="00055ECC">
        <w:rPr>
          <w:rFonts w:eastAsia="Cambria" w:cs="Cambria"/>
          <w:lang w:val="en-US"/>
        </w:rPr>
        <w:t xml:space="preserve">IACHR </w:t>
      </w:r>
      <w:r w:rsidR="00592658">
        <w:rPr>
          <w:rFonts w:eastAsia="Cambria" w:cs="Cambria"/>
          <w:lang w:val="en-US"/>
        </w:rPr>
        <w:t xml:space="preserve">regular </w:t>
      </w:r>
      <w:r w:rsidR="00194ABE">
        <w:rPr>
          <w:rFonts w:eastAsia="Cambria" w:cs="Cambria"/>
          <w:lang w:val="en-US"/>
        </w:rPr>
        <w:t>sessions with</w:t>
      </w:r>
      <w:r w:rsidR="007C3008">
        <w:rPr>
          <w:rFonts w:eastAsia="Cambria" w:cs="Cambria"/>
          <w:lang w:val="en-US"/>
        </w:rPr>
        <w:t xml:space="preserve"> the attendance</w:t>
      </w:r>
      <w:r w:rsidR="007106A9">
        <w:rPr>
          <w:rFonts w:eastAsia="Cambria" w:cs="Cambria"/>
          <w:lang w:val="en-US"/>
        </w:rPr>
        <w:t xml:space="preserve"> of</w:t>
      </w:r>
      <w:r w:rsidR="00194ABE">
        <w:rPr>
          <w:rFonts w:eastAsia="Cambria" w:cs="Cambria"/>
          <w:lang w:val="en-US"/>
        </w:rPr>
        <w:t xml:space="preserve"> experts, civil society, international organizations, the </w:t>
      </w:r>
      <w:r w:rsidR="007106A9">
        <w:rPr>
          <w:rFonts w:eastAsia="Cambria" w:cs="Cambria"/>
          <w:lang w:val="en-US"/>
        </w:rPr>
        <w:t xml:space="preserve">IACHR </w:t>
      </w:r>
      <w:r w:rsidR="00194ABE">
        <w:rPr>
          <w:rFonts w:eastAsia="Cambria" w:cs="Cambria"/>
          <w:lang w:val="en-US"/>
        </w:rPr>
        <w:t xml:space="preserve">Executive Secretariat team, and the Commissioners.  The workshops </w:t>
      </w:r>
      <w:r w:rsidR="00551984">
        <w:rPr>
          <w:rFonts w:eastAsia="Cambria" w:cs="Cambria"/>
          <w:lang w:val="en-US"/>
        </w:rPr>
        <w:t xml:space="preserve">with experts, civil society and the States will continue in January and February 2017 until the </w:t>
      </w:r>
      <w:r w:rsidR="00FB130F">
        <w:rPr>
          <w:rFonts w:eastAsia="Cambria" w:cs="Cambria"/>
          <w:lang w:val="en-US"/>
        </w:rPr>
        <w:t xml:space="preserve">process has concluded. </w:t>
      </w:r>
      <w:r w:rsidR="00A45834">
        <w:rPr>
          <w:rFonts w:eastAsia="Cambria" w:cs="Cambria"/>
          <w:lang w:val="en-US"/>
        </w:rPr>
        <w:t>As of the time of completion</w:t>
      </w:r>
      <w:r w:rsidR="00EE1646">
        <w:rPr>
          <w:rFonts w:eastAsia="Cambria" w:cs="Cambria"/>
          <w:lang w:val="en-US"/>
        </w:rPr>
        <w:t xml:space="preserve"> of this report, the Commission is still working on the first draft strategic plan </w:t>
      </w:r>
      <w:r w:rsidR="007B0C01">
        <w:rPr>
          <w:rFonts w:eastAsia="Cambria" w:cs="Cambria"/>
          <w:lang w:val="en-US"/>
        </w:rPr>
        <w:t xml:space="preserve">document </w:t>
      </w:r>
      <w:r w:rsidR="00EE1646">
        <w:rPr>
          <w:rFonts w:eastAsia="Cambria" w:cs="Cambria"/>
          <w:lang w:val="en-US"/>
        </w:rPr>
        <w:t xml:space="preserve">to </w:t>
      </w:r>
      <w:r w:rsidR="007B0C01">
        <w:rPr>
          <w:rFonts w:eastAsia="Cambria" w:cs="Cambria"/>
          <w:lang w:val="en-US"/>
        </w:rPr>
        <w:t xml:space="preserve">bring </w:t>
      </w:r>
      <w:r w:rsidR="00EE1646">
        <w:rPr>
          <w:rFonts w:eastAsia="Cambria" w:cs="Cambria"/>
          <w:lang w:val="en-US"/>
        </w:rPr>
        <w:t>this phase</w:t>
      </w:r>
      <w:r w:rsidR="007B0C01">
        <w:rPr>
          <w:rFonts w:eastAsia="Cambria" w:cs="Cambria"/>
          <w:lang w:val="en-US"/>
        </w:rPr>
        <w:t xml:space="preserve"> to an end</w:t>
      </w:r>
      <w:r w:rsidR="00EE1646">
        <w:rPr>
          <w:rFonts w:eastAsia="Cambria" w:cs="Cambria"/>
          <w:lang w:val="en-US"/>
        </w:rPr>
        <w:t xml:space="preserve">. </w:t>
      </w:r>
    </w:p>
    <w:p w14:paraId="5D235C3D" w14:textId="0727C6DB" w:rsidR="00C01A19" w:rsidRPr="00B200D5" w:rsidRDefault="00F41F72" w:rsidP="00C01A19">
      <w:pPr>
        <w:pStyle w:val="paragraphs"/>
        <w:ind w:left="0" w:firstLine="720"/>
        <w:rPr>
          <w:rFonts w:eastAsia="Cambria" w:cs="Cambria"/>
          <w:lang w:val="en-US"/>
        </w:rPr>
      </w:pPr>
      <w:r>
        <w:rPr>
          <w:rFonts w:eastAsia="Cambria" w:cs="Cambria"/>
          <w:lang w:val="en-US"/>
        </w:rPr>
        <w:t>The third phase consists of a series of regional consultations, which will be held in Februa</w:t>
      </w:r>
      <w:r w:rsidR="001C6B4B">
        <w:rPr>
          <w:rFonts w:eastAsia="Cambria" w:cs="Cambria"/>
          <w:lang w:val="en-US"/>
        </w:rPr>
        <w:t>r</w:t>
      </w:r>
      <w:r>
        <w:rPr>
          <w:rFonts w:eastAsia="Cambria" w:cs="Cambria"/>
          <w:lang w:val="en-US"/>
        </w:rPr>
        <w:t>y 2017</w:t>
      </w:r>
      <w:r w:rsidR="0094277A">
        <w:rPr>
          <w:rFonts w:eastAsia="Cambria" w:cs="Cambria"/>
          <w:lang w:val="en-US"/>
        </w:rPr>
        <w:t>,</w:t>
      </w:r>
      <w:r>
        <w:rPr>
          <w:rFonts w:eastAsia="Cambria" w:cs="Cambria"/>
          <w:lang w:val="en-US"/>
        </w:rPr>
        <w:t xml:space="preserve"> where </w:t>
      </w:r>
      <w:r w:rsidR="0094277A">
        <w:rPr>
          <w:rFonts w:eastAsia="Cambria" w:cs="Cambria"/>
          <w:lang w:val="en-US"/>
        </w:rPr>
        <w:t>it is expected that dialogue between the States and the different social and academic actors interested in strengthening the Inter-American human rights system</w:t>
      </w:r>
      <w:r w:rsidR="005B433A">
        <w:rPr>
          <w:rFonts w:eastAsia="Cambria" w:cs="Cambria"/>
          <w:lang w:val="en-US"/>
        </w:rPr>
        <w:t xml:space="preserve"> will generate</w:t>
      </w:r>
      <w:r w:rsidR="0094277A">
        <w:rPr>
          <w:rFonts w:eastAsia="Cambria" w:cs="Cambria"/>
          <w:lang w:val="en-US"/>
        </w:rPr>
        <w:t xml:space="preserve"> </w:t>
      </w:r>
      <w:r>
        <w:rPr>
          <w:rFonts w:eastAsia="Cambria" w:cs="Cambria"/>
          <w:lang w:val="en-US"/>
        </w:rPr>
        <w:t xml:space="preserve">suggestions for concrete proposals about the preliminary proposal </w:t>
      </w:r>
      <w:r w:rsidR="00844CB0">
        <w:rPr>
          <w:rFonts w:eastAsia="Cambria" w:cs="Cambria"/>
          <w:lang w:val="en-US"/>
        </w:rPr>
        <w:t>of the Strategic Plan</w:t>
      </w:r>
      <w:r w:rsidR="000215BA">
        <w:rPr>
          <w:rFonts w:eastAsia="Cambria" w:cs="Cambria"/>
          <w:lang w:val="en-US"/>
        </w:rPr>
        <w:t>.  T</w:t>
      </w:r>
      <w:r w:rsidR="009641D8">
        <w:rPr>
          <w:rFonts w:eastAsia="Cambria" w:cs="Cambria"/>
          <w:lang w:val="en-US"/>
        </w:rPr>
        <w:t>hese consultations will yield</w:t>
      </w:r>
      <w:r w:rsidR="00844CB0">
        <w:rPr>
          <w:rFonts w:eastAsia="Cambria" w:cs="Cambria"/>
          <w:lang w:val="en-US"/>
        </w:rPr>
        <w:t xml:space="preserve"> </w:t>
      </w:r>
      <w:r w:rsidR="006D169B">
        <w:rPr>
          <w:rFonts w:eastAsia="Cambria" w:cs="Cambria"/>
          <w:lang w:val="en-US"/>
        </w:rPr>
        <w:t>a version approved by all stakeholders</w:t>
      </w:r>
      <w:r w:rsidR="00194D9C">
        <w:rPr>
          <w:rFonts w:eastAsia="Cambria" w:cs="Cambria"/>
          <w:lang w:val="en-US"/>
        </w:rPr>
        <w:t xml:space="preserve"> and this version</w:t>
      </w:r>
      <w:r w:rsidR="006D169B">
        <w:rPr>
          <w:rFonts w:eastAsia="Cambria" w:cs="Cambria"/>
          <w:lang w:val="en-US"/>
        </w:rPr>
        <w:t xml:space="preserve"> will be submitted for the approval of the Commission in March 2017. </w:t>
      </w:r>
    </w:p>
    <w:p w14:paraId="309682A7" w14:textId="1C0479EE" w:rsidR="00C01A19" w:rsidRPr="00B200D5" w:rsidRDefault="00C01A19" w:rsidP="00C01A19">
      <w:pPr>
        <w:tabs>
          <w:tab w:val="left" w:pos="720"/>
          <w:tab w:val="left" w:pos="1440"/>
        </w:tabs>
        <w:spacing w:after="0" w:line="240" w:lineRule="auto"/>
        <w:ind w:firstLine="720"/>
        <w:jc w:val="both"/>
        <w:rPr>
          <w:rFonts w:ascii="Cambria" w:eastAsia="Cambria" w:hAnsi="Cambria" w:cs="Cambria"/>
          <w:b/>
          <w:bCs/>
          <w:sz w:val="20"/>
          <w:szCs w:val="20"/>
        </w:rPr>
      </w:pPr>
      <w:r w:rsidRPr="00B200D5">
        <w:rPr>
          <w:rFonts w:ascii="Cambria" w:eastAsia="Cambria" w:hAnsi="Cambria" w:cs="Cambria"/>
          <w:b/>
          <w:bCs/>
          <w:sz w:val="20"/>
          <w:szCs w:val="20"/>
        </w:rPr>
        <w:t>2.</w:t>
      </w:r>
      <w:r w:rsidRPr="00B200D5">
        <w:rPr>
          <w:rFonts w:ascii="Cambria" w:eastAsia="Cambria" w:hAnsi="Cambria" w:cs="Cambria"/>
          <w:b/>
          <w:bCs/>
          <w:sz w:val="20"/>
          <w:szCs w:val="20"/>
        </w:rPr>
        <w:tab/>
      </w:r>
      <w:r w:rsidR="00F40F76">
        <w:rPr>
          <w:rFonts w:ascii="Cambria" w:eastAsia="Cambria" w:hAnsi="Cambria" w:cs="Cambria"/>
          <w:b/>
          <w:bCs/>
          <w:sz w:val="20"/>
          <w:szCs w:val="20"/>
        </w:rPr>
        <w:t xml:space="preserve">General Financial Planning 2017 </w:t>
      </w:r>
    </w:p>
    <w:p w14:paraId="191F0920" w14:textId="77777777" w:rsidR="00C01A19" w:rsidRPr="00B200D5" w:rsidRDefault="00C01A19" w:rsidP="00C01A19">
      <w:pPr>
        <w:widowControl w:val="0"/>
        <w:spacing w:after="0" w:line="240" w:lineRule="auto"/>
        <w:ind w:left="720"/>
        <w:jc w:val="both"/>
        <w:outlineLvl w:val="2"/>
        <w:rPr>
          <w:rFonts w:ascii="Cambria" w:eastAsia="Cambria" w:hAnsi="Cambria" w:cs="Cambria"/>
          <w:b/>
          <w:bCs/>
          <w:sz w:val="20"/>
          <w:szCs w:val="20"/>
        </w:rPr>
      </w:pPr>
    </w:p>
    <w:p w14:paraId="56ADDCE7" w14:textId="7E78587C" w:rsidR="00C01A19" w:rsidRPr="00B200D5" w:rsidRDefault="009D4B6D" w:rsidP="00C01A19">
      <w:pPr>
        <w:pStyle w:val="paragraphs"/>
        <w:ind w:left="0" w:firstLine="720"/>
        <w:rPr>
          <w:rFonts w:eastAsia="Cambria" w:cs="Cambria"/>
          <w:lang w:val="en-US"/>
        </w:rPr>
      </w:pPr>
      <w:r>
        <w:rPr>
          <w:rFonts w:eastAsia="Cambria" w:cs="Cambria"/>
          <w:lang w:val="en-US"/>
        </w:rPr>
        <w:t>In conjunction with t</w:t>
      </w:r>
      <w:r w:rsidR="00F969AE">
        <w:rPr>
          <w:rFonts w:eastAsia="Cambria" w:cs="Cambria"/>
          <w:lang w:val="en-US"/>
        </w:rPr>
        <w:t>he Executive Secretary</w:t>
      </w:r>
      <w:r w:rsidR="00CB14A3">
        <w:rPr>
          <w:rFonts w:eastAsia="Cambria" w:cs="Cambria"/>
          <w:lang w:val="en-US"/>
        </w:rPr>
        <w:t>,</w:t>
      </w:r>
      <w:r w:rsidR="00F969AE">
        <w:rPr>
          <w:rFonts w:eastAsia="Cambria" w:cs="Cambria"/>
          <w:lang w:val="en-US"/>
        </w:rPr>
        <w:t xml:space="preserve"> </w:t>
      </w:r>
      <w:r w:rsidR="00C64A91">
        <w:rPr>
          <w:rFonts w:eastAsia="Cambria" w:cs="Cambria"/>
          <w:lang w:val="en-US"/>
        </w:rPr>
        <w:t xml:space="preserve">financial planning </w:t>
      </w:r>
      <w:r w:rsidR="00FA76EE">
        <w:rPr>
          <w:rFonts w:eastAsia="Cambria" w:cs="Cambria"/>
          <w:lang w:val="en-US"/>
        </w:rPr>
        <w:t xml:space="preserve">was conducted </w:t>
      </w:r>
      <w:r w:rsidR="00C64A91">
        <w:rPr>
          <w:rFonts w:eastAsia="Cambria" w:cs="Cambria"/>
          <w:lang w:val="en-US"/>
        </w:rPr>
        <w:t xml:space="preserve">based on resource needs and </w:t>
      </w:r>
      <w:r w:rsidR="009E4BB3">
        <w:rPr>
          <w:rFonts w:eastAsia="Cambria" w:cs="Cambria"/>
          <w:lang w:val="en-US"/>
        </w:rPr>
        <w:t xml:space="preserve">up-to-date </w:t>
      </w:r>
      <w:r w:rsidR="00826147">
        <w:rPr>
          <w:rFonts w:eastAsia="Cambria" w:cs="Cambria"/>
          <w:lang w:val="en-US"/>
        </w:rPr>
        <w:t>funding</w:t>
      </w:r>
      <w:r w:rsidR="00C64A91">
        <w:rPr>
          <w:rFonts w:eastAsia="Cambria" w:cs="Cambria"/>
          <w:lang w:val="en-US"/>
        </w:rPr>
        <w:t xml:space="preserve"> projections</w:t>
      </w:r>
      <w:r w:rsidR="00AB304C">
        <w:rPr>
          <w:rFonts w:eastAsia="Cambria" w:cs="Cambria"/>
          <w:lang w:val="en-US"/>
        </w:rPr>
        <w:t xml:space="preserve">, </w:t>
      </w:r>
      <w:r w:rsidR="00512640">
        <w:rPr>
          <w:rFonts w:eastAsia="Cambria" w:cs="Cambria"/>
          <w:lang w:val="en-US"/>
        </w:rPr>
        <w:t xml:space="preserve">ongoing </w:t>
      </w:r>
      <w:r w:rsidR="00C64A91">
        <w:rPr>
          <w:rFonts w:eastAsia="Cambria" w:cs="Cambria"/>
          <w:lang w:val="en-US"/>
        </w:rPr>
        <w:t xml:space="preserve">negotiations </w:t>
      </w:r>
      <w:r w:rsidR="00836FA9">
        <w:rPr>
          <w:rFonts w:eastAsia="Cambria" w:cs="Cambria"/>
          <w:lang w:val="en-US"/>
        </w:rPr>
        <w:t xml:space="preserve">and real </w:t>
      </w:r>
      <w:r w:rsidR="00EF4391">
        <w:rPr>
          <w:rFonts w:eastAsia="Cambria" w:cs="Cambria"/>
          <w:lang w:val="en-US"/>
        </w:rPr>
        <w:t xml:space="preserve">contribution </w:t>
      </w:r>
      <w:r w:rsidR="00836FA9">
        <w:rPr>
          <w:rFonts w:eastAsia="Cambria" w:cs="Cambria"/>
          <w:lang w:val="en-US"/>
        </w:rPr>
        <w:t>opportunities</w:t>
      </w:r>
      <w:r w:rsidR="009706FB">
        <w:rPr>
          <w:rFonts w:eastAsia="Cambria" w:cs="Cambria"/>
          <w:lang w:val="en-US"/>
        </w:rPr>
        <w:t>.</w:t>
      </w:r>
      <w:r w:rsidR="00C01A19" w:rsidRPr="00B200D5">
        <w:rPr>
          <w:rFonts w:eastAsia="Cambria" w:cs="Cambria"/>
          <w:lang w:val="en-US"/>
        </w:rPr>
        <w:t xml:space="preserve"> </w:t>
      </w:r>
      <w:r w:rsidR="00377F4A">
        <w:rPr>
          <w:rFonts w:eastAsia="Cambria" w:cs="Cambria"/>
          <w:lang w:val="en-US"/>
        </w:rPr>
        <w:t xml:space="preserve">The planning exercise </w:t>
      </w:r>
      <w:r w:rsidR="00DF0C5F">
        <w:rPr>
          <w:rFonts w:eastAsia="Cambria" w:cs="Cambria"/>
          <w:lang w:val="en-US"/>
        </w:rPr>
        <w:t xml:space="preserve">was </w:t>
      </w:r>
      <w:r w:rsidR="00683E1F">
        <w:rPr>
          <w:rFonts w:eastAsia="Cambria" w:cs="Cambria"/>
          <w:lang w:val="en-US"/>
        </w:rPr>
        <w:t xml:space="preserve">carried out </w:t>
      </w:r>
      <w:r w:rsidR="00DF0C5F">
        <w:rPr>
          <w:rFonts w:eastAsia="Cambria" w:cs="Cambria"/>
          <w:lang w:val="en-US"/>
        </w:rPr>
        <w:t xml:space="preserve">in a comprehensive way, taking into consideration all potential funding for projects and other voluntary contributions, as </w:t>
      </w:r>
      <w:r w:rsidR="00DC0044">
        <w:rPr>
          <w:rFonts w:eastAsia="Cambria" w:cs="Cambria"/>
          <w:lang w:val="en-US"/>
        </w:rPr>
        <w:t xml:space="preserve">an </w:t>
      </w:r>
      <w:r w:rsidR="00DF0C5F">
        <w:rPr>
          <w:rFonts w:eastAsia="Cambria" w:cs="Cambria"/>
          <w:lang w:val="en-US"/>
        </w:rPr>
        <w:t xml:space="preserve">integral part of </w:t>
      </w:r>
      <w:r w:rsidR="00A16CBF">
        <w:rPr>
          <w:rFonts w:eastAsia="Cambria" w:cs="Cambria"/>
          <w:lang w:val="en-US"/>
        </w:rPr>
        <w:t>the IACHR’s annual needs budget</w:t>
      </w:r>
      <w:r w:rsidR="0032331F">
        <w:rPr>
          <w:rFonts w:eastAsia="Cambria" w:cs="Cambria"/>
          <w:lang w:val="en-US"/>
        </w:rPr>
        <w:t xml:space="preserve">. </w:t>
      </w:r>
    </w:p>
    <w:p w14:paraId="6700604F" w14:textId="1CCD20EE" w:rsidR="00C01A19" w:rsidRPr="00B200D5" w:rsidRDefault="00C01A19" w:rsidP="00C01A19">
      <w:pPr>
        <w:widowControl w:val="0"/>
        <w:spacing w:after="0" w:line="240" w:lineRule="auto"/>
        <w:ind w:left="720"/>
        <w:jc w:val="both"/>
        <w:outlineLvl w:val="2"/>
        <w:rPr>
          <w:rFonts w:ascii="Cambria" w:eastAsia="Cambria" w:hAnsi="Cambria" w:cs="Cambria"/>
          <w:b/>
          <w:bCs/>
          <w:sz w:val="20"/>
          <w:szCs w:val="20"/>
        </w:rPr>
      </w:pPr>
      <w:r w:rsidRPr="00B200D5">
        <w:rPr>
          <w:rFonts w:ascii="Cambria" w:eastAsia="Cambria" w:hAnsi="Cambria" w:cs="Cambria"/>
          <w:b/>
          <w:bCs/>
          <w:sz w:val="20"/>
          <w:szCs w:val="20"/>
        </w:rPr>
        <w:t xml:space="preserve">3.  </w:t>
      </w:r>
      <w:r w:rsidRPr="00B200D5">
        <w:rPr>
          <w:rFonts w:ascii="Cambria" w:eastAsia="Cambria" w:hAnsi="Cambria" w:cs="Cambria"/>
          <w:b/>
          <w:bCs/>
          <w:sz w:val="20"/>
          <w:szCs w:val="20"/>
        </w:rPr>
        <w:tab/>
      </w:r>
      <w:r w:rsidR="00D10CFF">
        <w:rPr>
          <w:rFonts w:ascii="Cambria" w:eastAsia="Cambria" w:hAnsi="Cambria" w:cs="Cambria"/>
          <w:b/>
          <w:bCs/>
          <w:sz w:val="20"/>
          <w:szCs w:val="20"/>
        </w:rPr>
        <w:t xml:space="preserve">Project Budget Preparation </w:t>
      </w:r>
    </w:p>
    <w:p w14:paraId="147BA11A" w14:textId="77777777" w:rsidR="00C01A19" w:rsidRPr="00B200D5" w:rsidRDefault="00C01A19" w:rsidP="00C01A19">
      <w:pPr>
        <w:widowControl w:val="0"/>
        <w:spacing w:after="0" w:line="240" w:lineRule="auto"/>
        <w:ind w:left="720"/>
        <w:jc w:val="both"/>
        <w:outlineLvl w:val="2"/>
        <w:rPr>
          <w:rFonts w:ascii="Cambria" w:eastAsia="Cambria" w:hAnsi="Cambria" w:cs="Cambria"/>
          <w:b/>
          <w:bCs/>
          <w:sz w:val="20"/>
          <w:szCs w:val="20"/>
        </w:rPr>
      </w:pPr>
    </w:p>
    <w:p w14:paraId="65E01339" w14:textId="7B3A5A8C" w:rsidR="00C01A19" w:rsidRPr="00B200D5" w:rsidRDefault="00686576" w:rsidP="00C01A19">
      <w:pPr>
        <w:pStyle w:val="paragraphs"/>
        <w:ind w:left="0" w:firstLine="720"/>
        <w:rPr>
          <w:rFonts w:eastAsia="Cambria" w:cs="Cambria"/>
          <w:b/>
          <w:bCs/>
          <w:lang w:val="en-US"/>
        </w:rPr>
      </w:pPr>
      <w:r>
        <w:rPr>
          <w:rFonts w:eastAsia="Cambria" w:cs="Cambria"/>
          <w:lang w:val="en-US"/>
        </w:rPr>
        <w:t xml:space="preserve">In 2016, </w:t>
      </w:r>
      <w:r w:rsidR="00CE41EA">
        <w:rPr>
          <w:rFonts w:eastAsia="Cambria" w:cs="Cambria"/>
          <w:lang w:val="en-US"/>
        </w:rPr>
        <w:t>the area prepared and supported the drafting of several conceptual papers or project proposals in order to raise funding to reinforce the activities of the Rapporteurships and areas of the IACHR</w:t>
      </w:r>
      <w:r w:rsidR="00A7773C">
        <w:rPr>
          <w:rFonts w:eastAsia="Cambria" w:cs="Cambria"/>
          <w:lang w:val="en-US"/>
        </w:rPr>
        <w:t>/ES</w:t>
      </w:r>
      <w:r w:rsidR="00CE41EA">
        <w:rPr>
          <w:rFonts w:eastAsia="Cambria" w:cs="Cambria"/>
          <w:lang w:val="en-US"/>
        </w:rPr>
        <w:t xml:space="preserve">: </w:t>
      </w:r>
    </w:p>
    <w:p w14:paraId="604E550F" w14:textId="2115C4E4" w:rsidR="00C01A19" w:rsidRPr="00B200D5" w:rsidRDefault="00D3665D"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Drafted a p</w:t>
      </w:r>
      <w:r w:rsidR="00934B97">
        <w:rPr>
          <w:rFonts w:ascii="Cambria" w:eastAsia="Cambria" w:hAnsi="Cambria" w:cs="Cambria"/>
          <w:sz w:val="20"/>
          <w:szCs w:val="20"/>
        </w:rPr>
        <w:t xml:space="preserve">roposal </w:t>
      </w:r>
      <w:r w:rsidR="005F7C92">
        <w:rPr>
          <w:rFonts w:ascii="Cambria" w:eastAsia="Cambria" w:hAnsi="Cambria" w:cs="Cambria"/>
          <w:sz w:val="20"/>
          <w:szCs w:val="20"/>
        </w:rPr>
        <w:t xml:space="preserve">for $54,392 </w:t>
      </w:r>
      <w:r w:rsidR="00665E72">
        <w:rPr>
          <w:rFonts w:ascii="Cambria" w:eastAsia="Cambria" w:hAnsi="Cambria" w:cs="Cambria"/>
          <w:sz w:val="20"/>
          <w:szCs w:val="20"/>
        </w:rPr>
        <w:t>from</w:t>
      </w:r>
      <w:r w:rsidR="006C189C">
        <w:rPr>
          <w:rFonts w:ascii="Cambria" w:eastAsia="Cambria" w:hAnsi="Cambria" w:cs="Cambria"/>
          <w:sz w:val="20"/>
          <w:szCs w:val="20"/>
        </w:rPr>
        <w:t xml:space="preserve"> Finland </w:t>
      </w:r>
      <w:r w:rsidR="007C3B89">
        <w:rPr>
          <w:rFonts w:ascii="Cambria" w:eastAsia="Cambria" w:hAnsi="Cambria" w:cs="Cambria"/>
          <w:sz w:val="20"/>
          <w:szCs w:val="20"/>
        </w:rPr>
        <w:t>to strengthen human rights defender protection</w:t>
      </w:r>
      <w:r>
        <w:rPr>
          <w:rFonts w:ascii="Cambria" w:eastAsia="Cambria" w:hAnsi="Cambria" w:cs="Cambria"/>
          <w:sz w:val="20"/>
          <w:szCs w:val="20"/>
        </w:rPr>
        <w:t xml:space="preserve">, which was approved for execution in the second quarter of the year. </w:t>
      </w:r>
      <w:r w:rsidR="00934B97">
        <w:rPr>
          <w:rFonts w:ascii="Cambria" w:eastAsia="Cambria" w:hAnsi="Cambria" w:cs="Cambria"/>
          <w:sz w:val="20"/>
          <w:szCs w:val="20"/>
        </w:rPr>
        <w:t xml:space="preserve"> </w:t>
      </w:r>
      <w:r w:rsidR="007C3B89">
        <w:rPr>
          <w:rFonts w:ascii="Cambria" w:eastAsia="Cambria" w:hAnsi="Cambria" w:cs="Cambria"/>
          <w:sz w:val="20"/>
          <w:szCs w:val="20"/>
        </w:rPr>
        <w:t xml:space="preserve"> </w:t>
      </w:r>
    </w:p>
    <w:p w14:paraId="38221B1C" w14:textId="77777777" w:rsidR="00C01A19" w:rsidRPr="00B200D5" w:rsidRDefault="00C01A19" w:rsidP="00C01A19">
      <w:pPr>
        <w:spacing w:after="0" w:line="240" w:lineRule="auto"/>
        <w:jc w:val="both"/>
        <w:rPr>
          <w:rFonts w:ascii="Cambria" w:eastAsia="Cambria" w:hAnsi="Cambria" w:cs="Cambria"/>
          <w:sz w:val="20"/>
          <w:szCs w:val="20"/>
        </w:rPr>
      </w:pPr>
    </w:p>
    <w:p w14:paraId="0F76C1EA" w14:textId="580F49E9" w:rsidR="00C01A19" w:rsidRPr="00B200D5" w:rsidRDefault="00D50FC9"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Drafted a req</w:t>
      </w:r>
      <w:r w:rsidR="007C360F">
        <w:rPr>
          <w:rFonts w:ascii="Cambria" w:eastAsia="Cambria" w:hAnsi="Cambria" w:cs="Cambria"/>
          <w:sz w:val="20"/>
          <w:szCs w:val="20"/>
        </w:rPr>
        <w:t>uest for resources from the Netherlands, based on the conceptual paper of the 2017-2020 Strategic Plan. The Kingdom of the Netherlands</w:t>
      </w:r>
      <w:r w:rsidR="00966ABC">
        <w:rPr>
          <w:rFonts w:ascii="Cambria" w:eastAsia="Cambria" w:hAnsi="Cambria" w:cs="Cambria"/>
          <w:sz w:val="20"/>
          <w:szCs w:val="20"/>
        </w:rPr>
        <w:t xml:space="preserve"> approved an agreement for </w:t>
      </w:r>
      <w:r w:rsidR="00966ABC" w:rsidRPr="00B200D5">
        <w:rPr>
          <w:rFonts w:ascii="Cambria" w:eastAsia="Cambria" w:hAnsi="Cambria" w:cs="Cambria"/>
          <w:sz w:val="20"/>
          <w:szCs w:val="20"/>
        </w:rPr>
        <w:t xml:space="preserve">USD$1,120,000 </w:t>
      </w:r>
      <w:r w:rsidR="00966ABC">
        <w:rPr>
          <w:rFonts w:ascii="Cambria" w:eastAsia="Cambria" w:hAnsi="Cambria" w:cs="Cambria"/>
          <w:sz w:val="20"/>
          <w:szCs w:val="20"/>
        </w:rPr>
        <w:t xml:space="preserve">to support execution of the projects of the strategic plan over four years with annual disbursements of </w:t>
      </w:r>
      <w:r w:rsidR="00C01A19" w:rsidRPr="00B200D5">
        <w:rPr>
          <w:rFonts w:ascii="Cambria" w:eastAsia="Cambria" w:hAnsi="Cambria" w:cs="Cambria"/>
          <w:sz w:val="20"/>
          <w:szCs w:val="20"/>
        </w:rPr>
        <w:t>USD</w:t>
      </w:r>
      <w:r w:rsidR="00966ABC">
        <w:rPr>
          <w:rFonts w:ascii="Cambria" w:eastAsia="Cambria" w:hAnsi="Cambria" w:cs="Cambria"/>
          <w:sz w:val="20"/>
          <w:szCs w:val="20"/>
        </w:rPr>
        <w:t>$</w:t>
      </w:r>
      <w:r w:rsidR="00C01A19" w:rsidRPr="00B200D5">
        <w:rPr>
          <w:rFonts w:ascii="Cambria" w:eastAsia="Cambria" w:hAnsi="Cambria" w:cs="Cambria"/>
          <w:sz w:val="20"/>
          <w:szCs w:val="20"/>
        </w:rPr>
        <w:t xml:space="preserve">280,000.  </w:t>
      </w:r>
      <w:r w:rsidR="00966ABC">
        <w:rPr>
          <w:rFonts w:ascii="Cambria" w:eastAsia="Cambria" w:hAnsi="Cambria" w:cs="Cambria"/>
          <w:sz w:val="20"/>
          <w:szCs w:val="20"/>
        </w:rPr>
        <w:t xml:space="preserve">The work plan of the third year </w:t>
      </w:r>
      <w:r w:rsidR="003A65C2">
        <w:rPr>
          <w:rFonts w:ascii="Cambria" w:eastAsia="Cambria" w:hAnsi="Cambria" w:cs="Cambria"/>
          <w:sz w:val="20"/>
          <w:szCs w:val="20"/>
        </w:rPr>
        <w:t xml:space="preserve">is aimed at supporting the work of the rapporteurships. </w:t>
      </w:r>
    </w:p>
    <w:p w14:paraId="59F9DF16" w14:textId="77777777" w:rsidR="00C01A19" w:rsidRPr="00B200D5" w:rsidRDefault="00C01A19" w:rsidP="00C01A19">
      <w:pPr>
        <w:spacing w:after="0" w:line="240" w:lineRule="auto"/>
        <w:ind w:left="1440" w:hanging="720"/>
        <w:jc w:val="both"/>
        <w:rPr>
          <w:rFonts w:ascii="Cambria" w:eastAsia="Cambria" w:hAnsi="Cambria" w:cs="Cambria"/>
          <w:sz w:val="20"/>
          <w:szCs w:val="20"/>
        </w:rPr>
      </w:pPr>
    </w:p>
    <w:p w14:paraId="61F027DB" w14:textId="41E22908" w:rsidR="00C01A19" w:rsidRPr="00B200D5" w:rsidRDefault="007F2CF6"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lastRenderedPageBreak/>
        <w:t>Drafted a proposal to the government of</w:t>
      </w:r>
      <w:r w:rsidR="00B30E6C">
        <w:rPr>
          <w:rFonts w:ascii="Cambria" w:eastAsia="Cambria" w:hAnsi="Cambria" w:cs="Cambria"/>
          <w:sz w:val="20"/>
          <w:szCs w:val="20"/>
        </w:rPr>
        <w:t xml:space="preserve"> Ireland </w:t>
      </w:r>
      <w:r w:rsidR="00C85A14">
        <w:rPr>
          <w:rFonts w:ascii="Cambria" w:eastAsia="Cambria" w:hAnsi="Cambria" w:cs="Cambria"/>
          <w:sz w:val="20"/>
          <w:szCs w:val="20"/>
        </w:rPr>
        <w:t xml:space="preserve">for dealing with </w:t>
      </w:r>
      <w:r w:rsidR="00B30E6C">
        <w:rPr>
          <w:rFonts w:ascii="Cambria" w:eastAsia="Cambria" w:hAnsi="Cambria" w:cs="Cambria"/>
          <w:sz w:val="20"/>
          <w:szCs w:val="20"/>
        </w:rPr>
        <w:t>procedural backlog</w:t>
      </w:r>
      <w:r w:rsidR="00C85A14">
        <w:rPr>
          <w:rFonts w:ascii="Cambria" w:eastAsia="Cambria" w:hAnsi="Cambria" w:cs="Cambria"/>
          <w:sz w:val="20"/>
          <w:szCs w:val="20"/>
        </w:rPr>
        <w:t xml:space="preserve">, emphasizing </w:t>
      </w:r>
      <w:r w:rsidR="008842A9">
        <w:rPr>
          <w:rFonts w:ascii="Cambria" w:eastAsia="Cambria" w:hAnsi="Cambria" w:cs="Cambria"/>
          <w:sz w:val="20"/>
          <w:szCs w:val="20"/>
        </w:rPr>
        <w:t>groups subjected to discrimination in the Americas, for the amount of</w:t>
      </w:r>
      <w:r w:rsidR="00887A3F">
        <w:rPr>
          <w:rFonts w:ascii="Cambria" w:eastAsia="Cambria" w:hAnsi="Cambria" w:cs="Cambria"/>
          <w:sz w:val="20"/>
          <w:szCs w:val="20"/>
        </w:rPr>
        <w:t xml:space="preserve"> </w:t>
      </w:r>
      <w:r w:rsidR="00887A3F" w:rsidRPr="00B200D5">
        <w:rPr>
          <w:rFonts w:ascii="Cambria" w:eastAsia="Cambria" w:hAnsi="Cambria" w:cs="Cambria"/>
          <w:sz w:val="20"/>
          <w:szCs w:val="20"/>
        </w:rPr>
        <w:t>€50,000</w:t>
      </w:r>
      <w:r w:rsidR="0073371D">
        <w:rPr>
          <w:rFonts w:ascii="Cambria" w:eastAsia="Cambria" w:hAnsi="Cambria" w:cs="Cambria"/>
          <w:sz w:val="20"/>
          <w:szCs w:val="20"/>
        </w:rPr>
        <w:t xml:space="preserve"> Euros</w:t>
      </w:r>
      <w:r w:rsidR="00887A3F">
        <w:rPr>
          <w:rFonts w:ascii="Cambria" w:eastAsia="Cambria" w:hAnsi="Cambria" w:cs="Cambria"/>
          <w:sz w:val="20"/>
          <w:szCs w:val="20"/>
        </w:rPr>
        <w:t xml:space="preserve">. </w:t>
      </w:r>
      <w:r w:rsidR="00153DAB">
        <w:rPr>
          <w:rFonts w:ascii="Cambria" w:eastAsia="Cambria" w:hAnsi="Cambria" w:cs="Cambria"/>
          <w:sz w:val="20"/>
          <w:szCs w:val="20"/>
        </w:rPr>
        <w:t xml:space="preserve">The proposal was approved and the agreement signed at the end of the year. </w:t>
      </w:r>
      <w:r w:rsidR="008842A9">
        <w:rPr>
          <w:rFonts w:ascii="Cambria" w:eastAsia="Cambria" w:hAnsi="Cambria" w:cs="Cambria"/>
          <w:sz w:val="20"/>
          <w:szCs w:val="20"/>
        </w:rPr>
        <w:t xml:space="preserve"> </w:t>
      </w:r>
      <w:r w:rsidR="00B30E6C">
        <w:rPr>
          <w:rFonts w:ascii="Cambria" w:eastAsia="Cambria" w:hAnsi="Cambria" w:cs="Cambria"/>
          <w:sz w:val="20"/>
          <w:szCs w:val="20"/>
        </w:rPr>
        <w:t xml:space="preserve"> </w:t>
      </w:r>
    </w:p>
    <w:p w14:paraId="5535E6BB" w14:textId="77777777" w:rsidR="00C01A19" w:rsidRPr="00B200D5" w:rsidRDefault="00C01A19" w:rsidP="00C01A19">
      <w:pPr>
        <w:spacing w:after="0" w:line="240" w:lineRule="auto"/>
        <w:ind w:left="1440"/>
        <w:jc w:val="both"/>
        <w:rPr>
          <w:rFonts w:ascii="Cambria" w:eastAsia="Cambria" w:hAnsi="Cambria" w:cs="Cambria"/>
          <w:sz w:val="20"/>
          <w:szCs w:val="20"/>
        </w:rPr>
      </w:pPr>
    </w:p>
    <w:p w14:paraId="0FE17C89" w14:textId="20DA95F9" w:rsidR="00C01A19" w:rsidRPr="00B200D5" w:rsidRDefault="00E03EF2"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 xml:space="preserve">Adjusted </w:t>
      </w:r>
      <w:r w:rsidR="0041631B">
        <w:rPr>
          <w:rFonts w:ascii="Cambria" w:eastAsia="Cambria" w:hAnsi="Cambria" w:cs="Cambria"/>
          <w:sz w:val="20"/>
          <w:szCs w:val="20"/>
        </w:rPr>
        <w:t xml:space="preserve">the project financed by </w:t>
      </w:r>
      <w:r w:rsidR="00C01A19" w:rsidRPr="00B200D5">
        <w:rPr>
          <w:rFonts w:ascii="Cambria" w:eastAsia="Cambria" w:hAnsi="Cambria" w:cs="Cambria"/>
          <w:sz w:val="20"/>
          <w:szCs w:val="20"/>
        </w:rPr>
        <w:t xml:space="preserve">Avina/Cammina </w:t>
      </w:r>
      <w:r w:rsidR="0041631B">
        <w:rPr>
          <w:rFonts w:ascii="Cambria" w:eastAsia="Cambria" w:hAnsi="Cambria" w:cs="Cambria"/>
          <w:sz w:val="20"/>
          <w:szCs w:val="20"/>
        </w:rPr>
        <w:t xml:space="preserve">on the </w:t>
      </w:r>
      <w:r>
        <w:rPr>
          <w:rFonts w:ascii="Cambria" w:eastAsia="Cambria" w:hAnsi="Cambria" w:cs="Cambria"/>
          <w:sz w:val="20"/>
          <w:szCs w:val="20"/>
        </w:rPr>
        <w:t xml:space="preserve">topic </w:t>
      </w:r>
      <w:r w:rsidR="0041631B">
        <w:rPr>
          <w:rFonts w:ascii="Cambria" w:eastAsia="Cambria" w:hAnsi="Cambria" w:cs="Cambria"/>
          <w:sz w:val="20"/>
          <w:szCs w:val="20"/>
        </w:rPr>
        <w:t xml:space="preserve">of </w:t>
      </w:r>
      <w:r w:rsidR="00C01A19" w:rsidRPr="00B200D5">
        <w:rPr>
          <w:rFonts w:ascii="Cambria" w:eastAsia="Cambria" w:hAnsi="Cambria" w:cs="Cambria"/>
          <w:sz w:val="20"/>
          <w:szCs w:val="20"/>
        </w:rPr>
        <w:t>“</w:t>
      </w:r>
      <w:r w:rsidR="0041631B">
        <w:rPr>
          <w:rFonts w:ascii="Cambria" w:eastAsia="Cambria" w:hAnsi="Cambria" w:cs="Cambria"/>
          <w:sz w:val="20"/>
          <w:szCs w:val="20"/>
        </w:rPr>
        <w:t xml:space="preserve">Migrants and their family members,” in order to add $100,000 to finance the process of planning of the Rapporteurship on Migrants in the framework of IACHR strategic planning. </w:t>
      </w:r>
      <w:r w:rsidR="00856C7E">
        <w:rPr>
          <w:rFonts w:ascii="Cambria" w:eastAsia="Cambria" w:hAnsi="Cambria" w:cs="Cambria"/>
          <w:sz w:val="20"/>
          <w:szCs w:val="20"/>
        </w:rPr>
        <w:t xml:space="preserve">The Addenda to the agreement was signed and the first disbursement was received. </w:t>
      </w:r>
    </w:p>
    <w:p w14:paraId="58735D20" w14:textId="77777777" w:rsidR="00C01A19" w:rsidRPr="00B200D5" w:rsidRDefault="00C01A19" w:rsidP="00C01A19">
      <w:pPr>
        <w:spacing w:after="0" w:line="240" w:lineRule="auto"/>
        <w:ind w:left="1440"/>
        <w:jc w:val="both"/>
        <w:rPr>
          <w:rFonts w:ascii="Cambria" w:eastAsia="Cambria" w:hAnsi="Cambria" w:cs="Cambria"/>
          <w:sz w:val="20"/>
          <w:szCs w:val="20"/>
        </w:rPr>
      </w:pPr>
    </w:p>
    <w:p w14:paraId="5CC867CB" w14:textId="21011728" w:rsidR="00C01A19" w:rsidRPr="00B200D5" w:rsidRDefault="00595C43"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Drafted a conceptual paper and subsequently drafted a complete proposal to the European Union (</w:t>
      </w:r>
      <w:r w:rsidR="00087487">
        <w:rPr>
          <w:rFonts w:ascii="Cambria" w:eastAsia="Cambria" w:hAnsi="Cambria" w:cs="Cambria"/>
          <w:sz w:val="20"/>
          <w:szCs w:val="20"/>
        </w:rPr>
        <w:t>EU) Mexico on “Access to international justice for pers</w:t>
      </w:r>
      <w:r w:rsidR="002C296A">
        <w:rPr>
          <w:rFonts w:ascii="Cambria" w:eastAsia="Cambria" w:hAnsi="Cambria" w:cs="Cambria"/>
          <w:sz w:val="20"/>
          <w:szCs w:val="20"/>
        </w:rPr>
        <w:t xml:space="preserve">ons and groups living in vulnerable conditions in Mexico by providing assistance in lodging petitions before the IACHR,” for the amount of </w:t>
      </w:r>
      <w:r w:rsidR="00C01A19" w:rsidRPr="00B200D5">
        <w:rPr>
          <w:rFonts w:ascii="Cambria" w:eastAsia="Cambria" w:hAnsi="Cambria" w:cs="Cambria"/>
          <w:sz w:val="20"/>
          <w:szCs w:val="20"/>
        </w:rPr>
        <w:t>€50,000</w:t>
      </w:r>
      <w:r w:rsidR="0073371D">
        <w:rPr>
          <w:rFonts w:ascii="Cambria" w:eastAsia="Cambria" w:hAnsi="Cambria" w:cs="Cambria"/>
          <w:sz w:val="20"/>
          <w:szCs w:val="20"/>
        </w:rPr>
        <w:t xml:space="preserve"> Euros</w:t>
      </w:r>
      <w:r w:rsidR="00C01A19" w:rsidRPr="00B200D5">
        <w:rPr>
          <w:rFonts w:ascii="Cambria" w:eastAsia="Cambria" w:hAnsi="Cambria" w:cs="Cambria"/>
          <w:sz w:val="20"/>
          <w:szCs w:val="20"/>
        </w:rPr>
        <w:t xml:space="preserve">. </w:t>
      </w:r>
      <w:r w:rsidR="005E1C56">
        <w:rPr>
          <w:rFonts w:ascii="Cambria" w:eastAsia="Cambria" w:hAnsi="Cambria" w:cs="Cambria"/>
          <w:sz w:val="20"/>
          <w:szCs w:val="20"/>
        </w:rPr>
        <w:t xml:space="preserve">The contract was signed. </w:t>
      </w:r>
    </w:p>
    <w:p w14:paraId="0F42C86A" w14:textId="77777777" w:rsidR="00C01A19" w:rsidRPr="00B200D5" w:rsidRDefault="00C01A19" w:rsidP="00C01A19">
      <w:pPr>
        <w:spacing w:after="0" w:line="240" w:lineRule="auto"/>
        <w:ind w:left="1440" w:hanging="720"/>
        <w:jc w:val="both"/>
        <w:rPr>
          <w:rFonts w:ascii="Cambria" w:eastAsia="Cambria" w:hAnsi="Cambria" w:cs="Cambria"/>
          <w:sz w:val="20"/>
          <w:szCs w:val="20"/>
        </w:rPr>
      </w:pPr>
    </w:p>
    <w:p w14:paraId="100F530B" w14:textId="43716D72" w:rsidR="00C01A19" w:rsidRPr="00B200D5" w:rsidRDefault="00F76F03"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 xml:space="preserve">Drafted the conceptual paper on </w:t>
      </w:r>
      <w:r w:rsidR="00B60D19">
        <w:rPr>
          <w:rFonts w:ascii="Cambria" w:eastAsia="Cambria" w:hAnsi="Cambria" w:cs="Cambria"/>
          <w:sz w:val="20"/>
          <w:szCs w:val="20"/>
        </w:rPr>
        <w:t xml:space="preserve">assistance in filing </w:t>
      </w:r>
      <w:r>
        <w:rPr>
          <w:rFonts w:ascii="Cambria" w:eastAsia="Cambria" w:hAnsi="Cambria" w:cs="Cambria"/>
          <w:sz w:val="20"/>
          <w:szCs w:val="20"/>
        </w:rPr>
        <w:t xml:space="preserve">petitions and cases </w:t>
      </w:r>
      <w:r w:rsidR="00827313">
        <w:rPr>
          <w:rFonts w:ascii="Cambria" w:eastAsia="Cambria" w:hAnsi="Cambria" w:cs="Cambria"/>
          <w:sz w:val="20"/>
          <w:szCs w:val="20"/>
        </w:rPr>
        <w:t>linked to the subject of access to justice for migrants before the UNHCR, and support for the Rapporteurship on Migrants in the amount of US</w:t>
      </w:r>
      <w:r w:rsidR="00C01A19" w:rsidRPr="00B200D5">
        <w:rPr>
          <w:rFonts w:ascii="Cambria" w:eastAsia="Cambria" w:hAnsi="Cambria" w:cs="Cambria"/>
          <w:sz w:val="20"/>
          <w:szCs w:val="20"/>
        </w:rPr>
        <w:t xml:space="preserve">$100,000. </w:t>
      </w:r>
      <w:r w:rsidR="00827313">
        <w:rPr>
          <w:rFonts w:ascii="Cambria" w:eastAsia="Cambria" w:hAnsi="Cambria" w:cs="Cambria"/>
          <w:sz w:val="20"/>
          <w:szCs w:val="20"/>
        </w:rPr>
        <w:t xml:space="preserve">The agreement was signed </w:t>
      </w:r>
      <w:r w:rsidR="00B60D19">
        <w:rPr>
          <w:rFonts w:ascii="Cambria" w:eastAsia="Cambria" w:hAnsi="Cambria" w:cs="Cambria"/>
          <w:sz w:val="20"/>
          <w:szCs w:val="20"/>
        </w:rPr>
        <w:t>at the end of the year</w:t>
      </w:r>
      <w:r w:rsidR="00F202FB">
        <w:rPr>
          <w:rFonts w:ascii="Cambria" w:eastAsia="Cambria" w:hAnsi="Cambria" w:cs="Cambria"/>
          <w:sz w:val="20"/>
          <w:szCs w:val="20"/>
        </w:rPr>
        <w:t>;</w:t>
      </w:r>
      <w:r w:rsidR="00467B1B">
        <w:rPr>
          <w:rFonts w:ascii="Cambria" w:eastAsia="Cambria" w:hAnsi="Cambria" w:cs="Cambria"/>
          <w:sz w:val="20"/>
          <w:szCs w:val="20"/>
        </w:rPr>
        <w:t xml:space="preserve"> it was to be executed in two months</w:t>
      </w:r>
      <w:r w:rsidR="00F202FB">
        <w:rPr>
          <w:rFonts w:ascii="Cambria" w:eastAsia="Cambria" w:hAnsi="Cambria" w:cs="Cambria"/>
          <w:sz w:val="20"/>
          <w:szCs w:val="20"/>
        </w:rPr>
        <w:t>;</w:t>
      </w:r>
      <w:r w:rsidR="00467B1B">
        <w:rPr>
          <w:rFonts w:ascii="Cambria" w:eastAsia="Cambria" w:hAnsi="Cambria" w:cs="Cambria"/>
          <w:sz w:val="20"/>
          <w:szCs w:val="20"/>
        </w:rPr>
        <w:t xml:space="preserve"> and the full amount was disbursed. </w:t>
      </w:r>
    </w:p>
    <w:p w14:paraId="36F179E1" w14:textId="77777777" w:rsidR="00C01A19" w:rsidRPr="00B200D5" w:rsidRDefault="00C01A19" w:rsidP="00C01A19">
      <w:pPr>
        <w:spacing w:after="0" w:line="240" w:lineRule="auto"/>
        <w:ind w:left="1440" w:hanging="720"/>
        <w:jc w:val="both"/>
        <w:rPr>
          <w:rFonts w:ascii="Cambria" w:eastAsia="Cambria" w:hAnsi="Cambria" w:cs="Cambria"/>
          <w:sz w:val="20"/>
          <w:szCs w:val="20"/>
        </w:rPr>
      </w:pPr>
    </w:p>
    <w:p w14:paraId="68DD7F02" w14:textId="78F7031F" w:rsidR="00C01A19" w:rsidRPr="00B200D5" w:rsidRDefault="00464A65"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 xml:space="preserve">Drafted a project proposal to </w:t>
      </w:r>
      <w:r w:rsidR="00055492">
        <w:rPr>
          <w:rFonts w:ascii="Cambria" w:eastAsia="Cambria" w:hAnsi="Cambria" w:cs="Cambria"/>
          <w:sz w:val="20"/>
          <w:szCs w:val="20"/>
        </w:rPr>
        <w:t xml:space="preserve">raise </w:t>
      </w:r>
      <w:r>
        <w:rPr>
          <w:rFonts w:ascii="Cambria" w:eastAsia="Cambria" w:hAnsi="Cambria" w:cs="Cambria"/>
          <w:sz w:val="20"/>
          <w:szCs w:val="20"/>
        </w:rPr>
        <w:t>awareness about the Inter-American human rights protec</w:t>
      </w:r>
      <w:r w:rsidR="00680640">
        <w:rPr>
          <w:rFonts w:ascii="Cambria" w:eastAsia="Cambria" w:hAnsi="Cambria" w:cs="Cambria"/>
          <w:sz w:val="20"/>
          <w:szCs w:val="20"/>
        </w:rPr>
        <w:t>tion and defense system in the N</w:t>
      </w:r>
      <w:r>
        <w:rPr>
          <w:rFonts w:ascii="Cambria" w:eastAsia="Cambria" w:hAnsi="Cambria" w:cs="Cambria"/>
          <w:sz w:val="20"/>
          <w:szCs w:val="20"/>
        </w:rPr>
        <w:t>orther</w:t>
      </w:r>
      <w:r w:rsidR="00680640">
        <w:rPr>
          <w:rFonts w:ascii="Cambria" w:eastAsia="Cambria" w:hAnsi="Cambria" w:cs="Cambria"/>
          <w:sz w:val="20"/>
          <w:szCs w:val="20"/>
        </w:rPr>
        <w:t>n T</w:t>
      </w:r>
      <w:r>
        <w:rPr>
          <w:rFonts w:ascii="Cambria" w:eastAsia="Cambria" w:hAnsi="Cambria" w:cs="Cambria"/>
          <w:sz w:val="20"/>
          <w:szCs w:val="20"/>
        </w:rPr>
        <w:t xml:space="preserve">riangle of Central America, for the amount of $822,690, over 4.5 years, to the Pan American Development Foundation </w:t>
      </w:r>
      <w:r w:rsidR="000D5F47">
        <w:rPr>
          <w:rFonts w:ascii="Cambria" w:eastAsia="Cambria" w:hAnsi="Cambria" w:cs="Cambria"/>
          <w:sz w:val="20"/>
          <w:szCs w:val="20"/>
        </w:rPr>
        <w:t>(</w:t>
      </w:r>
      <w:r>
        <w:rPr>
          <w:rFonts w:ascii="Cambria" w:eastAsia="Cambria" w:hAnsi="Cambria" w:cs="Cambria"/>
          <w:sz w:val="20"/>
          <w:szCs w:val="20"/>
        </w:rPr>
        <w:t>PADF</w:t>
      </w:r>
      <w:r w:rsidR="000D5F47">
        <w:rPr>
          <w:rFonts w:ascii="Cambria" w:eastAsia="Cambria" w:hAnsi="Cambria" w:cs="Cambria"/>
          <w:sz w:val="20"/>
          <w:szCs w:val="20"/>
        </w:rPr>
        <w:t>)</w:t>
      </w:r>
      <w:r>
        <w:rPr>
          <w:rFonts w:ascii="Cambria" w:eastAsia="Cambria" w:hAnsi="Cambria" w:cs="Cambria"/>
          <w:sz w:val="20"/>
          <w:szCs w:val="20"/>
        </w:rPr>
        <w:t xml:space="preserve">. </w:t>
      </w:r>
      <w:r w:rsidR="00E96B2A">
        <w:rPr>
          <w:rFonts w:ascii="Cambria" w:eastAsia="Cambria" w:hAnsi="Cambria" w:cs="Cambria"/>
          <w:sz w:val="20"/>
          <w:szCs w:val="20"/>
        </w:rPr>
        <w:t xml:space="preserve">This project is part of a larger program on </w:t>
      </w:r>
      <w:r w:rsidR="00E96B2A">
        <w:rPr>
          <w:rFonts w:ascii="Cambria" w:eastAsia="Cambria" w:hAnsi="Cambria" w:cs="Cambria"/>
          <w:i/>
          <w:sz w:val="20"/>
          <w:szCs w:val="20"/>
        </w:rPr>
        <w:t xml:space="preserve">Human Rights in Democracy </w:t>
      </w:r>
      <w:r w:rsidR="00E96B2A">
        <w:rPr>
          <w:rFonts w:ascii="Cambria" w:eastAsia="Cambria" w:hAnsi="Cambria" w:cs="Cambria"/>
          <w:sz w:val="20"/>
          <w:szCs w:val="20"/>
        </w:rPr>
        <w:t xml:space="preserve">funded by USAID.  The proposal was approved. In keeping with internal policy, the project needs to be submitted to </w:t>
      </w:r>
      <w:r w:rsidR="00025640">
        <w:rPr>
          <w:rFonts w:ascii="Cambria" w:eastAsia="Cambria" w:hAnsi="Cambria" w:cs="Cambria"/>
          <w:sz w:val="20"/>
          <w:szCs w:val="20"/>
        </w:rPr>
        <w:t xml:space="preserve">the </w:t>
      </w:r>
      <w:r w:rsidR="00936AA1">
        <w:rPr>
          <w:rFonts w:ascii="Cambria" w:eastAsia="Cambria" w:hAnsi="Cambria" w:cs="Cambria"/>
          <w:sz w:val="20"/>
          <w:szCs w:val="20"/>
        </w:rPr>
        <w:t xml:space="preserve">OAS </w:t>
      </w:r>
      <w:r w:rsidR="00025640">
        <w:rPr>
          <w:rFonts w:ascii="Cambria" w:eastAsia="Cambria" w:hAnsi="Cambria" w:cs="Cambria"/>
          <w:sz w:val="20"/>
          <w:szCs w:val="20"/>
        </w:rPr>
        <w:t xml:space="preserve">Project Evaluation Committee (CEP). </w:t>
      </w:r>
    </w:p>
    <w:p w14:paraId="145E5A81" w14:textId="77777777" w:rsidR="00C01A19" w:rsidRPr="00B200D5" w:rsidRDefault="00C01A19" w:rsidP="00C01A19">
      <w:pPr>
        <w:spacing w:after="0" w:line="240" w:lineRule="auto"/>
        <w:ind w:left="1440"/>
        <w:jc w:val="both"/>
        <w:rPr>
          <w:rFonts w:ascii="Cambria" w:eastAsia="Cambria" w:hAnsi="Cambria" w:cs="Cambria"/>
          <w:sz w:val="20"/>
          <w:szCs w:val="20"/>
        </w:rPr>
      </w:pPr>
    </w:p>
    <w:p w14:paraId="02C2B420" w14:textId="2874087B" w:rsidR="00C01A19" w:rsidRPr="00B200D5" w:rsidRDefault="00167BB6"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Drafted a proposal for the “Promotion of economic, social, cultural and environmental rights –</w:t>
      </w:r>
      <w:r w:rsidR="00CA6E9F">
        <w:rPr>
          <w:rFonts w:ascii="Cambria" w:eastAsia="Cambria" w:hAnsi="Cambria" w:cs="Cambria"/>
          <w:sz w:val="20"/>
          <w:szCs w:val="20"/>
        </w:rPr>
        <w:t>phase II</w:t>
      </w:r>
      <w:r>
        <w:rPr>
          <w:rFonts w:ascii="Cambria" w:eastAsia="Cambria" w:hAnsi="Cambria" w:cs="Cambria"/>
          <w:sz w:val="20"/>
          <w:szCs w:val="20"/>
        </w:rPr>
        <w:t xml:space="preserve"> (emphasis on the issue of human rights and corporations)” to be financed by the Spanish Fund of the OAS for the amount of </w:t>
      </w:r>
      <w:r w:rsidR="00C01A19" w:rsidRPr="00B200D5">
        <w:rPr>
          <w:rFonts w:ascii="Cambria" w:eastAsia="Cambria" w:hAnsi="Cambria" w:cs="Cambria"/>
          <w:sz w:val="20"/>
          <w:szCs w:val="20"/>
        </w:rPr>
        <w:t xml:space="preserve">€300,000 Euros. </w:t>
      </w:r>
    </w:p>
    <w:p w14:paraId="0284D804" w14:textId="77777777" w:rsidR="00C01A19" w:rsidRPr="00B200D5" w:rsidRDefault="00C01A19" w:rsidP="00C01A19">
      <w:pPr>
        <w:spacing w:after="0" w:line="240" w:lineRule="auto"/>
        <w:ind w:left="1440"/>
        <w:jc w:val="both"/>
        <w:rPr>
          <w:rFonts w:ascii="Cambria" w:eastAsia="Cambria" w:hAnsi="Cambria" w:cs="Cambria"/>
          <w:sz w:val="20"/>
          <w:szCs w:val="20"/>
        </w:rPr>
      </w:pPr>
    </w:p>
    <w:p w14:paraId="3D5FC143" w14:textId="46A6AF2A" w:rsidR="00C01A19" w:rsidRPr="00B200D5" w:rsidRDefault="00237E94"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Drafted a proposal to support the activities of the IACHR plan over 2017 to be financed through the OAS/DEMOC Fund of the US Mission to the OAS for the amount of $2,100,000</w:t>
      </w:r>
      <w:r w:rsidR="00CA0ACE">
        <w:rPr>
          <w:rFonts w:ascii="Cambria" w:eastAsia="Cambria" w:hAnsi="Cambria" w:cs="Cambria"/>
          <w:sz w:val="20"/>
          <w:szCs w:val="20"/>
        </w:rPr>
        <w:t xml:space="preserve"> and executed as of February 1, 2017. </w:t>
      </w:r>
    </w:p>
    <w:p w14:paraId="1D85ED78" w14:textId="77777777" w:rsidR="00C01A19" w:rsidRPr="00B200D5" w:rsidRDefault="00C01A19" w:rsidP="00C01A19">
      <w:pPr>
        <w:spacing w:after="0" w:line="240" w:lineRule="auto"/>
        <w:ind w:left="1440"/>
        <w:jc w:val="both"/>
        <w:rPr>
          <w:rFonts w:ascii="Cambria" w:eastAsia="Cambria" w:hAnsi="Cambria" w:cs="Cambria"/>
          <w:sz w:val="20"/>
          <w:szCs w:val="20"/>
        </w:rPr>
      </w:pPr>
    </w:p>
    <w:p w14:paraId="35F3E764" w14:textId="2EFCE1B7" w:rsidR="00C01A19" w:rsidRPr="00B200D5" w:rsidRDefault="003A24B0"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 xml:space="preserve">Drafted a proposal </w:t>
      </w:r>
      <w:r w:rsidR="00F27461">
        <w:rPr>
          <w:rFonts w:ascii="Cambria" w:eastAsia="Cambria" w:hAnsi="Cambria" w:cs="Cambria"/>
          <w:sz w:val="20"/>
          <w:szCs w:val="20"/>
        </w:rPr>
        <w:t xml:space="preserve">to Switzerland </w:t>
      </w:r>
      <w:r>
        <w:rPr>
          <w:rFonts w:ascii="Cambria" w:eastAsia="Cambria" w:hAnsi="Cambria" w:cs="Cambria"/>
          <w:sz w:val="20"/>
          <w:szCs w:val="20"/>
        </w:rPr>
        <w:t>about human rights and corporations with a focus on security companies in the Inter-American human rights system (IAHRS</w:t>
      </w:r>
      <w:r w:rsidR="00136DE3">
        <w:rPr>
          <w:rFonts w:ascii="Cambria" w:eastAsia="Cambria" w:hAnsi="Cambria" w:cs="Cambria"/>
          <w:sz w:val="20"/>
          <w:szCs w:val="20"/>
        </w:rPr>
        <w:t xml:space="preserve">).  </w:t>
      </w:r>
      <w:r w:rsidR="00DF45CD">
        <w:rPr>
          <w:rFonts w:ascii="Cambria" w:eastAsia="Cambria" w:hAnsi="Cambria" w:cs="Cambria"/>
          <w:sz w:val="20"/>
          <w:szCs w:val="20"/>
        </w:rPr>
        <w:t>After several revisions and changes to the scope of work, i</w:t>
      </w:r>
      <w:r w:rsidR="009E4593">
        <w:rPr>
          <w:rFonts w:ascii="Cambria" w:eastAsia="Cambria" w:hAnsi="Cambria" w:cs="Cambria"/>
          <w:sz w:val="20"/>
          <w:szCs w:val="20"/>
        </w:rPr>
        <w:t xml:space="preserve">t was agreed to hold a side event on the subject of human rights and corporations in the </w:t>
      </w:r>
      <w:r w:rsidR="00F06FD1">
        <w:rPr>
          <w:rFonts w:ascii="Cambria" w:eastAsia="Cambria" w:hAnsi="Cambria" w:cs="Cambria"/>
          <w:sz w:val="20"/>
          <w:szCs w:val="20"/>
        </w:rPr>
        <w:t xml:space="preserve">framework </w:t>
      </w:r>
      <w:r w:rsidR="009E4593">
        <w:rPr>
          <w:rFonts w:ascii="Cambria" w:eastAsia="Cambria" w:hAnsi="Cambria" w:cs="Cambria"/>
          <w:sz w:val="20"/>
          <w:szCs w:val="20"/>
        </w:rPr>
        <w:t>of the OAS Assembly in Mexico,</w:t>
      </w:r>
      <w:r w:rsidR="009A0F12">
        <w:rPr>
          <w:rFonts w:ascii="Cambria" w:eastAsia="Cambria" w:hAnsi="Cambria" w:cs="Cambria"/>
          <w:sz w:val="20"/>
          <w:szCs w:val="20"/>
        </w:rPr>
        <w:t xml:space="preserve"> for the amount of </w:t>
      </w:r>
      <w:r w:rsidR="009A0F12" w:rsidRPr="00B200D5">
        <w:rPr>
          <w:rFonts w:ascii="Cambria" w:eastAsia="Cambria" w:hAnsi="Cambria" w:cs="Cambria"/>
          <w:sz w:val="20"/>
          <w:szCs w:val="20"/>
        </w:rPr>
        <w:t>US$20,000</w:t>
      </w:r>
      <w:r w:rsidR="00C01A19" w:rsidRPr="00B200D5">
        <w:rPr>
          <w:rFonts w:ascii="Cambria" w:eastAsia="Cambria" w:hAnsi="Cambria" w:cs="Cambria"/>
          <w:sz w:val="20"/>
          <w:szCs w:val="20"/>
        </w:rPr>
        <w:t>.</w:t>
      </w:r>
    </w:p>
    <w:p w14:paraId="6900B627" w14:textId="77777777" w:rsidR="00C01A19" w:rsidRPr="00B200D5" w:rsidRDefault="00C01A19" w:rsidP="00C01A19">
      <w:pPr>
        <w:spacing w:after="0" w:line="240" w:lineRule="auto"/>
        <w:jc w:val="both"/>
        <w:rPr>
          <w:rFonts w:ascii="Cambria" w:eastAsia="Cambria" w:hAnsi="Cambria" w:cs="Cambria"/>
          <w:sz w:val="20"/>
          <w:szCs w:val="20"/>
        </w:rPr>
      </w:pPr>
    </w:p>
    <w:p w14:paraId="5B58D34D" w14:textId="5340DB60" w:rsidR="00C01A19" w:rsidRPr="00B200D5" w:rsidRDefault="00DC60D3"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 xml:space="preserve">As a result of negotiations by President James Cavallaro with the government of Canada, drafting began of a project proposal to fight discrimination and violence against women and girls in Latin America and the Caribbean, through </w:t>
      </w:r>
      <w:r w:rsidR="00804586">
        <w:rPr>
          <w:rFonts w:ascii="Cambria" w:eastAsia="Cambria" w:hAnsi="Cambria" w:cs="Cambria"/>
          <w:sz w:val="20"/>
          <w:szCs w:val="20"/>
        </w:rPr>
        <w:t xml:space="preserve">the IACHR protection mechanisms, for the amount of </w:t>
      </w:r>
      <w:r w:rsidR="00C01A19" w:rsidRPr="00B200D5">
        <w:rPr>
          <w:rFonts w:ascii="Cambria" w:eastAsia="Cambria" w:hAnsi="Cambria" w:cs="Cambria"/>
          <w:sz w:val="20"/>
          <w:szCs w:val="20"/>
        </w:rPr>
        <w:t xml:space="preserve">CAN$2,000,000. </w:t>
      </w:r>
      <w:r w:rsidR="002C69F1">
        <w:rPr>
          <w:rFonts w:ascii="Cambria" w:eastAsia="Cambria" w:hAnsi="Cambria" w:cs="Cambria"/>
          <w:sz w:val="20"/>
          <w:szCs w:val="20"/>
        </w:rPr>
        <w:t>Canada cooperation a</w:t>
      </w:r>
      <w:r w:rsidR="00A744F1">
        <w:rPr>
          <w:rFonts w:ascii="Cambria" w:eastAsia="Cambria" w:hAnsi="Cambria" w:cs="Cambria"/>
          <w:sz w:val="20"/>
          <w:szCs w:val="20"/>
        </w:rPr>
        <w:t>rea provided technical assistanc</w:t>
      </w:r>
      <w:r w:rsidR="002C69F1">
        <w:rPr>
          <w:rFonts w:ascii="Cambria" w:eastAsia="Cambria" w:hAnsi="Cambria" w:cs="Cambria"/>
          <w:sz w:val="20"/>
          <w:szCs w:val="20"/>
        </w:rPr>
        <w:t xml:space="preserve">e for this purpose.  The proposal remains under review and questions from the official counterparts are being answered. </w:t>
      </w:r>
    </w:p>
    <w:p w14:paraId="79AF28B4" w14:textId="77777777" w:rsidR="00C01A19" w:rsidRPr="00B200D5" w:rsidRDefault="00C01A19" w:rsidP="00C01A19">
      <w:pPr>
        <w:spacing w:after="0" w:line="240" w:lineRule="auto"/>
        <w:ind w:left="1440"/>
        <w:jc w:val="both"/>
        <w:rPr>
          <w:rFonts w:ascii="Cambria" w:eastAsia="Cambria" w:hAnsi="Cambria" w:cs="Cambria"/>
          <w:strike/>
          <w:sz w:val="20"/>
          <w:szCs w:val="20"/>
        </w:rPr>
      </w:pPr>
    </w:p>
    <w:p w14:paraId="4FB98BA2" w14:textId="0EA57089" w:rsidR="00C01A19" w:rsidRPr="00B200D5" w:rsidRDefault="00B97AB7" w:rsidP="00C01A19">
      <w:pPr>
        <w:numPr>
          <w:ilvl w:val="0"/>
          <w:numId w:val="14"/>
        </w:numPr>
        <w:pBdr>
          <w:top w:val="nil"/>
          <w:left w:val="nil"/>
          <w:bottom w:val="nil"/>
          <w:right w:val="nil"/>
          <w:between w:val="nil"/>
          <w:bar w:val="nil"/>
        </w:pBdr>
        <w:spacing w:after="0" w:line="240" w:lineRule="auto"/>
        <w:jc w:val="both"/>
        <w:rPr>
          <w:rFonts w:ascii="Cambria" w:eastAsia="Cambria" w:hAnsi="Cambria" w:cs="Cambria"/>
          <w:strike/>
          <w:sz w:val="20"/>
          <w:szCs w:val="20"/>
        </w:rPr>
      </w:pPr>
      <w:r>
        <w:rPr>
          <w:rFonts w:ascii="Cambria" w:eastAsia="Cambria" w:hAnsi="Cambria" w:cs="Cambria"/>
          <w:sz w:val="20"/>
          <w:szCs w:val="20"/>
        </w:rPr>
        <w:t xml:space="preserve">Drafted a proposal to the government of Germany to provide support to the Special Rapporteurship on Economic, Social and Cultural Rights. </w:t>
      </w:r>
    </w:p>
    <w:p w14:paraId="1C2EA4A3" w14:textId="77777777" w:rsidR="00C01A19" w:rsidRPr="00B200D5" w:rsidRDefault="00C01A19" w:rsidP="00C01A19">
      <w:pPr>
        <w:spacing w:after="0" w:line="240" w:lineRule="auto"/>
        <w:ind w:left="1440"/>
        <w:jc w:val="both"/>
        <w:rPr>
          <w:rFonts w:ascii="Cambria" w:eastAsia="Cambria" w:hAnsi="Cambria" w:cs="Cambria"/>
          <w:sz w:val="20"/>
          <w:szCs w:val="20"/>
        </w:rPr>
      </w:pPr>
    </w:p>
    <w:p w14:paraId="446ED270" w14:textId="77777777" w:rsidR="00C01A19" w:rsidRPr="00B200D5" w:rsidRDefault="00C01A19" w:rsidP="00C01A19">
      <w:pPr>
        <w:pStyle w:val="ListParagraph"/>
        <w:spacing w:after="0" w:line="240" w:lineRule="auto"/>
        <w:ind w:left="1440" w:hanging="720"/>
        <w:rPr>
          <w:rFonts w:ascii="Cambria" w:eastAsia="Cambria" w:hAnsi="Cambria" w:cs="Cambria"/>
          <w:sz w:val="20"/>
          <w:szCs w:val="20"/>
        </w:rPr>
      </w:pPr>
    </w:p>
    <w:p w14:paraId="5CD9B310" w14:textId="77777777" w:rsidR="0085703B" w:rsidRDefault="0085703B">
      <w:pPr>
        <w:spacing w:after="0" w:line="240" w:lineRule="auto"/>
        <w:rPr>
          <w:rFonts w:ascii="Cambria" w:hAnsi="Cambria"/>
          <w:sz w:val="20"/>
          <w:szCs w:val="20"/>
        </w:rPr>
      </w:pPr>
      <w:r>
        <w:br w:type="page"/>
      </w:r>
    </w:p>
    <w:p w14:paraId="6A8BE8A1" w14:textId="45DA2567" w:rsidR="00C01A19" w:rsidRPr="00B200D5" w:rsidRDefault="00480452" w:rsidP="00C01A19">
      <w:pPr>
        <w:pStyle w:val="paragraphs"/>
        <w:ind w:left="0" w:firstLine="720"/>
        <w:rPr>
          <w:rFonts w:eastAsia="Cambria" w:cs="Cambria"/>
          <w:lang w:val="en-US"/>
        </w:rPr>
      </w:pPr>
      <w:r>
        <w:rPr>
          <w:lang w:val="en-US"/>
        </w:rPr>
        <w:lastRenderedPageBreak/>
        <w:t xml:space="preserve">Additionally, the area has aided in drafting and supporting proposals written by other areas of the IACHR, such as the following: </w:t>
      </w:r>
    </w:p>
    <w:p w14:paraId="14684F71" w14:textId="606A2F5C" w:rsidR="00C01A19" w:rsidRPr="00B200D5" w:rsidRDefault="008E55BD" w:rsidP="00C01A19">
      <w:pPr>
        <w:pStyle w:val="ListParagraph"/>
        <w:numPr>
          <w:ilvl w:val="1"/>
          <w:numId w:val="15"/>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Review</w:t>
      </w:r>
      <w:r w:rsidR="00DB7DDC">
        <w:rPr>
          <w:rFonts w:ascii="Cambria" w:eastAsia="Cambria" w:hAnsi="Cambria" w:cs="Cambria"/>
          <w:sz w:val="20"/>
          <w:szCs w:val="20"/>
        </w:rPr>
        <w:t>ed</w:t>
      </w:r>
      <w:r>
        <w:rPr>
          <w:rFonts w:ascii="Cambria" w:eastAsia="Cambria" w:hAnsi="Cambria" w:cs="Cambria"/>
          <w:sz w:val="20"/>
          <w:szCs w:val="20"/>
        </w:rPr>
        <w:t xml:space="preserve"> and support</w:t>
      </w:r>
      <w:r w:rsidR="00DB7DDC">
        <w:rPr>
          <w:rFonts w:ascii="Cambria" w:eastAsia="Cambria" w:hAnsi="Cambria" w:cs="Cambria"/>
          <w:sz w:val="20"/>
          <w:szCs w:val="20"/>
        </w:rPr>
        <w:t>ed</w:t>
      </w:r>
      <w:r>
        <w:rPr>
          <w:rFonts w:ascii="Cambria" w:eastAsia="Cambria" w:hAnsi="Cambria" w:cs="Cambria"/>
          <w:sz w:val="20"/>
          <w:szCs w:val="20"/>
        </w:rPr>
        <w:t xml:space="preserve"> drafting the proposal to improve </w:t>
      </w:r>
      <w:r w:rsidR="007B3074">
        <w:rPr>
          <w:rFonts w:ascii="Cambria" w:eastAsia="Cambria" w:hAnsi="Cambria" w:cs="Cambria"/>
          <w:sz w:val="20"/>
          <w:szCs w:val="20"/>
        </w:rPr>
        <w:t xml:space="preserve">the </w:t>
      </w:r>
      <w:r w:rsidR="00B91A5C">
        <w:rPr>
          <w:rFonts w:ascii="Cambria" w:eastAsia="Cambria" w:hAnsi="Cambria" w:cs="Cambria"/>
          <w:sz w:val="20"/>
          <w:szCs w:val="20"/>
        </w:rPr>
        <w:t xml:space="preserve">handling of </w:t>
      </w:r>
      <w:r w:rsidR="009D7A2E">
        <w:rPr>
          <w:rFonts w:ascii="Cambria" w:eastAsia="Cambria" w:hAnsi="Cambria" w:cs="Cambria"/>
          <w:sz w:val="20"/>
          <w:szCs w:val="20"/>
        </w:rPr>
        <w:t>petitions at</w:t>
      </w:r>
      <w:r>
        <w:rPr>
          <w:rFonts w:ascii="Cambria" w:eastAsia="Cambria" w:hAnsi="Cambria" w:cs="Cambria"/>
          <w:sz w:val="20"/>
          <w:szCs w:val="20"/>
        </w:rPr>
        <w:t xml:space="preserve"> the in</w:t>
      </w:r>
      <w:r w:rsidR="009D7A2E">
        <w:rPr>
          <w:rFonts w:ascii="Cambria" w:eastAsia="Cambria" w:hAnsi="Cambria" w:cs="Cambria"/>
          <w:sz w:val="20"/>
          <w:szCs w:val="20"/>
        </w:rPr>
        <w:t>itial review stage, coordinating</w:t>
      </w:r>
      <w:r>
        <w:rPr>
          <w:rFonts w:ascii="Cambria" w:eastAsia="Cambria" w:hAnsi="Cambria" w:cs="Cambria"/>
          <w:sz w:val="20"/>
          <w:szCs w:val="20"/>
        </w:rPr>
        <w:t xml:space="preserve"> with the Trust</w:t>
      </w:r>
      <w:r w:rsidR="00123C7B">
        <w:rPr>
          <w:rFonts w:ascii="Cambria" w:eastAsia="Cambria" w:hAnsi="Cambria" w:cs="Cambria"/>
          <w:sz w:val="20"/>
          <w:szCs w:val="20"/>
        </w:rPr>
        <w:t xml:space="preserve"> for the Americas and submitting</w:t>
      </w:r>
      <w:r>
        <w:rPr>
          <w:rFonts w:ascii="Cambria" w:eastAsia="Cambria" w:hAnsi="Cambria" w:cs="Cambria"/>
          <w:sz w:val="20"/>
          <w:szCs w:val="20"/>
        </w:rPr>
        <w:t xml:space="preserve"> </w:t>
      </w:r>
      <w:r w:rsidR="00C574F1">
        <w:rPr>
          <w:rFonts w:ascii="Cambria" w:eastAsia="Cambria" w:hAnsi="Cambria" w:cs="Cambria"/>
          <w:sz w:val="20"/>
          <w:szCs w:val="20"/>
        </w:rPr>
        <w:t xml:space="preserve">the </w:t>
      </w:r>
      <w:r w:rsidR="00A87DC2">
        <w:rPr>
          <w:rFonts w:ascii="Cambria" w:eastAsia="Cambria" w:hAnsi="Cambria" w:cs="Cambria"/>
          <w:sz w:val="20"/>
          <w:szCs w:val="20"/>
        </w:rPr>
        <w:t xml:space="preserve">corresponding proposal </w:t>
      </w:r>
      <w:r>
        <w:rPr>
          <w:rFonts w:ascii="Cambria" w:eastAsia="Cambria" w:hAnsi="Cambria" w:cs="Cambria"/>
          <w:sz w:val="20"/>
          <w:szCs w:val="20"/>
        </w:rPr>
        <w:t>to the National Endowment for Democracy (NED)</w:t>
      </w:r>
      <w:r w:rsidR="009312C2">
        <w:rPr>
          <w:rFonts w:ascii="Cambria" w:eastAsia="Cambria" w:hAnsi="Cambria" w:cs="Cambria"/>
          <w:sz w:val="20"/>
          <w:szCs w:val="20"/>
        </w:rPr>
        <w:t xml:space="preserve">. </w:t>
      </w:r>
      <w:r w:rsidR="00D21A89">
        <w:rPr>
          <w:rFonts w:ascii="Cambria" w:eastAsia="Cambria" w:hAnsi="Cambria" w:cs="Cambria"/>
          <w:sz w:val="20"/>
          <w:szCs w:val="20"/>
        </w:rPr>
        <w:t xml:space="preserve">The donor reported that </w:t>
      </w:r>
      <w:r w:rsidR="00EB2DE9">
        <w:rPr>
          <w:rFonts w:ascii="Cambria" w:eastAsia="Cambria" w:hAnsi="Cambria" w:cs="Cambria"/>
          <w:sz w:val="20"/>
          <w:szCs w:val="20"/>
        </w:rPr>
        <w:t xml:space="preserve">this proposal </w:t>
      </w:r>
      <w:r w:rsidR="00E1452B">
        <w:rPr>
          <w:rFonts w:ascii="Cambria" w:eastAsia="Cambria" w:hAnsi="Cambria" w:cs="Cambria"/>
          <w:sz w:val="20"/>
          <w:szCs w:val="20"/>
        </w:rPr>
        <w:t>was not accepted</w:t>
      </w:r>
      <w:r w:rsidR="00830ABB">
        <w:rPr>
          <w:rFonts w:ascii="Cambria" w:eastAsia="Cambria" w:hAnsi="Cambria" w:cs="Cambria"/>
          <w:sz w:val="20"/>
          <w:szCs w:val="20"/>
        </w:rPr>
        <w:t>,</w:t>
      </w:r>
      <w:r w:rsidR="00E1452B">
        <w:rPr>
          <w:rFonts w:ascii="Cambria" w:eastAsia="Cambria" w:hAnsi="Cambria" w:cs="Cambria"/>
          <w:sz w:val="20"/>
          <w:szCs w:val="20"/>
        </w:rPr>
        <w:t xml:space="preserve"> inasmuch as it is felt that the proposed project is part of the permanent </w:t>
      </w:r>
      <w:r w:rsidR="00DC4FC9">
        <w:rPr>
          <w:rFonts w:ascii="Cambria" w:eastAsia="Cambria" w:hAnsi="Cambria" w:cs="Cambria"/>
          <w:sz w:val="20"/>
          <w:szCs w:val="20"/>
        </w:rPr>
        <w:t>operation</w:t>
      </w:r>
      <w:r w:rsidR="00D31D3A">
        <w:rPr>
          <w:rFonts w:ascii="Cambria" w:eastAsia="Cambria" w:hAnsi="Cambria" w:cs="Cambria"/>
          <w:sz w:val="20"/>
          <w:szCs w:val="20"/>
        </w:rPr>
        <w:t>s</w:t>
      </w:r>
      <w:r w:rsidR="00DC4FC9">
        <w:rPr>
          <w:rFonts w:ascii="Cambria" w:eastAsia="Cambria" w:hAnsi="Cambria" w:cs="Cambria"/>
          <w:sz w:val="20"/>
          <w:szCs w:val="20"/>
        </w:rPr>
        <w:t xml:space="preserve"> of the IACHR</w:t>
      </w:r>
      <w:r w:rsidR="00C01A19" w:rsidRPr="00B200D5">
        <w:rPr>
          <w:rFonts w:ascii="Cambria" w:eastAsia="Cambria" w:hAnsi="Cambria" w:cs="Cambria"/>
          <w:sz w:val="20"/>
          <w:szCs w:val="20"/>
        </w:rPr>
        <w:t>.</w:t>
      </w:r>
    </w:p>
    <w:p w14:paraId="00BC6B8F" w14:textId="77777777" w:rsidR="00C01A19" w:rsidRPr="00B200D5" w:rsidRDefault="00C01A19" w:rsidP="00C01A19">
      <w:pPr>
        <w:spacing w:after="0" w:line="240" w:lineRule="auto"/>
        <w:ind w:left="1440"/>
        <w:jc w:val="both"/>
        <w:rPr>
          <w:rFonts w:ascii="Cambria" w:eastAsia="Cambria" w:hAnsi="Cambria" w:cs="Cambria"/>
          <w:sz w:val="20"/>
          <w:szCs w:val="20"/>
        </w:rPr>
      </w:pPr>
    </w:p>
    <w:p w14:paraId="577707B1" w14:textId="31208FC3" w:rsidR="00C01A19" w:rsidRPr="00B200D5" w:rsidRDefault="00401EFB" w:rsidP="00C01A19">
      <w:pPr>
        <w:pStyle w:val="ListParagraph"/>
        <w:numPr>
          <w:ilvl w:val="1"/>
          <w:numId w:val="15"/>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Support</w:t>
      </w:r>
      <w:r w:rsidR="004873F5">
        <w:rPr>
          <w:rFonts w:ascii="Cambria" w:eastAsia="Cambria" w:hAnsi="Cambria" w:cs="Cambria"/>
          <w:sz w:val="20"/>
          <w:szCs w:val="20"/>
        </w:rPr>
        <w:t>ed</w:t>
      </w:r>
      <w:r>
        <w:rPr>
          <w:rFonts w:ascii="Cambria" w:eastAsia="Cambria" w:hAnsi="Cambria" w:cs="Cambria"/>
          <w:sz w:val="20"/>
          <w:szCs w:val="20"/>
        </w:rPr>
        <w:t xml:space="preserve"> the Petition Section in drafting a summary document </w:t>
      </w:r>
      <w:r w:rsidR="000B3548">
        <w:rPr>
          <w:rFonts w:ascii="Cambria" w:eastAsia="Cambria" w:hAnsi="Cambria" w:cs="Cambria"/>
          <w:sz w:val="20"/>
          <w:szCs w:val="20"/>
        </w:rPr>
        <w:t xml:space="preserve">addressed to the European Commission </w:t>
      </w:r>
      <w:r w:rsidR="00671918">
        <w:rPr>
          <w:rFonts w:ascii="Cambria" w:eastAsia="Cambria" w:hAnsi="Cambria" w:cs="Cambria"/>
          <w:sz w:val="20"/>
          <w:szCs w:val="20"/>
        </w:rPr>
        <w:t xml:space="preserve">about a proposal regarding “Access to international justice through petitions brought before the IACHR by victims of alleged violations of human rights in the hemisphere,” for the amount of </w:t>
      </w:r>
      <w:r w:rsidR="00C01A19" w:rsidRPr="00B200D5">
        <w:rPr>
          <w:rFonts w:ascii="Cambria" w:eastAsia="Cambria" w:hAnsi="Cambria" w:cs="Cambria"/>
          <w:sz w:val="20"/>
          <w:szCs w:val="20"/>
        </w:rPr>
        <w:t>€1,5000,000</w:t>
      </w:r>
      <w:r w:rsidR="00F94730">
        <w:rPr>
          <w:rFonts w:ascii="Cambria" w:eastAsia="Cambria" w:hAnsi="Cambria" w:cs="Cambria"/>
          <w:sz w:val="20"/>
          <w:szCs w:val="20"/>
        </w:rPr>
        <w:t xml:space="preserve"> Euros</w:t>
      </w:r>
      <w:r w:rsidR="00C01A19" w:rsidRPr="00B200D5">
        <w:rPr>
          <w:rFonts w:ascii="Cambria" w:eastAsia="Cambria" w:hAnsi="Cambria" w:cs="Cambria"/>
          <w:sz w:val="20"/>
          <w:szCs w:val="20"/>
        </w:rPr>
        <w:t xml:space="preserve">, </w:t>
      </w:r>
      <w:r w:rsidR="00383690">
        <w:rPr>
          <w:rFonts w:ascii="Cambria" w:eastAsia="Cambria" w:hAnsi="Cambria" w:cs="Cambria"/>
          <w:sz w:val="20"/>
          <w:szCs w:val="20"/>
        </w:rPr>
        <w:t xml:space="preserve">over </w:t>
      </w:r>
      <w:r w:rsidR="00C01A19" w:rsidRPr="00B200D5">
        <w:rPr>
          <w:rFonts w:ascii="Cambria" w:eastAsia="Cambria" w:hAnsi="Cambria" w:cs="Cambria"/>
          <w:sz w:val="20"/>
          <w:szCs w:val="20"/>
        </w:rPr>
        <w:t xml:space="preserve">2018-2020. </w:t>
      </w:r>
      <w:r w:rsidR="00383690">
        <w:rPr>
          <w:rFonts w:ascii="Cambria" w:eastAsia="Cambria" w:hAnsi="Cambria" w:cs="Cambria"/>
          <w:sz w:val="20"/>
          <w:szCs w:val="20"/>
        </w:rPr>
        <w:t xml:space="preserve">This is the first step toward submitting the complete proposal. </w:t>
      </w:r>
    </w:p>
    <w:p w14:paraId="0C6EFABB" w14:textId="77777777" w:rsidR="00C01A19" w:rsidRPr="00B200D5" w:rsidRDefault="00C01A19" w:rsidP="00C01A19">
      <w:pPr>
        <w:spacing w:after="0" w:line="240" w:lineRule="auto"/>
        <w:ind w:left="1440"/>
        <w:jc w:val="both"/>
        <w:rPr>
          <w:rFonts w:ascii="Cambria" w:eastAsia="Cambria" w:hAnsi="Cambria" w:cs="Cambria"/>
          <w:sz w:val="20"/>
          <w:szCs w:val="20"/>
        </w:rPr>
      </w:pPr>
    </w:p>
    <w:p w14:paraId="18958651" w14:textId="217E8C52" w:rsidR="00C01A19" w:rsidRPr="00B200D5" w:rsidRDefault="004873F5" w:rsidP="00C01A19">
      <w:pPr>
        <w:pStyle w:val="ListParagraph"/>
        <w:numPr>
          <w:ilvl w:val="1"/>
          <w:numId w:val="15"/>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 xml:space="preserve">Supported </w:t>
      </w:r>
      <w:r w:rsidR="001328B1">
        <w:rPr>
          <w:rFonts w:ascii="Cambria" w:eastAsia="Cambria" w:hAnsi="Cambria" w:cs="Cambria"/>
          <w:sz w:val="20"/>
          <w:szCs w:val="20"/>
        </w:rPr>
        <w:t>the Rapporteursh</w:t>
      </w:r>
      <w:r w:rsidR="00A31642">
        <w:rPr>
          <w:rFonts w:ascii="Cambria" w:eastAsia="Cambria" w:hAnsi="Cambria" w:cs="Cambria"/>
          <w:sz w:val="20"/>
          <w:szCs w:val="20"/>
        </w:rPr>
        <w:t xml:space="preserve">ip on LGBTI persons in drafting </w:t>
      </w:r>
      <w:r w:rsidR="005E748C">
        <w:rPr>
          <w:rFonts w:ascii="Cambria" w:eastAsia="Cambria" w:hAnsi="Cambria" w:cs="Cambria"/>
          <w:sz w:val="20"/>
          <w:szCs w:val="20"/>
        </w:rPr>
        <w:t xml:space="preserve">a proposal </w:t>
      </w:r>
      <w:r w:rsidR="00BF255D">
        <w:rPr>
          <w:rFonts w:ascii="Cambria" w:eastAsia="Cambria" w:hAnsi="Cambria" w:cs="Cambria"/>
          <w:sz w:val="20"/>
          <w:szCs w:val="20"/>
        </w:rPr>
        <w:t xml:space="preserve">to support </w:t>
      </w:r>
      <w:r w:rsidR="002A2A80">
        <w:rPr>
          <w:rFonts w:ascii="Cambria" w:eastAsia="Cambria" w:hAnsi="Cambria" w:cs="Cambria"/>
          <w:sz w:val="20"/>
          <w:szCs w:val="20"/>
        </w:rPr>
        <w:t>the work of the Rapporteurship</w:t>
      </w:r>
      <w:r w:rsidR="003D18C7">
        <w:rPr>
          <w:rFonts w:ascii="Cambria" w:eastAsia="Cambria" w:hAnsi="Cambria" w:cs="Cambria"/>
          <w:sz w:val="20"/>
          <w:szCs w:val="20"/>
        </w:rPr>
        <w:t>,</w:t>
      </w:r>
      <w:r w:rsidR="002A2A80">
        <w:rPr>
          <w:rFonts w:ascii="Cambria" w:eastAsia="Cambria" w:hAnsi="Cambria" w:cs="Cambria"/>
          <w:sz w:val="20"/>
          <w:szCs w:val="20"/>
        </w:rPr>
        <w:t xml:space="preserve"> in the amount of </w:t>
      </w:r>
      <w:r w:rsidR="00C01A19" w:rsidRPr="00B200D5">
        <w:rPr>
          <w:rFonts w:ascii="Cambria" w:eastAsia="Cambria" w:hAnsi="Cambria" w:cs="Cambria"/>
          <w:sz w:val="20"/>
          <w:szCs w:val="20"/>
        </w:rPr>
        <w:t xml:space="preserve">$250,000, </w:t>
      </w:r>
      <w:r w:rsidR="006155B0">
        <w:rPr>
          <w:rFonts w:ascii="Cambria" w:eastAsia="Cambria" w:hAnsi="Cambria" w:cs="Cambria"/>
          <w:sz w:val="20"/>
          <w:szCs w:val="20"/>
        </w:rPr>
        <w:t xml:space="preserve">which would be executed </w:t>
      </w:r>
      <w:r w:rsidR="00B375E9">
        <w:rPr>
          <w:rFonts w:ascii="Cambria" w:eastAsia="Cambria" w:hAnsi="Cambria" w:cs="Cambria"/>
          <w:sz w:val="20"/>
          <w:szCs w:val="20"/>
        </w:rPr>
        <w:t xml:space="preserve">through the Trust for the Americas and funded by </w:t>
      </w:r>
      <w:r w:rsidR="00C01A19" w:rsidRPr="00B200D5">
        <w:rPr>
          <w:rFonts w:ascii="Cambria" w:eastAsia="Cambria" w:hAnsi="Cambria" w:cs="Cambria"/>
          <w:i/>
          <w:iCs/>
          <w:sz w:val="20"/>
          <w:szCs w:val="20"/>
        </w:rPr>
        <w:t>Wellspring advisors</w:t>
      </w:r>
      <w:r w:rsidR="00C01A19" w:rsidRPr="00B200D5">
        <w:rPr>
          <w:rFonts w:ascii="Cambria" w:eastAsia="Cambria" w:hAnsi="Cambria" w:cs="Cambria"/>
          <w:sz w:val="20"/>
          <w:szCs w:val="20"/>
        </w:rPr>
        <w:t>.</w:t>
      </w:r>
    </w:p>
    <w:p w14:paraId="3B4E959C" w14:textId="77777777" w:rsidR="00C01A19" w:rsidRPr="00B200D5" w:rsidRDefault="00C01A19" w:rsidP="00C01A19">
      <w:pPr>
        <w:spacing w:after="0" w:line="240" w:lineRule="auto"/>
        <w:ind w:left="1440"/>
        <w:jc w:val="both"/>
        <w:rPr>
          <w:rFonts w:ascii="Cambria" w:eastAsia="Cambria" w:hAnsi="Cambria" w:cs="Cambria"/>
          <w:sz w:val="20"/>
          <w:szCs w:val="20"/>
        </w:rPr>
      </w:pPr>
    </w:p>
    <w:p w14:paraId="50CE66C0" w14:textId="7EC75699" w:rsidR="00C01A19" w:rsidRPr="00B200D5" w:rsidRDefault="00C01A19" w:rsidP="00C01A19">
      <w:pPr>
        <w:widowControl w:val="0"/>
        <w:spacing w:after="0" w:line="240" w:lineRule="auto"/>
        <w:ind w:left="720"/>
        <w:jc w:val="both"/>
        <w:outlineLvl w:val="2"/>
        <w:rPr>
          <w:rFonts w:ascii="Cambria" w:eastAsia="Cambria" w:hAnsi="Cambria" w:cs="Cambria"/>
          <w:b/>
          <w:bCs/>
          <w:sz w:val="20"/>
          <w:szCs w:val="20"/>
        </w:rPr>
      </w:pPr>
      <w:r w:rsidRPr="00B200D5">
        <w:rPr>
          <w:rFonts w:ascii="Cambria" w:eastAsia="Cambria" w:hAnsi="Cambria" w:cs="Cambria"/>
          <w:b/>
          <w:bCs/>
          <w:sz w:val="20"/>
          <w:szCs w:val="20"/>
        </w:rPr>
        <w:t xml:space="preserve">4. </w:t>
      </w:r>
      <w:r w:rsidRPr="00B200D5">
        <w:rPr>
          <w:rFonts w:ascii="Cambria" w:eastAsia="Cambria" w:hAnsi="Cambria" w:cs="Cambria"/>
          <w:b/>
          <w:bCs/>
          <w:sz w:val="20"/>
          <w:szCs w:val="20"/>
        </w:rPr>
        <w:tab/>
      </w:r>
      <w:r w:rsidR="00373C9E">
        <w:rPr>
          <w:rFonts w:ascii="Cambria" w:eastAsia="Cambria" w:hAnsi="Cambria" w:cs="Cambria"/>
          <w:b/>
          <w:bCs/>
          <w:sz w:val="20"/>
          <w:szCs w:val="20"/>
        </w:rPr>
        <w:t xml:space="preserve">Project Reports </w:t>
      </w:r>
    </w:p>
    <w:p w14:paraId="1948AEDE" w14:textId="77777777" w:rsidR="00C01A19" w:rsidRPr="00B200D5" w:rsidRDefault="00C01A19" w:rsidP="00C01A19">
      <w:pPr>
        <w:spacing w:after="0" w:line="240" w:lineRule="auto"/>
        <w:jc w:val="both"/>
        <w:rPr>
          <w:rFonts w:ascii="Cambria" w:eastAsia="Cambria" w:hAnsi="Cambria" w:cs="Cambria"/>
          <w:sz w:val="20"/>
          <w:szCs w:val="20"/>
        </w:rPr>
      </w:pPr>
    </w:p>
    <w:p w14:paraId="14692955" w14:textId="4476944D" w:rsidR="00C01A19" w:rsidRPr="00B200D5" w:rsidRDefault="00DC6DC4" w:rsidP="00C01A19">
      <w:pPr>
        <w:pStyle w:val="paragraphs"/>
        <w:ind w:left="0" w:firstLine="720"/>
        <w:rPr>
          <w:rFonts w:eastAsia="Cambria" w:cs="Cambria"/>
          <w:lang w:val="en-US"/>
        </w:rPr>
      </w:pPr>
      <w:r>
        <w:rPr>
          <w:rFonts w:eastAsia="Cambria" w:cs="Cambria"/>
          <w:lang w:val="en-US"/>
        </w:rPr>
        <w:t>Over</w:t>
      </w:r>
      <w:r w:rsidR="003D18C7">
        <w:rPr>
          <w:rFonts w:eastAsia="Cambria" w:cs="Cambria"/>
          <w:lang w:val="en-US"/>
        </w:rPr>
        <w:t xml:space="preserve"> the course of</w:t>
      </w:r>
      <w:r>
        <w:rPr>
          <w:rFonts w:eastAsia="Cambria" w:cs="Cambria"/>
          <w:lang w:val="en-US"/>
        </w:rPr>
        <w:t xml:space="preserve"> </w:t>
      </w:r>
      <w:r w:rsidR="00193D96">
        <w:rPr>
          <w:rFonts w:eastAsia="Cambria" w:cs="Cambria"/>
          <w:lang w:val="en-US"/>
        </w:rPr>
        <w:t xml:space="preserve">2016, </w:t>
      </w:r>
      <w:r>
        <w:rPr>
          <w:rFonts w:eastAsia="Cambria" w:cs="Cambria"/>
          <w:lang w:val="en-US"/>
        </w:rPr>
        <w:t xml:space="preserve">seven project reports were written or coordinated by the planning and project management area and submitted to the </w:t>
      </w:r>
      <w:r w:rsidR="00202729">
        <w:rPr>
          <w:rFonts w:eastAsia="Cambria" w:cs="Cambria"/>
          <w:lang w:val="en-US"/>
        </w:rPr>
        <w:t xml:space="preserve">appropriate </w:t>
      </w:r>
      <w:r>
        <w:rPr>
          <w:rFonts w:eastAsia="Cambria" w:cs="Cambria"/>
          <w:lang w:val="en-US"/>
        </w:rPr>
        <w:t xml:space="preserve">donors: </w:t>
      </w:r>
    </w:p>
    <w:p w14:paraId="21635B93" w14:textId="39CD5DCA" w:rsidR="00C01A19" w:rsidRPr="00B200D5" w:rsidRDefault="00A02D86" w:rsidP="00C01A19">
      <w:pPr>
        <w:pStyle w:val="ListParagraph"/>
        <w:numPr>
          <w:ilvl w:val="0"/>
          <w:numId w:val="16"/>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 xml:space="preserve">Supported drafting the mid-term report for </w:t>
      </w:r>
      <w:r w:rsidRPr="00B200D5">
        <w:rPr>
          <w:rFonts w:ascii="Cambria" w:eastAsia="Cambria" w:hAnsi="Cambria" w:cs="Cambria"/>
          <w:sz w:val="20"/>
          <w:szCs w:val="20"/>
        </w:rPr>
        <w:t xml:space="preserve">Fundacion Arcus </w:t>
      </w:r>
      <w:r w:rsidR="00467BEC">
        <w:rPr>
          <w:rFonts w:ascii="Cambria" w:eastAsia="Cambria" w:hAnsi="Cambria" w:cs="Cambria"/>
          <w:sz w:val="20"/>
          <w:szCs w:val="20"/>
        </w:rPr>
        <w:t>in</w:t>
      </w:r>
      <w:r w:rsidR="00BD3399">
        <w:rPr>
          <w:rFonts w:ascii="Cambria" w:eastAsia="Cambria" w:hAnsi="Cambria" w:cs="Cambria"/>
          <w:sz w:val="20"/>
          <w:szCs w:val="20"/>
        </w:rPr>
        <w:t xml:space="preserve"> executing</w:t>
      </w:r>
      <w:r w:rsidR="00467BEC">
        <w:rPr>
          <w:rFonts w:ascii="Cambria" w:eastAsia="Cambria" w:hAnsi="Cambria" w:cs="Cambria"/>
          <w:sz w:val="20"/>
          <w:szCs w:val="20"/>
        </w:rPr>
        <w:t xml:space="preserve"> </w:t>
      </w:r>
      <w:r w:rsidR="00BD3399">
        <w:rPr>
          <w:rFonts w:ascii="Cambria" w:eastAsia="Cambria" w:hAnsi="Cambria" w:cs="Cambria"/>
          <w:sz w:val="20"/>
          <w:szCs w:val="20"/>
        </w:rPr>
        <w:t xml:space="preserve">the support project to the Rapporteurship on the rights of LGTBI persons. </w:t>
      </w:r>
    </w:p>
    <w:p w14:paraId="7BBCEAFE" w14:textId="77777777" w:rsidR="00C01A19" w:rsidRPr="00B200D5" w:rsidRDefault="00C01A19" w:rsidP="00C01A19">
      <w:pPr>
        <w:pStyle w:val="ListParagraph"/>
        <w:spacing w:after="0" w:line="240" w:lineRule="auto"/>
        <w:ind w:left="1440"/>
        <w:jc w:val="both"/>
        <w:rPr>
          <w:rFonts w:ascii="Cambria" w:eastAsia="Cambria" w:hAnsi="Cambria" w:cs="Cambria"/>
          <w:sz w:val="20"/>
          <w:szCs w:val="20"/>
        </w:rPr>
      </w:pPr>
    </w:p>
    <w:p w14:paraId="19901540" w14:textId="7D69F06B" w:rsidR="00C01A19" w:rsidRPr="00B200D5" w:rsidRDefault="00CB2260" w:rsidP="00C01A19">
      <w:pPr>
        <w:pStyle w:val="ListParagraph"/>
        <w:numPr>
          <w:ilvl w:val="0"/>
          <w:numId w:val="16"/>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Coordinated and supported drafting of the</w:t>
      </w:r>
      <w:r w:rsidR="00EC3FD1">
        <w:rPr>
          <w:rFonts w:ascii="Cambria" w:eastAsia="Cambria" w:hAnsi="Cambria" w:cs="Cambria"/>
          <w:sz w:val="20"/>
          <w:szCs w:val="20"/>
        </w:rPr>
        <w:t xml:space="preserve"> second mid-term report of the p</w:t>
      </w:r>
      <w:r>
        <w:rPr>
          <w:rFonts w:ascii="Cambria" w:eastAsia="Cambria" w:hAnsi="Cambria" w:cs="Cambria"/>
          <w:sz w:val="20"/>
          <w:szCs w:val="20"/>
        </w:rPr>
        <w:t xml:space="preserve">reventive detention project for the Spain Fund. </w:t>
      </w:r>
    </w:p>
    <w:p w14:paraId="478BFF35" w14:textId="77777777" w:rsidR="00C01A19" w:rsidRPr="00B200D5" w:rsidRDefault="00C01A19" w:rsidP="00C01A19">
      <w:pPr>
        <w:spacing w:after="0" w:line="240" w:lineRule="auto"/>
        <w:ind w:left="720"/>
        <w:jc w:val="both"/>
        <w:rPr>
          <w:rFonts w:ascii="Cambria" w:eastAsia="Cambria" w:hAnsi="Cambria" w:cs="Cambria"/>
          <w:sz w:val="20"/>
          <w:szCs w:val="20"/>
        </w:rPr>
      </w:pPr>
    </w:p>
    <w:p w14:paraId="60CA6E9E" w14:textId="1B639640" w:rsidR="00C01A19" w:rsidRPr="00B200D5" w:rsidRDefault="009F2001" w:rsidP="00C01A19">
      <w:pPr>
        <w:pStyle w:val="ListParagraph"/>
        <w:numPr>
          <w:ilvl w:val="0"/>
          <w:numId w:val="16"/>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Coordinated and drafted the first mid-term report of the project on Promotion</w:t>
      </w:r>
      <w:r w:rsidR="00C148BC">
        <w:rPr>
          <w:rFonts w:ascii="Cambria" w:eastAsia="Cambria" w:hAnsi="Cambria" w:cs="Cambria"/>
          <w:sz w:val="20"/>
          <w:szCs w:val="20"/>
        </w:rPr>
        <w:t xml:space="preserve"> [of Rights]</w:t>
      </w:r>
      <w:r>
        <w:rPr>
          <w:rFonts w:ascii="Cambria" w:eastAsia="Cambria" w:hAnsi="Cambria" w:cs="Cambria"/>
          <w:sz w:val="20"/>
          <w:szCs w:val="20"/>
        </w:rPr>
        <w:t xml:space="preserve"> and Protection of </w:t>
      </w:r>
      <w:r w:rsidR="003D7D5E">
        <w:rPr>
          <w:rFonts w:ascii="Cambria" w:eastAsia="Cambria" w:hAnsi="Cambria" w:cs="Cambria"/>
          <w:sz w:val="20"/>
          <w:szCs w:val="20"/>
        </w:rPr>
        <w:t xml:space="preserve">Highest Risk </w:t>
      </w:r>
      <w:r>
        <w:rPr>
          <w:rFonts w:ascii="Cambria" w:eastAsia="Cambria" w:hAnsi="Cambria" w:cs="Cambria"/>
          <w:sz w:val="20"/>
          <w:szCs w:val="20"/>
        </w:rPr>
        <w:t xml:space="preserve">Populations </w:t>
      </w:r>
      <w:r w:rsidR="003D7D5E">
        <w:rPr>
          <w:rFonts w:ascii="Cambria" w:eastAsia="Cambria" w:hAnsi="Cambria" w:cs="Cambria"/>
          <w:sz w:val="20"/>
          <w:szCs w:val="20"/>
        </w:rPr>
        <w:t xml:space="preserve">in the Americas </w:t>
      </w:r>
      <w:r>
        <w:rPr>
          <w:rFonts w:ascii="Cambria" w:eastAsia="Cambria" w:hAnsi="Cambria" w:cs="Cambria"/>
          <w:sz w:val="20"/>
          <w:szCs w:val="20"/>
        </w:rPr>
        <w:t>for the European Commission</w:t>
      </w:r>
      <w:r w:rsidR="005A667B">
        <w:rPr>
          <w:rFonts w:ascii="Cambria" w:eastAsia="Cambria" w:hAnsi="Cambria" w:cs="Cambria"/>
          <w:sz w:val="20"/>
          <w:szCs w:val="20"/>
        </w:rPr>
        <w:t>.</w:t>
      </w:r>
      <w:r>
        <w:rPr>
          <w:rFonts w:ascii="Cambria" w:eastAsia="Cambria" w:hAnsi="Cambria" w:cs="Cambria"/>
          <w:sz w:val="20"/>
          <w:szCs w:val="20"/>
        </w:rPr>
        <w:t xml:space="preserve"> </w:t>
      </w:r>
    </w:p>
    <w:p w14:paraId="51027F7C" w14:textId="77777777" w:rsidR="00C01A19" w:rsidRPr="00B200D5" w:rsidRDefault="00C01A19" w:rsidP="00C01A19">
      <w:pPr>
        <w:spacing w:after="0" w:line="240" w:lineRule="auto"/>
        <w:ind w:left="720"/>
        <w:jc w:val="both"/>
        <w:rPr>
          <w:rFonts w:ascii="Cambria" w:eastAsia="Cambria" w:hAnsi="Cambria" w:cs="Cambria"/>
          <w:sz w:val="20"/>
          <w:szCs w:val="20"/>
        </w:rPr>
      </w:pPr>
    </w:p>
    <w:p w14:paraId="67E19AF3" w14:textId="33CA2417" w:rsidR="00C01A19" w:rsidRPr="00B200D5" w:rsidRDefault="00C148BC" w:rsidP="00C01A19">
      <w:pPr>
        <w:pStyle w:val="ListParagraph"/>
        <w:numPr>
          <w:ilvl w:val="0"/>
          <w:numId w:val="16"/>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 xml:space="preserve">Coordinated and drafted the annual report for January to December 2015 of the project “Regional Human Rights Program in Central America-Proderechos,” funded by Denmark. </w:t>
      </w:r>
    </w:p>
    <w:p w14:paraId="5502537D" w14:textId="77777777" w:rsidR="00C01A19" w:rsidRPr="00B200D5" w:rsidRDefault="00C01A19" w:rsidP="00C01A19">
      <w:pPr>
        <w:spacing w:after="0" w:line="240" w:lineRule="auto"/>
        <w:ind w:left="720"/>
        <w:jc w:val="both"/>
        <w:rPr>
          <w:rFonts w:ascii="Cambria" w:eastAsia="Cambria" w:hAnsi="Cambria" w:cs="Cambria"/>
          <w:sz w:val="20"/>
          <w:szCs w:val="20"/>
        </w:rPr>
      </w:pPr>
    </w:p>
    <w:p w14:paraId="5549BBE0" w14:textId="7C22A333" w:rsidR="00C01A19" w:rsidRPr="00B200D5" w:rsidRDefault="00EE2F1D" w:rsidP="00C01A19">
      <w:pPr>
        <w:pStyle w:val="ListParagraph"/>
        <w:numPr>
          <w:ilvl w:val="0"/>
          <w:numId w:val="16"/>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 xml:space="preserve">Drafted the final report of Norway’s 2015 contribution supporting the IACHR in the period of December 2014-December 2015. </w:t>
      </w:r>
    </w:p>
    <w:p w14:paraId="08B95592" w14:textId="77777777" w:rsidR="00C01A19" w:rsidRPr="00B200D5" w:rsidRDefault="00C01A19" w:rsidP="00C01A19">
      <w:pPr>
        <w:spacing w:after="0" w:line="240" w:lineRule="auto"/>
        <w:ind w:left="720"/>
        <w:jc w:val="both"/>
        <w:rPr>
          <w:rFonts w:ascii="Cambria" w:eastAsia="Cambria" w:hAnsi="Cambria" w:cs="Cambria"/>
          <w:sz w:val="20"/>
          <w:szCs w:val="20"/>
        </w:rPr>
      </w:pPr>
    </w:p>
    <w:p w14:paraId="491489AC" w14:textId="3D758494" w:rsidR="00C01A19" w:rsidRPr="00B200D5" w:rsidRDefault="00C22CFB" w:rsidP="00C01A19">
      <w:pPr>
        <w:pStyle w:val="ListParagraph"/>
        <w:numPr>
          <w:ilvl w:val="0"/>
          <w:numId w:val="16"/>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 xml:space="preserve">Drafted </w:t>
      </w:r>
      <w:r w:rsidR="00615289">
        <w:rPr>
          <w:rFonts w:ascii="Cambria" w:eastAsia="Cambria" w:hAnsi="Cambria" w:cs="Cambria"/>
          <w:sz w:val="20"/>
          <w:szCs w:val="20"/>
        </w:rPr>
        <w:t xml:space="preserve">annual report of </w:t>
      </w:r>
      <w:r w:rsidR="00B87605">
        <w:rPr>
          <w:rFonts w:ascii="Cambria" w:eastAsia="Cambria" w:hAnsi="Cambria" w:cs="Cambria"/>
          <w:sz w:val="20"/>
          <w:szCs w:val="20"/>
        </w:rPr>
        <w:t xml:space="preserve">activities from the United States’ 2015 contribution. </w:t>
      </w:r>
    </w:p>
    <w:p w14:paraId="33F257D6" w14:textId="77777777" w:rsidR="00C01A19" w:rsidRPr="00B200D5" w:rsidRDefault="00C01A19" w:rsidP="00C01A19">
      <w:pPr>
        <w:spacing w:after="0" w:line="240" w:lineRule="auto"/>
        <w:ind w:left="720"/>
        <w:jc w:val="both"/>
        <w:rPr>
          <w:rFonts w:ascii="Cambria" w:eastAsia="Cambria" w:hAnsi="Cambria" w:cs="Cambria"/>
          <w:sz w:val="20"/>
          <w:szCs w:val="20"/>
        </w:rPr>
      </w:pPr>
    </w:p>
    <w:p w14:paraId="73208A1A" w14:textId="6A51FEE9" w:rsidR="00C01A19" w:rsidRPr="00B200D5" w:rsidRDefault="005269FD" w:rsidP="00C01A19">
      <w:pPr>
        <w:pStyle w:val="ListParagraph"/>
        <w:numPr>
          <w:ilvl w:val="0"/>
          <w:numId w:val="16"/>
        </w:numPr>
        <w:pBdr>
          <w:top w:val="nil"/>
          <w:left w:val="nil"/>
          <w:bottom w:val="nil"/>
          <w:right w:val="nil"/>
          <w:between w:val="nil"/>
          <w:bar w:val="nil"/>
        </w:pBdr>
        <w:spacing w:after="0" w:line="240" w:lineRule="auto"/>
        <w:jc w:val="both"/>
        <w:rPr>
          <w:rFonts w:ascii="Cambria" w:eastAsia="Cambria" w:hAnsi="Cambria" w:cs="Cambria"/>
          <w:sz w:val="20"/>
          <w:szCs w:val="20"/>
        </w:rPr>
      </w:pPr>
      <w:r>
        <w:rPr>
          <w:rFonts w:ascii="Cambria" w:eastAsia="Cambria" w:hAnsi="Cambria" w:cs="Cambria"/>
          <w:sz w:val="20"/>
          <w:szCs w:val="20"/>
        </w:rPr>
        <w:t xml:space="preserve">Drafted the first narrative mid-term report and coordinated drafting of the final report for Open Society Foundation – Trust for the Americas project on strengthening the Rapporteurship on human rights defenders.  </w:t>
      </w:r>
    </w:p>
    <w:p w14:paraId="425EEDB9" w14:textId="77777777" w:rsidR="00C01A19" w:rsidRPr="00B200D5" w:rsidRDefault="00C01A19" w:rsidP="00C01A19">
      <w:pPr>
        <w:pStyle w:val="ListParagraph"/>
        <w:spacing w:after="0" w:line="240" w:lineRule="auto"/>
        <w:ind w:left="1440"/>
        <w:jc w:val="both"/>
        <w:rPr>
          <w:rFonts w:ascii="Cambria" w:eastAsia="Cambria" w:hAnsi="Cambria" w:cs="Cambria"/>
          <w:sz w:val="20"/>
          <w:szCs w:val="20"/>
        </w:rPr>
      </w:pPr>
    </w:p>
    <w:p w14:paraId="4ED2A9CC" w14:textId="2ED4A914" w:rsidR="00C01A19" w:rsidRPr="00B200D5" w:rsidRDefault="00C01A19" w:rsidP="00C01A19">
      <w:pPr>
        <w:spacing w:after="0" w:line="240" w:lineRule="auto"/>
        <w:ind w:firstLine="720"/>
        <w:jc w:val="both"/>
        <w:rPr>
          <w:rFonts w:ascii="Cambria" w:eastAsia="Cambria" w:hAnsi="Cambria" w:cs="Cambria"/>
          <w:b/>
          <w:bCs/>
          <w:sz w:val="20"/>
          <w:szCs w:val="20"/>
        </w:rPr>
      </w:pPr>
      <w:r w:rsidRPr="00B200D5">
        <w:rPr>
          <w:rFonts w:ascii="Cambria" w:eastAsia="Cambria" w:hAnsi="Cambria" w:cs="Cambria"/>
          <w:b/>
          <w:bCs/>
          <w:sz w:val="20"/>
          <w:szCs w:val="20"/>
        </w:rPr>
        <w:t xml:space="preserve">5. </w:t>
      </w:r>
      <w:r w:rsidRPr="00B200D5">
        <w:rPr>
          <w:rFonts w:ascii="Cambria" w:eastAsia="Cambria" w:hAnsi="Cambria" w:cs="Cambria"/>
          <w:b/>
          <w:bCs/>
          <w:sz w:val="20"/>
          <w:szCs w:val="20"/>
        </w:rPr>
        <w:tab/>
      </w:r>
      <w:r w:rsidR="00E456FD">
        <w:rPr>
          <w:rFonts w:ascii="Cambria" w:eastAsia="Cambria" w:hAnsi="Cambria" w:cs="Cambria"/>
          <w:b/>
          <w:bCs/>
          <w:sz w:val="20"/>
          <w:szCs w:val="20"/>
        </w:rPr>
        <w:t xml:space="preserve">Exploring new strategies and funding opportunities </w:t>
      </w:r>
    </w:p>
    <w:p w14:paraId="02C8DDEA" w14:textId="77777777" w:rsidR="00C01A19" w:rsidRPr="00B200D5" w:rsidRDefault="00C01A19" w:rsidP="00C01A19">
      <w:pPr>
        <w:spacing w:after="0" w:line="240" w:lineRule="auto"/>
        <w:jc w:val="both"/>
        <w:rPr>
          <w:rFonts w:ascii="Cambria" w:eastAsia="Cambria" w:hAnsi="Cambria" w:cs="Cambria"/>
          <w:sz w:val="20"/>
          <w:szCs w:val="20"/>
        </w:rPr>
      </w:pPr>
    </w:p>
    <w:p w14:paraId="6EF61593" w14:textId="77777777" w:rsidR="00C01A19" w:rsidRPr="00B200D5" w:rsidRDefault="00C01A19" w:rsidP="00C01A19">
      <w:pPr>
        <w:pStyle w:val="ListParagraph"/>
        <w:numPr>
          <w:ilvl w:val="0"/>
          <w:numId w:val="17"/>
        </w:numPr>
        <w:pBdr>
          <w:top w:val="nil"/>
          <w:left w:val="nil"/>
          <w:bottom w:val="nil"/>
          <w:right w:val="nil"/>
          <w:between w:val="nil"/>
          <w:bar w:val="nil"/>
        </w:pBdr>
        <w:spacing w:after="0" w:line="240" w:lineRule="auto"/>
        <w:jc w:val="both"/>
        <w:rPr>
          <w:rFonts w:ascii="Cambria" w:eastAsia="Cambria" w:hAnsi="Cambria" w:cs="Cambria"/>
          <w:i/>
          <w:iCs/>
          <w:sz w:val="20"/>
          <w:szCs w:val="20"/>
        </w:rPr>
      </w:pPr>
      <w:r w:rsidRPr="00B200D5">
        <w:rPr>
          <w:rFonts w:ascii="Cambria" w:eastAsia="Cambria" w:hAnsi="Cambria" w:cs="Cambria"/>
          <w:i/>
          <w:iCs/>
          <w:sz w:val="20"/>
          <w:szCs w:val="20"/>
        </w:rPr>
        <w:t>Crowdfunding</w:t>
      </w:r>
    </w:p>
    <w:p w14:paraId="71A691C0" w14:textId="77777777" w:rsidR="00C01A19" w:rsidRPr="00B200D5" w:rsidRDefault="00C01A19" w:rsidP="00C01A19">
      <w:pPr>
        <w:spacing w:after="0" w:line="240" w:lineRule="auto"/>
        <w:jc w:val="both"/>
        <w:rPr>
          <w:rFonts w:ascii="Cambria" w:eastAsia="Cambria" w:hAnsi="Cambria" w:cs="Cambria"/>
          <w:sz w:val="20"/>
          <w:szCs w:val="20"/>
        </w:rPr>
      </w:pPr>
    </w:p>
    <w:p w14:paraId="1E327281" w14:textId="023D01EA" w:rsidR="00C01A19" w:rsidRPr="00B200D5" w:rsidRDefault="00C86FEA" w:rsidP="00C01A19">
      <w:pPr>
        <w:pStyle w:val="paragraphs"/>
        <w:ind w:left="0" w:firstLine="720"/>
        <w:rPr>
          <w:rFonts w:eastAsia="Cambria" w:cs="Cambria"/>
          <w:lang w:val="en-US"/>
        </w:rPr>
      </w:pPr>
      <w:r>
        <w:rPr>
          <w:rFonts w:eastAsia="Cambria" w:cs="Cambria"/>
          <w:lang w:val="en-US"/>
        </w:rPr>
        <w:t xml:space="preserve">In light of the IACHR’s financial crisis and instructions from the President of the Commission, internal consultations took place regarding the feasibility of receiving donations from private corporations and individuals </w:t>
      </w:r>
      <w:r w:rsidR="00C95978">
        <w:rPr>
          <w:rFonts w:eastAsia="Cambria" w:cs="Cambria"/>
          <w:lang w:val="en-US"/>
        </w:rPr>
        <w:t>and</w:t>
      </w:r>
      <w:r w:rsidR="00574C7D">
        <w:rPr>
          <w:rFonts w:eastAsia="Cambria" w:cs="Cambria"/>
          <w:lang w:val="en-US"/>
        </w:rPr>
        <w:t>,</w:t>
      </w:r>
      <w:r w:rsidR="00C95978">
        <w:rPr>
          <w:rFonts w:eastAsia="Cambria" w:cs="Cambria"/>
          <w:lang w:val="en-US"/>
        </w:rPr>
        <w:t xml:space="preserve"> specifically</w:t>
      </w:r>
      <w:r w:rsidR="00574C7D">
        <w:rPr>
          <w:rFonts w:eastAsia="Cambria" w:cs="Cambria"/>
          <w:lang w:val="en-US"/>
        </w:rPr>
        <w:t>,</w:t>
      </w:r>
      <w:r w:rsidR="008A4310">
        <w:rPr>
          <w:rFonts w:eastAsia="Cambria" w:cs="Cambria"/>
          <w:lang w:val="en-US"/>
        </w:rPr>
        <w:t xml:space="preserve"> through</w:t>
      </w:r>
      <w:r w:rsidR="000B0B38">
        <w:rPr>
          <w:rFonts w:eastAsia="Cambria" w:cs="Cambria"/>
          <w:lang w:val="en-US"/>
        </w:rPr>
        <w:t xml:space="preserve"> mass fund</w:t>
      </w:r>
      <w:r w:rsidR="00C95978">
        <w:rPr>
          <w:rFonts w:eastAsia="Cambria" w:cs="Cambria"/>
          <w:lang w:val="en-US"/>
        </w:rPr>
        <w:t xml:space="preserve">raising, such as crowdsourcing. </w:t>
      </w:r>
    </w:p>
    <w:p w14:paraId="105F8D2B" w14:textId="479B9E5C" w:rsidR="00C01A19" w:rsidRPr="00B200D5" w:rsidRDefault="00074BB8" w:rsidP="00C01A19">
      <w:pPr>
        <w:pStyle w:val="paragraphs"/>
        <w:ind w:left="0" w:firstLine="720"/>
        <w:rPr>
          <w:rFonts w:eastAsia="Cambria" w:cs="Cambria"/>
          <w:lang w:val="en-US"/>
        </w:rPr>
      </w:pPr>
      <w:r>
        <w:rPr>
          <w:rFonts w:eastAsia="Cambria" w:cs="Cambria"/>
          <w:lang w:val="en-US"/>
        </w:rPr>
        <w:lastRenderedPageBreak/>
        <w:t>As a result of the consultation process</w:t>
      </w:r>
      <w:r w:rsidR="00536107">
        <w:rPr>
          <w:rFonts w:eastAsia="Cambria" w:cs="Cambria"/>
          <w:lang w:val="en-US"/>
        </w:rPr>
        <w:t>, the IACHR decided to accept donation</w:t>
      </w:r>
      <w:r w:rsidR="008966B9">
        <w:rPr>
          <w:rFonts w:eastAsia="Cambria" w:cs="Cambria"/>
          <w:lang w:val="en-US"/>
        </w:rPr>
        <w:t xml:space="preserve">s from individuals. For </w:t>
      </w:r>
      <w:r w:rsidR="005704EF">
        <w:rPr>
          <w:rFonts w:eastAsia="Cambria" w:cs="Cambria"/>
          <w:lang w:val="en-US"/>
        </w:rPr>
        <w:t xml:space="preserve">US-based </w:t>
      </w:r>
      <w:r>
        <w:rPr>
          <w:rFonts w:eastAsia="Cambria" w:cs="Cambria"/>
          <w:lang w:val="en-US"/>
        </w:rPr>
        <w:t xml:space="preserve">individuals, </w:t>
      </w:r>
      <w:r w:rsidR="005704EF">
        <w:rPr>
          <w:rFonts w:eastAsia="Cambria" w:cs="Cambria"/>
          <w:lang w:val="en-US"/>
        </w:rPr>
        <w:t xml:space="preserve">who request </w:t>
      </w:r>
      <w:r w:rsidR="00D038BB">
        <w:rPr>
          <w:rFonts w:eastAsia="Cambria" w:cs="Cambria"/>
          <w:lang w:val="en-US"/>
        </w:rPr>
        <w:t>an official record of tax exempt status</w:t>
      </w:r>
      <w:r w:rsidR="0062473F">
        <w:rPr>
          <w:rFonts w:eastAsia="Cambria" w:cs="Cambria"/>
          <w:lang w:val="en-US"/>
        </w:rPr>
        <w:t xml:space="preserve">, the Commission will follow the recommendation of the </w:t>
      </w:r>
      <w:r w:rsidR="006E6C96">
        <w:rPr>
          <w:rFonts w:eastAsia="Cambria" w:cs="Cambria"/>
          <w:lang w:val="en-US"/>
        </w:rPr>
        <w:t xml:space="preserve">OAS </w:t>
      </w:r>
      <w:r w:rsidR="0062473F">
        <w:rPr>
          <w:rFonts w:eastAsia="Cambria" w:cs="Cambria"/>
          <w:lang w:val="en-US"/>
        </w:rPr>
        <w:t>Department of Legal Services</w:t>
      </w:r>
      <w:r w:rsidR="001A4C0B">
        <w:rPr>
          <w:rFonts w:eastAsia="Cambria" w:cs="Cambria"/>
          <w:lang w:val="en-US"/>
        </w:rPr>
        <w:t xml:space="preserve"> </w:t>
      </w:r>
      <w:r w:rsidR="00873528">
        <w:rPr>
          <w:rFonts w:eastAsia="Cambria" w:cs="Cambria"/>
          <w:lang w:val="en-US"/>
        </w:rPr>
        <w:t xml:space="preserve">to use one of the two </w:t>
      </w:r>
      <w:r w:rsidR="006C5ACD">
        <w:rPr>
          <w:rFonts w:eastAsia="Cambria" w:cs="Cambria"/>
          <w:lang w:val="en-US"/>
        </w:rPr>
        <w:t>independent</w:t>
      </w:r>
      <w:r w:rsidR="00873528">
        <w:rPr>
          <w:rFonts w:eastAsia="Cambria" w:cs="Cambria"/>
          <w:lang w:val="en-US"/>
        </w:rPr>
        <w:t xml:space="preserve"> </w:t>
      </w:r>
      <w:r w:rsidR="003108C2">
        <w:rPr>
          <w:rFonts w:eastAsia="Cambria" w:cs="Cambria"/>
          <w:lang w:val="en-US"/>
        </w:rPr>
        <w:t>non-</w:t>
      </w:r>
      <w:r w:rsidR="006C5ACD">
        <w:rPr>
          <w:rFonts w:eastAsia="Cambria" w:cs="Cambria"/>
          <w:lang w:val="en-US"/>
        </w:rPr>
        <w:t xml:space="preserve">profit entities </w:t>
      </w:r>
      <w:r w:rsidR="00873528">
        <w:rPr>
          <w:rFonts w:eastAsia="Cambria" w:cs="Cambria"/>
          <w:lang w:val="en-US"/>
        </w:rPr>
        <w:t>created by the Organization</w:t>
      </w:r>
      <w:r w:rsidR="00122F63">
        <w:rPr>
          <w:rFonts w:eastAsia="Cambria" w:cs="Cambria"/>
          <w:lang w:val="en-US"/>
        </w:rPr>
        <w:t xml:space="preserve">, which are legally chartered as </w:t>
      </w:r>
      <w:r w:rsidR="00122F63" w:rsidRPr="00B200D5">
        <w:rPr>
          <w:rFonts w:eastAsia="Cambria" w:cs="Cambria"/>
          <w:lang w:val="en-US"/>
        </w:rPr>
        <w:t xml:space="preserve">501 (c)(3) </w:t>
      </w:r>
      <w:r w:rsidR="00122F63">
        <w:rPr>
          <w:rFonts w:eastAsia="Cambria" w:cs="Cambria"/>
          <w:lang w:val="en-US"/>
        </w:rPr>
        <w:t xml:space="preserve">corporations in the United States. </w:t>
      </w:r>
      <w:r w:rsidR="000552C3">
        <w:rPr>
          <w:rFonts w:eastAsia="Cambria" w:cs="Cambria"/>
          <w:lang w:val="en-US"/>
        </w:rPr>
        <w:t xml:space="preserve">As such, because the Inter-American Commission has previously worked with the Trust for the Americas, it has decided to </w:t>
      </w:r>
      <w:r w:rsidR="000F7DD7">
        <w:rPr>
          <w:rFonts w:eastAsia="Cambria" w:cs="Cambria"/>
          <w:lang w:val="en-US"/>
        </w:rPr>
        <w:t>do so again in this way,</w:t>
      </w:r>
      <w:r w:rsidR="00E5632A">
        <w:rPr>
          <w:rFonts w:eastAsia="Cambria" w:cs="Cambria"/>
          <w:lang w:val="en-US"/>
        </w:rPr>
        <w:t xml:space="preserve"> in addition to the fact that the Commission</w:t>
      </w:r>
      <w:r w:rsidR="000F7DD7">
        <w:rPr>
          <w:rFonts w:eastAsia="Cambria" w:cs="Cambria"/>
          <w:lang w:val="en-US"/>
        </w:rPr>
        <w:t xml:space="preserve"> shares the financial/accounting system OASES/ORACLE with the OAS</w:t>
      </w:r>
      <w:r w:rsidR="00E5632A">
        <w:rPr>
          <w:rFonts w:eastAsia="Cambria" w:cs="Cambria"/>
          <w:lang w:val="en-US"/>
        </w:rPr>
        <w:t xml:space="preserve"> under a financial management agreement. </w:t>
      </w:r>
      <w:r w:rsidR="00A07FF5">
        <w:rPr>
          <w:rFonts w:eastAsia="Cambria" w:cs="Cambria"/>
          <w:lang w:val="en-US"/>
        </w:rPr>
        <w:t xml:space="preserve">For other individuals who require no record of </w:t>
      </w:r>
      <w:r w:rsidR="00D038BB">
        <w:rPr>
          <w:rFonts w:eastAsia="Cambria" w:cs="Cambria"/>
          <w:lang w:val="en-US"/>
        </w:rPr>
        <w:t xml:space="preserve">the entity’s </w:t>
      </w:r>
      <w:r w:rsidR="00A07FF5">
        <w:rPr>
          <w:rFonts w:eastAsia="Cambria" w:cs="Cambria"/>
          <w:lang w:val="en-US"/>
        </w:rPr>
        <w:t>tax exempt status</w:t>
      </w:r>
      <w:r w:rsidR="00D038BB">
        <w:rPr>
          <w:rFonts w:eastAsia="Cambria" w:cs="Cambria"/>
          <w:lang w:val="en-US"/>
        </w:rPr>
        <w:t>, don</w:t>
      </w:r>
      <w:r w:rsidR="003D15F5">
        <w:rPr>
          <w:rFonts w:eastAsia="Cambria" w:cs="Cambria"/>
          <w:lang w:val="en-US"/>
        </w:rPr>
        <w:t>ations will be received through</w:t>
      </w:r>
      <w:r w:rsidR="00D038BB">
        <w:rPr>
          <w:rFonts w:eastAsia="Cambria" w:cs="Cambria"/>
          <w:lang w:val="en-US"/>
        </w:rPr>
        <w:t xml:space="preserve"> the m</w:t>
      </w:r>
      <w:r w:rsidR="00744D93">
        <w:rPr>
          <w:rFonts w:eastAsia="Cambria" w:cs="Cambria"/>
          <w:lang w:val="en-US"/>
        </w:rPr>
        <w:t>echanisms currently available at</w:t>
      </w:r>
      <w:r w:rsidR="00D038BB">
        <w:rPr>
          <w:rFonts w:eastAsia="Cambria" w:cs="Cambria"/>
          <w:lang w:val="en-US"/>
        </w:rPr>
        <w:t xml:space="preserve"> the OAS, such as payment by check, bank transfers or payment by credit card.  </w:t>
      </w:r>
      <w:r w:rsidR="00D56AA3">
        <w:rPr>
          <w:rFonts w:eastAsia="Cambria" w:cs="Cambria"/>
          <w:lang w:val="en-US"/>
        </w:rPr>
        <w:t xml:space="preserve">There are administrative costs under OAS regulations governing payments by these methods and, consequently, it is </w:t>
      </w:r>
      <w:r w:rsidR="00BC0F0A">
        <w:rPr>
          <w:rFonts w:eastAsia="Cambria" w:cs="Cambria"/>
          <w:lang w:val="en-US"/>
        </w:rPr>
        <w:t xml:space="preserve">advisable for </w:t>
      </w:r>
      <w:r w:rsidR="00D56AA3">
        <w:rPr>
          <w:rFonts w:eastAsia="Cambria" w:cs="Cambria"/>
          <w:lang w:val="en-US"/>
        </w:rPr>
        <w:t xml:space="preserve">mass individual contributions </w:t>
      </w:r>
      <w:r w:rsidR="00BC0F0A">
        <w:rPr>
          <w:rFonts w:eastAsia="Cambria" w:cs="Cambria"/>
          <w:lang w:val="en-US"/>
        </w:rPr>
        <w:t xml:space="preserve">to </w:t>
      </w:r>
      <w:r w:rsidR="00D56AA3">
        <w:rPr>
          <w:rFonts w:eastAsia="Cambria" w:cs="Cambria"/>
          <w:lang w:val="en-US"/>
        </w:rPr>
        <w:t xml:space="preserve">not be in such small amounts. </w:t>
      </w:r>
    </w:p>
    <w:p w14:paraId="3CB756FB" w14:textId="121F3983" w:rsidR="00776737" w:rsidRPr="00B200D5" w:rsidRDefault="00364DF2" w:rsidP="00D84420">
      <w:pPr>
        <w:pStyle w:val="Heading2"/>
        <w:rPr>
          <w:lang w:val="en-US"/>
        </w:rPr>
      </w:pPr>
      <w:r>
        <w:rPr>
          <w:lang w:val="en-US"/>
        </w:rPr>
        <w:t xml:space="preserve">Technological Advancements </w:t>
      </w:r>
    </w:p>
    <w:p w14:paraId="6090A30A" w14:textId="77777777" w:rsidR="00BE19A0" w:rsidRPr="00B200D5" w:rsidRDefault="00BE19A0" w:rsidP="00D84420">
      <w:pPr>
        <w:spacing w:after="0" w:line="240" w:lineRule="auto"/>
      </w:pPr>
    </w:p>
    <w:p w14:paraId="27CB97E4" w14:textId="51720960" w:rsidR="00BE19A0" w:rsidRPr="00B200D5" w:rsidRDefault="00787C0E" w:rsidP="00D84420">
      <w:pPr>
        <w:pStyle w:val="paragraphs"/>
        <w:ind w:left="0" w:firstLine="720"/>
        <w:rPr>
          <w:rFonts w:cs="Calibri"/>
          <w:lang w:val="en-US"/>
        </w:rPr>
      </w:pPr>
      <w:r>
        <w:rPr>
          <w:rFonts w:cs="Calibri"/>
          <w:lang w:val="en-US"/>
        </w:rPr>
        <w:t>The Individua</w:t>
      </w:r>
      <w:r w:rsidR="00DD4924">
        <w:rPr>
          <w:rFonts w:cs="Calibri"/>
          <w:lang w:val="en-US"/>
        </w:rPr>
        <w:t>l Petition System P</w:t>
      </w:r>
      <w:r>
        <w:rPr>
          <w:rFonts w:cs="Calibri"/>
          <w:lang w:val="en-US"/>
        </w:rPr>
        <w:t xml:space="preserve">ortal has helped to significantly increase transparency in the IACHR’s working procedures, in addition to </w:t>
      </w:r>
      <w:r w:rsidR="00482FCC">
        <w:rPr>
          <w:rFonts w:cs="Calibri"/>
          <w:lang w:val="en-US"/>
        </w:rPr>
        <w:t xml:space="preserve">helping </w:t>
      </w:r>
      <w:r>
        <w:rPr>
          <w:rFonts w:cs="Calibri"/>
          <w:lang w:val="en-US"/>
        </w:rPr>
        <w:t>the users of the IACHR</w:t>
      </w:r>
      <w:r w:rsidR="00300908">
        <w:rPr>
          <w:rFonts w:cs="Calibri"/>
          <w:lang w:val="en-US"/>
        </w:rPr>
        <w:t xml:space="preserve"> </w:t>
      </w:r>
      <w:r w:rsidR="00482FCC">
        <w:rPr>
          <w:rFonts w:cs="Calibri"/>
          <w:lang w:val="en-US"/>
        </w:rPr>
        <w:t xml:space="preserve">to follow </w:t>
      </w:r>
      <w:r w:rsidR="00300908">
        <w:rPr>
          <w:rFonts w:cs="Calibri"/>
          <w:lang w:val="en-US"/>
        </w:rPr>
        <w:t>their matters</w:t>
      </w:r>
      <w:r w:rsidR="00482FCC">
        <w:rPr>
          <w:rFonts w:cs="Calibri"/>
          <w:lang w:val="en-US"/>
        </w:rPr>
        <w:t xml:space="preserve"> more closely</w:t>
      </w:r>
      <w:r w:rsidR="00300908">
        <w:rPr>
          <w:rFonts w:cs="Calibri"/>
          <w:lang w:val="en-US"/>
        </w:rPr>
        <w:t xml:space="preserve"> in an innovative and </w:t>
      </w:r>
      <w:r w:rsidR="007B7125">
        <w:rPr>
          <w:rFonts w:cs="Calibri"/>
          <w:lang w:val="en-US"/>
        </w:rPr>
        <w:t xml:space="preserve">unique </w:t>
      </w:r>
      <w:r w:rsidR="00300908">
        <w:rPr>
          <w:rFonts w:cs="Calibri"/>
          <w:lang w:val="en-US"/>
        </w:rPr>
        <w:t xml:space="preserve">way in the region. </w:t>
      </w:r>
      <w:r w:rsidR="008853BE">
        <w:rPr>
          <w:rFonts w:cs="Calibri"/>
          <w:lang w:val="en-US"/>
        </w:rPr>
        <w:t xml:space="preserve">Individuals, organizations and States have access to information on their petitions, cases and precautionary measures </w:t>
      </w:r>
      <w:r w:rsidR="00BA4F02">
        <w:rPr>
          <w:rFonts w:cs="Calibri"/>
          <w:lang w:val="en-US"/>
        </w:rPr>
        <w:t>before the IACHR, through the use of technology and automat</w:t>
      </w:r>
      <w:r w:rsidR="000B5B71">
        <w:rPr>
          <w:rFonts w:cs="Calibri"/>
          <w:lang w:val="en-US"/>
        </w:rPr>
        <w:t>ed management tools. T</w:t>
      </w:r>
      <w:r w:rsidR="00147B2C">
        <w:rPr>
          <w:rFonts w:cs="Calibri"/>
          <w:lang w:val="en-US"/>
        </w:rPr>
        <w:t>ransmission of commu</w:t>
      </w:r>
      <w:r w:rsidR="00E543EF">
        <w:rPr>
          <w:rFonts w:cs="Calibri"/>
          <w:lang w:val="en-US"/>
        </w:rPr>
        <w:t xml:space="preserve">nication and document exchanges, access to information on the status of </w:t>
      </w:r>
      <w:r w:rsidR="00D36603">
        <w:rPr>
          <w:rFonts w:cs="Calibri"/>
          <w:lang w:val="en-US"/>
        </w:rPr>
        <w:t xml:space="preserve">the </w:t>
      </w:r>
      <w:r w:rsidR="00E543EF">
        <w:rPr>
          <w:rFonts w:cs="Calibri"/>
          <w:lang w:val="en-US"/>
        </w:rPr>
        <w:t xml:space="preserve">proceedings </w:t>
      </w:r>
      <w:r w:rsidR="00D36603">
        <w:rPr>
          <w:rFonts w:cs="Calibri"/>
          <w:lang w:val="en-US"/>
        </w:rPr>
        <w:t>of petitions, cases and precautionary measures</w:t>
      </w:r>
      <w:r w:rsidR="000B5B71">
        <w:rPr>
          <w:rFonts w:cs="Calibri"/>
          <w:lang w:val="en-US"/>
        </w:rPr>
        <w:t xml:space="preserve"> under examination at the Commission</w:t>
      </w:r>
      <w:r w:rsidR="009B786A">
        <w:rPr>
          <w:rFonts w:cs="Calibri"/>
          <w:lang w:val="en-US"/>
        </w:rPr>
        <w:t>,</w:t>
      </w:r>
      <w:r w:rsidR="000B5B71">
        <w:rPr>
          <w:rFonts w:cs="Calibri"/>
          <w:lang w:val="en-US"/>
        </w:rPr>
        <w:t xml:space="preserve"> has become streamlined and it is now e</w:t>
      </w:r>
      <w:r w:rsidR="00835B85">
        <w:rPr>
          <w:rFonts w:cs="Calibri"/>
          <w:lang w:val="en-US"/>
        </w:rPr>
        <w:t xml:space="preserve">asy, free and instantaneous to </w:t>
      </w:r>
      <w:r w:rsidR="000B5B71">
        <w:rPr>
          <w:rFonts w:cs="Calibri"/>
          <w:lang w:val="en-US"/>
        </w:rPr>
        <w:t xml:space="preserve">send and receive additional information </w:t>
      </w:r>
      <w:r w:rsidR="00B80624">
        <w:rPr>
          <w:rFonts w:cs="Calibri"/>
          <w:lang w:val="en-US"/>
        </w:rPr>
        <w:t xml:space="preserve">in </w:t>
      </w:r>
      <w:r w:rsidR="000B5B71">
        <w:rPr>
          <w:rFonts w:cs="Calibri"/>
          <w:lang w:val="en-US"/>
        </w:rPr>
        <w:t xml:space="preserve">existing matters. </w:t>
      </w:r>
      <w:r w:rsidR="00835B85">
        <w:rPr>
          <w:rFonts w:cs="Calibri"/>
          <w:lang w:val="en-US"/>
        </w:rPr>
        <w:t>We have received many positive comments from Member States and civil society</w:t>
      </w:r>
      <w:r w:rsidR="00417387">
        <w:rPr>
          <w:rFonts w:cs="Calibri"/>
          <w:lang w:val="en-US"/>
        </w:rPr>
        <w:t xml:space="preserve">, who have used the new system, on </w:t>
      </w:r>
      <w:r w:rsidR="00835B85">
        <w:rPr>
          <w:rFonts w:cs="Calibri"/>
          <w:lang w:val="en-US"/>
        </w:rPr>
        <w:t>how it works</w:t>
      </w:r>
      <w:r w:rsidR="00FD18C6">
        <w:rPr>
          <w:rFonts w:cs="Calibri"/>
          <w:lang w:val="en-US"/>
        </w:rPr>
        <w:t xml:space="preserve">, as well as </w:t>
      </w:r>
      <w:r w:rsidR="0065241D">
        <w:rPr>
          <w:rFonts w:cs="Calibri"/>
          <w:lang w:val="en-US"/>
        </w:rPr>
        <w:t>suggestions to enhance the value</w:t>
      </w:r>
      <w:r w:rsidR="00FD18C6">
        <w:rPr>
          <w:rFonts w:cs="Calibri"/>
          <w:lang w:val="en-US"/>
        </w:rPr>
        <w:t xml:space="preserve"> even more </w:t>
      </w:r>
      <w:r w:rsidR="00466E3F">
        <w:rPr>
          <w:rFonts w:cs="Calibri"/>
          <w:lang w:val="en-US"/>
        </w:rPr>
        <w:t>of this automated tool</w:t>
      </w:r>
      <w:r w:rsidR="00044CAA">
        <w:rPr>
          <w:rFonts w:cs="Calibri"/>
          <w:lang w:val="en-US"/>
        </w:rPr>
        <w:t xml:space="preserve"> which</w:t>
      </w:r>
      <w:r w:rsidR="0054790E">
        <w:rPr>
          <w:rFonts w:cs="Calibri"/>
          <w:lang w:val="en-US"/>
        </w:rPr>
        <w:t>,</w:t>
      </w:r>
      <w:r w:rsidR="00044CAA">
        <w:rPr>
          <w:rFonts w:cs="Calibri"/>
          <w:lang w:val="en-US"/>
        </w:rPr>
        <w:t xml:space="preserve"> without question</w:t>
      </w:r>
      <w:r w:rsidR="0054790E">
        <w:rPr>
          <w:rFonts w:cs="Calibri"/>
          <w:lang w:val="en-US"/>
        </w:rPr>
        <w:t>,</w:t>
      </w:r>
      <w:r w:rsidR="00044CAA">
        <w:rPr>
          <w:rFonts w:cs="Calibri"/>
          <w:lang w:val="en-US"/>
        </w:rPr>
        <w:t xml:space="preserve"> has helped to increase transparency </w:t>
      </w:r>
      <w:r w:rsidR="00CD3228">
        <w:rPr>
          <w:rFonts w:cs="Calibri"/>
          <w:lang w:val="en-US"/>
        </w:rPr>
        <w:t>in the w</w:t>
      </w:r>
      <w:r w:rsidR="003628FC">
        <w:rPr>
          <w:rFonts w:cs="Calibri"/>
          <w:lang w:val="en-US"/>
        </w:rPr>
        <w:t>ork</w:t>
      </w:r>
      <w:r w:rsidR="001761E8">
        <w:rPr>
          <w:rFonts w:cs="Calibri"/>
          <w:lang w:val="en-US"/>
        </w:rPr>
        <w:t xml:space="preserve"> procedures of the IACHR and </w:t>
      </w:r>
      <w:r w:rsidR="0010219F">
        <w:rPr>
          <w:rFonts w:cs="Calibri"/>
          <w:lang w:val="en-US"/>
        </w:rPr>
        <w:t xml:space="preserve">to </w:t>
      </w:r>
      <w:r w:rsidR="001761E8">
        <w:rPr>
          <w:rFonts w:cs="Calibri"/>
          <w:lang w:val="en-US"/>
        </w:rPr>
        <w:t xml:space="preserve">make information </w:t>
      </w:r>
      <w:r w:rsidR="000E1CA7">
        <w:rPr>
          <w:rFonts w:cs="Calibri"/>
          <w:lang w:val="en-US"/>
        </w:rPr>
        <w:t xml:space="preserve">about matters </w:t>
      </w:r>
      <w:r w:rsidR="001761E8">
        <w:rPr>
          <w:rFonts w:cs="Calibri"/>
          <w:lang w:val="en-US"/>
        </w:rPr>
        <w:t>more readily</w:t>
      </w:r>
      <w:r w:rsidR="00D803F0">
        <w:rPr>
          <w:rFonts w:cs="Calibri"/>
          <w:lang w:val="en-US"/>
        </w:rPr>
        <w:t xml:space="preserve"> available to our users.</w:t>
      </w:r>
    </w:p>
    <w:p w14:paraId="488ED6D3" w14:textId="4C11270D" w:rsidR="00BE19A0" w:rsidRPr="00B200D5" w:rsidRDefault="007A0C2C" w:rsidP="00D84420">
      <w:pPr>
        <w:pStyle w:val="paragraphs"/>
        <w:ind w:left="0" w:firstLine="720"/>
        <w:rPr>
          <w:rFonts w:cs="Calibri"/>
          <w:lang w:val="en-US"/>
        </w:rPr>
      </w:pPr>
      <w:r>
        <w:rPr>
          <w:rFonts w:cs="Calibri"/>
          <w:lang w:val="en-US"/>
        </w:rPr>
        <w:t xml:space="preserve">As of December 31, 2016, there were a total of 4,445 registered users, 56 of which are accredited </w:t>
      </w:r>
      <w:r w:rsidR="00B30673">
        <w:rPr>
          <w:rFonts w:cs="Calibri"/>
          <w:lang w:val="en-US"/>
        </w:rPr>
        <w:t xml:space="preserve">by </w:t>
      </w:r>
      <w:r>
        <w:rPr>
          <w:rFonts w:cs="Calibri"/>
          <w:lang w:val="en-US"/>
        </w:rPr>
        <w:t>Member States, including Argentina, Bolivia, Canada</w:t>
      </w:r>
      <w:r w:rsidR="00BE19A0" w:rsidRPr="00B200D5">
        <w:rPr>
          <w:rFonts w:cs="Calibri"/>
          <w:lang w:val="en-US"/>
        </w:rPr>
        <w:t xml:space="preserve">, Chile, Colombia, </w:t>
      </w:r>
      <w:r w:rsidR="00BE19A0" w:rsidRPr="00B200D5">
        <w:rPr>
          <w:lang w:val="en-US"/>
        </w:rPr>
        <w:t>Costa</w:t>
      </w:r>
      <w:r w:rsidR="00BE19A0" w:rsidRPr="00B200D5">
        <w:rPr>
          <w:rFonts w:cs="Calibri"/>
          <w:lang w:val="en-US"/>
        </w:rPr>
        <w:t xml:space="preserve"> Rica, Ecuador, El Salvador, </w:t>
      </w:r>
      <w:r>
        <w:rPr>
          <w:rFonts w:cs="Calibri"/>
          <w:lang w:val="en-US"/>
        </w:rPr>
        <w:t>United States,</w:t>
      </w:r>
      <w:r w:rsidR="00BE19A0" w:rsidRPr="00B200D5">
        <w:rPr>
          <w:rFonts w:cs="Calibri"/>
          <w:lang w:val="en-US"/>
        </w:rPr>
        <w:t xml:space="preserve"> Guatemal</w:t>
      </w:r>
      <w:r w:rsidR="00331434">
        <w:rPr>
          <w:rFonts w:cs="Calibri"/>
          <w:lang w:val="en-US"/>
        </w:rPr>
        <w:t>a, Guyana, Honduras, Jamaica, Mexico, Nicaragua, Paraguay, Peru</w:t>
      </w:r>
      <w:r w:rsidR="00BE19A0" w:rsidRPr="00B200D5">
        <w:rPr>
          <w:rFonts w:cs="Calibri"/>
          <w:lang w:val="en-US"/>
        </w:rPr>
        <w:t>, Surinam</w:t>
      </w:r>
      <w:r w:rsidR="00331434">
        <w:rPr>
          <w:rFonts w:cs="Calibri"/>
          <w:lang w:val="en-US"/>
        </w:rPr>
        <w:t>e</w:t>
      </w:r>
      <w:r w:rsidR="00BE19A0" w:rsidRPr="00B200D5">
        <w:rPr>
          <w:rFonts w:cs="Calibri"/>
          <w:lang w:val="en-US"/>
        </w:rPr>
        <w:t>, Uruguay, Venezuela.</w:t>
      </w:r>
    </w:p>
    <w:p w14:paraId="2AD4440E" w14:textId="0192EE38" w:rsidR="00BE19A0" w:rsidRPr="00B200D5" w:rsidRDefault="00093602" w:rsidP="00D84420">
      <w:pPr>
        <w:pStyle w:val="paragraphs"/>
        <w:ind w:left="0" w:firstLine="720"/>
        <w:rPr>
          <w:rFonts w:cs="Calibri"/>
          <w:lang w:val="en-US"/>
        </w:rPr>
      </w:pPr>
      <w:r>
        <w:rPr>
          <w:rFonts w:cs="Calibri"/>
          <w:lang w:val="en-US"/>
        </w:rPr>
        <w:t>Since the Portal was implemented, 30,800 annexed documents co</w:t>
      </w:r>
      <w:r w:rsidR="000D0FFC">
        <w:rPr>
          <w:rFonts w:cs="Calibri"/>
          <w:lang w:val="en-US"/>
        </w:rPr>
        <w:t>ntaining additional information have automatically been processed</w:t>
      </w:r>
      <w:r>
        <w:rPr>
          <w:rFonts w:cs="Calibri"/>
          <w:lang w:val="en-US"/>
        </w:rPr>
        <w:t xml:space="preserve"> as of today’s date. </w:t>
      </w:r>
      <w:r w:rsidR="00A43FDC">
        <w:rPr>
          <w:rFonts w:cs="Calibri"/>
          <w:lang w:val="en-US"/>
        </w:rPr>
        <w:t>We have also received 1,708 new petitions through the Portal. Thus far,</w:t>
      </w:r>
      <w:r w:rsidR="00AB6D0D">
        <w:rPr>
          <w:rFonts w:cs="Calibri"/>
          <w:lang w:val="en-US"/>
        </w:rPr>
        <w:t xml:space="preserve"> a total of 50,192 documents have</w:t>
      </w:r>
      <w:r w:rsidR="00A43FDC">
        <w:rPr>
          <w:rFonts w:cs="Calibri"/>
          <w:lang w:val="en-US"/>
        </w:rPr>
        <w:t xml:space="preserve"> been processed through this system.</w:t>
      </w:r>
    </w:p>
    <w:p w14:paraId="2C439A0A" w14:textId="44D6AEA1" w:rsidR="00BE19A0" w:rsidRPr="00B200D5" w:rsidRDefault="009D1A97" w:rsidP="00D84420">
      <w:pPr>
        <w:pStyle w:val="paragraphs"/>
        <w:ind w:left="0" w:firstLine="720"/>
        <w:rPr>
          <w:rFonts w:cs="Calibri"/>
          <w:lang w:val="en-US"/>
        </w:rPr>
      </w:pPr>
      <w:r>
        <w:rPr>
          <w:rFonts w:cs="Calibri"/>
          <w:lang w:val="en-US"/>
        </w:rPr>
        <w:t>With a view toward constant improvement of the information and management systems</w:t>
      </w:r>
      <w:r w:rsidR="00EB0DAC">
        <w:rPr>
          <w:rFonts w:cs="Calibri"/>
          <w:lang w:val="en-US"/>
        </w:rPr>
        <w:t xml:space="preserve"> of the IACHR, the Technology and Systems Unit (UTS) is monitorin</w:t>
      </w:r>
      <w:r w:rsidR="00865DC3">
        <w:rPr>
          <w:rFonts w:cs="Calibri"/>
          <w:lang w:val="en-US"/>
        </w:rPr>
        <w:t>g our technology tools on a day-by-</w:t>
      </w:r>
      <w:r w:rsidR="00EB0DAC">
        <w:rPr>
          <w:rFonts w:cs="Calibri"/>
          <w:lang w:val="en-US"/>
        </w:rPr>
        <w:t>day basis</w:t>
      </w:r>
      <w:r w:rsidR="00651D98">
        <w:rPr>
          <w:rFonts w:cs="Calibri"/>
          <w:lang w:val="en-US"/>
        </w:rPr>
        <w:t xml:space="preserve"> and</w:t>
      </w:r>
      <w:r w:rsidR="00CA6254">
        <w:rPr>
          <w:rFonts w:cs="Calibri"/>
          <w:lang w:val="en-US"/>
        </w:rPr>
        <w:t>,</w:t>
      </w:r>
      <w:r w:rsidR="00651D98">
        <w:rPr>
          <w:rFonts w:cs="Calibri"/>
          <w:lang w:val="en-US"/>
        </w:rPr>
        <w:t xml:space="preserve"> as we receive feedback, we </w:t>
      </w:r>
      <w:r w:rsidR="00EB0DAC">
        <w:rPr>
          <w:rFonts w:cs="Calibri"/>
          <w:lang w:val="en-US"/>
        </w:rPr>
        <w:t xml:space="preserve">find </w:t>
      </w:r>
      <w:r w:rsidR="001A40F1">
        <w:rPr>
          <w:rFonts w:cs="Calibri"/>
          <w:lang w:val="en-US"/>
        </w:rPr>
        <w:t xml:space="preserve">parts that can be optimized. </w:t>
      </w:r>
      <w:r w:rsidR="00556741">
        <w:rPr>
          <w:rFonts w:cs="Calibri"/>
          <w:lang w:val="en-US"/>
        </w:rPr>
        <w:t>This year, new procedures were designed, created and implem</w:t>
      </w:r>
      <w:r w:rsidR="00865DC3">
        <w:rPr>
          <w:rFonts w:cs="Calibri"/>
          <w:lang w:val="en-US"/>
        </w:rPr>
        <w:t xml:space="preserve">ented in the PCMS to facilitate, streamline and comply with legal and administrative processes as to document flow and life cycle of active matters before the IACHR. </w:t>
      </w:r>
      <w:r w:rsidR="001E0232">
        <w:rPr>
          <w:rFonts w:cs="Calibri"/>
          <w:lang w:val="en-US"/>
        </w:rPr>
        <w:t xml:space="preserve">A study was begun to create and automate </w:t>
      </w:r>
      <w:r w:rsidR="00505B7D">
        <w:rPr>
          <w:rFonts w:cs="Calibri"/>
          <w:lang w:val="en-US"/>
        </w:rPr>
        <w:t xml:space="preserve">electronic signatures on routine correspondence </w:t>
      </w:r>
      <w:r w:rsidR="00E02B93">
        <w:rPr>
          <w:rFonts w:cs="Calibri"/>
          <w:lang w:val="en-US"/>
        </w:rPr>
        <w:t xml:space="preserve">in the DMS, in different modules, in order to </w:t>
      </w:r>
      <w:r w:rsidR="00E26528">
        <w:rPr>
          <w:rFonts w:cs="Calibri"/>
          <w:lang w:val="en-US"/>
        </w:rPr>
        <w:t xml:space="preserve">be able to </w:t>
      </w:r>
      <w:r w:rsidR="00E02B93">
        <w:rPr>
          <w:rFonts w:cs="Calibri"/>
          <w:lang w:val="en-US"/>
        </w:rPr>
        <w:t>speed up the final process</w:t>
      </w:r>
      <w:r w:rsidR="00720709">
        <w:rPr>
          <w:rFonts w:cs="Calibri"/>
          <w:lang w:val="en-US"/>
        </w:rPr>
        <w:t xml:space="preserve"> </w:t>
      </w:r>
      <w:r w:rsidR="00A31A0C">
        <w:rPr>
          <w:rFonts w:cs="Calibri"/>
          <w:lang w:val="en-US"/>
        </w:rPr>
        <w:t xml:space="preserve">of </w:t>
      </w:r>
      <w:r w:rsidR="004B5B0A">
        <w:rPr>
          <w:rFonts w:cs="Calibri"/>
          <w:lang w:val="en-US"/>
        </w:rPr>
        <w:t xml:space="preserve">getting </w:t>
      </w:r>
      <w:r w:rsidR="00A31A0C">
        <w:rPr>
          <w:rFonts w:cs="Calibri"/>
          <w:lang w:val="en-US"/>
        </w:rPr>
        <w:t xml:space="preserve">letters </w:t>
      </w:r>
      <w:r w:rsidR="004B5B0A">
        <w:rPr>
          <w:rFonts w:cs="Calibri"/>
          <w:lang w:val="en-US"/>
        </w:rPr>
        <w:t xml:space="preserve">out </w:t>
      </w:r>
      <w:r w:rsidR="00A31A0C">
        <w:rPr>
          <w:rFonts w:cs="Calibri"/>
          <w:lang w:val="en-US"/>
        </w:rPr>
        <w:t xml:space="preserve">to our users. </w:t>
      </w:r>
      <w:r w:rsidR="00D87EFC">
        <w:rPr>
          <w:rFonts w:cs="Calibri"/>
          <w:lang w:val="en-US"/>
        </w:rPr>
        <w:t>In the Individual Petition System Portal, an automatic notification was implemented, which saves manual labor required to create, review and send confirma</w:t>
      </w:r>
      <w:r w:rsidR="0056335B">
        <w:rPr>
          <w:rFonts w:cs="Calibri"/>
          <w:lang w:val="en-US"/>
        </w:rPr>
        <w:t xml:space="preserve">tion of receipt to petitioners.  The notification automatically goes to the petitioner’s e-mail address, once the petition is </w:t>
      </w:r>
      <w:r w:rsidR="00764EF3">
        <w:rPr>
          <w:rFonts w:cs="Calibri"/>
          <w:lang w:val="en-US"/>
        </w:rPr>
        <w:t>registered in our systems</w:t>
      </w:r>
      <w:r w:rsidR="00C976C7">
        <w:rPr>
          <w:rFonts w:cs="Calibri"/>
          <w:lang w:val="en-US"/>
        </w:rPr>
        <w:t xml:space="preserve"> and the petition number and general information about processing of</w:t>
      </w:r>
      <w:r w:rsidR="00764EF3">
        <w:rPr>
          <w:rFonts w:cs="Calibri"/>
          <w:lang w:val="en-US"/>
        </w:rPr>
        <w:t xml:space="preserve"> the petition can be identified</w:t>
      </w:r>
      <w:r w:rsidR="00BE19A0" w:rsidRPr="00B200D5">
        <w:rPr>
          <w:rFonts w:cs="Calibri"/>
          <w:lang w:val="en-US"/>
        </w:rPr>
        <w:t>.</w:t>
      </w:r>
      <w:r w:rsidR="00764EF3">
        <w:rPr>
          <w:rFonts w:cs="Calibri"/>
          <w:lang w:val="en-US"/>
        </w:rPr>
        <w:t xml:space="preserve"> </w:t>
      </w:r>
      <w:r w:rsidR="0099620A">
        <w:rPr>
          <w:rFonts w:cs="Calibri"/>
          <w:lang w:val="en-US"/>
        </w:rPr>
        <w:t>Subsequently</w:t>
      </w:r>
      <w:r w:rsidR="00ED1478">
        <w:rPr>
          <w:rFonts w:cs="Calibri"/>
          <w:lang w:val="en-US"/>
        </w:rPr>
        <w:t xml:space="preserve">, in response to feedback provided by the users of the Portal (States and petitioners), </w:t>
      </w:r>
      <w:r w:rsidR="00C15756">
        <w:rPr>
          <w:rFonts w:cs="Calibri"/>
          <w:lang w:val="en-US"/>
        </w:rPr>
        <w:t xml:space="preserve">we added </w:t>
      </w:r>
      <w:r w:rsidR="00ED1478">
        <w:rPr>
          <w:rFonts w:cs="Calibri"/>
          <w:lang w:val="en-US"/>
        </w:rPr>
        <w:t xml:space="preserve">the number of the active case before the IACHR to the </w:t>
      </w:r>
      <w:r w:rsidR="00C4512F">
        <w:rPr>
          <w:rFonts w:cs="Calibri"/>
          <w:lang w:val="en-US"/>
        </w:rPr>
        <w:t xml:space="preserve">subject line </w:t>
      </w:r>
      <w:r w:rsidR="00ED1478">
        <w:rPr>
          <w:rFonts w:cs="Calibri"/>
          <w:lang w:val="en-US"/>
        </w:rPr>
        <w:t>of the electronic noti</w:t>
      </w:r>
      <w:r w:rsidR="00FB02AD">
        <w:rPr>
          <w:rFonts w:cs="Calibri"/>
          <w:lang w:val="en-US"/>
        </w:rPr>
        <w:t xml:space="preserve">fication received by users, </w:t>
      </w:r>
      <w:r w:rsidR="00F669C7">
        <w:rPr>
          <w:rFonts w:cs="Calibri"/>
          <w:lang w:val="en-US"/>
        </w:rPr>
        <w:t xml:space="preserve">so they could </w:t>
      </w:r>
      <w:r w:rsidR="00AB6847">
        <w:rPr>
          <w:rFonts w:cs="Calibri"/>
          <w:lang w:val="en-US"/>
        </w:rPr>
        <w:t xml:space="preserve">quickly </w:t>
      </w:r>
      <w:r w:rsidR="00ED1478">
        <w:rPr>
          <w:rFonts w:cs="Calibri"/>
          <w:lang w:val="en-US"/>
        </w:rPr>
        <w:t>identify in their emails the case about which they are being notified.</w:t>
      </w:r>
      <w:r w:rsidR="00BE19A0" w:rsidRPr="00B200D5">
        <w:rPr>
          <w:rFonts w:cs="Calibri"/>
          <w:lang w:val="en-US"/>
        </w:rPr>
        <w:t xml:space="preserve"> </w:t>
      </w:r>
    </w:p>
    <w:p w14:paraId="38793A04" w14:textId="0B9D487E" w:rsidR="00BE19A0" w:rsidRPr="00B200D5" w:rsidRDefault="00E33249" w:rsidP="00D84420">
      <w:pPr>
        <w:pStyle w:val="paragraphs"/>
        <w:ind w:left="0" w:firstLine="720"/>
        <w:rPr>
          <w:rFonts w:cs="Calibri"/>
          <w:lang w:val="en-US"/>
        </w:rPr>
      </w:pPr>
      <w:r>
        <w:rPr>
          <w:rFonts w:cs="Calibri"/>
          <w:lang w:val="en-US"/>
        </w:rPr>
        <w:t>UTS manages and monitors the</w:t>
      </w:r>
      <w:r w:rsidR="00EE35AA">
        <w:rPr>
          <w:rFonts w:cs="Calibri"/>
          <w:lang w:val="en-US"/>
        </w:rPr>
        <w:t xml:space="preserve"> IACHR’s information systems, telecommunication, </w:t>
      </w:r>
      <w:r w:rsidR="00017085">
        <w:rPr>
          <w:rFonts w:cs="Calibri"/>
          <w:lang w:val="en-US"/>
        </w:rPr>
        <w:t>multimedia and technolo</w:t>
      </w:r>
      <w:r w:rsidR="001032AD">
        <w:rPr>
          <w:rFonts w:cs="Calibri"/>
          <w:lang w:val="en-US"/>
        </w:rPr>
        <w:t xml:space="preserve">gical resource services </w:t>
      </w:r>
      <w:r>
        <w:rPr>
          <w:rFonts w:cs="Calibri"/>
          <w:lang w:val="en-US"/>
        </w:rPr>
        <w:t xml:space="preserve">and provides training and direct support to internal </w:t>
      </w:r>
      <w:r w:rsidR="000228C6">
        <w:rPr>
          <w:rFonts w:cs="Calibri"/>
          <w:lang w:val="en-US"/>
        </w:rPr>
        <w:t xml:space="preserve">users </w:t>
      </w:r>
      <w:r>
        <w:rPr>
          <w:rFonts w:cs="Calibri"/>
          <w:lang w:val="en-US"/>
        </w:rPr>
        <w:t xml:space="preserve">and </w:t>
      </w:r>
      <w:r w:rsidR="000228C6">
        <w:rPr>
          <w:rFonts w:cs="Calibri"/>
          <w:lang w:val="en-US"/>
        </w:rPr>
        <w:t xml:space="preserve">users outside of the Executive Secretariat. </w:t>
      </w:r>
      <w:r w:rsidR="00D814DA">
        <w:rPr>
          <w:rFonts w:cs="Calibri"/>
          <w:lang w:val="en-US"/>
        </w:rPr>
        <w:t>Upl</w:t>
      </w:r>
      <w:r w:rsidR="00D3267D">
        <w:rPr>
          <w:rFonts w:cs="Calibri"/>
          <w:lang w:val="en-US"/>
        </w:rPr>
        <w:t>oading and feeding the document</w:t>
      </w:r>
      <w:r w:rsidR="00D814DA">
        <w:rPr>
          <w:rFonts w:cs="Calibri"/>
          <w:lang w:val="en-US"/>
        </w:rPr>
        <w:t xml:space="preserve"> management and </w:t>
      </w:r>
      <w:r w:rsidR="00D814DA">
        <w:rPr>
          <w:rFonts w:cs="Calibri"/>
          <w:lang w:val="en-US"/>
        </w:rPr>
        <w:lastRenderedPageBreak/>
        <w:t xml:space="preserve">petitions and cases systems with </w:t>
      </w:r>
      <w:r w:rsidR="009B20F2">
        <w:rPr>
          <w:rFonts w:cs="Calibri"/>
          <w:lang w:val="en-US"/>
        </w:rPr>
        <w:t xml:space="preserve">the </w:t>
      </w:r>
      <w:r w:rsidR="00D814DA">
        <w:rPr>
          <w:rFonts w:cs="Calibri"/>
          <w:lang w:val="en-US"/>
        </w:rPr>
        <w:t xml:space="preserve">information </w:t>
      </w:r>
      <w:r w:rsidR="009B20F2">
        <w:rPr>
          <w:rFonts w:cs="Calibri"/>
          <w:lang w:val="en-US"/>
        </w:rPr>
        <w:t xml:space="preserve">it receives </w:t>
      </w:r>
      <w:r w:rsidR="00AE25BB">
        <w:rPr>
          <w:rFonts w:cs="Calibri"/>
          <w:lang w:val="en-US"/>
        </w:rPr>
        <w:t>about new petitions and additional information</w:t>
      </w:r>
      <w:r w:rsidR="00D3267D">
        <w:rPr>
          <w:rFonts w:cs="Calibri"/>
          <w:lang w:val="en-US"/>
        </w:rPr>
        <w:t xml:space="preserve"> for existing matters</w:t>
      </w:r>
      <w:r w:rsidR="00D814DA">
        <w:rPr>
          <w:rFonts w:cs="Calibri"/>
          <w:lang w:val="en-US"/>
        </w:rPr>
        <w:t xml:space="preserve"> is a continuous task of the UTS</w:t>
      </w:r>
      <w:r w:rsidR="00270837">
        <w:rPr>
          <w:rFonts w:cs="Calibri"/>
          <w:lang w:val="en-US"/>
        </w:rPr>
        <w:t xml:space="preserve">.  As </w:t>
      </w:r>
      <w:r w:rsidR="00866980">
        <w:rPr>
          <w:rFonts w:cs="Calibri"/>
          <w:lang w:val="en-US"/>
        </w:rPr>
        <w:t>of October 31, 2016, the UTS had</w:t>
      </w:r>
      <w:r w:rsidR="00270837">
        <w:rPr>
          <w:rFonts w:cs="Calibri"/>
          <w:lang w:val="en-US"/>
        </w:rPr>
        <w:t xml:space="preserve"> received, classified, analyzed, processed and registered 2,245 new petitions and 30,505 documents </w:t>
      </w:r>
      <w:r w:rsidR="00F4650B">
        <w:rPr>
          <w:rFonts w:cs="Calibri"/>
          <w:lang w:val="en-US"/>
        </w:rPr>
        <w:t xml:space="preserve">had been </w:t>
      </w:r>
      <w:r w:rsidR="00270837">
        <w:rPr>
          <w:rFonts w:cs="Calibri"/>
          <w:lang w:val="en-US"/>
        </w:rPr>
        <w:t xml:space="preserve">manually fed into our document management </w:t>
      </w:r>
      <w:r w:rsidR="00276F3B">
        <w:rPr>
          <w:rFonts w:cs="Calibri"/>
          <w:lang w:val="en-US"/>
        </w:rPr>
        <w:t xml:space="preserve">system concerning additional information.  A process of planning, review, adjustment and distribution </w:t>
      </w:r>
      <w:r w:rsidR="00B1324B">
        <w:rPr>
          <w:rFonts w:cs="Calibri"/>
          <w:lang w:val="en-US"/>
        </w:rPr>
        <w:t>h</w:t>
      </w:r>
      <w:r w:rsidR="00276F3B">
        <w:rPr>
          <w:rFonts w:cs="Calibri"/>
          <w:lang w:val="en-US"/>
        </w:rPr>
        <w:t xml:space="preserve">as been conducted </w:t>
      </w:r>
      <w:r w:rsidR="00352A0C">
        <w:rPr>
          <w:rFonts w:cs="Calibri"/>
          <w:lang w:val="en-US"/>
        </w:rPr>
        <w:t xml:space="preserve">to deal with </w:t>
      </w:r>
      <w:r w:rsidR="00276F3B">
        <w:rPr>
          <w:rFonts w:cs="Calibri"/>
          <w:lang w:val="en-US"/>
        </w:rPr>
        <w:t xml:space="preserve">reassignment of documents and </w:t>
      </w:r>
      <w:r w:rsidR="00352A0C">
        <w:rPr>
          <w:rFonts w:cs="Calibri"/>
          <w:lang w:val="en-US"/>
        </w:rPr>
        <w:t>roles in the system for users in</w:t>
      </w:r>
      <w:r w:rsidR="00276F3B">
        <w:rPr>
          <w:rFonts w:cs="Calibri"/>
          <w:lang w:val="en-US"/>
        </w:rPr>
        <w:t xml:space="preserve"> the Executive Secretariat who change duties or join a </w:t>
      </w:r>
      <w:r w:rsidR="00B1324B">
        <w:rPr>
          <w:rFonts w:cs="Calibri"/>
          <w:lang w:val="en-US"/>
        </w:rPr>
        <w:t xml:space="preserve">new </w:t>
      </w:r>
      <w:r w:rsidR="008207D9">
        <w:rPr>
          <w:rFonts w:cs="Calibri"/>
          <w:lang w:val="en-US"/>
        </w:rPr>
        <w:t xml:space="preserve">work team.  The UTS manages, in coordination with the OAS areas, </w:t>
      </w:r>
      <w:r w:rsidR="00276F3B">
        <w:rPr>
          <w:rFonts w:cs="Calibri"/>
          <w:lang w:val="en-US"/>
        </w:rPr>
        <w:t xml:space="preserve">the logistics </w:t>
      </w:r>
      <w:r w:rsidR="001F1E8B">
        <w:rPr>
          <w:rFonts w:cs="Calibri"/>
          <w:lang w:val="en-US"/>
        </w:rPr>
        <w:t>of</w:t>
      </w:r>
      <w:r w:rsidR="00FA2EF7">
        <w:rPr>
          <w:rFonts w:cs="Calibri"/>
          <w:lang w:val="en-US"/>
        </w:rPr>
        <w:t xml:space="preserve"> </w:t>
      </w:r>
      <w:r w:rsidR="00913804">
        <w:rPr>
          <w:rFonts w:cs="Calibri"/>
          <w:lang w:val="en-US"/>
        </w:rPr>
        <w:t xml:space="preserve">network </w:t>
      </w:r>
      <w:r w:rsidR="00FA2EF7">
        <w:rPr>
          <w:rFonts w:cs="Calibri"/>
          <w:lang w:val="en-US"/>
        </w:rPr>
        <w:t xml:space="preserve">accounts and configuration of IACHR systems for interns, fellows and Executive Secretariat staff, so that </w:t>
      </w:r>
      <w:r w:rsidR="00B92AC0">
        <w:rPr>
          <w:rFonts w:cs="Calibri"/>
          <w:lang w:val="en-US"/>
        </w:rPr>
        <w:t xml:space="preserve">everything required is </w:t>
      </w:r>
      <w:r w:rsidR="00324D63">
        <w:rPr>
          <w:rFonts w:cs="Calibri"/>
          <w:lang w:val="en-US"/>
        </w:rPr>
        <w:t xml:space="preserve">in place </w:t>
      </w:r>
      <w:r w:rsidR="00B92AC0">
        <w:rPr>
          <w:rFonts w:cs="Calibri"/>
          <w:lang w:val="en-US"/>
        </w:rPr>
        <w:t>and available</w:t>
      </w:r>
      <w:r w:rsidR="00B7284C">
        <w:rPr>
          <w:rFonts w:cs="Calibri"/>
          <w:lang w:val="en-US"/>
        </w:rPr>
        <w:t xml:space="preserve"> for users when they join their unit.</w:t>
      </w:r>
      <w:r w:rsidR="00B92AC0">
        <w:rPr>
          <w:rFonts w:cs="Calibri"/>
          <w:lang w:val="en-US"/>
        </w:rPr>
        <w:t xml:space="preserve"> </w:t>
      </w:r>
      <w:r w:rsidR="00FA2EF7">
        <w:rPr>
          <w:rFonts w:cs="Calibri"/>
          <w:lang w:val="en-US"/>
        </w:rPr>
        <w:t xml:space="preserve"> </w:t>
      </w:r>
    </w:p>
    <w:p w14:paraId="1DB370C4" w14:textId="63204A59" w:rsidR="00BE19A0" w:rsidRPr="00B200D5" w:rsidRDefault="000A7AA8" w:rsidP="00D84420">
      <w:pPr>
        <w:pStyle w:val="paragraphs"/>
        <w:ind w:left="0" w:firstLine="720"/>
        <w:rPr>
          <w:rFonts w:cs="Calibri"/>
          <w:lang w:val="en-US"/>
        </w:rPr>
      </w:pPr>
      <w:r>
        <w:rPr>
          <w:rFonts w:cs="Calibri"/>
          <w:lang w:val="en-US"/>
        </w:rPr>
        <w:t>As for performance of the DMS and PCMS systems, the Department of Information Technology Services (DOITS) has reported that the IACHR systems have</w:t>
      </w:r>
      <w:r w:rsidR="00400558">
        <w:rPr>
          <w:rFonts w:cs="Calibri"/>
          <w:lang w:val="en-US"/>
        </w:rPr>
        <w:t>, over the past few years,</w:t>
      </w:r>
      <w:r w:rsidR="00D412CD">
        <w:rPr>
          <w:rFonts w:cs="Calibri"/>
          <w:lang w:val="en-US"/>
        </w:rPr>
        <w:t xml:space="preserve"> become larger, </w:t>
      </w:r>
      <w:r>
        <w:rPr>
          <w:rFonts w:cs="Calibri"/>
          <w:lang w:val="en-US"/>
        </w:rPr>
        <w:t xml:space="preserve">more </w:t>
      </w:r>
      <w:r w:rsidR="00400558">
        <w:rPr>
          <w:rFonts w:cs="Calibri"/>
          <w:lang w:val="en-US"/>
        </w:rPr>
        <w:t xml:space="preserve">cumbersome and structurally more complex.  </w:t>
      </w:r>
      <w:r w:rsidR="004A1563">
        <w:rPr>
          <w:rFonts w:cs="Calibri"/>
          <w:lang w:val="en-US"/>
        </w:rPr>
        <w:t xml:space="preserve">This has required DOITS and UTS to respond with a </w:t>
      </w:r>
      <w:r w:rsidR="00400558">
        <w:rPr>
          <w:rFonts w:cs="Calibri"/>
          <w:lang w:val="en-US"/>
        </w:rPr>
        <w:t>significant number of</w:t>
      </w:r>
      <w:r w:rsidR="00A06B71">
        <w:rPr>
          <w:rFonts w:cs="Calibri"/>
          <w:lang w:val="en-US"/>
        </w:rPr>
        <w:t xml:space="preserve"> Band-Aid solutions, updates and corrections to the systems, entailing a substantial </w:t>
      </w:r>
      <w:r w:rsidR="00F158E0">
        <w:rPr>
          <w:rFonts w:cs="Calibri"/>
          <w:lang w:val="en-US"/>
        </w:rPr>
        <w:t xml:space="preserve">investment in time and human resources in order to meet these needs. </w:t>
      </w:r>
      <w:r w:rsidR="008A2618">
        <w:rPr>
          <w:rFonts w:cs="Calibri"/>
          <w:lang w:val="en-US"/>
        </w:rPr>
        <w:t xml:space="preserve">The recommendation is to improve not only the technological infrastructure to make it more solid and stable, but also to redesign </w:t>
      </w:r>
      <w:r w:rsidR="00703470">
        <w:rPr>
          <w:rFonts w:cs="Calibri"/>
          <w:lang w:val="en-US"/>
        </w:rPr>
        <w:t xml:space="preserve">our systems in keeping with the new needs of the IACHR Executive Secretariat with regard to </w:t>
      </w:r>
      <w:r w:rsidR="007E19BA">
        <w:rPr>
          <w:rFonts w:cs="Calibri"/>
          <w:lang w:val="en-US"/>
        </w:rPr>
        <w:t xml:space="preserve">work </w:t>
      </w:r>
      <w:r w:rsidR="00703470">
        <w:rPr>
          <w:rFonts w:cs="Calibri"/>
          <w:lang w:val="en-US"/>
        </w:rPr>
        <w:t>processes and structures</w:t>
      </w:r>
      <w:r w:rsidR="007E19BA">
        <w:rPr>
          <w:rFonts w:cs="Calibri"/>
          <w:lang w:val="en-US"/>
        </w:rPr>
        <w:t>.</w:t>
      </w:r>
      <w:r w:rsidR="00703470">
        <w:rPr>
          <w:rFonts w:cs="Calibri"/>
          <w:lang w:val="en-US"/>
        </w:rPr>
        <w:t xml:space="preserve"> </w:t>
      </w:r>
      <w:r w:rsidR="00307065">
        <w:rPr>
          <w:rFonts w:cs="Calibri"/>
          <w:lang w:val="en-US"/>
        </w:rPr>
        <w:t>Next, we will be</w:t>
      </w:r>
      <w:r w:rsidR="007E19BA">
        <w:rPr>
          <w:rFonts w:cs="Calibri"/>
          <w:lang w:val="en-US"/>
        </w:rPr>
        <w:t xml:space="preserve"> working on the design of a project to include enhancement and updating of the major and essential information systems of the IACHR. </w:t>
      </w:r>
    </w:p>
    <w:p w14:paraId="07F9C35B" w14:textId="3E379958" w:rsidR="00BE19A0" w:rsidRPr="00B200D5" w:rsidRDefault="00026ABD" w:rsidP="00D84420">
      <w:pPr>
        <w:pStyle w:val="paragraphs"/>
        <w:ind w:left="0" w:firstLine="720"/>
        <w:rPr>
          <w:rFonts w:cs="Calibri"/>
          <w:lang w:val="en-US"/>
        </w:rPr>
      </w:pPr>
      <w:r>
        <w:rPr>
          <w:rFonts w:cs="Calibri"/>
          <w:lang w:val="en-US"/>
        </w:rPr>
        <w:t xml:space="preserve">The Technology and Systems Unit analyzed, designed, built, brought on line and generated reports of the Fellowship systems: </w:t>
      </w:r>
    </w:p>
    <w:p w14:paraId="13C83DB9" w14:textId="77777777" w:rsidR="00BE19A0" w:rsidRPr="00B200D5" w:rsidRDefault="00BE19A0" w:rsidP="002C1CB9">
      <w:pPr>
        <w:pStyle w:val="ListParagraph"/>
        <w:spacing w:after="0" w:line="240" w:lineRule="auto"/>
        <w:jc w:val="both"/>
        <w:rPr>
          <w:rFonts w:ascii="Cambria" w:hAnsi="Cambria" w:cs="Calibri"/>
          <w:sz w:val="20"/>
          <w:szCs w:val="20"/>
        </w:rPr>
      </w:pPr>
      <w:r w:rsidRPr="00B200D5">
        <w:rPr>
          <w:rFonts w:ascii="Cambria" w:hAnsi="Cambria" w:cs="Calibri"/>
          <w:sz w:val="20"/>
          <w:szCs w:val="20"/>
        </w:rPr>
        <w:t>Rómulo Gallegos 2017</w:t>
      </w:r>
    </w:p>
    <w:p w14:paraId="03F49683" w14:textId="2095A3C1" w:rsidR="00BE19A0" w:rsidRPr="00B200D5" w:rsidRDefault="00494BC3" w:rsidP="00A415BA">
      <w:pPr>
        <w:pStyle w:val="ListParagraph"/>
        <w:spacing w:after="0" w:line="240" w:lineRule="auto"/>
        <w:rPr>
          <w:rFonts w:ascii="Cambria" w:hAnsi="Cambria" w:cs="Calibri"/>
          <w:sz w:val="20"/>
          <w:szCs w:val="20"/>
        </w:rPr>
      </w:pPr>
      <w:r>
        <w:rPr>
          <w:rFonts w:ascii="Cambria" w:hAnsi="Cambria" w:cs="Calibri"/>
          <w:sz w:val="20"/>
          <w:szCs w:val="20"/>
        </w:rPr>
        <w:t xml:space="preserve">LGBTI Persons Rights </w:t>
      </w:r>
    </w:p>
    <w:p w14:paraId="593ECAD2" w14:textId="5E25D561" w:rsidR="00BE19A0" w:rsidRPr="00B200D5" w:rsidRDefault="00494BC3" w:rsidP="00A415BA">
      <w:pPr>
        <w:pStyle w:val="ListParagraph"/>
        <w:spacing w:after="0" w:line="240" w:lineRule="auto"/>
        <w:rPr>
          <w:rFonts w:ascii="Cambria" w:hAnsi="Cambria" w:cs="Calibri"/>
          <w:sz w:val="20"/>
          <w:szCs w:val="20"/>
        </w:rPr>
      </w:pPr>
      <w:r>
        <w:rPr>
          <w:rFonts w:ascii="Cambria" w:hAnsi="Cambria" w:cs="Calibri"/>
          <w:sz w:val="20"/>
          <w:szCs w:val="20"/>
        </w:rPr>
        <w:t xml:space="preserve">Attorneys from English-speaking Caribbean countries </w:t>
      </w:r>
    </w:p>
    <w:p w14:paraId="65B078EE" w14:textId="77777777" w:rsidR="00A42259" w:rsidRDefault="00A42259" w:rsidP="00A415BA">
      <w:pPr>
        <w:pStyle w:val="ListParagraph"/>
        <w:spacing w:after="0" w:line="240" w:lineRule="auto"/>
        <w:rPr>
          <w:rFonts w:ascii="Cambria" w:hAnsi="Cambria" w:cs="Calibri"/>
          <w:sz w:val="20"/>
          <w:szCs w:val="20"/>
        </w:rPr>
      </w:pPr>
      <w:r>
        <w:rPr>
          <w:rFonts w:ascii="Cambria" w:hAnsi="Cambria" w:cs="Calibri"/>
          <w:sz w:val="20"/>
          <w:szCs w:val="20"/>
        </w:rPr>
        <w:t>Attorneys or specialists in political science from English and French-speaking countries of the Caribbean</w:t>
      </w:r>
    </w:p>
    <w:p w14:paraId="58F7D313" w14:textId="3C286BFE" w:rsidR="00BE19A0" w:rsidRPr="00B200D5" w:rsidRDefault="00CC4A99" w:rsidP="00A415BA">
      <w:pPr>
        <w:pStyle w:val="ListParagraph"/>
        <w:spacing w:after="0" w:line="240" w:lineRule="auto"/>
        <w:rPr>
          <w:rFonts w:ascii="Cambria" w:hAnsi="Cambria" w:cs="Calibri"/>
          <w:sz w:val="20"/>
          <w:szCs w:val="20"/>
        </w:rPr>
      </w:pPr>
      <w:r>
        <w:rPr>
          <w:rFonts w:ascii="Cambria" w:hAnsi="Cambria" w:cs="Calibri"/>
          <w:sz w:val="20"/>
          <w:szCs w:val="20"/>
        </w:rPr>
        <w:t xml:space="preserve">Human Rights Defenders </w:t>
      </w:r>
    </w:p>
    <w:p w14:paraId="36695240" w14:textId="14E04DC2" w:rsidR="00BE19A0" w:rsidRPr="00B200D5" w:rsidRDefault="005973FF" w:rsidP="00A415BA">
      <w:pPr>
        <w:pStyle w:val="ListParagraph"/>
        <w:spacing w:after="0" w:line="240" w:lineRule="auto"/>
        <w:rPr>
          <w:rFonts w:ascii="Cambria" w:hAnsi="Cambria" w:cs="Calibri"/>
          <w:sz w:val="20"/>
          <w:szCs w:val="20"/>
        </w:rPr>
      </w:pPr>
      <w:r>
        <w:rPr>
          <w:rFonts w:ascii="Cambria" w:hAnsi="Cambria" w:cs="Calibri"/>
          <w:sz w:val="20"/>
          <w:szCs w:val="20"/>
        </w:rPr>
        <w:t xml:space="preserve">International Protection and internal displacement </w:t>
      </w:r>
    </w:p>
    <w:p w14:paraId="01852CA2" w14:textId="77777777" w:rsidR="00BE19A0" w:rsidRPr="00B200D5" w:rsidRDefault="00BE19A0" w:rsidP="00D84420">
      <w:pPr>
        <w:pStyle w:val="ListParagraph"/>
        <w:spacing w:after="0" w:line="240" w:lineRule="auto"/>
        <w:ind w:firstLine="360"/>
        <w:jc w:val="both"/>
        <w:rPr>
          <w:rFonts w:ascii="Cambria" w:hAnsi="Cambria" w:cs="Calibri"/>
          <w:sz w:val="20"/>
          <w:szCs w:val="20"/>
        </w:rPr>
      </w:pPr>
    </w:p>
    <w:p w14:paraId="6D0DEBFC" w14:textId="0DBC7080" w:rsidR="00BE19A0" w:rsidRPr="00B200D5" w:rsidRDefault="00E270F3" w:rsidP="00D84420">
      <w:pPr>
        <w:pStyle w:val="paragraphs"/>
        <w:ind w:left="0" w:firstLine="720"/>
        <w:rPr>
          <w:rFonts w:cs="Calibri"/>
          <w:lang w:val="en-US"/>
        </w:rPr>
      </w:pPr>
      <w:r>
        <w:rPr>
          <w:rFonts w:cs="Calibri"/>
          <w:lang w:val="en-US"/>
        </w:rPr>
        <w:t xml:space="preserve">After the sessions, UTS assigned case numbers in our PCMS system to petitions for which admissibility reports were </w:t>
      </w:r>
      <w:r w:rsidR="008768BB">
        <w:rPr>
          <w:rFonts w:cs="Calibri"/>
          <w:lang w:val="en-US"/>
        </w:rPr>
        <w:t>approved. In preparation for the 158</w:t>
      </w:r>
      <w:r w:rsidR="008768BB" w:rsidRPr="008768BB">
        <w:rPr>
          <w:rFonts w:cs="Calibri"/>
          <w:vertAlign w:val="superscript"/>
          <w:lang w:val="en-US"/>
        </w:rPr>
        <w:t>th</w:t>
      </w:r>
      <w:r w:rsidR="008768BB">
        <w:rPr>
          <w:rFonts w:cs="Calibri"/>
          <w:lang w:val="en-US"/>
        </w:rPr>
        <w:t>, 159</w:t>
      </w:r>
      <w:r w:rsidR="008768BB" w:rsidRPr="008768BB">
        <w:rPr>
          <w:rFonts w:cs="Calibri"/>
          <w:vertAlign w:val="superscript"/>
          <w:lang w:val="en-US"/>
        </w:rPr>
        <w:t>th</w:t>
      </w:r>
      <w:r w:rsidR="008768BB">
        <w:rPr>
          <w:rFonts w:cs="Calibri"/>
          <w:lang w:val="en-US"/>
        </w:rPr>
        <w:t>, 160</w:t>
      </w:r>
      <w:r w:rsidR="008768BB" w:rsidRPr="008768BB">
        <w:rPr>
          <w:rFonts w:cs="Calibri"/>
          <w:vertAlign w:val="superscript"/>
          <w:lang w:val="en-US"/>
        </w:rPr>
        <w:t>th</w:t>
      </w:r>
      <w:r w:rsidR="008768BB">
        <w:rPr>
          <w:rFonts w:cs="Calibri"/>
          <w:lang w:val="en-US"/>
        </w:rPr>
        <w:t xml:space="preserve"> periods of sessions, UTS put the Hearing Request System on line. After the deadline had lapsed to receive hearing requests, UTS </w:t>
      </w:r>
      <w:r w:rsidR="00CE0EE3">
        <w:rPr>
          <w:rFonts w:cs="Calibri"/>
          <w:lang w:val="en-US"/>
        </w:rPr>
        <w:t>created the corresponding request reports</w:t>
      </w:r>
      <w:r w:rsidR="00477375">
        <w:rPr>
          <w:rFonts w:cs="Calibri"/>
          <w:lang w:val="en-US"/>
        </w:rPr>
        <w:t xml:space="preserve"> for requests received over each period of sessions in order to pave the way for examination of the requests within the Executive Secretariat. In this way, the Executive Secretariat was provided </w:t>
      </w:r>
      <w:r w:rsidR="00CD7571">
        <w:rPr>
          <w:rFonts w:cs="Calibri"/>
          <w:lang w:val="en-US"/>
        </w:rPr>
        <w:t>an easy-to-</w:t>
      </w:r>
      <w:r w:rsidR="00477375">
        <w:rPr>
          <w:rFonts w:cs="Calibri"/>
          <w:lang w:val="en-US"/>
        </w:rPr>
        <w:t xml:space="preserve">use </w:t>
      </w:r>
      <w:r w:rsidR="00CD7571">
        <w:rPr>
          <w:rFonts w:cs="Calibri"/>
          <w:lang w:val="en-US"/>
        </w:rPr>
        <w:t xml:space="preserve">tool to </w:t>
      </w:r>
      <w:r w:rsidR="00D5276A">
        <w:rPr>
          <w:rFonts w:cs="Calibri"/>
          <w:lang w:val="en-US"/>
        </w:rPr>
        <w:t xml:space="preserve">manage </w:t>
      </w:r>
      <w:r w:rsidR="00265188">
        <w:rPr>
          <w:rFonts w:cs="Calibri"/>
          <w:lang w:val="en-US"/>
        </w:rPr>
        <w:t>reports and</w:t>
      </w:r>
      <w:r w:rsidR="00477375">
        <w:rPr>
          <w:rFonts w:cs="Calibri"/>
          <w:lang w:val="en-US"/>
        </w:rPr>
        <w:t xml:space="preserve"> systematize information. UTS </w:t>
      </w:r>
      <w:r w:rsidR="00F738F0">
        <w:rPr>
          <w:rFonts w:cs="Calibri"/>
          <w:lang w:val="en-US"/>
        </w:rPr>
        <w:t xml:space="preserve">handled the logistics and coordination of technological services needed to establish and ensure success at events </w:t>
      </w:r>
      <w:r w:rsidR="0032515B">
        <w:rPr>
          <w:rFonts w:cs="Calibri"/>
          <w:lang w:val="en-US"/>
        </w:rPr>
        <w:t xml:space="preserve">and meetings held both </w:t>
      </w:r>
      <w:r w:rsidR="00F738F0">
        <w:rPr>
          <w:rFonts w:cs="Calibri"/>
          <w:lang w:val="en-US"/>
        </w:rPr>
        <w:t xml:space="preserve">inside and outside </w:t>
      </w:r>
      <w:r w:rsidR="00BD1424">
        <w:rPr>
          <w:rFonts w:cs="Calibri"/>
          <w:lang w:val="en-US"/>
        </w:rPr>
        <w:t xml:space="preserve">of </w:t>
      </w:r>
      <w:r w:rsidR="00F738F0">
        <w:rPr>
          <w:rFonts w:cs="Calibri"/>
          <w:lang w:val="en-US"/>
        </w:rPr>
        <w:t xml:space="preserve">headquarters. </w:t>
      </w:r>
    </w:p>
    <w:p w14:paraId="4A231809" w14:textId="283BFCC8" w:rsidR="00BE19A0" w:rsidRPr="00B200D5" w:rsidRDefault="008A5E1D" w:rsidP="00D84420">
      <w:pPr>
        <w:pStyle w:val="paragraphs"/>
        <w:ind w:left="0" w:firstLine="720"/>
        <w:rPr>
          <w:rFonts w:cs="Calibri"/>
          <w:lang w:val="en-US"/>
        </w:rPr>
      </w:pPr>
      <w:r>
        <w:rPr>
          <w:rFonts w:cs="Calibri"/>
          <w:lang w:val="en-US"/>
        </w:rPr>
        <w:t>The Technology and Systems Unit of the IACHR generated a proposal to improve and u</w:t>
      </w:r>
      <w:r w:rsidR="000A4F51">
        <w:rPr>
          <w:rFonts w:cs="Calibri"/>
          <w:lang w:val="en-US"/>
        </w:rPr>
        <w:t xml:space="preserve">pdate the digitization program, which </w:t>
      </w:r>
      <w:r>
        <w:rPr>
          <w:rFonts w:cs="Calibri"/>
          <w:lang w:val="en-US"/>
        </w:rPr>
        <w:t>is currently being used to turn pape</w:t>
      </w:r>
      <w:r w:rsidR="00D23F55">
        <w:rPr>
          <w:rFonts w:cs="Calibri"/>
          <w:lang w:val="en-US"/>
        </w:rPr>
        <w:t>r documents into electronic form</w:t>
      </w:r>
      <w:r>
        <w:rPr>
          <w:rFonts w:cs="Calibri"/>
          <w:lang w:val="en-US"/>
        </w:rPr>
        <w:t xml:space="preserve">.  UTS conducted the analysis, research and comparison of the proposed product </w:t>
      </w:r>
      <w:r w:rsidR="00695A15">
        <w:rPr>
          <w:rFonts w:cs="Calibri"/>
          <w:lang w:val="en-US"/>
        </w:rPr>
        <w:t xml:space="preserve">along with </w:t>
      </w:r>
      <w:r w:rsidR="000509B5">
        <w:rPr>
          <w:rFonts w:cs="Calibri"/>
          <w:lang w:val="en-US"/>
        </w:rPr>
        <w:t>drafting a document with an executive summary</w:t>
      </w:r>
      <w:r w:rsidR="00E320F2">
        <w:rPr>
          <w:rFonts w:cs="Calibri"/>
          <w:lang w:val="en-US"/>
        </w:rPr>
        <w:t>,</w:t>
      </w:r>
      <w:r w:rsidR="000509B5">
        <w:rPr>
          <w:rFonts w:cs="Calibri"/>
          <w:lang w:val="en-US"/>
        </w:rPr>
        <w:t xml:space="preserve"> as well as a list of advantages of purchasing </w:t>
      </w:r>
      <w:r w:rsidR="00CE76D6">
        <w:rPr>
          <w:rFonts w:cs="Calibri"/>
          <w:lang w:val="en-US"/>
        </w:rPr>
        <w:t xml:space="preserve">more up-to-date and improved software for digitization of documents. </w:t>
      </w:r>
      <w:r w:rsidR="008D589E">
        <w:rPr>
          <w:rFonts w:cs="Calibri"/>
          <w:lang w:val="en-US"/>
        </w:rPr>
        <w:t xml:space="preserve">UTS made the recommendation to modernize this tool, which is used on a daily basis and is essential to the function of digitization of documents </w:t>
      </w:r>
      <w:r w:rsidR="00F24D49">
        <w:rPr>
          <w:rFonts w:cs="Calibri"/>
          <w:lang w:val="en-US"/>
        </w:rPr>
        <w:t xml:space="preserve">and </w:t>
      </w:r>
      <w:r w:rsidR="001E6B84">
        <w:rPr>
          <w:rFonts w:cs="Calibri"/>
          <w:lang w:val="en-US"/>
        </w:rPr>
        <w:t xml:space="preserve">feeding our central information systems </w:t>
      </w:r>
      <w:r w:rsidR="00D12467">
        <w:rPr>
          <w:rFonts w:cs="Calibri"/>
          <w:lang w:val="en-US"/>
        </w:rPr>
        <w:t xml:space="preserve">at the IACHR. </w:t>
      </w:r>
    </w:p>
    <w:p w14:paraId="3F5DEF74" w14:textId="0B5B8818" w:rsidR="00BE19A0" w:rsidRPr="00B200D5" w:rsidRDefault="00277AE5" w:rsidP="00D84420">
      <w:pPr>
        <w:pStyle w:val="paragraphs"/>
        <w:ind w:left="0" w:firstLine="720"/>
        <w:rPr>
          <w:rFonts w:cs="Calibri"/>
          <w:lang w:val="en-US"/>
        </w:rPr>
      </w:pPr>
      <w:r>
        <w:rPr>
          <w:rFonts w:cs="Calibri"/>
          <w:lang w:val="en-US"/>
        </w:rPr>
        <w:t>Statistical reports were generated by UTS in order to manage results</w:t>
      </w:r>
      <w:r w:rsidR="00D53903">
        <w:rPr>
          <w:rFonts w:cs="Calibri"/>
          <w:lang w:val="en-US"/>
        </w:rPr>
        <w:t xml:space="preserve"> and use them </w:t>
      </w:r>
      <w:r>
        <w:rPr>
          <w:rFonts w:cs="Calibri"/>
          <w:lang w:val="en-US"/>
        </w:rPr>
        <w:t xml:space="preserve">to monitor, analyze and </w:t>
      </w:r>
      <w:r w:rsidR="00D53903">
        <w:rPr>
          <w:rFonts w:cs="Calibri"/>
          <w:lang w:val="en-US"/>
        </w:rPr>
        <w:t xml:space="preserve">make decisions based on the support of the different systems in place at the IACHR. </w:t>
      </w:r>
      <w:r w:rsidR="00CD0B79">
        <w:rPr>
          <w:rFonts w:cs="Calibri"/>
          <w:lang w:val="en-US"/>
        </w:rPr>
        <w:t xml:space="preserve">Some of these reports are presented in the Executive Secretary’s report, the annual report and presentations of different areas of the Executive Secretariat. </w:t>
      </w:r>
    </w:p>
    <w:p w14:paraId="11B81B59" w14:textId="71CD8D93" w:rsidR="00BE19A0" w:rsidRPr="00B200D5" w:rsidRDefault="004C4870" w:rsidP="00D84420">
      <w:pPr>
        <w:pStyle w:val="paragraphs"/>
        <w:ind w:left="0" w:firstLine="720"/>
        <w:rPr>
          <w:rFonts w:cs="Calibri"/>
          <w:lang w:val="en-US"/>
        </w:rPr>
      </w:pPr>
      <w:r>
        <w:rPr>
          <w:rFonts w:cs="Calibri"/>
          <w:lang w:val="en-US"/>
        </w:rPr>
        <w:lastRenderedPageBreak/>
        <w:t>UTS manages</w:t>
      </w:r>
      <w:r w:rsidR="00A42185">
        <w:rPr>
          <w:rFonts w:cs="Calibri"/>
          <w:lang w:val="en-US"/>
        </w:rPr>
        <w:t>, in coordination with the areas of the OAS,</w:t>
      </w:r>
      <w:r>
        <w:rPr>
          <w:rFonts w:cs="Calibri"/>
          <w:lang w:val="en-US"/>
        </w:rPr>
        <w:t xml:space="preserve"> the logistics for </w:t>
      </w:r>
      <w:r w:rsidR="00A8407F">
        <w:rPr>
          <w:rFonts w:cs="Calibri"/>
          <w:lang w:val="en-US"/>
        </w:rPr>
        <w:t xml:space="preserve">network </w:t>
      </w:r>
      <w:r>
        <w:rPr>
          <w:rFonts w:cs="Calibri"/>
          <w:lang w:val="en-US"/>
        </w:rPr>
        <w:t xml:space="preserve">accounts and configuration of IACHR systems for interns, fellows and new staff members, so that </w:t>
      </w:r>
      <w:r w:rsidR="005162C0">
        <w:rPr>
          <w:rFonts w:cs="Calibri"/>
          <w:lang w:val="en-US"/>
        </w:rPr>
        <w:t>everything necessary for these users is in place when they</w:t>
      </w:r>
      <w:r w:rsidR="00C85954">
        <w:rPr>
          <w:rFonts w:cs="Calibri"/>
          <w:lang w:val="en-US"/>
        </w:rPr>
        <w:t xml:space="preserve"> arrive.</w:t>
      </w:r>
      <w:r w:rsidR="005162C0">
        <w:rPr>
          <w:rFonts w:cs="Calibri"/>
          <w:lang w:val="en-US"/>
        </w:rPr>
        <w:t xml:space="preserve"> </w:t>
      </w:r>
      <w:r>
        <w:rPr>
          <w:rFonts w:cs="Calibri"/>
          <w:lang w:val="en-US"/>
        </w:rPr>
        <w:t xml:space="preserve"> </w:t>
      </w:r>
    </w:p>
    <w:p w14:paraId="5EFDCF84" w14:textId="1D77AD9C" w:rsidR="00BE19A0" w:rsidRPr="00B200D5" w:rsidRDefault="00347C71" w:rsidP="00D84420">
      <w:pPr>
        <w:pStyle w:val="paragraphs"/>
        <w:ind w:left="0" w:firstLine="720"/>
        <w:rPr>
          <w:rFonts w:cs="Calibri"/>
          <w:lang w:val="en-US"/>
        </w:rPr>
      </w:pPr>
      <w:r>
        <w:rPr>
          <w:rFonts w:cs="Calibri"/>
          <w:lang w:val="en-US"/>
        </w:rPr>
        <w:t xml:space="preserve">Regarding the project of modernization of technological equipment of the IACHR, in keeping with the OAS modernization plan, we were </w:t>
      </w:r>
      <w:r w:rsidR="00BA034B">
        <w:rPr>
          <w:rFonts w:cs="Calibri"/>
          <w:lang w:val="en-US"/>
        </w:rPr>
        <w:t>able to move</w:t>
      </w:r>
      <w:r>
        <w:rPr>
          <w:rFonts w:cs="Calibri"/>
          <w:lang w:val="en-US"/>
        </w:rPr>
        <w:t xml:space="preserve"> forward in updating and replacing all of the computer hardware with the XP operating system.  UTS is coordinating </w:t>
      </w:r>
      <w:r w:rsidR="00416957">
        <w:rPr>
          <w:rFonts w:cs="Calibri"/>
          <w:lang w:val="en-US"/>
        </w:rPr>
        <w:t xml:space="preserve">and </w:t>
      </w:r>
      <w:r w:rsidR="00A365AD">
        <w:rPr>
          <w:rFonts w:cs="Calibri"/>
          <w:lang w:val="en-US"/>
        </w:rPr>
        <w:t xml:space="preserve">closely following the plan for the installation of new </w:t>
      </w:r>
      <w:r w:rsidR="000307BA">
        <w:rPr>
          <w:rFonts w:cs="Calibri"/>
          <w:lang w:val="en-US"/>
        </w:rPr>
        <w:t xml:space="preserve">hardware, so that our users have the tools and configurations they need when they receive computers and smoothly continue </w:t>
      </w:r>
      <w:r w:rsidR="007138EE">
        <w:rPr>
          <w:rFonts w:cs="Calibri"/>
          <w:lang w:val="en-US"/>
        </w:rPr>
        <w:t xml:space="preserve">to perform </w:t>
      </w:r>
      <w:r w:rsidR="000307BA">
        <w:rPr>
          <w:rFonts w:cs="Calibri"/>
          <w:lang w:val="en-US"/>
        </w:rPr>
        <w:t xml:space="preserve">their jobs. </w:t>
      </w:r>
    </w:p>
    <w:p w14:paraId="4A0EDEE8" w14:textId="4C40C75C" w:rsidR="00BE19A0" w:rsidRPr="00B200D5" w:rsidRDefault="00A668EF" w:rsidP="00D84420">
      <w:pPr>
        <w:pStyle w:val="paragraphs"/>
        <w:ind w:left="0" w:firstLine="720"/>
        <w:rPr>
          <w:rFonts w:cs="Calibri"/>
          <w:lang w:val="en-US"/>
        </w:rPr>
      </w:pPr>
      <w:r>
        <w:rPr>
          <w:rFonts w:cs="Calibri"/>
          <w:lang w:val="en-US"/>
        </w:rPr>
        <w:t xml:space="preserve">Additionally, UTS coordinated and executed </w:t>
      </w:r>
      <w:r w:rsidR="00B94969">
        <w:rPr>
          <w:rFonts w:cs="Calibri"/>
          <w:lang w:val="en-US"/>
        </w:rPr>
        <w:t>training on the diffe</w:t>
      </w:r>
      <w:r w:rsidR="00D07E64">
        <w:rPr>
          <w:rFonts w:cs="Calibri"/>
          <w:lang w:val="en-US"/>
        </w:rPr>
        <w:t xml:space="preserve">rent OAS systems for all users. </w:t>
      </w:r>
      <w:r w:rsidR="00AD5E67">
        <w:rPr>
          <w:rFonts w:cs="Calibri"/>
          <w:lang w:val="en-US"/>
        </w:rPr>
        <w:t>At the training courses, attendees were also provided training and presentation materials</w:t>
      </w:r>
      <w:r w:rsidR="002C64FC">
        <w:rPr>
          <w:rFonts w:cs="Calibri"/>
          <w:lang w:val="en-US"/>
        </w:rPr>
        <w:t xml:space="preserve">, additional documentation on protocols and system </w:t>
      </w:r>
      <w:r w:rsidR="00F634EF">
        <w:rPr>
          <w:rFonts w:cs="Calibri"/>
          <w:lang w:val="en-US"/>
        </w:rPr>
        <w:t>use</w:t>
      </w:r>
      <w:r w:rsidR="002C64FC">
        <w:rPr>
          <w:rFonts w:cs="Calibri"/>
          <w:lang w:val="en-US"/>
        </w:rPr>
        <w:t xml:space="preserve"> manuals</w:t>
      </w:r>
      <w:r w:rsidR="00C64C24">
        <w:rPr>
          <w:rFonts w:cs="Calibri"/>
          <w:lang w:val="en-US"/>
        </w:rPr>
        <w:t>.</w:t>
      </w:r>
    </w:p>
    <w:p w14:paraId="378A4FF6" w14:textId="77777777" w:rsidR="00E275BA" w:rsidRPr="00B200D5" w:rsidRDefault="00E275BA" w:rsidP="00D84420">
      <w:pPr>
        <w:spacing w:after="0" w:line="240" w:lineRule="auto"/>
        <w:jc w:val="both"/>
        <w:rPr>
          <w:rFonts w:ascii="Cambria" w:hAnsi="Cambria"/>
          <w:sz w:val="20"/>
          <w:szCs w:val="20"/>
        </w:rPr>
      </w:pPr>
    </w:p>
    <w:p w14:paraId="502A5680" w14:textId="77777777" w:rsidR="00E275BA" w:rsidRPr="00B200D5" w:rsidRDefault="00E275BA" w:rsidP="00D84420">
      <w:pPr>
        <w:pStyle w:val="ListParagraph"/>
        <w:spacing w:after="0" w:line="240" w:lineRule="auto"/>
        <w:ind w:firstLine="360"/>
        <w:jc w:val="both"/>
        <w:rPr>
          <w:rFonts w:ascii="Cambria" w:hAnsi="Cambria" w:cs="Calibri"/>
          <w:sz w:val="20"/>
          <w:szCs w:val="20"/>
        </w:rPr>
      </w:pPr>
    </w:p>
    <w:sectPr w:rsidR="00E275BA" w:rsidRPr="00B200D5" w:rsidSect="00D528B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97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778B9" w14:textId="77777777" w:rsidR="009A6C18" w:rsidRDefault="009A6C18" w:rsidP="009F47B2">
      <w:pPr>
        <w:spacing w:after="0" w:line="240" w:lineRule="auto"/>
      </w:pPr>
      <w:r>
        <w:separator/>
      </w:r>
    </w:p>
  </w:endnote>
  <w:endnote w:type="continuationSeparator" w:id="0">
    <w:p w14:paraId="41A33D08" w14:textId="77777777" w:rsidR="009A6C18" w:rsidRDefault="009A6C18" w:rsidP="009F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9DFCE" w14:textId="77777777" w:rsidR="001D608B" w:rsidRDefault="001D6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4EE22" w14:textId="77777777" w:rsidR="0002260F" w:rsidRPr="00343B38" w:rsidRDefault="0002260F" w:rsidP="00615BCF">
    <w:pPr>
      <w:pStyle w:val="Footer"/>
      <w:spacing w:after="0" w:line="240" w:lineRule="auto"/>
      <w:jc w:val="center"/>
      <w:rPr>
        <w:sz w:val="16"/>
        <w:szCs w:val="16"/>
      </w:rPr>
    </w:pPr>
    <w:r w:rsidRPr="00343B38">
      <w:rPr>
        <w:sz w:val="16"/>
        <w:szCs w:val="16"/>
      </w:rPr>
      <w:fldChar w:fldCharType="begin"/>
    </w:r>
    <w:r w:rsidRPr="00343B38">
      <w:rPr>
        <w:sz w:val="16"/>
        <w:szCs w:val="16"/>
      </w:rPr>
      <w:instrText xml:space="preserve"> PAGE   \* MERGEFORMAT </w:instrText>
    </w:r>
    <w:r w:rsidRPr="00343B38">
      <w:rPr>
        <w:sz w:val="16"/>
        <w:szCs w:val="16"/>
      </w:rPr>
      <w:fldChar w:fldCharType="separate"/>
    </w:r>
    <w:r w:rsidR="001D608B">
      <w:rPr>
        <w:noProof/>
        <w:sz w:val="16"/>
        <w:szCs w:val="16"/>
      </w:rPr>
      <w:t>983</w:t>
    </w:r>
    <w:r w:rsidRPr="00343B38">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C9179" w14:textId="77777777" w:rsidR="001D608B" w:rsidRDefault="001D6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6A3FD" w14:textId="77777777" w:rsidR="009A6C18" w:rsidRDefault="009A6C18" w:rsidP="009F47B2">
      <w:pPr>
        <w:spacing w:after="0" w:line="240" w:lineRule="auto"/>
      </w:pPr>
      <w:r>
        <w:separator/>
      </w:r>
    </w:p>
  </w:footnote>
  <w:footnote w:type="continuationSeparator" w:id="0">
    <w:p w14:paraId="575E2C27" w14:textId="77777777" w:rsidR="009A6C18" w:rsidRDefault="009A6C18" w:rsidP="009F47B2">
      <w:pPr>
        <w:spacing w:after="0" w:line="240" w:lineRule="auto"/>
      </w:pPr>
      <w:r>
        <w:continuationSeparator/>
      </w:r>
    </w:p>
  </w:footnote>
  <w:footnote w:id="1">
    <w:p w14:paraId="591F36BA" w14:textId="02CB5BD8" w:rsidR="0002260F" w:rsidRPr="00291C10" w:rsidRDefault="0002260F" w:rsidP="00C01A19">
      <w:pPr>
        <w:pStyle w:val="FootnoteText"/>
        <w:spacing w:after="120"/>
        <w:ind w:firstLine="720"/>
        <w:jc w:val="both"/>
        <w:rPr>
          <w:rFonts w:ascii="Cambria" w:hAnsi="Cambria"/>
          <w:sz w:val="16"/>
          <w:szCs w:val="16"/>
        </w:rPr>
      </w:pPr>
      <w:r w:rsidRPr="00291C10">
        <w:rPr>
          <w:rStyle w:val="FootnoteReference"/>
          <w:rFonts w:ascii="Cambria" w:hAnsi="Cambria"/>
          <w:sz w:val="16"/>
          <w:szCs w:val="16"/>
        </w:rPr>
        <w:footnoteRef/>
      </w:r>
      <w:r w:rsidRPr="00291C10">
        <w:rPr>
          <w:rFonts w:ascii="Cambria" w:hAnsi="Cambria"/>
          <w:sz w:val="16"/>
          <w:szCs w:val="16"/>
        </w:rPr>
        <w:t xml:space="preserve"> In 2015, the Commission</w:t>
      </w:r>
      <w:r>
        <w:rPr>
          <w:rFonts w:ascii="Cambria" w:hAnsi="Cambria"/>
          <w:sz w:val="16"/>
          <w:szCs w:val="16"/>
        </w:rPr>
        <w:t xml:space="preserve"> approved the process to create the Rapporteurship on Economic, Social and Cultural Rights and the Executive Secretariat established a special fund to receive donations from Member States for this purpose. As of the present date, two donations have been received: $8,000 from Peru and</w:t>
      </w:r>
      <w:r w:rsidRPr="00291C10">
        <w:rPr>
          <w:rFonts w:ascii="Cambria" w:hAnsi="Cambria"/>
          <w:sz w:val="16"/>
          <w:szCs w:val="16"/>
        </w:rPr>
        <w:t xml:space="preserve"> $2,000 </w:t>
      </w:r>
      <w:r>
        <w:rPr>
          <w:rFonts w:ascii="Cambria" w:hAnsi="Cambria"/>
          <w:sz w:val="16"/>
          <w:szCs w:val="16"/>
        </w:rPr>
        <w:t xml:space="preserve">from </w:t>
      </w:r>
      <w:r w:rsidRPr="00291C10">
        <w:rPr>
          <w:rFonts w:ascii="Cambria" w:hAnsi="Cambria"/>
          <w:sz w:val="16"/>
          <w:szCs w:val="16"/>
        </w:rPr>
        <w:t xml:space="preserve">Uruguay.  </w:t>
      </w:r>
      <w:r>
        <w:rPr>
          <w:rFonts w:ascii="Cambria" w:hAnsi="Cambria"/>
          <w:sz w:val="16"/>
          <w:szCs w:val="16"/>
        </w:rPr>
        <w:t xml:space="preserve">Currently, a draft project is being submitted to the Project  Evaluation Committee for these purposes. </w:t>
      </w:r>
    </w:p>
  </w:footnote>
  <w:footnote w:id="2">
    <w:p w14:paraId="1D836C3E" w14:textId="67D3F8BD" w:rsidR="0002260F" w:rsidRPr="00291C10" w:rsidRDefault="0002260F" w:rsidP="00C01A19">
      <w:pPr>
        <w:pStyle w:val="FootnoteText"/>
        <w:spacing w:after="120"/>
        <w:ind w:firstLine="720"/>
        <w:rPr>
          <w:rFonts w:ascii="Cambria" w:hAnsi="Cambria"/>
          <w:sz w:val="16"/>
          <w:szCs w:val="16"/>
        </w:rPr>
      </w:pPr>
      <w:r w:rsidRPr="00291C10">
        <w:rPr>
          <w:rStyle w:val="FootnoteReference"/>
          <w:rFonts w:ascii="Cambria" w:hAnsi="Cambria"/>
          <w:sz w:val="16"/>
          <w:szCs w:val="16"/>
        </w:rPr>
        <w:footnoteRef/>
      </w:r>
      <w:r w:rsidRPr="00291C10">
        <w:rPr>
          <w:rFonts w:ascii="Cambria" w:hAnsi="Cambria"/>
          <w:sz w:val="16"/>
          <w:szCs w:val="16"/>
        </w:rPr>
        <w:t xml:space="preserve"> </w:t>
      </w:r>
      <w:r>
        <w:rPr>
          <w:rFonts w:ascii="Cambria" w:hAnsi="Cambria"/>
          <w:sz w:val="16"/>
          <w:szCs w:val="16"/>
        </w:rPr>
        <w:t xml:space="preserve">As of December 31, 2016, the interviewing panel’s recommendation had been submitted to the Special Subcommittee of the Selection and Promotion Committee. </w:t>
      </w:r>
    </w:p>
  </w:footnote>
  <w:footnote w:id="3">
    <w:p w14:paraId="55DC44DD" w14:textId="009E8936" w:rsidR="0002260F" w:rsidRPr="00291C10" w:rsidRDefault="0002260F" w:rsidP="00C01A19">
      <w:pPr>
        <w:pStyle w:val="FootnoteText"/>
        <w:spacing w:after="120"/>
        <w:ind w:firstLine="720"/>
        <w:rPr>
          <w:rFonts w:ascii="Cambria" w:hAnsi="Cambria" w:cs="Calibri"/>
          <w:sz w:val="16"/>
          <w:szCs w:val="16"/>
        </w:rPr>
      </w:pPr>
      <w:r w:rsidRPr="00291C10">
        <w:rPr>
          <w:rFonts w:ascii="Cambria" w:hAnsi="Cambria" w:cs="Calibri"/>
          <w:sz w:val="16"/>
          <w:szCs w:val="16"/>
          <w:vertAlign w:val="superscript"/>
        </w:rPr>
        <w:footnoteRef/>
      </w:r>
      <w:r w:rsidRPr="00291C10">
        <w:rPr>
          <w:rFonts w:ascii="Cambria" w:hAnsi="Cambria" w:cs="Calibri"/>
          <w:sz w:val="16"/>
          <w:szCs w:val="16"/>
        </w:rPr>
        <w:t xml:space="preserve"> </w:t>
      </w:r>
      <w:r>
        <w:rPr>
          <w:rFonts w:ascii="Cambria" w:hAnsi="Cambria" w:cs="Calibri"/>
          <w:sz w:val="16"/>
          <w:szCs w:val="16"/>
        </w:rPr>
        <w:t xml:space="preserve">Reports on fiscal year-end budget execution will be submitted once the OAS/GS has completed procedures to close out its books for year. This update is scheduled for release no later than the close of the first quarter of 2017 and will be published on the IACHR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EA2AF" w14:textId="77777777" w:rsidR="001D608B" w:rsidRDefault="001D6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64802" w14:textId="2E6BB85A" w:rsidR="007F3814" w:rsidRDefault="000E795F" w:rsidP="0027282D">
    <w:pPr>
      <w:pStyle w:val="Header"/>
      <w:spacing w:after="120" w:line="240" w:lineRule="auto"/>
      <w:jc w:val="center"/>
    </w:pPr>
    <w:r>
      <w:rPr>
        <w:noProof/>
      </w:rPr>
      <w:drawing>
        <wp:inline distT="0" distB="0" distL="0" distR="0" wp14:anchorId="389DD091" wp14:editId="177CEBB8">
          <wp:extent cx="2276475" cy="123825"/>
          <wp:effectExtent l="0" t="0" r="9525" b="9525"/>
          <wp:docPr id="6" name="Picture 6"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23825"/>
                  </a:xfrm>
                  <a:prstGeom prst="rect">
                    <a:avLst/>
                  </a:prstGeom>
                  <a:noFill/>
                  <a:ln>
                    <a:noFill/>
                  </a:ln>
                </pic:spPr>
              </pic:pic>
            </a:graphicData>
          </a:graphic>
        </wp:inline>
      </w:drawing>
    </w:r>
  </w:p>
  <w:p w14:paraId="03954AD3" w14:textId="77777777" w:rsidR="007F3814" w:rsidRDefault="009A6C18" w:rsidP="0027282D">
    <w:pPr>
      <w:pStyle w:val="Header"/>
      <w:spacing w:after="120" w:line="240" w:lineRule="auto"/>
    </w:pPr>
    <w:r>
      <w:pict w14:anchorId="1957153B">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3B57" w14:textId="1209C353" w:rsidR="007F3814" w:rsidRDefault="000E795F" w:rsidP="007F3814">
    <w:pPr>
      <w:pStyle w:val="Header"/>
    </w:pPr>
    <w:r>
      <w:rPr>
        <w:noProof/>
      </w:rPr>
      <w:drawing>
        <wp:anchor distT="0" distB="0" distL="114300" distR="114300" simplePos="0" relativeHeight="251657216" behindDoc="1" locked="0" layoutInCell="1" allowOverlap="1" wp14:anchorId="76F64DF1" wp14:editId="2F52AED4">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1" name="Picture 6"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219170D" wp14:editId="6C92D43C">
          <wp:simplePos x="0" y="0"/>
          <wp:positionH relativeFrom="column">
            <wp:posOffset>-28575</wp:posOffset>
          </wp:positionH>
          <wp:positionV relativeFrom="paragraph">
            <wp:posOffset>-19050</wp:posOffset>
          </wp:positionV>
          <wp:extent cx="1725295" cy="381000"/>
          <wp:effectExtent l="0" t="0" r="8255" b="0"/>
          <wp:wrapThrough wrapText="bothSides">
            <wp:wrapPolygon edited="0">
              <wp:start x="0" y="0"/>
              <wp:lineTo x="0" y="20520"/>
              <wp:lineTo x="21465" y="20520"/>
              <wp:lineTo x="21465" y="0"/>
              <wp:lineTo x="0" y="0"/>
            </wp:wrapPolygon>
          </wp:wrapThrough>
          <wp:docPr id="7" name="Picture 7" descr="IA2016-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A2016-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381000"/>
                  </a:xfrm>
                  <a:prstGeom prst="rect">
                    <a:avLst/>
                  </a:prstGeom>
                  <a:noFill/>
                </pic:spPr>
              </pic:pic>
            </a:graphicData>
          </a:graphic>
          <wp14:sizeRelH relativeFrom="page">
            <wp14:pctWidth>0</wp14:pctWidth>
          </wp14:sizeRelH>
          <wp14:sizeRelV relativeFrom="page">
            <wp14:pctHeight>0</wp14:pctHeight>
          </wp14:sizeRelV>
        </wp:anchor>
      </w:drawing>
    </w:r>
    <w:r w:rsidR="007F3814">
      <w:tab/>
    </w:r>
    <w:r w:rsidR="007F3814">
      <w:tab/>
    </w:r>
  </w:p>
  <w:p w14:paraId="62A471C6" w14:textId="77777777" w:rsidR="0002260F" w:rsidRPr="00B67FC9" w:rsidRDefault="009A6C18" w:rsidP="007F3814">
    <w:pPr>
      <w:pStyle w:val="Header"/>
      <w:spacing w:after="240" w:line="240" w:lineRule="auto"/>
    </w:pPr>
    <w:r>
      <w:pict w14:anchorId="26AD1584">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2C6"/>
    <w:multiLevelType w:val="hybridMultilevel"/>
    <w:tmpl w:val="15FA7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7C66F9"/>
    <w:multiLevelType w:val="hybridMultilevel"/>
    <w:tmpl w:val="EF5C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737AD"/>
    <w:multiLevelType w:val="hybridMultilevel"/>
    <w:tmpl w:val="BE403A44"/>
    <w:lvl w:ilvl="0" w:tplc="B164F69A">
      <w:start w:val="1"/>
      <w:numFmt w:val="decimal"/>
      <w:pStyle w:val="paragraphs"/>
      <w:lvlText w:val="%1."/>
      <w:lvlJc w:val="left"/>
      <w:pPr>
        <w:ind w:left="1440" w:hanging="360"/>
      </w:pPr>
      <w:rPr>
        <w:rFonts w:ascii="Cambria" w:hAnsi="Cambria" w:hint="default"/>
        <w:b w:val="0"/>
        <w:i w:val="0"/>
        <w:strike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6A4978"/>
    <w:multiLevelType w:val="hybridMultilevel"/>
    <w:tmpl w:val="833CF348"/>
    <w:lvl w:ilvl="0" w:tplc="2272B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486F8D"/>
    <w:multiLevelType w:val="hybridMultilevel"/>
    <w:tmpl w:val="76FE4A02"/>
    <w:lvl w:ilvl="0" w:tplc="04090001">
      <w:start w:val="1"/>
      <w:numFmt w:val="bullet"/>
      <w:lvlText w:val=""/>
      <w:lvlJc w:val="left"/>
      <w:pPr>
        <w:ind w:left="1440" w:hanging="72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B49BAC">
      <w:start w:val="1"/>
      <w:numFmt w:val="bullet"/>
      <w:lvlText w:val="o"/>
      <w:lvlJc w:val="left"/>
      <w:pPr>
        <w:ind w:left="21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2A9964">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62E61C">
      <w:start w:val="1"/>
      <w:numFmt w:val="bullet"/>
      <w:lvlText w:val="•"/>
      <w:lvlJc w:val="left"/>
      <w:pPr>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3A7586">
      <w:start w:val="1"/>
      <w:numFmt w:val="bullet"/>
      <w:lvlText w:val="o"/>
      <w:lvlJc w:val="left"/>
      <w:pPr>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FCBB92">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D22E8E">
      <w:start w:val="1"/>
      <w:numFmt w:val="bullet"/>
      <w:lvlText w:val="•"/>
      <w:lvlJc w:val="left"/>
      <w:pPr>
        <w:ind w:left="57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8CD83E">
      <w:start w:val="1"/>
      <w:numFmt w:val="bullet"/>
      <w:lvlText w:val="o"/>
      <w:lvlJc w:val="left"/>
      <w:pPr>
        <w:ind w:left="64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F25320">
      <w:start w:val="1"/>
      <w:numFmt w:val="bullet"/>
      <w:lvlText w:val="▪"/>
      <w:lvlJc w:val="left"/>
      <w:pPr>
        <w:ind w:left="72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565423F"/>
    <w:multiLevelType w:val="hybridMultilevel"/>
    <w:tmpl w:val="31C26466"/>
    <w:numStyleLink w:val="EstiloImportado3"/>
  </w:abstractNum>
  <w:abstractNum w:abstractNumId="6">
    <w:nsid w:val="268C0ADA"/>
    <w:multiLevelType w:val="hybridMultilevel"/>
    <w:tmpl w:val="EF60E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EE725A"/>
    <w:multiLevelType w:val="hybridMultilevel"/>
    <w:tmpl w:val="134CD2C4"/>
    <w:lvl w:ilvl="0" w:tplc="3AD6AA64">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D4B1F"/>
    <w:multiLevelType w:val="hybridMultilevel"/>
    <w:tmpl w:val="BEB01588"/>
    <w:numStyleLink w:val="EstiloImportado4"/>
  </w:abstractNum>
  <w:abstractNum w:abstractNumId="9">
    <w:nsid w:val="51FF577B"/>
    <w:multiLevelType w:val="hybridMultilevel"/>
    <w:tmpl w:val="BEB01588"/>
    <w:styleLink w:val="EstiloImportado4"/>
    <w:lvl w:ilvl="0" w:tplc="45A2BD16">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0AD090">
      <w:start w:val="1"/>
      <w:numFmt w:val="lowerLetter"/>
      <w:lvlText w:val="%2."/>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A02A76">
      <w:start w:val="1"/>
      <w:numFmt w:val="lowerRoman"/>
      <w:lvlText w:val="%3."/>
      <w:lvlJc w:val="left"/>
      <w:pPr>
        <w:tabs>
          <w:tab w:val="num" w:pos="2160"/>
        </w:tabs>
        <w:ind w:left="1440" w:firstLine="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5E7D18">
      <w:start w:val="1"/>
      <w:numFmt w:val="decimal"/>
      <w:lvlText w:val="%4."/>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DE4C68">
      <w:start w:val="1"/>
      <w:numFmt w:val="lowerLetter"/>
      <w:lvlText w:val="%5."/>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CC032">
      <w:start w:val="1"/>
      <w:numFmt w:val="lowerRoman"/>
      <w:lvlText w:val="%6."/>
      <w:lvlJc w:val="left"/>
      <w:pPr>
        <w:tabs>
          <w:tab w:val="num" w:pos="4320"/>
        </w:tabs>
        <w:ind w:left="3600" w:firstLine="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D229BE">
      <w:start w:val="1"/>
      <w:numFmt w:val="decimal"/>
      <w:lvlText w:val="%7."/>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88CD2">
      <w:start w:val="1"/>
      <w:numFmt w:val="lowerLetter"/>
      <w:lvlText w:val="%8."/>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5C6B98">
      <w:start w:val="1"/>
      <w:numFmt w:val="lowerRoman"/>
      <w:lvlText w:val="%9."/>
      <w:lvlJc w:val="left"/>
      <w:pPr>
        <w:tabs>
          <w:tab w:val="num" w:pos="6480"/>
        </w:tabs>
        <w:ind w:left="5760" w:firstLine="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7273714"/>
    <w:multiLevelType w:val="hybridMultilevel"/>
    <w:tmpl w:val="94668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9204B"/>
    <w:multiLevelType w:val="hybridMultilevel"/>
    <w:tmpl w:val="54CA439C"/>
    <w:lvl w:ilvl="0" w:tplc="1674BE04">
      <w:start w:val="1"/>
      <w:numFmt w:val="upperLetter"/>
      <w:pStyle w:val="Heading2"/>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C3045FF"/>
    <w:multiLevelType w:val="hybridMultilevel"/>
    <w:tmpl w:val="31C26466"/>
    <w:styleLink w:val="EstiloImportado3"/>
    <w:lvl w:ilvl="0" w:tplc="01B49600">
      <w:start w:val="1"/>
      <w:numFmt w:val="decimal"/>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495FE">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7EF8F6">
      <w:start w:val="1"/>
      <w:numFmt w:val="lowerRoman"/>
      <w:lvlText w:val="%3."/>
      <w:lvlJc w:val="left"/>
      <w:pPr>
        <w:ind w:left="252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CA3644">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C45E9E">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4C53C">
      <w:start w:val="1"/>
      <w:numFmt w:val="lowerRoman"/>
      <w:lvlText w:val="%6."/>
      <w:lvlJc w:val="left"/>
      <w:pPr>
        <w:ind w:left="468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92FF16">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4A5FFA">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DE3CBE">
      <w:start w:val="1"/>
      <w:numFmt w:val="lowerRoman"/>
      <w:lvlText w:val="%9."/>
      <w:lvlJc w:val="left"/>
      <w:pPr>
        <w:ind w:left="684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7"/>
  </w:num>
  <w:num w:numId="3">
    <w:abstractNumId w:val="3"/>
  </w:num>
  <w:num w:numId="4">
    <w:abstractNumId w:val="1"/>
  </w:num>
  <w:num w:numId="5">
    <w:abstractNumId w:val="2"/>
  </w:num>
  <w:num w:numId="6">
    <w:abstractNumId w:val="12"/>
  </w:num>
  <w:num w:numId="7">
    <w:abstractNumId w:val="5"/>
  </w:num>
  <w:num w:numId="8">
    <w:abstractNumId w:val="9"/>
  </w:num>
  <w:num w:numId="9">
    <w:abstractNumId w:val="8"/>
  </w:num>
  <w:num w:numId="10">
    <w:abstractNumId w:val="8"/>
    <w:lvlOverride w:ilvl="0">
      <w:lvl w:ilvl="0" w:tplc="C4DA606C">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B1EDE2C">
        <w:start w:val="1"/>
        <w:numFmt w:val="lowerLetter"/>
        <w:lvlText w:val="%2."/>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9866294">
        <w:start w:val="1"/>
        <w:numFmt w:val="lowerRoman"/>
        <w:lvlText w:val="%3."/>
        <w:lvlJc w:val="left"/>
        <w:pPr>
          <w:tabs>
            <w:tab w:val="num" w:pos="2160"/>
          </w:tabs>
          <w:ind w:left="1440"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3B82252">
        <w:start w:val="1"/>
        <w:numFmt w:val="decimal"/>
        <w:lvlText w:val="%4."/>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4BCEEFC">
        <w:start w:val="1"/>
        <w:numFmt w:val="lowerLetter"/>
        <w:lvlText w:val="%5."/>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870AB78">
        <w:start w:val="1"/>
        <w:numFmt w:val="lowerRoman"/>
        <w:lvlText w:val="%6."/>
        <w:lvlJc w:val="left"/>
        <w:pPr>
          <w:tabs>
            <w:tab w:val="num" w:pos="4320"/>
          </w:tabs>
          <w:ind w:left="3600"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8DC5BBE">
        <w:start w:val="1"/>
        <w:numFmt w:val="decimal"/>
        <w:lvlText w:val="%7."/>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D16D938">
        <w:start w:val="1"/>
        <w:numFmt w:val="lowerLetter"/>
        <w:lvlText w:val="%8."/>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C88B7EA">
        <w:start w:val="1"/>
        <w:numFmt w:val="lowerRoman"/>
        <w:lvlText w:val="%9."/>
        <w:lvlJc w:val="left"/>
        <w:pPr>
          <w:tabs>
            <w:tab w:val="num" w:pos="6480"/>
          </w:tabs>
          <w:ind w:left="5760" w:firstLine="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8"/>
    <w:lvlOverride w:ilvl="0">
      <w:startOverride w:val="7"/>
      <w:lvl w:ilvl="0" w:tplc="C4DA606C">
        <w:start w:val="7"/>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B1EDE2C">
        <w:start w:val="1"/>
        <w:numFmt w:val="lowerLetter"/>
        <w:lvlText w:val="%2."/>
        <w:lvlJc w:val="left"/>
        <w:pPr>
          <w:tabs>
            <w:tab w:val="num" w:pos="1530"/>
          </w:tabs>
          <w:ind w:left="81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9866294">
        <w:start w:val="1"/>
        <w:numFmt w:val="lowerRoman"/>
        <w:lvlText w:val="%3."/>
        <w:lvlJc w:val="left"/>
        <w:pPr>
          <w:tabs>
            <w:tab w:val="num" w:pos="2250"/>
          </w:tabs>
          <w:ind w:left="1530" w:firstLine="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3B82252">
        <w:start w:val="1"/>
        <w:numFmt w:val="decimal"/>
        <w:lvlText w:val="%4."/>
        <w:lvlJc w:val="left"/>
        <w:pPr>
          <w:tabs>
            <w:tab w:val="num" w:pos="2970"/>
          </w:tabs>
          <w:ind w:left="225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4BCEEFC">
        <w:start w:val="1"/>
        <w:numFmt w:val="lowerLetter"/>
        <w:lvlText w:val="%5."/>
        <w:lvlJc w:val="left"/>
        <w:pPr>
          <w:tabs>
            <w:tab w:val="num" w:pos="3690"/>
          </w:tabs>
          <w:ind w:left="297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870AB78">
        <w:start w:val="1"/>
        <w:numFmt w:val="lowerRoman"/>
        <w:lvlText w:val="%6."/>
        <w:lvlJc w:val="left"/>
        <w:pPr>
          <w:tabs>
            <w:tab w:val="num" w:pos="4410"/>
          </w:tabs>
          <w:ind w:left="3690" w:firstLine="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8DC5BBE">
        <w:start w:val="1"/>
        <w:numFmt w:val="decimal"/>
        <w:lvlText w:val="%7."/>
        <w:lvlJc w:val="left"/>
        <w:pPr>
          <w:tabs>
            <w:tab w:val="num" w:pos="5130"/>
          </w:tabs>
          <w:ind w:left="441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D16D938">
        <w:start w:val="1"/>
        <w:numFmt w:val="lowerLetter"/>
        <w:lvlText w:val="%8."/>
        <w:lvlJc w:val="left"/>
        <w:pPr>
          <w:tabs>
            <w:tab w:val="num" w:pos="5850"/>
          </w:tabs>
          <w:ind w:left="513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C88B7EA">
        <w:start w:val="1"/>
        <w:numFmt w:val="lowerRoman"/>
        <w:lvlText w:val="%9."/>
        <w:lvlJc w:val="left"/>
        <w:pPr>
          <w:tabs>
            <w:tab w:val="num" w:pos="6570"/>
          </w:tabs>
          <w:ind w:left="5850" w:firstLine="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8"/>
    <w:lvlOverride w:ilvl="0">
      <w:startOverride w:val="8"/>
    </w:lvlOverride>
  </w:num>
  <w:num w:numId="13">
    <w:abstractNumId w:val="8"/>
    <w:lvlOverride w:ilvl="0">
      <w:startOverride w:val="9"/>
    </w:lvlOverride>
  </w:num>
  <w:num w:numId="14">
    <w:abstractNumId w:val="4"/>
  </w:num>
  <w:num w:numId="15">
    <w:abstractNumId w:val="10"/>
  </w:num>
  <w:num w:numId="16">
    <w:abstractNumId w:val="0"/>
  </w:num>
  <w:num w:numId="17">
    <w:abstractNumId w:val="6"/>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37"/>
    <w:rsid w:val="000015B2"/>
    <w:rsid w:val="00006DA3"/>
    <w:rsid w:val="00010B5B"/>
    <w:rsid w:val="00013E86"/>
    <w:rsid w:val="00014E28"/>
    <w:rsid w:val="00016D7D"/>
    <w:rsid w:val="00017085"/>
    <w:rsid w:val="000215BA"/>
    <w:rsid w:val="0002260F"/>
    <w:rsid w:val="000228AB"/>
    <w:rsid w:val="000228C6"/>
    <w:rsid w:val="00025640"/>
    <w:rsid w:val="00026ABD"/>
    <w:rsid w:val="000307BA"/>
    <w:rsid w:val="00033FD3"/>
    <w:rsid w:val="00040B80"/>
    <w:rsid w:val="000422F6"/>
    <w:rsid w:val="00044CAA"/>
    <w:rsid w:val="00046C49"/>
    <w:rsid w:val="000509B5"/>
    <w:rsid w:val="000552C3"/>
    <w:rsid w:val="00055492"/>
    <w:rsid w:val="00055ECC"/>
    <w:rsid w:val="000563EB"/>
    <w:rsid w:val="00065A95"/>
    <w:rsid w:val="00071911"/>
    <w:rsid w:val="00074BB8"/>
    <w:rsid w:val="00074ED4"/>
    <w:rsid w:val="0007628F"/>
    <w:rsid w:val="00077531"/>
    <w:rsid w:val="00077998"/>
    <w:rsid w:val="000845E5"/>
    <w:rsid w:val="000858AE"/>
    <w:rsid w:val="00085DA8"/>
    <w:rsid w:val="00087487"/>
    <w:rsid w:val="00093602"/>
    <w:rsid w:val="00093946"/>
    <w:rsid w:val="000A2541"/>
    <w:rsid w:val="000A34F7"/>
    <w:rsid w:val="000A4F51"/>
    <w:rsid w:val="000A7AA8"/>
    <w:rsid w:val="000B0B38"/>
    <w:rsid w:val="000B3548"/>
    <w:rsid w:val="000B37F6"/>
    <w:rsid w:val="000B5B71"/>
    <w:rsid w:val="000B7195"/>
    <w:rsid w:val="000C0306"/>
    <w:rsid w:val="000D0FFC"/>
    <w:rsid w:val="000D4047"/>
    <w:rsid w:val="000D5F47"/>
    <w:rsid w:val="000D6345"/>
    <w:rsid w:val="000E0E49"/>
    <w:rsid w:val="000E1CA7"/>
    <w:rsid w:val="000E42D6"/>
    <w:rsid w:val="000E795F"/>
    <w:rsid w:val="000F0A04"/>
    <w:rsid w:val="000F0BE5"/>
    <w:rsid w:val="000F7DD7"/>
    <w:rsid w:val="00100FDB"/>
    <w:rsid w:val="0010219F"/>
    <w:rsid w:val="00102D86"/>
    <w:rsid w:val="001032AD"/>
    <w:rsid w:val="00104E6E"/>
    <w:rsid w:val="00106F10"/>
    <w:rsid w:val="0010789B"/>
    <w:rsid w:val="0011697D"/>
    <w:rsid w:val="00122F63"/>
    <w:rsid w:val="00123C7B"/>
    <w:rsid w:val="001244C5"/>
    <w:rsid w:val="00124B67"/>
    <w:rsid w:val="001328B1"/>
    <w:rsid w:val="00132A2C"/>
    <w:rsid w:val="00135739"/>
    <w:rsid w:val="00135F05"/>
    <w:rsid w:val="00136DE3"/>
    <w:rsid w:val="00140812"/>
    <w:rsid w:val="001439A3"/>
    <w:rsid w:val="001443DE"/>
    <w:rsid w:val="00147739"/>
    <w:rsid w:val="00147B2C"/>
    <w:rsid w:val="00152CA1"/>
    <w:rsid w:val="00153DAB"/>
    <w:rsid w:val="00154228"/>
    <w:rsid w:val="00156424"/>
    <w:rsid w:val="00167BB6"/>
    <w:rsid w:val="00174686"/>
    <w:rsid w:val="001761E8"/>
    <w:rsid w:val="00177FCE"/>
    <w:rsid w:val="001807F9"/>
    <w:rsid w:val="0018178D"/>
    <w:rsid w:val="001821E8"/>
    <w:rsid w:val="0018438B"/>
    <w:rsid w:val="00184873"/>
    <w:rsid w:val="00187DC5"/>
    <w:rsid w:val="00191F57"/>
    <w:rsid w:val="00192B82"/>
    <w:rsid w:val="001938D8"/>
    <w:rsid w:val="00193D96"/>
    <w:rsid w:val="00194ABE"/>
    <w:rsid w:val="00194CBB"/>
    <w:rsid w:val="00194D9C"/>
    <w:rsid w:val="001A40F1"/>
    <w:rsid w:val="001A4C0B"/>
    <w:rsid w:val="001B2AB4"/>
    <w:rsid w:val="001B6E25"/>
    <w:rsid w:val="001B6F3F"/>
    <w:rsid w:val="001C13F4"/>
    <w:rsid w:val="001C440D"/>
    <w:rsid w:val="001C6B4B"/>
    <w:rsid w:val="001C6D9B"/>
    <w:rsid w:val="001D4C63"/>
    <w:rsid w:val="001D608B"/>
    <w:rsid w:val="001D7535"/>
    <w:rsid w:val="001E0232"/>
    <w:rsid w:val="001E13F1"/>
    <w:rsid w:val="001E6B84"/>
    <w:rsid w:val="001F1E8B"/>
    <w:rsid w:val="001F2EC6"/>
    <w:rsid w:val="001F3E14"/>
    <w:rsid w:val="001F4F56"/>
    <w:rsid w:val="002012C8"/>
    <w:rsid w:val="00201D7A"/>
    <w:rsid w:val="00202729"/>
    <w:rsid w:val="00206972"/>
    <w:rsid w:val="00211F03"/>
    <w:rsid w:val="002130FA"/>
    <w:rsid w:val="0021692E"/>
    <w:rsid w:val="00221B31"/>
    <w:rsid w:val="00225BDB"/>
    <w:rsid w:val="00226D42"/>
    <w:rsid w:val="00236ADC"/>
    <w:rsid w:val="00237379"/>
    <w:rsid w:val="00237E94"/>
    <w:rsid w:val="002407C8"/>
    <w:rsid w:val="00246EC7"/>
    <w:rsid w:val="002534C2"/>
    <w:rsid w:val="0025409C"/>
    <w:rsid w:val="0025613E"/>
    <w:rsid w:val="00260144"/>
    <w:rsid w:val="002613AE"/>
    <w:rsid w:val="00264AF5"/>
    <w:rsid w:val="00264F88"/>
    <w:rsid w:val="00265188"/>
    <w:rsid w:val="00270837"/>
    <w:rsid w:val="00270F44"/>
    <w:rsid w:val="0027282D"/>
    <w:rsid w:val="002746BC"/>
    <w:rsid w:val="00276F3B"/>
    <w:rsid w:val="00277AE5"/>
    <w:rsid w:val="002802FD"/>
    <w:rsid w:val="0028354A"/>
    <w:rsid w:val="00284929"/>
    <w:rsid w:val="00291C10"/>
    <w:rsid w:val="00293E93"/>
    <w:rsid w:val="002A1D5E"/>
    <w:rsid w:val="002A2226"/>
    <w:rsid w:val="002A2A80"/>
    <w:rsid w:val="002A55FA"/>
    <w:rsid w:val="002A6075"/>
    <w:rsid w:val="002B3662"/>
    <w:rsid w:val="002B626C"/>
    <w:rsid w:val="002B6815"/>
    <w:rsid w:val="002B6CD4"/>
    <w:rsid w:val="002C1CB9"/>
    <w:rsid w:val="002C296A"/>
    <w:rsid w:val="002C3C53"/>
    <w:rsid w:val="002C64FC"/>
    <w:rsid w:val="002C69F1"/>
    <w:rsid w:val="002D0759"/>
    <w:rsid w:val="002D0DD5"/>
    <w:rsid w:val="002D4155"/>
    <w:rsid w:val="002E133D"/>
    <w:rsid w:val="002E7600"/>
    <w:rsid w:val="002F16B6"/>
    <w:rsid w:val="002F581D"/>
    <w:rsid w:val="00300908"/>
    <w:rsid w:val="00307065"/>
    <w:rsid w:val="003108C2"/>
    <w:rsid w:val="00310C08"/>
    <w:rsid w:val="00310C53"/>
    <w:rsid w:val="003134CB"/>
    <w:rsid w:val="003228C7"/>
    <w:rsid w:val="0032331F"/>
    <w:rsid w:val="003238A6"/>
    <w:rsid w:val="00324D63"/>
    <w:rsid w:val="0032515B"/>
    <w:rsid w:val="0032743A"/>
    <w:rsid w:val="003274C9"/>
    <w:rsid w:val="00331434"/>
    <w:rsid w:val="00333F13"/>
    <w:rsid w:val="00337289"/>
    <w:rsid w:val="00341372"/>
    <w:rsid w:val="00341586"/>
    <w:rsid w:val="00343B38"/>
    <w:rsid w:val="003442DB"/>
    <w:rsid w:val="00347C71"/>
    <w:rsid w:val="003506A9"/>
    <w:rsid w:val="003525D0"/>
    <w:rsid w:val="00352A0C"/>
    <w:rsid w:val="0035583E"/>
    <w:rsid w:val="003610BE"/>
    <w:rsid w:val="0036280A"/>
    <w:rsid w:val="003628FC"/>
    <w:rsid w:val="00363F92"/>
    <w:rsid w:val="00364DF2"/>
    <w:rsid w:val="00366B93"/>
    <w:rsid w:val="00373C9E"/>
    <w:rsid w:val="003766B2"/>
    <w:rsid w:val="00376AE5"/>
    <w:rsid w:val="00377F4A"/>
    <w:rsid w:val="00381BBF"/>
    <w:rsid w:val="00383690"/>
    <w:rsid w:val="00383C2E"/>
    <w:rsid w:val="00384928"/>
    <w:rsid w:val="00391B43"/>
    <w:rsid w:val="00395917"/>
    <w:rsid w:val="003966FB"/>
    <w:rsid w:val="00397496"/>
    <w:rsid w:val="003976EE"/>
    <w:rsid w:val="003A15D8"/>
    <w:rsid w:val="003A24B0"/>
    <w:rsid w:val="003A4F24"/>
    <w:rsid w:val="003A65C2"/>
    <w:rsid w:val="003B1AEC"/>
    <w:rsid w:val="003B46C7"/>
    <w:rsid w:val="003B50E2"/>
    <w:rsid w:val="003B6636"/>
    <w:rsid w:val="003B6E33"/>
    <w:rsid w:val="003C6277"/>
    <w:rsid w:val="003C7C70"/>
    <w:rsid w:val="003D15F5"/>
    <w:rsid w:val="003D18C7"/>
    <w:rsid w:val="003D3232"/>
    <w:rsid w:val="003D63E3"/>
    <w:rsid w:val="003D7D5E"/>
    <w:rsid w:val="003E38A7"/>
    <w:rsid w:val="003E7723"/>
    <w:rsid w:val="003F12BC"/>
    <w:rsid w:val="003F3469"/>
    <w:rsid w:val="003F380C"/>
    <w:rsid w:val="003F3EDE"/>
    <w:rsid w:val="003F5AA1"/>
    <w:rsid w:val="003F6420"/>
    <w:rsid w:val="00400558"/>
    <w:rsid w:val="00401EFB"/>
    <w:rsid w:val="00402E9C"/>
    <w:rsid w:val="00402F8C"/>
    <w:rsid w:val="00410218"/>
    <w:rsid w:val="00415DC8"/>
    <w:rsid w:val="0041631B"/>
    <w:rsid w:val="00416389"/>
    <w:rsid w:val="00416957"/>
    <w:rsid w:val="0041698A"/>
    <w:rsid w:val="00417387"/>
    <w:rsid w:val="004174C0"/>
    <w:rsid w:val="004211C0"/>
    <w:rsid w:val="00425C60"/>
    <w:rsid w:val="00433364"/>
    <w:rsid w:val="00434E76"/>
    <w:rsid w:val="00441803"/>
    <w:rsid w:val="004448C6"/>
    <w:rsid w:val="004451DF"/>
    <w:rsid w:val="00445AB8"/>
    <w:rsid w:val="004568DC"/>
    <w:rsid w:val="00461420"/>
    <w:rsid w:val="00461CF0"/>
    <w:rsid w:val="00464A65"/>
    <w:rsid w:val="00466E3F"/>
    <w:rsid w:val="00467B1B"/>
    <w:rsid w:val="00467BEC"/>
    <w:rsid w:val="00474AA8"/>
    <w:rsid w:val="00477375"/>
    <w:rsid w:val="00480452"/>
    <w:rsid w:val="00482FCC"/>
    <w:rsid w:val="0048567B"/>
    <w:rsid w:val="004873F5"/>
    <w:rsid w:val="00492E93"/>
    <w:rsid w:val="00494BC3"/>
    <w:rsid w:val="004963A9"/>
    <w:rsid w:val="0049759D"/>
    <w:rsid w:val="00497A19"/>
    <w:rsid w:val="004A1563"/>
    <w:rsid w:val="004A2595"/>
    <w:rsid w:val="004A354F"/>
    <w:rsid w:val="004A4C47"/>
    <w:rsid w:val="004A69FF"/>
    <w:rsid w:val="004A6E63"/>
    <w:rsid w:val="004B27C0"/>
    <w:rsid w:val="004B3FC1"/>
    <w:rsid w:val="004B5B0A"/>
    <w:rsid w:val="004B5EBE"/>
    <w:rsid w:val="004C069A"/>
    <w:rsid w:val="004C2A86"/>
    <w:rsid w:val="004C4870"/>
    <w:rsid w:val="004C706F"/>
    <w:rsid w:val="004C7A7E"/>
    <w:rsid w:val="004E611A"/>
    <w:rsid w:val="004E61B8"/>
    <w:rsid w:val="00501313"/>
    <w:rsid w:val="005045E9"/>
    <w:rsid w:val="00505B7D"/>
    <w:rsid w:val="00510676"/>
    <w:rsid w:val="00510875"/>
    <w:rsid w:val="00512640"/>
    <w:rsid w:val="00515113"/>
    <w:rsid w:val="005162C0"/>
    <w:rsid w:val="00517F4C"/>
    <w:rsid w:val="00520960"/>
    <w:rsid w:val="005269FD"/>
    <w:rsid w:val="00536107"/>
    <w:rsid w:val="005364C4"/>
    <w:rsid w:val="005404A5"/>
    <w:rsid w:val="005460FA"/>
    <w:rsid w:val="005461F4"/>
    <w:rsid w:val="0054790E"/>
    <w:rsid w:val="00551984"/>
    <w:rsid w:val="0055631F"/>
    <w:rsid w:val="00556741"/>
    <w:rsid w:val="0055717F"/>
    <w:rsid w:val="00557B1F"/>
    <w:rsid w:val="0056335B"/>
    <w:rsid w:val="00563478"/>
    <w:rsid w:val="00567CA4"/>
    <w:rsid w:val="005704EF"/>
    <w:rsid w:val="00574C7D"/>
    <w:rsid w:val="00577B77"/>
    <w:rsid w:val="00580786"/>
    <w:rsid w:val="00582940"/>
    <w:rsid w:val="0058556C"/>
    <w:rsid w:val="00585CB1"/>
    <w:rsid w:val="00586066"/>
    <w:rsid w:val="00586A8B"/>
    <w:rsid w:val="00592658"/>
    <w:rsid w:val="00593FC8"/>
    <w:rsid w:val="00595C43"/>
    <w:rsid w:val="0059641E"/>
    <w:rsid w:val="005969F6"/>
    <w:rsid w:val="005973FF"/>
    <w:rsid w:val="005A0721"/>
    <w:rsid w:val="005A5410"/>
    <w:rsid w:val="005A667B"/>
    <w:rsid w:val="005A6ADE"/>
    <w:rsid w:val="005A7C80"/>
    <w:rsid w:val="005B346B"/>
    <w:rsid w:val="005B433A"/>
    <w:rsid w:val="005B54ED"/>
    <w:rsid w:val="005C0946"/>
    <w:rsid w:val="005C3664"/>
    <w:rsid w:val="005C429E"/>
    <w:rsid w:val="005D03FA"/>
    <w:rsid w:val="005D327F"/>
    <w:rsid w:val="005D6345"/>
    <w:rsid w:val="005E1C56"/>
    <w:rsid w:val="005E2C23"/>
    <w:rsid w:val="005E7040"/>
    <w:rsid w:val="005E748C"/>
    <w:rsid w:val="005F2ABB"/>
    <w:rsid w:val="005F4E42"/>
    <w:rsid w:val="005F65C0"/>
    <w:rsid w:val="005F6918"/>
    <w:rsid w:val="005F7C92"/>
    <w:rsid w:val="006000C0"/>
    <w:rsid w:val="00600C02"/>
    <w:rsid w:val="00600C14"/>
    <w:rsid w:val="00612391"/>
    <w:rsid w:val="00615289"/>
    <w:rsid w:val="006155B0"/>
    <w:rsid w:val="00615BCF"/>
    <w:rsid w:val="006203AF"/>
    <w:rsid w:val="00623035"/>
    <w:rsid w:val="006231F8"/>
    <w:rsid w:val="00623D2A"/>
    <w:rsid w:val="006242C1"/>
    <w:rsid w:val="0062473F"/>
    <w:rsid w:val="00636B3C"/>
    <w:rsid w:val="00640B9D"/>
    <w:rsid w:val="006500E2"/>
    <w:rsid w:val="00651D98"/>
    <w:rsid w:val="0065241D"/>
    <w:rsid w:val="00654F94"/>
    <w:rsid w:val="00656026"/>
    <w:rsid w:val="00665E72"/>
    <w:rsid w:val="00667AE8"/>
    <w:rsid w:val="00671918"/>
    <w:rsid w:val="00676D5F"/>
    <w:rsid w:val="00680640"/>
    <w:rsid w:val="00682020"/>
    <w:rsid w:val="00683E1F"/>
    <w:rsid w:val="00686576"/>
    <w:rsid w:val="00687801"/>
    <w:rsid w:val="00692369"/>
    <w:rsid w:val="0069534F"/>
    <w:rsid w:val="00695A15"/>
    <w:rsid w:val="006A6C0F"/>
    <w:rsid w:val="006B0A2A"/>
    <w:rsid w:val="006B6609"/>
    <w:rsid w:val="006C189C"/>
    <w:rsid w:val="006C3D7F"/>
    <w:rsid w:val="006C5ACD"/>
    <w:rsid w:val="006C6F7A"/>
    <w:rsid w:val="006C7188"/>
    <w:rsid w:val="006D0AC0"/>
    <w:rsid w:val="006D169B"/>
    <w:rsid w:val="006E0A3B"/>
    <w:rsid w:val="006E58F3"/>
    <w:rsid w:val="006E6C96"/>
    <w:rsid w:val="006E76CE"/>
    <w:rsid w:val="006F312E"/>
    <w:rsid w:val="006F3519"/>
    <w:rsid w:val="006F4880"/>
    <w:rsid w:val="006F5766"/>
    <w:rsid w:val="006F6622"/>
    <w:rsid w:val="00703470"/>
    <w:rsid w:val="00705CCC"/>
    <w:rsid w:val="00706072"/>
    <w:rsid w:val="007106A9"/>
    <w:rsid w:val="0071098D"/>
    <w:rsid w:val="007138EE"/>
    <w:rsid w:val="0071588F"/>
    <w:rsid w:val="00717284"/>
    <w:rsid w:val="00720709"/>
    <w:rsid w:val="00726A51"/>
    <w:rsid w:val="00726E1E"/>
    <w:rsid w:val="00727A33"/>
    <w:rsid w:val="0073371D"/>
    <w:rsid w:val="00744D93"/>
    <w:rsid w:val="00751DE5"/>
    <w:rsid w:val="0075389C"/>
    <w:rsid w:val="007645EC"/>
    <w:rsid w:val="00764EF3"/>
    <w:rsid w:val="00767415"/>
    <w:rsid w:val="00771BFF"/>
    <w:rsid w:val="00771F9B"/>
    <w:rsid w:val="00773AE6"/>
    <w:rsid w:val="007755DE"/>
    <w:rsid w:val="00776737"/>
    <w:rsid w:val="007872ED"/>
    <w:rsid w:val="00787C0E"/>
    <w:rsid w:val="007942CF"/>
    <w:rsid w:val="007949CF"/>
    <w:rsid w:val="007A0C2C"/>
    <w:rsid w:val="007A7487"/>
    <w:rsid w:val="007B0C01"/>
    <w:rsid w:val="007B14CF"/>
    <w:rsid w:val="007B3074"/>
    <w:rsid w:val="007B6230"/>
    <w:rsid w:val="007B63AF"/>
    <w:rsid w:val="007B7125"/>
    <w:rsid w:val="007B7359"/>
    <w:rsid w:val="007C3008"/>
    <w:rsid w:val="007C360F"/>
    <w:rsid w:val="007C3B89"/>
    <w:rsid w:val="007D5A82"/>
    <w:rsid w:val="007E19BA"/>
    <w:rsid w:val="007E21B0"/>
    <w:rsid w:val="007E450D"/>
    <w:rsid w:val="007F0862"/>
    <w:rsid w:val="007F2B68"/>
    <w:rsid w:val="007F2CF6"/>
    <w:rsid w:val="007F2F97"/>
    <w:rsid w:val="007F3814"/>
    <w:rsid w:val="00804586"/>
    <w:rsid w:val="00805861"/>
    <w:rsid w:val="00811271"/>
    <w:rsid w:val="00811D6D"/>
    <w:rsid w:val="00813DBB"/>
    <w:rsid w:val="00815EBE"/>
    <w:rsid w:val="008207D9"/>
    <w:rsid w:val="00824E49"/>
    <w:rsid w:val="00825676"/>
    <w:rsid w:val="00826147"/>
    <w:rsid w:val="00827313"/>
    <w:rsid w:val="00830ABB"/>
    <w:rsid w:val="008349F2"/>
    <w:rsid w:val="00835B85"/>
    <w:rsid w:val="008369A6"/>
    <w:rsid w:val="00836FA9"/>
    <w:rsid w:val="008376ED"/>
    <w:rsid w:val="0084139C"/>
    <w:rsid w:val="00841A33"/>
    <w:rsid w:val="00844CB0"/>
    <w:rsid w:val="00846A06"/>
    <w:rsid w:val="00850FCE"/>
    <w:rsid w:val="0085293F"/>
    <w:rsid w:val="008547DB"/>
    <w:rsid w:val="00856C7E"/>
    <w:rsid w:val="0085703B"/>
    <w:rsid w:val="00865DC3"/>
    <w:rsid w:val="008665AA"/>
    <w:rsid w:val="00866980"/>
    <w:rsid w:val="00866F7A"/>
    <w:rsid w:val="00873528"/>
    <w:rsid w:val="008768BB"/>
    <w:rsid w:val="00876EB7"/>
    <w:rsid w:val="00881145"/>
    <w:rsid w:val="008842A9"/>
    <w:rsid w:val="00884986"/>
    <w:rsid w:val="00884E54"/>
    <w:rsid w:val="008853BE"/>
    <w:rsid w:val="00887A3F"/>
    <w:rsid w:val="00887E9A"/>
    <w:rsid w:val="00894D2B"/>
    <w:rsid w:val="0089531C"/>
    <w:rsid w:val="008966B9"/>
    <w:rsid w:val="008A0C90"/>
    <w:rsid w:val="008A2618"/>
    <w:rsid w:val="008A386A"/>
    <w:rsid w:val="008A4310"/>
    <w:rsid w:val="008A44C5"/>
    <w:rsid w:val="008A5E1D"/>
    <w:rsid w:val="008A6C69"/>
    <w:rsid w:val="008B102E"/>
    <w:rsid w:val="008B39D5"/>
    <w:rsid w:val="008B3ED5"/>
    <w:rsid w:val="008B4EA0"/>
    <w:rsid w:val="008B680C"/>
    <w:rsid w:val="008C26BA"/>
    <w:rsid w:val="008C3369"/>
    <w:rsid w:val="008D3445"/>
    <w:rsid w:val="008D371A"/>
    <w:rsid w:val="008D589E"/>
    <w:rsid w:val="008D5FB8"/>
    <w:rsid w:val="008E55BD"/>
    <w:rsid w:val="008E67F9"/>
    <w:rsid w:val="00910D49"/>
    <w:rsid w:val="009117D7"/>
    <w:rsid w:val="00913804"/>
    <w:rsid w:val="00913F1C"/>
    <w:rsid w:val="00914C62"/>
    <w:rsid w:val="009220AD"/>
    <w:rsid w:val="009312C2"/>
    <w:rsid w:val="00932005"/>
    <w:rsid w:val="00934B97"/>
    <w:rsid w:val="00935562"/>
    <w:rsid w:val="00936AA1"/>
    <w:rsid w:val="00940A59"/>
    <w:rsid w:val="009410BA"/>
    <w:rsid w:val="0094277A"/>
    <w:rsid w:val="00942E1D"/>
    <w:rsid w:val="009438D8"/>
    <w:rsid w:val="009439E9"/>
    <w:rsid w:val="00944894"/>
    <w:rsid w:val="00945AF0"/>
    <w:rsid w:val="00950441"/>
    <w:rsid w:val="00962857"/>
    <w:rsid w:val="009641D8"/>
    <w:rsid w:val="00964482"/>
    <w:rsid w:val="00965850"/>
    <w:rsid w:val="00966ABC"/>
    <w:rsid w:val="009706FB"/>
    <w:rsid w:val="009756E6"/>
    <w:rsid w:val="009803B4"/>
    <w:rsid w:val="00985D33"/>
    <w:rsid w:val="009861EB"/>
    <w:rsid w:val="00990831"/>
    <w:rsid w:val="00992F1B"/>
    <w:rsid w:val="0099620A"/>
    <w:rsid w:val="00997E98"/>
    <w:rsid w:val="009A0F12"/>
    <w:rsid w:val="009A4AE8"/>
    <w:rsid w:val="009A6C18"/>
    <w:rsid w:val="009B20F2"/>
    <w:rsid w:val="009B3AF4"/>
    <w:rsid w:val="009B5CCC"/>
    <w:rsid w:val="009B6EE2"/>
    <w:rsid w:val="009B786A"/>
    <w:rsid w:val="009C2518"/>
    <w:rsid w:val="009D03D1"/>
    <w:rsid w:val="009D1A97"/>
    <w:rsid w:val="009D1D54"/>
    <w:rsid w:val="009D35B9"/>
    <w:rsid w:val="009D4B6D"/>
    <w:rsid w:val="009D7A2E"/>
    <w:rsid w:val="009D7D66"/>
    <w:rsid w:val="009E3599"/>
    <w:rsid w:val="009E4593"/>
    <w:rsid w:val="009E4BB3"/>
    <w:rsid w:val="009F1B78"/>
    <w:rsid w:val="009F2001"/>
    <w:rsid w:val="009F47B2"/>
    <w:rsid w:val="00A02D86"/>
    <w:rsid w:val="00A05A07"/>
    <w:rsid w:val="00A06B71"/>
    <w:rsid w:val="00A07FF5"/>
    <w:rsid w:val="00A12057"/>
    <w:rsid w:val="00A1525B"/>
    <w:rsid w:val="00A154ED"/>
    <w:rsid w:val="00A16CBF"/>
    <w:rsid w:val="00A173FB"/>
    <w:rsid w:val="00A22C99"/>
    <w:rsid w:val="00A24DCA"/>
    <w:rsid w:val="00A256DD"/>
    <w:rsid w:val="00A271FF"/>
    <w:rsid w:val="00A31642"/>
    <w:rsid w:val="00A31A0C"/>
    <w:rsid w:val="00A330D3"/>
    <w:rsid w:val="00A365AD"/>
    <w:rsid w:val="00A415BA"/>
    <w:rsid w:val="00A42185"/>
    <w:rsid w:val="00A42259"/>
    <w:rsid w:val="00A43FDC"/>
    <w:rsid w:val="00A44A6F"/>
    <w:rsid w:val="00A45834"/>
    <w:rsid w:val="00A5053B"/>
    <w:rsid w:val="00A5293F"/>
    <w:rsid w:val="00A56F1F"/>
    <w:rsid w:val="00A57056"/>
    <w:rsid w:val="00A61754"/>
    <w:rsid w:val="00A6346A"/>
    <w:rsid w:val="00A63AAC"/>
    <w:rsid w:val="00A668EF"/>
    <w:rsid w:val="00A72ED3"/>
    <w:rsid w:val="00A74388"/>
    <w:rsid w:val="00A744F1"/>
    <w:rsid w:val="00A77722"/>
    <w:rsid w:val="00A7773C"/>
    <w:rsid w:val="00A77CCE"/>
    <w:rsid w:val="00A77EE1"/>
    <w:rsid w:val="00A83A6E"/>
    <w:rsid w:val="00A8407F"/>
    <w:rsid w:val="00A87006"/>
    <w:rsid w:val="00A87DC2"/>
    <w:rsid w:val="00A95621"/>
    <w:rsid w:val="00AA1389"/>
    <w:rsid w:val="00AA6D93"/>
    <w:rsid w:val="00AB0AC7"/>
    <w:rsid w:val="00AB0DF2"/>
    <w:rsid w:val="00AB2ADB"/>
    <w:rsid w:val="00AB304C"/>
    <w:rsid w:val="00AB38DB"/>
    <w:rsid w:val="00AB6847"/>
    <w:rsid w:val="00AB6D0D"/>
    <w:rsid w:val="00AC21FA"/>
    <w:rsid w:val="00AC3D8A"/>
    <w:rsid w:val="00AC5873"/>
    <w:rsid w:val="00AC7297"/>
    <w:rsid w:val="00AD5E67"/>
    <w:rsid w:val="00AE0C7C"/>
    <w:rsid w:val="00AE25BB"/>
    <w:rsid w:val="00AE3EFE"/>
    <w:rsid w:val="00AF13B8"/>
    <w:rsid w:val="00B001FC"/>
    <w:rsid w:val="00B01989"/>
    <w:rsid w:val="00B04A91"/>
    <w:rsid w:val="00B12AAB"/>
    <w:rsid w:val="00B1324B"/>
    <w:rsid w:val="00B1336D"/>
    <w:rsid w:val="00B1585E"/>
    <w:rsid w:val="00B200D5"/>
    <w:rsid w:val="00B20350"/>
    <w:rsid w:val="00B21A77"/>
    <w:rsid w:val="00B2338D"/>
    <w:rsid w:val="00B24530"/>
    <w:rsid w:val="00B258E1"/>
    <w:rsid w:val="00B2632D"/>
    <w:rsid w:val="00B26B35"/>
    <w:rsid w:val="00B276B8"/>
    <w:rsid w:val="00B30673"/>
    <w:rsid w:val="00B30E6C"/>
    <w:rsid w:val="00B31105"/>
    <w:rsid w:val="00B324A9"/>
    <w:rsid w:val="00B375E9"/>
    <w:rsid w:val="00B41C3A"/>
    <w:rsid w:val="00B4254D"/>
    <w:rsid w:val="00B50AE2"/>
    <w:rsid w:val="00B53D50"/>
    <w:rsid w:val="00B54374"/>
    <w:rsid w:val="00B572CB"/>
    <w:rsid w:val="00B57769"/>
    <w:rsid w:val="00B60D19"/>
    <w:rsid w:val="00B62824"/>
    <w:rsid w:val="00B70953"/>
    <w:rsid w:val="00B7284C"/>
    <w:rsid w:val="00B730C8"/>
    <w:rsid w:val="00B74C6D"/>
    <w:rsid w:val="00B80624"/>
    <w:rsid w:val="00B80E78"/>
    <w:rsid w:val="00B826D8"/>
    <w:rsid w:val="00B84065"/>
    <w:rsid w:val="00B87605"/>
    <w:rsid w:val="00B91A5C"/>
    <w:rsid w:val="00B925E1"/>
    <w:rsid w:val="00B92AC0"/>
    <w:rsid w:val="00B94969"/>
    <w:rsid w:val="00B97AB7"/>
    <w:rsid w:val="00BA034B"/>
    <w:rsid w:val="00BA4F02"/>
    <w:rsid w:val="00BB1FA0"/>
    <w:rsid w:val="00BB65ED"/>
    <w:rsid w:val="00BC0071"/>
    <w:rsid w:val="00BC0F0A"/>
    <w:rsid w:val="00BC270A"/>
    <w:rsid w:val="00BC2B04"/>
    <w:rsid w:val="00BD0896"/>
    <w:rsid w:val="00BD0961"/>
    <w:rsid w:val="00BD1079"/>
    <w:rsid w:val="00BD1424"/>
    <w:rsid w:val="00BD3399"/>
    <w:rsid w:val="00BE19A0"/>
    <w:rsid w:val="00BE45A7"/>
    <w:rsid w:val="00BF255D"/>
    <w:rsid w:val="00BF4B32"/>
    <w:rsid w:val="00BF524E"/>
    <w:rsid w:val="00BF54B5"/>
    <w:rsid w:val="00C00D9C"/>
    <w:rsid w:val="00C01A19"/>
    <w:rsid w:val="00C0274B"/>
    <w:rsid w:val="00C13853"/>
    <w:rsid w:val="00C148BC"/>
    <w:rsid w:val="00C15756"/>
    <w:rsid w:val="00C21908"/>
    <w:rsid w:val="00C22144"/>
    <w:rsid w:val="00C22CFB"/>
    <w:rsid w:val="00C27098"/>
    <w:rsid w:val="00C27DC4"/>
    <w:rsid w:val="00C32494"/>
    <w:rsid w:val="00C33DC8"/>
    <w:rsid w:val="00C34898"/>
    <w:rsid w:val="00C35B98"/>
    <w:rsid w:val="00C41853"/>
    <w:rsid w:val="00C4512F"/>
    <w:rsid w:val="00C52A8F"/>
    <w:rsid w:val="00C55A94"/>
    <w:rsid w:val="00C574F1"/>
    <w:rsid w:val="00C645F3"/>
    <w:rsid w:val="00C64A91"/>
    <w:rsid w:val="00C64C24"/>
    <w:rsid w:val="00C66BC5"/>
    <w:rsid w:val="00C67865"/>
    <w:rsid w:val="00C7123E"/>
    <w:rsid w:val="00C77698"/>
    <w:rsid w:val="00C8030A"/>
    <w:rsid w:val="00C83211"/>
    <w:rsid w:val="00C85954"/>
    <w:rsid w:val="00C85A14"/>
    <w:rsid w:val="00C86FEA"/>
    <w:rsid w:val="00C937CC"/>
    <w:rsid w:val="00C95978"/>
    <w:rsid w:val="00C95AAC"/>
    <w:rsid w:val="00C976C7"/>
    <w:rsid w:val="00CA0717"/>
    <w:rsid w:val="00CA085C"/>
    <w:rsid w:val="00CA09BA"/>
    <w:rsid w:val="00CA0ACE"/>
    <w:rsid w:val="00CA3DE5"/>
    <w:rsid w:val="00CA42B7"/>
    <w:rsid w:val="00CA6254"/>
    <w:rsid w:val="00CA6E9F"/>
    <w:rsid w:val="00CB14A3"/>
    <w:rsid w:val="00CB1BFA"/>
    <w:rsid w:val="00CB2260"/>
    <w:rsid w:val="00CB3836"/>
    <w:rsid w:val="00CB4D43"/>
    <w:rsid w:val="00CB6844"/>
    <w:rsid w:val="00CB728F"/>
    <w:rsid w:val="00CB76E1"/>
    <w:rsid w:val="00CC0332"/>
    <w:rsid w:val="00CC06FE"/>
    <w:rsid w:val="00CC1319"/>
    <w:rsid w:val="00CC4A99"/>
    <w:rsid w:val="00CC79B4"/>
    <w:rsid w:val="00CD0B79"/>
    <w:rsid w:val="00CD3228"/>
    <w:rsid w:val="00CD3580"/>
    <w:rsid w:val="00CD7571"/>
    <w:rsid w:val="00CE0EE3"/>
    <w:rsid w:val="00CE41EA"/>
    <w:rsid w:val="00CE76D6"/>
    <w:rsid w:val="00CE7C8F"/>
    <w:rsid w:val="00CF4669"/>
    <w:rsid w:val="00CF69A6"/>
    <w:rsid w:val="00D00FCC"/>
    <w:rsid w:val="00D038BB"/>
    <w:rsid w:val="00D07E64"/>
    <w:rsid w:val="00D10CFF"/>
    <w:rsid w:val="00D12217"/>
    <w:rsid w:val="00D12467"/>
    <w:rsid w:val="00D12DC5"/>
    <w:rsid w:val="00D14F86"/>
    <w:rsid w:val="00D21A89"/>
    <w:rsid w:val="00D21E17"/>
    <w:rsid w:val="00D23F55"/>
    <w:rsid w:val="00D24ECA"/>
    <w:rsid w:val="00D2556C"/>
    <w:rsid w:val="00D2559E"/>
    <w:rsid w:val="00D315E8"/>
    <w:rsid w:val="00D31D3A"/>
    <w:rsid w:val="00D3267D"/>
    <w:rsid w:val="00D32B65"/>
    <w:rsid w:val="00D32CB1"/>
    <w:rsid w:val="00D33C96"/>
    <w:rsid w:val="00D36603"/>
    <w:rsid w:val="00D3665D"/>
    <w:rsid w:val="00D412CD"/>
    <w:rsid w:val="00D4209E"/>
    <w:rsid w:val="00D428D2"/>
    <w:rsid w:val="00D45706"/>
    <w:rsid w:val="00D50BF9"/>
    <w:rsid w:val="00D50FC9"/>
    <w:rsid w:val="00D5276A"/>
    <w:rsid w:val="00D528BF"/>
    <w:rsid w:val="00D535E1"/>
    <w:rsid w:val="00D53903"/>
    <w:rsid w:val="00D558EB"/>
    <w:rsid w:val="00D56AA3"/>
    <w:rsid w:val="00D675C6"/>
    <w:rsid w:val="00D70BD0"/>
    <w:rsid w:val="00D74472"/>
    <w:rsid w:val="00D75685"/>
    <w:rsid w:val="00D7686D"/>
    <w:rsid w:val="00D803F0"/>
    <w:rsid w:val="00D814DA"/>
    <w:rsid w:val="00D84420"/>
    <w:rsid w:val="00D87EFC"/>
    <w:rsid w:val="00D9003B"/>
    <w:rsid w:val="00D90706"/>
    <w:rsid w:val="00D9285E"/>
    <w:rsid w:val="00D967D6"/>
    <w:rsid w:val="00DA60F0"/>
    <w:rsid w:val="00DA7C71"/>
    <w:rsid w:val="00DB05A6"/>
    <w:rsid w:val="00DB43F6"/>
    <w:rsid w:val="00DB6F02"/>
    <w:rsid w:val="00DB7DDC"/>
    <w:rsid w:val="00DC0044"/>
    <w:rsid w:val="00DC162F"/>
    <w:rsid w:val="00DC4FC9"/>
    <w:rsid w:val="00DC60D3"/>
    <w:rsid w:val="00DC6DC4"/>
    <w:rsid w:val="00DD04D3"/>
    <w:rsid w:val="00DD0C2C"/>
    <w:rsid w:val="00DD1D70"/>
    <w:rsid w:val="00DD21AD"/>
    <w:rsid w:val="00DD4924"/>
    <w:rsid w:val="00DD4FB6"/>
    <w:rsid w:val="00DE061C"/>
    <w:rsid w:val="00DE215A"/>
    <w:rsid w:val="00DE395F"/>
    <w:rsid w:val="00DE40A7"/>
    <w:rsid w:val="00DE5133"/>
    <w:rsid w:val="00DF0C5F"/>
    <w:rsid w:val="00DF1618"/>
    <w:rsid w:val="00DF45CD"/>
    <w:rsid w:val="00DF6C8F"/>
    <w:rsid w:val="00E009C0"/>
    <w:rsid w:val="00E02B93"/>
    <w:rsid w:val="00E03EF2"/>
    <w:rsid w:val="00E06DF3"/>
    <w:rsid w:val="00E1452B"/>
    <w:rsid w:val="00E158D0"/>
    <w:rsid w:val="00E211DA"/>
    <w:rsid w:val="00E212DD"/>
    <w:rsid w:val="00E26039"/>
    <w:rsid w:val="00E26528"/>
    <w:rsid w:val="00E270F3"/>
    <w:rsid w:val="00E275BA"/>
    <w:rsid w:val="00E320BC"/>
    <w:rsid w:val="00E320F2"/>
    <w:rsid w:val="00E33249"/>
    <w:rsid w:val="00E337FF"/>
    <w:rsid w:val="00E35D56"/>
    <w:rsid w:val="00E3780B"/>
    <w:rsid w:val="00E42FAB"/>
    <w:rsid w:val="00E430E2"/>
    <w:rsid w:val="00E456FD"/>
    <w:rsid w:val="00E513D4"/>
    <w:rsid w:val="00E543EF"/>
    <w:rsid w:val="00E546BB"/>
    <w:rsid w:val="00E55ECE"/>
    <w:rsid w:val="00E5632A"/>
    <w:rsid w:val="00E573DC"/>
    <w:rsid w:val="00E63349"/>
    <w:rsid w:val="00E659DF"/>
    <w:rsid w:val="00E72711"/>
    <w:rsid w:val="00E83573"/>
    <w:rsid w:val="00E95B86"/>
    <w:rsid w:val="00E965F7"/>
    <w:rsid w:val="00E96B2A"/>
    <w:rsid w:val="00EA129C"/>
    <w:rsid w:val="00EA366E"/>
    <w:rsid w:val="00EA555D"/>
    <w:rsid w:val="00EA61B7"/>
    <w:rsid w:val="00EA6AED"/>
    <w:rsid w:val="00EB0DAC"/>
    <w:rsid w:val="00EB2DE9"/>
    <w:rsid w:val="00EB32AC"/>
    <w:rsid w:val="00EB56EA"/>
    <w:rsid w:val="00EB796D"/>
    <w:rsid w:val="00EC3FD1"/>
    <w:rsid w:val="00EC4B24"/>
    <w:rsid w:val="00EC6B84"/>
    <w:rsid w:val="00ED0324"/>
    <w:rsid w:val="00ED0AB0"/>
    <w:rsid w:val="00ED1470"/>
    <w:rsid w:val="00ED1478"/>
    <w:rsid w:val="00ED1D18"/>
    <w:rsid w:val="00ED5FDD"/>
    <w:rsid w:val="00ED7A13"/>
    <w:rsid w:val="00EE1646"/>
    <w:rsid w:val="00EE2F1D"/>
    <w:rsid w:val="00EE35AA"/>
    <w:rsid w:val="00EE390E"/>
    <w:rsid w:val="00EF0F86"/>
    <w:rsid w:val="00EF2448"/>
    <w:rsid w:val="00EF4391"/>
    <w:rsid w:val="00EF74E1"/>
    <w:rsid w:val="00F06FD1"/>
    <w:rsid w:val="00F158E0"/>
    <w:rsid w:val="00F15A8D"/>
    <w:rsid w:val="00F162B0"/>
    <w:rsid w:val="00F202FB"/>
    <w:rsid w:val="00F22202"/>
    <w:rsid w:val="00F232D6"/>
    <w:rsid w:val="00F24D49"/>
    <w:rsid w:val="00F2640A"/>
    <w:rsid w:val="00F265A5"/>
    <w:rsid w:val="00F27461"/>
    <w:rsid w:val="00F33174"/>
    <w:rsid w:val="00F40F76"/>
    <w:rsid w:val="00F41F72"/>
    <w:rsid w:val="00F43BB2"/>
    <w:rsid w:val="00F4650B"/>
    <w:rsid w:val="00F50EE8"/>
    <w:rsid w:val="00F5636F"/>
    <w:rsid w:val="00F6291B"/>
    <w:rsid w:val="00F634EF"/>
    <w:rsid w:val="00F63B90"/>
    <w:rsid w:val="00F64718"/>
    <w:rsid w:val="00F659A7"/>
    <w:rsid w:val="00F65DBC"/>
    <w:rsid w:val="00F669C7"/>
    <w:rsid w:val="00F66D6A"/>
    <w:rsid w:val="00F73424"/>
    <w:rsid w:val="00F73583"/>
    <w:rsid w:val="00F738F0"/>
    <w:rsid w:val="00F74DA1"/>
    <w:rsid w:val="00F76F03"/>
    <w:rsid w:val="00F81586"/>
    <w:rsid w:val="00F83116"/>
    <w:rsid w:val="00F83DF9"/>
    <w:rsid w:val="00F843C7"/>
    <w:rsid w:val="00F854C3"/>
    <w:rsid w:val="00F85B3D"/>
    <w:rsid w:val="00F94070"/>
    <w:rsid w:val="00F94730"/>
    <w:rsid w:val="00F96592"/>
    <w:rsid w:val="00F969AE"/>
    <w:rsid w:val="00FA1A1C"/>
    <w:rsid w:val="00FA1CD4"/>
    <w:rsid w:val="00FA2EF7"/>
    <w:rsid w:val="00FA652D"/>
    <w:rsid w:val="00FA76EE"/>
    <w:rsid w:val="00FA7B9C"/>
    <w:rsid w:val="00FB02AD"/>
    <w:rsid w:val="00FB130F"/>
    <w:rsid w:val="00FB4847"/>
    <w:rsid w:val="00FC0715"/>
    <w:rsid w:val="00FC35F5"/>
    <w:rsid w:val="00FC5D56"/>
    <w:rsid w:val="00FC76C7"/>
    <w:rsid w:val="00FD18C6"/>
    <w:rsid w:val="00FD20BC"/>
    <w:rsid w:val="00FD2530"/>
    <w:rsid w:val="00FD5D6F"/>
    <w:rsid w:val="00FE0679"/>
    <w:rsid w:val="00FE2433"/>
    <w:rsid w:val="00FE2A95"/>
    <w:rsid w:val="00FF1468"/>
    <w:rsid w:val="00FF18BB"/>
    <w:rsid w:val="00FF2589"/>
    <w:rsid w:val="00FF25B2"/>
    <w:rsid w:val="00FF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3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76737"/>
    <w:pPr>
      <w:keepNext/>
      <w:spacing w:before="240" w:after="60"/>
      <w:outlineLvl w:val="0"/>
    </w:pPr>
    <w:rPr>
      <w:rFonts w:ascii="Cambria" w:eastAsia="Times New Roman" w:hAnsi="Cambria"/>
      <w:b/>
      <w:bCs/>
      <w:kern w:val="32"/>
      <w:sz w:val="32"/>
      <w:szCs w:val="32"/>
    </w:rPr>
  </w:style>
  <w:style w:type="paragraph" w:styleId="Heading2">
    <w:name w:val="heading 2"/>
    <w:basedOn w:val="ListParagraph"/>
    <w:next w:val="Normal"/>
    <w:link w:val="Heading2Char"/>
    <w:uiPriority w:val="9"/>
    <w:unhideWhenUsed/>
    <w:qFormat/>
    <w:rsid w:val="00776737"/>
    <w:pPr>
      <w:numPr>
        <w:numId w:val="1"/>
      </w:numPr>
      <w:spacing w:after="0" w:line="240" w:lineRule="auto"/>
      <w:ind w:left="1440" w:hanging="720"/>
      <w:contextualSpacing/>
      <w:jc w:val="both"/>
      <w:outlineLvl w:val="1"/>
    </w:pPr>
    <w:rPr>
      <w:rFonts w:ascii="Cambria" w:eastAsia="Times New Roman" w:hAnsi="Cambria" w:cs="Calibri"/>
      <w:b/>
      <w:szCs w:val="20"/>
      <w:lang w:val="es-ES_tradnl"/>
    </w:rPr>
  </w:style>
  <w:style w:type="paragraph" w:styleId="Heading3">
    <w:name w:val="heading 3"/>
    <w:basedOn w:val="Normal"/>
    <w:next w:val="Normal"/>
    <w:link w:val="Heading3Char"/>
    <w:uiPriority w:val="9"/>
    <w:unhideWhenUsed/>
    <w:qFormat/>
    <w:rsid w:val="005D6345"/>
    <w:pPr>
      <w:numPr>
        <w:numId w:val="2"/>
      </w:numPr>
      <w:spacing w:after="0" w:line="240" w:lineRule="auto"/>
      <w:ind w:left="1440" w:hanging="720"/>
      <w:outlineLvl w:val="2"/>
    </w:pPr>
    <w:rPr>
      <w:rFonts w:ascii="Cambria" w:hAnsi="Cambria"/>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6737"/>
    <w:rPr>
      <w:rFonts w:ascii="Cambria" w:eastAsia="Times New Roman" w:hAnsi="Cambria"/>
      <w:b/>
      <w:bCs/>
      <w:kern w:val="32"/>
      <w:sz w:val="32"/>
      <w:szCs w:val="32"/>
    </w:rPr>
  </w:style>
  <w:style w:type="character" w:customStyle="1" w:styleId="Heading2Char">
    <w:name w:val="Heading 2 Char"/>
    <w:link w:val="Heading2"/>
    <w:uiPriority w:val="9"/>
    <w:rsid w:val="00776737"/>
    <w:rPr>
      <w:rFonts w:ascii="Cambria" w:eastAsia="Times New Roman" w:hAnsi="Cambria" w:cs="Calibri"/>
      <w:b/>
      <w:sz w:val="22"/>
      <w:lang w:val="es-ES_tradnl"/>
    </w:rPr>
  </w:style>
  <w:style w:type="paragraph" w:styleId="ListParagraph">
    <w:name w:val="List Paragraph"/>
    <w:basedOn w:val="Normal"/>
    <w:qFormat/>
    <w:rsid w:val="00776737"/>
    <w:pPr>
      <w:ind w:left="720"/>
    </w:pPr>
  </w:style>
  <w:style w:type="character" w:styleId="Hyperlink">
    <w:name w:val="Hyperlink"/>
    <w:uiPriority w:val="99"/>
    <w:semiHidden/>
    <w:unhideWhenUsed/>
    <w:rsid w:val="002A55FA"/>
    <w:rPr>
      <w:color w:val="0000FF"/>
      <w:u w:val="single"/>
    </w:rPr>
  </w:style>
  <w:style w:type="character" w:styleId="CommentReference">
    <w:name w:val="annotation reference"/>
    <w:uiPriority w:val="99"/>
    <w:rsid w:val="009F47B2"/>
    <w:rPr>
      <w:rFonts w:cs="Times New Roman"/>
      <w:sz w:val="16"/>
      <w:szCs w:val="16"/>
    </w:rPr>
  </w:style>
  <w:style w:type="paragraph" w:styleId="CommentText">
    <w:name w:val="annotation text"/>
    <w:basedOn w:val="Normal"/>
    <w:link w:val="CommentTextChar"/>
    <w:uiPriority w:val="99"/>
    <w:rsid w:val="009F47B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9F47B2"/>
    <w:rPr>
      <w:rFonts w:ascii="Times New Roman" w:eastAsia="Times New Roman" w:hAnsi="Times New Roman"/>
    </w:rPr>
  </w:style>
  <w:style w:type="paragraph" w:styleId="FootnoteText">
    <w:name w:val="footnote text"/>
    <w:aliases w:val="footnote,fn,Footnote Text Char1 Char,Footnote Text Char Char Char,Footnote Text Char Char Char Char Char Char,ADB,Char1,Footnote,12pt,Footnote Text Char Char Char Char Char,Footnote reference,FA Fu,single space,FA Fu Car,Footnote Text Cha"/>
    <w:basedOn w:val="Normal"/>
    <w:link w:val="FootnoteTextChar"/>
    <w:uiPriority w:val="99"/>
    <w:rsid w:val="009F47B2"/>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n Char,Footnote Text Char1 Char Char,Footnote Text Char Char Char Char,Footnote Text Char Char Char Char Char Char Char,ADB Char,Char1 Char,Footnote Char,12pt Char,Footnote Text Char Char Char Char Char Char1,FA Fu Char"/>
    <w:link w:val="FootnoteText"/>
    <w:uiPriority w:val="99"/>
    <w:rsid w:val="009F47B2"/>
    <w:rPr>
      <w:rFonts w:ascii="Times New Roman" w:eastAsia="Times New Roman" w:hAnsi="Times New Roman"/>
    </w:rPr>
  </w:style>
  <w:style w:type="character" w:styleId="FootnoteReference">
    <w:name w:val="footnote reference"/>
    <w:uiPriority w:val="99"/>
    <w:rsid w:val="009F47B2"/>
    <w:rPr>
      <w:rFonts w:cs="Times New Roman"/>
      <w:vertAlign w:val="superscript"/>
    </w:rPr>
  </w:style>
  <w:style w:type="paragraph" w:styleId="BalloonText">
    <w:name w:val="Balloon Text"/>
    <w:basedOn w:val="Normal"/>
    <w:link w:val="BalloonTextChar"/>
    <w:uiPriority w:val="99"/>
    <w:semiHidden/>
    <w:unhideWhenUsed/>
    <w:rsid w:val="009F47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47B2"/>
    <w:rPr>
      <w:rFonts w:ascii="Tahoma" w:hAnsi="Tahoma" w:cs="Tahoma"/>
      <w:sz w:val="16"/>
      <w:szCs w:val="16"/>
    </w:rPr>
  </w:style>
  <w:style w:type="paragraph" w:styleId="Header">
    <w:name w:val="header"/>
    <w:aliases w:val="encabezado"/>
    <w:basedOn w:val="Normal"/>
    <w:link w:val="HeaderChar"/>
    <w:uiPriority w:val="99"/>
    <w:unhideWhenUsed/>
    <w:rsid w:val="009F47B2"/>
    <w:pPr>
      <w:tabs>
        <w:tab w:val="center" w:pos="4680"/>
        <w:tab w:val="right" w:pos="9360"/>
      </w:tabs>
    </w:pPr>
  </w:style>
  <w:style w:type="character" w:customStyle="1" w:styleId="HeaderChar">
    <w:name w:val="Header Char"/>
    <w:aliases w:val="encabezado Char"/>
    <w:link w:val="Header"/>
    <w:uiPriority w:val="99"/>
    <w:rsid w:val="009F47B2"/>
    <w:rPr>
      <w:sz w:val="22"/>
      <w:szCs w:val="22"/>
    </w:rPr>
  </w:style>
  <w:style w:type="paragraph" w:styleId="Footer">
    <w:name w:val="footer"/>
    <w:basedOn w:val="Normal"/>
    <w:link w:val="FooterChar"/>
    <w:uiPriority w:val="99"/>
    <w:unhideWhenUsed/>
    <w:rsid w:val="009F47B2"/>
    <w:pPr>
      <w:tabs>
        <w:tab w:val="center" w:pos="4680"/>
        <w:tab w:val="right" w:pos="9360"/>
      </w:tabs>
    </w:pPr>
  </w:style>
  <w:style w:type="character" w:customStyle="1" w:styleId="FooterChar">
    <w:name w:val="Footer Char"/>
    <w:link w:val="Footer"/>
    <w:uiPriority w:val="99"/>
    <w:rsid w:val="009F47B2"/>
    <w:rPr>
      <w:sz w:val="22"/>
      <w:szCs w:val="22"/>
    </w:rPr>
  </w:style>
  <w:style w:type="character" w:customStyle="1" w:styleId="TextoNormalChar">
    <w:name w:val="Texto Normal Char"/>
    <w:link w:val="TextoNormal"/>
    <w:rsid w:val="00BE19A0"/>
    <w:rPr>
      <w:rFonts w:eastAsia="MS Mincho"/>
      <w:sz w:val="24"/>
      <w:lang w:val="es-MX" w:eastAsia="es-ES"/>
    </w:rPr>
  </w:style>
  <w:style w:type="paragraph" w:customStyle="1" w:styleId="TextoNormal">
    <w:name w:val="Texto Normal"/>
    <w:basedOn w:val="Normal"/>
    <w:link w:val="TextoNormalChar"/>
    <w:rsid w:val="00BE19A0"/>
    <w:pPr>
      <w:spacing w:after="0" w:line="240" w:lineRule="auto"/>
      <w:jc w:val="both"/>
    </w:pPr>
    <w:rPr>
      <w:rFonts w:eastAsia="MS Mincho"/>
      <w:sz w:val="24"/>
      <w:szCs w:val="20"/>
      <w:lang w:val="es-MX" w:eastAsia="es-ES"/>
    </w:rPr>
  </w:style>
  <w:style w:type="character" w:customStyle="1" w:styleId="Heading3Char">
    <w:name w:val="Heading 3 Char"/>
    <w:link w:val="Heading3"/>
    <w:uiPriority w:val="9"/>
    <w:rsid w:val="005D6345"/>
    <w:rPr>
      <w:rFonts w:ascii="Cambria" w:hAnsi="Cambria"/>
      <w:b/>
      <w:sz w:val="22"/>
      <w:lang w:val="es-ES_tradnl"/>
    </w:rPr>
  </w:style>
  <w:style w:type="paragraph" w:customStyle="1" w:styleId="paragraphs">
    <w:name w:val="paragraphs"/>
    <w:basedOn w:val="Normal"/>
    <w:link w:val="paragraphsChar"/>
    <w:qFormat/>
    <w:rsid w:val="00333F13"/>
    <w:pPr>
      <w:numPr>
        <w:numId w:val="5"/>
      </w:numPr>
      <w:spacing w:after="240" w:line="240" w:lineRule="auto"/>
      <w:jc w:val="both"/>
    </w:pPr>
    <w:rPr>
      <w:rFonts w:ascii="Cambria" w:hAnsi="Cambria"/>
      <w:sz w:val="20"/>
      <w:szCs w:val="20"/>
      <w:lang w:val="es-ES_tradnl"/>
    </w:rPr>
  </w:style>
  <w:style w:type="numbering" w:customStyle="1" w:styleId="EstiloImportado3">
    <w:name w:val="Estilo Importado 3"/>
    <w:rsid w:val="00C01A19"/>
    <w:pPr>
      <w:numPr>
        <w:numId w:val="6"/>
      </w:numPr>
    </w:pPr>
  </w:style>
  <w:style w:type="character" w:customStyle="1" w:styleId="paragraphsChar">
    <w:name w:val="paragraphs Char"/>
    <w:link w:val="paragraphs"/>
    <w:rsid w:val="00333F13"/>
    <w:rPr>
      <w:rFonts w:ascii="Cambria" w:hAnsi="Cambria"/>
      <w:lang w:val="es-ES_tradnl"/>
    </w:rPr>
  </w:style>
  <w:style w:type="numbering" w:customStyle="1" w:styleId="EstiloImportado4">
    <w:name w:val="Estilo Importado 4"/>
    <w:rsid w:val="00C01A19"/>
    <w:pPr>
      <w:numPr>
        <w:numId w:val="8"/>
      </w:numPr>
    </w:pPr>
  </w:style>
  <w:style w:type="paragraph" w:styleId="Revision">
    <w:name w:val="Revision"/>
    <w:hidden/>
    <w:uiPriority w:val="99"/>
    <w:semiHidden/>
    <w:rsid w:val="00751DE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76737"/>
    <w:pPr>
      <w:keepNext/>
      <w:spacing w:before="240" w:after="60"/>
      <w:outlineLvl w:val="0"/>
    </w:pPr>
    <w:rPr>
      <w:rFonts w:ascii="Cambria" w:eastAsia="Times New Roman" w:hAnsi="Cambria"/>
      <w:b/>
      <w:bCs/>
      <w:kern w:val="32"/>
      <w:sz w:val="32"/>
      <w:szCs w:val="32"/>
    </w:rPr>
  </w:style>
  <w:style w:type="paragraph" w:styleId="Heading2">
    <w:name w:val="heading 2"/>
    <w:basedOn w:val="ListParagraph"/>
    <w:next w:val="Normal"/>
    <w:link w:val="Heading2Char"/>
    <w:uiPriority w:val="9"/>
    <w:unhideWhenUsed/>
    <w:qFormat/>
    <w:rsid w:val="00776737"/>
    <w:pPr>
      <w:numPr>
        <w:numId w:val="1"/>
      </w:numPr>
      <w:spacing w:after="0" w:line="240" w:lineRule="auto"/>
      <w:ind w:left="1440" w:hanging="720"/>
      <w:contextualSpacing/>
      <w:jc w:val="both"/>
      <w:outlineLvl w:val="1"/>
    </w:pPr>
    <w:rPr>
      <w:rFonts w:ascii="Cambria" w:eastAsia="Times New Roman" w:hAnsi="Cambria" w:cs="Calibri"/>
      <w:b/>
      <w:szCs w:val="20"/>
      <w:lang w:val="es-ES_tradnl"/>
    </w:rPr>
  </w:style>
  <w:style w:type="paragraph" w:styleId="Heading3">
    <w:name w:val="heading 3"/>
    <w:basedOn w:val="Normal"/>
    <w:next w:val="Normal"/>
    <w:link w:val="Heading3Char"/>
    <w:uiPriority w:val="9"/>
    <w:unhideWhenUsed/>
    <w:qFormat/>
    <w:rsid w:val="005D6345"/>
    <w:pPr>
      <w:numPr>
        <w:numId w:val="2"/>
      </w:numPr>
      <w:spacing w:after="0" w:line="240" w:lineRule="auto"/>
      <w:ind w:left="1440" w:hanging="720"/>
      <w:outlineLvl w:val="2"/>
    </w:pPr>
    <w:rPr>
      <w:rFonts w:ascii="Cambria" w:hAnsi="Cambria"/>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6737"/>
    <w:rPr>
      <w:rFonts w:ascii="Cambria" w:eastAsia="Times New Roman" w:hAnsi="Cambria"/>
      <w:b/>
      <w:bCs/>
      <w:kern w:val="32"/>
      <w:sz w:val="32"/>
      <w:szCs w:val="32"/>
    </w:rPr>
  </w:style>
  <w:style w:type="character" w:customStyle="1" w:styleId="Heading2Char">
    <w:name w:val="Heading 2 Char"/>
    <w:link w:val="Heading2"/>
    <w:uiPriority w:val="9"/>
    <w:rsid w:val="00776737"/>
    <w:rPr>
      <w:rFonts w:ascii="Cambria" w:eastAsia="Times New Roman" w:hAnsi="Cambria" w:cs="Calibri"/>
      <w:b/>
      <w:sz w:val="22"/>
      <w:lang w:val="es-ES_tradnl"/>
    </w:rPr>
  </w:style>
  <w:style w:type="paragraph" w:styleId="ListParagraph">
    <w:name w:val="List Paragraph"/>
    <w:basedOn w:val="Normal"/>
    <w:qFormat/>
    <w:rsid w:val="00776737"/>
    <w:pPr>
      <w:ind w:left="720"/>
    </w:pPr>
  </w:style>
  <w:style w:type="character" w:styleId="Hyperlink">
    <w:name w:val="Hyperlink"/>
    <w:uiPriority w:val="99"/>
    <w:semiHidden/>
    <w:unhideWhenUsed/>
    <w:rsid w:val="002A55FA"/>
    <w:rPr>
      <w:color w:val="0000FF"/>
      <w:u w:val="single"/>
    </w:rPr>
  </w:style>
  <w:style w:type="character" w:styleId="CommentReference">
    <w:name w:val="annotation reference"/>
    <w:uiPriority w:val="99"/>
    <w:rsid w:val="009F47B2"/>
    <w:rPr>
      <w:rFonts w:cs="Times New Roman"/>
      <w:sz w:val="16"/>
      <w:szCs w:val="16"/>
    </w:rPr>
  </w:style>
  <w:style w:type="paragraph" w:styleId="CommentText">
    <w:name w:val="annotation text"/>
    <w:basedOn w:val="Normal"/>
    <w:link w:val="CommentTextChar"/>
    <w:uiPriority w:val="99"/>
    <w:rsid w:val="009F47B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9F47B2"/>
    <w:rPr>
      <w:rFonts w:ascii="Times New Roman" w:eastAsia="Times New Roman" w:hAnsi="Times New Roman"/>
    </w:rPr>
  </w:style>
  <w:style w:type="paragraph" w:styleId="FootnoteText">
    <w:name w:val="footnote text"/>
    <w:aliases w:val="footnote,fn,Footnote Text Char1 Char,Footnote Text Char Char Char,Footnote Text Char Char Char Char Char Char,ADB,Char1,Footnote,12pt,Footnote Text Char Char Char Char Char,Footnote reference,FA Fu,single space,FA Fu Car,Footnote Text Cha"/>
    <w:basedOn w:val="Normal"/>
    <w:link w:val="FootnoteTextChar"/>
    <w:uiPriority w:val="99"/>
    <w:rsid w:val="009F47B2"/>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n Char,Footnote Text Char1 Char Char,Footnote Text Char Char Char Char,Footnote Text Char Char Char Char Char Char Char,ADB Char,Char1 Char,Footnote Char,12pt Char,Footnote Text Char Char Char Char Char Char1,FA Fu Char"/>
    <w:link w:val="FootnoteText"/>
    <w:uiPriority w:val="99"/>
    <w:rsid w:val="009F47B2"/>
    <w:rPr>
      <w:rFonts w:ascii="Times New Roman" w:eastAsia="Times New Roman" w:hAnsi="Times New Roman"/>
    </w:rPr>
  </w:style>
  <w:style w:type="character" w:styleId="FootnoteReference">
    <w:name w:val="footnote reference"/>
    <w:uiPriority w:val="99"/>
    <w:rsid w:val="009F47B2"/>
    <w:rPr>
      <w:rFonts w:cs="Times New Roman"/>
      <w:vertAlign w:val="superscript"/>
    </w:rPr>
  </w:style>
  <w:style w:type="paragraph" w:styleId="BalloonText">
    <w:name w:val="Balloon Text"/>
    <w:basedOn w:val="Normal"/>
    <w:link w:val="BalloonTextChar"/>
    <w:uiPriority w:val="99"/>
    <w:semiHidden/>
    <w:unhideWhenUsed/>
    <w:rsid w:val="009F47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47B2"/>
    <w:rPr>
      <w:rFonts w:ascii="Tahoma" w:hAnsi="Tahoma" w:cs="Tahoma"/>
      <w:sz w:val="16"/>
      <w:szCs w:val="16"/>
    </w:rPr>
  </w:style>
  <w:style w:type="paragraph" w:styleId="Header">
    <w:name w:val="header"/>
    <w:aliases w:val="encabezado"/>
    <w:basedOn w:val="Normal"/>
    <w:link w:val="HeaderChar"/>
    <w:uiPriority w:val="99"/>
    <w:unhideWhenUsed/>
    <w:rsid w:val="009F47B2"/>
    <w:pPr>
      <w:tabs>
        <w:tab w:val="center" w:pos="4680"/>
        <w:tab w:val="right" w:pos="9360"/>
      </w:tabs>
    </w:pPr>
  </w:style>
  <w:style w:type="character" w:customStyle="1" w:styleId="HeaderChar">
    <w:name w:val="Header Char"/>
    <w:aliases w:val="encabezado Char"/>
    <w:link w:val="Header"/>
    <w:uiPriority w:val="99"/>
    <w:rsid w:val="009F47B2"/>
    <w:rPr>
      <w:sz w:val="22"/>
      <w:szCs w:val="22"/>
    </w:rPr>
  </w:style>
  <w:style w:type="paragraph" w:styleId="Footer">
    <w:name w:val="footer"/>
    <w:basedOn w:val="Normal"/>
    <w:link w:val="FooterChar"/>
    <w:uiPriority w:val="99"/>
    <w:unhideWhenUsed/>
    <w:rsid w:val="009F47B2"/>
    <w:pPr>
      <w:tabs>
        <w:tab w:val="center" w:pos="4680"/>
        <w:tab w:val="right" w:pos="9360"/>
      </w:tabs>
    </w:pPr>
  </w:style>
  <w:style w:type="character" w:customStyle="1" w:styleId="FooterChar">
    <w:name w:val="Footer Char"/>
    <w:link w:val="Footer"/>
    <w:uiPriority w:val="99"/>
    <w:rsid w:val="009F47B2"/>
    <w:rPr>
      <w:sz w:val="22"/>
      <w:szCs w:val="22"/>
    </w:rPr>
  </w:style>
  <w:style w:type="character" w:customStyle="1" w:styleId="TextoNormalChar">
    <w:name w:val="Texto Normal Char"/>
    <w:link w:val="TextoNormal"/>
    <w:rsid w:val="00BE19A0"/>
    <w:rPr>
      <w:rFonts w:eastAsia="MS Mincho"/>
      <w:sz w:val="24"/>
      <w:lang w:val="es-MX" w:eastAsia="es-ES"/>
    </w:rPr>
  </w:style>
  <w:style w:type="paragraph" w:customStyle="1" w:styleId="TextoNormal">
    <w:name w:val="Texto Normal"/>
    <w:basedOn w:val="Normal"/>
    <w:link w:val="TextoNormalChar"/>
    <w:rsid w:val="00BE19A0"/>
    <w:pPr>
      <w:spacing w:after="0" w:line="240" w:lineRule="auto"/>
      <w:jc w:val="both"/>
    </w:pPr>
    <w:rPr>
      <w:rFonts w:eastAsia="MS Mincho"/>
      <w:sz w:val="24"/>
      <w:szCs w:val="20"/>
      <w:lang w:val="es-MX" w:eastAsia="es-ES"/>
    </w:rPr>
  </w:style>
  <w:style w:type="character" w:customStyle="1" w:styleId="Heading3Char">
    <w:name w:val="Heading 3 Char"/>
    <w:link w:val="Heading3"/>
    <w:uiPriority w:val="9"/>
    <w:rsid w:val="005D6345"/>
    <w:rPr>
      <w:rFonts w:ascii="Cambria" w:hAnsi="Cambria"/>
      <w:b/>
      <w:sz w:val="22"/>
      <w:lang w:val="es-ES_tradnl"/>
    </w:rPr>
  </w:style>
  <w:style w:type="paragraph" w:customStyle="1" w:styleId="paragraphs">
    <w:name w:val="paragraphs"/>
    <w:basedOn w:val="Normal"/>
    <w:link w:val="paragraphsChar"/>
    <w:qFormat/>
    <w:rsid w:val="00333F13"/>
    <w:pPr>
      <w:numPr>
        <w:numId w:val="5"/>
      </w:numPr>
      <w:spacing w:after="240" w:line="240" w:lineRule="auto"/>
      <w:jc w:val="both"/>
    </w:pPr>
    <w:rPr>
      <w:rFonts w:ascii="Cambria" w:hAnsi="Cambria"/>
      <w:sz w:val="20"/>
      <w:szCs w:val="20"/>
      <w:lang w:val="es-ES_tradnl"/>
    </w:rPr>
  </w:style>
  <w:style w:type="numbering" w:customStyle="1" w:styleId="EstiloImportado3">
    <w:name w:val="Estilo Importado 3"/>
    <w:rsid w:val="00C01A19"/>
    <w:pPr>
      <w:numPr>
        <w:numId w:val="6"/>
      </w:numPr>
    </w:pPr>
  </w:style>
  <w:style w:type="character" w:customStyle="1" w:styleId="paragraphsChar">
    <w:name w:val="paragraphs Char"/>
    <w:link w:val="paragraphs"/>
    <w:rsid w:val="00333F13"/>
    <w:rPr>
      <w:rFonts w:ascii="Cambria" w:hAnsi="Cambria"/>
      <w:lang w:val="es-ES_tradnl"/>
    </w:rPr>
  </w:style>
  <w:style w:type="numbering" w:customStyle="1" w:styleId="EstiloImportado4">
    <w:name w:val="Estilo Importado 4"/>
    <w:rsid w:val="00C01A19"/>
    <w:pPr>
      <w:numPr>
        <w:numId w:val="8"/>
      </w:numPr>
    </w:pPr>
  </w:style>
  <w:style w:type="paragraph" w:styleId="Revision">
    <w:name w:val="Revision"/>
    <w:hidden/>
    <w:uiPriority w:val="99"/>
    <w:semiHidden/>
    <w:rsid w:val="00751D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0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Otr@s%20profesionales"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3ED9-F412-4F77-9271-0A6E8431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4781</Words>
  <Characters>27256</Characters>
  <Application>Microsoft Office Word</Application>
  <DocSecurity>0</DocSecurity>
  <Lines>227</Lines>
  <Paragraphs>63</Paragraphs>
  <ScaleCrop>false</ScaleCrop>
  <LinksUpToDate>false</LinksUpToDate>
  <CharactersWithSpaces>31974</CharactersWithSpaces>
  <SharedDoc>false</SharedDoc>
  <HLinks>
    <vt:vector size="6" baseType="variant">
      <vt:variant>
        <vt:i4>6029415</vt:i4>
      </vt:variant>
      <vt:variant>
        <vt:i4>0</vt:i4>
      </vt:variant>
      <vt:variant>
        <vt:i4>0</vt:i4>
      </vt:variant>
      <vt:variant>
        <vt:i4>5</vt:i4>
      </vt:variant>
      <vt:variant>
        <vt:lpwstr>mailto:Otr@s%20profesionales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 Chapter VI Institutional Development and Administrtive Affairs</dc:title>
  <dc:creator/>
  <cp:lastModifiedBy/>
  <cp:revision>1</cp:revision>
  <dcterms:created xsi:type="dcterms:W3CDTF">2017-03-22T18:04:00Z</dcterms:created>
  <dcterms:modified xsi:type="dcterms:W3CDTF">2017-03-22T18:04:00Z</dcterms:modified>
</cp:coreProperties>
</file>