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B90432" w:rsidRPr="00B90432" w14:paraId="2629189B" w14:textId="77777777" w:rsidTr="00493B79">
        <w:tc>
          <w:tcPr>
            <w:tcW w:w="3886" w:type="dxa"/>
            <w:vAlign w:val="center"/>
          </w:tcPr>
          <w:p w14:paraId="1B866B5F" w14:textId="77777777" w:rsidR="00B90432" w:rsidRPr="00B90432" w:rsidRDefault="00B90432" w:rsidP="00493B79">
            <w:pPr>
              <w:tabs>
                <w:tab w:val="left" w:pos="360"/>
              </w:tabs>
              <w:suppressAutoHyphens/>
              <w:rPr>
                <w:rFonts w:asciiTheme="minorHAnsi" w:hAnsiTheme="minorHAnsi"/>
                <w:sz w:val="20"/>
                <w:lang w:val="es-ES"/>
              </w:rPr>
            </w:pPr>
            <w:bookmarkStart w:id="0" w:name="_Toc369533052"/>
            <w:bookmarkStart w:id="1" w:name="_Toc369658457"/>
            <w:bookmarkStart w:id="2" w:name="_Toc369658540"/>
            <w:bookmarkStart w:id="3" w:name="_Toc369658939"/>
            <w:bookmarkStart w:id="4" w:name="_Toc496101526"/>
            <w:bookmarkStart w:id="5" w:name="_Toc496101595"/>
            <w:bookmarkStart w:id="6" w:name="_Toc496292362"/>
            <w:bookmarkStart w:id="7" w:name="_Toc497458275"/>
            <w:bookmarkStart w:id="8" w:name="_Toc497649694"/>
            <w:bookmarkStart w:id="9" w:name="_Toc497733328"/>
            <w:bookmarkStart w:id="10" w:name="_Toc494035179"/>
            <w:bookmarkStart w:id="11" w:name="_Toc369658543"/>
            <w:bookmarkStart w:id="12" w:name="_Toc369658601"/>
            <w:bookmarkStart w:id="13" w:name="_Toc369533055"/>
            <w:r w:rsidRPr="00B90432">
              <w:rPr>
                <w:rFonts w:asciiTheme="minorHAnsi" w:hAnsiTheme="minorHAnsi"/>
                <w:noProof/>
              </w:rPr>
              <w:drawing>
                <wp:inline distT="0" distB="0" distL="0" distR="0" wp14:anchorId="063A4DA6" wp14:editId="05C18764">
                  <wp:extent cx="2128520" cy="474345"/>
                  <wp:effectExtent l="0" t="0" r="5080" b="1905"/>
                  <wp:docPr id="17" name="Imagen 17"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14:paraId="0ED1EACB" w14:textId="77777777" w:rsidR="00B90432" w:rsidRPr="00B90432" w:rsidRDefault="00B90432" w:rsidP="00493B79">
            <w:pPr>
              <w:tabs>
                <w:tab w:val="left" w:pos="360"/>
              </w:tabs>
              <w:suppressAutoHyphens/>
              <w:jc w:val="right"/>
              <w:rPr>
                <w:rFonts w:asciiTheme="minorHAnsi" w:hAnsiTheme="minorHAnsi"/>
                <w:sz w:val="20"/>
                <w:lang w:val="es-ES"/>
              </w:rPr>
            </w:pPr>
            <w:r w:rsidRPr="00B90432">
              <w:rPr>
                <w:rFonts w:asciiTheme="minorHAnsi" w:hAnsiTheme="minorHAnsi"/>
                <w:noProof/>
              </w:rPr>
              <w:drawing>
                <wp:inline distT="0" distB="0" distL="0" distR="0" wp14:anchorId="6C73AFA3" wp14:editId="2D25F5C7">
                  <wp:extent cx="1975064" cy="504702"/>
                  <wp:effectExtent l="0" t="0" r="6350" b="0"/>
                  <wp:docPr id="4" name="Picture 4" descr="http://www.oas.org/imgs/logo/OAS_Seal_ENG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imgs/logo/OAS_Seal_ENG_Principal_.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4321" cy="530066"/>
                          </a:xfrm>
                          <a:prstGeom prst="rect">
                            <a:avLst/>
                          </a:prstGeom>
                          <a:noFill/>
                          <a:ln>
                            <a:noFill/>
                          </a:ln>
                        </pic:spPr>
                      </pic:pic>
                    </a:graphicData>
                  </a:graphic>
                </wp:inline>
              </w:drawing>
            </w:r>
          </w:p>
        </w:tc>
      </w:tr>
    </w:tbl>
    <w:p w14:paraId="11A1C841" w14:textId="77777777" w:rsidR="00B90432" w:rsidRPr="00B90432" w:rsidRDefault="00B90432" w:rsidP="00B90432">
      <w:pPr>
        <w:tabs>
          <w:tab w:val="left" w:pos="360"/>
        </w:tabs>
        <w:suppressAutoHyphens/>
        <w:spacing w:after="0" w:line="240" w:lineRule="auto"/>
        <w:rPr>
          <w:rFonts w:asciiTheme="minorHAnsi" w:hAnsiTheme="minorHAnsi"/>
          <w:sz w:val="20"/>
          <w:lang w:val="es-ES"/>
        </w:rPr>
      </w:pPr>
    </w:p>
    <w:p w14:paraId="068C2635" w14:textId="77777777" w:rsidR="00B90432" w:rsidRPr="00B90432" w:rsidRDefault="00B90432" w:rsidP="00B90432">
      <w:pPr>
        <w:tabs>
          <w:tab w:val="left" w:pos="360"/>
        </w:tabs>
        <w:suppressAutoHyphens/>
        <w:spacing w:after="0" w:line="240" w:lineRule="auto"/>
        <w:rPr>
          <w:rFonts w:asciiTheme="minorHAnsi" w:hAnsiTheme="minorHAnsi"/>
          <w:sz w:val="20"/>
          <w:lang w:val="es-ES"/>
        </w:rPr>
      </w:pPr>
    </w:p>
    <w:p w14:paraId="49A26265" w14:textId="77777777" w:rsidR="00B90432" w:rsidRPr="00B90432" w:rsidRDefault="00B90432" w:rsidP="00B90432">
      <w:pPr>
        <w:tabs>
          <w:tab w:val="left" w:pos="360"/>
        </w:tabs>
        <w:suppressAutoHyphens/>
        <w:spacing w:after="0" w:line="240" w:lineRule="auto"/>
        <w:rPr>
          <w:rFonts w:asciiTheme="minorHAnsi" w:hAnsiTheme="minorHAnsi"/>
          <w:sz w:val="20"/>
          <w:lang w:val="es-ES"/>
        </w:rPr>
      </w:pPr>
    </w:p>
    <w:p w14:paraId="75A59DCC" w14:textId="77777777" w:rsidR="00B90432" w:rsidRPr="00B90432" w:rsidRDefault="00B90432" w:rsidP="00B90432">
      <w:pPr>
        <w:suppressAutoHyphens/>
        <w:spacing w:after="0" w:line="360" w:lineRule="auto"/>
        <w:ind w:left="7200" w:right="-662" w:hanging="1440"/>
        <w:jc w:val="both"/>
        <w:rPr>
          <w:rFonts w:asciiTheme="minorHAnsi" w:hAnsiTheme="minorHAnsi"/>
          <w:sz w:val="20"/>
          <w:szCs w:val="20"/>
          <w:lang w:val="pt-BR"/>
        </w:rPr>
      </w:pPr>
      <w:r w:rsidRPr="00B90432">
        <w:rPr>
          <w:rFonts w:asciiTheme="minorHAnsi" w:hAnsiTheme="minorHAnsi"/>
          <w:sz w:val="20"/>
          <w:lang w:val="pt-BR"/>
        </w:rPr>
        <w:t>OEA/Ser.L/V/II.</w:t>
      </w:r>
    </w:p>
    <w:p w14:paraId="6DA38488" w14:textId="6D7FD574" w:rsidR="00B90432" w:rsidRPr="00B90432" w:rsidRDefault="00B90432" w:rsidP="00B90432">
      <w:pPr>
        <w:suppressAutoHyphens/>
        <w:spacing w:after="0" w:line="360" w:lineRule="auto"/>
        <w:ind w:left="7200" w:right="-662" w:hanging="1440"/>
        <w:jc w:val="both"/>
        <w:rPr>
          <w:rFonts w:asciiTheme="minorHAnsi" w:hAnsiTheme="minorHAnsi"/>
          <w:sz w:val="20"/>
          <w:szCs w:val="20"/>
          <w:lang w:val="pt-BR"/>
        </w:rPr>
      </w:pPr>
      <w:r w:rsidRPr="00B90432">
        <w:rPr>
          <w:rFonts w:asciiTheme="minorHAnsi" w:hAnsiTheme="minorHAnsi"/>
          <w:sz w:val="20"/>
          <w:lang w:val="pt-BR"/>
        </w:rPr>
        <w:t xml:space="preserve">Doc. </w:t>
      </w:r>
      <w:r>
        <w:rPr>
          <w:rFonts w:asciiTheme="minorHAnsi" w:hAnsiTheme="minorHAnsi"/>
          <w:sz w:val="20"/>
          <w:lang w:val="pt-BR"/>
        </w:rPr>
        <w:t>208/17</w:t>
      </w:r>
    </w:p>
    <w:p w14:paraId="35204520" w14:textId="77777777" w:rsidR="00B90432" w:rsidRPr="00B90432" w:rsidRDefault="00B90432" w:rsidP="00B90432">
      <w:pPr>
        <w:suppressAutoHyphens/>
        <w:spacing w:after="0" w:line="360" w:lineRule="auto"/>
        <w:ind w:left="7200" w:right="-662" w:hanging="1440"/>
        <w:jc w:val="both"/>
        <w:rPr>
          <w:rFonts w:asciiTheme="minorHAnsi" w:hAnsiTheme="minorHAnsi"/>
          <w:sz w:val="20"/>
          <w:szCs w:val="20"/>
        </w:rPr>
      </w:pPr>
      <w:r w:rsidRPr="00B90432">
        <w:rPr>
          <w:rFonts w:asciiTheme="minorHAnsi" w:hAnsiTheme="minorHAnsi"/>
          <w:sz w:val="20"/>
          <w:lang w:val="en"/>
        </w:rPr>
        <w:t>31 December 2017</w:t>
      </w:r>
    </w:p>
    <w:p w14:paraId="3208AFDF" w14:textId="77777777" w:rsidR="00B90432" w:rsidRPr="00B90432" w:rsidRDefault="00B90432" w:rsidP="00B90432">
      <w:pPr>
        <w:suppressAutoHyphens/>
        <w:spacing w:after="0" w:line="360" w:lineRule="auto"/>
        <w:ind w:left="7200" w:right="-662" w:hanging="1440"/>
        <w:jc w:val="both"/>
        <w:rPr>
          <w:rFonts w:asciiTheme="minorHAnsi" w:hAnsiTheme="minorHAnsi"/>
          <w:sz w:val="20"/>
          <w:szCs w:val="20"/>
        </w:rPr>
      </w:pPr>
      <w:r w:rsidRPr="00B90432">
        <w:rPr>
          <w:rFonts w:asciiTheme="minorHAnsi" w:hAnsiTheme="minorHAnsi"/>
          <w:sz w:val="20"/>
        </w:rPr>
        <w:t>Original: Spanish</w:t>
      </w:r>
    </w:p>
    <w:p w14:paraId="124FD049" w14:textId="77777777" w:rsidR="00B90432" w:rsidRPr="00B90432" w:rsidRDefault="00B90432" w:rsidP="00B90432">
      <w:pPr>
        <w:pStyle w:val="Body1"/>
        <w:outlineLvl w:val="9"/>
        <w:rPr>
          <w:rFonts w:asciiTheme="minorHAnsi" w:hAnsiTheme="minorHAnsi"/>
          <w:sz w:val="20"/>
        </w:rPr>
      </w:pPr>
    </w:p>
    <w:p w14:paraId="1AF644EF" w14:textId="77777777" w:rsidR="00B90432" w:rsidRPr="00B90432" w:rsidRDefault="00B90432" w:rsidP="00B90432">
      <w:pPr>
        <w:pStyle w:val="Body1"/>
        <w:outlineLvl w:val="9"/>
        <w:rPr>
          <w:rFonts w:asciiTheme="minorHAnsi" w:hAnsiTheme="minorHAnsi"/>
          <w:sz w:val="20"/>
        </w:rPr>
      </w:pPr>
    </w:p>
    <w:p w14:paraId="74BF3214" w14:textId="77777777" w:rsidR="00B90432" w:rsidRPr="00B90432" w:rsidRDefault="00B90432" w:rsidP="00B90432">
      <w:pPr>
        <w:pStyle w:val="Body1"/>
        <w:outlineLvl w:val="9"/>
        <w:rPr>
          <w:rFonts w:asciiTheme="minorHAnsi" w:hAnsiTheme="minorHAnsi"/>
          <w:sz w:val="20"/>
        </w:rPr>
      </w:pPr>
    </w:p>
    <w:p w14:paraId="65F11E60" w14:textId="77777777" w:rsidR="00B90432" w:rsidRPr="00B90432" w:rsidRDefault="00B90432" w:rsidP="00B90432">
      <w:pPr>
        <w:pStyle w:val="Body1"/>
        <w:outlineLvl w:val="9"/>
        <w:rPr>
          <w:rFonts w:asciiTheme="minorHAnsi" w:hAnsiTheme="minorHAnsi"/>
          <w:sz w:val="20"/>
        </w:rPr>
      </w:pPr>
    </w:p>
    <w:p w14:paraId="6E27457A" w14:textId="77777777" w:rsidR="00B90432" w:rsidRPr="00B90432" w:rsidRDefault="00B90432" w:rsidP="00B90432">
      <w:pPr>
        <w:pStyle w:val="Body1"/>
        <w:outlineLvl w:val="9"/>
        <w:rPr>
          <w:rFonts w:asciiTheme="minorHAnsi" w:hAnsiTheme="minorHAnsi"/>
          <w:sz w:val="20"/>
        </w:rPr>
      </w:pPr>
    </w:p>
    <w:p w14:paraId="73A15C24" w14:textId="77777777" w:rsidR="00B90432" w:rsidRPr="00B90432" w:rsidRDefault="00B90432" w:rsidP="00B90432">
      <w:pPr>
        <w:tabs>
          <w:tab w:val="left" w:pos="0"/>
        </w:tabs>
        <w:suppressAutoHyphens/>
        <w:spacing w:after="0" w:line="240" w:lineRule="auto"/>
        <w:jc w:val="center"/>
        <w:rPr>
          <w:rFonts w:asciiTheme="minorHAnsi" w:hAnsiTheme="minorHAnsi"/>
          <w:color w:val="7F7F7F" w:themeColor="text1" w:themeTint="80"/>
        </w:rPr>
      </w:pPr>
    </w:p>
    <w:p w14:paraId="1058D6D4" w14:textId="77777777" w:rsidR="00B90432" w:rsidRPr="00B90432" w:rsidRDefault="00B90432" w:rsidP="00B90432">
      <w:pPr>
        <w:tabs>
          <w:tab w:val="left" w:pos="0"/>
        </w:tabs>
        <w:suppressAutoHyphens/>
        <w:spacing w:after="0" w:line="240" w:lineRule="auto"/>
        <w:jc w:val="center"/>
        <w:rPr>
          <w:rFonts w:asciiTheme="minorHAnsi" w:hAnsiTheme="minorHAnsi"/>
          <w:color w:val="7F7F7F" w:themeColor="text1" w:themeTint="80"/>
        </w:rPr>
      </w:pPr>
    </w:p>
    <w:p w14:paraId="3B363F55" w14:textId="77777777" w:rsidR="00B90432" w:rsidRPr="00B90432" w:rsidRDefault="00B90432" w:rsidP="00B90432">
      <w:pPr>
        <w:tabs>
          <w:tab w:val="left" w:pos="0"/>
        </w:tabs>
        <w:suppressAutoHyphens/>
        <w:spacing w:after="0" w:line="240" w:lineRule="auto"/>
        <w:jc w:val="center"/>
        <w:rPr>
          <w:rFonts w:asciiTheme="minorHAnsi" w:hAnsiTheme="minorHAnsi"/>
          <w:color w:val="7F7F7F" w:themeColor="text1" w:themeTint="80"/>
        </w:rPr>
      </w:pPr>
      <w:r w:rsidRPr="00B90432">
        <w:rPr>
          <w:rFonts w:asciiTheme="minorHAnsi" w:hAnsiTheme="minorHAnsi"/>
          <w:color w:val="7F7F7F" w:themeColor="text1" w:themeTint="80"/>
        </w:rPr>
        <w:t>INTER-AMERICAN COMMISSION ON HUMAN RIGHTS</w:t>
      </w:r>
    </w:p>
    <w:p w14:paraId="2B288230" w14:textId="2B64EA05" w:rsidR="00B90432" w:rsidRPr="00B90432" w:rsidRDefault="00B90432" w:rsidP="00B90432">
      <w:pPr>
        <w:spacing w:after="0" w:line="240" w:lineRule="auto"/>
        <w:jc w:val="center"/>
        <w:rPr>
          <w:rFonts w:asciiTheme="minorHAnsi" w:hAnsiTheme="minorHAnsi"/>
          <w:sz w:val="52"/>
          <w:szCs w:val="52"/>
        </w:rPr>
      </w:pPr>
      <w:bookmarkStart w:id="14" w:name="_Toc392509067"/>
      <w:bookmarkStart w:id="15" w:name="_Toc392509151"/>
      <w:r w:rsidRPr="00B90432">
        <w:rPr>
          <w:rFonts w:asciiTheme="minorHAnsi" w:hAnsiTheme="minorHAnsi"/>
          <w:sz w:val="52"/>
        </w:rPr>
        <w:t xml:space="preserve">Situation of Human Rights </w:t>
      </w:r>
      <w:r w:rsidR="00990D97">
        <w:rPr>
          <w:rFonts w:asciiTheme="minorHAnsi" w:hAnsiTheme="minorHAnsi"/>
          <w:sz w:val="52"/>
        </w:rPr>
        <w:br/>
      </w:r>
      <w:r w:rsidRPr="00B90432">
        <w:rPr>
          <w:rFonts w:asciiTheme="minorHAnsi" w:hAnsiTheme="minorHAnsi"/>
          <w:sz w:val="52"/>
        </w:rPr>
        <w:t>in Guatemala</w:t>
      </w:r>
    </w:p>
    <w:p w14:paraId="4C172AE7" w14:textId="2FBB3067" w:rsidR="00B90432" w:rsidRDefault="00B90432" w:rsidP="00B90432">
      <w:pPr>
        <w:spacing w:after="0" w:line="240" w:lineRule="auto"/>
        <w:jc w:val="center"/>
        <w:rPr>
          <w:rFonts w:asciiTheme="minorHAnsi" w:hAnsiTheme="minorHAnsi"/>
          <w:sz w:val="32"/>
        </w:rPr>
      </w:pPr>
    </w:p>
    <w:bookmarkEnd w:id="14"/>
    <w:bookmarkEnd w:id="15"/>
    <w:p w14:paraId="2FD5B3FD" w14:textId="77777777" w:rsidR="00B90432" w:rsidRPr="00B90432" w:rsidRDefault="00B90432" w:rsidP="00B90432">
      <w:pPr>
        <w:pStyle w:val="Body1"/>
        <w:jc w:val="center"/>
        <w:outlineLvl w:val="9"/>
        <w:rPr>
          <w:rFonts w:asciiTheme="minorHAnsi" w:hAnsiTheme="minorHAnsi"/>
          <w:b/>
          <w:color w:val="auto"/>
          <w:sz w:val="20"/>
        </w:rPr>
      </w:pPr>
    </w:p>
    <w:p w14:paraId="3466C31C"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6557C69C"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736B4CC6"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766D3CAA"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57BD45CF"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132C0060"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1A17251D"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04F792E5"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28CB0800"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0FFEB34E"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39317FDE"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3B033AE5"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05F73577"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77CADAA3"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p w14:paraId="3C329933" w14:textId="77777777" w:rsidR="00B90432" w:rsidRDefault="00B90432" w:rsidP="00B90432">
      <w:pPr>
        <w:pStyle w:val="Body1"/>
        <w:jc w:val="center"/>
        <w:outlineLvl w:val="9"/>
        <w:rPr>
          <w:rFonts w:asciiTheme="minorHAnsi" w:hAnsiTheme="minorHAnsi"/>
          <w:color w:val="auto"/>
          <w:sz w:val="20"/>
          <w:shd w:val="clear" w:color="auto" w:fill="00FFFF"/>
        </w:rPr>
      </w:pPr>
    </w:p>
    <w:p w14:paraId="5C4D4440" w14:textId="77777777" w:rsidR="00B90432" w:rsidRDefault="00B90432" w:rsidP="00B90432">
      <w:pPr>
        <w:pStyle w:val="Body1"/>
        <w:jc w:val="center"/>
        <w:outlineLvl w:val="9"/>
        <w:rPr>
          <w:rFonts w:asciiTheme="minorHAnsi" w:hAnsiTheme="minorHAnsi"/>
          <w:color w:val="auto"/>
          <w:sz w:val="20"/>
          <w:shd w:val="clear" w:color="auto" w:fill="00FFFF"/>
        </w:rPr>
      </w:pPr>
    </w:p>
    <w:p w14:paraId="2BFBF867" w14:textId="77777777" w:rsidR="00B90432" w:rsidRDefault="00B90432" w:rsidP="00B90432">
      <w:pPr>
        <w:pStyle w:val="Body1"/>
        <w:jc w:val="center"/>
        <w:outlineLvl w:val="9"/>
        <w:rPr>
          <w:rFonts w:asciiTheme="minorHAnsi" w:hAnsiTheme="minorHAnsi"/>
          <w:color w:val="auto"/>
          <w:sz w:val="20"/>
          <w:shd w:val="clear" w:color="auto" w:fill="00FFFF"/>
        </w:rPr>
      </w:pPr>
    </w:p>
    <w:p w14:paraId="7C7542E8" w14:textId="77777777" w:rsidR="00B90432" w:rsidRDefault="00B90432" w:rsidP="00B90432">
      <w:pPr>
        <w:pStyle w:val="Body1"/>
        <w:jc w:val="center"/>
        <w:outlineLvl w:val="9"/>
        <w:rPr>
          <w:rFonts w:asciiTheme="minorHAnsi" w:hAnsiTheme="minorHAnsi"/>
          <w:color w:val="auto"/>
          <w:sz w:val="20"/>
          <w:shd w:val="clear" w:color="auto" w:fill="00FFFF"/>
        </w:rPr>
      </w:pPr>
    </w:p>
    <w:p w14:paraId="3994C707" w14:textId="77777777" w:rsidR="00B90432" w:rsidRPr="00B90432" w:rsidRDefault="00B90432" w:rsidP="00B90432">
      <w:pPr>
        <w:pStyle w:val="Body1"/>
        <w:jc w:val="center"/>
        <w:outlineLvl w:val="9"/>
        <w:rPr>
          <w:rFonts w:asciiTheme="minorHAnsi" w:hAnsiTheme="minorHAnsi"/>
          <w:color w:val="auto"/>
          <w:sz w:val="20"/>
          <w:shd w:val="clear" w:color="auto" w:fill="00FFFF"/>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7C2C0846" w14:textId="77777777" w:rsidR="00B90432" w:rsidRPr="00B90432" w:rsidRDefault="00B90432" w:rsidP="00B90432">
      <w:pPr>
        <w:spacing w:after="0" w:line="240" w:lineRule="auto"/>
        <w:jc w:val="center"/>
        <w:rPr>
          <w:rFonts w:asciiTheme="minorHAnsi" w:hAnsiTheme="minorHAnsi" w:cs="Arial"/>
          <w:lang w:val="es-ES" w:eastAsia="es-ES"/>
        </w:rPr>
      </w:pPr>
      <w:r w:rsidRPr="00B90432">
        <w:rPr>
          <w:rFonts w:asciiTheme="minorHAnsi" w:hAnsiTheme="minorHAnsi" w:cs="Arial"/>
          <w:lang w:val="es-ES" w:eastAsia="es-ES"/>
        </w:rPr>
        <w:t>2017</w:t>
      </w:r>
    </w:p>
    <w:p w14:paraId="404661F6" w14:textId="77777777" w:rsidR="00B90432" w:rsidRPr="00B90432" w:rsidRDefault="00124AC0" w:rsidP="00B90432">
      <w:pPr>
        <w:spacing w:after="0" w:line="240" w:lineRule="auto"/>
        <w:jc w:val="center"/>
        <w:rPr>
          <w:rFonts w:asciiTheme="minorHAnsi" w:hAnsiTheme="minorHAnsi"/>
          <w:color w:val="595959" w:themeColor="text1" w:themeTint="A6"/>
          <w:sz w:val="20"/>
          <w:szCs w:val="20"/>
          <w:u w:val="single" w:color="BFBFBF" w:themeColor="background1" w:themeShade="BF"/>
          <w:lang w:val="es-ES"/>
        </w:rPr>
        <w:sectPr w:rsidR="00B90432" w:rsidRPr="00B90432" w:rsidSect="00493B79">
          <w:headerReference w:type="even" r:id="rId11"/>
          <w:headerReference w:type="default" r:id="rId12"/>
          <w:footerReference w:type="even" r:id="rId13"/>
          <w:footerReference w:type="default" r:id="rId14"/>
          <w:headerReference w:type="first" r:id="rId15"/>
          <w:footerReference w:type="first" r:id="rId16"/>
          <w:pgSz w:w="10080" w:h="14400" w:code="13"/>
          <w:pgMar w:top="1152" w:right="1152" w:bottom="1152" w:left="1296" w:header="720" w:footer="720" w:gutter="0"/>
          <w:cols w:space="720"/>
          <w:docGrid w:linePitch="326"/>
        </w:sectPr>
      </w:pPr>
      <w:hyperlink r:id="rId17" w:history="1">
        <w:r w:rsidR="00B90432" w:rsidRPr="00B90432">
          <w:rPr>
            <w:rStyle w:val="Hyperlink"/>
            <w:rFonts w:asciiTheme="minorHAnsi" w:hAnsiTheme="minorHAnsi" w:cs="Arial"/>
            <w:color w:val="595959" w:themeColor="text1" w:themeTint="A6"/>
            <w:u w:color="BFBFBF" w:themeColor="background1" w:themeShade="BF"/>
            <w:lang w:val="es-ES" w:eastAsia="es-ES"/>
          </w:rPr>
          <w:t>iachr.org</w:t>
        </w:r>
      </w:hyperlink>
      <w:r w:rsidR="00B90432" w:rsidRPr="00B90432">
        <w:rPr>
          <w:rStyle w:val="Hyperlink"/>
          <w:rFonts w:asciiTheme="minorHAnsi" w:hAnsiTheme="minorHAnsi" w:cs="Arial"/>
          <w:color w:val="595959" w:themeColor="text1" w:themeTint="A6"/>
          <w:u w:color="BFBFBF" w:themeColor="background1" w:themeShade="BF"/>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B90432" w:rsidRPr="00B70540" w14:paraId="293CE15B" w14:textId="77777777" w:rsidTr="00493B79">
        <w:tc>
          <w:tcPr>
            <w:tcW w:w="6966" w:type="dxa"/>
            <w:shd w:val="clear" w:color="auto" w:fill="F2F2F2"/>
          </w:tcPr>
          <w:p w14:paraId="6728EFDC" w14:textId="77777777" w:rsidR="00B90432" w:rsidRPr="00B90432" w:rsidRDefault="00B90432" w:rsidP="00493B79">
            <w:pPr>
              <w:tabs>
                <w:tab w:val="left" w:pos="360"/>
              </w:tabs>
              <w:jc w:val="center"/>
              <w:rPr>
                <w:rFonts w:asciiTheme="minorHAnsi" w:hAnsiTheme="minorHAnsi"/>
                <w:sz w:val="18"/>
                <w:szCs w:val="18"/>
              </w:rPr>
            </w:pPr>
          </w:p>
          <w:p w14:paraId="2886AE6E" w14:textId="77777777" w:rsidR="00B90432" w:rsidRPr="00B90432" w:rsidRDefault="00B90432" w:rsidP="00493B79">
            <w:pPr>
              <w:tabs>
                <w:tab w:val="left" w:pos="360"/>
              </w:tabs>
              <w:spacing w:after="240"/>
              <w:jc w:val="center"/>
              <w:rPr>
                <w:rFonts w:asciiTheme="minorHAnsi" w:hAnsiTheme="minorHAnsi"/>
                <w:b/>
                <w:sz w:val="18"/>
                <w:szCs w:val="18"/>
              </w:rPr>
            </w:pPr>
            <w:r w:rsidRPr="00B90432">
              <w:rPr>
                <w:rFonts w:asciiTheme="minorHAnsi" w:hAnsiTheme="minorHAnsi"/>
                <w:b/>
                <w:sz w:val="18"/>
                <w:szCs w:val="18"/>
              </w:rPr>
              <w:t>OAS Cataloging-in-Publication Data</w:t>
            </w:r>
          </w:p>
          <w:p w14:paraId="3F2829CA" w14:textId="77777777" w:rsidR="005725AE" w:rsidRPr="005725AE" w:rsidRDefault="005725AE" w:rsidP="005725AE">
            <w:pPr>
              <w:tabs>
                <w:tab w:val="left" w:pos="360"/>
              </w:tabs>
              <w:spacing w:after="240"/>
              <w:jc w:val="both"/>
              <w:rPr>
                <w:rFonts w:asciiTheme="minorHAnsi" w:hAnsiTheme="minorHAnsi"/>
                <w:sz w:val="18"/>
                <w:szCs w:val="18"/>
              </w:rPr>
            </w:pPr>
            <w:r w:rsidRPr="005725AE">
              <w:rPr>
                <w:rFonts w:asciiTheme="minorHAnsi" w:hAnsiTheme="minorHAnsi"/>
                <w:sz w:val="18"/>
                <w:szCs w:val="18"/>
              </w:rPr>
              <w:t>Inter-American Commission on Human Rights.</w:t>
            </w:r>
          </w:p>
          <w:p w14:paraId="02D7FA1C" w14:textId="546EC101" w:rsidR="005725AE" w:rsidRPr="005725AE" w:rsidRDefault="005725AE" w:rsidP="005725AE">
            <w:pPr>
              <w:tabs>
                <w:tab w:val="left" w:pos="360"/>
              </w:tabs>
              <w:spacing w:after="240"/>
              <w:jc w:val="both"/>
              <w:rPr>
                <w:rFonts w:asciiTheme="minorHAnsi" w:hAnsiTheme="minorHAnsi"/>
                <w:sz w:val="18"/>
                <w:szCs w:val="18"/>
              </w:rPr>
            </w:pPr>
            <w:r>
              <w:rPr>
                <w:rFonts w:asciiTheme="minorHAnsi" w:hAnsiTheme="minorHAnsi"/>
                <w:sz w:val="18"/>
                <w:szCs w:val="18"/>
              </w:rPr>
              <w:t xml:space="preserve">            </w:t>
            </w:r>
            <w:r w:rsidRPr="005725AE">
              <w:rPr>
                <w:rFonts w:asciiTheme="minorHAnsi" w:hAnsiTheme="minorHAnsi"/>
                <w:sz w:val="18"/>
                <w:szCs w:val="18"/>
              </w:rPr>
              <w:t>Situation of human rights in Guatemala : Approved by the Inter-American Commission on Human Rights on December 31, 2017.</w:t>
            </w:r>
          </w:p>
          <w:p w14:paraId="32A2C1D7" w14:textId="77777777" w:rsidR="005725AE" w:rsidRPr="005725AE" w:rsidRDefault="005725AE" w:rsidP="005725AE">
            <w:pPr>
              <w:tabs>
                <w:tab w:val="left" w:pos="360"/>
              </w:tabs>
              <w:spacing w:after="240"/>
              <w:jc w:val="both"/>
              <w:rPr>
                <w:rFonts w:asciiTheme="minorHAnsi" w:hAnsiTheme="minorHAnsi"/>
                <w:sz w:val="18"/>
                <w:szCs w:val="18"/>
              </w:rPr>
            </w:pPr>
            <w:r w:rsidRPr="005725AE">
              <w:rPr>
                <w:rFonts w:asciiTheme="minorHAnsi" w:hAnsiTheme="minorHAnsi"/>
                <w:sz w:val="18"/>
                <w:szCs w:val="18"/>
              </w:rPr>
              <w:t>p. ; cm.  (OAS. Official records ; OEA/Ser.L/V/II)</w:t>
            </w:r>
          </w:p>
          <w:p w14:paraId="28F31B64" w14:textId="77777777" w:rsidR="005725AE" w:rsidRPr="005725AE" w:rsidRDefault="005725AE" w:rsidP="005725AE">
            <w:pPr>
              <w:tabs>
                <w:tab w:val="left" w:pos="360"/>
              </w:tabs>
              <w:spacing w:after="240"/>
              <w:jc w:val="both"/>
              <w:rPr>
                <w:rFonts w:asciiTheme="minorHAnsi" w:hAnsiTheme="minorHAnsi"/>
                <w:sz w:val="18"/>
                <w:szCs w:val="18"/>
              </w:rPr>
            </w:pPr>
            <w:r w:rsidRPr="005725AE">
              <w:rPr>
                <w:rFonts w:asciiTheme="minorHAnsi" w:hAnsiTheme="minorHAnsi"/>
                <w:sz w:val="18"/>
                <w:szCs w:val="18"/>
              </w:rPr>
              <w:t>ISBN 978-0-8270-6738-7</w:t>
            </w:r>
          </w:p>
          <w:p w14:paraId="116EA459" w14:textId="77777777" w:rsidR="005725AE" w:rsidRPr="005725AE" w:rsidRDefault="005725AE" w:rsidP="005725AE">
            <w:pPr>
              <w:tabs>
                <w:tab w:val="left" w:pos="360"/>
              </w:tabs>
              <w:spacing w:after="240"/>
              <w:jc w:val="both"/>
              <w:rPr>
                <w:rFonts w:asciiTheme="minorHAnsi" w:hAnsiTheme="minorHAnsi"/>
                <w:sz w:val="18"/>
                <w:szCs w:val="18"/>
              </w:rPr>
            </w:pPr>
            <w:r w:rsidRPr="005725AE">
              <w:rPr>
                <w:rFonts w:asciiTheme="minorHAnsi" w:hAnsiTheme="minorHAnsi"/>
                <w:sz w:val="18"/>
                <w:szCs w:val="18"/>
              </w:rPr>
              <w:t xml:space="preserve">1. Human rights--Guatemala. 2. Civil rights--Guatemala.  I. Title.  II. Title: Eighth report on the situation of human rights in Guatemala.  III. Series. </w:t>
            </w:r>
          </w:p>
          <w:p w14:paraId="099B634B" w14:textId="684A8DDA" w:rsidR="00B90432" w:rsidRPr="005725AE" w:rsidRDefault="00B90432" w:rsidP="005725AE">
            <w:pPr>
              <w:tabs>
                <w:tab w:val="left" w:pos="360"/>
              </w:tabs>
              <w:jc w:val="right"/>
              <w:rPr>
                <w:rFonts w:asciiTheme="minorHAnsi" w:hAnsiTheme="minorHAnsi"/>
                <w:b/>
                <w:sz w:val="20"/>
              </w:rPr>
            </w:pPr>
            <w:bookmarkStart w:id="16" w:name="_GoBack"/>
            <w:bookmarkEnd w:id="16"/>
            <w:r w:rsidRPr="005725AE">
              <w:rPr>
                <w:rFonts w:asciiTheme="minorHAnsi" w:hAnsiTheme="minorHAnsi"/>
                <w:sz w:val="18"/>
                <w:szCs w:val="18"/>
              </w:rPr>
              <w:t>OEA/Ser.L/V/II.  Doc.</w:t>
            </w:r>
            <w:r w:rsidR="006A7CA2" w:rsidRPr="005725AE">
              <w:rPr>
                <w:rFonts w:asciiTheme="minorHAnsi" w:hAnsiTheme="minorHAnsi"/>
                <w:sz w:val="18"/>
                <w:szCs w:val="18"/>
              </w:rPr>
              <w:t>208</w:t>
            </w:r>
            <w:r w:rsidRPr="005725AE">
              <w:rPr>
                <w:rFonts w:asciiTheme="minorHAnsi" w:hAnsiTheme="minorHAnsi"/>
                <w:sz w:val="18"/>
                <w:szCs w:val="18"/>
              </w:rPr>
              <w:t>/17</w:t>
            </w:r>
          </w:p>
        </w:tc>
      </w:tr>
    </w:tbl>
    <w:p w14:paraId="1F9E20E0" w14:textId="77777777" w:rsidR="00B90432" w:rsidRPr="005725AE" w:rsidRDefault="00B90432" w:rsidP="00B90432">
      <w:pPr>
        <w:jc w:val="center"/>
        <w:rPr>
          <w:rFonts w:asciiTheme="minorHAnsi" w:hAnsiTheme="minorHAnsi"/>
          <w:b/>
          <w:sz w:val="18"/>
          <w:szCs w:val="18"/>
        </w:rPr>
      </w:pPr>
    </w:p>
    <w:p w14:paraId="105FE96D" w14:textId="77777777" w:rsidR="00B90432" w:rsidRPr="005725AE" w:rsidRDefault="00B90432" w:rsidP="00B90432">
      <w:pPr>
        <w:jc w:val="center"/>
        <w:rPr>
          <w:rFonts w:asciiTheme="minorHAnsi" w:hAnsiTheme="minorHAnsi"/>
          <w:sz w:val="18"/>
          <w:szCs w:val="18"/>
        </w:rPr>
      </w:pPr>
    </w:p>
    <w:p w14:paraId="4A8AA8FA" w14:textId="77777777" w:rsidR="00B90432" w:rsidRPr="005725AE" w:rsidRDefault="00B90432" w:rsidP="00B90432">
      <w:pPr>
        <w:jc w:val="center"/>
        <w:rPr>
          <w:rFonts w:asciiTheme="minorHAnsi" w:hAnsiTheme="minorHAnsi"/>
          <w:color w:val="404040"/>
          <w:sz w:val="18"/>
          <w:szCs w:val="18"/>
        </w:rPr>
      </w:pPr>
    </w:p>
    <w:p w14:paraId="4481695E" w14:textId="77777777" w:rsidR="00B90432" w:rsidRPr="00B90432" w:rsidRDefault="00B90432" w:rsidP="00B90432">
      <w:pPr>
        <w:jc w:val="center"/>
        <w:rPr>
          <w:rFonts w:asciiTheme="minorHAnsi" w:hAnsiTheme="minorHAnsi"/>
          <w:b/>
          <w:sz w:val="28"/>
        </w:rPr>
        <w:sectPr w:rsidR="00B90432" w:rsidRPr="00B90432" w:rsidSect="00493B79">
          <w:headerReference w:type="even" r:id="rId18"/>
          <w:headerReference w:type="default" r:id="rId19"/>
          <w:footerReference w:type="even" r:id="rId20"/>
          <w:footerReference w:type="default" r:id="rId21"/>
          <w:type w:val="nextColumn"/>
          <w:pgSz w:w="10080" w:h="14400" w:code="13"/>
          <w:pgMar w:top="1152" w:right="1152" w:bottom="1152" w:left="1296" w:header="720" w:footer="720" w:gutter="0"/>
          <w:cols w:space="720"/>
          <w:vAlign w:val="center"/>
          <w:docGrid w:linePitch="326"/>
        </w:sectPr>
      </w:pPr>
      <w:r w:rsidRPr="00B90432">
        <w:rPr>
          <w:rFonts w:asciiTheme="minorHAnsi" w:hAnsiTheme="minorHAnsi"/>
          <w:color w:val="404040"/>
          <w:sz w:val="18"/>
          <w:szCs w:val="18"/>
        </w:rPr>
        <w:t>.</w:t>
      </w:r>
    </w:p>
    <w:p w14:paraId="33B4203A" w14:textId="77777777" w:rsidR="00B90432" w:rsidRPr="00B90432" w:rsidRDefault="00B90432" w:rsidP="00B90432">
      <w:pPr>
        <w:pBdr>
          <w:bottom w:val="single" w:sz="4" w:space="1" w:color="808080"/>
        </w:pBdr>
        <w:tabs>
          <w:tab w:val="center" w:pos="4680"/>
        </w:tabs>
        <w:spacing w:before="600" w:after="840"/>
        <w:jc w:val="center"/>
        <w:rPr>
          <w:rFonts w:asciiTheme="minorHAnsi" w:hAnsiTheme="minorHAnsi"/>
          <w:b/>
          <w:sz w:val="28"/>
        </w:rPr>
      </w:pPr>
      <w:r w:rsidRPr="00B90432">
        <w:rPr>
          <w:rFonts w:asciiTheme="minorHAnsi" w:hAnsiTheme="minorHAnsi"/>
          <w:b/>
          <w:sz w:val="28"/>
        </w:rPr>
        <w:lastRenderedPageBreak/>
        <w:t>INTER-AMERICAN COMMISSION ON HUMAN RIGHTS</w:t>
      </w:r>
    </w:p>
    <w:p w14:paraId="20452C2F" w14:textId="77777777" w:rsidR="00B90432" w:rsidRPr="00B90432" w:rsidRDefault="00B90432" w:rsidP="00B90432">
      <w:pPr>
        <w:pBdr>
          <w:bottom w:val="single" w:sz="4" w:space="1" w:color="808080"/>
        </w:pBdr>
        <w:tabs>
          <w:tab w:val="center" w:pos="4680"/>
        </w:tabs>
        <w:spacing w:after="360"/>
        <w:rPr>
          <w:rFonts w:asciiTheme="minorHAnsi" w:hAnsiTheme="minorHAnsi"/>
          <w:b/>
          <w:bCs/>
          <w:color w:val="808080"/>
          <w:sz w:val="28"/>
          <w:szCs w:val="28"/>
        </w:rPr>
      </w:pPr>
      <w:r w:rsidRPr="00B90432">
        <w:rPr>
          <w:rFonts w:asciiTheme="minorHAnsi" w:hAnsiTheme="minorHAnsi"/>
          <w:b/>
          <w:bCs/>
          <w:color w:val="808080"/>
          <w:sz w:val="28"/>
          <w:szCs w:val="28"/>
        </w:rPr>
        <w:t>Members</w:t>
      </w:r>
    </w:p>
    <w:p w14:paraId="18BCDC1F" w14:textId="77777777" w:rsidR="00B90432" w:rsidRPr="00450424" w:rsidRDefault="00B90432" w:rsidP="00B90432">
      <w:pPr>
        <w:tabs>
          <w:tab w:val="left" w:pos="0"/>
        </w:tabs>
        <w:spacing w:after="240"/>
        <w:rPr>
          <w:rFonts w:asciiTheme="minorHAnsi" w:hAnsiTheme="minorHAnsi"/>
          <w:sz w:val="24"/>
        </w:rPr>
      </w:pPr>
      <w:r w:rsidRPr="00450424">
        <w:rPr>
          <w:rFonts w:asciiTheme="minorHAnsi" w:hAnsiTheme="minorHAnsi"/>
          <w:sz w:val="24"/>
        </w:rPr>
        <w:t>Francisco José Eguiguren Praeli</w:t>
      </w:r>
    </w:p>
    <w:p w14:paraId="20554AF5" w14:textId="77777777" w:rsidR="00B90432" w:rsidRPr="00450424" w:rsidRDefault="00B90432" w:rsidP="00B90432">
      <w:pPr>
        <w:tabs>
          <w:tab w:val="left" w:pos="0"/>
        </w:tabs>
        <w:spacing w:after="240"/>
        <w:rPr>
          <w:rFonts w:asciiTheme="minorHAnsi" w:hAnsiTheme="minorHAnsi"/>
          <w:sz w:val="24"/>
        </w:rPr>
      </w:pPr>
      <w:r w:rsidRPr="00450424">
        <w:rPr>
          <w:rFonts w:asciiTheme="minorHAnsi" w:hAnsiTheme="minorHAnsi"/>
          <w:sz w:val="24"/>
        </w:rPr>
        <w:t>Margarette May Macaulay</w:t>
      </w:r>
    </w:p>
    <w:p w14:paraId="03296D9A" w14:textId="77777777" w:rsidR="00B90432" w:rsidRPr="00450424" w:rsidRDefault="00B90432" w:rsidP="00B90432">
      <w:pPr>
        <w:tabs>
          <w:tab w:val="left" w:pos="0"/>
        </w:tabs>
        <w:spacing w:after="240"/>
        <w:rPr>
          <w:rFonts w:asciiTheme="minorHAnsi" w:hAnsiTheme="minorHAnsi"/>
          <w:sz w:val="24"/>
          <w:lang w:val="pt-BR"/>
        </w:rPr>
      </w:pPr>
      <w:r w:rsidRPr="00450424">
        <w:rPr>
          <w:rFonts w:asciiTheme="minorHAnsi" w:hAnsiTheme="minorHAnsi"/>
          <w:sz w:val="24"/>
          <w:lang w:val="pt-BR"/>
        </w:rPr>
        <w:t>Esmeralda Arosemena Bernal de Troitiño</w:t>
      </w:r>
    </w:p>
    <w:p w14:paraId="675E6331" w14:textId="77777777" w:rsidR="00B90432" w:rsidRPr="00450424" w:rsidRDefault="00B90432" w:rsidP="00B90432">
      <w:pPr>
        <w:tabs>
          <w:tab w:val="left" w:pos="0"/>
        </w:tabs>
        <w:spacing w:after="240"/>
        <w:rPr>
          <w:rFonts w:asciiTheme="minorHAnsi" w:hAnsiTheme="minorHAnsi"/>
          <w:sz w:val="24"/>
          <w:lang w:val="pt-BR"/>
        </w:rPr>
      </w:pPr>
      <w:r w:rsidRPr="00450424">
        <w:rPr>
          <w:rFonts w:asciiTheme="minorHAnsi" w:hAnsiTheme="minorHAnsi"/>
          <w:sz w:val="24"/>
          <w:lang w:val="pt-BR"/>
        </w:rPr>
        <w:t>José de Jesús Orozco Henríquez</w:t>
      </w:r>
    </w:p>
    <w:p w14:paraId="2B103C20" w14:textId="77777777" w:rsidR="00B90432" w:rsidRPr="00450424" w:rsidRDefault="00B90432" w:rsidP="00B90432">
      <w:pPr>
        <w:tabs>
          <w:tab w:val="left" w:pos="0"/>
        </w:tabs>
        <w:spacing w:after="240"/>
        <w:rPr>
          <w:rFonts w:asciiTheme="minorHAnsi" w:hAnsiTheme="minorHAnsi"/>
          <w:sz w:val="24"/>
          <w:lang w:val="pt-BR"/>
        </w:rPr>
      </w:pPr>
      <w:r w:rsidRPr="00450424">
        <w:rPr>
          <w:rFonts w:asciiTheme="minorHAnsi" w:hAnsiTheme="minorHAnsi"/>
          <w:sz w:val="24"/>
          <w:lang w:val="pt-BR"/>
        </w:rPr>
        <w:t xml:space="preserve">Paulo Vannuchi </w:t>
      </w:r>
    </w:p>
    <w:p w14:paraId="28DF62A1" w14:textId="77777777" w:rsidR="00B90432" w:rsidRPr="00450424" w:rsidRDefault="00B90432" w:rsidP="00B90432">
      <w:pPr>
        <w:tabs>
          <w:tab w:val="left" w:pos="0"/>
        </w:tabs>
        <w:spacing w:after="240"/>
        <w:rPr>
          <w:rFonts w:asciiTheme="minorHAnsi" w:hAnsiTheme="minorHAnsi"/>
          <w:sz w:val="24"/>
          <w:lang w:val="pt-BR"/>
        </w:rPr>
      </w:pPr>
      <w:r w:rsidRPr="00450424">
        <w:rPr>
          <w:rFonts w:asciiTheme="minorHAnsi" w:hAnsiTheme="minorHAnsi"/>
          <w:sz w:val="24"/>
          <w:lang w:val="pt-BR"/>
        </w:rPr>
        <w:t>James L. Cavallaro</w:t>
      </w:r>
    </w:p>
    <w:p w14:paraId="1CD78D83" w14:textId="77777777" w:rsidR="00B90432" w:rsidRPr="00450424" w:rsidRDefault="00B90432" w:rsidP="00B90432">
      <w:pPr>
        <w:tabs>
          <w:tab w:val="left" w:pos="0"/>
        </w:tabs>
        <w:spacing w:after="240"/>
        <w:rPr>
          <w:rFonts w:asciiTheme="minorHAnsi" w:hAnsiTheme="minorHAnsi"/>
          <w:sz w:val="24"/>
          <w:lang w:val="pt-BR"/>
        </w:rPr>
      </w:pPr>
      <w:r w:rsidRPr="00450424">
        <w:rPr>
          <w:rFonts w:asciiTheme="minorHAnsi" w:hAnsiTheme="minorHAnsi"/>
          <w:sz w:val="24"/>
          <w:lang w:val="pt-BR"/>
        </w:rPr>
        <w:t>Luis Ernesto Vargas Silva</w:t>
      </w:r>
    </w:p>
    <w:p w14:paraId="145C97F6" w14:textId="77777777" w:rsidR="00B90432" w:rsidRPr="00B90432" w:rsidRDefault="00B90432" w:rsidP="00B90432">
      <w:pPr>
        <w:pBdr>
          <w:bottom w:val="single" w:sz="4" w:space="1" w:color="808080"/>
        </w:pBdr>
        <w:spacing w:after="240"/>
        <w:rPr>
          <w:rFonts w:asciiTheme="minorHAnsi" w:hAnsiTheme="minorHAnsi"/>
          <w:lang w:val="pt-BR"/>
        </w:rPr>
      </w:pPr>
    </w:p>
    <w:p w14:paraId="3F3E62C7" w14:textId="77777777" w:rsidR="00B90432" w:rsidRPr="00B90432" w:rsidRDefault="00B90432" w:rsidP="00B90432">
      <w:pPr>
        <w:pBdr>
          <w:bottom w:val="single" w:sz="4" w:space="1" w:color="808080"/>
        </w:pBdr>
        <w:spacing w:after="240"/>
        <w:rPr>
          <w:rFonts w:asciiTheme="minorHAnsi" w:hAnsiTheme="minorHAnsi"/>
          <w:b/>
          <w:bCs/>
          <w:color w:val="808080"/>
          <w:sz w:val="28"/>
          <w:szCs w:val="28"/>
          <w:lang w:val="pt-BR"/>
        </w:rPr>
      </w:pPr>
      <w:r w:rsidRPr="00B90432">
        <w:rPr>
          <w:rFonts w:asciiTheme="minorHAnsi" w:hAnsiTheme="minorHAnsi"/>
          <w:b/>
          <w:bCs/>
          <w:color w:val="808080"/>
          <w:sz w:val="28"/>
          <w:szCs w:val="28"/>
          <w:lang w:val="pt-BR"/>
        </w:rPr>
        <w:t>Executive Secretary</w:t>
      </w:r>
    </w:p>
    <w:p w14:paraId="57603ECA" w14:textId="77777777" w:rsidR="00B90432" w:rsidRPr="00450424" w:rsidRDefault="00B90432" w:rsidP="00B90432">
      <w:pPr>
        <w:tabs>
          <w:tab w:val="left" w:pos="0"/>
        </w:tabs>
        <w:spacing w:after="480"/>
        <w:rPr>
          <w:rFonts w:asciiTheme="minorHAnsi" w:hAnsiTheme="minorHAnsi"/>
          <w:sz w:val="24"/>
        </w:rPr>
      </w:pPr>
      <w:r w:rsidRPr="00450424">
        <w:rPr>
          <w:rFonts w:asciiTheme="minorHAnsi" w:hAnsiTheme="minorHAnsi"/>
          <w:sz w:val="24"/>
        </w:rPr>
        <w:t>Paulo Abrão</w:t>
      </w:r>
    </w:p>
    <w:p w14:paraId="2255A4B3" w14:textId="77777777" w:rsidR="00B90432" w:rsidRPr="00B90432" w:rsidRDefault="00B90432" w:rsidP="00B90432">
      <w:pPr>
        <w:pBdr>
          <w:bottom w:val="single" w:sz="4" w:space="1" w:color="808080"/>
        </w:pBdr>
        <w:spacing w:after="240"/>
        <w:rPr>
          <w:rFonts w:asciiTheme="minorHAnsi" w:hAnsiTheme="minorHAnsi"/>
          <w:bCs/>
          <w:color w:val="808080"/>
          <w:sz w:val="26"/>
          <w:szCs w:val="26"/>
        </w:rPr>
      </w:pPr>
      <w:r w:rsidRPr="00B90432">
        <w:rPr>
          <w:rFonts w:asciiTheme="minorHAnsi" w:hAnsiTheme="minorHAnsi"/>
          <w:b/>
          <w:bCs/>
          <w:color w:val="808080"/>
          <w:sz w:val="26"/>
          <w:szCs w:val="26"/>
        </w:rPr>
        <w:t>Assistant Executive Secretary for Cases, Petitions, and Precautionary Measures</w:t>
      </w:r>
    </w:p>
    <w:p w14:paraId="4A9C2E49" w14:textId="77777777" w:rsidR="00B90432" w:rsidRPr="00450424" w:rsidRDefault="00B90432" w:rsidP="00B90432">
      <w:pPr>
        <w:spacing w:after="360"/>
        <w:rPr>
          <w:rFonts w:asciiTheme="minorHAnsi" w:hAnsiTheme="minorHAnsi"/>
          <w:bCs/>
          <w:sz w:val="24"/>
        </w:rPr>
      </w:pPr>
      <w:r w:rsidRPr="00450424">
        <w:rPr>
          <w:rFonts w:asciiTheme="minorHAnsi" w:hAnsiTheme="minorHAnsi"/>
          <w:bCs/>
          <w:sz w:val="24"/>
        </w:rPr>
        <w:t>Elizabeth Abi-Mershed</w:t>
      </w:r>
    </w:p>
    <w:p w14:paraId="64A87664" w14:textId="77777777" w:rsidR="00B90432" w:rsidRPr="00B90432" w:rsidRDefault="00B90432" w:rsidP="00B90432">
      <w:pPr>
        <w:pBdr>
          <w:bottom w:val="single" w:sz="4" w:space="1" w:color="808080"/>
        </w:pBdr>
        <w:spacing w:after="240"/>
        <w:rPr>
          <w:rFonts w:asciiTheme="minorHAnsi" w:hAnsiTheme="minorHAnsi"/>
          <w:b/>
          <w:bCs/>
          <w:color w:val="808080"/>
          <w:sz w:val="26"/>
          <w:szCs w:val="26"/>
        </w:rPr>
      </w:pPr>
      <w:r w:rsidRPr="00B90432">
        <w:rPr>
          <w:rFonts w:asciiTheme="minorHAnsi" w:hAnsiTheme="minorHAnsi"/>
          <w:b/>
          <w:bCs/>
          <w:color w:val="808080"/>
          <w:sz w:val="26"/>
          <w:szCs w:val="26"/>
        </w:rPr>
        <w:t>Assistant Executive Secretary for Monitoring, Promotion, and Technical Cooperation in Human Rights</w:t>
      </w:r>
    </w:p>
    <w:p w14:paraId="2DD2CC4C" w14:textId="77777777" w:rsidR="00B90432" w:rsidRPr="00450424" w:rsidRDefault="00B90432" w:rsidP="00B90432">
      <w:pPr>
        <w:rPr>
          <w:rFonts w:asciiTheme="minorHAnsi" w:hAnsiTheme="minorHAnsi"/>
          <w:bCs/>
          <w:sz w:val="24"/>
        </w:rPr>
      </w:pPr>
      <w:r w:rsidRPr="00450424">
        <w:rPr>
          <w:rFonts w:asciiTheme="minorHAnsi" w:hAnsiTheme="minorHAnsi"/>
          <w:bCs/>
          <w:sz w:val="24"/>
        </w:rPr>
        <w:t>María Claudia Pulido</w:t>
      </w:r>
    </w:p>
    <w:p w14:paraId="017A39BC" w14:textId="77777777" w:rsidR="00B90432" w:rsidRPr="00B90432" w:rsidRDefault="00B90432" w:rsidP="00B90432">
      <w:pPr>
        <w:rPr>
          <w:rFonts w:asciiTheme="minorHAnsi" w:hAnsiTheme="minorHAnsi"/>
          <w:iCs/>
          <w:sz w:val="20"/>
          <w:szCs w:val="20"/>
        </w:rPr>
      </w:pPr>
    </w:p>
    <w:p w14:paraId="4905979F" w14:textId="77777777" w:rsidR="00B90432" w:rsidRPr="00B90432" w:rsidRDefault="00B90432" w:rsidP="00B90432">
      <w:pPr>
        <w:rPr>
          <w:rFonts w:asciiTheme="minorHAnsi" w:hAnsiTheme="minorHAnsi"/>
          <w:iCs/>
          <w:sz w:val="20"/>
          <w:szCs w:val="20"/>
        </w:rPr>
        <w:sectPr w:rsidR="00B90432" w:rsidRPr="00B90432" w:rsidSect="00493B79">
          <w:headerReference w:type="default" r:id="rId22"/>
          <w:footerReference w:type="even" r:id="rId23"/>
          <w:footerReference w:type="default" r:id="rId24"/>
          <w:pgSz w:w="10080" w:h="14400" w:code="13"/>
          <w:pgMar w:top="1152" w:right="1152" w:bottom="1152" w:left="1296" w:header="720" w:footer="720" w:gutter="0"/>
          <w:cols w:space="720"/>
          <w:docGrid w:linePitch="360"/>
        </w:sectPr>
      </w:pPr>
    </w:p>
    <w:p w14:paraId="76967CAF" w14:textId="77777777" w:rsidR="00B90432" w:rsidRPr="00B90432" w:rsidRDefault="00B90432" w:rsidP="00B90432">
      <w:pPr>
        <w:rPr>
          <w:rFonts w:asciiTheme="minorHAnsi" w:hAnsiTheme="minorHAnsi"/>
          <w:b/>
          <w:caps/>
          <w:sz w:val="20"/>
          <w:szCs w:val="20"/>
        </w:rPr>
        <w:sectPr w:rsidR="00B90432" w:rsidRPr="00B90432" w:rsidSect="00493B79">
          <w:pgSz w:w="10080" w:h="14400" w:code="13"/>
          <w:pgMar w:top="1152" w:right="1152" w:bottom="1152" w:left="1296" w:header="720" w:footer="720" w:gutter="0"/>
          <w:cols w:space="720"/>
          <w:vAlign w:val="center"/>
          <w:docGrid w:linePitch="360"/>
        </w:sectPr>
      </w:pPr>
      <w:r w:rsidRPr="00B90432">
        <w:rPr>
          <w:rFonts w:asciiTheme="minorHAnsi" w:hAnsiTheme="minorHAnsi"/>
          <w:sz w:val="20"/>
        </w:rPr>
        <w:lastRenderedPageBreak/>
        <w:t>Approved by the Inter-American Commission on Human Rights on December 31, 2017</w:t>
      </w:r>
      <w:r w:rsidRPr="00B90432">
        <w:rPr>
          <w:rFonts w:asciiTheme="minorHAnsi" w:hAnsiTheme="minorHAnsi"/>
          <w:iCs/>
          <w:sz w:val="20"/>
          <w:szCs w:val="20"/>
        </w:rPr>
        <w:t>.</w:t>
      </w:r>
    </w:p>
    <w:p w14:paraId="43AAB923" w14:textId="0A919233" w:rsidR="006F4717" w:rsidRPr="00964DDD" w:rsidRDefault="00BD5D9B" w:rsidP="00964DDD">
      <w:pPr>
        <w:spacing w:before="640" w:after="960" w:line="240" w:lineRule="auto"/>
        <w:rPr>
          <w:rFonts w:asciiTheme="minorHAnsi" w:hAnsiTheme="minorHAnsi"/>
          <w:b/>
          <w:bCs/>
          <w:color w:val="4A442A" w:themeColor="background2" w:themeShade="40"/>
          <w:sz w:val="32"/>
          <w:szCs w:val="32"/>
        </w:rPr>
      </w:pPr>
      <w:r w:rsidRPr="00964DDD">
        <w:rPr>
          <w:rFonts w:asciiTheme="minorHAnsi" w:hAnsiTheme="minorHAnsi"/>
          <w:b/>
          <w:bCs/>
          <w:color w:val="4A442A" w:themeColor="background2" w:themeShade="40"/>
          <w:sz w:val="32"/>
          <w:szCs w:val="32"/>
        </w:rPr>
        <w:lastRenderedPageBreak/>
        <w:t>TABLE OF CONTENTS</w:t>
      </w:r>
    </w:p>
    <w:p w14:paraId="4E554208" w14:textId="52B1F313" w:rsidR="009D7FDE" w:rsidRPr="001D7FF7" w:rsidRDefault="009D7FDE" w:rsidP="00345AB2">
      <w:pPr>
        <w:pStyle w:val="TOC1"/>
      </w:pPr>
      <w:r w:rsidRPr="001D7FF7">
        <w:rPr>
          <w:bCs/>
        </w:rPr>
        <w:fldChar w:fldCharType="begin"/>
      </w:r>
      <w:r w:rsidRPr="001D7FF7">
        <w:rPr>
          <w:bCs/>
        </w:rPr>
        <w:instrText xml:space="preserve"> TOC \o "1-4" \h \z \u </w:instrText>
      </w:r>
      <w:r w:rsidRPr="001D7FF7">
        <w:rPr>
          <w:bCs/>
        </w:rPr>
        <w:fldChar w:fldCharType="separate"/>
      </w:r>
      <w:hyperlink w:anchor="_Toc509827624" w:history="1">
        <w:r w:rsidRPr="001D7FF7">
          <w:rPr>
            <w:rStyle w:val="Hyperlink"/>
          </w:rPr>
          <w:t>EXECUTIVE SUMMARY</w:t>
        </w:r>
        <w:r w:rsidRPr="001D7FF7">
          <w:rPr>
            <w:webHidden/>
          </w:rPr>
          <w:tab/>
        </w:r>
        <w:r w:rsidRPr="001D7FF7">
          <w:rPr>
            <w:webHidden/>
          </w:rPr>
          <w:fldChar w:fldCharType="begin"/>
        </w:r>
        <w:r w:rsidRPr="001D7FF7">
          <w:rPr>
            <w:webHidden/>
          </w:rPr>
          <w:instrText xml:space="preserve"> PAGEREF _Toc509827624 \h </w:instrText>
        </w:r>
        <w:r w:rsidRPr="001D7FF7">
          <w:rPr>
            <w:webHidden/>
          </w:rPr>
        </w:r>
        <w:r w:rsidRPr="001D7FF7">
          <w:rPr>
            <w:webHidden/>
          </w:rPr>
          <w:fldChar w:fldCharType="separate"/>
        </w:r>
        <w:r w:rsidRPr="001D7FF7">
          <w:rPr>
            <w:webHidden/>
          </w:rPr>
          <w:t>11</w:t>
        </w:r>
        <w:r w:rsidRPr="001D7FF7">
          <w:rPr>
            <w:webHidden/>
          </w:rPr>
          <w:fldChar w:fldCharType="end"/>
        </w:r>
      </w:hyperlink>
    </w:p>
    <w:p w14:paraId="11113BCF" w14:textId="77777777" w:rsidR="001D7FF7" w:rsidRDefault="001D7FF7" w:rsidP="00345AB2">
      <w:pPr>
        <w:pStyle w:val="TOC1"/>
        <w:rPr>
          <w:rStyle w:val="Hyperlink"/>
        </w:rPr>
      </w:pPr>
    </w:p>
    <w:p w14:paraId="385831FD" w14:textId="64EDFCDE" w:rsidR="009D7FDE" w:rsidRPr="001D7FF7" w:rsidRDefault="00124AC0" w:rsidP="00345AB2">
      <w:pPr>
        <w:pStyle w:val="TOC1"/>
      </w:pPr>
      <w:hyperlink w:anchor="_Toc509827627" w:history="1">
        <w:r w:rsidR="009D7FDE" w:rsidRPr="001D7FF7">
          <w:rPr>
            <w:rStyle w:val="Hyperlink"/>
            <w:color w:val="808080" w:themeColor="background1" w:themeShade="80"/>
          </w:rPr>
          <w:t xml:space="preserve">CHAPTER 1 | </w:t>
        </w:r>
        <w:r w:rsidR="009D7FDE" w:rsidRPr="001D7FF7">
          <w:rPr>
            <w:rStyle w:val="Hyperlink"/>
            <w:color w:val="4A442A" w:themeColor="background2" w:themeShade="40"/>
          </w:rPr>
          <w:t>INTRODUCTION</w:t>
        </w:r>
        <w:r w:rsidR="009D7FDE" w:rsidRPr="001D7FF7">
          <w:rPr>
            <w:webHidden/>
          </w:rPr>
          <w:tab/>
        </w:r>
        <w:r w:rsidR="009D7FDE" w:rsidRPr="001D7FF7">
          <w:rPr>
            <w:webHidden/>
          </w:rPr>
          <w:fldChar w:fldCharType="begin"/>
        </w:r>
        <w:r w:rsidR="009D7FDE" w:rsidRPr="001D7FF7">
          <w:rPr>
            <w:webHidden/>
          </w:rPr>
          <w:instrText xml:space="preserve"> PAGEREF _Toc509827627 \h </w:instrText>
        </w:r>
        <w:r w:rsidR="009D7FDE" w:rsidRPr="001D7FF7">
          <w:rPr>
            <w:webHidden/>
          </w:rPr>
        </w:r>
        <w:r w:rsidR="009D7FDE" w:rsidRPr="001D7FF7">
          <w:rPr>
            <w:webHidden/>
          </w:rPr>
          <w:fldChar w:fldCharType="separate"/>
        </w:r>
        <w:r w:rsidR="009D7FDE" w:rsidRPr="001D7FF7">
          <w:rPr>
            <w:webHidden/>
          </w:rPr>
          <w:t>19</w:t>
        </w:r>
        <w:r w:rsidR="009D7FDE" w:rsidRPr="001D7FF7">
          <w:rPr>
            <w:webHidden/>
          </w:rPr>
          <w:fldChar w:fldCharType="end"/>
        </w:r>
      </w:hyperlink>
    </w:p>
    <w:p w14:paraId="2A8293AC" w14:textId="77777777" w:rsidR="009D7FDE" w:rsidRPr="001D7FF7" w:rsidRDefault="00124AC0" w:rsidP="00345AB2">
      <w:pPr>
        <w:pStyle w:val="TOC2"/>
        <w:rPr>
          <w:rFonts w:asciiTheme="minorHAnsi" w:hAnsiTheme="minorHAnsi"/>
          <w:noProof/>
          <w:sz w:val="20"/>
          <w:szCs w:val="20"/>
        </w:rPr>
      </w:pPr>
      <w:hyperlink w:anchor="_Toc509827628" w:history="1">
        <w:r w:rsidR="009D7FDE" w:rsidRPr="001D7FF7">
          <w:rPr>
            <w:rStyle w:val="Hyperlink"/>
            <w:rFonts w:asciiTheme="minorHAnsi" w:hAnsiTheme="minorHAnsi"/>
            <w:i/>
            <w:noProof/>
            <w:sz w:val="20"/>
            <w:szCs w:val="20"/>
          </w:rPr>
          <w:t>A.</w:t>
        </w:r>
        <w:r w:rsidR="009D7FDE" w:rsidRPr="001D7FF7">
          <w:rPr>
            <w:rFonts w:asciiTheme="minorHAnsi" w:hAnsiTheme="minorHAnsi"/>
            <w:noProof/>
            <w:sz w:val="20"/>
            <w:szCs w:val="20"/>
          </w:rPr>
          <w:tab/>
        </w:r>
        <w:r w:rsidR="009D7FDE" w:rsidRPr="001D7FF7">
          <w:rPr>
            <w:rStyle w:val="Hyperlink"/>
            <w:rFonts w:asciiTheme="minorHAnsi" w:hAnsiTheme="minorHAnsi"/>
            <w:i/>
            <w:noProof/>
            <w:sz w:val="20"/>
            <w:szCs w:val="20"/>
          </w:rPr>
          <w:t>The Legacy of the Armed Conflict</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_Toc509827628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27</w:t>
        </w:r>
        <w:r w:rsidR="009D7FDE" w:rsidRPr="001D7FF7">
          <w:rPr>
            <w:rFonts w:asciiTheme="minorHAnsi" w:hAnsiTheme="minorHAnsi"/>
            <w:noProof/>
            <w:webHidden/>
            <w:sz w:val="20"/>
            <w:szCs w:val="20"/>
          </w:rPr>
          <w:fldChar w:fldCharType="end"/>
        </w:r>
      </w:hyperlink>
    </w:p>
    <w:p w14:paraId="6E680260" w14:textId="77777777" w:rsidR="009D7FDE" w:rsidRPr="001D7FF7" w:rsidRDefault="00124AC0" w:rsidP="00345AB2">
      <w:pPr>
        <w:pStyle w:val="TOC2"/>
        <w:rPr>
          <w:rFonts w:asciiTheme="minorHAnsi" w:hAnsiTheme="minorHAnsi"/>
          <w:noProof/>
          <w:sz w:val="20"/>
          <w:szCs w:val="20"/>
        </w:rPr>
      </w:pPr>
      <w:hyperlink w:anchor="_Toc509827629" w:history="1">
        <w:r w:rsidR="009D7FDE" w:rsidRPr="001D7FF7">
          <w:rPr>
            <w:rStyle w:val="Hyperlink"/>
            <w:rFonts w:asciiTheme="minorHAnsi" w:hAnsiTheme="minorHAnsi"/>
            <w:i/>
            <w:noProof/>
            <w:sz w:val="20"/>
            <w:szCs w:val="20"/>
          </w:rPr>
          <w:t>B.</w:t>
        </w:r>
        <w:r w:rsidR="009D7FDE" w:rsidRPr="001D7FF7">
          <w:rPr>
            <w:rFonts w:asciiTheme="minorHAnsi" w:hAnsiTheme="minorHAnsi"/>
            <w:noProof/>
            <w:sz w:val="20"/>
            <w:szCs w:val="20"/>
          </w:rPr>
          <w:tab/>
        </w:r>
        <w:r w:rsidR="009D7FDE" w:rsidRPr="001D7FF7">
          <w:rPr>
            <w:rStyle w:val="Hyperlink"/>
            <w:rFonts w:asciiTheme="minorHAnsi" w:hAnsiTheme="minorHAnsi"/>
            <w:i/>
            <w:noProof/>
            <w:sz w:val="20"/>
            <w:szCs w:val="20"/>
          </w:rPr>
          <w:t>Poverty, Inequality, and Exclusion</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_Toc509827629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28</w:t>
        </w:r>
        <w:r w:rsidR="009D7FDE" w:rsidRPr="001D7FF7">
          <w:rPr>
            <w:rFonts w:asciiTheme="minorHAnsi" w:hAnsiTheme="minorHAnsi"/>
            <w:noProof/>
            <w:webHidden/>
            <w:sz w:val="20"/>
            <w:szCs w:val="20"/>
          </w:rPr>
          <w:fldChar w:fldCharType="end"/>
        </w:r>
      </w:hyperlink>
    </w:p>
    <w:p w14:paraId="5DE29216" w14:textId="77777777" w:rsidR="00345AB2" w:rsidRPr="001D7FF7" w:rsidRDefault="00345AB2" w:rsidP="00345AB2">
      <w:pPr>
        <w:pStyle w:val="TOC1"/>
        <w:rPr>
          <w:rStyle w:val="Hyperlink"/>
        </w:rPr>
      </w:pPr>
    </w:p>
    <w:p w14:paraId="7AB04741" w14:textId="17BCD53A" w:rsidR="009D7FDE" w:rsidRPr="001D7FF7" w:rsidRDefault="00124AC0" w:rsidP="00345AB2">
      <w:pPr>
        <w:pStyle w:val="TOC1"/>
      </w:pPr>
      <w:hyperlink w:anchor="_Toc509827631" w:history="1">
        <w:r w:rsidR="009D7FDE" w:rsidRPr="001D7FF7">
          <w:rPr>
            <w:rStyle w:val="Hyperlink"/>
            <w:color w:val="808080" w:themeColor="background1" w:themeShade="80"/>
          </w:rPr>
          <w:t xml:space="preserve">CHAPTER 2 | </w:t>
        </w:r>
        <w:r w:rsidR="009D7FDE" w:rsidRPr="001D7FF7">
          <w:rPr>
            <w:rStyle w:val="Hyperlink"/>
            <w:color w:val="4A442A" w:themeColor="background2" w:themeShade="40"/>
          </w:rPr>
          <w:t>ADMINISTRATION OF JUSTICE</w:t>
        </w:r>
        <w:r w:rsidR="009D7FDE" w:rsidRPr="001D7FF7">
          <w:rPr>
            <w:webHidden/>
          </w:rPr>
          <w:tab/>
        </w:r>
        <w:r w:rsidR="009D7FDE" w:rsidRPr="001D7FF7">
          <w:rPr>
            <w:webHidden/>
          </w:rPr>
          <w:fldChar w:fldCharType="begin"/>
        </w:r>
        <w:r w:rsidR="009D7FDE" w:rsidRPr="001D7FF7">
          <w:rPr>
            <w:webHidden/>
          </w:rPr>
          <w:instrText xml:space="preserve"> PAGEREF _Toc509827631 \h </w:instrText>
        </w:r>
        <w:r w:rsidR="009D7FDE" w:rsidRPr="001D7FF7">
          <w:rPr>
            <w:webHidden/>
          </w:rPr>
        </w:r>
        <w:r w:rsidR="009D7FDE" w:rsidRPr="001D7FF7">
          <w:rPr>
            <w:webHidden/>
          </w:rPr>
          <w:fldChar w:fldCharType="separate"/>
        </w:r>
        <w:r w:rsidR="009D7FDE" w:rsidRPr="001D7FF7">
          <w:rPr>
            <w:webHidden/>
          </w:rPr>
          <w:t>39</w:t>
        </w:r>
        <w:r w:rsidR="009D7FDE" w:rsidRPr="001D7FF7">
          <w:rPr>
            <w:webHidden/>
          </w:rPr>
          <w:fldChar w:fldCharType="end"/>
        </w:r>
      </w:hyperlink>
    </w:p>
    <w:p w14:paraId="57AA8AD6"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32"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Access to justice and impunity</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_Toc509827632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39</w:t>
        </w:r>
        <w:r w:rsidR="009D7FDE" w:rsidRPr="001D7FF7">
          <w:rPr>
            <w:rStyle w:val="Hyperlink"/>
            <w:rFonts w:asciiTheme="minorHAnsi" w:hAnsiTheme="minorHAnsi"/>
            <w:i/>
            <w:webHidden/>
            <w:sz w:val="20"/>
            <w:szCs w:val="20"/>
          </w:rPr>
          <w:fldChar w:fldCharType="end"/>
        </w:r>
      </w:hyperlink>
    </w:p>
    <w:p w14:paraId="449D281B" w14:textId="7E6E5505" w:rsidR="009D7FDE" w:rsidRPr="001D7FF7" w:rsidRDefault="00124AC0" w:rsidP="001D7FF7">
      <w:pPr>
        <w:pStyle w:val="TOC2"/>
        <w:ind w:left="360" w:hanging="360"/>
        <w:rPr>
          <w:rStyle w:val="Hyperlink"/>
          <w:rFonts w:asciiTheme="minorHAnsi" w:hAnsiTheme="minorHAnsi"/>
          <w:i/>
          <w:sz w:val="20"/>
          <w:szCs w:val="20"/>
        </w:rPr>
      </w:pPr>
      <w:hyperlink w:anchor="_Toc509827633"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 xml:space="preserve">The requirements of independence and impartiality: The Public Prosecution </w:t>
        </w:r>
        <w:r w:rsidR="00345AB2" w:rsidRPr="001D7FF7">
          <w:rPr>
            <w:rStyle w:val="Hyperlink"/>
            <w:rFonts w:asciiTheme="minorHAnsi" w:hAnsiTheme="minorHAnsi"/>
            <w:i/>
            <w:noProof/>
            <w:sz w:val="20"/>
            <w:szCs w:val="20"/>
          </w:rPr>
          <w:br/>
        </w:r>
        <w:r w:rsidR="009D7FDE" w:rsidRPr="001D7FF7">
          <w:rPr>
            <w:rStyle w:val="Hyperlink"/>
            <w:rFonts w:asciiTheme="minorHAnsi" w:hAnsiTheme="minorHAnsi"/>
            <w:i/>
            <w:noProof/>
            <w:sz w:val="20"/>
            <w:szCs w:val="20"/>
          </w:rPr>
          <w:t>Service and judicial reforms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_Toc509827633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49</w:t>
        </w:r>
        <w:r w:rsidR="009D7FDE" w:rsidRPr="001D7FF7">
          <w:rPr>
            <w:rStyle w:val="Hyperlink"/>
            <w:rFonts w:asciiTheme="minorHAnsi" w:hAnsiTheme="minorHAnsi"/>
            <w:i/>
            <w:webHidden/>
            <w:sz w:val="20"/>
            <w:szCs w:val="20"/>
          </w:rPr>
          <w:fldChar w:fldCharType="end"/>
        </w:r>
      </w:hyperlink>
    </w:p>
    <w:p w14:paraId="5C187105"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34" w:history="1">
        <w:r w:rsidR="009D7FDE" w:rsidRPr="001D7FF7">
          <w:rPr>
            <w:rStyle w:val="Hyperlink"/>
            <w:rFonts w:asciiTheme="minorHAnsi" w:hAnsiTheme="minorHAnsi"/>
            <w:i/>
            <w:noProof/>
            <w:sz w:val="20"/>
            <w:szCs w:val="20"/>
          </w:rPr>
          <w:t>C.</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Access to Justice for Different Groups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_Toc509827634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55</w:t>
        </w:r>
        <w:r w:rsidR="009D7FDE" w:rsidRPr="001D7FF7">
          <w:rPr>
            <w:rStyle w:val="Hyperlink"/>
            <w:rFonts w:asciiTheme="minorHAnsi" w:hAnsiTheme="minorHAnsi"/>
            <w:i/>
            <w:webHidden/>
            <w:sz w:val="20"/>
            <w:szCs w:val="20"/>
          </w:rPr>
          <w:fldChar w:fldCharType="end"/>
        </w:r>
      </w:hyperlink>
    </w:p>
    <w:p w14:paraId="30B4A528" w14:textId="77777777" w:rsidR="009D7FDE" w:rsidRPr="001D7FF7" w:rsidRDefault="00124AC0" w:rsidP="001D7FF7">
      <w:pPr>
        <w:pStyle w:val="TOC3"/>
        <w:tabs>
          <w:tab w:val="left" w:pos="720"/>
          <w:tab w:val="right" w:pos="7622"/>
        </w:tabs>
        <w:ind w:hanging="80"/>
        <w:rPr>
          <w:rStyle w:val="Hyperlink"/>
        </w:rPr>
      </w:pPr>
      <w:hyperlink w:anchor="_Toc509827635"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Women</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_Toc509827635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55</w:t>
        </w:r>
        <w:r w:rsidR="009D7FDE" w:rsidRPr="001D7FF7">
          <w:rPr>
            <w:rStyle w:val="Hyperlink"/>
            <w:webHidden/>
          </w:rPr>
          <w:fldChar w:fldCharType="end"/>
        </w:r>
      </w:hyperlink>
    </w:p>
    <w:p w14:paraId="1D30CF4B" w14:textId="77777777" w:rsidR="009D7FDE" w:rsidRPr="001D7FF7" w:rsidRDefault="00124AC0" w:rsidP="001D7FF7">
      <w:pPr>
        <w:pStyle w:val="TOC3"/>
        <w:tabs>
          <w:tab w:val="left" w:pos="720"/>
          <w:tab w:val="right" w:pos="7622"/>
        </w:tabs>
        <w:ind w:hanging="80"/>
        <w:rPr>
          <w:rStyle w:val="Hyperlink"/>
        </w:rPr>
      </w:pPr>
      <w:hyperlink w:anchor="_Toc509827636"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Indigenous Peoples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_Toc509827636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60</w:t>
        </w:r>
        <w:r w:rsidR="009D7FDE" w:rsidRPr="001D7FF7">
          <w:rPr>
            <w:rStyle w:val="Hyperlink"/>
            <w:webHidden/>
          </w:rPr>
          <w:fldChar w:fldCharType="end"/>
        </w:r>
      </w:hyperlink>
    </w:p>
    <w:p w14:paraId="748D28F7" w14:textId="77777777" w:rsidR="009D7FDE" w:rsidRPr="001D7FF7" w:rsidRDefault="00124AC0" w:rsidP="001D7FF7">
      <w:pPr>
        <w:pStyle w:val="TOC3"/>
        <w:tabs>
          <w:tab w:val="left" w:pos="720"/>
          <w:tab w:val="right" w:pos="7622"/>
        </w:tabs>
        <w:ind w:hanging="80"/>
        <w:rPr>
          <w:rStyle w:val="Hyperlink"/>
        </w:rPr>
      </w:pPr>
      <w:hyperlink w:anchor="_Toc509827637"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Children and Adolescents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_Toc509827637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65</w:t>
        </w:r>
        <w:r w:rsidR="009D7FDE" w:rsidRPr="001D7FF7">
          <w:rPr>
            <w:rStyle w:val="Hyperlink"/>
            <w:webHidden/>
          </w:rPr>
          <w:fldChar w:fldCharType="end"/>
        </w:r>
      </w:hyperlink>
    </w:p>
    <w:p w14:paraId="666978D3" w14:textId="77777777" w:rsidR="009D7FDE" w:rsidRPr="001D7FF7" w:rsidRDefault="00124AC0" w:rsidP="001D7FF7">
      <w:pPr>
        <w:pStyle w:val="TOC3"/>
        <w:tabs>
          <w:tab w:val="left" w:pos="720"/>
          <w:tab w:val="right" w:pos="7622"/>
        </w:tabs>
        <w:ind w:hanging="80"/>
        <w:rPr>
          <w:rStyle w:val="Hyperlink"/>
        </w:rPr>
      </w:pPr>
      <w:hyperlink w:anchor="_Toc509827638" w:history="1">
        <w:r w:rsidR="009D7FDE" w:rsidRPr="001D7FF7">
          <w:rPr>
            <w:rStyle w:val="Hyperlink"/>
            <w:rFonts w:asciiTheme="minorHAnsi" w:hAnsiTheme="minorHAnsi"/>
            <w:noProof/>
            <w:sz w:val="20"/>
            <w:szCs w:val="20"/>
          </w:rPr>
          <w:t>4.</w:t>
        </w:r>
        <w:r w:rsidR="009D7FDE" w:rsidRPr="001D7FF7">
          <w:rPr>
            <w:rStyle w:val="Hyperlink"/>
          </w:rPr>
          <w:tab/>
        </w:r>
        <w:r w:rsidR="009D7FDE" w:rsidRPr="001D7FF7">
          <w:rPr>
            <w:rStyle w:val="Hyperlink"/>
            <w:rFonts w:asciiTheme="minorHAnsi" w:hAnsiTheme="minorHAnsi"/>
            <w:noProof/>
            <w:sz w:val="20"/>
            <w:szCs w:val="20"/>
          </w:rPr>
          <w:t>Lesbian, Gay, Bisexual, Trans and Intersex Persons (LGBTI)</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_Toc509827638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68</w:t>
        </w:r>
        <w:r w:rsidR="009D7FDE" w:rsidRPr="001D7FF7">
          <w:rPr>
            <w:rStyle w:val="Hyperlink"/>
            <w:webHidden/>
          </w:rPr>
          <w:fldChar w:fldCharType="end"/>
        </w:r>
      </w:hyperlink>
    </w:p>
    <w:p w14:paraId="774D2279" w14:textId="77777777" w:rsidR="009D7FDE" w:rsidRPr="001D7FF7" w:rsidRDefault="00124AC0" w:rsidP="001D7FF7">
      <w:pPr>
        <w:pStyle w:val="TOC3"/>
        <w:tabs>
          <w:tab w:val="left" w:pos="720"/>
          <w:tab w:val="right" w:pos="7622"/>
        </w:tabs>
        <w:ind w:hanging="80"/>
        <w:rPr>
          <w:rStyle w:val="Hyperlink"/>
        </w:rPr>
      </w:pPr>
      <w:hyperlink w:anchor="_Toc509827639" w:history="1">
        <w:r w:rsidR="009D7FDE" w:rsidRPr="001D7FF7">
          <w:rPr>
            <w:rStyle w:val="Hyperlink"/>
            <w:rFonts w:asciiTheme="minorHAnsi" w:hAnsiTheme="minorHAnsi"/>
            <w:noProof/>
            <w:sz w:val="20"/>
            <w:szCs w:val="20"/>
          </w:rPr>
          <w:t>5.</w:t>
        </w:r>
        <w:r w:rsidR="009D7FDE" w:rsidRPr="001D7FF7">
          <w:rPr>
            <w:rStyle w:val="Hyperlink"/>
          </w:rPr>
          <w:tab/>
        </w:r>
        <w:r w:rsidR="009D7FDE" w:rsidRPr="001D7FF7">
          <w:rPr>
            <w:rStyle w:val="Hyperlink"/>
            <w:rFonts w:asciiTheme="minorHAnsi" w:hAnsiTheme="minorHAnsi"/>
            <w:noProof/>
            <w:sz w:val="20"/>
            <w:szCs w:val="20"/>
          </w:rPr>
          <w:t>People of African Descent</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_Toc509827639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70</w:t>
        </w:r>
        <w:r w:rsidR="009D7FDE" w:rsidRPr="001D7FF7">
          <w:rPr>
            <w:rStyle w:val="Hyperlink"/>
            <w:webHidden/>
          </w:rPr>
          <w:fldChar w:fldCharType="end"/>
        </w:r>
      </w:hyperlink>
    </w:p>
    <w:p w14:paraId="65306468"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40" w:history="1">
        <w:r w:rsidR="009D7FDE" w:rsidRPr="001D7FF7">
          <w:rPr>
            <w:rStyle w:val="Hyperlink"/>
            <w:rFonts w:asciiTheme="minorHAnsi" w:hAnsiTheme="minorHAnsi"/>
            <w:i/>
            <w:noProof/>
            <w:sz w:val="20"/>
            <w:szCs w:val="20"/>
          </w:rPr>
          <w:t>D.</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Transitional justice and reparations to victims of the internal armed conflict</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_Toc509827640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71</w:t>
        </w:r>
        <w:r w:rsidR="009D7FDE" w:rsidRPr="001D7FF7">
          <w:rPr>
            <w:rStyle w:val="Hyperlink"/>
            <w:rFonts w:asciiTheme="minorHAnsi" w:hAnsiTheme="minorHAnsi"/>
            <w:i/>
            <w:webHidden/>
            <w:sz w:val="20"/>
            <w:szCs w:val="20"/>
          </w:rPr>
          <w:fldChar w:fldCharType="end"/>
        </w:r>
      </w:hyperlink>
    </w:p>
    <w:p w14:paraId="36BE6170" w14:textId="77777777" w:rsidR="00345AB2" w:rsidRPr="001D7FF7" w:rsidRDefault="00345AB2" w:rsidP="00345AB2">
      <w:pPr>
        <w:pStyle w:val="TOC1"/>
        <w:rPr>
          <w:rStyle w:val="Hyperlink"/>
        </w:rPr>
      </w:pPr>
    </w:p>
    <w:p w14:paraId="5D6B601F" w14:textId="56789AE5" w:rsidR="009D7FDE" w:rsidRPr="001D7FF7" w:rsidRDefault="00124AC0" w:rsidP="00345AB2">
      <w:pPr>
        <w:pStyle w:val="TOC1"/>
      </w:pPr>
      <w:hyperlink w:anchor="_Toc509827643" w:history="1">
        <w:r w:rsidR="009D7FDE" w:rsidRPr="001D7FF7">
          <w:rPr>
            <w:rStyle w:val="Hyperlink"/>
            <w:color w:val="808080" w:themeColor="background1" w:themeShade="80"/>
          </w:rPr>
          <w:t>CHAPTER 3 |</w:t>
        </w:r>
        <w:r w:rsidR="009D7FDE" w:rsidRPr="001D7FF7">
          <w:rPr>
            <w:rStyle w:val="Hyperlink"/>
          </w:rPr>
          <w:t xml:space="preserve"> </w:t>
        </w:r>
        <w:r w:rsidR="009D7FDE" w:rsidRPr="001D7FF7">
          <w:rPr>
            <w:rStyle w:val="Hyperlink"/>
            <w:color w:val="4A442A" w:themeColor="background2" w:themeShade="40"/>
          </w:rPr>
          <w:t xml:space="preserve">SITUATION OF HUMAN RIGHTS DEFENDERS </w:t>
        </w:r>
        <w:r w:rsidR="00345AB2" w:rsidRPr="001D7FF7">
          <w:rPr>
            <w:rStyle w:val="Hyperlink"/>
            <w:color w:val="4A442A" w:themeColor="background2" w:themeShade="40"/>
          </w:rPr>
          <w:br/>
        </w:r>
        <w:r w:rsidR="009D7FDE" w:rsidRPr="001D7FF7">
          <w:rPr>
            <w:rStyle w:val="Hyperlink"/>
            <w:color w:val="4A442A" w:themeColor="background2" w:themeShade="40"/>
          </w:rPr>
          <w:t>AND JUSTICE OPERATORS</w:t>
        </w:r>
        <w:r w:rsidR="009D7FDE" w:rsidRPr="001D7FF7">
          <w:rPr>
            <w:webHidden/>
          </w:rPr>
          <w:tab/>
        </w:r>
        <w:r w:rsidR="009D7FDE" w:rsidRPr="001D7FF7">
          <w:rPr>
            <w:webHidden/>
          </w:rPr>
          <w:fldChar w:fldCharType="begin"/>
        </w:r>
        <w:r w:rsidR="009D7FDE" w:rsidRPr="001D7FF7">
          <w:rPr>
            <w:webHidden/>
          </w:rPr>
          <w:instrText xml:space="preserve"> PAGEREF _Toc509827643 \h </w:instrText>
        </w:r>
        <w:r w:rsidR="009D7FDE" w:rsidRPr="001D7FF7">
          <w:rPr>
            <w:webHidden/>
          </w:rPr>
        </w:r>
        <w:r w:rsidR="009D7FDE" w:rsidRPr="001D7FF7">
          <w:rPr>
            <w:webHidden/>
          </w:rPr>
          <w:fldChar w:fldCharType="separate"/>
        </w:r>
        <w:r w:rsidR="009D7FDE" w:rsidRPr="001D7FF7">
          <w:rPr>
            <w:webHidden/>
          </w:rPr>
          <w:t>83</w:t>
        </w:r>
        <w:r w:rsidR="009D7FDE" w:rsidRPr="001D7FF7">
          <w:rPr>
            <w:webHidden/>
          </w:rPr>
          <w:fldChar w:fldCharType="end"/>
        </w:r>
      </w:hyperlink>
    </w:p>
    <w:p w14:paraId="7B537B45"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44"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Human Rights Defenders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_Toc509827644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83</w:t>
        </w:r>
        <w:r w:rsidR="009D7FDE" w:rsidRPr="001D7FF7">
          <w:rPr>
            <w:rStyle w:val="Hyperlink"/>
            <w:rFonts w:asciiTheme="minorHAnsi" w:hAnsiTheme="minorHAnsi"/>
            <w:i/>
            <w:webHidden/>
            <w:sz w:val="20"/>
            <w:szCs w:val="20"/>
          </w:rPr>
          <w:fldChar w:fldCharType="end"/>
        </w:r>
      </w:hyperlink>
    </w:p>
    <w:p w14:paraId="4CAD097D" w14:textId="77777777" w:rsidR="009D7FDE" w:rsidRPr="001D7FF7" w:rsidRDefault="00124AC0" w:rsidP="001D7FF7">
      <w:pPr>
        <w:pStyle w:val="TOC3"/>
        <w:tabs>
          <w:tab w:val="left" w:pos="720"/>
          <w:tab w:val="right" w:pos="7622"/>
        </w:tabs>
        <w:ind w:hanging="80"/>
        <w:rPr>
          <w:rStyle w:val="Hyperlink"/>
        </w:rPr>
      </w:pPr>
      <w:hyperlink w:anchor="_Toc509827645"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Intimidation, Threats, Attacks and Murders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_Toc509827645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85</w:t>
        </w:r>
        <w:r w:rsidR="009D7FDE" w:rsidRPr="001D7FF7">
          <w:rPr>
            <w:rStyle w:val="Hyperlink"/>
            <w:webHidden/>
          </w:rPr>
          <w:fldChar w:fldCharType="end"/>
        </w:r>
      </w:hyperlink>
    </w:p>
    <w:p w14:paraId="2551F12E" w14:textId="77777777" w:rsidR="009D7FDE" w:rsidRPr="001D7FF7" w:rsidRDefault="00124AC0" w:rsidP="001D7FF7">
      <w:pPr>
        <w:pStyle w:val="TOC3"/>
        <w:tabs>
          <w:tab w:val="left" w:pos="720"/>
          <w:tab w:val="right" w:pos="7622"/>
        </w:tabs>
        <w:ind w:hanging="80"/>
        <w:rPr>
          <w:rStyle w:val="Hyperlink"/>
        </w:rPr>
      </w:pPr>
      <w:hyperlink w:anchor="_Toc509827646"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Stigmatization and Smear Campaigns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_Toc509827646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87</w:t>
        </w:r>
        <w:r w:rsidR="009D7FDE" w:rsidRPr="001D7FF7">
          <w:rPr>
            <w:rStyle w:val="Hyperlink"/>
            <w:webHidden/>
          </w:rPr>
          <w:fldChar w:fldCharType="end"/>
        </w:r>
      </w:hyperlink>
    </w:p>
    <w:p w14:paraId="539E3359" w14:textId="77777777" w:rsidR="009D7FDE" w:rsidRPr="001D7FF7" w:rsidRDefault="00124AC0" w:rsidP="001D7FF7">
      <w:pPr>
        <w:pStyle w:val="TOC3"/>
        <w:tabs>
          <w:tab w:val="left" w:pos="720"/>
          <w:tab w:val="right" w:pos="7622"/>
        </w:tabs>
        <w:ind w:hanging="80"/>
        <w:rPr>
          <w:rStyle w:val="Hyperlink"/>
        </w:rPr>
      </w:pPr>
      <w:hyperlink w:anchor="_Toc509827647"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Criminalization</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_Toc509827647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92</w:t>
        </w:r>
        <w:r w:rsidR="009D7FDE" w:rsidRPr="001D7FF7">
          <w:rPr>
            <w:rStyle w:val="Hyperlink"/>
            <w:webHidden/>
          </w:rPr>
          <w:fldChar w:fldCharType="end"/>
        </w:r>
      </w:hyperlink>
    </w:p>
    <w:p w14:paraId="7724BBAA" w14:textId="7A8D1ABD" w:rsidR="009D7FDE" w:rsidRPr="002F1C96" w:rsidRDefault="00124AC0" w:rsidP="002F1C96">
      <w:pPr>
        <w:pStyle w:val="TOC4"/>
        <w:tabs>
          <w:tab w:val="left" w:pos="1100"/>
          <w:tab w:val="right" w:pos="7622"/>
        </w:tabs>
        <w:rPr>
          <w:rStyle w:val="Hyperlink"/>
          <w:rFonts w:asciiTheme="minorHAnsi" w:hAnsiTheme="minorHAnsi"/>
          <w:noProof/>
          <w:sz w:val="20"/>
          <w:szCs w:val="20"/>
        </w:rPr>
      </w:pPr>
      <w:hyperlink w:anchor="_Toc509827648" w:history="1">
        <w:r w:rsidR="002F1C96">
          <w:rPr>
            <w:rStyle w:val="Hyperlink"/>
            <w:rFonts w:asciiTheme="minorHAnsi" w:hAnsiTheme="minorHAnsi"/>
            <w:noProof/>
            <w:sz w:val="20"/>
            <w:szCs w:val="20"/>
          </w:rPr>
          <w:t>a)</w:t>
        </w:r>
        <w:r w:rsidR="009D7FDE" w:rsidRPr="002F1C96">
          <w:rPr>
            <w:rStyle w:val="Hyperlink"/>
            <w:rFonts w:asciiTheme="minorHAnsi" w:hAnsiTheme="minorHAnsi"/>
            <w:noProof/>
            <w:sz w:val="20"/>
            <w:szCs w:val="20"/>
          </w:rPr>
          <w:tab/>
        </w:r>
        <w:r w:rsidR="009D7FDE" w:rsidRPr="001D7FF7">
          <w:rPr>
            <w:rStyle w:val="Hyperlink"/>
            <w:rFonts w:asciiTheme="minorHAnsi" w:hAnsiTheme="minorHAnsi"/>
            <w:noProof/>
            <w:sz w:val="20"/>
            <w:szCs w:val="20"/>
          </w:rPr>
          <w:t>Measures Adopted by the State: Protection Mechanism</w:t>
        </w:r>
        <w:r w:rsidR="009D7FDE" w:rsidRPr="002F1C96">
          <w:rPr>
            <w:rStyle w:val="Hyperlink"/>
            <w:rFonts w:asciiTheme="minorHAnsi" w:hAnsiTheme="minorHAnsi"/>
            <w:noProof/>
            <w:webHidden/>
            <w:sz w:val="20"/>
            <w:szCs w:val="20"/>
          </w:rPr>
          <w:tab/>
        </w:r>
        <w:r w:rsidR="009D7FDE" w:rsidRPr="002F1C96">
          <w:rPr>
            <w:rStyle w:val="Hyperlink"/>
            <w:rFonts w:asciiTheme="minorHAnsi" w:hAnsiTheme="minorHAnsi"/>
            <w:noProof/>
            <w:webHidden/>
            <w:sz w:val="20"/>
            <w:szCs w:val="20"/>
          </w:rPr>
          <w:fldChar w:fldCharType="begin"/>
        </w:r>
        <w:r w:rsidR="009D7FDE" w:rsidRPr="002F1C96">
          <w:rPr>
            <w:rStyle w:val="Hyperlink"/>
            <w:rFonts w:asciiTheme="minorHAnsi" w:hAnsiTheme="minorHAnsi"/>
            <w:noProof/>
            <w:webHidden/>
            <w:sz w:val="20"/>
            <w:szCs w:val="20"/>
          </w:rPr>
          <w:instrText xml:space="preserve"> PAGEREF _Toc509827648 \h </w:instrText>
        </w:r>
        <w:r w:rsidR="009D7FDE" w:rsidRPr="002F1C96">
          <w:rPr>
            <w:rStyle w:val="Hyperlink"/>
            <w:rFonts w:asciiTheme="minorHAnsi" w:hAnsiTheme="minorHAnsi"/>
            <w:noProof/>
            <w:webHidden/>
            <w:sz w:val="20"/>
            <w:szCs w:val="20"/>
          </w:rPr>
        </w:r>
        <w:r w:rsidR="009D7FDE" w:rsidRPr="002F1C96">
          <w:rPr>
            <w:rStyle w:val="Hyperlink"/>
            <w:rFonts w:asciiTheme="minorHAnsi" w:hAnsiTheme="minorHAnsi"/>
            <w:noProof/>
            <w:webHidden/>
            <w:sz w:val="20"/>
            <w:szCs w:val="20"/>
          </w:rPr>
          <w:fldChar w:fldCharType="separate"/>
        </w:r>
        <w:r w:rsidR="009D7FDE" w:rsidRPr="002F1C96">
          <w:rPr>
            <w:rStyle w:val="Hyperlink"/>
            <w:rFonts w:asciiTheme="minorHAnsi" w:hAnsiTheme="minorHAnsi"/>
            <w:noProof/>
            <w:webHidden/>
            <w:sz w:val="20"/>
            <w:szCs w:val="20"/>
          </w:rPr>
          <w:t>98</w:t>
        </w:r>
        <w:r w:rsidR="009D7FDE" w:rsidRPr="002F1C96">
          <w:rPr>
            <w:rStyle w:val="Hyperlink"/>
            <w:rFonts w:asciiTheme="minorHAnsi" w:hAnsiTheme="minorHAnsi"/>
            <w:noProof/>
            <w:webHidden/>
            <w:sz w:val="20"/>
            <w:szCs w:val="20"/>
          </w:rPr>
          <w:fldChar w:fldCharType="end"/>
        </w:r>
      </w:hyperlink>
    </w:p>
    <w:p w14:paraId="57405CE5"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49"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Justice Operators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_Toc509827649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103</w:t>
        </w:r>
        <w:r w:rsidR="009D7FDE" w:rsidRPr="001D7FF7">
          <w:rPr>
            <w:rStyle w:val="Hyperlink"/>
            <w:rFonts w:asciiTheme="minorHAnsi" w:hAnsiTheme="minorHAnsi"/>
            <w:i/>
            <w:webHidden/>
            <w:sz w:val="20"/>
            <w:szCs w:val="20"/>
          </w:rPr>
          <w:fldChar w:fldCharType="end"/>
        </w:r>
      </w:hyperlink>
    </w:p>
    <w:p w14:paraId="5B38ABDC" w14:textId="77777777" w:rsidR="009D7FDE" w:rsidRPr="001D7FF7" w:rsidRDefault="00124AC0" w:rsidP="001D7FF7">
      <w:pPr>
        <w:pStyle w:val="TOC3"/>
        <w:tabs>
          <w:tab w:val="left" w:pos="720"/>
          <w:tab w:val="right" w:pos="7622"/>
        </w:tabs>
        <w:ind w:hanging="80"/>
        <w:rPr>
          <w:rStyle w:val="Hyperlink"/>
        </w:rPr>
      </w:pPr>
      <w:hyperlink w:anchor="_Toc509827650"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Acts Limiting or Hampering Performance of their Work</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_Toc509827650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104</w:t>
        </w:r>
        <w:r w:rsidR="009D7FDE" w:rsidRPr="001D7FF7">
          <w:rPr>
            <w:rStyle w:val="Hyperlink"/>
            <w:webHidden/>
          </w:rPr>
          <w:fldChar w:fldCharType="end"/>
        </w:r>
      </w:hyperlink>
    </w:p>
    <w:p w14:paraId="44BD8720" w14:textId="5A17D448" w:rsidR="009D7FDE" w:rsidRPr="001D7FF7" w:rsidRDefault="00124AC0" w:rsidP="00345AB2">
      <w:pPr>
        <w:pStyle w:val="TOC1"/>
      </w:pPr>
      <w:hyperlink w:anchor="_Toc509827653" w:history="1">
        <w:r w:rsidR="009D7FDE" w:rsidRPr="001D7FF7">
          <w:rPr>
            <w:rStyle w:val="Hyperlink"/>
            <w:color w:val="808080" w:themeColor="background1" w:themeShade="80"/>
          </w:rPr>
          <w:t>CHAPTER 4 |</w:t>
        </w:r>
        <w:r w:rsidR="009D7FDE" w:rsidRPr="001D7FF7">
          <w:rPr>
            <w:rStyle w:val="Hyperlink"/>
          </w:rPr>
          <w:t xml:space="preserve"> </w:t>
        </w:r>
        <w:r w:rsidR="009D7FDE" w:rsidRPr="001D7FF7">
          <w:rPr>
            <w:rStyle w:val="Hyperlink"/>
            <w:color w:val="4A442A" w:themeColor="background2" w:themeShade="40"/>
          </w:rPr>
          <w:t xml:space="preserve">INTERNALLY DISPLACED PERSONS, MIGRANTS, </w:t>
        </w:r>
        <w:r w:rsidR="00345AB2" w:rsidRPr="001D7FF7">
          <w:rPr>
            <w:rStyle w:val="Hyperlink"/>
            <w:color w:val="4A442A" w:themeColor="background2" w:themeShade="40"/>
          </w:rPr>
          <w:br/>
        </w:r>
        <w:r w:rsidR="009D7FDE" w:rsidRPr="001D7FF7">
          <w:rPr>
            <w:rStyle w:val="Hyperlink"/>
            <w:color w:val="4A442A" w:themeColor="background2" w:themeShade="40"/>
          </w:rPr>
          <w:t xml:space="preserve">ASYLUM-SEEKERS, REFUGEES, AND VICTIMS </w:t>
        </w:r>
        <w:r w:rsidR="00345AB2" w:rsidRPr="001D7FF7">
          <w:rPr>
            <w:rStyle w:val="Hyperlink"/>
            <w:color w:val="4A442A" w:themeColor="background2" w:themeShade="40"/>
          </w:rPr>
          <w:br/>
        </w:r>
        <w:r w:rsidR="009D7FDE" w:rsidRPr="001D7FF7">
          <w:rPr>
            <w:rStyle w:val="Hyperlink"/>
            <w:color w:val="4A442A" w:themeColor="background2" w:themeShade="40"/>
          </w:rPr>
          <w:t>OF HUMAN TRAFFICKING IN GUATEMALA</w:t>
        </w:r>
        <w:r w:rsidR="009D7FDE" w:rsidRPr="001D7FF7">
          <w:rPr>
            <w:webHidden/>
          </w:rPr>
          <w:tab/>
        </w:r>
        <w:r w:rsidR="009D7FDE" w:rsidRPr="001D7FF7">
          <w:rPr>
            <w:webHidden/>
          </w:rPr>
          <w:fldChar w:fldCharType="begin"/>
        </w:r>
        <w:r w:rsidR="009D7FDE" w:rsidRPr="001D7FF7">
          <w:rPr>
            <w:webHidden/>
          </w:rPr>
          <w:instrText xml:space="preserve"> PAGEREF _Toc509827653 \h </w:instrText>
        </w:r>
        <w:r w:rsidR="009D7FDE" w:rsidRPr="001D7FF7">
          <w:rPr>
            <w:webHidden/>
          </w:rPr>
        </w:r>
        <w:r w:rsidR="009D7FDE" w:rsidRPr="001D7FF7">
          <w:rPr>
            <w:webHidden/>
          </w:rPr>
          <w:fldChar w:fldCharType="separate"/>
        </w:r>
        <w:r w:rsidR="009D7FDE" w:rsidRPr="001D7FF7">
          <w:rPr>
            <w:webHidden/>
          </w:rPr>
          <w:t>111</w:t>
        </w:r>
        <w:r w:rsidR="009D7FDE" w:rsidRPr="001D7FF7">
          <w:rPr>
            <w:webHidden/>
          </w:rPr>
          <w:fldChar w:fldCharType="end"/>
        </w:r>
      </w:hyperlink>
    </w:p>
    <w:p w14:paraId="35F5B4D0"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54"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Internal Displacement</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_Toc509827654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112</w:t>
        </w:r>
        <w:r w:rsidR="009D7FDE" w:rsidRPr="001D7FF7">
          <w:rPr>
            <w:rStyle w:val="Hyperlink"/>
            <w:rFonts w:asciiTheme="minorHAnsi" w:hAnsiTheme="minorHAnsi"/>
            <w:i/>
            <w:webHidden/>
            <w:sz w:val="20"/>
            <w:szCs w:val="20"/>
          </w:rPr>
          <w:fldChar w:fldCharType="end"/>
        </w:r>
      </w:hyperlink>
    </w:p>
    <w:p w14:paraId="2E264F67"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55"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Forced Evictions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_Toc509827655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114</w:t>
        </w:r>
        <w:r w:rsidR="009D7FDE" w:rsidRPr="001D7FF7">
          <w:rPr>
            <w:rStyle w:val="Hyperlink"/>
            <w:rFonts w:asciiTheme="minorHAnsi" w:hAnsiTheme="minorHAnsi"/>
            <w:i/>
            <w:webHidden/>
            <w:sz w:val="20"/>
            <w:szCs w:val="20"/>
          </w:rPr>
          <w:fldChar w:fldCharType="end"/>
        </w:r>
      </w:hyperlink>
    </w:p>
    <w:p w14:paraId="0EC0F2F8"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56" w:history="1">
        <w:r w:rsidR="009D7FDE" w:rsidRPr="001D7FF7">
          <w:rPr>
            <w:rStyle w:val="Hyperlink"/>
            <w:rFonts w:asciiTheme="minorHAnsi" w:hAnsiTheme="minorHAnsi"/>
            <w:i/>
            <w:noProof/>
            <w:sz w:val="20"/>
            <w:szCs w:val="20"/>
          </w:rPr>
          <w:t>C.</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International Migration: Migrants, Asylum-Seekers and Refugees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_Toc509827656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124</w:t>
        </w:r>
        <w:r w:rsidR="009D7FDE" w:rsidRPr="001D7FF7">
          <w:rPr>
            <w:rStyle w:val="Hyperlink"/>
            <w:rFonts w:asciiTheme="minorHAnsi" w:hAnsiTheme="minorHAnsi"/>
            <w:i/>
            <w:webHidden/>
            <w:sz w:val="20"/>
            <w:szCs w:val="20"/>
          </w:rPr>
          <w:fldChar w:fldCharType="end"/>
        </w:r>
      </w:hyperlink>
    </w:p>
    <w:p w14:paraId="1B35D1B0"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57" w:history="1">
        <w:r w:rsidR="009D7FDE" w:rsidRPr="001D7FF7">
          <w:rPr>
            <w:rStyle w:val="Hyperlink"/>
            <w:rFonts w:asciiTheme="minorHAnsi" w:hAnsiTheme="minorHAnsi"/>
            <w:i/>
            <w:noProof/>
            <w:sz w:val="20"/>
            <w:szCs w:val="20"/>
          </w:rPr>
          <w:t>D.</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Returned or Deported Migrants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_Toc509827657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128</w:t>
        </w:r>
        <w:r w:rsidR="009D7FDE" w:rsidRPr="001D7FF7">
          <w:rPr>
            <w:rStyle w:val="Hyperlink"/>
            <w:rFonts w:asciiTheme="minorHAnsi" w:hAnsiTheme="minorHAnsi"/>
            <w:i/>
            <w:webHidden/>
            <w:sz w:val="20"/>
            <w:szCs w:val="20"/>
          </w:rPr>
          <w:fldChar w:fldCharType="end"/>
        </w:r>
      </w:hyperlink>
    </w:p>
    <w:p w14:paraId="7ABA0C40"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58" w:history="1">
        <w:r w:rsidR="009D7FDE" w:rsidRPr="001D7FF7">
          <w:rPr>
            <w:rStyle w:val="Hyperlink"/>
            <w:rFonts w:asciiTheme="minorHAnsi" w:hAnsiTheme="minorHAnsi"/>
            <w:i/>
            <w:noProof/>
            <w:sz w:val="20"/>
            <w:szCs w:val="20"/>
          </w:rPr>
          <w:t>E.</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Human Trafficking</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_Toc509827658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129</w:t>
        </w:r>
        <w:r w:rsidR="009D7FDE" w:rsidRPr="001D7FF7">
          <w:rPr>
            <w:rStyle w:val="Hyperlink"/>
            <w:rFonts w:asciiTheme="minorHAnsi" w:hAnsiTheme="minorHAnsi"/>
            <w:i/>
            <w:webHidden/>
            <w:sz w:val="20"/>
            <w:szCs w:val="20"/>
          </w:rPr>
          <w:fldChar w:fldCharType="end"/>
        </w:r>
      </w:hyperlink>
    </w:p>
    <w:p w14:paraId="40ACD6D6" w14:textId="77777777" w:rsidR="00345AB2" w:rsidRPr="001D7FF7" w:rsidRDefault="00345AB2" w:rsidP="00345AB2">
      <w:pPr>
        <w:pStyle w:val="TOC1"/>
        <w:rPr>
          <w:rStyle w:val="Hyperlink"/>
        </w:rPr>
      </w:pPr>
    </w:p>
    <w:p w14:paraId="64998DB5" w14:textId="3733C402" w:rsidR="009D7FDE" w:rsidRPr="001D7FF7" w:rsidRDefault="00124AC0" w:rsidP="00345AB2">
      <w:pPr>
        <w:pStyle w:val="TOC1"/>
      </w:pPr>
      <w:hyperlink w:anchor="_Toc509827661" w:history="1">
        <w:r w:rsidR="009D7FDE" w:rsidRPr="001D7FF7">
          <w:rPr>
            <w:rStyle w:val="Hyperlink"/>
            <w:color w:val="808080" w:themeColor="background1" w:themeShade="80"/>
          </w:rPr>
          <w:t xml:space="preserve">CHAPTER 5 | </w:t>
        </w:r>
        <w:r w:rsidR="009D7FDE" w:rsidRPr="002F1C96">
          <w:rPr>
            <w:rStyle w:val="Hyperlink"/>
            <w:color w:val="4A442A" w:themeColor="background2" w:themeShade="40"/>
          </w:rPr>
          <w:t>SITUATION OF FREEDOM OF EXPRESSION</w:t>
        </w:r>
        <w:r w:rsidR="009D7FDE" w:rsidRPr="001D7FF7">
          <w:rPr>
            <w:webHidden/>
          </w:rPr>
          <w:tab/>
        </w:r>
        <w:r w:rsidR="009D7FDE" w:rsidRPr="001D7FF7">
          <w:rPr>
            <w:webHidden/>
          </w:rPr>
          <w:fldChar w:fldCharType="begin"/>
        </w:r>
        <w:r w:rsidR="009D7FDE" w:rsidRPr="001D7FF7">
          <w:rPr>
            <w:webHidden/>
          </w:rPr>
          <w:instrText xml:space="preserve"> PAGEREF _Toc509827661 \h </w:instrText>
        </w:r>
        <w:r w:rsidR="009D7FDE" w:rsidRPr="001D7FF7">
          <w:rPr>
            <w:webHidden/>
          </w:rPr>
        </w:r>
        <w:r w:rsidR="009D7FDE" w:rsidRPr="001D7FF7">
          <w:rPr>
            <w:webHidden/>
          </w:rPr>
          <w:fldChar w:fldCharType="separate"/>
        </w:r>
        <w:r w:rsidR="009D7FDE" w:rsidRPr="001D7FF7">
          <w:rPr>
            <w:webHidden/>
          </w:rPr>
          <w:t>135</w:t>
        </w:r>
        <w:r w:rsidR="009D7FDE" w:rsidRPr="001D7FF7">
          <w:rPr>
            <w:webHidden/>
          </w:rPr>
          <w:fldChar w:fldCharType="end"/>
        </w:r>
      </w:hyperlink>
    </w:p>
    <w:p w14:paraId="71DE3789"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62"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Situation of journalists and attacks to freedom of expression</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_Toc509827662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135</w:t>
        </w:r>
        <w:r w:rsidR="009D7FDE" w:rsidRPr="001D7FF7">
          <w:rPr>
            <w:rStyle w:val="Hyperlink"/>
            <w:rFonts w:asciiTheme="minorHAnsi" w:hAnsiTheme="minorHAnsi"/>
            <w:i/>
            <w:webHidden/>
            <w:sz w:val="20"/>
            <w:szCs w:val="20"/>
          </w:rPr>
          <w:fldChar w:fldCharType="end"/>
        </w:r>
      </w:hyperlink>
    </w:p>
    <w:p w14:paraId="75057A5A" w14:textId="77777777" w:rsidR="009D7FDE" w:rsidRPr="001D7FF7" w:rsidRDefault="00124AC0" w:rsidP="001D7FF7">
      <w:pPr>
        <w:pStyle w:val="TOC3"/>
        <w:tabs>
          <w:tab w:val="left" w:pos="720"/>
          <w:tab w:val="right" w:pos="7622"/>
        </w:tabs>
        <w:ind w:hanging="80"/>
        <w:rPr>
          <w:rStyle w:val="Hyperlink"/>
        </w:rPr>
      </w:pPr>
      <w:hyperlink w:anchor="_Toc509827663"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Murders of Journalists and Reporters, and Impunity for these Crimes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_Toc509827663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137</w:t>
        </w:r>
        <w:r w:rsidR="009D7FDE" w:rsidRPr="001D7FF7">
          <w:rPr>
            <w:rStyle w:val="Hyperlink"/>
            <w:webHidden/>
          </w:rPr>
          <w:fldChar w:fldCharType="end"/>
        </w:r>
      </w:hyperlink>
    </w:p>
    <w:p w14:paraId="6E33CB00" w14:textId="77777777" w:rsidR="009D7FDE" w:rsidRPr="001D7FF7" w:rsidRDefault="00124AC0" w:rsidP="001D7FF7">
      <w:pPr>
        <w:pStyle w:val="TOC3"/>
        <w:tabs>
          <w:tab w:val="left" w:pos="720"/>
          <w:tab w:val="right" w:pos="7622"/>
        </w:tabs>
        <w:ind w:hanging="80"/>
        <w:rPr>
          <w:rStyle w:val="Hyperlink"/>
        </w:rPr>
      </w:pPr>
      <w:hyperlink w:anchor="_Toc509827664"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Threats, Arrests, Harassment, and Attacks on Journalists and Media Outlets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_Toc509827664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142</w:t>
        </w:r>
        <w:r w:rsidR="009D7FDE" w:rsidRPr="001D7FF7">
          <w:rPr>
            <w:rStyle w:val="Hyperlink"/>
            <w:webHidden/>
          </w:rPr>
          <w:fldChar w:fldCharType="end"/>
        </w:r>
      </w:hyperlink>
    </w:p>
    <w:p w14:paraId="53FFA607" w14:textId="77777777" w:rsidR="009D7FDE" w:rsidRPr="001D7FF7" w:rsidRDefault="00124AC0" w:rsidP="001D7FF7">
      <w:pPr>
        <w:pStyle w:val="TOC3"/>
        <w:tabs>
          <w:tab w:val="left" w:pos="720"/>
          <w:tab w:val="right" w:pos="7622"/>
        </w:tabs>
        <w:ind w:hanging="80"/>
        <w:rPr>
          <w:rStyle w:val="Hyperlink"/>
        </w:rPr>
      </w:pPr>
      <w:hyperlink w:anchor="_Toc509827665"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Censorship</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_Toc509827665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146</w:t>
        </w:r>
        <w:r w:rsidR="009D7FDE" w:rsidRPr="001D7FF7">
          <w:rPr>
            <w:rStyle w:val="Hyperlink"/>
            <w:webHidden/>
          </w:rPr>
          <w:fldChar w:fldCharType="end"/>
        </w:r>
      </w:hyperlink>
    </w:p>
    <w:p w14:paraId="11912B18" w14:textId="77777777" w:rsidR="009D7FDE" w:rsidRPr="001D7FF7" w:rsidRDefault="00124AC0" w:rsidP="001D7FF7">
      <w:pPr>
        <w:pStyle w:val="TOC3"/>
        <w:tabs>
          <w:tab w:val="left" w:pos="720"/>
          <w:tab w:val="right" w:pos="7622"/>
        </w:tabs>
        <w:ind w:hanging="80"/>
        <w:rPr>
          <w:rStyle w:val="Hyperlink"/>
        </w:rPr>
      </w:pPr>
      <w:hyperlink w:anchor="_Toc509827666" w:history="1">
        <w:r w:rsidR="009D7FDE" w:rsidRPr="001D7FF7">
          <w:rPr>
            <w:rStyle w:val="Hyperlink"/>
            <w:rFonts w:asciiTheme="minorHAnsi" w:hAnsiTheme="minorHAnsi"/>
            <w:noProof/>
            <w:sz w:val="20"/>
            <w:szCs w:val="20"/>
          </w:rPr>
          <w:t>4.</w:t>
        </w:r>
        <w:r w:rsidR="009D7FDE" w:rsidRPr="001D7FF7">
          <w:rPr>
            <w:rStyle w:val="Hyperlink"/>
          </w:rPr>
          <w:tab/>
        </w:r>
        <w:r w:rsidR="009D7FDE" w:rsidRPr="001D7FF7">
          <w:rPr>
            <w:rStyle w:val="Hyperlink"/>
            <w:rFonts w:asciiTheme="minorHAnsi" w:hAnsiTheme="minorHAnsi"/>
            <w:noProof/>
            <w:sz w:val="20"/>
            <w:szCs w:val="20"/>
          </w:rPr>
          <w:t>Program for the Protection of Journalists and Media Workers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_Toc509827666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147</w:t>
        </w:r>
        <w:r w:rsidR="009D7FDE" w:rsidRPr="001D7FF7">
          <w:rPr>
            <w:rStyle w:val="Hyperlink"/>
            <w:webHidden/>
          </w:rPr>
          <w:fldChar w:fldCharType="end"/>
        </w:r>
      </w:hyperlink>
    </w:p>
    <w:p w14:paraId="092EF550"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67"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Situation of broadcasting</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_Toc509827667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152</w:t>
        </w:r>
        <w:r w:rsidR="009D7FDE" w:rsidRPr="001D7FF7">
          <w:rPr>
            <w:rStyle w:val="Hyperlink"/>
            <w:rFonts w:asciiTheme="minorHAnsi" w:hAnsiTheme="minorHAnsi"/>
            <w:i/>
            <w:webHidden/>
            <w:sz w:val="20"/>
            <w:szCs w:val="20"/>
          </w:rPr>
          <w:fldChar w:fldCharType="end"/>
        </w:r>
      </w:hyperlink>
    </w:p>
    <w:p w14:paraId="6985BD60" w14:textId="77777777" w:rsidR="009D7FDE" w:rsidRPr="001D7FF7" w:rsidRDefault="00124AC0" w:rsidP="001D7FF7">
      <w:pPr>
        <w:pStyle w:val="TOC3"/>
        <w:tabs>
          <w:tab w:val="left" w:pos="720"/>
          <w:tab w:val="right" w:pos="7622"/>
        </w:tabs>
        <w:ind w:hanging="80"/>
        <w:rPr>
          <w:rStyle w:val="Hyperlink"/>
        </w:rPr>
      </w:pPr>
      <w:hyperlink w:anchor="_Toc509827668"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Community Broadcasting</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_Toc509827668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152</w:t>
        </w:r>
        <w:r w:rsidR="009D7FDE" w:rsidRPr="001D7FF7">
          <w:rPr>
            <w:rStyle w:val="Hyperlink"/>
            <w:webHidden/>
          </w:rPr>
          <w:fldChar w:fldCharType="end"/>
        </w:r>
      </w:hyperlink>
    </w:p>
    <w:p w14:paraId="4ABEF85F" w14:textId="77777777" w:rsidR="009D7FDE" w:rsidRPr="001D7FF7" w:rsidRDefault="00124AC0" w:rsidP="001D7FF7">
      <w:pPr>
        <w:pStyle w:val="TOC3"/>
        <w:tabs>
          <w:tab w:val="left" w:pos="720"/>
          <w:tab w:val="right" w:pos="7622"/>
        </w:tabs>
        <w:ind w:hanging="80"/>
        <w:rPr>
          <w:rStyle w:val="Hyperlink"/>
        </w:rPr>
      </w:pPr>
      <w:hyperlink w:anchor="_Toc509827669"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Improper concentration of media ownership</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_Toc509827669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157</w:t>
        </w:r>
        <w:r w:rsidR="009D7FDE" w:rsidRPr="001D7FF7">
          <w:rPr>
            <w:rStyle w:val="Hyperlink"/>
            <w:webHidden/>
          </w:rPr>
          <w:fldChar w:fldCharType="end"/>
        </w:r>
      </w:hyperlink>
    </w:p>
    <w:p w14:paraId="1B4B2EF4" w14:textId="77777777" w:rsidR="009D7FDE" w:rsidRPr="001D7FF7" w:rsidRDefault="00124AC0" w:rsidP="001D7FF7">
      <w:pPr>
        <w:pStyle w:val="TOC3"/>
        <w:tabs>
          <w:tab w:val="left" w:pos="720"/>
          <w:tab w:val="right" w:pos="7622"/>
        </w:tabs>
        <w:ind w:hanging="80"/>
        <w:rPr>
          <w:rStyle w:val="Hyperlink"/>
        </w:rPr>
      </w:pPr>
      <w:hyperlink w:anchor="_Toc509827670"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Government Advertising</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_Toc509827670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160</w:t>
        </w:r>
        <w:r w:rsidR="009D7FDE" w:rsidRPr="001D7FF7">
          <w:rPr>
            <w:rStyle w:val="Hyperlink"/>
            <w:webHidden/>
          </w:rPr>
          <w:fldChar w:fldCharType="end"/>
        </w:r>
      </w:hyperlink>
    </w:p>
    <w:p w14:paraId="2E550355"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71" w:history="1">
        <w:r w:rsidR="009D7FDE" w:rsidRPr="001D7FF7">
          <w:rPr>
            <w:rStyle w:val="Hyperlink"/>
            <w:rFonts w:asciiTheme="minorHAnsi" w:hAnsiTheme="minorHAnsi"/>
            <w:i/>
            <w:noProof/>
            <w:sz w:val="20"/>
            <w:szCs w:val="20"/>
          </w:rPr>
          <w:t>C.</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Excesive Use of Force at Social Protests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_Toc509827671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163</w:t>
        </w:r>
        <w:r w:rsidR="009D7FDE" w:rsidRPr="001D7FF7">
          <w:rPr>
            <w:rStyle w:val="Hyperlink"/>
            <w:rFonts w:asciiTheme="minorHAnsi" w:hAnsiTheme="minorHAnsi"/>
            <w:i/>
            <w:webHidden/>
            <w:sz w:val="20"/>
            <w:szCs w:val="20"/>
          </w:rPr>
          <w:fldChar w:fldCharType="end"/>
        </w:r>
      </w:hyperlink>
    </w:p>
    <w:p w14:paraId="0E6DB2AB"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72" w:history="1">
        <w:r w:rsidR="009D7FDE" w:rsidRPr="001D7FF7">
          <w:rPr>
            <w:rStyle w:val="Hyperlink"/>
            <w:rFonts w:asciiTheme="minorHAnsi" w:hAnsiTheme="minorHAnsi"/>
            <w:i/>
            <w:noProof/>
            <w:sz w:val="20"/>
            <w:szCs w:val="20"/>
          </w:rPr>
          <w:t>D.</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Access to Public Information</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_Toc509827672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170</w:t>
        </w:r>
        <w:r w:rsidR="009D7FDE" w:rsidRPr="001D7FF7">
          <w:rPr>
            <w:rStyle w:val="Hyperlink"/>
            <w:rFonts w:asciiTheme="minorHAnsi" w:hAnsiTheme="minorHAnsi"/>
            <w:i/>
            <w:webHidden/>
            <w:sz w:val="20"/>
            <w:szCs w:val="20"/>
          </w:rPr>
          <w:fldChar w:fldCharType="end"/>
        </w:r>
      </w:hyperlink>
    </w:p>
    <w:p w14:paraId="41BA9EB8" w14:textId="77777777" w:rsidR="00345AB2" w:rsidRPr="001D7FF7" w:rsidRDefault="00345AB2" w:rsidP="00345AB2">
      <w:pPr>
        <w:pStyle w:val="TOC1"/>
        <w:rPr>
          <w:rStyle w:val="Hyperlink"/>
        </w:rPr>
      </w:pPr>
    </w:p>
    <w:p w14:paraId="765E0D93" w14:textId="54F95F61" w:rsidR="009D7FDE" w:rsidRPr="001D7FF7" w:rsidRDefault="00124AC0" w:rsidP="00345AB2">
      <w:pPr>
        <w:pStyle w:val="TOC1"/>
      </w:pPr>
      <w:hyperlink w:anchor="_Toc509827675" w:history="1">
        <w:r w:rsidR="009D7FDE" w:rsidRPr="001D7FF7">
          <w:rPr>
            <w:rStyle w:val="Hyperlink"/>
            <w:color w:val="808080" w:themeColor="background1" w:themeShade="80"/>
          </w:rPr>
          <w:t xml:space="preserve">CHAPTER 6 | </w:t>
        </w:r>
        <w:r w:rsidR="009D7FDE" w:rsidRPr="001D7FF7">
          <w:rPr>
            <w:rStyle w:val="Hyperlink"/>
            <w:color w:val="4A442A" w:themeColor="background2" w:themeShade="40"/>
          </w:rPr>
          <w:t>CITIZEN SECURITY</w:t>
        </w:r>
        <w:r w:rsidR="009D7FDE" w:rsidRPr="001D7FF7">
          <w:rPr>
            <w:webHidden/>
          </w:rPr>
          <w:tab/>
        </w:r>
        <w:r w:rsidR="009D7FDE" w:rsidRPr="001D7FF7">
          <w:rPr>
            <w:webHidden/>
          </w:rPr>
          <w:fldChar w:fldCharType="begin"/>
        </w:r>
        <w:r w:rsidR="009D7FDE" w:rsidRPr="001D7FF7">
          <w:rPr>
            <w:webHidden/>
          </w:rPr>
          <w:instrText xml:space="preserve"> PAGEREF _Toc509827675 \h </w:instrText>
        </w:r>
        <w:r w:rsidR="009D7FDE" w:rsidRPr="001D7FF7">
          <w:rPr>
            <w:webHidden/>
          </w:rPr>
        </w:r>
        <w:r w:rsidR="009D7FDE" w:rsidRPr="001D7FF7">
          <w:rPr>
            <w:webHidden/>
          </w:rPr>
          <w:fldChar w:fldCharType="separate"/>
        </w:r>
        <w:r w:rsidR="009D7FDE" w:rsidRPr="001D7FF7">
          <w:rPr>
            <w:webHidden/>
          </w:rPr>
          <w:t>175</w:t>
        </w:r>
        <w:r w:rsidR="009D7FDE" w:rsidRPr="001D7FF7">
          <w:rPr>
            <w:webHidden/>
          </w:rPr>
          <w:fldChar w:fldCharType="end"/>
        </w:r>
      </w:hyperlink>
    </w:p>
    <w:p w14:paraId="113BB046" w14:textId="100BFAF1" w:rsidR="009D7FDE" w:rsidRPr="001D7FF7" w:rsidRDefault="00124AC0" w:rsidP="001D7FF7">
      <w:pPr>
        <w:pStyle w:val="TOC2"/>
        <w:ind w:left="360" w:hanging="360"/>
        <w:rPr>
          <w:rStyle w:val="Hyperlink"/>
          <w:rFonts w:asciiTheme="minorHAnsi" w:hAnsiTheme="minorHAnsi"/>
          <w:i/>
          <w:sz w:val="20"/>
          <w:szCs w:val="20"/>
        </w:rPr>
      </w:pPr>
      <w:hyperlink w:anchor="_Toc509827676"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 xml:space="preserve">General Situation of Violence: Types, Areas of Highest Concentration, </w:t>
        </w:r>
        <w:r w:rsidR="002F1C96">
          <w:rPr>
            <w:rStyle w:val="Hyperlink"/>
            <w:rFonts w:asciiTheme="minorHAnsi" w:hAnsiTheme="minorHAnsi"/>
            <w:i/>
            <w:noProof/>
            <w:sz w:val="20"/>
            <w:szCs w:val="20"/>
          </w:rPr>
          <w:br/>
        </w:r>
        <w:r w:rsidR="009D7FDE" w:rsidRPr="001D7FF7">
          <w:rPr>
            <w:rStyle w:val="Hyperlink"/>
            <w:rFonts w:asciiTheme="minorHAnsi" w:hAnsiTheme="minorHAnsi"/>
            <w:i/>
            <w:noProof/>
            <w:sz w:val="20"/>
            <w:szCs w:val="20"/>
          </w:rPr>
          <w:t>Actors Involved</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_Toc509827676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175</w:t>
        </w:r>
        <w:r w:rsidR="009D7FDE" w:rsidRPr="001D7FF7">
          <w:rPr>
            <w:rStyle w:val="Hyperlink"/>
            <w:rFonts w:asciiTheme="minorHAnsi" w:hAnsiTheme="minorHAnsi"/>
            <w:i/>
            <w:webHidden/>
            <w:sz w:val="20"/>
            <w:szCs w:val="20"/>
          </w:rPr>
          <w:fldChar w:fldCharType="end"/>
        </w:r>
      </w:hyperlink>
    </w:p>
    <w:p w14:paraId="39E62840" w14:textId="77777777" w:rsidR="009D7FDE" w:rsidRPr="001D7FF7" w:rsidRDefault="00124AC0" w:rsidP="001D7FF7">
      <w:pPr>
        <w:pStyle w:val="TOC3"/>
        <w:tabs>
          <w:tab w:val="left" w:pos="720"/>
          <w:tab w:val="right" w:pos="7622"/>
        </w:tabs>
        <w:ind w:hanging="80"/>
        <w:rPr>
          <w:rStyle w:val="Hyperlink"/>
        </w:rPr>
      </w:pPr>
      <w:hyperlink w:anchor="_Toc509827677"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Homicides and other violent deaths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_Toc509827677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175</w:t>
        </w:r>
        <w:r w:rsidR="009D7FDE" w:rsidRPr="001D7FF7">
          <w:rPr>
            <w:rStyle w:val="Hyperlink"/>
            <w:webHidden/>
          </w:rPr>
          <w:fldChar w:fldCharType="end"/>
        </w:r>
      </w:hyperlink>
    </w:p>
    <w:p w14:paraId="4DA2E947" w14:textId="77777777" w:rsidR="009D7FDE" w:rsidRPr="001D7FF7" w:rsidRDefault="00124AC0" w:rsidP="001D7FF7">
      <w:pPr>
        <w:pStyle w:val="TOC3"/>
        <w:tabs>
          <w:tab w:val="left" w:pos="720"/>
          <w:tab w:val="right" w:pos="7622"/>
        </w:tabs>
        <w:ind w:hanging="80"/>
        <w:rPr>
          <w:rStyle w:val="Hyperlink"/>
        </w:rPr>
      </w:pPr>
      <w:hyperlink w:anchor="_Toc509827678"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Other Types of Violence and Insecurity</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_Toc509827678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178</w:t>
        </w:r>
        <w:r w:rsidR="009D7FDE" w:rsidRPr="001D7FF7">
          <w:rPr>
            <w:rStyle w:val="Hyperlink"/>
            <w:webHidden/>
          </w:rPr>
          <w:fldChar w:fldCharType="end"/>
        </w:r>
      </w:hyperlink>
    </w:p>
    <w:p w14:paraId="7DDC3450" w14:textId="77777777" w:rsidR="009D7FDE" w:rsidRPr="001D7FF7" w:rsidRDefault="00124AC0" w:rsidP="001D7FF7">
      <w:pPr>
        <w:pStyle w:val="TOC3"/>
        <w:tabs>
          <w:tab w:val="left" w:pos="720"/>
          <w:tab w:val="right" w:pos="7622"/>
        </w:tabs>
        <w:ind w:hanging="80"/>
        <w:rPr>
          <w:rStyle w:val="Hyperlink"/>
        </w:rPr>
      </w:pPr>
      <w:hyperlink w:anchor="_Toc509827679"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State’s Response</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_Toc509827679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180</w:t>
        </w:r>
        <w:r w:rsidR="009D7FDE" w:rsidRPr="001D7FF7">
          <w:rPr>
            <w:rStyle w:val="Hyperlink"/>
            <w:webHidden/>
          </w:rPr>
          <w:fldChar w:fldCharType="end"/>
        </w:r>
      </w:hyperlink>
    </w:p>
    <w:p w14:paraId="03CFD402"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80"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Effects on Particular Groups and Effectiveness of State Policies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_Toc509827680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184</w:t>
        </w:r>
        <w:r w:rsidR="009D7FDE" w:rsidRPr="001D7FF7">
          <w:rPr>
            <w:rStyle w:val="Hyperlink"/>
            <w:rFonts w:asciiTheme="minorHAnsi" w:hAnsiTheme="minorHAnsi"/>
            <w:i/>
            <w:webHidden/>
            <w:sz w:val="20"/>
            <w:szCs w:val="20"/>
          </w:rPr>
          <w:fldChar w:fldCharType="end"/>
        </w:r>
      </w:hyperlink>
    </w:p>
    <w:p w14:paraId="5704F644" w14:textId="77777777" w:rsidR="009D7FDE" w:rsidRPr="001D7FF7" w:rsidRDefault="00124AC0" w:rsidP="001D7FF7">
      <w:pPr>
        <w:pStyle w:val="TOC3"/>
        <w:tabs>
          <w:tab w:val="left" w:pos="720"/>
          <w:tab w:val="right" w:pos="7622"/>
        </w:tabs>
        <w:ind w:hanging="80"/>
        <w:rPr>
          <w:rStyle w:val="Hyperlink"/>
        </w:rPr>
      </w:pPr>
      <w:hyperlink w:anchor="_Toc509827681"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Women</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_Toc509827681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184</w:t>
        </w:r>
        <w:r w:rsidR="009D7FDE" w:rsidRPr="001D7FF7">
          <w:rPr>
            <w:rStyle w:val="Hyperlink"/>
            <w:webHidden/>
          </w:rPr>
          <w:fldChar w:fldCharType="end"/>
        </w:r>
      </w:hyperlink>
    </w:p>
    <w:p w14:paraId="7468689D" w14:textId="77777777" w:rsidR="009D7FDE" w:rsidRPr="001D7FF7" w:rsidRDefault="00124AC0" w:rsidP="001D7FF7">
      <w:pPr>
        <w:pStyle w:val="TOC3"/>
        <w:tabs>
          <w:tab w:val="left" w:pos="720"/>
          <w:tab w:val="right" w:pos="7622"/>
        </w:tabs>
        <w:ind w:hanging="80"/>
        <w:rPr>
          <w:rStyle w:val="Hyperlink"/>
        </w:rPr>
      </w:pPr>
      <w:hyperlink w:anchor="_Toc509827682"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Children and Adolescents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_Toc509827682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187</w:t>
        </w:r>
        <w:r w:rsidR="009D7FDE" w:rsidRPr="001D7FF7">
          <w:rPr>
            <w:rStyle w:val="Hyperlink"/>
            <w:webHidden/>
          </w:rPr>
          <w:fldChar w:fldCharType="end"/>
        </w:r>
      </w:hyperlink>
    </w:p>
    <w:p w14:paraId="64824E09" w14:textId="77777777" w:rsidR="009D7FDE" w:rsidRPr="001D7FF7" w:rsidRDefault="00124AC0" w:rsidP="001D7FF7">
      <w:pPr>
        <w:pStyle w:val="TOC3"/>
        <w:tabs>
          <w:tab w:val="left" w:pos="720"/>
          <w:tab w:val="right" w:pos="7622"/>
        </w:tabs>
        <w:ind w:hanging="80"/>
        <w:rPr>
          <w:rStyle w:val="Hyperlink"/>
        </w:rPr>
      </w:pPr>
      <w:hyperlink w:anchor="_Toc509827683"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Indigenous Peoples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_Toc509827683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191</w:t>
        </w:r>
        <w:r w:rsidR="009D7FDE" w:rsidRPr="001D7FF7">
          <w:rPr>
            <w:rStyle w:val="Hyperlink"/>
            <w:webHidden/>
          </w:rPr>
          <w:fldChar w:fldCharType="end"/>
        </w:r>
      </w:hyperlink>
    </w:p>
    <w:p w14:paraId="75F8AAF9" w14:textId="77777777" w:rsidR="009D7FDE" w:rsidRPr="001D7FF7" w:rsidRDefault="00124AC0" w:rsidP="001D7FF7">
      <w:pPr>
        <w:pStyle w:val="TOC3"/>
        <w:tabs>
          <w:tab w:val="left" w:pos="720"/>
          <w:tab w:val="right" w:pos="7622"/>
        </w:tabs>
        <w:ind w:hanging="80"/>
        <w:rPr>
          <w:rStyle w:val="Hyperlink"/>
        </w:rPr>
      </w:pPr>
      <w:hyperlink w:anchor="_Toc509827684" w:history="1">
        <w:r w:rsidR="009D7FDE" w:rsidRPr="001D7FF7">
          <w:rPr>
            <w:rStyle w:val="Hyperlink"/>
            <w:rFonts w:asciiTheme="minorHAnsi" w:hAnsiTheme="minorHAnsi"/>
            <w:noProof/>
            <w:sz w:val="20"/>
            <w:szCs w:val="20"/>
          </w:rPr>
          <w:t>4.</w:t>
        </w:r>
        <w:r w:rsidR="009D7FDE" w:rsidRPr="001D7FF7">
          <w:rPr>
            <w:rStyle w:val="Hyperlink"/>
          </w:rPr>
          <w:tab/>
        </w:r>
        <w:r w:rsidR="009D7FDE" w:rsidRPr="001D7FF7">
          <w:rPr>
            <w:rStyle w:val="Hyperlink"/>
            <w:rFonts w:asciiTheme="minorHAnsi" w:hAnsiTheme="minorHAnsi"/>
            <w:noProof/>
            <w:sz w:val="20"/>
            <w:szCs w:val="20"/>
          </w:rPr>
          <w:t>LGBTI Persons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_Toc509827684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193</w:t>
        </w:r>
        <w:r w:rsidR="009D7FDE" w:rsidRPr="001D7FF7">
          <w:rPr>
            <w:rStyle w:val="Hyperlink"/>
            <w:webHidden/>
          </w:rPr>
          <w:fldChar w:fldCharType="end"/>
        </w:r>
      </w:hyperlink>
    </w:p>
    <w:p w14:paraId="5FC40E63"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85" w:history="1">
        <w:r w:rsidR="009D7FDE" w:rsidRPr="001D7FF7">
          <w:rPr>
            <w:rStyle w:val="Hyperlink"/>
            <w:rFonts w:asciiTheme="minorHAnsi" w:hAnsiTheme="minorHAnsi"/>
            <w:i/>
            <w:noProof/>
            <w:sz w:val="20"/>
            <w:szCs w:val="20"/>
          </w:rPr>
          <w:t>C.</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Death Penalty</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_Toc509827685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195</w:t>
        </w:r>
        <w:r w:rsidR="009D7FDE" w:rsidRPr="001D7FF7">
          <w:rPr>
            <w:rStyle w:val="Hyperlink"/>
            <w:rFonts w:asciiTheme="minorHAnsi" w:hAnsiTheme="minorHAnsi"/>
            <w:i/>
            <w:webHidden/>
            <w:sz w:val="20"/>
            <w:szCs w:val="20"/>
          </w:rPr>
          <w:fldChar w:fldCharType="end"/>
        </w:r>
      </w:hyperlink>
    </w:p>
    <w:p w14:paraId="2F67BD8E" w14:textId="77777777" w:rsidR="00345AB2" w:rsidRPr="001D7FF7" w:rsidRDefault="00345AB2" w:rsidP="00345AB2">
      <w:pPr>
        <w:pStyle w:val="TOC1"/>
        <w:rPr>
          <w:rStyle w:val="Hyperlink"/>
        </w:rPr>
      </w:pPr>
    </w:p>
    <w:p w14:paraId="74E2C557" w14:textId="11F122CC" w:rsidR="009D7FDE" w:rsidRPr="001D7FF7" w:rsidRDefault="00124AC0" w:rsidP="00345AB2">
      <w:pPr>
        <w:pStyle w:val="TOC1"/>
      </w:pPr>
      <w:hyperlink w:anchor="_Toc509827688" w:history="1">
        <w:r w:rsidR="009D7FDE" w:rsidRPr="001D7FF7">
          <w:rPr>
            <w:rStyle w:val="Hyperlink"/>
            <w:color w:val="808080" w:themeColor="background1" w:themeShade="80"/>
          </w:rPr>
          <w:t xml:space="preserve">CHAPTER 7 | </w:t>
        </w:r>
        <w:r w:rsidR="009D7FDE" w:rsidRPr="001D7FF7">
          <w:rPr>
            <w:rStyle w:val="Hyperlink"/>
            <w:color w:val="4A442A" w:themeColor="background2" w:themeShade="40"/>
          </w:rPr>
          <w:t>SITUATION OF PERSONS UNDER STATE CUSTODY</w:t>
        </w:r>
        <w:r w:rsidR="009D7FDE" w:rsidRPr="001D7FF7">
          <w:rPr>
            <w:webHidden/>
          </w:rPr>
          <w:tab/>
        </w:r>
        <w:r w:rsidR="009D7FDE" w:rsidRPr="001D7FF7">
          <w:rPr>
            <w:webHidden/>
          </w:rPr>
          <w:fldChar w:fldCharType="begin"/>
        </w:r>
        <w:r w:rsidR="009D7FDE" w:rsidRPr="001D7FF7">
          <w:rPr>
            <w:webHidden/>
          </w:rPr>
          <w:instrText xml:space="preserve"> PAGEREF _Toc509827688 \h </w:instrText>
        </w:r>
        <w:r w:rsidR="009D7FDE" w:rsidRPr="001D7FF7">
          <w:rPr>
            <w:webHidden/>
          </w:rPr>
        </w:r>
        <w:r w:rsidR="009D7FDE" w:rsidRPr="001D7FF7">
          <w:rPr>
            <w:webHidden/>
          </w:rPr>
          <w:fldChar w:fldCharType="separate"/>
        </w:r>
        <w:r w:rsidR="009D7FDE" w:rsidRPr="001D7FF7">
          <w:rPr>
            <w:webHidden/>
          </w:rPr>
          <w:t>201</w:t>
        </w:r>
        <w:r w:rsidR="009D7FDE" w:rsidRPr="001D7FF7">
          <w:rPr>
            <w:webHidden/>
          </w:rPr>
          <w:fldChar w:fldCharType="end"/>
        </w:r>
      </w:hyperlink>
    </w:p>
    <w:p w14:paraId="3AB995B7"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89"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Persons Deprived of Liberty</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_Toc509827689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201</w:t>
        </w:r>
        <w:r w:rsidR="009D7FDE" w:rsidRPr="001D7FF7">
          <w:rPr>
            <w:rStyle w:val="Hyperlink"/>
            <w:rFonts w:asciiTheme="minorHAnsi" w:hAnsiTheme="minorHAnsi"/>
            <w:i/>
            <w:webHidden/>
            <w:sz w:val="20"/>
            <w:szCs w:val="20"/>
          </w:rPr>
          <w:fldChar w:fldCharType="end"/>
        </w:r>
      </w:hyperlink>
    </w:p>
    <w:p w14:paraId="7CB151BD" w14:textId="77777777" w:rsidR="009D7FDE" w:rsidRPr="001D7FF7" w:rsidRDefault="00124AC0" w:rsidP="001D7FF7">
      <w:pPr>
        <w:pStyle w:val="TOC3"/>
        <w:tabs>
          <w:tab w:val="left" w:pos="720"/>
          <w:tab w:val="right" w:pos="7622"/>
        </w:tabs>
        <w:ind w:hanging="80"/>
        <w:rPr>
          <w:rStyle w:val="Hyperlink"/>
        </w:rPr>
      </w:pPr>
      <w:hyperlink w:anchor="_Toc509827690" w:history="1">
        <w:r w:rsidR="009D7FDE" w:rsidRPr="001D7FF7">
          <w:rPr>
            <w:rStyle w:val="Hyperlink"/>
            <w:rFonts w:asciiTheme="minorHAnsi" w:hAnsiTheme="minorHAnsi"/>
            <w:noProof/>
            <w:sz w:val="20"/>
            <w:szCs w:val="20"/>
          </w:rPr>
          <w:t>1.</w:t>
        </w:r>
        <w:r w:rsidR="009D7FDE" w:rsidRPr="001D7FF7">
          <w:rPr>
            <w:rStyle w:val="Hyperlink"/>
          </w:rPr>
          <w:tab/>
        </w:r>
        <w:r w:rsidR="009D7FDE" w:rsidRPr="001D7FF7">
          <w:rPr>
            <w:rStyle w:val="Hyperlink"/>
            <w:rFonts w:asciiTheme="minorHAnsi" w:hAnsiTheme="minorHAnsi"/>
            <w:noProof/>
            <w:sz w:val="20"/>
            <w:szCs w:val="20"/>
          </w:rPr>
          <w:t>Overcrowding and excessive use of pre-trial detention</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_Toc509827690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202</w:t>
        </w:r>
        <w:r w:rsidR="009D7FDE" w:rsidRPr="001D7FF7">
          <w:rPr>
            <w:rStyle w:val="Hyperlink"/>
            <w:webHidden/>
          </w:rPr>
          <w:fldChar w:fldCharType="end"/>
        </w:r>
      </w:hyperlink>
    </w:p>
    <w:p w14:paraId="3999ABB5" w14:textId="77777777" w:rsidR="009D7FDE" w:rsidRPr="001D7FF7" w:rsidRDefault="00124AC0">
      <w:pPr>
        <w:pStyle w:val="TOC4"/>
        <w:tabs>
          <w:tab w:val="left" w:pos="1100"/>
          <w:tab w:val="right" w:pos="7622"/>
        </w:tabs>
        <w:rPr>
          <w:rFonts w:asciiTheme="minorHAnsi" w:hAnsiTheme="minorHAnsi"/>
          <w:noProof/>
          <w:sz w:val="20"/>
          <w:szCs w:val="20"/>
        </w:rPr>
      </w:pPr>
      <w:hyperlink w:anchor="_Toc509827691" w:history="1">
        <w:r w:rsidR="009D7FDE" w:rsidRPr="001D7FF7">
          <w:rPr>
            <w:rStyle w:val="Hyperlink"/>
            <w:rFonts w:asciiTheme="minorHAnsi" w:hAnsiTheme="minorHAnsi"/>
            <w:noProof/>
            <w:sz w:val="20"/>
            <w:szCs w:val="20"/>
          </w:rPr>
          <w:t>a)</w:t>
        </w:r>
        <w:r w:rsidR="009D7FDE" w:rsidRPr="001D7FF7">
          <w:rPr>
            <w:rFonts w:asciiTheme="minorHAnsi" w:hAnsiTheme="minorHAnsi"/>
            <w:noProof/>
            <w:sz w:val="20"/>
            <w:szCs w:val="20"/>
          </w:rPr>
          <w:tab/>
        </w:r>
        <w:r w:rsidR="009D7FDE" w:rsidRPr="001D7FF7">
          <w:rPr>
            <w:rStyle w:val="Hyperlink"/>
            <w:rFonts w:asciiTheme="minorHAnsi" w:hAnsiTheme="minorHAnsi"/>
            <w:noProof/>
            <w:sz w:val="20"/>
            <w:szCs w:val="20"/>
          </w:rPr>
          <w:t>General considerations</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_Toc509827691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202</w:t>
        </w:r>
        <w:r w:rsidR="009D7FDE" w:rsidRPr="001D7FF7">
          <w:rPr>
            <w:rFonts w:asciiTheme="minorHAnsi" w:hAnsiTheme="minorHAnsi"/>
            <w:noProof/>
            <w:webHidden/>
            <w:sz w:val="20"/>
            <w:szCs w:val="20"/>
          </w:rPr>
          <w:fldChar w:fldCharType="end"/>
        </w:r>
      </w:hyperlink>
    </w:p>
    <w:p w14:paraId="575D15BF" w14:textId="77777777" w:rsidR="009D7FDE" w:rsidRPr="001D7FF7" w:rsidRDefault="00124AC0">
      <w:pPr>
        <w:pStyle w:val="TOC4"/>
        <w:tabs>
          <w:tab w:val="left" w:pos="1100"/>
          <w:tab w:val="right" w:pos="7622"/>
        </w:tabs>
        <w:rPr>
          <w:rFonts w:asciiTheme="minorHAnsi" w:hAnsiTheme="minorHAnsi"/>
          <w:noProof/>
          <w:sz w:val="20"/>
          <w:szCs w:val="20"/>
        </w:rPr>
      </w:pPr>
      <w:hyperlink w:anchor="_Toc509827692" w:history="1">
        <w:r w:rsidR="009D7FDE" w:rsidRPr="001D7FF7">
          <w:rPr>
            <w:rStyle w:val="Hyperlink"/>
            <w:rFonts w:asciiTheme="minorHAnsi" w:hAnsiTheme="minorHAnsi"/>
            <w:noProof/>
            <w:sz w:val="20"/>
            <w:szCs w:val="20"/>
          </w:rPr>
          <w:t>b)</w:t>
        </w:r>
        <w:r w:rsidR="009D7FDE" w:rsidRPr="001D7FF7">
          <w:rPr>
            <w:rFonts w:asciiTheme="minorHAnsi" w:hAnsiTheme="minorHAnsi"/>
            <w:noProof/>
            <w:sz w:val="20"/>
            <w:szCs w:val="20"/>
          </w:rPr>
          <w:tab/>
        </w:r>
        <w:r w:rsidR="009D7FDE" w:rsidRPr="001D7FF7">
          <w:rPr>
            <w:rStyle w:val="Hyperlink"/>
            <w:rFonts w:asciiTheme="minorHAnsi" w:hAnsiTheme="minorHAnsi"/>
            <w:noProof/>
            <w:sz w:val="20"/>
            <w:szCs w:val="20"/>
          </w:rPr>
          <w:t>Major challenges to reducing pretrial detention</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_Toc509827692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204</w:t>
        </w:r>
        <w:r w:rsidR="009D7FDE" w:rsidRPr="001D7FF7">
          <w:rPr>
            <w:rFonts w:asciiTheme="minorHAnsi" w:hAnsiTheme="minorHAnsi"/>
            <w:noProof/>
            <w:webHidden/>
            <w:sz w:val="20"/>
            <w:szCs w:val="20"/>
          </w:rPr>
          <w:fldChar w:fldCharType="end"/>
        </w:r>
      </w:hyperlink>
    </w:p>
    <w:p w14:paraId="291815CF" w14:textId="77777777" w:rsidR="009D7FDE" w:rsidRPr="001D7FF7" w:rsidRDefault="00124AC0">
      <w:pPr>
        <w:pStyle w:val="TOC4"/>
        <w:tabs>
          <w:tab w:val="left" w:pos="1100"/>
          <w:tab w:val="right" w:pos="7622"/>
        </w:tabs>
        <w:rPr>
          <w:rFonts w:asciiTheme="minorHAnsi" w:hAnsiTheme="minorHAnsi"/>
          <w:noProof/>
          <w:sz w:val="20"/>
          <w:szCs w:val="20"/>
        </w:rPr>
      </w:pPr>
      <w:hyperlink w:anchor="_Toc509827693" w:history="1">
        <w:r w:rsidR="009D7FDE" w:rsidRPr="001D7FF7">
          <w:rPr>
            <w:rStyle w:val="Hyperlink"/>
            <w:rFonts w:asciiTheme="minorHAnsi" w:hAnsiTheme="minorHAnsi"/>
            <w:noProof/>
            <w:sz w:val="20"/>
            <w:szCs w:val="20"/>
          </w:rPr>
          <w:t>c)</w:t>
        </w:r>
        <w:r w:rsidR="009D7FDE" w:rsidRPr="001D7FF7">
          <w:rPr>
            <w:rFonts w:asciiTheme="minorHAnsi" w:hAnsiTheme="minorHAnsi"/>
            <w:noProof/>
            <w:sz w:val="20"/>
            <w:szCs w:val="20"/>
          </w:rPr>
          <w:tab/>
        </w:r>
        <w:r w:rsidR="009D7FDE" w:rsidRPr="001D7FF7">
          <w:rPr>
            <w:rStyle w:val="Hyperlink"/>
            <w:rFonts w:asciiTheme="minorHAnsi" w:hAnsiTheme="minorHAnsi"/>
            <w:noProof/>
            <w:sz w:val="20"/>
            <w:szCs w:val="20"/>
          </w:rPr>
          <w:t>Alternative measures to pretrial detention</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_Toc509827693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209</w:t>
        </w:r>
        <w:r w:rsidR="009D7FDE" w:rsidRPr="001D7FF7">
          <w:rPr>
            <w:rFonts w:asciiTheme="minorHAnsi" w:hAnsiTheme="minorHAnsi"/>
            <w:noProof/>
            <w:webHidden/>
            <w:sz w:val="20"/>
            <w:szCs w:val="20"/>
          </w:rPr>
          <w:fldChar w:fldCharType="end"/>
        </w:r>
      </w:hyperlink>
    </w:p>
    <w:p w14:paraId="1C095C60" w14:textId="77777777" w:rsidR="009D7FDE" w:rsidRPr="001D7FF7" w:rsidRDefault="00124AC0" w:rsidP="001D7FF7">
      <w:pPr>
        <w:pStyle w:val="TOC3"/>
        <w:tabs>
          <w:tab w:val="left" w:pos="720"/>
          <w:tab w:val="right" w:pos="7622"/>
        </w:tabs>
        <w:ind w:hanging="80"/>
        <w:rPr>
          <w:rStyle w:val="Hyperlink"/>
        </w:rPr>
      </w:pPr>
      <w:hyperlink w:anchor="_Toc509827694" w:history="1">
        <w:r w:rsidR="009D7FDE" w:rsidRPr="001D7FF7">
          <w:rPr>
            <w:rStyle w:val="Hyperlink"/>
            <w:rFonts w:asciiTheme="minorHAnsi" w:hAnsiTheme="minorHAnsi"/>
            <w:noProof/>
            <w:sz w:val="20"/>
            <w:szCs w:val="20"/>
          </w:rPr>
          <w:t>2.</w:t>
        </w:r>
        <w:r w:rsidR="009D7FDE" w:rsidRPr="001D7FF7">
          <w:rPr>
            <w:rStyle w:val="Hyperlink"/>
          </w:rPr>
          <w:tab/>
        </w:r>
        <w:r w:rsidR="009D7FDE" w:rsidRPr="001D7FF7">
          <w:rPr>
            <w:rStyle w:val="Hyperlink"/>
            <w:rFonts w:asciiTheme="minorHAnsi" w:hAnsiTheme="minorHAnsi"/>
            <w:noProof/>
            <w:sz w:val="20"/>
            <w:szCs w:val="20"/>
          </w:rPr>
          <w:t>Conditions of Detention</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_Toc509827694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212</w:t>
        </w:r>
        <w:r w:rsidR="009D7FDE" w:rsidRPr="001D7FF7">
          <w:rPr>
            <w:rStyle w:val="Hyperlink"/>
            <w:webHidden/>
          </w:rPr>
          <w:fldChar w:fldCharType="end"/>
        </w:r>
      </w:hyperlink>
    </w:p>
    <w:p w14:paraId="2E298EDD" w14:textId="77777777" w:rsidR="009D7FDE" w:rsidRPr="001D7FF7" w:rsidRDefault="00124AC0" w:rsidP="001D7FF7">
      <w:pPr>
        <w:pStyle w:val="TOC3"/>
        <w:tabs>
          <w:tab w:val="left" w:pos="720"/>
          <w:tab w:val="right" w:pos="7622"/>
        </w:tabs>
        <w:ind w:hanging="80"/>
        <w:rPr>
          <w:rStyle w:val="Hyperlink"/>
        </w:rPr>
      </w:pPr>
      <w:hyperlink w:anchor="_Toc509827695" w:history="1">
        <w:r w:rsidR="009D7FDE" w:rsidRPr="001D7FF7">
          <w:rPr>
            <w:rStyle w:val="Hyperlink"/>
            <w:rFonts w:asciiTheme="minorHAnsi" w:hAnsiTheme="minorHAnsi"/>
            <w:noProof/>
            <w:sz w:val="20"/>
            <w:szCs w:val="20"/>
          </w:rPr>
          <w:t>3.</w:t>
        </w:r>
        <w:r w:rsidR="009D7FDE" w:rsidRPr="001D7FF7">
          <w:rPr>
            <w:rStyle w:val="Hyperlink"/>
          </w:rPr>
          <w:tab/>
        </w:r>
        <w:r w:rsidR="009D7FDE" w:rsidRPr="001D7FF7">
          <w:rPr>
            <w:rStyle w:val="Hyperlink"/>
            <w:rFonts w:asciiTheme="minorHAnsi" w:hAnsiTheme="minorHAnsi"/>
            <w:noProof/>
            <w:sz w:val="20"/>
            <w:szCs w:val="20"/>
          </w:rPr>
          <w:t>Acts of Violence Occurring at Prison Facilities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_Toc509827695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215</w:t>
        </w:r>
        <w:r w:rsidR="009D7FDE" w:rsidRPr="001D7FF7">
          <w:rPr>
            <w:rStyle w:val="Hyperlink"/>
            <w:webHidden/>
          </w:rPr>
          <w:fldChar w:fldCharType="end"/>
        </w:r>
      </w:hyperlink>
    </w:p>
    <w:p w14:paraId="0B5A92C6" w14:textId="77777777" w:rsidR="009D7FDE" w:rsidRPr="001D7FF7" w:rsidRDefault="00124AC0" w:rsidP="001D7FF7">
      <w:pPr>
        <w:pStyle w:val="TOC3"/>
        <w:tabs>
          <w:tab w:val="left" w:pos="720"/>
          <w:tab w:val="right" w:pos="7622"/>
        </w:tabs>
        <w:ind w:hanging="80"/>
        <w:rPr>
          <w:rStyle w:val="Hyperlink"/>
        </w:rPr>
      </w:pPr>
      <w:hyperlink w:anchor="_Toc509827696" w:history="1">
        <w:r w:rsidR="009D7FDE" w:rsidRPr="001D7FF7">
          <w:rPr>
            <w:rStyle w:val="Hyperlink"/>
            <w:rFonts w:asciiTheme="minorHAnsi" w:hAnsiTheme="minorHAnsi"/>
            <w:noProof/>
            <w:sz w:val="20"/>
            <w:szCs w:val="20"/>
          </w:rPr>
          <w:t>4.</w:t>
        </w:r>
        <w:r w:rsidR="009D7FDE" w:rsidRPr="001D7FF7">
          <w:rPr>
            <w:rStyle w:val="Hyperlink"/>
          </w:rPr>
          <w:tab/>
        </w:r>
        <w:r w:rsidR="009D7FDE" w:rsidRPr="001D7FF7">
          <w:rPr>
            <w:rStyle w:val="Hyperlink"/>
            <w:rFonts w:asciiTheme="minorHAnsi" w:hAnsiTheme="minorHAnsi"/>
            <w:noProof/>
            <w:sz w:val="20"/>
            <w:szCs w:val="20"/>
          </w:rPr>
          <w:t>Depravation of Liberty at Police Stations and on Military Bases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_Toc509827696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216</w:t>
        </w:r>
        <w:r w:rsidR="009D7FDE" w:rsidRPr="001D7FF7">
          <w:rPr>
            <w:rStyle w:val="Hyperlink"/>
            <w:webHidden/>
          </w:rPr>
          <w:fldChar w:fldCharType="end"/>
        </w:r>
      </w:hyperlink>
    </w:p>
    <w:p w14:paraId="2CBD6B48" w14:textId="77777777" w:rsidR="009D7FDE" w:rsidRPr="001D7FF7" w:rsidRDefault="00124AC0" w:rsidP="001D7FF7">
      <w:pPr>
        <w:pStyle w:val="TOC3"/>
        <w:tabs>
          <w:tab w:val="left" w:pos="720"/>
          <w:tab w:val="right" w:pos="7622"/>
        </w:tabs>
        <w:ind w:hanging="80"/>
        <w:rPr>
          <w:rStyle w:val="Hyperlink"/>
        </w:rPr>
      </w:pPr>
      <w:hyperlink w:anchor="_Toc509827697" w:history="1">
        <w:r w:rsidR="009D7FDE" w:rsidRPr="001D7FF7">
          <w:rPr>
            <w:rStyle w:val="Hyperlink"/>
            <w:rFonts w:asciiTheme="minorHAnsi" w:hAnsiTheme="minorHAnsi"/>
            <w:noProof/>
            <w:sz w:val="20"/>
            <w:szCs w:val="20"/>
          </w:rPr>
          <w:t>5.</w:t>
        </w:r>
        <w:r w:rsidR="009D7FDE" w:rsidRPr="001D7FF7">
          <w:rPr>
            <w:rStyle w:val="Hyperlink"/>
          </w:rPr>
          <w:tab/>
        </w:r>
        <w:r w:rsidR="009D7FDE" w:rsidRPr="001D7FF7">
          <w:rPr>
            <w:rStyle w:val="Hyperlink"/>
            <w:rFonts w:asciiTheme="minorHAnsi" w:hAnsiTheme="minorHAnsi"/>
            <w:noProof/>
            <w:sz w:val="20"/>
            <w:szCs w:val="20"/>
          </w:rPr>
          <w:t>Imposition of Fines for Money Laundering Convictions</w:t>
        </w:r>
        <w:r w:rsidR="009D7FDE" w:rsidRPr="001D7FF7">
          <w:rPr>
            <w:rStyle w:val="Hyperlink"/>
            <w:webHidden/>
          </w:rPr>
          <w:tab/>
        </w:r>
        <w:r w:rsidR="009D7FDE" w:rsidRPr="001D7FF7">
          <w:rPr>
            <w:rStyle w:val="Hyperlink"/>
            <w:webHidden/>
          </w:rPr>
          <w:fldChar w:fldCharType="begin"/>
        </w:r>
        <w:r w:rsidR="009D7FDE" w:rsidRPr="001D7FF7">
          <w:rPr>
            <w:rStyle w:val="Hyperlink"/>
            <w:webHidden/>
          </w:rPr>
          <w:instrText xml:space="preserve"> PAGEREF _Toc509827697 \h </w:instrText>
        </w:r>
        <w:r w:rsidR="009D7FDE" w:rsidRPr="001D7FF7">
          <w:rPr>
            <w:rStyle w:val="Hyperlink"/>
            <w:webHidden/>
          </w:rPr>
        </w:r>
        <w:r w:rsidR="009D7FDE" w:rsidRPr="001D7FF7">
          <w:rPr>
            <w:rStyle w:val="Hyperlink"/>
            <w:webHidden/>
          </w:rPr>
          <w:fldChar w:fldCharType="separate"/>
        </w:r>
        <w:r w:rsidR="009D7FDE" w:rsidRPr="001D7FF7">
          <w:rPr>
            <w:rStyle w:val="Hyperlink"/>
            <w:webHidden/>
          </w:rPr>
          <w:t>218</w:t>
        </w:r>
        <w:r w:rsidR="009D7FDE" w:rsidRPr="001D7FF7">
          <w:rPr>
            <w:rStyle w:val="Hyperlink"/>
            <w:webHidden/>
          </w:rPr>
          <w:fldChar w:fldCharType="end"/>
        </w:r>
      </w:hyperlink>
    </w:p>
    <w:p w14:paraId="79C96937"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698"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Adolescent Care and Detention Facilities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_Toc509827698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219</w:t>
        </w:r>
        <w:r w:rsidR="009D7FDE" w:rsidRPr="001D7FF7">
          <w:rPr>
            <w:rStyle w:val="Hyperlink"/>
            <w:rFonts w:asciiTheme="minorHAnsi" w:hAnsiTheme="minorHAnsi"/>
            <w:i/>
            <w:webHidden/>
            <w:sz w:val="20"/>
            <w:szCs w:val="20"/>
          </w:rPr>
          <w:fldChar w:fldCharType="end"/>
        </w:r>
      </w:hyperlink>
    </w:p>
    <w:p w14:paraId="3ED66ECC" w14:textId="17F9B7D7" w:rsidR="009D7FDE" w:rsidRPr="001D7FF7" w:rsidRDefault="00124AC0" w:rsidP="001D7FF7">
      <w:pPr>
        <w:pStyle w:val="TOC2"/>
        <w:ind w:left="360" w:hanging="360"/>
        <w:rPr>
          <w:rStyle w:val="Hyperlink"/>
          <w:rFonts w:asciiTheme="minorHAnsi" w:hAnsiTheme="minorHAnsi"/>
          <w:i/>
          <w:sz w:val="20"/>
          <w:szCs w:val="20"/>
        </w:rPr>
      </w:pPr>
      <w:hyperlink w:anchor="_Toc509827699" w:history="1">
        <w:r w:rsidR="009D7FDE" w:rsidRPr="001D7FF7">
          <w:rPr>
            <w:rStyle w:val="Hyperlink"/>
            <w:rFonts w:asciiTheme="minorHAnsi" w:hAnsiTheme="minorHAnsi"/>
            <w:i/>
            <w:noProof/>
            <w:sz w:val="20"/>
            <w:szCs w:val="20"/>
          </w:rPr>
          <w:t>C.</w:t>
        </w:r>
        <w:r w:rsidR="009D7FDE" w:rsidRPr="001D7FF7">
          <w:rPr>
            <w:rStyle w:val="Hyperlink"/>
            <w:rFonts w:asciiTheme="minorHAnsi" w:hAnsiTheme="minorHAnsi"/>
            <w:i/>
            <w:sz w:val="20"/>
            <w:szCs w:val="20"/>
          </w:rPr>
          <w:tab/>
        </w:r>
        <w:r w:rsidR="00345AB2" w:rsidRPr="001D7FF7">
          <w:rPr>
            <w:rStyle w:val="Hyperlink"/>
            <w:rFonts w:asciiTheme="minorHAnsi" w:hAnsiTheme="minorHAnsi"/>
            <w:i/>
            <w:noProof/>
            <w:sz w:val="20"/>
            <w:szCs w:val="20"/>
          </w:rPr>
          <w:t xml:space="preserve">Persons </w:t>
        </w:r>
        <w:r w:rsidR="009D7FDE" w:rsidRPr="001D7FF7">
          <w:rPr>
            <w:rStyle w:val="Hyperlink"/>
            <w:rFonts w:asciiTheme="minorHAnsi" w:hAnsiTheme="minorHAnsi"/>
            <w:i/>
            <w:noProof/>
            <w:sz w:val="20"/>
            <w:szCs w:val="20"/>
          </w:rPr>
          <w:t>with Disabilities at mental Health Institutions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_Toc509827699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231</w:t>
        </w:r>
        <w:r w:rsidR="009D7FDE" w:rsidRPr="001D7FF7">
          <w:rPr>
            <w:rStyle w:val="Hyperlink"/>
            <w:rFonts w:asciiTheme="minorHAnsi" w:hAnsiTheme="minorHAnsi"/>
            <w:i/>
            <w:webHidden/>
            <w:sz w:val="20"/>
            <w:szCs w:val="20"/>
          </w:rPr>
          <w:fldChar w:fldCharType="end"/>
        </w:r>
      </w:hyperlink>
    </w:p>
    <w:p w14:paraId="43655FB3" w14:textId="77777777" w:rsidR="009D7FDE" w:rsidRPr="001D7FF7" w:rsidRDefault="00124AC0" w:rsidP="001D7FF7">
      <w:pPr>
        <w:pStyle w:val="TOC3"/>
        <w:tabs>
          <w:tab w:val="left" w:pos="720"/>
          <w:tab w:val="right" w:pos="7622"/>
        </w:tabs>
        <w:ind w:hanging="80"/>
        <w:rPr>
          <w:rFonts w:asciiTheme="minorHAnsi" w:hAnsiTheme="minorHAnsi"/>
          <w:noProof/>
          <w:sz w:val="20"/>
          <w:szCs w:val="20"/>
        </w:rPr>
      </w:pPr>
      <w:hyperlink w:anchor="_Toc509827700" w:history="1">
        <w:r w:rsidR="009D7FDE" w:rsidRPr="001D7FF7">
          <w:rPr>
            <w:rStyle w:val="Hyperlink"/>
            <w:rFonts w:asciiTheme="minorHAnsi" w:hAnsiTheme="minorHAnsi"/>
            <w:noProof/>
            <w:sz w:val="20"/>
            <w:szCs w:val="20"/>
          </w:rPr>
          <w:t>1.</w:t>
        </w:r>
        <w:r w:rsidR="009D7FDE" w:rsidRPr="001D7FF7">
          <w:rPr>
            <w:rFonts w:asciiTheme="minorHAnsi" w:hAnsiTheme="minorHAnsi"/>
            <w:noProof/>
            <w:sz w:val="20"/>
            <w:szCs w:val="20"/>
          </w:rPr>
          <w:tab/>
        </w:r>
        <w:r w:rsidR="009D7FDE" w:rsidRPr="001D7FF7">
          <w:rPr>
            <w:rStyle w:val="Hyperlink"/>
            <w:rFonts w:asciiTheme="minorHAnsi" w:hAnsiTheme="minorHAnsi"/>
            <w:noProof/>
            <w:sz w:val="20"/>
            <w:szCs w:val="20"/>
          </w:rPr>
          <w:t>General considerations</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_Toc509827700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231</w:t>
        </w:r>
        <w:r w:rsidR="009D7FDE" w:rsidRPr="001D7FF7">
          <w:rPr>
            <w:rFonts w:asciiTheme="minorHAnsi" w:hAnsiTheme="minorHAnsi"/>
            <w:noProof/>
            <w:webHidden/>
            <w:sz w:val="20"/>
            <w:szCs w:val="20"/>
          </w:rPr>
          <w:fldChar w:fldCharType="end"/>
        </w:r>
      </w:hyperlink>
    </w:p>
    <w:p w14:paraId="23153CD5" w14:textId="77777777" w:rsidR="009D7FDE" w:rsidRPr="001D7FF7" w:rsidRDefault="00124AC0" w:rsidP="001D7FF7">
      <w:pPr>
        <w:pStyle w:val="TOC3"/>
        <w:tabs>
          <w:tab w:val="left" w:pos="720"/>
          <w:tab w:val="right" w:pos="7622"/>
        </w:tabs>
        <w:ind w:hanging="80"/>
        <w:rPr>
          <w:rFonts w:asciiTheme="minorHAnsi" w:hAnsiTheme="minorHAnsi"/>
          <w:noProof/>
          <w:sz w:val="20"/>
          <w:szCs w:val="20"/>
        </w:rPr>
      </w:pPr>
      <w:hyperlink w:anchor="_Toc509827701" w:history="1">
        <w:r w:rsidR="009D7FDE" w:rsidRPr="001D7FF7">
          <w:rPr>
            <w:rStyle w:val="Hyperlink"/>
            <w:rFonts w:asciiTheme="minorHAnsi" w:hAnsiTheme="minorHAnsi"/>
            <w:noProof/>
            <w:sz w:val="20"/>
            <w:szCs w:val="20"/>
          </w:rPr>
          <w:t>2.</w:t>
        </w:r>
        <w:r w:rsidR="009D7FDE" w:rsidRPr="001D7FF7">
          <w:rPr>
            <w:rFonts w:asciiTheme="minorHAnsi" w:hAnsiTheme="minorHAnsi"/>
            <w:noProof/>
            <w:sz w:val="20"/>
            <w:szCs w:val="20"/>
          </w:rPr>
          <w:tab/>
        </w:r>
        <w:r w:rsidR="009D7FDE" w:rsidRPr="001D7FF7">
          <w:rPr>
            <w:rStyle w:val="Hyperlink"/>
            <w:rFonts w:asciiTheme="minorHAnsi" w:hAnsiTheme="minorHAnsi"/>
            <w:noProof/>
            <w:sz w:val="20"/>
            <w:szCs w:val="20"/>
          </w:rPr>
          <w:t>Conditions of Detention</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_Toc509827701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232</w:t>
        </w:r>
        <w:r w:rsidR="009D7FDE" w:rsidRPr="001D7FF7">
          <w:rPr>
            <w:rFonts w:asciiTheme="minorHAnsi" w:hAnsiTheme="minorHAnsi"/>
            <w:noProof/>
            <w:webHidden/>
            <w:sz w:val="20"/>
            <w:szCs w:val="20"/>
          </w:rPr>
          <w:fldChar w:fldCharType="end"/>
        </w:r>
      </w:hyperlink>
    </w:p>
    <w:p w14:paraId="00CB72F3" w14:textId="77777777" w:rsidR="009D7FDE" w:rsidRPr="001D7FF7" w:rsidRDefault="00124AC0" w:rsidP="001D7FF7">
      <w:pPr>
        <w:pStyle w:val="TOC3"/>
        <w:tabs>
          <w:tab w:val="left" w:pos="720"/>
          <w:tab w:val="right" w:pos="7622"/>
        </w:tabs>
        <w:ind w:hanging="80"/>
        <w:rPr>
          <w:rFonts w:asciiTheme="minorHAnsi" w:hAnsiTheme="minorHAnsi"/>
          <w:noProof/>
          <w:sz w:val="20"/>
          <w:szCs w:val="20"/>
        </w:rPr>
      </w:pPr>
      <w:hyperlink w:anchor="_Toc509827702" w:history="1">
        <w:r w:rsidR="009D7FDE" w:rsidRPr="001D7FF7">
          <w:rPr>
            <w:rStyle w:val="Hyperlink"/>
            <w:rFonts w:asciiTheme="minorHAnsi" w:hAnsiTheme="minorHAnsi"/>
            <w:noProof/>
            <w:sz w:val="20"/>
            <w:szCs w:val="20"/>
          </w:rPr>
          <w:t>3.</w:t>
        </w:r>
        <w:r w:rsidR="009D7FDE" w:rsidRPr="001D7FF7">
          <w:rPr>
            <w:rFonts w:asciiTheme="minorHAnsi" w:hAnsiTheme="minorHAnsi"/>
            <w:noProof/>
            <w:sz w:val="20"/>
            <w:szCs w:val="20"/>
          </w:rPr>
          <w:tab/>
        </w:r>
        <w:r w:rsidR="009D7FDE" w:rsidRPr="001D7FF7">
          <w:rPr>
            <w:rStyle w:val="Hyperlink"/>
            <w:rFonts w:asciiTheme="minorHAnsi" w:hAnsiTheme="minorHAnsi"/>
            <w:noProof/>
            <w:sz w:val="20"/>
            <w:szCs w:val="20"/>
          </w:rPr>
          <w:t>Indefinite Institutionalization because of a Lack of Community Services</w:t>
        </w:r>
        <w:r w:rsidR="009D7FDE" w:rsidRPr="001D7FF7">
          <w:rPr>
            <w:rFonts w:asciiTheme="minorHAnsi" w:hAnsiTheme="minorHAnsi"/>
            <w:noProof/>
            <w:webHidden/>
            <w:sz w:val="20"/>
            <w:szCs w:val="20"/>
          </w:rPr>
          <w:tab/>
        </w:r>
        <w:r w:rsidR="009D7FDE" w:rsidRPr="001D7FF7">
          <w:rPr>
            <w:rFonts w:asciiTheme="minorHAnsi" w:hAnsiTheme="minorHAnsi"/>
            <w:noProof/>
            <w:webHidden/>
            <w:sz w:val="20"/>
            <w:szCs w:val="20"/>
          </w:rPr>
          <w:fldChar w:fldCharType="begin"/>
        </w:r>
        <w:r w:rsidR="009D7FDE" w:rsidRPr="001D7FF7">
          <w:rPr>
            <w:rFonts w:asciiTheme="minorHAnsi" w:hAnsiTheme="minorHAnsi"/>
            <w:noProof/>
            <w:webHidden/>
            <w:sz w:val="20"/>
            <w:szCs w:val="20"/>
          </w:rPr>
          <w:instrText xml:space="preserve"> PAGEREF _Toc509827702 \h </w:instrText>
        </w:r>
        <w:r w:rsidR="009D7FDE" w:rsidRPr="001D7FF7">
          <w:rPr>
            <w:rFonts w:asciiTheme="minorHAnsi" w:hAnsiTheme="minorHAnsi"/>
            <w:noProof/>
            <w:webHidden/>
            <w:sz w:val="20"/>
            <w:szCs w:val="20"/>
          </w:rPr>
        </w:r>
        <w:r w:rsidR="009D7FDE" w:rsidRPr="001D7FF7">
          <w:rPr>
            <w:rFonts w:asciiTheme="minorHAnsi" w:hAnsiTheme="minorHAnsi"/>
            <w:noProof/>
            <w:webHidden/>
            <w:sz w:val="20"/>
            <w:szCs w:val="20"/>
          </w:rPr>
          <w:fldChar w:fldCharType="separate"/>
        </w:r>
        <w:r w:rsidR="009D7FDE" w:rsidRPr="001D7FF7">
          <w:rPr>
            <w:rFonts w:asciiTheme="minorHAnsi" w:hAnsiTheme="minorHAnsi"/>
            <w:noProof/>
            <w:webHidden/>
            <w:sz w:val="20"/>
            <w:szCs w:val="20"/>
          </w:rPr>
          <w:t>236</w:t>
        </w:r>
        <w:r w:rsidR="009D7FDE" w:rsidRPr="001D7FF7">
          <w:rPr>
            <w:rFonts w:asciiTheme="minorHAnsi" w:hAnsiTheme="minorHAnsi"/>
            <w:noProof/>
            <w:webHidden/>
            <w:sz w:val="20"/>
            <w:szCs w:val="20"/>
          </w:rPr>
          <w:fldChar w:fldCharType="end"/>
        </w:r>
      </w:hyperlink>
    </w:p>
    <w:p w14:paraId="39DFB9B7" w14:textId="77777777" w:rsidR="00345AB2" w:rsidRPr="001D7FF7" w:rsidRDefault="00345AB2" w:rsidP="00345AB2">
      <w:pPr>
        <w:pStyle w:val="TOC1"/>
        <w:rPr>
          <w:rStyle w:val="Hyperlink"/>
        </w:rPr>
      </w:pPr>
    </w:p>
    <w:p w14:paraId="00544B48" w14:textId="7CE64916" w:rsidR="009D7FDE" w:rsidRPr="001D7FF7" w:rsidRDefault="00124AC0" w:rsidP="00345AB2">
      <w:pPr>
        <w:pStyle w:val="TOC1"/>
      </w:pPr>
      <w:hyperlink w:anchor="_Toc509827705" w:history="1">
        <w:r w:rsidR="009D7FDE" w:rsidRPr="001D7FF7">
          <w:rPr>
            <w:rStyle w:val="Hyperlink"/>
            <w:color w:val="808080" w:themeColor="background1" w:themeShade="80"/>
          </w:rPr>
          <w:t xml:space="preserve">CHAPTER 8 | </w:t>
        </w:r>
        <w:r w:rsidR="009D7FDE" w:rsidRPr="001D7FF7">
          <w:rPr>
            <w:rStyle w:val="Hyperlink"/>
            <w:color w:val="4A442A" w:themeColor="background2" w:themeShade="40"/>
          </w:rPr>
          <w:t>CONCLUSIONS AND RECOMMENDATIONS</w:t>
        </w:r>
        <w:r w:rsidR="009D7FDE" w:rsidRPr="001D7FF7">
          <w:rPr>
            <w:webHidden/>
          </w:rPr>
          <w:tab/>
        </w:r>
        <w:r w:rsidR="009D7FDE" w:rsidRPr="001D7FF7">
          <w:rPr>
            <w:webHidden/>
          </w:rPr>
          <w:fldChar w:fldCharType="begin"/>
        </w:r>
        <w:r w:rsidR="009D7FDE" w:rsidRPr="001D7FF7">
          <w:rPr>
            <w:webHidden/>
          </w:rPr>
          <w:instrText xml:space="preserve"> PAGEREF _Toc509827705 \h </w:instrText>
        </w:r>
        <w:r w:rsidR="009D7FDE" w:rsidRPr="001D7FF7">
          <w:rPr>
            <w:webHidden/>
          </w:rPr>
        </w:r>
        <w:r w:rsidR="009D7FDE" w:rsidRPr="001D7FF7">
          <w:rPr>
            <w:webHidden/>
          </w:rPr>
          <w:fldChar w:fldCharType="separate"/>
        </w:r>
        <w:r w:rsidR="009D7FDE" w:rsidRPr="001D7FF7">
          <w:rPr>
            <w:webHidden/>
          </w:rPr>
          <w:t>243</w:t>
        </w:r>
        <w:r w:rsidR="009D7FDE" w:rsidRPr="001D7FF7">
          <w:rPr>
            <w:webHidden/>
          </w:rPr>
          <w:fldChar w:fldCharType="end"/>
        </w:r>
      </w:hyperlink>
    </w:p>
    <w:p w14:paraId="3CD8C07E"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706" w:history="1">
        <w:r w:rsidR="009D7FDE" w:rsidRPr="001D7FF7">
          <w:rPr>
            <w:rStyle w:val="Hyperlink"/>
            <w:rFonts w:asciiTheme="minorHAnsi" w:hAnsiTheme="minorHAnsi"/>
            <w:i/>
            <w:noProof/>
            <w:sz w:val="20"/>
            <w:szCs w:val="20"/>
          </w:rPr>
          <w:t>A.</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General Recommendations</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_Toc509827706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244</w:t>
        </w:r>
        <w:r w:rsidR="009D7FDE" w:rsidRPr="001D7FF7">
          <w:rPr>
            <w:rStyle w:val="Hyperlink"/>
            <w:rFonts w:asciiTheme="minorHAnsi" w:hAnsiTheme="minorHAnsi"/>
            <w:i/>
            <w:webHidden/>
            <w:sz w:val="20"/>
            <w:szCs w:val="20"/>
          </w:rPr>
          <w:fldChar w:fldCharType="end"/>
        </w:r>
      </w:hyperlink>
    </w:p>
    <w:p w14:paraId="625D6DDD"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707" w:history="1">
        <w:r w:rsidR="009D7FDE" w:rsidRPr="001D7FF7">
          <w:rPr>
            <w:rStyle w:val="Hyperlink"/>
            <w:rFonts w:asciiTheme="minorHAnsi" w:hAnsiTheme="minorHAnsi"/>
            <w:i/>
            <w:noProof/>
            <w:sz w:val="20"/>
            <w:szCs w:val="20"/>
          </w:rPr>
          <w:t>B.</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Recommendations regarding administration of justice</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_Toc509827707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244</w:t>
        </w:r>
        <w:r w:rsidR="009D7FDE" w:rsidRPr="001D7FF7">
          <w:rPr>
            <w:rStyle w:val="Hyperlink"/>
            <w:rFonts w:asciiTheme="minorHAnsi" w:hAnsiTheme="minorHAnsi"/>
            <w:i/>
            <w:webHidden/>
            <w:sz w:val="20"/>
            <w:szCs w:val="20"/>
          </w:rPr>
          <w:fldChar w:fldCharType="end"/>
        </w:r>
      </w:hyperlink>
    </w:p>
    <w:p w14:paraId="354C9DCA" w14:textId="06CCA008" w:rsidR="009D7FDE" w:rsidRPr="001D7FF7" w:rsidRDefault="00124AC0" w:rsidP="001D7FF7">
      <w:pPr>
        <w:pStyle w:val="TOC2"/>
        <w:ind w:left="360" w:hanging="360"/>
        <w:rPr>
          <w:rStyle w:val="Hyperlink"/>
          <w:rFonts w:asciiTheme="minorHAnsi" w:hAnsiTheme="minorHAnsi"/>
          <w:i/>
          <w:sz w:val="20"/>
          <w:szCs w:val="20"/>
        </w:rPr>
      </w:pPr>
      <w:hyperlink w:anchor="_Toc509827708" w:history="1">
        <w:r w:rsidR="009D7FDE" w:rsidRPr="001D7FF7">
          <w:rPr>
            <w:rStyle w:val="Hyperlink"/>
            <w:rFonts w:asciiTheme="minorHAnsi" w:hAnsiTheme="minorHAnsi"/>
            <w:i/>
            <w:noProof/>
            <w:sz w:val="20"/>
            <w:szCs w:val="20"/>
          </w:rPr>
          <w:t>C.</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Recommendations regarding Transitional Justice and Reparation to Victims</w:t>
        </w:r>
        <w:r w:rsidR="00336734">
          <w:rPr>
            <w:rStyle w:val="Hyperlink"/>
            <w:rFonts w:asciiTheme="minorHAnsi" w:hAnsiTheme="minorHAnsi"/>
            <w:i/>
            <w:noProof/>
            <w:sz w:val="20"/>
            <w:szCs w:val="20"/>
          </w:rPr>
          <w:br/>
        </w:r>
        <w:r w:rsidR="009D7FDE" w:rsidRPr="001D7FF7">
          <w:rPr>
            <w:rStyle w:val="Hyperlink"/>
            <w:rFonts w:asciiTheme="minorHAnsi" w:hAnsiTheme="minorHAnsi"/>
            <w:i/>
            <w:noProof/>
            <w:sz w:val="20"/>
            <w:szCs w:val="20"/>
          </w:rPr>
          <w:t xml:space="preserve"> of the Internal Armed Conflict</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_Toc509827708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245</w:t>
        </w:r>
        <w:r w:rsidR="009D7FDE" w:rsidRPr="001D7FF7">
          <w:rPr>
            <w:rStyle w:val="Hyperlink"/>
            <w:rFonts w:asciiTheme="minorHAnsi" w:hAnsiTheme="minorHAnsi"/>
            <w:i/>
            <w:webHidden/>
            <w:sz w:val="20"/>
            <w:szCs w:val="20"/>
          </w:rPr>
          <w:fldChar w:fldCharType="end"/>
        </w:r>
      </w:hyperlink>
    </w:p>
    <w:p w14:paraId="574E1471"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709" w:history="1">
        <w:r w:rsidR="009D7FDE" w:rsidRPr="001D7FF7">
          <w:rPr>
            <w:rStyle w:val="Hyperlink"/>
            <w:rFonts w:asciiTheme="minorHAnsi" w:hAnsiTheme="minorHAnsi"/>
            <w:i/>
            <w:noProof/>
            <w:sz w:val="20"/>
            <w:szCs w:val="20"/>
          </w:rPr>
          <w:t>D.</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Recommendations regarding the Situation of Citizen Security</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_Toc509827709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245</w:t>
        </w:r>
        <w:r w:rsidR="009D7FDE" w:rsidRPr="001D7FF7">
          <w:rPr>
            <w:rStyle w:val="Hyperlink"/>
            <w:rFonts w:asciiTheme="minorHAnsi" w:hAnsiTheme="minorHAnsi"/>
            <w:i/>
            <w:webHidden/>
            <w:sz w:val="20"/>
            <w:szCs w:val="20"/>
          </w:rPr>
          <w:fldChar w:fldCharType="end"/>
        </w:r>
      </w:hyperlink>
    </w:p>
    <w:p w14:paraId="69730685" w14:textId="77777777" w:rsidR="009D7FDE" w:rsidRPr="001D7FF7" w:rsidRDefault="00124AC0" w:rsidP="001D7FF7">
      <w:pPr>
        <w:pStyle w:val="TOC2"/>
        <w:ind w:left="360" w:hanging="360"/>
        <w:rPr>
          <w:rStyle w:val="Hyperlink"/>
          <w:rFonts w:asciiTheme="minorHAnsi" w:hAnsiTheme="minorHAnsi"/>
          <w:i/>
          <w:sz w:val="20"/>
          <w:szCs w:val="20"/>
        </w:rPr>
      </w:pPr>
      <w:hyperlink w:anchor="_Toc509827710" w:history="1">
        <w:r w:rsidR="009D7FDE" w:rsidRPr="001D7FF7">
          <w:rPr>
            <w:rStyle w:val="Hyperlink"/>
            <w:rFonts w:asciiTheme="minorHAnsi" w:hAnsiTheme="minorHAnsi"/>
            <w:i/>
            <w:noProof/>
            <w:sz w:val="20"/>
            <w:szCs w:val="20"/>
          </w:rPr>
          <w:t>E.</w:t>
        </w:r>
        <w:r w:rsidR="009D7FDE" w:rsidRPr="001D7FF7">
          <w:rPr>
            <w:rStyle w:val="Hyperlink"/>
            <w:rFonts w:asciiTheme="minorHAnsi" w:hAnsiTheme="minorHAnsi"/>
            <w:i/>
            <w:sz w:val="20"/>
            <w:szCs w:val="20"/>
          </w:rPr>
          <w:tab/>
        </w:r>
        <w:r w:rsidR="009D7FDE" w:rsidRPr="001D7FF7">
          <w:rPr>
            <w:rStyle w:val="Hyperlink"/>
            <w:rFonts w:asciiTheme="minorHAnsi" w:hAnsiTheme="minorHAnsi"/>
            <w:i/>
            <w:noProof/>
            <w:sz w:val="20"/>
            <w:szCs w:val="20"/>
          </w:rPr>
          <w:t>Recommendations regarding Specific Segments of the Population</w:t>
        </w:r>
        <w:r w:rsidR="009D7FDE" w:rsidRPr="001D7FF7">
          <w:rPr>
            <w:rStyle w:val="Hyperlink"/>
            <w:rFonts w:asciiTheme="minorHAnsi" w:hAnsiTheme="minorHAnsi"/>
            <w:i/>
            <w:webHidden/>
            <w:sz w:val="20"/>
            <w:szCs w:val="20"/>
          </w:rPr>
          <w:tab/>
        </w:r>
        <w:r w:rsidR="009D7FDE" w:rsidRPr="001D7FF7">
          <w:rPr>
            <w:rStyle w:val="Hyperlink"/>
            <w:rFonts w:asciiTheme="minorHAnsi" w:hAnsiTheme="minorHAnsi"/>
            <w:i/>
            <w:webHidden/>
            <w:sz w:val="20"/>
            <w:szCs w:val="20"/>
          </w:rPr>
          <w:fldChar w:fldCharType="begin"/>
        </w:r>
        <w:r w:rsidR="009D7FDE" w:rsidRPr="001D7FF7">
          <w:rPr>
            <w:rStyle w:val="Hyperlink"/>
            <w:rFonts w:asciiTheme="minorHAnsi" w:hAnsiTheme="minorHAnsi"/>
            <w:i/>
            <w:webHidden/>
            <w:sz w:val="20"/>
            <w:szCs w:val="20"/>
          </w:rPr>
          <w:instrText xml:space="preserve"> PAGEREF _Toc509827710 \h </w:instrText>
        </w:r>
        <w:r w:rsidR="009D7FDE" w:rsidRPr="001D7FF7">
          <w:rPr>
            <w:rStyle w:val="Hyperlink"/>
            <w:rFonts w:asciiTheme="minorHAnsi" w:hAnsiTheme="minorHAnsi"/>
            <w:i/>
            <w:webHidden/>
            <w:sz w:val="20"/>
            <w:szCs w:val="20"/>
          </w:rPr>
        </w:r>
        <w:r w:rsidR="009D7FDE" w:rsidRPr="001D7FF7">
          <w:rPr>
            <w:rStyle w:val="Hyperlink"/>
            <w:rFonts w:asciiTheme="minorHAnsi" w:hAnsiTheme="minorHAnsi"/>
            <w:i/>
            <w:webHidden/>
            <w:sz w:val="20"/>
            <w:szCs w:val="20"/>
          </w:rPr>
          <w:fldChar w:fldCharType="separate"/>
        </w:r>
        <w:r w:rsidR="009D7FDE" w:rsidRPr="001D7FF7">
          <w:rPr>
            <w:rStyle w:val="Hyperlink"/>
            <w:rFonts w:asciiTheme="minorHAnsi" w:hAnsiTheme="minorHAnsi"/>
            <w:i/>
            <w:webHidden/>
            <w:sz w:val="20"/>
            <w:szCs w:val="20"/>
          </w:rPr>
          <w:t>246</w:t>
        </w:r>
        <w:r w:rsidR="009D7FDE" w:rsidRPr="001D7FF7">
          <w:rPr>
            <w:rStyle w:val="Hyperlink"/>
            <w:rFonts w:asciiTheme="minorHAnsi" w:hAnsiTheme="minorHAnsi"/>
            <w:i/>
            <w:webHidden/>
            <w:sz w:val="20"/>
            <w:szCs w:val="20"/>
          </w:rPr>
          <w:fldChar w:fldCharType="end"/>
        </w:r>
      </w:hyperlink>
    </w:p>
    <w:p w14:paraId="155CEA5C" w14:textId="6C8BD134" w:rsidR="00BD5D9B" w:rsidRDefault="009D7FDE" w:rsidP="00345AB2">
      <w:pPr>
        <w:pStyle w:val="TOC2"/>
      </w:pPr>
      <w:r w:rsidRPr="001D7FF7">
        <w:rPr>
          <w:rFonts w:asciiTheme="minorHAnsi" w:hAnsiTheme="minorHAnsi"/>
          <w:sz w:val="20"/>
          <w:szCs w:val="20"/>
        </w:rPr>
        <w:fldChar w:fldCharType="end"/>
      </w:r>
    </w:p>
    <w:p w14:paraId="595C3A60" w14:textId="77777777" w:rsidR="00BD5D9B" w:rsidRPr="00B90432" w:rsidRDefault="00BD5D9B" w:rsidP="00BD5D9B">
      <w:pPr>
        <w:spacing w:after="10" w:line="240" w:lineRule="auto"/>
        <w:rPr>
          <w:rFonts w:asciiTheme="minorHAnsi" w:hAnsiTheme="minorHAnsi"/>
          <w:b/>
          <w:bCs/>
        </w:rPr>
        <w:sectPr w:rsidR="00BD5D9B" w:rsidRPr="00B90432" w:rsidSect="00B90432">
          <w:footerReference w:type="even" r:id="rId25"/>
          <w:footerReference w:type="default" r:id="rId26"/>
          <w:pgSz w:w="10080" w:h="14400" w:code="13"/>
          <w:pgMar w:top="1152" w:right="1152" w:bottom="1152" w:left="1296" w:header="720" w:footer="720" w:gutter="0"/>
          <w:cols w:space="720"/>
          <w:docGrid w:linePitch="360"/>
        </w:sectPr>
      </w:pPr>
    </w:p>
    <w:p w14:paraId="738D87E0" w14:textId="6F36C159" w:rsidR="00450424" w:rsidRPr="00990D97" w:rsidRDefault="00450424" w:rsidP="0061154D">
      <w:pPr>
        <w:pStyle w:val="Title"/>
        <w:rPr>
          <w:lang w:val="en-US"/>
        </w:rPr>
        <w:sectPr w:rsidR="00450424" w:rsidRPr="00990D97" w:rsidSect="00450424">
          <w:headerReference w:type="even" r:id="rId27"/>
          <w:footerReference w:type="even" r:id="rId28"/>
          <w:pgSz w:w="10080" w:h="14400" w:code="13"/>
          <w:pgMar w:top="1152" w:right="1152" w:bottom="1152" w:left="1296" w:header="720" w:footer="720" w:gutter="0"/>
          <w:cols w:space="720"/>
          <w:vAlign w:val="center"/>
          <w:docGrid w:linePitch="360"/>
        </w:sectPr>
      </w:pPr>
      <w:bookmarkStart w:id="17" w:name="_Toc509827623"/>
      <w:r w:rsidRPr="00990D97">
        <w:rPr>
          <w:lang w:val="en-US"/>
        </w:rPr>
        <w:lastRenderedPageBreak/>
        <w:t>EXECUTIVE SUMMARY</w:t>
      </w:r>
      <w:bookmarkEnd w:id="17"/>
    </w:p>
    <w:p w14:paraId="08BAF8FB" w14:textId="7750D879" w:rsidR="00402420" w:rsidRPr="003D17BA" w:rsidRDefault="00102B29" w:rsidP="003D17BA">
      <w:pPr>
        <w:pStyle w:val="Heading1"/>
      </w:pPr>
      <w:bookmarkStart w:id="18" w:name="_Toc509827624"/>
      <w:r w:rsidRPr="003D17BA">
        <w:lastRenderedPageBreak/>
        <w:t>EXECUTIVE SUMMARY</w:t>
      </w:r>
      <w:bookmarkEnd w:id="18"/>
    </w:p>
    <w:p w14:paraId="07EE57E1"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This report addresses the human rights situation of Guatemala, and provides recommendations aimed at assisting the State of Guatemala in strengthening its efforts to protect and guarantee human rights in the country. </w:t>
      </w:r>
    </w:p>
    <w:p w14:paraId="5DAE0A09" w14:textId="77777777" w:rsidR="00926C72" w:rsidRPr="00B90432" w:rsidRDefault="00926C72" w:rsidP="006F4717">
      <w:pPr>
        <w:pStyle w:val="Numberedparagraphs"/>
        <w:rPr>
          <w:rFonts w:asciiTheme="minorHAnsi" w:hAnsiTheme="minorHAnsi"/>
        </w:rPr>
      </w:pPr>
      <w:r w:rsidRPr="00B90432">
        <w:rPr>
          <w:rFonts w:asciiTheme="minorHAnsi" w:hAnsiTheme="minorHAnsi"/>
        </w:rPr>
        <w:t xml:space="preserve">The Interamerican Commission on Human Rights (IACHR, Commission) conducted an </w:t>
      </w:r>
      <w:r w:rsidR="00982822" w:rsidRPr="00B90432">
        <w:rPr>
          <w:rFonts w:asciiTheme="minorHAnsi" w:hAnsiTheme="minorHAnsi"/>
        </w:rPr>
        <w:t>on-</w:t>
      </w:r>
      <w:r w:rsidRPr="00B90432">
        <w:rPr>
          <w:rFonts w:asciiTheme="minorHAnsi" w:hAnsiTheme="minorHAnsi"/>
        </w:rPr>
        <w:t>site</w:t>
      </w:r>
      <w:r w:rsidRPr="00B90432">
        <w:rPr>
          <w:rFonts w:asciiTheme="minorHAnsi" w:hAnsiTheme="minorHAnsi"/>
          <w:i/>
        </w:rPr>
        <w:t xml:space="preserve"> </w:t>
      </w:r>
      <w:r w:rsidRPr="00B90432">
        <w:rPr>
          <w:rFonts w:asciiTheme="minorHAnsi" w:hAnsiTheme="minorHAnsi"/>
        </w:rPr>
        <w:t>visit to Guatemala from July 31 to August 4, 2017, for the purpose of observing on the ground the human rights situation in the country. The Commission is grateful to President Jimmy Morales and his Government for the invitation to conduct his visit, and for all the logistical assistance provided in order to complete the visit satisfactorily.</w:t>
      </w:r>
    </w:p>
    <w:p w14:paraId="78C3D70E" w14:textId="77777777" w:rsidR="006B6FEC" w:rsidRPr="00B90432" w:rsidRDefault="006B6FEC" w:rsidP="006F4717">
      <w:pPr>
        <w:pStyle w:val="Numberedparagraphs"/>
        <w:rPr>
          <w:rFonts w:asciiTheme="minorHAnsi" w:hAnsiTheme="minorHAnsi"/>
        </w:rPr>
      </w:pPr>
      <w:r w:rsidRPr="00B90432">
        <w:rPr>
          <w:rFonts w:asciiTheme="minorHAnsi" w:hAnsiTheme="minorHAnsi"/>
        </w:rPr>
        <w:t>The IACHR has followed with special attention the situation of human rights in Guatemala since its early years of operation, particularly in response to the serious violations of human rights perpetrated during the internal armed conflict that took place between 1960 and 1996. The information received consistently by the Commission during the visit indicates that, fundamentally, more than twenty years after the signing of the Peace Accords, several of the reasons that generated the internal armed conflict persist: an economy based on the concentration of economic power in few hands persists, a weak State structure, with few resources due to scarce fiscal collection and high levels of corruption. Structural problems also persist, such as racial discrimination, social inequality, entrenched poverty and exclusion, and lack of access to justice, which constitute an obstacle to full respect for human rights in Guatemala. In addition, the IACHR received repeated information about the persistence of parallel power structures that prevent the fight against impunity, corruption and the consolidation of the rule of law.</w:t>
      </w:r>
    </w:p>
    <w:p w14:paraId="0C1E217C"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The socioeconomic situation in Guatemala is still characterized by poverty, racism, exclusion, violence and impunity. As an example, the extreme poverty rate is three times higher among the indigenous population than among the non-indigenous population. Guatemala has become the country most affected by chronic malnutrition in Latin America, and is one of the countries with the highest rates of chronic malnutrition worldwide. This dire situation is framed in a weak State structure, institutions with </w:t>
      </w:r>
      <w:r w:rsidRPr="00B90432">
        <w:rPr>
          <w:rFonts w:asciiTheme="minorHAnsi" w:hAnsiTheme="minorHAnsi"/>
        </w:rPr>
        <w:lastRenderedPageBreak/>
        <w:t>insufficient resources, and a persistent problem of corruption and high levels of violence. The low levels of tax collection in Guatemala hinders the State’s ability to provide basic public services and adopt public policies that guarantee the rights of the most resource-strapped sectors.</w:t>
      </w:r>
    </w:p>
    <w:p w14:paraId="7AF74D03" w14:textId="77777777" w:rsidR="006B6FEC" w:rsidRPr="00B90432" w:rsidRDefault="006B6FEC" w:rsidP="006F4717">
      <w:pPr>
        <w:pStyle w:val="Numberedparagraphs"/>
        <w:rPr>
          <w:rFonts w:asciiTheme="minorHAnsi" w:hAnsiTheme="minorHAnsi"/>
        </w:rPr>
      </w:pPr>
      <w:r w:rsidRPr="00B90432">
        <w:rPr>
          <w:rFonts w:asciiTheme="minorHAnsi" w:hAnsiTheme="minorHAnsi"/>
        </w:rPr>
        <w:t>During the on site visit, the IACHR noted that the problem of impunity derives from the lack of capacity of the Guatemalan State to provide an adequate and efficient system of administration of justice, and an independent and impartial justice in cases from the past as well as the present. Historically marginalized sectors of the population, such as women, indigenous peoples and communities, children and adolescents, LGBTI persons and afrodescendants, among others, face particular obstacles that limit their effective access to justice.</w:t>
      </w:r>
    </w:p>
    <w:p w14:paraId="7C526A6A"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In relation to the cases arising from the internal armed conflict, progress has been made in some cases, but they are limited compared to the number of human rights violations perpetrated during the conflict and the obligations of the State to protect the rights to truth, justice and reparation for the victims. During the visit, the Commission was informed of the abusive use of </w:t>
      </w:r>
      <w:r w:rsidRPr="00B90432">
        <w:rPr>
          <w:rFonts w:asciiTheme="minorHAnsi" w:hAnsiTheme="minorHAnsi"/>
          <w:i/>
        </w:rPr>
        <w:t xml:space="preserve">amparo </w:t>
      </w:r>
      <w:r w:rsidRPr="00B90432">
        <w:rPr>
          <w:rFonts w:asciiTheme="minorHAnsi" w:hAnsiTheme="minorHAnsi"/>
        </w:rPr>
        <w:t>proceedings as a delaying strategy in some criminal proceedings, requests for amnesty and prescription, as delaying tactics to protect the accused. Also, some justice operators who are aware of these matters are subject to constant threats, intimidation, and even criminal complaints levied against them.</w:t>
      </w:r>
    </w:p>
    <w:p w14:paraId="00C96E4E"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The Commission notes that the Guatemalan State has made progress in the fight against impunity in recent years, thanks to the work of the International Commission against Impunity in Guatemala (CICIG), which together with the Public Prosecutor's Office has played a key role in the fight against corruption and impunity in the country. The contribution of CICIG has been significant, both in its research work and in support of training and promotion of legal reforms aimed at improving the efficiency of the administration of justice. These advances have come with reports, even from the highest levels of the State, on pressures directed to the CICIG Commissioner, Iván Velásquez, as well as Attorney General, Thelma Aldana. After the visit, events took place in the country that unleashed institutional instability. The IACHR highlights the declaration of </w:t>
      </w:r>
      <w:r w:rsidRPr="00B90432">
        <w:rPr>
          <w:rFonts w:asciiTheme="minorHAnsi" w:hAnsiTheme="minorHAnsi"/>
          <w:i/>
        </w:rPr>
        <w:t>persona non grata</w:t>
      </w:r>
      <w:r w:rsidRPr="00B90432">
        <w:rPr>
          <w:rFonts w:asciiTheme="minorHAnsi" w:hAnsiTheme="minorHAnsi"/>
        </w:rPr>
        <w:t xml:space="preserve"> as to Iván Velásquez, issued by the President of Guatemala, as well as the order for his immediate expulsion from the country. On that occasion, the decision taken by the President was rendered null and void through an appeal granted by the Constitutional Court.</w:t>
      </w:r>
    </w:p>
    <w:p w14:paraId="4A995B4F"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This serious situation led the IACHR to issue a resolution on human rights and the fight against corruption and impunity, wherein the Commission </w:t>
      </w:r>
      <w:r w:rsidRPr="00B90432">
        <w:rPr>
          <w:rFonts w:asciiTheme="minorHAnsi" w:hAnsiTheme="minorHAnsi"/>
        </w:rPr>
        <w:lastRenderedPageBreak/>
        <w:t>reaffirmed the importance of the fight against corruption to combat impunity through a strengthened, independent and impartial system of justice; as well as the fundamental importance of the full exercise of the rights to freedom of expression and access to public information, and the rights to peaceful association and assembly, for the investigation and denunciation of corruption. The IACHR called for the independent exercise of the Public Powers in order to guarantee the Rule of Law and urged the State of Guatemala to take the necessary measures to ensure compliance with the order of the Constitutional Court and, consequently, allow Commissioner Velásquez to continue carrying out his duties with the required guarantees. The IACHR reiterates its recognition of the work of CICIG and the Public Prosecutor's Office regarding the measures and efforts to combat corruption and impunity in Guatemala over the past three years, a process in which society and international cooperation have played a fundamental role.</w:t>
      </w:r>
    </w:p>
    <w:p w14:paraId="7850CFA5" w14:textId="77777777" w:rsidR="006B6FEC" w:rsidRPr="00B90432" w:rsidRDefault="006B6FEC" w:rsidP="006F4717">
      <w:pPr>
        <w:pStyle w:val="Numberedparagraphs"/>
        <w:rPr>
          <w:rFonts w:asciiTheme="minorHAnsi" w:hAnsiTheme="minorHAnsi"/>
        </w:rPr>
      </w:pPr>
      <w:r w:rsidRPr="00B90432">
        <w:rPr>
          <w:rFonts w:asciiTheme="minorHAnsi" w:hAnsiTheme="minorHAnsi"/>
        </w:rPr>
        <w:t>The Commission also highlights the importance of the judicial reform, currently pending in the Guatemalan Congress, regarding the organization of the work of the Supreme Court of Justice the processes for the selection and appointment of judges and magistrates, among other topics. Various sectors of civil society, specialized organizations, academics, and even members of the Executive, Legislative and Judicial Branches have spoken in favor of this reform. However, as of the date of approval of this report, it was still not approved.</w:t>
      </w:r>
    </w:p>
    <w:p w14:paraId="4F3AF277" w14:textId="77777777" w:rsidR="006B6FEC" w:rsidRPr="00B90432" w:rsidRDefault="006B6FEC" w:rsidP="006F4717">
      <w:pPr>
        <w:pStyle w:val="Numberedparagraphs"/>
        <w:rPr>
          <w:rFonts w:asciiTheme="minorHAnsi" w:hAnsiTheme="minorHAnsi"/>
        </w:rPr>
      </w:pPr>
      <w:r w:rsidRPr="00B90432">
        <w:rPr>
          <w:rFonts w:asciiTheme="minorHAnsi" w:hAnsiTheme="minorHAnsi"/>
        </w:rPr>
        <w:t>In the framework of access to justice in relation to prior consultation, the IACHR recalls that it is the obligation of the State of Guatemala to abide by the standards of the Inter-American Commission and Court in matters of justice for indigenous peoples in general, and prior consultation in particular. The participation of indigenous peoples and communities in the processes, in accordance with their uses, customs and methods of participation, is fundamental to ensure that they achieve full access to justice in Guatemala. In a country where more than half of the population identifies as indigenous, the importance of complying with these standards becomes even more of a priority.</w:t>
      </w:r>
    </w:p>
    <w:p w14:paraId="23748D15"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During the visit, the IACHR verified the serious situation faced by human rights defenders in Guatemala. The Commission was informed of acts of violence and aggressions to which they are constantly subject, ranging from murders, threats, harassment, criminalization, arbitrary arrests and harassment. Another important cause of concern in the country is the stigmatization and defamation of human rights defenders, which undermines their public reputation and delegitimizes social justice work. The IACHR highlights the importance of preventing and punishing attacks </w:t>
      </w:r>
      <w:r w:rsidRPr="00B90432">
        <w:rPr>
          <w:rFonts w:asciiTheme="minorHAnsi" w:hAnsiTheme="minorHAnsi"/>
        </w:rPr>
        <w:lastRenderedPageBreak/>
        <w:t>and intimidation against human rights defenders, in light of the valuable work they perform and given the multiplying impact that such attacks have on the protection of human rights in the country.</w:t>
      </w:r>
    </w:p>
    <w:p w14:paraId="49552DE7" w14:textId="77777777" w:rsidR="006B6FEC" w:rsidRPr="00B90432" w:rsidRDefault="006B6FEC" w:rsidP="006F4717">
      <w:pPr>
        <w:pStyle w:val="Numberedparagraphs"/>
        <w:rPr>
          <w:rFonts w:asciiTheme="minorHAnsi" w:hAnsiTheme="minorHAnsi"/>
        </w:rPr>
      </w:pPr>
      <w:r w:rsidRPr="00B90432">
        <w:rPr>
          <w:rFonts w:asciiTheme="minorHAnsi" w:hAnsiTheme="minorHAnsi"/>
        </w:rPr>
        <w:t>The IACHR received extensive information on the actions of forced evictions and the risk faced by a significant number of peasant and indigenous communities of being evicted by the Guatemalan State in the course of the execution of judicial orders. According to the information gathered during the visit, behind the execution of the evictions there are often interests of corporations and private companies that have various investment projects such as monocultures, mining, hydroelectric projects, oil, or tourism, among others. During recent years it has been observed how legal and illegal interests have forced the population to be displaced or to resist and defend their territories. The Commission was informed of the existence of the large number of eviction requests that exist, especially in the Petén department. The IACHR notes that evictions affect people who are most vulnerable and intensify inequality, social conflicts, segregation and the creation of ghettos. Forced evictions are often linked to the lack of legal certainty about the land, which is an essential element of the right to adequate housing.</w:t>
      </w:r>
    </w:p>
    <w:p w14:paraId="63CED780" w14:textId="77777777" w:rsidR="006B6FEC" w:rsidRPr="00B90432" w:rsidRDefault="006B6FEC" w:rsidP="006F4717">
      <w:pPr>
        <w:pStyle w:val="Numberedparagraphs"/>
        <w:rPr>
          <w:rFonts w:asciiTheme="minorHAnsi" w:hAnsiTheme="minorHAnsi"/>
        </w:rPr>
      </w:pPr>
      <w:r w:rsidRPr="00B90432">
        <w:rPr>
          <w:rFonts w:asciiTheme="minorHAnsi" w:hAnsiTheme="minorHAnsi"/>
        </w:rPr>
        <w:t>In relation to violence and insecurity, the situation of women, children, indigenous peoples, afrodescendants, human rights defenders, LGBTI persons and journalists is of concern. Despite having had a slight decrease in the last ten years, the overall homicide rate in the country remains one of the highest in Latin America and the Caribbean. Most of the crimes are attributed to gangs, drug cartels and organized crime, which represent one of the most important security problems in the country. The IACHR hopes that with the installation of the Inter-Institutional Technical Board formed by the Public Prosecutor's Office, the INACIF, the PNC and other institutions that administer statistical information in the security and justice system, standardized figures will be generated on violent deaths and other crimes in the country to facilitate temporal, regional and disaggregated analysis of crime trends in Guatemala.</w:t>
      </w:r>
    </w:p>
    <w:p w14:paraId="112E2883" w14:textId="77777777" w:rsidR="00926C72" w:rsidRPr="00B90432" w:rsidRDefault="00926C72" w:rsidP="006F4717">
      <w:pPr>
        <w:pStyle w:val="Numberedparagraphs"/>
        <w:rPr>
          <w:rFonts w:asciiTheme="minorHAnsi" w:hAnsiTheme="minorHAnsi"/>
        </w:rPr>
      </w:pPr>
      <w:r w:rsidRPr="00B90432">
        <w:rPr>
          <w:rFonts w:asciiTheme="minorHAnsi" w:hAnsiTheme="minorHAnsi"/>
        </w:rPr>
        <w:t xml:space="preserve">Regarding the situation of journalists, the IACHR </w:t>
      </w:r>
      <w:r w:rsidR="00982822" w:rsidRPr="00B90432">
        <w:rPr>
          <w:rFonts w:asciiTheme="minorHAnsi" w:hAnsiTheme="minorHAnsi"/>
        </w:rPr>
        <w:t>observed</w:t>
      </w:r>
      <w:r w:rsidRPr="00B90432">
        <w:rPr>
          <w:rFonts w:asciiTheme="minorHAnsi" w:hAnsiTheme="minorHAnsi"/>
        </w:rPr>
        <w:t xml:space="preserve"> that Guatemala </w:t>
      </w:r>
      <w:r w:rsidR="00982822" w:rsidRPr="00B90432">
        <w:rPr>
          <w:rFonts w:asciiTheme="minorHAnsi" w:hAnsiTheme="minorHAnsi"/>
        </w:rPr>
        <w:t>is undergoing a</w:t>
      </w:r>
      <w:r w:rsidRPr="00B90432">
        <w:rPr>
          <w:rFonts w:asciiTheme="minorHAnsi" w:hAnsiTheme="minorHAnsi"/>
        </w:rPr>
        <w:t xml:space="preserve"> context of violence, characterized by murders, threats and a discourse that seeks to stigmatize media and communicators committed to combating c</w:t>
      </w:r>
      <w:r w:rsidR="00982822" w:rsidRPr="00B90432">
        <w:rPr>
          <w:rFonts w:asciiTheme="minorHAnsi" w:hAnsiTheme="minorHAnsi"/>
        </w:rPr>
        <w:t>orruption and abuse of power. Accoring to the information received</w:t>
      </w:r>
      <w:r w:rsidRPr="00B90432">
        <w:rPr>
          <w:rFonts w:asciiTheme="minorHAnsi" w:hAnsiTheme="minorHAnsi"/>
        </w:rPr>
        <w:t>, especially in the interior of the country, journalists and</w:t>
      </w:r>
      <w:r w:rsidR="00982822" w:rsidRPr="00B90432">
        <w:rPr>
          <w:rFonts w:asciiTheme="minorHAnsi" w:hAnsiTheme="minorHAnsi"/>
        </w:rPr>
        <w:t xml:space="preserve"> social communicators are in a “high degree of vulnerability”</w:t>
      </w:r>
      <w:r w:rsidRPr="00B90432">
        <w:rPr>
          <w:rFonts w:asciiTheme="minorHAnsi" w:hAnsiTheme="minorHAnsi"/>
        </w:rPr>
        <w:t xml:space="preserve"> to practice their profession. The IACHR highlights the announcement made by President Jimmy Morales </w:t>
      </w:r>
      <w:r w:rsidR="00982822" w:rsidRPr="00B90432">
        <w:rPr>
          <w:rFonts w:asciiTheme="minorHAnsi" w:hAnsiTheme="minorHAnsi"/>
        </w:rPr>
        <w:t>during</w:t>
      </w:r>
      <w:r w:rsidRPr="00B90432">
        <w:rPr>
          <w:rFonts w:asciiTheme="minorHAnsi" w:hAnsiTheme="minorHAnsi"/>
        </w:rPr>
        <w:t xml:space="preserve"> the on-site </w:t>
      </w:r>
      <w:r w:rsidR="00982822" w:rsidRPr="00B90432">
        <w:rPr>
          <w:rFonts w:asciiTheme="minorHAnsi" w:hAnsiTheme="minorHAnsi"/>
        </w:rPr>
        <w:t xml:space="preserve">visit regarding </w:t>
      </w:r>
      <w:r w:rsidRPr="00B90432">
        <w:rPr>
          <w:rFonts w:asciiTheme="minorHAnsi" w:hAnsiTheme="minorHAnsi"/>
        </w:rPr>
        <w:t>a Program to Protect Journalists and Social Communicators</w:t>
      </w:r>
      <w:r w:rsidR="00982822" w:rsidRPr="00B90432">
        <w:rPr>
          <w:rFonts w:asciiTheme="minorHAnsi" w:hAnsiTheme="minorHAnsi"/>
        </w:rPr>
        <w:t>,</w:t>
      </w:r>
      <w:r w:rsidRPr="00B90432">
        <w:rPr>
          <w:rFonts w:asciiTheme="minorHAnsi" w:hAnsiTheme="minorHAnsi"/>
        </w:rPr>
        <w:t xml:space="preserve"> </w:t>
      </w:r>
      <w:r w:rsidR="00982822" w:rsidRPr="00B90432">
        <w:rPr>
          <w:rFonts w:asciiTheme="minorHAnsi" w:hAnsiTheme="minorHAnsi"/>
        </w:rPr>
        <w:t xml:space="preserve">which </w:t>
      </w:r>
      <w:r w:rsidRPr="00B90432">
        <w:rPr>
          <w:rFonts w:asciiTheme="minorHAnsi" w:hAnsiTheme="minorHAnsi"/>
        </w:rPr>
        <w:t xml:space="preserve">would be approved </w:t>
      </w:r>
      <w:r w:rsidR="00982822" w:rsidRPr="00B90432">
        <w:rPr>
          <w:rFonts w:asciiTheme="minorHAnsi" w:hAnsiTheme="minorHAnsi"/>
        </w:rPr>
        <w:t>shortly</w:t>
      </w:r>
      <w:r w:rsidRPr="00B90432">
        <w:rPr>
          <w:rFonts w:asciiTheme="minorHAnsi" w:hAnsiTheme="minorHAnsi"/>
        </w:rPr>
        <w:t xml:space="preserve"> </w:t>
      </w:r>
      <w:r w:rsidR="00982822" w:rsidRPr="00B90432">
        <w:rPr>
          <w:rFonts w:asciiTheme="minorHAnsi" w:hAnsiTheme="minorHAnsi"/>
        </w:rPr>
        <w:lastRenderedPageBreak/>
        <w:t>and</w:t>
      </w:r>
      <w:r w:rsidRPr="00B90432">
        <w:rPr>
          <w:rFonts w:asciiTheme="minorHAnsi" w:hAnsiTheme="minorHAnsi"/>
        </w:rPr>
        <w:t xml:space="preserve"> which </w:t>
      </w:r>
      <w:r w:rsidR="00982822" w:rsidRPr="00B90432">
        <w:rPr>
          <w:rFonts w:asciiTheme="minorHAnsi" w:hAnsiTheme="minorHAnsi"/>
        </w:rPr>
        <w:t xml:space="preserve">is reportedly </w:t>
      </w:r>
      <w:r w:rsidRPr="00B90432">
        <w:rPr>
          <w:rFonts w:asciiTheme="minorHAnsi" w:hAnsiTheme="minorHAnsi"/>
        </w:rPr>
        <w:t>be</w:t>
      </w:r>
      <w:r w:rsidR="00982822" w:rsidRPr="00B90432">
        <w:rPr>
          <w:rFonts w:asciiTheme="minorHAnsi" w:hAnsiTheme="minorHAnsi"/>
        </w:rPr>
        <w:t xml:space="preserve">ing worked on </w:t>
      </w:r>
      <w:r w:rsidRPr="00B90432">
        <w:rPr>
          <w:rFonts w:asciiTheme="minorHAnsi" w:hAnsiTheme="minorHAnsi"/>
        </w:rPr>
        <w:t>i</w:t>
      </w:r>
      <w:r w:rsidR="00982822" w:rsidRPr="00B90432">
        <w:rPr>
          <w:rFonts w:asciiTheme="minorHAnsi" w:hAnsiTheme="minorHAnsi"/>
        </w:rPr>
        <w:t>n consultation with journalists’</w:t>
      </w:r>
      <w:r w:rsidRPr="00B90432">
        <w:rPr>
          <w:rFonts w:asciiTheme="minorHAnsi" w:hAnsiTheme="minorHAnsi"/>
        </w:rPr>
        <w:t xml:space="preserve"> organizations. </w:t>
      </w:r>
      <w:r w:rsidR="00982822" w:rsidRPr="00B90432">
        <w:rPr>
          <w:rFonts w:asciiTheme="minorHAnsi" w:hAnsiTheme="minorHAnsi"/>
        </w:rPr>
        <w:t>Nonetheless</w:t>
      </w:r>
      <w:r w:rsidRPr="00B90432">
        <w:rPr>
          <w:rFonts w:asciiTheme="minorHAnsi" w:hAnsiTheme="minorHAnsi"/>
        </w:rPr>
        <w:t xml:space="preserve">, </w:t>
      </w:r>
      <w:r w:rsidR="00982822" w:rsidRPr="00B90432">
        <w:rPr>
          <w:rFonts w:asciiTheme="minorHAnsi" w:hAnsiTheme="minorHAnsi"/>
        </w:rPr>
        <w:t>t</w:t>
      </w:r>
      <w:r w:rsidRPr="00B90432">
        <w:rPr>
          <w:rFonts w:asciiTheme="minorHAnsi" w:hAnsiTheme="minorHAnsi"/>
        </w:rPr>
        <w:t>he</w:t>
      </w:r>
      <w:r w:rsidR="00982822" w:rsidRPr="00B90432">
        <w:rPr>
          <w:rFonts w:asciiTheme="minorHAnsi" w:hAnsiTheme="minorHAnsi"/>
        </w:rPr>
        <w:t xml:space="preserve"> Commission notes</w:t>
      </w:r>
      <w:r w:rsidRPr="00B90432">
        <w:rPr>
          <w:rFonts w:asciiTheme="minorHAnsi" w:hAnsiTheme="minorHAnsi"/>
        </w:rPr>
        <w:t xml:space="preserve"> </w:t>
      </w:r>
      <w:r w:rsidR="00982822" w:rsidRPr="00B90432">
        <w:rPr>
          <w:rFonts w:asciiTheme="minorHAnsi" w:hAnsiTheme="minorHAnsi"/>
        </w:rPr>
        <w:t>with concern that since the date of that announcement,</w:t>
      </w:r>
      <w:r w:rsidRPr="00B90432">
        <w:rPr>
          <w:rFonts w:asciiTheme="minorHAnsi" w:hAnsiTheme="minorHAnsi"/>
        </w:rPr>
        <w:t xml:space="preserve"> there </w:t>
      </w:r>
      <w:r w:rsidR="00982822" w:rsidRPr="00B90432">
        <w:rPr>
          <w:rFonts w:asciiTheme="minorHAnsi" w:hAnsiTheme="minorHAnsi"/>
        </w:rPr>
        <w:t>has</w:t>
      </w:r>
      <w:r w:rsidRPr="00B90432">
        <w:rPr>
          <w:rFonts w:asciiTheme="minorHAnsi" w:hAnsiTheme="minorHAnsi"/>
        </w:rPr>
        <w:t xml:space="preserve"> been no tangible progress </w:t>
      </w:r>
      <w:r w:rsidR="00982822" w:rsidRPr="00B90432">
        <w:rPr>
          <w:rFonts w:asciiTheme="minorHAnsi" w:hAnsiTheme="minorHAnsi"/>
        </w:rPr>
        <w:t>in</w:t>
      </w:r>
      <w:r w:rsidRPr="00B90432">
        <w:rPr>
          <w:rFonts w:asciiTheme="minorHAnsi" w:hAnsiTheme="minorHAnsi"/>
        </w:rPr>
        <w:t xml:space="preserve"> the </w:t>
      </w:r>
      <w:r w:rsidR="00982822" w:rsidRPr="00B90432">
        <w:rPr>
          <w:rFonts w:asciiTheme="minorHAnsi" w:hAnsiTheme="minorHAnsi"/>
        </w:rPr>
        <w:t xml:space="preserve">creation of said </w:t>
      </w:r>
      <w:r w:rsidRPr="00B90432">
        <w:rPr>
          <w:rFonts w:asciiTheme="minorHAnsi" w:hAnsiTheme="minorHAnsi"/>
        </w:rPr>
        <w:t>program.</w:t>
      </w:r>
    </w:p>
    <w:p w14:paraId="32D4E95B"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Regarding persons deprived of liberty, the Inter-American Commission observed that the Guatemalan prison system is mainly characterized by overcrowding, the excessive use of preventive detention, and the delay of justice. Furthermore, it is characterized by the deplorable conditions of detention, the high levels of violence, the lack of effective programs for social reintegration, corruption, and the absence of effective control of the authorities at the interior of the detention centers. </w:t>
      </w:r>
    </w:p>
    <w:p w14:paraId="2D0911A4" w14:textId="77777777" w:rsidR="006B6FEC" w:rsidRPr="00B90432" w:rsidRDefault="006B6FEC" w:rsidP="006F4717">
      <w:pPr>
        <w:pStyle w:val="Numberedparagraphs"/>
        <w:rPr>
          <w:rFonts w:asciiTheme="minorHAnsi" w:hAnsiTheme="minorHAnsi"/>
        </w:rPr>
      </w:pPr>
      <w:r w:rsidRPr="00B90432">
        <w:rPr>
          <w:rFonts w:asciiTheme="minorHAnsi" w:hAnsiTheme="minorHAnsi"/>
        </w:rPr>
        <w:t xml:space="preserve">The rights of children and adolescents in the country received special attention during 2017 after the tragedy in the </w:t>
      </w:r>
      <w:r w:rsidRPr="00B90432">
        <w:rPr>
          <w:rFonts w:asciiTheme="minorHAnsi" w:hAnsiTheme="minorHAnsi"/>
          <w:i/>
        </w:rPr>
        <w:t>Virgen de la Asunción</w:t>
      </w:r>
      <w:r w:rsidRPr="00B90432">
        <w:rPr>
          <w:rFonts w:asciiTheme="minorHAnsi" w:hAnsiTheme="minorHAnsi"/>
        </w:rPr>
        <w:t xml:space="preserve"> Home, where 41 girls and adolescents died in State custody. This tragedy brought to light the insecure conditions of the homes where children are housed, as well as the deplorable situation of detention centers for children and adolescents in contact or conflict with the criminal justice system. The Commission visited some of these centers and verified these conditions. The IACHR notes that the serious situation of children and adolescents in Guatemala stems from the weakness and disarticulation among the institutions in charge of children's rights, as well as from the lack of a National Public Policy that focuses on </w:t>
      </w:r>
      <w:r w:rsidRPr="00B90432">
        <w:rPr>
          <w:rFonts w:asciiTheme="minorHAnsi" w:hAnsiTheme="minorHAnsi"/>
          <w:i/>
        </w:rPr>
        <w:t>guaranteeing</w:t>
      </w:r>
      <w:r w:rsidRPr="00B90432">
        <w:rPr>
          <w:rFonts w:asciiTheme="minorHAnsi" w:hAnsiTheme="minorHAnsi"/>
        </w:rPr>
        <w:t xml:space="preserve"> the rights of children, girls and adolescents that is neither reductionist nor protectionist.</w:t>
      </w:r>
    </w:p>
    <w:p w14:paraId="4FF6824A" w14:textId="77777777" w:rsidR="006B6FEC" w:rsidRPr="00B90432" w:rsidRDefault="006B6FEC" w:rsidP="006F4717">
      <w:pPr>
        <w:pStyle w:val="Numberedparagraphs"/>
        <w:rPr>
          <w:rFonts w:asciiTheme="minorHAnsi" w:hAnsiTheme="minorHAnsi"/>
        </w:rPr>
      </w:pPr>
      <w:r w:rsidRPr="00B90432">
        <w:rPr>
          <w:rFonts w:asciiTheme="minorHAnsi" w:hAnsiTheme="minorHAnsi"/>
        </w:rPr>
        <w:t>In light of the human right situation observed, the Commission recommends the State, as immediate measures, to double down on its commitment to continue with the fight against impunity, violence, intolerance and corruption, through policies and programs of prevention and respect for human rights, as well as a strengthened, independent and impartial justice system. Similarly, the State must deepen its efforts to adopt laws, policies and programs in order to close the gap of persistent inequality and exclusion, so that all persons, particularly those who have been historically excluded, can exercise their human rights. The Commission expresses its willingness and disposition to contribute and collaborate with the State of Guatemala in the implementation of a human rights agenda aimed at guaranteeing and protecting the rights of all its inhabitants. In this context, the IACHR makes a series of recommendations to the State of Guatemala.</w:t>
      </w:r>
    </w:p>
    <w:p w14:paraId="3EF13630" w14:textId="0318BCE7" w:rsidR="00926C72" w:rsidRPr="00B90432" w:rsidRDefault="00926C72" w:rsidP="006F4717">
      <w:pPr>
        <w:pStyle w:val="Numberedparagraphs"/>
        <w:rPr>
          <w:rFonts w:asciiTheme="minorHAnsi" w:hAnsiTheme="minorHAnsi"/>
        </w:rPr>
      </w:pPr>
      <w:r w:rsidRPr="00B90432">
        <w:rPr>
          <w:rFonts w:asciiTheme="minorHAnsi" w:hAnsiTheme="minorHAnsi"/>
        </w:rPr>
        <w:t xml:space="preserve">This report is divided into </w:t>
      </w:r>
      <w:r w:rsidR="00F43601">
        <w:rPr>
          <w:rFonts w:asciiTheme="minorHAnsi" w:hAnsiTheme="minorHAnsi"/>
        </w:rPr>
        <w:t>eight</w:t>
      </w:r>
      <w:r w:rsidRPr="00B90432">
        <w:rPr>
          <w:rFonts w:asciiTheme="minorHAnsi" w:hAnsiTheme="minorHAnsi"/>
        </w:rPr>
        <w:t xml:space="preserve"> chapters. The first contains the introduction to the report. Chapter Two analyzes the system of administration of justice in Guatemala. The third chapter addresses the </w:t>
      </w:r>
      <w:r w:rsidRPr="00B90432">
        <w:rPr>
          <w:rFonts w:asciiTheme="minorHAnsi" w:hAnsiTheme="minorHAnsi"/>
        </w:rPr>
        <w:lastRenderedPageBreak/>
        <w:t xml:space="preserve">situation of human rights defenders and justice operators in the country. </w:t>
      </w:r>
      <w:r w:rsidR="00F43601">
        <w:rPr>
          <w:rFonts w:asciiTheme="minorHAnsi" w:hAnsiTheme="minorHAnsi"/>
        </w:rPr>
        <w:t>The fourth chapter addresses ….</w:t>
      </w:r>
      <w:r w:rsidRPr="00B90432">
        <w:rPr>
          <w:rFonts w:asciiTheme="minorHAnsi" w:hAnsiTheme="minorHAnsi"/>
        </w:rPr>
        <w:t xml:space="preserve">The </w:t>
      </w:r>
      <w:r w:rsidR="00F43601">
        <w:rPr>
          <w:rFonts w:asciiTheme="minorHAnsi" w:hAnsiTheme="minorHAnsi"/>
        </w:rPr>
        <w:t>fifth</w:t>
      </w:r>
      <w:r w:rsidRPr="00B90432">
        <w:rPr>
          <w:rFonts w:asciiTheme="minorHAnsi" w:hAnsiTheme="minorHAnsi"/>
        </w:rPr>
        <w:t xml:space="preserve"> chapter looks at the situation of freedom of expression. Chapter </w:t>
      </w:r>
      <w:r w:rsidR="00F43601">
        <w:rPr>
          <w:rFonts w:asciiTheme="minorHAnsi" w:hAnsiTheme="minorHAnsi"/>
        </w:rPr>
        <w:t>Six</w:t>
      </w:r>
      <w:r w:rsidRPr="00B90432">
        <w:rPr>
          <w:rFonts w:asciiTheme="minorHAnsi" w:hAnsiTheme="minorHAnsi"/>
        </w:rPr>
        <w:t xml:space="preserve"> deals with citizen security issues. Chapter </w:t>
      </w:r>
      <w:r w:rsidR="00F43601">
        <w:rPr>
          <w:rFonts w:asciiTheme="minorHAnsi" w:hAnsiTheme="minorHAnsi"/>
        </w:rPr>
        <w:t>Seven</w:t>
      </w:r>
      <w:r w:rsidRPr="00B90432">
        <w:rPr>
          <w:rFonts w:asciiTheme="minorHAnsi" w:hAnsiTheme="minorHAnsi"/>
        </w:rPr>
        <w:t xml:space="preserve"> covers the situation of pe</w:t>
      </w:r>
      <w:r w:rsidR="00F43601">
        <w:rPr>
          <w:rFonts w:asciiTheme="minorHAnsi" w:hAnsiTheme="minorHAnsi"/>
        </w:rPr>
        <w:t>ople in State custody. Chapter Eight</w:t>
      </w:r>
      <w:r w:rsidRPr="00B90432">
        <w:rPr>
          <w:rFonts w:asciiTheme="minorHAnsi" w:hAnsiTheme="minorHAnsi"/>
        </w:rPr>
        <w:t xml:space="preserve"> contains the report's conclusions and recommendations. The Commission offers a series of recommendations intended to assist the Guatemalan State in its efforts to ensure human rights in the country.</w:t>
      </w:r>
    </w:p>
    <w:p w14:paraId="756D6A2A" w14:textId="77777777" w:rsidR="00F43601" w:rsidRDefault="00F43601" w:rsidP="006F4717">
      <w:pPr>
        <w:pStyle w:val="Numberedparagraphs"/>
        <w:numPr>
          <w:ilvl w:val="0"/>
          <w:numId w:val="0"/>
        </w:numPr>
        <w:ind w:left="547"/>
        <w:rPr>
          <w:rFonts w:asciiTheme="minorHAnsi" w:hAnsiTheme="minorHAnsi"/>
        </w:rPr>
        <w:sectPr w:rsidR="00F43601" w:rsidSect="00450424">
          <w:headerReference w:type="even" r:id="rId29"/>
          <w:headerReference w:type="default" r:id="rId30"/>
          <w:footerReference w:type="even" r:id="rId31"/>
          <w:footerReference w:type="default" r:id="rId32"/>
          <w:type w:val="oddPage"/>
          <w:pgSz w:w="10080" w:h="14400" w:code="13"/>
          <w:pgMar w:top="1152" w:right="1152" w:bottom="1152" w:left="1296" w:header="720" w:footer="720" w:gutter="0"/>
          <w:cols w:space="720"/>
          <w:docGrid w:linePitch="360"/>
        </w:sectPr>
      </w:pPr>
    </w:p>
    <w:p w14:paraId="5FB4AADF" w14:textId="0F7C3E5C" w:rsidR="00F43601" w:rsidRPr="0061154D" w:rsidRDefault="0061154D" w:rsidP="0061154D">
      <w:pPr>
        <w:pStyle w:val="Title"/>
        <w:rPr>
          <w:color w:val="808080" w:themeColor="background1" w:themeShade="80"/>
          <w:sz w:val="44"/>
          <w:szCs w:val="44"/>
        </w:rPr>
      </w:pPr>
      <w:bookmarkStart w:id="19" w:name="_Toc509827625"/>
      <w:r w:rsidRPr="0061154D">
        <w:rPr>
          <w:color w:val="808080" w:themeColor="background1" w:themeShade="80"/>
          <w:sz w:val="44"/>
          <w:szCs w:val="44"/>
        </w:rPr>
        <w:lastRenderedPageBreak/>
        <w:t>CHAPTER 1</w:t>
      </w:r>
      <w:bookmarkEnd w:id="19"/>
    </w:p>
    <w:p w14:paraId="2FBD6298" w14:textId="054431D8" w:rsidR="0061154D" w:rsidRPr="0061154D" w:rsidRDefault="0061154D" w:rsidP="0061154D">
      <w:pPr>
        <w:pStyle w:val="Title"/>
        <w:sectPr w:rsidR="0061154D" w:rsidRPr="0061154D" w:rsidSect="0061154D">
          <w:headerReference w:type="default" r:id="rId33"/>
          <w:footerReference w:type="default" r:id="rId34"/>
          <w:type w:val="oddPage"/>
          <w:pgSz w:w="10080" w:h="14400" w:code="13"/>
          <w:pgMar w:top="1152" w:right="1152" w:bottom="1152" w:left="1296" w:header="720" w:footer="720" w:gutter="0"/>
          <w:cols w:space="720"/>
          <w:vAlign w:val="center"/>
          <w:docGrid w:linePitch="360"/>
        </w:sectPr>
      </w:pPr>
      <w:bookmarkStart w:id="20" w:name="_Toc509827626"/>
      <w:r w:rsidRPr="0061154D">
        <w:t>INTRODUCTION</w:t>
      </w:r>
      <w:bookmarkEnd w:id="20"/>
    </w:p>
    <w:p w14:paraId="46B89918" w14:textId="310C03EE" w:rsidR="00787D5D" w:rsidRPr="00B90432" w:rsidRDefault="00102B29" w:rsidP="003D17BA">
      <w:pPr>
        <w:pStyle w:val="Heading1"/>
      </w:pPr>
      <w:bookmarkStart w:id="21" w:name="_Toc509827627"/>
      <w:r w:rsidRPr="00B90432">
        <w:lastRenderedPageBreak/>
        <w:t>INTRODUCTION</w:t>
      </w:r>
      <w:bookmarkEnd w:id="21"/>
    </w:p>
    <w:p w14:paraId="32D5F666" w14:textId="77777777" w:rsidR="00D92D39" w:rsidRPr="00B90432" w:rsidRDefault="000033F6" w:rsidP="006F4717">
      <w:pPr>
        <w:pStyle w:val="Numberedparagraphs"/>
        <w:rPr>
          <w:rFonts w:asciiTheme="minorHAnsi" w:hAnsiTheme="minorHAnsi"/>
        </w:rPr>
      </w:pPr>
      <w:r w:rsidRPr="00B90432">
        <w:rPr>
          <w:rFonts w:asciiTheme="minorHAnsi" w:hAnsiTheme="minorHAnsi"/>
        </w:rPr>
        <w:t xml:space="preserve">The Commission has monitored the human rights situation in Guatemala with particularly close attention since its inception, especially in response to the gross human rights violations perpetrated during the internal armed conflict. As a result, it has been the subject of the most on-site visits and country reports </w:t>
      </w:r>
      <w:r w:rsidR="006B6FEC" w:rsidRPr="00B90432">
        <w:rPr>
          <w:rFonts w:asciiTheme="minorHAnsi" w:hAnsiTheme="minorHAnsi"/>
        </w:rPr>
        <w:t>by</w:t>
      </w:r>
      <w:r w:rsidRPr="00B90432">
        <w:rPr>
          <w:rFonts w:asciiTheme="minorHAnsi" w:hAnsiTheme="minorHAnsi"/>
        </w:rPr>
        <w:t xml:space="preserve"> the IACHR. </w:t>
      </w:r>
    </w:p>
    <w:p w14:paraId="555A883C" w14:textId="19254F7F" w:rsidR="00D92D39" w:rsidRPr="00B90432" w:rsidRDefault="000033F6" w:rsidP="006F4717">
      <w:pPr>
        <w:pStyle w:val="Numberedparagraphs"/>
        <w:rPr>
          <w:rFonts w:asciiTheme="minorHAnsi" w:hAnsiTheme="minorHAnsi"/>
        </w:rPr>
      </w:pPr>
      <w:r w:rsidRPr="00B90432">
        <w:rPr>
          <w:rFonts w:asciiTheme="minorHAnsi" w:hAnsiTheme="minorHAnsi"/>
        </w:rPr>
        <w:t>After the armed conflict began in 1962, the Commission started receiving many communications denouncing alleged violations of fundamental individual rights.</w:t>
      </w:r>
      <w:r w:rsidRPr="00B90432">
        <w:rPr>
          <w:rStyle w:val="apple-converted-space"/>
          <w:rFonts w:asciiTheme="minorHAnsi" w:hAnsiTheme="minorHAnsi"/>
          <w:color w:val="000000"/>
        </w:rPr>
        <w:t> </w:t>
      </w:r>
      <w:r w:rsidRPr="00B90432">
        <w:rPr>
          <w:rFonts w:asciiTheme="minorHAnsi" w:hAnsiTheme="minorHAnsi"/>
        </w:rPr>
        <w:t>The Commission's monitoring of the situation during the early years of the conflict led to the publication in 1966 of its “Requests for Information Conveyed to the Government of Guatemala.” The Commission's monitoring of the situation in the country continued both during and after the co</w:t>
      </w:r>
      <w:r w:rsidR="00020837">
        <w:rPr>
          <w:rFonts w:asciiTheme="minorHAnsi" w:hAnsiTheme="minorHAnsi"/>
        </w:rPr>
        <w:t>nflict with the publication of 8</w:t>
      </w:r>
      <w:r w:rsidRPr="00B90432">
        <w:rPr>
          <w:rFonts w:asciiTheme="minorHAnsi" w:hAnsiTheme="minorHAnsi"/>
        </w:rPr>
        <w:t xml:space="preserve"> special country reports</w:t>
      </w:r>
      <w:r w:rsidRPr="00B90432">
        <w:rPr>
          <w:rStyle w:val="FootnoteReference"/>
          <w:rFonts w:asciiTheme="minorHAnsi" w:hAnsiTheme="minorHAnsi"/>
          <w:color w:val="000000"/>
          <w:sz w:val="22"/>
          <w:szCs w:val="22"/>
        </w:rPr>
        <w:footnoteReference w:id="1"/>
      </w:r>
      <w:r w:rsidRPr="00B90432">
        <w:rPr>
          <w:rStyle w:val="apple-converted-space"/>
          <w:rFonts w:asciiTheme="minorHAnsi" w:hAnsiTheme="minorHAnsi"/>
          <w:color w:val="000000"/>
        </w:rPr>
        <w:t> </w:t>
      </w:r>
      <w:r w:rsidRPr="00B90432">
        <w:rPr>
          <w:rFonts w:asciiTheme="minorHAnsi" w:hAnsiTheme="minorHAnsi"/>
        </w:rPr>
        <w:t>and 16 follow-up reports on the overall situation.</w:t>
      </w:r>
      <w:r w:rsidRPr="00B90432">
        <w:rPr>
          <w:rStyle w:val="FootnoteReference"/>
          <w:rFonts w:asciiTheme="minorHAnsi" w:hAnsiTheme="minorHAnsi"/>
          <w:color w:val="000000"/>
          <w:sz w:val="22"/>
          <w:szCs w:val="22"/>
        </w:rPr>
        <w:footnoteReference w:id="2"/>
      </w:r>
      <w:r w:rsidRPr="00B90432">
        <w:rPr>
          <w:rStyle w:val="apple-converted-space"/>
          <w:rFonts w:asciiTheme="minorHAnsi" w:hAnsiTheme="minorHAnsi"/>
          <w:color w:val="000000"/>
        </w:rPr>
        <w:t> </w:t>
      </w:r>
      <w:r w:rsidRPr="00B90432">
        <w:rPr>
          <w:rFonts w:asciiTheme="minorHAnsi" w:hAnsiTheme="minorHAnsi"/>
        </w:rPr>
        <w:t>The Commission has made a total of 11 on-site visits</w:t>
      </w:r>
      <w:r w:rsidRPr="00B90432">
        <w:rPr>
          <w:rStyle w:val="apple-converted-space"/>
          <w:rFonts w:asciiTheme="minorHAnsi" w:hAnsiTheme="minorHAnsi"/>
          <w:color w:val="000000"/>
        </w:rPr>
        <w:t> </w:t>
      </w:r>
      <w:r w:rsidRPr="00B90432">
        <w:rPr>
          <w:rFonts w:asciiTheme="minorHAnsi" w:hAnsiTheme="minorHAnsi"/>
        </w:rPr>
        <w:t xml:space="preserve">to Guatemala since 1982, and has processed and published in its annual reports many reports on individual cases, among other activities. The most recent report, entitled </w:t>
      </w:r>
      <w:r w:rsidRPr="00B90432">
        <w:rPr>
          <w:rFonts w:asciiTheme="minorHAnsi" w:hAnsiTheme="minorHAnsi"/>
          <w:i/>
          <w:iCs/>
        </w:rPr>
        <w:t>Situation of Human Rights in Guatemala</w:t>
      </w:r>
      <w:r w:rsidRPr="00B90432">
        <w:rPr>
          <w:rFonts w:asciiTheme="minorHAnsi" w:hAnsiTheme="minorHAnsi"/>
        </w:rPr>
        <w:t xml:space="preserve">: </w:t>
      </w:r>
      <w:r w:rsidRPr="00B90432">
        <w:rPr>
          <w:rFonts w:asciiTheme="minorHAnsi" w:hAnsiTheme="minorHAnsi"/>
          <w:i/>
          <w:iCs/>
        </w:rPr>
        <w:t>Diversity, Inequality and Exclusion</w:t>
      </w:r>
      <w:r w:rsidRPr="00B90432">
        <w:rPr>
          <w:rFonts w:asciiTheme="minorHAnsi" w:hAnsiTheme="minorHAnsi"/>
        </w:rPr>
        <w:t>, was adopted by the IACHR on December 31, 2015, with a follow-up report published in 2016.</w:t>
      </w:r>
    </w:p>
    <w:p w14:paraId="0D295631" w14:textId="77777777" w:rsidR="00D92D39" w:rsidRPr="00B90432" w:rsidRDefault="00D134E6" w:rsidP="006F4717">
      <w:pPr>
        <w:pStyle w:val="Numberedparagraphs"/>
        <w:rPr>
          <w:rFonts w:asciiTheme="minorHAnsi" w:hAnsiTheme="minorHAnsi"/>
        </w:rPr>
      </w:pPr>
      <w:r w:rsidRPr="00B90432">
        <w:rPr>
          <w:rFonts w:asciiTheme="minorHAnsi" w:hAnsiTheme="minorHAnsi"/>
        </w:rPr>
        <w:t xml:space="preserve">On February 26, 2016, the State of Guatemala extended an invitation for the Commission to visit the country. In Guatemala City on March 14, 2016, Commissioners James Cavallaro and Enrique Gil Botero presented the IACHR report </w:t>
      </w:r>
      <w:r w:rsidRPr="00B90432">
        <w:rPr>
          <w:rFonts w:asciiTheme="minorHAnsi" w:hAnsiTheme="minorHAnsi"/>
          <w:i/>
          <w:iCs/>
        </w:rPr>
        <w:t>Situation of Human Rights in Guatemala</w:t>
      </w:r>
      <w:r w:rsidRPr="00B90432">
        <w:rPr>
          <w:rFonts w:asciiTheme="minorHAnsi" w:hAnsiTheme="minorHAnsi"/>
        </w:rPr>
        <w:t xml:space="preserve">: </w:t>
      </w:r>
      <w:r w:rsidRPr="00B90432">
        <w:rPr>
          <w:rFonts w:asciiTheme="minorHAnsi" w:hAnsiTheme="minorHAnsi"/>
          <w:i/>
          <w:iCs/>
        </w:rPr>
        <w:t>Diversity, Inequality and Exclusion</w:t>
      </w:r>
      <w:r w:rsidRPr="00B90432">
        <w:rPr>
          <w:rFonts w:asciiTheme="minorHAnsi" w:hAnsiTheme="minorHAnsi"/>
        </w:rPr>
        <w:t>. During that visit, the President of the Republic, Jimmy Morales, who took office on January 14, 2016, reiterated to the commissioners the invitation for the IACHR to visit Guatemala. Owing to the financial crisis afflicting the Commission, the IACHR had to postpone the visit.</w:t>
      </w:r>
    </w:p>
    <w:p w14:paraId="05DC5AF7" w14:textId="77777777" w:rsidR="00D92D39" w:rsidRPr="00B90432" w:rsidRDefault="00D134E6" w:rsidP="006F4717">
      <w:pPr>
        <w:pStyle w:val="Numberedparagraphs"/>
        <w:rPr>
          <w:rFonts w:asciiTheme="minorHAnsi" w:hAnsiTheme="minorHAnsi"/>
        </w:rPr>
      </w:pPr>
      <w:r w:rsidRPr="00B90432">
        <w:rPr>
          <w:rFonts w:asciiTheme="minorHAnsi" w:hAnsiTheme="minorHAnsi"/>
        </w:rPr>
        <w:t xml:space="preserve">In its observations on the implementation of the recommendations of the IACHR in the 2015 country report, which were presented on October 10, 2016, the State of Guatemala renewed the invitation for the IACHR to visit </w:t>
      </w:r>
      <w:r w:rsidRPr="00B90432">
        <w:rPr>
          <w:rFonts w:asciiTheme="minorHAnsi" w:hAnsiTheme="minorHAnsi"/>
        </w:rPr>
        <w:lastRenderedPageBreak/>
        <w:t>the country in the course of 2017, which was, in turn, reiterated in a communication dated January 13, 2017. On January 18, 2017, the IACHR accepted and advised the State of the proposed dates of the visit.</w:t>
      </w:r>
    </w:p>
    <w:p w14:paraId="719A5BF1" w14:textId="77777777" w:rsidR="00D92D39" w:rsidRPr="00B90432" w:rsidRDefault="00D134E6" w:rsidP="006F4717">
      <w:pPr>
        <w:pStyle w:val="Numberedparagraphs"/>
        <w:rPr>
          <w:rFonts w:asciiTheme="minorHAnsi" w:hAnsiTheme="minorHAnsi"/>
        </w:rPr>
      </w:pPr>
      <w:r w:rsidRPr="00B90432">
        <w:rPr>
          <w:rFonts w:asciiTheme="minorHAnsi" w:hAnsiTheme="minorHAnsi"/>
        </w:rPr>
        <w:t>The IACHR visited the country from July 31 to August 4, 2017. The IACHR observed the situation of human rights in the country firsthand, giving attention to issues relating to justice, citizen security, inequality, discrimination, the legacy of the internal armed conflict, and freedom of expression. The Commission also received information on the situation of indigenous peoples, human rights defenders, and justice operators, as well as on persons deprived of their liberty and persons in other state institutions.</w:t>
      </w:r>
    </w:p>
    <w:p w14:paraId="49C61ED1" w14:textId="77777777" w:rsidR="00D92D39" w:rsidRPr="00B90432" w:rsidRDefault="00D134E6" w:rsidP="006F4717">
      <w:pPr>
        <w:pStyle w:val="Numberedparagraphs"/>
        <w:rPr>
          <w:rFonts w:asciiTheme="minorHAnsi" w:hAnsiTheme="minorHAnsi"/>
        </w:rPr>
      </w:pPr>
      <w:r w:rsidRPr="00B90432">
        <w:rPr>
          <w:rFonts w:asciiTheme="minorHAnsi" w:hAnsiTheme="minorHAnsi"/>
        </w:rPr>
        <w:t>The delegation was led by the President of the IACHR, Francisco José Eguiguren Praeli; the First Vice President, Margarette May Macaulay; the Second Vice President, Esmeralda Arosemena de Troitiño; and Commissioners José de Jesús Orozco Henríquez, Paulo Vannuchi, James Cavallaro, and Luis Ernesto Vargas Silva. Other members of the delegation included the IACHR Executive Secretary, Paulo Abrão; the Special Rapporteur for Freedom of Expression, Edison Lanza; and specialists from the Executive Secretariat.</w:t>
      </w:r>
    </w:p>
    <w:p w14:paraId="509911EA" w14:textId="77777777" w:rsidR="0041113C" w:rsidRPr="00B90432" w:rsidRDefault="00D134E6" w:rsidP="006F4717">
      <w:pPr>
        <w:pStyle w:val="Numberedparagraphs"/>
        <w:rPr>
          <w:rFonts w:asciiTheme="minorHAnsi" w:hAnsiTheme="minorHAnsi"/>
        </w:rPr>
      </w:pPr>
      <w:r w:rsidRPr="00B90432">
        <w:rPr>
          <w:rFonts w:asciiTheme="minorHAnsi" w:hAnsiTheme="minorHAnsi"/>
        </w:rPr>
        <w:t xml:space="preserve">The Inter-American Commission had meetings with officials from all the three branches of government, representatives of civil society, human rights defenders, indigenous authorities, autonomous organs, international agencies, scholars, and journalists. The Commission also gathered testimony from victims of human rights violations and their family members. In the course the visit, the IACHR was able to visit various parts of the country without restrictions, including Alta Verapaz, Petén, and Huehuetenango. It also visited prisons and other facilities under state custody.  The IACHR visited the Aleluya Children's Home; the Male Juvenile Detention Center (CEJUPLIV “Etapa II”) in San José Pinula; the Female Juvenile Detention Center (CEJUPLIM-“Gorriones”); the jails located in Basement 1 of the Courts of Justice; Santa Teresa Pretrial Detention Center for Women; the Women's Guidance Center (COF); Pavón Criminal Rehabilitation </w:t>
      </w:r>
      <w:r w:rsidR="00A4584C" w:rsidRPr="00B90432">
        <w:rPr>
          <w:rFonts w:asciiTheme="minorHAnsi" w:hAnsiTheme="minorHAnsi"/>
        </w:rPr>
        <w:t>Unit</w:t>
      </w:r>
      <w:r w:rsidRPr="00B90432">
        <w:rPr>
          <w:rFonts w:asciiTheme="minorHAnsi" w:hAnsiTheme="minorHAnsi"/>
        </w:rPr>
        <w:t xml:space="preserve">; and Federico Mora National Mental Health Hospital. It also visited the Regional Command for Training in Peacekeeping Operations (CREOMPAZ) and the National Police Historical Archive. </w:t>
      </w:r>
    </w:p>
    <w:p w14:paraId="1B511D9E" w14:textId="77777777" w:rsidR="0041113C" w:rsidRPr="00B90432" w:rsidRDefault="00D134E6" w:rsidP="006F4717">
      <w:pPr>
        <w:pStyle w:val="Numberedparagraphs"/>
        <w:rPr>
          <w:rFonts w:asciiTheme="minorHAnsi" w:hAnsiTheme="minorHAnsi"/>
        </w:rPr>
      </w:pPr>
      <w:r w:rsidRPr="00B90432">
        <w:rPr>
          <w:rFonts w:asciiTheme="minorHAnsi" w:hAnsiTheme="minorHAnsi"/>
        </w:rPr>
        <w:t xml:space="preserve">The IACHR met with the </w:t>
      </w:r>
      <w:r w:rsidR="0041113C" w:rsidRPr="00B90432">
        <w:rPr>
          <w:rFonts w:asciiTheme="minorHAnsi" w:hAnsiTheme="minorHAnsi"/>
        </w:rPr>
        <w:t xml:space="preserve">the President of the Republic of Guatemala, Jimmy Morales Cabrera; the Minister of Foreign Affairs, Carlos Raul Morales Moscoso; the Minister of the Interior, Francisco Rivas Lara, and the Deputy Minister of the Interior, Ricardo Guzmán; the Minister of Defense, Williams Mansilla; the Deputy Minister of Public Health and Social Assistance, Adrián </w:t>
      </w:r>
      <w:r w:rsidR="0041113C" w:rsidRPr="00B90432">
        <w:rPr>
          <w:rFonts w:asciiTheme="minorHAnsi" w:hAnsiTheme="minorHAnsi"/>
        </w:rPr>
        <w:lastRenderedPageBreak/>
        <w:t xml:space="preserve">Estuardo Chávez; the President of the Presidential Coordinating Commission for Executive Policy on Human Rights (COPREDEH), Víctor Hugo Godoy; the Secretary of Communication of the Office of the President, Alfredo Brito, and the Deputy Secretary of Communication, Luz Arminda Barrios; the Secretary for Social Welfare, Cándida Rabanales, and staff from that agency; Supreme Court Justices Delia Marina Dávila Salazar, María Eugenia Morales de Sierra, and Josué Felipe Baquiax Baquiax; the President of the Constitutional Court, José Francisco de Mata Vela; Constitutional Court Judges Dina Ochoa, Gloria Porras, María Consuelo Porras, María Cristina Fernández, Bonerge Mejía, Neftaly Aldana, Henry Comte, and José Mynor Par; the President of the Congress of the Republic, Óscar Chinchilla; the Second Vice-President, Eduardo Ramiro de Matta; the Third Vice-President of Congress, Marvin Orellana; the President of the congressional Human Rights Commission, Patricia Sandoval; Deputies Nineth Montenegro, Sandra Móran, Amílcar de Jesús Pop Ac, Boris España, Jaime José Regalado, and Oliverio García Rodas; the Attorney General of the Republic, Thelma Aldana Hernández; the Human Rights Prosecutor in the Public Prosecutor’s Office, Hilda Pineda; the Human Rights Ombudsman, José Eduardo de León Duque; the Ombudsman-elect, Jordan Rodas, and Staff from the Office of the Human Rights Ombdusman; the Rapporteur for the National Mechanism for the Prevention of Torture, Silvia Villalta; the head of the Defender’s Office for Indigenous Women, María Roselia Pop Cal, and staff from that agency; the Deputy Secretary for Peace, Hugo Rigoberto Casasola; the Deputy Secretary for Planning, Luis Ovando; the Interim Director of the Prison System, Mirna Fajardo; the Director of the General Archive of Central America, Anna Carla Ericastilla; the Executive Secretary of the PDH Commission on Access to Public Information, Violeta Mazariegos; the Superintendent of Telecommunications, José Raúl Solares Chiu, and staff from his agency; the Coordinator of the National Police Historical Archive, Gustavo Meoño; the Executive Director of the National Reparations Program, Rodolfo Martínez Mérida; prosecutors Rosa Lidia Navarro and Luis Daniel Ordoñez; Congressman Leocadio Juracán; and the Director of the Public Criminal Defense Institute (IDPP), Nydia Arévalo Flores Abril. The Commission also met with staff from the Ministry of the Environment and Natural Resources; the Ministry of Education; the Ministry of Energy and Mines; the Ministry of Public Health and Social Assistance; the Ministry of Labor; the Secretariat for Food and Nutritional Security of the Office of the President; the Presidential Secretariat for Women; the Secretariat against Sexual Violence, Exploitation, and Human Trafficking; the Executive Secretariat of the Commission against Drug Addiction and Illegal Drug Trafficking; the National Council of Protected Areas; the Presidential Commission against Discrimination and Racism; the National Commission on Children and Adolescents; the National Adoption Council; the Registry of Cadastral Information; the General Registry of </w:t>
      </w:r>
      <w:r w:rsidR="0041113C" w:rsidRPr="00B90432">
        <w:rPr>
          <w:rFonts w:asciiTheme="minorHAnsi" w:hAnsiTheme="minorHAnsi"/>
        </w:rPr>
        <w:lastRenderedPageBreak/>
        <w:t>Property; and the Secretariat for Agrarian Affairs, as well as judges who enforce sentences for adolescent offenders. The Commission also met with prosecutors from the Unit for Crimes against Journalists in the Office of the Public Prosecutor.</w:t>
      </w:r>
    </w:p>
    <w:p w14:paraId="11EA078D" w14:textId="04093F14" w:rsidR="0041113C" w:rsidRPr="00B90432" w:rsidRDefault="0041113C" w:rsidP="006F4717">
      <w:pPr>
        <w:pStyle w:val="Numberedparagraphs"/>
        <w:rPr>
          <w:rFonts w:asciiTheme="minorHAnsi" w:hAnsiTheme="minorHAnsi"/>
        </w:rPr>
      </w:pPr>
      <w:r w:rsidRPr="00B90432">
        <w:rPr>
          <w:rFonts w:asciiTheme="minorHAnsi" w:hAnsiTheme="minorHAnsi"/>
        </w:rPr>
        <w:t>In its visits to departments of Guatemala, the IACHR met with the following authorities: the Governor of Alta Verapaz, Estela Ventura; the Governor of Huehuetenango, Ramiro Estuardo Varillas; the Mayor of Cobán, Koky Córdoba; the Mayor of San Andrés, Milton Méndez; the Municipal Corporation of Santa Eulalia; the District Prosecutor of Alta Verapaz, Lauro Oliver Ruiz; Iliana Alvarado, the head of COPREDEH for Huehuetenango; Miriam Judith Juárez, the head of COPREDEH for Petén; members of the Municipal Corporation of Santa Eulalia; and personnel from the Armed Forces of Guatemala, the National Civilian Police, and the National Council of Protected Areas.</w:t>
      </w:r>
    </w:p>
    <w:p w14:paraId="5A3054D5" w14:textId="77777777" w:rsidR="0041113C" w:rsidRPr="00B90432" w:rsidRDefault="0041113C" w:rsidP="006F4717">
      <w:pPr>
        <w:pStyle w:val="Numberedparagraphs"/>
        <w:rPr>
          <w:rFonts w:asciiTheme="minorHAnsi" w:hAnsiTheme="minorHAnsi"/>
          <w:lang w:val="es-ES"/>
        </w:rPr>
      </w:pPr>
      <w:r w:rsidRPr="00B90432">
        <w:rPr>
          <w:rFonts w:asciiTheme="minorHAnsi" w:hAnsiTheme="minorHAnsi"/>
          <w:lang w:val="es-ES"/>
        </w:rPr>
        <w:t xml:space="preserve">The IACHR also met with the following civil society organizations: 8Tijax, 12 Comunidades San Juan Sacatepéquez, A.B.J.P. Rabinal, AAICAVCAI Cobán, Abogados Moyoy, Acoguate, Aconapamy, Actenesta Social, ActionAid Guatemala, Actividad Central, ADICI, ADICAV, AFAIDEL, AFAMIDEG, AIN, Aj Tierra – Xbenil San Pedro, Aldea Chirrequim, Aldea Cocop, Aldeas Infantiles SOS, ANH Chisec de Alta Verapaz, APCU, Articulación de Mujeres, Articulación Nacional, Asamblea Nacional de las Abuelas Comadronas del Movimiento Nim Alaxik, Asocación MIRIAM, Asíes, Asociación Camilo Pacheco, Asociación Pro-Municipio Zona Reyna, Asociación Abogados Mayas, Asociación Achi, Asociación Ajkemab Rech K aslemal, Asociación de Comunidades Campesinas para el Desarrollo Integral del Municipio de La Libertad (ACCODIL), Asociación Centro de Análisis Forense y Ciencias Aplicadas (CAFCA), Asociación Awil Ricd, Asociación Ch’orti Nuevo Día, Asociación Cristiana de Guatemala, Asociación de Abogados Mayas, Asociación de Estudios de Investigación y Estudios Sociales (ASIES), Asociación de Generadores con Energía Renovable (AGER), Asociación Kumol, Asociación de Lambda, Asociación de Migrantes Desaparecidos, Asociación de Servicios Comunitarios de Salud (ASECSA), Asociación Familiares de Detenidos-Desaparecidos de Guatemala (FAMDEGUA), Asociación de Familias de Migrantes Desaparecidos, Asociación Fomento, Asociación Gente Positiva, Asociación Guatemalteca de Hipertensión Pulmonar, Asociación Guatemalteca de Pacientes con Enfermedades Autoinmunes Reumáticas (ARTRILUP), Asociación Iseri Ibagari, Asociación Ixmukane, Asociación K´amalb´e , Asociación Kumool lsnJncoTzal Quiché, Asociación La Alianza, Asociación MOLOJ, Asociación Mujeres Transformando el Mundo, Asociación Nuevo Día, Asociación Organización de Ayuda Solidaria contra la injusticia Social (OASIS), Asociación para el Desarrollo Integral de las Víctimas de la </w:t>
      </w:r>
      <w:r w:rsidRPr="00B90432">
        <w:rPr>
          <w:rFonts w:asciiTheme="minorHAnsi" w:hAnsiTheme="minorHAnsi"/>
          <w:lang w:val="es-ES"/>
        </w:rPr>
        <w:lastRenderedPageBreak/>
        <w:t xml:space="preserve">Violencia en las Verapaces, Maya Achí  (ADIVIMA), Asociación Héroes de Esperanza, Asociación Pop No'j, Asociación Pro-Municipios, Asociación PROCRECE, Asociación SOMOS, Asociación Vidas Paralelas, Asolación de Fomento para el Desarrollo Integral, Asociación Voces por la Justicia, ASOCDENEB, Azoder Cobán, Bancada Convergencia, Bufete de Derechos Humanos, Bufete jurídico de Derechos Humanos  (BDH), Cahibón, Caschibal Instancia, Campaña Guatemala Sin Hambre, Camma Addarti, Campaña Libertad, Campaña Guatemala Sin Nombre, Carcha Aldexalital, Carchá AV, Cardina Chiseo SANK, Casa de la Cultura 4 de Noviembre, Casa del Migrante Ala, Catholic Relief Services, CCC Nuevo Día, CECOMS, CEIFA, Central General de Trabajadores de Guatemala (CGTG), CCP Arusa, Centro de Acción Legal, Ambiental y Social de Guatemala (CALAS), Centro de Análisis Forense y Ciencias Aplicadas (CAFCA), Centro de Capacitación Misional de Guatemala (MTC), Centro de Estudios de Guatemala (CEG), Centro Internacional para Investigaciones en Derechos Humanos (CIIDH), Centro para la Acción de la Responsabilidad Social en Guatemala (CENTRARSE), Centro para la Acción Legal en Derechos Humanos (CALDH), Centro para la Defensa de la Constitución, Centro por la Justicia y el Derecho Internacional (CEJIL), Chamil Chamelco Codevi, Chamelco A.V. SANK, CHILDFUND, Childfund Guatemala, Cheachamil, Chicoyguito CPT, Çhisee A.V., Chiquixhi Corchá, Chiol Saq.Be Cahbón, CHILDHOPE, Children’s Fund, Chool SabeChikajbom, CICIDE, Cladem Enlace Guatemala, Cocahich, CODEMI, Colectivo 8 Tijax, CONSEDONC, Colectivo Artesana, Colectivo Independiente LGTBI, Colectivo Madreselva, Colectivo Vida Independiente, Colectivo de Educación, Colectivo Vida Independiente, Comisión de Verificación de Violaciones a Derechos Humanos de Laguna del Tigre y Sierra de Lacandón, Comisión de Derechos Humanos en Guatemala, Comisión Interamericana de los Derechos Humanos (CILDH), Comisión Nacional contra el Maltrato Infantil (CONACMI), Comisión por la Defensa de la Vida y la Naturaleza, Comité de Campesinos del Altiplano (CCDA), Comité de Familias Desaparecidas, Comité Coordinador de Asociaciones Agrícolas, Comerciales, Industriales y Financieras (CACIF), Comité de Desarrollo Campesino (CODECA), Comité de Familias Independientes DS, Comité de Migrantes Desaparecidos, Comité de Unidad Campesina (CUC), Comité Pro ciegos y sordos, Comunidad Chabán, Comunidad Cristiana Guerreros de Dios (CCGD), Comunidad de Población en Resistencia (CPR), Comunidad Indígena de Comunidades, Comunidad Judía Lev Tahor, Comunidades de Laguna del Tigre y Sierra de Lacandón, Comunidad Indígena la Campana, Comunidades Afectadas por TRECSA, Comunidades Petén, CONACMI, Concejo Mam, Confederación de Unidad Sindical de Guatemala (CUSG), Consejo del Pueblo Maya (CPO), Consejo Maya Achi, Consejo Nacional de Comadronas Mum Alaxik, Convergencia Nacional Maya Waqib' Kej, Convergencia por los Derechos Humanos, Cooperación Indígena para el Desarrollo Integral (COINDI), Coordinadora de Víctimas (CODEVI), </w:t>
      </w:r>
      <w:r w:rsidRPr="00B90432">
        <w:rPr>
          <w:rFonts w:asciiTheme="minorHAnsi" w:hAnsiTheme="minorHAnsi"/>
          <w:lang w:val="es-ES"/>
        </w:rPr>
        <w:lastRenderedPageBreak/>
        <w:t xml:space="preserve">Coordinación de Acompañamiento Internacional en Guatemala (ACOGUATE), Coordinadora Central Campesina Chortí Nuevo Día, Coordinadora de Cooperativas y ONGs (CONGCOOP), Coordinadora Institucional de Promoción por los Derechos de la Niñez (CIPRODENI), Corporación  Energía y Renovación, Delegación de Comunidades de Petén, CRS, Derechos Humanos El Rosario, DSU JUL, D.Disi, Educación para Todos (EPT), EDUCO Verde &amp; Azul, El Prado Ixcan, El Recuerdo Ixcan, El Refugio de la Niñez, El Rosario Corcha, Equipo de Estudios Comunitarios y Acción Psicosocial (ECAP), ECAP Chimaltenango, ECAP Alta Verapaz, Coyombalam, Estor, Estrella Polar, Familia Nos Duelen 56, Famia Q’eqchí, Familiares de Detenidos Desaparecidos de Guatemala (FAMDEGUA), Fe y Alegría, Federación Guatemalteca de Escuelas Radiofónicas, Foro Nacional de la Mujer, Freedom Guatemala, Fundación de Antropología Forense de Guatemala (FAFG), Fundación Esperanza y Prosperidad (FUNDAESPRO), Fundación Guatemalteca para Niños con Sordoceguera Alex (FUNDAL), Fundación Guillermo Tonello, Fundación Justicia y Género, Fundación Marista, Fundación Myrna Mack, Fundación para el Desarrollo y Fortalecimiento de las organizaciones de base (FUNDEBASE), Fundación para la Justicia y el Estado Democrático de Derecho (FJEDD), Fundación Sobrevivientes, Fundación Tierra Madre, FUNDESA, Gente Positiva, Gremial de Transporte Extraurbano de Pasajeros  (GRETEXPA), GRETEXPA, Grupo de Apoyo Mutuo (GAM), Grupo Guatemalteco de Mujeres (GGM), Grupo Interdisciplinario por los Derechos Sexuales y Reproductivos, Grupo Multidisciplinario para la Defensa de los Derechos Sexuales y Reformativos en Guatemala, Human Rights Defenders Project, Human Rights For Everyone, Humanistas Guatemala, Iglesia Luterana en Guatemala (ILGUA), Iglesia luterana Ilubua, Ixmukané, IIHAA/USAC, ILUGUA, Impunity Watch, Ingenieros Ixcan, Instancia Cobán, Instituto Centroamericano de Estudios Fiscales (ICEFI), Instituto de Colaboración y Educación Familiar (ICEF), INCIDEJOVEN, Instituto de Estudios Comparados en Ciencias Penales de Guatemala (ICCPG), Instancia Mujeres, Instituto de Investigaciones, Escuela de Historia USAC, Instituto de Protección Social, Instituto de Investigación y Proyección Social sobre Dinámicas Globales y Territoriales de la Universidad Rafael Landívar (IDGT - URL), Internews-Consultora, Ixmukare, Ixtzunun, JOC, Jóvenes contra la Violencia, Jóvenes por Guatemala, Asociación La Alianza (ALA), Jotaj, Las Minas, Ixcan, Comisión Internacional de Apostolado en Educación Jesuita, Comisión de Investigación, Fundación Guatemalteca para Niños con Sordoceguera Alex (FUNDAL), La Masa, La Niñez es Primero, Lambda, Ladvidud, Lotración El Poso, Ixcan, Mama Maquín Entre Ríos Petén, Mesa Nacional para las Migraciones en Guatemala MENAMIG, Mercedes I, Mercy Corps, Mesa de Transformación, Misioneros Scalabrinianos, Misioneros de San Carlos, Scalabrinianos, Monte Olivo CUC, Movimiento de Mujeres Indígenas Tzununija, Movimiento Nacional Comadronas Nim Alaxik, Movimiento </w:t>
      </w:r>
      <w:r w:rsidRPr="00B90432">
        <w:rPr>
          <w:rFonts w:asciiTheme="minorHAnsi" w:hAnsiTheme="minorHAnsi"/>
          <w:lang w:val="es-ES"/>
        </w:rPr>
        <w:lastRenderedPageBreak/>
        <w:t>Nacional de Tejedoras, Movimiento Nacional de Víctimas, Muqb’ilha, MUNDIBAT, Municipalidades Indígena de Palín, MTC, Municipalidad de Sololá, Mujawil Qij, Mujeres de Afedes, Mujeres de Ate Oles, Mujeres Transformando el Mundo, Na’Ch’ooch, Nuevo Horizonte, Nuevo Paraíso Ixcan, Observatorio de Salud Sexual y Reproductiva (OSAR), Ocho Tajix, Oficina de Derechos Humanos del Arzobispado de Guatemala (ODHAG), ODAN, Organismo NALEB, Organizaciones Coban, Organización Líder y Pionera para las Mujeres Trans en Guatemala (OTRANS), Organización Maya Qeqchi, Organización Mujeres, Organización Negra Guatemalteca (ONEGUA), Organización para el Desarrollo Integral Sostenible para Oriente y Guatemala (ODISOG), Pan American Development Foundation (PADF), Parlamento Xinka, Pastoral de la Tierra, Dieciséis de San Marcos, Pastoral de Movilidad Humana de la Conferencia Episcopal de Guatemala (PMH-CEG), Para Todas y Todos de Guatemala, Pastoral de la Sierra San Marcos, Paz Joven Guatemala, Paz Para el Mundo, Peace Brigades International (PBI), Plan International Guatemala, PAMI, Planned Parenthood Global (PP Global), Plataforma contra la Impunidad, Plataforma de Organizaciones para Personas con Discapacidad, Plataforma Internacional contra la Impunidad, Pieza Clave, Pop Noj, Prensa Comunitaria, Programa de Atención, MENACI, Movilización e Incidencia por la Niñez y la Adolescencia (PAMI), Programa de Protección y Seguridad Infantil y Juvenil, Programa de Refugiados para Niños Menores Centroamericanos (CAM), Promoción y Desarrollos Hídricos (PDH), Proyecto Justicia, Equidad y Género, (USAID), Parulha CUC, Pastoral Ixalogica, Radio Xomilbe, Red de No Violencia contra Mujer, Región 18 Chircan, Renace, Radio Comunitaria Siwan Tinamit, Radio Única, Radio Snuq' Jolom Konob', Radios Comunitarias, Raxil Chinam San Pedro, Red Afroamericana XXI, Red de información Humanitaria para América Latina (TROCAIRE), Red de la No Violencia contra las Mujeres (REDNOVI), Red de Mujeres Afrodescendientes, Red de Organización de Víctimas Nacionales, Red Legal de Derechos Humanos, Red Nacional de la Diversidad sexual en Guatemala (REDNADS), Red Nacional de Víctimas, Red Niña Niño, Red No Violencia, REDVADS, Save the Children, San Cristobal, San Francisco Las Mercedes Ancestrales, Sank, Sindicatos Globales, Seguridad en Democracia en Guatemala (SEDEM), Seacte Coban, Sechaj A.V, Sechaj A.V SANK, Sechaj, Raxizilio Sank, Secretaria Cocode Aldea Rosario Ochimp, Setux Setzac, Sejax, Delegación Guatemala (ICM), Sobrevivencia Cultural, TRACAIRE, Tres Ríos, Ixcan, Tz’ununijal, UBAQ Garífuna, Tz’ununija´, UAUX BE, UCP Santa Cruz, UVOC, UDEFEGUA, Unidad de capacitación (UNICAP), Unión Sindical de Trabajadores de Guatemala (UNSITRAGUA), Universidad Rafael Landívar (URL), Vida Independiente, Vidas Paralelas Quetzaltenago, Waqib’ Kij, World Vision Guatemala, World Vision International, Xalub’e Sepop, Xbenil Salrouneuto Werig, Yalicoq Chisec, Yuwa Chiodeh, ZAPP.</w:t>
      </w:r>
    </w:p>
    <w:p w14:paraId="0B335A74" w14:textId="77777777" w:rsidR="00D92D39" w:rsidRPr="00B90432" w:rsidRDefault="00D134E6" w:rsidP="006F4717">
      <w:pPr>
        <w:pStyle w:val="Numberedparagraphs"/>
        <w:rPr>
          <w:rFonts w:asciiTheme="minorHAnsi" w:hAnsiTheme="minorHAnsi"/>
        </w:rPr>
      </w:pPr>
      <w:r w:rsidRPr="00B90432">
        <w:rPr>
          <w:rFonts w:asciiTheme="minorHAnsi" w:hAnsiTheme="minorHAnsi"/>
        </w:rPr>
        <w:lastRenderedPageBreak/>
        <w:t xml:space="preserve">The Commission also had meetings with the following international agencies: the representative of the Office of the United Nations High Commissioner for Human Rights (OHCHR) in Guatemala, Liliana Valiña, and OHCHR staff; and Iván Velásquez Gómez, a member of the International Commission against Impunity in Guatemala (CICIG). It also held meetings with the Coordinator of the International Organization for Migration (IOM) in Guatemala, José Diego Cárdenas, and IOM personnel; representatives of the United Nations Population Fund (UNFPA); the Deputy Representative of UNICEF in Guatemala, Mariko Kagoshima, and UNICEF personnel; and UNHCR representatives. </w:t>
      </w:r>
    </w:p>
    <w:p w14:paraId="4C21DD45" w14:textId="77777777" w:rsidR="00D92D39" w:rsidRPr="00B90432" w:rsidRDefault="00D134E6" w:rsidP="006F4717">
      <w:pPr>
        <w:pStyle w:val="Numberedparagraphs"/>
        <w:rPr>
          <w:rFonts w:asciiTheme="minorHAnsi" w:hAnsiTheme="minorHAnsi"/>
        </w:rPr>
      </w:pPr>
      <w:r w:rsidRPr="00B90432">
        <w:rPr>
          <w:rFonts w:asciiTheme="minorHAnsi" w:hAnsiTheme="minorHAnsi"/>
        </w:rPr>
        <w:t xml:space="preserve">In preparing this report, the IACHR systematized and analyzed information that it has received on the situation of human rights in Guatemala in recent years. The IACHR relied on information received before, during, and after the on-site visit, from investigations conducted </w:t>
      </w:r>
      <w:r w:rsidRPr="00B90432">
        <w:rPr>
          <w:rFonts w:asciiTheme="minorHAnsi" w:hAnsiTheme="minorHAnsi"/>
          <w:i/>
          <w:iCs/>
        </w:rPr>
        <w:t>sua sponte</w:t>
      </w:r>
      <w:r w:rsidRPr="00B90432">
        <w:rPr>
          <w:rFonts w:asciiTheme="minorHAnsi" w:hAnsiTheme="minorHAnsi"/>
        </w:rPr>
        <w:t xml:space="preserve">, from input produced by the various mechanisms through which the IACHR has followed the situation in the country, such as public hearings, thematic visits, requests for information under Article 41 of the American Convention on Human Rights, precautionary measures, journalists' reports, and decisions and recommendations of specialized international agencies, among other sources.  </w:t>
      </w:r>
    </w:p>
    <w:p w14:paraId="4A3284B2" w14:textId="77777777" w:rsidR="00A71E9D" w:rsidRPr="00B90432" w:rsidRDefault="00A71E9D" w:rsidP="006F4717">
      <w:pPr>
        <w:pStyle w:val="Numberedparagraphs"/>
        <w:rPr>
          <w:rFonts w:asciiTheme="minorHAnsi" w:hAnsiTheme="minorHAnsi"/>
        </w:rPr>
      </w:pPr>
      <w:r w:rsidRPr="00B90432">
        <w:rPr>
          <w:rFonts w:asciiTheme="minorHAnsi" w:hAnsiTheme="minorHAnsi"/>
        </w:rPr>
        <w:t xml:space="preserve">On November 22, 2017, the IACHR submitted a copy of the preliminary draft of this report to the State according to its Rules of Procedure, and requested that it provide any comments. On December 22, 2017, the IACHR received the State’s comments, which were incorporated, as deemed pertinent, into the final version approved by the Commission on </w:t>
      </w:r>
      <w:r w:rsidR="0041113C" w:rsidRPr="00B90432">
        <w:rPr>
          <w:rFonts w:asciiTheme="minorHAnsi" w:hAnsiTheme="minorHAnsi"/>
        </w:rPr>
        <w:t>December 31, 2017</w:t>
      </w:r>
      <w:r w:rsidR="00E0400D" w:rsidRPr="00B90432">
        <w:rPr>
          <w:rFonts w:asciiTheme="minorHAnsi" w:hAnsiTheme="minorHAnsi"/>
        </w:rPr>
        <w:t>.</w:t>
      </w:r>
      <w:r w:rsidRPr="00B90432">
        <w:rPr>
          <w:rStyle w:val="FootnoteReference"/>
          <w:rFonts w:asciiTheme="minorHAnsi" w:hAnsiTheme="minorHAnsi"/>
          <w:sz w:val="22"/>
          <w:szCs w:val="22"/>
        </w:rPr>
        <w:footnoteReference w:id="3"/>
      </w:r>
      <w:r w:rsidRPr="00B90432">
        <w:rPr>
          <w:rFonts w:asciiTheme="minorHAnsi" w:hAnsiTheme="minorHAnsi"/>
        </w:rPr>
        <w:t xml:space="preserve"> </w:t>
      </w:r>
      <w:r w:rsidR="00E0400D" w:rsidRPr="00B90432">
        <w:rPr>
          <w:rFonts w:asciiTheme="minorHAnsi" w:hAnsiTheme="minorHAnsi"/>
        </w:rPr>
        <w:t>In its comments to the draft of this report, the State of Guatemala indicated that it provided observations “regarding the complete and very professional” draft report submitted by the IACHR.</w:t>
      </w:r>
      <w:r w:rsidR="00E0400D" w:rsidRPr="00B90432">
        <w:rPr>
          <w:rStyle w:val="FootnoteReference"/>
          <w:rFonts w:asciiTheme="minorHAnsi" w:hAnsiTheme="minorHAnsi"/>
          <w:sz w:val="22"/>
          <w:szCs w:val="22"/>
        </w:rPr>
        <w:footnoteReference w:id="4"/>
      </w:r>
    </w:p>
    <w:p w14:paraId="0F197855" w14:textId="77777777" w:rsidR="00D92D39" w:rsidRPr="00B90432" w:rsidRDefault="00D134E6" w:rsidP="006F4717">
      <w:pPr>
        <w:pStyle w:val="Numberedparagraphs"/>
        <w:rPr>
          <w:rFonts w:asciiTheme="minorHAnsi" w:hAnsiTheme="minorHAnsi"/>
        </w:rPr>
      </w:pPr>
      <w:r w:rsidRPr="00B90432">
        <w:rPr>
          <w:rFonts w:asciiTheme="minorHAnsi" w:hAnsiTheme="minorHAnsi"/>
        </w:rPr>
        <w:t xml:space="preserve">The Commission is grateful to President Jimmy Morales and his government for the invitation to conduct this visit. The Commission also appreciates all the logistical support and assistance provided for the visit to be carried out in a satisfactory manner, especially by the Presidential Coordinating Commission for Executive Policy on Human Rights (COPREDEH). The Commission values the information provided by State authorities and their openness to engage in constructive dialogue with the IACHR. The Commission appreciates the efforts made by victims of human rights violations and their families and by groups, civil society </w:t>
      </w:r>
      <w:r w:rsidRPr="00B90432">
        <w:rPr>
          <w:rFonts w:asciiTheme="minorHAnsi" w:hAnsiTheme="minorHAnsi"/>
        </w:rPr>
        <w:lastRenderedPageBreak/>
        <w:t>organizations, and indigenous authorities to meet with the delegation and present their testimony, complaints, and communications.</w:t>
      </w:r>
    </w:p>
    <w:p w14:paraId="5F2A1C49" w14:textId="77777777" w:rsidR="00D134E6" w:rsidRPr="009A58BE" w:rsidRDefault="00D134E6" w:rsidP="009A58BE">
      <w:pPr>
        <w:pStyle w:val="Heading2"/>
      </w:pPr>
      <w:bookmarkStart w:id="22" w:name="_Toc509827628"/>
      <w:r w:rsidRPr="009A58BE">
        <w:t>The Legacy of the Armed Conflict</w:t>
      </w:r>
      <w:bookmarkEnd w:id="22"/>
    </w:p>
    <w:p w14:paraId="6D8BFA54" w14:textId="77777777" w:rsidR="00DE5794" w:rsidRPr="00B90432" w:rsidRDefault="00D134E6" w:rsidP="006F4717">
      <w:pPr>
        <w:pStyle w:val="Numberedparagraphs"/>
        <w:rPr>
          <w:rFonts w:asciiTheme="minorHAnsi" w:hAnsiTheme="minorHAnsi"/>
        </w:rPr>
      </w:pPr>
      <w:r w:rsidRPr="00B90432">
        <w:rPr>
          <w:rFonts w:asciiTheme="minorHAnsi" w:hAnsiTheme="minorHAnsi"/>
        </w:rPr>
        <w:t xml:space="preserve">The IACHR has monitored the human rights situation in Guatemala with particularly close attention since its inception, especially in response to the gross human rights violations perpetrated during the internal armed conflict that went on from 1960 to 1996. The conflict was notable for the systematic execution of people, massacres, forced disappearances, rapes, and scorched-earth operations designed to at least partially eliminate the Maya people. During the armed conflict, women suffered violence in a differentiated way, as rape was a widespread, massive, and systematic practice used by agents of the State as part of the counter-insurgency policy. According to the report of the Commission for Historical Clarification (CEH), </w:t>
      </w:r>
      <w:r w:rsidRPr="00B90432">
        <w:rPr>
          <w:rFonts w:asciiTheme="minorHAnsi" w:hAnsiTheme="minorHAnsi"/>
          <w:i/>
          <w:iCs/>
        </w:rPr>
        <w:t>Guatemala: Memory of Silence</w:t>
      </w:r>
      <w:r w:rsidRPr="00B90432">
        <w:rPr>
          <w:rFonts w:asciiTheme="minorHAnsi" w:hAnsiTheme="minorHAnsi"/>
        </w:rPr>
        <w:t>, multiple coinciding factors caused the internal armed conflict in Guatemala,</w:t>
      </w:r>
      <w:r w:rsidRPr="00B90432">
        <w:rPr>
          <w:rFonts w:asciiTheme="minorHAnsi" w:hAnsiTheme="minorHAnsi"/>
          <w:vertAlign w:val="superscript"/>
        </w:rPr>
        <w:footnoteReference w:id="5"/>
      </w:r>
      <w:r w:rsidRPr="00B90432">
        <w:rPr>
          <w:rFonts w:asciiTheme="minorHAnsi" w:hAnsiTheme="minorHAnsi"/>
        </w:rPr>
        <w:t xml:space="preserve"> including structural impunity, the closing of political spaces, racism, the increasingly exclusionary and anti-democratic nature of institutions, as well as a reluctance to promote substantive reforms that could have reduced structural conflicts.</w:t>
      </w:r>
      <w:r w:rsidRPr="00B90432">
        <w:rPr>
          <w:rFonts w:asciiTheme="minorHAnsi" w:hAnsiTheme="minorHAnsi"/>
          <w:vertAlign w:val="superscript"/>
        </w:rPr>
        <w:footnoteReference w:id="6"/>
      </w:r>
    </w:p>
    <w:p w14:paraId="2E0F523E" w14:textId="77777777" w:rsidR="00DE5794" w:rsidRPr="00B90432" w:rsidRDefault="00D134E6" w:rsidP="006F4717">
      <w:pPr>
        <w:pStyle w:val="Numberedparagraphs"/>
        <w:rPr>
          <w:rFonts w:asciiTheme="minorHAnsi" w:hAnsiTheme="minorHAnsi"/>
        </w:rPr>
      </w:pPr>
      <w:r w:rsidRPr="00B90432">
        <w:rPr>
          <w:rFonts w:asciiTheme="minorHAnsi" w:hAnsiTheme="minorHAnsi"/>
        </w:rPr>
        <w:t>The CEH concluded in its report that throughout Guatemala's history, but particularly during the armed conflict “the violence was fundamentally directed by the State against the excluded, the poor and above all, the Mayan people, as well as against those who fought for justice and greater social equality.”</w:t>
      </w:r>
      <w:r w:rsidRPr="00B90432">
        <w:rPr>
          <w:rFonts w:asciiTheme="minorHAnsi" w:hAnsiTheme="minorHAnsi"/>
          <w:vertAlign w:val="superscript"/>
        </w:rPr>
        <w:footnoteReference w:id="7"/>
      </w:r>
      <w:r w:rsidRPr="00B90432">
        <w:rPr>
          <w:rFonts w:asciiTheme="minorHAnsi" w:hAnsiTheme="minorHAnsi"/>
        </w:rPr>
        <w:t xml:space="preserve"> The commission, for its part, has stated on several occasions that the dramatic exclusion and discrimination to which indigenous peoples, who account for more than half the population of Guatemala, were subjected became evident during the armed conflict, when 83% of the victims were Mayans, and against whom acts of genocide were performed. </w:t>
      </w:r>
      <w:r w:rsidR="00E0400D" w:rsidRPr="00B90432">
        <w:rPr>
          <w:rFonts w:asciiTheme="minorHAnsi" w:hAnsiTheme="minorHAnsi"/>
        </w:rPr>
        <w:t>In its comments to the draft of this report, the State of Guatemala indicated that “it did not seek the elimination of the Mayan People” and that “both groups that fought in the internal war were indigenous”</w:t>
      </w:r>
      <w:r w:rsidR="00E0400D" w:rsidRPr="00B90432">
        <w:rPr>
          <w:rStyle w:val="FootnoteReference"/>
          <w:rFonts w:asciiTheme="minorHAnsi" w:hAnsiTheme="minorHAnsi"/>
          <w:sz w:val="22"/>
          <w:szCs w:val="22"/>
        </w:rPr>
        <w:footnoteReference w:id="8"/>
      </w:r>
      <w:r w:rsidR="00E0400D" w:rsidRPr="00B90432">
        <w:rPr>
          <w:rFonts w:asciiTheme="minorHAnsi" w:hAnsiTheme="minorHAnsi"/>
        </w:rPr>
        <w:t>.</w:t>
      </w:r>
    </w:p>
    <w:p w14:paraId="1CD2D364" w14:textId="77777777" w:rsidR="00D55A00" w:rsidRPr="00B90432" w:rsidRDefault="00D134E6" w:rsidP="006F4717">
      <w:pPr>
        <w:pStyle w:val="Numberedparagraphs"/>
        <w:rPr>
          <w:rFonts w:asciiTheme="minorHAnsi" w:hAnsiTheme="minorHAnsi"/>
        </w:rPr>
      </w:pPr>
      <w:r w:rsidRPr="00B90432">
        <w:rPr>
          <w:rFonts w:asciiTheme="minorHAnsi" w:hAnsiTheme="minorHAnsi"/>
        </w:rPr>
        <w:lastRenderedPageBreak/>
        <w:t>With the signing of the Accord for a Firm and Lasting Peace in December 1996,</w:t>
      </w:r>
      <w:r w:rsidRPr="00B90432">
        <w:rPr>
          <w:rFonts w:asciiTheme="minorHAnsi" w:hAnsiTheme="minorHAnsi"/>
          <w:vertAlign w:val="superscript"/>
        </w:rPr>
        <w:footnoteReference w:id="9"/>
      </w:r>
      <w:r w:rsidRPr="00B90432">
        <w:rPr>
          <w:rFonts w:asciiTheme="minorHAnsi" w:hAnsiTheme="minorHAnsi"/>
        </w:rPr>
        <w:t xml:space="preserve"> the government of then-president Álvaro Arzú and Guatemala National Revolutionary Unity (URNG) brought an end to 36 years of civil war. The Peace Accords were an opportunity for profound change in Guatemala. The succeeding administrations since the end of the armed conflict have made efforts to implement the accords. However, more than 20 years since signing of the Peace Accords the commitments adopted by the State in the areas of reparation, truth, justice, and non-repetition have not been fully met.</w:t>
      </w:r>
      <w:r w:rsidRPr="00B90432">
        <w:rPr>
          <w:rFonts w:asciiTheme="minorHAnsi" w:hAnsiTheme="minorHAnsi"/>
          <w:vertAlign w:val="superscript"/>
        </w:rPr>
        <w:footnoteReference w:id="10"/>
      </w:r>
    </w:p>
    <w:p w14:paraId="5F046603" w14:textId="77777777" w:rsidR="00D134E6" w:rsidRPr="00B90432" w:rsidRDefault="00D134E6" w:rsidP="006F4717">
      <w:pPr>
        <w:pStyle w:val="Numberedparagraphs"/>
        <w:rPr>
          <w:rFonts w:asciiTheme="minorHAnsi" w:hAnsiTheme="minorHAnsi"/>
        </w:rPr>
      </w:pPr>
      <w:r w:rsidRPr="00B90432">
        <w:rPr>
          <w:rFonts w:asciiTheme="minorHAnsi" w:hAnsiTheme="minorHAnsi"/>
        </w:rPr>
        <w:t xml:space="preserve">The information the IACHR received consistently during the visit indicates that more than 20 years after the </w:t>
      </w:r>
      <w:r w:rsidR="006207E9" w:rsidRPr="00B90432">
        <w:rPr>
          <w:rFonts w:asciiTheme="minorHAnsi" w:hAnsiTheme="minorHAnsi"/>
        </w:rPr>
        <w:t>Peace A</w:t>
      </w:r>
      <w:r w:rsidRPr="00B90432">
        <w:rPr>
          <w:rFonts w:asciiTheme="minorHAnsi" w:hAnsiTheme="minorHAnsi"/>
        </w:rPr>
        <w:t>ccords were signed some of the fundamental reasons behind the internal armed conflict persist: an economy that is still based on the concentration of economic power in the hands of a few, and a weak State structure with few resources due to low tax collection and high levels of corruption. Guatemala still has structural problems such as racial discrimination, social inequality, deep poverty, exclusion, and lack of access to justice, which constitute obstacles to the full respect of human rights. The Commission has also repeatedly received information regarding the persistence of parallel power structures that hinder the fight against impunity and corruption and stand in the way of strengthening the rule of law.</w:t>
      </w:r>
    </w:p>
    <w:p w14:paraId="46CA7441" w14:textId="77777777" w:rsidR="00D134E6" w:rsidRPr="00B90432" w:rsidRDefault="00F939F7" w:rsidP="009A58BE">
      <w:pPr>
        <w:pStyle w:val="Heading2"/>
      </w:pPr>
      <w:bookmarkStart w:id="23" w:name="_Toc509827629"/>
      <w:r w:rsidRPr="00B90432">
        <w:t>Pov</w:t>
      </w:r>
      <w:r w:rsidR="00E0400D" w:rsidRPr="00B90432">
        <w:t>erty, Inequality, and Exclusion</w:t>
      </w:r>
      <w:r w:rsidR="00E0400D" w:rsidRPr="00B90432">
        <w:rPr>
          <w:rStyle w:val="FootnoteReference"/>
          <w:rFonts w:asciiTheme="minorHAnsi" w:hAnsiTheme="minorHAnsi"/>
          <w:b w:val="0"/>
          <w:sz w:val="22"/>
          <w:szCs w:val="22"/>
        </w:rPr>
        <w:footnoteReference w:id="11"/>
      </w:r>
      <w:bookmarkEnd w:id="23"/>
    </w:p>
    <w:p w14:paraId="5FDAC26B" w14:textId="77777777" w:rsidR="00D55A00" w:rsidRPr="00B90432" w:rsidRDefault="00090B5E" w:rsidP="006F4717">
      <w:pPr>
        <w:pStyle w:val="Numberedparagraphs"/>
        <w:rPr>
          <w:rFonts w:asciiTheme="minorHAnsi" w:hAnsiTheme="minorHAnsi"/>
        </w:rPr>
      </w:pPr>
      <w:r w:rsidRPr="00B90432">
        <w:rPr>
          <w:rFonts w:asciiTheme="minorHAnsi" w:hAnsiTheme="minorHAnsi"/>
        </w:rPr>
        <w:t>Guatemala is a country in Central America with an area of 108,809 km² and a population of around 16 million,</w:t>
      </w:r>
      <w:r w:rsidRPr="00B90432">
        <w:rPr>
          <w:rFonts w:asciiTheme="minorHAnsi" w:hAnsiTheme="minorHAnsi"/>
          <w:vertAlign w:val="superscript"/>
        </w:rPr>
        <w:footnoteReference w:id="12"/>
      </w:r>
      <w:r w:rsidRPr="00B90432">
        <w:rPr>
          <w:rFonts w:asciiTheme="minorHAnsi" w:hAnsiTheme="minorHAnsi"/>
        </w:rPr>
        <w:t xml:space="preserve"> most of whom live in rural areas.</w:t>
      </w:r>
      <w:r w:rsidRPr="00B90432">
        <w:rPr>
          <w:rFonts w:asciiTheme="minorHAnsi" w:hAnsiTheme="minorHAnsi"/>
          <w:vertAlign w:val="superscript"/>
        </w:rPr>
        <w:footnoteReference w:id="13"/>
      </w:r>
      <w:r w:rsidRPr="00B90432">
        <w:rPr>
          <w:rFonts w:asciiTheme="minorHAnsi" w:hAnsiTheme="minorHAnsi"/>
        </w:rPr>
        <w:t xml:space="preserve"> According to data from the most recent census, taken in 2002, 40% of the population identifies as indigenous; other sources say that 60% of the </w:t>
      </w:r>
      <w:r w:rsidRPr="00B90432">
        <w:rPr>
          <w:rFonts w:asciiTheme="minorHAnsi" w:hAnsiTheme="minorHAnsi"/>
        </w:rPr>
        <w:lastRenderedPageBreak/>
        <w:t xml:space="preserve">population </w:t>
      </w:r>
      <w:r w:rsidR="002A3147" w:rsidRPr="00B90432">
        <w:rPr>
          <w:rFonts w:asciiTheme="minorHAnsi" w:hAnsiTheme="minorHAnsi"/>
        </w:rPr>
        <w:t>falls under</w:t>
      </w:r>
      <w:r w:rsidRPr="00B90432">
        <w:rPr>
          <w:rFonts w:asciiTheme="minorHAnsi" w:hAnsiTheme="minorHAnsi"/>
        </w:rPr>
        <w:t xml:space="preserve"> to that category.</w:t>
      </w:r>
      <w:r w:rsidRPr="00B90432">
        <w:rPr>
          <w:rFonts w:asciiTheme="minorHAnsi" w:hAnsiTheme="minorHAnsi"/>
          <w:vertAlign w:val="superscript"/>
        </w:rPr>
        <w:footnoteReference w:id="14"/>
      </w:r>
      <w:r w:rsidRPr="00B90432">
        <w:rPr>
          <w:rFonts w:asciiTheme="minorHAnsi" w:hAnsiTheme="minorHAnsi"/>
        </w:rPr>
        <w:t xml:space="preserve"> It is a multiethnic, pluricultural, multilingual society in which indigenous Mayan, Xinka and Garífuna peoples and Ladinos coexist.</w:t>
      </w:r>
      <w:r w:rsidRPr="00B90432">
        <w:rPr>
          <w:rFonts w:asciiTheme="minorHAnsi" w:hAnsiTheme="minorHAnsi"/>
          <w:vertAlign w:val="superscript"/>
        </w:rPr>
        <w:footnoteReference w:id="15"/>
      </w:r>
      <w:r w:rsidRPr="00B90432">
        <w:rPr>
          <w:rFonts w:asciiTheme="minorHAnsi" w:hAnsiTheme="minorHAnsi"/>
        </w:rPr>
        <w:t xml:space="preserve"> Guatemala's cultural diversity is evinced by the 25 different languages spoken </w:t>
      </w:r>
      <w:r w:rsidR="002A3147" w:rsidRPr="00B90432">
        <w:rPr>
          <w:rFonts w:asciiTheme="minorHAnsi" w:hAnsiTheme="minorHAnsi"/>
        </w:rPr>
        <w:t>in the country</w:t>
      </w:r>
      <w:r w:rsidRPr="00B90432">
        <w:rPr>
          <w:rFonts w:asciiTheme="minorHAnsi" w:hAnsiTheme="minorHAnsi"/>
        </w:rPr>
        <w:t xml:space="preserve">: Spanish and 24 indigenous </w:t>
      </w:r>
      <w:r w:rsidR="002A3147" w:rsidRPr="00B90432">
        <w:rPr>
          <w:rFonts w:asciiTheme="minorHAnsi" w:hAnsiTheme="minorHAnsi"/>
        </w:rPr>
        <w:t>languages</w:t>
      </w:r>
      <w:r w:rsidRPr="00B90432">
        <w:rPr>
          <w:rFonts w:asciiTheme="minorHAnsi" w:hAnsiTheme="minorHAnsi"/>
        </w:rPr>
        <w:t xml:space="preserve">. </w:t>
      </w:r>
    </w:p>
    <w:p w14:paraId="666176C8" w14:textId="77777777" w:rsidR="00E37F0B" w:rsidRPr="00B90432" w:rsidRDefault="00090B5E" w:rsidP="006F4717">
      <w:pPr>
        <w:pStyle w:val="Numberedparagraphs"/>
        <w:rPr>
          <w:rFonts w:asciiTheme="minorHAnsi" w:hAnsiTheme="minorHAnsi"/>
        </w:rPr>
      </w:pPr>
      <w:r w:rsidRPr="00B90432">
        <w:rPr>
          <w:rFonts w:asciiTheme="minorHAnsi" w:hAnsiTheme="minorHAnsi"/>
        </w:rPr>
        <w:t>Its history has been scarred by colonialism, wars, subjugation, serfdom, and military dictatorships.</w:t>
      </w:r>
      <w:r w:rsidRPr="00B90432">
        <w:rPr>
          <w:rStyle w:val="FootnoteReference"/>
          <w:rFonts w:asciiTheme="minorHAnsi" w:hAnsiTheme="minorHAnsi"/>
          <w:sz w:val="22"/>
          <w:szCs w:val="22"/>
        </w:rPr>
        <w:footnoteReference w:id="16"/>
      </w:r>
      <w:r w:rsidRPr="00B90432">
        <w:rPr>
          <w:rFonts w:asciiTheme="minorHAnsi" w:hAnsiTheme="minorHAnsi"/>
        </w:rPr>
        <w:t xml:space="preserve"> Poverty, racism, exclusion, violence, and impunity continue to feature large in the social and economic situation in Guatemala. This situation occurs in a framework of weak state apparatus with few resources as a result of a meager tax take, persistnet corruption, and high levels of violence. The Guatemalan state's low tax revenues hamper its ability to provide basic public services and ensure policies to guarantee the rights of the neediest sectors.</w:t>
      </w:r>
      <w:r w:rsidRPr="00B90432">
        <w:rPr>
          <w:rStyle w:val="FootnoteReference"/>
          <w:rFonts w:asciiTheme="minorHAnsi" w:hAnsiTheme="minorHAnsi"/>
          <w:sz w:val="22"/>
          <w:szCs w:val="22"/>
        </w:rPr>
        <w:footnoteReference w:id="17"/>
      </w:r>
      <w:r w:rsidRPr="00B90432">
        <w:rPr>
          <w:rFonts w:asciiTheme="minorHAnsi" w:hAnsiTheme="minorHAnsi"/>
        </w:rPr>
        <w:t xml:space="preserve"> According to the Economic Commission for Latin America and the Caribbean (ECLAC), Guatemala’s tax revenue, measured as a pe</w:t>
      </w:r>
      <w:r w:rsidR="002A3147" w:rsidRPr="00B90432">
        <w:rPr>
          <w:rFonts w:asciiTheme="minorHAnsi" w:hAnsiTheme="minorHAnsi"/>
        </w:rPr>
        <w:t>rcentage of GDP, was the region’</w:t>
      </w:r>
      <w:r w:rsidRPr="00B90432">
        <w:rPr>
          <w:rFonts w:asciiTheme="minorHAnsi" w:hAnsiTheme="minorHAnsi"/>
        </w:rPr>
        <w:t>s lowest from 1990 to 2013, managing only 13 percent compared to the regional average of 23 percent.</w:t>
      </w:r>
      <w:r w:rsidRPr="00B90432">
        <w:rPr>
          <w:rStyle w:val="FootnoteReference"/>
          <w:rFonts w:asciiTheme="minorHAnsi" w:hAnsiTheme="minorHAnsi"/>
          <w:sz w:val="22"/>
          <w:szCs w:val="22"/>
        </w:rPr>
        <w:footnoteReference w:id="18"/>
      </w:r>
      <w:r w:rsidRPr="00B90432">
        <w:rPr>
          <w:rFonts w:asciiTheme="minorHAnsi" w:hAnsiTheme="minorHAnsi"/>
        </w:rPr>
        <w:t xml:space="preserve"> In 2016, the executive branch exempted delinquent taxpayers from paying more than 10 million quetzales (approximately US$1 .3 million) in fines and interests, a decision decried by a number of sectors of the population.</w:t>
      </w:r>
      <w:r w:rsidRPr="00B90432">
        <w:rPr>
          <w:rStyle w:val="FootnoteReference"/>
          <w:rFonts w:asciiTheme="minorHAnsi" w:hAnsiTheme="minorHAnsi"/>
          <w:sz w:val="22"/>
          <w:szCs w:val="22"/>
        </w:rPr>
        <w:footnoteReference w:id="19"/>
      </w:r>
    </w:p>
    <w:p w14:paraId="4416D6C9" w14:textId="77777777" w:rsidR="00CF52F3" w:rsidRPr="00B90432" w:rsidRDefault="00442518" w:rsidP="006F4717">
      <w:pPr>
        <w:pStyle w:val="Numberedparagraphs"/>
        <w:rPr>
          <w:rFonts w:asciiTheme="minorHAnsi" w:hAnsiTheme="minorHAnsi"/>
        </w:rPr>
      </w:pPr>
      <w:r w:rsidRPr="00B90432">
        <w:rPr>
          <w:rFonts w:asciiTheme="minorHAnsi" w:hAnsiTheme="minorHAnsi"/>
        </w:rPr>
        <w:t xml:space="preserve">In the context of the Sustainable Development Goals, Guatemala remains one of the most unequal countries in the world in terms of health, education, and income distribution, which has the effect of reducing its human development index by 30 percent, according to the United Nations </w:t>
      </w:r>
      <w:r w:rsidR="002A3147" w:rsidRPr="00B90432">
        <w:rPr>
          <w:rFonts w:asciiTheme="minorHAnsi" w:hAnsiTheme="minorHAnsi"/>
        </w:rPr>
        <w:t>Development Programme</w:t>
      </w:r>
      <w:r w:rsidRPr="00B90432">
        <w:rPr>
          <w:rFonts w:asciiTheme="minorHAnsi" w:hAnsiTheme="minorHAnsi"/>
        </w:rPr>
        <w:t>.</w:t>
      </w:r>
      <w:r w:rsidRPr="00B90432">
        <w:rPr>
          <w:rFonts w:asciiTheme="minorHAnsi" w:hAnsiTheme="minorHAnsi"/>
          <w:vertAlign w:val="superscript"/>
        </w:rPr>
        <w:footnoteReference w:id="20"/>
      </w:r>
      <w:r w:rsidRPr="00B90432">
        <w:rPr>
          <w:rFonts w:asciiTheme="minorHAnsi" w:hAnsiTheme="minorHAnsi"/>
        </w:rPr>
        <w:t xml:space="preserve"> Based on the National Living Standards Survey </w:t>
      </w:r>
      <w:r w:rsidRPr="00B90432">
        <w:rPr>
          <w:rFonts w:asciiTheme="minorHAnsi" w:hAnsiTheme="minorHAnsi"/>
        </w:rPr>
        <w:lastRenderedPageBreak/>
        <w:t>published in 2015 (the most recent version), 59.3 percent of Guatemalans live in poverty,</w:t>
      </w:r>
      <w:r w:rsidRPr="00B90432">
        <w:rPr>
          <w:rStyle w:val="FootnoteReference"/>
          <w:rFonts w:asciiTheme="minorHAnsi" w:hAnsiTheme="minorHAnsi"/>
          <w:sz w:val="22"/>
          <w:szCs w:val="22"/>
        </w:rPr>
        <w:footnoteReference w:id="21"/>
      </w:r>
      <w:r w:rsidRPr="00B90432">
        <w:rPr>
          <w:rFonts w:asciiTheme="minorHAnsi" w:hAnsiTheme="minorHAnsi"/>
        </w:rPr>
        <w:t xml:space="preserve"> 23.4 percent of them in extreme poverty.</w:t>
      </w:r>
      <w:r w:rsidRPr="00B90432">
        <w:rPr>
          <w:rFonts w:asciiTheme="minorHAnsi" w:hAnsiTheme="minorHAnsi"/>
          <w:vertAlign w:val="superscript"/>
        </w:rPr>
        <w:footnoteReference w:id="22"/>
      </w:r>
      <w:r w:rsidRPr="00B90432">
        <w:rPr>
          <w:rFonts w:asciiTheme="minorHAnsi" w:hAnsiTheme="minorHAnsi"/>
        </w:rPr>
        <w:t xml:space="preserve"> The national poverty rate grew 8 percentage points between 2006 and 2014,</w:t>
      </w:r>
      <w:r w:rsidRPr="00B90432">
        <w:rPr>
          <w:rStyle w:val="FootnoteReference"/>
          <w:rFonts w:asciiTheme="minorHAnsi" w:hAnsiTheme="minorHAnsi"/>
          <w:sz w:val="22"/>
          <w:szCs w:val="22"/>
        </w:rPr>
        <w:footnoteReference w:id="23"/>
      </w:r>
      <w:r w:rsidRPr="00B90432">
        <w:rPr>
          <w:rFonts w:asciiTheme="minorHAnsi" w:hAnsiTheme="minorHAnsi"/>
        </w:rPr>
        <w:t xml:space="preserve"> in spite of GDP growth of 3.1 percent in 2016.</w:t>
      </w:r>
      <w:r w:rsidRPr="00B90432">
        <w:rPr>
          <w:rFonts w:asciiTheme="minorHAnsi" w:hAnsiTheme="minorHAnsi"/>
          <w:vertAlign w:val="superscript"/>
        </w:rPr>
        <w:footnoteReference w:id="24"/>
      </w:r>
    </w:p>
    <w:p w14:paraId="3B3AA7B9" w14:textId="67B7DEE5" w:rsidR="00D55A00" w:rsidRPr="00B90432" w:rsidRDefault="0010075F" w:rsidP="006F4717">
      <w:pPr>
        <w:pStyle w:val="Numberedparagraphs"/>
        <w:rPr>
          <w:rFonts w:asciiTheme="minorHAnsi" w:hAnsiTheme="minorHAnsi"/>
        </w:rPr>
      </w:pPr>
      <w:r w:rsidRPr="00B90432">
        <w:rPr>
          <w:rFonts w:asciiTheme="minorHAnsi" w:hAnsiTheme="minorHAnsi"/>
        </w:rPr>
        <w:t>Nearly 4 out of 5 indigenous people live in poverty.</w:t>
      </w:r>
      <w:r w:rsidRPr="00B90432">
        <w:rPr>
          <w:rStyle w:val="FootnoteReference"/>
          <w:rFonts w:asciiTheme="minorHAnsi" w:hAnsiTheme="minorHAnsi"/>
          <w:sz w:val="22"/>
          <w:szCs w:val="22"/>
        </w:rPr>
        <w:footnoteReference w:id="25"/>
      </w:r>
      <w:r w:rsidRPr="00B90432">
        <w:rPr>
          <w:rFonts w:asciiTheme="minorHAnsi" w:hAnsiTheme="minorHAnsi"/>
        </w:rPr>
        <w:t xml:space="preserve"> Extreme poverty is three times higher in the indigenous population than in the nonindigenous population.</w:t>
      </w:r>
      <w:r w:rsidRPr="00B90432">
        <w:rPr>
          <w:rStyle w:val="FootnoteReference"/>
          <w:rFonts w:asciiTheme="minorHAnsi" w:hAnsiTheme="minorHAnsi"/>
          <w:sz w:val="22"/>
          <w:szCs w:val="22"/>
        </w:rPr>
        <w:footnoteReference w:id="26"/>
      </w:r>
      <w:r w:rsidRPr="00B90432">
        <w:rPr>
          <w:rFonts w:asciiTheme="minorHAnsi" w:hAnsiTheme="minorHAnsi"/>
        </w:rPr>
        <w:t xml:space="preserve"> Alta Verapaz and Sololá are the departments with the highest poverty rates—above 80 percent— followed by Totonicapán with 77.5 percent. The population in all three is mostly indigenous.</w:t>
      </w:r>
      <w:r w:rsidRPr="00B90432">
        <w:rPr>
          <w:rStyle w:val="FootnoteReference"/>
          <w:rFonts w:asciiTheme="minorHAnsi" w:hAnsiTheme="minorHAnsi"/>
          <w:sz w:val="22"/>
          <w:szCs w:val="22"/>
        </w:rPr>
        <w:footnoteReference w:id="27"/>
      </w:r>
      <w:r w:rsidRPr="00B90432">
        <w:rPr>
          <w:rFonts w:asciiTheme="minorHAnsi" w:hAnsiTheme="minorHAnsi"/>
        </w:rPr>
        <w:t xml:space="preserve"> Poverty in rural areas is almost double that (1.8 times higher) of urban zones.</w:t>
      </w:r>
      <w:r w:rsidRPr="00B90432">
        <w:rPr>
          <w:rStyle w:val="FootnoteReference"/>
          <w:rFonts w:asciiTheme="minorHAnsi" w:hAnsiTheme="minorHAnsi"/>
          <w:sz w:val="22"/>
          <w:szCs w:val="22"/>
        </w:rPr>
        <w:footnoteReference w:id="28"/>
      </w:r>
      <w:r w:rsidRPr="00B90432">
        <w:rPr>
          <w:rFonts w:asciiTheme="minorHAnsi" w:hAnsiTheme="minorHAnsi"/>
        </w:rPr>
        <w:t xml:space="preserve"> In light of these rates of poverty and extreme poverty, particularly in the indigenous population, the Commission has</w:t>
      </w:r>
      <w:r w:rsidR="002A3147" w:rsidRPr="00B90432">
        <w:rPr>
          <w:rFonts w:asciiTheme="minorHAnsi" w:hAnsiTheme="minorHAnsi"/>
        </w:rPr>
        <w:t xml:space="preserve"> expressed concern at the State’</w:t>
      </w:r>
      <w:r w:rsidRPr="00B90432">
        <w:rPr>
          <w:rFonts w:asciiTheme="minorHAnsi" w:hAnsiTheme="minorHAnsi"/>
        </w:rPr>
        <w:t>s failure to allocate sufficient resources to address this issue among indigenous children.</w:t>
      </w:r>
      <w:r w:rsidRPr="00B90432">
        <w:rPr>
          <w:rStyle w:val="FootnoteReference"/>
          <w:rFonts w:asciiTheme="minorHAnsi" w:hAnsiTheme="minorHAnsi"/>
          <w:sz w:val="22"/>
          <w:szCs w:val="22"/>
        </w:rPr>
        <w:footnoteReference w:id="29"/>
      </w:r>
    </w:p>
    <w:p w14:paraId="544141B7" w14:textId="77777777" w:rsidR="008838EC" w:rsidRPr="00B90432" w:rsidRDefault="00E37F0B" w:rsidP="006F4717">
      <w:pPr>
        <w:pStyle w:val="Numberedparagraphs"/>
        <w:rPr>
          <w:rFonts w:asciiTheme="minorHAnsi" w:hAnsiTheme="minorHAnsi"/>
        </w:rPr>
      </w:pPr>
      <w:r w:rsidRPr="00B90432">
        <w:rPr>
          <w:rFonts w:asciiTheme="minorHAnsi" w:hAnsiTheme="minorHAnsi"/>
        </w:rPr>
        <w:t>In this context, the situation of chronic malnutrition in children is alarming. Guatemala has become the country worst affected by chronic malnutrition in Latin America;</w:t>
      </w:r>
      <w:r w:rsidRPr="00B90432">
        <w:rPr>
          <w:rFonts w:asciiTheme="minorHAnsi" w:hAnsiTheme="minorHAnsi"/>
          <w:vertAlign w:val="superscript"/>
        </w:rPr>
        <w:footnoteReference w:id="30"/>
      </w:r>
      <w:r w:rsidRPr="00B90432">
        <w:rPr>
          <w:rFonts w:asciiTheme="minorHAnsi" w:hAnsiTheme="minorHAnsi"/>
        </w:rPr>
        <w:t xml:space="preserve"> indeed, its situation in that regard is among the worst globally.</w:t>
      </w:r>
      <w:r w:rsidRPr="00B90432">
        <w:rPr>
          <w:rFonts w:asciiTheme="minorHAnsi" w:hAnsiTheme="minorHAnsi"/>
          <w:vertAlign w:val="superscript"/>
        </w:rPr>
        <w:footnoteReference w:id="31"/>
      </w:r>
      <w:r w:rsidRPr="00B90432">
        <w:rPr>
          <w:rFonts w:asciiTheme="minorHAnsi" w:hAnsiTheme="minorHAnsi"/>
        </w:rPr>
        <w:t xml:space="preserve"> The food and nutrition insecurity situation reaches critical levels in rural areas, mainly affecting children under 5 years old, the school </w:t>
      </w:r>
      <w:r w:rsidRPr="00B90432">
        <w:rPr>
          <w:rFonts w:asciiTheme="minorHAnsi" w:hAnsiTheme="minorHAnsi"/>
        </w:rPr>
        <w:lastRenderedPageBreak/>
        <w:t>population, and pregnant and nursing women, and worsens to an alarming degree in the indigenous population.</w:t>
      </w:r>
      <w:r w:rsidRPr="00B90432">
        <w:rPr>
          <w:rFonts w:asciiTheme="minorHAnsi" w:hAnsiTheme="minorHAnsi"/>
          <w:vertAlign w:val="superscript"/>
        </w:rPr>
        <w:footnoteReference w:id="32"/>
      </w:r>
      <w:r w:rsidRPr="00B90432">
        <w:rPr>
          <w:rFonts w:asciiTheme="minorHAnsi" w:hAnsiTheme="minorHAnsi"/>
        </w:rPr>
        <w:t xml:space="preserve"> In context of high poverty and extreme poverty, 48 per</w:t>
      </w:r>
      <w:r w:rsidR="00623093" w:rsidRPr="00B90432">
        <w:rPr>
          <w:rFonts w:asciiTheme="minorHAnsi" w:hAnsiTheme="minorHAnsi"/>
        </w:rPr>
        <w:t>cent—that is, practically half—</w:t>
      </w:r>
      <w:r w:rsidRPr="00B90432">
        <w:rPr>
          <w:rFonts w:asciiTheme="minorHAnsi" w:hAnsiTheme="minorHAnsi"/>
        </w:rPr>
        <w:t>of Guatemala</w:t>
      </w:r>
      <w:r w:rsidR="00623093" w:rsidRPr="00B90432">
        <w:rPr>
          <w:rFonts w:asciiTheme="minorHAnsi" w:hAnsiTheme="minorHAnsi"/>
        </w:rPr>
        <w:t>n children are chronically mal</w:t>
      </w:r>
      <w:r w:rsidRPr="00B90432">
        <w:rPr>
          <w:rFonts w:asciiTheme="minorHAnsi" w:hAnsiTheme="minorHAnsi"/>
        </w:rPr>
        <w:t>nourished.</w:t>
      </w:r>
      <w:r w:rsidRPr="00B90432">
        <w:rPr>
          <w:rStyle w:val="FootnoteReference"/>
          <w:rFonts w:asciiTheme="minorHAnsi" w:hAnsiTheme="minorHAnsi"/>
          <w:sz w:val="22"/>
          <w:szCs w:val="22"/>
        </w:rPr>
        <w:footnoteReference w:id="33"/>
      </w:r>
      <w:r w:rsidRPr="00B90432">
        <w:rPr>
          <w:rFonts w:asciiTheme="minorHAnsi" w:hAnsiTheme="minorHAnsi"/>
        </w:rPr>
        <w:t xml:space="preserve"> The highest rates of chronic malnutrition and food insecurity occur in rural areas, where the population is predominantly indigenous.</w:t>
      </w:r>
      <w:r w:rsidRPr="00B90432">
        <w:rPr>
          <w:rFonts w:asciiTheme="minorHAnsi" w:hAnsiTheme="minorHAnsi"/>
          <w:vertAlign w:val="superscript"/>
        </w:rPr>
        <w:footnoteReference w:id="34"/>
      </w:r>
      <w:r w:rsidRPr="00B90432">
        <w:rPr>
          <w:rFonts w:asciiTheme="minorHAnsi" w:hAnsiTheme="minorHAnsi"/>
        </w:rPr>
        <w:t xml:space="preserve"> According to Information Provided by the United Nations Children's Fund (UNICEF), in Guatemala chronic malnutrition affects eight of every ten indigenous children (80%); it causes lower school retention rates, lower productivity, a propensity to contract diseases, and even a loss of I.Q., with irreversible effects throughout life.</w:t>
      </w:r>
      <w:r w:rsidRPr="00B90432">
        <w:rPr>
          <w:rFonts w:asciiTheme="minorHAnsi" w:hAnsiTheme="minorHAnsi"/>
          <w:vertAlign w:val="superscript"/>
        </w:rPr>
        <w:footnoteReference w:id="35"/>
      </w:r>
      <w:r w:rsidRPr="00B90432">
        <w:rPr>
          <w:rFonts w:asciiTheme="minorHAnsi" w:hAnsiTheme="minorHAnsi"/>
        </w:rPr>
        <w:t xml:space="preserve"> The mortalit</w:t>
      </w:r>
      <w:r w:rsidR="00623093" w:rsidRPr="00B90432">
        <w:rPr>
          <w:rFonts w:asciiTheme="minorHAnsi" w:hAnsiTheme="minorHAnsi"/>
        </w:rPr>
        <w:t xml:space="preserve">y rate from malnutrition is 9.1% </w:t>
      </w:r>
      <w:r w:rsidRPr="00B90432">
        <w:rPr>
          <w:rFonts w:asciiTheme="minorHAnsi" w:hAnsiTheme="minorHAnsi"/>
        </w:rPr>
        <w:t>nationwide and has trended downward (by 20.7</w:t>
      </w:r>
      <w:r w:rsidR="00623093" w:rsidRPr="00B90432">
        <w:rPr>
          <w:rFonts w:asciiTheme="minorHAnsi" w:hAnsiTheme="minorHAnsi"/>
        </w:rPr>
        <w:t>%</w:t>
      </w:r>
      <w:r w:rsidRPr="00B90432">
        <w:rPr>
          <w:rFonts w:asciiTheme="minorHAnsi" w:hAnsiTheme="minorHAnsi"/>
        </w:rPr>
        <w:t>) since 2005.</w:t>
      </w:r>
      <w:r w:rsidRPr="00B90432">
        <w:rPr>
          <w:rStyle w:val="FootnoteReference"/>
          <w:rFonts w:asciiTheme="minorHAnsi" w:hAnsiTheme="minorHAnsi"/>
          <w:sz w:val="22"/>
          <w:szCs w:val="22"/>
        </w:rPr>
        <w:footnoteReference w:id="36"/>
      </w:r>
      <w:r w:rsidRPr="00B90432">
        <w:rPr>
          <w:rFonts w:asciiTheme="minorHAnsi" w:hAnsiTheme="minorHAnsi"/>
        </w:rPr>
        <w:t xml:space="preserve"> The areas with the highest levels of chronic malnutrition and food insecurity are the Departments of Alta Verapaz and Baja Verapaz, as well as the municipalities in the Chortí area of the Department of Chiquimula, all of them with predominantly indigenous populations.</w:t>
      </w:r>
      <w:r w:rsidRPr="00B90432">
        <w:rPr>
          <w:rStyle w:val="FootnoteReference"/>
          <w:rFonts w:asciiTheme="minorHAnsi" w:hAnsiTheme="minorHAnsi"/>
          <w:sz w:val="22"/>
          <w:szCs w:val="22"/>
        </w:rPr>
        <w:footnoteReference w:id="37"/>
      </w:r>
      <w:r w:rsidRPr="00B90432">
        <w:rPr>
          <w:rFonts w:asciiTheme="minorHAnsi" w:hAnsiTheme="minorHAnsi"/>
        </w:rPr>
        <w:t xml:space="preserve"> Given such challenges, the IACHR encourages the State of Guatemala’s efforts to implement food distribution programs, particularly through the creation of the Presidential Commission to Reduce Chronic Malnutrition</w:t>
      </w:r>
      <w:r w:rsidR="00E0400D" w:rsidRPr="00B90432">
        <w:rPr>
          <w:rStyle w:val="FootnoteReference"/>
          <w:rFonts w:asciiTheme="minorHAnsi" w:hAnsiTheme="minorHAnsi"/>
          <w:sz w:val="22"/>
          <w:szCs w:val="22"/>
        </w:rPr>
        <w:footnoteReference w:id="38"/>
      </w:r>
      <w:r w:rsidRPr="00B90432">
        <w:rPr>
          <w:rFonts w:asciiTheme="minorHAnsi" w:hAnsiTheme="minorHAnsi"/>
        </w:rPr>
        <w:t>.</w:t>
      </w:r>
      <w:r w:rsidR="00F46918" w:rsidRPr="00B90432">
        <w:rPr>
          <w:rFonts w:asciiTheme="minorHAnsi" w:hAnsiTheme="minorHAnsi"/>
        </w:rPr>
        <w:t xml:space="preserve"> In its comments to the draft of this report, the State highlighted that as part of the Program for Food Assistance, between 2012 and June 2017 618,117 food rations were delivered in areas affected by natural disasters.</w:t>
      </w:r>
      <w:r w:rsidR="00F46918" w:rsidRPr="00B90432">
        <w:rPr>
          <w:rStyle w:val="FootnoteReference"/>
          <w:rFonts w:asciiTheme="minorHAnsi" w:hAnsiTheme="minorHAnsi"/>
          <w:sz w:val="22"/>
          <w:szCs w:val="22"/>
        </w:rPr>
        <w:footnoteReference w:id="39"/>
      </w:r>
    </w:p>
    <w:p w14:paraId="6682FDB1" w14:textId="77777777" w:rsidR="008838EC" w:rsidRPr="00B90432" w:rsidRDefault="0058447B" w:rsidP="006F4717">
      <w:pPr>
        <w:pStyle w:val="Numberedparagraphs"/>
        <w:rPr>
          <w:rFonts w:asciiTheme="minorHAnsi" w:hAnsiTheme="minorHAnsi"/>
        </w:rPr>
      </w:pPr>
      <w:r w:rsidRPr="00B90432">
        <w:rPr>
          <w:rFonts w:asciiTheme="minorHAnsi" w:hAnsiTheme="minorHAnsi"/>
        </w:rPr>
        <w:lastRenderedPageBreak/>
        <w:t>In 2017, these levels of malnutrition caused the death of at least one girl beneficiary of court-ordered protection.</w:t>
      </w:r>
      <w:r w:rsidRPr="00B90432">
        <w:rPr>
          <w:rStyle w:val="FootnoteReference"/>
          <w:rFonts w:asciiTheme="minorHAnsi" w:hAnsiTheme="minorHAnsi"/>
          <w:sz w:val="22"/>
          <w:szCs w:val="22"/>
        </w:rPr>
        <w:footnoteReference w:id="40"/>
      </w:r>
      <w:r w:rsidRPr="00B90432">
        <w:rPr>
          <w:rFonts w:asciiTheme="minorHAnsi" w:hAnsiTheme="minorHAnsi"/>
        </w:rPr>
        <w:t xml:space="preserve"> The Commission learned of the death from malnutrition of Mabelita Lucila Interiano Amador, an eight-year-old girl, on August 14, 2017, 10 days after its concluded the on-site visit.</w:t>
      </w:r>
      <w:r w:rsidRPr="00B90432">
        <w:rPr>
          <w:rStyle w:val="FootnoteReference"/>
          <w:rFonts w:asciiTheme="minorHAnsi" w:hAnsiTheme="minorHAnsi"/>
          <w:sz w:val="22"/>
          <w:szCs w:val="22"/>
        </w:rPr>
        <w:footnoteReference w:id="41"/>
      </w:r>
      <w:r w:rsidRPr="00B90432">
        <w:rPr>
          <w:rFonts w:asciiTheme="minorHAnsi" w:hAnsiTheme="minorHAnsi"/>
        </w:rPr>
        <w:t xml:space="preserve"> In April and May 2013, the Judge of the Children's and Juvenile Offenders' Court of the Department of Zacapa ordered the Guatemalan State to protect the lives of three girls and two boys,</w:t>
      </w:r>
      <w:r w:rsidRPr="00B90432">
        <w:rPr>
          <w:rStyle w:val="FootnoteReference"/>
          <w:rFonts w:asciiTheme="minorHAnsi" w:hAnsiTheme="minorHAnsi"/>
          <w:sz w:val="22"/>
          <w:szCs w:val="22"/>
        </w:rPr>
        <w:footnoteReference w:id="42"/>
      </w:r>
      <w:r w:rsidRPr="00B90432">
        <w:rPr>
          <w:rFonts w:asciiTheme="minorHAnsi" w:hAnsiTheme="minorHAnsi"/>
        </w:rPr>
        <w:t xml:space="preserve"> including Mabelita, who were suffering from chronic and acute malnutrition, as well as their immediate families. The </w:t>
      </w:r>
      <w:r w:rsidR="00623093" w:rsidRPr="00B90432">
        <w:rPr>
          <w:rFonts w:asciiTheme="minorHAnsi" w:hAnsiTheme="minorHAnsi"/>
        </w:rPr>
        <w:t>Constitutional Court confirmed the judgments</w:t>
      </w:r>
      <w:r w:rsidRPr="00B90432">
        <w:rPr>
          <w:rFonts w:asciiTheme="minorHAnsi" w:hAnsiTheme="minorHAnsi"/>
        </w:rPr>
        <w:t xml:space="preserve"> in 2017.</w:t>
      </w:r>
      <w:r w:rsidRPr="00B90432">
        <w:rPr>
          <w:rStyle w:val="FootnoteReference"/>
          <w:rFonts w:asciiTheme="minorHAnsi" w:hAnsiTheme="minorHAnsi"/>
          <w:sz w:val="22"/>
          <w:szCs w:val="22"/>
        </w:rPr>
        <w:footnoteReference w:id="43"/>
      </w:r>
      <w:r w:rsidRPr="00B90432">
        <w:rPr>
          <w:rFonts w:asciiTheme="minorHAnsi" w:hAnsiTheme="minorHAnsi"/>
        </w:rPr>
        <w:t xml:space="preserve"> The judge found that there had been violations of her rights to life, health, education, food, and housing, recognized in Article 104 of the Child and Adolescent Comprehensive Protection Law. In his judgment, the judge ordered the Human Rights Ombudsman (PDH) to assist in the coordination of interinstitutional efforts in that regard.</w:t>
      </w:r>
      <w:r w:rsidRPr="00B90432">
        <w:rPr>
          <w:rStyle w:val="FootnoteReference"/>
          <w:rFonts w:asciiTheme="minorHAnsi" w:hAnsiTheme="minorHAnsi"/>
          <w:sz w:val="22"/>
          <w:szCs w:val="22"/>
        </w:rPr>
        <w:footnoteReference w:id="44"/>
      </w:r>
      <w:r w:rsidRPr="00B90432">
        <w:rPr>
          <w:rFonts w:asciiTheme="minorHAnsi" w:hAnsiTheme="minorHAnsi"/>
        </w:rPr>
        <w:t xml:space="preserve"> The information received indicates that Mabelita weighed just 27 k</w:t>
      </w:r>
      <w:r w:rsidR="00623093" w:rsidRPr="00B90432">
        <w:rPr>
          <w:rFonts w:asciiTheme="minorHAnsi" w:hAnsiTheme="minorHAnsi"/>
        </w:rPr>
        <w:t>ilo</w:t>
      </w:r>
      <w:r w:rsidRPr="00B90432">
        <w:rPr>
          <w:rFonts w:asciiTheme="minorHAnsi" w:hAnsiTheme="minorHAnsi"/>
        </w:rPr>
        <w:t>g</w:t>
      </w:r>
      <w:r w:rsidR="00623093" w:rsidRPr="00B90432">
        <w:rPr>
          <w:rFonts w:asciiTheme="minorHAnsi" w:hAnsiTheme="minorHAnsi"/>
        </w:rPr>
        <w:t>rams</w:t>
      </w:r>
      <w:r w:rsidRPr="00B90432">
        <w:rPr>
          <w:rFonts w:asciiTheme="minorHAnsi" w:hAnsiTheme="minorHAnsi"/>
        </w:rPr>
        <w:t xml:space="preserve"> when she died. The Commission considers that, bearing in mind that Mabelita had been the beneficiary of a protection order since 2013, her death could have been avoided. The IACHR strongly urges the State to adopt immediate and effective concrete policies and m</w:t>
      </w:r>
      <w:r w:rsidR="00623093" w:rsidRPr="00B90432">
        <w:rPr>
          <w:rFonts w:asciiTheme="minorHAnsi" w:hAnsiTheme="minorHAnsi"/>
        </w:rPr>
        <w:t>echanisms to safeguard the well</w:t>
      </w:r>
      <w:r w:rsidRPr="00B90432">
        <w:rPr>
          <w:rFonts w:asciiTheme="minorHAnsi" w:hAnsiTheme="minorHAnsi"/>
        </w:rPr>
        <w:t>being of the other four child</w:t>
      </w:r>
      <w:r w:rsidR="00623093" w:rsidRPr="00B90432">
        <w:rPr>
          <w:rFonts w:asciiTheme="minorHAnsi" w:hAnsiTheme="minorHAnsi"/>
        </w:rPr>
        <w:t>ren</w:t>
      </w:r>
      <w:r w:rsidRPr="00B90432">
        <w:rPr>
          <w:rFonts w:asciiTheme="minorHAnsi" w:hAnsiTheme="minorHAnsi"/>
        </w:rPr>
        <w:t xml:space="preserve"> beneficiaries of the 2013 decisions, as well as to prevent the death from malnutrition of any more children in Guatemala.</w:t>
      </w:r>
    </w:p>
    <w:p w14:paraId="4A4B64F0" w14:textId="77777777" w:rsidR="008F18E8" w:rsidRPr="00B90432" w:rsidRDefault="00122CE4" w:rsidP="006F4717">
      <w:pPr>
        <w:pStyle w:val="Numberedparagraphs"/>
        <w:rPr>
          <w:rFonts w:asciiTheme="minorHAnsi" w:hAnsiTheme="minorHAnsi"/>
        </w:rPr>
      </w:pPr>
      <w:r w:rsidRPr="00B90432">
        <w:rPr>
          <w:rFonts w:asciiTheme="minorHAnsi" w:hAnsiTheme="minorHAnsi"/>
        </w:rPr>
        <w:t>As regards the right to education, according to the UNDP, the average length of schooling in the country is just 6.4 years, and a mere 4.8 years for indigenous children.</w:t>
      </w:r>
      <w:r w:rsidRPr="00B90432">
        <w:rPr>
          <w:rStyle w:val="FootnoteReference"/>
          <w:rFonts w:asciiTheme="minorHAnsi" w:hAnsiTheme="minorHAnsi"/>
          <w:sz w:val="22"/>
          <w:szCs w:val="22"/>
        </w:rPr>
        <w:footnoteReference w:id="45"/>
      </w:r>
      <w:r w:rsidRPr="00B90432">
        <w:rPr>
          <w:rFonts w:asciiTheme="minorHAnsi" w:hAnsiTheme="minorHAnsi"/>
        </w:rPr>
        <w:t xml:space="preserve"> Indigenous girls attend school for only three years </w:t>
      </w:r>
      <w:r w:rsidRPr="00B90432">
        <w:rPr>
          <w:rFonts w:asciiTheme="minorHAnsi" w:hAnsiTheme="minorHAnsi"/>
        </w:rPr>
        <w:lastRenderedPageBreak/>
        <w:t>on average.</w:t>
      </w:r>
      <w:r w:rsidRPr="00B90432">
        <w:rPr>
          <w:rFonts w:asciiTheme="minorHAnsi" w:hAnsiTheme="minorHAnsi"/>
          <w:vertAlign w:val="superscript"/>
        </w:rPr>
        <w:footnoteReference w:id="46"/>
      </w:r>
      <w:r w:rsidRPr="00B90432">
        <w:rPr>
          <w:rFonts w:asciiTheme="minorHAnsi" w:hAnsiTheme="minorHAnsi"/>
        </w:rPr>
        <w:t xml:space="preserve"> More than 1.8 million children and adolescents aged 10 to 19 are not in school.</w:t>
      </w:r>
      <w:r w:rsidRPr="00B90432">
        <w:rPr>
          <w:rFonts w:asciiTheme="minorHAnsi" w:hAnsiTheme="minorHAnsi"/>
          <w:vertAlign w:val="superscript"/>
        </w:rPr>
        <w:footnoteReference w:id="47"/>
      </w:r>
      <w:r w:rsidRPr="00B90432">
        <w:rPr>
          <w:rFonts w:asciiTheme="minorHAnsi" w:hAnsiTheme="minorHAnsi"/>
        </w:rPr>
        <w:t xml:space="preserve"> According to available information, in 2015, 50 percent of boys and girls in Guatemala did not attend preprimary school;</w:t>
      </w:r>
      <w:r w:rsidRPr="00B90432">
        <w:rPr>
          <w:rStyle w:val="FootnoteReference"/>
          <w:rFonts w:asciiTheme="minorHAnsi" w:hAnsiTheme="minorHAnsi"/>
          <w:sz w:val="22"/>
          <w:szCs w:val="22"/>
        </w:rPr>
        <w:footnoteReference w:id="48"/>
      </w:r>
      <w:r w:rsidRPr="00B90432">
        <w:rPr>
          <w:rFonts w:asciiTheme="minorHAnsi" w:hAnsiTheme="minorHAnsi"/>
        </w:rPr>
        <w:t xml:space="preserve"> in 2017, roughly 400,000 primary school-age boys and girls are not in the education system. Furthermore, more than 678,000 secondary school-age adolescents do not have access to secondary education.</w:t>
      </w:r>
      <w:r w:rsidRPr="00B90432">
        <w:rPr>
          <w:rStyle w:val="FootnoteReference"/>
          <w:rFonts w:asciiTheme="minorHAnsi" w:hAnsiTheme="minorHAnsi"/>
          <w:sz w:val="22"/>
          <w:szCs w:val="22"/>
        </w:rPr>
        <w:footnoteReference w:id="49"/>
      </w:r>
      <w:r w:rsidRPr="00B90432">
        <w:rPr>
          <w:rFonts w:asciiTheme="minorHAnsi" w:hAnsiTheme="minorHAnsi"/>
        </w:rPr>
        <w:t xml:space="preserve"> According to the most recent data from Guatemala's National Statistics Institute, 20.8 percent of Guatemalans over the age of 14 years old are illiterate, while in the indigenous population illiteracy in that age group is 32.8 percent.</w:t>
      </w:r>
      <w:r w:rsidRPr="00B90432">
        <w:rPr>
          <w:rStyle w:val="FootnoteReference"/>
          <w:rFonts w:asciiTheme="minorHAnsi" w:hAnsiTheme="minorHAnsi"/>
          <w:sz w:val="22"/>
          <w:szCs w:val="22"/>
        </w:rPr>
        <w:footnoteReference w:id="50"/>
      </w:r>
      <w:r w:rsidRPr="00B90432">
        <w:rPr>
          <w:rFonts w:asciiTheme="minorHAnsi" w:hAnsiTheme="minorHAnsi"/>
        </w:rPr>
        <w:t xml:space="preserve"> According to the UNDP, recent years have seen some progress in education, although Guatemala still faces crucial challenges. Among the advances there have been progressive increases in primary education enrollment; almost complete gender parity in education and an increase in youth literacy (from 76% to 91.9% between 1994 and 2011).</w:t>
      </w:r>
      <w:r w:rsidRPr="00B90432">
        <w:rPr>
          <w:rFonts w:asciiTheme="minorHAnsi" w:hAnsiTheme="minorHAnsi"/>
          <w:vertAlign w:val="superscript"/>
        </w:rPr>
        <w:footnoteReference w:id="51"/>
      </w:r>
      <w:r w:rsidR="00550A62" w:rsidRPr="00B90432">
        <w:rPr>
          <w:rFonts w:asciiTheme="minorHAnsi" w:hAnsiTheme="minorHAnsi"/>
        </w:rPr>
        <w:t xml:space="preserve"> In its comments to the draft of this report, the State indicated that the National Committee of Literacy reported, as part of the process of achieving literacy in all persons over 15 years of age, a 4.31% decrease in the illiteracy rate between 2012 (16.62%) and 2016 (12.31%).</w:t>
      </w:r>
      <w:r w:rsidR="00550A62" w:rsidRPr="00B90432">
        <w:rPr>
          <w:rStyle w:val="FootnoteReference"/>
          <w:rFonts w:asciiTheme="minorHAnsi" w:hAnsiTheme="minorHAnsi"/>
          <w:sz w:val="22"/>
          <w:szCs w:val="22"/>
        </w:rPr>
        <w:footnoteReference w:id="52"/>
      </w:r>
    </w:p>
    <w:p w14:paraId="496C2BC5" w14:textId="77777777" w:rsidR="00A12FB3" w:rsidRPr="00B90432" w:rsidRDefault="007A52AD" w:rsidP="006F4717">
      <w:pPr>
        <w:pStyle w:val="Numberedparagraphs"/>
        <w:rPr>
          <w:rFonts w:asciiTheme="minorHAnsi" w:hAnsiTheme="minorHAnsi"/>
        </w:rPr>
      </w:pPr>
      <w:r w:rsidRPr="00B90432">
        <w:rPr>
          <w:rFonts w:asciiTheme="minorHAnsi" w:hAnsiTheme="minorHAnsi"/>
        </w:rPr>
        <w:t xml:space="preserve">As regards land ownership, according to the Office of the United Nations High Commissioner for Human Rights (OHCHR), there are at present more than 1,440 disputes over land concerning overlaps, boundaries, regularizations, and land occupations, among other issues. Forcible evictions in this context continue to be a cause for concern. Farming accounts for 13.6 percent of GDP and 26.4 percent of total exports. According to the OHCHR and information received during the visit, a number of complaints have been made about the adverse impact of single-crop operations that continue to expand throughout the country. Such </w:t>
      </w:r>
      <w:r w:rsidRPr="00B90432">
        <w:rPr>
          <w:rFonts w:asciiTheme="minorHAnsi" w:hAnsiTheme="minorHAnsi"/>
        </w:rPr>
        <w:lastRenderedPageBreak/>
        <w:t xml:space="preserve">complaints concern, </w:t>
      </w:r>
      <w:r w:rsidRPr="00B90432">
        <w:rPr>
          <w:rFonts w:asciiTheme="minorHAnsi" w:hAnsiTheme="minorHAnsi"/>
          <w:i/>
          <w:iCs/>
        </w:rPr>
        <w:t>inter alia</w:t>
      </w:r>
      <w:r w:rsidRPr="00B90432">
        <w:rPr>
          <w:rFonts w:asciiTheme="minorHAnsi" w:hAnsiTheme="minorHAnsi"/>
        </w:rPr>
        <w:t>, alleged irregular land purchases, the impact of fumigation on crops in neighboring properties, and diversion of rivers.</w:t>
      </w:r>
      <w:r w:rsidRPr="00B90432">
        <w:rPr>
          <w:rFonts w:asciiTheme="minorHAnsi" w:hAnsiTheme="minorHAnsi"/>
          <w:vertAlign w:val="superscript"/>
        </w:rPr>
        <w:footnoteReference w:id="53"/>
      </w:r>
    </w:p>
    <w:p w14:paraId="55D80393" w14:textId="77777777" w:rsidR="00A12FB3" w:rsidRPr="00B90432" w:rsidRDefault="00291E41" w:rsidP="006F4717">
      <w:pPr>
        <w:pStyle w:val="Numberedparagraphs"/>
        <w:rPr>
          <w:rFonts w:asciiTheme="minorHAnsi" w:hAnsiTheme="minorHAnsi"/>
        </w:rPr>
      </w:pPr>
      <w:r w:rsidRPr="00B90432">
        <w:rPr>
          <w:rFonts w:asciiTheme="minorHAnsi" w:hAnsiTheme="minorHAnsi"/>
        </w:rPr>
        <w:t>On the question of the right to water, according to information received, around three million Guatemalans lack access to safe drinking water, while some six million are without access to improved sanitation services.</w:t>
      </w:r>
      <w:r w:rsidRPr="00B90432">
        <w:rPr>
          <w:rStyle w:val="FootnoteReference"/>
          <w:rFonts w:asciiTheme="minorHAnsi" w:hAnsiTheme="minorHAnsi"/>
          <w:sz w:val="22"/>
          <w:szCs w:val="22"/>
        </w:rPr>
        <w:footnoteReference w:id="54"/>
      </w:r>
      <w:r w:rsidRPr="00B90432">
        <w:rPr>
          <w:rFonts w:asciiTheme="minorHAnsi" w:hAnsiTheme="minorHAnsi"/>
        </w:rPr>
        <w:t xml:space="preserve">  According to the PDH, 20 percent of the country does not have access to improved water sources, and there is a gap of 24.7 percent between urban and rural areas.</w:t>
      </w:r>
      <w:r w:rsidRPr="00B90432">
        <w:rPr>
          <w:rStyle w:val="FootnoteReference"/>
          <w:rFonts w:asciiTheme="minorHAnsi" w:hAnsiTheme="minorHAnsi"/>
          <w:sz w:val="22"/>
          <w:szCs w:val="22"/>
        </w:rPr>
        <w:footnoteReference w:id="55"/>
      </w:r>
      <w:r w:rsidRPr="00B90432">
        <w:rPr>
          <w:rFonts w:asciiTheme="minorHAnsi" w:hAnsiTheme="minorHAnsi"/>
        </w:rPr>
        <w:t xml:space="preserve"> Of people living in extreme poverty, 40 percent lack access to improved water sources.</w:t>
      </w:r>
      <w:r w:rsidRPr="00B90432">
        <w:rPr>
          <w:rStyle w:val="FootnoteReference"/>
          <w:rFonts w:asciiTheme="minorHAnsi" w:hAnsiTheme="minorHAnsi"/>
          <w:sz w:val="22"/>
          <w:szCs w:val="22"/>
        </w:rPr>
        <w:footnoteReference w:id="56"/>
      </w:r>
      <w:r w:rsidRPr="00B90432">
        <w:rPr>
          <w:rFonts w:asciiTheme="minorHAnsi" w:hAnsiTheme="minorHAnsi"/>
        </w:rPr>
        <w:t xml:space="preserve"> Guatemala is the only country in Central America without a water law.</w:t>
      </w:r>
      <w:r w:rsidRPr="00B90432">
        <w:rPr>
          <w:rStyle w:val="FootnoteReference"/>
          <w:rFonts w:asciiTheme="minorHAnsi" w:hAnsiTheme="minorHAnsi"/>
          <w:sz w:val="22"/>
          <w:szCs w:val="22"/>
        </w:rPr>
        <w:footnoteReference w:id="57"/>
      </w:r>
      <w:r w:rsidRPr="00B90432">
        <w:rPr>
          <w:rFonts w:asciiTheme="minorHAnsi" w:hAnsiTheme="minorHAnsi"/>
        </w:rPr>
        <w:t xml:space="preserve"> Information received also indicates that rural areas have serious problems of access to safe drinking water because of droughts, rivers being diverted, and water grabs by businesses, not to mention pollution and land grabs by corporations and megaprojects.</w:t>
      </w:r>
      <w:r w:rsidRPr="00B90432">
        <w:rPr>
          <w:rStyle w:val="FootnoteReference"/>
          <w:rFonts w:asciiTheme="minorHAnsi" w:hAnsiTheme="minorHAnsi"/>
          <w:sz w:val="22"/>
          <w:szCs w:val="22"/>
        </w:rPr>
        <w:footnoteReference w:id="58"/>
      </w:r>
      <w:r w:rsidRPr="00B90432">
        <w:rPr>
          <w:rFonts w:asciiTheme="minorHAnsi" w:hAnsiTheme="minorHAnsi"/>
        </w:rPr>
        <w:t xml:space="preserve"> According to UNICEF, the global economic situation and the effects of climate change, especially droughts, disproportionately impact the economies and, in particular, the subsistence of indigenous families and of the poorest, with children the worst affected.</w:t>
      </w:r>
      <w:r w:rsidRPr="00B90432">
        <w:rPr>
          <w:rStyle w:val="FootnoteReference"/>
          <w:rFonts w:asciiTheme="minorHAnsi" w:hAnsiTheme="minorHAnsi"/>
          <w:sz w:val="22"/>
          <w:szCs w:val="22"/>
        </w:rPr>
        <w:footnoteReference w:id="59"/>
      </w:r>
    </w:p>
    <w:p w14:paraId="5B0E0487" w14:textId="77777777" w:rsidR="00A12FB3" w:rsidRPr="00B90432" w:rsidRDefault="00C95308" w:rsidP="006F4717">
      <w:pPr>
        <w:pStyle w:val="Numberedparagraphs"/>
        <w:rPr>
          <w:rFonts w:asciiTheme="minorHAnsi" w:hAnsiTheme="minorHAnsi"/>
        </w:rPr>
      </w:pPr>
      <w:r w:rsidRPr="00B90432">
        <w:rPr>
          <w:rFonts w:asciiTheme="minorHAnsi" w:hAnsiTheme="minorHAnsi"/>
        </w:rPr>
        <w:t>With respect to the right to housing, civil society organizations say that 50% of the Guatemalan population lacks decent, adequate, and healthy housing.</w:t>
      </w:r>
      <w:r w:rsidRPr="00B90432">
        <w:rPr>
          <w:rFonts w:asciiTheme="minorHAnsi" w:hAnsiTheme="minorHAnsi"/>
          <w:vertAlign w:val="superscript"/>
        </w:rPr>
        <w:footnoteReference w:id="60"/>
      </w:r>
      <w:r w:rsidRPr="00B90432">
        <w:rPr>
          <w:rFonts w:asciiTheme="minorHAnsi" w:hAnsiTheme="minorHAnsi"/>
        </w:rPr>
        <w:t xml:space="preserve"> In that regard, the State reported that it replaced the National Housing Fund of Guatemala (</w:t>
      </w:r>
      <w:r w:rsidRPr="00B90432">
        <w:rPr>
          <w:rFonts w:asciiTheme="minorHAnsi" w:hAnsiTheme="minorHAnsi"/>
          <w:i/>
          <w:iCs/>
        </w:rPr>
        <w:t>Fondo Nacional de la Vivienda de Guatemala</w:t>
      </w:r>
      <w:r w:rsidRPr="00B90432">
        <w:rPr>
          <w:rFonts w:asciiTheme="minorHAnsi" w:hAnsiTheme="minorHAnsi"/>
        </w:rPr>
        <w:t>―FODIGUA) with the National Fund for Housing (</w:t>
      </w:r>
      <w:r w:rsidRPr="00B90432">
        <w:rPr>
          <w:rFonts w:asciiTheme="minorHAnsi" w:hAnsiTheme="minorHAnsi"/>
          <w:i/>
          <w:iCs/>
        </w:rPr>
        <w:t>Fondo Nacional para la Vivienda</w:t>
      </w:r>
      <w:r w:rsidRPr="00B90432">
        <w:rPr>
          <w:rFonts w:asciiTheme="minorHAnsi" w:hAnsiTheme="minorHAnsi"/>
        </w:rPr>
        <w:t xml:space="preserve">―FOPAVI), which started functioning in 2013. One of its chief reforms has been the rise in the direct subsidy received by beneficiary families, from 15,000 quetzales (about US$1,900) to 35,000 quetzales (about US$4,600). The State added that since its establishment FOPAVI has </w:t>
      </w:r>
      <w:r w:rsidRPr="00B90432">
        <w:rPr>
          <w:rFonts w:asciiTheme="minorHAnsi" w:hAnsiTheme="minorHAnsi"/>
        </w:rPr>
        <w:lastRenderedPageBreak/>
        <w:t>provided assistance to more than 26,000 families living in poverty or extreme poverty.</w:t>
      </w:r>
      <w:r w:rsidRPr="00B90432">
        <w:rPr>
          <w:rFonts w:asciiTheme="minorHAnsi" w:hAnsiTheme="minorHAnsi"/>
          <w:vertAlign w:val="superscript"/>
        </w:rPr>
        <w:footnoteReference w:id="61"/>
      </w:r>
    </w:p>
    <w:p w14:paraId="43D09EFC" w14:textId="77777777" w:rsidR="00A12FB3" w:rsidRPr="00B90432" w:rsidRDefault="00746ADA" w:rsidP="006F4717">
      <w:pPr>
        <w:pStyle w:val="Numberedparagraphs"/>
        <w:rPr>
          <w:rFonts w:asciiTheme="minorHAnsi" w:hAnsiTheme="minorHAnsi"/>
        </w:rPr>
      </w:pPr>
      <w:r w:rsidRPr="00B90432">
        <w:rPr>
          <w:rFonts w:asciiTheme="minorHAnsi" w:hAnsiTheme="minorHAnsi"/>
        </w:rPr>
        <w:t>Regarding the right to work, according to information provided to the IACHR, difficulties persist with respect to access to jobs, with a result that informal employment is widespread, especially in the farming sector. Almost 70 percent of the labor force is informally employed, according to information from the Ministry of Labor.</w:t>
      </w:r>
      <w:r w:rsidRPr="00B90432">
        <w:rPr>
          <w:rStyle w:val="FootnoteReference"/>
          <w:rFonts w:asciiTheme="minorHAnsi" w:hAnsiTheme="minorHAnsi"/>
          <w:sz w:val="22"/>
          <w:szCs w:val="22"/>
        </w:rPr>
        <w:footnoteReference w:id="62"/>
      </w:r>
      <w:r w:rsidRPr="00B90432">
        <w:rPr>
          <w:rFonts w:asciiTheme="minorHAnsi" w:hAnsiTheme="minorHAnsi"/>
        </w:rPr>
        <w:t xml:space="preserve"> According to the National Statistics Institute, in rural areas, 85 percent of the labor force is informally employed.</w:t>
      </w:r>
      <w:r w:rsidRPr="00B90432">
        <w:rPr>
          <w:rStyle w:val="FootnoteReference"/>
          <w:rFonts w:asciiTheme="minorHAnsi" w:hAnsiTheme="minorHAnsi"/>
          <w:sz w:val="22"/>
          <w:szCs w:val="22"/>
        </w:rPr>
        <w:footnoteReference w:id="63"/>
      </w:r>
      <w:r w:rsidRPr="00B90432">
        <w:rPr>
          <w:rFonts w:asciiTheme="minorHAnsi" w:hAnsiTheme="minorHAnsi"/>
        </w:rPr>
        <w:t xml:space="preserve"> The Ministry reported that the informal employment rate fell by two percentage points between 2016 and 2017, from 69.8 percent to 67.8 percent, and that unemployment came down by 0.7 percent, thanks to labor fairs and employment kiosks held in the first half 2017.</w:t>
      </w:r>
      <w:r w:rsidRPr="00B90432">
        <w:rPr>
          <w:rStyle w:val="FootnoteReference"/>
          <w:rFonts w:asciiTheme="minorHAnsi" w:hAnsiTheme="minorHAnsi"/>
          <w:sz w:val="22"/>
          <w:szCs w:val="22"/>
        </w:rPr>
        <w:footnoteReference w:id="64"/>
      </w:r>
    </w:p>
    <w:p w14:paraId="357011A0" w14:textId="77777777" w:rsidR="00A12FB3" w:rsidRPr="00B90432" w:rsidRDefault="007A4816" w:rsidP="006F4717">
      <w:pPr>
        <w:pStyle w:val="Numberedparagraphs"/>
        <w:rPr>
          <w:rFonts w:asciiTheme="minorHAnsi" w:hAnsiTheme="minorHAnsi"/>
        </w:rPr>
      </w:pPr>
      <w:r w:rsidRPr="00B90432">
        <w:rPr>
          <w:rFonts w:asciiTheme="minorHAnsi" w:hAnsiTheme="minorHAnsi"/>
        </w:rPr>
        <w:t>As regards child labor, Guatemala has the highest child labor rate in the region. According to official data in the country, there are 850,000 children engaged in productive activities, 43 percent of whom are not in school.</w:t>
      </w:r>
      <w:r w:rsidRPr="00B90432">
        <w:rPr>
          <w:rFonts w:asciiTheme="minorHAnsi" w:hAnsiTheme="minorHAnsi"/>
          <w:vertAlign w:val="superscript"/>
        </w:rPr>
        <w:footnoteReference w:id="65"/>
      </w:r>
      <w:r w:rsidRPr="00B90432">
        <w:rPr>
          <w:rFonts w:asciiTheme="minorHAnsi" w:hAnsiTheme="minorHAnsi"/>
        </w:rPr>
        <w:t xml:space="preserve"> The 2016 National Employment and Income Survey carried out by the National Statistics Institute indicates that 6.3 percent of all children aged 7 to 14 years old perform some kind of economic activity.</w:t>
      </w:r>
      <w:r w:rsidRPr="00B90432">
        <w:rPr>
          <w:rFonts w:asciiTheme="minorHAnsi" w:hAnsiTheme="minorHAnsi"/>
          <w:vertAlign w:val="superscript"/>
        </w:rPr>
        <w:footnoteReference w:id="66"/>
      </w:r>
    </w:p>
    <w:p w14:paraId="2760E611" w14:textId="77777777" w:rsidR="00A12FB3" w:rsidRPr="00B90432" w:rsidRDefault="00122CE4" w:rsidP="006F4717">
      <w:pPr>
        <w:pStyle w:val="Numberedparagraphs"/>
        <w:rPr>
          <w:rFonts w:asciiTheme="minorHAnsi" w:hAnsiTheme="minorHAnsi"/>
        </w:rPr>
      </w:pPr>
      <w:r w:rsidRPr="00B90432">
        <w:rPr>
          <w:rFonts w:asciiTheme="minorHAnsi" w:hAnsiTheme="minorHAnsi"/>
        </w:rPr>
        <w:t>As regards the right to health, there is no universal health coverage system that provides access without discrimination to quality care services. The Commission received troubling information about the situation of people with HIV in Guatemala, who have to contend with constant supply shortages of antiretroviral drugs, failure to hire personnel at comprehensive care units,</w:t>
      </w:r>
      <w:r w:rsidRPr="00B90432">
        <w:rPr>
          <w:rStyle w:val="FootnoteReference"/>
          <w:rFonts w:asciiTheme="minorHAnsi" w:hAnsiTheme="minorHAnsi"/>
          <w:sz w:val="22"/>
          <w:szCs w:val="22"/>
        </w:rPr>
        <w:footnoteReference w:id="67"/>
      </w:r>
      <w:r w:rsidRPr="00B90432">
        <w:rPr>
          <w:rFonts w:asciiTheme="minorHAnsi" w:hAnsiTheme="minorHAnsi"/>
        </w:rPr>
        <w:t xml:space="preserve"> and difficulties obtaining quality generic medicine.</w:t>
      </w:r>
      <w:r w:rsidRPr="00B90432">
        <w:rPr>
          <w:rStyle w:val="FootnoteReference"/>
          <w:rFonts w:asciiTheme="minorHAnsi" w:hAnsiTheme="minorHAnsi"/>
          <w:sz w:val="22"/>
          <w:szCs w:val="22"/>
        </w:rPr>
        <w:footnoteReference w:id="68"/>
      </w:r>
      <w:r w:rsidRPr="00B90432">
        <w:rPr>
          <w:rFonts w:asciiTheme="minorHAnsi" w:hAnsiTheme="minorHAnsi"/>
        </w:rPr>
        <w:t xml:space="preserve"> </w:t>
      </w:r>
      <w:r w:rsidR="00550A62" w:rsidRPr="00B90432">
        <w:rPr>
          <w:rFonts w:asciiTheme="minorHAnsi" w:hAnsiTheme="minorHAnsi"/>
        </w:rPr>
        <w:t xml:space="preserve">In its comments to the draft of this report, the State indicated that in 2016 it established the Inclusive Health Model, which institutes </w:t>
      </w:r>
      <w:r w:rsidR="00550A62" w:rsidRPr="00B90432">
        <w:rPr>
          <w:rFonts w:asciiTheme="minorHAnsi" w:hAnsiTheme="minorHAnsi"/>
        </w:rPr>
        <w:lastRenderedPageBreak/>
        <w:t>general guidelines for the geographic distribution</w:t>
      </w:r>
      <w:r w:rsidR="00B76F27" w:rsidRPr="00B90432">
        <w:rPr>
          <w:rFonts w:asciiTheme="minorHAnsi" w:hAnsiTheme="minorHAnsi"/>
        </w:rPr>
        <w:t xml:space="preserve"> in the territory</w:t>
      </w:r>
      <w:r w:rsidR="00550A62" w:rsidRPr="00B90432">
        <w:rPr>
          <w:rFonts w:asciiTheme="minorHAnsi" w:hAnsiTheme="minorHAnsi"/>
        </w:rPr>
        <w:t xml:space="preserve">, the </w:t>
      </w:r>
      <w:r w:rsidR="00B76F27" w:rsidRPr="00B90432">
        <w:rPr>
          <w:rFonts w:asciiTheme="minorHAnsi" w:hAnsiTheme="minorHAnsi"/>
        </w:rPr>
        <w:t>organizational network, and development of healthcare services and strengthening of human resources.  The State similarly pointed out that after the crisis in the availability of medication in national hospitals, by December 2016 it was able to incrase the availability of medication and surgical equipment to above 80% in 25 hospitals, 70% in 15 hospitals, and between 50% and 60% in 4 hospitals.</w:t>
      </w:r>
      <w:r w:rsidR="00B76F27" w:rsidRPr="00B90432">
        <w:rPr>
          <w:rStyle w:val="FootnoteReference"/>
          <w:rFonts w:asciiTheme="minorHAnsi" w:hAnsiTheme="minorHAnsi"/>
          <w:sz w:val="22"/>
          <w:szCs w:val="22"/>
        </w:rPr>
        <w:footnoteReference w:id="69"/>
      </w:r>
    </w:p>
    <w:p w14:paraId="4B66E3D4" w14:textId="77777777" w:rsidR="00874DDF" w:rsidRDefault="004B7316" w:rsidP="006F4717">
      <w:pPr>
        <w:pStyle w:val="Numberedparagraphs"/>
        <w:rPr>
          <w:rFonts w:asciiTheme="minorHAnsi" w:hAnsiTheme="minorHAnsi"/>
        </w:rPr>
      </w:pPr>
      <w:r w:rsidRPr="00B90432">
        <w:rPr>
          <w:rFonts w:asciiTheme="minorHAnsi" w:hAnsiTheme="minorHAnsi"/>
        </w:rPr>
        <w:t>It is in this context of persistent poverty, inequality and exclusion, chronic malnutrition in children, and low levels of education, against a backdrop of insufficient government revenue to meet the most pressing needs of the population through policies and programs, that the Inter-American Commission analyzes the situation of human rights in Guatemala in this report.</w:t>
      </w:r>
    </w:p>
    <w:p w14:paraId="5C61CBA7" w14:textId="77777777" w:rsidR="002B3D42" w:rsidRDefault="002B3D42" w:rsidP="002B3D42">
      <w:pPr>
        <w:pStyle w:val="Numberedparagraphs"/>
        <w:numPr>
          <w:ilvl w:val="0"/>
          <w:numId w:val="0"/>
        </w:numPr>
        <w:ind w:left="547" w:hanging="547"/>
        <w:rPr>
          <w:rFonts w:asciiTheme="minorHAnsi" w:hAnsiTheme="minorHAnsi"/>
        </w:rPr>
        <w:sectPr w:rsidR="002B3D42" w:rsidSect="00450424">
          <w:headerReference w:type="default" r:id="rId35"/>
          <w:footerReference w:type="default" r:id="rId36"/>
          <w:type w:val="oddPage"/>
          <w:pgSz w:w="10080" w:h="14400" w:code="13"/>
          <w:pgMar w:top="1152" w:right="1152" w:bottom="1152" w:left="1296" w:header="720" w:footer="720" w:gutter="0"/>
          <w:cols w:space="720"/>
          <w:docGrid w:linePitch="360"/>
        </w:sectPr>
      </w:pPr>
    </w:p>
    <w:p w14:paraId="48E6A318" w14:textId="687D8DC0" w:rsidR="002B3D42" w:rsidRPr="00257EAE" w:rsidRDefault="00257EAE" w:rsidP="00257EAE">
      <w:pPr>
        <w:pStyle w:val="Numberedparagraphs"/>
        <w:numPr>
          <w:ilvl w:val="0"/>
          <w:numId w:val="0"/>
        </w:numPr>
        <w:spacing w:after="0"/>
        <w:ind w:left="547" w:hanging="547"/>
        <w:jc w:val="center"/>
        <w:rPr>
          <w:rFonts w:asciiTheme="minorHAnsi" w:hAnsiTheme="minorHAnsi"/>
          <w:color w:val="808080" w:themeColor="background1" w:themeShade="80"/>
          <w:sz w:val="44"/>
          <w:szCs w:val="44"/>
        </w:rPr>
      </w:pPr>
      <w:r w:rsidRPr="00257EAE">
        <w:rPr>
          <w:rFonts w:asciiTheme="minorHAnsi" w:hAnsiTheme="minorHAnsi"/>
          <w:color w:val="808080" w:themeColor="background1" w:themeShade="80"/>
          <w:sz w:val="44"/>
          <w:szCs w:val="44"/>
        </w:rPr>
        <w:lastRenderedPageBreak/>
        <w:t>CHAPTER 2</w:t>
      </w:r>
    </w:p>
    <w:p w14:paraId="2AA3C9B2" w14:textId="33B3E1A8" w:rsidR="00257EAE" w:rsidRPr="009D7FDE" w:rsidRDefault="00257EAE" w:rsidP="00257EAE">
      <w:pPr>
        <w:pStyle w:val="Title"/>
        <w:rPr>
          <w:lang w:val="en-US"/>
        </w:rPr>
        <w:sectPr w:rsidR="00257EAE" w:rsidRPr="009D7FDE" w:rsidSect="00257EAE">
          <w:headerReference w:type="default" r:id="rId37"/>
          <w:footerReference w:type="default" r:id="rId38"/>
          <w:type w:val="oddPage"/>
          <w:pgSz w:w="10080" w:h="14400" w:code="13"/>
          <w:pgMar w:top="1152" w:right="1152" w:bottom="1152" w:left="1296" w:header="720" w:footer="720" w:gutter="0"/>
          <w:cols w:space="720"/>
          <w:vAlign w:val="center"/>
          <w:docGrid w:linePitch="360"/>
        </w:sectPr>
      </w:pPr>
      <w:bookmarkStart w:id="24" w:name="_Toc509827630"/>
      <w:r w:rsidRPr="009D7FDE">
        <w:rPr>
          <w:lang w:val="en-US"/>
        </w:rPr>
        <w:t>ADMINISTRATION OF JUSTICE</w:t>
      </w:r>
      <w:bookmarkEnd w:id="24"/>
    </w:p>
    <w:p w14:paraId="453F2B0F" w14:textId="77777777" w:rsidR="00787D5D" w:rsidRPr="00257EAE" w:rsidRDefault="00102B29" w:rsidP="003D17BA">
      <w:pPr>
        <w:pStyle w:val="Heading1"/>
        <w:rPr>
          <w:lang w:val="en-US"/>
        </w:rPr>
      </w:pPr>
      <w:bookmarkStart w:id="25" w:name="_Toc509827631"/>
      <w:r w:rsidRPr="00257EAE">
        <w:rPr>
          <w:lang w:val="en-US"/>
        </w:rPr>
        <w:lastRenderedPageBreak/>
        <w:t>ADMINISTRATION OF JUSTICE</w:t>
      </w:r>
      <w:bookmarkEnd w:id="25"/>
    </w:p>
    <w:p w14:paraId="2363BFA2" w14:textId="77777777" w:rsidR="00F15D0D" w:rsidRPr="00B90432" w:rsidRDefault="003D314F" w:rsidP="006F4717">
      <w:pPr>
        <w:pStyle w:val="Numberedparagraphs"/>
        <w:rPr>
          <w:rFonts w:asciiTheme="minorHAnsi" w:hAnsiTheme="minorHAnsi"/>
        </w:rPr>
      </w:pPr>
      <w:r w:rsidRPr="00B90432">
        <w:rPr>
          <w:rFonts w:asciiTheme="minorHAnsi" w:hAnsiTheme="minorHAnsi"/>
        </w:rPr>
        <w:t xml:space="preserve">Administration of justice is one of the main challenges facing the Guatemalan State, given its crosscutting effect on the enjoyment of all other human rights </w:t>
      </w:r>
      <w:r w:rsidR="005B0680" w:rsidRPr="00B90432">
        <w:rPr>
          <w:rFonts w:asciiTheme="minorHAnsi" w:hAnsiTheme="minorHAnsi"/>
        </w:rPr>
        <w:t>that</w:t>
      </w:r>
      <w:r w:rsidRPr="00B90432">
        <w:rPr>
          <w:rFonts w:asciiTheme="minorHAnsi" w:hAnsiTheme="minorHAnsi"/>
        </w:rPr>
        <w:t xml:space="preserve"> the State is </w:t>
      </w:r>
      <w:r w:rsidR="005B0680" w:rsidRPr="00B90432">
        <w:rPr>
          <w:rFonts w:asciiTheme="minorHAnsi" w:hAnsiTheme="minorHAnsi"/>
        </w:rPr>
        <w:t>called on</w:t>
      </w:r>
      <w:r w:rsidRPr="00B90432">
        <w:rPr>
          <w:rFonts w:asciiTheme="minorHAnsi" w:hAnsiTheme="minorHAnsi"/>
        </w:rPr>
        <w:t xml:space="preserve"> to protect. An efficient and effective justice administration is also critical for combating impunity. </w:t>
      </w:r>
    </w:p>
    <w:p w14:paraId="44BB73E1" w14:textId="77777777" w:rsidR="003D314F" w:rsidRPr="00B90432" w:rsidRDefault="00A01CDF" w:rsidP="006F4717">
      <w:pPr>
        <w:pStyle w:val="Numberedparagraphs"/>
        <w:rPr>
          <w:rFonts w:asciiTheme="minorHAnsi" w:hAnsiTheme="minorHAnsi"/>
        </w:rPr>
      </w:pPr>
      <w:r w:rsidRPr="00B90432">
        <w:rPr>
          <w:rFonts w:asciiTheme="minorHAnsi" w:hAnsiTheme="minorHAnsi"/>
        </w:rPr>
        <w:t>Through its various mechanisms, the Commission has received extensive information about the challenges that Guatemala faces in the area of administration of justice. They range from reparations to victims of the internal armed conflict and their next of kin to the fight against corruption and impunity in the present, as well as the high levels of violence that afflict the country. The Commission has also received information about efforts made to ensure full access to justice and has heard from the State about significant strides in that regard and about challenges that persist. This chapter provides a summary of those challenges and that progress as well as outlining the differentiated effect of lack of access to justice on different sectors of the population that require attention.</w:t>
      </w:r>
    </w:p>
    <w:p w14:paraId="66596A42" w14:textId="77777777" w:rsidR="00787D5D" w:rsidRPr="00B90432" w:rsidRDefault="006F52B4" w:rsidP="0085755A">
      <w:pPr>
        <w:pStyle w:val="Heading2"/>
        <w:numPr>
          <w:ilvl w:val="0"/>
          <w:numId w:val="6"/>
        </w:numPr>
        <w:ind w:left="540" w:hanging="540"/>
      </w:pPr>
      <w:bookmarkStart w:id="26" w:name="_Toc509827632"/>
      <w:r w:rsidRPr="00B90432">
        <w:t>Access to justice and impunity</w:t>
      </w:r>
      <w:bookmarkEnd w:id="26"/>
    </w:p>
    <w:p w14:paraId="0F4E58EB" w14:textId="77777777" w:rsidR="00F15D0D" w:rsidRPr="00B90432" w:rsidRDefault="006F52B4" w:rsidP="006F4717">
      <w:pPr>
        <w:pStyle w:val="Numberedparagraphs"/>
        <w:rPr>
          <w:rFonts w:asciiTheme="minorHAnsi" w:hAnsiTheme="minorHAnsi"/>
        </w:rPr>
      </w:pPr>
      <w:r w:rsidRPr="00B90432">
        <w:rPr>
          <w:rFonts w:asciiTheme="minorHAnsi" w:hAnsiTheme="minorHAnsi"/>
        </w:rPr>
        <w:t xml:space="preserve">Access to justice has long been a priority issue for the IACHR. The IACHR has seen the problems associated with impunity arising </w:t>
      </w:r>
      <w:r w:rsidRPr="00B90432">
        <w:rPr>
          <w:rFonts w:asciiTheme="minorHAnsi" w:hAnsiTheme="minorHAnsi"/>
          <w:color w:val="000000"/>
          <w:shd w:val="clear" w:color="auto" w:fill="FFFFFF"/>
        </w:rPr>
        <w:t>from the State's inability to provide an adequate and efficient justice administration system or independent and impartial justice</w:t>
      </w:r>
      <w:r w:rsidRPr="00B90432">
        <w:rPr>
          <w:rStyle w:val="FootnoteReference"/>
          <w:rFonts w:asciiTheme="minorHAnsi" w:hAnsiTheme="minorHAnsi"/>
          <w:color w:val="000000"/>
          <w:sz w:val="22"/>
          <w:szCs w:val="22"/>
          <w:shd w:val="clear" w:color="auto" w:fill="FFFFFF"/>
        </w:rPr>
        <w:footnoteReference w:id="70"/>
      </w:r>
      <w:r w:rsidRPr="00B90432">
        <w:rPr>
          <w:rFonts w:asciiTheme="minorHAnsi" w:hAnsiTheme="minorHAnsi"/>
          <w:color w:val="000000"/>
          <w:shd w:val="clear" w:color="auto" w:fill="FFFFFF"/>
        </w:rPr>
        <w:t>.</w:t>
      </w:r>
      <w:r w:rsidRPr="00B90432">
        <w:rPr>
          <w:rFonts w:asciiTheme="minorHAnsi" w:hAnsiTheme="minorHAnsi"/>
        </w:rPr>
        <w:t xml:space="preserve"> </w:t>
      </w:r>
      <w:r w:rsidRPr="00B90432">
        <w:rPr>
          <w:rFonts w:asciiTheme="minorHAnsi" w:hAnsiTheme="minorHAnsi"/>
          <w:color w:val="000000"/>
        </w:rPr>
        <w:t>According to the latest available information, the impunity rate for the crime of homicide in recent years has hovered between 99.1 percent and 98.4 percent</w:t>
      </w:r>
      <w:r w:rsidRPr="00B90432">
        <w:rPr>
          <w:rFonts w:asciiTheme="minorHAnsi" w:hAnsiTheme="minorHAnsi"/>
          <w:color w:val="000000"/>
          <w:vertAlign w:val="superscript"/>
        </w:rPr>
        <w:footnoteReference w:id="71"/>
      </w:r>
      <w:r w:rsidRPr="00B90432">
        <w:rPr>
          <w:rFonts w:asciiTheme="minorHAnsi" w:hAnsiTheme="minorHAnsi"/>
          <w:color w:val="000000"/>
        </w:rPr>
        <w:t xml:space="preserve">. </w:t>
      </w:r>
    </w:p>
    <w:p w14:paraId="4BB5FB46" w14:textId="77777777" w:rsidR="00F15D0D" w:rsidRPr="00B90432" w:rsidRDefault="0076493C" w:rsidP="006F4717">
      <w:pPr>
        <w:pStyle w:val="Numberedparagraphs"/>
        <w:rPr>
          <w:rFonts w:asciiTheme="minorHAnsi" w:hAnsiTheme="minorHAnsi"/>
        </w:rPr>
      </w:pPr>
      <w:r w:rsidRPr="00B90432">
        <w:rPr>
          <w:rFonts w:asciiTheme="minorHAnsi" w:hAnsiTheme="minorHAnsi"/>
          <w:color w:val="000000"/>
        </w:rPr>
        <w:t xml:space="preserve">In that regard, most of the incidents that occurred during the armed conflict (1960 to 1996) have gone unpunished. </w:t>
      </w:r>
      <w:r w:rsidRPr="00B90432">
        <w:rPr>
          <w:rFonts w:asciiTheme="minorHAnsi" w:hAnsiTheme="minorHAnsi"/>
        </w:rPr>
        <w:t xml:space="preserve">The Commission noted in </w:t>
      </w:r>
      <w:r w:rsidRPr="00B90432">
        <w:rPr>
          <w:rFonts w:asciiTheme="minorHAnsi" w:hAnsiTheme="minorHAnsi"/>
        </w:rPr>
        <w:lastRenderedPageBreak/>
        <w:t>its 2015 country report that the failure of justice to effectively respond to crimes perpetrated in Guatemala both in the past and the present tend to establish a situation of structural impunity.</w:t>
      </w:r>
      <w:r w:rsidRPr="00B90432">
        <w:rPr>
          <w:rStyle w:val="FootnoteReference"/>
          <w:rFonts w:asciiTheme="minorHAnsi" w:hAnsiTheme="minorHAnsi"/>
          <w:sz w:val="22"/>
          <w:szCs w:val="22"/>
        </w:rPr>
        <w:footnoteReference w:id="72"/>
      </w:r>
      <w:r w:rsidR="0041113C" w:rsidRPr="00B90432">
        <w:rPr>
          <w:rFonts w:asciiTheme="minorHAnsi" w:hAnsiTheme="minorHAnsi"/>
        </w:rPr>
        <w:t xml:space="preserve"> </w:t>
      </w:r>
      <w:r w:rsidRPr="00B90432">
        <w:rPr>
          <w:rFonts w:asciiTheme="minorHAnsi" w:hAnsiTheme="minorHAnsi"/>
          <w:color w:val="000000"/>
        </w:rPr>
        <w:t xml:space="preserve">According to the latest information from the Public Prosecution Service </w:t>
      </w:r>
      <w:r w:rsidRPr="00B90432">
        <w:rPr>
          <w:rFonts w:asciiTheme="minorHAnsi" w:hAnsiTheme="minorHAnsi"/>
          <w:i/>
          <w:iCs/>
          <w:color w:val="000000"/>
        </w:rPr>
        <w:t>(Ministerio Público)</w:t>
      </w:r>
      <w:r w:rsidRPr="00B90432">
        <w:rPr>
          <w:rFonts w:asciiTheme="minorHAnsi" w:hAnsiTheme="minorHAnsi"/>
          <w:color w:val="000000"/>
        </w:rPr>
        <w:t xml:space="preserve">, as of April 2017 there was a government backlog </w:t>
      </w:r>
      <w:r w:rsidRPr="00B90432">
        <w:rPr>
          <w:rFonts w:asciiTheme="minorHAnsi" w:hAnsiTheme="minorHAnsi"/>
          <w:i/>
          <w:iCs/>
          <w:color w:val="000000"/>
        </w:rPr>
        <w:t>(mora fiscal)</w:t>
      </w:r>
      <w:r w:rsidRPr="00B90432">
        <w:rPr>
          <w:rFonts w:asciiTheme="minorHAnsi" w:hAnsiTheme="minorHAnsi"/>
          <w:color w:val="000000"/>
        </w:rPr>
        <w:t xml:space="preserve"> in around 617,640 criminal cases.</w:t>
      </w:r>
      <w:r w:rsidRPr="00B90432">
        <w:rPr>
          <w:rStyle w:val="FootnoteReference"/>
          <w:rFonts w:asciiTheme="minorHAnsi" w:hAnsiTheme="minorHAnsi"/>
          <w:color w:val="000000"/>
          <w:sz w:val="22"/>
          <w:szCs w:val="22"/>
        </w:rPr>
        <w:footnoteReference w:id="73"/>
      </w:r>
    </w:p>
    <w:p w14:paraId="1F758659" w14:textId="77777777" w:rsidR="00171AD9" w:rsidRPr="00B90432" w:rsidRDefault="0076493C" w:rsidP="006F4717">
      <w:pPr>
        <w:pStyle w:val="Numberedparagraphs"/>
        <w:rPr>
          <w:rFonts w:asciiTheme="minorHAnsi" w:hAnsiTheme="minorHAnsi"/>
        </w:rPr>
      </w:pPr>
      <w:r w:rsidRPr="00B90432">
        <w:rPr>
          <w:rFonts w:asciiTheme="minorHAnsi" w:hAnsiTheme="minorHAnsi"/>
        </w:rPr>
        <w:t>Indeed, impunity is one of the crosscutting problems affecting administration of justice and an obstacle for strengthening the rule of law in several States in the region, including Guatemala.</w:t>
      </w:r>
      <w:r w:rsidRPr="00B90432">
        <w:rPr>
          <w:rFonts w:asciiTheme="minorHAnsi" w:hAnsiTheme="minorHAnsi"/>
          <w:vertAlign w:val="superscript"/>
        </w:rPr>
        <w:footnoteReference w:id="74"/>
      </w:r>
      <w:r w:rsidRPr="00B90432">
        <w:rPr>
          <w:rFonts w:asciiTheme="minorHAnsi" w:hAnsiTheme="minorHAnsi"/>
        </w:rPr>
        <w:t xml:space="preserve"> On many occasions, both the Inter-American Commission and Court have urged the State of Guatemala to adopt measures to remove the barriers that have created a situation of impunity.</w:t>
      </w:r>
      <w:r w:rsidRPr="00B90432">
        <w:rPr>
          <w:rStyle w:val="FootnoteReference"/>
          <w:rFonts w:asciiTheme="minorHAnsi" w:hAnsiTheme="minorHAnsi"/>
          <w:sz w:val="22"/>
          <w:szCs w:val="22"/>
        </w:rPr>
        <w:footnoteReference w:id="75"/>
      </w:r>
      <w:r w:rsidRPr="00B90432">
        <w:rPr>
          <w:rFonts w:asciiTheme="minorHAnsi" w:hAnsiTheme="minorHAnsi"/>
        </w:rPr>
        <w:t xml:space="preserve"> </w:t>
      </w:r>
    </w:p>
    <w:p w14:paraId="7AAFB69B" w14:textId="77777777" w:rsidR="00F15D0D" w:rsidRPr="00B90432" w:rsidRDefault="00F15D0D" w:rsidP="006F4717">
      <w:pPr>
        <w:pStyle w:val="Numberedparagraphs"/>
        <w:rPr>
          <w:rFonts w:asciiTheme="minorHAnsi" w:hAnsiTheme="minorHAnsi"/>
        </w:rPr>
      </w:pPr>
      <w:r w:rsidRPr="00B90432">
        <w:rPr>
          <w:rFonts w:asciiTheme="minorHAnsi" w:hAnsiTheme="minorHAnsi"/>
        </w:rPr>
        <w:t>In that regard, the Commission notes that in recent years the Guatemalan State has made progress in combating impunity, thanks to the efforts of the International Commission against Impunity in Guatemala (CICIG),</w:t>
      </w:r>
      <w:r w:rsidRPr="00B90432">
        <w:rPr>
          <w:rStyle w:val="FootnoteReference"/>
          <w:rFonts w:asciiTheme="minorHAnsi" w:hAnsiTheme="minorHAnsi"/>
          <w:sz w:val="22"/>
          <w:szCs w:val="22"/>
        </w:rPr>
        <w:footnoteReference w:id="76"/>
      </w:r>
      <w:r w:rsidRPr="00B90432">
        <w:rPr>
          <w:rFonts w:asciiTheme="minorHAnsi" w:hAnsiTheme="minorHAnsi"/>
        </w:rPr>
        <w:t xml:space="preserve"> which, </w:t>
      </w:r>
      <w:r w:rsidRPr="00B90432">
        <w:rPr>
          <w:rFonts w:asciiTheme="minorHAnsi" w:hAnsiTheme="minorHAnsi"/>
        </w:rPr>
        <w:lastRenderedPageBreak/>
        <w:t xml:space="preserve">together with the Public Prosecution Service, has played a key role in the fight against corruption and impunity in the country. The contribution of CICIG has been significant, both in terms of its investigative work and its support in the areas of training and promotion of legal reforms aimed at making the justice system more effective. Notable investigations and proceedings that can be cited as examples include the </w:t>
      </w:r>
      <w:r w:rsidRPr="00B90432">
        <w:rPr>
          <w:rFonts w:asciiTheme="minorHAnsi" w:hAnsiTheme="minorHAnsi"/>
          <w:i/>
          <w:iCs/>
        </w:rPr>
        <w:t>La Línea</w:t>
      </w:r>
      <w:r w:rsidRPr="00B90432">
        <w:rPr>
          <w:rFonts w:asciiTheme="minorHAnsi" w:hAnsiTheme="minorHAnsi"/>
        </w:rPr>
        <w:t xml:space="preserve"> and State Co-option cases, as well as the case of the Mazatenango journalists Danilo López and Federico Salazar.</w:t>
      </w:r>
      <w:r w:rsidRPr="00B90432">
        <w:rPr>
          <w:rStyle w:val="FootnoteReference"/>
          <w:rFonts w:asciiTheme="minorHAnsi" w:hAnsiTheme="minorHAnsi"/>
          <w:sz w:val="22"/>
          <w:szCs w:val="22"/>
        </w:rPr>
        <w:footnoteReference w:id="77"/>
      </w:r>
      <w:r w:rsidRPr="00B90432">
        <w:rPr>
          <w:rFonts w:asciiTheme="minorHAnsi" w:hAnsiTheme="minorHAnsi"/>
        </w:rPr>
        <w:t xml:space="preserve"> </w:t>
      </w:r>
      <w:r w:rsidRPr="00B90432">
        <w:rPr>
          <w:rFonts w:asciiTheme="minorHAnsi" w:hAnsiTheme="minorHAnsi"/>
          <w:i/>
          <w:iCs/>
        </w:rPr>
        <w:t>La Línea</w:t>
      </w:r>
      <w:r w:rsidRPr="00B90432">
        <w:rPr>
          <w:rFonts w:asciiTheme="minorHAnsi" w:hAnsiTheme="minorHAnsi"/>
        </w:rPr>
        <w:t>, one of the cases with the most far-reaching repercussions in the history of CICIG, involved a customs fraud and bribery network that operated at the very highest levels of the State and resulted in the resignation of the then-president, Otto Pérez Molina, and his vice president, Roxana Baldetti, both of whom are currently under criminal prosecution.</w:t>
      </w:r>
      <w:r w:rsidRPr="00B90432">
        <w:rPr>
          <w:rStyle w:val="FootnoteReference"/>
          <w:rFonts w:asciiTheme="minorHAnsi" w:hAnsiTheme="minorHAnsi"/>
          <w:sz w:val="22"/>
          <w:szCs w:val="22"/>
        </w:rPr>
        <w:footnoteReference w:id="78"/>
      </w:r>
      <w:r w:rsidRPr="00B90432">
        <w:rPr>
          <w:rFonts w:asciiTheme="minorHAnsi" w:hAnsiTheme="minorHAnsi"/>
        </w:rPr>
        <w:t xml:space="preserve"> </w:t>
      </w:r>
    </w:p>
    <w:p w14:paraId="41FD53F1" w14:textId="77777777" w:rsidR="002E78E9" w:rsidRPr="00B90432" w:rsidRDefault="00645184" w:rsidP="006F4717">
      <w:pPr>
        <w:pStyle w:val="Numberedparagraphs"/>
        <w:rPr>
          <w:rFonts w:asciiTheme="minorHAnsi" w:hAnsiTheme="minorHAnsi"/>
        </w:rPr>
      </w:pPr>
      <w:r w:rsidRPr="00B90432">
        <w:rPr>
          <w:rFonts w:asciiTheme="minorHAnsi" w:hAnsiTheme="minorHAnsi"/>
        </w:rPr>
        <w:t>The cooperation between CICIG and the Public Prosecution Service has allowed the identification of justice operators suspected of belonging to corruption networks and organizations that generate impunity; identification and prosecution of members of criminal organizations responsible for the widespread murder of individuals who undermined or obst</w:t>
      </w:r>
      <w:r w:rsidR="003F1CED" w:rsidRPr="00B90432">
        <w:rPr>
          <w:rFonts w:asciiTheme="minorHAnsi" w:hAnsiTheme="minorHAnsi"/>
        </w:rPr>
        <w:t>ructed their criminal interests</w:t>
      </w:r>
      <w:r w:rsidRPr="00B90432">
        <w:rPr>
          <w:rFonts w:asciiTheme="minorHAnsi" w:hAnsiTheme="minorHAnsi"/>
        </w:rPr>
        <w:t>; dismantling to a large extent of criminal organizations that from within the State, such as the prison system and the police, engage in criminal conduct and terrorize defenseless populations, as well as helping to consolidate intricate networks of corruption in the State.</w:t>
      </w:r>
      <w:r w:rsidRPr="00B90432">
        <w:rPr>
          <w:rStyle w:val="FootnoteReference"/>
          <w:rFonts w:asciiTheme="minorHAnsi" w:hAnsiTheme="minorHAnsi"/>
          <w:sz w:val="22"/>
          <w:szCs w:val="22"/>
        </w:rPr>
        <w:footnoteReference w:id="79"/>
      </w:r>
    </w:p>
    <w:p w14:paraId="2E8A134D" w14:textId="77777777" w:rsidR="00DE4B64" w:rsidRPr="00B90432" w:rsidRDefault="00DF71D5" w:rsidP="006F4717">
      <w:pPr>
        <w:pStyle w:val="Numberedparagraphs"/>
        <w:rPr>
          <w:rFonts w:asciiTheme="minorHAnsi" w:hAnsiTheme="minorHAnsi"/>
        </w:rPr>
      </w:pPr>
      <w:r w:rsidRPr="00B90432">
        <w:rPr>
          <w:rFonts w:asciiTheme="minorHAnsi" w:hAnsiTheme="minorHAnsi"/>
        </w:rPr>
        <w:t xml:space="preserve">This progress in fight against corruption and impunity has come amid reports of pressure, even at the very highest levels of the State, against the head of CICIG, Iván Velásquez, and the Attorney General, Thelma Aldana. In that regard, both the IACHR and the Office of the High Commissioner for Human Rights have expressed their support for the work of CICIG and the </w:t>
      </w:r>
      <w:r w:rsidRPr="00B90432">
        <w:rPr>
          <w:rFonts w:asciiTheme="minorHAnsi" w:hAnsiTheme="minorHAnsi"/>
        </w:rPr>
        <w:lastRenderedPageBreak/>
        <w:t>Public Prosecution Service.</w:t>
      </w:r>
      <w:r w:rsidRPr="00B90432">
        <w:rPr>
          <w:rStyle w:val="FootnoteReference"/>
          <w:rFonts w:asciiTheme="minorHAnsi" w:hAnsiTheme="minorHAnsi"/>
          <w:sz w:val="22"/>
          <w:szCs w:val="22"/>
        </w:rPr>
        <w:footnoteReference w:id="80"/>
      </w:r>
      <w:r w:rsidRPr="00B90432">
        <w:rPr>
          <w:rFonts w:asciiTheme="minorHAnsi" w:hAnsiTheme="minorHAnsi"/>
        </w:rPr>
        <w:t xml:space="preserve"> The Commission considers that, as has already been stated, the independence of an agency like CICIG should be insulated from undue interference in order to preserve the democratic rule of law in Guatemala.</w:t>
      </w:r>
      <w:r w:rsidRPr="00B90432">
        <w:rPr>
          <w:rStyle w:val="FootnoteReference"/>
          <w:rFonts w:asciiTheme="minorHAnsi" w:hAnsiTheme="minorHAnsi"/>
          <w:sz w:val="22"/>
          <w:szCs w:val="22"/>
        </w:rPr>
        <w:footnoteReference w:id="81"/>
      </w:r>
      <w:r w:rsidRPr="00B90432">
        <w:rPr>
          <w:rFonts w:asciiTheme="minorHAnsi" w:hAnsiTheme="minorHAnsi"/>
        </w:rPr>
        <w:t xml:space="preserve"> </w:t>
      </w:r>
    </w:p>
    <w:p w14:paraId="02134725" w14:textId="77777777" w:rsidR="006D47A5" w:rsidRPr="00B90432" w:rsidRDefault="006D47A5" w:rsidP="006F4717">
      <w:pPr>
        <w:pStyle w:val="Numberedparagraphs"/>
        <w:rPr>
          <w:rFonts w:asciiTheme="minorHAnsi" w:hAnsiTheme="minorHAnsi"/>
        </w:rPr>
      </w:pPr>
      <w:bookmarkStart w:id="27" w:name="_Ref367541802"/>
      <w:r w:rsidRPr="00B90432">
        <w:rPr>
          <w:rFonts w:asciiTheme="minorHAnsi" w:hAnsiTheme="minorHAnsi"/>
        </w:rPr>
        <w:t>The IACHR notes that following the visit, a number of events caused institutional instability in the country. On August 27, 2017, the President of the Republic, Jimmy Morales, declared Ivan Velasquez, the head of CICIG, persona non grata and ordered his immediate expulsion from the country.</w:t>
      </w:r>
      <w:r w:rsidRPr="00B90432">
        <w:rPr>
          <w:rStyle w:val="FootnoteReference"/>
          <w:rFonts w:asciiTheme="minorHAnsi" w:hAnsiTheme="minorHAnsi"/>
          <w:sz w:val="22"/>
          <w:szCs w:val="22"/>
        </w:rPr>
        <w:footnoteReference w:id="82"/>
      </w:r>
      <w:r w:rsidRPr="00B90432">
        <w:rPr>
          <w:rFonts w:asciiTheme="minorHAnsi" w:hAnsiTheme="minorHAnsi"/>
        </w:rPr>
        <w:t xml:space="preserve"> The announcement came days after CICIG revealed a case of alleged corruption and suspected electoral finance irregularities that involved senior government officials, including the president.</w:t>
      </w:r>
      <w:r w:rsidRPr="00B90432">
        <w:rPr>
          <w:rStyle w:val="FootnoteReference"/>
          <w:rFonts w:asciiTheme="minorHAnsi" w:hAnsiTheme="minorHAnsi"/>
          <w:sz w:val="22"/>
          <w:szCs w:val="22"/>
        </w:rPr>
        <w:footnoteReference w:id="83"/>
      </w:r>
      <w:bookmarkEnd w:id="27"/>
    </w:p>
    <w:p w14:paraId="389D0592" w14:textId="77777777" w:rsidR="006D47A5" w:rsidRPr="00B90432" w:rsidRDefault="006D47A5" w:rsidP="006F4717">
      <w:pPr>
        <w:pStyle w:val="Numberedparagraphs"/>
        <w:rPr>
          <w:rFonts w:asciiTheme="minorHAnsi" w:hAnsiTheme="minorHAnsi"/>
        </w:rPr>
      </w:pPr>
      <w:r w:rsidRPr="00B90432">
        <w:rPr>
          <w:rFonts w:asciiTheme="minorHAnsi" w:hAnsiTheme="minorHAnsi"/>
        </w:rPr>
        <w:t>The Secretary-General of the United Nations issued a statement expressing shock at the decision of the president to expel Commissioner Velasquez from the country.</w:t>
      </w:r>
      <w:r w:rsidRPr="00B90432">
        <w:rPr>
          <w:rStyle w:val="FootnoteReference"/>
          <w:rFonts w:asciiTheme="minorHAnsi" w:hAnsiTheme="minorHAnsi"/>
          <w:sz w:val="22"/>
          <w:szCs w:val="22"/>
        </w:rPr>
        <w:footnoteReference w:id="84"/>
      </w:r>
      <w:r w:rsidRPr="00B90432">
        <w:rPr>
          <w:rFonts w:asciiTheme="minorHAnsi" w:hAnsiTheme="minorHAnsi"/>
        </w:rPr>
        <w:t xml:space="preserve"> On August 29, 2017, the Constitutional Court of Guatemala granted the application for permanent relief (</w:t>
      </w:r>
      <w:r w:rsidRPr="00B90432">
        <w:rPr>
          <w:rFonts w:asciiTheme="minorHAnsi" w:hAnsiTheme="minorHAnsi"/>
          <w:i/>
          <w:iCs/>
        </w:rPr>
        <w:t>amparo definitivo</w:t>
      </w:r>
      <w:r w:rsidRPr="00B90432">
        <w:rPr>
          <w:rFonts w:asciiTheme="minorHAnsi" w:hAnsiTheme="minorHAnsi"/>
        </w:rPr>
        <w:t>) filed by the Human Rights Ombudsman on the half of Commissioner Iván Velásquez, nullifying the president's decision.</w:t>
      </w:r>
      <w:r w:rsidRPr="00B90432">
        <w:rPr>
          <w:rStyle w:val="FootnoteReference"/>
          <w:rFonts w:asciiTheme="minorHAnsi" w:hAnsiTheme="minorHAnsi"/>
          <w:sz w:val="22"/>
          <w:szCs w:val="22"/>
        </w:rPr>
        <w:footnoteReference w:id="85"/>
      </w:r>
      <w:r w:rsidRPr="00B90432">
        <w:rPr>
          <w:rFonts w:asciiTheme="minorHAnsi" w:hAnsiTheme="minorHAnsi"/>
        </w:rPr>
        <w:t xml:space="preserve"> Days later, the Supreme Court of Justice of Guatemala admitted a request to begin impeachment proceedings against the President of the Republic. On September 11, 2017, the Congress of the Republic voted against stripping the President of his immunity, thus forestalling the possibility of investigating the corruption allegations made by CICIG. On September 21, the Congress re-examined the question of the impeachment of President Morales, and again voted not to lift his immunity.</w:t>
      </w:r>
      <w:r w:rsidRPr="00B90432">
        <w:rPr>
          <w:rStyle w:val="FootnoteReference"/>
          <w:rFonts w:asciiTheme="minorHAnsi" w:hAnsiTheme="minorHAnsi"/>
          <w:sz w:val="22"/>
          <w:szCs w:val="22"/>
        </w:rPr>
        <w:footnoteReference w:id="86"/>
      </w:r>
    </w:p>
    <w:p w14:paraId="7AEB958B" w14:textId="77777777" w:rsidR="006D47A5" w:rsidRPr="00B90432" w:rsidRDefault="006D47A5" w:rsidP="006F4717">
      <w:pPr>
        <w:pStyle w:val="Numberedparagraphs"/>
        <w:rPr>
          <w:rFonts w:asciiTheme="minorHAnsi" w:hAnsiTheme="minorHAnsi"/>
        </w:rPr>
      </w:pPr>
      <w:r w:rsidRPr="00B90432">
        <w:rPr>
          <w:rFonts w:asciiTheme="minorHAnsi" w:hAnsiTheme="minorHAnsi"/>
        </w:rPr>
        <w:lastRenderedPageBreak/>
        <w:t>During this period of institutional and political instability the president dismissed the minister of foreign affairs. In addition, the ministers of the interior, health, public finance, and labor and social security,</w:t>
      </w:r>
      <w:r w:rsidRPr="00B90432">
        <w:rPr>
          <w:rStyle w:val="FootnoteReference"/>
          <w:rFonts w:asciiTheme="minorHAnsi" w:hAnsiTheme="minorHAnsi"/>
          <w:sz w:val="22"/>
          <w:szCs w:val="22"/>
        </w:rPr>
        <w:footnoteReference w:id="87"/>
      </w:r>
      <w:r w:rsidRPr="00B90432">
        <w:rPr>
          <w:rFonts w:asciiTheme="minorHAnsi" w:hAnsiTheme="minorHAnsi"/>
        </w:rPr>
        <w:t xml:space="preserve"> as well as several vice ministers and the Chair of the Presidential Commission for Human Rights (COPREDEH) resigned.</w:t>
      </w:r>
      <w:r w:rsidRPr="00B90432">
        <w:rPr>
          <w:rStyle w:val="FootnoteReference"/>
          <w:rFonts w:asciiTheme="minorHAnsi" w:hAnsiTheme="minorHAnsi"/>
          <w:sz w:val="22"/>
          <w:szCs w:val="22"/>
        </w:rPr>
        <w:footnoteReference w:id="88"/>
      </w:r>
      <w:r w:rsidRPr="00B90432">
        <w:rPr>
          <w:rFonts w:asciiTheme="minorHAnsi" w:hAnsiTheme="minorHAnsi"/>
        </w:rPr>
        <w:t xml:space="preserve"> According to widely available information, the president refused to accept the resignations of the ministers of the interior, public finance, and labor and social security.</w:t>
      </w:r>
      <w:r w:rsidRPr="00B90432">
        <w:rPr>
          <w:rStyle w:val="FootnoteReference"/>
          <w:rFonts w:asciiTheme="minorHAnsi" w:hAnsiTheme="minorHAnsi"/>
          <w:sz w:val="22"/>
          <w:szCs w:val="22"/>
        </w:rPr>
        <w:footnoteReference w:id="89"/>
      </w:r>
      <w:r w:rsidRPr="00B90432">
        <w:rPr>
          <w:rFonts w:asciiTheme="minorHAnsi" w:hAnsiTheme="minorHAnsi"/>
        </w:rPr>
        <w:t xml:space="preserve"> As for the citizenry, there were mass public protests demonstrations against corruption and impunity, including a national strike on September 20, 2017. </w:t>
      </w:r>
    </w:p>
    <w:p w14:paraId="3AD4EEBB" w14:textId="77777777" w:rsidR="006D47A5" w:rsidRPr="00B90432" w:rsidRDefault="006D47A5" w:rsidP="006F4717">
      <w:pPr>
        <w:pStyle w:val="Numberedparagraphs"/>
        <w:rPr>
          <w:rFonts w:asciiTheme="minorHAnsi" w:hAnsiTheme="minorHAnsi"/>
        </w:rPr>
      </w:pPr>
      <w:r w:rsidRPr="00B90432">
        <w:rPr>
          <w:rFonts w:asciiTheme="minorHAnsi" w:hAnsiTheme="minorHAnsi"/>
        </w:rPr>
        <w:t>On August 29, the Commission decided to request the Guatemalan State to adopt precautionary measures on behalf of Judge Gloria Patricia Porras Escobar and her immediate family as it considered that she was in a situation of risk because of her work as a justice on the Constitutional Court in Guatemala.</w:t>
      </w:r>
      <w:r w:rsidRPr="00B90432">
        <w:rPr>
          <w:rFonts w:asciiTheme="minorHAnsi" w:hAnsiTheme="minorHAnsi"/>
          <w:vertAlign w:val="superscript"/>
        </w:rPr>
        <w:footnoteReference w:id="90"/>
      </w:r>
      <w:r w:rsidRPr="00B90432">
        <w:rPr>
          <w:rFonts w:asciiTheme="minorHAnsi" w:hAnsiTheme="minorHAnsi"/>
        </w:rPr>
        <w:t xml:space="preserve"> Internally, a number of organizations presented motions for impeachment against the president for official disobedience, while another organization presented a motion for impeachment against the justices that granted the application for </w:t>
      </w:r>
      <w:r w:rsidRPr="00B90432">
        <w:rPr>
          <w:rFonts w:asciiTheme="minorHAnsi" w:hAnsiTheme="minorHAnsi"/>
          <w:i/>
          <w:iCs/>
        </w:rPr>
        <w:t xml:space="preserve">amparo </w:t>
      </w:r>
      <w:r w:rsidRPr="00B90432">
        <w:rPr>
          <w:rFonts w:asciiTheme="minorHAnsi" w:hAnsiTheme="minorHAnsi"/>
        </w:rPr>
        <w:t>(constitutional relief) in favor of Commissioner Velasquez.</w:t>
      </w:r>
      <w:r w:rsidRPr="00B90432">
        <w:rPr>
          <w:rStyle w:val="FootnoteReference"/>
          <w:rFonts w:asciiTheme="minorHAnsi" w:hAnsiTheme="minorHAnsi"/>
          <w:sz w:val="22"/>
          <w:szCs w:val="22"/>
        </w:rPr>
        <w:footnoteReference w:id="91"/>
      </w:r>
    </w:p>
    <w:p w14:paraId="15D751E1" w14:textId="77777777" w:rsidR="008D7BC7" w:rsidRPr="00B90432" w:rsidRDefault="006D47A5" w:rsidP="006F4717">
      <w:pPr>
        <w:pStyle w:val="Numberedparagraphs"/>
        <w:rPr>
          <w:rFonts w:asciiTheme="minorHAnsi" w:hAnsiTheme="minorHAnsi"/>
        </w:rPr>
      </w:pPr>
      <w:r w:rsidRPr="00B90432">
        <w:rPr>
          <w:rFonts w:asciiTheme="minorHAnsi" w:hAnsiTheme="minorHAnsi"/>
        </w:rPr>
        <w:t xml:space="preserve">This serious situation prompted the IACHR to adopt a resolution on human rights and the fight against impunity and corruption in which it stated that “[i]mpunity fosters and perpetuates acts of corruption. Therefore, the establishment of effective mechanisms to eradicate corruption is an urgent obligation in order to achieve effective access to an independent and impartial justice and to guarantee human rights.” It also noted that “the consequences of corruption ... [affect] not only both the legitimacy of the governors and the rights of the persons governed, but also profoundly </w:t>
      </w:r>
      <w:r w:rsidRPr="00B90432">
        <w:rPr>
          <w:rFonts w:asciiTheme="minorHAnsi" w:hAnsiTheme="minorHAnsi"/>
        </w:rPr>
        <w:lastRenderedPageBreak/>
        <w:t>[affect] the national treasury, which is insufficient to meet the needs of citizens with regard to food, health, work, education, a dignified life, and justice.” It also said that “corruption, impunity, organized crime, intolerance, political violence, and social exclusion of various sectors, present a serious danger of regression in the effectiveness of the rule of law and restrict the full enjoyment of the human rights that the American Convention recognizes for everyone. The consequences are particularly grave for the persons, groups and collectives historically excluded, in particular those who live in [poverty and] extreme poverty in the country.”</w:t>
      </w:r>
      <w:r w:rsidRPr="00B90432">
        <w:rPr>
          <w:rStyle w:val="FootnoteReference"/>
          <w:rFonts w:asciiTheme="minorHAnsi" w:hAnsiTheme="minorHAnsi"/>
          <w:sz w:val="22"/>
          <w:szCs w:val="22"/>
        </w:rPr>
        <w:footnoteReference w:id="92"/>
      </w:r>
    </w:p>
    <w:p w14:paraId="006CE555" w14:textId="77777777" w:rsidR="00144210" w:rsidRPr="00B90432" w:rsidRDefault="00144210" w:rsidP="006F4717">
      <w:pPr>
        <w:pStyle w:val="Numberedparagraphs"/>
        <w:rPr>
          <w:rFonts w:asciiTheme="minorHAnsi" w:hAnsiTheme="minorHAnsi"/>
        </w:rPr>
      </w:pPr>
      <w:r w:rsidRPr="00B90432">
        <w:rPr>
          <w:rFonts w:asciiTheme="minorHAnsi" w:hAnsiTheme="minorHAnsi"/>
        </w:rPr>
        <w:t>In its resolution, the IACHR reaffirmed the importance of the fight against corruption to combat impunity through a strengthened, independent and impartial judiciary; it also reaffirmed the fundamental importance of the full exercise of the rights to freedom of expression and access to public information, as well as the rights to association and peaceful assembly, for the investigation and denunciation of corruption. The IACHR called on the independent branches of government to act to guarantee the rule of law and urged the State of Guatemala to take the measures necessary to ensure compliance with the decision of the Constitutional Court and, consequently, to enable CICIG’s head Commissioner, Iván Velásquez, to continue to perform his work with the requisite guarantees.</w:t>
      </w:r>
      <w:r w:rsidRPr="00B90432">
        <w:rPr>
          <w:rStyle w:val="FootnoteReference"/>
          <w:rFonts w:asciiTheme="minorHAnsi" w:hAnsiTheme="minorHAnsi"/>
          <w:sz w:val="22"/>
          <w:szCs w:val="22"/>
        </w:rPr>
        <w:footnoteReference w:id="93"/>
      </w:r>
    </w:p>
    <w:p w14:paraId="6CA69105" w14:textId="77777777" w:rsidR="006D47A5" w:rsidRPr="00B90432" w:rsidRDefault="006D47A5" w:rsidP="006F4717">
      <w:pPr>
        <w:pStyle w:val="Numberedparagraphs"/>
        <w:rPr>
          <w:rFonts w:asciiTheme="minorHAnsi" w:hAnsiTheme="minorHAnsi"/>
        </w:rPr>
      </w:pPr>
      <w:r w:rsidRPr="00B90432">
        <w:rPr>
          <w:rFonts w:asciiTheme="minorHAnsi" w:hAnsiTheme="minorHAnsi"/>
        </w:rPr>
        <w:t>As of the date of adoption of this report, new developments continued to emerge in Guatemala that call into doubt the fight against impunity and corruption that the State of Guatemala reaffirmed to the IACHR during the on-site visit. For example, on September 13, 2017, the Congress of Guatemala passed a series of reforms lessening the penalties for the crime of illicit finance, with the result that only the comptroller general of the party, not its general secretary, would be accountable, and allowing prison sentences of up to 10 years to be commuted.</w:t>
      </w:r>
      <w:r w:rsidRPr="00B90432">
        <w:rPr>
          <w:rStyle w:val="FootnoteReference"/>
          <w:rFonts w:asciiTheme="minorHAnsi" w:hAnsiTheme="minorHAnsi"/>
          <w:sz w:val="22"/>
          <w:szCs w:val="22"/>
        </w:rPr>
        <w:footnoteReference w:id="94"/>
      </w:r>
      <w:r w:rsidRPr="00B90432">
        <w:rPr>
          <w:rFonts w:asciiTheme="minorHAnsi" w:hAnsiTheme="minorHAnsi"/>
        </w:rPr>
        <w:t xml:space="preserve"> The president was also said to have received a "bonus" of 50,000 quetzales per month from the Army (approximately US$6,800), which he claimed to have returned on September 14, 2017.</w:t>
      </w:r>
      <w:r w:rsidRPr="00B90432">
        <w:rPr>
          <w:rStyle w:val="FootnoteReference"/>
          <w:rFonts w:asciiTheme="minorHAnsi" w:hAnsiTheme="minorHAnsi"/>
          <w:sz w:val="22"/>
          <w:szCs w:val="22"/>
        </w:rPr>
        <w:footnoteReference w:id="95"/>
      </w:r>
      <w:r w:rsidRPr="00B90432">
        <w:rPr>
          <w:rFonts w:asciiTheme="minorHAnsi" w:hAnsiTheme="minorHAnsi"/>
        </w:rPr>
        <w:t xml:space="preserve"> On September 14, the day after the Congress passed the reforms, the Constitutional court unanimously granted an application </w:t>
      </w:r>
      <w:r w:rsidRPr="00B90432">
        <w:rPr>
          <w:rFonts w:asciiTheme="minorHAnsi" w:hAnsiTheme="minorHAnsi"/>
        </w:rPr>
        <w:lastRenderedPageBreak/>
        <w:t>for provisional constitutional relief to prevent them coming into force.</w:t>
      </w:r>
      <w:r w:rsidRPr="00B90432">
        <w:rPr>
          <w:rStyle w:val="FootnoteReference"/>
          <w:rFonts w:asciiTheme="minorHAnsi" w:hAnsiTheme="minorHAnsi"/>
          <w:sz w:val="22"/>
          <w:szCs w:val="22"/>
        </w:rPr>
        <w:footnoteReference w:id="96"/>
      </w:r>
      <w:r w:rsidRPr="00B90432">
        <w:rPr>
          <w:rFonts w:asciiTheme="minorHAnsi" w:hAnsiTheme="minorHAnsi"/>
        </w:rPr>
        <w:t xml:space="preserve"> Once again, Guatemalans took to the streets to demonstrate against the reforms and express their support for the fight against corruption and impunity.</w:t>
      </w:r>
      <w:r w:rsidRPr="00B90432">
        <w:rPr>
          <w:rStyle w:val="FootnoteReference"/>
          <w:rFonts w:asciiTheme="minorHAnsi" w:hAnsiTheme="minorHAnsi"/>
          <w:sz w:val="22"/>
          <w:szCs w:val="22"/>
        </w:rPr>
        <w:footnoteReference w:id="97"/>
      </w:r>
    </w:p>
    <w:p w14:paraId="4D164DED" w14:textId="77777777" w:rsidR="002224F6" w:rsidRPr="00B90432" w:rsidRDefault="002224F6" w:rsidP="006F4717">
      <w:pPr>
        <w:pStyle w:val="Numberedparagraphs"/>
        <w:rPr>
          <w:rFonts w:asciiTheme="minorHAnsi" w:hAnsiTheme="minorHAnsi"/>
        </w:rPr>
      </w:pPr>
      <w:r w:rsidRPr="00B90432">
        <w:rPr>
          <w:rFonts w:asciiTheme="minorHAnsi" w:hAnsiTheme="minorHAnsi"/>
        </w:rPr>
        <w:t>In this context, the Public Prosecution Service and CICIG filed an application for the impeachment of Álvaro Arzú Irigoyen, Mayor of Guatemala City and former president of the Republic for alleged embezzlement and illicit electoral financing. As of the date of adoption of this report, that proceeding was at the initial stage and the investigation was continuing. Days after these events, the Government revoked the visa of Iván Velásquez, supposedly because the application had not been submitted by the appropriate person, as on previous occasions.  On its social media accounts, the IACHR said that "the revocation of Iván Velásquez’s visa is unwarranted and goes against Guatemala's commitments to international human rights bodies.”  For his part, the United Nations spokesman said that they hoped that the Government would renew the visa because the Secretary-General considered the work of CICIG to be "extremely important."</w:t>
      </w:r>
      <w:r w:rsidRPr="00B90432">
        <w:rPr>
          <w:rStyle w:val="FootnoteReference"/>
          <w:rFonts w:asciiTheme="minorHAnsi" w:hAnsiTheme="minorHAnsi"/>
          <w:sz w:val="22"/>
          <w:szCs w:val="22"/>
        </w:rPr>
        <w:footnoteReference w:id="98"/>
      </w:r>
      <w:r w:rsidRPr="00B90432">
        <w:rPr>
          <w:rFonts w:asciiTheme="minorHAnsi" w:hAnsiTheme="minorHAnsi"/>
        </w:rPr>
        <w:t xml:space="preserve"> According to CICIG, a new visa renewal application has been presented to the Guatemalan immigration authorities.</w:t>
      </w:r>
    </w:p>
    <w:p w14:paraId="6BB84BB2" w14:textId="77777777" w:rsidR="0065355D" w:rsidRPr="00B90432" w:rsidRDefault="007E6A7A" w:rsidP="006F4717">
      <w:pPr>
        <w:pStyle w:val="Numberedparagraphs"/>
        <w:rPr>
          <w:rFonts w:asciiTheme="minorHAnsi" w:hAnsiTheme="minorHAnsi"/>
        </w:rPr>
      </w:pPr>
      <w:r w:rsidRPr="00B90432">
        <w:rPr>
          <w:rFonts w:asciiTheme="minorHAnsi" w:hAnsiTheme="minorHAnsi"/>
        </w:rPr>
        <w:t xml:space="preserve">On October 27, 2017, the Commission requested the State of Guatemala to adopt precautionary measures in favor of August Jordán Rodas Andrade, Human Rights Ombudsman, and his </w:t>
      </w:r>
      <w:r w:rsidR="007F6B91" w:rsidRPr="00B90432">
        <w:rPr>
          <w:rFonts w:asciiTheme="minorHAnsi" w:hAnsiTheme="minorHAnsi"/>
        </w:rPr>
        <w:t xml:space="preserve">immediate </w:t>
      </w:r>
      <w:r w:rsidRPr="00B90432">
        <w:rPr>
          <w:rFonts w:asciiTheme="minorHAnsi" w:hAnsiTheme="minorHAnsi"/>
        </w:rPr>
        <w:t xml:space="preserve">family. </w:t>
      </w:r>
      <w:r w:rsidR="007360C8" w:rsidRPr="00B90432">
        <w:rPr>
          <w:rFonts w:asciiTheme="minorHAnsi" w:hAnsiTheme="minorHAnsi"/>
        </w:rPr>
        <w:t xml:space="preserve">The request alleged, among other things, that Mr. Rodas Andrade </w:t>
      </w:r>
      <w:r w:rsidR="007F6B91" w:rsidRPr="00B90432">
        <w:rPr>
          <w:rFonts w:asciiTheme="minorHAnsi" w:hAnsiTheme="minorHAnsi"/>
        </w:rPr>
        <w:t>has worked alongside and has initiated legal actions in high-impact cases related to the fight against corrumption and has been subjected to threates and harassment aimed at limiting his work, and has been made aware that some individuals are planning actions against him and his family</w:t>
      </w:r>
      <w:r w:rsidR="007F6B91" w:rsidRPr="00B90432">
        <w:rPr>
          <w:rStyle w:val="FootnoteReference"/>
          <w:rFonts w:asciiTheme="minorHAnsi" w:hAnsiTheme="minorHAnsi"/>
          <w:sz w:val="22"/>
          <w:szCs w:val="22"/>
        </w:rPr>
        <w:footnoteReference w:id="99"/>
      </w:r>
      <w:r w:rsidR="007F6B91" w:rsidRPr="00B90432">
        <w:rPr>
          <w:rFonts w:asciiTheme="minorHAnsi" w:hAnsiTheme="minorHAnsi"/>
        </w:rPr>
        <w:t>. The Commission requested the State of Guatemala to adopt the necessary measures to protect the life and personal integrity of Mr. Rodas Andrade and his immediate family, and to ensure thate he can carry out his work as Human Rights Ombudsman of Guatemala without being subjected to acts of intimidation, threats, and harassment.</w:t>
      </w:r>
    </w:p>
    <w:p w14:paraId="183CDA43" w14:textId="77777777" w:rsidR="006D47A5" w:rsidRPr="00B90432" w:rsidRDefault="006D47A5" w:rsidP="006F4717">
      <w:pPr>
        <w:pStyle w:val="Numberedparagraphs"/>
        <w:rPr>
          <w:rFonts w:asciiTheme="minorHAnsi" w:hAnsiTheme="minorHAnsi"/>
        </w:rPr>
      </w:pPr>
      <w:r w:rsidRPr="00B90432">
        <w:rPr>
          <w:rFonts w:asciiTheme="minorHAnsi" w:hAnsiTheme="minorHAnsi"/>
        </w:rPr>
        <w:lastRenderedPageBreak/>
        <w:t>In light of the recent events in Guatemala, the IACHR recalls first, that the fight against corruption and impunity, at all levels of government, is a fundamental component of that obligation, since preventing them is essential for proper administration of justice.</w:t>
      </w:r>
      <w:r w:rsidRPr="00B90432">
        <w:rPr>
          <w:rStyle w:val="FootnoteReference"/>
          <w:rFonts w:asciiTheme="minorHAnsi" w:hAnsiTheme="minorHAnsi"/>
          <w:sz w:val="22"/>
          <w:szCs w:val="22"/>
        </w:rPr>
        <w:footnoteReference w:id="100"/>
      </w:r>
      <w:r w:rsidRPr="00B90432">
        <w:rPr>
          <w:rFonts w:asciiTheme="minorHAnsi" w:hAnsiTheme="minorHAnsi"/>
        </w:rPr>
        <w:t xml:space="preserve"> Moreover, “[e]ssential elements of representative democracy include, </w:t>
      </w:r>
      <w:r w:rsidRPr="00B90432">
        <w:rPr>
          <w:rFonts w:asciiTheme="minorHAnsi" w:hAnsiTheme="minorHAnsi"/>
          <w:i/>
          <w:iCs/>
        </w:rPr>
        <w:t>inter alia</w:t>
      </w:r>
      <w:r w:rsidRPr="00B90432">
        <w:rPr>
          <w:rFonts w:asciiTheme="minorHAnsi" w:hAnsiTheme="minorHAnsi"/>
        </w:rPr>
        <w:t>, respect for human rights and [...] access to and the exercise of power in accordance with the rule of law [...] and [t]ransparency in government activities, probity, responsible public administration on the part of governments, respect for social rights, and freedom of expression and of the press are essential components of the exercise of democracy.”</w:t>
      </w:r>
      <w:r w:rsidRPr="00B90432">
        <w:rPr>
          <w:rStyle w:val="FootnoteReference"/>
          <w:rFonts w:asciiTheme="minorHAnsi" w:hAnsiTheme="minorHAnsi"/>
          <w:sz w:val="22"/>
          <w:szCs w:val="22"/>
        </w:rPr>
        <w:footnoteReference w:id="101"/>
      </w:r>
      <w:r w:rsidRPr="00B90432">
        <w:rPr>
          <w:rFonts w:asciiTheme="minorHAnsi" w:hAnsiTheme="minorHAnsi"/>
        </w:rPr>
        <w:t xml:space="preserve"> Accordingly, the IACHR calls on the state of Guatemala to respect the independence of the different branches of government, including the judiciary, in order to encourage the fight against impunity and corruption at all levels of government and ensure the democratic rule of law</w:t>
      </w:r>
      <w:r w:rsidR="007F6B91" w:rsidRPr="00B90432">
        <w:rPr>
          <w:rFonts w:asciiTheme="minorHAnsi" w:hAnsiTheme="minorHAnsi"/>
        </w:rPr>
        <w:t>.</w:t>
      </w:r>
    </w:p>
    <w:p w14:paraId="718DF3B6" w14:textId="77777777" w:rsidR="008D7BC7" w:rsidRPr="00B90432" w:rsidRDefault="006D47A5" w:rsidP="006F4717">
      <w:pPr>
        <w:pStyle w:val="Numberedparagraphs"/>
        <w:rPr>
          <w:rFonts w:asciiTheme="minorHAnsi" w:hAnsiTheme="minorHAnsi"/>
        </w:rPr>
      </w:pPr>
      <w:r w:rsidRPr="00B90432">
        <w:rPr>
          <w:rFonts w:asciiTheme="minorHAnsi" w:hAnsiTheme="minorHAnsi"/>
        </w:rPr>
        <w:t>The IACHR recalls that, in accordance with inter-American standards, in the region's democracies, including Guatemala’s, there are systems of checks and balances in place by which the judiciary may consider the compatibility with the Constitution and international conventions of decisions or policies adopted by other branches of government.</w:t>
      </w:r>
      <w:r w:rsidRPr="00B90432">
        <w:rPr>
          <w:rStyle w:val="FootnoteReference"/>
          <w:rFonts w:asciiTheme="minorHAnsi" w:hAnsiTheme="minorHAnsi"/>
          <w:sz w:val="22"/>
          <w:szCs w:val="22"/>
        </w:rPr>
        <w:footnoteReference w:id="102"/>
      </w:r>
      <w:r w:rsidRPr="00B90432">
        <w:rPr>
          <w:rFonts w:asciiTheme="minorHAnsi" w:hAnsiTheme="minorHAnsi"/>
        </w:rPr>
        <w:t xml:space="preserve"> Moreover, Guatemala </w:t>
      </w:r>
      <w:r w:rsidR="00DA2239" w:rsidRPr="00B90432">
        <w:rPr>
          <w:rFonts w:asciiTheme="minorHAnsi" w:hAnsiTheme="minorHAnsi"/>
        </w:rPr>
        <w:t>ratified</w:t>
      </w:r>
      <w:r w:rsidRPr="00B90432">
        <w:rPr>
          <w:rFonts w:asciiTheme="minorHAnsi" w:hAnsiTheme="minorHAnsi"/>
        </w:rPr>
        <w:t xml:space="preserve"> the International Covenant on Civil and Political Rights in 1992</w:t>
      </w:r>
      <w:r w:rsidRPr="00B90432">
        <w:rPr>
          <w:rStyle w:val="FootnoteReference"/>
          <w:rFonts w:asciiTheme="minorHAnsi" w:hAnsiTheme="minorHAnsi"/>
          <w:sz w:val="22"/>
          <w:szCs w:val="22"/>
        </w:rPr>
        <w:footnoteReference w:id="103"/>
      </w:r>
      <w:r w:rsidRPr="00B90432">
        <w:rPr>
          <w:rFonts w:asciiTheme="minorHAnsi" w:hAnsiTheme="minorHAnsi"/>
        </w:rPr>
        <w:t xml:space="preserve"> and to the Optional Protocol thereto in 2000,</w:t>
      </w:r>
      <w:r w:rsidRPr="00B90432">
        <w:rPr>
          <w:rStyle w:val="FootnoteReference"/>
          <w:rFonts w:asciiTheme="minorHAnsi" w:hAnsiTheme="minorHAnsi"/>
          <w:sz w:val="22"/>
          <w:szCs w:val="22"/>
        </w:rPr>
        <w:footnoteReference w:id="104"/>
      </w:r>
      <w:r w:rsidRPr="00B90432">
        <w:rPr>
          <w:rFonts w:asciiTheme="minorHAnsi" w:hAnsiTheme="minorHAnsi"/>
        </w:rPr>
        <w:t xml:space="preserve"> both of which instruments enshrine this international obligation for the State.</w:t>
      </w:r>
    </w:p>
    <w:p w14:paraId="6DCB6FDF" w14:textId="77777777" w:rsidR="004D7433" w:rsidRPr="00B90432" w:rsidRDefault="004D7433" w:rsidP="006F4717">
      <w:pPr>
        <w:pStyle w:val="Numberedparagraphs"/>
        <w:rPr>
          <w:rFonts w:asciiTheme="minorHAnsi" w:hAnsiTheme="minorHAnsi"/>
        </w:rPr>
      </w:pPr>
      <w:r w:rsidRPr="00B90432">
        <w:rPr>
          <w:rFonts w:asciiTheme="minorHAnsi" w:hAnsiTheme="minorHAnsi"/>
        </w:rPr>
        <w:t>In its comments to the draft of this report, the State indicated that the Public Prosecutor’s Unit Against Corruption includes 10 prosecutors’ offices. In the first semester of 2017, this Unit filed more than 35 investigations before the Courts of Justice, which has resulted in important results in the fight against corruption. According to the State, the total number of judicial sanctions imposed between 2012 and 2017 is 247 (without specifying the crimes for which they were imposed).</w:t>
      </w:r>
      <w:r w:rsidRPr="00B90432">
        <w:rPr>
          <w:rStyle w:val="FootnoteReference"/>
          <w:rFonts w:asciiTheme="minorHAnsi" w:hAnsiTheme="minorHAnsi"/>
          <w:sz w:val="22"/>
          <w:szCs w:val="22"/>
        </w:rPr>
        <w:footnoteReference w:id="105"/>
      </w:r>
    </w:p>
    <w:p w14:paraId="308FA770" w14:textId="77777777" w:rsidR="008D7BC7" w:rsidRPr="00B90432" w:rsidRDefault="00645184" w:rsidP="006F4717">
      <w:pPr>
        <w:pStyle w:val="Numberedparagraphs"/>
        <w:rPr>
          <w:rFonts w:asciiTheme="minorHAnsi" w:hAnsiTheme="minorHAnsi"/>
        </w:rPr>
      </w:pPr>
      <w:r w:rsidRPr="00B90432">
        <w:rPr>
          <w:rFonts w:asciiTheme="minorHAnsi" w:hAnsiTheme="minorHAnsi"/>
        </w:rPr>
        <w:lastRenderedPageBreak/>
        <w:t>The IACHR reiterates its recognition of the measures and efforts taken by the CICIG and the Public Prosecutor’s Office to combat corruption and impunity in the last three years, a process in which civil society and international cooperation have played a fundamental role.</w:t>
      </w:r>
      <w:r w:rsidRPr="00B90432">
        <w:rPr>
          <w:rStyle w:val="FootnoteReference"/>
          <w:rFonts w:asciiTheme="minorHAnsi" w:hAnsiTheme="minorHAnsi"/>
          <w:sz w:val="22"/>
          <w:szCs w:val="22"/>
        </w:rPr>
        <w:footnoteReference w:id="106"/>
      </w:r>
      <w:r w:rsidRPr="00B90432">
        <w:rPr>
          <w:rFonts w:asciiTheme="minorHAnsi" w:hAnsiTheme="minorHAnsi"/>
        </w:rPr>
        <w:t xml:space="preserve">  In particular, the IACHR </w:t>
      </w:r>
      <w:r w:rsidRPr="00B90432">
        <w:rPr>
          <w:rFonts w:asciiTheme="minorHAnsi" w:hAnsiTheme="minorHAnsi" w:cstheme="minorHAnsi"/>
          <w:color w:val="000000"/>
        </w:rPr>
        <w:t>recognizes the crucial role of CICIG in the fight against corruption in Guatemala through the disbanding of criminal networks and organized crime structures together with the Public Prosecutor's Office, as well as the support it provides in the form of training and supporting legal reforms to improve the efficiency of the justice system, in keeping with its mandate.  Over the years, the investigations it has conducted revealed the alleged involvement of officials from all three branches of government and of other actors in the country in illicit acts of corruption, some of which are now the subject of criminal processes.</w:t>
      </w:r>
      <w:r w:rsidRPr="00B90432">
        <w:rPr>
          <w:rStyle w:val="FootnoteReference"/>
          <w:rFonts w:asciiTheme="minorHAnsi" w:hAnsiTheme="minorHAnsi" w:cstheme="minorHAnsi"/>
          <w:color w:val="000000"/>
          <w:sz w:val="22"/>
          <w:szCs w:val="22"/>
        </w:rPr>
        <w:footnoteReference w:id="107"/>
      </w:r>
      <w:r w:rsidRPr="00B90432">
        <w:rPr>
          <w:rFonts w:asciiTheme="minorHAnsi" w:hAnsiTheme="minorHAnsi" w:cstheme="minorHAnsi"/>
          <w:color w:val="000000"/>
        </w:rPr>
        <w:t xml:space="preserve"> </w:t>
      </w:r>
    </w:p>
    <w:p w14:paraId="12173D0C" w14:textId="77777777" w:rsidR="00DF71D5" w:rsidRPr="00B90432" w:rsidRDefault="00645184" w:rsidP="006F4717">
      <w:pPr>
        <w:pStyle w:val="Numberedparagraphs"/>
        <w:rPr>
          <w:rFonts w:asciiTheme="minorHAnsi" w:hAnsiTheme="minorHAnsi"/>
        </w:rPr>
      </w:pPr>
      <w:r w:rsidRPr="00B90432">
        <w:rPr>
          <w:rFonts w:asciiTheme="minorHAnsi" w:hAnsiTheme="minorHAnsi"/>
        </w:rPr>
        <w:t>In light of the results achieved, the IACHR welcomes the increase in budget to the Public Prosecution Service of which it was informed during the on-site visit and it encourages the State to provide similar support to other key institutions in the justice system, such as the National Institute of Forensic Sciences (INACF), whose work is essential in criminal proceedings. The Commission also recognizes the work done by the Presidential Commission on Human Rights (COPREDEH) to protect and promote human rights and hopes that that work will continue under the new leadership.</w:t>
      </w:r>
      <w:r w:rsidRPr="00B90432">
        <w:rPr>
          <w:rStyle w:val="FootnoteReference"/>
          <w:rFonts w:asciiTheme="minorHAnsi" w:hAnsiTheme="minorHAnsi"/>
          <w:sz w:val="22"/>
          <w:szCs w:val="22"/>
        </w:rPr>
        <w:footnoteReference w:id="108"/>
      </w:r>
      <w:r w:rsidRPr="00B90432">
        <w:rPr>
          <w:rFonts w:asciiTheme="minorHAnsi" w:hAnsiTheme="minorHAnsi"/>
        </w:rPr>
        <w:t xml:space="preserve"> The IACHR urges the State to ensure that these institutions are able to carry out their work without interference, to continue to adopt measures to enable the Public Prosecution Service to continue coordinating actions and collaborating with the CICIG under the leadership of Ivan Velasquez, and that it allocate the necessary resources to that end. </w:t>
      </w:r>
    </w:p>
    <w:p w14:paraId="208DA22B" w14:textId="77777777" w:rsidR="00DE4B64" w:rsidRPr="00B90432" w:rsidRDefault="00DD0ADC" w:rsidP="006F4717">
      <w:pPr>
        <w:pStyle w:val="Numberedparagraphs"/>
        <w:rPr>
          <w:rFonts w:asciiTheme="minorHAnsi" w:hAnsiTheme="minorHAnsi"/>
        </w:rPr>
      </w:pPr>
      <w:r w:rsidRPr="00B90432">
        <w:rPr>
          <w:rFonts w:asciiTheme="minorHAnsi" w:hAnsiTheme="minorHAnsi"/>
        </w:rPr>
        <w:t>Regarding the cases relating to the internal armed conflict, the State informed the Commission that, according to the Judicial Center for Information, Development and Statistics, eight judgments were issued that covered 17 identified victims.</w:t>
      </w:r>
      <w:r w:rsidRPr="00B90432">
        <w:rPr>
          <w:rStyle w:val="FootnoteReference"/>
          <w:rFonts w:asciiTheme="minorHAnsi" w:hAnsiTheme="minorHAnsi"/>
          <w:sz w:val="22"/>
          <w:szCs w:val="22"/>
        </w:rPr>
        <w:footnoteReference w:id="109"/>
      </w:r>
      <w:r w:rsidRPr="00B90432">
        <w:rPr>
          <w:rFonts w:asciiTheme="minorHAnsi" w:hAnsiTheme="minorHAnsi"/>
        </w:rPr>
        <w:t xml:space="preserve"> During its on-site visit, the IACHR noted some recent progress in cases connected with gross violations that </w:t>
      </w:r>
      <w:r w:rsidRPr="00B90432">
        <w:rPr>
          <w:rFonts w:asciiTheme="minorHAnsi" w:hAnsiTheme="minorHAnsi"/>
        </w:rPr>
        <w:lastRenderedPageBreak/>
        <w:t>occurred during the internal armed conflict, including those of Molina Theissen</w:t>
      </w:r>
      <w:r w:rsidRPr="00B90432">
        <w:rPr>
          <w:rStyle w:val="FootnoteReference"/>
          <w:rFonts w:asciiTheme="minorHAnsi" w:hAnsiTheme="minorHAnsi"/>
          <w:sz w:val="22"/>
          <w:szCs w:val="22"/>
        </w:rPr>
        <w:footnoteReference w:id="110"/>
      </w:r>
      <w:r w:rsidRPr="00B90432">
        <w:rPr>
          <w:rFonts w:asciiTheme="minorHAnsi" w:hAnsiTheme="minorHAnsi"/>
        </w:rPr>
        <w:t xml:space="preserve"> and the Regional Training Command for Peacekeeping Operations (CREOMPAZ),</w:t>
      </w:r>
      <w:r w:rsidRPr="00B90432">
        <w:rPr>
          <w:rStyle w:val="FootnoteReference"/>
          <w:rFonts w:asciiTheme="minorHAnsi" w:hAnsiTheme="minorHAnsi"/>
          <w:sz w:val="22"/>
          <w:szCs w:val="22"/>
        </w:rPr>
        <w:footnoteReference w:id="111"/>
      </w:r>
      <w:r w:rsidRPr="00B90432">
        <w:rPr>
          <w:rFonts w:asciiTheme="minorHAnsi" w:hAnsiTheme="minorHAnsi"/>
        </w:rPr>
        <w:t xml:space="preserve"> where “Military Zone 21” operated during the time of the internal armed conflict, among others. The IACHR visited the CREOMPAZ facilities as well as the site where the Forensic Anthropology Foundation of Guatemala (FAFG) has exhumed at least 558 skeletons, making it the largest mass grave discovered to date in Latin America. In spite of the progress made in a number of cases, it pales in comparison with the number of violations perpetrated during the conflict and the State of Guatemala’s obligations regarding the rights to truth, justice, and reparation for the victims, as is described later in this report. </w:t>
      </w:r>
    </w:p>
    <w:p w14:paraId="749316EC" w14:textId="77777777" w:rsidR="008F2105" w:rsidRPr="00B90432" w:rsidRDefault="008F2105" w:rsidP="006F4717">
      <w:pPr>
        <w:pStyle w:val="Numberedparagraphs"/>
        <w:rPr>
          <w:rFonts w:asciiTheme="minorHAnsi" w:hAnsiTheme="minorHAnsi"/>
        </w:rPr>
      </w:pPr>
      <w:r w:rsidRPr="00B90432">
        <w:rPr>
          <w:rFonts w:asciiTheme="minorHAnsi" w:hAnsiTheme="minorHAnsi"/>
        </w:rPr>
        <w:t>During its visit, the IACHR verified the existence of multiple persiting factors that contribute to impunity. For example, the Commission was informed about the abusive use of writs of amparo as a strategy to delay a number of criminal proceedings; amnesty requests; and the use of statutes of limitation as blocking tactics to protect the accused. The IACHR recalls that the State has an obligation to ensure that its apparatus provides prompt and effective justice to victims of human rights violations, carries out impartial investigations without delay, and punishes those found responsible.</w:t>
      </w:r>
      <w:r w:rsidRPr="00B90432">
        <w:rPr>
          <w:rStyle w:val="FootnoteReference"/>
          <w:rFonts w:asciiTheme="minorHAnsi" w:hAnsiTheme="minorHAnsi"/>
          <w:sz w:val="22"/>
          <w:szCs w:val="22"/>
        </w:rPr>
        <w:footnoteReference w:id="112"/>
      </w:r>
      <w:r w:rsidRPr="00B90432">
        <w:rPr>
          <w:rFonts w:asciiTheme="minorHAnsi" w:hAnsiTheme="minorHAnsi"/>
        </w:rPr>
        <w:t>Accordingly, the State should examine the factors that hinder access to prompt and effective justice and adopt appropriate corrective measures.</w:t>
      </w:r>
    </w:p>
    <w:p w14:paraId="49E34AA1" w14:textId="77777777" w:rsidR="003E18E4" w:rsidRPr="00B90432" w:rsidRDefault="006B4058" w:rsidP="006F4717">
      <w:pPr>
        <w:pStyle w:val="Numberedparagraphs"/>
        <w:rPr>
          <w:rFonts w:asciiTheme="minorHAnsi" w:hAnsiTheme="minorHAnsi"/>
        </w:rPr>
      </w:pPr>
      <w:r w:rsidRPr="00B90432">
        <w:rPr>
          <w:rFonts w:asciiTheme="minorHAnsi" w:hAnsiTheme="minorHAnsi"/>
        </w:rPr>
        <w:t>The fight against impunity and corruption has permeated institutions in Guatemala since the era of the internal armed conflict. The Commission urges the State of Guatemala to make a political commitment to the fight against impunity and corruption by dismantling the parallel organizations and powers that persist in the country in order to achieve full observance of human rights in Guatemala. To that end, the State should allow the CICIG's head Commissioner, Iván Velasquez, to continue to work jointly with the Public Prosecution Service without interference and with the appropriate resources and the requisite guarantees.</w:t>
      </w:r>
    </w:p>
    <w:p w14:paraId="2FB2D5BC" w14:textId="77777777" w:rsidR="00787D5D" w:rsidRPr="00B90432" w:rsidRDefault="00787D5D" w:rsidP="009A58BE">
      <w:pPr>
        <w:pStyle w:val="Heading2"/>
      </w:pPr>
      <w:bookmarkStart w:id="28" w:name="_Toc509827633"/>
      <w:r w:rsidRPr="00B90432">
        <w:lastRenderedPageBreak/>
        <w:t>The requirements of independence and impartiality: The Public Prosecution Service and judicial reforms</w:t>
      </w:r>
      <w:bookmarkEnd w:id="28"/>
    </w:p>
    <w:p w14:paraId="7ABE5F91" w14:textId="77777777" w:rsidR="00C12341" w:rsidRPr="00B90432" w:rsidRDefault="00C65C99" w:rsidP="006F4717">
      <w:pPr>
        <w:pStyle w:val="Numberedparagraphs"/>
        <w:rPr>
          <w:rFonts w:asciiTheme="minorHAnsi" w:hAnsiTheme="minorHAnsi"/>
        </w:rPr>
      </w:pPr>
      <w:r w:rsidRPr="00B90432">
        <w:rPr>
          <w:rFonts w:asciiTheme="minorHAnsi" w:hAnsiTheme="minorHAnsi"/>
        </w:rPr>
        <w:t>The independence and impartiality of justice operators—prosecutors and judges—is a key element for combating impunity, as it allows them effectively to punish wrongdoers and, at the same time, ensure a fair trial for anyone subject to the State's exercise of its punitive power.</w:t>
      </w:r>
      <w:r w:rsidRPr="00B90432">
        <w:rPr>
          <w:rFonts w:asciiTheme="minorHAnsi" w:hAnsiTheme="minorHAnsi"/>
          <w:vertAlign w:val="superscript"/>
        </w:rPr>
        <w:footnoteReference w:id="113"/>
      </w:r>
      <w:r w:rsidRPr="00B90432">
        <w:rPr>
          <w:rFonts w:asciiTheme="minorHAnsi" w:hAnsiTheme="minorHAnsi"/>
        </w:rPr>
        <w:t xml:space="preserve"> In that regard, the IACHR has been closely following selection processes for justice operators in Guatemala.</w:t>
      </w:r>
      <w:r w:rsidRPr="00B90432">
        <w:rPr>
          <w:rStyle w:val="FootnoteReference"/>
          <w:rFonts w:asciiTheme="minorHAnsi" w:hAnsiTheme="minorHAnsi"/>
          <w:sz w:val="22"/>
          <w:szCs w:val="22"/>
        </w:rPr>
        <w:footnoteReference w:id="114"/>
      </w:r>
    </w:p>
    <w:p w14:paraId="74652872" w14:textId="77777777" w:rsidR="001A2B12" w:rsidRPr="00B90432" w:rsidRDefault="000B71F5" w:rsidP="006F4717">
      <w:pPr>
        <w:pStyle w:val="Numberedparagraphs"/>
        <w:rPr>
          <w:rFonts w:asciiTheme="minorHAnsi" w:hAnsiTheme="minorHAnsi"/>
        </w:rPr>
      </w:pPr>
      <w:r w:rsidRPr="00B90432">
        <w:rPr>
          <w:rFonts w:asciiTheme="minorHAnsi" w:hAnsiTheme="minorHAnsi"/>
        </w:rPr>
        <w:t xml:space="preserve">In its report </w:t>
      </w:r>
      <w:r w:rsidRPr="00B90432">
        <w:rPr>
          <w:rFonts w:asciiTheme="minorHAnsi" w:hAnsiTheme="minorHAnsi"/>
          <w:i/>
          <w:iCs/>
        </w:rPr>
        <w:t>Guarantees for the Independence of Justice Operators</w:t>
      </w:r>
      <w:r w:rsidRPr="00B90432">
        <w:rPr>
          <w:rFonts w:asciiTheme="minorHAnsi" w:hAnsiTheme="minorHAnsi"/>
        </w:rPr>
        <w:t>, the IACHR noted that in order to guarantee that independence and impartiality it is necessary to ensure an adequate and transparent process of election and appointment. The circumstances of their appointment should enable them to perform their work independently and impartially in the cases they adjudicate, bring, or defend, as well as establishing disciplinary procedures that offer the appropriate guarantees.</w:t>
      </w:r>
      <w:bookmarkStart w:id="29" w:name="_ftnref1"/>
      <w:bookmarkEnd w:id="29"/>
      <w:r w:rsidRPr="00B90432">
        <w:rPr>
          <w:rFonts w:asciiTheme="minorHAnsi" w:hAnsiTheme="minorHAnsi"/>
          <w:vertAlign w:val="superscript"/>
        </w:rPr>
        <w:footnoteReference w:id="115"/>
      </w:r>
    </w:p>
    <w:p w14:paraId="67CD9778" w14:textId="77777777" w:rsidR="001A2B12" w:rsidRPr="00B90432" w:rsidRDefault="004703CD" w:rsidP="006F4717">
      <w:pPr>
        <w:pStyle w:val="Numberedparagraphs"/>
        <w:rPr>
          <w:rFonts w:asciiTheme="minorHAnsi" w:hAnsiTheme="minorHAnsi"/>
        </w:rPr>
      </w:pPr>
      <w:r w:rsidRPr="00B90432">
        <w:rPr>
          <w:rFonts w:asciiTheme="minorHAnsi" w:hAnsiTheme="minorHAnsi"/>
        </w:rPr>
        <w:t>En Guatemala, nominating commissions are at the heart of the selection process for justice operators and other state officials.</w:t>
      </w:r>
      <w:r w:rsidRPr="00B90432">
        <w:rPr>
          <w:rStyle w:val="FootnoteReference"/>
          <w:rFonts w:asciiTheme="minorHAnsi" w:hAnsiTheme="minorHAnsi"/>
          <w:sz w:val="22"/>
          <w:szCs w:val="22"/>
        </w:rPr>
        <w:footnoteReference w:id="116"/>
      </w:r>
      <w:r w:rsidRPr="00B90432">
        <w:rPr>
          <w:rFonts w:asciiTheme="minorHAnsi" w:hAnsiTheme="minorHAnsi"/>
        </w:rPr>
        <w:t xml:space="preserve"> The purpose of nominating commissions is to propose and submit lists of persons to be chosen and appointed by the President of the Republic or the Congress to occupy high-level State positions.</w:t>
      </w:r>
      <w:r w:rsidRPr="00B90432">
        <w:rPr>
          <w:rStyle w:val="FootnoteReference"/>
          <w:rFonts w:asciiTheme="minorHAnsi" w:hAnsiTheme="minorHAnsi"/>
          <w:sz w:val="22"/>
          <w:szCs w:val="22"/>
        </w:rPr>
        <w:footnoteReference w:id="117"/>
      </w:r>
      <w:r w:rsidRPr="00B90432">
        <w:rPr>
          <w:rFonts w:asciiTheme="minorHAnsi" w:hAnsiTheme="minorHAnsi"/>
        </w:rPr>
        <w:t xml:space="preserve"> According to the Nominating Commission Law, the positions for which the Congress of the Republic or the President choose from a list of candidates proposed by a Nominations Committee include the justices of the Supreme Court of Justice, the Courts of Appeal, the Comptroller General, the Attorney General of the Republic </w:t>
      </w:r>
      <w:r w:rsidRPr="00B90432">
        <w:rPr>
          <w:rFonts w:asciiTheme="minorHAnsi" w:hAnsiTheme="minorHAnsi"/>
        </w:rPr>
        <w:lastRenderedPageBreak/>
        <w:t>and Head of the Public Prosecution Service; and the Human Rights Ombudsman.</w:t>
      </w:r>
      <w:r w:rsidRPr="00B90432">
        <w:rPr>
          <w:rStyle w:val="FootnoteReference"/>
          <w:rFonts w:asciiTheme="minorHAnsi" w:hAnsiTheme="minorHAnsi"/>
          <w:sz w:val="22"/>
          <w:szCs w:val="22"/>
        </w:rPr>
        <w:footnoteReference w:id="118"/>
      </w:r>
      <w:r w:rsidRPr="00B90432">
        <w:rPr>
          <w:rFonts w:asciiTheme="minorHAnsi" w:hAnsiTheme="minorHAnsi"/>
        </w:rPr>
        <w:t xml:space="preserve"> </w:t>
      </w:r>
    </w:p>
    <w:p w14:paraId="5538D2C0" w14:textId="77777777" w:rsidR="001A2B12" w:rsidRPr="00B90432" w:rsidRDefault="009166F6" w:rsidP="006F4717">
      <w:pPr>
        <w:pStyle w:val="Numberedparagraphs"/>
        <w:rPr>
          <w:rFonts w:asciiTheme="minorHAnsi" w:hAnsiTheme="minorHAnsi"/>
        </w:rPr>
      </w:pPr>
      <w:r w:rsidRPr="00B90432">
        <w:rPr>
          <w:rFonts w:asciiTheme="minorHAnsi" w:hAnsiTheme="minorHAnsi"/>
        </w:rPr>
        <w:t>According to the Nominating Commissions Law, commissions are required to abide by the principles of transparency, professional excellence, objectivity, and disclosure.</w:t>
      </w:r>
      <w:r w:rsidRPr="00B90432">
        <w:rPr>
          <w:rStyle w:val="FootnoteReference"/>
          <w:rFonts w:asciiTheme="minorHAnsi" w:hAnsiTheme="minorHAnsi"/>
          <w:sz w:val="22"/>
          <w:szCs w:val="22"/>
        </w:rPr>
        <w:footnoteReference w:id="119"/>
      </w:r>
      <w:r w:rsidRPr="00B90432">
        <w:rPr>
          <w:rFonts w:asciiTheme="minorHAnsi" w:hAnsiTheme="minorHAnsi"/>
        </w:rPr>
        <w:t xml:space="preserve"> The composition of commissions varies depending on the position in question. For example, the nominating commission lists of candidates for positions on the Supreme Court of Justice comprises 11 deans from the country's law schools, 11 representatives of the College of Lawyers and Notaries, 11 representatives of the appellate courts, and one representative of university rectors. The Commission presents a list of candidates from which the Congress of the Republic picks the justice.</w:t>
      </w:r>
      <w:r w:rsidRPr="00B90432">
        <w:rPr>
          <w:rStyle w:val="FootnoteReference"/>
          <w:rFonts w:asciiTheme="minorHAnsi" w:hAnsiTheme="minorHAnsi"/>
          <w:sz w:val="22"/>
          <w:szCs w:val="22"/>
        </w:rPr>
        <w:footnoteReference w:id="120"/>
      </w:r>
      <w:r w:rsidRPr="00B90432">
        <w:rPr>
          <w:rFonts w:asciiTheme="minorHAnsi" w:hAnsiTheme="minorHAnsi"/>
        </w:rPr>
        <w:t xml:space="preserve"> </w:t>
      </w:r>
    </w:p>
    <w:p w14:paraId="7FF9E8C3" w14:textId="77777777" w:rsidR="001A2B12" w:rsidRPr="00B90432" w:rsidRDefault="00F921CF" w:rsidP="006F4717">
      <w:pPr>
        <w:pStyle w:val="Numberedparagraphs"/>
        <w:rPr>
          <w:rFonts w:asciiTheme="minorHAnsi" w:hAnsiTheme="minorHAnsi"/>
        </w:rPr>
      </w:pPr>
      <w:r w:rsidRPr="00B90432">
        <w:rPr>
          <w:rFonts w:asciiTheme="minorHAnsi" w:hAnsiTheme="minorHAnsi"/>
        </w:rPr>
        <w:t>The IACHR considers that, on paper, the selection process for justice operators seems good, pluralistic, and objective. However, for several years the IACHR has received information—enlarged during its visit—that suggests that the process has been abused and flawed in practice, mainly through political influence peddling over the composition of nominating commissions, as well as insufficient scrutiny of members' qualifications.</w:t>
      </w:r>
      <w:r w:rsidRPr="00B90432">
        <w:rPr>
          <w:rStyle w:val="FootnoteReference"/>
          <w:rFonts w:asciiTheme="minorHAnsi" w:hAnsiTheme="minorHAnsi"/>
          <w:sz w:val="22"/>
          <w:szCs w:val="22"/>
        </w:rPr>
        <w:footnoteReference w:id="121"/>
      </w:r>
      <w:r w:rsidRPr="00B90432">
        <w:rPr>
          <w:rFonts w:asciiTheme="minorHAnsi" w:hAnsiTheme="minorHAnsi"/>
        </w:rPr>
        <w:t xml:space="preserve"> For example, the Commission received information suggesting that in the selection process potential candidates often require the tacit approval of certain high-ranking public officials and other actors that wield </w:t>
      </w:r>
      <w:r w:rsidRPr="00B90432">
        <w:rPr>
          <w:rFonts w:asciiTheme="minorHAnsi" w:hAnsiTheme="minorHAnsi"/>
          <w:i/>
          <w:iCs/>
        </w:rPr>
        <w:t>de facto</w:t>
      </w:r>
      <w:r w:rsidRPr="00B90432">
        <w:rPr>
          <w:rFonts w:asciiTheme="minorHAnsi" w:hAnsiTheme="minorHAnsi"/>
        </w:rPr>
        <w:t xml:space="preserve"> power in the country. In what would be one of the most dramatic examples of the current system's flaws, the IACHR was informed of the creation of law schools without students for the sole purpose of placing an additional dean on the nominating commission.</w:t>
      </w:r>
      <w:r w:rsidRPr="00B90432">
        <w:rPr>
          <w:rStyle w:val="FootnoteReference"/>
          <w:rFonts w:asciiTheme="minorHAnsi" w:hAnsiTheme="minorHAnsi"/>
          <w:sz w:val="22"/>
          <w:szCs w:val="22"/>
        </w:rPr>
        <w:footnoteReference w:id="122"/>
      </w:r>
      <w:r w:rsidRPr="00B90432">
        <w:rPr>
          <w:rFonts w:asciiTheme="minorHAnsi" w:hAnsiTheme="minorHAnsi"/>
        </w:rPr>
        <w:t xml:space="preserve"> The reiterated questions rasied are a reflection of the shortcomings in selection and appointment processes, which should respect and safeguard the principles of independence and autonomy of judges.</w:t>
      </w:r>
      <w:r w:rsidRPr="00B90432">
        <w:rPr>
          <w:rStyle w:val="FootnoteReference"/>
          <w:rFonts w:asciiTheme="minorHAnsi" w:hAnsiTheme="minorHAnsi"/>
          <w:sz w:val="22"/>
          <w:szCs w:val="22"/>
        </w:rPr>
        <w:footnoteReference w:id="123"/>
      </w:r>
    </w:p>
    <w:p w14:paraId="316378F3" w14:textId="77777777" w:rsidR="00EE38A0" w:rsidRPr="00B90432" w:rsidRDefault="00EE38A0" w:rsidP="006F4717">
      <w:pPr>
        <w:pStyle w:val="Numberedparagraphs"/>
        <w:rPr>
          <w:rFonts w:asciiTheme="minorHAnsi" w:hAnsiTheme="minorHAnsi"/>
        </w:rPr>
      </w:pPr>
      <w:r w:rsidRPr="00B90432">
        <w:rPr>
          <w:rFonts w:asciiTheme="minorHAnsi" w:hAnsiTheme="minorHAnsi"/>
        </w:rPr>
        <w:lastRenderedPageBreak/>
        <w:t>That is particularly important in light of information that in recent years six judges, including two Supreme Court (CSJ) justices have been convicted or prosecuted for such offenses as money laundering, illicit enrichment, acceptance of bribes, and breach of public duties.</w:t>
      </w:r>
      <w:r w:rsidRPr="00B90432">
        <w:rPr>
          <w:rStyle w:val="FootnoteReference"/>
          <w:rFonts w:asciiTheme="minorHAnsi" w:hAnsiTheme="minorHAnsi"/>
          <w:sz w:val="22"/>
          <w:szCs w:val="22"/>
        </w:rPr>
        <w:footnoteReference w:id="124"/>
      </w:r>
      <w:r w:rsidRPr="00B90432">
        <w:rPr>
          <w:rFonts w:asciiTheme="minorHAnsi" w:hAnsiTheme="minorHAnsi"/>
        </w:rPr>
        <w:t xml:space="preserve"> </w:t>
      </w:r>
    </w:p>
    <w:p w14:paraId="5023E2B6" w14:textId="77777777" w:rsidR="000B53C9" w:rsidRPr="00B90432" w:rsidRDefault="000B53C9" w:rsidP="006F4717">
      <w:pPr>
        <w:pStyle w:val="Numberedparagraphs"/>
        <w:rPr>
          <w:rFonts w:asciiTheme="minorHAnsi" w:hAnsiTheme="minorHAnsi"/>
        </w:rPr>
      </w:pPr>
      <w:r w:rsidRPr="00B90432">
        <w:rPr>
          <w:rFonts w:asciiTheme="minorHAnsi" w:hAnsiTheme="minorHAnsi"/>
        </w:rPr>
        <w:t>On March 7, 2016, the IACHR called on states in the region to strengthen judicial independence in their respective countries through appointment procedures that are in line with international standards. The IACHR pointed to risks in selection processes in several countries, including Guatemala, that could affect the independence of those selected. Such risks include: direct appointments by the executive branch, without the participation of another public body or without receiving observations from civil society actors or other interested parties with respect to the candidacies; a failure by the agencies responsible for designating judges to publish vacancy announcements and procedures; and lack of public access to information about the candidates so as to enable the effective participation of society, in compliance with the principle of civil society participation.</w:t>
      </w:r>
      <w:r w:rsidRPr="00B90432">
        <w:rPr>
          <w:rFonts w:asciiTheme="minorHAnsi" w:hAnsiTheme="minorHAnsi"/>
          <w:vertAlign w:val="superscript"/>
        </w:rPr>
        <w:footnoteReference w:id="125"/>
      </w:r>
    </w:p>
    <w:p w14:paraId="0BBD3131" w14:textId="77777777" w:rsidR="000B53C9" w:rsidRPr="00B90432" w:rsidRDefault="000B53C9" w:rsidP="006F4717">
      <w:pPr>
        <w:pStyle w:val="Numberedparagraphs"/>
        <w:rPr>
          <w:rFonts w:asciiTheme="minorHAnsi" w:hAnsiTheme="minorHAnsi"/>
        </w:rPr>
      </w:pPr>
      <w:r w:rsidRPr="00B90432">
        <w:rPr>
          <w:rFonts w:asciiTheme="minorHAnsi" w:hAnsiTheme="minorHAnsi"/>
        </w:rPr>
        <w:t>Also in March 2016, the United Nations Special Rapporteur on the independence of judges and lawyers, Monica Pinto, warned that the selection process for the five members of the Constitutional Court and their alternates for the 2016-2021 term in Guatemala might not meet fundamental principles of transparency and objectivity. The Special Rapporteur rated as positive certain advances made in some stages of the selection process for justices of the Constitutional court. However, she expressed grave concern about the risk of politicization and undue interference that threaten them, especially as regards the process for the appointment of the justice and alternate that corresponds to the President of the Republic, given that no information had been shared about the selection procedures or the criteria used either before or during the process.</w:t>
      </w:r>
      <w:r w:rsidRPr="00B90432">
        <w:rPr>
          <w:rFonts w:asciiTheme="minorHAnsi" w:hAnsiTheme="minorHAnsi"/>
          <w:vertAlign w:val="superscript"/>
        </w:rPr>
        <w:footnoteReference w:id="126"/>
      </w:r>
    </w:p>
    <w:p w14:paraId="7414ECCE" w14:textId="77777777" w:rsidR="001A2B12" w:rsidRPr="00B90432" w:rsidRDefault="000B53C9" w:rsidP="006F4717">
      <w:pPr>
        <w:pStyle w:val="Numberedparagraphs"/>
        <w:rPr>
          <w:rFonts w:asciiTheme="minorHAnsi" w:hAnsiTheme="minorHAnsi"/>
        </w:rPr>
      </w:pPr>
      <w:r w:rsidRPr="00B90432">
        <w:rPr>
          <w:rFonts w:asciiTheme="minorHAnsi" w:hAnsiTheme="minorHAnsi"/>
        </w:rPr>
        <w:lastRenderedPageBreak/>
        <w:t>The IACHR will continue to monitor coming selection and appointment processes closely, in particular looking at whether candidates satisfy the merits of suitability, capacity, and honesty established in Article 113 of the Constitution of Guatemala,</w:t>
      </w:r>
      <w:r w:rsidRPr="00B90432">
        <w:rPr>
          <w:rStyle w:val="FootnoteReference"/>
          <w:rFonts w:asciiTheme="minorHAnsi" w:hAnsiTheme="minorHAnsi"/>
          <w:sz w:val="22"/>
          <w:szCs w:val="22"/>
        </w:rPr>
        <w:footnoteReference w:id="127"/>
      </w:r>
      <w:r w:rsidRPr="00B90432">
        <w:rPr>
          <w:rFonts w:asciiTheme="minorHAnsi" w:hAnsiTheme="minorHAnsi"/>
        </w:rPr>
        <w:t xml:space="preserve"> as well as international standards in this regard.</w:t>
      </w:r>
    </w:p>
    <w:p w14:paraId="61CD8A07" w14:textId="77777777" w:rsidR="001A2B12" w:rsidRPr="00B90432" w:rsidRDefault="00A657A1" w:rsidP="006F4717">
      <w:pPr>
        <w:pStyle w:val="Numberedparagraphs"/>
        <w:rPr>
          <w:rFonts w:asciiTheme="minorHAnsi" w:hAnsiTheme="minorHAnsi"/>
        </w:rPr>
      </w:pPr>
      <w:r w:rsidRPr="00B90432">
        <w:rPr>
          <w:rFonts w:asciiTheme="minorHAnsi" w:hAnsiTheme="minorHAnsi"/>
        </w:rPr>
        <w:t xml:space="preserve">In this context, the Commission has also monitored the constitutional reform process in the area of justice, particularly laws that propose amendments to the Nominating Commissions Law, the Judicial Career Law, and the Organic Law of the Public Prosecution Service, among others. Broadly speaking the justice reforms are designed to separate the administrative and adjudicatory functions of the Supreme Court of Justice, recognize the indigenous jurisdiction, and reform selection processes for civil servants and justice operators. Among other </w:t>
      </w:r>
      <w:r w:rsidR="00D16DF2" w:rsidRPr="00B90432">
        <w:rPr>
          <w:rFonts w:asciiTheme="minorHAnsi" w:hAnsiTheme="minorHAnsi"/>
        </w:rPr>
        <w:t>aspects</w:t>
      </w:r>
      <w:r w:rsidRPr="00B90432">
        <w:rPr>
          <w:rFonts w:asciiTheme="minorHAnsi" w:hAnsiTheme="minorHAnsi"/>
        </w:rPr>
        <w:t>, the reforms aim to establish an objective points system for aspirants; adopt a score voting system in which each applicant grades candidates; set deadlines and establish rules on such things as technical assessment and interviews of candidates; incorporate mechanisms for assessing aspirants; correct a legal loophole with respect to the election procedure for members of the judicial career council who are not from the judiciary; and shield the disciplinary evaluation and punishment process from undue political influence.</w:t>
      </w:r>
      <w:r w:rsidRPr="00B90432">
        <w:rPr>
          <w:rStyle w:val="FootnoteReference"/>
          <w:rFonts w:asciiTheme="minorHAnsi" w:hAnsiTheme="minorHAnsi"/>
          <w:sz w:val="22"/>
          <w:szCs w:val="22"/>
        </w:rPr>
        <w:footnoteReference w:id="128"/>
      </w:r>
    </w:p>
    <w:p w14:paraId="25351DAA" w14:textId="77777777" w:rsidR="008D3350" w:rsidRPr="00B90432" w:rsidRDefault="001E3BE0" w:rsidP="006F4717">
      <w:pPr>
        <w:pStyle w:val="Numberedparagraphs"/>
        <w:rPr>
          <w:rFonts w:asciiTheme="minorHAnsi" w:hAnsiTheme="minorHAnsi"/>
        </w:rPr>
      </w:pPr>
      <w:r w:rsidRPr="00B90432">
        <w:rPr>
          <w:rFonts w:asciiTheme="minorHAnsi" w:hAnsiTheme="minorHAnsi"/>
        </w:rPr>
        <w:t>The Commission was told that the reform process aimed at strengthening governance and administrative management in the judiciary was set in motion with the participation of broad sectors of Guatemalan society, the Public Prosecution Service, the Human Rights Ombudsman, civil society organizations, and international agencies specializing in such matters. In addition, a technical secretariat of experts was set up with the participation of the Office of the United Nations Resident Coordinator in Guatemala, OHCHR, and CICIG in the dialogue, results systematization, and content proposal stages.</w:t>
      </w:r>
      <w:r w:rsidRPr="00B90432">
        <w:rPr>
          <w:rStyle w:val="FootnoteReference"/>
          <w:rFonts w:asciiTheme="minorHAnsi" w:hAnsiTheme="minorHAnsi"/>
          <w:sz w:val="22"/>
          <w:szCs w:val="22"/>
        </w:rPr>
        <w:footnoteReference w:id="129"/>
      </w:r>
      <w:r w:rsidRPr="00B90432">
        <w:rPr>
          <w:rFonts w:asciiTheme="minorHAnsi" w:hAnsiTheme="minorHAnsi"/>
        </w:rPr>
        <w:t xml:space="preserve"> Information received indicates that the President initially supported the reform.</w:t>
      </w:r>
      <w:r w:rsidRPr="00B90432">
        <w:rPr>
          <w:rStyle w:val="FootnoteReference"/>
          <w:rFonts w:asciiTheme="minorHAnsi" w:hAnsiTheme="minorHAnsi"/>
          <w:sz w:val="22"/>
          <w:szCs w:val="22"/>
        </w:rPr>
        <w:footnoteReference w:id="130"/>
      </w:r>
      <w:r w:rsidRPr="00B90432">
        <w:rPr>
          <w:rFonts w:asciiTheme="minorHAnsi" w:hAnsiTheme="minorHAnsi"/>
        </w:rPr>
        <w:t xml:space="preserve"> However, the reform process that got underway in 2015 has stalled in the Congress and, according to </w:t>
      </w:r>
      <w:r w:rsidRPr="00B90432">
        <w:rPr>
          <w:rFonts w:asciiTheme="minorHAnsi" w:hAnsiTheme="minorHAnsi"/>
        </w:rPr>
        <w:lastRenderedPageBreak/>
        <w:t>Guatemalan civil society organizations, there is a lack of political will to move it forward.</w:t>
      </w:r>
      <w:r w:rsidRPr="00B90432">
        <w:rPr>
          <w:rStyle w:val="FootnoteReference"/>
          <w:rFonts w:asciiTheme="minorHAnsi" w:hAnsiTheme="minorHAnsi"/>
          <w:sz w:val="22"/>
          <w:szCs w:val="22"/>
        </w:rPr>
        <w:footnoteReference w:id="131"/>
      </w:r>
    </w:p>
    <w:p w14:paraId="01BFC48D" w14:textId="77777777" w:rsidR="008D3350" w:rsidRPr="00B90432" w:rsidRDefault="00545135" w:rsidP="006F4717">
      <w:pPr>
        <w:pStyle w:val="Numberedparagraphs"/>
        <w:rPr>
          <w:rFonts w:asciiTheme="minorHAnsi" w:hAnsiTheme="minorHAnsi"/>
        </w:rPr>
      </w:pPr>
      <w:r w:rsidRPr="00B90432">
        <w:rPr>
          <w:rFonts w:asciiTheme="minorHAnsi" w:hAnsiTheme="minorHAnsi"/>
        </w:rPr>
        <w:t>The IACHR considers that this reform process presents an important opportunity for strengthening the independence of justice operators in Guatemala. The proposed reforms are especially important for ensuring noninterference in selection processes for justice operators who are critical for ensuring the continuity of efforts to combat corruption and impunity in the country, such as the Attorney General, the Comptroller General, and the members of the Supreme Court and Constitutional Court, who will be chosen in the first half of 2018.</w:t>
      </w:r>
      <w:r w:rsidRPr="00B90432">
        <w:rPr>
          <w:rStyle w:val="FootnoteReference"/>
          <w:rFonts w:asciiTheme="minorHAnsi" w:hAnsiTheme="minorHAnsi"/>
          <w:sz w:val="22"/>
          <w:szCs w:val="22"/>
        </w:rPr>
        <w:footnoteReference w:id="132"/>
      </w:r>
    </w:p>
    <w:p w14:paraId="34E3F4C5" w14:textId="77777777" w:rsidR="008D3350" w:rsidRPr="00B90432" w:rsidRDefault="00D72B63" w:rsidP="006F4717">
      <w:pPr>
        <w:pStyle w:val="Numberedparagraphs"/>
        <w:rPr>
          <w:rFonts w:asciiTheme="minorHAnsi" w:hAnsiTheme="minorHAnsi"/>
        </w:rPr>
      </w:pPr>
      <w:r w:rsidRPr="00B90432">
        <w:rPr>
          <w:rFonts w:asciiTheme="minorHAnsi" w:hAnsiTheme="minorHAnsi"/>
        </w:rPr>
        <w:t>The IACHR urges the State of Guatemala to push through the constitutional reform in the area of justice and enact it as soon as possible, while seeing to it that international standards in that regard are met. The Commission believes that the proposal to create a body in which the adjudicatory and administration functions of the Supreme Court of Justice are separate and which is independent from other branches of government could effectively better safeguard the independence of judges from pressures aimed at influencing or controlling their decisions. It also considers it important that the amendment of the Judicial Career Law be approved soon in order to completely and effectively integrate the operations of the Judicial Career Council. As to appointment and selection processes, as well as performance evaluation, the State should ensure that selection is based on merit and professional capacity and that the principle of non-discrimination and equal access to opportunities is observed.</w:t>
      </w:r>
    </w:p>
    <w:p w14:paraId="2831EF1B" w14:textId="77777777" w:rsidR="00FF5978" w:rsidRPr="00B90432" w:rsidRDefault="00FF5978" w:rsidP="006F4717">
      <w:pPr>
        <w:pStyle w:val="Numberedparagraphs"/>
        <w:rPr>
          <w:rFonts w:asciiTheme="minorHAnsi" w:hAnsiTheme="minorHAnsi"/>
        </w:rPr>
      </w:pPr>
      <w:r w:rsidRPr="00B90432">
        <w:rPr>
          <w:rFonts w:asciiTheme="minorHAnsi" w:hAnsiTheme="minorHAnsi"/>
        </w:rPr>
        <w:t xml:space="preserve">The Commission notes that in response to public demands to fight corruption and enhance judicial independence, the Congress adopted a number of amendments to laws, including the Organic Law of the Public Prosecution Service and the Judicial Career Law. According to the human rights ombudsman, one of the most important advances of the new provisions is the incorporation of guiding principles and the creation of the Judicial Career Council, whose functions will include convocation, appointment, performance evaluation, and the disciplinary regime for justices of the peace and lower court judges; the appointment of disciplinary boards and of the Director of the School of Legal Studies; approval of the policies and programs of the School of Legal Studies; and notification of the Congress of the expiration of the constitutional term of </w:t>
      </w:r>
      <w:r w:rsidRPr="00B90432">
        <w:rPr>
          <w:rFonts w:asciiTheme="minorHAnsi" w:hAnsiTheme="minorHAnsi"/>
        </w:rPr>
        <w:lastRenderedPageBreak/>
        <w:t>office of members of the Supreme Court and the Court of Appeals.</w:t>
      </w:r>
      <w:r w:rsidRPr="00B90432">
        <w:rPr>
          <w:rFonts w:asciiTheme="minorHAnsi" w:hAnsiTheme="minorHAnsi"/>
          <w:vertAlign w:val="superscript"/>
        </w:rPr>
        <w:footnoteReference w:id="133"/>
      </w:r>
      <w:r w:rsidRPr="00B90432">
        <w:rPr>
          <w:rFonts w:asciiTheme="minorHAnsi" w:hAnsiTheme="minorHAnsi"/>
        </w:rPr>
        <w:t xml:space="preserve"> On June 29, 2016, the Public Prosecution Service, CICIG, and the Office of the High Commissioner for Human Rights welcomed the adoption by the Congress of Decree No. 32-2016 (Judicial Career Law), saying that it would help to strengthen and ensure judicial independence and impartiality consistent with international human rights standards. The Law is designed to ensure that the procedures for selection, promotion, transfer, and performance evaluation of judges is done based on objective and transparent criteria, merit and expertise, as well as establishing guarantees for due process in disciplinary proceedings.</w:t>
      </w:r>
      <w:r w:rsidRPr="00B90432">
        <w:rPr>
          <w:rFonts w:asciiTheme="minorHAnsi" w:hAnsiTheme="minorHAnsi"/>
          <w:vertAlign w:val="superscript"/>
        </w:rPr>
        <w:footnoteReference w:id="134"/>
      </w:r>
      <w:r w:rsidRPr="00B90432">
        <w:rPr>
          <w:rFonts w:asciiTheme="minorHAnsi" w:hAnsiTheme="minorHAnsi"/>
        </w:rPr>
        <w:t xml:space="preserve"> </w:t>
      </w:r>
    </w:p>
    <w:p w14:paraId="1EAE9881" w14:textId="77777777" w:rsidR="00FF5978" w:rsidRPr="00B90432" w:rsidRDefault="008C518B" w:rsidP="006F4717">
      <w:pPr>
        <w:pStyle w:val="Numberedparagraphs"/>
        <w:rPr>
          <w:rFonts w:asciiTheme="minorHAnsi" w:hAnsiTheme="minorHAnsi"/>
        </w:rPr>
      </w:pPr>
      <w:r w:rsidRPr="00B90432">
        <w:rPr>
          <w:rFonts w:asciiTheme="minorHAnsi" w:hAnsiTheme="minorHAnsi"/>
        </w:rPr>
        <w:t>CICIG and the office of the High Commissioner for Human Rights also welcomed the reform of the Organic Law of the Public Prosecution Service, saying that it would help strengthen the institutional framework of the Public Prosecution Service so that it could carry out its work independently and effectively, as the fight against impunity requires.</w:t>
      </w:r>
      <w:r w:rsidRPr="00B90432">
        <w:rPr>
          <w:rStyle w:val="FootnoteReference"/>
          <w:rFonts w:asciiTheme="minorHAnsi" w:hAnsiTheme="minorHAnsi"/>
          <w:sz w:val="22"/>
          <w:szCs w:val="22"/>
        </w:rPr>
        <w:footnoteReference w:id="135"/>
      </w:r>
    </w:p>
    <w:p w14:paraId="2B1D6175" w14:textId="77777777" w:rsidR="008D3350" w:rsidRPr="00B90432" w:rsidRDefault="00EB1F4F" w:rsidP="006F4717">
      <w:pPr>
        <w:pStyle w:val="Numberedparagraphs"/>
        <w:rPr>
          <w:rFonts w:asciiTheme="minorHAnsi" w:hAnsiTheme="minorHAnsi"/>
        </w:rPr>
      </w:pPr>
      <w:r w:rsidRPr="00B90432">
        <w:rPr>
          <w:rFonts w:asciiTheme="minorHAnsi" w:hAnsiTheme="minorHAnsi"/>
        </w:rPr>
        <w:t xml:space="preserve">The importance of and need for these justice reforms is clear from the serious situation of risk that several justice operators face in Guatemala, which includes pressures, in particular on judges, from the highest levels of the State. (See section on the situation of human rights defenders and justice operators.) </w:t>
      </w:r>
      <w:bookmarkStart w:id="30" w:name="_Ref367541974"/>
    </w:p>
    <w:bookmarkEnd w:id="30"/>
    <w:p w14:paraId="2130A21E" w14:textId="77777777" w:rsidR="004D2F69" w:rsidRPr="00B90432" w:rsidRDefault="008C518B" w:rsidP="006F4717">
      <w:pPr>
        <w:pStyle w:val="Numberedparagraphs"/>
        <w:rPr>
          <w:rFonts w:asciiTheme="minorHAnsi" w:hAnsiTheme="minorHAnsi"/>
        </w:rPr>
      </w:pPr>
      <w:r w:rsidRPr="00B90432">
        <w:rPr>
          <w:rFonts w:asciiTheme="minorHAnsi" w:hAnsiTheme="minorHAnsi"/>
        </w:rPr>
        <w:t>Another factor that weakens the independence of justice operators is their reduced budgets and poor working conditions. While the both the Public Criminal Defender Institute (IDPP) and the Attorney General of Guatemala recently reported a modest increase in their budgets, they also warned of their reduced ability to cover the country and their limited capacity to respond effectively to the large number of cases assigned to them.</w:t>
      </w:r>
      <w:r w:rsidRPr="00B90432">
        <w:rPr>
          <w:rStyle w:val="FootnoteReference"/>
          <w:rFonts w:asciiTheme="minorHAnsi" w:hAnsiTheme="minorHAnsi"/>
          <w:sz w:val="22"/>
          <w:szCs w:val="22"/>
        </w:rPr>
        <w:footnoteReference w:id="136"/>
      </w:r>
      <w:r w:rsidRPr="00B90432">
        <w:rPr>
          <w:rFonts w:asciiTheme="minorHAnsi" w:hAnsiTheme="minorHAnsi"/>
        </w:rPr>
        <w:t xml:space="preserve"> In this regard, the Attorney General reported, for example, that her office only has a presence in 10 percent of the country, while the Public Defender Institute said that it has only about 300 lawyers to carry out its work nationwide. As </w:t>
      </w:r>
      <w:r w:rsidRPr="00B90432">
        <w:rPr>
          <w:rFonts w:asciiTheme="minorHAnsi" w:hAnsiTheme="minorHAnsi"/>
        </w:rPr>
        <w:lastRenderedPageBreak/>
        <w:t>regards the IDPP, the Commission was informed that it has 15 indigenous attorneys who cover 11 Mayan, Xinca and Garífuna languages.</w:t>
      </w:r>
      <w:r w:rsidRPr="00B90432">
        <w:rPr>
          <w:rStyle w:val="FootnoteReference"/>
          <w:rFonts w:asciiTheme="minorHAnsi" w:hAnsiTheme="minorHAnsi"/>
          <w:sz w:val="22"/>
          <w:szCs w:val="22"/>
        </w:rPr>
        <w:footnoteReference w:id="137"/>
      </w:r>
    </w:p>
    <w:p w14:paraId="61C81FDB" w14:textId="77777777" w:rsidR="00200409" w:rsidRPr="00B90432" w:rsidRDefault="00900296" w:rsidP="006F4717">
      <w:pPr>
        <w:pStyle w:val="Numberedparagraphs"/>
        <w:rPr>
          <w:rFonts w:asciiTheme="minorHAnsi" w:hAnsiTheme="minorHAnsi"/>
        </w:rPr>
      </w:pPr>
      <w:r w:rsidRPr="00B90432">
        <w:rPr>
          <w:rFonts w:asciiTheme="minorHAnsi" w:hAnsiTheme="minorHAnsi"/>
        </w:rPr>
        <w:t>In light of the situation, the IACHR reiterates that the State has an obligation to implement an efficient, impartial system for the administration of justice that functions with the appropriate swiftness to ensure full access to justice for everyone in Guatemala.</w:t>
      </w:r>
      <w:r w:rsidRPr="00B90432">
        <w:rPr>
          <w:rStyle w:val="FootnoteReference"/>
          <w:rFonts w:asciiTheme="minorHAnsi" w:hAnsiTheme="minorHAnsi"/>
          <w:sz w:val="22"/>
          <w:szCs w:val="22"/>
        </w:rPr>
        <w:footnoteReference w:id="138"/>
      </w:r>
      <w:r w:rsidRPr="00B90432">
        <w:rPr>
          <w:rFonts w:asciiTheme="minorHAnsi" w:hAnsiTheme="minorHAnsi"/>
        </w:rPr>
        <w:t xml:space="preserve"> </w:t>
      </w:r>
    </w:p>
    <w:p w14:paraId="557AEEEC" w14:textId="3DBD552E" w:rsidR="00787D5D" w:rsidRPr="00B90432" w:rsidRDefault="00787D5D" w:rsidP="009A58BE">
      <w:pPr>
        <w:pStyle w:val="Heading2"/>
      </w:pPr>
      <w:bookmarkStart w:id="31" w:name="_Toc509827634"/>
      <w:r w:rsidRPr="00B90432">
        <w:t xml:space="preserve">Access to </w:t>
      </w:r>
      <w:r w:rsidR="00823419" w:rsidRPr="00B90432">
        <w:t xml:space="preserve">Justice </w:t>
      </w:r>
      <w:r w:rsidRPr="00B90432">
        <w:t xml:space="preserve">for </w:t>
      </w:r>
      <w:r w:rsidR="00823419" w:rsidRPr="00B90432">
        <w:t>Different Groups</w:t>
      </w:r>
      <w:bookmarkEnd w:id="31"/>
    </w:p>
    <w:p w14:paraId="682CAFD2" w14:textId="77777777" w:rsidR="00D707A1" w:rsidRPr="00B90432" w:rsidRDefault="00D707A1" w:rsidP="006F4717">
      <w:pPr>
        <w:pStyle w:val="Numberedparagraphs"/>
        <w:rPr>
          <w:rFonts w:asciiTheme="minorHAnsi" w:hAnsiTheme="minorHAnsi"/>
        </w:rPr>
      </w:pPr>
      <w:r w:rsidRPr="00B90432">
        <w:rPr>
          <w:rFonts w:asciiTheme="minorHAnsi" w:hAnsiTheme="minorHAnsi"/>
        </w:rPr>
        <w:t>During its visit, the IACHR noted that access to justice in Guatemala is differentiated. Historically sidelined sectors of the population face specific obstacles that hinder their effective access to justice. In the following section the Commission describes the main obstacles it has identified that prevent a number of groups from obtaining effective access to justice.</w:t>
      </w:r>
    </w:p>
    <w:p w14:paraId="1561EE33" w14:textId="77777777" w:rsidR="00787D5D" w:rsidRPr="00305FFD" w:rsidRDefault="00787D5D" w:rsidP="003359B2">
      <w:pPr>
        <w:pStyle w:val="Heading3"/>
      </w:pPr>
      <w:bookmarkStart w:id="32" w:name="_Toc509827635"/>
      <w:r w:rsidRPr="00305FFD">
        <w:t>Women</w:t>
      </w:r>
      <w:bookmarkEnd w:id="32"/>
    </w:p>
    <w:p w14:paraId="68FBC502" w14:textId="77777777" w:rsidR="008D3350" w:rsidRPr="00B90432" w:rsidRDefault="005D76C7" w:rsidP="006F4717">
      <w:pPr>
        <w:pStyle w:val="Numberedparagraphs"/>
        <w:rPr>
          <w:rFonts w:asciiTheme="minorHAnsi" w:hAnsiTheme="minorHAnsi"/>
        </w:rPr>
      </w:pPr>
      <w:r w:rsidRPr="00B90432">
        <w:rPr>
          <w:rFonts w:asciiTheme="minorHAnsi" w:hAnsiTheme="minorHAnsi"/>
        </w:rPr>
        <w:t>With respect to access to justice for women, the Commission recognizes the efforts made to develop laws and institutions to provide protection and justice for women in general, and for indigenous women in particular, in terms of specialized justice.</w:t>
      </w:r>
      <w:r w:rsidRPr="00B90432">
        <w:rPr>
          <w:rFonts w:asciiTheme="minorHAnsi" w:hAnsiTheme="minorHAnsi"/>
          <w:vertAlign w:val="superscript"/>
        </w:rPr>
        <w:footnoteReference w:id="139"/>
      </w:r>
      <w:r w:rsidRPr="00B90432">
        <w:rPr>
          <w:rFonts w:asciiTheme="minorHAnsi" w:hAnsiTheme="minorHAnsi"/>
          <w:vertAlign w:val="superscript"/>
        </w:rPr>
        <w:t xml:space="preserve"> </w:t>
      </w:r>
      <w:r w:rsidRPr="00B90432">
        <w:rPr>
          <w:rFonts w:asciiTheme="minorHAnsi" w:hAnsiTheme="minorHAnsi"/>
        </w:rPr>
        <w:t xml:space="preserve">The country has a number of laws, including the </w:t>
      </w:r>
      <w:r w:rsidRPr="00B90432">
        <w:rPr>
          <w:rFonts w:asciiTheme="minorHAnsi" w:hAnsiTheme="minorHAnsi"/>
          <w:i/>
          <w:iCs/>
        </w:rPr>
        <w:t>Law to Prevent, Punish and Eradicate Intrafamily Violence</w:t>
      </w:r>
      <w:r w:rsidRPr="00B90432">
        <w:rPr>
          <w:rFonts w:asciiTheme="minorHAnsi" w:hAnsiTheme="minorHAnsi"/>
        </w:rPr>
        <w:t xml:space="preserve"> (1996),</w:t>
      </w:r>
      <w:r w:rsidRPr="00B90432">
        <w:rPr>
          <w:rFonts w:asciiTheme="minorHAnsi" w:hAnsiTheme="minorHAnsi"/>
          <w:vertAlign w:val="superscript"/>
        </w:rPr>
        <w:t xml:space="preserve"> </w:t>
      </w:r>
      <w:r w:rsidRPr="00B90432">
        <w:rPr>
          <w:rFonts w:asciiTheme="minorHAnsi" w:hAnsiTheme="minorHAnsi"/>
          <w:vertAlign w:val="superscript"/>
        </w:rPr>
        <w:footnoteReference w:id="140"/>
      </w:r>
      <w:r w:rsidRPr="00B90432">
        <w:rPr>
          <w:rFonts w:asciiTheme="minorHAnsi" w:hAnsiTheme="minorHAnsi"/>
        </w:rPr>
        <w:t xml:space="preserve"> the </w:t>
      </w:r>
      <w:r w:rsidRPr="00B90432">
        <w:rPr>
          <w:rFonts w:asciiTheme="minorHAnsi" w:hAnsiTheme="minorHAnsi"/>
          <w:i/>
          <w:iCs/>
        </w:rPr>
        <w:t xml:space="preserve">Law against Femicide and Other Forms of Violence against Women </w:t>
      </w:r>
      <w:r w:rsidRPr="00B90432">
        <w:rPr>
          <w:rFonts w:asciiTheme="minorHAnsi" w:hAnsiTheme="minorHAnsi"/>
        </w:rPr>
        <w:t>(2008),</w:t>
      </w:r>
      <w:r w:rsidRPr="00B90432">
        <w:rPr>
          <w:rFonts w:asciiTheme="minorHAnsi" w:hAnsiTheme="minorHAnsi"/>
          <w:vertAlign w:val="superscript"/>
        </w:rPr>
        <w:footnoteReference w:id="141"/>
      </w:r>
      <w:r w:rsidRPr="00B90432">
        <w:rPr>
          <w:rFonts w:asciiTheme="minorHAnsi" w:hAnsiTheme="minorHAnsi"/>
        </w:rPr>
        <w:t xml:space="preserve"> the </w:t>
      </w:r>
      <w:r w:rsidRPr="00B90432">
        <w:rPr>
          <w:rFonts w:asciiTheme="minorHAnsi" w:hAnsiTheme="minorHAnsi"/>
          <w:i/>
          <w:iCs/>
        </w:rPr>
        <w:t>Law against Sexual Violence, Exploitation, and Trafficking in Persons</w:t>
      </w:r>
      <w:r w:rsidRPr="00B90432">
        <w:rPr>
          <w:rFonts w:asciiTheme="minorHAnsi" w:hAnsiTheme="minorHAnsi"/>
        </w:rPr>
        <w:t xml:space="preserve"> (2009),</w:t>
      </w:r>
      <w:r w:rsidRPr="00B90432">
        <w:rPr>
          <w:rFonts w:asciiTheme="minorHAnsi" w:hAnsiTheme="minorHAnsi"/>
          <w:vertAlign w:val="superscript"/>
        </w:rPr>
        <w:t xml:space="preserve"> </w:t>
      </w:r>
      <w:r w:rsidRPr="00B90432">
        <w:rPr>
          <w:rFonts w:asciiTheme="minorHAnsi" w:hAnsiTheme="minorHAnsi"/>
          <w:vertAlign w:val="superscript"/>
        </w:rPr>
        <w:footnoteReference w:id="142"/>
      </w:r>
      <w:r w:rsidRPr="00B90432">
        <w:rPr>
          <w:rFonts w:asciiTheme="minorHAnsi" w:hAnsiTheme="minorHAnsi"/>
        </w:rPr>
        <w:t xml:space="preserve"> and the </w:t>
      </w:r>
      <w:r w:rsidRPr="00B90432">
        <w:rPr>
          <w:rFonts w:asciiTheme="minorHAnsi" w:hAnsiTheme="minorHAnsi"/>
          <w:i/>
          <w:iCs/>
        </w:rPr>
        <w:t>Law on Immediate Search for Missing Women</w:t>
      </w:r>
      <w:r w:rsidRPr="00B90432">
        <w:rPr>
          <w:rFonts w:asciiTheme="minorHAnsi" w:hAnsiTheme="minorHAnsi"/>
        </w:rPr>
        <w:t xml:space="preserve"> (2016).</w:t>
      </w:r>
      <w:r w:rsidRPr="00B90432">
        <w:rPr>
          <w:rFonts w:asciiTheme="minorHAnsi" w:hAnsiTheme="minorHAnsi"/>
          <w:vertAlign w:val="superscript"/>
        </w:rPr>
        <w:footnoteReference w:id="143"/>
      </w:r>
      <w:r w:rsidRPr="00B90432">
        <w:rPr>
          <w:rFonts w:asciiTheme="minorHAnsi" w:hAnsiTheme="minorHAnsi"/>
        </w:rPr>
        <w:t xml:space="preserve"> Guatemala has also developed state institutions for advancement and protection of women’s rights, including the General Secretariat for </w:t>
      </w:r>
      <w:r w:rsidRPr="00B90432">
        <w:rPr>
          <w:rFonts w:asciiTheme="minorHAnsi" w:hAnsiTheme="minorHAnsi"/>
        </w:rPr>
        <w:lastRenderedPageBreak/>
        <w:t>Women (SEPREM), the National Coordinator for the Prevention of Intrafamilial Violence (CONAPREVI), and the Office of the Ombudsperson for Indigenous Women (DEMI). The creation of mechanisms such as the Prosecutor’s Office for Women, the 24-hour Criminal Court of First Instance for Crimes of Femicide, or the Comprehensive Model to Address Violence against Women are also steps in the right direction in the specialization of the justice system and the prosecution of acts of violence against women.</w:t>
      </w:r>
    </w:p>
    <w:p w14:paraId="1DC1DD8E" w14:textId="77777777" w:rsidR="00E133C4" w:rsidRPr="00B90432" w:rsidRDefault="005D76C7" w:rsidP="006F4717">
      <w:pPr>
        <w:pStyle w:val="Numberedparagraphs"/>
        <w:rPr>
          <w:rFonts w:asciiTheme="minorHAnsi" w:hAnsiTheme="minorHAnsi"/>
        </w:rPr>
      </w:pPr>
      <w:r w:rsidRPr="00B90432">
        <w:rPr>
          <w:rFonts w:asciiTheme="minorHAnsi" w:hAnsiTheme="minorHAnsi"/>
        </w:rPr>
        <w:t>However, during its on-site visit the Commission was briefed about the shortage of resources and staff at most of these institutions, which weakens their capacity to act effectively. A case in point is the Office of the Ombudsperson for Indigenous Women (DEMI), which has the highly challenging mandate of covering all the country's different geolinguistic areas.</w:t>
      </w:r>
      <w:r w:rsidRPr="00B90432">
        <w:rPr>
          <w:rFonts w:asciiTheme="minorHAnsi" w:hAnsiTheme="minorHAnsi"/>
          <w:vertAlign w:val="superscript"/>
        </w:rPr>
        <w:footnoteReference w:id="144"/>
      </w:r>
      <w:r w:rsidRPr="00B90432">
        <w:rPr>
          <w:rFonts w:asciiTheme="minorHAnsi" w:hAnsiTheme="minorHAnsi"/>
        </w:rPr>
        <w:t xml:space="preserve"> To carry out its mandate properly, the institution considers that it needs an annual budget of 43 million quetzales, whereas at present it is allocated only 16 million quetzales per year.</w:t>
      </w:r>
      <w:r w:rsidRPr="00B90432">
        <w:rPr>
          <w:rFonts w:asciiTheme="minorHAnsi" w:hAnsiTheme="minorHAnsi"/>
          <w:vertAlign w:val="superscript"/>
        </w:rPr>
        <w:footnoteReference w:id="145"/>
      </w:r>
      <w:r w:rsidRPr="00B90432">
        <w:rPr>
          <w:rFonts w:asciiTheme="minorHAnsi" w:hAnsiTheme="minorHAnsi"/>
        </w:rPr>
        <w:t xml:space="preserve"> </w:t>
      </w:r>
      <w:r w:rsidR="009A547C" w:rsidRPr="00B90432">
        <w:rPr>
          <w:rFonts w:asciiTheme="minorHAnsi" w:hAnsiTheme="minorHAnsi"/>
        </w:rPr>
        <w:t>In its comments to the draf of this report, the State informed that DEMI’s budget for 2017 was 19 million quetzals, and that this year it opened two additional regional offices, bringing the total number of offices in the country to 14.</w:t>
      </w:r>
      <w:r w:rsidR="009A547C" w:rsidRPr="00B90432">
        <w:rPr>
          <w:rStyle w:val="FootnoteReference"/>
          <w:rFonts w:asciiTheme="minorHAnsi" w:hAnsiTheme="minorHAnsi"/>
          <w:sz w:val="22"/>
          <w:szCs w:val="22"/>
        </w:rPr>
        <w:footnoteReference w:id="146"/>
      </w:r>
      <w:r w:rsidR="009A547C" w:rsidRPr="00B90432">
        <w:rPr>
          <w:rFonts w:asciiTheme="minorHAnsi" w:hAnsiTheme="minorHAnsi"/>
        </w:rPr>
        <w:t xml:space="preserve"> </w:t>
      </w:r>
      <w:r w:rsidRPr="00B90432">
        <w:rPr>
          <w:rFonts w:asciiTheme="minorHAnsi" w:hAnsiTheme="minorHAnsi"/>
        </w:rPr>
        <w:t>Geolinguistic coverage is of the utmost importance for ensuring access to justice for indigenous women since, as the Commission has stated, although translation at hearings is guaranteed, there is a constant shortage of personnel who speak local languages fluently, as well as a lack of interpreters and translators for other procedures. This situation creates a mismatch between the alleged facts and the way in which the complaint is registered.</w:t>
      </w:r>
      <w:r w:rsidRPr="00B90432">
        <w:rPr>
          <w:rFonts w:asciiTheme="minorHAnsi" w:hAnsiTheme="minorHAnsi"/>
          <w:vertAlign w:val="superscript"/>
        </w:rPr>
        <w:footnoteReference w:id="147"/>
      </w:r>
    </w:p>
    <w:p w14:paraId="315D65C8" w14:textId="77777777" w:rsidR="008D3350" w:rsidRPr="00B90432" w:rsidRDefault="00E133C4" w:rsidP="006F4717">
      <w:pPr>
        <w:pStyle w:val="Numberedparagraphs"/>
        <w:rPr>
          <w:rFonts w:asciiTheme="minorHAnsi" w:hAnsiTheme="minorHAnsi"/>
        </w:rPr>
      </w:pPr>
      <w:r w:rsidRPr="00B90432">
        <w:rPr>
          <w:rFonts w:asciiTheme="minorHAnsi" w:hAnsiTheme="minorHAnsi"/>
        </w:rPr>
        <w:t xml:space="preserve">DEMI was created in the wake of the peace accords with the aim of advancing indigenous women's human rights. It represented an innovative </w:t>
      </w:r>
      <w:r w:rsidRPr="00B90432">
        <w:rPr>
          <w:rFonts w:asciiTheme="minorHAnsi" w:hAnsiTheme="minorHAnsi"/>
        </w:rPr>
        <w:lastRenderedPageBreak/>
        <w:t>effort on the part of the Guatemalan State to provide comprehensive and specialized assistance to indigenous women who were victims of violence. However, the Commission has expressed concern at reverses in its institutional independence, given the change in the mechanism for appointing the Ombudsperson by Executive Decree 38-2013.</w:t>
      </w:r>
      <w:r w:rsidRPr="00B90432">
        <w:rPr>
          <w:rFonts w:asciiTheme="minorHAnsi" w:hAnsiTheme="minorHAnsi"/>
          <w:vertAlign w:val="superscript"/>
        </w:rPr>
        <w:footnoteReference w:id="148"/>
      </w:r>
      <w:r w:rsidRPr="00B90432">
        <w:rPr>
          <w:rFonts w:asciiTheme="minorHAnsi" w:hAnsiTheme="minorHAnsi"/>
        </w:rPr>
        <w:t xml:space="preserve"> The information received suggests that this mechanism has suppressed the role of the Coordinating Board and the Advisory Council of proposing a shortlist of three candidates to the President of the Republic.</w:t>
      </w:r>
      <w:r w:rsidRPr="00B90432">
        <w:rPr>
          <w:rFonts w:asciiTheme="minorHAnsi" w:hAnsiTheme="minorHAnsi"/>
          <w:vertAlign w:val="superscript"/>
        </w:rPr>
        <w:footnoteReference w:id="149"/>
      </w:r>
      <w:r w:rsidRPr="00B90432">
        <w:rPr>
          <w:rFonts w:asciiTheme="minorHAnsi" w:hAnsiTheme="minorHAnsi"/>
        </w:rPr>
        <w:t xml:space="preserve"> During its on-site visit, the Commission was informed that this situation has not been rectified, undermining the right of women to have a say in the choice of the Ombudsperson for Indigenous Women.</w:t>
      </w:r>
      <w:r w:rsidRPr="00B90432">
        <w:rPr>
          <w:rFonts w:asciiTheme="minorHAnsi" w:hAnsiTheme="minorHAnsi"/>
          <w:vertAlign w:val="superscript"/>
        </w:rPr>
        <w:footnoteReference w:id="150"/>
      </w:r>
      <w:r w:rsidRPr="00B90432">
        <w:rPr>
          <w:rFonts w:asciiTheme="minorHAnsi" w:hAnsiTheme="minorHAnsi"/>
        </w:rPr>
        <w:t xml:space="preserve"> The Commission reminds the State of the importance of ensuring full participation for indigenous women in the process of selecting the head of DEMI. </w:t>
      </w:r>
      <w:r w:rsidR="009A547C" w:rsidRPr="00B90432">
        <w:rPr>
          <w:rFonts w:asciiTheme="minorHAnsi" w:hAnsiTheme="minorHAnsi"/>
        </w:rPr>
        <w:t>In its comments to the draft of this report, the State indicated that DEMI carried out 706 training modules related to womens’ rights, in which it trained 52,372 people, including indigenous women and public servants and employees.</w:t>
      </w:r>
      <w:r w:rsidR="009A547C" w:rsidRPr="00B90432">
        <w:rPr>
          <w:rStyle w:val="FootnoteReference"/>
          <w:rFonts w:asciiTheme="minorHAnsi" w:hAnsiTheme="minorHAnsi"/>
          <w:sz w:val="22"/>
          <w:szCs w:val="22"/>
        </w:rPr>
        <w:footnoteReference w:id="151"/>
      </w:r>
      <w:r w:rsidR="009A547C" w:rsidRPr="00B90432">
        <w:rPr>
          <w:rFonts w:asciiTheme="minorHAnsi" w:hAnsiTheme="minorHAnsi"/>
        </w:rPr>
        <w:t xml:space="preserve"> In addition, between 2012 and 2016 it provided assistance in a total of 1,937 cases related to violence against indigenous women, out of which 760 included legal representation in different types of violence-related cases. It also indicated that it provided social assistance in 308 cases and psychological services in 869 cases.</w:t>
      </w:r>
      <w:r w:rsidR="009A547C" w:rsidRPr="00B90432">
        <w:rPr>
          <w:rStyle w:val="FootnoteReference"/>
          <w:rFonts w:asciiTheme="minorHAnsi" w:hAnsiTheme="minorHAnsi"/>
          <w:sz w:val="22"/>
          <w:szCs w:val="22"/>
        </w:rPr>
        <w:footnoteReference w:id="152"/>
      </w:r>
    </w:p>
    <w:p w14:paraId="67167149" w14:textId="77777777" w:rsidR="00171AD9" w:rsidRPr="00B90432" w:rsidRDefault="00DB3F1E" w:rsidP="006F4717">
      <w:pPr>
        <w:pStyle w:val="Numberedparagraphs"/>
        <w:rPr>
          <w:rFonts w:asciiTheme="minorHAnsi" w:hAnsiTheme="minorHAnsi"/>
        </w:rPr>
      </w:pPr>
      <w:r w:rsidRPr="00B90432">
        <w:rPr>
          <w:rFonts w:asciiTheme="minorHAnsi" w:hAnsiTheme="minorHAnsi"/>
        </w:rPr>
        <w:t xml:space="preserve">During its on-site visit, the Commission received consistent information about the obstacles that women—particularly indigenous women—face in obtaining effective access to justice, in spite of the institutional mechanisms developed in the country. For instance, on its visit to women in indigenous </w:t>
      </w:r>
      <w:r w:rsidRPr="00B90432">
        <w:rPr>
          <w:rFonts w:asciiTheme="minorHAnsi" w:hAnsiTheme="minorHAnsi"/>
        </w:rPr>
        <w:lastRenderedPageBreak/>
        <w:t>communities in Alta Verapaz the Commission was informed of acts of discrimination, lack of adequate assistance, and lack of coordination on the part of local authorities.</w:t>
      </w:r>
      <w:r w:rsidRPr="00B90432">
        <w:rPr>
          <w:rFonts w:asciiTheme="minorHAnsi" w:hAnsiTheme="minorHAnsi"/>
          <w:vertAlign w:val="superscript"/>
        </w:rPr>
        <w:footnoteReference w:id="153"/>
      </w:r>
      <w:r w:rsidRPr="00B90432">
        <w:rPr>
          <w:rFonts w:asciiTheme="minorHAnsi" w:hAnsiTheme="minorHAnsi"/>
        </w:rPr>
        <w:t xml:space="preserve"> According to the information received, there is a practice of exclusion and centralization of justice services in the country that makes it difficult to lodge complaints, file lawsuits, and institute other judicial procedures. Indigenous women's human rights organizations told the Commission that there were not enough judicial offices in the country and that, because they were centrally situated at municipal and departmental seats, access to them was restricted by the large distances they had to travel which, in turn, made the process more costly for victim.</w:t>
      </w:r>
      <w:r w:rsidRPr="00B90432">
        <w:rPr>
          <w:rFonts w:asciiTheme="minorHAnsi" w:hAnsiTheme="minorHAnsi"/>
          <w:vertAlign w:val="superscript"/>
        </w:rPr>
        <w:footnoteReference w:id="154"/>
      </w:r>
      <w:r w:rsidRPr="00B90432">
        <w:rPr>
          <w:rFonts w:asciiTheme="minorHAnsi" w:hAnsiTheme="minorHAnsi"/>
        </w:rPr>
        <w:t xml:space="preserve"> </w:t>
      </w:r>
    </w:p>
    <w:p w14:paraId="6304F03C" w14:textId="77777777" w:rsidR="00496798" w:rsidRPr="00B90432" w:rsidRDefault="005D76C7" w:rsidP="006F4717">
      <w:pPr>
        <w:pStyle w:val="Numberedparagraphs"/>
        <w:rPr>
          <w:rFonts w:asciiTheme="minorHAnsi" w:hAnsiTheme="minorHAnsi"/>
        </w:rPr>
      </w:pPr>
      <w:r w:rsidRPr="00B90432">
        <w:rPr>
          <w:rFonts w:asciiTheme="minorHAnsi" w:hAnsiTheme="minorHAnsi"/>
        </w:rPr>
        <w:t>By the same token, systems of investigation and assistance reportedly do not take indigenous women's specific needs and traditions into consideration. Protection shelters, for example, lack the conditions to enable women and girls to wear traditional dress or to perform traditional community tasks, such as planting and fabric weaving.</w:t>
      </w:r>
      <w:r w:rsidRPr="00B90432">
        <w:rPr>
          <w:rFonts w:asciiTheme="minorHAnsi" w:hAnsiTheme="minorHAnsi"/>
          <w:vertAlign w:val="superscript"/>
        </w:rPr>
        <w:footnoteReference w:id="155"/>
      </w:r>
      <w:r w:rsidRPr="00B90432">
        <w:rPr>
          <w:rFonts w:asciiTheme="minorHAnsi" w:hAnsiTheme="minorHAnsi"/>
        </w:rPr>
        <w:t xml:space="preserve"> In response to the situation, the Commission underscores the importance of having in place special assistance protocols tailored to the needs of indigenous girls and women that take their cultural background and traditions into account.</w:t>
      </w:r>
    </w:p>
    <w:p w14:paraId="4F810B28" w14:textId="77777777" w:rsidR="00A57F00" w:rsidRPr="00B90432" w:rsidRDefault="00A57F00" w:rsidP="006F4717">
      <w:pPr>
        <w:pStyle w:val="Numberedparagraphs"/>
        <w:rPr>
          <w:rFonts w:asciiTheme="minorHAnsi" w:hAnsiTheme="minorHAnsi"/>
        </w:rPr>
      </w:pPr>
      <w:r w:rsidRPr="00B90432">
        <w:rPr>
          <w:rFonts w:asciiTheme="minorHAnsi" w:hAnsiTheme="minorHAnsi"/>
        </w:rPr>
        <w:t>The Commission was informed about the difficulties that Guatemalan women continue to encounter in accessing decision-making and representative positions in the country.</w:t>
      </w:r>
      <w:r w:rsidRPr="00B90432">
        <w:rPr>
          <w:rFonts w:asciiTheme="minorHAnsi" w:hAnsiTheme="minorHAnsi"/>
          <w:vertAlign w:val="superscript"/>
        </w:rPr>
        <w:footnoteReference w:id="156"/>
      </w:r>
      <w:r w:rsidRPr="00B90432">
        <w:rPr>
          <w:rFonts w:asciiTheme="minorHAnsi" w:hAnsiTheme="minorHAnsi"/>
        </w:rPr>
        <w:t xml:space="preserve"> The information received indicates that there is a persistent absence of indigenous women in the majority of decision-making bodies. Indigenous organizations said that the prevalence of certain racist and male chauvinist stereotypes that reduce indigenous women's roles to domestic and rural settings hinders their participation and representation in policy and decision-making forums. In that regard, the Commission recalls that under the Inter-American Convention on the Prevention, Punishment, and Eradication of Violence against Women (Convention of Belém do Pará), the State has an obligation to ensure for women the right to have equal access to public service and to take part in the conduct of public affairs, including decision-making. </w:t>
      </w:r>
      <w:r w:rsidR="009A547C" w:rsidRPr="00B90432">
        <w:rPr>
          <w:rFonts w:asciiTheme="minorHAnsi" w:hAnsiTheme="minorHAnsi"/>
        </w:rPr>
        <w:t xml:space="preserve">In its comments to the draft of this report, the State informed that the Supreme Electoral Tribunal is currently devising a second group of reforms fo the </w:t>
      </w:r>
      <w:r w:rsidR="009A547C" w:rsidRPr="00B90432">
        <w:rPr>
          <w:rFonts w:asciiTheme="minorHAnsi" w:hAnsiTheme="minorHAnsi"/>
        </w:rPr>
        <w:lastRenderedPageBreak/>
        <w:t xml:space="preserve">Law of Elections and Political Parties, which will </w:t>
      </w:r>
      <w:r w:rsidR="009710E4" w:rsidRPr="00B90432">
        <w:rPr>
          <w:rFonts w:asciiTheme="minorHAnsi" w:hAnsiTheme="minorHAnsi"/>
        </w:rPr>
        <w:t xml:space="preserve">include </w:t>
      </w:r>
      <w:r w:rsidR="009A547C" w:rsidRPr="00B90432">
        <w:rPr>
          <w:rFonts w:asciiTheme="minorHAnsi" w:hAnsiTheme="minorHAnsi"/>
        </w:rPr>
        <w:t xml:space="preserve">gender parity and </w:t>
      </w:r>
      <w:r w:rsidR="009710E4" w:rsidRPr="00B90432">
        <w:rPr>
          <w:rFonts w:asciiTheme="minorHAnsi" w:hAnsiTheme="minorHAnsi"/>
        </w:rPr>
        <w:t xml:space="preserve">the </w:t>
      </w:r>
      <w:r w:rsidR="009A547C" w:rsidRPr="00B90432">
        <w:rPr>
          <w:rFonts w:asciiTheme="minorHAnsi" w:hAnsiTheme="minorHAnsi"/>
        </w:rPr>
        <w:t xml:space="preserve">alternation of indigenous peoples in the </w:t>
      </w:r>
      <w:r w:rsidR="009710E4" w:rsidRPr="00B90432">
        <w:rPr>
          <w:rFonts w:asciiTheme="minorHAnsi" w:hAnsiTheme="minorHAnsi"/>
        </w:rPr>
        <w:t>nominations to elected positions.</w:t>
      </w:r>
      <w:r w:rsidR="009710E4" w:rsidRPr="00B90432">
        <w:rPr>
          <w:rStyle w:val="FootnoteReference"/>
          <w:rFonts w:asciiTheme="minorHAnsi" w:hAnsiTheme="minorHAnsi"/>
          <w:sz w:val="22"/>
          <w:szCs w:val="22"/>
        </w:rPr>
        <w:footnoteReference w:id="157"/>
      </w:r>
      <w:r w:rsidR="009710E4" w:rsidRPr="00B90432">
        <w:rPr>
          <w:rFonts w:asciiTheme="minorHAnsi" w:hAnsiTheme="minorHAnsi"/>
        </w:rPr>
        <w:t xml:space="preserve"> </w:t>
      </w:r>
      <w:r w:rsidR="00FD5209" w:rsidRPr="00B90432">
        <w:rPr>
          <w:rFonts w:asciiTheme="minorHAnsi" w:hAnsiTheme="minorHAnsi"/>
        </w:rPr>
        <w:t>The State also indicated that out of the 158 representatives currently in Congress for the 2016-2020 legislative period, 25 are women, i.e., approximately 16%.</w:t>
      </w:r>
      <w:r w:rsidR="00FD5209" w:rsidRPr="00B90432">
        <w:rPr>
          <w:rStyle w:val="FootnoteReference"/>
          <w:rFonts w:asciiTheme="minorHAnsi" w:hAnsiTheme="minorHAnsi"/>
          <w:sz w:val="22"/>
          <w:szCs w:val="22"/>
        </w:rPr>
        <w:footnoteReference w:id="158"/>
      </w:r>
      <w:r w:rsidR="00FD5209" w:rsidRPr="00B90432">
        <w:rPr>
          <w:rFonts w:asciiTheme="minorHAnsi" w:hAnsiTheme="minorHAnsi"/>
        </w:rPr>
        <w:t xml:space="preserve"> </w:t>
      </w:r>
    </w:p>
    <w:p w14:paraId="2495E3CF" w14:textId="77777777" w:rsidR="00496798" w:rsidRPr="00B90432" w:rsidRDefault="00496798" w:rsidP="006F4717">
      <w:pPr>
        <w:pStyle w:val="Numberedparagraphs"/>
        <w:rPr>
          <w:rFonts w:asciiTheme="minorHAnsi" w:hAnsiTheme="minorHAnsi"/>
        </w:rPr>
      </w:pPr>
      <w:r w:rsidRPr="00B90432">
        <w:rPr>
          <w:rFonts w:asciiTheme="minorHAnsi" w:hAnsiTheme="minorHAnsi"/>
        </w:rPr>
        <w:t>The IACHR also learned about the obstacles and difficulties indigenous women face in relation to the lack of judicial protection of their collective intellectual property in the law courts. Their traditional clothing and designs are a fundamental part of the identity and culture of indigenous peoples and communities. According to information provided to the Commission,</w:t>
      </w:r>
      <w:r w:rsidRPr="00B90432">
        <w:rPr>
          <w:rFonts w:asciiTheme="minorHAnsi" w:hAnsiTheme="minorHAnsi"/>
          <w:vertAlign w:val="superscript"/>
        </w:rPr>
        <w:footnoteReference w:id="159"/>
      </w:r>
      <w:r w:rsidRPr="00B90432">
        <w:rPr>
          <w:rFonts w:asciiTheme="minorHAnsi" w:hAnsiTheme="minorHAnsi"/>
        </w:rPr>
        <w:t xml:space="preserve"> in recent years indigenous communities have seen their ancestral creations appropriated by persons alien to their communities without respect for their authorship, meaning, and traditions, or contributing to the development of the communities that create them. Computerized designs inspired by ancestral creations, reproduction of traditional garb, and industrialization of Mayan fabrics could be infringing their copyright and associated rights enshrined in the laws governing industrial property in Guatemala. According to information furnished to the Commission, women's communities that took their cases to court encountered large numbers of obstacles preventing their complaints from being given meaningful consideration without discrimination.</w:t>
      </w:r>
      <w:r w:rsidRPr="00B90432">
        <w:rPr>
          <w:rFonts w:asciiTheme="minorHAnsi" w:hAnsiTheme="minorHAnsi"/>
          <w:vertAlign w:val="superscript"/>
        </w:rPr>
        <w:footnoteReference w:id="160"/>
      </w:r>
      <w:r w:rsidRPr="00B90432">
        <w:rPr>
          <w:rFonts w:asciiTheme="minorHAnsi" w:hAnsiTheme="minorHAnsi"/>
        </w:rPr>
        <w:t xml:space="preserve"> </w:t>
      </w:r>
    </w:p>
    <w:p w14:paraId="255153B8" w14:textId="77777777" w:rsidR="003D314F" w:rsidRPr="00B90432" w:rsidRDefault="00496798" w:rsidP="006F4717">
      <w:pPr>
        <w:pStyle w:val="Numberedparagraphs"/>
        <w:rPr>
          <w:rFonts w:asciiTheme="minorHAnsi" w:hAnsiTheme="minorHAnsi"/>
        </w:rPr>
      </w:pPr>
      <w:r w:rsidRPr="00B90432">
        <w:rPr>
          <w:rFonts w:asciiTheme="minorHAnsi" w:hAnsiTheme="minorHAnsi"/>
        </w:rPr>
        <w:t>The IACHR has also received copious information on the effect of the femicide phenomenon on women and Guatemalan society, which is examined in the section of this report that deals with citizen security. Following the adoption of the Law against Femicide and Other Forms of Violence against Women in 2008, violence against women became the crime most reported to the Public Prosecution Service. The situation has overwhelmed the courts' capacity to settle complaints because there are still too few prosecution units to deal with the volume of cases. The Commission recognizes the efforts of the State to develop specific bodies, such as the Prosecutor’s Office for Women (established in 2011) or the First Criminal Court of First Instance for Crimes of Femicide and Other Forms of Violence against Women and Sexual Violence, Exploitation, and Trafficking in Persons, which was created in 2012 and operates around-</w:t>
      </w:r>
      <w:r w:rsidRPr="00B90432">
        <w:rPr>
          <w:rFonts w:asciiTheme="minorHAnsi" w:hAnsiTheme="minorHAnsi"/>
        </w:rPr>
        <w:lastRenderedPageBreak/>
        <w:t>the-clock.</w:t>
      </w:r>
      <w:r w:rsidRPr="00B90432">
        <w:rPr>
          <w:rFonts w:asciiTheme="minorHAnsi" w:hAnsiTheme="minorHAnsi"/>
          <w:vertAlign w:val="superscript"/>
        </w:rPr>
        <w:footnoteReference w:id="161"/>
      </w:r>
      <w:r w:rsidRPr="00B90432">
        <w:rPr>
          <w:rFonts w:asciiTheme="minorHAnsi" w:hAnsiTheme="minorHAnsi"/>
        </w:rPr>
        <w:t xml:space="preserve"> The Office of the Special Prosecutor for Femicide,</w:t>
      </w:r>
      <w:r w:rsidRPr="00B90432">
        <w:rPr>
          <w:rFonts w:asciiTheme="minorHAnsi" w:hAnsiTheme="minorHAnsi"/>
          <w:vertAlign w:val="superscript"/>
        </w:rPr>
        <w:footnoteReference w:id="162"/>
      </w:r>
      <w:r w:rsidRPr="00B90432">
        <w:rPr>
          <w:rFonts w:asciiTheme="minorHAnsi" w:hAnsiTheme="minorHAnsi"/>
        </w:rPr>
        <w:t xml:space="preserve"> which has analysis, litigation, and evidence gathering units opened at the end of 2016. In spite of the efforts of the State in this regard, the number of convictions and acquittals in femicide cases are minimal relative to the number of complaints, and while the total number of judgments increased by 253 percent from 2012 to 2013, that rise still only accounts for judgments in 3 percent of complaints.</w:t>
      </w:r>
      <w:r w:rsidRPr="00B90432">
        <w:rPr>
          <w:rFonts w:asciiTheme="minorHAnsi" w:hAnsiTheme="minorHAnsi"/>
          <w:vertAlign w:val="superscript"/>
        </w:rPr>
        <w:footnoteReference w:id="163"/>
      </w:r>
      <w:r w:rsidRPr="00B90432">
        <w:rPr>
          <w:rFonts w:asciiTheme="minorHAnsi" w:hAnsiTheme="minorHAnsi"/>
        </w:rPr>
        <w:t xml:space="preserve"> These figures reflect a high level of impunity in these cases. The Commission calls on the State to continue its efforts and to follow up on the implementation of the Law against Femicide, as well as establishing specialized courts and tribunals all over the country and ensuring the necessary budget appropriations to enable them to function.</w:t>
      </w:r>
    </w:p>
    <w:p w14:paraId="3C057350" w14:textId="69F973FA" w:rsidR="003D314F" w:rsidRPr="00B90432" w:rsidRDefault="00787D5D" w:rsidP="003359B2">
      <w:pPr>
        <w:pStyle w:val="Heading3"/>
      </w:pPr>
      <w:bookmarkStart w:id="33" w:name="_Toc509827636"/>
      <w:r w:rsidRPr="00B90432">
        <w:t xml:space="preserve">Indigenous </w:t>
      </w:r>
      <w:r w:rsidR="003919F4" w:rsidRPr="00B90432">
        <w:t>Peoples</w:t>
      </w:r>
      <w:bookmarkEnd w:id="33"/>
    </w:p>
    <w:p w14:paraId="3825AA1E" w14:textId="77777777" w:rsidR="00496798" w:rsidRPr="00B90432" w:rsidRDefault="00146458" w:rsidP="006F4717">
      <w:pPr>
        <w:pStyle w:val="Numberedparagraphs"/>
        <w:rPr>
          <w:rFonts w:asciiTheme="minorHAnsi" w:hAnsiTheme="minorHAnsi"/>
        </w:rPr>
      </w:pPr>
      <w:r w:rsidRPr="00B90432">
        <w:rPr>
          <w:rFonts w:asciiTheme="minorHAnsi" w:hAnsiTheme="minorHAnsi"/>
        </w:rPr>
        <w:t>The Commission has repeatedly said that indigenous peoples in Guatemala face the highest levels of social exclusion.</w:t>
      </w:r>
      <w:r w:rsidRPr="00B90432">
        <w:rPr>
          <w:rFonts w:asciiTheme="minorHAnsi" w:hAnsiTheme="minorHAnsi"/>
          <w:vertAlign w:val="superscript"/>
        </w:rPr>
        <w:footnoteReference w:id="164"/>
      </w:r>
      <w:r w:rsidRPr="00B90432">
        <w:rPr>
          <w:rFonts w:asciiTheme="minorHAnsi" w:hAnsiTheme="minorHAnsi"/>
        </w:rPr>
        <w:t xml:space="preserve"> Their exclusion is visible in a variety of spheres, including access to justice. During the on-site visit, the Commission received information regarding the lack of access to justice for indigenous peoples in Guatemala and the persistence of linguistic, geographic, and cultural barriers in obtaining such access. For example, the IACHR was informed that some authorities make indigenous persons wait longer than non-indigenous persons. One </w:t>
      </w:r>
      <w:r w:rsidR="00BF787E" w:rsidRPr="00B90432">
        <w:rPr>
          <w:rFonts w:asciiTheme="minorHAnsi" w:hAnsiTheme="minorHAnsi"/>
        </w:rPr>
        <w:t xml:space="preserve">indigenous </w:t>
      </w:r>
      <w:r w:rsidRPr="00B90432">
        <w:rPr>
          <w:rFonts w:asciiTheme="minorHAnsi" w:hAnsiTheme="minorHAnsi"/>
        </w:rPr>
        <w:t>person who met with the commission said: “When a Ladino person arrives and we were here before, they make us wait.” In Alta Verapaz, a woman explained to the IACHR that “they have translators in the Public Prosecutor’s Office, but they don’t know Q’eqchi and they do not translate everything we say.”</w:t>
      </w:r>
      <w:r w:rsidRPr="00B90432">
        <w:rPr>
          <w:rStyle w:val="FootnoteReference"/>
          <w:rFonts w:asciiTheme="minorHAnsi" w:hAnsiTheme="minorHAnsi"/>
          <w:sz w:val="22"/>
          <w:szCs w:val="22"/>
        </w:rPr>
        <w:footnoteReference w:id="165"/>
      </w:r>
      <w:r w:rsidRPr="00B90432">
        <w:rPr>
          <w:rFonts w:asciiTheme="minorHAnsi" w:hAnsiTheme="minorHAnsi"/>
        </w:rPr>
        <w:t xml:space="preserve"> The IACHR has been reporting on the general situation of indigenous peoples in Guatemala since the 1990s. The fact that some of these barriers have not been overcome in over three decades reflects a structural failing, since those obstacles persist in spite of reiterated observations and recommendations. Information presented to the the United Nations Special Rapporteur on the rights of indigenous peoples indicate that only around </w:t>
      </w:r>
      <w:r w:rsidRPr="00B90432">
        <w:rPr>
          <w:rFonts w:asciiTheme="minorHAnsi" w:hAnsiTheme="minorHAnsi"/>
        </w:rPr>
        <w:lastRenderedPageBreak/>
        <w:t>10 percent of indigenous people have adequate and effective access to justice.</w:t>
      </w:r>
    </w:p>
    <w:p w14:paraId="17FC0383" w14:textId="77777777" w:rsidR="00496798" w:rsidRPr="00B90432" w:rsidRDefault="00AD5305" w:rsidP="006F4717">
      <w:pPr>
        <w:pStyle w:val="Numberedparagraphs"/>
        <w:rPr>
          <w:rFonts w:asciiTheme="minorHAnsi" w:hAnsiTheme="minorHAnsi"/>
        </w:rPr>
      </w:pPr>
      <w:r w:rsidRPr="00B90432">
        <w:rPr>
          <w:rFonts w:asciiTheme="minorHAnsi" w:hAnsiTheme="minorHAnsi"/>
        </w:rPr>
        <w:t>The IACHR received information from the State about training provided to officials in the judiciary and Public Prosecution Service on discrimination, the use of cultural and language experts, and the work of the Indigenous Peoples Unit of the Supreme Court of Justice to compile good practices in relation to discrimination-related judgments.</w:t>
      </w:r>
      <w:r w:rsidR="000F46EA" w:rsidRPr="00B90432">
        <w:rPr>
          <w:rFonts w:asciiTheme="minorHAnsi" w:hAnsiTheme="minorHAnsi"/>
        </w:rPr>
        <w:t xml:space="preserve"> In its observations to the draft of this report, the State further informed the Commission that the Public Defenders’ Institute has provided representation in 6,602 cases in an indigenous language, as well as 547 cases “with cultural pertinence”, regarding indigenous peoples.</w:t>
      </w:r>
      <w:r w:rsidR="000F46EA" w:rsidRPr="00B90432">
        <w:rPr>
          <w:rStyle w:val="FootnoteReference"/>
          <w:rFonts w:asciiTheme="minorHAnsi" w:hAnsiTheme="minorHAnsi"/>
          <w:sz w:val="22"/>
          <w:szCs w:val="22"/>
        </w:rPr>
        <w:footnoteReference w:id="166"/>
      </w:r>
      <w:r w:rsidRPr="00B90432">
        <w:rPr>
          <w:rFonts w:asciiTheme="minorHAnsi" w:hAnsiTheme="minorHAnsi"/>
        </w:rPr>
        <w:t xml:space="preserve"> The Commission values the efforts of the State in that regard and considers that they should continue in order to achieve their goal of eradicating discrimination.</w:t>
      </w:r>
    </w:p>
    <w:p w14:paraId="3A1F7E6C" w14:textId="77777777" w:rsidR="00496798" w:rsidRPr="00B90432" w:rsidRDefault="005D76C7" w:rsidP="006F4717">
      <w:pPr>
        <w:pStyle w:val="Numberedparagraphs"/>
        <w:rPr>
          <w:rFonts w:asciiTheme="minorHAnsi" w:hAnsiTheme="minorHAnsi"/>
        </w:rPr>
      </w:pPr>
      <w:r w:rsidRPr="00B90432">
        <w:rPr>
          <w:rFonts w:asciiTheme="minorHAnsi" w:hAnsiTheme="minorHAnsi"/>
        </w:rPr>
        <w:t>The IACHR also learned that in the process of constitutional reform of justice, recognition of the indigenous jurisdiction prompted controversy and opposition from certain sectors of the population.</w:t>
      </w:r>
      <w:r w:rsidRPr="00B90432">
        <w:rPr>
          <w:rStyle w:val="FootnoteReference"/>
          <w:rFonts w:asciiTheme="minorHAnsi" w:hAnsiTheme="minorHAnsi"/>
          <w:sz w:val="22"/>
          <w:szCs w:val="22"/>
        </w:rPr>
        <w:footnoteReference w:id="167"/>
      </w:r>
      <w:r w:rsidRPr="00B90432">
        <w:rPr>
          <w:rFonts w:asciiTheme="minorHAnsi" w:hAnsiTheme="minorHAnsi"/>
        </w:rPr>
        <w:t xml:space="preserve"> In response to that situation, the Commission heard that indigenous organizations and leaders adopted the position that if the issue of recognition of indigenous jurisdiction was preventing the constitutional reform from going through, indigenous organizations would withdraw that recognition from consideration in order to allow the Congress to pass the rest of the constitutional amendments.</w:t>
      </w:r>
      <w:r w:rsidRPr="00B90432">
        <w:rPr>
          <w:rStyle w:val="FootnoteReference"/>
          <w:rFonts w:asciiTheme="minorHAnsi" w:hAnsiTheme="minorHAnsi"/>
          <w:sz w:val="22"/>
          <w:szCs w:val="22"/>
        </w:rPr>
        <w:footnoteReference w:id="168"/>
      </w:r>
      <w:r w:rsidRPr="00B90432">
        <w:rPr>
          <w:rFonts w:asciiTheme="minorHAnsi" w:hAnsiTheme="minorHAnsi"/>
        </w:rPr>
        <w:t xml:space="preserve"> This resulted in the continued exclusion of indigenous peoples in that regard, which affects their full access to justice in the country. </w:t>
      </w:r>
      <w:r w:rsidR="009B6683" w:rsidRPr="00B90432">
        <w:rPr>
          <w:rFonts w:asciiTheme="minorHAnsi" w:hAnsiTheme="minorHAnsi"/>
        </w:rPr>
        <w:t>In this regard, the IACHR reiterates that</w:t>
      </w:r>
      <w:r w:rsidRPr="00B90432">
        <w:rPr>
          <w:rFonts w:asciiTheme="minorHAnsi" w:hAnsiTheme="minorHAnsi"/>
        </w:rPr>
        <w:t xml:space="preserve"> the rule of law in Guatemala can only be consolidated when these historically excluded sectors are granted an equal say in society and in decision-making, something that has yet to be accomplished.</w:t>
      </w:r>
      <w:r w:rsidRPr="00B90432">
        <w:rPr>
          <w:rFonts w:asciiTheme="minorHAnsi" w:hAnsiTheme="minorHAnsi"/>
          <w:vertAlign w:val="superscript"/>
        </w:rPr>
        <w:footnoteReference w:id="169"/>
      </w:r>
    </w:p>
    <w:p w14:paraId="6541DA29" w14:textId="77777777" w:rsidR="00496798" w:rsidRPr="00B90432" w:rsidRDefault="00EB123D" w:rsidP="006F4717">
      <w:pPr>
        <w:pStyle w:val="Numberedparagraphs"/>
        <w:rPr>
          <w:rFonts w:asciiTheme="minorHAnsi" w:hAnsiTheme="minorHAnsi"/>
        </w:rPr>
      </w:pPr>
      <w:r w:rsidRPr="00B90432">
        <w:rPr>
          <w:rFonts w:asciiTheme="minorHAnsi" w:hAnsiTheme="minorHAnsi"/>
        </w:rPr>
        <w:t xml:space="preserve">In relation to prior consultation as part of the issue of access to justice, the IACHR learned of the judgment handed down by the Constitutional Court in May 2017 ordering the Ministry of Energy and Mines (MEM) to conduct consultations with indigenous communities affected by two hydroelectric companies operating on the River Cahabón, in Alta Verapaz, in accordance </w:t>
      </w:r>
      <w:r w:rsidRPr="00B90432">
        <w:rPr>
          <w:rFonts w:asciiTheme="minorHAnsi" w:hAnsiTheme="minorHAnsi"/>
        </w:rPr>
        <w:lastRenderedPageBreak/>
        <w:t>with International Labour Organization (ILO) Convention No. 169</w:t>
      </w:r>
      <w:r w:rsidR="00F52FAC" w:rsidRPr="00B90432">
        <w:rPr>
          <w:rFonts w:asciiTheme="minorHAnsi" w:hAnsiTheme="minorHAnsi"/>
        </w:rPr>
        <w:t>.</w:t>
      </w:r>
      <w:r w:rsidRPr="00B90432">
        <w:rPr>
          <w:rStyle w:val="FootnoteReference"/>
          <w:rFonts w:asciiTheme="minorHAnsi" w:hAnsiTheme="minorHAnsi"/>
          <w:sz w:val="22"/>
          <w:szCs w:val="22"/>
        </w:rPr>
        <w:footnoteReference w:id="170"/>
      </w:r>
      <w:r w:rsidRPr="00B90432">
        <w:rPr>
          <w:rFonts w:asciiTheme="minorHAnsi" w:hAnsiTheme="minorHAnsi"/>
        </w:rPr>
        <w:t xml:space="preserve"> However, the Court allowed the companies to continue operating for the space of one year while the consultations are carried out and ordered the Congress to adopt legislation on issue of prior consultation.</w:t>
      </w:r>
      <w:r w:rsidRPr="00B90432">
        <w:rPr>
          <w:rStyle w:val="FootnoteReference"/>
          <w:rFonts w:asciiTheme="minorHAnsi" w:hAnsiTheme="minorHAnsi"/>
          <w:sz w:val="22"/>
          <w:szCs w:val="22"/>
        </w:rPr>
        <w:footnoteReference w:id="171"/>
      </w:r>
      <w:r w:rsidRPr="00B90432">
        <w:rPr>
          <w:rFonts w:asciiTheme="minorHAnsi" w:hAnsiTheme="minorHAnsi"/>
        </w:rPr>
        <w:t xml:space="preserve"> In that connection, the IACHR recalls that, under inter-American standards on such matters, "the obligation to consult is the responsibility of the State; therefore the planning and executing of the consultation process is not an obligation that can be avoided by delegating it to a private company or to third parties, much less delegating it to the very company that is interested in exploiting the resources in the territory of the community that must be consulted.”</w:t>
      </w:r>
      <w:r w:rsidRPr="00B90432">
        <w:rPr>
          <w:rFonts w:asciiTheme="minorHAnsi" w:hAnsiTheme="minorHAnsi"/>
          <w:vertAlign w:val="superscript"/>
        </w:rPr>
        <w:footnoteReference w:id="172"/>
      </w:r>
      <w:r w:rsidRPr="00B90432">
        <w:rPr>
          <w:rFonts w:asciiTheme="minorHAnsi" w:hAnsiTheme="minorHAnsi"/>
        </w:rPr>
        <w:t xml:space="preserve"> Furthermore, as the Inter-American Court has stated, “the requirement of prior consultation means that this must take place </w:t>
      </w:r>
      <w:r w:rsidRPr="00B90432">
        <w:rPr>
          <w:rFonts w:asciiTheme="minorHAnsi" w:hAnsiTheme="minorHAnsi"/>
          <w:i/>
          <w:iCs/>
        </w:rPr>
        <w:t>before</w:t>
      </w:r>
      <w:r w:rsidRPr="00B90432">
        <w:rPr>
          <w:rFonts w:asciiTheme="minorHAnsi" w:hAnsiTheme="minorHAnsi"/>
        </w:rPr>
        <w:t xml:space="preserve"> taking the measure or implementing the project that may affect the communities….”</w:t>
      </w:r>
      <w:r w:rsidRPr="00B90432">
        <w:rPr>
          <w:rFonts w:asciiTheme="minorHAnsi" w:hAnsiTheme="minorHAnsi"/>
          <w:vertAlign w:val="superscript"/>
        </w:rPr>
        <w:footnoteReference w:id="173"/>
      </w:r>
    </w:p>
    <w:p w14:paraId="2A5B4A70" w14:textId="77777777" w:rsidR="002C51FF" w:rsidRPr="00B90432" w:rsidRDefault="00D14132" w:rsidP="006F4717">
      <w:pPr>
        <w:pStyle w:val="Numberedparagraphs"/>
        <w:rPr>
          <w:rFonts w:asciiTheme="minorHAnsi" w:hAnsiTheme="minorHAnsi"/>
        </w:rPr>
      </w:pPr>
      <w:r w:rsidRPr="00B90432">
        <w:rPr>
          <w:rFonts w:asciiTheme="minorHAnsi" w:hAnsiTheme="minorHAnsi"/>
        </w:rPr>
        <w:t>In the course of its visit, the Commission was informed about the recent adoption of the "Operating Guidelines on Consultation of Indigenous Peoples.”</w:t>
      </w:r>
      <w:r w:rsidRPr="00B90432">
        <w:rPr>
          <w:rStyle w:val="FootnoteReference"/>
          <w:rFonts w:asciiTheme="minorHAnsi" w:eastAsia="Times New Roman" w:hAnsiTheme="minorHAnsi"/>
          <w:color w:val="000000"/>
          <w:sz w:val="22"/>
          <w:szCs w:val="22"/>
        </w:rPr>
        <w:footnoteReference w:id="174"/>
      </w:r>
      <w:r w:rsidRPr="00B90432">
        <w:rPr>
          <w:rFonts w:asciiTheme="minorHAnsi" w:hAnsiTheme="minorHAnsi"/>
        </w:rPr>
        <w:t xml:space="preserve"> The adoption of the guidelines was a controversial issue, since a number of indigenous organizations and elders opposed it, owing to the fact that, according to them, the guidelines echo certain precepts of ILO Convention No. 169 but not inter-American standards on the right of indigenous peoples to prior consultation.</w:t>
      </w:r>
      <w:r w:rsidRPr="00B90432">
        <w:rPr>
          <w:rStyle w:val="FootnoteReference"/>
          <w:rFonts w:asciiTheme="minorHAnsi" w:eastAsia="Times New Roman" w:hAnsiTheme="minorHAnsi"/>
          <w:color w:val="000000"/>
          <w:sz w:val="22"/>
          <w:szCs w:val="22"/>
        </w:rPr>
        <w:footnoteReference w:id="175"/>
      </w:r>
      <w:r w:rsidRPr="00B90432">
        <w:rPr>
          <w:rFonts w:asciiTheme="minorHAnsi" w:hAnsiTheme="minorHAnsi"/>
        </w:rPr>
        <w:t xml:space="preserve"> A number of indigenous organizations and leaders told the Commission that the authorities that drafted the operating guidelines did not meet with other sectors of society and indigenous peoples in a bid to reach agreements or consensus; that those indigenous leaders did not endorse the regulation; that the operational guidelines on consultations prepared by the Ministry of Labor </w:t>
      </w:r>
      <w:r w:rsidRPr="00B90432">
        <w:rPr>
          <w:rFonts w:asciiTheme="minorHAnsi" w:hAnsiTheme="minorHAnsi"/>
        </w:rPr>
        <w:lastRenderedPageBreak/>
        <w:t>was "an imposition," since when ministry representatives visited some departments to consult on the guidelines, the guidelines were rejected, wh</w:t>
      </w:r>
      <w:r w:rsidR="000953C0" w:rsidRPr="00B90432">
        <w:rPr>
          <w:rFonts w:asciiTheme="minorHAnsi" w:hAnsiTheme="minorHAnsi"/>
        </w:rPr>
        <w:t>ile some communities were not</w:t>
      </w:r>
      <w:r w:rsidRPr="00B90432">
        <w:rPr>
          <w:rFonts w:asciiTheme="minorHAnsi" w:hAnsiTheme="minorHAnsi"/>
        </w:rPr>
        <w:t xml:space="preserve"> consulted.</w:t>
      </w:r>
      <w:r w:rsidRPr="00B90432">
        <w:rPr>
          <w:rStyle w:val="FootnoteReference"/>
          <w:rFonts w:asciiTheme="minorHAnsi" w:eastAsia="Times New Roman" w:hAnsiTheme="minorHAnsi"/>
          <w:color w:val="000000"/>
          <w:sz w:val="22"/>
          <w:szCs w:val="22"/>
        </w:rPr>
        <w:footnoteReference w:id="176"/>
      </w:r>
    </w:p>
    <w:p w14:paraId="0B43619D" w14:textId="77777777" w:rsidR="002C51FF" w:rsidRPr="00B90432" w:rsidRDefault="00D05C82" w:rsidP="006F4717">
      <w:pPr>
        <w:pStyle w:val="Numberedparagraphs"/>
        <w:rPr>
          <w:rFonts w:asciiTheme="minorHAnsi" w:hAnsiTheme="minorHAnsi"/>
        </w:rPr>
      </w:pPr>
      <w:r w:rsidRPr="00B90432">
        <w:rPr>
          <w:rFonts w:asciiTheme="minorHAnsi" w:hAnsiTheme="minorHAnsi"/>
        </w:rPr>
        <w:t xml:space="preserve">In that </w:t>
      </w:r>
      <w:r w:rsidR="00484F6D" w:rsidRPr="00B90432">
        <w:rPr>
          <w:rFonts w:asciiTheme="minorHAnsi" w:hAnsiTheme="minorHAnsi"/>
        </w:rPr>
        <w:t>regard</w:t>
      </w:r>
      <w:r w:rsidRPr="00B90432">
        <w:rPr>
          <w:rFonts w:asciiTheme="minorHAnsi" w:hAnsiTheme="minorHAnsi"/>
        </w:rPr>
        <w:t>, the Commission highlights, that the State's obligation of free and informed prior consultation of indigenous and tribal peoples also relates to the adoption of legislative measures.</w:t>
      </w:r>
      <w:r w:rsidRPr="00B90432">
        <w:rPr>
          <w:rStyle w:val="FootnoteReference"/>
          <w:rFonts w:asciiTheme="minorHAnsi" w:eastAsia="Times New Roman" w:hAnsiTheme="minorHAnsi"/>
          <w:color w:val="000000"/>
          <w:sz w:val="22"/>
          <w:szCs w:val="22"/>
        </w:rPr>
        <w:footnoteReference w:id="177"/>
      </w:r>
      <w:r w:rsidRPr="00B90432">
        <w:rPr>
          <w:rFonts w:asciiTheme="minorHAnsi" w:hAnsiTheme="minorHAnsi"/>
        </w:rPr>
        <w:t xml:space="preserve"> The Inter-American Court has stated: “In the case of consultation prior to the adoption of a legislative measure, the indigenous peoples must be consulted in advance during all stages of the process of producing the legislation, and these consultations must not be restricted to proposals.”</w:t>
      </w:r>
      <w:r w:rsidRPr="00B90432">
        <w:rPr>
          <w:rFonts w:asciiTheme="minorHAnsi" w:hAnsiTheme="minorHAnsi"/>
          <w:vertAlign w:val="superscript"/>
        </w:rPr>
        <w:footnoteReference w:id="178"/>
      </w:r>
      <w:r w:rsidRPr="00B90432">
        <w:rPr>
          <w:rFonts w:asciiTheme="minorHAnsi" w:hAnsiTheme="minorHAnsi"/>
        </w:rPr>
        <w:t xml:space="preserve"> By the same token, the IACHR considers that identifying the measure that is to be the subject of consultation is fundamental in the process of consultation and consent. Thus it should be endowed with the greatest possible guarantees, reducing discretion in the decision and applying, in non-restrictive terms, the concept of impairment or negative impact</w:t>
      </w:r>
      <w:r w:rsidR="00DF0B80" w:rsidRPr="00B90432">
        <w:rPr>
          <w:rFonts w:asciiTheme="minorHAnsi" w:hAnsiTheme="minorHAnsi"/>
        </w:rPr>
        <w:t>. This is</w:t>
      </w:r>
      <w:r w:rsidRPr="00B90432">
        <w:rPr>
          <w:rFonts w:asciiTheme="minorHAnsi" w:hAnsiTheme="minorHAnsi"/>
        </w:rPr>
        <w:t xml:space="preserve"> regardless of the type of megaproject, extraction project, investment project or any other that affects ancestral peoples.</w:t>
      </w:r>
      <w:r w:rsidRPr="00B90432">
        <w:rPr>
          <w:rStyle w:val="FootnoteReference"/>
          <w:rFonts w:asciiTheme="minorHAnsi" w:eastAsia="Times New Roman" w:hAnsiTheme="minorHAnsi"/>
          <w:color w:val="000000"/>
          <w:sz w:val="22"/>
          <w:szCs w:val="22"/>
        </w:rPr>
        <w:footnoteReference w:id="179"/>
      </w:r>
    </w:p>
    <w:p w14:paraId="33047CFB" w14:textId="77777777" w:rsidR="002C51FF" w:rsidRPr="00B90432" w:rsidRDefault="00AB48F3" w:rsidP="006F4717">
      <w:pPr>
        <w:pStyle w:val="Numberedparagraphs"/>
        <w:rPr>
          <w:rFonts w:asciiTheme="minorHAnsi" w:hAnsiTheme="minorHAnsi"/>
        </w:rPr>
      </w:pPr>
      <w:r w:rsidRPr="00B90432">
        <w:rPr>
          <w:rFonts w:asciiTheme="minorHAnsi" w:hAnsiTheme="minorHAnsi"/>
        </w:rPr>
        <w:t xml:space="preserve">During its visit, the Commission met with indigenous authorities of </w:t>
      </w:r>
      <w:r w:rsidR="00E179BE" w:rsidRPr="00B90432">
        <w:rPr>
          <w:rFonts w:asciiTheme="minorHAnsi" w:hAnsiTheme="minorHAnsi"/>
        </w:rPr>
        <w:t xml:space="preserve">different </w:t>
      </w:r>
      <w:r w:rsidRPr="00B90432">
        <w:rPr>
          <w:rFonts w:asciiTheme="minorHAnsi" w:hAnsiTheme="minorHAnsi"/>
        </w:rPr>
        <w:t>peoples and regions of the country.</w:t>
      </w:r>
      <w:r w:rsidR="00B32D4C" w:rsidRPr="00B90432">
        <w:rPr>
          <w:rStyle w:val="FootnoteReference"/>
          <w:rFonts w:asciiTheme="minorHAnsi" w:hAnsiTheme="minorHAnsi"/>
          <w:sz w:val="22"/>
          <w:szCs w:val="22"/>
        </w:rPr>
        <w:footnoteReference w:id="180"/>
      </w:r>
      <w:r w:rsidR="00081722" w:rsidRPr="00B90432">
        <w:rPr>
          <w:rFonts w:asciiTheme="minorHAnsi" w:hAnsiTheme="minorHAnsi"/>
        </w:rPr>
        <w:t xml:space="preserve"> Some authorities said they consider prior consultation to be a </w:t>
      </w:r>
      <w:r w:rsidR="006254B1" w:rsidRPr="00B90432">
        <w:rPr>
          <w:rFonts w:asciiTheme="minorHAnsi" w:hAnsiTheme="minorHAnsi"/>
        </w:rPr>
        <w:t xml:space="preserve">strictly indigenous institution and, therefore, the indigenous peoples themselves </w:t>
      </w:r>
      <w:r w:rsidR="008364E7" w:rsidRPr="00B90432">
        <w:rPr>
          <w:rFonts w:asciiTheme="minorHAnsi" w:hAnsiTheme="minorHAnsi"/>
        </w:rPr>
        <w:t xml:space="preserve">should </w:t>
      </w:r>
      <w:r w:rsidR="00221946" w:rsidRPr="00B90432">
        <w:rPr>
          <w:rFonts w:asciiTheme="minorHAnsi" w:hAnsiTheme="minorHAnsi"/>
        </w:rPr>
        <w:t xml:space="preserve">decide how to carry </w:t>
      </w:r>
      <w:r w:rsidR="006254B1" w:rsidRPr="00B90432">
        <w:rPr>
          <w:rFonts w:asciiTheme="minorHAnsi" w:hAnsiTheme="minorHAnsi"/>
        </w:rPr>
        <w:t>them out. They noted that some State authorities conceive</w:t>
      </w:r>
      <w:r w:rsidR="002A6992" w:rsidRPr="00B90432">
        <w:rPr>
          <w:rFonts w:asciiTheme="minorHAnsi" w:hAnsiTheme="minorHAnsi"/>
        </w:rPr>
        <w:t xml:space="preserve"> of</w:t>
      </w:r>
      <w:r w:rsidR="006254B1" w:rsidRPr="00B90432">
        <w:rPr>
          <w:rFonts w:asciiTheme="minorHAnsi" w:hAnsiTheme="minorHAnsi"/>
        </w:rPr>
        <w:t xml:space="preserve"> the prior consultation as a process to prevent or resolve social conflicts, and not as a true process </w:t>
      </w:r>
      <w:r w:rsidR="00052C82" w:rsidRPr="00B90432">
        <w:rPr>
          <w:rFonts w:asciiTheme="minorHAnsi" w:hAnsiTheme="minorHAnsi"/>
        </w:rPr>
        <w:t>to secure the consent of the consulted peoples and communities.</w:t>
      </w:r>
      <w:r w:rsidR="00B32D4C" w:rsidRPr="00B90432">
        <w:rPr>
          <w:rStyle w:val="FootnoteReference"/>
          <w:rFonts w:asciiTheme="minorHAnsi" w:hAnsiTheme="minorHAnsi"/>
          <w:sz w:val="22"/>
          <w:szCs w:val="22"/>
        </w:rPr>
        <w:footnoteReference w:id="181"/>
      </w:r>
      <w:r w:rsidR="006C5028" w:rsidRPr="00B90432">
        <w:rPr>
          <w:rFonts w:asciiTheme="minorHAnsi" w:hAnsiTheme="minorHAnsi"/>
        </w:rPr>
        <w:t xml:space="preserve"> </w:t>
      </w:r>
      <w:r w:rsidR="00DF0B80" w:rsidRPr="00B90432">
        <w:rPr>
          <w:rFonts w:asciiTheme="minorHAnsi" w:hAnsiTheme="minorHAnsi"/>
        </w:rPr>
        <w:t>Also, t</w:t>
      </w:r>
      <w:r w:rsidR="006C5028" w:rsidRPr="00B90432">
        <w:rPr>
          <w:rFonts w:asciiTheme="minorHAnsi" w:hAnsiTheme="minorHAnsi"/>
        </w:rPr>
        <w:t xml:space="preserve">hey </w:t>
      </w:r>
      <w:r w:rsidR="00374CD5" w:rsidRPr="00B90432">
        <w:rPr>
          <w:rFonts w:asciiTheme="minorHAnsi" w:hAnsiTheme="minorHAnsi"/>
        </w:rPr>
        <w:t xml:space="preserve">asserted </w:t>
      </w:r>
      <w:r w:rsidR="00D63F9C" w:rsidRPr="00B90432">
        <w:rPr>
          <w:rFonts w:asciiTheme="minorHAnsi" w:hAnsiTheme="minorHAnsi"/>
        </w:rPr>
        <w:t>that several different indigenous peoples of Guatemala have their own institutions</w:t>
      </w:r>
      <w:r w:rsidR="00F4628E" w:rsidRPr="00B90432">
        <w:rPr>
          <w:rFonts w:asciiTheme="minorHAnsi" w:hAnsiTheme="minorHAnsi"/>
        </w:rPr>
        <w:t>, pro</w:t>
      </w:r>
      <w:r w:rsidR="00BF6242" w:rsidRPr="00B90432">
        <w:rPr>
          <w:rFonts w:asciiTheme="minorHAnsi" w:hAnsiTheme="minorHAnsi"/>
        </w:rPr>
        <w:t>cesses, mechanisms and timing in</w:t>
      </w:r>
      <w:r w:rsidR="00F4628E" w:rsidRPr="00B90432">
        <w:rPr>
          <w:rFonts w:asciiTheme="minorHAnsi" w:hAnsiTheme="minorHAnsi"/>
        </w:rPr>
        <w:t xml:space="preserve"> each </w:t>
      </w:r>
      <w:r w:rsidR="00B34339" w:rsidRPr="00B90432">
        <w:rPr>
          <w:rFonts w:asciiTheme="minorHAnsi" w:hAnsiTheme="minorHAnsi"/>
        </w:rPr>
        <w:t xml:space="preserve">individual </w:t>
      </w:r>
      <w:r w:rsidR="005B2EE3" w:rsidRPr="00B90432">
        <w:rPr>
          <w:rFonts w:asciiTheme="minorHAnsi" w:hAnsiTheme="minorHAnsi"/>
        </w:rPr>
        <w:t xml:space="preserve">group </w:t>
      </w:r>
      <w:r w:rsidR="00F4628E" w:rsidRPr="00B90432">
        <w:rPr>
          <w:rFonts w:asciiTheme="minorHAnsi" w:hAnsiTheme="minorHAnsi"/>
        </w:rPr>
        <w:t>and community</w:t>
      </w:r>
      <w:r w:rsidR="00614322" w:rsidRPr="00B90432">
        <w:rPr>
          <w:rFonts w:asciiTheme="minorHAnsi" w:hAnsiTheme="minorHAnsi"/>
        </w:rPr>
        <w:t xml:space="preserve">; and that a </w:t>
      </w:r>
      <w:r w:rsidR="00E4708F" w:rsidRPr="00B90432">
        <w:rPr>
          <w:rFonts w:asciiTheme="minorHAnsi" w:hAnsiTheme="minorHAnsi"/>
        </w:rPr>
        <w:t xml:space="preserve">properly conducted </w:t>
      </w:r>
      <w:r w:rsidR="00614322" w:rsidRPr="00B90432">
        <w:rPr>
          <w:rFonts w:asciiTheme="minorHAnsi" w:hAnsiTheme="minorHAnsi"/>
        </w:rPr>
        <w:t>process of prior consultation</w:t>
      </w:r>
      <w:r w:rsidR="00751BD5" w:rsidRPr="00B90432">
        <w:rPr>
          <w:rFonts w:asciiTheme="minorHAnsi" w:hAnsiTheme="minorHAnsi"/>
        </w:rPr>
        <w:t xml:space="preserve"> </w:t>
      </w:r>
      <w:r w:rsidR="00D5181B" w:rsidRPr="00B90432">
        <w:rPr>
          <w:rFonts w:asciiTheme="minorHAnsi" w:hAnsiTheme="minorHAnsi"/>
        </w:rPr>
        <w:t xml:space="preserve">should </w:t>
      </w:r>
      <w:r w:rsidR="00751BD5" w:rsidRPr="00B90432">
        <w:rPr>
          <w:rFonts w:asciiTheme="minorHAnsi" w:hAnsiTheme="minorHAnsi"/>
        </w:rPr>
        <w:t>take into account these characteristics and particularities</w:t>
      </w:r>
      <w:bookmarkStart w:id="34" w:name="_Ref367897195"/>
      <w:r w:rsidR="00751BD5" w:rsidRPr="00B90432">
        <w:rPr>
          <w:rFonts w:asciiTheme="minorHAnsi" w:hAnsiTheme="minorHAnsi"/>
        </w:rPr>
        <w:t>.</w:t>
      </w:r>
    </w:p>
    <w:p w14:paraId="4E3B84D2" w14:textId="77777777" w:rsidR="002C51FF" w:rsidRPr="00B90432" w:rsidRDefault="00751BD5" w:rsidP="006F4717">
      <w:pPr>
        <w:pStyle w:val="Numberedparagraphs"/>
        <w:rPr>
          <w:rFonts w:asciiTheme="minorHAnsi" w:hAnsiTheme="minorHAnsi"/>
        </w:rPr>
      </w:pPr>
      <w:r w:rsidRPr="00B90432">
        <w:rPr>
          <w:rFonts w:asciiTheme="minorHAnsi" w:hAnsiTheme="minorHAnsi"/>
        </w:rPr>
        <w:lastRenderedPageBreak/>
        <w:t xml:space="preserve">On this topic, the Commission recalls that both </w:t>
      </w:r>
      <w:r w:rsidR="00DF0B80" w:rsidRPr="00B90432">
        <w:rPr>
          <w:rFonts w:asciiTheme="minorHAnsi" w:hAnsiTheme="minorHAnsi"/>
        </w:rPr>
        <w:t xml:space="preserve">the United Nations Declaration on the Rights of Indigenous Peoples and the </w:t>
      </w:r>
      <w:r w:rsidRPr="00B90432">
        <w:rPr>
          <w:rFonts w:asciiTheme="minorHAnsi" w:hAnsiTheme="minorHAnsi"/>
        </w:rPr>
        <w:t xml:space="preserve">Inter-American legal precedent conceive of the right to prior, free and informed consultation as a process emanating from the right to </w:t>
      </w:r>
      <w:r w:rsidR="00C10D46" w:rsidRPr="00B90432">
        <w:rPr>
          <w:rFonts w:asciiTheme="minorHAnsi" w:hAnsiTheme="minorHAnsi"/>
        </w:rPr>
        <w:t>self-</w:t>
      </w:r>
      <w:r w:rsidRPr="00B90432">
        <w:rPr>
          <w:rFonts w:asciiTheme="minorHAnsi" w:hAnsiTheme="minorHAnsi"/>
        </w:rPr>
        <w:t>determination.</w:t>
      </w:r>
      <w:r w:rsidR="00DE55A3" w:rsidRPr="00B90432">
        <w:rPr>
          <w:rStyle w:val="FootnoteReference"/>
          <w:rFonts w:asciiTheme="minorHAnsi" w:eastAsia="Times New Roman" w:hAnsiTheme="minorHAnsi"/>
          <w:color w:val="000000"/>
          <w:sz w:val="22"/>
          <w:szCs w:val="22"/>
        </w:rPr>
        <w:footnoteReference w:id="182"/>
      </w:r>
      <w:r w:rsidR="00C10D46" w:rsidRPr="00B90432">
        <w:rPr>
          <w:rFonts w:asciiTheme="minorHAnsi" w:hAnsiTheme="minorHAnsi"/>
        </w:rPr>
        <w:t xml:space="preserve"> Therefore, implementation of t</w:t>
      </w:r>
      <w:r w:rsidR="006A3097" w:rsidRPr="00B90432">
        <w:rPr>
          <w:rFonts w:asciiTheme="minorHAnsi" w:hAnsiTheme="minorHAnsi"/>
        </w:rPr>
        <w:t>he right to prior consultation must</w:t>
      </w:r>
      <w:r w:rsidR="00B80A12" w:rsidRPr="00B90432">
        <w:rPr>
          <w:rFonts w:asciiTheme="minorHAnsi" w:hAnsiTheme="minorHAnsi"/>
        </w:rPr>
        <w:t>, above all,</w:t>
      </w:r>
      <w:r w:rsidR="006A3097" w:rsidRPr="00B90432">
        <w:rPr>
          <w:rFonts w:asciiTheme="minorHAnsi" w:hAnsiTheme="minorHAnsi"/>
        </w:rPr>
        <w:t xml:space="preserve"> </w:t>
      </w:r>
      <w:r w:rsidR="00B80A12" w:rsidRPr="00B90432">
        <w:rPr>
          <w:rFonts w:asciiTheme="minorHAnsi" w:hAnsiTheme="minorHAnsi"/>
        </w:rPr>
        <w:t>respect that right and make</w:t>
      </w:r>
      <w:r w:rsidR="00C10D46" w:rsidRPr="00B90432">
        <w:rPr>
          <w:rFonts w:asciiTheme="minorHAnsi" w:hAnsiTheme="minorHAnsi"/>
        </w:rPr>
        <w:t xml:space="preserve"> sure that it does not </w:t>
      </w:r>
      <w:r w:rsidR="00B80A12" w:rsidRPr="00B90432">
        <w:rPr>
          <w:rFonts w:asciiTheme="minorHAnsi" w:hAnsiTheme="minorHAnsi"/>
        </w:rPr>
        <w:t xml:space="preserve">become </w:t>
      </w:r>
      <w:r w:rsidR="00C10D46" w:rsidRPr="00B90432">
        <w:rPr>
          <w:rFonts w:asciiTheme="minorHAnsi" w:hAnsiTheme="minorHAnsi"/>
        </w:rPr>
        <w:t xml:space="preserve">a mere procedural formality that does not </w:t>
      </w:r>
      <w:r w:rsidR="000E39B2" w:rsidRPr="00B90432">
        <w:rPr>
          <w:rFonts w:asciiTheme="minorHAnsi" w:hAnsiTheme="minorHAnsi"/>
        </w:rPr>
        <w:t xml:space="preserve">take into account the particular characteristics of the indigenous people or community involved. The Inter-American Court has repeatedly held that the right to consultation includes, as a fundamental element, the right of indigenous peoples to be consulted about, and to participate in, </w:t>
      </w:r>
      <w:r w:rsidR="0054670A" w:rsidRPr="00B90432">
        <w:rPr>
          <w:rFonts w:asciiTheme="minorHAnsi" w:hAnsiTheme="minorHAnsi"/>
        </w:rPr>
        <w:t>development of the process of consultation to which they are entitled.</w:t>
      </w:r>
      <w:r w:rsidR="00DE55A3" w:rsidRPr="00B90432">
        <w:rPr>
          <w:rStyle w:val="FootnoteReference"/>
          <w:rFonts w:asciiTheme="minorHAnsi" w:eastAsia="Times New Roman" w:hAnsiTheme="minorHAnsi"/>
          <w:color w:val="000000"/>
          <w:sz w:val="22"/>
          <w:szCs w:val="22"/>
        </w:rPr>
        <w:footnoteReference w:id="183"/>
      </w:r>
      <w:r w:rsidR="0054670A" w:rsidRPr="00B90432">
        <w:rPr>
          <w:rFonts w:asciiTheme="minorHAnsi" w:hAnsiTheme="minorHAnsi"/>
        </w:rPr>
        <w:t xml:space="preserve"> </w:t>
      </w:r>
      <w:r w:rsidR="003B0C75" w:rsidRPr="00B90432">
        <w:rPr>
          <w:rFonts w:asciiTheme="minorHAnsi" w:hAnsiTheme="minorHAnsi"/>
        </w:rPr>
        <w:t>The IACHR also recalls that prior consultation is not a tool to mitigate social conflic</w:t>
      </w:r>
      <w:r w:rsidR="00676AAD" w:rsidRPr="00B90432">
        <w:rPr>
          <w:rFonts w:asciiTheme="minorHAnsi" w:hAnsiTheme="minorHAnsi"/>
        </w:rPr>
        <w:t xml:space="preserve">t, but rather a procedure to provide for the right of self-determination, in relation to activities that are carried out on their ancestral lands and territories, or that have an impact on the natural </w:t>
      </w:r>
      <w:r w:rsidR="005D17E9" w:rsidRPr="00B90432">
        <w:rPr>
          <w:rFonts w:asciiTheme="minorHAnsi" w:hAnsiTheme="minorHAnsi"/>
        </w:rPr>
        <w:t xml:space="preserve">resources that are found </w:t>
      </w:r>
      <w:bookmarkEnd w:id="34"/>
      <w:r w:rsidR="00B96707" w:rsidRPr="00B90432">
        <w:rPr>
          <w:rFonts w:asciiTheme="minorHAnsi" w:hAnsiTheme="minorHAnsi"/>
        </w:rPr>
        <w:t>there.</w:t>
      </w:r>
    </w:p>
    <w:p w14:paraId="5C634BBF" w14:textId="77777777" w:rsidR="00484F6D" w:rsidRPr="00B90432" w:rsidRDefault="00484F6D" w:rsidP="006F4717">
      <w:pPr>
        <w:pStyle w:val="Numberedparagraphs"/>
        <w:rPr>
          <w:rFonts w:asciiTheme="minorHAnsi" w:hAnsiTheme="minorHAnsi"/>
        </w:rPr>
      </w:pPr>
      <w:r w:rsidRPr="00B90432">
        <w:rPr>
          <w:rFonts w:asciiTheme="minorHAnsi" w:hAnsiTheme="minorHAnsi"/>
        </w:rPr>
        <w:t>In its observations to the draft of this report, the State of Guatemala noted that aftering unable to reach consensus on and approve an instrument to regulate consultation with indigenous peoples accoridngo the ILO Convention 169, in 2016 a specialized team was formed to collect necessary input from indigenous peoples to develop basic standards to carry out consultations.</w:t>
      </w:r>
      <w:r w:rsidR="000F46EA" w:rsidRPr="00B90432">
        <w:rPr>
          <w:rStyle w:val="FootnoteReference"/>
          <w:rFonts w:asciiTheme="minorHAnsi" w:eastAsia="Times New Roman" w:hAnsiTheme="minorHAnsi"/>
          <w:color w:val="000000"/>
          <w:sz w:val="22"/>
          <w:szCs w:val="22"/>
        </w:rPr>
        <w:footnoteReference w:id="184"/>
      </w:r>
      <w:r w:rsidRPr="00B90432">
        <w:rPr>
          <w:rFonts w:asciiTheme="minorHAnsi" w:hAnsiTheme="minorHAnsi"/>
        </w:rPr>
        <w:t xml:space="preserve"> </w:t>
      </w:r>
      <w:r w:rsidR="000F46EA" w:rsidRPr="00B90432">
        <w:rPr>
          <w:rFonts w:asciiTheme="minorHAnsi" w:hAnsiTheme="minorHAnsi"/>
        </w:rPr>
        <w:t xml:space="preserve">By December 2016, six different </w:t>
      </w:r>
      <w:r w:rsidR="00A71E9D" w:rsidRPr="00B90432">
        <w:rPr>
          <w:rFonts w:asciiTheme="minorHAnsi" w:hAnsiTheme="minorHAnsi"/>
        </w:rPr>
        <w:t xml:space="preserve">linguistic </w:t>
      </w:r>
      <w:r w:rsidR="000F46EA" w:rsidRPr="00B90432">
        <w:rPr>
          <w:rFonts w:asciiTheme="minorHAnsi" w:hAnsiTheme="minorHAnsi"/>
        </w:rPr>
        <w:lastRenderedPageBreak/>
        <w:t xml:space="preserve">communities had participated with this team, according to the State. Additionally, the State informed that the Ministry of Energy and Mines entered into an institutional agreement with the Executive Branch’s Planning </w:t>
      </w:r>
      <w:r w:rsidR="00A71E9D" w:rsidRPr="00B90432">
        <w:rPr>
          <w:rFonts w:asciiTheme="minorHAnsi" w:hAnsiTheme="minorHAnsi"/>
        </w:rPr>
        <w:t xml:space="preserve">and Programming </w:t>
      </w:r>
      <w:r w:rsidR="000F46EA" w:rsidRPr="00B90432">
        <w:rPr>
          <w:rFonts w:asciiTheme="minorHAnsi" w:hAnsiTheme="minorHAnsi"/>
        </w:rPr>
        <w:t>Secretariat (SEGEPLAN) to strengthen territorial management and provide prior and timely information in the territories where energy and mining projects exist.</w:t>
      </w:r>
      <w:r w:rsidR="000F46EA" w:rsidRPr="00B90432">
        <w:rPr>
          <w:rStyle w:val="FootnoteReference"/>
          <w:rFonts w:asciiTheme="minorHAnsi" w:eastAsia="Times New Roman" w:hAnsiTheme="minorHAnsi"/>
          <w:color w:val="000000"/>
          <w:sz w:val="22"/>
          <w:szCs w:val="22"/>
        </w:rPr>
        <w:footnoteReference w:id="185"/>
      </w:r>
    </w:p>
    <w:p w14:paraId="685DC7F5" w14:textId="77777777" w:rsidR="00307A91" w:rsidRPr="00B90432" w:rsidRDefault="0028356F" w:rsidP="006F4717">
      <w:pPr>
        <w:pStyle w:val="Numberedparagraphs"/>
        <w:rPr>
          <w:rFonts w:asciiTheme="minorHAnsi" w:hAnsiTheme="minorHAnsi"/>
        </w:rPr>
      </w:pPr>
      <w:r w:rsidRPr="00B90432">
        <w:rPr>
          <w:rFonts w:asciiTheme="minorHAnsi" w:hAnsiTheme="minorHAnsi"/>
        </w:rPr>
        <w:t>In summary</w:t>
      </w:r>
      <w:r w:rsidR="00271FE9" w:rsidRPr="00B90432">
        <w:rPr>
          <w:rFonts w:asciiTheme="minorHAnsi" w:hAnsiTheme="minorHAnsi"/>
        </w:rPr>
        <w:t>, the IACHR stresses that it is the obligation of the State of Guatemala</w:t>
      </w:r>
      <w:r w:rsidR="00C816CE" w:rsidRPr="00B90432">
        <w:rPr>
          <w:rFonts w:asciiTheme="minorHAnsi" w:hAnsiTheme="minorHAnsi"/>
        </w:rPr>
        <w:t xml:space="preserve"> to </w:t>
      </w:r>
      <w:r w:rsidR="00186AD7" w:rsidRPr="00B90432">
        <w:rPr>
          <w:rFonts w:asciiTheme="minorHAnsi" w:hAnsiTheme="minorHAnsi"/>
        </w:rPr>
        <w:t xml:space="preserve">adhere to the standards of the Inter-American Commission and the Court in the area of justice for indigenous peoples in general, and prior consultation in particular. </w:t>
      </w:r>
      <w:r w:rsidR="00D4357A" w:rsidRPr="00B90432">
        <w:rPr>
          <w:rFonts w:asciiTheme="minorHAnsi" w:hAnsiTheme="minorHAnsi"/>
        </w:rPr>
        <w:t xml:space="preserve">Participation of indigenous peoples and communities </w:t>
      </w:r>
      <w:r w:rsidR="005B6B95" w:rsidRPr="00B90432">
        <w:rPr>
          <w:rFonts w:asciiTheme="minorHAnsi" w:hAnsiTheme="minorHAnsi"/>
        </w:rPr>
        <w:t xml:space="preserve">in the </w:t>
      </w:r>
      <w:r w:rsidR="00B62A04" w:rsidRPr="00B90432">
        <w:rPr>
          <w:rFonts w:asciiTheme="minorHAnsi" w:hAnsiTheme="minorHAnsi"/>
        </w:rPr>
        <w:t>processes</w:t>
      </w:r>
      <w:r w:rsidR="001F4213" w:rsidRPr="00B90432">
        <w:rPr>
          <w:rFonts w:asciiTheme="minorHAnsi" w:hAnsiTheme="minorHAnsi"/>
        </w:rPr>
        <w:t xml:space="preserve">, in accordance with their practices, customs and methods of participation, is fundamental in order to ensure that they achieve full access to justice in Guatemala. </w:t>
      </w:r>
      <w:r w:rsidR="00A9270C" w:rsidRPr="00B90432">
        <w:rPr>
          <w:rFonts w:asciiTheme="minorHAnsi" w:hAnsiTheme="minorHAnsi"/>
        </w:rPr>
        <w:t xml:space="preserve">In a country where more than half of the population identifies </w:t>
      </w:r>
      <w:r w:rsidR="008F2B1A" w:rsidRPr="00B90432">
        <w:rPr>
          <w:rFonts w:asciiTheme="minorHAnsi" w:hAnsiTheme="minorHAnsi"/>
        </w:rPr>
        <w:t xml:space="preserve">itself </w:t>
      </w:r>
      <w:r w:rsidR="00A9270C" w:rsidRPr="00B90432">
        <w:rPr>
          <w:rFonts w:asciiTheme="minorHAnsi" w:hAnsiTheme="minorHAnsi"/>
        </w:rPr>
        <w:t xml:space="preserve">as indigenous, compliance with said standards </w:t>
      </w:r>
      <w:r w:rsidR="009A70C4" w:rsidRPr="00B90432">
        <w:rPr>
          <w:rFonts w:asciiTheme="minorHAnsi" w:hAnsiTheme="minorHAnsi"/>
        </w:rPr>
        <w:t xml:space="preserve">must </w:t>
      </w:r>
      <w:r w:rsidR="00A9270C" w:rsidRPr="00B90432">
        <w:rPr>
          <w:rFonts w:asciiTheme="minorHAnsi" w:hAnsiTheme="minorHAnsi"/>
        </w:rPr>
        <w:t xml:space="preserve">be a priority.  </w:t>
      </w:r>
      <w:r w:rsidR="00271FE9" w:rsidRPr="00B90432">
        <w:rPr>
          <w:rFonts w:asciiTheme="minorHAnsi" w:hAnsiTheme="minorHAnsi"/>
        </w:rPr>
        <w:t xml:space="preserve"> </w:t>
      </w:r>
    </w:p>
    <w:p w14:paraId="70CCFF95" w14:textId="41F47140" w:rsidR="00787D5D" w:rsidRPr="00B90432" w:rsidRDefault="00CF1FCA" w:rsidP="003359B2">
      <w:pPr>
        <w:pStyle w:val="Heading3"/>
      </w:pPr>
      <w:bookmarkStart w:id="35" w:name="_Toc509827637"/>
      <w:r w:rsidRPr="00B90432">
        <w:t xml:space="preserve">Children and </w:t>
      </w:r>
      <w:r w:rsidR="003919F4" w:rsidRPr="00B90432">
        <w:t>Adolescents</w:t>
      </w:r>
      <w:bookmarkEnd w:id="35"/>
      <w:r w:rsidR="003919F4" w:rsidRPr="00B90432">
        <w:t xml:space="preserve"> </w:t>
      </w:r>
    </w:p>
    <w:p w14:paraId="0375E175" w14:textId="77777777" w:rsidR="002C51FF" w:rsidRPr="00B90432" w:rsidRDefault="00DF0B80" w:rsidP="006F4717">
      <w:pPr>
        <w:pStyle w:val="Numberedparagraphs"/>
        <w:rPr>
          <w:rFonts w:asciiTheme="minorHAnsi" w:hAnsiTheme="minorHAnsi"/>
        </w:rPr>
      </w:pPr>
      <w:r w:rsidRPr="00B90432">
        <w:rPr>
          <w:rFonts w:asciiTheme="minorHAnsi" w:hAnsiTheme="minorHAnsi"/>
        </w:rPr>
        <w:t xml:space="preserve">Regarding </w:t>
      </w:r>
      <w:r w:rsidR="005B6BEB" w:rsidRPr="00B90432">
        <w:rPr>
          <w:rFonts w:asciiTheme="minorHAnsi" w:hAnsiTheme="minorHAnsi"/>
        </w:rPr>
        <w:t>access to justice for children and adolescents, the Commission received information that this group is facing the challenges</w:t>
      </w:r>
      <w:r w:rsidR="0079372B" w:rsidRPr="00B90432">
        <w:rPr>
          <w:rFonts w:asciiTheme="minorHAnsi" w:hAnsiTheme="minorHAnsi"/>
        </w:rPr>
        <w:t xml:space="preserve"> of a justice system with limitations of a structural nature, in addition to barriers associated with their</w:t>
      </w:r>
      <w:r w:rsidR="00C85FDE" w:rsidRPr="00B90432">
        <w:rPr>
          <w:rFonts w:asciiTheme="minorHAnsi" w:hAnsiTheme="minorHAnsi"/>
        </w:rPr>
        <w:t xml:space="preserve"> condition</w:t>
      </w:r>
      <w:r w:rsidR="00D022B8" w:rsidRPr="00B90432">
        <w:rPr>
          <w:rFonts w:asciiTheme="minorHAnsi" w:hAnsiTheme="minorHAnsi"/>
        </w:rPr>
        <w:t xml:space="preserve">. </w:t>
      </w:r>
      <w:r w:rsidR="00474C4A" w:rsidRPr="00B90432">
        <w:rPr>
          <w:rFonts w:asciiTheme="minorHAnsi" w:hAnsiTheme="minorHAnsi"/>
        </w:rPr>
        <w:t xml:space="preserve">According to the information received during the visit, rates of impunity for cases of physical and sexual violence and exploitation of children and adolescents surpasses </w:t>
      </w:r>
      <w:r w:rsidR="00146458" w:rsidRPr="00B90432">
        <w:rPr>
          <w:rFonts w:asciiTheme="minorHAnsi" w:hAnsiTheme="minorHAnsi"/>
        </w:rPr>
        <w:t>95%</w:t>
      </w:r>
      <w:r w:rsidR="00474C4A" w:rsidRPr="00B90432">
        <w:rPr>
          <w:rFonts w:asciiTheme="minorHAnsi" w:hAnsiTheme="minorHAnsi"/>
        </w:rPr>
        <w:t>.</w:t>
      </w:r>
      <w:r w:rsidR="00146458" w:rsidRPr="00B90432">
        <w:rPr>
          <w:rStyle w:val="FootnoteReference"/>
          <w:rFonts w:asciiTheme="minorHAnsi" w:hAnsiTheme="minorHAnsi"/>
          <w:sz w:val="22"/>
          <w:szCs w:val="22"/>
          <w:vertAlign w:val="baseline"/>
        </w:rPr>
        <w:footnoteReference w:id="186"/>
      </w:r>
      <w:r w:rsidR="00146458" w:rsidRPr="00B90432">
        <w:rPr>
          <w:rFonts w:asciiTheme="minorHAnsi" w:hAnsiTheme="minorHAnsi"/>
        </w:rPr>
        <w:t xml:space="preserve"> </w:t>
      </w:r>
      <w:r w:rsidR="00474C4A" w:rsidRPr="00B90432">
        <w:rPr>
          <w:rFonts w:asciiTheme="minorHAnsi" w:hAnsiTheme="minorHAnsi"/>
        </w:rPr>
        <w:t>Based on public informa</w:t>
      </w:r>
      <w:r w:rsidR="00657851" w:rsidRPr="00B90432">
        <w:rPr>
          <w:rFonts w:asciiTheme="minorHAnsi" w:hAnsiTheme="minorHAnsi"/>
        </w:rPr>
        <w:t>tion, in the first half of 2016</w:t>
      </w:r>
      <w:r w:rsidR="00474C4A" w:rsidRPr="00B90432">
        <w:rPr>
          <w:rFonts w:asciiTheme="minorHAnsi" w:hAnsiTheme="minorHAnsi"/>
        </w:rPr>
        <w:t xml:space="preserve"> there were 76 deaths of children and adolescents per month reported in the country.</w:t>
      </w:r>
      <w:r w:rsidR="00146458" w:rsidRPr="00B90432">
        <w:rPr>
          <w:rStyle w:val="FootnoteReference"/>
          <w:rFonts w:asciiTheme="minorHAnsi" w:hAnsiTheme="minorHAnsi"/>
          <w:sz w:val="22"/>
          <w:szCs w:val="22"/>
          <w:vertAlign w:val="baseline"/>
        </w:rPr>
        <w:footnoteReference w:id="187"/>
      </w:r>
    </w:p>
    <w:p w14:paraId="5C56EF63" w14:textId="77777777" w:rsidR="002C51FF" w:rsidRPr="00B90432" w:rsidRDefault="00875CE2" w:rsidP="006F4717">
      <w:pPr>
        <w:pStyle w:val="Numberedparagraphs"/>
        <w:rPr>
          <w:rFonts w:asciiTheme="minorHAnsi" w:hAnsiTheme="minorHAnsi"/>
        </w:rPr>
      </w:pPr>
      <w:r w:rsidRPr="00B90432">
        <w:rPr>
          <w:rFonts w:asciiTheme="minorHAnsi" w:hAnsiTheme="minorHAnsi"/>
        </w:rPr>
        <w:t xml:space="preserve">In order to address this situation and provide adequate assistance to this group, as of 2016, the State has been setting up Prosecutorial </w:t>
      </w:r>
      <w:r w:rsidR="00175D20" w:rsidRPr="00B90432">
        <w:rPr>
          <w:rFonts w:asciiTheme="minorHAnsi" w:hAnsiTheme="minorHAnsi"/>
        </w:rPr>
        <w:t xml:space="preserve">Branch </w:t>
      </w:r>
      <w:r w:rsidR="000568DC" w:rsidRPr="00B90432">
        <w:rPr>
          <w:rFonts w:asciiTheme="minorHAnsi" w:hAnsiTheme="minorHAnsi"/>
        </w:rPr>
        <w:t xml:space="preserve">Offices </w:t>
      </w:r>
      <w:r w:rsidRPr="00B90432">
        <w:rPr>
          <w:rFonts w:asciiTheme="minorHAnsi" w:hAnsiTheme="minorHAnsi"/>
        </w:rPr>
        <w:t xml:space="preserve">at hospitals to assist </w:t>
      </w:r>
      <w:r w:rsidR="00D463D1" w:rsidRPr="00B90432">
        <w:rPr>
          <w:rFonts w:asciiTheme="minorHAnsi" w:hAnsiTheme="minorHAnsi"/>
        </w:rPr>
        <w:t xml:space="preserve">victims of sexual violence, mistreatment and crimes against the personal integrity of children and adolescents. </w:t>
      </w:r>
      <w:r w:rsidR="00146458" w:rsidRPr="00B90432">
        <w:rPr>
          <w:rStyle w:val="FootnoteReference"/>
          <w:rFonts w:asciiTheme="minorHAnsi" w:hAnsiTheme="minorHAnsi"/>
          <w:sz w:val="22"/>
          <w:szCs w:val="22"/>
          <w:vertAlign w:val="baseline"/>
        </w:rPr>
        <w:footnoteReference w:id="188"/>
      </w:r>
      <w:r w:rsidR="000D6DD4" w:rsidRPr="00B90432">
        <w:rPr>
          <w:rFonts w:asciiTheme="minorHAnsi" w:hAnsiTheme="minorHAnsi"/>
        </w:rPr>
        <w:t xml:space="preserve"> This measure </w:t>
      </w:r>
      <w:r w:rsidR="00481E3F" w:rsidRPr="00B90432">
        <w:rPr>
          <w:rFonts w:asciiTheme="minorHAnsi" w:hAnsiTheme="minorHAnsi"/>
        </w:rPr>
        <w:t xml:space="preserve">could be </w:t>
      </w:r>
      <w:r w:rsidR="00DC7678" w:rsidRPr="00B90432">
        <w:rPr>
          <w:rFonts w:asciiTheme="minorHAnsi" w:hAnsiTheme="minorHAnsi"/>
        </w:rPr>
        <w:t xml:space="preserve">instrumental </w:t>
      </w:r>
      <w:r w:rsidR="00481E3F" w:rsidRPr="00B90432">
        <w:rPr>
          <w:rFonts w:asciiTheme="minorHAnsi" w:hAnsiTheme="minorHAnsi"/>
        </w:rPr>
        <w:t xml:space="preserve">in confronting impunity </w:t>
      </w:r>
      <w:r w:rsidR="00607D6B" w:rsidRPr="00B90432">
        <w:rPr>
          <w:rFonts w:asciiTheme="minorHAnsi" w:hAnsiTheme="minorHAnsi"/>
        </w:rPr>
        <w:t>for crimes against children and in contributing to reduce the incidence thereof. Likewise, the Office of the Counsel General of the Nation (PGN) is mandated by law to play a fundamental role in the</w:t>
      </w:r>
      <w:r w:rsidR="00026A2D" w:rsidRPr="00B90432">
        <w:rPr>
          <w:rFonts w:asciiTheme="minorHAnsi" w:hAnsiTheme="minorHAnsi"/>
        </w:rPr>
        <w:t xml:space="preserve"> defense and protection of children and </w:t>
      </w:r>
      <w:r w:rsidR="00026A2D" w:rsidRPr="00B90432">
        <w:rPr>
          <w:rFonts w:asciiTheme="minorHAnsi" w:hAnsiTheme="minorHAnsi"/>
        </w:rPr>
        <w:lastRenderedPageBreak/>
        <w:t xml:space="preserve">adolescents, whose rights have been violated, a </w:t>
      </w:r>
      <w:r w:rsidR="00EC02FE" w:rsidRPr="00B90432">
        <w:rPr>
          <w:rFonts w:asciiTheme="minorHAnsi" w:hAnsiTheme="minorHAnsi"/>
        </w:rPr>
        <w:t>task</w:t>
      </w:r>
      <w:r w:rsidR="00026A2D" w:rsidRPr="00B90432">
        <w:rPr>
          <w:rFonts w:asciiTheme="minorHAnsi" w:hAnsiTheme="minorHAnsi"/>
        </w:rPr>
        <w:t xml:space="preserve"> that, based on the information received, it has a difficult time fulfilling because of inadequate resources and coverage. </w:t>
      </w:r>
    </w:p>
    <w:p w14:paraId="0E2A976A" w14:textId="77777777" w:rsidR="002C51FF" w:rsidRPr="00B90432" w:rsidRDefault="00BB2B03" w:rsidP="006F4717">
      <w:pPr>
        <w:pStyle w:val="Numberedparagraphs"/>
        <w:rPr>
          <w:rFonts w:asciiTheme="minorHAnsi" w:hAnsiTheme="minorHAnsi"/>
        </w:rPr>
      </w:pPr>
      <w:r w:rsidRPr="00B90432">
        <w:rPr>
          <w:rFonts w:asciiTheme="minorHAnsi" w:hAnsiTheme="minorHAnsi"/>
        </w:rPr>
        <w:t xml:space="preserve">The State reported to the IACHR that a Public Comprehensive Protection Policy and National Action Plan for Children and Adolescents in Guatemala has been pushed forward by the Secretariat of Social Welfare of the Office of the President of the Republic and the Social Movement for the Rights of Children and Youth, </w:t>
      </w:r>
      <w:r w:rsidR="008E4C5D" w:rsidRPr="00B90432">
        <w:rPr>
          <w:rFonts w:asciiTheme="minorHAnsi" w:hAnsiTheme="minorHAnsi"/>
        </w:rPr>
        <w:t xml:space="preserve">which was </w:t>
      </w:r>
      <w:r w:rsidRPr="00B90432">
        <w:rPr>
          <w:rFonts w:asciiTheme="minorHAnsi" w:hAnsiTheme="minorHAnsi"/>
        </w:rPr>
        <w:t>established in 2004.</w:t>
      </w:r>
      <w:r w:rsidR="00CC5897" w:rsidRPr="00B90432">
        <w:rPr>
          <w:rStyle w:val="FootnoteReference"/>
          <w:rFonts w:asciiTheme="minorHAnsi" w:hAnsiTheme="minorHAnsi"/>
          <w:sz w:val="22"/>
          <w:szCs w:val="22"/>
          <w:vertAlign w:val="baseline"/>
        </w:rPr>
        <w:footnoteReference w:id="189"/>
      </w:r>
      <w:r w:rsidR="00CC5897" w:rsidRPr="00B90432">
        <w:rPr>
          <w:rFonts w:asciiTheme="minorHAnsi" w:hAnsiTheme="minorHAnsi"/>
        </w:rPr>
        <w:t xml:space="preserve"> </w:t>
      </w:r>
      <w:r w:rsidR="003A142E" w:rsidRPr="00B90432">
        <w:rPr>
          <w:rFonts w:asciiTheme="minorHAnsi" w:hAnsiTheme="minorHAnsi"/>
        </w:rPr>
        <w:t>Despite said policy, institutional weakness in the areas of the State in charge of specialized justice for children is an impediment to the investigation and prosecution</w:t>
      </w:r>
      <w:r w:rsidR="000C621B" w:rsidRPr="00B90432">
        <w:rPr>
          <w:rFonts w:asciiTheme="minorHAnsi" w:hAnsiTheme="minorHAnsi"/>
        </w:rPr>
        <w:t xml:space="preserve"> and</w:t>
      </w:r>
      <w:r w:rsidR="004B7284" w:rsidRPr="00B90432">
        <w:rPr>
          <w:rFonts w:asciiTheme="minorHAnsi" w:hAnsiTheme="minorHAnsi"/>
        </w:rPr>
        <w:t>,</w:t>
      </w:r>
      <w:r w:rsidR="000C621B" w:rsidRPr="00B90432">
        <w:rPr>
          <w:rFonts w:asciiTheme="minorHAnsi" w:hAnsiTheme="minorHAnsi"/>
        </w:rPr>
        <w:t xml:space="preserve"> in cases that go to trial, to reach</w:t>
      </w:r>
      <w:r w:rsidR="00F14793" w:rsidRPr="00B90432">
        <w:rPr>
          <w:rFonts w:asciiTheme="minorHAnsi" w:hAnsiTheme="minorHAnsi"/>
        </w:rPr>
        <w:t>ing</w:t>
      </w:r>
      <w:r w:rsidR="000C621B" w:rsidRPr="00B90432">
        <w:rPr>
          <w:rFonts w:asciiTheme="minorHAnsi" w:hAnsiTheme="minorHAnsi"/>
        </w:rPr>
        <w:t xml:space="preserve"> a conviction</w:t>
      </w:r>
      <w:r w:rsidR="004E36CC" w:rsidRPr="00B90432">
        <w:rPr>
          <w:rFonts w:asciiTheme="minorHAnsi" w:hAnsiTheme="minorHAnsi"/>
        </w:rPr>
        <w:t xml:space="preserve"> </w:t>
      </w:r>
      <w:r w:rsidR="00460497" w:rsidRPr="00B90432">
        <w:rPr>
          <w:rFonts w:asciiTheme="minorHAnsi" w:hAnsiTheme="minorHAnsi"/>
        </w:rPr>
        <w:t xml:space="preserve">for </w:t>
      </w:r>
      <w:r w:rsidR="003A142E" w:rsidRPr="00B90432">
        <w:rPr>
          <w:rFonts w:asciiTheme="minorHAnsi" w:hAnsiTheme="minorHAnsi"/>
        </w:rPr>
        <w:t>crimes committed a</w:t>
      </w:r>
      <w:r w:rsidR="004C6070" w:rsidRPr="00B90432">
        <w:rPr>
          <w:rFonts w:asciiTheme="minorHAnsi" w:hAnsiTheme="minorHAnsi"/>
        </w:rPr>
        <w:t>gainst children and adolescents</w:t>
      </w:r>
      <w:r w:rsidR="004B7284" w:rsidRPr="00B90432">
        <w:rPr>
          <w:rFonts w:asciiTheme="minorHAnsi" w:hAnsiTheme="minorHAnsi"/>
        </w:rPr>
        <w:t>, as reflected in the rates of impunity.</w:t>
      </w:r>
      <w:r w:rsidR="009A22C9" w:rsidRPr="00B90432">
        <w:rPr>
          <w:rStyle w:val="FootnoteReference"/>
          <w:rFonts w:asciiTheme="minorHAnsi" w:hAnsiTheme="minorHAnsi"/>
          <w:sz w:val="22"/>
          <w:szCs w:val="22"/>
          <w:vertAlign w:val="baseline"/>
        </w:rPr>
        <w:footnoteReference w:id="190"/>
      </w:r>
      <w:r w:rsidR="00C94DE6" w:rsidRPr="00B90432">
        <w:rPr>
          <w:rFonts w:asciiTheme="minorHAnsi" w:hAnsiTheme="minorHAnsi"/>
        </w:rPr>
        <w:t xml:space="preserve">  During its visit, t</w:t>
      </w:r>
      <w:r w:rsidR="004B7284" w:rsidRPr="00B90432">
        <w:rPr>
          <w:rFonts w:asciiTheme="minorHAnsi" w:hAnsiTheme="minorHAnsi"/>
        </w:rPr>
        <w:t xml:space="preserve">he IACHR </w:t>
      </w:r>
      <w:r w:rsidR="00C94DE6" w:rsidRPr="00B90432">
        <w:rPr>
          <w:rFonts w:asciiTheme="minorHAnsi" w:hAnsiTheme="minorHAnsi"/>
        </w:rPr>
        <w:t xml:space="preserve">repeatedly </w:t>
      </w:r>
      <w:r w:rsidR="00221981" w:rsidRPr="00B90432">
        <w:rPr>
          <w:rFonts w:asciiTheme="minorHAnsi" w:hAnsiTheme="minorHAnsi"/>
        </w:rPr>
        <w:t xml:space="preserve">heard </w:t>
      </w:r>
      <w:r w:rsidR="00F37210" w:rsidRPr="00B90432">
        <w:rPr>
          <w:rFonts w:asciiTheme="minorHAnsi" w:hAnsiTheme="minorHAnsi"/>
        </w:rPr>
        <w:t>that</w:t>
      </w:r>
      <w:r w:rsidR="00407470" w:rsidRPr="00B90432">
        <w:rPr>
          <w:rFonts w:asciiTheme="minorHAnsi" w:hAnsiTheme="minorHAnsi"/>
        </w:rPr>
        <w:t xml:space="preserve"> </w:t>
      </w:r>
      <w:r w:rsidR="00F37210" w:rsidRPr="00B90432">
        <w:rPr>
          <w:rFonts w:asciiTheme="minorHAnsi" w:hAnsiTheme="minorHAnsi"/>
        </w:rPr>
        <w:t xml:space="preserve">institutional weakness </w:t>
      </w:r>
      <w:r w:rsidR="00954150" w:rsidRPr="00B90432">
        <w:rPr>
          <w:rFonts w:asciiTheme="minorHAnsi" w:hAnsiTheme="minorHAnsi"/>
        </w:rPr>
        <w:t>is also linked to</w:t>
      </w:r>
      <w:r w:rsidR="00221981" w:rsidRPr="00B90432">
        <w:rPr>
          <w:rFonts w:asciiTheme="minorHAnsi" w:hAnsiTheme="minorHAnsi"/>
        </w:rPr>
        <w:t xml:space="preserve"> the policy in </w:t>
      </w:r>
      <w:r w:rsidR="00DF1740" w:rsidRPr="00B90432">
        <w:rPr>
          <w:rFonts w:asciiTheme="minorHAnsi" w:hAnsiTheme="minorHAnsi"/>
        </w:rPr>
        <w:t xml:space="preserve">force </w:t>
      </w:r>
      <w:r w:rsidR="00221981" w:rsidRPr="00B90432">
        <w:rPr>
          <w:rFonts w:asciiTheme="minorHAnsi" w:hAnsiTheme="minorHAnsi"/>
        </w:rPr>
        <w:t>taking a protection</w:t>
      </w:r>
      <w:r w:rsidR="002E1DC3" w:rsidRPr="00B90432">
        <w:rPr>
          <w:rFonts w:asciiTheme="minorHAnsi" w:hAnsiTheme="minorHAnsi"/>
        </w:rPr>
        <w:t>-based</w:t>
      </w:r>
      <w:r w:rsidR="00221981" w:rsidRPr="00B90432">
        <w:rPr>
          <w:rFonts w:asciiTheme="minorHAnsi" w:hAnsiTheme="minorHAnsi"/>
        </w:rPr>
        <w:t xml:space="preserve"> approach as opposed to being</w:t>
      </w:r>
      <w:r w:rsidR="00F37210" w:rsidRPr="00B90432">
        <w:rPr>
          <w:rFonts w:asciiTheme="minorHAnsi" w:hAnsiTheme="minorHAnsi"/>
        </w:rPr>
        <w:t xml:space="preserve"> a national public policy </w:t>
      </w:r>
      <w:r w:rsidR="001A7F91" w:rsidRPr="00B90432">
        <w:rPr>
          <w:rFonts w:asciiTheme="minorHAnsi" w:hAnsiTheme="minorHAnsi"/>
        </w:rPr>
        <w:t xml:space="preserve">providing for </w:t>
      </w:r>
      <w:r w:rsidR="005A1A1E" w:rsidRPr="00B90432">
        <w:rPr>
          <w:rFonts w:asciiTheme="minorHAnsi" w:hAnsiTheme="minorHAnsi"/>
        </w:rPr>
        <w:t>full implementation of the rights of children and adolescents</w:t>
      </w:r>
      <w:r w:rsidR="001566BD" w:rsidRPr="00B90432">
        <w:rPr>
          <w:rFonts w:asciiTheme="minorHAnsi" w:hAnsiTheme="minorHAnsi"/>
        </w:rPr>
        <w:t xml:space="preserve">. </w:t>
      </w:r>
    </w:p>
    <w:p w14:paraId="12FF66F2" w14:textId="77777777" w:rsidR="002C51FF" w:rsidRPr="00B90432" w:rsidRDefault="00221981" w:rsidP="006F4717">
      <w:pPr>
        <w:pStyle w:val="Numberedparagraphs"/>
        <w:rPr>
          <w:rFonts w:asciiTheme="minorHAnsi" w:hAnsiTheme="minorHAnsi"/>
        </w:rPr>
      </w:pPr>
      <w:r w:rsidRPr="00B90432">
        <w:rPr>
          <w:rFonts w:asciiTheme="minorHAnsi" w:hAnsiTheme="minorHAnsi"/>
        </w:rPr>
        <w:t xml:space="preserve">In the framework of specialized justice for children and adolescents, </w:t>
      </w:r>
      <w:r w:rsidR="001D2A16" w:rsidRPr="00B90432">
        <w:rPr>
          <w:rFonts w:asciiTheme="minorHAnsi" w:hAnsiTheme="minorHAnsi"/>
        </w:rPr>
        <w:t xml:space="preserve">we note the creation of the </w:t>
      </w:r>
      <w:r w:rsidR="00DE2DA7" w:rsidRPr="00B90432">
        <w:rPr>
          <w:rFonts w:asciiTheme="minorHAnsi" w:hAnsiTheme="minorHAnsi"/>
        </w:rPr>
        <w:t xml:space="preserve">Sectional Office of the </w:t>
      </w:r>
      <w:r w:rsidR="00F9479F" w:rsidRPr="00B90432">
        <w:rPr>
          <w:rFonts w:asciiTheme="minorHAnsi" w:hAnsiTheme="minorHAnsi"/>
        </w:rPr>
        <w:t>Prosecutor for crimes ag</w:t>
      </w:r>
      <w:r w:rsidR="00FB05EB" w:rsidRPr="00B90432">
        <w:rPr>
          <w:rFonts w:asciiTheme="minorHAnsi" w:hAnsiTheme="minorHAnsi"/>
        </w:rPr>
        <w:t xml:space="preserve">ainst children and adolescents in an attempt to strengthen the specialized approach for the protection of </w:t>
      </w:r>
      <w:r w:rsidR="00914D33" w:rsidRPr="00B90432">
        <w:rPr>
          <w:rFonts w:asciiTheme="minorHAnsi" w:hAnsiTheme="minorHAnsi"/>
        </w:rPr>
        <w:t>this group</w:t>
      </w:r>
      <w:r w:rsidR="00FB05EB" w:rsidRPr="00B90432">
        <w:rPr>
          <w:rFonts w:asciiTheme="minorHAnsi" w:hAnsiTheme="minorHAnsi"/>
        </w:rPr>
        <w:t>.</w:t>
      </w:r>
      <w:r w:rsidR="006E2D8F" w:rsidRPr="00B90432">
        <w:rPr>
          <w:rStyle w:val="FootnoteReference"/>
          <w:rFonts w:asciiTheme="minorHAnsi" w:hAnsiTheme="minorHAnsi"/>
          <w:sz w:val="22"/>
          <w:szCs w:val="22"/>
          <w:vertAlign w:val="baseline"/>
        </w:rPr>
        <w:footnoteReference w:id="191"/>
      </w:r>
      <w:r w:rsidR="00DE2DA7" w:rsidRPr="00B90432">
        <w:rPr>
          <w:rFonts w:asciiTheme="minorHAnsi" w:hAnsiTheme="minorHAnsi"/>
        </w:rPr>
        <w:t xml:space="preserve"> Previously, the Office of the Prosecutor for</w:t>
      </w:r>
      <w:r w:rsidR="000334CF" w:rsidRPr="00B90432">
        <w:rPr>
          <w:rFonts w:asciiTheme="minorHAnsi" w:hAnsiTheme="minorHAnsi"/>
        </w:rPr>
        <w:t xml:space="preserve"> C</w:t>
      </w:r>
      <w:r w:rsidR="00C702C2" w:rsidRPr="00B90432">
        <w:rPr>
          <w:rFonts w:asciiTheme="minorHAnsi" w:hAnsiTheme="minorHAnsi"/>
        </w:rPr>
        <w:t>rimes against Women handled these cases. This new office must implement a model of comprehensive assistance, which must include services such as medical and psychological care and social work assistance.  In this regard, civil society organizations</w:t>
      </w:r>
      <w:r w:rsidR="00D72D21" w:rsidRPr="00B90432">
        <w:rPr>
          <w:rFonts w:asciiTheme="minorHAnsi" w:hAnsiTheme="minorHAnsi"/>
        </w:rPr>
        <w:t xml:space="preserve"> </w:t>
      </w:r>
      <w:r w:rsidR="00DA1562" w:rsidRPr="00B90432">
        <w:rPr>
          <w:rFonts w:asciiTheme="minorHAnsi" w:hAnsiTheme="minorHAnsi"/>
        </w:rPr>
        <w:t xml:space="preserve">specialized </w:t>
      </w:r>
      <w:r w:rsidR="00D72D21" w:rsidRPr="00B90432">
        <w:rPr>
          <w:rFonts w:asciiTheme="minorHAnsi" w:hAnsiTheme="minorHAnsi"/>
        </w:rPr>
        <w:t>in the subject matter expressed their concern to the Commission over the lack of adequate resources for this Prosecutor’s Office to function effectively.</w:t>
      </w:r>
      <w:r w:rsidR="006E2D8F" w:rsidRPr="00B90432">
        <w:rPr>
          <w:rStyle w:val="FootnoteReference"/>
          <w:rFonts w:asciiTheme="minorHAnsi" w:hAnsiTheme="minorHAnsi"/>
          <w:sz w:val="22"/>
          <w:szCs w:val="22"/>
          <w:vertAlign w:val="baseline"/>
        </w:rPr>
        <w:footnoteReference w:id="192"/>
      </w:r>
      <w:r w:rsidR="001E43A8" w:rsidRPr="00B90432">
        <w:rPr>
          <w:rFonts w:asciiTheme="minorHAnsi" w:hAnsiTheme="minorHAnsi"/>
        </w:rPr>
        <w:t xml:space="preserve"> The IACHR deems it necessary for these institutions to have sufficient resources to be able to fulfill their mandate and improve the specialized system of justice for children. </w:t>
      </w:r>
    </w:p>
    <w:p w14:paraId="6B1D168C" w14:textId="77777777" w:rsidR="002C51FF" w:rsidRPr="00B90432" w:rsidRDefault="00EC434E" w:rsidP="006F4717">
      <w:pPr>
        <w:pStyle w:val="Numberedparagraphs"/>
        <w:rPr>
          <w:rFonts w:asciiTheme="minorHAnsi" w:hAnsiTheme="minorHAnsi"/>
        </w:rPr>
      </w:pPr>
      <w:r w:rsidRPr="00B90432">
        <w:rPr>
          <w:rFonts w:asciiTheme="minorHAnsi" w:hAnsiTheme="minorHAnsi"/>
        </w:rPr>
        <w:t xml:space="preserve">Additionally, the State noted that the Judiciary created the Trial Court for Children and Adolescents of the Metropolitan Area, which is tasked with </w:t>
      </w:r>
      <w:r w:rsidRPr="00B90432">
        <w:rPr>
          <w:rFonts w:asciiTheme="minorHAnsi" w:hAnsiTheme="minorHAnsi"/>
        </w:rPr>
        <w:lastRenderedPageBreak/>
        <w:t xml:space="preserve">assisting the children and adolescents in the cases it hears, in which children and adolescents </w:t>
      </w:r>
      <w:r w:rsidR="009061A0" w:rsidRPr="00B90432">
        <w:rPr>
          <w:rFonts w:asciiTheme="minorHAnsi" w:hAnsiTheme="minorHAnsi"/>
        </w:rPr>
        <w:t>are being prosecuted.</w:t>
      </w:r>
      <w:r w:rsidR="00C66905" w:rsidRPr="00B90432">
        <w:rPr>
          <w:rStyle w:val="FootnoteReference"/>
          <w:rFonts w:asciiTheme="minorHAnsi" w:hAnsiTheme="minorHAnsi"/>
          <w:sz w:val="22"/>
          <w:szCs w:val="22"/>
          <w:vertAlign w:val="baseline"/>
        </w:rPr>
        <w:footnoteReference w:id="193"/>
      </w:r>
      <w:r w:rsidR="009061A0" w:rsidRPr="00B90432">
        <w:rPr>
          <w:rFonts w:asciiTheme="minorHAnsi" w:hAnsiTheme="minorHAnsi"/>
        </w:rPr>
        <w:t xml:space="preserve"> In the framework of specialized justice for children, in October 2016, the </w:t>
      </w:r>
      <w:r w:rsidR="00944C31" w:rsidRPr="00B90432">
        <w:rPr>
          <w:rFonts w:asciiTheme="minorHAnsi" w:hAnsiTheme="minorHAnsi"/>
        </w:rPr>
        <w:t xml:space="preserve">Oversight </w:t>
      </w:r>
      <w:r w:rsidR="00485F1C" w:rsidRPr="00B90432">
        <w:rPr>
          <w:rFonts w:asciiTheme="minorHAnsi" w:hAnsiTheme="minorHAnsi"/>
        </w:rPr>
        <w:t xml:space="preserve">Court for </w:t>
      </w:r>
      <w:r w:rsidR="009061A0" w:rsidRPr="00B90432">
        <w:rPr>
          <w:rFonts w:asciiTheme="minorHAnsi" w:hAnsiTheme="minorHAnsi"/>
        </w:rPr>
        <w:t xml:space="preserve">Execution of Measures for Adolescents in Conflict with the Criminal Law of Guatemala City issued a ruling ordering several actions relating to the conditions of detention at four </w:t>
      </w:r>
      <w:r w:rsidR="00674069" w:rsidRPr="00B90432">
        <w:rPr>
          <w:rFonts w:asciiTheme="minorHAnsi" w:hAnsiTheme="minorHAnsi"/>
        </w:rPr>
        <w:t>facilities for the deprivation of children and adolescents</w:t>
      </w:r>
      <w:r w:rsidR="004C4039" w:rsidRPr="00B90432">
        <w:rPr>
          <w:rFonts w:asciiTheme="minorHAnsi" w:hAnsiTheme="minorHAnsi"/>
        </w:rPr>
        <w:t xml:space="preserve">: </w:t>
      </w:r>
      <w:r w:rsidR="00C66905" w:rsidRPr="00B90432">
        <w:rPr>
          <w:rFonts w:asciiTheme="minorHAnsi" w:hAnsiTheme="minorHAnsi"/>
        </w:rPr>
        <w:t>Centro Juvenil de Privación de Libertad para Mujeres (CEJUPLIM-Gorriones), Centro Juvenil de Detención Provisional (CEJUDEP-Gaviotas), Centro Juvenil de Detención Provisional</w:t>
      </w:r>
      <w:r w:rsidR="00674069" w:rsidRPr="00B90432">
        <w:rPr>
          <w:rFonts w:asciiTheme="minorHAnsi" w:hAnsiTheme="minorHAnsi"/>
        </w:rPr>
        <w:t xml:space="preserve"> para Varones (CEJUDEP-Anexo), and</w:t>
      </w:r>
      <w:r w:rsidR="00C66905" w:rsidRPr="00B90432">
        <w:rPr>
          <w:rFonts w:asciiTheme="minorHAnsi" w:hAnsiTheme="minorHAnsi"/>
        </w:rPr>
        <w:t xml:space="preserve"> Centro Juvenil de Privación de Libertad para Varones (CEJUPLIV-Etapa II). </w:t>
      </w:r>
      <w:r w:rsidR="00674069" w:rsidRPr="00B90432">
        <w:rPr>
          <w:rFonts w:asciiTheme="minorHAnsi" w:hAnsiTheme="minorHAnsi"/>
        </w:rPr>
        <w:t xml:space="preserve">These actions </w:t>
      </w:r>
      <w:r w:rsidR="000E7B74" w:rsidRPr="00B90432">
        <w:rPr>
          <w:rFonts w:asciiTheme="minorHAnsi" w:hAnsiTheme="minorHAnsi"/>
        </w:rPr>
        <w:t xml:space="preserve">fall under the purview </w:t>
      </w:r>
      <w:r w:rsidR="00C53CDF" w:rsidRPr="00B90432">
        <w:rPr>
          <w:rFonts w:asciiTheme="minorHAnsi" w:hAnsiTheme="minorHAnsi"/>
        </w:rPr>
        <w:t xml:space="preserve">of </w:t>
      </w:r>
      <w:r w:rsidR="00CF65E4" w:rsidRPr="00B90432">
        <w:rPr>
          <w:rFonts w:asciiTheme="minorHAnsi" w:hAnsiTheme="minorHAnsi"/>
        </w:rPr>
        <w:t xml:space="preserve">the Secretariat of Social Welfare, the Ministry </w:t>
      </w:r>
      <w:r w:rsidR="0022539B" w:rsidRPr="00B90432">
        <w:rPr>
          <w:rFonts w:asciiTheme="minorHAnsi" w:hAnsiTheme="minorHAnsi"/>
        </w:rPr>
        <w:t>of Education, the Secretariat for the</w:t>
      </w:r>
      <w:r w:rsidR="00CF65E4" w:rsidRPr="00B90432">
        <w:rPr>
          <w:rFonts w:asciiTheme="minorHAnsi" w:hAnsiTheme="minorHAnsi"/>
        </w:rPr>
        <w:t xml:space="preserve"> Administration of Forfeited Assets, and the </w:t>
      </w:r>
      <w:r w:rsidR="00EC02FE" w:rsidRPr="00B90432">
        <w:rPr>
          <w:rFonts w:asciiTheme="minorHAnsi" w:hAnsiTheme="minorHAnsi"/>
        </w:rPr>
        <w:t>National</w:t>
      </w:r>
      <w:r w:rsidR="00914D33" w:rsidRPr="00B90432">
        <w:rPr>
          <w:rFonts w:asciiTheme="minorHAnsi" w:hAnsiTheme="minorHAnsi"/>
        </w:rPr>
        <w:t xml:space="preserve"> Institute of Forensic Sciences. This ruling</w:t>
      </w:r>
      <w:r w:rsidR="00CF65E4" w:rsidRPr="00B90432">
        <w:rPr>
          <w:rFonts w:asciiTheme="minorHAnsi" w:hAnsiTheme="minorHAnsi"/>
        </w:rPr>
        <w:t xml:space="preserve"> was </w:t>
      </w:r>
      <w:r w:rsidR="005A0EEF" w:rsidRPr="00B90432">
        <w:rPr>
          <w:rFonts w:asciiTheme="minorHAnsi" w:hAnsiTheme="minorHAnsi"/>
        </w:rPr>
        <w:t xml:space="preserve">upheld </w:t>
      </w:r>
      <w:r w:rsidR="00CF65E4" w:rsidRPr="00B90432">
        <w:rPr>
          <w:rFonts w:asciiTheme="minorHAnsi" w:hAnsiTheme="minorHAnsi"/>
        </w:rPr>
        <w:t>under an order of the Court of Appeals for Children and Adolescents.</w:t>
      </w:r>
      <w:r w:rsidR="00C66905" w:rsidRPr="00B90432">
        <w:rPr>
          <w:rStyle w:val="FootnoteReference"/>
          <w:rFonts w:asciiTheme="minorHAnsi" w:hAnsiTheme="minorHAnsi"/>
          <w:sz w:val="22"/>
          <w:szCs w:val="22"/>
          <w:vertAlign w:val="baseline"/>
        </w:rPr>
        <w:footnoteReference w:id="194"/>
      </w:r>
      <w:r w:rsidR="00C66905" w:rsidRPr="00B90432">
        <w:rPr>
          <w:rFonts w:asciiTheme="minorHAnsi" w:hAnsiTheme="minorHAnsi"/>
        </w:rPr>
        <w:t xml:space="preserve"> </w:t>
      </w:r>
    </w:p>
    <w:p w14:paraId="55F6E162" w14:textId="77777777" w:rsidR="00D14132" w:rsidRPr="00B90432" w:rsidRDefault="007C5A90" w:rsidP="006F4717">
      <w:pPr>
        <w:pStyle w:val="Numberedparagraphs"/>
        <w:rPr>
          <w:rFonts w:asciiTheme="minorHAnsi" w:hAnsiTheme="minorHAnsi"/>
        </w:rPr>
      </w:pPr>
      <w:r w:rsidRPr="00B90432">
        <w:rPr>
          <w:rFonts w:asciiTheme="minorHAnsi" w:hAnsiTheme="minorHAnsi"/>
        </w:rPr>
        <w:t xml:space="preserve">On June </w:t>
      </w:r>
      <w:r w:rsidR="00D14132" w:rsidRPr="00B90432">
        <w:rPr>
          <w:rFonts w:asciiTheme="minorHAnsi" w:hAnsiTheme="minorHAnsi"/>
        </w:rPr>
        <w:t>12</w:t>
      </w:r>
      <w:r w:rsidRPr="00B90432">
        <w:rPr>
          <w:rFonts w:asciiTheme="minorHAnsi" w:hAnsiTheme="minorHAnsi"/>
        </w:rPr>
        <w:t>,</w:t>
      </w:r>
      <w:r w:rsidR="00D14132" w:rsidRPr="00B90432">
        <w:rPr>
          <w:rFonts w:asciiTheme="minorHAnsi" w:hAnsiTheme="minorHAnsi"/>
        </w:rPr>
        <w:t xml:space="preserve"> 2017, </w:t>
      </w:r>
      <w:r w:rsidRPr="00B90432">
        <w:rPr>
          <w:rFonts w:asciiTheme="minorHAnsi" w:hAnsiTheme="minorHAnsi"/>
        </w:rPr>
        <w:t xml:space="preserve">the IACHR asked the State to adopt precautionary measures on behalf of children and adolescents, who </w:t>
      </w:r>
      <w:r w:rsidR="00FA65B0" w:rsidRPr="00B90432">
        <w:rPr>
          <w:rFonts w:asciiTheme="minorHAnsi" w:hAnsiTheme="minorHAnsi"/>
        </w:rPr>
        <w:t xml:space="preserve">are </w:t>
      </w:r>
      <w:r w:rsidR="00E63690" w:rsidRPr="00B90432">
        <w:rPr>
          <w:rFonts w:asciiTheme="minorHAnsi" w:hAnsiTheme="minorHAnsi"/>
        </w:rPr>
        <w:t xml:space="preserve">housed </w:t>
      </w:r>
      <w:r w:rsidR="00FA65B0" w:rsidRPr="00B90432">
        <w:rPr>
          <w:rFonts w:asciiTheme="minorHAnsi" w:hAnsiTheme="minorHAnsi"/>
        </w:rPr>
        <w:t xml:space="preserve">at these four detention facilities, </w:t>
      </w:r>
      <w:r w:rsidR="00D14132" w:rsidRPr="00B90432">
        <w:rPr>
          <w:rFonts w:asciiTheme="minorHAnsi" w:hAnsiTheme="minorHAnsi"/>
        </w:rPr>
        <w:t>MC 161-17</w:t>
      </w:r>
      <w:r w:rsidR="006D1FB7" w:rsidRPr="00B90432">
        <w:rPr>
          <w:rFonts w:asciiTheme="minorHAnsi" w:hAnsiTheme="minorHAnsi"/>
        </w:rPr>
        <w:t>.</w:t>
      </w:r>
      <w:r w:rsidR="00D14132" w:rsidRPr="00B90432">
        <w:rPr>
          <w:rStyle w:val="FootnoteReference"/>
          <w:rFonts w:asciiTheme="minorHAnsi" w:hAnsiTheme="minorHAnsi"/>
          <w:sz w:val="22"/>
          <w:szCs w:val="22"/>
          <w:vertAlign w:val="baseline"/>
        </w:rPr>
        <w:footnoteReference w:id="195"/>
      </w:r>
      <w:r w:rsidR="006D1FB7" w:rsidRPr="00B90432">
        <w:rPr>
          <w:rFonts w:asciiTheme="minorHAnsi" w:hAnsiTheme="minorHAnsi"/>
        </w:rPr>
        <w:t xml:space="preserve"> The Commission </w:t>
      </w:r>
      <w:r w:rsidR="001D0EF0" w:rsidRPr="00B90432">
        <w:rPr>
          <w:rFonts w:asciiTheme="minorHAnsi" w:hAnsiTheme="minorHAnsi"/>
        </w:rPr>
        <w:t xml:space="preserve">requested the Guatemalan State to adopt the necessary measures to protect the lives and personal integrity of the adolescents of the four facilities, to take the necessary actions to improve their conditions of detention </w:t>
      </w:r>
      <w:r w:rsidR="003304A8" w:rsidRPr="00B90432">
        <w:rPr>
          <w:rFonts w:asciiTheme="minorHAnsi" w:hAnsiTheme="minorHAnsi"/>
        </w:rPr>
        <w:t>in keeping with internat</w:t>
      </w:r>
      <w:r w:rsidR="00CD3C3A" w:rsidRPr="00B90432">
        <w:rPr>
          <w:rFonts w:asciiTheme="minorHAnsi" w:hAnsiTheme="minorHAnsi"/>
        </w:rPr>
        <w:t>ional standards; to strengthen security at the four detention facilities; to adopt the necessary measures to have emergency plans</w:t>
      </w:r>
      <w:r w:rsidR="008C0131" w:rsidRPr="00B90432">
        <w:rPr>
          <w:rFonts w:asciiTheme="minorHAnsi" w:hAnsiTheme="minorHAnsi"/>
        </w:rPr>
        <w:t xml:space="preserve"> in place</w:t>
      </w:r>
      <w:r w:rsidR="00CD3C3A" w:rsidRPr="00B90432">
        <w:rPr>
          <w:rFonts w:asciiTheme="minorHAnsi" w:hAnsiTheme="minorHAnsi"/>
        </w:rPr>
        <w:t xml:space="preserve"> to respond to potential risk factors identified </w:t>
      </w:r>
      <w:r w:rsidR="00380559" w:rsidRPr="00B90432">
        <w:rPr>
          <w:rFonts w:asciiTheme="minorHAnsi" w:hAnsiTheme="minorHAnsi"/>
        </w:rPr>
        <w:t>in the ruling</w:t>
      </w:r>
      <w:r w:rsidR="00B25D20" w:rsidRPr="00B90432">
        <w:rPr>
          <w:rFonts w:asciiTheme="minorHAnsi" w:hAnsiTheme="minorHAnsi"/>
        </w:rPr>
        <w:t>, should they materialize</w:t>
      </w:r>
      <w:r w:rsidR="00380559" w:rsidRPr="00B90432">
        <w:rPr>
          <w:rFonts w:asciiTheme="minorHAnsi" w:hAnsiTheme="minorHAnsi"/>
        </w:rPr>
        <w:t xml:space="preserve">; to agree on the measures to be adopted with the beneficiaries and their representatives; and to report on the </w:t>
      </w:r>
      <w:r w:rsidR="005D4158" w:rsidRPr="00B90432">
        <w:rPr>
          <w:rFonts w:asciiTheme="minorHAnsi" w:hAnsiTheme="minorHAnsi"/>
        </w:rPr>
        <w:t xml:space="preserve">steps </w:t>
      </w:r>
      <w:r w:rsidR="00380559" w:rsidRPr="00B90432">
        <w:rPr>
          <w:rFonts w:asciiTheme="minorHAnsi" w:hAnsiTheme="minorHAnsi"/>
        </w:rPr>
        <w:t>taken to investigate the alleged incidents and avoid the repetition thereof.</w:t>
      </w:r>
      <w:r w:rsidR="00D14132" w:rsidRPr="00B90432">
        <w:rPr>
          <w:rStyle w:val="FootnoteReference"/>
          <w:rFonts w:asciiTheme="minorHAnsi" w:hAnsiTheme="minorHAnsi"/>
          <w:sz w:val="22"/>
          <w:szCs w:val="22"/>
          <w:vertAlign w:val="baseline"/>
        </w:rPr>
        <w:footnoteReference w:id="196"/>
      </w:r>
      <w:r w:rsidR="00380559" w:rsidRPr="00B90432">
        <w:rPr>
          <w:rFonts w:asciiTheme="minorHAnsi" w:hAnsiTheme="minorHAnsi"/>
        </w:rPr>
        <w:t xml:space="preserve"> The visits made to the children’s and adolescents’ detention facilities are explaine</w:t>
      </w:r>
      <w:r w:rsidR="00705456" w:rsidRPr="00B90432">
        <w:rPr>
          <w:rFonts w:asciiTheme="minorHAnsi" w:hAnsiTheme="minorHAnsi"/>
        </w:rPr>
        <w:t>d in greater detail below</w:t>
      </w:r>
      <w:r w:rsidR="00380559" w:rsidRPr="00B90432">
        <w:rPr>
          <w:rFonts w:asciiTheme="minorHAnsi" w:hAnsiTheme="minorHAnsi"/>
        </w:rPr>
        <w:t xml:space="preserve">. </w:t>
      </w:r>
      <w:r w:rsidR="00D14132" w:rsidRPr="00B90432">
        <w:rPr>
          <w:rFonts w:asciiTheme="minorHAnsi" w:hAnsiTheme="minorHAnsi"/>
        </w:rPr>
        <w:t xml:space="preserve"> </w:t>
      </w:r>
    </w:p>
    <w:p w14:paraId="7B31556C" w14:textId="77777777" w:rsidR="002C51FF" w:rsidRPr="00B90432" w:rsidRDefault="00CD3B12" w:rsidP="006F4717">
      <w:pPr>
        <w:pStyle w:val="Numberedparagraphs"/>
        <w:rPr>
          <w:rFonts w:asciiTheme="minorHAnsi" w:hAnsiTheme="minorHAnsi"/>
        </w:rPr>
      </w:pPr>
      <w:r w:rsidRPr="00B90432">
        <w:rPr>
          <w:rFonts w:asciiTheme="minorHAnsi" w:hAnsiTheme="minorHAnsi"/>
        </w:rPr>
        <w:t>During its visit, the IACHR learned of significant concrete steps forward</w:t>
      </w:r>
      <w:r w:rsidR="002E3177" w:rsidRPr="00B90432">
        <w:rPr>
          <w:rFonts w:asciiTheme="minorHAnsi" w:hAnsiTheme="minorHAnsi"/>
        </w:rPr>
        <w:t xml:space="preserve"> as a result of said ruling, particularly the demolition of the “dungeon” </w:t>
      </w:r>
      <w:r w:rsidR="00007E7C" w:rsidRPr="00B90432">
        <w:rPr>
          <w:rFonts w:asciiTheme="minorHAnsi" w:hAnsiTheme="minorHAnsi"/>
        </w:rPr>
        <w:t xml:space="preserve">[calabozo] </w:t>
      </w:r>
      <w:r w:rsidR="002E3177" w:rsidRPr="00B90432">
        <w:rPr>
          <w:rFonts w:asciiTheme="minorHAnsi" w:hAnsiTheme="minorHAnsi"/>
        </w:rPr>
        <w:t>dormitories at the facility known as “Etapa II” [‘</w:t>
      </w:r>
      <w:r w:rsidR="002A4494" w:rsidRPr="00B90432">
        <w:rPr>
          <w:rFonts w:asciiTheme="minorHAnsi" w:hAnsiTheme="minorHAnsi"/>
        </w:rPr>
        <w:t>Stag</w:t>
      </w:r>
      <w:r w:rsidR="002E3177" w:rsidRPr="00B90432">
        <w:rPr>
          <w:rFonts w:asciiTheme="minorHAnsi" w:hAnsiTheme="minorHAnsi"/>
        </w:rPr>
        <w:t xml:space="preserve">e II’], as well as the installation of toilets in the </w:t>
      </w:r>
      <w:r w:rsidR="00001CFE" w:rsidRPr="00B90432">
        <w:rPr>
          <w:rFonts w:asciiTheme="minorHAnsi" w:hAnsiTheme="minorHAnsi"/>
        </w:rPr>
        <w:t xml:space="preserve">adolescents’ </w:t>
      </w:r>
      <w:r w:rsidR="002E3177" w:rsidRPr="00B90432">
        <w:rPr>
          <w:rFonts w:asciiTheme="minorHAnsi" w:hAnsiTheme="minorHAnsi"/>
        </w:rPr>
        <w:t xml:space="preserve">dormitories </w:t>
      </w:r>
      <w:r w:rsidR="00001CFE" w:rsidRPr="00B90432">
        <w:rPr>
          <w:rFonts w:asciiTheme="minorHAnsi" w:hAnsiTheme="minorHAnsi"/>
        </w:rPr>
        <w:t>at the “Gorriones</w:t>
      </w:r>
      <w:r w:rsidR="00A01469" w:rsidRPr="00B90432">
        <w:rPr>
          <w:rFonts w:asciiTheme="minorHAnsi" w:hAnsiTheme="minorHAnsi"/>
        </w:rPr>
        <w:t>”</w:t>
      </w:r>
      <w:r w:rsidR="00001CFE" w:rsidRPr="00B90432">
        <w:rPr>
          <w:rFonts w:asciiTheme="minorHAnsi" w:hAnsiTheme="minorHAnsi"/>
        </w:rPr>
        <w:t xml:space="preserve"> facility, visited by the Commission.</w:t>
      </w:r>
      <w:r w:rsidR="00A01469" w:rsidRPr="00B90432">
        <w:rPr>
          <w:rStyle w:val="FootnoteReference"/>
          <w:rFonts w:asciiTheme="minorHAnsi" w:hAnsiTheme="minorHAnsi"/>
          <w:sz w:val="22"/>
          <w:szCs w:val="22"/>
          <w:vertAlign w:val="baseline"/>
        </w:rPr>
        <w:footnoteReference w:id="197"/>
      </w:r>
      <w:r w:rsidR="00001CFE" w:rsidRPr="00B90432">
        <w:rPr>
          <w:rFonts w:asciiTheme="minorHAnsi" w:hAnsiTheme="minorHAnsi"/>
        </w:rPr>
        <w:t xml:space="preserve"> In contrast, the IACHR </w:t>
      </w:r>
      <w:r w:rsidR="00001CFE" w:rsidRPr="00B90432">
        <w:rPr>
          <w:rFonts w:asciiTheme="minorHAnsi" w:hAnsiTheme="minorHAnsi"/>
        </w:rPr>
        <w:lastRenderedPageBreak/>
        <w:t xml:space="preserve">also learned about obstacles and delays in compliance with other </w:t>
      </w:r>
      <w:r w:rsidR="008D5DC5" w:rsidRPr="00B90432">
        <w:rPr>
          <w:rFonts w:asciiTheme="minorHAnsi" w:hAnsiTheme="minorHAnsi"/>
        </w:rPr>
        <w:t xml:space="preserve">items </w:t>
      </w:r>
      <w:r w:rsidR="00155ADD" w:rsidRPr="00B90432">
        <w:rPr>
          <w:rFonts w:asciiTheme="minorHAnsi" w:hAnsiTheme="minorHAnsi"/>
        </w:rPr>
        <w:t xml:space="preserve">ordered </w:t>
      </w:r>
      <w:r w:rsidR="00B423AF" w:rsidRPr="00B90432">
        <w:rPr>
          <w:rFonts w:asciiTheme="minorHAnsi" w:hAnsiTheme="minorHAnsi"/>
        </w:rPr>
        <w:t>in</w:t>
      </w:r>
      <w:r w:rsidR="00001CFE" w:rsidRPr="00B90432">
        <w:rPr>
          <w:rFonts w:asciiTheme="minorHAnsi" w:hAnsiTheme="minorHAnsi"/>
        </w:rPr>
        <w:t xml:space="preserve"> the ruling </w:t>
      </w:r>
      <w:r w:rsidR="00155ADD" w:rsidRPr="00B90432">
        <w:rPr>
          <w:rFonts w:asciiTheme="minorHAnsi" w:hAnsiTheme="minorHAnsi"/>
        </w:rPr>
        <w:t xml:space="preserve">of </w:t>
      </w:r>
      <w:r w:rsidR="00001CFE" w:rsidRPr="00B90432">
        <w:rPr>
          <w:rFonts w:asciiTheme="minorHAnsi" w:hAnsiTheme="minorHAnsi"/>
        </w:rPr>
        <w:t xml:space="preserve">the </w:t>
      </w:r>
      <w:r w:rsidR="00034627" w:rsidRPr="00B90432">
        <w:rPr>
          <w:rFonts w:asciiTheme="minorHAnsi" w:hAnsiTheme="minorHAnsi"/>
        </w:rPr>
        <w:t xml:space="preserve">Oversight </w:t>
      </w:r>
      <w:r w:rsidR="00001CFE" w:rsidRPr="00B90432">
        <w:rPr>
          <w:rFonts w:asciiTheme="minorHAnsi" w:hAnsiTheme="minorHAnsi"/>
        </w:rPr>
        <w:t xml:space="preserve">Court for Execution of Measures for Adolescents in Conflict with the Criminal Law, </w:t>
      </w:r>
      <w:r w:rsidR="00A52EEB" w:rsidRPr="00B90432">
        <w:rPr>
          <w:rFonts w:asciiTheme="minorHAnsi" w:hAnsiTheme="minorHAnsi"/>
        </w:rPr>
        <w:t xml:space="preserve">for which the partial justification was given that </w:t>
      </w:r>
      <w:r w:rsidR="006F0DE5" w:rsidRPr="00B90432">
        <w:rPr>
          <w:rFonts w:asciiTheme="minorHAnsi" w:hAnsiTheme="minorHAnsi"/>
        </w:rPr>
        <w:t>the team at the Secretariat of Social Welfare</w:t>
      </w:r>
      <w:r w:rsidR="007A18F1" w:rsidRPr="00B90432">
        <w:rPr>
          <w:rFonts w:asciiTheme="minorHAnsi" w:hAnsiTheme="minorHAnsi"/>
        </w:rPr>
        <w:t xml:space="preserve"> had </w:t>
      </w:r>
      <w:r w:rsidR="00A52EEB" w:rsidRPr="00B90432">
        <w:rPr>
          <w:rFonts w:asciiTheme="minorHAnsi" w:hAnsiTheme="minorHAnsi"/>
        </w:rPr>
        <w:t xml:space="preserve">recently </w:t>
      </w:r>
      <w:r w:rsidR="00034627" w:rsidRPr="00B90432">
        <w:rPr>
          <w:rFonts w:asciiTheme="minorHAnsi" w:hAnsiTheme="minorHAnsi"/>
        </w:rPr>
        <w:t xml:space="preserve">been installed in </w:t>
      </w:r>
      <w:r w:rsidR="007A18F1" w:rsidRPr="00B90432">
        <w:rPr>
          <w:rFonts w:asciiTheme="minorHAnsi" w:hAnsiTheme="minorHAnsi"/>
        </w:rPr>
        <w:t>their positions</w:t>
      </w:r>
      <w:r w:rsidR="006F0DE5" w:rsidRPr="00B90432">
        <w:rPr>
          <w:rFonts w:asciiTheme="minorHAnsi" w:hAnsiTheme="minorHAnsi"/>
        </w:rPr>
        <w:t>.</w:t>
      </w:r>
      <w:r w:rsidR="00A01469" w:rsidRPr="00B90432">
        <w:rPr>
          <w:rStyle w:val="FootnoteReference"/>
          <w:rFonts w:asciiTheme="minorHAnsi" w:hAnsiTheme="minorHAnsi"/>
          <w:sz w:val="22"/>
          <w:szCs w:val="22"/>
          <w:vertAlign w:val="baseline"/>
        </w:rPr>
        <w:footnoteReference w:id="198"/>
      </w:r>
      <w:r w:rsidR="006622F9" w:rsidRPr="00B90432">
        <w:rPr>
          <w:rFonts w:asciiTheme="minorHAnsi" w:hAnsiTheme="minorHAnsi"/>
        </w:rPr>
        <w:t xml:space="preserve"> The Commission notes </w:t>
      </w:r>
      <w:r w:rsidR="006823E6" w:rsidRPr="00B90432">
        <w:rPr>
          <w:rFonts w:asciiTheme="minorHAnsi" w:hAnsiTheme="minorHAnsi"/>
        </w:rPr>
        <w:t>that</w:t>
      </w:r>
      <w:r w:rsidR="006622F9" w:rsidRPr="00B90432">
        <w:rPr>
          <w:rFonts w:asciiTheme="minorHAnsi" w:hAnsiTheme="minorHAnsi"/>
        </w:rPr>
        <w:t xml:space="preserve"> on August 9, 2017, </w:t>
      </w:r>
      <w:r w:rsidR="00085E7C" w:rsidRPr="00B90432">
        <w:rPr>
          <w:rFonts w:asciiTheme="minorHAnsi" w:hAnsiTheme="minorHAnsi"/>
        </w:rPr>
        <w:t>the Secretary of Social Welfare was dismiss</w:t>
      </w:r>
      <w:r w:rsidR="004565F7" w:rsidRPr="00B90432">
        <w:rPr>
          <w:rFonts w:asciiTheme="minorHAnsi" w:hAnsiTheme="minorHAnsi"/>
        </w:rPr>
        <w:t>ed after only five months in office</w:t>
      </w:r>
      <w:r w:rsidR="00914D33" w:rsidRPr="00B90432">
        <w:rPr>
          <w:rFonts w:asciiTheme="minorHAnsi" w:hAnsiTheme="minorHAnsi"/>
        </w:rPr>
        <w:t xml:space="preserve">. In this sense, the IACHR </w:t>
      </w:r>
      <w:r w:rsidR="00085E7C" w:rsidRPr="00B90432">
        <w:rPr>
          <w:rFonts w:asciiTheme="minorHAnsi" w:hAnsiTheme="minorHAnsi"/>
        </w:rPr>
        <w:t xml:space="preserve">expresses its concern that this recent </w:t>
      </w:r>
      <w:r w:rsidR="005C0324" w:rsidRPr="00B90432">
        <w:rPr>
          <w:rFonts w:asciiTheme="minorHAnsi" w:hAnsiTheme="minorHAnsi"/>
        </w:rPr>
        <w:t xml:space="preserve">turnover </w:t>
      </w:r>
      <w:r w:rsidR="00085E7C" w:rsidRPr="00B90432">
        <w:rPr>
          <w:rFonts w:asciiTheme="minorHAnsi" w:hAnsiTheme="minorHAnsi"/>
        </w:rPr>
        <w:t xml:space="preserve">in </w:t>
      </w:r>
      <w:r w:rsidR="008E54ED" w:rsidRPr="00B90432">
        <w:rPr>
          <w:rFonts w:asciiTheme="minorHAnsi" w:hAnsiTheme="minorHAnsi"/>
        </w:rPr>
        <w:t xml:space="preserve">the </w:t>
      </w:r>
      <w:r w:rsidR="00085E7C" w:rsidRPr="00B90432">
        <w:rPr>
          <w:rFonts w:asciiTheme="minorHAnsi" w:hAnsiTheme="minorHAnsi"/>
        </w:rPr>
        <w:t>leadership</w:t>
      </w:r>
      <w:r w:rsidR="00EA4DB6" w:rsidRPr="00B90432">
        <w:rPr>
          <w:rFonts w:asciiTheme="minorHAnsi" w:hAnsiTheme="minorHAnsi"/>
        </w:rPr>
        <w:t xml:space="preserve"> and team might lead to additional delay in compliance with all the measures ordered </w:t>
      </w:r>
      <w:r w:rsidR="00B15373" w:rsidRPr="00B90432">
        <w:rPr>
          <w:rFonts w:asciiTheme="minorHAnsi" w:hAnsiTheme="minorHAnsi"/>
        </w:rPr>
        <w:t xml:space="preserve">by the Court </w:t>
      </w:r>
      <w:r w:rsidR="00E30C18" w:rsidRPr="00B90432">
        <w:rPr>
          <w:rFonts w:asciiTheme="minorHAnsi" w:hAnsiTheme="minorHAnsi"/>
        </w:rPr>
        <w:t xml:space="preserve">back in </w:t>
      </w:r>
      <w:r w:rsidR="00EA4DB6" w:rsidRPr="00B90432">
        <w:rPr>
          <w:rFonts w:asciiTheme="minorHAnsi" w:hAnsiTheme="minorHAnsi"/>
        </w:rPr>
        <w:t xml:space="preserve">October 2016. </w:t>
      </w:r>
      <w:r w:rsidR="00085E7C" w:rsidRPr="00B90432">
        <w:rPr>
          <w:rFonts w:asciiTheme="minorHAnsi" w:hAnsiTheme="minorHAnsi"/>
        </w:rPr>
        <w:t xml:space="preserve"> </w:t>
      </w:r>
    </w:p>
    <w:p w14:paraId="2EA714DC" w14:textId="77777777" w:rsidR="002573CB" w:rsidRPr="00B90432" w:rsidRDefault="00FA7F48" w:rsidP="006F4717">
      <w:pPr>
        <w:pStyle w:val="Numberedparagraphs"/>
        <w:rPr>
          <w:rFonts w:asciiTheme="minorHAnsi" w:hAnsiTheme="minorHAnsi"/>
        </w:rPr>
      </w:pPr>
      <w:r w:rsidRPr="00B90432">
        <w:rPr>
          <w:rFonts w:asciiTheme="minorHAnsi" w:hAnsiTheme="minorHAnsi"/>
        </w:rPr>
        <w:t xml:space="preserve">As is mentioned hereunder, many of the problems standing in the way of children and adolescents in Guatemala from having full access to justice, stem from the lack of </w:t>
      </w:r>
      <w:r w:rsidR="00A8465D" w:rsidRPr="00B90432">
        <w:rPr>
          <w:rFonts w:asciiTheme="minorHAnsi" w:hAnsiTheme="minorHAnsi"/>
        </w:rPr>
        <w:t>a national public policy</w:t>
      </w:r>
      <w:r w:rsidR="004300F4" w:rsidRPr="00B90432">
        <w:rPr>
          <w:rFonts w:asciiTheme="minorHAnsi" w:hAnsiTheme="minorHAnsi"/>
        </w:rPr>
        <w:t xml:space="preserve"> ensuring full implementation of the rights of </w:t>
      </w:r>
      <w:r w:rsidR="00417AEA" w:rsidRPr="00B90432">
        <w:rPr>
          <w:rFonts w:asciiTheme="minorHAnsi" w:hAnsiTheme="minorHAnsi"/>
        </w:rPr>
        <w:t>this group</w:t>
      </w:r>
      <w:r w:rsidR="004300F4" w:rsidRPr="00B90432">
        <w:rPr>
          <w:rFonts w:asciiTheme="minorHAnsi" w:hAnsiTheme="minorHAnsi"/>
        </w:rPr>
        <w:t>, as well as inadequate coordination between the institutions of the State in charge of this</w:t>
      </w:r>
      <w:r w:rsidR="005E72FD" w:rsidRPr="00B90432">
        <w:rPr>
          <w:rFonts w:asciiTheme="minorHAnsi" w:hAnsiTheme="minorHAnsi"/>
        </w:rPr>
        <w:t xml:space="preserve"> area</w:t>
      </w:r>
      <w:r w:rsidR="004300F4" w:rsidRPr="00B90432">
        <w:rPr>
          <w:rFonts w:asciiTheme="minorHAnsi" w:hAnsiTheme="minorHAnsi"/>
        </w:rPr>
        <w:t xml:space="preserve">. </w:t>
      </w:r>
      <w:r w:rsidR="00665708" w:rsidRPr="00B90432">
        <w:rPr>
          <w:rFonts w:asciiTheme="minorHAnsi" w:hAnsiTheme="minorHAnsi"/>
        </w:rPr>
        <w:t xml:space="preserve">The 2004 Public </w:t>
      </w:r>
      <w:r w:rsidR="00EC02FE" w:rsidRPr="00B90432">
        <w:rPr>
          <w:rFonts w:asciiTheme="minorHAnsi" w:hAnsiTheme="minorHAnsi"/>
        </w:rPr>
        <w:t>Comprehensive</w:t>
      </w:r>
      <w:r w:rsidR="00665708" w:rsidRPr="00B90432">
        <w:rPr>
          <w:rFonts w:asciiTheme="minorHAnsi" w:hAnsiTheme="minorHAnsi"/>
        </w:rPr>
        <w:t xml:space="preserve"> Protection Policy and National Plan of Action for Children and Adolescents, which is based on a protection-focused approach rather than on full implementation of rights, has proven inadequate and ineffective. </w:t>
      </w:r>
      <w:r w:rsidR="00145F76" w:rsidRPr="00B90432">
        <w:rPr>
          <w:rFonts w:asciiTheme="minorHAnsi" w:hAnsiTheme="minorHAnsi"/>
        </w:rPr>
        <w:t xml:space="preserve">The Commission encourages the State to adopt and implement a national public policy for full implementation of the rights of children and adolescents as soon as possible. </w:t>
      </w:r>
    </w:p>
    <w:p w14:paraId="5AD802E1" w14:textId="77777777" w:rsidR="00787D5D" w:rsidRPr="00B90432" w:rsidRDefault="00B11B3E" w:rsidP="003359B2">
      <w:pPr>
        <w:pStyle w:val="Heading3"/>
      </w:pPr>
      <w:bookmarkStart w:id="36" w:name="_Toc509827638"/>
      <w:r w:rsidRPr="00B90432">
        <w:t>Lesbian, Gay, Bisexual, Trans and Intersex Persons</w:t>
      </w:r>
      <w:r w:rsidR="00787D5D" w:rsidRPr="00B90432">
        <w:t xml:space="preserve"> (LGBTI)</w:t>
      </w:r>
      <w:bookmarkEnd w:id="36"/>
    </w:p>
    <w:p w14:paraId="2BF34C1A" w14:textId="77777777" w:rsidR="009F5DCA" w:rsidRPr="00B90432" w:rsidRDefault="00A4527D" w:rsidP="006F4717">
      <w:pPr>
        <w:pStyle w:val="Numberedparagraphs"/>
        <w:rPr>
          <w:rFonts w:asciiTheme="minorHAnsi" w:hAnsiTheme="minorHAnsi"/>
        </w:rPr>
      </w:pPr>
      <w:r w:rsidRPr="00B90432">
        <w:rPr>
          <w:rFonts w:asciiTheme="minorHAnsi" w:hAnsiTheme="minorHAnsi"/>
        </w:rPr>
        <w:t xml:space="preserve">LGBTI persons </w:t>
      </w:r>
      <w:r w:rsidR="009710E4" w:rsidRPr="00B90432">
        <w:rPr>
          <w:rFonts w:asciiTheme="minorHAnsi" w:hAnsiTheme="minorHAnsi"/>
        </w:rPr>
        <w:t xml:space="preserve">face </w:t>
      </w:r>
      <w:r w:rsidRPr="00B90432">
        <w:rPr>
          <w:rFonts w:asciiTheme="minorHAnsi" w:hAnsiTheme="minorHAnsi"/>
        </w:rPr>
        <w:t xml:space="preserve">major roadblocks to gain access to justice. </w:t>
      </w:r>
      <w:r w:rsidR="00E962D3" w:rsidRPr="00B90432">
        <w:rPr>
          <w:rFonts w:asciiTheme="minorHAnsi" w:hAnsiTheme="minorHAnsi"/>
        </w:rPr>
        <w:t xml:space="preserve">The IACHR received information </w:t>
      </w:r>
      <w:r w:rsidR="00F26827" w:rsidRPr="00B90432">
        <w:rPr>
          <w:rFonts w:asciiTheme="minorHAnsi" w:hAnsiTheme="minorHAnsi"/>
        </w:rPr>
        <w:t xml:space="preserve">indicating </w:t>
      </w:r>
      <w:r w:rsidR="00BA290D" w:rsidRPr="00B90432">
        <w:rPr>
          <w:rFonts w:asciiTheme="minorHAnsi" w:hAnsiTheme="minorHAnsi"/>
        </w:rPr>
        <w:t>that o</w:t>
      </w:r>
      <w:r w:rsidR="00735732" w:rsidRPr="00B90432">
        <w:rPr>
          <w:rFonts w:asciiTheme="minorHAnsi" w:hAnsiTheme="minorHAnsi"/>
        </w:rPr>
        <w:t>bstacles persist in Guatemala in terms of</w:t>
      </w:r>
      <w:r w:rsidR="00BA290D" w:rsidRPr="00B90432">
        <w:rPr>
          <w:rFonts w:asciiTheme="minorHAnsi" w:hAnsiTheme="minorHAnsi"/>
        </w:rPr>
        <w:t xml:space="preserve"> respect for and guarantee of due process rights in cases linked to acts of discrimination and violence based on </w:t>
      </w:r>
      <w:r w:rsidR="00DD141A" w:rsidRPr="00B90432">
        <w:rPr>
          <w:rFonts w:asciiTheme="minorHAnsi" w:hAnsiTheme="minorHAnsi"/>
        </w:rPr>
        <w:t xml:space="preserve">the </w:t>
      </w:r>
      <w:r w:rsidR="00BA290D" w:rsidRPr="00B90432">
        <w:rPr>
          <w:rFonts w:asciiTheme="minorHAnsi" w:hAnsiTheme="minorHAnsi"/>
        </w:rPr>
        <w:t>sexual orientation or gender identity of the victims.</w:t>
      </w:r>
      <w:r w:rsidR="00146458" w:rsidRPr="00B90432">
        <w:rPr>
          <w:rFonts w:asciiTheme="minorHAnsi" w:hAnsiTheme="minorHAnsi"/>
          <w:vertAlign w:val="superscript"/>
        </w:rPr>
        <w:footnoteReference w:id="199"/>
      </w:r>
      <w:r w:rsidR="00146458" w:rsidRPr="00B90432">
        <w:rPr>
          <w:rFonts w:asciiTheme="minorHAnsi" w:hAnsiTheme="minorHAnsi"/>
        </w:rPr>
        <w:t xml:space="preserve"> </w:t>
      </w:r>
      <w:r w:rsidR="00BA290D" w:rsidRPr="00B90432">
        <w:rPr>
          <w:rFonts w:asciiTheme="minorHAnsi" w:hAnsiTheme="minorHAnsi"/>
        </w:rPr>
        <w:t xml:space="preserve">In fact, according to the information provided, </w:t>
      </w:r>
      <w:r w:rsidR="00146458" w:rsidRPr="00B90432">
        <w:rPr>
          <w:rFonts w:asciiTheme="minorHAnsi" w:hAnsiTheme="minorHAnsi"/>
        </w:rPr>
        <w:t xml:space="preserve">85% </w:t>
      </w:r>
      <w:r w:rsidR="00BA290D" w:rsidRPr="00B90432">
        <w:rPr>
          <w:rFonts w:asciiTheme="minorHAnsi" w:hAnsiTheme="minorHAnsi"/>
        </w:rPr>
        <w:t xml:space="preserve">of LGBTI victims of violence and discrimination </w:t>
      </w:r>
      <w:r w:rsidR="008D251F" w:rsidRPr="00B90432">
        <w:rPr>
          <w:rFonts w:asciiTheme="minorHAnsi" w:hAnsiTheme="minorHAnsi"/>
        </w:rPr>
        <w:t xml:space="preserve">filed a report for the assaults, and only 26% </w:t>
      </w:r>
      <w:r w:rsidR="00CC211E" w:rsidRPr="00B90432">
        <w:rPr>
          <w:rFonts w:asciiTheme="minorHAnsi" w:hAnsiTheme="minorHAnsi"/>
        </w:rPr>
        <w:t>received a response from the authorities.</w:t>
      </w:r>
      <w:r w:rsidR="00146458" w:rsidRPr="00B90432">
        <w:rPr>
          <w:rFonts w:asciiTheme="minorHAnsi" w:hAnsiTheme="minorHAnsi"/>
          <w:vertAlign w:val="superscript"/>
        </w:rPr>
        <w:footnoteReference w:id="200"/>
      </w:r>
      <w:r w:rsidR="009F55F3" w:rsidRPr="00B90432">
        <w:rPr>
          <w:rFonts w:asciiTheme="minorHAnsi" w:hAnsiTheme="minorHAnsi"/>
        </w:rPr>
        <w:t xml:space="preserve">  Likewise</w:t>
      </w:r>
      <w:r w:rsidR="00CC211E" w:rsidRPr="00B90432">
        <w:rPr>
          <w:rFonts w:asciiTheme="minorHAnsi" w:hAnsiTheme="minorHAnsi"/>
        </w:rPr>
        <w:t xml:space="preserve">, the Office of the United Nations High </w:t>
      </w:r>
      <w:r w:rsidR="00CC211E" w:rsidRPr="00B90432">
        <w:rPr>
          <w:rFonts w:asciiTheme="minorHAnsi" w:hAnsiTheme="minorHAnsi"/>
        </w:rPr>
        <w:lastRenderedPageBreak/>
        <w:t xml:space="preserve">Commissioner </w:t>
      </w:r>
      <w:r w:rsidR="009F55F3" w:rsidRPr="00B90432">
        <w:rPr>
          <w:rFonts w:asciiTheme="minorHAnsi" w:hAnsiTheme="minorHAnsi"/>
        </w:rPr>
        <w:t>expressed his concern over the “persistent discrimination and violence against persons based on their sexual orientation and gender identity</w:t>
      </w:r>
      <w:r w:rsidR="001E21AB" w:rsidRPr="00B90432">
        <w:rPr>
          <w:rFonts w:asciiTheme="minorHAnsi" w:hAnsiTheme="minorHAnsi"/>
        </w:rPr>
        <w:t>” in Guatemala.</w:t>
      </w:r>
      <w:r w:rsidR="00146458" w:rsidRPr="00B90432">
        <w:rPr>
          <w:rFonts w:asciiTheme="minorHAnsi" w:hAnsiTheme="minorHAnsi"/>
          <w:vertAlign w:val="superscript"/>
        </w:rPr>
        <w:footnoteReference w:id="201"/>
      </w:r>
      <w:r w:rsidR="009710E4" w:rsidRPr="00B90432">
        <w:rPr>
          <w:rFonts w:asciiTheme="minorHAnsi" w:hAnsiTheme="minorHAnsi"/>
        </w:rPr>
        <w:t xml:space="preserve"> In its comments to the draft of this report, the State of Guatemala noted that the Public Prosecutors’ System for Information and Investigation Control (SICOMP) registered a total of 11 reports between 2011 and 2015, without specifying the crimes involved, and of those 4 were dismissed. Similarly, it indicated that between 2016 and 2017 the system registered 355 reports—again, without specifying the crimes—46 of which were dismissed or rejected. It also stated that the Human Rights Ombudsman has a Diversity Unit.</w:t>
      </w:r>
      <w:r w:rsidR="009710E4" w:rsidRPr="00B90432">
        <w:rPr>
          <w:rStyle w:val="FootnoteReference"/>
          <w:rFonts w:asciiTheme="minorHAnsi" w:hAnsiTheme="minorHAnsi"/>
          <w:sz w:val="22"/>
          <w:szCs w:val="22"/>
        </w:rPr>
        <w:footnoteReference w:id="202"/>
      </w:r>
    </w:p>
    <w:p w14:paraId="2FBB5D89" w14:textId="77777777" w:rsidR="009710E4" w:rsidRPr="00B90432" w:rsidRDefault="009710E4" w:rsidP="006F4717">
      <w:pPr>
        <w:pStyle w:val="Numberedparagraphs"/>
        <w:rPr>
          <w:rFonts w:asciiTheme="minorHAnsi" w:hAnsiTheme="minorHAnsi"/>
        </w:rPr>
      </w:pPr>
      <w:r w:rsidRPr="00B90432">
        <w:rPr>
          <w:rFonts w:asciiTheme="minorHAnsi" w:hAnsiTheme="minorHAnsi"/>
        </w:rPr>
        <w:t xml:space="preserve">The State also informed that in November 2016, the Ministry of Public Health and Social Welfare launched an </w:t>
      </w:r>
      <w:r w:rsidR="00C225E2" w:rsidRPr="00B90432">
        <w:rPr>
          <w:rFonts w:asciiTheme="minorHAnsi" w:hAnsiTheme="minorHAnsi"/>
        </w:rPr>
        <w:t>“</w:t>
      </w:r>
      <w:r w:rsidRPr="00B90432">
        <w:rPr>
          <w:rFonts w:asciiTheme="minorHAnsi" w:hAnsiTheme="minorHAnsi"/>
        </w:rPr>
        <w:t xml:space="preserve">Integral </w:t>
      </w:r>
      <w:r w:rsidR="00C225E2" w:rsidRPr="00B90432">
        <w:rPr>
          <w:rFonts w:asciiTheme="minorHAnsi" w:hAnsiTheme="minorHAnsi"/>
        </w:rPr>
        <w:t xml:space="preserve">and Differentiated </w:t>
      </w:r>
      <w:r w:rsidRPr="00B90432">
        <w:rPr>
          <w:rFonts w:asciiTheme="minorHAnsi" w:hAnsiTheme="minorHAnsi"/>
        </w:rPr>
        <w:t>Healthcare Strategy for Trans Persons in Guatemala 2016-2030</w:t>
      </w:r>
      <w:r w:rsidR="00C225E2" w:rsidRPr="00B90432">
        <w:rPr>
          <w:rFonts w:asciiTheme="minorHAnsi" w:hAnsiTheme="minorHAnsi"/>
        </w:rPr>
        <w:t>.” It also pointed out that COPREDEH currently has a final draft of the Public Policy on this subject, and that in November 2017 a team of experts was established to follow-up on LGBTI matters, which is comprised of government institutions and civil society organizations.</w:t>
      </w:r>
      <w:r w:rsidR="00C225E2" w:rsidRPr="00B90432">
        <w:rPr>
          <w:rStyle w:val="FootnoteReference"/>
          <w:rFonts w:asciiTheme="minorHAnsi" w:hAnsiTheme="minorHAnsi"/>
          <w:sz w:val="22"/>
          <w:szCs w:val="22"/>
        </w:rPr>
        <w:footnoteReference w:id="203"/>
      </w:r>
    </w:p>
    <w:p w14:paraId="42000D50" w14:textId="77777777" w:rsidR="004075AD" w:rsidRPr="00B90432" w:rsidRDefault="009710E4" w:rsidP="006F4717">
      <w:pPr>
        <w:pStyle w:val="Numberedparagraphs"/>
        <w:rPr>
          <w:rFonts w:asciiTheme="minorHAnsi" w:hAnsiTheme="minorHAnsi"/>
        </w:rPr>
      </w:pPr>
      <w:r w:rsidRPr="00B90432">
        <w:rPr>
          <w:rFonts w:asciiTheme="minorHAnsi" w:hAnsiTheme="minorHAnsi"/>
        </w:rPr>
        <w:t>T</w:t>
      </w:r>
      <w:r w:rsidR="00BC3DB1" w:rsidRPr="00B90432">
        <w:rPr>
          <w:rFonts w:asciiTheme="minorHAnsi" w:hAnsiTheme="minorHAnsi"/>
        </w:rPr>
        <w:t>he Commission received</w:t>
      </w:r>
      <w:r w:rsidR="00C561D7" w:rsidRPr="00B90432">
        <w:rPr>
          <w:rFonts w:asciiTheme="minorHAnsi" w:hAnsiTheme="minorHAnsi"/>
        </w:rPr>
        <w:t xml:space="preserve"> worrisome</w:t>
      </w:r>
      <w:r w:rsidR="00BC3DB1" w:rsidRPr="00B90432">
        <w:rPr>
          <w:rFonts w:asciiTheme="minorHAnsi" w:hAnsiTheme="minorHAnsi"/>
        </w:rPr>
        <w:t xml:space="preserve"> information from civil society about introduction of legislative bill in the Congress of the Republic</w:t>
      </w:r>
      <w:r w:rsidR="00F05E67" w:rsidRPr="00B90432">
        <w:rPr>
          <w:rFonts w:asciiTheme="minorHAnsi" w:hAnsiTheme="minorHAnsi"/>
        </w:rPr>
        <w:t>,</w:t>
      </w:r>
      <w:r w:rsidR="00BC3DB1" w:rsidRPr="00B90432">
        <w:rPr>
          <w:rFonts w:asciiTheme="minorHAnsi" w:hAnsiTheme="minorHAnsi"/>
        </w:rPr>
        <w:t xml:space="preserve"> Law No. 5272, the content of which is about the “protection of life and family.</w:t>
      </w:r>
      <w:r w:rsidR="004075AD" w:rsidRPr="00B90432">
        <w:rPr>
          <w:rFonts w:asciiTheme="minorHAnsi" w:hAnsiTheme="minorHAnsi"/>
        </w:rPr>
        <w:t>”</w:t>
      </w:r>
      <w:r w:rsidR="004075AD" w:rsidRPr="00B90432">
        <w:rPr>
          <w:rFonts w:asciiTheme="minorHAnsi" w:hAnsiTheme="minorHAnsi"/>
          <w:vertAlign w:val="superscript"/>
        </w:rPr>
        <w:footnoteReference w:id="204"/>
      </w:r>
      <w:r w:rsidR="007E2C0F" w:rsidRPr="00B90432">
        <w:rPr>
          <w:rFonts w:asciiTheme="minorHAnsi" w:hAnsiTheme="minorHAnsi"/>
        </w:rPr>
        <w:t xml:space="preserve"> This bill, if approved, would prohibit teaching about gender and sexual diversity in schools; would reaffirm the institution of marriage as the exclusive right of persons of opposite sexes; and would do away with the cri</w:t>
      </w:r>
      <w:r w:rsidR="008E5224" w:rsidRPr="00B90432">
        <w:rPr>
          <w:rFonts w:asciiTheme="minorHAnsi" w:hAnsiTheme="minorHAnsi"/>
        </w:rPr>
        <w:t>minal offense of discrimination, when it is directed at LGBTI persons.</w:t>
      </w:r>
      <w:r w:rsidR="004075AD" w:rsidRPr="00B90432">
        <w:rPr>
          <w:rFonts w:asciiTheme="minorHAnsi" w:hAnsiTheme="minorHAnsi"/>
          <w:vertAlign w:val="superscript"/>
        </w:rPr>
        <w:footnoteReference w:id="205"/>
      </w:r>
      <w:r w:rsidR="00D40B8C" w:rsidRPr="00B90432">
        <w:rPr>
          <w:rFonts w:asciiTheme="minorHAnsi" w:hAnsiTheme="minorHAnsi"/>
        </w:rPr>
        <w:t xml:space="preserve"> On this issue, it came to the attention of the IACHR that evangelical </w:t>
      </w:r>
      <w:r w:rsidR="005C1782" w:rsidRPr="00B90432">
        <w:rPr>
          <w:rFonts w:asciiTheme="minorHAnsi" w:hAnsiTheme="minorHAnsi"/>
        </w:rPr>
        <w:t>movements were the main supporters of said legislative bill.</w:t>
      </w:r>
      <w:r w:rsidR="004075AD" w:rsidRPr="00B90432">
        <w:rPr>
          <w:rFonts w:asciiTheme="minorHAnsi" w:hAnsiTheme="minorHAnsi"/>
          <w:vertAlign w:val="superscript"/>
        </w:rPr>
        <w:footnoteReference w:id="206"/>
      </w:r>
    </w:p>
    <w:p w14:paraId="170B86EA" w14:textId="77777777" w:rsidR="00B752E4" w:rsidRPr="00B90432" w:rsidRDefault="009020B2" w:rsidP="006F4717">
      <w:pPr>
        <w:pStyle w:val="Numberedparagraphs"/>
        <w:rPr>
          <w:rFonts w:asciiTheme="minorHAnsi" w:hAnsiTheme="minorHAnsi"/>
        </w:rPr>
      </w:pPr>
      <w:r w:rsidRPr="00B90432">
        <w:rPr>
          <w:rFonts w:asciiTheme="minorHAnsi" w:hAnsiTheme="minorHAnsi"/>
        </w:rPr>
        <w:lastRenderedPageBreak/>
        <w:t xml:space="preserve">In view of these proposals, the Commission recalls that both the IACHR and the Inter-American Court have established that in accordance with Article 2 of the American Convention, the right to equal protection under the law and the principle of non-discrimination, mean that States are obligated to: </w:t>
      </w:r>
      <w:r w:rsidR="00B752E4" w:rsidRPr="00B90432">
        <w:rPr>
          <w:rFonts w:asciiTheme="minorHAnsi" w:hAnsiTheme="minorHAnsi"/>
        </w:rPr>
        <w:t xml:space="preserve">(i) </w:t>
      </w:r>
      <w:r w:rsidRPr="00B90432">
        <w:rPr>
          <w:rFonts w:asciiTheme="minorHAnsi" w:hAnsiTheme="minorHAnsi"/>
        </w:rPr>
        <w:t>refrain from introducing in</w:t>
      </w:r>
      <w:r w:rsidR="007E6892" w:rsidRPr="00B90432">
        <w:rPr>
          <w:rFonts w:asciiTheme="minorHAnsi" w:hAnsiTheme="minorHAnsi"/>
        </w:rPr>
        <w:t>to</w:t>
      </w:r>
      <w:r w:rsidRPr="00B90432">
        <w:rPr>
          <w:rFonts w:asciiTheme="minorHAnsi" w:hAnsiTheme="minorHAnsi"/>
        </w:rPr>
        <w:t xml:space="preserve"> </w:t>
      </w:r>
      <w:r w:rsidR="007E6892" w:rsidRPr="00B90432">
        <w:rPr>
          <w:rFonts w:asciiTheme="minorHAnsi" w:hAnsiTheme="minorHAnsi"/>
        </w:rPr>
        <w:t>legal frameworks regulations that are</w:t>
      </w:r>
      <w:r w:rsidRPr="00B90432">
        <w:rPr>
          <w:rFonts w:asciiTheme="minorHAnsi" w:hAnsiTheme="minorHAnsi"/>
        </w:rPr>
        <w:t xml:space="preserve"> discriminatory or </w:t>
      </w:r>
      <w:r w:rsidR="00EF49E6" w:rsidRPr="00B90432">
        <w:rPr>
          <w:rFonts w:asciiTheme="minorHAnsi" w:hAnsiTheme="minorHAnsi"/>
        </w:rPr>
        <w:t xml:space="preserve">that have discriminatory effects on </w:t>
      </w:r>
      <w:r w:rsidR="007E6892" w:rsidRPr="00B90432">
        <w:rPr>
          <w:rFonts w:asciiTheme="minorHAnsi" w:hAnsiTheme="minorHAnsi"/>
        </w:rPr>
        <w:t xml:space="preserve">certain </w:t>
      </w:r>
      <w:r w:rsidR="00EF49E6" w:rsidRPr="00B90432">
        <w:rPr>
          <w:rFonts w:asciiTheme="minorHAnsi" w:hAnsiTheme="minorHAnsi"/>
        </w:rPr>
        <w:t xml:space="preserve">groups of the population; </w:t>
      </w:r>
      <w:r w:rsidR="00B752E4" w:rsidRPr="00B90432">
        <w:rPr>
          <w:rFonts w:asciiTheme="minorHAnsi" w:hAnsiTheme="minorHAnsi"/>
        </w:rPr>
        <w:t xml:space="preserve">(ii) </w:t>
      </w:r>
      <w:r w:rsidR="00EF49E6" w:rsidRPr="00B90432">
        <w:rPr>
          <w:rFonts w:asciiTheme="minorHAnsi" w:hAnsiTheme="minorHAnsi"/>
        </w:rPr>
        <w:t xml:space="preserve">eliminate </w:t>
      </w:r>
      <w:r w:rsidR="000B6281" w:rsidRPr="00B90432">
        <w:rPr>
          <w:rFonts w:asciiTheme="minorHAnsi" w:hAnsiTheme="minorHAnsi"/>
        </w:rPr>
        <w:t xml:space="preserve">discriminatory </w:t>
      </w:r>
      <w:r w:rsidR="00EF49E6" w:rsidRPr="00B90432">
        <w:rPr>
          <w:rFonts w:asciiTheme="minorHAnsi" w:hAnsiTheme="minorHAnsi"/>
        </w:rPr>
        <w:t xml:space="preserve">regulations; </w:t>
      </w:r>
      <w:r w:rsidR="00B752E4" w:rsidRPr="00B90432">
        <w:rPr>
          <w:rFonts w:asciiTheme="minorHAnsi" w:hAnsiTheme="minorHAnsi"/>
        </w:rPr>
        <w:t xml:space="preserve">(iii) </w:t>
      </w:r>
      <w:r w:rsidR="00833BE4" w:rsidRPr="00B90432">
        <w:rPr>
          <w:rFonts w:asciiTheme="minorHAnsi" w:hAnsiTheme="minorHAnsi"/>
        </w:rPr>
        <w:t>combat discriminatory practices; and</w:t>
      </w:r>
      <w:r w:rsidR="00B752E4" w:rsidRPr="00B90432">
        <w:rPr>
          <w:rFonts w:asciiTheme="minorHAnsi" w:hAnsiTheme="minorHAnsi"/>
        </w:rPr>
        <w:t xml:space="preserve"> (iv) </w:t>
      </w:r>
      <w:r w:rsidR="00F23004" w:rsidRPr="00B90432">
        <w:rPr>
          <w:rFonts w:asciiTheme="minorHAnsi" w:hAnsiTheme="minorHAnsi"/>
        </w:rPr>
        <w:t xml:space="preserve">establish </w:t>
      </w:r>
      <w:r w:rsidR="000B6281" w:rsidRPr="00B90432">
        <w:rPr>
          <w:rFonts w:asciiTheme="minorHAnsi" w:hAnsiTheme="minorHAnsi"/>
        </w:rPr>
        <w:t xml:space="preserve">norms </w:t>
      </w:r>
      <w:r w:rsidR="00F23004" w:rsidRPr="00B90432">
        <w:rPr>
          <w:rFonts w:asciiTheme="minorHAnsi" w:hAnsiTheme="minorHAnsi"/>
        </w:rPr>
        <w:t xml:space="preserve">and adopt the necessary measures to </w:t>
      </w:r>
      <w:r w:rsidR="002357A5" w:rsidRPr="00B90432">
        <w:rPr>
          <w:rFonts w:asciiTheme="minorHAnsi" w:hAnsiTheme="minorHAnsi"/>
        </w:rPr>
        <w:t xml:space="preserve">recognize </w:t>
      </w:r>
      <w:r w:rsidR="00F23004" w:rsidRPr="00B90432">
        <w:rPr>
          <w:rFonts w:asciiTheme="minorHAnsi" w:hAnsiTheme="minorHAnsi"/>
        </w:rPr>
        <w:t xml:space="preserve">and </w:t>
      </w:r>
      <w:r w:rsidR="006025F4" w:rsidRPr="00B90432">
        <w:rPr>
          <w:rFonts w:asciiTheme="minorHAnsi" w:hAnsiTheme="minorHAnsi"/>
        </w:rPr>
        <w:t xml:space="preserve">guarantee </w:t>
      </w:r>
      <w:r w:rsidR="00F23004" w:rsidRPr="00B90432">
        <w:rPr>
          <w:rFonts w:asciiTheme="minorHAnsi" w:hAnsiTheme="minorHAnsi"/>
        </w:rPr>
        <w:t xml:space="preserve">effective equality of all </w:t>
      </w:r>
      <w:r w:rsidR="003A4DF6" w:rsidRPr="00B90432">
        <w:rPr>
          <w:rFonts w:asciiTheme="minorHAnsi" w:hAnsiTheme="minorHAnsi"/>
        </w:rPr>
        <w:t xml:space="preserve">people </w:t>
      </w:r>
      <w:r w:rsidR="00F23004" w:rsidRPr="00B90432">
        <w:rPr>
          <w:rFonts w:asciiTheme="minorHAnsi" w:hAnsiTheme="minorHAnsi"/>
        </w:rPr>
        <w:t>under the law.</w:t>
      </w:r>
      <w:r w:rsidR="00B752E4" w:rsidRPr="00B90432">
        <w:rPr>
          <w:rStyle w:val="FootnoteReference"/>
          <w:rFonts w:asciiTheme="minorHAnsi" w:hAnsiTheme="minorHAnsi"/>
          <w:sz w:val="22"/>
          <w:szCs w:val="22"/>
        </w:rPr>
        <w:footnoteReference w:id="207"/>
      </w:r>
      <w:r w:rsidR="003222AF" w:rsidRPr="00B90432">
        <w:rPr>
          <w:rFonts w:asciiTheme="minorHAnsi" w:hAnsiTheme="minorHAnsi"/>
        </w:rPr>
        <w:t xml:space="preserve"> The IACHR calls upon the State of Guatemala to comply with these principles </w:t>
      </w:r>
      <w:r w:rsidR="00B33295" w:rsidRPr="00B90432">
        <w:rPr>
          <w:rFonts w:asciiTheme="minorHAnsi" w:hAnsiTheme="minorHAnsi"/>
        </w:rPr>
        <w:t xml:space="preserve">in considering the legislative proposals </w:t>
      </w:r>
      <w:r w:rsidR="002F405E" w:rsidRPr="00B90432">
        <w:rPr>
          <w:rFonts w:asciiTheme="minorHAnsi" w:hAnsiTheme="minorHAnsi"/>
        </w:rPr>
        <w:t>under review.</w:t>
      </w:r>
      <w:r w:rsidR="00B752E4" w:rsidRPr="00B90432">
        <w:rPr>
          <w:rFonts w:asciiTheme="minorHAnsi" w:hAnsiTheme="minorHAnsi"/>
        </w:rPr>
        <w:t xml:space="preserve"> </w:t>
      </w:r>
    </w:p>
    <w:p w14:paraId="3043721C" w14:textId="77777777" w:rsidR="00787D5D" w:rsidRPr="003359B2" w:rsidRDefault="00B43543" w:rsidP="003359B2">
      <w:pPr>
        <w:pStyle w:val="Heading3"/>
      </w:pPr>
      <w:bookmarkStart w:id="37" w:name="_Toc509827639"/>
      <w:r w:rsidRPr="003359B2">
        <w:t>People</w:t>
      </w:r>
      <w:r w:rsidR="009F32C1" w:rsidRPr="003359B2">
        <w:t xml:space="preserve"> of African Descent</w:t>
      </w:r>
      <w:bookmarkEnd w:id="37"/>
      <w:r w:rsidR="009F32C1" w:rsidRPr="003359B2">
        <w:t xml:space="preserve"> </w:t>
      </w:r>
    </w:p>
    <w:p w14:paraId="267D715E" w14:textId="77777777" w:rsidR="003A4015" w:rsidRPr="00B90432" w:rsidRDefault="00F604C1" w:rsidP="006F4717">
      <w:pPr>
        <w:pStyle w:val="Numberedparagraphs"/>
        <w:rPr>
          <w:rFonts w:asciiTheme="minorHAnsi" w:hAnsiTheme="minorHAnsi"/>
        </w:rPr>
      </w:pPr>
      <w:r w:rsidRPr="00B90432">
        <w:rPr>
          <w:rFonts w:asciiTheme="minorHAnsi" w:hAnsiTheme="minorHAnsi"/>
        </w:rPr>
        <w:t>As for people</w:t>
      </w:r>
      <w:r w:rsidR="00D54271" w:rsidRPr="00B90432">
        <w:rPr>
          <w:rFonts w:asciiTheme="minorHAnsi" w:hAnsiTheme="minorHAnsi"/>
        </w:rPr>
        <w:t xml:space="preserve"> of African descent, the Commission recognizes the efforts of the State </w:t>
      </w:r>
      <w:r w:rsidR="004C14C9" w:rsidRPr="00B90432">
        <w:rPr>
          <w:rFonts w:asciiTheme="minorHAnsi" w:hAnsiTheme="minorHAnsi"/>
        </w:rPr>
        <w:t>in condu</w:t>
      </w:r>
      <w:r w:rsidR="00150FE5" w:rsidRPr="00B90432">
        <w:rPr>
          <w:rFonts w:asciiTheme="minorHAnsi" w:hAnsiTheme="minorHAnsi"/>
        </w:rPr>
        <w:t>c</w:t>
      </w:r>
      <w:r w:rsidR="004C14C9" w:rsidRPr="00B90432">
        <w:rPr>
          <w:rFonts w:asciiTheme="minorHAnsi" w:hAnsiTheme="minorHAnsi"/>
        </w:rPr>
        <w:t>ting</w:t>
      </w:r>
      <w:r w:rsidR="00A8552C" w:rsidRPr="00B90432">
        <w:rPr>
          <w:rFonts w:asciiTheme="minorHAnsi" w:hAnsiTheme="minorHAnsi"/>
        </w:rPr>
        <w:t xml:space="preserve"> activities in the contex</w:t>
      </w:r>
      <w:r w:rsidR="00DD3057" w:rsidRPr="00B90432">
        <w:rPr>
          <w:rFonts w:asciiTheme="minorHAnsi" w:hAnsiTheme="minorHAnsi"/>
        </w:rPr>
        <w:t>t of the International Decade for</w:t>
      </w:r>
      <w:r w:rsidR="00A8552C" w:rsidRPr="00B90432">
        <w:rPr>
          <w:rFonts w:asciiTheme="minorHAnsi" w:hAnsiTheme="minorHAnsi"/>
        </w:rPr>
        <w:t xml:space="preserve"> People</w:t>
      </w:r>
      <w:r w:rsidR="00DD3057" w:rsidRPr="00B90432">
        <w:rPr>
          <w:rFonts w:asciiTheme="minorHAnsi" w:hAnsiTheme="minorHAnsi"/>
        </w:rPr>
        <w:t xml:space="preserve"> of African Descent.  However, despit</w:t>
      </w:r>
      <w:r w:rsidR="008766C8" w:rsidRPr="00B90432">
        <w:rPr>
          <w:rFonts w:asciiTheme="minorHAnsi" w:hAnsiTheme="minorHAnsi"/>
        </w:rPr>
        <w:t>e</w:t>
      </w:r>
      <w:r w:rsidR="00DD3057" w:rsidRPr="00B90432">
        <w:rPr>
          <w:rFonts w:asciiTheme="minorHAnsi" w:hAnsiTheme="minorHAnsi"/>
        </w:rPr>
        <w:t xml:space="preserve"> the State’s commitment to promote international and pol</w:t>
      </w:r>
      <w:r w:rsidR="00732C7A" w:rsidRPr="00B90432">
        <w:rPr>
          <w:rFonts w:asciiTheme="minorHAnsi" w:hAnsiTheme="minorHAnsi"/>
        </w:rPr>
        <w:t>i</w:t>
      </w:r>
      <w:r w:rsidR="00DD3057" w:rsidRPr="00B90432">
        <w:rPr>
          <w:rFonts w:asciiTheme="minorHAnsi" w:hAnsiTheme="minorHAnsi"/>
        </w:rPr>
        <w:t xml:space="preserve">cy instruments in support of the rights of Afro-Guatemalans, challenges persist, particularly with regard to information collection and structural racism. </w:t>
      </w:r>
    </w:p>
    <w:p w14:paraId="3572EAC8" w14:textId="77777777" w:rsidR="003A4015" w:rsidRPr="00B90432" w:rsidRDefault="00B64EF6" w:rsidP="006F4717">
      <w:pPr>
        <w:pStyle w:val="Numberedparagraphs"/>
        <w:rPr>
          <w:rFonts w:asciiTheme="minorHAnsi" w:hAnsiTheme="minorHAnsi"/>
        </w:rPr>
      </w:pPr>
      <w:r w:rsidRPr="00B90432">
        <w:rPr>
          <w:rFonts w:asciiTheme="minorHAnsi" w:hAnsiTheme="minorHAnsi"/>
        </w:rPr>
        <w:t xml:space="preserve">While </w:t>
      </w:r>
      <w:r w:rsidR="00207E88" w:rsidRPr="00B90432">
        <w:rPr>
          <w:rFonts w:asciiTheme="minorHAnsi" w:hAnsiTheme="minorHAnsi"/>
        </w:rPr>
        <w:t>the Commission recognizes the adoption of an ethnic approach to the 2017 national census, civil society organizations reported to the IACHR that the census scheduled to be carried out in 2017 takes into account the categories “Maya” and “Garifuna,” but does not have a category encompassing Afro-Guatemalans that do not identify themselves as one of thes</w:t>
      </w:r>
      <w:r w:rsidR="007B2C0E" w:rsidRPr="00B90432">
        <w:rPr>
          <w:rFonts w:asciiTheme="minorHAnsi" w:hAnsiTheme="minorHAnsi"/>
        </w:rPr>
        <w:t>e two</w:t>
      </w:r>
      <w:r w:rsidR="00207E88" w:rsidRPr="00B90432">
        <w:rPr>
          <w:rFonts w:asciiTheme="minorHAnsi" w:hAnsiTheme="minorHAnsi"/>
        </w:rPr>
        <w:t xml:space="preserve"> categories. </w:t>
      </w:r>
      <w:r w:rsidR="000A17D5" w:rsidRPr="00B90432">
        <w:rPr>
          <w:rFonts w:asciiTheme="minorHAnsi" w:hAnsiTheme="minorHAnsi"/>
        </w:rPr>
        <w:t xml:space="preserve">Consequently, other Afro-Guatemalan groups, such as </w:t>
      </w:r>
      <w:r w:rsidR="00B137DD" w:rsidRPr="00B90432">
        <w:rPr>
          <w:rFonts w:asciiTheme="minorHAnsi" w:hAnsiTheme="minorHAnsi"/>
          <w:i/>
        </w:rPr>
        <w:t>criollos</w:t>
      </w:r>
      <w:r w:rsidR="000A17D5" w:rsidRPr="00B90432">
        <w:rPr>
          <w:rFonts w:asciiTheme="minorHAnsi" w:hAnsiTheme="minorHAnsi"/>
        </w:rPr>
        <w:t xml:space="preserve"> or </w:t>
      </w:r>
      <w:r w:rsidR="00B137DD" w:rsidRPr="00B90432">
        <w:rPr>
          <w:rFonts w:asciiTheme="minorHAnsi" w:hAnsiTheme="minorHAnsi"/>
        </w:rPr>
        <w:t>“</w:t>
      </w:r>
      <w:r w:rsidR="000A17D5" w:rsidRPr="00B90432">
        <w:rPr>
          <w:rFonts w:asciiTheme="minorHAnsi" w:hAnsiTheme="minorHAnsi"/>
          <w:i/>
        </w:rPr>
        <w:t>Afro-Mestizos</w:t>
      </w:r>
      <w:r w:rsidR="00B137DD" w:rsidRPr="00B90432">
        <w:rPr>
          <w:rFonts w:asciiTheme="minorHAnsi" w:hAnsiTheme="minorHAnsi"/>
        </w:rPr>
        <w:t>”</w:t>
      </w:r>
      <w:r w:rsidR="000A17D5" w:rsidRPr="00B90432">
        <w:rPr>
          <w:rFonts w:asciiTheme="minorHAnsi" w:hAnsiTheme="minorHAnsi"/>
        </w:rPr>
        <w:t xml:space="preserve"> would remain outside of the classification system.</w:t>
      </w:r>
      <w:r w:rsidR="0031158B" w:rsidRPr="00B90432">
        <w:rPr>
          <w:rFonts w:asciiTheme="minorHAnsi" w:hAnsiTheme="minorHAnsi"/>
          <w:vertAlign w:val="superscript"/>
        </w:rPr>
        <w:footnoteReference w:id="208"/>
      </w:r>
    </w:p>
    <w:p w14:paraId="14A5C703" w14:textId="77777777" w:rsidR="003A4015" w:rsidRPr="00B90432" w:rsidRDefault="00834124" w:rsidP="006F4717">
      <w:pPr>
        <w:pStyle w:val="Numberedparagraphs"/>
        <w:rPr>
          <w:rFonts w:asciiTheme="minorHAnsi" w:hAnsiTheme="minorHAnsi"/>
        </w:rPr>
      </w:pPr>
      <w:r w:rsidRPr="00B90432">
        <w:rPr>
          <w:rFonts w:asciiTheme="minorHAnsi" w:hAnsiTheme="minorHAnsi"/>
        </w:rPr>
        <w:t xml:space="preserve">Based on information available to the Commission, </w:t>
      </w:r>
      <w:r w:rsidR="00154DCA" w:rsidRPr="00B90432">
        <w:rPr>
          <w:rFonts w:asciiTheme="minorHAnsi" w:hAnsiTheme="minorHAnsi"/>
        </w:rPr>
        <w:t>the lack of visibility of Afro-Guatemalans</w:t>
      </w:r>
      <w:r w:rsidR="00D23975" w:rsidRPr="00B90432">
        <w:rPr>
          <w:rFonts w:asciiTheme="minorHAnsi" w:hAnsiTheme="minorHAnsi"/>
        </w:rPr>
        <w:t>,</w:t>
      </w:r>
      <w:r w:rsidR="00154DCA" w:rsidRPr="00B90432">
        <w:rPr>
          <w:rFonts w:asciiTheme="minorHAnsi" w:hAnsiTheme="minorHAnsi"/>
        </w:rPr>
        <w:t xml:space="preserve"> </w:t>
      </w:r>
      <w:r w:rsidR="00155974" w:rsidRPr="00B90432">
        <w:rPr>
          <w:rFonts w:asciiTheme="minorHAnsi" w:hAnsiTheme="minorHAnsi"/>
        </w:rPr>
        <w:t>as a result of the scarce or non-</w:t>
      </w:r>
      <w:r w:rsidR="00EC02FE" w:rsidRPr="00B90432">
        <w:rPr>
          <w:rFonts w:asciiTheme="minorHAnsi" w:hAnsiTheme="minorHAnsi"/>
        </w:rPr>
        <w:t>existent</w:t>
      </w:r>
      <w:r w:rsidR="00155974" w:rsidRPr="00B90432">
        <w:rPr>
          <w:rFonts w:asciiTheme="minorHAnsi" w:hAnsiTheme="minorHAnsi"/>
        </w:rPr>
        <w:t xml:space="preserve"> informatio</w:t>
      </w:r>
      <w:r w:rsidR="00D23975" w:rsidRPr="00B90432">
        <w:rPr>
          <w:rFonts w:asciiTheme="minorHAnsi" w:hAnsiTheme="minorHAnsi"/>
        </w:rPr>
        <w:t>n gathered by the State on persons</w:t>
      </w:r>
      <w:r w:rsidR="00155974" w:rsidRPr="00B90432">
        <w:rPr>
          <w:rFonts w:asciiTheme="minorHAnsi" w:hAnsiTheme="minorHAnsi"/>
        </w:rPr>
        <w:t xml:space="preserve"> self-identifying as such</w:t>
      </w:r>
      <w:r w:rsidR="003A4015" w:rsidRPr="00B90432">
        <w:rPr>
          <w:rFonts w:asciiTheme="minorHAnsi" w:hAnsiTheme="minorHAnsi"/>
        </w:rPr>
        <w:t>,</w:t>
      </w:r>
      <w:r w:rsidR="003A4015" w:rsidRPr="00B90432">
        <w:rPr>
          <w:rFonts w:asciiTheme="minorHAnsi" w:hAnsiTheme="minorHAnsi"/>
          <w:vertAlign w:val="superscript"/>
        </w:rPr>
        <w:footnoteReference w:id="209"/>
      </w:r>
      <w:r w:rsidR="003A4015" w:rsidRPr="00B90432">
        <w:rPr>
          <w:rFonts w:asciiTheme="minorHAnsi" w:hAnsiTheme="minorHAnsi"/>
        </w:rPr>
        <w:t xml:space="preserve"> </w:t>
      </w:r>
      <w:r w:rsidR="00155974" w:rsidRPr="00B90432">
        <w:rPr>
          <w:rFonts w:asciiTheme="minorHAnsi" w:hAnsiTheme="minorHAnsi"/>
        </w:rPr>
        <w:t xml:space="preserve">has </w:t>
      </w:r>
      <w:r w:rsidR="007172C8" w:rsidRPr="00B90432">
        <w:rPr>
          <w:rFonts w:asciiTheme="minorHAnsi" w:hAnsiTheme="minorHAnsi"/>
        </w:rPr>
        <w:t>led to Afro-Guatemalan people</w:t>
      </w:r>
      <w:r w:rsidR="001C1CA9" w:rsidRPr="00B90432">
        <w:rPr>
          <w:rFonts w:asciiTheme="minorHAnsi" w:hAnsiTheme="minorHAnsi"/>
        </w:rPr>
        <w:t xml:space="preserve"> who are not Garifuna</w:t>
      </w:r>
      <w:r w:rsidR="007172C8" w:rsidRPr="00B90432">
        <w:rPr>
          <w:rFonts w:asciiTheme="minorHAnsi" w:hAnsiTheme="minorHAnsi"/>
        </w:rPr>
        <w:t>,</w:t>
      </w:r>
      <w:r w:rsidR="001C1CA9" w:rsidRPr="00B90432">
        <w:rPr>
          <w:rFonts w:asciiTheme="minorHAnsi" w:hAnsiTheme="minorHAnsi"/>
        </w:rPr>
        <w:t xml:space="preserve"> </w:t>
      </w:r>
      <w:r w:rsidR="000C5AF0" w:rsidRPr="00B90432">
        <w:rPr>
          <w:rFonts w:asciiTheme="minorHAnsi" w:hAnsiTheme="minorHAnsi"/>
        </w:rPr>
        <w:t xml:space="preserve">not gaining </w:t>
      </w:r>
      <w:r w:rsidR="001C1CA9" w:rsidRPr="00B90432">
        <w:rPr>
          <w:rFonts w:asciiTheme="minorHAnsi" w:hAnsiTheme="minorHAnsi"/>
        </w:rPr>
        <w:t>full access to social programs and benefits targeted expressly to minority groups.</w:t>
      </w:r>
      <w:r w:rsidR="003A4015" w:rsidRPr="00B90432">
        <w:rPr>
          <w:rFonts w:asciiTheme="minorHAnsi" w:hAnsiTheme="minorHAnsi"/>
          <w:vertAlign w:val="superscript"/>
        </w:rPr>
        <w:footnoteReference w:id="210"/>
      </w:r>
      <w:r w:rsidR="000C5AF0" w:rsidRPr="00B90432">
        <w:rPr>
          <w:rFonts w:asciiTheme="minorHAnsi" w:hAnsiTheme="minorHAnsi"/>
        </w:rPr>
        <w:t xml:space="preserve"> Civil </w:t>
      </w:r>
      <w:r w:rsidR="000C5AF0" w:rsidRPr="00B90432">
        <w:rPr>
          <w:rFonts w:asciiTheme="minorHAnsi" w:hAnsiTheme="minorHAnsi"/>
        </w:rPr>
        <w:lastRenderedPageBreak/>
        <w:t xml:space="preserve">society organizations that were present at the meetings with the IACHR in the context of the on-site visit, </w:t>
      </w:r>
      <w:r w:rsidR="00CD3301" w:rsidRPr="00B90432">
        <w:rPr>
          <w:rFonts w:asciiTheme="minorHAnsi" w:hAnsiTheme="minorHAnsi"/>
        </w:rPr>
        <w:t xml:space="preserve">stated </w:t>
      </w:r>
      <w:r w:rsidR="000C5AF0" w:rsidRPr="00B90432">
        <w:rPr>
          <w:rFonts w:asciiTheme="minorHAnsi" w:hAnsiTheme="minorHAnsi"/>
        </w:rPr>
        <w:t xml:space="preserve">that Afro-Guatemalan persons, who are not Garifunas, have not had access to special policies </w:t>
      </w:r>
      <w:r w:rsidR="001454C5" w:rsidRPr="00B90432">
        <w:rPr>
          <w:rFonts w:asciiTheme="minorHAnsi" w:hAnsiTheme="minorHAnsi"/>
        </w:rPr>
        <w:t xml:space="preserve">related to education. In this regard, the Commission reiterates </w:t>
      </w:r>
      <w:r w:rsidR="00FC7639" w:rsidRPr="00B90432">
        <w:rPr>
          <w:rFonts w:asciiTheme="minorHAnsi" w:hAnsiTheme="minorHAnsi"/>
        </w:rPr>
        <w:t xml:space="preserve">the recommendation of the UN </w:t>
      </w:r>
      <w:r w:rsidR="008C3CE5" w:rsidRPr="00B90432">
        <w:rPr>
          <w:rFonts w:asciiTheme="minorHAnsi" w:hAnsiTheme="minorHAnsi"/>
        </w:rPr>
        <w:t>CERD that a lack of complete</w:t>
      </w:r>
      <w:r w:rsidR="00FC7639" w:rsidRPr="00B90432">
        <w:rPr>
          <w:rFonts w:asciiTheme="minorHAnsi" w:hAnsiTheme="minorHAnsi"/>
        </w:rPr>
        <w:t>, reliable and up-to-date</w:t>
      </w:r>
      <w:r w:rsidR="002D5B76" w:rsidRPr="00B90432">
        <w:rPr>
          <w:rFonts w:asciiTheme="minorHAnsi" w:hAnsiTheme="minorHAnsi"/>
        </w:rPr>
        <w:t xml:space="preserve"> statistical data on the demographic make-</w:t>
      </w:r>
      <w:r w:rsidR="00FC7639" w:rsidRPr="00B90432">
        <w:rPr>
          <w:rFonts w:asciiTheme="minorHAnsi" w:hAnsiTheme="minorHAnsi"/>
        </w:rPr>
        <w:t xml:space="preserve">up of the country poses an obstacle to the development of inclusive public policies </w:t>
      </w:r>
      <w:r w:rsidR="007D609A" w:rsidRPr="00B90432">
        <w:rPr>
          <w:rFonts w:asciiTheme="minorHAnsi" w:hAnsiTheme="minorHAnsi"/>
        </w:rPr>
        <w:t>on topics of gender and racial discrimination, as well as a</w:t>
      </w:r>
      <w:r w:rsidR="000F0633" w:rsidRPr="00B90432">
        <w:rPr>
          <w:rFonts w:asciiTheme="minorHAnsi" w:hAnsiTheme="minorHAnsi"/>
        </w:rPr>
        <w:t xml:space="preserve"> differentiated</w:t>
      </w:r>
      <w:r w:rsidR="007D609A" w:rsidRPr="00B90432">
        <w:rPr>
          <w:rFonts w:asciiTheme="minorHAnsi" w:hAnsiTheme="minorHAnsi"/>
        </w:rPr>
        <w:t xml:space="preserve"> focus of the population in a particular situation of vulnerability.</w:t>
      </w:r>
      <w:r w:rsidR="003A4015" w:rsidRPr="00B90432">
        <w:rPr>
          <w:rFonts w:asciiTheme="minorHAnsi" w:hAnsiTheme="minorHAnsi"/>
          <w:vertAlign w:val="superscript"/>
        </w:rPr>
        <w:footnoteReference w:id="211"/>
      </w:r>
    </w:p>
    <w:p w14:paraId="36D07517" w14:textId="77777777" w:rsidR="003A4015" w:rsidRPr="00B90432" w:rsidRDefault="00E776E9" w:rsidP="006F4717">
      <w:pPr>
        <w:pStyle w:val="Numberedparagraphs"/>
        <w:rPr>
          <w:rFonts w:asciiTheme="minorHAnsi" w:hAnsiTheme="minorHAnsi"/>
        </w:rPr>
      </w:pPr>
      <w:r w:rsidRPr="00B90432">
        <w:rPr>
          <w:rFonts w:asciiTheme="minorHAnsi" w:hAnsiTheme="minorHAnsi"/>
        </w:rPr>
        <w:t xml:space="preserve">Lastly, the Commission </w:t>
      </w:r>
      <w:r w:rsidR="00306EEB" w:rsidRPr="00B90432">
        <w:rPr>
          <w:rFonts w:asciiTheme="minorHAnsi" w:hAnsiTheme="minorHAnsi"/>
        </w:rPr>
        <w:t xml:space="preserve">underscores that </w:t>
      </w:r>
      <w:r w:rsidR="000F4BAA" w:rsidRPr="00B90432">
        <w:rPr>
          <w:rFonts w:asciiTheme="minorHAnsi" w:hAnsiTheme="minorHAnsi"/>
        </w:rPr>
        <w:t xml:space="preserve">the </w:t>
      </w:r>
      <w:r w:rsidR="00306EEB" w:rsidRPr="00B90432">
        <w:rPr>
          <w:rFonts w:asciiTheme="minorHAnsi" w:hAnsiTheme="minorHAnsi"/>
        </w:rPr>
        <w:t>social and economic determinism</w:t>
      </w:r>
      <w:r w:rsidR="005B0595" w:rsidRPr="00B90432">
        <w:rPr>
          <w:rFonts w:asciiTheme="minorHAnsi" w:hAnsiTheme="minorHAnsi"/>
        </w:rPr>
        <w:t>,</w:t>
      </w:r>
      <w:r w:rsidR="00306EEB" w:rsidRPr="00B90432">
        <w:rPr>
          <w:rFonts w:asciiTheme="minorHAnsi" w:hAnsiTheme="minorHAnsi"/>
        </w:rPr>
        <w:t xml:space="preserve"> </w:t>
      </w:r>
      <w:r w:rsidR="000F4BAA" w:rsidRPr="00B90432">
        <w:rPr>
          <w:rFonts w:asciiTheme="minorHAnsi" w:hAnsiTheme="minorHAnsi"/>
        </w:rPr>
        <w:t xml:space="preserve">which </w:t>
      </w:r>
      <w:r w:rsidR="007860DA" w:rsidRPr="00B90432">
        <w:rPr>
          <w:rFonts w:asciiTheme="minorHAnsi" w:hAnsiTheme="minorHAnsi"/>
        </w:rPr>
        <w:t xml:space="preserve">shapes </w:t>
      </w:r>
      <w:r w:rsidR="007659E5" w:rsidRPr="00B90432">
        <w:rPr>
          <w:rFonts w:asciiTheme="minorHAnsi" w:hAnsiTheme="minorHAnsi"/>
        </w:rPr>
        <w:t xml:space="preserve">the </w:t>
      </w:r>
      <w:r w:rsidR="00A159A8" w:rsidRPr="00B90432">
        <w:rPr>
          <w:rFonts w:asciiTheme="minorHAnsi" w:hAnsiTheme="minorHAnsi"/>
        </w:rPr>
        <w:t>racial profile</w:t>
      </w:r>
      <w:r w:rsidR="009C1385" w:rsidRPr="00B90432">
        <w:rPr>
          <w:rFonts w:asciiTheme="minorHAnsi" w:hAnsiTheme="minorHAnsi"/>
        </w:rPr>
        <w:t xml:space="preserve"> of certain groups</w:t>
      </w:r>
      <w:r w:rsidR="005B0595" w:rsidRPr="00B90432">
        <w:rPr>
          <w:rFonts w:asciiTheme="minorHAnsi" w:hAnsiTheme="minorHAnsi"/>
        </w:rPr>
        <w:t>,</w:t>
      </w:r>
      <w:r w:rsidR="009C1385" w:rsidRPr="00B90432">
        <w:rPr>
          <w:rFonts w:asciiTheme="minorHAnsi" w:hAnsiTheme="minorHAnsi"/>
        </w:rPr>
        <w:t xml:space="preserve"> reflects the persisting wide gap in the enjoyment of economic, social and cultural r</w:t>
      </w:r>
      <w:r w:rsidR="000A4321" w:rsidRPr="00B90432">
        <w:rPr>
          <w:rFonts w:asciiTheme="minorHAnsi" w:hAnsiTheme="minorHAnsi"/>
        </w:rPr>
        <w:t>ights between</w:t>
      </w:r>
      <w:r w:rsidR="00135910" w:rsidRPr="00B90432">
        <w:rPr>
          <w:rFonts w:asciiTheme="minorHAnsi" w:hAnsiTheme="minorHAnsi"/>
        </w:rPr>
        <w:t xml:space="preserve"> Afro-Guatemalan</w:t>
      </w:r>
      <w:r w:rsidR="000A4321" w:rsidRPr="00B90432">
        <w:rPr>
          <w:rFonts w:asciiTheme="minorHAnsi" w:hAnsiTheme="minorHAnsi"/>
        </w:rPr>
        <w:t>s</w:t>
      </w:r>
      <w:r w:rsidR="00135910" w:rsidRPr="00B90432">
        <w:rPr>
          <w:rFonts w:asciiTheme="minorHAnsi" w:hAnsiTheme="minorHAnsi"/>
        </w:rPr>
        <w:t xml:space="preserve"> </w:t>
      </w:r>
      <w:r w:rsidR="009C1385" w:rsidRPr="00B90432">
        <w:rPr>
          <w:rFonts w:asciiTheme="minorHAnsi" w:hAnsiTheme="minorHAnsi"/>
        </w:rPr>
        <w:t>in particular</w:t>
      </w:r>
      <w:r w:rsidR="000A4321" w:rsidRPr="00B90432">
        <w:rPr>
          <w:rFonts w:asciiTheme="minorHAnsi" w:hAnsiTheme="minorHAnsi"/>
        </w:rPr>
        <w:t xml:space="preserve"> and</w:t>
      </w:r>
      <w:r w:rsidR="00135910" w:rsidRPr="00B90432">
        <w:rPr>
          <w:rFonts w:asciiTheme="minorHAnsi" w:hAnsiTheme="minorHAnsi"/>
        </w:rPr>
        <w:t xml:space="preserve"> other population groups</w:t>
      </w:r>
      <w:r w:rsidR="009C1385" w:rsidRPr="00B90432">
        <w:rPr>
          <w:rFonts w:asciiTheme="minorHAnsi" w:hAnsiTheme="minorHAnsi"/>
        </w:rPr>
        <w:t>.</w:t>
      </w:r>
      <w:r w:rsidR="003A4015" w:rsidRPr="00B90432">
        <w:rPr>
          <w:rFonts w:asciiTheme="minorHAnsi" w:hAnsiTheme="minorHAnsi"/>
          <w:vertAlign w:val="superscript"/>
        </w:rPr>
        <w:footnoteReference w:id="212"/>
      </w:r>
      <w:r w:rsidR="000F4BAA" w:rsidRPr="00B90432">
        <w:rPr>
          <w:rFonts w:asciiTheme="minorHAnsi" w:hAnsiTheme="minorHAnsi"/>
        </w:rPr>
        <w:t xml:space="preserve"> This shows that the </w:t>
      </w:r>
      <w:r w:rsidR="00824560" w:rsidRPr="00B90432">
        <w:rPr>
          <w:rFonts w:asciiTheme="minorHAnsi" w:hAnsiTheme="minorHAnsi"/>
        </w:rPr>
        <w:t xml:space="preserve">degree </w:t>
      </w:r>
      <w:r w:rsidR="000F4BAA" w:rsidRPr="00B90432">
        <w:rPr>
          <w:rFonts w:asciiTheme="minorHAnsi" w:hAnsiTheme="minorHAnsi"/>
        </w:rPr>
        <w:t xml:space="preserve">of structural and institutional discrimination creates </w:t>
      </w:r>
      <w:r w:rsidR="000F4BAA" w:rsidRPr="00B90432">
        <w:rPr>
          <w:rFonts w:asciiTheme="minorHAnsi" w:hAnsiTheme="minorHAnsi"/>
          <w:i/>
        </w:rPr>
        <w:t>de facto</w:t>
      </w:r>
      <w:r w:rsidR="000F4BAA" w:rsidRPr="00B90432">
        <w:rPr>
          <w:rFonts w:asciiTheme="minorHAnsi" w:hAnsiTheme="minorHAnsi"/>
        </w:rPr>
        <w:t xml:space="preserve"> barriers for people of African descent to fully enjoy and exercise their human rights.  </w:t>
      </w:r>
      <w:r w:rsidR="003A4015" w:rsidRPr="00B90432">
        <w:rPr>
          <w:rFonts w:asciiTheme="minorHAnsi" w:hAnsiTheme="minorHAnsi"/>
        </w:rPr>
        <w:t xml:space="preserve"> </w:t>
      </w:r>
    </w:p>
    <w:p w14:paraId="7628B344" w14:textId="77777777" w:rsidR="003D314F" w:rsidRPr="00B90432" w:rsidRDefault="00466789" w:rsidP="009A58BE">
      <w:pPr>
        <w:pStyle w:val="Heading2"/>
      </w:pPr>
      <w:bookmarkStart w:id="38" w:name="_Toc509827640"/>
      <w:r w:rsidRPr="00B90432">
        <w:t>Transitional justice and reparations to victims of the internal armed conflict</w:t>
      </w:r>
      <w:bookmarkEnd w:id="38"/>
      <w:r w:rsidRPr="00B90432">
        <w:t xml:space="preserve"> </w:t>
      </w:r>
    </w:p>
    <w:p w14:paraId="12723596" w14:textId="77777777" w:rsidR="008A5ABF" w:rsidRPr="00B90432" w:rsidRDefault="0016744E" w:rsidP="006F4717">
      <w:pPr>
        <w:pStyle w:val="Numberedparagraphs"/>
        <w:rPr>
          <w:rFonts w:asciiTheme="minorHAnsi" w:hAnsiTheme="minorHAnsi"/>
        </w:rPr>
      </w:pPr>
      <w:r w:rsidRPr="00B90432">
        <w:rPr>
          <w:rFonts w:asciiTheme="minorHAnsi" w:hAnsiTheme="minorHAnsi"/>
        </w:rPr>
        <w:t xml:space="preserve">The lack of access to justice in Guatemala is closely </w:t>
      </w:r>
      <w:r w:rsidR="00135F61" w:rsidRPr="00B90432">
        <w:rPr>
          <w:rFonts w:asciiTheme="minorHAnsi" w:hAnsiTheme="minorHAnsi"/>
        </w:rPr>
        <w:t xml:space="preserve">linked </w:t>
      </w:r>
      <w:r w:rsidRPr="00B90432">
        <w:rPr>
          <w:rFonts w:asciiTheme="minorHAnsi" w:hAnsiTheme="minorHAnsi"/>
        </w:rPr>
        <w:t xml:space="preserve">to the lack of reparation for human rights violations committed during the internal armed conflict. </w:t>
      </w:r>
      <w:r w:rsidR="00AB3E39" w:rsidRPr="00B90432">
        <w:rPr>
          <w:rFonts w:asciiTheme="minorHAnsi" w:hAnsiTheme="minorHAnsi"/>
        </w:rPr>
        <w:t xml:space="preserve">The </w:t>
      </w:r>
      <w:r w:rsidR="00EC02FE" w:rsidRPr="00B90432">
        <w:rPr>
          <w:rFonts w:asciiTheme="minorHAnsi" w:hAnsiTheme="minorHAnsi"/>
        </w:rPr>
        <w:t>Commission</w:t>
      </w:r>
      <w:r w:rsidR="00AB3E39" w:rsidRPr="00B90432">
        <w:rPr>
          <w:rFonts w:asciiTheme="minorHAnsi" w:hAnsiTheme="minorHAnsi"/>
        </w:rPr>
        <w:t xml:space="preserve"> has previously noted the importance for Guatemala to deal with that historic debt to the victims of said violations and their next of kin, as enshrined in the Peace Accords.</w:t>
      </w:r>
      <w:r w:rsidR="006D07BB" w:rsidRPr="00B90432">
        <w:rPr>
          <w:rStyle w:val="FootnoteReference"/>
          <w:rFonts w:asciiTheme="minorHAnsi" w:hAnsiTheme="minorHAnsi"/>
          <w:sz w:val="22"/>
          <w:szCs w:val="22"/>
        </w:rPr>
        <w:footnoteReference w:id="213"/>
      </w:r>
    </w:p>
    <w:p w14:paraId="427E74F6" w14:textId="77777777" w:rsidR="0011327B" w:rsidRPr="00B90432" w:rsidRDefault="00932C2F" w:rsidP="006F4717">
      <w:pPr>
        <w:pStyle w:val="Numberedparagraphs"/>
        <w:rPr>
          <w:rFonts w:asciiTheme="minorHAnsi" w:hAnsiTheme="minorHAnsi"/>
        </w:rPr>
      </w:pPr>
      <w:r w:rsidRPr="00B90432">
        <w:rPr>
          <w:rFonts w:asciiTheme="minorHAnsi" w:hAnsiTheme="minorHAnsi"/>
        </w:rPr>
        <w:t>During the on-site visit, the Commission took note of recent progress it observed in ca</w:t>
      </w:r>
      <w:r w:rsidR="004915EE" w:rsidRPr="00B90432">
        <w:rPr>
          <w:rFonts w:asciiTheme="minorHAnsi" w:hAnsiTheme="minorHAnsi"/>
        </w:rPr>
        <w:t xml:space="preserve">ses linked to gross violations dating back to </w:t>
      </w:r>
      <w:r w:rsidRPr="00B90432">
        <w:rPr>
          <w:rFonts w:asciiTheme="minorHAnsi" w:hAnsiTheme="minorHAnsi"/>
        </w:rPr>
        <w:t>the internal armed conflict, such as the cases of CREOMPAZ, Molina Theissen, and</w:t>
      </w:r>
      <w:r w:rsidR="00B61981" w:rsidRPr="00B90432">
        <w:rPr>
          <w:rFonts w:asciiTheme="minorHAnsi" w:hAnsiTheme="minorHAnsi"/>
        </w:rPr>
        <w:t xml:space="preserve"> Sepur Zarco</w:t>
      </w:r>
      <w:r w:rsidR="00D65289" w:rsidRPr="00B90432">
        <w:rPr>
          <w:rFonts w:asciiTheme="minorHAnsi" w:hAnsiTheme="minorHAnsi"/>
        </w:rPr>
        <w:t>,</w:t>
      </w:r>
      <w:r w:rsidR="00B61981" w:rsidRPr="00B90432">
        <w:rPr>
          <w:rStyle w:val="FootnoteReference"/>
          <w:rFonts w:asciiTheme="minorHAnsi" w:hAnsiTheme="minorHAnsi"/>
          <w:sz w:val="22"/>
          <w:szCs w:val="22"/>
        </w:rPr>
        <w:footnoteReference w:id="214"/>
      </w:r>
      <w:r w:rsidR="00D65289" w:rsidRPr="00B90432">
        <w:rPr>
          <w:rFonts w:asciiTheme="minorHAnsi" w:hAnsiTheme="minorHAnsi"/>
        </w:rPr>
        <w:t xml:space="preserve"> among other ones. </w:t>
      </w:r>
      <w:r w:rsidR="0062473E" w:rsidRPr="00B90432">
        <w:rPr>
          <w:rFonts w:asciiTheme="minorHAnsi" w:hAnsiTheme="minorHAnsi"/>
        </w:rPr>
        <w:t xml:space="preserve">During the visit to the </w:t>
      </w:r>
      <w:r w:rsidR="008356C3" w:rsidRPr="00B90432">
        <w:rPr>
          <w:rFonts w:asciiTheme="minorHAnsi" w:hAnsiTheme="minorHAnsi"/>
        </w:rPr>
        <w:t xml:space="preserve">facilities of the Regional </w:t>
      </w:r>
      <w:r w:rsidR="0056748D" w:rsidRPr="00B90432">
        <w:rPr>
          <w:rFonts w:asciiTheme="minorHAnsi" w:hAnsiTheme="minorHAnsi"/>
        </w:rPr>
        <w:lastRenderedPageBreak/>
        <w:t xml:space="preserve">Training </w:t>
      </w:r>
      <w:r w:rsidR="008356C3" w:rsidRPr="00B90432">
        <w:rPr>
          <w:rFonts w:asciiTheme="minorHAnsi" w:hAnsiTheme="minorHAnsi"/>
        </w:rPr>
        <w:t xml:space="preserve">Command for United Nations Peacekeeping Operations </w:t>
      </w:r>
      <w:r w:rsidR="00B61981" w:rsidRPr="00B90432">
        <w:rPr>
          <w:rFonts w:asciiTheme="minorHAnsi" w:hAnsiTheme="minorHAnsi"/>
        </w:rPr>
        <w:t xml:space="preserve">(CREOMPAZ), </w:t>
      </w:r>
      <w:r w:rsidR="0056748D" w:rsidRPr="00B90432">
        <w:rPr>
          <w:rFonts w:asciiTheme="minorHAnsi" w:hAnsiTheme="minorHAnsi"/>
        </w:rPr>
        <w:t>the IACHR was apprised that as of the present date, eight detained former military members</w:t>
      </w:r>
      <w:r w:rsidR="00A75F5F" w:rsidRPr="00B90432">
        <w:rPr>
          <w:rFonts w:asciiTheme="minorHAnsi" w:hAnsiTheme="minorHAnsi"/>
        </w:rPr>
        <w:t xml:space="preserve"> were tried for acts committed from 1981 to 1984 at the former military base in the city of Coban, where bone remains have been located, from which 128 persons</w:t>
      </w:r>
      <w:r w:rsidR="00DC0FDC" w:rsidRPr="00B90432">
        <w:rPr>
          <w:rFonts w:asciiTheme="minorHAnsi" w:hAnsiTheme="minorHAnsi"/>
        </w:rPr>
        <w:t>, who were victims of forced disappearance,</w:t>
      </w:r>
      <w:r w:rsidR="00A75F5F" w:rsidRPr="00B90432">
        <w:rPr>
          <w:rFonts w:asciiTheme="minorHAnsi" w:hAnsiTheme="minorHAnsi"/>
        </w:rPr>
        <w:t xml:space="preserve"> have been</w:t>
      </w:r>
      <w:r w:rsidR="00FB0C15" w:rsidRPr="00B90432">
        <w:rPr>
          <w:rFonts w:asciiTheme="minorHAnsi" w:hAnsiTheme="minorHAnsi"/>
        </w:rPr>
        <w:t xml:space="preserve"> successfully identified</w:t>
      </w:r>
      <w:r w:rsidR="00FD2A23" w:rsidRPr="00B90432">
        <w:rPr>
          <w:rFonts w:asciiTheme="minorHAnsi" w:hAnsiTheme="minorHAnsi"/>
        </w:rPr>
        <w:t>.</w:t>
      </w:r>
      <w:r w:rsidR="00B61981" w:rsidRPr="00B90432">
        <w:rPr>
          <w:rStyle w:val="FootnoteReference"/>
          <w:rFonts w:asciiTheme="minorHAnsi" w:hAnsiTheme="minorHAnsi"/>
          <w:sz w:val="22"/>
          <w:szCs w:val="22"/>
        </w:rPr>
        <w:footnoteReference w:id="215"/>
      </w:r>
      <w:r w:rsidR="00FD2A23" w:rsidRPr="00B90432">
        <w:rPr>
          <w:rFonts w:asciiTheme="minorHAnsi" w:hAnsiTheme="minorHAnsi"/>
        </w:rPr>
        <w:t xml:space="preserve"> </w:t>
      </w:r>
      <w:r w:rsidR="00B61981" w:rsidRPr="00B90432">
        <w:rPr>
          <w:rFonts w:asciiTheme="minorHAnsi" w:hAnsiTheme="minorHAnsi"/>
        </w:rPr>
        <w:t xml:space="preserve"> </w:t>
      </w:r>
      <w:r w:rsidR="00A577A2" w:rsidRPr="00B90432">
        <w:rPr>
          <w:rFonts w:asciiTheme="minorHAnsi" w:hAnsiTheme="minorHAnsi"/>
        </w:rPr>
        <w:t xml:space="preserve">Notwithstanding this progress, some organizations raised the alert that there have been no forward steps in 2017, and that some alleged victims—and therefore, violations—have been excluded from the </w:t>
      </w:r>
      <w:r w:rsidR="003520B3" w:rsidRPr="00B90432">
        <w:rPr>
          <w:rFonts w:asciiTheme="minorHAnsi" w:hAnsiTheme="minorHAnsi"/>
        </w:rPr>
        <w:t xml:space="preserve">process of instituting </w:t>
      </w:r>
      <w:r w:rsidR="00A577A2" w:rsidRPr="00B90432">
        <w:rPr>
          <w:rFonts w:asciiTheme="minorHAnsi" w:hAnsiTheme="minorHAnsi"/>
        </w:rPr>
        <w:t>trial proceedings</w:t>
      </w:r>
      <w:r w:rsidR="003520B3" w:rsidRPr="00B90432">
        <w:rPr>
          <w:rFonts w:asciiTheme="minorHAnsi" w:hAnsiTheme="minorHAnsi"/>
        </w:rPr>
        <w:t>.</w:t>
      </w:r>
    </w:p>
    <w:p w14:paraId="0859E76C" w14:textId="77777777" w:rsidR="004B621A" w:rsidRPr="00B90432" w:rsidRDefault="00440271" w:rsidP="006F4717">
      <w:pPr>
        <w:pStyle w:val="Numberedparagraphs"/>
        <w:rPr>
          <w:rFonts w:asciiTheme="minorHAnsi" w:hAnsiTheme="minorHAnsi"/>
        </w:rPr>
      </w:pPr>
      <w:r w:rsidRPr="00B90432">
        <w:rPr>
          <w:rFonts w:asciiTheme="minorHAnsi" w:hAnsiTheme="minorHAnsi"/>
        </w:rPr>
        <w:t xml:space="preserve">As for the case of the boy </w:t>
      </w:r>
      <w:r w:rsidR="0011327B" w:rsidRPr="00B90432">
        <w:rPr>
          <w:rFonts w:asciiTheme="minorHAnsi" w:hAnsiTheme="minorHAnsi"/>
        </w:rPr>
        <w:t xml:space="preserve">Marco Antonio Molina Theissen, </w:t>
      </w:r>
      <w:r w:rsidRPr="00B90432">
        <w:rPr>
          <w:rFonts w:asciiTheme="minorHAnsi" w:hAnsiTheme="minorHAnsi"/>
        </w:rPr>
        <w:t>allegedly disappeared by members of the Guatemalan Army in 1981,</w:t>
      </w:r>
      <w:r w:rsidR="0011327B" w:rsidRPr="00B90432">
        <w:rPr>
          <w:rStyle w:val="FootnoteReference"/>
          <w:rFonts w:asciiTheme="minorHAnsi" w:hAnsiTheme="minorHAnsi"/>
          <w:sz w:val="22"/>
          <w:szCs w:val="22"/>
        </w:rPr>
        <w:footnoteReference w:id="216"/>
      </w:r>
      <w:r w:rsidRPr="00B90432">
        <w:rPr>
          <w:rFonts w:asciiTheme="minorHAnsi" w:hAnsiTheme="minorHAnsi"/>
        </w:rPr>
        <w:t xml:space="preserve"> the IACHR was informed that at a hearing held on July 25, 2017, Judge </w:t>
      </w:r>
      <w:r w:rsidR="0011327B" w:rsidRPr="00B90432">
        <w:rPr>
          <w:rFonts w:asciiTheme="minorHAnsi" w:hAnsiTheme="minorHAnsi"/>
        </w:rPr>
        <w:t xml:space="preserve">Víctor Hugo Herrera Ríos, </w:t>
      </w:r>
      <w:r w:rsidRPr="00B90432">
        <w:rPr>
          <w:rFonts w:asciiTheme="minorHAnsi" w:hAnsiTheme="minorHAnsi"/>
        </w:rPr>
        <w:t xml:space="preserve">of </w:t>
      </w:r>
      <w:r w:rsidR="00CF6CD8" w:rsidRPr="00B90432">
        <w:rPr>
          <w:rFonts w:asciiTheme="minorHAnsi" w:hAnsiTheme="minorHAnsi"/>
        </w:rPr>
        <w:t>H</w:t>
      </w:r>
      <w:r w:rsidR="00D92E9C" w:rsidRPr="00B90432">
        <w:rPr>
          <w:rFonts w:asciiTheme="minorHAnsi" w:hAnsiTheme="minorHAnsi"/>
        </w:rPr>
        <w:t xml:space="preserve">igh </w:t>
      </w:r>
      <w:r w:rsidRPr="00B90432">
        <w:rPr>
          <w:rFonts w:asciiTheme="minorHAnsi" w:hAnsiTheme="minorHAnsi"/>
        </w:rPr>
        <w:t>Risk</w:t>
      </w:r>
      <w:r w:rsidR="00CF6CD8" w:rsidRPr="00B90432">
        <w:rPr>
          <w:rFonts w:asciiTheme="minorHAnsi" w:hAnsiTheme="minorHAnsi"/>
        </w:rPr>
        <w:t xml:space="preserve"> Case</w:t>
      </w:r>
      <w:r w:rsidRPr="00B90432">
        <w:rPr>
          <w:rFonts w:asciiTheme="minorHAnsi" w:hAnsiTheme="minorHAnsi"/>
        </w:rPr>
        <w:t xml:space="preserve"> Court C, admitted evidence introduced by both parties, including testimony of witnesses, official documents and experts’ reports, as well as the 2004 judgment of the Inter-American Court of Human Rights in the case of </w:t>
      </w:r>
      <w:r w:rsidRPr="00B90432">
        <w:rPr>
          <w:rFonts w:asciiTheme="minorHAnsi" w:hAnsiTheme="minorHAnsi"/>
          <w:i/>
          <w:iCs/>
        </w:rPr>
        <w:t>Molina Theissen v</w:t>
      </w:r>
      <w:r w:rsidR="0011327B" w:rsidRPr="00B90432">
        <w:rPr>
          <w:rFonts w:asciiTheme="minorHAnsi" w:hAnsiTheme="minorHAnsi"/>
          <w:i/>
          <w:iCs/>
        </w:rPr>
        <w:t>.</w:t>
      </w:r>
      <w:r w:rsidR="0011327B" w:rsidRPr="00B90432">
        <w:rPr>
          <w:rFonts w:asciiTheme="minorHAnsi" w:hAnsiTheme="minorHAnsi"/>
        </w:rPr>
        <w:t xml:space="preserve"> </w:t>
      </w:r>
      <w:r w:rsidR="0011327B" w:rsidRPr="00B90432">
        <w:rPr>
          <w:rFonts w:asciiTheme="minorHAnsi" w:hAnsiTheme="minorHAnsi"/>
          <w:i/>
          <w:iCs/>
        </w:rPr>
        <w:t>Guatemala</w:t>
      </w:r>
      <w:r w:rsidRPr="00B90432">
        <w:rPr>
          <w:rFonts w:asciiTheme="minorHAnsi" w:hAnsiTheme="minorHAnsi"/>
          <w:i/>
          <w:iCs/>
        </w:rPr>
        <w:t>.</w:t>
      </w:r>
      <w:r w:rsidR="0011327B" w:rsidRPr="00B90432">
        <w:rPr>
          <w:rStyle w:val="FootnoteReference"/>
          <w:rFonts w:asciiTheme="minorHAnsi" w:hAnsiTheme="minorHAnsi"/>
          <w:sz w:val="22"/>
          <w:szCs w:val="22"/>
        </w:rPr>
        <w:footnoteReference w:id="217"/>
      </w:r>
      <w:r w:rsidRPr="00B90432">
        <w:rPr>
          <w:rFonts w:asciiTheme="minorHAnsi" w:hAnsiTheme="minorHAnsi"/>
        </w:rPr>
        <w:t xml:space="preserve"> Following this hearing, the judge decided to </w:t>
      </w:r>
      <w:r w:rsidR="004A55F6" w:rsidRPr="00B90432">
        <w:rPr>
          <w:rFonts w:asciiTheme="minorHAnsi" w:hAnsiTheme="minorHAnsi"/>
        </w:rPr>
        <w:t xml:space="preserve">certify the case to the oral trial stage, the starting date of which was left to the chief judge of </w:t>
      </w:r>
      <w:r w:rsidR="00F92A0F" w:rsidRPr="00B90432">
        <w:rPr>
          <w:rFonts w:asciiTheme="minorHAnsi" w:hAnsiTheme="minorHAnsi"/>
        </w:rPr>
        <w:t>H</w:t>
      </w:r>
      <w:r w:rsidR="00446964" w:rsidRPr="00B90432">
        <w:rPr>
          <w:rFonts w:asciiTheme="minorHAnsi" w:hAnsiTheme="minorHAnsi"/>
        </w:rPr>
        <w:t xml:space="preserve">igh </w:t>
      </w:r>
      <w:r w:rsidR="004A55F6" w:rsidRPr="00B90432">
        <w:rPr>
          <w:rFonts w:asciiTheme="minorHAnsi" w:hAnsiTheme="minorHAnsi"/>
        </w:rPr>
        <w:t>Risk</w:t>
      </w:r>
      <w:r w:rsidR="00F92A0F" w:rsidRPr="00B90432">
        <w:rPr>
          <w:rFonts w:asciiTheme="minorHAnsi" w:hAnsiTheme="minorHAnsi"/>
        </w:rPr>
        <w:t xml:space="preserve"> Case</w:t>
      </w:r>
      <w:r w:rsidR="004A55F6" w:rsidRPr="00B90432">
        <w:rPr>
          <w:rFonts w:asciiTheme="minorHAnsi" w:hAnsiTheme="minorHAnsi"/>
        </w:rPr>
        <w:t xml:space="preserve"> Court C.</w:t>
      </w:r>
      <w:r w:rsidR="0011327B" w:rsidRPr="00B90432">
        <w:rPr>
          <w:rStyle w:val="FootnoteReference"/>
          <w:rFonts w:asciiTheme="minorHAnsi" w:hAnsiTheme="minorHAnsi"/>
          <w:sz w:val="22"/>
          <w:szCs w:val="22"/>
        </w:rPr>
        <w:footnoteReference w:id="218"/>
      </w:r>
    </w:p>
    <w:p w14:paraId="7C0FDCD8" w14:textId="77777777" w:rsidR="004B621A" w:rsidRPr="00B90432" w:rsidRDefault="00583CF6" w:rsidP="006F4717">
      <w:pPr>
        <w:pStyle w:val="Numberedparagraphs"/>
        <w:rPr>
          <w:rFonts w:asciiTheme="minorHAnsi" w:hAnsiTheme="minorHAnsi"/>
        </w:rPr>
      </w:pPr>
      <w:r w:rsidRPr="00B90432">
        <w:rPr>
          <w:rFonts w:asciiTheme="minorHAnsi" w:hAnsiTheme="minorHAnsi"/>
        </w:rPr>
        <w:t>M</w:t>
      </w:r>
      <w:r w:rsidR="00792F62" w:rsidRPr="00B90432">
        <w:rPr>
          <w:rFonts w:asciiTheme="minorHAnsi" w:hAnsiTheme="minorHAnsi"/>
        </w:rPr>
        <w:t>uch to</w:t>
      </w:r>
      <w:r w:rsidR="004A55F6" w:rsidRPr="00B90432">
        <w:rPr>
          <w:rFonts w:asciiTheme="minorHAnsi" w:hAnsiTheme="minorHAnsi"/>
        </w:rPr>
        <w:t xml:space="preserve"> its satisfaction, </w:t>
      </w:r>
      <w:r w:rsidRPr="00B90432">
        <w:rPr>
          <w:rFonts w:asciiTheme="minorHAnsi" w:hAnsiTheme="minorHAnsi"/>
        </w:rPr>
        <w:t xml:space="preserve">the Commission </w:t>
      </w:r>
      <w:r w:rsidR="00150DBF" w:rsidRPr="00B90432">
        <w:rPr>
          <w:rFonts w:asciiTheme="minorHAnsi" w:hAnsiTheme="minorHAnsi"/>
        </w:rPr>
        <w:t>acknoledges</w:t>
      </w:r>
      <w:r w:rsidR="004A55F6" w:rsidRPr="00B90432">
        <w:rPr>
          <w:rFonts w:asciiTheme="minorHAnsi" w:hAnsiTheme="minorHAnsi"/>
        </w:rPr>
        <w:t xml:space="preserve"> the ruli</w:t>
      </w:r>
      <w:r w:rsidR="00AA5374" w:rsidRPr="00B90432">
        <w:rPr>
          <w:rFonts w:asciiTheme="minorHAnsi" w:hAnsiTheme="minorHAnsi"/>
        </w:rPr>
        <w:t xml:space="preserve">ng of the Chamber of Appeals for High </w:t>
      </w:r>
      <w:r w:rsidR="00154DA0" w:rsidRPr="00B90432">
        <w:rPr>
          <w:rFonts w:asciiTheme="minorHAnsi" w:hAnsiTheme="minorHAnsi"/>
        </w:rPr>
        <w:t>Risk cases upholding</w:t>
      </w:r>
      <w:r w:rsidR="004A55F6" w:rsidRPr="00B90432">
        <w:rPr>
          <w:rFonts w:asciiTheme="minorHAnsi" w:hAnsiTheme="minorHAnsi"/>
        </w:rPr>
        <w:t xml:space="preserve"> the landmark judgment of the Sepur Zarco case, relating to domestic and sexual violence </w:t>
      </w:r>
      <w:r w:rsidR="0066310F" w:rsidRPr="00B90432">
        <w:rPr>
          <w:rFonts w:asciiTheme="minorHAnsi" w:hAnsiTheme="minorHAnsi"/>
        </w:rPr>
        <w:t xml:space="preserve">committed by members of the armed services against </w:t>
      </w:r>
      <w:r w:rsidR="004340E9" w:rsidRPr="00B90432">
        <w:rPr>
          <w:rFonts w:asciiTheme="minorHAnsi" w:hAnsiTheme="minorHAnsi"/>
        </w:rPr>
        <w:t xml:space="preserve">Maya q’eqchi’ </w:t>
      </w:r>
      <w:r w:rsidR="0066310F" w:rsidRPr="00B90432">
        <w:rPr>
          <w:rFonts w:asciiTheme="minorHAnsi" w:hAnsiTheme="minorHAnsi"/>
        </w:rPr>
        <w:t>women as an instrument of war and repression during the internal armed conflict.</w:t>
      </w:r>
      <w:r w:rsidR="004340E9" w:rsidRPr="00B90432">
        <w:rPr>
          <w:rStyle w:val="FootnoteReference"/>
          <w:rFonts w:asciiTheme="minorHAnsi" w:hAnsiTheme="minorHAnsi"/>
          <w:sz w:val="22"/>
          <w:szCs w:val="22"/>
        </w:rPr>
        <w:footnoteReference w:id="219"/>
      </w:r>
      <w:r w:rsidR="00767244" w:rsidRPr="00B90432">
        <w:rPr>
          <w:rFonts w:asciiTheme="minorHAnsi" w:hAnsiTheme="minorHAnsi"/>
        </w:rPr>
        <w:t xml:space="preserve"> In</w:t>
      </w:r>
      <w:r w:rsidR="004340E9" w:rsidRPr="00B90432">
        <w:rPr>
          <w:rFonts w:asciiTheme="minorHAnsi" w:hAnsiTheme="minorHAnsi"/>
        </w:rPr>
        <w:t xml:space="preserve"> </w:t>
      </w:r>
      <w:r w:rsidR="004340E9" w:rsidRPr="00B90432">
        <w:rPr>
          <w:rFonts w:asciiTheme="minorHAnsi" w:hAnsiTheme="minorHAnsi"/>
        </w:rPr>
        <w:lastRenderedPageBreak/>
        <w:t xml:space="preserve">1982, </w:t>
      </w:r>
      <w:r w:rsidR="00091DE4" w:rsidRPr="00B90432">
        <w:rPr>
          <w:rFonts w:asciiTheme="minorHAnsi" w:hAnsiTheme="minorHAnsi"/>
        </w:rPr>
        <w:t xml:space="preserve">after the disappearance and </w:t>
      </w:r>
      <w:r w:rsidR="00EC02FE" w:rsidRPr="00B90432">
        <w:rPr>
          <w:rFonts w:asciiTheme="minorHAnsi" w:hAnsiTheme="minorHAnsi"/>
        </w:rPr>
        <w:t>destruction</w:t>
      </w:r>
      <w:r w:rsidR="00091DE4" w:rsidRPr="00B90432">
        <w:rPr>
          <w:rFonts w:asciiTheme="minorHAnsi" w:hAnsiTheme="minorHAnsi"/>
        </w:rPr>
        <w:t xml:space="preserve"> of homes and crops in the communities of the </w:t>
      </w:r>
      <w:r w:rsidR="004340E9" w:rsidRPr="00B90432">
        <w:rPr>
          <w:rFonts w:asciiTheme="minorHAnsi" w:hAnsiTheme="minorHAnsi"/>
        </w:rPr>
        <w:t>Valle</w:t>
      </w:r>
      <w:r w:rsidR="004E36A7" w:rsidRPr="00B90432">
        <w:rPr>
          <w:rFonts w:asciiTheme="minorHAnsi" w:hAnsiTheme="minorHAnsi"/>
        </w:rPr>
        <w:t>y of</w:t>
      </w:r>
      <w:r w:rsidR="004340E9" w:rsidRPr="00B90432">
        <w:rPr>
          <w:rFonts w:asciiTheme="minorHAnsi" w:hAnsiTheme="minorHAnsi"/>
        </w:rPr>
        <w:t xml:space="preserve"> Polochic, </w:t>
      </w:r>
      <w:r w:rsidR="001D5EFE" w:rsidRPr="00B90432">
        <w:rPr>
          <w:rFonts w:asciiTheme="minorHAnsi" w:hAnsiTheme="minorHAnsi"/>
        </w:rPr>
        <w:t xml:space="preserve">a </w:t>
      </w:r>
      <w:r w:rsidR="00BA6400" w:rsidRPr="00B90432">
        <w:rPr>
          <w:rFonts w:asciiTheme="minorHAnsi" w:hAnsiTheme="minorHAnsi"/>
        </w:rPr>
        <w:t xml:space="preserve">military outpost </w:t>
      </w:r>
      <w:r w:rsidR="00091DE4" w:rsidRPr="00B90432">
        <w:rPr>
          <w:rFonts w:asciiTheme="minorHAnsi" w:hAnsiTheme="minorHAnsi"/>
        </w:rPr>
        <w:t xml:space="preserve">was installed in </w:t>
      </w:r>
      <w:r w:rsidR="004340E9" w:rsidRPr="00B90432">
        <w:rPr>
          <w:rFonts w:asciiTheme="minorHAnsi" w:hAnsiTheme="minorHAnsi"/>
        </w:rPr>
        <w:t xml:space="preserve">Sepur Zarco </w:t>
      </w:r>
      <w:r w:rsidR="00BA6400" w:rsidRPr="00B90432">
        <w:rPr>
          <w:rFonts w:asciiTheme="minorHAnsi" w:hAnsiTheme="minorHAnsi"/>
        </w:rPr>
        <w:t>under the same name. As it appears in the case proceedings file, for at least six months, girls and women of the area were subjected to sexual violence and to sexual and domestic slavery</w:t>
      </w:r>
      <w:r w:rsidR="004340E9" w:rsidRPr="00B90432">
        <w:rPr>
          <w:rFonts w:asciiTheme="minorHAnsi" w:hAnsiTheme="minorHAnsi"/>
        </w:rPr>
        <w:t>.</w:t>
      </w:r>
    </w:p>
    <w:p w14:paraId="079836AB" w14:textId="77777777" w:rsidR="004B621A" w:rsidRPr="00B90432" w:rsidRDefault="005D3FE9" w:rsidP="006F4717">
      <w:pPr>
        <w:pStyle w:val="Numberedparagraphs"/>
        <w:rPr>
          <w:rFonts w:asciiTheme="minorHAnsi" w:hAnsiTheme="minorHAnsi"/>
        </w:rPr>
      </w:pPr>
      <w:r w:rsidRPr="00B90432">
        <w:rPr>
          <w:rFonts w:asciiTheme="minorHAnsi" w:hAnsiTheme="minorHAnsi"/>
        </w:rPr>
        <w:t>As a result of these crimes and a landmark convic</w:t>
      </w:r>
      <w:r w:rsidR="00FF197B" w:rsidRPr="00B90432">
        <w:rPr>
          <w:rFonts w:asciiTheme="minorHAnsi" w:hAnsiTheme="minorHAnsi"/>
        </w:rPr>
        <w:t xml:space="preserve">tion, on February 26, 2016, High </w:t>
      </w:r>
      <w:r w:rsidRPr="00B90432">
        <w:rPr>
          <w:rFonts w:asciiTheme="minorHAnsi" w:hAnsiTheme="minorHAnsi"/>
        </w:rPr>
        <w:t xml:space="preserve">Risk </w:t>
      </w:r>
      <w:r w:rsidR="00FF197B" w:rsidRPr="00B90432">
        <w:rPr>
          <w:rFonts w:asciiTheme="minorHAnsi" w:hAnsiTheme="minorHAnsi"/>
        </w:rPr>
        <w:t xml:space="preserve">Case </w:t>
      </w:r>
      <w:r w:rsidRPr="00B90432">
        <w:rPr>
          <w:rFonts w:asciiTheme="minorHAnsi" w:hAnsiTheme="minorHAnsi"/>
        </w:rPr>
        <w:t xml:space="preserve">Court A convicted Coronel Steelmer Francisco Reyes Girón and former military commissioner Heriberto Valdéz Asij for crimes against </w:t>
      </w:r>
      <w:r w:rsidR="00A2284D" w:rsidRPr="00B90432">
        <w:rPr>
          <w:rFonts w:asciiTheme="minorHAnsi" w:hAnsiTheme="minorHAnsi"/>
        </w:rPr>
        <w:t xml:space="preserve">the </w:t>
      </w:r>
      <w:r w:rsidR="00F23E60" w:rsidRPr="00B90432">
        <w:rPr>
          <w:rFonts w:asciiTheme="minorHAnsi" w:hAnsiTheme="minorHAnsi"/>
        </w:rPr>
        <w:t>duties of humanity, sexual violence, humiliating and degrading treatment against the women, murder and forced disappearance and sentenced</w:t>
      </w:r>
      <w:r w:rsidR="006605DE" w:rsidRPr="00B90432">
        <w:rPr>
          <w:rFonts w:asciiTheme="minorHAnsi" w:hAnsiTheme="minorHAnsi"/>
        </w:rPr>
        <w:t xml:space="preserve"> them</w:t>
      </w:r>
      <w:r w:rsidR="00E619CE" w:rsidRPr="00B90432">
        <w:rPr>
          <w:rFonts w:asciiTheme="minorHAnsi" w:hAnsiTheme="minorHAnsi"/>
        </w:rPr>
        <w:t xml:space="preserve"> to a prison term of 120</w:t>
      </w:r>
      <w:r w:rsidR="00F23E60" w:rsidRPr="00B90432">
        <w:rPr>
          <w:rFonts w:asciiTheme="minorHAnsi" w:hAnsiTheme="minorHAnsi"/>
        </w:rPr>
        <w:t xml:space="preserve"> and 240 years respectively.</w:t>
      </w:r>
      <w:r w:rsidR="00E256FB" w:rsidRPr="00B90432">
        <w:rPr>
          <w:rFonts w:asciiTheme="minorHAnsi" w:hAnsiTheme="minorHAnsi"/>
          <w:vertAlign w:val="superscript"/>
        </w:rPr>
        <w:footnoteReference w:id="220"/>
      </w:r>
      <w:r w:rsidR="00A1502D" w:rsidRPr="00B90432">
        <w:rPr>
          <w:rFonts w:asciiTheme="minorHAnsi" w:hAnsiTheme="minorHAnsi"/>
        </w:rPr>
        <w:t xml:space="preserve"> The Commission recognizes </w:t>
      </w:r>
      <w:r w:rsidR="00EC02FE" w:rsidRPr="00B90432">
        <w:rPr>
          <w:rFonts w:asciiTheme="minorHAnsi" w:hAnsiTheme="minorHAnsi"/>
        </w:rPr>
        <w:t>that the judgment of the Sepur Z</w:t>
      </w:r>
      <w:r w:rsidR="00A1502D" w:rsidRPr="00B90432">
        <w:rPr>
          <w:rFonts w:asciiTheme="minorHAnsi" w:hAnsiTheme="minorHAnsi"/>
        </w:rPr>
        <w:t xml:space="preserve">arco case is emblematic because it was a final conviction under a charge of a criminal offense against the duties of humanity for sexual violence, and the first time in Guatemala that sexual slavery has been established as a war crime, and </w:t>
      </w:r>
      <w:r w:rsidR="00026B67" w:rsidRPr="00B90432">
        <w:rPr>
          <w:rFonts w:asciiTheme="minorHAnsi" w:hAnsiTheme="minorHAnsi"/>
        </w:rPr>
        <w:t xml:space="preserve">that </w:t>
      </w:r>
      <w:r w:rsidR="00C21BE3" w:rsidRPr="00B90432">
        <w:rPr>
          <w:rFonts w:asciiTheme="minorHAnsi" w:hAnsiTheme="minorHAnsi"/>
        </w:rPr>
        <w:t xml:space="preserve">the magnitude of use and control over the bodies of women during the conflict has been recognized. </w:t>
      </w:r>
      <w:r w:rsidR="00954042" w:rsidRPr="00B90432">
        <w:rPr>
          <w:rFonts w:asciiTheme="minorHAnsi" w:hAnsiTheme="minorHAnsi"/>
        </w:rPr>
        <w:t xml:space="preserve">The IACHR calls on the State of Guatemala to take the necessary measures to enforce the judgment, especially as to implementation of the measures </w:t>
      </w:r>
      <w:r w:rsidR="00D33219" w:rsidRPr="00B90432">
        <w:rPr>
          <w:rFonts w:asciiTheme="minorHAnsi" w:hAnsiTheme="minorHAnsi"/>
        </w:rPr>
        <w:t xml:space="preserve">of </w:t>
      </w:r>
      <w:r w:rsidR="00954042" w:rsidRPr="00B90432">
        <w:rPr>
          <w:rFonts w:asciiTheme="minorHAnsi" w:hAnsiTheme="minorHAnsi"/>
        </w:rPr>
        <w:t xml:space="preserve">reparation </w:t>
      </w:r>
      <w:r w:rsidR="00EC02FE" w:rsidRPr="00B90432">
        <w:rPr>
          <w:rFonts w:asciiTheme="minorHAnsi" w:hAnsiTheme="minorHAnsi"/>
        </w:rPr>
        <w:t xml:space="preserve">aimed at the dignifying </w:t>
      </w:r>
      <w:r w:rsidR="00D33219" w:rsidRPr="00B90432">
        <w:rPr>
          <w:rFonts w:asciiTheme="minorHAnsi" w:hAnsiTheme="minorHAnsi"/>
        </w:rPr>
        <w:t xml:space="preserve">and </w:t>
      </w:r>
      <w:r w:rsidR="00EC02FE" w:rsidRPr="00B90432">
        <w:rPr>
          <w:rFonts w:asciiTheme="minorHAnsi" w:hAnsiTheme="minorHAnsi"/>
        </w:rPr>
        <w:t xml:space="preserve">transforming </w:t>
      </w:r>
      <w:r w:rsidR="00D33219" w:rsidRPr="00B90432">
        <w:rPr>
          <w:rFonts w:asciiTheme="minorHAnsi" w:hAnsiTheme="minorHAnsi"/>
        </w:rPr>
        <w:t xml:space="preserve">the lives of </w:t>
      </w:r>
      <w:r w:rsidR="00954042" w:rsidRPr="00B90432">
        <w:rPr>
          <w:rFonts w:asciiTheme="minorHAnsi" w:hAnsiTheme="minorHAnsi"/>
        </w:rPr>
        <w:t>the women victims.</w:t>
      </w:r>
      <w:r w:rsidR="00E256FB" w:rsidRPr="00B90432">
        <w:rPr>
          <w:rFonts w:asciiTheme="minorHAnsi" w:hAnsiTheme="minorHAnsi"/>
          <w:vertAlign w:val="superscript"/>
        </w:rPr>
        <w:footnoteReference w:id="221"/>
      </w:r>
    </w:p>
    <w:p w14:paraId="7575FCAF" w14:textId="77777777" w:rsidR="004B621A" w:rsidRPr="00B90432" w:rsidRDefault="00DB1790" w:rsidP="006F4717">
      <w:pPr>
        <w:pStyle w:val="Numberedparagraphs"/>
        <w:rPr>
          <w:rFonts w:asciiTheme="minorHAnsi" w:hAnsiTheme="minorHAnsi"/>
        </w:rPr>
      </w:pPr>
      <w:r w:rsidRPr="00B90432">
        <w:rPr>
          <w:rFonts w:asciiTheme="minorHAnsi" w:hAnsiTheme="minorHAnsi"/>
        </w:rPr>
        <w:t xml:space="preserve">The IACHR recognizes the efforts of the prosecutors and judges and other justice operators in achieving </w:t>
      </w:r>
      <w:r w:rsidR="00BD705C" w:rsidRPr="00B90432">
        <w:rPr>
          <w:rFonts w:asciiTheme="minorHAnsi" w:hAnsiTheme="minorHAnsi"/>
        </w:rPr>
        <w:t xml:space="preserve">progress in this and other cases related to the internal armed conflict. </w:t>
      </w:r>
      <w:r w:rsidR="00E47E3A" w:rsidRPr="00B90432">
        <w:rPr>
          <w:rFonts w:asciiTheme="minorHAnsi" w:hAnsiTheme="minorHAnsi"/>
        </w:rPr>
        <w:t>Despite the positive side to this, most of the gross human rights violations committed during the internal armed conflict remain in impunity, and operators of justice who hear these matters are the targets of ongoing threats, intimidation and even criminal complaints brought against them.</w:t>
      </w:r>
      <w:r w:rsidR="002F74C0" w:rsidRPr="00B90432">
        <w:rPr>
          <w:rStyle w:val="FootnoteReference"/>
          <w:rFonts w:asciiTheme="minorHAnsi" w:hAnsiTheme="minorHAnsi"/>
          <w:sz w:val="22"/>
          <w:szCs w:val="22"/>
        </w:rPr>
        <w:footnoteReference w:id="222"/>
      </w:r>
      <w:r w:rsidR="00DD78F5" w:rsidRPr="00B90432">
        <w:rPr>
          <w:rFonts w:asciiTheme="minorHAnsi" w:hAnsiTheme="minorHAnsi"/>
        </w:rPr>
        <w:t xml:space="preserve"> </w:t>
      </w:r>
      <w:r w:rsidR="00201CA1" w:rsidRPr="00B90432">
        <w:rPr>
          <w:rFonts w:asciiTheme="minorHAnsi" w:hAnsiTheme="minorHAnsi"/>
        </w:rPr>
        <w:t xml:space="preserve">The IACHR stresses that the State has the obligation to ensure conditions of independence and security so that justice operators are able to fulfill their duties in the struggle against impunity with respect to the human rights violations committed during the internal </w:t>
      </w:r>
      <w:r w:rsidR="00201CA1" w:rsidRPr="00B90432">
        <w:rPr>
          <w:rFonts w:asciiTheme="minorHAnsi" w:hAnsiTheme="minorHAnsi"/>
        </w:rPr>
        <w:lastRenderedPageBreak/>
        <w:t xml:space="preserve">armed conflict.  </w:t>
      </w:r>
      <w:r w:rsidR="00DD78F5" w:rsidRPr="00B90432">
        <w:rPr>
          <w:rFonts w:asciiTheme="minorHAnsi" w:hAnsiTheme="minorHAnsi"/>
        </w:rPr>
        <w:t xml:space="preserve">Civil society organizations also reported on increased </w:t>
      </w:r>
      <w:r w:rsidR="00272D8B" w:rsidRPr="00B90432">
        <w:rPr>
          <w:rFonts w:asciiTheme="minorHAnsi" w:hAnsiTheme="minorHAnsi"/>
        </w:rPr>
        <w:t xml:space="preserve">assaults </w:t>
      </w:r>
      <w:r w:rsidR="00DD78F5" w:rsidRPr="00B90432">
        <w:rPr>
          <w:rFonts w:asciiTheme="minorHAnsi" w:hAnsiTheme="minorHAnsi"/>
        </w:rPr>
        <w:t>and harassment against human rights defenders</w:t>
      </w:r>
      <w:r w:rsidR="00201CA1" w:rsidRPr="00B90432">
        <w:rPr>
          <w:rFonts w:asciiTheme="minorHAnsi" w:hAnsiTheme="minorHAnsi"/>
        </w:rPr>
        <w:t xml:space="preserve"> who follow these cases</w:t>
      </w:r>
      <w:r w:rsidR="00DD78F5" w:rsidRPr="00B90432">
        <w:rPr>
          <w:rFonts w:asciiTheme="minorHAnsi" w:hAnsiTheme="minorHAnsi"/>
        </w:rPr>
        <w:t>.</w:t>
      </w:r>
      <w:r w:rsidR="002F74C0" w:rsidRPr="00B90432">
        <w:rPr>
          <w:rStyle w:val="FootnoteReference"/>
          <w:rFonts w:asciiTheme="minorHAnsi" w:hAnsiTheme="minorHAnsi"/>
          <w:sz w:val="22"/>
          <w:szCs w:val="22"/>
        </w:rPr>
        <w:footnoteReference w:id="223"/>
      </w:r>
      <w:r w:rsidR="00FA1835" w:rsidRPr="00B90432">
        <w:rPr>
          <w:rFonts w:asciiTheme="minorHAnsi" w:hAnsiTheme="minorHAnsi"/>
        </w:rPr>
        <w:t xml:space="preserve">  Furthermore, the IACHR received information about the risk that some of the cases currently under investigation will not be brought to trial, because of the recurring procedural stalling tactics</w:t>
      </w:r>
      <w:r w:rsidR="00AB1921" w:rsidRPr="00B90432">
        <w:rPr>
          <w:rFonts w:asciiTheme="minorHAnsi" w:hAnsiTheme="minorHAnsi"/>
        </w:rPr>
        <w:t xml:space="preserve"> mentioned earlier in the previous section of the instant report.</w:t>
      </w:r>
      <w:r w:rsidR="002F74C0" w:rsidRPr="00B90432">
        <w:rPr>
          <w:rStyle w:val="FootnoteReference"/>
          <w:rFonts w:asciiTheme="minorHAnsi" w:hAnsiTheme="minorHAnsi"/>
          <w:sz w:val="22"/>
          <w:szCs w:val="22"/>
        </w:rPr>
        <w:footnoteReference w:id="224"/>
      </w:r>
    </w:p>
    <w:p w14:paraId="4A6BB91D" w14:textId="77777777" w:rsidR="004B621A" w:rsidRPr="00B90432" w:rsidRDefault="004C7ABE" w:rsidP="006F4717">
      <w:pPr>
        <w:pStyle w:val="Numberedparagraphs"/>
        <w:rPr>
          <w:rFonts w:asciiTheme="minorHAnsi" w:hAnsiTheme="minorHAnsi"/>
        </w:rPr>
      </w:pPr>
      <w:r w:rsidRPr="00B90432">
        <w:rPr>
          <w:rFonts w:asciiTheme="minorHAnsi" w:hAnsiTheme="minorHAnsi"/>
        </w:rPr>
        <w:t xml:space="preserve">The Commission has also been closely monitoring the genocide case against </w:t>
      </w:r>
      <w:r w:rsidR="00C95509" w:rsidRPr="00B90432">
        <w:rPr>
          <w:rFonts w:asciiTheme="minorHAnsi" w:hAnsiTheme="minorHAnsi"/>
        </w:rPr>
        <w:t xml:space="preserve">José Mauricio Rodríguez Sánchez, </w:t>
      </w:r>
      <w:r w:rsidRPr="00B90432">
        <w:rPr>
          <w:rFonts w:asciiTheme="minorHAnsi" w:hAnsiTheme="minorHAnsi"/>
        </w:rPr>
        <w:t xml:space="preserve">the former chief of military intelligence and </w:t>
      </w:r>
      <w:r w:rsidR="00C95509" w:rsidRPr="00B90432">
        <w:rPr>
          <w:rFonts w:asciiTheme="minorHAnsi" w:hAnsiTheme="minorHAnsi"/>
        </w:rPr>
        <w:t xml:space="preserve">Efraín Ríos Montt, </w:t>
      </w:r>
      <w:r w:rsidRPr="00B90432">
        <w:rPr>
          <w:rFonts w:asciiTheme="minorHAnsi" w:hAnsiTheme="minorHAnsi"/>
        </w:rPr>
        <w:t xml:space="preserve">former head of State. In </w:t>
      </w:r>
      <w:r w:rsidR="00C95509" w:rsidRPr="00B90432">
        <w:rPr>
          <w:rFonts w:asciiTheme="minorHAnsi" w:hAnsiTheme="minorHAnsi"/>
        </w:rPr>
        <w:t xml:space="preserve">2015, </w:t>
      </w:r>
      <w:r w:rsidRPr="00B90432">
        <w:rPr>
          <w:rFonts w:asciiTheme="minorHAnsi" w:hAnsiTheme="minorHAnsi"/>
        </w:rPr>
        <w:t>a civilian court found Mr.</w:t>
      </w:r>
      <w:r w:rsidR="00C95509" w:rsidRPr="00B90432">
        <w:rPr>
          <w:rFonts w:asciiTheme="minorHAnsi" w:hAnsiTheme="minorHAnsi"/>
        </w:rPr>
        <w:t xml:space="preserve"> Ríos Montt </w:t>
      </w:r>
      <w:r w:rsidRPr="00B90432">
        <w:rPr>
          <w:rFonts w:asciiTheme="minorHAnsi" w:hAnsiTheme="minorHAnsi"/>
        </w:rPr>
        <w:t>incompetent to stand trial</w:t>
      </w:r>
      <w:r w:rsidR="00C95509" w:rsidRPr="00B90432">
        <w:rPr>
          <w:rFonts w:asciiTheme="minorHAnsi" w:hAnsiTheme="minorHAnsi"/>
        </w:rPr>
        <w:t>,</w:t>
      </w:r>
      <w:r w:rsidRPr="00B90432">
        <w:rPr>
          <w:rFonts w:asciiTheme="minorHAnsi" w:hAnsiTheme="minorHAnsi"/>
        </w:rPr>
        <w:t xml:space="preserve"> and by decision of the </w:t>
      </w:r>
      <w:r w:rsidR="004E2B2C" w:rsidRPr="00B90432">
        <w:rPr>
          <w:rFonts w:asciiTheme="minorHAnsi" w:hAnsiTheme="minorHAnsi"/>
        </w:rPr>
        <w:t>Constitutional Court</w:t>
      </w:r>
      <w:r w:rsidR="0095247D" w:rsidRPr="00B90432">
        <w:rPr>
          <w:rFonts w:asciiTheme="minorHAnsi" w:hAnsiTheme="minorHAnsi"/>
        </w:rPr>
        <w:t>, the case was sent back to the early stages.</w:t>
      </w:r>
      <w:r w:rsidR="00C95509" w:rsidRPr="00B90432">
        <w:rPr>
          <w:rStyle w:val="FootnoteReference"/>
          <w:rFonts w:asciiTheme="minorHAnsi" w:hAnsiTheme="minorHAnsi"/>
          <w:sz w:val="22"/>
          <w:szCs w:val="22"/>
        </w:rPr>
        <w:footnoteReference w:id="225"/>
      </w:r>
      <w:r w:rsidR="00FA1CB1" w:rsidRPr="00B90432">
        <w:rPr>
          <w:rFonts w:asciiTheme="minorHAnsi" w:hAnsiTheme="minorHAnsi"/>
        </w:rPr>
        <w:t xml:space="preserve"> </w:t>
      </w:r>
      <w:r w:rsidR="00C95509" w:rsidRPr="00B90432">
        <w:rPr>
          <w:rFonts w:asciiTheme="minorHAnsi" w:hAnsiTheme="minorHAnsi"/>
        </w:rPr>
        <w:t xml:space="preserve"> </w:t>
      </w:r>
      <w:r w:rsidR="00225718" w:rsidRPr="00B90432">
        <w:rPr>
          <w:rFonts w:asciiTheme="minorHAnsi" w:hAnsiTheme="minorHAnsi"/>
        </w:rPr>
        <w:t xml:space="preserve">Additionally, it was reported to the IACHR that in May 2017, a complaint was brought for </w:t>
      </w:r>
      <w:r w:rsidR="0027107D" w:rsidRPr="00B90432">
        <w:rPr>
          <w:rFonts w:asciiTheme="minorHAnsi" w:hAnsiTheme="minorHAnsi"/>
        </w:rPr>
        <w:t xml:space="preserve">malfeasance in office </w:t>
      </w:r>
      <w:r w:rsidR="00225718" w:rsidRPr="00B90432">
        <w:rPr>
          <w:rFonts w:asciiTheme="minorHAnsi" w:hAnsiTheme="minorHAnsi"/>
        </w:rPr>
        <w:t xml:space="preserve">against three justices of the </w:t>
      </w:r>
      <w:r w:rsidR="003C2764" w:rsidRPr="00B90432">
        <w:rPr>
          <w:rFonts w:asciiTheme="minorHAnsi" w:hAnsiTheme="minorHAnsi"/>
        </w:rPr>
        <w:t>Constitutional</w:t>
      </w:r>
      <w:r w:rsidR="00A52279" w:rsidRPr="00B90432">
        <w:rPr>
          <w:rFonts w:asciiTheme="minorHAnsi" w:hAnsiTheme="minorHAnsi"/>
        </w:rPr>
        <w:t xml:space="preserve"> </w:t>
      </w:r>
      <w:r w:rsidR="00225718" w:rsidRPr="00B90432">
        <w:rPr>
          <w:rFonts w:asciiTheme="minorHAnsi" w:hAnsiTheme="minorHAnsi"/>
        </w:rPr>
        <w:t xml:space="preserve">Court </w:t>
      </w:r>
      <w:r w:rsidR="0027107D" w:rsidRPr="00B90432">
        <w:rPr>
          <w:rFonts w:asciiTheme="minorHAnsi" w:hAnsiTheme="minorHAnsi"/>
        </w:rPr>
        <w:t>for unlawfully reinstating the case. The IACHR notes with conce</w:t>
      </w:r>
      <w:r w:rsidR="00BE2E40" w:rsidRPr="00B90432">
        <w:rPr>
          <w:rFonts w:asciiTheme="minorHAnsi" w:hAnsiTheme="minorHAnsi"/>
        </w:rPr>
        <w:t>rn the lack of progress in the I</w:t>
      </w:r>
      <w:r w:rsidR="0027107D" w:rsidRPr="00B90432">
        <w:rPr>
          <w:rFonts w:asciiTheme="minorHAnsi" w:hAnsiTheme="minorHAnsi"/>
        </w:rPr>
        <w:t xml:space="preserve">xil genocide case, as well as </w:t>
      </w:r>
      <w:r w:rsidR="00632DC0" w:rsidRPr="00B90432">
        <w:rPr>
          <w:rFonts w:asciiTheme="minorHAnsi" w:hAnsiTheme="minorHAnsi"/>
        </w:rPr>
        <w:t>in the case of the massacre of L</w:t>
      </w:r>
      <w:r w:rsidR="00C95509" w:rsidRPr="00B90432">
        <w:rPr>
          <w:rFonts w:asciiTheme="minorHAnsi" w:hAnsiTheme="minorHAnsi"/>
        </w:rPr>
        <w:t xml:space="preserve">as Dos Erres. </w:t>
      </w:r>
      <w:r w:rsidR="00632DC0" w:rsidRPr="00B90432">
        <w:rPr>
          <w:rFonts w:asciiTheme="minorHAnsi" w:hAnsiTheme="minorHAnsi"/>
        </w:rPr>
        <w:t xml:space="preserve">The IACHR reminds the State of Guatemala of its obligation to investigate promptly, impartially and effectively </w:t>
      </w:r>
      <w:r w:rsidR="00151166" w:rsidRPr="00B90432">
        <w:rPr>
          <w:rFonts w:asciiTheme="minorHAnsi" w:hAnsiTheme="minorHAnsi"/>
        </w:rPr>
        <w:t xml:space="preserve">all </w:t>
      </w:r>
      <w:r w:rsidR="00632DC0" w:rsidRPr="00B90432">
        <w:rPr>
          <w:rFonts w:asciiTheme="minorHAnsi" w:hAnsiTheme="minorHAnsi"/>
        </w:rPr>
        <w:t>serious human rights violations committed in the past. It is the responsibility of the State to adopt the respective administrative or criminal measures in response to actions or omissions of State officials, who may contribute to the denial of justice and to impunity and hamper proceedings aimed at identifying and punishing those responsible.</w:t>
      </w:r>
      <w:r w:rsidR="00C95509" w:rsidRPr="00B90432">
        <w:rPr>
          <w:rFonts w:asciiTheme="minorHAnsi" w:hAnsiTheme="minorHAnsi"/>
        </w:rPr>
        <w:t> </w:t>
      </w:r>
    </w:p>
    <w:p w14:paraId="21A96AF9" w14:textId="77777777" w:rsidR="00200409" w:rsidRPr="00B90432" w:rsidRDefault="00D72D23" w:rsidP="006F4717">
      <w:pPr>
        <w:pStyle w:val="Numberedparagraphs"/>
        <w:rPr>
          <w:rFonts w:asciiTheme="minorHAnsi" w:hAnsiTheme="minorHAnsi"/>
        </w:rPr>
      </w:pPr>
      <w:r w:rsidRPr="00B90432">
        <w:rPr>
          <w:rFonts w:asciiTheme="minorHAnsi" w:hAnsiTheme="minorHAnsi"/>
        </w:rPr>
        <w:t xml:space="preserve">Furthermore, as for matters involving members of the armed forces, information was received from civil society organizations about difficulties </w:t>
      </w:r>
      <w:r w:rsidR="0099382C" w:rsidRPr="00B90432">
        <w:rPr>
          <w:rFonts w:asciiTheme="minorHAnsi" w:hAnsiTheme="minorHAnsi"/>
        </w:rPr>
        <w:t xml:space="preserve">in gaining </w:t>
      </w:r>
      <w:r w:rsidRPr="00B90432">
        <w:rPr>
          <w:rFonts w:asciiTheme="minorHAnsi" w:hAnsiTheme="minorHAnsi"/>
        </w:rPr>
        <w:t xml:space="preserve">access to information in the possession of the Ministry of Defense. </w:t>
      </w:r>
      <w:r w:rsidR="00604FFC" w:rsidRPr="00B90432">
        <w:rPr>
          <w:rFonts w:asciiTheme="minorHAnsi" w:hAnsiTheme="minorHAnsi"/>
        </w:rPr>
        <w:t xml:space="preserve">The Commission received information as well </w:t>
      </w:r>
      <w:r w:rsidR="00E40B41" w:rsidRPr="00B90432">
        <w:rPr>
          <w:rFonts w:asciiTheme="minorHAnsi" w:hAnsiTheme="minorHAnsi"/>
        </w:rPr>
        <w:t xml:space="preserve">regarding the failure of the Police to effectively execute the arrest warrants ordered by judges for several years, which subjects the victims to a situation of permanent vulnerability fearing they will be the targets of further attacks </w:t>
      </w:r>
      <w:r w:rsidR="00E40B41" w:rsidRPr="00B90432">
        <w:rPr>
          <w:rFonts w:asciiTheme="minorHAnsi" w:hAnsiTheme="minorHAnsi"/>
        </w:rPr>
        <w:lastRenderedPageBreak/>
        <w:t xml:space="preserve">by the perpetrators. </w:t>
      </w:r>
      <w:r w:rsidR="00582677" w:rsidRPr="00B90432">
        <w:rPr>
          <w:rFonts w:asciiTheme="minorHAnsi" w:hAnsiTheme="minorHAnsi"/>
        </w:rPr>
        <w:t xml:space="preserve">Since </w:t>
      </w:r>
      <w:r w:rsidR="00200409" w:rsidRPr="00B90432">
        <w:rPr>
          <w:rFonts w:asciiTheme="minorHAnsi" w:hAnsiTheme="minorHAnsi"/>
        </w:rPr>
        <w:t xml:space="preserve">2009, </w:t>
      </w:r>
      <w:r w:rsidR="00582677" w:rsidRPr="00B90432">
        <w:rPr>
          <w:rFonts w:asciiTheme="minorHAnsi" w:hAnsiTheme="minorHAnsi"/>
        </w:rPr>
        <w:t xml:space="preserve">the IACHR documented around 30 arrest warrants </w:t>
      </w:r>
      <w:r w:rsidR="009F3A9F" w:rsidRPr="00B90432">
        <w:rPr>
          <w:rFonts w:asciiTheme="minorHAnsi" w:hAnsiTheme="minorHAnsi"/>
        </w:rPr>
        <w:t>against persons charged with committing serious crimes</w:t>
      </w:r>
      <w:r w:rsidR="00E44E42" w:rsidRPr="00B90432">
        <w:rPr>
          <w:rFonts w:asciiTheme="minorHAnsi" w:hAnsiTheme="minorHAnsi"/>
        </w:rPr>
        <w:t xml:space="preserve"> during the internal armed conflict, none of which have been executed. </w:t>
      </w:r>
      <w:r w:rsidR="007D709A" w:rsidRPr="00B90432">
        <w:rPr>
          <w:rFonts w:asciiTheme="minorHAnsi" w:hAnsiTheme="minorHAnsi"/>
        </w:rPr>
        <w:t>The IACHR was informed that i</w:t>
      </w:r>
      <w:r w:rsidR="007B00E4" w:rsidRPr="00B90432">
        <w:rPr>
          <w:rFonts w:asciiTheme="minorHAnsi" w:hAnsiTheme="minorHAnsi"/>
        </w:rPr>
        <w:t xml:space="preserve">n one particular case, </w:t>
      </w:r>
      <w:r w:rsidR="001B4CE2" w:rsidRPr="00B90432">
        <w:rPr>
          <w:rFonts w:asciiTheme="minorHAnsi" w:hAnsiTheme="minorHAnsi"/>
        </w:rPr>
        <w:t>a defendant who received a monthly pension from the State</w:t>
      </w:r>
      <w:r w:rsidR="007D709A" w:rsidRPr="00B90432">
        <w:rPr>
          <w:rFonts w:asciiTheme="minorHAnsi" w:hAnsiTheme="minorHAnsi"/>
        </w:rPr>
        <w:t>,</w:t>
      </w:r>
      <w:r w:rsidR="001B4CE2" w:rsidRPr="00B90432">
        <w:rPr>
          <w:rFonts w:asciiTheme="minorHAnsi" w:hAnsiTheme="minorHAnsi"/>
        </w:rPr>
        <w:t xml:space="preserve"> could not be successfully located to execute an arrest warrant</w:t>
      </w:r>
      <w:r w:rsidR="00C616E3" w:rsidRPr="00B90432">
        <w:rPr>
          <w:rFonts w:asciiTheme="minorHAnsi" w:hAnsiTheme="minorHAnsi"/>
        </w:rPr>
        <w:t xml:space="preserve"> against</w:t>
      </w:r>
      <w:r w:rsidR="007C42E0" w:rsidRPr="00B90432">
        <w:rPr>
          <w:rFonts w:asciiTheme="minorHAnsi" w:hAnsiTheme="minorHAnsi"/>
        </w:rPr>
        <w:t xml:space="preserve"> him</w:t>
      </w:r>
      <w:r w:rsidR="001B4CE2" w:rsidRPr="00B90432">
        <w:rPr>
          <w:rFonts w:asciiTheme="minorHAnsi" w:hAnsiTheme="minorHAnsi"/>
        </w:rPr>
        <w:t>.</w:t>
      </w:r>
      <w:r w:rsidR="00200409" w:rsidRPr="00B90432">
        <w:rPr>
          <w:rStyle w:val="FootnoteReference"/>
          <w:rFonts w:asciiTheme="minorHAnsi" w:hAnsiTheme="minorHAnsi"/>
          <w:sz w:val="22"/>
          <w:szCs w:val="22"/>
        </w:rPr>
        <w:footnoteReference w:id="226"/>
      </w:r>
      <w:r w:rsidR="003D02A6" w:rsidRPr="00B90432">
        <w:rPr>
          <w:rFonts w:asciiTheme="minorHAnsi" w:hAnsiTheme="minorHAnsi"/>
        </w:rPr>
        <w:t xml:space="preserve"> In</w:t>
      </w:r>
      <w:r w:rsidR="00200409" w:rsidRPr="00B90432">
        <w:rPr>
          <w:rFonts w:asciiTheme="minorHAnsi" w:hAnsiTheme="minorHAnsi"/>
        </w:rPr>
        <w:t xml:space="preserve"> 2017, </w:t>
      </w:r>
      <w:r w:rsidR="003D02A6" w:rsidRPr="00B90432">
        <w:rPr>
          <w:rFonts w:asciiTheme="minorHAnsi" w:hAnsiTheme="minorHAnsi"/>
        </w:rPr>
        <w:t xml:space="preserve">the Commission again received information that </w:t>
      </w:r>
      <w:r w:rsidR="006F2193" w:rsidRPr="00B90432">
        <w:rPr>
          <w:rFonts w:asciiTheme="minorHAnsi" w:hAnsiTheme="minorHAnsi"/>
        </w:rPr>
        <w:t>arrest warrants had still not been executed for</w:t>
      </w:r>
      <w:r w:rsidR="002F1D40" w:rsidRPr="00B90432">
        <w:rPr>
          <w:rFonts w:asciiTheme="minorHAnsi" w:hAnsiTheme="minorHAnsi"/>
        </w:rPr>
        <w:t xml:space="preserve"> the following individuals:</w:t>
      </w:r>
      <w:r w:rsidR="00200409" w:rsidRPr="00B90432">
        <w:rPr>
          <w:rFonts w:asciiTheme="minorHAnsi" w:hAnsiTheme="minorHAnsi"/>
        </w:rPr>
        <w:t xml:space="preserve"> Luis Enrique Mendoza García, </w:t>
      </w:r>
      <w:r w:rsidR="00410EA4" w:rsidRPr="00B90432">
        <w:rPr>
          <w:rFonts w:asciiTheme="minorHAnsi" w:hAnsiTheme="minorHAnsi"/>
        </w:rPr>
        <w:t>charged in a case of genocide;</w:t>
      </w:r>
      <w:r w:rsidR="00200409" w:rsidRPr="00B90432">
        <w:rPr>
          <w:rFonts w:asciiTheme="minorHAnsi" w:hAnsiTheme="minorHAnsi"/>
        </w:rPr>
        <w:t xml:space="preserve"> 8 </w:t>
      </w:r>
      <w:r w:rsidR="00410EA4" w:rsidRPr="00B90432">
        <w:rPr>
          <w:rFonts w:asciiTheme="minorHAnsi" w:hAnsiTheme="minorHAnsi"/>
        </w:rPr>
        <w:t xml:space="preserve">former commanders and intelligence officers of military zone 21; and 8 persons charged in the case of the massacre of Las </w:t>
      </w:r>
      <w:r w:rsidR="00200409" w:rsidRPr="00B90432">
        <w:rPr>
          <w:rFonts w:asciiTheme="minorHAnsi" w:hAnsiTheme="minorHAnsi"/>
        </w:rPr>
        <w:t xml:space="preserve">Dos Erres, </w:t>
      </w:r>
      <w:r w:rsidR="00410EA4" w:rsidRPr="00B90432">
        <w:rPr>
          <w:rFonts w:asciiTheme="minorHAnsi" w:hAnsiTheme="minorHAnsi"/>
        </w:rPr>
        <w:t>with arrest warrants issued back in 2000.</w:t>
      </w:r>
      <w:r w:rsidR="00200409" w:rsidRPr="00B90432">
        <w:rPr>
          <w:rStyle w:val="FootnoteReference"/>
          <w:rFonts w:asciiTheme="minorHAnsi" w:hAnsiTheme="minorHAnsi"/>
          <w:sz w:val="22"/>
          <w:szCs w:val="22"/>
        </w:rPr>
        <w:footnoteReference w:id="227"/>
      </w:r>
      <w:r w:rsidR="00200409" w:rsidRPr="00B90432">
        <w:rPr>
          <w:rFonts w:asciiTheme="minorHAnsi" w:hAnsiTheme="minorHAnsi"/>
        </w:rPr>
        <w:t xml:space="preserve"> </w:t>
      </w:r>
    </w:p>
    <w:p w14:paraId="7B799956" w14:textId="77777777" w:rsidR="00A8014A" w:rsidRPr="00B90432" w:rsidRDefault="0062568A" w:rsidP="006F4717">
      <w:pPr>
        <w:pStyle w:val="Numberedparagraphs"/>
        <w:rPr>
          <w:rFonts w:asciiTheme="minorHAnsi" w:hAnsiTheme="minorHAnsi"/>
        </w:rPr>
      </w:pPr>
      <w:r w:rsidRPr="00B90432">
        <w:rPr>
          <w:rFonts w:asciiTheme="minorHAnsi" w:hAnsiTheme="minorHAnsi"/>
        </w:rPr>
        <w:t xml:space="preserve">During the on-site visit, the IACHR </w:t>
      </w:r>
      <w:r w:rsidR="00797E5A" w:rsidRPr="00B90432">
        <w:rPr>
          <w:rFonts w:asciiTheme="minorHAnsi" w:hAnsiTheme="minorHAnsi"/>
        </w:rPr>
        <w:t xml:space="preserve">conducted an in-person visit </w:t>
      </w:r>
      <w:r w:rsidRPr="00B90432">
        <w:rPr>
          <w:rFonts w:asciiTheme="minorHAnsi" w:hAnsiTheme="minorHAnsi"/>
        </w:rPr>
        <w:t>to the facilities of the Archive</w:t>
      </w:r>
      <w:r w:rsidR="00D93718" w:rsidRPr="00B90432">
        <w:rPr>
          <w:rFonts w:asciiTheme="minorHAnsi" w:hAnsiTheme="minorHAnsi"/>
        </w:rPr>
        <w:t>s</w:t>
      </w:r>
      <w:r w:rsidRPr="00B90432">
        <w:rPr>
          <w:rFonts w:asciiTheme="minorHAnsi" w:hAnsiTheme="minorHAnsi"/>
        </w:rPr>
        <w:t xml:space="preserve"> of the National Civilian Police. The IACHR r</w:t>
      </w:r>
      <w:r w:rsidR="00797E5A" w:rsidRPr="00B90432">
        <w:rPr>
          <w:rFonts w:asciiTheme="minorHAnsi" w:hAnsiTheme="minorHAnsi"/>
        </w:rPr>
        <w:t>ecognizes how important the Archives</w:t>
      </w:r>
      <w:r w:rsidR="00470F96" w:rsidRPr="00B90432">
        <w:rPr>
          <w:rFonts w:asciiTheme="minorHAnsi" w:hAnsiTheme="minorHAnsi"/>
        </w:rPr>
        <w:t xml:space="preserve"> is for</w:t>
      </w:r>
      <w:r w:rsidRPr="00B90432">
        <w:rPr>
          <w:rFonts w:asciiTheme="minorHAnsi" w:hAnsiTheme="minorHAnsi"/>
        </w:rPr>
        <w:t xml:space="preserve"> the reactivation and elucidation of some of the criminal </w:t>
      </w:r>
      <w:r w:rsidR="001E04E3" w:rsidRPr="00B90432">
        <w:rPr>
          <w:rFonts w:asciiTheme="minorHAnsi" w:hAnsiTheme="minorHAnsi"/>
        </w:rPr>
        <w:t xml:space="preserve">cases </w:t>
      </w:r>
      <w:r w:rsidRPr="00B90432">
        <w:rPr>
          <w:rFonts w:asciiTheme="minorHAnsi" w:hAnsiTheme="minorHAnsi"/>
        </w:rPr>
        <w:t xml:space="preserve">for gross human rights violations </w:t>
      </w:r>
      <w:r w:rsidR="00F3323B" w:rsidRPr="00B90432">
        <w:rPr>
          <w:rFonts w:asciiTheme="minorHAnsi" w:hAnsiTheme="minorHAnsi"/>
        </w:rPr>
        <w:t>connected to</w:t>
      </w:r>
      <w:r w:rsidRPr="00B90432">
        <w:rPr>
          <w:rFonts w:asciiTheme="minorHAnsi" w:hAnsiTheme="minorHAnsi"/>
        </w:rPr>
        <w:t xml:space="preserve"> the int</w:t>
      </w:r>
      <w:r w:rsidR="00F3323B" w:rsidRPr="00B90432">
        <w:rPr>
          <w:rFonts w:asciiTheme="minorHAnsi" w:hAnsiTheme="minorHAnsi"/>
        </w:rPr>
        <w:t xml:space="preserve">ernal armed </w:t>
      </w:r>
      <w:r w:rsidR="003C2764" w:rsidRPr="00B90432">
        <w:rPr>
          <w:rFonts w:asciiTheme="minorHAnsi" w:hAnsiTheme="minorHAnsi"/>
        </w:rPr>
        <w:t>conflict</w:t>
      </w:r>
      <w:r w:rsidR="00F3323B" w:rsidRPr="00B90432">
        <w:rPr>
          <w:rFonts w:asciiTheme="minorHAnsi" w:hAnsiTheme="minorHAnsi"/>
        </w:rPr>
        <w:t xml:space="preserve"> and that this repository of records greatly aids in </w:t>
      </w:r>
      <w:r w:rsidR="00B54D73" w:rsidRPr="00B90432">
        <w:rPr>
          <w:rFonts w:asciiTheme="minorHAnsi" w:hAnsiTheme="minorHAnsi"/>
        </w:rPr>
        <w:t xml:space="preserve">the </w:t>
      </w:r>
      <w:r w:rsidRPr="00B90432">
        <w:rPr>
          <w:rFonts w:asciiTheme="minorHAnsi" w:hAnsiTheme="minorHAnsi"/>
        </w:rPr>
        <w:t>recover</w:t>
      </w:r>
      <w:r w:rsidR="00B54D73" w:rsidRPr="00B90432">
        <w:rPr>
          <w:rFonts w:asciiTheme="minorHAnsi" w:hAnsiTheme="minorHAnsi"/>
        </w:rPr>
        <w:t>y</w:t>
      </w:r>
      <w:r w:rsidRPr="00B90432">
        <w:rPr>
          <w:rFonts w:asciiTheme="minorHAnsi" w:hAnsiTheme="minorHAnsi"/>
        </w:rPr>
        <w:t xml:space="preserve"> of the historical memory. </w:t>
      </w:r>
      <w:r w:rsidR="00490EB3" w:rsidRPr="00B90432">
        <w:rPr>
          <w:rFonts w:asciiTheme="minorHAnsi" w:hAnsiTheme="minorHAnsi"/>
        </w:rPr>
        <w:t>According to information it received, the Archive is solely dependent on international cooperation. The IACHR urges the State to allocate resources</w:t>
      </w:r>
      <w:r w:rsidR="0085355D" w:rsidRPr="00B90432">
        <w:rPr>
          <w:rFonts w:asciiTheme="minorHAnsi" w:hAnsiTheme="minorHAnsi"/>
        </w:rPr>
        <w:t xml:space="preserve"> to the Archive</w:t>
      </w:r>
      <w:r w:rsidR="00490EB3" w:rsidRPr="00B90432">
        <w:rPr>
          <w:rFonts w:asciiTheme="minorHAnsi" w:hAnsiTheme="minorHAnsi"/>
        </w:rPr>
        <w:t xml:space="preserve"> and support this measure for memory, truth and justice. </w:t>
      </w:r>
    </w:p>
    <w:p w14:paraId="02FC7201" w14:textId="77777777" w:rsidR="004A25D5" w:rsidRPr="00B90432" w:rsidRDefault="00266E55" w:rsidP="00B40D2B">
      <w:pPr>
        <w:spacing w:after="240" w:line="240" w:lineRule="auto"/>
        <w:ind w:firstLine="540"/>
        <w:jc w:val="both"/>
        <w:rPr>
          <w:rFonts w:asciiTheme="minorHAnsi" w:hAnsiTheme="minorHAnsi"/>
          <w:b/>
          <w:i/>
        </w:rPr>
      </w:pPr>
      <w:r w:rsidRPr="00B90432">
        <w:rPr>
          <w:rFonts w:asciiTheme="minorHAnsi" w:hAnsiTheme="minorHAnsi"/>
          <w:b/>
          <w:bCs/>
          <w:i/>
          <w:iCs/>
        </w:rPr>
        <w:t xml:space="preserve">National Reparation Program </w:t>
      </w:r>
    </w:p>
    <w:p w14:paraId="29AE4A49" w14:textId="77777777" w:rsidR="004B621A" w:rsidRPr="00B90432" w:rsidRDefault="0034509E" w:rsidP="006F4717">
      <w:pPr>
        <w:pStyle w:val="Numberedparagraphs"/>
        <w:rPr>
          <w:rFonts w:asciiTheme="minorHAnsi" w:hAnsiTheme="minorHAnsi"/>
        </w:rPr>
      </w:pPr>
      <w:r w:rsidRPr="00B90432">
        <w:rPr>
          <w:rFonts w:asciiTheme="minorHAnsi" w:hAnsiTheme="minorHAnsi"/>
        </w:rPr>
        <w:t>Regarding</w:t>
      </w:r>
      <w:r w:rsidR="00E5460D" w:rsidRPr="00B90432">
        <w:rPr>
          <w:rFonts w:asciiTheme="minorHAnsi" w:hAnsiTheme="minorHAnsi"/>
        </w:rPr>
        <w:t xml:space="preserve"> reparations for violations committed during the internal armed conflict, the IACHR was apprised once again about meager</w:t>
      </w:r>
      <w:r w:rsidR="00046185" w:rsidRPr="00B90432">
        <w:rPr>
          <w:rFonts w:asciiTheme="minorHAnsi" w:hAnsiTheme="minorHAnsi"/>
        </w:rPr>
        <w:t xml:space="preserve"> and </w:t>
      </w:r>
      <w:r w:rsidR="0058541F" w:rsidRPr="00B90432">
        <w:rPr>
          <w:rFonts w:asciiTheme="minorHAnsi" w:hAnsiTheme="minorHAnsi"/>
        </w:rPr>
        <w:t xml:space="preserve">delayed </w:t>
      </w:r>
      <w:r w:rsidR="00E56B56" w:rsidRPr="00B90432">
        <w:rPr>
          <w:rFonts w:asciiTheme="minorHAnsi" w:hAnsiTheme="minorHAnsi"/>
        </w:rPr>
        <w:t>compliance with limited coverage</w:t>
      </w:r>
      <w:r w:rsidR="00E5460D" w:rsidRPr="00B90432">
        <w:rPr>
          <w:rFonts w:asciiTheme="minorHAnsi" w:hAnsiTheme="minorHAnsi"/>
        </w:rPr>
        <w:t xml:space="preserve"> by the Guatemalan State. </w:t>
      </w:r>
      <w:r w:rsidR="00E56B56" w:rsidRPr="00B90432">
        <w:rPr>
          <w:rFonts w:asciiTheme="minorHAnsi" w:hAnsiTheme="minorHAnsi"/>
        </w:rPr>
        <w:t xml:space="preserve">The IACHR has held several public hearings on the National Reparation Program </w:t>
      </w:r>
      <w:r w:rsidR="006B2E59" w:rsidRPr="00B90432">
        <w:rPr>
          <w:rFonts w:asciiTheme="minorHAnsi" w:hAnsiTheme="minorHAnsi"/>
        </w:rPr>
        <w:t>(PNR), crea</w:t>
      </w:r>
      <w:r w:rsidR="00E56B56" w:rsidRPr="00B90432">
        <w:rPr>
          <w:rFonts w:asciiTheme="minorHAnsi" w:hAnsiTheme="minorHAnsi"/>
        </w:rPr>
        <w:t xml:space="preserve">ted in </w:t>
      </w:r>
      <w:r w:rsidR="006B2E59" w:rsidRPr="00B90432">
        <w:rPr>
          <w:rFonts w:asciiTheme="minorHAnsi" w:hAnsiTheme="minorHAnsi"/>
        </w:rPr>
        <w:t>2003</w:t>
      </w:r>
      <w:r w:rsidR="00E30B9A" w:rsidRPr="00B90432">
        <w:rPr>
          <w:rFonts w:asciiTheme="minorHAnsi" w:hAnsiTheme="minorHAnsi"/>
        </w:rPr>
        <w:t>.</w:t>
      </w:r>
      <w:r w:rsidR="006B2E59" w:rsidRPr="00B90432">
        <w:rPr>
          <w:rStyle w:val="FootnoteReference"/>
          <w:rFonts w:asciiTheme="minorHAnsi" w:hAnsiTheme="minorHAnsi"/>
          <w:sz w:val="22"/>
          <w:szCs w:val="22"/>
        </w:rPr>
        <w:footnoteReference w:id="228"/>
      </w:r>
      <w:r w:rsidR="00E30B9A" w:rsidRPr="00B90432">
        <w:rPr>
          <w:rFonts w:asciiTheme="minorHAnsi" w:hAnsiTheme="minorHAnsi"/>
        </w:rPr>
        <w:t xml:space="preserve"> </w:t>
      </w:r>
      <w:r w:rsidR="00997F60" w:rsidRPr="00B90432">
        <w:rPr>
          <w:rFonts w:asciiTheme="minorHAnsi" w:hAnsiTheme="minorHAnsi"/>
        </w:rPr>
        <w:t xml:space="preserve">As the State </w:t>
      </w:r>
      <w:r w:rsidR="003C2764" w:rsidRPr="00B90432">
        <w:rPr>
          <w:rFonts w:asciiTheme="minorHAnsi" w:hAnsiTheme="minorHAnsi"/>
        </w:rPr>
        <w:t>acknowledged</w:t>
      </w:r>
      <w:r w:rsidR="00997F60" w:rsidRPr="00B90432">
        <w:rPr>
          <w:rFonts w:asciiTheme="minorHAnsi" w:hAnsiTheme="minorHAnsi"/>
        </w:rPr>
        <w:t xml:space="preserve"> </w:t>
      </w:r>
      <w:r w:rsidR="00A71C6F" w:rsidRPr="00B90432">
        <w:rPr>
          <w:rFonts w:asciiTheme="minorHAnsi" w:hAnsiTheme="minorHAnsi"/>
        </w:rPr>
        <w:t xml:space="preserve">in the past before </w:t>
      </w:r>
      <w:r w:rsidR="00997F60" w:rsidRPr="00B90432">
        <w:rPr>
          <w:rFonts w:asciiTheme="minorHAnsi" w:hAnsiTheme="minorHAnsi"/>
        </w:rPr>
        <w:t>the IACHR, the total budget allocation of the PNR as set forth in the agreement creating it, emanating from the Peace Accords,</w:t>
      </w:r>
      <w:r w:rsidR="00997E7B" w:rsidRPr="00B90432">
        <w:rPr>
          <w:rFonts w:asciiTheme="minorHAnsi" w:hAnsiTheme="minorHAnsi"/>
        </w:rPr>
        <w:t xml:space="preserve"> has</w:t>
      </w:r>
      <w:r w:rsidR="00997F60" w:rsidRPr="00B90432">
        <w:rPr>
          <w:rFonts w:asciiTheme="minorHAnsi" w:hAnsiTheme="minorHAnsi"/>
        </w:rPr>
        <w:t xml:space="preserve"> </w:t>
      </w:r>
      <w:r w:rsidR="00997E7B" w:rsidRPr="00B90432">
        <w:rPr>
          <w:rFonts w:asciiTheme="minorHAnsi" w:hAnsiTheme="minorHAnsi"/>
          <w:i/>
        </w:rPr>
        <w:t xml:space="preserve">never </w:t>
      </w:r>
      <w:r w:rsidR="00997E7B" w:rsidRPr="00B90432">
        <w:rPr>
          <w:rFonts w:asciiTheme="minorHAnsi" w:hAnsiTheme="minorHAnsi"/>
        </w:rPr>
        <w:t xml:space="preserve">actually been fulfilled. </w:t>
      </w:r>
      <w:r w:rsidR="0064388A" w:rsidRPr="00B90432">
        <w:rPr>
          <w:rFonts w:asciiTheme="minorHAnsi" w:hAnsiTheme="minorHAnsi"/>
        </w:rPr>
        <w:t xml:space="preserve">According to the information received, civil society organizations </w:t>
      </w:r>
      <w:r w:rsidR="009F75FD" w:rsidRPr="00B90432">
        <w:rPr>
          <w:rFonts w:asciiTheme="minorHAnsi" w:hAnsiTheme="minorHAnsi"/>
        </w:rPr>
        <w:t xml:space="preserve">find that the PNR continues to be culturally inadequate and does not pay enough attention to the special situation of indigenous </w:t>
      </w:r>
      <w:r w:rsidR="00C45877" w:rsidRPr="00B90432">
        <w:rPr>
          <w:rFonts w:asciiTheme="minorHAnsi" w:hAnsiTheme="minorHAnsi"/>
        </w:rPr>
        <w:t xml:space="preserve">women, children and </w:t>
      </w:r>
      <w:r w:rsidR="00C45877" w:rsidRPr="00B90432">
        <w:rPr>
          <w:rFonts w:asciiTheme="minorHAnsi" w:hAnsiTheme="minorHAnsi"/>
        </w:rPr>
        <w:lastRenderedPageBreak/>
        <w:t>adolescents. Consequently, this</w:t>
      </w:r>
      <w:r w:rsidR="009F75FD" w:rsidRPr="00B90432">
        <w:rPr>
          <w:rFonts w:asciiTheme="minorHAnsi" w:hAnsiTheme="minorHAnsi"/>
        </w:rPr>
        <w:t xml:space="preserve"> places the burden of trying to secure adequate reparation</w:t>
      </w:r>
      <w:r w:rsidR="00C45877" w:rsidRPr="00B90432">
        <w:rPr>
          <w:rFonts w:asciiTheme="minorHAnsi" w:hAnsiTheme="minorHAnsi"/>
        </w:rPr>
        <w:t xml:space="preserve"> on the organizations supporting the victims</w:t>
      </w:r>
      <w:r w:rsidR="009F75FD" w:rsidRPr="00B90432">
        <w:rPr>
          <w:rFonts w:asciiTheme="minorHAnsi" w:hAnsiTheme="minorHAnsi"/>
        </w:rPr>
        <w:t>.</w:t>
      </w:r>
      <w:r w:rsidR="006B2E59" w:rsidRPr="00B90432">
        <w:rPr>
          <w:rStyle w:val="FootnoteReference"/>
          <w:rFonts w:asciiTheme="minorHAnsi" w:hAnsiTheme="minorHAnsi"/>
          <w:sz w:val="22"/>
          <w:szCs w:val="22"/>
        </w:rPr>
        <w:footnoteReference w:id="229"/>
      </w:r>
      <w:r w:rsidR="009F75FD" w:rsidRPr="00B90432">
        <w:rPr>
          <w:rFonts w:asciiTheme="minorHAnsi" w:hAnsiTheme="minorHAnsi"/>
        </w:rPr>
        <w:t xml:space="preserve"> </w:t>
      </w:r>
      <w:r w:rsidR="000C03CC" w:rsidRPr="00B90432">
        <w:rPr>
          <w:rFonts w:asciiTheme="minorHAnsi" w:hAnsiTheme="minorHAnsi"/>
        </w:rPr>
        <w:t xml:space="preserve">Moreover, frequent staff turnover hampers continuity and delays cases. </w:t>
      </w:r>
      <w:r w:rsidR="00D90880" w:rsidRPr="00B90432">
        <w:rPr>
          <w:rFonts w:asciiTheme="minorHAnsi" w:hAnsiTheme="minorHAnsi"/>
        </w:rPr>
        <w:t xml:space="preserve"> It was also reported to the IACHR that the victims continue to endeavor to push forward legislative bill 3551, drafted in 2006, which would give solidity and legal certainty to the PNR, but it has not been approved.</w:t>
      </w:r>
      <w:r w:rsidR="006B2E59" w:rsidRPr="00B90432">
        <w:rPr>
          <w:rStyle w:val="FootnoteReference"/>
          <w:rFonts w:asciiTheme="minorHAnsi" w:hAnsiTheme="minorHAnsi"/>
          <w:sz w:val="22"/>
          <w:szCs w:val="22"/>
        </w:rPr>
        <w:footnoteReference w:id="230"/>
      </w:r>
      <w:r w:rsidR="006B2E59" w:rsidRPr="00B90432">
        <w:rPr>
          <w:rFonts w:asciiTheme="minorHAnsi" w:hAnsiTheme="minorHAnsi"/>
        </w:rPr>
        <w:t xml:space="preserve"> </w:t>
      </w:r>
    </w:p>
    <w:p w14:paraId="1E6495A9" w14:textId="77777777" w:rsidR="004B621A" w:rsidRPr="00B90432" w:rsidRDefault="00574AB1" w:rsidP="006F4717">
      <w:pPr>
        <w:pStyle w:val="Numberedparagraphs"/>
        <w:rPr>
          <w:rFonts w:asciiTheme="minorHAnsi" w:hAnsiTheme="minorHAnsi"/>
        </w:rPr>
      </w:pPr>
      <w:r w:rsidRPr="00B90432">
        <w:rPr>
          <w:rFonts w:asciiTheme="minorHAnsi" w:hAnsiTheme="minorHAnsi"/>
        </w:rPr>
        <w:t xml:space="preserve">The most recent figures provided by the State indicate that as of 2015, there were 75,674 victims registered </w:t>
      </w:r>
      <w:r w:rsidR="00F225A4" w:rsidRPr="00B90432">
        <w:rPr>
          <w:rFonts w:asciiTheme="minorHAnsi" w:hAnsiTheme="minorHAnsi"/>
        </w:rPr>
        <w:t xml:space="preserve">in the PNR, of which 38,263 have been </w:t>
      </w:r>
      <w:r w:rsidR="00E206C3" w:rsidRPr="00B90432">
        <w:rPr>
          <w:rFonts w:asciiTheme="minorHAnsi" w:hAnsiTheme="minorHAnsi"/>
        </w:rPr>
        <w:t>economically compensated</w:t>
      </w:r>
      <w:r w:rsidR="00DC7E74" w:rsidRPr="00B90432">
        <w:rPr>
          <w:rFonts w:asciiTheme="minorHAnsi" w:hAnsiTheme="minorHAnsi"/>
        </w:rPr>
        <w:t xml:space="preserve"> </w:t>
      </w:r>
      <w:r w:rsidR="00D52456" w:rsidRPr="00B90432">
        <w:rPr>
          <w:rFonts w:asciiTheme="minorHAnsi" w:hAnsiTheme="minorHAnsi"/>
        </w:rPr>
        <w:t xml:space="preserve">and around 20,000, compensated </w:t>
      </w:r>
      <w:r w:rsidR="004148C7" w:rsidRPr="00B90432">
        <w:rPr>
          <w:rFonts w:asciiTheme="minorHAnsi" w:hAnsiTheme="minorHAnsi"/>
        </w:rPr>
        <w:t>in material reparation projects</w:t>
      </w:r>
      <w:r w:rsidR="00122BBF" w:rsidRPr="00B90432">
        <w:rPr>
          <w:rFonts w:asciiTheme="minorHAnsi" w:hAnsiTheme="minorHAnsi"/>
        </w:rPr>
        <w:t>, such as housing</w:t>
      </w:r>
      <w:r w:rsidR="004148C7" w:rsidRPr="00B90432">
        <w:rPr>
          <w:rFonts w:asciiTheme="minorHAnsi" w:hAnsiTheme="minorHAnsi"/>
        </w:rPr>
        <w:t>.</w:t>
      </w:r>
      <w:r w:rsidR="00DC7E74" w:rsidRPr="00B90432">
        <w:rPr>
          <w:rStyle w:val="FootnoteReference"/>
          <w:rFonts w:asciiTheme="minorHAnsi" w:hAnsiTheme="minorHAnsi"/>
          <w:sz w:val="22"/>
          <w:szCs w:val="22"/>
        </w:rPr>
        <w:footnoteReference w:id="231"/>
      </w:r>
      <w:r w:rsidR="00D52456" w:rsidRPr="00B90432">
        <w:rPr>
          <w:rFonts w:asciiTheme="minorHAnsi" w:hAnsiTheme="minorHAnsi"/>
        </w:rPr>
        <w:t xml:space="preserve"> </w:t>
      </w:r>
      <w:r w:rsidR="00DC7E74" w:rsidRPr="00B90432">
        <w:rPr>
          <w:rFonts w:asciiTheme="minorHAnsi" w:hAnsiTheme="minorHAnsi"/>
        </w:rPr>
        <w:t xml:space="preserve"> </w:t>
      </w:r>
      <w:r w:rsidR="00BD409E" w:rsidRPr="00B90432">
        <w:rPr>
          <w:rFonts w:asciiTheme="minorHAnsi" w:hAnsiTheme="minorHAnsi"/>
        </w:rPr>
        <w:t xml:space="preserve">The State acknowledged that reparation of the victims of the conflict is a pending matter in Guatemala and noted that in addition to the measures that it has begun to adopt </w:t>
      </w:r>
      <w:r w:rsidR="00F1760E" w:rsidRPr="00B90432">
        <w:rPr>
          <w:rFonts w:asciiTheme="minorHAnsi" w:hAnsiTheme="minorHAnsi"/>
        </w:rPr>
        <w:t xml:space="preserve">in order </w:t>
      </w:r>
      <w:r w:rsidR="00BD409E" w:rsidRPr="00B90432">
        <w:rPr>
          <w:rFonts w:asciiTheme="minorHAnsi" w:hAnsiTheme="minorHAnsi"/>
        </w:rPr>
        <w:t xml:space="preserve">to </w:t>
      </w:r>
      <w:r w:rsidR="00683BB5" w:rsidRPr="00B90432">
        <w:rPr>
          <w:rFonts w:asciiTheme="minorHAnsi" w:hAnsiTheme="minorHAnsi"/>
        </w:rPr>
        <w:t xml:space="preserve">revive </w:t>
      </w:r>
      <w:r w:rsidR="00DE2E2F" w:rsidRPr="00B90432">
        <w:rPr>
          <w:rFonts w:asciiTheme="minorHAnsi" w:hAnsiTheme="minorHAnsi"/>
        </w:rPr>
        <w:t>the Reparations Program in Guatemala, it shares the concern of the victims over prompt approval of draft Law 3551 and over the National Victims Register.</w:t>
      </w:r>
      <w:r w:rsidR="00DC7E74" w:rsidRPr="00B90432">
        <w:rPr>
          <w:rStyle w:val="FootnoteReference"/>
          <w:rFonts w:asciiTheme="minorHAnsi" w:hAnsiTheme="minorHAnsi"/>
          <w:sz w:val="22"/>
          <w:szCs w:val="22"/>
        </w:rPr>
        <w:footnoteReference w:id="232"/>
      </w:r>
      <w:r w:rsidR="00DE2E2F" w:rsidRPr="00B90432">
        <w:rPr>
          <w:rFonts w:asciiTheme="minorHAnsi" w:hAnsiTheme="minorHAnsi"/>
        </w:rPr>
        <w:t xml:space="preserve"> </w:t>
      </w:r>
      <w:r w:rsidR="00271D18" w:rsidRPr="00B90432">
        <w:rPr>
          <w:rFonts w:asciiTheme="minorHAnsi" w:hAnsiTheme="minorHAnsi"/>
        </w:rPr>
        <w:t xml:space="preserve"> In view of this situation, the budget cuts for the PNR in 2016 is of particular concern</w:t>
      </w:r>
      <w:r w:rsidR="001F56AF" w:rsidRPr="00B90432">
        <w:rPr>
          <w:rFonts w:asciiTheme="minorHAnsi" w:hAnsiTheme="minorHAnsi"/>
        </w:rPr>
        <w:t xml:space="preserve">, as </w:t>
      </w:r>
      <w:r w:rsidR="001F22EE" w:rsidRPr="00B90432">
        <w:rPr>
          <w:rFonts w:asciiTheme="minorHAnsi" w:hAnsiTheme="minorHAnsi"/>
        </w:rPr>
        <w:t xml:space="preserve">this effectively </w:t>
      </w:r>
      <w:r w:rsidR="001F56AF" w:rsidRPr="00B90432">
        <w:rPr>
          <w:rFonts w:asciiTheme="minorHAnsi" w:hAnsiTheme="minorHAnsi"/>
        </w:rPr>
        <w:t>re</w:t>
      </w:r>
      <w:r w:rsidR="001F22EE" w:rsidRPr="00B90432">
        <w:rPr>
          <w:rFonts w:asciiTheme="minorHAnsi" w:hAnsiTheme="minorHAnsi"/>
        </w:rPr>
        <w:t>duced the capacity for</w:t>
      </w:r>
      <w:r w:rsidR="001F56AF" w:rsidRPr="00B90432">
        <w:rPr>
          <w:rFonts w:asciiTheme="minorHAnsi" w:hAnsiTheme="minorHAnsi"/>
        </w:rPr>
        <w:t xml:space="preserve"> reparation measure execution. </w:t>
      </w:r>
      <w:r w:rsidR="0003618F" w:rsidRPr="00B90432">
        <w:rPr>
          <w:rFonts w:asciiTheme="minorHAnsi" w:hAnsiTheme="minorHAnsi"/>
        </w:rPr>
        <w:t>According to information the Commission received</w:t>
      </w:r>
      <w:r w:rsidR="00FF5B50" w:rsidRPr="00B90432">
        <w:rPr>
          <w:rFonts w:asciiTheme="minorHAnsi" w:hAnsiTheme="minorHAnsi"/>
        </w:rPr>
        <w:t xml:space="preserve"> from civil society, citing as its</w:t>
      </w:r>
      <w:r w:rsidR="0003618F" w:rsidRPr="00B90432">
        <w:rPr>
          <w:rFonts w:asciiTheme="minorHAnsi" w:hAnsiTheme="minorHAnsi"/>
        </w:rPr>
        <w:t xml:space="preserve"> source the narrative</w:t>
      </w:r>
      <w:r w:rsidR="000F1FED" w:rsidRPr="00B90432">
        <w:rPr>
          <w:rFonts w:asciiTheme="minorHAnsi" w:hAnsiTheme="minorHAnsi"/>
        </w:rPr>
        <w:t xml:space="preserve"> section of the PNR</w:t>
      </w:r>
      <w:r w:rsidR="0003618F" w:rsidRPr="00B90432">
        <w:rPr>
          <w:rFonts w:asciiTheme="minorHAnsi" w:hAnsiTheme="minorHAnsi"/>
        </w:rPr>
        <w:t xml:space="preserve"> management report</w:t>
      </w:r>
      <w:r w:rsidR="007F504C" w:rsidRPr="00B90432">
        <w:rPr>
          <w:rFonts w:asciiTheme="minorHAnsi" w:hAnsiTheme="minorHAnsi"/>
        </w:rPr>
        <w:t>,</w:t>
      </w:r>
      <w:r w:rsidR="00FD26D1" w:rsidRPr="00B90432">
        <w:rPr>
          <w:rFonts w:asciiTheme="minorHAnsi" w:hAnsiTheme="minorHAnsi"/>
        </w:rPr>
        <w:t xml:space="preserve"> </w:t>
      </w:r>
      <w:r w:rsidR="00193D4E" w:rsidRPr="00B90432">
        <w:rPr>
          <w:rFonts w:asciiTheme="minorHAnsi" w:hAnsiTheme="minorHAnsi"/>
        </w:rPr>
        <w:t>as of the month of June 2017, in the first quarter of 2017</w:t>
      </w:r>
      <w:r w:rsidR="007F504C" w:rsidRPr="00B90432">
        <w:rPr>
          <w:rFonts w:asciiTheme="minorHAnsi" w:hAnsiTheme="minorHAnsi"/>
        </w:rPr>
        <w:t>,</w:t>
      </w:r>
      <w:r w:rsidR="00193D4E" w:rsidRPr="00B90432">
        <w:rPr>
          <w:rFonts w:asciiTheme="minorHAnsi" w:hAnsiTheme="minorHAnsi"/>
        </w:rPr>
        <w:t xml:space="preserve"> </w:t>
      </w:r>
      <w:r w:rsidR="007F504C" w:rsidRPr="00B90432">
        <w:rPr>
          <w:rFonts w:asciiTheme="minorHAnsi" w:hAnsiTheme="minorHAnsi"/>
        </w:rPr>
        <w:t xml:space="preserve">zero money </w:t>
      </w:r>
      <w:r w:rsidR="00193D4E" w:rsidRPr="00B90432">
        <w:rPr>
          <w:rFonts w:asciiTheme="minorHAnsi" w:hAnsiTheme="minorHAnsi"/>
        </w:rPr>
        <w:t>was executed for direct reparation to the victims; and as of June 30, 2017, the reparations delivered totaled 740,000 quetzals in financial reparation</w:t>
      </w:r>
      <w:r w:rsidR="0058400C" w:rsidRPr="00B90432">
        <w:rPr>
          <w:rFonts w:asciiTheme="minorHAnsi" w:hAnsiTheme="minorHAnsi"/>
        </w:rPr>
        <w:t xml:space="preserve"> (38 cases</w:t>
      </w:r>
      <w:r w:rsidR="007F504C" w:rsidRPr="00B90432">
        <w:rPr>
          <w:rFonts w:asciiTheme="minorHAnsi" w:hAnsiTheme="minorHAnsi"/>
        </w:rPr>
        <w:t xml:space="preserve"> covered</w:t>
      </w:r>
      <w:r w:rsidR="00670A88" w:rsidRPr="00B90432">
        <w:rPr>
          <w:rFonts w:asciiTheme="minorHAnsi" w:hAnsiTheme="minorHAnsi"/>
        </w:rPr>
        <w:t>); and 868,000 quetzals in material restitution for the construction of 14 houses.</w:t>
      </w:r>
      <w:r w:rsidR="00DC7E74" w:rsidRPr="00B90432">
        <w:rPr>
          <w:rStyle w:val="FootnoteReference"/>
          <w:rFonts w:asciiTheme="minorHAnsi" w:hAnsiTheme="minorHAnsi"/>
          <w:sz w:val="22"/>
          <w:szCs w:val="22"/>
        </w:rPr>
        <w:footnoteReference w:id="233"/>
      </w:r>
      <w:r w:rsidR="00670A88" w:rsidRPr="00B90432">
        <w:rPr>
          <w:rFonts w:asciiTheme="minorHAnsi" w:hAnsiTheme="minorHAnsi"/>
        </w:rPr>
        <w:t xml:space="preserve"> The IACHR urges the State to endow the PNR with sufficient resources to be able, for the first time since it was created, to have the </w:t>
      </w:r>
      <w:r w:rsidR="00BD2970" w:rsidRPr="00B90432">
        <w:rPr>
          <w:rFonts w:asciiTheme="minorHAnsi" w:hAnsiTheme="minorHAnsi"/>
        </w:rPr>
        <w:t xml:space="preserve">budget allocation established in the accord creating it and, thus, provide the victims and their family members with </w:t>
      </w:r>
      <w:r w:rsidR="00CA4E6F" w:rsidRPr="00B90432">
        <w:rPr>
          <w:rFonts w:asciiTheme="minorHAnsi" w:hAnsiTheme="minorHAnsi"/>
        </w:rPr>
        <w:t>the services for which the Register</w:t>
      </w:r>
      <w:r w:rsidR="00BD2970" w:rsidRPr="00B90432">
        <w:rPr>
          <w:rFonts w:asciiTheme="minorHAnsi" w:hAnsiTheme="minorHAnsi"/>
        </w:rPr>
        <w:t xml:space="preserve"> was created. </w:t>
      </w:r>
      <w:r w:rsidR="00EF2C08" w:rsidRPr="00B90432">
        <w:rPr>
          <w:rFonts w:asciiTheme="minorHAnsi" w:hAnsiTheme="minorHAnsi"/>
        </w:rPr>
        <w:t xml:space="preserve">In its comments to the draft of this report, the State indicated that in order to fully comply with the terms of the Peace Accords, it established the Political Agenda for Peace 2017-2026, which identifies institutional commitments. It also indicated that since 2017, the </w:t>
      </w:r>
      <w:r w:rsidR="00EF2C08" w:rsidRPr="00B90432">
        <w:rPr>
          <w:rFonts w:asciiTheme="minorHAnsi" w:hAnsiTheme="minorHAnsi"/>
        </w:rPr>
        <w:lastRenderedPageBreak/>
        <w:t>Commission on Sacred Sites has been incorporated into the Secretariat of Peace, in order to comply with the commitments related to the identity and rights of indigenous peoples.</w:t>
      </w:r>
      <w:r w:rsidR="00EF2C08" w:rsidRPr="00B90432">
        <w:rPr>
          <w:rStyle w:val="FootnoteReference"/>
          <w:rFonts w:asciiTheme="minorHAnsi" w:hAnsiTheme="minorHAnsi"/>
          <w:sz w:val="22"/>
          <w:szCs w:val="22"/>
        </w:rPr>
        <w:footnoteReference w:id="234"/>
      </w:r>
      <w:r w:rsidR="00EF2C08" w:rsidRPr="00B90432">
        <w:rPr>
          <w:rFonts w:asciiTheme="minorHAnsi" w:hAnsiTheme="minorHAnsi"/>
        </w:rPr>
        <w:t xml:space="preserve"> The State also pointd out that the budged approved for CODISRA went from 5,985,751 quetzales in 2012 to 10,500,000 quetzales in 2017</w:t>
      </w:r>
      <w:r w:rsidR="00374EA8" w:rsidRPr="00B90432">
        <w:rPr>
          <w:rFonts w:asciiTheme="minorHAnsi" w:hAnsiTheme="minorHAnsi"/>
        </w:rPr>
        <w:t>. Also, the State refered that</w:t>
      </w:r>
      <w:r w:rsidR="00EF2C08" w:rsidRPr="00B90432">
        <w:rPr>
          <w:rFonts w:asciiTheme="minorHAnsi" w:hAnsiTheme="minorHAnsi"/>
        </w:rPr>
        <w:t xml:space="preserve"> this budget was approved as part of the Stategic Institutional Plan of 2017-2021. The objective of this Plan is to articulate public policies and national legislation in order to consolidate and strengthen the institutional development aimed at effectively complying with said policies.</w:t>
      </w:r>
      <w:r w:rsidR="00EF2C08" w:rsidRPr="00B90432">
        <w:rPr>
          <w:rStyle w:val="FootnoteReference"/>
          <w:rFonts w:asciiTheme="minorHAnsi" w:hAnsiTheme="minorHAnsi"/>
          <w:sz w:val="22"/>
          <w:szCs w:val="22"/>
        </w:rPr>
        <w:footnoteReference w:id="235"/>
      </w:r>
    </w:p>
    <w:p w14:paraId="13CE3549" w14:textId="77777777" w:rsidR="004B621A" w:rsidRPr="00B90432" w:rsidRDefault="00C97F05" w:rsidP="006F4717">
      <w:pPr>
        <w:pStyle w:val="Numberedparagraphs"/>
        <w:rPr>
          <w:rFonts w:asciiTheme="minorHAnsi" w:hAnsiTheme="minorHAnsi"/>
        </w:rPr>
      </w:pPr>
      <w:r w:rsidRPr="00B90432">
        <w:rPr>
          <w:rFonts w:asciiTheme="minorHAnsi" w:eastAsia="MS Mincho" w:hAnsiTheme="minorHAnsi"/>
        </w:rPr>
        <w:t>As for the particular challenges faced by indigenous women,</w:t>
      </w:r>
      <w:r w:rsidR="00723691" w:rsidRPr="00B90432">
        <w:rPr>
          <w:rStyle w:val="FootnoteReference"/>
          <w:rFonts w:asciiTheme="minorHAnsi" w:eastAsia="MS Mincho" w:hAnsiTheme="minorHAnsi"/>
          <w:sz w:val="22"/>
          <w:szCs w:val="22"/>
        </w:rPr>
        <w:footnoteReference w:id="236"/>
      </w:r>
      <w:r w:rsidRPr="00B90432">
        <w:rPr>
          <w:rFonts w:asciiTheme="minorHAnsi" w:eastAsia="MS Mincho" w:hAnsiTheme="minorHAnsi"/>
        </w:rPr>
        <w:t xml:space="preserve"> even though Guatemalan courts have acknowledged that during said conflict, rape was a widespread, massive and systematic practice carried out by agents of the State as part of a counterinsurgent policy, the PNR </w:t>
      </w:r>
      <w:r w:rsidR="00865F2A" w:rsidRPr="00B90432">
        <w:rPr>
          <w:rFonts w:asciiTheme="minorHAnsi" w:eastAsia="MS Mincho" w:hAnsiTheme="minorHAnsi"/>
        </w:rPr>
        <w:t>lacks of</w:t>
      </w:r>
      <w:r w:rsidRPr="00B90432">
        <w:rPr>
          <w:rFonts w:asciiTheme="minorHAnsi" w:eastAsia="MS Mincho" w:hAnsiTheme="minorHAnsi"/>
        </w:rPr>
        <w:t xml:space="preserve"> a specific policy in place to</w:t>
      </w:r>
      <w:r w:rsidR="00AD0D3F" w:rsidRPr="00B90432">
        <w:rPr>
          <w:rFonts w:asciiTheme="minorHAnsi" w:eastAsia="MS Mincho" w:hAnsiTheme="minorHAnsi"/>
        </w:rPr>
        <w:t xml:space="preserve"> provide adequate reparation to</w:t>
      </w:r>
      <w:r w:rsidRPr="00B90432">
        <w:rPr>
          <w:rFonts w:asciiTheme="minorHAnsi" w:eastAsia="MS Mincho" w:hAnsiTheme="minorHAnsi"/>
        </w:rPr>
        <w:t xml:space="preserve"> these victims.</w:t>
      </w:r>
      <w:r w:rsidR="00723691" w:rsidRPr="00B90432">
        <w:rPr>
          <w:rStyle w:val="FootnoteReference"/>
          <w:rFonts w:asciiTheme="minorHAnsi" w:eastAsia="MS Mincho" w:hAnsiTheme="minorHAnsi"/>
          <w:sz w:val="22"/>
          <w:szCs w:val="22"/>
        </w:rPr>
        <w:footnoteReference w:id="237"/>
      </w:r>
      <w:r w:rsidRPr="00B90432">
        <w:rPr>
          <w:rFonts w:asciiTheme="minorHAnsi" w:eastAsia="MS Mincho" w:hAnsiTheme="minorHAnsi"/>
        </w:rPr>
        <w:t xml:space="preserve"> In fact, the information available indicates that despite the breadth of </w:t>
      </w:r>
      <w:r w:rsidR="00445388" w:rsidRPr="00B90432">
        <w:rPr>
          <w:rFonts w:asciiTheme="minorHAnsi" w:eastAsia="MS Mincho" w:hAnsiTheme="minorHAnsi"/>
        </w:rPr>
        <w:t xml:space="preserve">rape </w:t>
      </w:r>
      <w:r w:rsidRPr="00B90432">
        <w:rPr>
          <w:rFonts w:asciiTheme="minorHAnsi" w:eastAsia="MS Mincho" w:hAnsiTheme="minorHAnsi"/>
        </w:rPr>
        <w:t xml:space="preserve">cases, the PNR </w:t>
      </w:r>
      <w:r w:rsidR="006E60C2" w:rsidRPr="00B90432">
        <w:rPr>
          <w:rFonts w:asciiTheme="minorHAnsi" w:eastAsia="MS Mincho" w:hAnsiTheme="minorHAnsi"/>
        </w:rPr>
        <w:t>has no specific policy</w:t>
      </w:r>
      <w:r w:rsidR="00D2095F" w:rsidRPr="00B90432">
        <w:rPr>
          <w:rFonts w:asciiTheme="minorHAnsi" w:eastAsia="MS Mincho" w:hAnsiTheme="minorHAnsi"/>
        </w:rPr>
        <w:t xml:space="preserve"> in place</w:t>
      </w:r>
      <w:r w:rsidR="006E60C2" w:rsidRPr="00B90432">
        <w:rPr>
          <w:rFonts w:asciiTheme="minorHAnsi" w:eastAsia="MS Mincho" w:hAnsiTheme="minorHAnsi"/>
        </w:rPr>
        <w:t xml:space="preserve"> to meet the demands and specific petitions for the cases endured by the women during the internal armed conflict.</w:t>
      </w:r>
      <w:r w:rsidR="00723691" w:rsidRPr="00B90432">
        <w:rPr>
          <w:rStyle w:val="FootnoteReference"/>
          <w:rFonts w:asciiTheme="minorHAnsi" w:eastAsia="MS Mincho" w:hAnsiTheme="minorHAnsi"/>
          <w:color w:val="000000" w:themeColor="text1"/>
          <w:sz w:val="22"/>
          <w:szCs w:val="22"/>
        </w:rPr>
        <w:footnoteReference w:id="238"/>
      </w:r>
      <w:r w:rsidR="007A13D8" w:rsidRPr="00B90432">
        <w:rPr>
          <w:rFonts w:asciiTheme="minorHAnsi" w:eastAsia="MS Mincho" w:hAnsiTheme="minorHAnsi"/>
          <w:color w:val="000000" w:themeColor="text1"/>
        </w:rPr>
        <w:t xml:space="preserve"> During the visit, the Commission received reports pertaining to the absence of clear procedures and requirements</w:t>
      </w:r>
      <w:r w:rsidR="00723691" w:rsidRPr="00B90432">
        <w:rPr>
          <w:rFonts w:asciiTheme="minorHAnsi" w:eastAsia="MS Mincho" w:hAnsiTheme="minorHAnsi"/>
          <w:color w:val="000000" w:themeColor="text1"/>
        </w:rPr>
        <w:t xml:space="preserve"> </w:t>
      </w:r>
      <w:r w:rsidR="004E6D55" w:rsidRPr="00B90432">
        <w:rPr>
          <w:rFonts w:asciiTheme="minorHAnsi" w:eastAsia="MS Mincho" w:hAnsiTheme="minorHAnsi"/>
          <w:color w:val="000000" w:themeColor="text1"/>
        </w:rPr>
        <w:t xml:space="preserve">for women victims to have access to reparation. </w:t>
      </w:r>
      <w:r w:rsidR="00E767A7" w:rsidRPr="00B90432">
        <w:rPr>
          <w:rFonts w:asciiTheme="minorHAnsi" w:eastAsia="MS Mincho" w:hAnsiTheme="minorHAnsi"/>
          <w:color w:val="000000" w:themeColor="text1"/>
        </w:rPr>
        <w:t xml:space="preserve">Moreover, the burden of proof rests on the victims, who encounter </w:t>
      </w:r>
      <w:r w:rsidR="00865F2A" w:rsidRPr="00B90432">
        <w:rPr>
          <w:rFonts w:asciiTheme="minorHAnsi" w:eastAsia="MS Mincho" w:hAnsiTheme="minorHAnsi"/>
          <w:color w:val="000000" w:themeColor="text1"/>
        </w:rPr>
        <w:t>serious</w:t>
      </w:r>
      <w:r w:rsidR="00E767A7" w:rsidRPr="00B90432">
        <w:rPr>
          <w:rFonts w:asciiTheme="minorHAnsi" w:eastAsia="MS Mincho" w:hAnsiTheme="minorHAnsi"/>
          <w:color w:val="000000" w:themeColor="text1"/>
        </w:rPr>
        <w:t xml:space="preserve"> difficulties to doc</w:t>
      </w:r>
      <w:r w:rsidR="00865F2A" w:rsidRPr="00B90432">
        <w:rPr>
          <w:rFonts w:asciiTheme="minorHAnsi" w:eastAsia="MS Mincho" w:hAnsiTheme="minorHAnsi"/>
          <w:color w:val="000000" w:themeColor="text1"/>
        </w:rPr>
        <w:t>ument and prove their cases.</w:t>
      </w:r>
      <w:r w:rsidR="00E767A7" w:rsidRPr="00B90432">
        <w:rPr>
          <w:rFonts w:asciiTheme="minorHAnsi" w:eastAsia="MS Mincho" w:hAnsiTheme="minorHAnsi"/>
          <w:color w:val="000000" w:themeColor="text1"/>
        </w:rPr>
        <w:t xml:space="preserve"> </w:t>
      </w:r>
      <w:r w:rsidR="00865F2A" w:rsidRPr="00B90432">
        <w:rPr>
          <w:rFonts w:asciiTheme="minorHAnsi" w:eastAsia="MS Mincho" w:hAnsiTheme="minorHAnsi"/>
          <w:color w:val="000000" w:themeColor="text1"/>
        </w:rPr>
        <w:t>C</w:t>
      </w:r>
      <w:r w:rsidR="00E767A7" w:rsidRPr="00B90432">
        <w:rPr>
          <w:rFonts w:asciiTheme="minorHAnsi" w:eastAsia="MS Mincho" w:hAnsiTheme="minorHAnsi"/>
          <w:color w:val="000000" w:themeColor="text1"/>
        </w:rPr>
        <w:t xml:space="preserve">onsequently, </w:t>
      </w:r>
      <w:r w:rsidR="001F744A" w:rsidRPr="00B90432">
        <w:rPr>
          <w:rFonts w:asciiTheme="minorHAnsi" w:eastAsia="MS Mincho" w:hAnsiTheme="minorHAnsi"/>
          <w:color w:val="000000" w:themeColor="text1"/>
        </w:rPr>
        <w:t>many of them remain outside the reparation mechanisms.</w:t>
      </w:r>
      <w:r w:rsidR="00723691" w:rsidRPr="00B90432">
        <w:rPr>
          <w:rStyle w:val="FootnoteReference"/>
          <w:rFonts w:asciiTheme="minorHAnsi" w:eastAsia="MS Mincho" w:hAnsiTheme="minorHAnsi"/>
          <w:color w:val="000000" w:themeColor="text1"/>
          <w:sz w:val="22"/>
          <w:szCs w:val="22"/>
        </w:rPr>
        <w:footnoteReference w:id="239"/>
      </w:r>
      <w:r w:rsidR="001F744A" w:rsidRPr="00B90432">
        <w:rPr>
          <w:rFonts w:asciiTheme="minorHAnsi" w:eastAsia="MS Mincho" w:hAnsiTheme="minorHAnsi"/>
          <w:color w:val="000000" w:themeColor="text1"/>
        </w:rPr>
        <w:t xml:space="preserve"> Additionally, several organizations reported to the Commission that, in response to women’s demand for reparation in cases of rape, the PNR has stop taking cases because of the lack of budget. </w:t>
      </w:r>
      <w:r w:rsidR="005578B2" w:rsidRPr="00B90432">
        <w:rPr>
          <w:rFonts w:asciiTheme="minorHAnsi" w:eastAsia="MS Mincho" w:hAnsiTheme="minorHAnsi"/>
          <w:color w:val="000000" w:themeColor="text1"/>
        </w:rPr>
        <w:lastRenderedPageBreak/>
        <w:t xml:space="preserve">Countless testimonies of victims taken during the Commission’s visit </w:t>
      </w:r>
      <w:r w:rsidR="00C352C4" w:rsidRPr="00B90432">
        <w:rPr>
          <w:rFonts w:asciiTheme="minorHAnsi" w:eastAsia="MS Mincho" w:hAnsiTheme="minorHAnsi"/>
          <w:color w:val="000000" w:themeColor="text1"/>
        </w:rPr>
        <w:t>attest to the importance of taking into consideration the differential im</w:t>
      </w:r>
      <w:r w:rsidR="005F7945" w:rsidRPr="00B90432">
        <w:rPr>
          <w:rFonts w:asciiTheme="minorHAnsi" w:eastAsia="MS Mincho" w:hAnsiTheme="minorHAnsi"/>
          <w:color w:val="000000" w:themeColor="text1"/>
        </w:rPr>
        <w:t>pact of the armed conflict on wo</w:t>
      </w:r>
      <w:r w:rsidR="00C352C4" w:rsidRPr="00B90432">
        <w:rPr>
          <w:rFonts w:asciiTheme="minorHAnsi" w:eastAsia="MS Mincho" w:hAnsiTheme="minorHAnsi"/>
          <w:color w:val="000000" w:themeColor="text1"/>
        </w:rPr>
        <w:t xml:space="preserve">men, </w:t>
      </w:r>
      <w:r w:rsidR="005F7945" w:rsidRPr="00B90432">
        <w:rPr>
          <w:rFonts w:asciiTheme="minorHAnsi" w:eastAsia="MS Mincho" w:hAnsiTheme="minorHAnsi"/>
          <w:color w:val="000000" w:themeColor="text1"/>
        </w:rPr>
        <w:t xml:space="preserve">of including specific measures to consider displaced women, widowed women and orphans, and </w:t>
      </w:r>
      <w:r w:rsidR="00515660" w:rsidRPr="00B90432">
        <w:rPr>
          <w:rFonts w:asciiTheme="minorHAnsi" w:eastAsia="MS Mincho" w:hAnsiTheme="minorHAnsi"/>
          <w:color w:val="000000" w:themeColor="text1"/>
        </w:rPr>
        <w:t xml:space="preserve">of establishing </w:t>
      </w:r>
      <w:r w:rsidR="009D3B5B" w:rsidRPr="00B90432">
        <w:rPr>
          <w:rFonts w:asciiTheme="minorHAnsi" w:eastAsia="MS Mincho" w:hAnsiTheme="minorHAnsi"/>
          <w:color w:val="000000" w:themeColor="text1"/>
        </w:rPr>
        <w:t xml:space="preserve">clear </w:t>
      </w:r>
      <w:r w:rsidR="00515660" w:rsidRPr="00B90432">
        <w:rPr>
          <w:rFonts w:asciiTheme="minorHAnsi" w:eastAsia="MS Mincho" w:hAnsiTheme="minorHAnsi"/>
          <w:color w:val="000000" w:themeColor="text1"/>
        </w:rPr>
        <w:t>mechanisms</w:t>
      </w:r>
      <w:r w:rsidR="00A40DE6" w:rsidRPr="00B90432">
        <w:rPr>
          <w:rFonts w:asciiTheme="minorHAnsi" w:eastAsia="MS Mincho" w:hAnsiTheme="minorHAnsi"/>
          <w:color w:val="000000" w:themeColor="text1"/>
        </w:rPr>
        <w:t xml:space="preserve"> to do justice and provide reparation in cases of rape.</w:t>
      </w:r>
      <w:r w:rsidR="00723691" w:rsidRPr="00B90432">
        <w:rPr>
          <w:rStyle w:val="FootnoteReference"/>
          <w:rFonts w:asciiTheme="minorHAnsi" w:eastAsia="MS Mincho" w:hAnsiTheme="minorHAnsi"/>
          <w:color w:val="000000" w:themeColor="text1"/>
          <w:sz w:val="22"/>
          <w:szCs w:val="22"/>
        </w:rPr>
        <w:footnoteReference w:id="240"/>
      </w:r>
    </w:p>
    <w:p w14:paraId="68DEF088" w14:textId="77777777" w:rsidR="00642612" w:rsidRPr="00B90432" w:rsidRDefault="003D4F91" w:rsidP="006F4717">
      <w:pPr>
        <w:pStyle w:val="Numberedparagraphs"/>
        <w:rPr>
          <w:rFonts w:asciiTheme="minorHAnsi" w:hAnsiTheme="minorHAnsi"/>
        </w:rPr>
      </w:pPr>
      <w:r w:rsidRPr="00B90432">
        <w:rPr>
          <w:rFonts w:asciiTheme="minorHAnsi" w:hAnsiTheme="minorHAnsi"/>
        </w:rPr>
        <w:t xml:space="preserve">The State provided information on the PNR’s 2015 </w:t>
      </w:r>
      <w:r w:rsidR="005409E9" w:rsidRPr="00B90432">
        <w:rPr>
          <w:rFonts w:asciiTheme="minorHAnsi" w:hAnsiTheme="minorHAnsi"/>
        </w:rPr>
        <w:t>Annual Report (</w:t>
      </w:r>
      <w:r w:rsidR="005409E9" w:rsidRPr="00B90432">
        <w:rPr>
          <w:rFonts w:asciiTheme="minorHAnsi" w:hAnsiTheme="minorHAnsi"/>
          <w:i/>
        </w:rPr>
        <w:t>Memoria de Labores</w:t>
      </w:r>
      <w:r w:rsidR="005409E9" w:rsidRPr="00B90432">
        <w:rPr>
          <w:rFonts w:asciiTheme="minorHAnsi" w:hAnsiTheme="minorHAnsi"/>
        </w:rPr>
        <w:t>)</w:t>
      </w:r>
      <w:r w:rsidRPr="00B90432">
        <w:rPr>
          <w:rFonts w:asciiTheme="minorHAnsi" w:hAnsiTheme="minorHAnsi"/>
        </w:rPr>
        <w:t>, which describes five c</w:t>
      </w:r>
      <w:r w:rsidR="005409E9" w:rsidRPr="00B90432">
        <w:rPr>
          <w:rFonts w:asciiTheme="minorHAnsi" w:hAnsiTheme="minorHAnsi"/>
        </w:rPr>
        <w:t>entral components of reparation</w:t>
      </w:r>
      <w:r w:rsidR="00642612" w:rsidRPr="00B90432">
        <w:rPr>
          <w:rFonts w:asciiTheme="minorHAnsi" w:hAnsiTheme="minorHAnsi"/>
        </w:rPr>
        <w:t xml:space="preserve">: (1) </w:t>
      </w:r>
      <w:r w:rsidR="003C2764" w:rsidRPr="00B90432">
        <w:rPr>
          <w:rFonts w:asciiTheme="minorHAnsi" w:hAnsiTheme="minorHAnsi"/>
        </w:rPr>
        <w:t>dignifying</w:t>
      </w:r>
      <w:r w:rsidR="006F768E" w:rsidRPr="00B90432">
        <w:rPr>
          <w:rFonts w:asciiTheme="minorHAnsi" w:hAnsiTheme="minorHAnsi"/>
        </w:rPr>
        <w:t xml:space="preserve"> victims through actions of support for exhumations and measures of truth and memory; </w:t>
      </w:r>
      <w:r w:rsidR="00642612" w:rsidRPr="00B90432">
        <w:rPr>
          <w:rFonts w:asciiTheme="minorHAnsi" w:hAnsiTheme="minorHAnsi"/>
        </w:rPr>
        <w:t xml:space="preserve">(2) </w:t>
      </w:r>
      <w:r w:rsidR="006F768E" w:rsidRPr="00B90432">
        <w:rPr>
          <w:rFonts w:asciiTheme="minorHAnsi" w:hAnsiTheme="minorHAnsi"/>
        </w:rPr>
        <w:t>cultural reparation</w:t>
      </w:r>
      <w:r w:rsidR="002A1536" w:rsidRPr="00B90432">
        <w:rPr>
          <w:rFonts w:asciiTheme="minorHAnsi" w:hAnsiTheme="minorHAnsi"/>
        </w:rPr>
        <w:t>; (3) psychosocial reparation and rehabilitation</w:t>
      </w:r>
      <w:r w:rsidR="00642612" w:rsidRPr="00B90432">
        <w:rPr>
          <w:rFonts w:asciiTheme="minorHAnsi" w:hAnsiTheme="minorHAnsi"/>
        </w:rPr>
        <w:t>;</w:t>
      </w:r>
      <w:r w:rsidR="002A1536" w:rsidRPr="00B90432">
        <w:rPr>
          <w:rFonts w:asciiTheme="minorHAnsi" w:hAnsiTheme="minorHAnsi"/>
        </w:rPr>
        <w:t xml:space="preserve"> and</w:t>
      </w:r>
      <w:r w:rsidR="00642612" w:rsidRPr="00B90432">
        <w:rPr>
          <w:rFonts w:asciiTheme="minorHAnsi" w:hAnsiTheme="minorHAnsi"/>
        </w:rPr>
        <w:t xml:space="preserve"> (4) </w:t>
      </w:r>
      <w:r w:rsidR="007E4CE2" w:rsidRPr="00B90432">
        <w:rPr>
          <w:rFonts w:asciiTheme="minorHAnsi" w:hAnsiTheme="minorHAnsi"/>
        </w:rPr>
        <w:t>material restitution of homes, lands, legal certainty</w:t>
      </w:r>
      <w:r w:rsidR="00915B9E" w:rsidRPr="00B90432">
        <w:rPr>
          <w:rFonts w:asciiTheme="minorHAnsi" w:hAnsiTheme="minorHAnsi"/>
        </w:rPr>
        <w:t xml:space="preserve"> of land in produc</w:t>
      </w:r>
      <w:r w:rsidR="007E4CE2" w:rsidRPr="00B90432">
        <w:rPr>
          <w:rFonts w:asciiTheme="minorHAnsi" w:hAnsiTheme="minorHAnsi"/>
        </w:rPr>
        <w:t>tive investment</w:t>
      </w:r>
      <w:r w:rsidR="00642612" w:rsidRPr="00B90432">
        <w:rPr>
          <w:rFonts w:asciiTheme="minorHAnsi" w:hAnsiTheme="minorHAnsi"/>
        </w:rPr>
        <w:t xml:space="preserve">; </w:t>
      </w:r>
      <w:r w:rsidR="007E4CE2" w:rsidRPr="00B90432">
        <w:rPr>
          <w:rFonts w:asciiTheme="minorHAnsi" w:hAnsiTheme="minorHAnsi"/>
        </w:rPr>
        <w:t>and</w:t>
      </w:r>
      <w:r w:rsidR="00642612" w:rsidRPr="00B90432">
        <w:rPr>
          <w:rFonts w:asciiTheme="minorHAnsi" w:hAnsiTheme="minorHAnsi"/>
        </w:rPr>
        <w:t xml:space="preserve"> (5) </w:t>
      </w:r>
      <w:r w:rsidR="007E4CE2" w:rsidRPr="00B90432">
        <w:rPr>
          <w:rFonts w:asciiTheme="minorHAnsi" w:hAnsiTheme="minorHAnsi"/>
        </w:rPr>
        <w:t>economic reparation.</w:t>
      </w:r>
      <w:r w:rsidR="00642612" w:rsidRPr="00B90432">
        <w:rPr>
          <w:rStyle w:val="FootnoteReference"/>
          <w:rFonts w:asciiTheme="minorHAnsi" w:hAnsiTheme="minorHAnsi"/>
          <w:sz w:val="22"/>
          <w:szCs w:val="22"/>
        </w:rPr>
        <w:footnoteReference w:id="241"/>
      </w:r>
      <w:r w:rsidR="007E4CE2" w:rsidRPr="00B90432">
        <w:rPr>
          <w:rFonts w:asciiTheme="minorHAnsi" w:hAnsiTheme="minorHAnsi"/>
        </w:rPr>
        <w:t xml:space="preserve"> Additionally, the State acknowledged that one of the major challenges facing the PNR is “</w:t>
      </w:r>
      <w:r w:rsidR="0008337D" w:rsidRPr="00B90432">
        <w:rPr>
          <w:rFonts w:asciiTheme="minorHAnsi" w:hAnsiTheme="minorHAnsi"/>
        </w:rPr>
        <w:t xml:space="preserve">to </w:t>
      </w:r>
      <w:r w:rsidR="007E4CE2" w:rsidRPr="00B90432">
        <w:rPr>
          <w:rFonts w:asciiTheme="minorHAnsi" w:hAnsiTheme="minorHAnsi"/>
        </w:rPr>
        <w:t>complete the work teams at all regional offices with capable and suitable staff, especially in sensitive areas, such as, legal advisors, psychologists, community outreach intermediaries and technical production advisors.</w:t>
      </w:r>
      <w:r w:rsidR="00642612" w:rsidRPr="00B90432">
        <w:rPr>
          <w:rFonts w:asciiTheme="minorHAnsi" w:hAnsiTheme="minorHAnsi"/>
        </w:rPr>
        <w:t>”</w:t>
      </w:r>
      <w:r w:rsidR="00642612" w:rsidRPr="00B90432">
        <w:rPr>
          <w:rStyle w:val="FootnoteReference"/>
          <w:rFonts w:asciiTheme="minorHAnsi" w:hAnsiTheme="minorHAnsi"/>
          <w:sz w:val="22"/>
          <w:szCs w:val="22"/>
        </w:rPr>
        <w:footnoteReference w:id="242"/>
      </w:r>
      <w:r w:rsidR="007E4CE2" w:rsidRPr="00B90432">
        <w:rPr>
          <w:rFonts w:asciiTheme="minorHAnsi" w:hAnsiTheme="minorHAnsi"/>
        </w:rPr>
        <w:t xml:space="preserve"> The information received also indicates that some of the PNR Regional Offices </w:t>
      </w:r>
      <w:r w:rsidR="00292D05" w:rsidRPr="00B90432">
        <w:rPr>
          <w:rFonts w:asciiTheme="minorHAnsi" w:hAnsiTheme="minorHAnsi"/>
        </w:rPr>
        <w:t>were closed in 2016 and stopped assisting victims.</w:t>
      </w:r>
      <w:r w:rsidR="00642612" w:rsidRPr="00B90432">
        <w:rPr>
          <w:rStyle w:val="FootnoteReference"/>
          <w:rFonts w:asciiTheme="minorHAnsi" w:hAnsiTheme="minorHAnsi"/>
          <w:sz w:val="22"/>
          <w:szCs w:val="22"/>
        </w:rPr>
        <w:footnoteReference w:id="243"/>
      </w:r>
    </w:p>
    <w:p w14:paraId="4BBE8864" w14:textId="77777777" w:rsidR="00642612" w:rsidRPr="00B90432" w:rsidRDefault="00570BDC" w:rsidP="006F4717">
      <w:pPr>
        <w:pStyle w:val="Numberedparagraphs"/>
        <w:rPr>
          <w:rFonts w:asciiTheme="minorHAnsi" w:hAnsiTheme="minorHAnsi"/>
        </w:rPr>
      </w:pPr>
      <w:r w:rsidRPr="00B90432">
        <w:rPr>
          <w:rFonts w:asciiTheme="minorHAnsi" w:hAnsiTheme="minorHAnsi"/>
        </w:rPr>
        <w:t xml:space="preserve">Lastly, during its visit, the Commission gathered testimony on the many difficulties </w:t>
      </w:r>
      <w:r w:rsidR="00BD40A6" w:rsidRPr="00B90432">
        <w:rPr>
          <w:rFonts w:asciiTheme="minorHAnsi" w:hAnsiTheme="minorHAnsi"/>
        </w:rPr>
        <w:t>faced by the victims of the armed conflict to cond</w:t>
      </w:r>
      <w:r w:rsidR="00490512" w:rsidRPr="00B90432">
        <w:rPr>
          <w:rFonts w:asciiTheme="minorHAnsi" w:hAnsiTheme="minorHAnsi"/>
        </w:rPr>
        <w:t xml:space="preserve">uct an effective search </w:t>
      </w:r>
      <w:r w:rsidR="00506357" w:rsidRPr="00B90432">
        <w:rPr>
          <w:rFonts w:asciiTheme="minorHAnsi" w:hAnsiTheme="minorHAnsi"/>
        </w:rPr>
        <w:t>for</w:t>
      </w:r>
      <w:r w:rsidR="00490512" w:rsidRPr="00B90432">
        <w:rPr>
          <w:rFonts w:asciiTheme="minorHAnsi" w:hAnsiTheme="minorHAnsi"/>
        </w:rPr>
        <w:t xml:space="preserve"> the</w:t>
      </w:r>
      <w:r w:rsidR="00BD40A6" w:rsidRPr="00B90432">
        <w:rPr>
          <w:rFonts w:asciiTheme="minorHAnsi" w:hAnsiTheme="minorHAnsi"/>
        </w:rPr>
        <w:t xml:space="preserve"> disappeared. </w:t>
      </w:r>
      <w:r w:rsidR="00490512" w:rsidRPr="00B90432">
        <w:rPr>
          <w:rFonts w:asciiTheme="minorHAnsi" w:hAnsiTheme="minorHAnsi"/>
        </w:rPr>
        <w:t xml:space="preserve">The IACHR recalls that since </w:t>
      </w:r>
      <w:r w:rsidR="00552C8F" w:rsidRPr="00B90432">
        <w:rPr>
          <w:rFonts w:asciiTheme="minorHAnsi" w:hAnsiTheme="minorHAnsi"/>
        </w:rPr>
        <w:t xml:space="preserve">2007, </w:t>
      </w:r>
      <w:r w:rsidR="00490512" w:rsidRPr="00B90432">
        <w:rPr>
          <w:rFonts w:asciiTheme="minorHAnsi" w:hAnsiTheme="minorHAnsi"/>
        </w:rPr>
        <w:t xml:space="preserve">civil society has been </w:t>
      </w:r>
      <w:r w:rsidR="005B6CAA" w:rsidRPr="00B90432">
        <w:rPr>
          <w:rFonts w:asciiTheme="minorHAnsi" w:hAnsiTheme="minorHAnsi"/>
        </w:rPr>
        <w:t xml:space="preserve">pushing in the Congress of the Republic </w:t>
      </w:r>
      <w:r w:rsidR="00270822" w:rsidRPr="00B90432">
        <w:rPr>
          <w:rFonts w:asciiTheme="minorHAnsi" w:hAnsiTheme="minorHAnsi"/>
        </w:rPr>
        <w:t xml:space="preserve">for </w:t>
      </w:r>
      <w:r w:rsidR="005B6CAA" w:rsidRPr="00B90432">
        <w:rPr>
          <w:rFonts w:asciiTheme="minorHAnsi" w:hAnsiTheme="minorHAnsi"/>
        </w:rPr>
        <w:t xml:space="preserve">approval of Law 35-90 to create the National Commission to Search for Victims of Forced Disappearance and other Forms of Disappearance, to endeavor to locate the whereabouts of more than 45,000 victims of forced disappearance </w:t>
      </w:r>
      <w:r w:rsidR="007E2CCF" w:rsidRPr="00B90432">
        <w:rPr>
          <w:rFonts w:asciiTheme="minorHAnsi" w:hAnsiTheme="minorHAnsi"/>
        </w:rPr>
        <w:t>and other forms of disappearance during the internal armed conflict.</w:t>
      </w:r>
      <w:r w:rsidR="00552C8F" w:rsidRPr="00B90432">
        <w:rPr>
          <w:rFonts w:asciiTheme="minorHAnsi" w:hAnsiTheme="minorHAnsi"/>
          <w:vertAlign w:val="superscript"/>
        </w:rPr>
        <w:footnoteReference w:id="244"/>
      </w:r>
      <w:r w:rsidR="00B3084D" w:rsidRPr="00B90432">
        <w:rPr>
          <w:rFonts w:asciiTheme="minorHAnsi" w:hAnsiTheme="minorHAnsi"/>
        </w:rPr>
        <w:t xml:space="preserve"> The bill continues</w:t>
      </w:r>
      <w:r w:rsidR="00902667" w:rsidRPr="00B90432">
        <w:rPr>
          <w:rFonts w:asciiTheme="minorHAnsi" w:hAnsiTheme="minorHAnsi"/>
        </w:rPr>
        <w:t xml:space="preserve"> to languish ten years later. On</w:t>
      </w:r>
      <w:r w:rsidR="00B3084D" w:rsidRPr="00B90432">
        <w:rPr>
          <w:rFonts w:asciiTheme="minorHAnsi" w:hAnsiTheme="minorHAnsi"/>
        </w:rPr>
        <w:t xml:space="preserve"> this</w:t>
      </w:r>
      <w:r w:rsidR="00902667" w:rsidRPr="00B90432">
        <w:rPr>
          <w:rFonts w:asciiTheme="minorHAnsi" w:hAnsiTheme="minorHAnsi"/>
        </w:rPr>
        <w:t xml:space="preserve"> score</w:t>
      </w:r>
      <w:r w:rsidR="00B3084D" w:rsidRPr="00B90432">
        <w:rPr>
          <w:rFonts w:asciiTheme="minorHAnsi" w:hAnsiTheme="minorHAnsi"/>
        </w:rPr>
        <w:t>, the State has the obligation to conduct serious, impartial, prompt and effective investigations of cases of alleged disappearances.</w:t>
      </w:r>
      <w:r w:rsidR="00552C8F" w:rsidRPr="00B90432">
        <w:rPr>
          <w:rStyle w:val="FootnoteReference"/>
          <w:rFonts w:asciiTheme="minorHAnsi" w:hAnsiTheme="minorHAnsi"/>
          <w:sz w:val="22"/>
          <w:szCs w:val="22"/>
        </w:rPr>
        <w:footnoteReference w:id="245"/>
      </w:r>
      <w:r w:rsidR="00552C8F" w:rsidRPr="00B90432">
        <w:rPr>
          <w:rFonts w:asciiTheme="minorHAnsi" w:hAnsiTheme="minorHAnsi"/>
        </w:rPr>
        <w:t xml:space="preserve"> </w:t>
      </w:r>
      <w:r w:rsidR="006437A7" w:rsidRPr="00B90432">
        <w:rPr>
          <w:rFonts w:asciiTheme="minorHAnsi" w:hAnsiTheme="minorHAnsi"/>
        </w:rPr>
        <w:t xml:space="preserve">The Commission </w:t>
      </w:r>
      <w:r w:rsidR="00AA0447" w:rsidRPr="00B90432">
        <w:rPr>
          <w:rFonts w:asciiTheme="minorHAnsi" w:hAnsiTheme="minorHAnsi"/>
        </w:rPr>
        <w:t xml:space="preserve">cautions </w:t>
      </w:r>
      <w:r w:rsidR="006437A7" w:rsidRPr="00B90432">
        <w:rPr>
          <w:rFonts w:asciiTheme="minorHAnsi" w:hAnsiTheme="minorHAnsi"/>
        </w:rPr>
        <w:t xml:space="preserve">the Guatemalan State </w:t>
      </w:r>
      <w:r w:rsidR="00AA0447" w:rsidRPr="00B90432">
        <w:rPr>
          <w:rFonts w:asciiTheme="minorHAnsi" w:hAnsiTheme="minorHAnsi"/>
        </w:rPr>
        <w:t xml:space="preserve">about the need and urgency to conduct serious investigations and proceed to the search for disappeared persons </w:t>
      </w:r>
      <w:r w:rsidR="00AA0447" w:rsidRPr="00B90432">
        <w:rPr>
          <w:rFonts w:asciiTheme="minorHAnsi" w:hAnsiTheme="minorHAnsi"/>
        </w:rPr>
        <w:lastRenderedPageBreak/>
        <w:t xml:space="preserve">as a priority, in keeping with Inter-American standards on the subject matter. </w:t>
      </w:r>
    </w:p>
    <w:p w14:paraId="67834F40" w14:textId="77777777" w:rsidR="00642612" w:rsidRPr="00B90432" w:rsidRDefault="00865F2A" w:rsidP="006F4717">
      <w:pPr>
        <w:pStyle w:val="Numberedparagraphs"/>
        <w:rPr>
          <w:rFonts w:asciiTheme="minorHAnsi" w:hAnsiTheme="minorHAnsi"/>
        </w:rPr>
      </w:pPr>
      <w:r w:rsidRPr="00B90432">
        <w:rPr>
          <w:rFonts w:asciiTheme="minorHAnsi" w:hAnsiTheme="minorHAnsi"/>
        </w:rPr>
        <w:t>T</w:t>
      </w:r>
      <w:r w:rsidR="008B2B85" w:rsidRPr="00B90432">
        <w:rPr>
          <w:rFonts w:asciiTheme="minorHAnsi" w:hAnsiTheme="minorHAnsi"/>
        </w:rPr>
        <w:t xml:space="preserve">he IACHR has </w:t>
      </w:r>
      <w:r w:rsidR="00C41A6D" w:rsidRPr="00B90432">
        <w:rPr>
          <w:rFonts w:asciiTheme="minorHAnsi" w:hAnsiTheme="minorHAnsi"/>
        </w:rPr>
        <w:t>issued</w:t>
      </w:r>
      <w:r w:rsidRPr="00B90432">
        <w:rPr>
          <w:rFonts w:asciiTheme="minorHAnsi" w:hAnsiTheme="minorHAnsi"/>
        </w:rPr>
        <w:t xml:space="preserve"> reiterated</w:t>
      </w:r>
      <w:r w:rsidR="00C41A6D" w:rsidRPr="00B90432">
        <w:rPr>
          <w:rFonts w:asciiTheme="minorHAnsi" w:hAnsiTheme="minorHAnsi"/>
        </w:rPr>
        <w:t xml:space="preserve"> appeals </w:t>
      </w:r>
      <w:r w:rsidR="008B2B85" w:rsidRPr="00B90432">
        <w:rPr>
          <w:rFonts w:asciiTheme="minorHAnsi" w:hAnsiTheme="minorHAnsi"/>
        </w:rPr>
        <w:t>to the Guatemalan State to make the PNR fully operational, endowing it with sufficient material and human re</w:t>
      </w:r>
      <w:r w:rsidRPr="00B90432">
        <w:rPr>
          <w:rFonts w:asciiTheme="minorHAnsi" w:hAnsiTheme="minorHAnsi"/>
        </w:rPr>
        <w:t xml:space="preserve">sources to fulfill its mandate. In this occasion, </w:t>
      </w:r>
      <w:r w:rsidR="00C928AE" w:rsidRPr="00B90432">
        <w:rPr>
          <w:rFonts w:asciiTheme="minorHAnsi" w:hAnsiTheme="minorHAnsi"/>
        </w:rPr>
        <w:t xml:space="preserve">the Commission </w:t>
      </w:r>
      <w:r w:rsidR="008B2B85" w:rsidRPr="00B90432">
        <w:rPr>
          <w:rFonts w:asciiTheme="minorHAnsi" w:hAnsiTheme="minorHAnsi"/>
        </w:rPr>
        <w:t xml:space="preserve">expresses its concern over the failure to </w:t>
      </w:r>
      <w:r w:rsidR="00FE5E37" w:rsidRPr="00B90432">
        <w:rPr>
          <w:rFonts w:asciiTheme="minorHAnsi" w:hAnsiTheme="minorHAnsi"/>
        </w:rPr>
        <w:t xml:space="preserve">respond to </w:t>
      </w:r>
      <w:r w:rsidR="001326D2" w:rsidRPr="00B90432">
        <w:rPr>
          <w:rFonts w:asciiTheme="minorHAnsi" w:hAnsiTheme="minorHAnsi"/>
        </w:rPr>
        <w:t xml:space="preserve">these </w:t>
      </w:r>
      <w:r w:rsidR="008B2B85" w:rsidRPr="00B90432">
        <w:rPr>
          <w:rFonts w:asciiTheme="minorHAnsi" w:hAnsiTheme="minorHAnsi"/>
        </w:rPr>
        <w:t>ap</w:t>
      </w:r>
      <w:r w:rsidR="0077652D" w:rsidRPr="00B90432">
        <w:rPr>
          <w:rFonts w:asciiTheme="minorHAnsi" w:hAnsiTheme="minorHAnsi"/>
        </w:rPr>
        <w:t>peals.</w:t>
      </w:r>
      <w:r w:rsidR="002B31D7" w:rsidRPr="00B90432">
        <w:rPr>
          <w:rStyle w:val="FootnoteReference"/>
          <w:rFonts w:asciiTheme="minorHAnsi" w:hAnsiTheme="minorHAnsi"/>
          <w:sz w:val="22"/>
          <w:szCs w:val="22"/>
        </w:rPr>
        <w:footnoteReference w:id="246"/>
      </w:r>
      <w:r w:rsidR="0077652D" w:rsidRPr="00B90432">
        <w:rPr>
          <w:rFonts w:asciiTheme="minorHAnsi" w:hAnsiTheme="minorHAnsi"/>
        </w:rPr>
        <w:t xml:space="preserve"> The Commission will continue to mo</w:t>
      </w:r>
      <w:r w:rsidR="00C12FFE" w:rsidRPr="00B90432">
        <w:rPr>
          <w:rFonts w:asciiTheme="minorHAnsi" w:hAnsiTheme="minorHAnsi"/>
        </w:rPr>
        <w:t>nitor implementation of the PNR</w:t>
      </w:r>
      <w:r w:rsidR="0077652D" w:rsidRPr="00B90432">
        <w:rPr>
          <w:rFonts w:asciiTheme="minorHAnsi" w:hAnsiTheme="minorHAnsi"/>
        </w:rPr>
        <w:t xml:space="preserve"> in every w</w:t>
      </w:r>
      <w:r w:rsidRPr="00B90432">
        <w:rPr>
          <w:rFonts w:asciiTheme="minorHAnsi" w:hAnsiTheme="minorHAnsi"/>
        </w:rPr>
        <w:t>ay and every form of reparation. The IACHR</w:t>
      </w:r>
      <w:r w:rsidR="0077652D" w:rsidRPr="00B90432">
        <w:rPr>
          <w:rFonts w:asciiTheme="minorHAnsi" w:hAnsiTheme="minorHAnsi"/>
        </w:rPr>
        <w:t xml:space="preserve"> urges the State to meet its obligations in accordance with both the Peace Accords and </w:t>
      </w:r>
      <w:r w:rsidR="0028543B" w:rsidRPr="00B90432">
        <w:rPr>
          <w:rFonts w:asciiTheme="minorHAnsi" w:hAnsiTheme="minorHAnsi"/>
        </w:rPr>
        <w:t xml:space="preserve">domestic and international law, as well as </w:t>
      </w:r>
      <w:r w:rsidR="00CD16D6" w:rsidRPr="00B90432">
        <w:rPr>
          <w:rFonts w:asciiTheme="minorHAnsi" w:hAnsiTheme="minorHAnsi"/>
        </w:rPr>
        <w:t>to launch</w:t>
      </w:r>
      <w:r w:rsidR="0028543B" w:rsidRPr="00B90432">
        <w:rPr>
          <w:rFonts w:asciiTheme="minorHAnsi" w:hAnsiTheme="minorHAnsi"/>
        </w:rPr>
        <w:t xml:space="preserve"> the National Commission to Search for Disappeared Persons. </w:t>
      </w:r>
    </w:p>
    <w:p w14:paraId="60BEB3C2" w14:textId="77777777" w:rsidR="00B40D2B" w:rsidRDefault="00B40D2B" w:rsidP="006F4717">
      <w:pPr>
        <w:pStyle w:val="Numberedparagraphs"/>
        <w:numPr>
          <w:ilvl w:val="0"/>
          <w:numId w:val="0"/>
        </w:numPr>
        <w:ind w:left="547" w:hanging="547"/>
        <w:rPr>
          <w:rFonts w:asciiTheme="minorHAnsi" w:hAnsiTheme="minorHAnsi"/>
        </w:rPr>
        <w:sectPr w:rsidR="00B40D2B" w:rsidSect="00450424">
          <w:headerReference w:type="default" r:id="rId39"/>
          <w:footerReference w:type="default" r:id="rId40"/>
          <w:type w:val="oddPage"/>
          <w:pgSz w:w="10080" w:h="14400" w:code="13"/>
          <w:pgMar w:top="1152" w:right="1152" w:bottom="1152" w:left="1296" w:header="720" w:footer="720" w:gutter="0"/>
          <w:cols w:space="720"/>
          <w:docGrid w:linePitch="360"/>
        </w:sectPr>
      </w:pPr>
    </w:p>
    <w:p w14:paraId="0208FBE6" w14:textId="37DB46FF" w:rsidR="00B40D2B" w:rsidRPr="00823419" w:rsidRDefault="00823419" w:rsidP="00823419">
      <w:pPr>
        <w:pStyle w:val="Title"/>
        <w:rPr>
          <w:color w:val="808080" w:themeColor="background1" w:themeShade="80"/>
          <w:sz w:val="44"/>
          <w:szCs w:val="44"/>
          <w:lang w:val="en-US"/>
        </w:rPr>
      </w:pPr>
      <w:bookmarkStart w:id="39" w:name="_Toc509827641"/>
      <w:r w:rsidRPr="00823419">
        <w:rPr>
          <w:color w:val="808080" w:themeColor="background1" w:themeShade="80"/>
          <w:sz w:val="44"/>
          <w:szCs w:val="44"/>
          <w:lang w:val="en-US"/>
        </w:rPr>
        <w:lastRenderedPageBreak/>
        <w:t>CHAPTER 3</w:t>
      </w:r>
      <w:bookmarkEnd w:id="39"/>
    </w:p>
    <w:p w14:paraId="2F4CFEE4" w14:textId="43C49CA8" w:rsidR="00823419" w:rsidRPr="00823419" w:rsidRDefault="00823419" w:rsidP="00823419">
      <w:pPr>
        <w:pStyle w:val="Title"/>
        <w:rPr>
          <w:lang w:val="en-US"/>
        </w:rPr>
        <w:sectPr w:rsidR="00823419" w:rsidRPr="00823419" w:rsidSect="00823419">
          <w:headerReference w:type="default" r:id="rId41"/>
          <w:footerReference w:type="default" r:id="rId42"/>
          <w:type w:val="oddPage"/>
          <w:pgSz w:w="10080" w:h="14400" w:code="13"/>
          <w:pgMar w:top="1152" w:right="1152" w:bottom="1152" w:left="1296" w:header="720" w:footer="720" w:gutter="0"/>
          <w:cols w:space="720"/>
          <w:vAlign w:val="center"/>
          <w:docGrid w:linePitch="360"/>
        </w:sectPr>
      </w:pPr>
      <w:bookmarkStart w:id="40" w:name="_Toc509827642"/>
      <w:r w:rsidRPr="00823419">
        <w:rPr>
          <w:lang w:val="en-US"/>
        </w:rPr>
        <w:t>SITUATION OF HUMAN RIGHTS DEFENDERS AND JUSTICE OPERATORS</w:t>
      </w:r>
      <w:bookmarkEnd w:id="40"/>
    </w:p>
    <w:p w14:paraId="33842BCF" w14:textId="77777777" w:rsidR="00A937D5" w:rsidRPr="00B40D2B" w:rsidRDefault="00433B25" w:rsidP="003D17BA">
      <w:pPr>
        <w:pStyle w:val="Heading1"/>
        <w:rPr>
          <w:lang w:val="en-US"/>
        </w:rPr>
      </w:pPr>
      <w:bookmarkStart w:id="41" w:name="_Toc509827643"/>
      <w:r w:rsidRPr="00B40D2B">
        <w:rPr>
          <w:lang w:val="en-US"/>
        </w:rPr>
        <w:lastRenderedPageBreak/>
        <w:t xml:space="preserve">SITUATION OF HUMAN RIGHTS DEFENDERS AND </w:t>
      </w:r>
      <w:r w:rsidR="00A56740" w:rsidRPr="00B40D2B">
        <w:rPr>
          <w:lang w:val="en-US"/>
        </w:rPr>
        <w:t xml:space="preserve">JUSTICE </w:t>
      </w:r>
      <w:r w:rsidRPr="00B40D2B">
        <w:rPr>
          <w:lang w:val="en-US"/>
        </w:rPr>
        <w:t>OPERATORS</w:t>
      </w:r>
      <w:bookmarkEnd w:id="41"/>
      <w:r w:rsidRPr="00B40D2B">
        <w:rPr>
          <w:lang w:val="en-US"/>
        </w:rPr>
        <w:t xml:space="preserve"> </w:t>
      </w:r>
    </w:p>
    <w:p w14:paraId="70916AB4" w14:textId="6D68431C" w:rsidR="0041678D" w:rsidRPr="00B90432" w:rsidRDefault="00AF6308" w:rsidP="0085755A">
      <w:pPr>
        <w:pStyle w:val="Heading2"/>
        <w:numPr>
          <w:ilvl w:val="0"/>
          <w:numId w:val="7"/>
        </w:numPr>
        <w:ind w:left="540" w:hanging="540"/>
      </w:pPr>
      <w:bookmarkStart w:id="42" w:name="_Toc509827644"/>
      <w:r w:rsidRPr="00B90432">
        <w:t>Huma</w:t>
      </w:r>
      <w:r w:rsidR="00B40D2B">
        <w:t>n Rights Defenders</w:t>
      </w:r>
      <w:bookmarkEnd w:id="42"/>
    </w:p>
    <w:p w14:paraId="15B778AC" w14:textId="77777777" w:rsidR="005D4E9A" w:rsidRPr="00B90432" w:rsidRDefault="00BC74CF" w:rsidP="006F4717">
      <w:pPr>
        <w:pStyle w:val="Numberedparagraphs"/>
        <w:rPr>
          <w:rFonts w:asciiTheme="minorHAnsi" w:hAnsiTheme="minorHAnsi"/>
        </w:rPr>
      </w:pPr>
      <w:r w:rsidRPr="00B90432">
        <w:rPr>
          <w:rFonts w:asciiTheme="minorHAnsi" w:hAnsiTheme="minorHAnsi"/>
        </w:rPr>
        <w:t xml:space="preserve">The situation of human rights defenders in Guatemala has been a source of constant concern to the IACHR because of the acts of violence and </w:t>
      </w:r>
      <w:r w:rsidR="00A6429C" w:rsidRPr="00B90432">
        <w:rPr>
          <w:rFonts w:asciiTheme="minorHAnsi" w:hAnsiTheme="minorHAnsi"/>
        </w:rPr>
        <w:t xml:space="preserve">attacks </w:t>
      </w:r>
      <w:r w:rsidRPr="00B90432">
        <w:rPr>
          <w:rFonts w:asciiTheme="minorHAnsi" w:hAnsiTheme="minorHAnsi"/>
        </w:rPr>
        <w:t xml:space="preserve">to which they are constantly exposed, which range from murders, to repeated threats, harassment, criminalization and bullying. </w:t>
      </w:r>
      <w:r w:rsidR="00BC15FD" w:rsidRPr="00B90432">
        <w:rPr>
          <w:rFonts w:asciiTheme="minorHAnsi" w:hAnsiTheme="minorHAnsi"/>
        </w:rPr>
        <w:t xml:space="preserve">In its 2015 Country Report, the IACHR voiced this concern, in particular, with respect to persons </w:t>
      </w:r>
      <w:r w:rsidR="00E64A95" w:rsidRPr="00B90432">
        <w:rPr>
          <w:rFonts w:asciiTheme="minorHAnsi" w:hAnsiTheme="minorHAnsi"/>
        </w:rPr>
        <w:t xml:space="preserve">who defend the rights of indigenous peoples, </w:t>
      </w:r>
      <w:r w:rsidR="0094612D" w:rsidRPr="00B90432">
        <w:rPr>
          <w:rFonts w:asciiTheme="minorHAnsi" w:hAnsiTheme="minorHAnsi"/>
        </w:rPr>
        <w:t xml:space="preserve">to </w:t>
      </w:r>
      <w:r w:rsidR="00E64A95" w:rsidRPr="00B90432">
        <w:rPr>
          <w:rFonts w:asciiTheme="minorHAnsi" w:hAnsiTheme="minorHAnsi"/>
        </w:rPr>
        <w:t xml:space="preserve">land ownership and a healthy environment, the rights of victims of the internal armed conflict and of workers. The IACHR also underscored the excessive and unjustified use of criminal law against human rights defenders, on allegedly </w:t>
      </w:r>
      <w:r w:rsidR="002208A4" w:rsidRPr="00B90432">
        <w:rPr>
          <w:rFonts w:asciiTheme="minorHAnsi" w:hAnsiTheme="minorHAnsi"/>
        </w:rPr>
        <w:t xml:space="preserve">unfounded </w:t>
      </w:r>
      <w:r w:rsidR="00E64A95" w:rsidRPr="00B90432">
        <w:rPr>
          <w:rFonts w:asciiTheme="minorHAnsi" w:hAnsiTheme="minorHAnsi"/>
        </w:rPr>
        <w:t>charges, arbitrary arrests and the protracted use of pre-t</w:t>
      </w:r>
      <w:r w:rsidR="00682CB4" w:rsidRPr="00B90432">
        <w:rPr>
          <w:rFonts w:asciiTheme="minorHAnsi" w:hAnsiTheme="minorHAnsi"/>
        </w:rPr>
        <w:t>rial detention, in particular, with respect to</w:t>
      </w:r>
      <w:r w:rsidR="00E64A95" w:rsidRPr="00B90432">
        <w:rPr>
          <w:rFonts w:asciiTheme="minorHAnsi" w:hAnsiTheme="minorHAnsi"/>
        </w:rPr>
        <w:t xml:space="preserve"> indigenous leaders and authorities. Another important caus</w:t>
      </w:r>
      <w:r w:rsidR="008F2FBD" w:rsidRPr="00B90432">
        <w:rPr>
          <w:rFonts w:asciiTheme="minorHAnsi" w:hAnsiTheme="minorHAnsi"/>
        </w:rPr>
        <w:t>e for concern in the country is</w:t>
      </w:r>
      <w:r w:rsidR="00B67E56" w:rsidRPr="00B90432">
        <w:rPr>
          <w:rFonts w:asciiTheme="minorHAnsi" w:hAnsiTheme="minorHAnsi"/>
        </w:rPr>
        <w:t xml:space="preserve"> the stigmatization and slander </w:t>
      </w:r>
      <w:r w:rsidR="00A87D05" w:rsidRPr="00B90432">
        <w:rPr>
          <w:rFonts w:asciiTheme="minorHAnsi" w:hAnsiTheme="minorHAnsi"/>
        </w:rPr>
        <w:t>of human rights defenders, which undermines their reputati</w:t>
      </w:r>
      <w:r w:rsidR="006E561F" w:rsidRPr="00B90432">
        <w:rPr>
          <w:rFonts w:asciiTheme="minorHAnsi" w:hAnsiTheme="minorHAnsi"/>
        </w:rPr>
        <w:t xml:space="preserve">on in society and takes legitimacy away from the social struggle. </w:t>
      </w:r>
    </w:p>
    <w:p w14:paraId="3A9D2CEF" w14:textId="77777777" w:rsidR="005E42C3" w:rsidRPr="00B90432" w:rsidRDefault="00EA61D4" w:rsidP="006F4717">
      <w:pPr>
        <w:pStyle w:val="Numberedparagraphs"/>
        <w:rPr>
          <w:rFonts w:asciiTheme="minorHAnsi" w:hAnsiTheme="minorHAnsi"/>
        </w:rPr>
      </w:pPr>
      <w:r w:rsidRPr="00B90432">
        <w:rPr>
          <w:rFonts w:asciiTheme="minorHAnsi" w:hAnsiTheme="minorHAnsi"/>
        </w:rPr>
        <w:t xml:space="preserve">During its on-site visit, the Commission ascertained the situation described above. Attacks and murders have been on the rise in the country </w:t>
      </w:r>
      <w:r w:rsidR="00DC6B26" w:rsidRPr="00B90432">
        <w:rPr>
          <w:rFonts w:asciiTheme="minorHAnsi" w:hAnsiTheme="minorHAnsi"/>
        </w:rPr>
        <w:t>since 2016</w:t>
      </w:r>
      <w:r w:rsidR="00617BF5" w:rsidRPr="00B90432">
        <w:rPr>
          <w:rFonts w:asciiTheme="minorHAnsi" w:hAnsiTheme="minorHAnsi"/>
        </w:rPr>
        <w:t>.</w:t>
      </w:r>
      <w:r w:rsidR="00DC6B26" w:rsidRPr="00B90432">
        <w:rPr>
          <w:rFonts w:asciiTheme="minorHAnsi" w:hAnsiTheme="minorHAnsi"/>
        </w:rPr>
        <w:t xml:space="preserve"> The</w:t>
      </w:r>
      <w:r w:rsidR="0044042E" w:rsidRPr="00B90432">
        <w:rPr>
          <w:rFonts w:asciiTheme="minorHAnsi" w:hAnsiTheme="minorHAnsi"/>
        </w:rPr>
        <w:t xml:space="preserve"> Unit for the Protection of</w:t>
      </w:r>
      <w:r w:rsidR="00DC6B26" w:rsidRPr="00B90432">
        <w:rPr>
          <w:rFonts w:asciiTheme="minorHAnsi" w:hAnsiTheme="minorHAnsi"/>
        </w:rPr>
        <w:t xml:space="preserve"> Human Rights Defender</w:t>
      </w:r>
      <w:r w:rsidR="0044042E" w:rsidRPr="00B90432">
        <w:rPr>
          <w:rFonts w:asciiTheme="minorHAnsi" w:hAnsiTheme="minorHAnsi"/>
        </w:rPr>
        <w:t>s in Guatemala</w:t>
      </w:r>
      <w:r w:rsidR="00DC6B26" w:rsidRPr="00B90432">
        <w:rPr>
          <w:rFonts w:asciiTheme="minorHAnsi" w:hAnsiTheme="minorHAnsi"/>
        </w:rPr>
        <w:t xml:space="preserve"> </w:t>
      </w:r>
      <w:r w:rsidR="00617BF5" w:rsidRPr="00B90432">
        <w:rPr>
          <w:rFonts w:asciiTheme="minorHAnsi" w:hAnsiTheme="minorHAnsi"/>
        </w:rPr>
        <w:t xml:space="preserve">(UDEFEGUA) </w:t>
      </w:r>
      <w:r w:rsidR="00DC6B26" w:rsidRPr="00B90432">
        <w:rPr>
          <w:rFonts w:asciiTheme="minorHAnsi" w:hAnsiTheme="minorHAnsi"/>
        </w:rPr>
        <w:t xml:space="preserve">reported from January to June 2017 a total of 236 </w:t>
      </w:r>
      <w:r w:rsidR="0051257D" w:rsidRPr="00B90432">
        <w:rPr>
          <w:rFonts w:asciiTheme="minorHAnsi" w:hAnsiTheme="minorHAnsi"/>
        </w:rPr>
        <w:t xml:space="preserve">attacks </w:t>
      </w:r>
      <w:r w:rsidR="0064530A" w:rsidRPr="00B90432">
        <w:rPr>
          <w:rFonts w:asciiTheme="minorHAnsi" w:hAnsiTheme="minorHAnsi"/>
        </w:rPr>
        <w:t xml:space="preserve">on human rights defenders, which include processes of criminalization, acts of slander and defamation of character, arbitrary detention and </w:t>
      </w:r>
      <w:r w:rsidR="008A0F59" w:rsidRPr="00B90432">
        <w:rPr>
          <w:rFonts w:asciiTheme="minorHAnsi" w:hAnsiTheme="minorHAnsi"/>
        </w:rPr>
        <w:t xml:space="preserve">filing of </w:t>
      </w:r>
      <w:r w:rsidR="00BF1BCE" w:rsidRPr="00B90432">
        <w:rPr>
          <w:rFonts w:asciiTheme="minorHAnsi" w:hAnsiTheme="minorHAnsi"/>
        </w:rPr>
        <w:t>complaints</w:t>
      </w:r>
      <w:r w:rsidR="00132523" w:rsidRPr="00B90432">
        <w:rPr>
          <w:rFonts w:asciiTheme="minorHAnsi" w:hAnsiTheme="minorHAnsi"/>
        </w:rPr>
        <w:t xml:space="preserve"> with the courts</w:t>
      </w:r>
      <w:r w:rsidR="00BF1BCE" w:rsidRPr="00B90432">
        <w:rPr>
          <w:rFonts w:asciiTheme="minorHAnsi" w:hAnsiTheme="minorHAnsi"/>
        </w:rPr>
        <w:t xml:space="preserve">. This figure is 89.73% of all </w:t>
      </w:r>
      <w:r w:rsidR="004454CF" w:rsidRPr="00B90432">
        <w:rPr>
          <w:rFonts w:asciiTheme="minorHAnsi" w:hAnsiTheme="minorHAnsi"/>
        </w:rPr>
        <w:t xml:space="preserve">attacks </w:t>
      </w:r>
      <w:r w:rsidR="00BF1BCE" w:rsidRPr="00B90432">
        <w:rPr>
          <w:rFonts w:asciiTheme="minorHAnsi" w:hAnsiTheme="minorHAnsi"/>
        </w:rPr>
        <w:t>reported over all of 2016, which total</w:t>
      </w:r>
      <w:r w:rsidR="0063207E" w:rsidRPr="00B90432">
        <w:rPr>
          <w:rFonts w:asciiTheme="minorHAnsi" w:hAnsiTheme="minorHAnsi"/>
        </w:rPr>
        <w:t>ed</w:t>
      </w:r>
      <w:r w:rsidR="00BF1BCE" w:rsidRPr="00B90432">
        <w:rPr>
          <w:rFonts w:asciiTheme="minorHAnsi" w:hAnsiTheme="minorHAnsi"/>
        </w:rPr>
        <w:t xml:space="preserve"> </w:t>
      </w:r>
      <w:r w:rsidR="00617BF5" w:rsidRPr="00B90432">
        <w:rPr>
          <w:rFonts w:asciiTheme="minorHAnsi" w:hAnsiTheme="minorHAnsi"/>
        </w:rPr>
        <w:t>253</w:t>
      </w:r>
      <w:r w:rsidR="00BF1BCE" w:rsidRPr="00B90432">
        <w:rPr>
          <w:rFonts w:asciiTheme="minorHAnsi" w:hAnsiTheme="minorHAnsi"/>
        </w:rPr>
        <w:t>.</w:t>
      </w:r>
      <w:r w:rsidR="00617BF5" w:rsidRPr="00B90432">
        <w:rPr>
          <w:rFonts w:asciiTheme="minorHAnsi" w:hAnsiTheme="minorHAnsi"/>
          <w:vertAlign w:val="superscript"/>
        </w:rPr>
        <w:footnoteReference w:id="247"/>
      </w:r>
    </w:p>
    <w:p w14:paraId="3AD1AD7B" w14:textId="77777777" w:rsidR="00F91017" w:rsidRPr="00B90432" w:rsidRDefault="00084127" w:rsidP="006F4717">
      <w:pPr>
        <w:pStyle w:val="Numberedparagraphs"/>
        <w:rPr>
          <w:rFonts w:asciiTheme="minorHAnsi" w:hAnsiTheme="minorHAnsi"/>
        </w:rPr>
      </w:pPr>
      <w:r w:rsidRPr="00B90432">
        <w:rPr>
          <w:rFonts w:asciiTheme="minorHAnsi" w:hAnsiTheme="minorHAnsi"/>
        </w:rPr>
        <w:t xml:space="preserve">In the first half of 2017 alone, </w:t>
      </w:r>
      <w:r w:rsidR="001E2DAC" w:rsidRPr="00B90432">
        <w:rPr>
          <w:rFonts w:asciiTheme="minorHAnsi" w:hAnsiTheme="minorHAnsi"/>
        </w:rPr>
        <w:t xml:space="preserve">UDEFEGUA </w:t>
      </w:r>
      <w:r w:rsidR="004D164E" w:rsidRPr="00B90432">
        <w:rPr>
          <w:rFonts w:asciiTheme="minorHAnsi" w:hAnsiTheme="minorHAnsi"/>
        </w:rPr>
        <w:t xml:space="preserve">reported that the number of assaults on persons who defend human rights linked to the defense of the environment, nature, natural resources and water, </w:t>
      </w:r>
      <w:r w:rsidR="00B331FA" w:rsidRPr="00B90432">
        <w:rPr>
          <w:rFonts w:asciiTheme="minorHAnsi" w:hAnsiTheme="minorHAnsi"/>
        </w:rPr>
        <w:t xml:space="preserve">rose to 72, as compared </w:t>
      </w:r>
      <w:r w:rsidR="00B331FA" w:rsidRPr="00B90432">
        <w:rPr>
          <w:rFonts w:asciiTheme="minorHAnsi" w:hAnsiTheme="minorHAnsi"/>
        </w:rPr>
        <w:lastRenderedPageBreak/>
        <w:t xml:space="preserve">to the total of 37 assaults targeting this group </w:t>
      </w:r>
      <w:r w:rsidR="001113E6" w:rsidRPr="00B90432">
        <w:rPr>
          <w:rFonts w:asciiTheme="minorHAnsi" w:hAnsiTheme="minorHAnsi"/>
        </w:rPr>
        <w:t>in all of 2016.</w:t>
      </w:r>
      <w:r w:rsidR="001E2DAC" w:rsidRPr="00B90432">
        <w:rPr>
          <w:rFonts w:asciiTheme="minorHAnsi" w:hAnsiTheme="minorHAnsi"/>
          <w:vertAlign w:val="superscript"/>
        </w:rPr>
        <w:footnoteReference w:id="248"/>
      </w:r>
      <w:r w:rsidR="00241E21" w:rsidRPr="00B90432">
        <w:rPr>
          <w:rFonts w:asciiTheme="minorHAnsi" w:hAnsiTheme="minorHAnsi"/>
        </w:rPr>
        <w:t xml:space="preserve"> On June</w:t>
      </w:r>
      <w:r w:rsidR="001E2DAC" w:rsidRPr="00B90432">
        <w:rPr>
          <w:rFonts w:asciiTheme="minorHAnsi" w:hAnsiTheme="minorHAnsi"/>
        </w:rPr>
        <w:t xml:space="preserve"> 30</w:t>
      </w:r>
      <w:r w:rsidR="00241E21" w:rsidRPr="00B90432">
        <w:rPr>
          <w:rFonts w:asciiTheme="minorHAnsi" w:hAnsiTheme="minorHAnsi"/>
        </w:rPr>
        <w:t>,</w:t>
      </w:r>
      <w:r w:rsidR="001E2DAC" w:rsidRPr="00B90432">
        <w:rPr>
          <w:rFonts w:asciiTheme="minorHAnsi" w:hAnsiTheme="minorHAnsi"/>
        </w:rPr>
        <w:t xml:space="preserve"> 2017, </w:t>
      </w:r>
      <w:r w:rsidR="00241E21" w:rsidRPr="00B90432">
        <w:rPr>
          <w:rFonts w:asciiTheme="minorHAnsi" w:hAnsiTheme="minorHAnsi"/>
        </w:rPr>
        <w:t>a group of United Nations Rapporteurs, in conjunction with the IACHR, condemn</w:t>
      </w:r>
      <w:r w:rsidR="000D2218" w:rsidRPr="00B90432">
        <w:rPr>
          <w:rFonts w:asciiTheme="minorHAnsi" w:hAnsiTheme="minorHAnsi"/>
        </w:rPr>
        <w:t>ed</w:t>
      </w:r>
      <w:r w:rsidR="00241E21" w:rsidRPr="00B90432">
        <w:rPr>
          <w:rFonts w:asciiTheme="minorHAnsi" w:hAnsiTheme="minorHAnsi"/>
        </w:rPr>
        <w:t xml:space="preserve"> the attacks and murders of environmental rights defenders in Guatemala and announced that they are the most at-risk defenders in the world, because of their efforts to defen</w:t>
      </w:r>
      <w:r w:rsidR="005942AC" w:rsidRPr="00B90432">
        <w:rPr>
          <w:rFonts w:asciiTheme="minorHAnsi" w:hAnsiTheme="minorHAnsi"/>
        </w:rPr>
        <w:t>d territory and the environment</w:t>
      </w:r>
      <w:r w:rsidR="00241E21" w:rsidRPr="00B90432">
        <w:rPr>
          <w:rFonts w:asciiTheme="minorHAnsi" w:hAnsiTheme="minorHAnsi"/>
        </w:rPr>
        <w:t xml:space="preserve"> from large scale projects, which threaten their right to a healthy environment.</w:t>
      </w:r>
      <w:r w:rsidR="001E2DAC" w:rsidRPr="00B90432">
        <w:rPr>
          <w:rFonts w:asciiTheme="minorHAnsi" w:hAnsiTheme="minorHAnsi"/>
          <w:vertAlign w:val="superscript"/>
        </w:rPr>
        <w:footnoteReference w:id="249"/>
      </w:r>
      <w:r w:rsidR="001E2DAC" w:rsidRPr="00B90432">
        <w:rPr>
          <w:rFonts w:asciiTheme="minorHAnsi" w:hAnsiTheme="minorHAnsi"/>
        </w:rPr>
        <w:t xml:space="preserve">  </w:t>
      </w:r>
    </w:p>
    <w:p w14:paraId="18F92DAA" w14:textId="77777777" w:rsidR="00775AB0" w:rsidRPr="00B90432" w:rsidRDefault="00D55BEC" w:rsidP="006F4717">
      <w:pPr>
        <w:pStyle w:val="Numberedparagraphs"/>
        <w:rPr>
          <w:rFonts w:asciiTheme="minorHAnsi" w:hAnsiTheme="minorHAnsi"/>
        </w:rPr>
      </w:pPr>
      <w:r w:rsidRPr="00B90432">
        <w:rPr>
          <w:rFonts w:asciiTheme="minorHAnsi" w:hAnsiTheme="minorHAnsi"/>
        </w:rPr>
        <w:t>The Department of Guatemala posts the highest number of acts of violence in general, with 111 attacks reported</w:t>
      </w:r>
      <w:r w:rsidR="00E10780" w:rsidRPr="00B90432">
        <w:rPr>
          <w:rFonts w:asciiTheme="minorHAnsi" w:hAnsiTheme="minorHAnsi"/>
        </w:rPr>
        <w:t xml:space="preserve"> from January to June</w:t>
      </w:r>
      <w:r w:rsidRPr="00B90432">
        <w:rPr>
          <w:rFonts w:asciiTheme="minorHAnsi" w:hAnsiTheme="minorHAnsi"/>
        </w:rPr>
        <w:t xml:space="preserve"> </w:t>
      </w:r>
      <w:r w:rsidR="00F91017" w:rsidRPr="00B90432">
        <w:rPr>
          <w:rFonts w:asciiTheme="minorHAnsi" w:hAnsiTheme="minorHAnsi"/>
        </w:rPr>
        <w:t xml:space="preserve">2017.  </w:t>
      </w:r>
      <w:r w:rsidR="00990B16" w:rsidRPr="00B90432">
        <w:rPr>
          <w:rFonts w:asciiTheme="minorHAnsi" w:hAnsiTheme="minorHAnsi"/>
        </w:rPr>
        <w:t>Elsewhere, in the western high plain</w:t>
      </w:r>
      <w:r w:rsidR="00C16EEA" w:rsidRPr="00B90432">
        <w:rPr>
          <w:rFonts w:asciiTheme="minorHAnsi" w:hAnsiTheme="minorHAnsi"/>
        </w:rPr>
        <w:t>s region (</w:t>
      </w:r>
      <w:r w:rsidR="00C16EEA" w:rsidRPr="00B90432">
        <w:rPr>
          <w:rFonts w:asciiTheme="minorHAnsi" w:hAnsiTheme="minorHAnsi"/>
          <w:i/>
        </w:rPr>
        <w:t>Altiplano Occidental</w:t>
      </w:r>
      <w:r w:rsidR="00C16EEA" w:rsidRPr="00B90432">
        <w:rPr>
          <w:rFonts w:asciiTheme="minorHAnsi" w:hAnsiTheme="minorHAnsi"/>
        </w:rPr>
        <w:t>), a total of 48 attacks on human rights defenders were reported. Likewise, in the northeast region (encompassing Alta and</w:t>
      </w:r>
      <w:r w:rsidR="00F91017" w:rsidRPr="00B90432">
        <w:rPr>
          <w:rFonts w:asciiTheme="minorHAnsi" w:hAnsiTheme="minorHAnsi"/>
        </w:rPr>
        <w:t xml:space="preserve"> Baja Verapaz, Petén, Chiquimula, Jutiapa, Jalapa, S</w:t>
      </w:r>
      <w:r w:rsidR="00C16EEA" w:rsidRPr="00B90432">
        <w:rPr>
          <w:rFonts w:asciiTheme="minorHAnsi" w:hAnsiTheme="minorHAnsi"/>
        </w:rPr>
        <w:t>anta Rosa, Izabal, El Progreso and</w:t>
      </w:r>
      <w:r w:rsidR="00F91017" w:rsidRPr="00B90432">
        <w:rPr>
          <w:rFonts w:asciiTheme="minorHAnsi" w:hAnsiTheme="minorHAnsi"/>
        </w:rPr>
        <w:t xml:space="preserve"> Zacapa)</w:t>
      </w:r>
      <w:r w:rsidR="00C16EEA" w:rsidRPr="00B90432">
        <w:rPr>
          <w:rFonts w:asciiTheme="minorHAnsi" w:hAnsiTheme="minorHAnsi"/>
        </w:rPr>
        <w:t xml:space="preserve">, 74 </w:t>
      </w:r>
      <w:r w:rsidR="00AF35D8" w:rsidRPr="00B90432">
        <w:rPr>
          <w:rFonts w:asciiTheme="minorHAnsi" w:hAnsiTheme="minorHAnsi"/>
        </w:rPr>
        <w:t xml:space="preserve">attacks </w:t>
      </w:r>
      <w:r w:rsidR="00C16EEA" w:rsidRPr="00B90432">
        <w:rPr>
          <w:rFonts w:asciiTheme="minorHAnsi" w:hAnsiTheme="minorHAnsi"/>
        </w:rPr>
        <w:t>were reported. Within this region, Alta and Baja Verapaz, Izabal and</w:t>
      </w:r>
      <w:r w:rsidR="00F91017" w:rsidRPr="00B90432">
        <w:rPr>
          <w:rFonts w:asciiTheme="minorHAnsi" w:hAnsiTheme="minorHAnsi"/>
        </w:rPr>
        <w:t xml:space="preserve"> Chiquimula </w:t>
      </w:r>
      <w:r w:rsidR="00C16EEA" w:rsidRPr="00B90432">
        <w:rPr>
          <w:rFonts w:asciiTheme="minorHAnsi" w:hAnsiTheme="minorHAnsi"/>
        </w:rPr>
        <w:t xml:space="preserve">would be the Departments </w:t>
      </w:r>
      <w:r w:rsidR="00D841C0" w:rsidRPr="00B90432">
        <w:rPr>
          <w:rFonts w:asciiTheme="minorHAnsi" w:hAnsiTheme="minorHAnsi"/>
        </w:rPr>
        <w:t xml:space="preserve">with the highest </w:t>
      </w:r>
      <w:r w:rsidR="006566BC" w:rsidRPr="00B90432">
        <w:rPr>
          <w:rFonts w:asciiTheme="minorHAnsi" w:hAnsiTheme="minorHAnsi"/>
        </w:rPr>
        <w:t xml:space="preserve">levels of worsening violence against human rights defenders, particularly </w:t>
      </w:r>
      <w:r w:rsidR="006C496C" w:rsidRPr="00B90432">
        <w:rPr>
          <w:rFonts w:asciiTheme="minorHAnsi" w:hAnsiTheme="minorHAnsi"/>
        </w:rPr>
        <w:t xml:space="preserve">in terms of </w:t>
      </w:r>
      <w:r w:rsidR="0084334E" w:rsidRPr="00B90432">
        <w:rPr>
          <w:rFonts w:asciiTheme="minorHAnsi" w:hAnsiTheme="minorHAnsi"/>
        </w:rPr>
        <w:t>criminalization of human rights</w:t>
      </w:r>
      <w:r w:rsidR="006566BC" w:rsidRPr="00B90432">
        <w:rPr>
          <w:rFonts w:asciiTheme="minorHAnsi" w:hAnsiTheme="minorHAnsi"/>
        </w:rPr>
        <w:t xml:space="preserve"> defense and murders.</w:t>
      </w:r>
      <w:r w:rsidR="00F91017" w:rsidRPr="00B90432">
        <w:rPr>
          <w:rFonts w:asciiTheme="minorHAnsi" w:hAnsiTheme="minorHAnsi"/>
          <w:vertAlign w:val="superscript"/>
        </w:rPr>
        <w:footnoteReference w:id="250"/>
      </w:r>
    </w:p>
    <w:p w14:paraId="2A598E67" w14:textId="77777777" w:rsidR="000F3DC7" w:rsidRPr="00B90432" w:rsidRDefault="00256DDF" w:rsidP="006F4717">
      <w:pPr>
        <w:pStyle w:val="Numberedparagraphs"/>
        <w:rPr>
          <w:rFonts w:asciiTheme="minorHAnsi" w:hAnsiTheme="minorHAnsi"/>
        </w:rPr>
      </w:pPr>
      <w:r w:rsidRPr="00B90432">
        <w:rPr>
          <w:rFonts w:asciiTheme="minorHAnsi" w:hAnsiTheme="minorHAnsi"/>
        </w:rPr>
        <w:t>The IACHR receiv</w:t>
      </w:r>
      <w:r w:rsidR="005671E1" w:rsidRPr="00B90432">
        <w:rPr>
          <w:rFonts w:asciiTheme="minorHAnsi" w:hAnsiTheme="minorHAnsi"/>
        </w:rPr>
        <w:t>ed troubling reports about the northern extractive r</w:t>
      </w:r>
      <w:r w:rsidRPr="00B90432">
        <w:rPr>
          <w:rFonts w:asciiTheme="minorHAnsi" w:hAnsiTheme="minorHAnsi"/>
        </w:rPr>
        <w:t xml:space="preserve">egion, which </w:t>
      </w:r>
      <w:r w:rsidR="009B13EB" w:rsidRPr="00B90432">
        <w:rPr>
          <w:rFonts w:asciiTheme="minorHAnsi" w:hAnsiTheme="minorHAnsi"/>
        </w:rPr>
        <w:t>encompasses</w:t>
      </w:r>
      <w:r w:rsidRPr="00B90432">
        <w:rPr>
          <w:rFonts w:asciiTheme="minorHAnsi" w:hAnsiTheme="minorHAnsi"/>
        </w:rPr>
        <w:t xml:space="preserve"> the Departments of Alta Verapaz and</w:t>
      </w:r>
      <w:r w:rsidR="000F3DC7" w:rsidRPr="00B90432">
        <w:rPr>
          <w:rFonts w:asciiTheme="minorHAnsi" w:hAnsiTheme="minorHAnsi"/>
        </w:rPr>
        <w:t xml:space="preserve"> Petén, </w:t>
      </w:r>
      <w:r w:rsidR="00186425" w:rsidRPr="00B90432">
        <w:rPr>
          <w:rFonts w:asciiTheme="minorHAnsi" w:hAnsiTheme="minorHAnsi"/>
        </w:rPr>
        <w:t>the region with the heaviest concentration of extractive industry and projects, wh</w:t>
      </w:r>
      <w:r w:rsidR="009B13EB" w:rsidRPr="00B90432">
        <w:rPr>
          <w:rFonts w:asciiTheme="minorHAnsi" w:hAnsiTheme="minorHAnsi"/>
        </w:rPr>
        <w:t>ich include monoculture and bio-</w:t>
      </w:r>
      <w:r w:rsidR="00186425" w:rsidRPr="00B90432">
        <w:rPr>
          <w:rFonts w:asciiTheme="minorHAnsi" w:hAnsiTheme="minorHAnsi"/>
        </w:rPr>
        <w:t xml:space="preserve">fuels, mining, </w:t>
      </w:r>
      <w:r w:rsidR="000C74C6" w:rsidRPr="00B90432">
        <w:rPr>
          <w:rFonts w:asciiTheme="minorHAnsi" w:hAnsiTheme="minorHAnsi"/>
        </w:rPr>
        <w:t xml:space="preserve">a </w:t>
      </w:r>
      <w:r w:rsidR="00186425" w:rsidRPr="00B90432">
        <w:rPr>
          <w:rFonts w:asciiTheme="minorHAnsi" w:hAnsiTheme="minorHAnsi"/>
        </w:rPr>
        <w:t>privatized model of protected areas, large scale hydroelectric dams</w:t>
      </w:r>
      <w:r w:rsidR="000C74C6" w:rsidRPr="00B90432">
        <w:rPr>
          <w:rFonts w:asciiTheme="minorHAnsi" w:hAnsiTheme="minorHAnsi"/>
        </w:rPr>
        <w:t xml:space="preserve">, construction and extension of the Franja Transversal Norte highway, among other ones. </w:t>
      </w:r>
      <w:r w:rsidR="00365397" w:rsidRPr="00B90432">
        <w:rPr>
          <w:rFonts w:asciiTheme="minorHAnsi" w:hAnsiTheme="minorHAnsi"/>
        </w:rPr>
        <w:t>Civil society organizations argued that these extractive industries and projects</w:t>
      </w:r>
      <w:r w:rsidR="00F57747" w:rsidRPr="00B90432">
        <w:rPr>
          <w:rFonts w:asciiTheme="minorHAnsi" w:hAnsiTheme="minorHAnsi"/>
        </w:rPr>
        <w:t xml:space="preserve"> have entailed environmental destruction, unlawful dispossession of common property and of land owned by </w:t>
      </w:r>
      <w:r w:rsidR="00F57747" w:rsidRPr="00B90432">
        <w:rPr>
          <w:rFonts w:asciiTheme="minorHAnsi" w:hAnsiTheme="minorHAnsi"/>
          <w:i/>
        </w:rPr>
        <w:t>campesinos</w:t>
      </w:r>
      <w:r w:rsidR="00F57747" w:rsidRPr="00B90432">
        <w:rPr>
          <w:rFonts w:asciiTheme="minorHAnsi" w:hAnsiTheme="minorHAnsi"/>
        </w:rPr>
        <w:t xml:space="preserve">, communities and families. </w:t>
      </w:r>
      <w:r w:rsidR="002448E3" w:rsidRPr="00B90432">
        <w:rPr>
          <w:rFonts w:asciiTheme="minorHAnsi" w:hAnsiTheme="minorHAnsi"/>
        </w:rPr>
        <w:t xml:space="preserve">There are around 30 hydroelectric projects underway in the region, which have not </w:t>
      </w:r>
      <w:r w:rsidR="00863709" w:rsidRPr="00B90432">
        <w:rPr>
          <w:rFonts w:asciiTheme="minorHAnsi" w:hAnsiTheme="minorHAnsi"/>
        </w:rPr>
        <w:t xml:space="preserve">fulfilled the requirement of </w:t>
      </w:r>
      <w:r w:rsidR="0084438F" w:rsidRPr="00B90432">
        <w:rPr>
          <w:rFonts w:asciiTheme="minorHAnsi" w:hAnsiTheme="minorHAnsi"/>
        </w:rPr>
        <w:t xml:space="preserve">a </w:t>
      </w:r>
      <w:r w:rsidR="00863709" w:rsidRPr="00B90432">
        <w:rPr>
          <w:rFonts w:asciiTheme="minorHAnsi" w:hAnsiTheme="minorHAnsi"/>
        </w:rPr>
        <w:t xml:space="preserve">prior, free and informed consultation with the </w:t>
      </w:r>
      <w:r w:rsidR="009B13EB" w:rsidRPr="00B90432">
        <w:rPr>
          <w:rFonts w:asciiTheme="minorHAnsi" w:hAnsiTheme="minorHAnsi"/>
        </w:rPr>
        <w:t>communities</w:t>
      </w:r>
      <w:r w:rsidR="00863709" w:rsidRPr="00B90432">
        <w:rPr>
          <w:rFonts w:asciiTheme="minorHAnsi" w:hAnsiTheme="minorHAnsi"/>
        </w:rPr>
        <w:t>, according to the information received by the Commission.</w:t>
      </w:r>
      <w:r w:rsidR="000F3DC7" w:rsidRPr="00B90432">
        <w:rPr>
          <w:rFonts w:asciiTheme="minorHAnsi" w:hAnsiTheme="minorHAnsi"/>
          <w:vertAlign w:val="superscript"/>
        </w:rPr>
        <w:footnoteReference w:id="251"/>
      </w:r>
    </w:p>
    <w:p w14:paraId="48B8CF5F" w14:textId="77777777" w:rsidR="00617BF5" w:rsidRPr="00B90432" w:rsidRDefault="00425D35" w:rsidP="006F4717">
      <w:pPr>
        <w:pStyle w:val="Numberedparagraphs"/>
        <w:rPr>
          <w:rFonts w:asciiTheme="minorHAnsi" w:hAnsiTheme="minorHAnsi"/>
        </w:rPr>
      </w:pPr>
      <w:r w:rsidRPr="00B90432">
        <w:rPr>
          <w:rFonts w:asciiTheme="minorHAnsi" w:hAnsiTheme="minorHAnsi"/>
        </w:rPr>
        <w:lastRenderedPageBreak/>
        <w:t>On another note, according to</w:t>
      </w:r>
      <w:r w:rsidR="001E7641" w:rsidRPr="00B90432">
        <w:rPr>
          <w:rFonts w:asciiTheme="minorHAnsi" w:hAnsiTheme="minorHAnsi"/>
        </w:rPr>
        <w:t xml:space="preserve"> the PDH, from 2016 to 2017, it continued to witness the</w:t>
      </w:r>
      <w:r w:rsidR="00B46CB1" w:rsidRPr="00B90432">
        <w:rPr>
          <w:rFonts w:asciiTheme="minorHAnsi" w:hAnsiTheme="minorHAnsi"/>
        </w:rPr>
        <w:t xml:space="preserve"> discourse and action </w:t>
      </w:r>
      <w:r w:rsidRPr="00B90432">
        <w:rPr>
          <w:rFonts w:asciiTheme="minorHAnsi" w:hAnsiTheme="minorHAnsi"/>
        </w:rPr>
        <w:t xml:space="preserve">of smearing and discrediting </w:t>
      </w:r>
      <w:r w:rsidR="009A6BB4" w:rsidRPr="00B90432">
        <w:rPr>
          <w:rFonts w:asciiTheme="minorHAnsi" w:hAnsiTheme="minorHAnsi"/>
        </w:rPr>
        <w:t xml:space="preserve">the work of </w:t>
      </w:r>
      <w:r w:rsidR="00DC268F" w:rsidRPr="00B90432">
        <w:rPr>
          <w:rFonts w:asciiTheme="minorHAnsi" w:hAnsiTheme="minorHAnsi"/>
        </w:rPr>
        <w:t>defenders, as well a</w:t>
      </w:r>
      <w:r w:rsidR="00FE1370" w:rsidRPr="00B90432">
        <w:rPr>
          <w:rFonts w:asciiTheme="minorHAnsi" w:hAnsiTheme="minorHAnsi"/>
        </w:rPr>
        <w:t xml:space="preserve">s </w:t>
      </w:r>
      <w:r w:rsidR="006715F9" w:rsidRPr="00B90432">
        <w:rPr>
          <w:rFonts w:asciiTheme="minorHAnsi" w:hAnsiTheme="minorHAnsi"/>
        </w:rPr>
        <w:t xml:space="preserve">some </w:t>
      </w:r>
      <w:r w:rsidR="00AB37D5" w:rsidRPr="00B90432">
        <w:rPr>
          <w:rFonts w:asciiTheme="minorHAnsi" w:hAnsiTheme="minorHAnsi"/>
        </w:rPr>
        <w:t xml:space="preserve">justice </w:t>
      </w:r>
      <w:r w:rsidR="006715F9" w:rsidRPr="00B90432">
        <w:rPr>
          <w:rFonts w:asciiTheme="minorHAnsi" w:hAnsiTheme="minorHAnsi"/>
        </w:rPr>
        <w:t xml:space="preserve">operators, especially district attorneys, </w:t>
      </w:r>
      <w:r w:rsidR="00FE1370" w:rsidRPr="00B90432">
        <w:rPr>
          <w:rFonts w:asciiTheme="minorHAnsi" w:hAnsiTheme="minorHAnsi"/>
        </w:rPr>
        <w:t>improper</w:t>
      </w:r>
      <w:r w:rsidR="006715F9" w:rsidRPr="00B90432">
        <w:rPr>
          <w:rFonts w:asciiTheme="minorHAnsi" w:hAnsiTheme="minorHAnsi"/>
        </w:rPr>
        <w:t>ly using</w:t>
      </w:r>
      <w:r w:rsidR="00FE1370" w:rsidRPr="00B90432">
        <w:rPr>
          <w:rFonts w:asciiTheme="minorHAnsi" w:hAnsiTheme="minorHAnsi"/>
        </w:rPr>
        <w:t xml:space="preserve"> criminal law to persecute and </w:t>
      </w:r>
      <w:r w:rsidR="00DC268F" w:rsidRPr="00B90432">
        <w:rPr>
          <w:rFonts w:asciiTheme="minorHAnsi" w:hAnsiTheme="minorHAnsi"/>
        </w:rPr>
        <w:t>take human rights defenders into custody.</w:t>
      </w:r>
      <w:r w:rsidR="001E2DAC" w:rsidRPr="00B90432">
        <w:rPr>
          <w:rFonts w:asciiTheme="minorHAnsi" w:hAnsiTheme="minorHAnsi"/>
          <w:vertAlign w:val="superscript"/>
        </w:rPr>
        <w:footnoteReference w:id="252"/>
      </w:r>
      <w:r w:rsidR="00062764" w:rsidRPr="00B90432">
        <w:rPr>
          <w:rFonts w:asciiTheme="minorHAnsi" w:hAnsiTheme="minorHAnsi"/>
        </w:rPr>
        <w:t xml:space="preserve"> The IACHR notes with concern that the State has still not established a Public </w:t>
      </w:r>
      <w:r w:rsidR="002A5315" w:rsidRPr="00B90432">
        <w:rPr>
          <w:rFonts w:asciiTheme="minorHAnsi" w:hAnsiTheme="minorHAnsi"/>
        </w:rPr>
        <w:t>Policy for the Protection of Human Rights Defenders</w:t>
      </w:r>
      <w:r w:rsidR="00062764" w:rsidRPr="00B90432">
        <w:rPr>
          <w:rFonts w:asciiTheme="minorHAnsi" w:hAnsiTheme="minorHAnsi"/>
        </w:rPr>
        <w:t xml:space="preserve">, in compliance with the judgment of the Inter-American Court of Human Rights in the case of </w:t>
      </w:r>
      <w:r w:rsidR="00062764" w:rsidRPr="00B90432">
        <w:rPr>
          <w:rFonts w:asciiTheme="minorHAnsi" w:hAnsiTheme="minorHAnsi"/>
          <w:i/>
        </w:rPr>
        <w:t>Human Rights Defender et al v</w:t>
      </w:r>
      <w:r w:rsidR="001E2DAC" w:rsidRPr="00B90432">
        <w:rPr>
          <w:rFonts w:asciiTheme="minorHAnsi" w:hAnsiTheme="minorHAnsi"/>
          <w:i/>
          <w:iCs/>
        </w:rPr>
        <w:t>.</w:t>
      </w:r>
      <w:r w:rsidR="001E2DAC" w:rsidRPr="00B90432">
        <w:rPr>
          <w:rFonts w:asciiTheme="minorHAnsi" w:hAnsiTheme="minorHAnsi"/>
        </w:rPr>
        <w:t xml:space="preserve"> </w:t>
      </w:r>
      <w:r w:rsidR="001E2DAC" w:rsidRPr="00B90432">
        <w:rPr>
          <w:rFonts w:asciiTheme="minorHAnsi" w:hAnsiTheme="minorHAnsi"/>
          <w:i/>
          <w:iCs/>
        </w:rPr>
        <w:t xml:space="preserve">Guatemala </w:t>
      </w:r>
      <w:r w:rsidR="00062764" w:rsidRPr="00B90432">
        <w:rPr>
          <w:rFonts w:asciiTheme="minorHAnsi" w:hAnsiTheme="minorHAnsi"/>
          <w:iCs/>
        </w:rPr>
        <w:t>directing it to do so, as is explained hereunder.</w:t>
      </w:r>
      <w:r w:rsidR="001E2DAC" w:rsidRPr="00B90432">
        <w:rPr>
          <w:rFonts w:asciiTheme="minorHAnsi" w:hAnsiTheme="minorHAnsi"/>
          <w:vertAlign w:val="superscript"/>
        </w:rPr>
        <w:footnoteReference w:id="253"/>
      </w:r>
    </w:p>
    <w:p w14:paraId="74F85410" w14:textId="77777777" w:rsidR="00617BF5" w:rsidRPr="00B90432" w:rsidRDefault="00CB22AB" w:rsidP="006F4717">
      <w:pPr>
        <w:pStyle w:val="Numberedparagraphs"/>
        <w:rPr>
          <w:rFonts w:asciiTheme="minorHAnsi" w:hAnsiTheme="minorHAnsi"/>
        </w:rPr>
      </w:pPr>
      <w:r w:rsidRPr="00B90432">
        <w:rPr>
          <w:rFonts w:asciiTheme="minorHAnsi" w:hAnsiTheme="minorHAnsi"/>
        </w:rPr>
        <w:t xml:space="preserve">Greater detail is provided below of the types of </w:t>
      </w:r>
      <w:r w:rsidR="005D4B70" w:rsidRPr="00B90432">
        <w:rPr>
          <w:rFonts w:asciiTheme="minorHAnsi" w:hAnsiTheme="minorHAnsi"/>
        </w:rPr>
        <w:t xml:space="preserve">acts of aggression </w:t>
      </w:r>
      <w:r w:rsidRPr="00B90432">
        <w:rPr>
          <w:rFonts w:asciiTheme="minorHAnsi" w:hAnsiTheme="minorHAnsi"/>
        </w:rPr>
        <w:t xml:space="preserve">faced by human rights defenders in Guatemala. </w:t>
      </w:r>
    </w:p>
    <w:p w14:paraId="75BDE0DF" w14:textId="390684E7" w:rsidR="00617BF5" w:rsidRPr="00B40D2B" w:rsidRDefault="005157ED" w:rsidP="0085755A">
      <w:pPr>
        <w:pStyle w:val="Heading3"/>
        <w:numPr>
          <w:ilvl w:val="0"/>
          <w:numId w:val="11"/>
        </w:numPr>
        <w:ind w:left="1080" w:hanging="540"/>
      </w:pPr>
      <w:bookmarkStart w:id="43" w:name="_Toc509827645"/>
      <w:r w:rsidRPr="00B40D2B">
        <w:t xml:space="preserve">Intimidation, </w:t>
      </w:r>
      <w:r w:rsidR="002C41EC" w:rsidRPr="00B40D2B">
        <w:t>Threats</w:t>
      </w:r>
      <w:r w:rsidRPr="00B40D2B">
        <w:t xml:space="preserve">, </w:t>
      </w:r>
      <w:r w:rsidR="002C41EC" w:rsidRPr="00B40D2B">
        <w:t xml:space="preserve">Attacks </w:t>
      </w:r>
      <w:r w:rsidRPr="00B40D2B">
        <w:t xml:space="preserve">and </w:t>
      </w:r>
      <w:r w:rsidR="002C41EC" w:rsidRPr="00B40D2B">
        <w:t>Murders</w:t>
      </w:r>
      <w:bookmarkEnd w:id="43"/>
    </w:p>
    <w:p w14:paraId="1068BCFB" w14:textId="77777777" w:rsidR="00617BF5" w:rsidRPr="00B90432" w:rsidRDefault="001C394F" w:rsidP="006F4717">
      <w:pPr>
        <w:pStyle w:val="Numberedparagraphs"/>
        <w:rPr>
          <w:rFonts w:asciiTheme="minorHAnsi" w:hAnsiTheme="minorHAnsi"/>
        </w:rPr>
      </w:pPr>
      <w:r w:rsidRPr="00B90432">
        <w:rPr>
          <w:rFonts w:asciiTheme="minorHAnsi" w:hAnsiTheme="minorHAnsi"/>
        </w:rPr>
        <w:t xml:space="preserve">The IACHR is alarmed at the rise in murders of human rights defenders. According to information reported by </w:t>
      </w:r>
      <w:r w:rsidR="00617BF5" w:rsidRPr="00B90432">
        <w:rPr>
          <w:rFonts w:asciiTheme="minorHAnsi" w:hAnsiTheme="minorHAnsi"/>
        </w:rPr>
        <w:t xml:space="preserve">UDEFEGUA, </w:t>
      </w:r>
      <w:r w:rsidR="00062C39" w:rsidRPr="00B90432">
        <w:rPr>
          <w:rFonts w:asciiTheme="minorHAnsi" w:hAnsiTheme="minorHAnsi"/>
        </w:rPr>
        <w:t xml:space="preserve">in </w:t>
      </w:r>
      <w:r w:rsidR="00617BF5" w:rsidRPr="00B90432">
        <w:rPr>
          <w:rFonts w:asciiTheme="minorHAnsi" w:hAnsiTheme="minorHAnsi"/>
        </w:rPr>
        <w:t>2016</w:t>
      </w:r>
      <w:r w:rsidR="00062C39" w:rsidRPr="00B90432">
        <w:rPr>
          <w:rFonts w:asciiTheme="minorHAnsi" w:hAnsiTheme="minorHAnsi"/>
        </w:rPr>
        <w:t>, a total of 14 murders were committed</w:t>
      </w:r>
      <w:r w:rsidR="00617BF5" w:rsidRPr="00B90432">
        <w:rPr>
          <w:rFonts w:asciiTheme="minorHAnsi" w:hAnsiTheme="minorHAnsi"/>
        </w:rPr>
        <w:t xml:space="preserve"> (4 </w:t>
      </w:r>
      <w:r w:rsidR="00062C39" w:rsidRPr="00B90432">
        <w:rPr>
          <w:rFonts w:asciiTheme="minorHAnsi" w:hAnsiTheme="minorHAnsi"/>
        </w:rPr>
        <w:t xml:space="preserve">women and </w:t>
      </w:r>
      <w:r w:rsidR="00617BF5" w:rsidRPr="00B90432">
        <w:rPr>
          <w:rFonts w:asciiTheme="minorHAnsi" w:hAnsiTheme="minorHAnsi"/>
        </w:rPr>
        <w:t xml:space="preserve">10 </w:t>
      </w:r>
      <w:r w:rsidR="00062C39" w:rsidRPr="00B90432">
        <w:rPr>
          <w:rFonts w:asciiTheme="minorHAnsi" w:hAnsiTheme="minorHAnsi"/>
        </w:rPr>
        <w:t>men</w:t>
      </w:r>
      <w:r w:rsidR="00617BF5" w:rsidRPr="00B90432">
        <w:rPr>
          <w:rFonts w:asciiTheme="minorHAnsi" w:hAnsiTheme="minorHAnsi"/>
        </w:rPr>
        <w:t>)</w:t>
      </w:r>
      <w:r w:rsidR="00073C59" w:rsidRPr="00B90432">
        <w:rPr>
          <w:rFonts w:asciiTheme="minorHAnsi" w:hAnsiTheme="minorHAnsi"/>
        </w:rPr>
        <w:t>, which represents an increase over the 12 murders recorded in 2015 and 7 in 2014.</w:t>
      </w:r>
      <w:r w:rsidR="00617BF5" w:rsidRPr="00B90432">
        <w:rPr>
          <w:rFonts w:asciiTheme="minorHAnsi" w:hAnsiTheme="minorHAnsi"/>
          <w:vertAlign w:val="superscript"/>
        </w:rPr>
        <w:footnoteReference w:id="254"/>
      </w:r>
      <w:r w:rsidR="004301AB" w:rsidRPr="00B90432">
        <w:rPr>
          <w:rFonts w:asciiTheme="minorHAnsi" w:hAnsiTheme="minorHAnsi"/>
        </w:rPr>
        <w:t xml:space="preserve"> </w:t>
      </w:r>
      <w:r w:rsidR="00F76482" w:rsidRPr="00B90432">
        <w:rPr>
          <w:rFonts w:asciiTheme="minorHAnsi" w:hAnsiTheme="minorHAnsi"/>
        </w:rPr>
        <w:t xml:space="preserve">For the </w:t>
      </w:r>
      <w:r w:rsidR="00F76482" w:rsidRPr="00B90432">
        <w:rPr>
          <w:rFonts w:asciiTheme="minorHAnsi" w:hAnsiTheme="minorHAnsi"/>
        </w:rPr>
        <w:lastRenderedPageBreak/>
        <w:t xml:space="preserve">first half of 2017 alone, </w:t>
      </w:r>
      <w:r w:rsidR="00617BF5" w:rsidRPr="00B90432">
        <w:rPr>
          <w:rFonts w:asciiTheme="minorHAnsi" w:hAnsiTheme="minorHAnsi"/>
        </w:rPr>
        <w:t xml:space="preserve">UDEFEFUA </w:t>
      </w:r>
      <w:r w:rsidR="00F76482" w:rsidRPr="00B90432">
        <w:rPr>
          <w:rFonts w:asciiTheme="minorHAnsi" w:hAnsiTheme="minorHAnsi"/>
        </w:rPr>
        <w:t xml:space="preserve">reported </w:t>
      </w:r>
      <w:r w:rsidR="00617BF5" w:rsidRPr="00B90432">
        <w:rPr>
          <w:rFonts w:asciiTheme="minorHAnsi" w:hAnsiTheme="minorHAnsi"/>
        </w:rPr>
        <w:t xml:space="preserve">7 </w:t>
      </w:r>
      <w:r w:rsidR="00F76482" w:rsidRPr="00B90432">
        <w:rPr>
          <w:rFonts w:asciiTheme="minorHAnsi" w:hAnsiTheme="minorHAnsi"/>
        </w:rPr>
        <w:t>murders of human rights defenders, the same figure for all of 2014.</w:t>
      </w:r>
      <w:r w:rsidR="00617BF5" w:rsidRPr="00B90432">
        <w:rPr>
          <w:rFonts w:asciiTheme="minorHAnsi" w:hAnsiTheme="minorHAnsi"/>
          <w:vertAlign w:val="superscript"/>
        </w:rPr>
        <w:footnoteReference w:id="255"/>
      </w:r>
    </w:p>
    <w:p w14:paraId="1D26A74D" w14:textId="77777777" w:rsidR="00DC1B81" w:rsidRPr="00B90432" w:rsidRDefault="00E24EB6" w:rsidP="006F4717">
      <w:pPr>
        <w:pStyle w:val="Numberedparagraphs"/>
        <w:rPr>
          <w:rFonts w:asciiTheme="minorHAnsi" w:hAnsiTheme="minorHAnsi"/>
        </w:rPr>
      </w:pPr>
      <w:r w:rsidRPr="00B90432">
        <w:rPr>
          <w:rFonts w:asciiTheme="minorHAnsi" w:hAnsiTheme="minorHAnsi"/>
        </w:rPr>
        <w:t xml:space="preserve">Additionally, intimidation and threats continue to make up a significant number of the </w:t>
      </w:r>
      <w:r w:rsidR="005D4B70" w:rsidRPr="00B90432">
        <w:rPr>
          <w:rFonts w:asciiTheme="minorHAnsi" w:hAnsiTheme="minorHAnsi"/>
        </w:rPr>
        <w:t xml:space="preserve">acts of aggression </w:t>
      </w:r>
      <w:r w:rsidR="003F59EE" w:rsidRPr="00B90432">
        <w:rPr>
          <w:rFonts w:asciiTheme="minorHAnsi" w:hAnsiTheme="minorHAnsi"/>
        </w:rPr>
        <w:t>against</w:t>
      </w:r>
      <w:r w:rsidRPr="00B90432">
        <w:rPr>
          <w:rFonts w:asciiTheme="minorHAnsi" w:hAnsiTheme="minorHAnsi"/>
        </w:rPr>
        <w:t xml:space="preserve"> human rights defenders. </w:t>
      </w:r>
      <w:r w:rsidR="00E704E2" w:rsidRPr="00B90432">
        <w:rPr>
          <w:rFonts w:asciiTheme="minorHAnsi" w:hAnsiTheme="minorHAnsi"/>
        </w:rPr>
        <w:t xml:space="preserve">In 2016, </w:t>
      </w:r>
      <w:r w:rsidR="00617BF5" w:rsidRPr="00B90432">
        <w:rPr>
          <w:rFonts w:asciiTheme="minorHAnsi" w:hAnsiTheme="minorHAnsi"/>
        </w:rPr>
        <w:t xml:space="preserve">UDEFEGUA </w:t>
      </w:r>
      <w:r w:rsidR="00E704E2" w:rsidRPr="00B90432">
        <w:rPr>
          <w:rFonts w:asciiTheme="minorHAnsi" w:hAnsiTheme="minorHAnsi"/>
        </w:rPr>
        <w:t xml:space="preserve">verified a total of 54 </w:t>
      </w:r>
      <w:r w:rsidR="00D6792E" w:rsidRPr="00B90432">
        <w:rPr>
          <w:rFonts w:asciiTheme="minorHAnsi" w:hAnsiTheme="minorHAnsi"/>
        </w:rPr>
        <w:t xml:space="preserve">incidents </w:t>
      </w:r>
      <w:r w:rsidR="00E704E2" w:rsidRPr="00B90432">
        <w:rPr>
          <w:rFonts w:asciiTheme="minorHAnsi" w:hAnsiTheme="minorHAnsi"/>
        </w:rPr>
        <w:t>of intimidation stem</w:t>
      </w:r>
      <w:r w:rsidR="00C71584" w:rsidRPr="00B90432">
        <w:rPr>
          <w:rFonts w:asciiTheme="minorHAnsi" w:hAnsiTheme="minorHAnsi"/>
        </w:rPr>
        <w:t xml:space="preserve">ming from human rights defense, and when added to the 48 incidents of threats (written, in-person, </w:t>
      </w:r>
      <w:r w:rsidR="00350A16" w:rsidRPr="00B90432">
        <w:rPr>
          <w:rFonts w:asciiTheme="minorHAnsi" w:hAnsiTheme="minorHAnsi"/>
        </w:rPr>
        <w:t xml:space="preserve">over the phone) </w:t>
      </w:r>
      <w:r w:rsidR="00A512B3" w:rsidRPr="00B90432">
        <w:rPr>
          <w:rFonts w:asciiTheme="minorHAnsi" w:hAnsiTheme="minorHAnsi"/>
        </w:rPr>
        <w:t xml:space="preserve">they </w:t>
      </w:r>
      <w:r w:rsidR="00350A16" w:rsidRPr="00B90432">
        <w:rPr>
          <w:rFonts w:asciiTheme="minorHAnsi" w:hAnsiTheme="minorHAnsi"/>
        </w:rPr>
        <w:t>would account for 38.73%</w:t>
      </w:r>
      <w:r w:rsidR="00617BF5" w:rsidRPr="00B90432">
        <w:rPr>
          <w:rFonts w:asciiTheme="minorHAnsi" w:hAnsiTheme="minorHAnsi"/>
          <w:vertAlign w:val="superscript"/>
        </w:rPr>
        <w:footnoteReference w:id="256"/>
      </w:r>
      <w:r w:rsidR="00617BF5" w:rsidRPr="00B90432">
        <w:rPr>
          <w:rFonts w:asciiTheme="minorHAnsi" w:hAnsiTheme="minorHAnsi"/>
        </w:rPr>
        <w:t xml:space="preserve"> </w:t>
      </w:r>
      <w:r w:rsidR="00350A16" w:rsidRPr="00B90432">
        <w:rPr>
          <w:rFonts w:asciiTheme="minorHAnsi" w:hAnsiTheme="minorHAnsi"/>
        </w:rPr>
        <w:t xml:space="preserve">of the total acts of aggression. In the first half of 2017, the organization recorded 51 incidents of </w:t>
      </w:r>
      <w:r w:rsidR="002D4120" w:rsidRPr="00B90432">
        <w:rPr>
          <w:rFonts w:asciiTheme="minorHAnsi" w:hAnsiTheme="minorHAnsi"/>
        </w:rPr>
        <w:t>defamation of character, 39 threats and 27 acts of intimidation.</w:t>
      </w:r>
      <w:r w:rsidR="00617BF5" w:rsidRPr="00B90432">
        <w:rPr>
          <w:rFonts w:asciiTheme="minorHAnsi" w:hAnsiTheme="minorHAnsi"/>
          <w:vertAlign w:val="superscript"/>
        </w:rPr>
        <w:footnoteReference w:id="257"/>
      </w:r>
      <w:r w:rsidR="00875FB7" w:rsidRPr="00B90432">
        <w:rPr>
          <w:rFonts w:asciiTheme="minorHAnsi" w:hAnsiTheme="minorHAnsi"/>
        </w:rPr>
        <w:t xml:space="preserve"> By way of</w:t>
      </w:r>
      <w:r w:rsidR="00D953AF" w:rsidRPr="00B90432">
        <w:rPr>
          <w:rFonts w:asciiTheme="minorHAnsi" w:hAnsiTheme="minorHAnsi"/>
        </w:rPr>
        <w:t xml:space="preserve"> example</w:t>
      </w:r>
      <w:r w:rsidR="009F219E" w:rsidRPr="00B90432">
        <w:rPr>
          <w:rFonts w:asciiTheme="minorHAnsi" w:hAnsiTheme="minorHAnsi"/>
        </w:rPr>
        <w:t xml:space="preserve">, the IACHR received information that from July 1 to July 2, 2017, defender </w:t>
      </w:r>
      <w:r w:rsidR="00617BF5" w:rsidRPr="00B90432">
        <w:rPr>
          <w:rFonts w:asciiTheme="minorHAnsi" w:hAnsiTheme="minorHAnsi"/>
        </w:rPr>
        <w:t xml:space="preserve">Rafael Maldonado </w:t>
      </w:r>
      <w:r w:rsidR="009F219E" w:rsidRPr="00B90432">
        <w:rPr>
          <w:rFonts w:asciiTheme="minorHAnsi" w:hAnsiTheme="minorHAnsi"/>
        </w:rPr>
        <w:t>received death threats over the social networks. Thes</w:t>
      </w:r>
      <w:r w:rsidR="00D65C19" w:rsidRPr="00B90432">
        <w:rPr>
          <w:rFonts w:asciiTheme="minorHAnsi" w:hAnsiTheme="minorHAnsi"/>
        </w:rPr>
        <w:t>e</w:t>
      </w:r>
      <w:r w:rsidR="009F219E" w:rsidRPr="00B90432">
        <w:rPr>
          <w:rFonts w:asciiTheme="minorHAnsi" w:hAnsiTheme="minorHAnsi"/>
        </w:rPr>
        <w:t xml:space="preserve"> incidents were reported to the Crimes against Human Rights Activists Unit of the Office of the Human Rights Violation Prosecutor’s Office</w:t>
      </w:r>
      <w:r w:rsidR="00F917FF" w:rsidRPr="00B90432">
        <w:rPr>
          <w:rFonts w:asciiTheme="minorHAnsi" w:hAnsiTheme="minorHAnsi"/>
        </w:rPr>
        <w:t xml:space="preserve"> (FI</w:t>
      </w:r>
      <w:r w:rsidR="005D53DC" w:rsidRPr="00B90432">
        <w:rPr>
          <w:rFonts w:asciiTheme="minorHAnsi" w:hAnsiTheme="minorHAnsi"/>
        </w:rPr>
        <w:t>DH</w:t>
      </w:r>
      <w:r w:rsidR="00F917FF" w:rsidRPr="00B90432">
        <w:rPr>
          <w:rFonts w:asciiTheme="minorHAnsi" w:hAnsiTheme="minorHAnsi"/>
        </w:rPr>
        <w:t>)</w:t>
      </w:r>
      <w:r w:rsidR="009F219E" w:rsidRPr="00B90432">
        <w:rPr>
          <w:rFonts w:asciiTheme="minorHAnsi" w:hAnsiTheme="minorHAnsi"/>
        </w:rPr>
        <w:t xml:space="preserve"> of the </w:t>
      </w:r>
      <w:r w:rsidR="00E33145" w:rsidRPr="00B90432">
        <w:rPr>
          <w:rFonts w:asciiTheme="minorHAnsi" w:hAnsiTheme="minorHAnsi"/>
        </w:rPr>
        <w:t>Public Prosecutor’s Office</w:t>
      </w:r>
      <w:r w:rsidR="009F219E" w:rsidRPr="00B90432">
        <w:rPr>
          <w:rFonts w:asciiTheme="minorHAnsi" w:hAnsiTheme="minorHAnsi"/>
        </w:rPr>
        <w:t>.</w:t>
      </w:r>
      <w:r w:rsidR="00617BF5" w:rsidRPr="00B90432">
        <w:rPr>
          <w:rFonts w:asciiTheme="minorHAnsi" w:hAnsiTheme="minorHAnsi"/>
          <w:vertAlign w:val="superscript"/>
        </w:rPr>
        <w:footnoteReference w:id="258"/>
      </w:r>
      <w:r w:rsidR="009F219E" w:rsidRPr="00B90432">
        <w:rPr>
          <w:rFonts w:asciiTheme="minorHAnsi" w:hAnsiTheme="minorHAnsi"/>
        </w:rPr>
        <w:t xml:space="preserve"> The IACHR expects said unit to take the necessary measures </w:t>
      </w:r>
      <w:r w:rsidR="00D136DB" w:rsidRPr="00B90432">
        <w:rPr>
          <w:rFonts w:asciiTheme="minorHAnsi" w:hAnsiTheme="minorHAnsi"/>
        </w:rPr>
        <w:t xml:space="preserve">with regard to </w:t>
      </w:r>
      <w:r w:rsidR="00967968" w:rsidRPr="00B90432">
        <w:rPr>
          <w:rFonts w:asciiTheme="minorHAnsi" w:hAnsiTheme="minorHAnsi"/>
        </w:rPr>
        <w:t xml:space="preserve">these threats on the life of Mr. </w:t>
      </w:r>
      <w:r w:rsidR="00617BF5" w:rsidRPr="00B90432">
        <w:rPr>
          <w:rFonts w:asciiTheme="minorHAnsi" w:hAnsiTheme="minorHAnsi"/>
        </w:rPr>
        <w:t xml:space="preserve">Maldonado </w:t>
      </w:r>
      <w:r w:rsidR="00967968" w:rsidRPr="00B90432">
        <w:rPr>
          <w:rFonts w:asciiTheme="minorHAnsi" w:hAnsiTheme="minorHAnsi"/>
        </w:rPr>
        <w:t xml:space="preserve">and on the exercise of human rights defense. </w:t>
      </w:r>
    </w:p>
    <w:p w14:paraId="6EECFEB3" w14:textId="77777777" w:rsidR="00617BF5" w:rsidRPr="00B90432" w:rsidRDefault="00DB5DBC" w:rsidP="006F4717">
      <w:pPr>
        <w:pStyle w:val="Numberedparagraphs"/>
        <w:rPr>
          <w:rFonts w:asciiTheme="minorHAnsi" w:hAnsiTheme="minorHAnsi"/>
        </w:rPr>
      </w:pPr>
      <w:r w:rsidRPr="00B90432">
        <w:rPr>
          <w:rFonts w:asciiTheme="minorHAnsi" w:hAnsiTheme="minorHAnsi"/>
        </w:rPr>
        <w:t xml:space="preserve">In addition to the smear and stigmatization campaigns that are explained in detail in the next paragraphs, the PDH has noted that another form of recurring intimidation is to take photographs and videos of persons and/or </w:t>
      </w:r>
      <w:r w:rsidRPr="00B90432">
        <w:rPr>
          <w:rFonts w:asciiTheme="minorHAnsi" w:hAnsiTheme="minorHAnsi"/>
        </w:rPr>
        <w:lastRenderedPageBreak/>
        <w:t xml:space="preserve">defenders without their consent. </w:t>
      </w:r>
      <w:r w:rsidR="00E87F69" w:rsidRPr="00B90432">
        <w:rPr>
          <w:rFonts w:asciiTheme="minorHAnsi" w:hAnsiTheme="minorHAnsi"/>
        </w:rPr>
        <w:t xml:space="preserve">The defenders have reported that in many instances, the persons doing the photographing or taking the videos are linked to the extractive companies or </w:t>
      </w:r>
      <w:r w:rsidR="005C756E" w:rsidRPr="00B90432">
        <w:rPr>
          <w:rFonts w:asciiTheme="minorHAnsi" w:hAnsiTheme="minorHAnsi"/>
        </w:rPr>
        <w:t xml:space="preserve">are </w:t>
      </w:r>
      <w:r w:rsidR="00E87F69" w:rsidRPr="00B90432">
        <w:rPr>
          <w:rFonts w:asciiTheme="minorHAnsi" w:hAnsiTheme="minorHAnsi"/>
        </w:rPr>
        <w:t xml:space="preserve">retired </w:t>
      </w:r>
      <w:r w:rsidR="008F3331" w:rsidRPr="00B90432">
        <w:rPr>
          <w:rFonts w:asciiTheme="minorHAnsi" w:hAnsiTheme="minorHAnsi"/>
        </w:rPr>
        <w:t xml:space="preserve">members of the </w:t>
      </w:r>
      <w:r w:rsidR="00E87F69" w:rsidRPr="00B90432">
        <w:rPr>
          <w:rFonts w:asciiTheme="minorHAnsi" w:hAnsiTheme="minorHAnsi"/>
        </w:rPr>
        <w:t>military</w:t>
      </w:r>
      <w:r w:rsidR="008F3331" w:rsidRPr="00B90432">
        <w:rPr>
          <w:rFonts w:asciiTheme="minorHAnsi" w:hAnsiTheme="minorHAnsi"/>
        </w:rPr>
        <w:t xml:space="preserve"> forces</w:t>
      </w:r>
      <w:r w:rsidR="00E87F69" w:rsidRPr="00B90432">
        <w:rPr>
          <w:rFonts w:asciiTheme="minorHAnsi" w:hAnsiTheme="minorHAnsi"/>
        </w:rPr>
        <w:t>.</w:t>
      </w:r>
      <w:r w:rsidR="00617BF5" w:rsidRPr="00B90432">
        <w:rPr>
          <w:rFonts w:asciiTheme="minorHAnsi" w:hAnsiTheme="minorHAnsi"/>
          <w:vertAlign w:val="superscript"/>
        </w:rPr>
        <w:footnoteReference w:id="259"/>
      </w:r>
    </w:p>
    <w:p w14:paraId="14F40F0B" w14:textId="7F7220A2" w:rsidR="00617BF5" w:rsidRPr="00B40D2B" w:rsidRDefault="00E87F69" w:rsidP="00B40D2B">
      <w:pPr>
        <w:pStyle w:val="Heading3"/>
      </w:pPr>
      <w:bookmarkStart w:id="44" w:name="_Toc509827646"/>
      <w:r w:rsidRPr="00B40D2B">
        <w:t xml:space="preserve">Stigmatization and </w:t>
      </w:r>
      <w:r w:rsidR="002C41EC" w:rsidRPr="00B40D2B">
        <w:t>Smear Campaigns</w:t>
      </w:r>
      <w:bookmarkEnd w:id="44"/>
      <w:r w:rsidR="002C41EC" w:rsidRPr="00B40D2B">
        <w:t xml:space="preserve"> </w:t>
      </w:r>
    </w:p>
    <w:p w14:paraId="71F1CFC4" w14:textId="77777777" w:rsidR="00617BF5" w:rsidRPr="00B90432" w:rsidRDefault="00865F2A" w:rsidP="006F4717">
      <w:pPr>
        <w:pStyle w:val="Numberedparagraphs"/>
        <w:rPr>
          <w:rFonts w:asciiTheme="minorHAnsi" w:hAnsiTheme="minorHAnsi"/>
        </w:rPr>
      </w:pPr>
      <w:r w:rsidRPr="00B90432">
        <w:rPr>
          <w:rFonts w:asciiTheme="minorHAnsi" w:hAnsiTheme="minorHAnsi"/>
        </w:rPr>
        <w:t>T</w:t>
      </w:r>
      <w:r w:rsidR="0060291C" w:rsidRPr="00B90432">
        <w:rPr>
          <w:rFonts w:asciiTheme="minorHAnsi" w:hAnsiTheme="minorHAnsi"/>
        </w:rPr>
        <w:t>he IACHR noticed the constant use of the social networks and other information media to disseminate stigmatizing and delegitimi</w:t>
      </w:r>
      <w:r w:rsidR="00882048" w:rsidRPr="00B90432">
        <w:rPr>
          <w:rFonts w:asciiTheme="minorHAnsi" w:hAnsiTheme="minorHAnsi"/>
        </w:rPr>
        <w:t>zing messages against defenders</w:t>
      </w:r>
      <w:r w:rsidR="00617BF5" w:rsidRPr="00B90432">
        <w:rPr>
          <w:rFonts w:asciiTheme="minorHAnsi" w:hAnsiTheme="minorHAnsi"/>
        </w:rPr>
        <w:t>.</w:t>
      </w:r>
      <w:r w:rsidR="00882048" w:rsidRPr="00B90432">
        <w:rPr>
          <w:rFonts w:asciiTheme="minorHAnsi" w:hAnsiTheme="minorHAnsi"/>
        </w:rPr>
        <w:t xml:space="preserve"> For example, civil society organizations </w:t>
      </w:r>
      <w:r w:rsidR="00A26174" w:rsidRPr="00B90432">
        <w:rPr>
          <w:rFonts w:asciiTheme="minorHAnsi" w:hAnsiTheme="minorHAnsi"/>
        </w:rPr>
        <w:t xml:space="preserve">asserted that human rights defenders are branded as “professional troublemakers,” “outlaws,” “professional thugs,” “failed </w:t>
      </w:r>
      <w:r w:rsidR="00733382" w:rsidRPr="00B90432">
        <w:rPr>
          <w:rFonts w:asciiTheme="minorHAnsi" w:hAnsiTheme="minorHAnsi"/>
        </w:rPr>
        <w:t xml:space="preserve">fratricidal </w:t>
      </w:r>
      <w:r w:rsidR="00700E82" w:rsidRPr="00B90432">
        <w:rPr>
          <w:rFonts w:asciiTheme="minorHAnsi" w:hAnsiTheme="minorHAnsi"/>
        </w:rPr>
        <w:t>riffraff,” “former terrorist organization left-wing NGOs</w:t>
      </w:r>
      <w:r w:rsidR="004E689B" w:rsidRPr="00B90432">
        <w:rPr>
          <w:rFonts w:asciiTheme="minorHAnsi" w:hAnsiTheme="minorHAnsi"/>
        </w:rPr>
        <w:t>” or claim</w:t>
      </w:r>
      <w:r w:rsidR="000D2281" w:rsidRPr="00B90432">
        <w:rPr>
          <w:rFonts w:asciiTheme="minorHAnsi" w:hAnsiTheme="minorHAnsi"/>
        </w:rPr>
        <w:t>s are made</w:t>
      </w:r>
      <w:r w:rsidR="004E689B" w:rsidRPr="00B90432">
        <w:rPr>
          <w:rFonts w:asciiTheme="minorHAnsi" w:hAnsiTheme="minorHAnsi"/>
        </w:rPr>
        <w:t xml:space="preserve"> that “human rights defense </w:t>
      </w:r>
      <w:r w:rsidR="00CC1516" w:rsidRPr="00B90432">
        <w:rPr>
          <w:rFonts w:asciiTheme="minorHAnsi" w:hAnsiTheme="minorHAnsi"/>
        </w:rPr>
        <w:t>has become the exclusive</w:t>
      </w:r>
      <w:r w:rsidR="004E689B" w:rsidRPr="00B90432">
        <w:rPr>
          <w:rFonts w:asciiTheme="minorHAnsi" w:hAnsiTheme="minorHAnsi"/>
        </w:rPr>
        <w:t xml:space="preserve"> business in this Central American country</w:t>
      </w:r>
      <w:r w:rsidR="00617BF5" w:rsidRPr="00B90432">
        <w:rPr>
          <w:rFonts w:asciiTheme="minorHAnsi" w:hAnsiTheme="minorHAnsi"/>
        </w:rPr>
        <w:t xml:space="preserve"> </w:t>
      </w:r>
      <w:r w:rsidR="00CC1516" w:rsidRPr="00B90432">
        <w:rPr>
          <w:rFonts w:asciiTheme="minorHAnsi" w:hAnsiTheme="minorHAnsi"/>
        </w:rPr>
        <w:t>of the former guerrilla member/terrorists.</w:t>
      </w:r>
      <w:r w:rsidR="00617BF5" w:rsidRPr="00B90432">
        <w:rPr>
          <w:rFonts w:asciiTheme="minorHAnsi" w:hAnsiTheme="minorHAnsi"/>
        </w:rPr>
        <w:t>”</w:t>
      </w:r>
      <w:r w:rsidR="00617BF5" w:rsidRPr="00B90432">
        <w:rPr>
          <w:rStyle w:val="FootnoteReference"/>
          <w:rFonts w:asciiTheme="minorHAnsi" w:hAnsiTheme="minorHAnsi"/>
          <w:sz w:val="22"/>
          <w:szCs w:val="22"/>
        </w:rPr>
        <w:footnoteReference w:id="260"/>
      </w:r>
      <w:r w:rsidR="00064143" w:rsidRPr="00B90432">
        <w:rPr>
          <w:rFonts w:asciiTheme="minorHAnsi" w:hAnsiTheme="minorHAnsi"/>
        </w:rPr>
        <w:t xml:space="preserve"> According to the organizations, this is</w:t>
      </w:r>
      <w:r w:rsidR="00E315C9" w:rsidRPr="00B90432">
        <w:rPr>
          <w:rFonts w:asciiTheme="minorHAnsi" w:hAnsiTheme="minorHAnsi"/>
        </w:rPr>
        <w:t xml:space="preserve"> pervasive language </w:t>
      </w:r>
      <w:r w:rsidR="004448D6" w:rsidRPr="00B90432">
        <w:rPr>
          <w:rFonts w:asciiTheme="minorHAnsi" w:hAnsiTheme="minorHAnsi"/>
        </w:rPr>
        <w:t>aimed at stigmatizing</w:t>
      </w:r>
      <w:r w:rsidR="00E315C9" w:rsidRPr="00B90432">
        <w:rPr>
          <w:rFonts w:asciiTheme="minorHAnsi" w:hAnsiTheme="minorHAnsi"/>
        </w:rPr>
        <w:t xml:space="preserve"> community leaders and human rights defenders.</w:t>
      </w:r>
      <w:r w:rsidR="00617BF5" w:rsidRPr="00B90432">
        <w:rPr>
          <w:rFonts w:asciiTheme="minorHAnsi" w:hAnsiTheme="minorHAnsi"/>
          <w:vertAlign w:val="superscript"/>
        </w:rPr>
        <w:footnoteReference w:id="261"/>
      </w:r>
    </w:p>
    <w:p w14:paraId="64BC89F0" w14:textId="77777777" w:rsidR="00617BF5" w:rsidRPr="00B90432" w:rsidRDefault="0028663B" w:rsidP="006F4717">
      <w:pPr>
        <w:pStyle w:val="Numberedparagraphs"/>
        <w:rPr>
          <w:rFonts w:asciiTheme="minorHAnsi" w:hAnsiTheme="minorHAnsi"/>
        </w:rPr>
      </w:pPr>
      <w:r w:rsidRPr="00B90432">
        <w:rPr>
          <w:rFonts w:asciiTheme="minorHAnsi" w:hAnsiTheme="minorHAnsi"/>
        </w:rPr>
        <w:t xml:space="preserve">The IACHR was also apprised </w:t>
      </w:r>
      <w:r w:rsidR="00A8411F" w:rsidRPr="00B90432">
        <w:rPr>
          <w:rFonts w:asciiTheme="minorHAnsi" w:hAnsiTheme="minorHAnsi"/>
        </w:rPr>
        <w:t xml:space="preserve">of </w:t>
      </w:r>
      <w:r w:rsidRPr="00B90432">
        <w:rPr>
          <w:rFonts w:asciiTheme="minorHAnsi" w:hAnsiTheme="minorHAnsi"/>
        </w:rPr>
        <w:t xml:space="preserve">racist content, especially </w:t>
      </w:r>
      <w:r w:rsidR="00A8411F" w:rsidRPr="00B90432">
        <w:rPr>
          <w:rFonts w:asciiTheme="minorHAnsi" w:hAnsiTheme="minorHAnsi"/>
        </w:rPr>
        <w:t xml:space="preserve">targeting </w:t>
      </w:r>
      <w:r w:rsidRPr="00B90432">
        <w:rPr>
          <w:rFonts w:asciiTheme="minorHAnsi" w:hAnsiTheme="minorHAnsi"/>
        </w:rPr>
        <w:t xml:space="preserve">representatives and leadership of indigenous communities and peoples, as well as homophobic content </w:t>
      </w:r>
      <w:r w:rsidR="000D10BE" w:rsidRPr="00B90432">
        <w:rPr>
          <w:rFonts w:asciiTheme="minorHAnsi" w:hAnsiTheme="minorHAnsi"/>
        </w:rPr>
        <w:t>targeting organizations and individuals who defend the rights of sexual diversity</w:t>
      </w:r>
      <w:r w:rsidR="0019770F" w:rsidRPr="00B90432">
        <w:rPr>
          <w:rFonts w:asciiTheme="minorHAnsi" w:hAnsiTheme="minorHAnsi"/>
        </w:rPr>
        <w:t>,</w:t>
      </w:r>
      <w:r w:rsidR="000D10BE" w:rsidRPr="00B90432">
        <w:rPr>
          <w:rFonts w:asciiTheme="minorHAnsi" w:hAnsiTheme="minorHAnsi"/>
        </w:rPr>
        <w:t xml:space="preserve"> and sexist content targeting women human rights defenders.</w:t>
      </w:r>
      <w:r w:rsidR="00617BF5" w:rsidRPr="00B90432">
        <w:rPr>
          <w:rFonts w:asciiTheme="minorHAnsi" w:hAnsiTheme="minorHAnsi"/>
          <w:vertAlign w:val="superscript"/>
        </w:rPr>
        <w:footnoteReference w:id="262"/>
      </w:r>
      <w:r w:rsidR="00617BF5" w:rsidRPr="00B90432">
        <w:rPr>
          <w:rFonts w:asciiTheme="minorHAnsi" w:hAnsiTheme="minorHAnsi"/>
        </w:rPr>
        <w:t xml:space="preserve"> </w:t>
      </w:r>
      <w:r w:rsidR="002069F7" w:rsidRPr="00B90432">
        <w:rPr>
          <w:rFonts w:asciiTheme="minorHAnsi" w:hAnsiTheme="minorHAnsi"/>
        </w:rPr>
        <w:t xml:space="preserve">According to the PDH, this takes place when there is opposition to diversion of </w:t>
      </w:r>
      <w:r w:rsidR="00FE3A12" w:rsidRPr="00B90432">
        <w:rPr>
          <w:rFonts w:asciiTheme="minorHAnsi" w:hAnsiTheme="minorHAnsi"/>
        </w:rPr>
        <w:t xml:space="preserve">rivers, pollution or </w:t>
      </w:r>
      <w:r w:rsidR="00F1641D" w:rsidRPr="00B90432">
        <w:rPr>
          <w:rFonts w:asciiTheme="minorHAnsi" w:hAnsiTheme="minorHAnsi"/>
        </w:rPr>
        <w:t xml:space="preserve">reports of </w:t>
      </w:r>
      <w:r w:rsidR="0019770F" w:rsidRPr="00B90432">
        <w:rPr>
          <w:rFonts w:asciiTheme="minorHAnsi" w:hAnsiTheme="minorHAnsi"/>
        </w:rPr>
        <w:t xml:space="preserve">a </w:t>
      </w:r>
      <w:r w:rsidR="00FE3A12" w:rsidRPr="00B90432">
        <w:rPr>
          <w:rFonts w:asciiTheme="minorHAnsi" w:hAnsiTheme="minorHAnsi"/>
        </w:rPr>
        <w:t>lack of water, failures in electric service or complaints are filed for lack of access to public information.</w:t>
      </w:r>
      <w:r w:rsidR="00617BF5" w:rsidRPr="00B90432">
        <w:rPr>
          <w:rFonts w:asciiTheme="minorHAnsi" w:hAnsiTheme="minorHAnsi"/>
          <w:vertAlign w:val="superscript"/>
        </w:rPr>
        <w:footnoteReference w:id="263"/>
      </w:r>
      <w:r w:rsidR="00606B95" w:rsidRPr="00B90432">
        <w:rPr>
          <w:rFonts w:asciiTheme="minorHAnsi" w:hAnsiTheme="minorHAnsi"/>
        </w:rPr>
        <w:t xml:space="preserve"> The OUNHCHR has also voiced its concern over messages via social media resorting to aggressive and violent language, which could even be construed as incitement to hatr</w:t>
      </w:r>
      <w:r w:rsidR="00597B90" w:rsidRPr="00B90432">
        <w:rPr>
          <w:rFonts w:asciiTheme="minorHAnsi" w:hAnsiTheme="minorHAnsi"/>
        </w:rPr>
        <w:t>ed</w:t>
      </w:r>
      <w:r w:rsidR="00617BF5" w:rsidRPr="00B90432">
        <w:rPr>
          <w:rFonts w:asciiTheme="minorHAnsi" w:hAnsiTheme="minorHAnsi"/>
        </w:rPr>
        <w:t>.</w:t>
      </w:r>
      <w:r w:rsidR="00597B90" w:rsidRPr="00B90432">
        <w:rPr>
          <w:rFonts w:asciiTheme="minorHAnsi" w:hAnsiTheme="minorHAnsi"/>
        </w:rPr>
        <w:t xml:space="preserve"> It noted that some of these messages pose threats to the lives and safety of human rights defenders, and even columnists.</w:t>
      </w:r>
      <w:r w:rsidR="00617BF5" w:rsidRPr="00B90432">
        <w:rPr>
          <w:rFonts w:asciiTheme="minorHAnsi" w:hAnsiTheme="minorHAnsi"/>
          <w:vertAlign w:val="superscript"/>
        </w:rPr>
        <w:footnoteReference w:id="264"/>
      </w:r>
    </w:p>
    <w:p w14:paraId="3004A038" w14:textId="77777777" w:rsidR="00617BF5" w:rsidRPr="00B90432" w:rsidRDefault="00607192" w:rsidP="006F4717">
      <w:pPr>
        <w:pStyle w:val="Numberedparagraphs"/>
        <w:rPr>
          <w:rFonts w:asciiTheme="minorHAnsi" w:hAnsiTheme="minorHAnsi"/>
        </w:rPr>
      </w:pPr>
      <w:r w:rsidRPr="00B90432">
        <w:rPr>
          <w:rFonts w:asciiTheme="minorHAnsi" w:hAnsiTheme="minorHAnsi"/>
        </w:rPr>
        <w:lastRenderedPageBreak/>
        <w:t xml:space="preserve">Likewise, civil society organizations reported to the IACHR </w:t>
      </w:r>
      <w:r w:rsidR="007C4188" w:rsidRPr="00B90432">
        <w:rPr>
          <w:rFonts w:asciiTheme="minorHAnsi" w:hAnsiTheme="minorHAnsi"/>
        </w:rPr>
        <w:t>that over</w:t>
      </w:r>
      <w:r w:rsidR="00E6206A" w:rsidRPr="00B90432">
        <w:rPr>
          <w:rFonts w:asciiTheme="minorHAnsi" w:hAnsiTheme="minorHAnsi"/>
        </w:rPr>
        <w:t xml:space="preserve"> the past years, hate speech has been</w:t>
      </w:r>
      <w:r w:rsidR="004A5B19" w:rsidRPr="00B90432">
        <w:rPr>
          <w:rFonts w:asciiTheme="minorHAnsi" w:hAnsiTheme="minorHAnsi"/>
        </w:rPr>
        <w:t xml:space="preserve"> escalating</w:t>
      </w:r>
      <w:r w:rsidR="007C4188" w:rsidRPr="00B90432">
        <w:rPr>
          <w:rFonts w:asciiTheme="minorHAnsi" w:hAnsiTheme="minorHAnsi"/>
        </w:rPr>
        <w:t xml:space="preserve">, citing organizations such as </w:t>
      </w:r>
      <w:r w:rsidR="00874E87" w:rsidRPr="00B90432">
        <w:rPr>
          <w:rFonts w:asciiTheme="minorHAnsi" w:hAnsiTheme="minorHAnsi"/>
        </w:rPr>
        <w:t xml:space="preserve">Movimiento Reconciliación y Justicia, Libertad para los Veteranos de Guerra, o la Fundación contra el Terrorismo, </w:t>
      </w:r>
      <w:r w:rsidR="007C4188" w:rsidRPr="00B90432">
        <w:rPr>
          <w:rFonts w:asciiTheme="minorHAnsi" w:hAnsiTheme="minorHAnsi"/>
        </w:rPr>
        <w:t xml:space="preserve">which tend to denigrate individuals and organizations that seek justice for the victims. </w:t>
      </w:r>
      <w:r w:rsidR="00A422FE" w:rsidRPr="00B90432">
        <w:rPr>
          <w:rFonts w:asciiTheme="minorHAnsi" w:hAnsiTheme="minorHAnsi"/>
        </w:rPr>
        <w:t xml:space="preserve">As a result of the intense campaign of stigmatization and criminalization unleashed in the different communications media and social networks, human rights defense organizations have </w:t>
      </w:r>
      <w:r w:rsidR="00952743" w:rsidRPr="00B90432">
        <w:rPr>
          <w:rFonts w:asciiTheme="minorHAnsi" w:hAnsiTheme="minorHAnsi"/>
        </w:rPr>
        <w:t>filed several complaints with the PDH.</w:t>
      </w:r>
      <w:r w:rsidR="00874E87" w:rsidRPr="00B90432">
        <w:rPr>
          <w:rFonts w:asciiTheme="minorHAnsi" w:hAnsiTheme="minorHAnsi"/>
          <w:vertAlign w:val="superscript"/>
        </w:rPr>
        <w:footnoteReference w:id="265"/>
      </w:r>
    </w:p>
    <w:p w14:paraId="3C834AA1" w14:textId="77777777" w:rsidR="00617BF5" w:rsidRPr="00B90432" w:rsidRDefault="001A44D6" w:rsidP="006F4717">
      <w:pPr>
        <w:pStyle w:val="Numberedparagraphs"/>
        <w:rPr>
          <w:rFonts w:asciiTheme="minorHAnsi" w:hAnsiTheme="minorHAnsi"/>
        </w:rPr>
      </w:pPr>
      <w:r w:rsidRPr="00B90432">
        <w:rPr>
          <w:rFonts w:asciiTheme="minorHAnsi" w:hAnsiTheme="minorHAnsi"/>
        </w:rPr>
        <w:t>By way of</w:t>
      </w:r>
      <w:r w:rsidR="00E641F7" w:rsidRPr="00B90432">
        <w:rPr>
          <w:rFonts w:asciiTheme="minorHAnsi" w:hAnsiTheme="minorHAnsi"/>
        </w:rPr>
        <w:t xml:space="preserve"> example, in the investigations into the CREOMPAZ military base, which gave rise to several arrests of members of the military for crimes of forced disappearance and crimes against humanity, </w:t>
      </w:r>
      <w:r w:rsidR="0050676D" w:rsidRPr="00B90432">
        <w:rPr>
          <w:rFonts w:asciiTheme="minorHAnsi" w:hAnsiTheme="minorHAnsi"/>
        </w:rPr>
        <w:t xml:space="preserve">the IACHR learned that in the context of the hearings conducted from January to June, 2016, complainants, prosecutors, expert witnesses and victims’ organizations linked to the </w:t>
      </w:r>
      <w:r w:rsidR="000D74BB" w:rsidRPr="00B90432">
        <w:rPr>
          <w:rFonts w:asciiTheme="minorHAnsi" w:hAnsiTheme="minorHAnsi"/>
        </w:rPr>
        <w:t xml:space="preserve">cases were the targets of </w:t>
      </w:r>
      <w:r w:rsidR="0050676D" w:rsidRPr="00B90432">
        <w:rPr>
          <w:rFonts w:asciiTheme="minorHAnsi" w:hAnsiTheme="minorHAnsi"/>
        </w:rPr>
        <w:t>threats, intimidation and surveillance</w:t>
      </w:r>
      <w:r w:rsidR="000D74BB" w:rsidRPr="00B90432">
        <w:rPr>
          <w:rFonts w:asciiTheme="minorHAnsi" w:hAnsiTheme="minorHAnsi"/>
        </w:rPr>
        <w:t xml:space="preserve">. The organizations contended that since January 2017, hate speech has been spewed through postings on the web pages of the </w:t>
      </w:r>
      <w:r w:rsidR="00617BF5" w:rsidRPr="00B90432">
        <w:rPr>
          <w:rFonts w:asciiTheme="minorHAnsi" w:hAnsiTheme="minorHAnsi"/>
        </w:rPr>
        <w:t xml:space="preserve">Fundación contra el Terrorismo </w:t>
      </w:r>
      <w:r w:rsidR="0006543D" w:rsidRPr="00B90432">
        <w:rPr>
          <w:rFonts w:asciiTheme="minorHAnsi" w:hAnsiTheme="minorHAnsi"/>
        </w:rPr>
        <w:t>and of</w:t>
      </w:r>
      <w:r w:rsidR="00617BF5" w:rsidRPr="00B90432">
        <w:rPr>
          <w:rFonts w:asciiTheme="minorHAnsi" w:hAnsiTheme="minorHAnsi"/>
        </w:rPr>
        <w:t xml:space="preserve"> Familiares y Amigos de Militares e hijas de Militares, </w:t>
      </w:r>
      <w:r w:rsidR="0006543D" w:rsidRPr="00B90432">
        <w:rPr>
          <w:rFonts w:asciiTheme="minorHAnsi" w:hAnsiTheme="minorHAnsi"/>
        </w:rPr>
        <w:t>with photographs of human rights defenders intended to denigrate the individuals and organizations supporting the quest for justice for the victims.</w:t>
      </w:r>
      <w:r w:rsidR="00617BF5" w:rsidRPr="00B90432">
        <w:rPr>
          <w:rFonts w:asciiTheme="minorHAnsi" w:hAnsiTheme="minorHAnsi"/>
          <w:vertAlign w:val="superscript"/>
        </w:rPr>
        <w:footnoteReference w:id="266"/>
      </w:r>
      <w:r w:rsidR="00E72B86" w:rsidRPr="00B90432">
        <w:rPr>
          <w:rFonts w:asciiTheme="minorHAnsi" w:hAnsiTheme="minorHAnsi"/>
        </w:rPr>
        <w:t xml:space="preserve"> </w:t>
      </w:r>
      <w:r w:rsidR="00F756F9" w:rsidRPr="00B90432">
        <w:rPr>
          <w:rFonts w:asciiTheme="minorHAnsi" w:hAnsiTheme="minorHAnsi"/>
        </w:rPr>
        <w:t xml:space="preserve">According to available information, these acts arose mainly in relation to the cases connected to </w:t>
      </w:r>
      <w:r w:rsidR="00617BF5" w:rsidRPr="00B90432">
        <w:rPr>
          <w:rFonts w:asciiTheme="minorHAnsi" w:hAnsiTheme="minorHAnsi"/>
        </w:rPr>
        <w:t xml:space="preserve">CREOMPAZ, </w:t>
      </w:r>
      <w:r w:rsidR="00645A7D" w:rsidRPr="00B90432">
        <w:rPr>
          <w:rFonts w:asciiTheme="minorHAnsi" w:hAnsiTheme="minorHAnsi"/>
        </w:rPr>
        <w:t>though not exclusively</w:t>
      </w:r>
      <w:r w:rsidR="00617BF5" w:rsidRPr="00B90432">
        <w:rPr>
          <w:rFonts w:asciiTheme="minorHAnsi" w:hAnsiTheme="minorHAnsi"/>
        </w:rPr>
        <w:t xml:space="preserve">. </w:t>
      </w:r>
    </w:p>
    <w:p w14:paraId="13D2C481" w14:textId="77777777" w:rsidR="00617BF5" w:rsidRPr="00B90432" w:rsidRDefault="00F10F5A" w:rsidP="006F4717">
      <w:pPr>
        <w:pStyle w:val="Numberedparagraphs"/>
        <w:rPr>
          <w:rFonts w:asciiTheme="minorHAnsi" w:hAnsiTheme="minorHAnsi"/>
        </w:rPr>
      </w:pPr>
      <w:r w:rsidRPr="00B90432">
        <w:rPr>
          <w:rFonts w:asciiTheme="minorHAnsi" w:hAnsiTheme="minorHAnsi"/>
        </w:rPr>
        <w:t xml:space="preserve">According to information received by the IACHR, on July 5, 2017, a protest rally took place in the central park of </w:t>
      </w:r>
      <w:r w:rsidR="00617BF5" w:rsidRPr="00B90432">
        <w:rPr>
          <w:rFonts w:asciiTheme="minorHAnsi" w:hAnsiTheme="minorHAnsi"/>
        </w:rPr>
        <w:t xml:space="preserve">San Rafael Las Flores, </w:t>
      </w:r>
      <w:r w:rsidRPr="00B90432">
        <w:rPr>
          <w:rFonts w:asciiTheme="minorHAnsi" w:hAnsiTheme="minorHAnsi"/>
        </w:rPr>
        <w:t xml:space="preserve">in the Department of </w:t>
      </w:r>
      <w:r w:rsidR="00617BF5" w:rsidRPr="00B90432">
        <w:rPr>
          <w:rFonts w:asciiTheme="minorHAnsi" w:hAnsiTheme="minorHAnsi"/>
        </w:rPr>
        <w:t xml:space="preserve">Santa Rosa, </w:t>
      </w:r>
      <w:r w:rsidR="00C86DE1" w:rsidRPr="00B90432">
        <w:rPr>
          <w:rFonts w:asciiTheme="minorHAnsi" w:hAnsiTheme="minorHAnsi"/>
        </w:rPr>
        <w:t xml:space="preserve">with the alleged participation of suppliers and workers of the </w:t>
      </w:r>
      <w:r w:rsidR="00617BF5" w:rsidRPr="00B90432">
        <w:rPr>
          <w:rFonts w:asciiTheme="minorHAnsi" w:hAnsiTheme="minorHAnsi"/>
        </w:rPr>
        <w:t>San Rafael – El Escobal</w:t>
      </w:r>
      <w:r w:rsidR="00C86DE1" w:rsidRPr="00B90432">
        <w:rPr>
          <w:rFonts w:asciiTheme="minorHAnsi" w:hAnsiTheme="minorHAnsi"/>
        </w:rPr>
        <w:t xml:space="preserve"> mining company</w:t>
      </w:r>
      <w:r w:rsidR="00617BF5" w:rsidRPr="00B90432">
        <w:rPr>
          <w:rFonts w:asciiTheme="minorHAnsi" w:hAnsiTheme="minorHAnsi"/>
        </w:rPr>
        <w:t xml:space="preserve">, </w:t>
      </w:r>
      <w:r w:rsidR="00C86DE1" w:rsidRPr="00B90432">
        <w:rPr>
          <w:rFonts w:asciiTheme="minorHAnsi" w:hAnsiTheme="minorHAnsi"/>
        </w:rPr>
        <w:t xml:space="preserve">where they displayed stigmatizing messages </w:t>
      </w:r>
      <w:r w:rsidR="009B13EB" w:rsidRPr="00B90432">
        <w:rPr>
          <w:rFonts w:asciiTheme="minorHAnsi" w:hAnsiTheme="minorHAnsi"/>
        </w:rPr>
        <w:t>against</w:t>
      </w:r>
      <w:r w:rsidR="00354D5D" w:rsidRPr="00B90432">
        <w:rPr>
          <w:rFonts w:asciiTheme="minorHAnsi" w:hAnsiTheme="minorHAnsi"/>
        </w:rPr>
        <w:t xml:space="preserve"> the organization </w:t>
      </w:r>
      <w:r w:rsidR="00D022B1" w:rsidRPr="00B90432">
        <w:rPr>
          <w:rFonts w:asciiTheme="minorHAnsi" w:hAnsiTheme="minorHAnsi"/>
        </w:rPr>
        <w:t>Center for Environmental and Social Legal Action of Guatemala, known as CALAS for its Spanish language acronym (Centro de Acción Legal Ambiental y Social de Guatemala), accusing the organization</w:t>
      </w:r>
      <w:r w:rsidR="0064443F" w:rsidRPr="00B90432">
        <w:rPr>
          <w:rFonts w:asciiTheme="minorHAnsi" w:hAnsiTheme="minorHAnsi"/>
        </w:rPr>
        <w:t xml:space="preserve"> of “creating conflict</w:t>
      </w:r>
      <w:r w:rsidR="00D022B1" w:rsidRPr="00B90432">
        <w:rPr>
          <w:rFonts w:asciiTheme="minorHAnsi" w:hAnsiTheme="minorHAnsi"/>
        </w:rPr>
        <w:t xml:space="preserve">” and of “destroying development.” In that context, </w:t>
      </w:r>
      <w:r w:rsidR="0032256D" w:rsidRPr="00B90432">
        <w:rPr>
          <w:rFonts w:asciiTheme="minorHAnsi" w:hAnsiTheme="minorHAnsi"/>
        </w:rPr>
        <w:t xml:space="preserve">the demonstrators were carrying banners </w:t>
      </w:r>
      <w:r w:rsidR="00E9306E" w:rsidRPr="00B90432">
        <w:rPr>
          <w:rFonts w:asciiTheme="minorHAnsi" w:hAnsiTheme="minorHAnsi"/>
        </w:rPr>
        <w:t xml:space="preserve">with a photo of </w:t>
      </w:r>
      <w:r w:rsidR="00617BF5" w:rsidRPr="00B90432">
        <w:rPr>
          <w:rFonts w:asciiTheme="minorHAnsi" w:hAnsiTheme="minorHAnsi"/>
        </w:rPr>
        <w:t xml:space="preserve">Yuri Melini Salguero, </w:t>
      </w:r>
      <w:r w:rsidR="00E9306E" w:rsidRPr="00B90432">
        <w:rPr>
          <w:rFonts w:asciiTheme="minorHAnsi" w:hAnsiTheme="minorHAnsi"/>
        </w:rPr>
        <w:t xml:space="preserve">the Director of </w:t>
      </w:r>
      <w:r w:rsidR="00617BF5" w:rsidRPr="00B90432">
        <w:rPr>
          <w:rFonts w:asciiTheme="minorHAnsi" w:hAnsiTheme="minorHAnsi"/>
        </w:rPr>
        <w:t xml:space="preserve">CALAS, </w:t>
      </w:r>
      <w:r w:rsidR="00E9306E" w:rsidRPr="00B90432">
        <w:rPr>
          <w:rFonts w:asciiTheme="minorHAnsi" w:hAnsiTheme="minorHAnsi"/>
        </w:rPr>
        <w:t>during a recent working trip to Brussels, Belgium, org</w:t>
      </w:r>
      <w:r w:rsidR="00F069DF" w:rsidRPr="00B90432">
        <w:rPr>
          <w:rFonts w:asciiTheme="minorHAnsi" w:hAnsiTheme="minorHAnsi"/>
        </w:rPr>
        <w:t>anized by the World Organis</w:t>
      </w:r>
      <w:r w:rsidR="00E9306E" w:rsidRPr="00B90432">
        <w:rPr>
          <w:rFonts w:asciiTheme="minorHAnsi" w:hAnsiTheme="minorHAnsi"/>
        </w:rPr>
        <w:t>ation against Torture (</w:t>
      </w:r>
      <w:r w:rsidR="00F069DF" w:rsidRPr="00B90432">
        <w:rPr>
          <w:rFonts w:asciiTheme="minorHAnsi" w:hAnsiTheme="minorHAnsi"/>
        </w:rPr>
        <w:t>OMCT</w:t>
      </w:r>
      <w:r w:rsidR="00E9306E" w:rsidRPr="00B90432">
        <w:rPr>
          <w:rFonts w:asciiTheme="minorHAnsi" w:hAnsiTheme="minorHAnsi"/>
        </w:rPr>
        <w:t xml:space="preserve">). </w:t>
      </w:r>
      <w:r w:rsidR="0061156F" w:rsidRPr="00B90432">
        <w:rPr>
          <w:rFonts w:asciiTheme="minorHAnsi" w:hAnsiTheme="minorHAnsi"/>
        </w:rPr>
        <w:t>At</w:t>
      </w:r>
      <w:r w:rsidR="00F069DF" w:rsidRPr="00B90432">
        <w:rPr>
          <w:rFonts w:asciiTheme="minorHAnsi" w:hAnsiTheme="minorHAnsi"/>
        </w:rPr>
        <w:t xml:space="preserve"> the demonstrations</w:t>
      </w:r>
      <w:r w:rsidR="003B6F85" w:rsidRPr="00B90432">
        <w:rPr>
          <w:rFonts w:asciiTheme="minorHAnsi" w:hAnsiTheme="minorHAnsi"/>
        </w:rPr>
        <w:t>,</w:t>
      </w:r>
      <w:r w:rsidR="00F069DF" w:rsidRPr="00B90432">
        <w:rPr>
          <w:rFonts w:asciiTheme="minorHAnsi" w:hAnsiTheme="minorHAnsi"/>
        </w:rPr>
        <w:t xml:space="preserve"> he was accused of traveling at the expense of the conflict. </w:t>
      </w:r>
      <w:r w:rsidR="00331140" w:rsidRPr="00B90432">
        <w:rPr>
          <w:rFonts w:asciiTheme="minorHAnsi" w:hAnsiTheme="minorHAnsi"/>
        </w:rPr>
        <w:t>According</w:t>
      </w:r>
      <w:r w:rsidR="004A3BD9" w:rsidRPr="00B90432">
        <w:rPr>
          <w:rFonts w:asciiTheme="minorHAnsi" w:hAnsiTheme="minorHAnsi"/>
        </w:rPr>
        <w:t xml:space="preserve"> to civil </w:t>
      </w:r>
      <w:r w:rsidR="004A3BD9" w:rsidRPr="00B90432">
        <w:rPr>
          <w:rFonts w:asciiTheme="minorHAnsi" w:hAnsiTheme="minorHAnsi"/>
        </w:rPr>
        <w:lastRenderedPageBreak/>
        <w:t>society organizations, the smear and stigmatization campaign against CA</w:t>
      </w:r>
      <w:r w:rsidR="00FD3169" w:rsidRPr="00B90432">
        <w:rPr>
          <w:rFonts w:asciiTheme="minorHAnsi" w:hAnsiTheme="minorHAnsi"/>
        </w:rPr>
        <w:t>LAS reached a fever</w:t>
      </w:r>
      <w:r w:rsidR="0047662C" w:rsidRPr="00B90432">
        <w:rPr>
          <w:rFonts w:asciiTheme="minorHAnsi" w:hAnsiTheme="minorHAnsi"/>
        </w:rPr>
        <w:t xml:space="preserve"> pitch and seemed to be even further escalating </w:t>
      </w:r>
      <w:r w:rsidR="00BF7A4A" w:rsidRPr="00B90432">
        <w:rPr>
          <w:rFonts w:asciiTheme="minorHAnsi" w:hAnsiTheme="minorHAnsi"/>
        </w:rPr>
        <w:t xml:space="preserve">as a result of the decision of the Supreme Court of Justice of Guatemala, on July 6, 2017, to order the temporary suspension of the license for exploration and exploitation of the San Rafael mining projects. </w:t>
      </w:r>
      <w:r w:rsidR="0069186C" w:rsidRPr="00B90432">
        <w:rPr>
          <w:rFonts w:asciiTheme="minorHAnsi" w:hAnsiTheme="minorHAnsi"/>
        </w:rPr>
        <w:t xml:space="preserve">This decision settled a petition for constitutional relief via </w:t>
      </w:r>
      <w:r w:rsidR="0069186C" w:rsidRPr="00B90432">
        <w:rPr>
          <w:rFonts w:asciiTheme="minorHAnsi" w:hAnsiTheme="minorHAnsi"/>
          <w:i/>
        </w:rPr>
        <w:t xml:space="preserve">amparo </w:t>
      </w:r>
      <w:r w:rsidR="0069186C" w:rsidRPr="00B90432">
        <w:rPr>
          <w:rFonts w:asciiTheme="minorHAnsi" w:hAnsiTheme="minorHAnsi"/>
        </w:rPr>
        <w:t xml:space="preserve">filed by CALAS in May 2017 against the Ministry of Energy and Mines </w:t>
      </w:r>
      <w:r w:rsidR="00617BF5" w:rsidRPr="00B90432">
        <w:rPr>
          <w:rFonts w:asciiTheme="minorHAnsi" w:hAnsiTheme="minorHAnsi"/>
        </w:rPr>
        <w:t xml:space="preserve">(MEM), </w:t>
      </w:r>
      <w:r w:rsidR="0069186C" w:rsidRPr="00B90432">
        <w:rPr>
          <w:rFonts w:asciiTheme="minorHAnsi" w:hAnsiTheme="minorHAnsi"/>
        </w:rPr>
        <w:t>on the grounds that the Xinca indigenous peoples, who inhabit the municipalities affected by the project, were not consulted</w:t>
      </w:r>
      <w:r w:rsidR="003B6F85" w:rsidRPr="00B90432">
        <w:rPr>
          <w:rFonts w:asciiTheme="minorHAnsi" w:hAnsiTheme="minorHAnsi"/>
        </w:rPr>
        <w:t>,</w:t>
      </w:r>
      <w:r w:rsidR="0069186C" w:rsidRPr="00B90432">
        <w:rPr>
          <w:rFonts w:asciiTheme="minorHAnsi" w:hAnsiTheme="minorHAnsi"/>
        </w:rPr>
        <w:t xml:space="preserve"> as </w:t>
      </w:r>
      <w:r w:rsidR="003B6F85" w:rsidRPr="00B90432">
        <w:rPr>
          <w:rFonts w:asciiTheme="minorHAnsi" w:hAnsiTheme="minorHAnsi"/>
        </w:rPr>
        <w:t xml:space="preserve">required under </w:t>
      </w:r>
      <w:r w:rsidR="0069186C" w:rsidRPr="00B90432">
        <w:rPr>
          <w:rFonts w:asciiTheme="minorHAnsi" w:hAnsiTheme="minorHAnsi"/>
        </w:rPr>
        <w:t xml:space="preserve">ILO Convention 169 and Inter-American legal precedent, and that the MEM discriminated against them in repeatedly denying </w:t>
      </w:r>
      <w:r w:rsidR="00C41AE5" w:rsidRPr="00B90432">
        <w:rPr>
          <w:rFonts w:asciiTheme="minorHAnsi" w:hAnsiTheme="minorHAnsi"/>
        </w:rPr>
        <w:t>their existence in the area where the mining project operates.</w:t>
      </w:r>
      <w:r w:rsidR="00617BF5" w:rsidRPr="00B90432">
        <w:rPr>
          <w:rFonts w:asciiTheme="minorHAnsi" w:hAnsiTheme="minorHAnsi"/>
          <w:vertAlign w:val="superscript"/>
        </w:rPr>
        <w:footnoteReference w:id="267"/>
      </w:r>
      <w:r w:rsidR="00617BF5" w:rsidRPr="00B90432">
        <w:rPr>
          <w:rFonts w:asciiTheme="minorHAnsi" w:hAnsiTheme="minorHAnsi"/>
        </w:rPr>
        <w:t xml:space="preserve"> </w:t>
      </w:r>
    </w:p>
    <w:p w14:paraId="17C93D51" w14:textId="77777777" w:rsidR="00617BF5" w:rsidRPr="00B90432" w:rsidRDefault="00EA08FA" w:rsidP="006F4717">
      <w:pPr>
        <w:pStyle w:val="Numberedparagraphs"/>
        <w:rPr>
          <w:rFonts w:asciiTheme="minorHAnsi" w:hAnsiTheme="minorHAnsi"/>
        </w:rPr>
      </w:pPr>
      <w:r w:rsidRPr="00B90432">
        <w:rPr>
          <w:rFonts w:asciiTheme="minorHAnsi" w:hAnsiTheme="minorHAnsi"/>
        </w:rPr>
        <w:t xml:space="preserve">Stigmatization and smear campaigns are nothing new to Guatemala. </w:t>
      </w:r>
      <w:r w:rsidR="00DD369E" w:rsidRPr="00B90432">
        <w:rPr>
          <w:rFonts w:asciiTheme="minorHAnsi" w:hAnsiTheme="minorHAnsi"/>
        </w:rPr>
        <w:t xml:space="preserve">The Commission has been </w:t>
      </w:r>
      <w:r w:rsidR="00697C3E" w:rsidRPr="00B90432">
        <w:rPr>
          <w:rFonts w:asciiTheme="minorHAnsi" w:hAnsiTheme="minorHAnsi"/>
        </w:rPr>
        <w:t xml:space="preserve">consistently </w:t>
      </w:r>
      <w:r w:rsidR="00DD369E" w:rsidRPr="00B90432">
        <w:rPr>
          <w:rFonts w:asciiTheme="minorHAnsi" w:hAnsiTheme="minorHAnsi"/>
        </w:rPr>
        <w:t xml:space="preserve">monitoring this phenomenon in the country. In 2013, the PDH issued a resolution </w:t>
      </w:r>
      <w:r w:rsidR="00CC1DC1" w:rsidRPr="00B90432">
        <w:rPr>
          <w:rFonts w:asciiTheme="minorHAnsi" w:hAnsiTheme="minorHAnsi"/>
        </w:rPr>
        <w:t xml:space="preserve">to bring </w:t>
      </w:r>
      <w:r w:rsidR="00CE1134" w:rsidRPr="00B90432">
        <w:rPr>
          <w:rFonts w:asciiTheme="minorHAnsi" w:hAnsiTheme="minorHAnsi"/>
        </w:rPr>
        <w:t xml:space="preserve">charges against </w:t>
      </w:r>
      <w:r w:rsidR="00B77F9D" w:rsidRPr="00B90432">
        <w:rPr>
          <w:rFonts w:asciiTheme="minorHAnsi" w:hAnsiTheme="minorHAnsi"/>
        </w:rPr>
        <w:t xml:space="preserve">the president of the </w:t>
      </w:r>
      <w:r w:rsidR="00425806" w:rsidRPr="00B90432">
        <w:rPr>
          <w:rFonts w:asciiTheme="minorHAnsi" w:hAnsiTheme="minorHAnsi"/>
        </w:rPr>
        <w:t>Fundación contra el Terrorismo</w:t>
      </w:r>
      <w:r w:rsidR="00B77F9D" w:rsidRPr="00B90432">
        <w:rPr>
          <w:rFonts w:asciiTheme="minorHAnsi" w:hAnsiTheme="minorHAnsi"/>
        </w:rPr>
        <w:t xml:space="preserve"> </w:t>
      </w:r>
      <w:r w:rsidR="00697C3E" w:rsidRPr="00B90432">
        <w:rPr>
          <w:rFonts w:asciiTheme="minorHAnsi" w:hAnsiTheme="minorHAnsi"/>
        </w:rPr>
        <w:t xml:space="preserve">[Foundation against Terrorism] </w:t>
      </w:r>
      <w:r w:rsidR="00645329" w:rsidRPr="00B90432">
        <w:rPr>
          <w:rFonts w:asciiTheme="minorHAnsi" w:hAnsiTheme="minorHAnsi"/>
        </w:rPr>
        <w:t xml:space="preserve">for content the organization </w:t>
      </w:r>
      <w:r w:rsidR="00697C3E" w:rsidRPr="00B90432">
        <w:rPr>
          <w:rFonts w:asciiTheme="minorHAnsi" w:hAnsiTheme="minorHAnsi"/>
        </w:rPr>
        <w:t>disseminated in several materials attacking the dignity of human rights defenders.</w:t>
      </w:r>
      <w:r w:rsidR="00425806" w:rsidRPr="00B90432">
        <w:rPr>
          <w:rStyle w:val="FootnoteReference"/>
          <w:rFonts w:asciiTheme="minorHAnsi" w:hAnsiTheme="minorHAnsi"/>
          <w:sz w:val="22"/>
          <w:szCs w:val="22"/>
        </w:rPr>
        <w:footnoteReference w:id="268"/>
      </w:r>
      <w:r w:rsidR="00425806" w:rsidRPr="00B90432">
        <w:rPr>
          <w:rFonts w:asciiTheme="minorHAnsi" w:hAnsiTheme="minorHAnsi"/>
        </w:rPr>
        <w:t xml:space="preserve"> </w:t>
      </w:r>
      <w:r w:rsidR="00645329" w:rsidRPr="00B90432">
        <w:rPr>
          <w:rFonts w:asciiTheme="minorHAnsi" w:hAnsiTheme="minorHAnsi"/>
        </w:rPr>
        <w:t xml:space="preserve">In this regard, the PDH concluded that that campaign was a coordinated strategy to spread a discourse of hatred, intended to degrade, intimidate, promote prejudice or incite violence against individuals </w:t>
      </w:r>
      <w:r w:rsidR="00176ACE" w:rsidRPr="00B90432">
        <w:rPr>
          <w:rFonts w:asciiTheme="minorHAnsi" w:hAnsiTheme="minorHAnsi"/>
        </w:rPr>
        <w:t xml:space="preserve">on the basis of </w:t>
      </w:r>
      <w:r w:rsidR="00645329" w:rsidRPr="00B90432">
        <w:rPr>
          <w:rFonts w:asciiTheme="minorHAnsi" w:hAnsiTheme="minorHAnsi"/>
        </w:rPr>
        <w:t>sex, age group, ethni</w:t>
      </w:r>
      <w:r w:rsidR="00176ACE" w:rsidRPr="00B90432">
        <w:rPr>
          <w:rFonts w:asciiTheme="minorHAnsi" w:hAnsiTheme="minorHAnsi"/>
        </w:rPr>
        <w:t>c group, nationality, religion,</w:t>
      </w:r>
      <w:r w:rsidR="00987F00" w:rsidRPr="00B90432">
        <w:rPr>
          <w:rFonts w:asciiTheme="minorHAnsi" w:hAnsiTheme="minorHAnsi"/>
        </w:rPr>
        <w:t xml:space="preserve"> </w:t>
      </w:r>
      <w:r w:rsidR="00645329" w:rsidRPr="00B90432">
        <w:rPr>
          <w:rFonts w:asciiTheme="minorHAnsi" w:hAnsiTheme="minorHAnsi"/>
        </w:rPr>
        <w:t>sexual orientation, gender identity, opinion and pol</w:t>
      </w:r>
      <w:r w:rsidR="00176ACE" w:rsidRPr="00B90432">
        <w:rPr>
          <w:rFonts w:asciiTheme="minorHAnsi" w:hAnsiTheme="minorHAnsi"/>
        </w:rPr>
        <w:t>itical and ideological position</w:t>
      </w:r>
      <w:r w:rsidR="00645329" w:rsidRPr="00B90432">
        <w:rPr>
          <w:rFonts w:asciiTheme="minorHAnsi" w:hAnsiTheme="minorHAnsi"/>
        </w:rPr>
        <w:t>, socioeconomi</w:t>
      </w:r>
      <w:r w:rsidR="0081400B" w:rsidRPr="00B90432">
        <w:rPr>
          <w:rFonts w:asciiTheme="minorHAnsi" w:hAnsiTheme="minorHAnsi"/>
        </w:rPr>
        <w:t>c status, occupation</w:t>
      </w:r>
      <w:r w:rsidR="00176ACE" w:rsidRPr="00B90432">
        <w:rPr>
          <w:rFonts w:asciiTheme="minorHAnsi" w:hAnsiTheme="minorHAnsi"/>
        </w:rPr>
        <w:t xml:space="preserve">, </w:t>
      </w:r>
      <w:r w:rsidR="00645329" w:rsidRPr="00B90432">
        <w:rPr>
          <w:rFonts w:asciiTheme="minorHAnsi" w:hAnsiTheme="minorHAnsi"/>
        </w:rPr>
        <w:t>appearance or image.</w:t>
      </w:r>
      <w:r w:rsidR="00425806" w:rsidRPr="00B90432">
        <w:rPr>
          <w:rFonts w:asciiTheme="minorHAnsi" w:hAnsiTheme="minorHAnsi"/>
          <w:vertAlign w:val="superscript"/>
        </w:rPr>
        <w:footnoteReference w:id="269"/>
      </w:r>
    </w:p>
    <w:p w14:paraId="1E420599" w14:textId="77777777" w:rsidR="004118DA" w:rsidRPr="00B90432" w:rsidRDefault="00176ACE" w:rsidP="006F4717">
      <w:pPr>
        <w:pStyle w:val="Numberedparagraphs"/>
        <w:rPr>
          <w:rFonts w:asciiTheme="minorHAnsi" w:hAnsiTheme="minorHAnsi"/>
        </w:rPr>
      </w:pPr>
      <w:r w:rsidRPr="00B90432">
        <w:rPr>
          <w:rFonts w:asciiTheme="minorHAnsi" w:hAnsiTheme="minorHAnsi"/>
        </w:rPr>
        <w:t xml:space="preserve">Furthermore, the IACHR notes with concern </w:t>
      </w:r>
      <w:r w:rsidR="00EE609A" w:rsidRPr="00B90432">
        <w:rPr>
          <w:rFonts w:asciiTheme="minorHAnsi" w:hAnsiTheme="minorHAnsi"/>
        </w:rPr>
        <w:t xml:space="preserve">complaints regarding the involvement of private companies in </w:t>
      </w:r>
      <w:r w:rsidR="00357E30" w:rsidRPr="00B90432">
        <w:rPr>
          <w:rFonts w:asciiTheme="minorHAnsi" w:hAnsiTheme="minorHAnsi"/>
        </w:rPr>
        <w:t xml:space="preserve">processes </w:t>
      </w:r>
      <w:r w:rsidR="007F4AA5" w:rsidRPr="00B90432">
        <w:rPr>
          <w:rFonts w:asciiTheme="minorHAnsi" w:hAnsiTheme="minorHAnsi"/>
        </w:rPr>
        <w:t>and campaigns to stigmatize and delegitimize</w:t>
      </w:r>
      <w:r w:rsidR="00770B42" w:rsidRPr="00B90432">
        <w:rPr>
          <w:rFonts w:asciiTheme="minorHAnsi" w:hAnsiTheme="minorHAnsi"/>
        </w:rPr>
        <w:t xml:space="preserve"> </w:t>
      </w:r>
      <w:r w:rsidR="00EE609A" w:rsidRPr="00B90432">
        <w:rPr>
          <w:rFonts w:asciiTheme="minorHAnsi" w:hAnsiTheme="minorHAnsi"/>
        </w:rPr>
        <w:t xml:space="preserve">human rights defenders. </w:t>
      </w:r>
      <w:r w:rsidR="00783CD1" w:rsidRPr="00B90432">
        <w:rPr>
          <w:rFonts w:asciiTheme="minorHAnsi" w:hAnsiTheme="minorHAnsi"/>
        </w:rPr>
        <w:t xml:space="preserve">On this score, civil </w:t>
      </w:r>
      <w:r w:rsidR="00783CD1" w:rsidRPr="00B90432">
        <w:rPr>
          <w:rFonts w:asciiTheme="minorHAnsi" w:hAnsiTheme="minorHAnsi"/>
        </w:rPr>
        <w:lastRenderedPageBreak/>
        <w:t>society organizations claimed that some companies us</w:t>
      </w:r>
      <w:r w:rsidR="00770B42" w:rsidRPr="00B90432">
        <w:rPr>
          <w:rFonts w:asciiTheme="minorHAnsi" w:hAnsiTheme="minorHAnsi"/>
        </w:rPr>
        <w:t>e</w:t>
      </w:r>
      <w:r w:rsidR="00783CD1" w:rsidRPr="00B90432">
        <w:rPr>
          <w:rFonts w:asciiTheme="minorHAnsi" w:hAnsiTheme="minorHAnsi"/>
        </w:rPr>
        <w:t xml:space="preserve"> corporate communications media and social networks to publicize t</w:t>
      </w:r>
      <w:r w:rsidR="003C5AD2" w:rsidRPr="00B90432">
        <w:rPr>
          <w:rFonts w:asciiTheme="minorHAnsi" w:hAnsiTheme="minorHAnsi"/>
        </w:rPr>
        <w:t xml:space="preserve">he image of </w:t>
      </w:r>
      <w:r w:rsidR="00783CD1" w:rsidRPr="00B90432">
        <w:rPr>
          <w:rFonts w:asciiTheme="minorHAnsi" w:hAnsiTheme="minorHAnsi"/>
        </w:rPr>
        <w:t>defender</w:t>
      </w:r>
      <w:r w:rsidR="003C5AD2" w:rsidRPr="00B90432">
        <w:rPr>
          <w:rFonts w:asciiTheme="minorHAnsi" w:hAnsiTheme="minorHAnsi"/>
        </w:rPr>
        <w:t>s</w:t>
      </w:r>
      <w:r w:rsidR="00783CD1" w:rsidRPr="00B90432">
        <w:rPr>
          <w:rFonts w:asciiTheme="minorHAnsi" w:hAnsiTheme="minorHAnsi"/>
        </w:rPr>
        <w:t xml:space="preserve"> with messages that discredit </w:t>
      </w:r>
      <w:r w:rsidR="00BF5BE1" w:rsidRPr="00B90432">
        <w:rPr>
          <w:rFonts w:asciiTheme="minorHAnsi" w:hAnsiTheme="minorHAnsi"/>
        </w:rPr>
        <w:t xml:space="preserve">their </w:t>
      </w:r>
      <w:r w:rsidR="00783CD1" w:rsidRPr="00B90432">
        <w:rPr>
          <w:rFonts w:asciiTheme="minorHAnsi" w:hAnsiTheme="minorHAnsi"/>
        </w:rPr>
        <w:t>leadership</w:t>
      </w:r>
      <w:r w:rsidR="00357E30" w:rsidRPr="00B90432">
        <w:rPr>
          <w:rFonts w:asciiTheme="minorHAnsi" w:hAnsiTheme="minorHAnsi"/>
        </w:rPr>
        <w:t xml:space="preserve">, </w:t>
      </w:r>
      <w:r w:rsidR="00E817DC" w:rsidRPr="00B90432">
        <w:rPr>
          <w:rFonts w:asciiTheme="minorHAnsi" w:hAnsiTheme="minorHAnsi"/>
        </w:rPr>
        <w:t xml:space="preserve">smear </w:t>
      </w:r>
      <w:r w:rsidR="00BF5BE1" w:rsidRPr="00B90432">
        <w:rPr>
          <w:rFonts w:asciiTheme="minorHAnsi" w:hAnsiTheme="minorHAnsi"/>
        </w:rPr>
        <w:t xml:space="preserve">them </w:t>
      </w:r>
      <w:r w:rsidR="00783CD1" w:rsidRPr="00B90432">
        <w:rPr>
          <w:rFonts w:asciiTheme="minorHAnsi" w:hAnsiTheme="minorHAnsi"/>
        </w:rPr>
        <w:t xml:space="preserve">and </w:t>
      </w:r>
      <w:r w:rsidR="00927840" w:rsidRPr="00B90432">
        <w:rPr>
          <w:rFonts w:asciiTheme="minorHAnsi" w:hAnsiTheme="minorHAnsi"/>
        </w:rPr>
        <w:t xml:space="preserve">injure </w:t>
      </w:r>
      <w:r w:rsidR="00E867B3" w:rsidRPr="00B90432">
        <w:rPr>
          <w:rFonts w:asciiTheme="minorHAnsi" w:hAnsiTheme="minorHAnsi"/>
        </w:rPr>
        <w:t xml:space="preserve">their dignity. </w:t>
      </w:r>
      <w:r w:rsidR="00751FC5" w:rsidRPr="00B90432">
        <w:rPr>
          <w:rFonts w:asciiTheme="minorHAnsi" w:hAnsiTheme="minorHAnsi"/>
        </w:rPr>
        <w:t xml:space="preserve">According to the organizations, the </w:t>
      </w:r>
      <w:r w:rsidR="00696F45" w:rsidRPr="00B90432">
        <w:rPr>
          <w:rFonts w:asciiTheme="minorHAnsi" w:hAnsiTheme="minorHAnsi"/>
        </w:rPr>
        <w:t xml:space="preserve">most frequently used </w:t>
      </w:r>
      <w:r w:rsidR="00751FC5" w:rsidRPr="00B90432">
        <w:rPr>
          <w:rFonts w:asciiTheme="minorHAnsi" w:hAnsiTheme="minorHAnsi"/>
        </w:rPr>
        <w:t xml:space="preserve">names </w:t>
      </w:r>
      <w:r w:rsidR="004A0F61" w:rsidRPr="00B90432">
        <w:rPr>
          <w:rFonts w:asciiTheme="minorHAnsi" w:hAnsiTheme="minorHAnsi"/>
        </w:rPr>
        <w:t xml:space="preserve">are </w:t>
      </w:r>
      <w:r w:rsidR="00751FC5" w:rsidRPr="00B90432">
        <w:rPr>
          <w:rFonts w:asciiTheme="minorHAnsi" w:hAnsiTheme="minorHAnsi"/>
        </w:rPr>
        <w:t>“guerrilla,” “terrorist</w:t>
      </w:r>
      <w:r w:rsidR="004A0F61" w:rsidRPr="00B90432">
        <w:rPr>
          <w:rFonts w:asciiTheme="minorHAnsi" w:hAnsiTheme="minorHAnsi"/>
        </w:rPr>
        <w:t>,” “hoodlum,” “criminal,” “swindler,” among other ones.</w:t>
      </w:r>
      <w:r w:rsidR="004118DA" w:rsidRPr="00B90432">
        <w:rPr>
          <w:rFonts w:asciiTheme="minorHAnsi" w:hAnsiTheme="minorHAnsi"/>
          <w:vertAlign w:val="superscript"/>
        </w:rPr>
        <w:footnoteReference w:id="270"/>
      </w:r>
    </w:p>
    <w:p w14:paraId="65DD88C2" w14:textId="77777777" w:rsidR="00617BF5" w:rsidRPr="00B90432" w:rsidRDefault="00DD2702" w:rsidP="006F4717">
      <w:pPr>
        <w:pStyle w:val="Numberedparagraphs"/>
        <w:rPr>
          <w:rFonts w:asciiTheme="minorHAnsi" w:hAnsiTheme="minorHAnsi"/>
        </w:rPr>
      </w:pPr>
      <w:r w:rsidRPr="00B90432">
        <w:rPr>
          <w:rFonts w:asciiTheme="minorHAnsi" w:hAnsiTheme="minorHAnsi"/>
        </w:rPr>
        <w:t xml:space="preserve">The IACHR notes that stigmatization and delegitimation have a differential impact on women human rights defenders, </w:t>
      </w:r>
      <w:r w:rsidR="00696F45" w:rsidRPr="00B90432">
        <w:rPr>
          <w:rFonts w:asciiTheme="minorHAnsi" w:hAnsiTheme="minorHAnsi"/>
        </w:rPr>
        <w:t xml:space="preserve">because of </w:t>
      </w:r>
      <w:r w:rsidRPr="00B90432">
        <w:rPr>
          <w:rFonts w:asciiTheme="minorHAnsi" w:hAnsiTheme="minorHAnsi"/>
        </w:rPr>
        <w:t xml:space="preserve">traditional gender relationships, which quite often intersect with the racial discrimination </w:t>
      </w:r>
      <w:r w:rsidR="00F53876" w:rsidRPr="00B90432">
        <w:rPr>
          <w:rFonts w:asciiTheme="minorHAnsi" w:hAnsiTheme="minorHAnsi"/>
        </w:rPr>
        <w:t xml:space="preserve">to which </w:t>
      </w:r>
      <w:r w:rsidRPr="00B90432">
        <w:rPr>
          <w:rFonts w:asciiTheme="minorHAnsi" w:hAnsiTheme="minorHAnsi"/>
        </w:rPr>
        <w:t>defenders of indigenous or African descent</w:t>
      </w:r>
      <w:r w:rsidR="00F53876" w:rsidRPr="00B90432">
        <w:rPr>
          <w:rFonts w:asciiTheme="minorHAnsi" w:hAnsiTheme="minorHAnsi"/>
        </w:rPr>
        <w:t xml:space="preserve"> are subjected. Smears or d</w:t>
      </w:r>
      <w:r w:rsidRPr="00B90432">
        <w:rPr>
          <w:rFonts w:asciiTheme="minorHAnsi" w:hAnsiTheme="minorHAnsi"/>
        </w:rPr>
        <w:t xml:space="preserve">efamation of character against women defenders has a differential status, </w:t>
      </w:r>
      <w:r w:rsidR="00F53876" w:rsidRPr="00B90432">
        <w:rPr>
          <w:rFonts w:asciiTheme="minorHAnsi" w:hAnsiTheme="minorHAnsi"/>
        </w:rPr>
        <w:t xml:space="preserve">because </w:t>
      </w:r>
      <w:r w:rsidRPr="00B90432">
        <w:rPr>
          <w:rFonts w:asciiTheme="minorHAnsi" w:hAnsiTheme="minorHAnsi"/>
        </w:rPr>
        <w:t xml:space="preserve">a significant number of these incidents hurt and </w:t>
      </w:r>
      <w:r w:rsidR="00571E07" w:rsidRPr="00B90432">
        <w:rPr>
          <w:rFonts w:asciiTheme="minorHAnsi" w:hAnsiTheme="minorHAnsi"/>
        </w:rPr>
        <w:t xml:space="preserve">undermine </w:t>
      </w:r>
      <w:r w:rsidRPr="00B90432">
        <w:rPr>
          <w:rFonts w:asciiTheme="minorHAnsi" w:hAnsiTheme="minorHAnsi"/>
        </w:rPr>
        <w:t>their gender condition.</w:t>
      </w:r>
      <w:r w:rsidR="00617BF5" w:rsidRPr="00B90432">
        <w:rPr>
          <w:rFonts w:asciiTheme="minorHAnsi" w:hAnsiTheme="minorHAnsi"/>
          <w:vertAlign w:val="superscript"/>
        </w:rPr>
        <w:footnoteReference w:id="271"/>
      </w:r>
      <w:r w:rsidR="001D71E4" w:rsidRPr="00B90432">
        <w:rPr>
          <w:rFonts w:asciiTheme="minorHAnsi" w:hAnsiTheme="minorHAnsi"/>
        </w:rPr>
        <w:t xml:space="preserve"> </w:t>
      </w:r>
      <w:r w:rsidR="00617BF5" w:rsidRPr="00B90432">
        <w:rPr>
          <w:rFonts w:asciiTheme="minorHAnsi" w:hAnsiTheme="minorHAnsi"/>
        </w:rPr>
        <w:t xml:space="preserve"> </w:t>
      </w:r>
      <w:r w:rsidR="008B08F1" w:rsidRPr="00B90432">
        <w:rPr>
          <w:rFonts w:asciiTheme="minorHAnsi" w:hAnsiTheme="minorHAnsi"/>
        </w:rPr>
        <w:t>In addition to the discrimination to which they are subjected because of their</w:t>
      </w:r>
      <w:r w:rsidR="003D4675" w:rsidRPr="00B90432">
        <w:rPr>
          <w:rFonts w:asciiTheme="minorHAnsi" w:hAnsiTheme="minorHAnsi"/>
        </w:rPr>
        <w:t xml:space="preserve"> traditional role and gender st</w:t>
      </w:r>
      <w:r w:rsidR="008B08F1" w:rsidRPr="00B90432">
        <w:rPr>
          <w:rFonts w:asciiTheme="minorHAnsi" w:hAnsiTheme="minorHAnsi"/>
        </w:rPr>
        <w:t>ereotype conceptions that have been attributed to them, their sit</w:t>
      </w:r>
      <w:r w:rsidR="00CB15D1" w:rsidRPr="00B90432">
        <w:rPr>
          <w:rFonts w:asciiTheme="minorHAnsi" w:hAnsiTheme="minorHAnsi"/>
        </w:rPr>
        <w:t xml:space="preserve">uation is further compounded </w:t>
      </w:r>
      <w:r w:rsidR="001958BC" w:rsidRPr="00B90432">
        <w:rPr>
          <w:rFonts w:asciiTheme="minorHAnsi" w:hAnsiTheme="minorHAnsi"/>
        </w:rPr>
        <w:t>by</w:t>
      </w:r>
      <w:r w:rsidR="003D4675" w:rsidRPr="00B90432">
        <w:rPr>
          <w:rFonts w:asciiTheme="minorHAnsi" w:hAnsiTheme="minorHAnsi"/>
        </w:rPr>
        <w:t xml:space="preserve"> performing </w:t>
      </w:r>
      <w:r w:rsidR="00C83FBC" w:rsidRPr="00B90432">
        <w:rPr>
          <w:rFonts w:asciiTheme="minorHAnsi" w:hAnsiTheme="minorHAnsi"/>
        </w:rPr>
        <w:t xml:space="preserve">a job, which entails </w:t>
      </w:r>
      <w:r w:rsidR="004B354D" w:rsidRPr="00B90432">
        <w:rPr>
          <w:rFonts w:asciiTheme="minorHAnsi" w:hAnsiTheme="minorHAnsi"/>
        </w:rPr>
        <w:t>great risk</w:t>
      </w:r>
      <w:r w:rsidR="00CB15D1" w:rsidRPr="00B90432">
        <w:rPr>
          <w:rFonts w:asciiTheme="minorHAnsi" w:hAnsiTheme="minorHAnsi"/>
        </w:rPr>
        <w:t xml:space="preserve"> by virtue of the specific causes they advocate. </w:t>
      </w:r>
      <w:r w:rsidR="005B3433" w:rsidRPr="00B90432">
        <w:rPr>
          <w:rFonts w:asciiTheme="minorHAnsi" w:hAnsiTheme="minorHAnsi"/>
        </w:rPr>
        <w:t xml:space="preserve">The IACHR has received many petitions on violence affecting women in communities </w:t>
      </w:r>
      <w:r w:rsidR="00857B70" w:rsidRPr="00B90432">
        <w:rPr>
          <w:rFonts w:asciiTheme="minorHAnsi" w:hAnsiTheme="minorHAnsi"/>
        </w:rPr>
        <w:t xml:space="preserve">marked </w:t>
      </w:r>
      <w:r w:rsidR="005B3433" w:rsidRPr="00B90432">
        <w:rPr>
          <w:rFonts w:asciiTheme="minorHAnsi" w:hAnsiTheme="minorHAnsi"/>
        </w:rPr>
        <w:t>by a</w:t>
      </w:r>
      <w:r w:rsidR="001D6AE0" w:rsidRPr="00B90432">
        <w:rPr>
          <w:rFonts w:asciiTheme="minorHAnsi" w:hAnsiTheme="minorHAnsi"/>
        </w:rPr>
        <w:t>n</w:t>
      </w:r>
      <w:r w:rsidR="005B3433" w:rsidRPr="00B90432">
        <w:rPr>
          <w:rFonts w:asciiTheme="minorHAnsi" w:hAnsiTheme="minorHAnsi"/>
        </w:rPr>
        <w:t xml:space="preserve"> historical patriarchal conception, where they are subjected to degrading social stereotyp</w:t>
      </w:r>
      <w:r w:rsidR="009A532F" w:rsidRPr="00B90432">
        <w:rPr>
          <w:rFonts w:asciiTheme="minorHAnsi" w:hAnsiTheme="minorHAnsi"/>
        </w:rPr>
        <w:t>es of their sexual life or</w:t>
      </w:r>
      <w:r w:rsidR="005B3433" w:rsidRPr="00B90432">
        <w:rPr>
          <w:rFonts w:asciiTheme="minorHAnsi" w:hAnsiTheme="minorHAnsi"/>
        </w:rPr>
        <w:t xml:space="preserve"> they would be accused of undermining moral values or social institutions such as the family.</w:t>
      </w:r>
      <w:r w:rsidR="00617BF5" w:rsidRPr="00B90432">
        <w:rPr>
          <w:rFonts w:asciiTheme="minorHAnsi" w:hAnsiTheme="minorHAnsi"/>
          <w:vertAlign w:val="superscript"/>
        </w:rPr>
        <w:footnoteReference w:id="272"/>
      </w:r>
      <w:r w:rsidR="00617BF5" w:rsidRPr="00B90432">
        <w:rPr>
          <w:rFonts w:asciiTheme="minorHAnsi" w:hAnsiTheme="minorHAnsi"/>
        </w:rPr>
        <w:t xml:space="preserve"> </w:t>
      </w:r>
    </w:p>
    <w:p w14:paraId="7ED473EF" w14:textId="77777777" w:rsidR="00534841" w:rsidRPr="00B90432" w:rsidRDefault="00345259" w:rsidP="006F4717">
      <w:pPr>
        <w:pStyle w:val="Numberedparagraphs"/>
        <w:rPr>
          <w:rFonts w:asciiTheme="minorHAnsi" w:hAnsiTheme="minorHAnsi"/>
        </w:rPr>
      </w:pPr>
      <w:r w:rsidRPr="00B90432">
        <w:rPr>
          <w:rFonts w:asciiTheme="minorHAnsi" w:hAnsiTheme="minorHAnsi"/>
        </w:rPr>
        <w:t xml:space="preserve">By way of </w:t>
      </w:r>
      <w:r w:rsidR="006960B8" w:rsidRPr="00B90432">
        <w:rPr>
          <w:rFonts w:asciiTheme="minorHAnsi" w:hAnsiTheme="minorHAnsi"/>
        </w:rPr>
        <w:t xml:space="preserve">example, based on testimony reflected in the Amnesty International report </w:t>
      </w:r>
      <w:r w:rsidR="006960B8" w:rsidRPr="00B90432">
        <w:rPr>
          <w:rFonts w:asciiTheme="minorHAnsi" w:hAnsiTheme="minorHAnsi"/>
          <w:i/>
        </w:rPr>
        <w:t xml:space="preserve">We are Defending the Land with Our Blood: Defenders of the Land, Territory and Environment in Honduras and Guatemala, </w:t>
      </w:r>
      <w:r w:rsidRPr="00B90432">
        <w:rPr>
          <w:rFonts w:asciiTheme="minorHAnsi" w:hAnsiTheme="minorHAnsi"/>
        </w:rPr>
        <w:t>defender</w:t>
      </w:r>
      <w:r w:rsidR="00617BF5" w:rsidRPr="00B90432">
        <w:rPr>
          <w:rFonts w:asciiTheme="minorHAnsi" w:hAnsiTheme="minorHAnsi"/>
        </w:rPr>
        <w:t xml:space="preserve"> Lolita Chávez, </w:t>
      </w:r>
      <w:r w:rsidRPr="00B90432">
        <w:rPr>
          <w:rFonts w:asciiTheme="minorHAnsi" w:hAnsiTheme="minorHAnsi"/>
        </w:rPr>
        <w:t xml:space="preserve">member of the Kiché Peoples’ Council </w:t>
      </w:r>
      <w:r w:rsidR="00617BF5" w:rsidRPr="00B90432">
        <w:rPr>
          <w:rFonts w:asciiTheme="minorHAnsi" w:hAnsiTheme="minorHAnsi"/>
        </w:rPr>
        <w:t xml:space="preserve">(CPK) </w:t>
      </w:r>
      <w:r w:rsidRPr="00B90432">
        <w:rPr>
          <w:rFonts w:asciiTheme="minorHAnsi" w:hAnsiTheme="minorHAnsi"/>
        </w:rPr>
        <w:t>and beneficiary of precautionary measures granted by the IACHR,</w:t>
      </w:r>
      <w:r w:rsidR="00617BF5" w:rsidRPr="00B90432">
        <w:rPr>
          <w:rFonts w:asciiTheme="minorHAnsi" w:hAnsiTheme="minorHAnsi"/>
          <w:vertAlign w:val="superscript"/>
        </w:rPr>
        <w:footnoteReference w:id="273"/>
      </w:r>
      <w:r w:rsidRPr="00B90432">
        <w:rPr>
          <w:rFonts w:asciiTheme="minorHAnsi" w:hAnsiTheme="minorHAnsi"/>
        </w:rPr>
        <w:t xml:space="preserve"> contended that she was called “conflictive” and “troublemaker</w:t>
      </w:r>
      <w:r w:rsidR="00772645" w:rsidRPr="00B90432">
        <w:rPr>
          <w:rFonts w:asciiTheme="minorHAnsi" w:hAnsiTheme="minorHAnsi"/>
        </w:rPr>
        <w:t xml:space="preserve">,” names with roots in discriminatory views of women and indigenous people as </w:t>
      </w:r>
      <w:r w:rsidR="00753792" w:rsidRPr="00B90432">
        <w:rPr>
          <w:rFonts w:asciiTheme="minorHAnsi" w:hAnsiTheme="minorHAnsi"/>
        </w:rPr>
        <w:t xml:space="preserve">being </w:t>
      </w:r>
      <w:r w:rsidR="00772645" w:rsidRPr="00B90432">
        <w:rPr>
          <w:rFonts w:asciiTheme="minorHAnsi" w:hAnsiTheme="minorHAnsi"/>
        </w:rPr>
        <w:t>incapable of leadin</w:t>
      </w:r>
      <w:r w:rsidR="009B5606" w:rsidRPr="00B90432">
        <w:rPr>
          <w:rFonts w:asciiTheme="minorHAnsi" w:hAnsiTheme="minorHAnsi"/>
        </w:rPr>
        <w:t>g and who, instead of exercising their rights, act impulsively.</w:t>
      </w:r>
      <w:r w:rsidR="00617BF5" w:rsidRPr="00B90432">
        <w:rPr>
          <w:rFonts w:asciiTheme="minorHAnsi" w:hAnsiTheme="minorHAnsi"/>
          <w:vertAlign w:val="superscript"/>
        </w:rPr>
        <w:footnoteReference w:id="274"/>
      </w:r>
      <w:r w:rsidR="009B5606" w:rsidRPr="00B90432">
        <w:rPr>
          <w:rFonts w:asciiTheme="minorHAnsi" w:hAnsiTheme="minorHAnsi"/>
        </w:rPr>
        <w:t xml:space="preserve"> The case of the La Puya Peaceful Resistance, one of the most respected </w:t>
      </w:r>
      <w:r w:rsidR="009B5606" w:rsidRPr="00B90432">
        <w:rPr>
          <w:rFonts w:asciiTheme="minorHAnsi" w:hAnsiTheme="minorHAnsi"/>
        </w:rPr>
        <w:lastRenderedPageBreak/>
        <w:t xml:space="preserve">leaders was stigmatized though rumors that she had received money from a mining company. This first drove her into isolation within the movement and then to make the decision to quit. Even though she left the movement, she continued to be the </w:t>
      </w:r>
      <w:r w:rsidR="009B13EB" w:rsidRPr="00B90432">
        <w:rPr>
          <w:rFonts w:asciiTheme="minorHAnsi" w:hAnsiTheme="minorHAnsi"/>
        </w:rPr>
        <w:t>target</w:t>
      </w:r>
      <w:r w:rsidR="009B5606" w:rsidRPr="00B90432">
        <w:rPr>
          <w:rFonts w:asciiTheme="minorHAnsi" w:hAnsiTheme="minorHAnsi"/>
        </w:rPr>
        <w:t xml:space="preserve"> of attacks against her and threats against her minor children, still referencing her role as a defender. </w:t>
      </w:r>
      <w:r w:rsidR="00674A9E" w:rsidRPr="00B90432">
        <w:rPr>
          <w:rFonts w:asciiTheme="minorHAnsi" w:hAnsiTheme="minorHAnsi"/>
        </w:rPr>
        <w:t xml:space="preserve">In early </w:t>
      </w:r>
      <w:r w:rsidR="00617BF5" w:rsidRPr="00B90432">
        <w:rPr>
          <w:rFonts w:asciiTheme="minorHAnsi" w:hAnsiTheme="minorHAnsi"/>
        </w:rPr>
        <w:t xml:space="preserve">2016, </w:t>
      </w:r>
      <w:r w:rsidR="00674A9E" w:rsidRPr="00B90432">
        <w:rPr>
          <w:rFonts w:asciiTheme="minorHAnsi" w:hAnsiTheme="minorHAnsi"/>
        </w:rPr>
        <w:t xml:space="preserve">the defender received death threats against her and her children when the case filed by the community was being heard in the High Courts of Guatemala, challenging the mining license for lack of prior consultation with the community. </w:t>
      </w:r>
      <w:r w:rsidR="005A708B" w:rsidRPr="00B90432">
        <w:rPr>
          <w:rFonts w:asciiTheme="minorHAnsi" w:hAnsiTheme="minorHAnsi"/>
        </w:rPr>
        <w:t xml:space="preserve">The defender was compelled to implement emergency </w:t>
      </w:r>
      <w:r w:rsidR="00035F0B" w:rsidRPr="00B90432">
        <w:rPr>
          <w:rFonts w:asciiTheme="minorHAnsi" w:hAnsiTheme="minorHAnsi"/>
        </w:rPr>
        <w:t>protection strategies for her</w:t>
      </w:r>
      <w:r w:rsidR="005A708B" w:rsidRPr="00B90432">
        <w:rPr>
          <w:rFonts w:asciiTheme="minorHAnsi" w:hAnsiTheme="minorHAnsi"/>
        </w:rPr>
        <w:t xml:space="preserve"> children</w:t>
      </w:r>
      <w:r w:rsidR="00035F0B" w:rsidRPr="00B90432">
        <w:rPr>
          <w:rFonts w:asciiTheme="minorHAnsi" w:hAnsiTheme="minorHAnsi"/>
        </w:rPr>
        <w:t xml:space="preserve"> as well as for her own safety</w:t>
      </w:r>
      <w:r w:rsidR="005A708B" w:rsidRPr="00B90432">
        <w:rPr>
          <w:rFonts w:asciiTheme="minorHAnsi" w:hAnsiTheme="minorHAnsi"/>
        </w:rPr>
        <w:t>. As a woman defender, she argued that her situation is doubly difficult and that “because of t</w:t>
      </w:r>
      <w:r w:rsidR="00264399" w:rsidRPr="00B90432">
        <w:rPr>
          <w:rFonts w:asciiTheme="minorHAnsi" w:hAnsiTheme="minorHAnsi"/>
        </w:rPr>
        <w:t>he threats, my</w:t>
      </w:r>
      <w:r w:rsidR="005A708B" w:rsidRPr="00B90432">
        <w:rPr>
          <w:rFonts w:asciiTheme="minorHAnsi" w:hAnsiTheme="minorHAnsi"/>
        </w:rPr>
        <w:t xml:space="preserve"> husband </w:t>
      </w:r>
      <w:r w:rsidR="00807F5A" w:rsidRPr="00B90432">
        <w:rPr>
          <w:rFonts w:asciiTheme="minorHAnsi" w:hAnsiTheme="minorHAnsi"/>
        </w:rPr>
        <w:t xml:space="preserve">just </w:t>
      </w:r>
      <w:r w:rsidR="005A708B" w:rsidRPr="00B90432">
        <w:rPr>
          <w:rFonts w:asciiTheme="minorHAnsi" w:hAnsiTheme="minorHAnsi"/>
        </w:rPr>
        <w:t xml:space="preserve">left and </w:t>
      </w:r>
      <w:r w:rsidR="00807F5A" w:rsidRPr="00B90432">
        <w:rPr>
          <w:rFonts w:asciiTheme="minorHAnsi" w:hAnsiTheme="minorHAnsi"/>
        </w:rPr>
        <w:t>that was</w:t>
      </w:r>
      <w:r w:rsidR="001B019A" w:rsidRPr="00B90432">
        <w:rPr>
          <w:rFonts w:asciiTheme="minorHAnsi" w:hAnsiTheme="minorHAnsi"/>
        </w:rPr>
        <w:t xml:space="preserve"> it, but I am not going to leave my children.</w:t>
      </w:r>
      <w:r w:rsidR="00617BF5" w:rsidRPr="00B90432">
        <w:rPr>
          <w:rFonts w:asciiTheme="minorHAnsi" w:hAnsiTheme="minorHAnsi"/>
        </w:rPr>
        <w:t>”</w:t>
      </w:r>
      <w:r w:rsidR="00617BF5" w:rsidRPr="00B90432">
        <w:rPr>
          <w:rFonts w:asciiTheme="minorHAnsi" w:hAnsiTheme="minorHAnsi"/>
          <w:vertAlign w:val="superscript"/>
        </w:rPr>
        <w:footnoteReference w:id="275"/>
      </w:r>
    </w:p>
    <w:p w14:paraId="37708286" w14:textId="77777777" w:rsidR="00534841" w:rsidRPr="00B90432" w:rsidRDefault="00461DC7" w:rsidP="006F4717">
      <w:pPr>
        <w:pStyle w:val="Numberedparagraphs"/>
        <w:rPr>
          <w:rFonts w:asciiTheme="minorHAnsi" w:hAnsiTheme="minorHAnsi"/>
        </w:rPr>
      </w:pPr>
      <w:r w:rsidRPr="00B90432">
        <w:rPr>
          <w:rFonts w:asciiTheme="minorHAnsi" w:hAnsiTheme="minorHAnsi"/>
        </w:rPr>
        <w:t xml:space="preserve">The IACHR has learned of the use of this slanderous language by </w:t>
      </w:r>
      <w:r w:rsidR="000E17FD" w:rsidRPr="00B90432">
        <w:rPr>
          <w:rFonts w:asciiTheme="minorHAnsi" w:hAnsiTheme="minorHAnsi"/>
        </w:rPr>
        <w:t xml:space="preserve">justice </w:t>
      </w:r>
      <w:r w:rsidRPr="00B90432">
        <w:rPr>
          <w:rFonts w:asciiTheme="minorHAnsi" w:hAnsiTheme="minorHAnsi"/>
        </w:rPr>
        <w:t xml:space="preserve">operators </w:t>
      </w:r>
      <w:r w:rsidR="000E17FD" w:rsidRPr="00B90432">
        <w:rPr>
          <w:rFonts w:asciiTheme="minorHAnsi" w:hAnsiTheme="minorHAnsi"/>
        </w:rPr>
        <w:t>themselves. By way of</w:t>
      </w:r>
      <w:r w:rsidRPr="00B90432">
        <w:rPr>
          <w:rFonts w:asciiTheme="minorHAnsi" w:hAnsiTheme="minorHAnsi"/>
        </w:rPr>
        <w:t xml:space="preserve"> example, in an interrogation conducted by an assistant prosecutor of the administrative crimes section, in the context of case proceeding </w:t>
      </w:r>
      <w:r w:rsidR="00534841" w:rsidRPr="00B90432">
        <w:rPr>
          <w:rFonts w:asciiTheme="minorHAnsi" w:hAnsiTheme="minorHAnsi"/>
        </w:rPr>
        <w:t xml:space="preserve">MP001-2015-59084, </w:t>
      </w:r>
      <w:r w:rsidR="00D1018A" w:rsidRPr="00B90432">
        <w:rPr>
          <w:rFonts w:asciiTheme="minorHAnsi" w:hAnsiTheme="minorHAnsi"/>
        </w:rPr>
        <w:t xml:space="preserve">the executive director of the Forensic Anthropology Foundation of Guatemala appeared </w:t>
      </w:r>
      <w:r w:rsidR="00C17E4B" w:rsidRPr="00B90432">
        <w:rPr>
          <w:rFonts w:asciiTheme="minorHAnsi" w:hAnsiTheme="minorHAnsi"/>
        </w:rPr>
        <w:t>to provide testimony about the proceedings brought against former President José Efraín Ríos Montt and</w:t>
      </w:r>
      <w:r w:rsidR="00534841" w:rsidRPr="00B90432">
        <w:rPr>
          <w:rFonts w:asciiTheme="minorHAnsi" w:hAnsiTheme="minorHAnsi"/>
        </w:rPr>
        <w:t xml:space="preserve"> José Mauricio Rodríguez. </w:t>
      </w:r>
      <w:r w:rsidR="00C17E4B" w:rsidRPr="00B90432">
        <w:rPr>
          <w:rFonts w:asciiTheme="minorHAnsi" w:hAnsiTheme="minorHAnsi"/>
        </w:rPr>
        <w:t>During his testimony, the director of said foundation was asked about the expert analysis conducted and whether he held any resentment, hatred or contempt toward the military profession and whether “you or your father have belonged to any terrorist, guerrilla group, rebel armed forces, revolutionary organization or left wing political</w:t>
      </w:r>
      <w:r w:rsidR="008411CC" w:rsidRPr="00B90432">
        <w:rPr>
          <w:rFonts w:asciiTheme="minorHAnsi" w:hAnsiTheme="minorHAnsi"/>
        </w:rPr>
        <w:t xml:space="preserve"> party</w:t>
      </w:r>
      <w:r w:rsidR="00C17E4B" w:rsidRPr="00B90432">
        <w:rPr>
          <w:rFonts w:asciiTheme="minorHAnsi" w:hAnsiTheme="minorHAnsi"/>
        </w:rPr>
        <w:t>.</w:t>
      </w:r>
      <w:r w:rsidR="00534841" w:rsidRPr="00B90432">
        <w:rPr>
          <w:rFonts w:asciiTheme="minorHAnsi" w:hAnsiTheme="minorHAnsi"/>
        </w:rPr>
        <w:t>”</w:t>
      </w:r>
      <w:r w:rsidR="00534841" w:rsidRPr="00B90432">
        <w:rPr>
          <w:rStyle w:val="FootnoteReference"/>
          <w:rFonts w:asciiTheme="minorHAnsi" w:hAnsiTheme="minorHAnsi"/>
          <w:sz w:val="22"/>
          <w:szCs w:val="22"/>
        </w:rPr>
        <w:footnoteReference w:id="276"/>
      </w:r>
      <w:r w:rsidR="00534841" w:rsidRPr="00B90432">
        <w:rPr>
          <w:rFonts w:asciiTheme="minorHAnsi" w:hAnsiTheme="minorHAnsi"/>
        </w:rPr>
        <w:t xml:space="preserve"> </w:t>
      </w:r>
    </w:p>
    <w:p w14:paraId="724C1B54" w14:textId="77777777" w:rsidR="00617BF5" w:rsidRPr="00B90432" w:rsidRDefault="00C45BD4" w:rsidP="006F4717">
      <w:pPr>
        <w:pStyle w:val="Numberedparagraphs"/>
        <w:rPr>
          <w:rFonts w:asciiTheme="minorHAnsi" w:hAnsiTheme="minorHAnsi"/>
        </w:rPr>
      </w:pPr>
      <w:r w:rsidRPr="00B90432">
        <w:rPr>
          <w:rFonts w:asciiTheme="minorHAnsi" w:hAnsiTheme="minorHAnsi"/>
        </w:rPr>
        <w:t xml:space="preserve">The IACHR finds that stigmatizing statements against defenders can </w:t>
      </w:r>
      <w:r w:rsidR="004F0A5E" w:rsidRPr="00B90432">
        <w:rPr>
          <w:rFonts w:asciiTheme="minorHAnsi" w:hAnsiTheme="minorHAnsi"/>
        </w:rPr>
        <w:t xml:space="preserve">eventually undermine the right to personal integrity, the right to honor and dignity and the principle of the presumption of innocence. </w:t>
      </w:r>
      <w:r w:rsidR="007B56EE" w:rsidRPr="00B90432">
        <w:rPr>
          <w:rFonts w:asciiTheme="minorHAnsi" w:hAnsiTheme="minorHAnsi"/>
        </w:rPr>
        <w:t xml:space="preserve">In this regard, the Commission has held that when authorities give statements or issue communiqués publically berating </w:t>
      </w:r>
      <w:r w:rsidR="004F26B1" w:rsidRPr="00B90432">
        <w:rPr>
          <w:rFonts w:asciiTheme="minorHAnsi" w:hAnsiTheme="minorHAnsi"/>
        </w:rPr>
        <w:t>a defender for acts that have not been proven in a court of law, it is an assault on his or her dignity and honor</w:t>
      </w:r>
      <w:r w:rsidR="002B5073" w:rsidRPr="00B90432">
        <w:rPr>
          <w:rFonts w:asciiTheme="minorHAnsi" w:hAnsiTheme="minorHAnsi"/>
        </w:rPr>
        <w:t>,</w:t>
      </w:r>
      <w:r w:rsidR="004F26B1" w:rsidRPr="00B90432">
        <w:rPr>
          <w:rFonts w:asciiTheme="minorHAnsi" w:hAnsiTheme="minorHAnsi"/>
        </w:rPr>
        <w:t xml:space="preserve"> inasmuch as his or her work is delegitimized in the eyes of society, thereby affecting his or her human rights defe</w:t>
      </w:r>
      <w:r w:rsidR="00E87BBA" w:rsidRPr="00B90432">
        <w:rPr>
          <w:rFonts w:asciiTheme="minorHAnsi" w:hAnsiTheme="minorHAnsi"/>
        </w:rPr>
        <w:t>n</w:t>
      </w:r>
      <w:r w:rsidR="004F26B1" w:rsidRPr="00B90432">
        <w:rPr>
          <w:rFonts w:asciiTheme="minorHAnsi" w:hAnsiTheme="minorHAnsi"/>
        </w:rPr>
        <w:t xml:space="preserve">se endeavors. </w:t>
      </w:r>
      <w:r w:rsidR="00D11201" w:rsidRPr="00B90432">
        <w:rPr>
          <w:rFonts w:asciiTheme="minorHAnsi" w:hAnsiTheme="minorHAnsi"/>
        </w:rPr>
        <w:t xml:space="preserve">Moreover, the Commission has noted that the repetition of stigmatizing statements can </w:t>
      </w:r>
      <w:r w:rsidR="00E87BBA" w:rsidRPr="00B90432">
        <w:rPr>
          <w:rFonts w:asciiTheme="minorHAnsi" w:hAnsiTheme="minorHAnsi"/>
        </w:rPr>
        <w:t xml:space="preserve">contribute </w:t>
      </w:r>
      <w:r w:rsidR="00D11201" w:rsidRPr="00B90432">
        <w:rPr>
          <w:rFonts w:asciiTheme="minorHAnsi" w:hAnsiTheme="minorHAnsi"/>
        </w:rPr>
        <w:t xml:space="preserve">to </w:t>
      </w:r>
      <w:r w:rsidR="00E531FB" w:rsidRPr="00B90432">
        <w:rPr>
          <w:rFonts w:asciiTheme="minorHAnsi" w:hAnsiTheme="minorHAnsi"/>
        </w:rPr>
        <w:t xml:space="preserve">stoking </w:t>
      </w:r>
      <w:r w:rsidR="00D11201" w:rsidRPr="00B90432">
        <w:rPr>
          <w:rFonts w:asciiTheme="minorHAnsi" w:hAnsiTheme="minorHAnsi"/>
        </w:rPr>
        <w:t xml:space="preserve">a climate of hostility and intolerance by different segments of the population, </w:t>
      </w:r>
      <w:r w:rsidR="00507782" w:rsidRPr="00B90432">
        <w:rPr>
          <w:rFonts w:asciiTheme="minorHAnsi" w:hAnsiTheme="minorHAnsi"/>
        </w:rPr>
        <w:t xml:space="preserve">possibly leading to </w:t>
      </w:r>
      <w:r w:rsidR="00174594" w:rsidRPr="00B90432">
        <w:rPr>
          <w:rFonts w:asciiTheme="minorHAnsi" w:hAnsiTheme="minorHAnsi"/>
        </w:rPr>
        <w:t xml:space="preserve">adverse effects on the lives and personal integrity of the defender, by making him or her more vulnerable, </w:t>
      </w:r>
      <w:r w:rsidR="00CC72EE" w:rsidRPr="00B90432">
        <w:rPr>
          <w:rFonts w:asciiTheme="minorHAnsi" w:hAnsiTheme="minorHAnsi"/>
        </w:rPr>
        <w:t xml:space="preserve">because public officials or </w:t>
      </w:r>
      <w:r w:rsidR="00002155" w:rsidRPr="00B90432">
        <w:rPr>
          <w:rFonts w:asciiTheme="minorHAnsi" w:hAnsiTheme="minorHAnsi"/>
        </w:rPr>
        <w:t xml:space="preserve">certain </w:t>
      </w:r>
      <w:r w:rsidR="00CC72EE" w:rsidRPr="00B90432">
        <w:rPr>
          <w:rFonts w:asciiTheme="minorHAnsi" w:hAnsiTheme="minorHAnsi"/>
        </w:rPr>
        <w:t>segment</w:t>
      </w:r>
      <w:r w:rsidR="00560C31" w:rsidRPr="00B90432">
        <w:rPr>
          <w:rFonts w:asciiTheme="minorHAnsi" w:hAnsiTheme="minorHAnsi"/>
        </w:rPr>
        <w:t xml:space="preserve">s of society could </w:t>
      </w:r>
      <w:r w:rsidR="00560C31" w:rsidRPr="00B90432">
        <w:rPr>
          <w:rFonts w:asciiTheme="minorHAnsi" w:hAnsiTheme="minorHAnsi"/>
        </w:rPr>
        <w:lastRenderedPageBreak/>
        <w:t>construe such statements</w:t>
      </w:r>
      <w:r w:rsidR="00CC72EE" w:rsidRPr="00B90432">
        <w:rPr>
          <w:rFonts w:asciiTheme="minorHAnsi" w:hAnsiTheme="minorHAnsi"/>
        </w:rPr>
        <w:t xml:space="preserve"> as instructions, instigation, authorization or support, for the </w:t>
      </w:r>
      <w:r w:rsidR="005E24A4" w:rsidRPr="00B90432">
        <w:rPr>
          <w:rFonts w:asciiTheme="minorHAnsi" w:hAnsiTheme="minorHAnsi"/>
        </w:rPr>
        <w:t>commission of acts against the defender’s life</w:t>
      </w:r>
      <w:r w:rsidR="00CC72EE" w:rsidRPr="00B90432">
        <w:rPr>
          <w:rFonts w:asciiTheme="minorHAnsi" w:hAnsiTheme="minorHAnsi"/>
        </w:rPr>
        <w:t xml:space="preserve">, personal security, or </w:t>
      </w:r>
      <w:r w:rsidR="001E667A" w:rsidRPr="00B90432">
        <w:rPr>
          <w:rFonts w:asciiTheme="minorHAnsi" w:hAnsiTheme="minorHAnsi"/>
        </w:rPr>
        <w:t xml:space="preserve">violations of </w:t>
      </w:r>
      <w:r w:rsidR="00CC72EE" w:rsidRPr="00B90432">
        <w:rPr>
          <w:rFonts w:asciiTheme="minorHAnsi" w:hAnsiTheme="minorHAnsi"/>
        </w:rPr>
        <w:t>other rights.</w:t>
      </w:r>
      <w:r w:rsidR="00617BF5" w:rsidRPr="00B90432">
        <w:rPr>
          <w:rFonts w:asciiTheme="minorHAnsi" w:hAnsiTheme="minorHAnsi"/>
          <w:vertAlign w:val="superscript"/>
        </w:rPr>
        <w:footnoteReference w:id="277"/>
      </w:r>
      <w:r w:rsidR="00617BF5" w:rsidRPr="00B90432">
        <w:rPr>
          <w:rFonts w:asciiTheme="minorHAnsi" w:hAnsiTheme="minorHAnsi"/>
        </w:rPr>
        <w:t xml:space="preserve"> </w:t>
      </w:r>
    </w:p>
    <w:p w14:paraId="6CC15EBF" w14:textId="77777777" w:rsidR="00617BF5" w:rsidRPr="00B90432" w:rsidRDefault="00A20DE4" w:rsidP="006F4717">
      <w:pPr>
        <w:pStyle w:val="Numberedparagraphs"/>
        <w:rPr>
          <w:rFonts w:asciiTheme="minorHAnsi" w:hAnsiTheme="minorHAnsi"/>
        </w:rPr>
      </w:pPr>
      <w:r w:rsidRPr="00B90432">
        <w:rPr>
          <w:rFonts w:asciiTheme="minorHAnsi" w:hAnsiTheme="minorHAnsi"/>
        </w:rPr>
        <w:t xml:space="preserve">The IACHR finds that the State must provide defenders with an adequate remedy when they are the targets of stigmatizing statements that could affect their reputation, jeopardize their personal integrity, or give rise to or facilitate their criminalization. </w:t>
      </w:r>
    </w:p>
    <w:p w14:paraId="515CC1B1" w14:textId="294C967B" w:rsidR="00617BF5" w:rsidRPr="00493B79" w:rsidRDefault="000677E6" w:rsidP="00493B79">
      <w:pPr>
        <w:pStyle w:val="Heading3"/>
      </w:pPr>
      <w:bookmarkStart w:id="45" w:name="_Toc509827647"/>
      <w:r w:rsidRPr="00493B79">
        <w:t>Criminalizatio</w:t>
      </w:r>
      <w:r w:rsidR="003D1549" w:rsidRPr="00493B79">
        <w:t>n</w:t>
      </w:r>
      <w:bookmarkEnd w:id="45"/>
    </w:p>
    <w:p w14:paraId="6E7F8A53" w14:textId="77777777" w:rsidR="00F14558" w:rsidRPr="00B90432" w:rsidRDefault="00F10D81" w:rsidP="006F4717">
      <w:pPr>
        <w:pStyle w:val="Numberedparagraphs"/>
        <w:rPr>
          <w:rFonts w:asciiTheme="minorHAnsi" w:hAnsiTheme="minorHAnsi"/>
        </w:rPr>
      </w:pPr>
      <w:r w:rsidRPr="00B90432">
        <w:rPr>
          <w:rFonts w:asciiTheme="minorHAnsi" w:hAnsiTheme="minorHAnsi"/>
        </w:rPr>
        <w:t xml:space="preserve">During its country visit, the Commission noted that human rights defenders are constantly at risk of retaliation </w:t>
      </w:r>
      <w:r w:rsidR="000C5158" w:rsidRPr="00B90432">
        <w:rPr>
          <w:rFonts w:asciiTheme="minorHAnsi" w:hAnsiTheme="minorHAnsi"/>
        </w:rPr>
        <w:t xml:space="preserve">for </w:t>
      </w:r>
      <w:r w:rsidR="00C95DA2" w:rsidRPr="00B90432">
        <w:rPr>
          <w:rFonts w:asciiTheme="minorHAnsi" w:hAnsiTheme="minorHAnsi"/>
        </w:rPr>
        <w:t xml:space="preserve">their work </w:t>
      </w:r>
      <w:r w:rsidRPr="00B90432">
        <w:rPr>
          <w:rFonts w:asciiTheme="minorHAnsi" w:hAnsiTheme="minorHAnsi"/>
        </w:rPr>
        <w:t xml:space="preserve">and </w:t>
      </w:r>
      <w:r w:rsidR="000C5158" w:rsidRPr="00B90432">
        <w:rPr>
          <w:rFonts w:asciiTheme="minorHAnsi" w:hAnsiTheme="minorHAnsi"/>
        </w:rPr>
        <w:t>face</w:t>
      </w:r>
      <w:r w:rsidR="00F53AE7" w:rsidRPr="00B90432">
        <w:rPr>
          <w:rFonts w:asciiTheme="minorHAnsi" w:hAnsiTheme="minorHAnsi"/>
        </w:rPr>
        <w:t xml:space="preserve"> </w:t>
      </w:r>
      <w:r w:rsidRPr="00B90432">
        <w:rPr>
          <w:rFonts w:asciiTheme="minorHAnsi" w:hAnsiTheme="minorHAnsi"/>
        </w:rPr>
        <w:t>obstacles t</w:t>
      </w:r>
      <w:r w:rsidR="002A72E2" w:rsidRPr="00B90432">
        <w:rPr>
          <w:rFonts w:asciiTheme="minorHAnsi" w:hAnsiTheme="minorHAnsi"/>
        </w:rPr>
        <w:t>o doing their work</w:t>
      </w:r>
      <w:r w:rsidRPr="00B90432">
        <w:rPr>
          <w:rFonts w:asciiTheme="minorHAnsi" w:hAnsiTheme="minorHAnsi"/>
        </w:rPr>
        <w:t xml:space="preserve">, through the use of the criminal justice system against them. </w:t>
      </w:r>
      <w:r w:rsidR="00390956" w:rsidRPr="00B90432">
        <w:rPr>
          <w:rFonts w:asciiTheme="minorHAnsi" w:hAnsiTheme="minorHAnsi"/>
        </w:rPr>
        <w:t>I</w:t>
      </w:r>
      <w:r w:rsidR="00A86438" w:rsidRPr="00B90432">
        <w:rPr>
          <w:rFonts w:asciiTheme="minorHAnsi" w:hAnsiTheme="minorHAnsi"/>
        </w:rPr>
        <w:t xml:space="preserve">nformation received by the IACHR </w:t>
      </w:r>
      <w:r w:rsidR="0097316E" w:rsidRPr="00B90432">
        <w:rPr>
          <w:rFonts w:asciiTheme="minorHAnsi" w:hAnsiTheme="minorHAnsi"/>
        </w:rPr>
        <w:t xml:space="preserve">points to </w:t>
      </w:r>
      <w:r w:rsidR="007125C2" w:rsidRPr="00B90432">
        <w:rPr>
          <w:rFonts w:asciiTheme="minorHAnsi" w:hAnsiTheme="minorHAnsi"/>
        </w:rPr>
        <w:t xml:space="preserve">improper use of criminal charges such as incitement to commit a crime or abduction or kidnapping, </w:t>
      </w:r>
      <w:r w:rsidR="001720F4" w:rsidRPr="00B90432">
        <w:rPr>
          <w:rFonts w:asciiTheme="minorHAnsi" w:hAnsiTheme="minorHAnsi"/>
        </w:rPr>
        <w:t xml:space="preserve">filing of </w:t>
      </w:r>
      <w:r w:rsidR="007125C2" w:rsidRPr="00B90432">
        <w:rPr>
          <w:rFonts w:asciiTheme="minorHAnsi" w:hAnsiTheme="minorHAnsi"/>
        </w:rPr>
        <w:t>judicial proceedings and protracted alte</w:t>
      </w:r>
      <w:r w:rsidR="00E078FB" w:rsidRPr="00B90432">
        <w:rPr>
          <w:rFonts w:asciiTheme="minorHAnsi" w:hAnsiTheme="minorHAnsi"/>
        </w:rPr>
        <w:t>r</w:t>
      </w:r>
      <w:r w:rsidR="007125C2" w:rsidRPr="00B90432">
        <w:rPr>
          <w:rFonts w:asciiTheme="minorHAnsi" w:hAnsiTheme="minorHAnsi"/>
        </w:rPr>
        <w:t>native measures to incarceration, groundless arrest warrants</w:t>
      </w:r>
      <w:r w:rsidR="00115EEB" w:rsidRPr="00B90432">
        <w:rPr>
          <w:rFonts w:asciiTheme="minorHAnsi" w:hAnsiTheme="minorHAnsi"/>
        </w:rPr>
        <w:t xml:space="preserve">, arbitrary </w:t>
      </w:r>
      <w:r w:rsidR="00E078FB" w:rsidRPr="00B90432">
        <w:rPr>
          <w:rFonts w:asciiTheme="minorHAnsi" w:hAnsiTheme="minorHAnsi"/>
        </w:rPr>
        <w:t xml:space="preserve">arrests </w:t>
      </w:r>
      <w:r w:rsidR="00115EEB" w:rsidRPr="00B90432">
        <w:rPr>
          <w:rFonts w:asciiTheme="minorHAnsi" w:hAnsiTheme="minorHAnsi"/>
        </w:rPr>
        <w:t xml:space="preserve">and pretrial detention for the purpose of criminalizing their activities as human rights defenders. </w:t>
      </w:r>
      <w:r w:rsidR="009D1863" w:rsidRPr="00B90432">
        <w:rPr>
          <w:rFonts w:asciiTheme="minorHAnsi" w:hAnsiTheme="minorHAnsi"/>
        </w:rPr>
        <w:t xml:space="preserve">Civil society organizations also reported to the IACHR about the misuse of the criminal justice system in Guatemala by instituting criminal proceedings without any grounds as a way of intimidating and wearing down human rights defenders. </w:t>
      </w:r>
    </w:p>
    <w:p w14:paraId="2DEA88FD" w14:textId="77777777" w:rsidR="00874E87" w:rsidRPr="00B90432" w:rsidRDefault="00FE47FF" w:rsidP="006F4717">
      <w:pPr>
        <w:pStyle w:val="Numberedparagraphs"/>
        <w:rPr>
          <w:rFonts w:asciiTheme="minorHAnsi" w:hAnsiTheme="minorHAnsi"/>
        </w:rPr>
      </w:pPr>
      <w:r w:rsidRPr="00B90432">
        <w:rPr>
          <w:rFonts w:asciiTheme="minorHAnsi" w:hAnsiTheme="minorHAnsi"/>
        </w:rPr>
        <w:t>In fact, during its visit to</w:t>
      </w:r>
      <w:r w:rsidR="00185213" w:rsidRPr="00B90432">
        <w:rPr>
          <w:rFonts w:asciiTheme="minorHAnsi" w:hAnsiTheme="minorHAnsi"/>
        </w:rPr>
        <w:t xml:space="preserve"> Cobán</w:t>
      </w:r>
      <w:r w:rsidR="00617BF5" w:rsidRPr="00B90432">
        <w:rPr>
          <w:rFonts w:asciiTheme="minorHAnsi" w:hAnsiTheme="minorHAnsi"/>
        </w:rPr>
        <w:t xml:space="preserve"> </w:t>
      </w:r>
      <w:r w:rsidRPr="00B90432">
        <w:rPr>
          <w:rFonts w:asciiTheme="minorHAnsi" w:hAnsiTheme="minorHAnsi"/>
        </w:rPr>
        <w:t xml:space="preserve">in the Department of </w:t>
      </w:r>
      <w:r w:rsidR="00A32ABC" w:rsidRPr="00B90432">
        <w:rPr>
          <w:rFonts w:asciiTheme="minorHAnsi" w:hAnsiTheme="minorHAnsi"/>
        </w:rPr>
        <w:t>Alta Verapaz</w:t>
      </w:r>
      <w:r w:rsidR="00617BF5" w:rsidRPr="00B90432">
        <w:rPr>
          <w:rFonts w:asciiTheme="minorHAnsi" w:hAnsiTheme="minorHAnsi"/>
        </w:rPr>
        <w:t xml:space="preserve"> </w:t>
      </w:r>
      <w:r w:rsidRPr="00B90432">
        <w:rPr>
          <w:rFonts w:asciiTheme="minorHAnsi" w:hAnsiTheme="minorHAnsi"/>
        </w:rPr>
        <w:t>and to Ixquisis and</w:t>
      </w:r>
      <w:r w:rsidR="00A32ABC" w:rsidRPr="00B90432">
        <w:rPr>
          <w:rFonts w:asciiTheme="minorHAnsi" w:hAnsiTheme="minorHAnsi"/>
        </w:rPr>
        <w:t xml:space="preserve"> Santa Eulalia</w:t>
      </w:r>
      <w:r w:rsidR="00617BF5" w:rsidRPr="00B90432">
        <w:rPr>
          <w:rFonts w:asciiTheme="minorHAnsi" w:hAnsiTheme="minorHAnsi"/>
        </w:rPr>
        <w:t xml:space="preserve"> </w:t>
      </w:r>
      <w:r w:rsidR="003C301F" w:rsidRPr="00B90432">
        <w:rPr>
          <w:rFonts w:asciiTheme="minorHAnsi" w:hAnsiTheme="minorHAnsi"/>
        </w:rPr>
        <w:t xml:space="preserve">in the Department of </w:t>
      </w:r>
      <w:r w:rsidR="00617BF5" w:rsidRPr="00B90432">
        <w:rPr>
          <w:rFonts w:asciiTheme="minorHAnsi" w:hAnsiTheme="minorHAnsi"/>
        </w:rPr>
        <w:t xml:space="preserve">Huehuetenango, </w:t>
      </w:r>
      <w:r w:rsidR="00E011CE" w:rsidRPr="00B90432">
        <w:rPr>
          <w:rFonts w:asciiTheme="minorHAnsi" w:hAnsiTheme="minorHAnsi"/>
        </w:rPr>
        <w:t>the IACHR</w:t>
      </w:r>
      <w:r w:rsidR="00AB2E84" w:rsidRPr="00B90432">
        <w:rPr>
          <w:rFonts w:asciiTheme="minorHAnsi" w:hAnsiTheme="minorHAnsi"/>
        </w:rPr>
        <w:t xml:space="preserve"> noted with great concern that</w:t>
      </w:r>
      <w:r w:rsidR="00E011CE" w:rsidRPr="00B90432">
        <w:rPr>
          <w:rFonts w:asciiTheme="minorHAnsi" w:hAnsiTheme="minorHAnsi"/>
        </w:rPr>
        <w:t xml:space="preserve"> as a result of the situation of </w:t>
      </w:r>
      <w:r w:rsidR="007E681B" w:rsidRPr="00B90432">
        <w:rPr>
          <w:rFonts w:asciiTheme="minorHAnsi" w:hAnsiTheme="minorHAnsi"/>
        </w:rPr>
        <w:t xml:space="preserve">serious </w:t>
      </w:r>
      <w:r w:rsidR="00E011CE" w:rsidRPr="00B90432">
        <w:rPr>
          <w:rFonts w:asciiTheme="minorHAnsi" w:hAnsiTheme="minorHAnsi"/>
        </w:rPr>
        <w:t xml:space="preserve">conflict stemming from different hydroelectric projects, defenders are </w:t>
      </w:r>
      <w:r w:rsidR="003D6298" w:rsidRPr="00B90432">
        <w:rPr>
          <w:rFonts w:asciiTheme="minorHAnsi" w:hAnsiTheme="minorHAnsi"/>
        </w:rPr>
        <w:t xml:space="preserve">subjected to protracted criminal proceedings, </w:t>
      </w:r>
      <w:r w:rsidR="00AB216D" w:rsidRPr="00B90432">
        <w:rPr>
          <w:rFonts w:asciiTheme="minorHAnsi" w:hAnsiTheme="minorHAnsi"/>
        </w:rPr>
        <w:t xml:space="preserve">custody </w:t>
      </w:r>
      <w:r w:rsidR="003D6298" w:rsidRPr="00B90432">
        <w:rPr>
          <w:rFonts w:asciiTheme="minorHAnsi" w:hAnsiTheme="minorHAnsi"/>
        </w:rPr>
        <w:t xml:space="preserve">without bail, </w:t>
      </w:r>
      <w:r w:rsidR="007634FA" w:rsidRPr="00B90432">
        <w:rPr>
          <w:rFonts w:asciiTheme="minorHAnsi" w:hAnsiTheme="minorHAnsi"/>
        </w:rPr>
        <w:t>arbitrary detention and arrest warrants.</w:t>
      </w:r>
      <w:r w:rsidR="00617BF5" w:rsidRPr="00B90432">
        <w:rPr>
          <w:rFonts w:asciiTheme="minorHAnsi" w:hAnsiTheme="minorHAnsi"/>
          <w:vertAlign w:val="superscript"/>
        </w:rPr>
        <w:footnoteReference w:id="278"/>
      </w:r>
      <w:r w:rsidR="007634FA" w:rsidRPr="00B90432">
        <w:rPr>
          <w:rFonts w:asciiTheme="minorHAnsi" w:hAnsiTheme="minorHAnsi"/>
        </w:rPr>
        <w:t xml:space="preserve"> The Commission </w:t>
      </w:r>
      <w:r w:rsidR="0027451E" w:rsidRPr="00B90432">
        <w:rPr>
          <w:rFonts w:asciiTheme="minorHAnsi" w:hAnsiTheme="minorHAnsi"/>
        </w:rPr>
        <w:t xml:space="preserve">ascertained </w:t>
      </w:r>
      <w:r w:rsidR="007634FA" w:rsidRPr="00B90432">
        <w:rPr>
          <w:rFonts w:asciiTheme="minorHAnsi" w:hAnsiTheme="minorHAnsi"/>
        </w:rPr>
        <w:t>that leaders who defend indigenous peoples’ rights</w:t>
      </w:r>
      <w:r w:rsidR="00275036" w:rsidRPr="00B90432">
        <w:rPr>
          <w:rFonts w:asciiTheme="minorHAnsi" w:hAnsiTheme="minorHAnsi"/>
        </w:rPr>
        <w:t>, territory and the environment</w:t>
      </w:r>
      <w:r w:rsidR="007634FA" w:rsidRPr="00B90432">
        <w:rPr>
          <w:rFonts w:asciiTheme="minorHAnsi" w:hAnsiTheme="minorHAnsi"/>
        </w:rPr>
        <w:t xml:space="preserve"> are especially at risk of criminalization. </w:t>
      </w:r>
    </w:p>
    <w:p w14:paraId="19962F0C" w14:textId="77777777" w:rsidR="00A538B9" w:rsidRPr="00B90432" w:rsidRDefault="003A3D22" w:rsidP="006F4717">
      <w:pPr>
        <w:pStyle w:val="Numberedparagraphs"/>
        <w:rPr>
          <w:rFonts w:asciiTheme="minorHAnsi" w:hAnsiTheme="minorHAnsi"/>
        </w:rPr>
      </w:pPr>
      <w:r w:rsidRPr="00B90432">
        <w:rPr>
          <w:rFonts w:asciiTheme="minorHAnsi" w:hAnsiTheme="minorHAnsi"/>
        </w:rPr>
        <w:t xml:space="preserve">At the public hearing “Denunciation of criminalization of human rights defenders who oppose hydroelectric projects in Guatemala,” the participating organizations claimed, in addition to violent evictions, attacks, threats and constant harassment by the security agents of the hydroelectric companies, </w:t>
      </w:r>
      <w:r w:rsidR="002C59AF" w:rsidRPr="00B90432">
        <w:rPr>
          <w:rFonts w:asciiTheme="minorHAnsi" w:hAnsiTheme="minorHAnsi"/>
        </w:rPr>
        <w:t xml:space="preserve">that </w:t>
      </w:r>
      <w:r w:rsidRPr="00B90432">
        <w:rPr>
          <w:rFonts w:asciiTheme="minorHAnsi" w:hAnsiTheme="minorHAnsi"/>
        </w:rPr>
        <w:t>the</w:t>
      </w:r>
      <w:r w:rsidR="00664960" w:rsidRPr="00B90432">
        <w:rPr>
          <w:rFonts w:asciiTheme="minorHAnsi" w:hAnsiTheme="minorHAnsi"/>
        </w:rPr>
        <w:t>re is a</w:t>
      </w:r>
      <w:r w:rsidRPr="00B90432">
        <w:rPr>
          <w:rFonts w:asciiTheme="minorHAnsi" w:hAnsiTheme="minorHAnsi"/>
        </w:rPr>
        <w:t xml:space="preserve"> patterns of criminalization within </w:t>
      </w:r>
      <w:r w:rsidRPr="00B90432">
        <w:rPr>
          <w:rFonts w:asciiTheme="minorHAnsi" w:hAnsiTheme="minorHAnsi"/>
        </w:rPr>
        <w:lastRenderedPageBreak/>
        <w:t xml:space="preserve">the Guatemalan </w:t>
      </w:r>
      <w:r w:rsidR="0040651D" w:rsidRPr="00B90432">
        <w:rPr>
          <w:rFonts w:asciiTheme="minorHAnsi" w:hAnsiTheme="minorHAnsi"/>
        </w:rPr>
        <w:t xml:space="preserve">court </w:t>
      </w:r>
      <w:r w:rsidRPr="00B90432">
        <w:rPr>
          <w:rFonts w:asciiTheme="minorHAnsi" w:hAnsiTheme="minorHAnsi"/>
        </w:rPr>
        <w:t xml:space="preserve">system and </w:t>
      </w:r>
      <w:r w:rsidR="003B4496" w:rsidRPr="00B90432">
        <w:rPr>
          <w:rFonts w:asciiTheme="minorHAnsi" w:hAnsiTheme="minorHAnsi"/>
        </w:rPr>
        <w:t xml:space="preserve">malicious </w:t>
      </w:r>
      <w:r w:rsidRPr="00B90432">
        <w:rPr>
          <w:rFonts w:asciiTheme="minorHAnsi" w:hAnsiTheme="minorHAnsi"/>
        </w:rPr>
        <w:t xml:space="preserve">litigation by agents of the office of the public prosecutor and attorneys of transnational corporations. </w:t>
      </w:r>
    </w:p>
    <w:p w14:paraId="3197B0BC" w14:textId="77777777" w:rsidR="00F72244" w:rsidRPr="00B90432" w:rsidRDefault="00F53AE7" w:rsidP="006F4717">
      <w:pPr>
        <w:pStyle w:val="Numberedparagraphs"/>
        <w:rPr>
          <w:rFonts w:asciiTheme="minorHAnsi" w:hAnsiTheme="minorHAnsi"/>
        </w:rPr>
      </w:pPr>
      <w:r w:rsidRPr="00B90432">
        <w:rPr>
          <w:rFonts w:asciiTheme="minorHAnsi" w:hAnsiTheme="minorHAnsi"/>
        </w:rPr>
        <w:t>C</w:t>
      </w:r>
      <w:r w:rsidR="007A627A" w:rsidRPr="00B90432">
        <w:rPr>
          <w:rFonts w:asciiTheme="minorHAnsi" w:hAnsiTheme="minorHAnsi"/>
        </w:rPr>
        <w:t xml:space="preserve">riminalization, as was mentioned above, is the most recurrent </w:t>
      </w:r>
      <w:r w:rsidR="00D60850" w:rsidRPr="00B90432">
        <w:rPr>
          <w:rFonts w:asciiTheme="minorHAnsi" w:hAnsiTheme="minorHAnsi"/>
        </w:rPr>
        <w:t xml:space="preserve">form of aggression against human rights defenders in </w:t>
      </w:r>
      <w:r w:rsidR="00F72244" w:rsidRPr="00B90432">
        <w:rPr>
          <w:rFonts w:asciiTheme="minorHAnsi" w:hAnsiTheme="minorHAnsi"/>
        </w:rPr>
        <w:t xml:space="preserve">Guatemala. </w:t>
      </w:r>
      <w:r w:rsidR="006103A9" w:rsidRPr="00B90432">
        <w:rPr>
          <w:rFonts w:asciiTheme="minorHAnsi" w:hAnsiTheme="minorHAnsi"/>
        </w:rPr>
        <w:t xml:space="preserve">According to the information cited, in the first half of 2017 alone, the total figure for 2016 has been surpassed, with a total of 106 cases reported. During this period, </w:t>
      </w:r>
      <w:r w:rsidR="00D65C3A" w:rsidRPr="00B90432">
        <w:rPr>
          <w:rFonts w:asciiTheme="minorHAnsi" w:hAnsiTheme="minorHAnsi"/>
        </w:rPr>
        <w:t xml:space="preserve">we can cite the arrests of the </w:t>
      </w:r>
      <w:r w:rsidR="006103A9" w:rsidRPr="00B90432">
        <w:rPr>
          <w:rFonts w:asciiTheme="minorHAnsi" w:hAnsiTheme="minorHAnsi"/>
        </w:rPr>
        <w:t xml:space="preserve">Guitz Pop brothers and </w:t>
      </w:r>
      <w:r w:rsidR="00F72244" w:rsidRPr="00B90432">
        <w:rPr>
          <w:rFonts w:asciiTheme="minorHAnsi" w:hAnsiTheme="minorHAnsi"/>
        </w:rPr>
        <w:t xml:space="preserve">Abelino Chub Caal, </w:t>
      </w:r>
      <w:r w:rsidR="006103A9" w:rsidRPr="00B90432">
        <w:rPr>
          <w:rFonts w:asciiTheme="minorHAnsi" w:hAnsiTheme="minorHAnsi"/>
        </w:rPr>
        <w:t xml:space="preserve">who has remained in prison since February </w:t>
      </w:r>
      <w:r w:rsidR="00F72244" w:rsidRPr="00B90432">
        <w:rPr>
          <w:rFonts w:asciiTheme="minorHAnsi" w:hAnsiTheme="minorHAnsi"/>
        </w:rPr>
        <w:t>3</w:t>
      </w:r>
      <w:r w:rsidR="006103A9" w:rsidRPr="00B90432">
        <w:rPr>
          <w:rFonts w:asciiTheme="minorHAnsi" w:hAnsiTheme="minorHAnsi"/>
        </w:rPr>
        <w:t>,</w:t>
      </w:r>
      <w:r w:rsidR="00F72244" w:rsidRPr="00B90432">
        <w:rPr>
          <w:rFonts w:asciiTheme="minorHAnsi" w:hAnsiTheme="minorHAnsi"/>
        </w:rPr>
        <w:t xml:space="preserve"> 2017, </w:t>
      </w:r>
      <w:r w:rsidR="00D65C3A" w:rsidRPr="00B90432">
        <w:rPr>
          <w:rFonts w:asciiTheme="minorHAnsi" w:hAnsiTheme="minorHAnsi"/>
        </w:rPr>
        <w:t xml:space="preserve">to </w:t>
      </w:r>
      <w:r w:rsidR="006103A9" w:rsidRPr="00B90432">
        <w:rPr>
          <w:rFonts w:asciiTheme="minorHAnsi" w:hAnsiTheme="minorHAnsi"/>
        </w:rPr>
        <w:t>stand as examples of the abuse of criminal law against human rights defenders.</w:t>
      </w:r>
      <w:r w:rsidR="00F72244" w:rsidRPr="00B90432">
        <w:rPr>
          <w:rFonts w:asciiTheme="minorHAnsi" w:hAnsiTheme="minorHAnsi"/>
          <w:vertAlign w:val="superscript"/>
        </w:rPr>
        <w:footnoteReference w:id="279"/>
      </w:r>
    </w:p>
    <w:p w14:paraId="2363D9D1" w14:textId="77777777" w:rsidR="00850DB9" w:rsidRPr="00B90432" w:rsidRDefault="00E07731" w:rsidP="006F4717">
      <w:pPr>
        <w:pStyle w:val="Numberedparagraphs"/>
        <w:rPr>
          <w:rFonts w:asciiTheme="minorHAnsi" w:hAnsiTheme="minorHAnsi"/>
        </w:rPr>
      </w:pPr>
      <w:r w:rsidRPr="00B90432">
        <w:rPr>
          <w:rFonts w:asciiTheme="minorHAnsi" w:hAnsiTheme="minorHAnsi"/>
        </w:rPr>
        <w:t xml:space="preserve">In particular, the IACHR received a constant flow of information about inappropriate use of arrest or custody warrants, which remain </w:t>
      </w:r>
      <w:r w:rsidR="00807B27" w:rsidRPr="00B90432">
        <w:rPr>
          <w:rFonts w:asciiTheme="minorHAnsi" w:hAnsiTheme="minorHAnsi"/>
        </w:rPr>
        <w:t>in force and</w:t>
      </w:r>
      <w:r w:rsidRPr="00B90432">
        <w:rPr>
          <w:rFonts w:asciiTheme="minorHAnsi" w:hAnsiTheme="minorHAnsi"/>
        </w:rPr>
        <w:t xml:space="preserve"> pending execution for several years and are reactivated at strategic times of mobilization and social protest.</w:t>
      </w:r>
      <w:r w:rsidR="00617BF5" w:rsidRPr="00B90432">
        <w:rPr>
          <w:rFonts w:asciiTheme="minorHAnsi" w:hAnsiTheme="minorHAnsi"/>
          <w:vertAlign w:val="superscript"/>
        </w:rPr>
        <w:footnoteReference w:id="280"/>
      </w:r>
      <w:r w:rsidR="00BA29A9" w:rsidRPr="00B90432">
        <w:rPr>
          <w:rFonts w:asciiTheme="minorHAnsi" w:hAnsiTheme="minorHAnsi"/>
        </w:rPr>
        <w:t xml:space="preserve"> This is frequently used against </w:t>
      </w:r>
      <w:r w:rsidR="009B13EB" w:rsidRPr="00B90432">
        <w:rPr>
          <w:rFonts w:asciiTheme="minorHAnsi" w:hAnsiTheme="minorHAnsi"/>
        </w:rPr>
        <w:t>communities</w:t>
      </w:r>
      <w:r w:rsidR="00BA29A9" w:rsidRPr="00B90432">
        <w:rPr>
          <w:rFonts w:asciiTheme="minorHAnsi" w:hAnsiTheme="minorHAnsi"/>
        </w:rPr>
        <w:t xml:space="preserve"> that occupy lands targe</w:t>
      </w:r>
      <w:r w:rsidR="00237BEB" w:rsidRPr="00B90432">
        <w:rPr>
          <w:rFonts w:asciiTheme="minorHAnsi" w:hAnsiTheme="minorHAnsi"/>
        </w:rPr>
        <w:t>ted for the development of mega</w:t>
      </w:r>
      <w:r w:rsidR="00BA29A9" w:rsidRPr="00B90432">
        <w:rPr>
          <w:rFonts w:asciiTheme="minorHAnsi" w:hAnsiTheme="minorHAnsi"/>
        </w:rPr>
        <w:t>projects and exploitation of natural resources. In the northern region alone, 500 custo</w:t>
      </w:r>
      <w:r w:rsidR="006025E4" w:rsidRPr="00B90432">
        <w:rPr>
          <w:rFonts w:asciiTheme="minorHAnsi" w:hAnsiTheme="minorHAnsi"/>
        </w:rPr>
        <w:t>dy warrants were in force and</w:t>
      </w:r>
      <w:r w:rsidR="00BA29A9" w:rsidRPr="00B90432">
        <w:rPr>
          <w:rFonts w:asciiTheme="minorHAnsi" w:hAnsiTheme="minorHAnsi"/>
        </w:rPr>
        <w:t xml:space="preserve"> have not been executed.</w:t>
      </w:r>
      <w:r w:rsidR="00617BF5" w:rsidRPr="00B90432">
        <w:rPr>
          <w:rFonts w:asciiTheme="minorHAnsi" w:hAnsiTheme="minorHAnsi"/>
          <w:vertAlign w:val="superscript"/>
        </w:rPr>
        <w:footnoteReference w:id="281"/>
      </w:r>
      <w:r w:rsidR="00617BF5" w:rsidRPr="00B90432">
        <w:rPr>
          <w:rFonts w:asciiTheme="minorHAnsi" w:hAnsiTheme="minorHAnsi"/>
        </w:rPr>
        <w:t xml:space="preserve"> </w:t>
      </w:r>
      <w:r w:rsidR="00A960EB" w:rsidRPr="00B90432">
        <w:rPr>
          <w:rFonts w:asciiTheme="minorHAnsi" w:hAnsiTheme="minorHAnsi"/>
        </w:rPr>
        <w:t>During its visit to Ixquisis and</w:t>
      </w:r>
      <w:r w:rsidR="00617BF5" w:rsidRPr="00B90432">
        <w:rPr>
          <w:rFonts w:asciiTheme="minorHAnsi" w:hAnsiTheme="minorHAnsi"/>
        </w:rPr>
        <w:t xml:space="preserve"> Santa Eulalia,</w:t>
      </w:r>
      <w:r w:rsidR="002D04EF" w:rsidRPr="00B90432">
        <w:rPr>
          <w:rFonts w:asciiTheme="minorHAnsi" w:hAnsiTheme="minorHAnsi"/>
        </w:rPr>
        <w:t xml:space="preserve"> Department of</w:t>
      </w:r>
      <w:r w:rsidR="00617BF5" w:rsidRPr="00B90432">
        <w:rPr>
          <w:rFonts w:asciiTheme="minorHAnsi" w:hAnsiTheme="minorHAnsi"/>
        </w:rPr>
        <w:t xml:space="preserve"> Huehuetenango, </w:t>
      </w:r>
      <w:r w:rsidR="002D04EF" w:rsidRPr="00B90432">
        <w:rPr>
          <w:rFonts w:asciiTheme="minorHAnsi" w:hAnsiTheme="minorHAnsi"/>
        </w:rPr>
        <w:t>the IACHR witnessed this situation with great concern.</w:t>
      </w:r>
      <w:r w:rsidR="00617BF5" w:rsidRPr="00B90432">
        <w:rPr>
          <w:rFonts w:asciiTheme="minorHAnsi" w:hAnsiTheme="minorHAnsi"/>
          <w:vertAlign w:val="superscript"/>
        </w:rPr>
        <w:footnoteReference w:id="282"/>
      </w:r>
      <w:r w:rsidR="002D04EF" w:rsidRPr="00B90432">
        <w:rPr>
          <w:rFonts w:asciiTheme="minorHAnsi" w:hAnsiTheme="minorHAnsi"/>
        </w:rPr>
        <w:t xml:space="preserve">  Likewise, the Commission was apprised </w:t>
      </w:r>
      <w:r w:rsidR="00A57885" w:rsidRPr="00B90432">
        <w:rPr>
          <w:rFonts w:asciiTheme="minorHAnsi" w:hAnsiTheme="minorHAnsi"/>
        </w:rPr>
        <w:t xml:space="preserve">that 204 custody orders have been issued against </w:t>
      </w:r>
      <w:r w:rsidR="002D04EF" w:rsidRPr="00B90432">
        <w:rPr>
          <w:rFonts w:asciiTheme="minorHAnsi" w:hAnsiTheme="minorHAnsi"/>
        </w:rPr>
        <w:t xml:space="preserve">indigenous and community leaders of the Campesino Committee of </w:t>
      </w:r>
      <w:r w:rsidR="00237BEB" w:rsidRPr="00B90432">
        <w:rPr>
          <w:rFonts w:asciiTheme="minorHAnsi" w:hAnsiTheme="minorHAnsi"/>
        </w:rPr>
        <w:t xml:space="preserve">the </w:t>
      </w:r>
      <w:r w:rsidR="00617BF5" w:rsidRPr="00B90432">
        <w:rPr>
          <w:rFonts w:asciiTheme="minorHAnsi" w:hAnsiTheme="minorHAnsi"/>
        </w:rPr>
        <w:t>Altiplano</w:t>
      </w:r>
      <w:r w:rsidR="00A57885" w:rsidRPr="00B90432">
        <w:rPr>
          <w:rFonts w:asciiTheme="minorHAnsi" w:hAnsiTheme="minorHAnsi"/>
        </w:rPr>
        <w:t xml:space="preserve"> in retaliation for the defense of the rights of their communities. </w:t>
      </w:r>
      <w:r w:rsidR="00617BF5" w:rsidRPr="00B90432">
        <w:rPr>
          <w:rFonts w:asciiTheme="minorHAnsi" w:hAnsiTheme="minorHAnsi"/>
        </w:rPr>
        <w:t xml:space="preserve"> </w:t>
      </w:r>
    </w:p>
    <w:p w14:paraId="48A7DF46" w14:textId="77777777" w:rsidR="009902C0" w:rsidRPr="00B90432" w:rsidRDefault="00EC654A" w:rsidP="006F4717">
      <w:pPr>
        <w:pStyle w:val="Numberedparagraphs"/>
        <w:rPr>
          <w:rFonts w:asciiTheme="minorHAnsi" w:hAnsiTheme="minorHAnsi"/>
        </w:rPr>
      </w:pPr>
      <w:r w:rsidRPr="00B90432">
        <w:rPr>
          <w:rFonts w:asciiTheme="minorHAnsi" w:hAnsiTheme="minorHAnsi"/>
        </w:rPr>
        <w:t xml:space="preserve">During the on-site visit, the Commission received information about defenders living in constant fear as a consequence of criminal proceedings brought against them without any grounds. </w:t>
      </w:r>
      <w:r w:rsidR="00C6730C" w:rsidRPr="00B90432">
        <w:rPr>
          <w:rFonts w:asciiTheme="minorHAnsi" w:hAnsiTheme="minorHAnsi"/>
        </w:rPr>
        <w:t xml:space="preserve">Particularly alarming is the information received by the Commission that most of the intimidation and threats are linked to economic groups with interests </w:t>
      </w:r>
      <w:r w:rsidR="004E2D7D" w:rsidRPr="00B90432">
        <w:rPr>
          <w:rFonts w:asciiTheme="minorHAnsi" w:hAnsiTheme="minorHAnsi"/>
        </w:rPr>
        <w:t xml:space="preserve">contrary to </w:t>
      </w:r>
      <w:r w:rsidR="00C6730C" w:rsidRPr="00B90432">
        <w:rPr>
          <w:rFonts w:asciiTheme="minorHAnsi" w:hAnsiTheme="minorHAnsi"/>
        </w:rPr>
        <w:t xml:space="preserve">the causes </w:t>
      </w:r>
      <w:r w:rsidR="00C6730C" w:rsidRPr="00B90432">
        <w:rPr>
          <w:rFonts w:asciiTheme="minorHAnsi" w:hAnsiTheme="minorHAnsi"/>
        </w:rPr>
        <w:lastRenderedPageBreak/>
        <w:t xml:space="preserve">they defend, or </w:t>
      </w:r>
      <w:r w:rsidR="00F82426" w:rsidRPr="00B90432">
        <w:rPr>
          <w:rFonts w:asciiTheme="minorHAnsi" w:hAnsiTheme="minorHAnsi"/>
        </w:rPr>
        <w:t>to structures linked to the security forces that operated during the armed conflict.</w:t>
      </w:r>
      <w:r w:rsidR="009902C0" w:rsidRPr="00B90432">
        <w:rPr>
          <w:rFonts w:asciiTheme="minorHAnsi" w:hAnsiTheme="minorHAnsi"/>
          <w:vertAlign w:val="superscript"/>
        </w:rPr>
        <w:footnoteReference w:id="283"/>
      </w:r>
    </w:p>
    <w:p w14:paraId="6B2D4AAE" w14:textId="77777777" w:rsidR="00850DB9" w:rsidRPr="00B90432" w:rsidRDefault="004E2349" w:rsidP="006F4717">
      <w:pPr>
        <w:pStyle w:val="Numberedparagraphs"/>
        <w:rPr>
          <w:rFonts w:asciiTheme="minorHAnsi" w:hAnsiTheme="minorHAnsi"/>
        </w:rPr>
      </w:pPr>
      <w:r w:rsidRPr="00B90432">
        <w:rPr>
          <w:rFonts w:asciiTheme="minorHAnsi" w:hAnsiTheme="minorHAnsi"/>
        </w:rPr>
        <w:t xml:space="preserve">Defenders </w:t>
      </w:r>
      <w:r w:rsidR="00314CFC" w:rsidRPr="00B90432">
        <w:rPr>
          <w:rFonts w:asciiTheme="minorHAnsi" w:hAnsiTheme="minorHAnsi"/>
        </w:rPr>
        <w:t xml:space="preserve">describe </w:t>
      </w:r>
      <w:r w:rsidRPr="00B90432">
        <w:rPr>
          <w:rFonts w:asciiTheme="minorHAnsi" w:hAnsiTheme="minorHAnsi"/>
        </w:rPr>
        <w:t>that having</w:t>
      </w:r>
      <w:r w:rsidR="00B11A5D" w:rsidRPr="00B90432">
        <w:rPr>
          <w:rFonts w:asciiTheme="minorHAnsi" w:hAnsiTheme="minorHAnsi"/>
        </w:rPr>
        <w:t xml:space="preserve"> a custody </w:t>
      </w:r>
      <w:r w:rsidR="00752564" w:rsidRPr="00B90432">
        <w:rPr>
          <w:rFonts w:asciiTheme="minorHAnsi" w:hAnsiTheme="minorHAnsi"/>
        </w:rPr>
        <w:t xml:space="preserve">order </w:t>
      </w:r>
      <w:r w:rsidR="00B11A5D" w:rsidRPr="00B90432">
        <w:rPr>
          <w:rFonts w:asciiTheme="minorHAnsi" w:hAnsiTheme="minorHAnsi"/>
        </w:rPr>
        <w:t xml:space="preserve">in force against them is the equivalent to  “psychological incarceration.” </w:t>
      </w:r>
      <w:r w:rsidR="00752564" w:rsidRPr="00B90432">
        <w:rPr>
          <w:rFonts w:asciiTheme="minorHAnsi" w:hAnsiTheme="minorHAnsi"/>
        </w:rPr>
        <w:t xml:space="preserve">In many instances, these warrants remain in force for months and even for years while they do not know whether or not said order will be </w:t>
      </w:r>
      <w:r w:rsidR="00DB5E7D" w:rsidRPr="00B90432">
        <w:rPr>
          <w:rFonts w:asciiTheme="minorHAnsi" w:hAnsiTheme="minorHAnsi"/>
        </w:rPr>
        <w:t xml:space="preserve">executed </w:t>
      </w:r>
      <w:r w:rsidR="00752564" w:rsidRPr="00B90432">
        <w:rPr>
          <w:rFonts w:asciiTheme="minorHAnsi" w:hAnsiTheme="minorHAnsi"/>
        </w:rPr>
        <w:t xml:space="preserve">or whether or not they will continue in force. </w:t>
      </w:r>
      <w:r w:rsidR="002D1467" w:rsidRPr="00B90432">
        <w:rPr>
          <w:rFonts w:asciiTheme="minorHAnsi" w:hAnsiTheme="minorHAnsi"/>
        </w:rPr>
        <w:t xml:space="preserve">Attorneys consulted by the organizations claim that in Guatemala </w:t>
      </w:r>
      <w:r w:rsidR="00E92F1B" w:rsidRPr="00B90432">
        <w:rPr>
          <w:rFonts w:asciiTheme="minorHAnsi" w:hAnsiTheme="minorHAnsi"/>
        </w:rPr>
        <w:t xml:space="preserve">it is common to be unable </w:t>
      </w:r>
      <w:r w:rsidR="002D1467" w:rsidRPr="00B90432">
        <w:rPr>
          <w:rFonts w:asciiTheme="minorHAnsi" w:hAnsiTheme="minorHAnsi"/>
        </w:rPr>
        <w:t xml:space="preserve">to gain access to information to know how many custody orders have been issued for a defender and, therefore, </w:t>
      </w:r>
      <w:r w:rsidR="000630AB" w:rsidRPr="00B90432">
        <w:rPr>
          <w:rFonts w:asciiTheme="minorHAnsi" w:hAnsiTheme="minorHAnsi"/>
        </w:rPr>
        <w:t xml:space="preserve">be able to fully </w:t>
      </w:r>
      <w:r w:rsidR="00350D1C" w:rsidRPr="00B90432">
        <w:rPr>
          <w:rFonts w:asciiTheme="minorHAnsi" w:hAnsiTheme="minorHAnsi"/>
        </w:rPr>
        <w:t xml:space="preserve">exercise </w:t>
      </w:r>
      <w:r w:rsidR="000B22B4" w:rsidRPr="00B90432">
        <w:rPr>
          <w:rFonts w:asciiTheme="minorHAnsi" w:hAnsiTheme="minorHAnsi"/>
        </w:rPr>
        <w:t>the right of defense</w:t>
      </w:r>
      <w:r w:rsidR="00850DB9" w:rsidRPr="00B90432">
        <w:rPr>
          <w:rFonts w:asciiTheme="minorHAnsi" w:hAnsiTheme="minorHAnsi"/>
        </w:rPr>
        <w:t>.</w:t>
      </w:r>
      <w:r w:rsidR="000B22B4" w:rsidRPr="00B90432">
        <w:rPr>
          <w:rFonts w:asciiTheme="minorHAnsi" w:hAnsiTheme="minorHAnsi"/>
        </w:rPr>
        <w:t xml:space="preserve"> The issuing of many custody orders for </w:t>
      </w:r>
      <w:r w:rsidR="009B13EB" w:rsidRPr="00B90432">
        <w:rPr>
          <w:rFonts w:asciiTheme="minorHAnsi" w:hAnsiTheme="minorHAnsi"/>
        </w:rPr>
        <w:t>several</w:t>
      </w:r>
      <w:r w:rsidR="000B22B4" w:rsidRPr="00B90432">
        <w:rPr>
          <w:rFonts w:asciiTheme="minorHAnsi" w:hAnsiTheme="minorHAnsi"/>
        </w:rPr>
        <w:t xml:space="preserve"> members of the same movement, also </w:t>
      </w:r>
      <w:r w:rsidR="003C6FA2" w:rsidRPr="00B90432">
        <w:rPr>
          <w:rFonts w:asciiTheme="minorHAnsi" w:hAnsiTheme="minorHAnsi"/>
        </w:rPr>
        <w:t xml:space="preserve">has </w:t>
      </w:r>
      <w:r w:rsidR="000B22B4" w:rsidRPr="00B90432">
        <w:rPr>
          <w:rFonts w:asciiTheme="minorHAnsi" w:hAnsiTheme="minorHAnsi"/>
        </w:rPr>
        <w:t>a deterrent effect on the right of association, inasmuch as it prevents other persons from joining or continuing to engage in</w:t>
      </w:r>
      <w:r w:rsidR="0081162A" w:rsidRPr="00B90432">
        <w:rPr>
          <w:rFonts w:asciiTheme="minorHAnsi" w:hAnsiTheme="minorHAnsi"/>
        </w:rPr>
        <w:t xml:space="preserve"> pro-human rights activities for</w:t>
      </w:r>
      <w:r w:rsidR="000B22B4" w:rsidRPr="00B90432">
        <w:rPr>
          <w:rFonts w:asciiTheme="minorHAnsi" w:hAnsiTheme="minorHAnsi"/>
        </w:rPr>
        <w:t xml:space="preserve"> fear of being arrested. </w:t>
      </w:r>
      <w:r w:rsidR="00C80AF3" w:rsidRPr="00B90432">
        <w:rPr>
          <w:rFonts w:asciiTheme="minorHAnsi" w:hAnsiTheme="minorHAnsi"/>
        </w:rPr>
        <w:t>The IACHR has</w:t>
      </w:r>
      <w:r w:rsidR="00FE1744" w:rsidRPr="00B90432">
        <w:rPr>
          <w:rFonts w:asciiTheme="minorHAnsi" w:hAnsiTheme="minorHAnsi"/>
        </w:rPr>
        <w:t xml:space="preserve"> previously</w:t>
      </w:r>
      <w:r w:rsidR="00C80AF3" w:rsidRPr="00B90432">
        <w:rPr>
          <w:rFonts w:asciiTheme="minorHAnsi" w:hAnsiTheme="minorHAnsi"/>
        </w:rPr>
        <w:t xml:space="preserve"> </w:t>
      </w:r>
      <w:r w:rsidR="008D7D82" w:rsidRPr="00B90432">
        <w:rPr>
          <w:rFonts w:asciiTheme="minorHAnsi" w:hAnsiTheme="minorHAnsi"/>
        </w:rPr>
        <w:t xml:space="preserve">warned </w:t>
      </w:r>
      <w:r w:rsidR="00C80AF3" w:rsidRPr="00B90432">
        <w:rPr>
          <w:rFonts w:asciiTheme="minorHAnsi" w:hAnsiTheme="minorHAnsi"/>
        </w:rPr>
        <w:t xml:space="preserve">that when arrest warrants are used in this way, it </w:t>
      </w:r>
      <w:r w:rsidR="00BB61F6" w:rsidRPr="00B90432">
        <w:rPr>
          <w:rFonts w:asciiTheme="minorHAnsi" w:hAnsiTheme="minorHAnsi"/>
        </w:rPr>
        <w:t xml:space="preserve">creates a deterrent </w:t>
      </w:r>
      <w:r w:rsidR="00C80AF3" w:rsidRPr="00B90432">
        <w:rPr>
          <w:rFonts w:asciiTheme="minorHAnsi" w:hAnsiTheme="minorHAnsi"/>
        </w:rPr>
        <w:t xml:space="preserve">effect on the </w:t>
      </w:r>
      <w:r w:rsidR="00BB61F6" w:rsidRPr="00B90432">
        <w:rPr>
          <w:rFonts w:asciiTheme="minorHAnsi" w:hAnsiTheme="minorHAnsi"/>
        </w:rPr>
        <w:t xml:space="preserve">activity </w:t>
      </w:r>
      <w:r w:rsidR="00C80AF3" w:rsidRPr="00B90432">
        <w:rPr>
          <w:rFonts w:asciiTheme="minorHAnsi" w:hAnsiTheme="minorHAnsi"/>
        </w:rPr>
        <w:t xml:space="preserve">of </w:t>
      </w:r>
      <w:r w:rsidR="00BB61F6" w:rsidRPr="00B90432">
        <w:rPr>
          <w:rFonts w:asciiTheme="minorHAnsi" w:hAnsiTheme="minorHAnsi"/>
        </w:rPr>
        <w:t xml:space="preserve">defense of human rights </w:t>
      </w:r>
      <w:r w:rsidR="00C80AF3" w:rsidRPr="00B90432">
        <w:rPr>
          <w:rFonts w:asciiTheme="minorHAnsi" w:hAnsiTheme="minorHAnsi"/>
        </w:rPr>
        <w:t xml:space="preserve">defenders because </w:t>
      </w:r>
      <w:r w:rsidR="00BB61F6" w:rsidRPr="00B90432">
        <w:rPr>
          <w:rFonts w:asciiTheme="minorHAnsi" w:hAnsiTheme="minorHAnsi"/>
        </w:rPr>
        <w:t>the defenders could stop performing their activities for fear of exposure to arrests.</w:t>
      </w:r>
      <w:r w:rsidR="00850DB9" w:rsidRPr="00B90432">
        <w:rPr>
          <w:rFonts w:asciiTheme="minorHAnsi" w:hAnsiTheme="minorHAnsi"/>
          <w:vertAlign w:val="superscript"/>
        </w:rPr>
        <w:footnoteReference w:id="284"/>
      </w:r>
      <w:r w:rsidR="00850DB9" w:rsidRPr="00B90432">
        <w:rPr>
          <w:rFonts w:asciiTheme="minorHAnsi" w:hAnsiTheme="minorHAnsi"/>
        </w:rPr>
        <w:t xml:space="preserve"> </w:t>
      </w:r>
      <w:r w:rsidR="001A301B" w:rsidRPr="00B90432">
        <w:rPr>
          <w:rFonts w:asciiTheme="minorHAnsi" w:hAnsiTheme="minorHAnsi"/>
        </w:rPr>
        <w:t>Additionally, this practice tends to weaken and dismantle movements as they lose members, either because of their arrest, or because they must focus on their own defense, with resources which otherwise would have been used for the promotion of human rights.</w:t>
      </w:r>
      <w:r w:rsidR="00850DB9" w:rsidRPr="00B90432">
        <w:rPr>
          <w:rFonts w:asciiTheme="minorHAnsi" w:hAnsiTheme="minorHAnsi"/>
          <w:vertAlign w:val="superscript"/>
        </w:rPr>
        <w:footnoteReference w:id="285"/>
      </w:r>
      <w:r w:rsidR="00850DB9" w:rsidRPr="00B90432">
        <w:rPr>
          <w:rFonts w:asciiTheme="minorHAnsi" w:hAnsiTheme="minorHAnsi"/>
        </w:rPr>
        <w:t xml:space="preserve"> </w:t>
      </w:r>
    </w:p>
    <w:p w14:paraId="4396F5A3" w14:textId="77777777" w:rsidR="00874E87" w:rsidRPr="00B90432" w:rsidRDefault="00AB341A" w:rsidP="006F4717">
      <w:pPr>
        <w:pStyle w:val="Numberedparagraphs"/>
        <w:rPr>
          <w:rFonts w:asciiTheme="minorHAnsi" w:hAnsiTheme="minorHAnsi"/>
        </w:rPr>
      </w:pPr>
      <w:r w:rsidRPr="00B90432">
        <w:rPr>
          <w:rFonts w:asciiTheme="minorHAnsi" w:hAnsiTheme="minorHAnsi"/>
        </w:rPr>
        <w:t xml:space="preserve">During the meeting with </w:t>
      </w:r>
      <w:r w:rsidR="008B6E78" w:rsidRPr="00B90432">
        <w:rPr>
          <w:rFonts w:asciiTheme="minorHAnsi" w:hAnsiTheme="minorHAnsi"/>
        </w:rPr>
        <w:t>defenders of the environment and territory in Santa Eulalia</w:t>
      </w:r>
      <w:r w:rsidRPr="00B90432">
        <w:rPr>
          <w:rFonts w:asciiTheme="minorHAnsi" w:hAnsiTheme="minorHAnsi"/>
        </w:rPr>
        <w:t xml:space="preserve"> on August 2, 2017, a delegation of the IACHR received information about criminalized defenders for whom custody orders were issued for the commission of the crimes of attacks, coercion, threats, incitement to commit a crime, obstruction of criminal proceedings, abduction or kidnapping, and have been in force since April 3, 2015. The defenders claimed that they are being criminalized because they are leaders within their </w:t>
      </w:r>
      <w:r w:rsidR="006E1DE1" w:rsidRPr="00B90432">
        <w:rPr>
          <w:rFonts w:asciiTheme="minorHAnsi" w:hAnsiTheme="minorHAnsi"/>
        </w:rPr>
        <w:t xml:space="preserve">communities and were not even present at the scene of the crimes for which </w:t>
      </w:r>
      <w:r w:rsidR="00F22EF4" w:rsidRPr="00B90432">
        <w:rPr>
          <w:rFonts w:asciiTheme="minorHAnsi" w:hAnsiTheme="minorHAnsi"/>
        </w:rPr>
        <w:t xml:space="preserve">the company workers </w:t>
      </w:r>
      <w:r w:rsidR="006E1DE1" w:rsidRPr="00B90432">
        <w:rPr>
          <w:rFonts w:asciiTheme="minorHAnsi" w:hAnsiTheme="minorHAnsi"/>
        </w:rPr>
        <w:t>accused</w:t>
      </w:r>
      <w:r w:rsidR="00F22EF4" w:rsidRPr="00B90432">
        <w:rPr>
          <w:rFonts w:asciiTheme="minorHAnsi" w:hAnsiTheme="minorHAnsi"/>
        </w:rPr>
        <w:t xml:space="preserve"> them</w:t>
      </w:r>
      <w:r w:rsidR="006E1DE1" w:rsidRPr="00B90432">
        <w:rPr>
          <w:rFonts w:asciiTheme="minorHAnsi" w:hAnsiTheme="minorHAnsi"/>
        </w:rPr>
        <w:t xml:space="preserve">. </w:t>
      </w:r>
      <w:r w:rsidR="008B6E78" w:rsidRPr="00B90432">
        <w:rPr>
          <w:rFonts w:asciiTheme="minorHAnsi" w:hAnsiTheme="minorHAnsi"/>
        </w:rPr>
        <w:t>On this issue, the</w:t>
      </w:r>
      <w:r w:rsidR="000F0214" w:rsidRPr="00B90432">
        <w:rPr>
          <w:rFonts w:asciiTheme="minorHAnsi" w:hAnsiTheme="minorHAnsi"/>
        </w:rPr>
        <w:t>y</w:t>
      </w:r>
      <w:r w:rsidR="008B6E78" w:rsidRPr="00B90432">
        <w:rPr>
          <w:rFonts w:asciiTheme="minorHAnsi" w:hAnsiTheme="minorHAnsi"/>
        </w:rPr>
        <w:t xml:space="preserve"> </w:t>
      </w:r>
      <w:r w:rsidR="0024133E" w:rsidRPr="00B90432">
        <w:rPr>
          <w:rFonts w:asciiTheme="minorHAnsi" w:hAnsiTheme="minorHAnsi"/>
        </w:rPr>
        <w:t xml:space="preserve">testified </w:t>
      </w:r>
      <w:r w:rsidR="008B6E78" w:rsidRPr="00B90432">
        <w:rPr>
          <w:rFonts w:asciiTheme="minorHAnsi" w:hAnsiTheme="minorHAnsi"/>
        </w:rPr>
        <w:t xml:space="preserve">to the IACHR that criminalization against women “is not the same as the criminalization experienced by men, because </w:t>
      </w:r>
      <w:r w:rsidR="00CE68A2" w:rsidRPr="00B90432">
        <w:rPr>
          <w:rFonts w:asciiTheme="minorHAnsi" w:hAnsiTheme="minorHAnsi"/>
        </w:rPr>
        <w:t xml:space="preserve">we </w:t>
      </w:r>
      <w:r w:rsidR="000E3ACE" w:rsidRPr="00B90432">
        <w:rPr>
          <w:rFonts w:asciiTheme="minorHAnsi" w:hAnsiTheme="minorHAnsi"/>
        </w:rPr>
        <w:t xml:space="preserve">have to </w:t>
      </w:r>
      <w:r w:rsidR="000E3ACE" w:rsidRPr="00B90432">
        <w:rPr>
          <w:rFonts w:asciiTheme="minorHAnsi" w:hAnsiTheme="minorHAnsi"/>
        </w:rPr>
        <w:lastRenderedPageBreak/>
        <w:t>concern ourselves as well with our children, with housework and the company’s intimidation affects our way of life.”</w:t>
      </w:r>
      <w:r w:rsidR="00874E87" w:rsidRPr="00B90432">
        <w:rPr>
          <w:rFonts w:asciiTheme="minorHAnsi" w:hAnsiTheme="minorHAnsi"/>
          <w:vertAlign w:val="superscript"/>
        </w:rPr>
        <w:footnoteReference w:id="286"/>
      </w:r>
    </w:p>
    <w:p w14:paraId="115A54F2" w14:textId="77777777" w:rsidR="009902C0" w:rsidRPr="00B90432" w:rsidRDefault="00E13447" w:rsidP="006F4717">
      <w:pPr>
        <w:pStyle w:val="Numberedparagraphs"/>
        <w:rPr>
          <w:rFonts w:asciiTheme="minorHAnsi" w:hAnsiTheme="minorHAnsi"/>
        </w:rPr>
      </w:pPr>
      <w:r w:rsidRPr="00B90432">
        <w:rPr>
          <w:rFonts w:asciiTheme="minorHAnsi" w:hAnsiTheme="minorHAnsi"/>
        </w:rPr>
        <w:t xml:space="preserve">Furthermore, civil society organizations </w:t>
      </w:r>
      <w:r w:rsidR="00A00835" w:rsidRPr="00B90432">
        <w:rPr>
          <w:rFonts w:asciiTheme="minorHAnsi" w:hAnsiTheme="minorHAnsi"/>
        </w:rPr>
        <w:t xml:space="preserve">argued that the mere fact of belonging to a social movement or a human rights organization that works in favor of rights related to land or the right to territory </w:t>
      </w:r>
      <w:r w:rsidR="00D74BAA" w:rsidRPr="00B90432">
        <w:rPr>
          <w:rFonts w:asciiTheme="minorHAnsi" w:hAnsiTheme="minorHAnsi"/>
        </w:rPr>
        <w:t>or a healthy environment</w:t>
      </w:r>
      <w:r w:rsidR="00A00835" w:rsidRPr="00B90432">
        <w:rPr>
          <w:rFonts w:asciiTheme="minorHAnsi" w:hAnsiTheme="minorHAnsi"/>
        </w:rPr>
        <w:t xml:space="preserve"> has been taken as an indicator of criminal liability. </w:t>
      </w:r>
      <w:r w:rsidR="00383D7E" w:rsidRPr="00B90432">
        <w:rPr>
          <w:rFonts w:asciiTheme="minorHAnsi" w:hAnsiTheme="minorHAnsi"/>
        </w:rPr>
        <w:t xml:space="preserve">Far from proving any liability of the defenders for the acts, the authorities assume that being a member of a group or participation in a demonstration automatically makes </w:t>
      </w:r>
      <w:r w:rsidR="00A01D26" w:rsidRPr="00B90432">
        <w:rPr>
          <w:rFonts w:asciiTheme="minorHAnsi" w:hAnsiTheme="minorHAnsi"/>
        </w:rPr>
        <w:t xml:space="preserve">defenders </w:t>
      </w:r>
      <w:r w:rsidR="00B951CE" w:rsidRPr="00B90432">
        <w:rPr>
          <w:rFonts w:asciiTheme="minorHAnsi" w:hAnsiTheme="minorHAnsi"/>
        </w:rPr>
        <w:t>responsible for the acts for which they are accused.</w:t>
      </w:r>
      <w:r w:rsidR="00CF144C" w:rsidRPr="00B90432">
        <w:rPr>
          <w:rFonts w:asciiTheme="minorHAnsi" w:hAnsiTheme="minorHAnsi"/>
          <w:vertAlign w:val="superscript"/>
        </w:rPr>
        <w:footnoteReference w:id="287"/>
      </w:r>
      <w:r w:rsidR="00EB5BC8" w:rsidRPr="00B90432">
        <w:rPr>
          <w:rFonts w:asciiTheme="minorHAnsi" w:hAnsiTheme="minorHAnsi"/>
        </w:rPr>
        <w:t xml:space="preserve"> </w:t>
      </w:r>
      <w:r w:rsidR="00514A81" w:rsidRPr="00B90432">
        <w:rPr>
          <w:rFonts w:asciiTheme="minorHAnsi" w:hAnsiTheme="minorHAnsi"/>
        </w:rPr>
        <w:t xml:space="preserve"> In addition to the fact that most conflicts over land are settled in criminal proceedings under charges of usurpation and aggravated usurpation, the civil society organizations claimed that the conflicts associated with indigenous territories and peasant’s lands in Guatemala are also tied to corruption in land registration</w:t>
      </w:r>
      <w:r w:rsidR="009417F3" w:rsidRPr="00B90432">
        <w:rPr>
          <w:rFonts w:asciiTheme="minorHAnsi" w:hAnsiTheme="minorHAnsi"/>
        </w:rPr>
        <w:t xml:space="preserve"> and structures engaged in the</w:t>
      </w:r>
      <w:r w:rsidR="00010D0F" w:rsidRPr="00B90432">
        <w:rPr>
          <w:rFonts w:asciiTheme="minorHAnsi" w:hAnsiTheme="minorHAnsi"/>
        </w:rPr>
        <w:t xml:space="preserve"> unlawful dispossession of lands.</w:t>
      </w:r>
      <w:r w:rsidR="00CF144C" w:rsidRPr="00B90432">
        <w:rPr>
          <w:rFonts w:asciiTheme="minorHAnsi" w:hAnsiTheme="minorHAnsi"/>
          <w:vertAlign w:val="superscript"/>
        </w:rPr>
        <w:footnoteReference w:id="288"/>
      </w:r>
    </w:p>
    <w:p w14:paraId="51797C83" w14:textId="77777777" w:rsidR="00617BF5" w:rsidRPr="00B90432" w:rsidRDefault="002E7580" w:rsidP="006F4717">
      <w:pPr>
        <w:pStyle w:val="Numberedparagraphs"/>
        <w:rPr>
          <w:rFonts w:asciiTheme="minorHAnsi" w:hAnsiTheme="minorHAnsi"/>
        </w:rPr>
      </w:pPr>
      <w:r w:rsidRPr="00B90432">
        <w:rPr>
          <w:rFonts w:asciiTheme="minorHAnsi" w:hAnsiTheme="minorHAnsi"/>
        </w:rPr>
        <w:t xml:space="preserve">The Commission also received information about the use of unjustified criminal </w:t>
      </w:r>
      <w:r w:rsidR="00C84B51" w:rsidRPr="00B90432">
        <w:rPr>
          <w:rFonts w:asciiTheme="minorHAnsi" w:hAnsiTheme="minorHAnsi"/>
        </w:rPr>
        <w:t xml:space="preserve">charges for offenses </w:t>
      </w:r>
      <w:r w:rsidRPr="00B90432">
        <w:rPr>
          <w:rFonts w:asciiTheme="minorHAnsi" w:hAnsiTheme="minorHAnsi"/>
        </w:rPr>
        <w:t xml:space="preserve">such as “kidnapping” or “unlawful association,” which do not allow for alternative measures to pretrial detention.  Additionally, the Commission received information about several cases of criminal complaints </w:t>
      </w:r>
      <w:r w:rsidR="00104F4B" w:rsidRPr="00B90432">
        <w:rPr>
          <w:rFonts w:asciiTheme="minorHAnsi" w:hAnsiTheme="minorHAnsi"/>
        </w:rPr>
        <w:t>that have been dismissed for lack of merits or acquittals, after holding the defenders in custody for long periods of time based on these bogus</w:t>
      </w:r>
      <w:r w:rsidR="009429C6" w:rsidRPr="00B90432">
        <w:rPr>
          <w:rFonts w:asciiTheme="minorHAnsi" w:hAnsiTheme="minorHAnsi"/>
        </w:rPr>
        <w:t xml:space="preserve"> charges</w:t>
      </w:r>
      <w:r w:rsidR="00104F4B" w:rsidRPr="00B90432">
        <w:rPr>
          <w:rFonts w:asciiTheme="minorHAnsi" w:hAnsiTheme="minorHAnsi"/>
        </w:rPr>
        <w:t>.</w:t>
      </w:r>
      <w:r w:rsidR="00CF144C" w:rsidRPr="00B90432">
        <w:rPr>
          <w:rFonts w:asciiTheme="minorHAnsi" w:hAnsiTheme="minorHAnsi"/>
          <w:vertAlign w:val="superscript"/>
        </w:rPr>
        <w:footnoteReference w:id="289"/>
      </w:r>
      <w:r w:rsidR="003E02C2" w:rsidRPr="00B90432">
        <w:rPr>
          <w:rFonts w:asciiTheme="minorHAnsi" w:hAnsiTheme="minorHAnsi"/>
        </w:rPr>
        <w:t xml:space="preserve"> By way of example, the IACHR received information about the criminal proceedings against seven indigenous authorities and community leaders of the Department of </w:t>
      </w:r>
      <w:r w:rsidR="00CF144C" w:rsidRPr="00B90432">
        <w:rPr>
          <w:rFonts w:asciiTheme="minorHAnsi" w:hAnsiTheme="minorHAnsi"/>
        </w:rPr>
        <w:t xml:space="preserve">Huehuetenango, </w:t>
      </w:r>
      <w:r w:rsidR="003E02C2" w:rsidRPr="00B90432">
        <w:rPr>
          <w:rFonts w:asciiTheme="minorHAnsi" w:hAnsiTheme="minorHAnsi"/>
        </w:rPr>
        <w:t xml:space="preserve">who unjustifiably remained in </w:t>
      </w:r>
      <w:r w:rsidR="005D09E0" w:rsidRPr="00B90432">
        <w:rPr>
          <w:rFonts w:asciiTheme="minorHAnsi" w:hAnsiTheme="minorHAnsi"/>
        </w:rPr>
        <w:t xml:space="preserve">pretrial </w:t>
      </w:r>
      <w:r w:rsidR="003E02C2" w:rsidRPr="00B90432">
        <w:rPr>
          <w:rFonts w:asciiTheme="minorHAnsi" w:hAnsiTheme="minorHAnsi"/>
        </w:rPr>
        <w:t>detention for 14 months charged with kidnapping, before the Guatemalan justice system acquitted five of them.</w:t>
      </w:r>
      <w:r w:rsidR="00CF144C" w:rsidRPr="00B90432">
        <w:rPr>
          <w:rStyle w:val="FootnoteReference"/>
          <w:rFonts w:asciiTheme="minorHAnsi" w:hAnsiTheme="minorHAnsi"/>
          <w:sz w:val="22"/>
          <w:szCs w:val="22"/>
        </w:rPr>
        <w:footnoteReference w:id="290"/>
      </w:r>
      <w:r w:rsidR="005D09E0" w:rsidRPr="00B90432">
        <w:rPr>
          <w:rFonts w:asciiTheme="minorHAnsi" w:hAnsiTheme="minorHAnsi"/>
        </w:rPr>
        <w:t xml:space="preserve"> According to the annual report of the OUNHCHR, the defendants had remained in pre-trial detention for more than one year after many delays in their criminal proceedings, which were characterized by irregularities. </w:t>
      </w:r>
      <w:r w:rsidR="009F5A6A" w:rsidRPr="00B90432">
        <w:rPr>
          <w:rFonts w:asciiTheme="minorHAnsi" w:hAnsiTheme="minorHAnsi"/>
        </w:rPr>
        <w:t xml:space="preserve">After finding that there was not sufficient evidence, the judgment of acquittal </w:t>
      </w:r>
      <w:r w:rsidR="0077126C" w:rsidRPr="00B90432">
        <w:rPr>
          <w:rFonts w:asciiTheme="minorHAnsi" w:hAnsiTheme="minorHAnsi"/>
        </w:rPr>
        <w:t xml:space="preserve">noted </w:t>
      </w:r>
      <w:r w:rsidR="009F5A6A" w:rsidRPr="00B90432">
        <w:rPr>
          <w:rFonts w:asciiTheme="minorHAnsi" w:hAnsiTheme="minorHAnsi"/>
        </w:rPr>
        <w:t xml:space="preserve">that the criminal proceedings had been used to </w:t>
      </w:r>
      <w:r w:rsidR="009F5A6A" w:rsidRPr="00B90432">
        <w:rPr>
          <w:rFonts w:asciiTheme="minorHAnsi" w:hAnsiTheme="minorHAnsi"/>
        </w:rPr>
        <w:lastRenderedPageBreak/>
        <w:t xml:space="preserve">“criminalize the actions carried out by the ancestral authorities </w:t>
      </w:r>
      <w:r w:rsidR="00CF144C" w:rsidRPr="00B90432">
        <w:rPr>
          <w:rFonts w:asciiTheme="minorHAnsi" w:hAnsiTheme="minorHAnsi"/>
        </w:rPr>
        <w:t xml:space="preserve">[…] </w:t>
      </w:r>
      <w:r w:rsidR="009F5A6A" w:rsidRPr="00B90432">
        <w:rPr>
          <w:rFonts w:asciiTheme="minorHAnsi" w:hAnsiTheme="minorHAnsi"/>
        </w:rPr>
        <w:t>to defend their rights.</w:t>
      </w:r>
      <w:r w:rsidR="00CF144C" w:rsidRPr="00B90432">
        <w:rPr>
          <w:rFonts w:asciiTheme="minorHAnsi" w:hAnsiTheme="minorHAnsi"/>
        </w:rPr>
        <w:t>”</w:t>
      </w:r>
      <w:r w:rsidR="00CF144C" w:rsidRPr="00B90432">
        <w:rPr>
          <w:rFonts w:asciiTheme="minorHAnsi" w:hAnsiTheme="minorHAnsi"/>
          <w:vertAlign w:val="superscript"/>
        </w:rPr>
        <w:footnoteReference w:id="291"/>
      </w:r>
      <w:r w:rsidR="00CF144C" w:rsidRPr="00B90432">
        <w:rPr>
          <w:rFonts w:asciiTheme="minorHAnsi" w:hAnsiTheme="minorHAnsi"/>
        </w:rPr>
        <w:t xml:space="preserve"> </w:t>
      </w:r>
    </w:p>
    <w:p w14:paraId="3CAA9B10" w14:textId="77777777" w:rsidR="004A01B2" w:rsidRPr="00B90432" w:rsidRDefault="00293F3E" w:rsidP="006F4717">
      <w:pPr>
        <w:pStyle w:val="Numberedparagraphs"/>
        <w:rPr>
          <w:rFonts w:asciiTheme="minorHAnsi" w:hAnsiTheme="minorHAnsi"/>
        </w:rPr>
      </w:pPr>
      <w:r w:rsidRPr="00B90432">
        <w:rPr>
          <w:rFonts w:asciiTheme="minorHAnsi" w:hAnsiTheme="minorHAnsi"/>
        </w:rPr>
        <w:t>During its country visit, the IACHR held a meeting with human rights defenders of the municipalities of San Pablo and</w:t>
      </w:r>
      <w:r w:rsidR="00617BF5" w:rsidRPr="00B90432">
        <w:rPr>
          <w:rFonts w:asciiTheme="minorHAnsi" w:hAnsiTheme="minorHAnsi"/>
        </w:rPr>
        <w:t xml:space="preserve"> Malacatán, </w:t>
      </w:r>
      <w:r w:rsidRPr="00B90432">
        <w:rPr>
          <w:rFonts w:asciiTheme="minorHAnsi" w:hAnsiTheme="minorHAnsi"/>
        </w:rPr>
        <w:t xml:space="preserve">both located in the Department of </w:t>
      </w:r>
      <w:r w:rsidR="00617BF5" w:rsidRPr="00B90432">
        <w:rPr>
          <w:rFonts w:asciiTheme="minorHAnsi" w:hAnsiTheme="minorHAnsi"/>
        </w:rPr>
        <w:t xml:space="preserve">San Marcos, </w:t>
      </w:r>
      <w:r w:rsidR="006E5DDA" w:rsidRPr="00B90432">
        <w:rPr>
          <w:rFonts w:asciiTheme="minorHAnsi" w:hAnsiTheme="minorHAnsi"/>
        </w:rPr>
        <w:t>where it received reports on the criminalization of at least 14 human rights defenders who are opposed to a hydroelectric project, standing accused of the crimes of abduction, kidnapping and unlawful association, singling out the ancestral and community authorities for allegedly forming an organized crime structure.</w:t>
      </w:r>
      <w:r w:rsidR="00617BF5" w:rsidRPr="00B90432">
        <w:rPr>
          <w:rFonts w:asciiTheme="minorHAnsi" w:hAnsiTheme="minorHAnsi"/>
          <w:vertAlign w:val="superscript"/>
        </w:rPr>
        <w:footnoteReference w:id="292"/>
      </w:r>
      <w:r w:rsidR="00617BF5" w:rsidRPr="00B90432">
        <w:rPr>
          <w:rFonts w:asciiTheme="minorHAnsi" w:hAnsiTheme="minorHAnsi"/>
        </w:rPr>
        <w:t xml:space="preserve"> </w:t>
      </w:r>
    </w:p>
    <w:p w14:paraId="780B76BF" w14:textId="77777777" w:rsidR="00617BF5" w:rsidRPr="00B90432" w:rsidRDefault="00987E47" w:rsidP="006F4717">
      <w:pPr>
        <w:pStyle w:val="Numberedparagraphs"/>
        <w:rPr>
          <w:rFonts w:asciiTheme="minorHAnsi" w:hAnsiTheme="minorHAnsi"/>
        </w:rPr>
      </w:pPr>
      <w:r w:rsidRPr="00B90432">
        <w:rPr>
          <w:rFonts w:asciiTheme="minorHAnsi" w:hAnsiTheme="minorHAnsi"/>
        </w:rPr>
        <w:t>During the visit, the IACHR received information on the criminalization of a human right</w:t>
      </w:r>
      <w:r w:rsidR="00114FA4" w:rsidRPr="00B90432">
        <w:rPr>
          <w:rFonts w:asciiTheme="minorHAnsi" w:hAnsiTheme="minorHAnsi"/>
        </w:rPr>
        <w:t>s</w:t>
      </w:r>
      <w:r w:rsidRPr="00B90432">
        <w:rPr>
          <w:rFonts w:asciiTheme="minorHAnsi" w:hAnsiTheme="minorHAnsi"/>
        </w:rPr>
        <w:t xml:space="preserve"> defender and community leader from San Pablo, </w:t>
      </w:r>
      <w:r w:rsidR="00E131D9" w:rsidRPr="00B90432">
        <w:rPr>
          <w:rFonts w:asciiTheme="minorHAnsi" w:hAnsiTheme="minorHAnsi"/>
        </w:rPr>
        <w:t xml:space="preserve">Fausto Sánchez Roblero. </w:t>
      </w:r>
      <w:r w:rsidRPr="00B90432">
        <w:rPr>
          <w:rFonts w:asciiTheme="minorHAnsi" w:hAnsiTheme="minorHAnsi"/>
        </w:rPr>
        <w:t xml:space="preserve">On December </w:t>
      </w:r>
      <w:r w:rsidR="00E131D9" w:rsidRPr="00B90432">
        <w:rPr>
          <w:rFonts w:asciiTheme="minorHAnsi" w:hAnsiTheme="minorHAnsi"/>
        </w:rPr>
        <w:t>10</w:t>
      </w:r>
      <w:r w:rsidRPr="00B90432">
        <w:rPr>
          <w:rFonts w:asciiTheme="minorHAnsi" w:hAnsiTheme="minorHAnsi"/>
        </w:rPr>
        <w:t>,</w:t>
      </w:r>
      <w:r w:rsidR="00E131D9" w:rsidRPr="00B90432">
        <w:rPr>
          <w:rFonts w:asciiTheme="minorHAnsi" w:hAnsiTheme="minorHAnsi"/>
        </w:rPr>
        <w:t xml:space="preserve"> 2014</w:t>
      </w:r>
      <w:r w:rsidR="00D176A6" w:rsidRPr="00B90432">
        <w:rPr>
          <w:rFonts w:asciiTheme="minorHAnsi" w:hAnsiTheme="minorHAnsi"/>
        </w:rPr>
        <w:t>, the defender was arrested along with another three opponents to a hydroelectric project, which was reportedly built in an area with</w:t>
      </w:r>
      <w:r w:rsidR="00D849CD" w:rsidRPr="00B90432">
        <w:rPr>
          <w:rFonts w:asciiTheme="minorHAnsi" w:hAnsiTheme="minorHAnsi"/>
        </w:rPr>
        <w:t>out having</w:t>
      </w:r>
      <w:r w:rsidR="00D176A6" w:rsidRPr="00B90432">
        <w:rPr>
          <w:rFonts w:asciiTheme="minorHAnsi" w:hAnsiTheme="minorHAnsi"/>
        </w:rPr>
        <w:t xml:space="preserve"> conducted a prior, free and </w:t>
      </w:r>
      <w:r w:rsidR="00D523B2" w:rsidRPr="00B90432">
        <w:rPr>
          <w:rFonts w:asciiTheme="minorHAnsi" w:hAnsiTheme="minorHAnsi"/>
        </w:rPr>
        <w:t>informed</w:t>
      </w:r>
      <w:r w:rsidR="00D176A6" w:rsidRPr="00B90432">
        <w:rPr>
          <w:rFonts w:asciiTheme="minorHAnsi" w:hAnsiTheme="minorHAnsi"/>
        </w:rPr>
        <w:t xml:space="preserve"> consultation with the communities, and stood charged with </w:t>
      </w:r>
      <w:r w:rsidR="0004659F" w:rsidRPr="00B90432">
        <w:rPr>
          <w:rFonts w:asciiTheme="minorHAnsi" w:hAnsiTheme="minorHAnsi"/>
        </w:rPr>
        <w:t>the crimes of kidnapping and unlawful association.</w:t>
      </w:r>
      <w:r w:rsidR="00E131D9" w:rsidRPr="00B90432">
        <w:rPr>
          <w:rFonts w:asciiTheme="minorHAnsi" w:hAnsiTheme="minorHAnsi"/>
          <w:vertAlign w:val="superscript"/>
        </w:rPr>
        <w:footnoteReference w:id="293"/>
      </w:r>
      <w:r w:rsidR="0004659F" w:rsidRPr="00B90432">
        <w:rPr>
          <w:rFonts w:asciiTheme="minorHAnsi" w:hAnsiTheme="minorHAnsi"/>
        </w:rPr>
        <w:t xml:space="preserve"> According to publically available information, on August 19,</w:t>
      </w:r>
      <w:r w:rsidR="00E131D9" w:rsidRPr="00B90432">
        <w:rPr>
          <w:rFonts w:asciiTheme="minorHAnsi" w:hAnsiTheme="minorHAnsi"/>
        </w:rPr>
        <w:t xml:space="preserve"> 2016</w:t>
      </w:r>
      <w:r w:rsidR="0004659F" w:rsidRPr="00B90432">
        <w:rPr>
          <w:rFonts w:asciiTheme="minorHAnsi" w:hAnsiTheme="minorHAnsi"/>
        </w:rPr>
        <w:t xml:space="preserve">, the trial court judges acquitted Mr. </w:t>
      </w:r>
      <w:r w:rsidR="00E131D9" w:rsidRPr="00B90432">
        <w:rPr>
          <w:rFonts w:asciiTheme="minorHAnsi" w:hAnsiTheme="minorHAnsi"/>
        </w:rPr>
        <w:t xml:space="preserve">Sánchez </w:t>
      </w:r>
      <w:r w:rsidR="0004659F" w:rsidRPr="00B90432">
        <w:rPr>
          <w:rFonts w:asciiTheme="minorHAnsi" w:hAnsiTheme="minorHAnsi"/>
        </w:rPr>
        <w:t xml:space="preserve">for lack of evidence and contradictions in the testimony of the witnesses and, accordingly, ordered the release of the defender. However, </w:t>
      </w:r>
      <w:r w:rsidR="000E7C86" w:rsidRPr="00B90432">
        <w:rPr>
          <w:rFonts w:asciiTheme="minorHAnsi" w:hAnsiTheme="minorHAnsi"/>
        </w:rPr>
        <w:t>the association</w:t>
      </w:r>
      <w:r w:rsidR="00E131D9" w:rsidRPr="00B90432">
        <w:rPr>
          <w:rFonts w:asciiTheme="minorHAnsi" w:hAnsiTheme="minorHAnsi"/>
        </w:rPr>
        <w:t xml:space="preserve"> Liga Pro Patria, </w:t>
      </w:r>
      <w:r w:rsidR="000E7C86" w:rsidRPr="00B90432">
        <w:rPr>
          <w:rFonts w:asciiTheme="minorHAnsi" w:hAnsiTheme="minorHAnsi"/>
        </w:rPr>
        <w:t xml:space="preserve">which </w:t>
      </w:r>
      <w:r w:rsidR="00E50494" w:rsidRPr="00B90432">
        <w:rPr>
          <w:rFonts w:asciiTheme="minorHAnsi" w:hAnsiTheme="minorHAnsi"/>
        </w:rPr>
        <w:t xml:space="preserve">had been a private complainant </w:t>
      </w:r>
      <w:r w:rsidR="003B47E0" w:rsidRPr="00B90432">
        <w:rPr>
          <w:rFonts w:asciiTheme="minorHAnsi" w:hAnsiTheme="minorHAnsi"/>
        </w:rPr>
        <w:t>in</w:t>
      </w:r>
      <w:r w:rsidR="000E7C86" w:rsidRPr="00B90432">
        <w:rPr>
          <w:rFonts w:asciiTheme="minorHAnsi" w:hAnsiTheme="minorHAnsi"/>
        </w:rPr>
        <w:t xml:space="preserve"> the proceedings, appea</w:t>
      </w:r>
      <w:r w:rsidR="002579A1" w:rsidRPr="00B90432">
        <w:rPr>
          <w:rFonts w:asciiTheme="minorHAnsi" w:hAnsiTheme="minorHAnsi"/>
        </w:rPr>
        <w:t>led the judgment of acquittal before</w:t>
      </w:r>
      <w:r w:rsidR="000E7C86" w:rsidRPr="00B90432">
        <w:rPr>
          <w:rFonts w:asciiTheme="minorHAnsi" w:hAnsiTheme="minorHAnsi"/>
        </w:rPr>
        <w:t xml:space="preserve"> the Chamber of Appeals</w:t>
      </w:r>
      <w:r w:rsidR="00113DDF" w:rsidRPr="00B90432">
        <w:rPr>
          <w:rFonts w:asciiTheme="minorHAnsi" w:hAnsiTheme="minorHAnsi"/>
        </w:rPr>
        <w:t xml:space="preserve"> for Criminal and Civil Matters</w:t>
      </w:r>
      <w:r w:rsidR="000E7C86" w:rsidRPr="00B90432">
        <w:rPr>
          <w:rFonts w:asciiTheme="minorHAnsi" w:hAnsiTheme="minorHAnsi"/>
        </w:rPr>
        <w:t>. On February 9, 2017, the acquittal of the defender was upheld</w:t>
      </w:r>
      <w:r w:rsidR="00E50494" w:rsidRPr="00B90432">
        <w:rPr>
          <w:rFonts w:asciiTheme="minorHAnsi" w:hAnsiTheme="minorHAnsi"/>
        </w:rPr>
        <w:t xml:space="preserve"> </w:t>
      </w:r>
      <w:r w:rsidR="002579A1" w:rsidRPr="00B90432">
        <w:rPr>
          <w:rFonts w:asciiTheme="minorHAnsi" w:hAnsiTheme="minorHAnsi"/>
        </w:rPr>
        <w:t xml:space="preserve">on the grounds that the decision was incoherent and, therefore, the </w:t>
      </w:r>
      <w:r w:rsidR="00D523B2" w:rsidRPr="00B90432">
        <w:rPr>
          <w:rFonts w:asciiTheme="minorHAnsi" w:hAnsiTheme="minorHAnsi"/>
        </w:rPr>
        <w:t>judgment</w:t>
      </w:r>
      <w:r w:rsidR="002579A1" w:rsidRPr="00B90432">
        <w:rPr>
          <w:rFonts w:asciiTheme="minorHAnsi" w:hAnsiTheme="minorHAnsi"/>
        </w:rPr>
        <w:t xml:space="preserve"> of acquittal issued by the trial court was upheld and the court </w:t>
      </w:r>
      <w:r w:rsidR="00DF6480" w:rsidRPr="00B90432">
        <w:rPr>
          <w:rFonts w:asciiTheme="minorHAnsi" w:hAnsiTheme="minorHAnsi"/>
        </w:rPr>
        <w:t xml:space="preserve">was </w:t>
      </w:r>
      <w:r w:rsidR="002452DE" w:rsidRPr="00B90432">
        <w:rPr>
          <w:rFonts w:asciiTheme="minorHAnsi" w:hAnsiTheme="minorHAnsi"/>
        </w:rPr>
        <w:t xml:space="preserve">instructed </w:t>
      </w:r>
      <w:r w:rsidR="00DF6480" w:rsidRPr="00B90432">
        <w:rPr>
          <w:rFonts w:asciiTheme="minorHAnsi" w:hAnsiTheme="minorHAnsi"/>
        </w:rPr>
        <w:t xml:space="preserve">to </w:t>
      </w:r>
      <w:r w:rsidR="002579A1" w:rsidRPr="00B90432">
        <w:rPr>
          <w:rFonts w:asciiTheme="minorHAnsi" w:hAnsiTheme="minorHAnsi"/>
        </w:rPr>
        <w:t>iss</w:t>
      </w:r>
      <w:r w:rsidR="00A4472C" w:rsidRPr="00B90432">
        <w:rPr>
          <w:rFonts w:asciiTheme="minorHAnsi" w:hAnsiTheme="minorHAnsi"/>
        </w:rPr>
        <w:t>ue the respective release order</w:t>
      </w:r>
      <w:r w:rsidR="00E131D9" w:rsidRPr="00B90432">
        <w:rPr>
          <w:rFonts w:asciiTheme="minorHAnsi" w:hAnsiTheme="minorHAnsi"/>
        </w:rPr>
        <w:t>.</w:t>
      </w:r>
      <w:r w:rsidR="00A4472C" w:rsidRPr="00B90432">
        <w:rPr>
          <w:rFonts w:asciiTheme="minorHAnsi" w:hAnsiTheme="minorHAnsi"/>
        </w:rPr>
        <w:t xml:space="preserve"> Defender </w:t>
      </w:r>
      <w:r w:rsidR="00E131D9" w:rsidRPr="00B90432">
        <w:rPr>
          <w:rFonts w:asciiTheme="minorHAnsi" w:hAnsiTheme="minorHAnsi"/>
        </w:rPr>
        <w:t xml:space="preserve">Fausto Sánchez Roblero </w:t>
      </w:r>
      <w:r w:rsidR="00CC60C8" w:rsidRPr="00B90432">
        <w:rPr>
          <w:rFonts w:asciiTheme="minorHAnsi" w:hAnsiTheme="minorHAnsi"/>
        </w:rPr>
        <w:t xml:space="preserve">was deprived of liberty </w:t>
      </w:r>
      <w:r w:rsidR="00F1358C" w:rsidRPr="00B90432">
        <w:rPr>
          <w:rFonts w:asciiTheme="minorHAnsi" w:hAnsiTheme="minorHAnsi"/>
        </w:rPr>
        <w:t xml:space="preserve">for </w:t>
      </w:r>
      <w:r w:rsidR="00CC60C8" w:rsidRPr="00B90432">
        <w:rPr>
          <w:rFonts w:asciiTheme="minorHAnsi" w:hAnsiTheme="minorHAnsi"/>
        </w:rPr>
        <w:t>approximately 2 years and 3 months prior to being acquitted of all charges. When he was released, the defender claimed that his case was about political persecution because he was against the building of a hydroelectric project.</w:t>
      </w:r>
      <w:r w:rsidR="00E131D9" w:rsidRPr="00B90432">
        <w:rPr>
          <w:rFonts w:asciiTheme="minorHAnsi" w:hAnsiTheme="minorHAnsi"/>
          <w:vertAlign w:val="superscript"/>
        </w:rPr>
        <w:footnoteReference w:id="294"/>
      </w:r>
      <w:r w:rsidR="00CC60C8" w:rsidRPr="00B90432">
        <w:rPr>
          <w:rFonts w:asciiTheme="minorHAnsi" w:hAnsiTheme="minorHAnsi"/>
        </w:rPr>
        <w:t xml:space="preserve"> Civil society organizations have contended that the case of human rights defender </w:t>
      </w:r>
      <w:r w:rsidR="00E131D9" w:rsidRPr="00B90432">
        <w:rPr>
          <w:rFonts w:asciiTheme="minorHAnsi" w:hAnsiTheme="minorHAnsi"/>
        </w:rPr>
        <w:t xml:space="preserve">Fausto Sánchez </w:t>
      </w:r>
      <w:r w:rsidR="00CC60C8" w:rsidRPr="00B90432">
        <w:rPr>
          <w:rFonts w:asciiTheme="minorHAnsi" w:hAnsiTheme="minorHAnsi"/>
        </w:rPr>
        <w:t xml:space="preserve">stands as an example of the </w:t>
      </w:r>
      <w:r w:rsidR="00CC60C8" w:rsidRPr="00B90432">
        <w:rPr>
          <w:rFonts w:asciiTheme="minorHAnsi" w:hAnsiTheme="minorHAnsi"/>
        </w:rPr>
        <w:lastRenderedPageBreak/>
        <w:t>criminalization of community leaders who oppose the exploitation of natural resources.</w:t>
      </w:r>
      <w:r w:rsidR="00E131D9" w:rsidRPr="00B90432">
        <w:rPr>
          <w:rFonts w:asciiTheme="minorHAnsi" w:hAnsiTheme="minorHAnsi"/>
          <w:vertAlign w:val="superscript"/>
        </w:rPr>
        <w:footnoteReference w:id="295"/>
      </w:r>
      <w:r w:rsidR="00E131D9" w:rsidRPr="00B90432">
        <w:rPr>
          <w:rFonts w:asciiTheme="minorHAnsi" w:hAnsiTheme="minorHAnsi"/>
        </w:rPr>
        <w:t xml:space="preserve"> </w:t>
      </w:r>
    </w:p>
    <w:p w14:paraId="6AD77798" w14:textId="77777777" w:rsidR="003E4A74" w:rsidRPr="00B90432" w:rsidRDefault="00CC707A" w:rsidP="006F4717">
      <w:pPr>
        <w:pStyle w:val="Numberedparagraphs"/>
        <w:rPr>
          <w:rFonts w:asciiTheme="minorHAnsi" w:hAnsiTheme="minorHAnsi"/>
        </w:rPr>
      </w:pPr>
      <w:r w:rsidRPr="00B90432">
        <w:rPr>
          <w:rFonts w:asciiTheme="minorHAnsi" w:hAnsiTheme="minorHAnsi"/>
        </w:rPr>
        <w:t>In light of the situation of human rights defenders described in this secti</w:t>
      </w:r>
      <w:r w:rsidR="00507910" w:rsidRPr="00B90432">
        <w:rPr>
          <w:rFonts w:asciiTheme="minorHAnsi" w:hAnsiTheme="minorHAnsi"/>
        </w:rPr>
        <w:t xml:space="preserve">on, the Commission recalls that under Inter-American legal precedent, </w:t>
      </w:r>
      <w:r w:rsidRPr="00B90432">
        <w:rPr>
          <w:rFonts w:asciiTheme="minorHAnsi" w:hAnsiTheme="minorHAnsi"/>
        </w:rPr>
        <w:t xml:space="preserve">when an arrest order is issued, it must provide </w:t>
      </w:r>
      <w:r w:rsidR="00507910" w:rsidRPr="00B90432">
        <w:rPr>
          <w:rFonts w:asciiTheme="minorHAnsi" w:hAnsiTheme="minorHAnsi"/>
        </w:rPr>
        <w:t xml:space="preserve">a </w:t>
      </w:r>
      <w:r w:rsidR="008F6071" w:rsidRPr="00B90432">
        <w:rPr>
          <w:rFonts w:asciiTheme="minorHAnsi" w:hAnsiTheme="minorHAnsi"/>
        </w:rPr>
        <w:t>basis and reasons</w:t>
      </w:r>
      <w:r w:rsidR="00193447" w:rsidRPr="00B90432">
        <w:rPr>
          <w:rFonts w:asciiTheme="minorHAnsi" w:hAnsiTheme="minorHAnsi"/>
        </w:rPr>
        <w:t xml:space="preserve"> in order to avoid arbitrary detentions and ensure the right to a defense of the individual.</w:t>
      </w:r>
      <w:r w:rsidR="00420F75" w:rsidRPr="00B90432">
        <w:rPr>
          <w:rFonts w:asciiTheme="minorHAnsi" w:hAnsiTheme="minorHAnsi"/>
          <w:vertAlign w:val="superscript"/>
        </w:rPr>
        <w:footnoteReference w:id="296"/>
      </w:r>
      <w:r w:rsidR="00193447" w:rsidRPr="00B90432">
        <w:rPr>
          <w:rFonts w:asciiTheme="minorHAnsi" w:hAnsiTheme="minorHAnsi"/>
        </w:rPr>
        <w:t xml:space="preserve"> Additionally, the arresting agent must inform</w:t>
      </w:r>
      <w:r w:rsidR="005B0B9E" w:rsidRPr="00B90432">
        <w:rPr>
          <w:rFonts w:asciiTheme="minorHAnsi" w:hAnsiTheme="minorHAnsi"/>
        </w:rPr>
        <w:t xml:space="preserve"> the person</w:t>
      </w:r>
      <w:r w:rsidR="00694B78" w:rsidRPr="00B90432">
        <w:rPr>
          <w:rFonts w:asciiTheme="minorHAnsi" w:hAnsiTheme="minorHAnsi"/>
        </w:rPr>
        <w:t xml:space="preserve"> in</w:t>
      </w:r>
      <w:r w:rsidR="00193447" w:rsidRPr="00B90432">
        <w:rPr>
          <w:rFonts w:asciiTheme="minorHAnsi" w:hAnsiTheme="minorHAnsi"/>
        </w:rPr>
        <w:t xml:space="preserve"> simple language</w:t>
      </w:r>
      <w:r w:rsidR="00C5554E" w:rsidRPr="00B90432">
        <w:rPr>
          <w:rFonts w:asciiTheme="minorHAnsi" w:hAnsiTheme="minorHAnsi"/>
        </w:rPr>
        <w:t xml:space="preserve">, </w:t>
      </w:r>
      <w:r w:rsidR="00561364" w:rsidRPr="00B90432">
        <w:rPr>
          <w:rFonts w:asciiTheme="minorHAnsi" w:hAnsiTheme="minorHAnsi"/>
        </w:rPr>
        <w:t xml:space="preserve">free of </w:t>
      </w:r>
      <w:r w:rsidR="00C5554E" w:rsidRPr="00B90432">
        <w:rPr>
          <w:rFonts w:asciiTheme="minorHAnsi" w:hAnsiTheme="minorHAnsi"/>
        </w:rPr>
        <w:t>technical legal terms</w:t>
      </w:r>
      <w:r w:rsidR="00193447" w:rsidRPr="00B90432">
        <w:rPr>
          <w:rFonts w:asciiTheme="minorHAnsi" w:hAnsiTheme="minorHAnsi"/>
        </w:rPr>
        <w:t>, about the acts and</w:t>
      </w:r>
      <w:r w:rsidR="00AE3408" w:rsidRPr="00B90432">
        <w:rPr>
          <w:rFonts w:asciiTheme="minorHAnsi" w:hAnsiTheme="minorHAnsi"/>
        </w:rPr>
        <w:t xml:space="preserve"> the</w:t>
      </w:r>
      <w:r w:rsidR="00193447" w:rsidRPr="00B90432">
        <w:rPr>
          <w:rFonts w:asciiTheme="minorHAnsi" w:hAnsiTheme="minorHAnsi"/>
        </w:rPr>
        <w:t xml:space="preserve"> </w:t>
      </w:r>
      <w:r w:rsidR="00AE3408" w:rsidRPr="00B90432">
        <w:rPr>
          <w:rFonts w:asciiTheme="minorHAnsi" w:hAnsiTheme="minorHAnsi"/>
        </w:rPr>
        <w:t xml:space="preserve">particular </w:t>
      </w:r>
      <w:r w:rsidR="00193447" w:rsidRPr="00B90432">
        <w:rPr>
          <w:rFonts w:asciiTheme="minorHAnsi" w:hAnsiTheme="minorHAnsi"/>
        </w:rPr>
        <w:t>legal basis for the arrest.</w:t>
      </w:r>
      <w:r w:rsidR="00420F75" w:rsidRPr="00B90432">
        <w:rPr>
          <w:rStyle w:val="FootnoteReference"/>
          <w:rFonts w:asciiTheme="minorHAnsi" w:hAnsiTheme="minorHAnsi"/>
          <w:sz w:val="22"/>
          <w:szCs w:val="22"/>
        </w:rPr>
        <w:footnoteReference w:id="297"/>
      </w:r>
      <w:r w:rsidR="00594BA8" w:rsidRPr="00B90432">
        <w:rPr>
          <w:rFonts w:asciiTheme="minorHAnsi" w:hAnsiTheme="minorHAnsi"/>
        </w:rPr>
        <w:t xml:space="preserve"> The Commission recalls, as well, that every State of the region has the obligation to not use arrest warrants as a mechanism of punishment or retaliation against anyone, including in particular human rights defenders. </w:t>
      </w:r>
      <w:r w:rsidR="00420F75" w:rsidRPr="00B90432">
        <w:rPr>
          <w:rFonts w:asciiTheme="minorHAnsi" w:hAnsiTheme="minorHAnsi"/>
        </w:rPr>
        <w:t xml:space="preserve"> </w:t>
      </w:r>
    </w:p>
    <w:p w14:paraId="6713E5F2" w14:textId="77777777" w:rsidR="003E4A74" w:rsidRPr="00B90432" w:rsidRDefault="006857A7" w:rsidP="006F4717">
      <w:pPr>
        <w:pStyle w:val="Numberedparagraphs"/>
        <w:rPr>
          <w:rFonts w:asciiTheme="minorHAnsi" w:hAnsiTheme="minorHAnsi"/>
        </w:rPr>
      </w:pPr>
      <w:r w:rsidRPr="00B90432">
        <w:rPr>
          <w:rFonts w:asciiTheme="minorHAnsi" w:hAnsiTheme="minorHAnsi" w:cs="Tahoma"/>
        </w:rPr>
        <w:t xml:space="preserve">In response, the State noted, among other things, that the on-site visit has been a starting point to achieve consensus, </w:t>
      </w:r>
      <w:r w:rsidR="00AC04C1" w:rsidRPr="00B90432">
        <w:rPr>
          <w:rFonts w:asciiTheme="minorHAnsi" w:hAnsiTheme="minorHAnsi" w:cs="Tahoma"/>
        </w:rPr>
        <w:t xml:space="preserve">engage in </w:t>
      </w:r>
      <w:r w:rsidRPr="00B90432">
        <w:rPr>
          <w:rFonts w:asciiTheme="minorHAnsi" w:hAnsiTheme="minorHAnsi" w:cs="Tahoma"/>
        </w:rPr>
        <w:t>talks</w:t>
      </w:r>
      <w:r w:rsidR="00AC04C1" w:rsidRPr="00B90432">
        <w:rPr>
          <w:rFonts w:asciiTheme="minorHAnsi" w:hAnsiTheme="minorHAnsi" w:cs="Tahoma"/>
        </w:rPr>
        <w:t xml:space="preserve"> and</w:t>
      </w:r>
      <w:r w:rsidR="00AE651E" w:rsidRPr="00B90432">
        <w:rPr>
          <w:rFonts w:asciiTheme="minorHAnsi" w:hAnsiTheme="minorHAnsi" w:cs="Tahoma"/>
        </w:rPr>
        <w:t xml:space="preserve"> negotiations</w:t>
      </w:r>
      <w:r w:rsidRPr="00B90432">
        <w:rPr>
          <w:rFonts w:asciiTheme="minorHAnsi" w:hAnsiTheme="minorHAnsi" w:cs="Tahoma"/>
        </w:rPr>
        <w:t xml:space="preserve"> and to take the communities</w:t>
      </w:r>
      <w:r w:rsidR="009019BC" w:rsidRPr="00B90432">
        <w:rPr>
          <w:rFonts w:asciiTheme="minorHAnsi" w:hAnsiTheme="minorHAnsi" w:cs="Tahoma"/>
        </w:rPr>
        <w:t xml:space="preserve"> into account</w:t>
      </w:r>
      <w:r w:rsidRPr="00B90432">
        <w:rPr>
          <w:rFonts w:asciiTheme="minorHAnsi" w:hAnsiTheme="minorHAnsi" w:cs="Tahoma"/>
        </w:rPr>
        <w:t xml:space="preserve">. </w:t>
      </w:r>
      <w:r w:rsidR="00AE651E" w:rsidRPr="00B90432">
        <w:rPr>
          <w:rFonts w:asciiTheme="minorHAnsi" w:hAnsiTheme="minorHAnsi" w:cs="Tahoma"/>
        </w:rPr>
        <w:t xml:space="preserve">It indicated that the recommendations </w:t>
      </w:r>
      <w:r w:rsidR="007117B0" w:rsidRPr="00B90432">
        <w:rPr>
          <w:rFonts w:asciiTheme="minorHAnsi" w:hAnsiTheme="minorHAnsi" w:cs="Tahoma"/>
        </w:rPr>
        <w:t xml:space="preserve">issued by the IACHR </w:t>
      </w:r>
      <w:r w:rsidR="00AE651E" w:rsidRPr="00B90432">
        <w:rPr>
          <w:rFonts w:asciiTheme="minorHAnsi" w:hAnsiTheme="minorHAnsi" w:cs="Tahoma"/>
        </w:rPr>
        <w:t xml:space="preserve">after the on-site visit were received by </w:t>
      </w:r>
      <w:r w:rsidR="003E4A74" w:rsidRPr="00B90432">
        <w:rPr>
          <w:rFonts w:asciiTheme="minorHAnsi" w:hAnsiTheme="minorHAnsi" w:cs="Tahoma"/>
        </w:rPr>
        <w:t xml:space="preserve">COPREDEH </w:t>
      </w:r>
      <w:r w:rsidR="00AE651E" w:rsidRPr="00B90432">
        <w:rPr>
          <w:rFonts w:asciiTheme="minorHAnsi" w:hAnsiTheme="minorHAnsi" w:cs="Tahoma"/>
        </w:rPr>
        <w:t>and by the Office of the Foreign Ministr</w:t>
      </w:r>
      <w:r w:rsidR="005F5707" w:rsidRPr="00B90432">
        <w:rPr>
          <w:rFonts w:asciiTheme="minorHAnsi" w:hAnsiTheme="minorHAnsi" w:cs="Tahoma"/>
        </w:rPr>
        <w:t>y of Guatemala</w:t>
      </w:r>
      <w:r w:rsidR="00AE651E" w:rsidRPr="00B90432">
        <w:rPr>
          <w:rFonts w:asciiTheme="minorHAnsi" w:hAnsiTheme="minorHAnsi" w:cs="Tahoma"/>
        </w:rPr>
        <w:t xml:space="preserve"> and are being considered for this sustainable dialogue with the com</w:t>
      </w:r>
      <w:r w:rsidR="00512179" w:rsidRPr="00B90432">
        <w:rPr>
          <w:rFonts w:asciiTheme="minorHAnsi" w:hAnsiTheme="minorHAnsi" w:cs="Tahoma"/>
        </w:rPr>
        <w:t>munities and the companies</w:t>
      </w:r>
      <w:r w:rsidR="003E4A74" w:rsidRPr="00B90432">
        <w:rPr>
          <w:rFonts w:asciiTheme="minorHAnsi" w:hAnsiTheme="minorHAnsi" w:cs="Tahoma"/>
        </w:rPr>
        <w:t>.</w:t>
      </w:r>
      <w:r w:rsidR="00512179" w:rsidRPr="00B90432">
        <w:rPr>
          <w:rFonts w:asciiTheme="minorHAnsi" w:hAnsiTheme="minorHAnsi" w:cs="Tahoma"/>
        </w:rPr>
        <w:t xml:space="preserve"> The Guatemalan State placed itself at the</w:t>
      </w:r>
      <w:r w:rsidR="00493066" w:rsidRPr="00B90432">
        <w:rPr>
          <w:rFonts w:asciiTheme="minorHAnsi" w:hAnsiTheme="minorHAnsi" w:cs="Tahoma"/>
        </w:rPr>
        <w:t>ir</w:t>
      </w:r>
      <w:r w:rsidR="001B764F" w:rsidRPr="00B90432">
        <w:rPr>
          <w:rFonts w:asciiTheme="minorHAnsi" w:hAnsiTheme="minorHAnsi" w:cs="Tahoma"/>
        </w:rPr>
        <w:t xml:space="preserve"> disposal for this permanent, su</w:t>
      </w:r>
      <w:r w:rsidR="00512179" w:rsidRPr="00B90432">
        <w:rPr>
          <w:rFonts w:asciiTheme="minorHAnsi" w:hAnsiTheme="minorHAnsi" w:cs="Tahoma"/>
        </w:rPr>
        <w:t>stainable dialogue and to</w:t>
      </w:r>
      <w:r w:rsidR="00493066" w:rsidRPr="00B90432">
        <w:rPr>
          <w:rFonts w:asciiTheme="minorHAnsi" w:hAnsiTheme="minorHAnsi" w:cs="Tahoma"/>
        </w:rPr>
        <w:t xml:space="preserve"> carry out this type of negotiation. Lastly, it contended that it strictly enforces the law and the Convention in the sphere of investigation</w:t>
      </w:r>
      <w:r w:rsidR="00CF0E83" w:rsidRPr="00B90432">
        <w:rPr>
          <w:rFonts w:asciiTheme="minorHAnsi" w:hAnsiTheme="minorHAnsi" w:cs="Tahoma"/>
        </w:rPr>
        <w:t>, which is the purview</w:t>
      </w:r>
      <w:r w:rsidR="00493066" w:rsidRPr="00B90432">
        <w:rPr>
          <w:rFonts w:asciiTheme="minorHAnsi" w:hAnsiTheme="minorHAnsi" w:cs="Tahoma"/>
        </w:rPr>
        <w:t xml:space="preserve"> of the Office of the Public Prosecutor. It claimed that of the total number of complaints filed with the Unit for crimes against activists of the Office of the Prosecutor for Human Rights, a small percentage of the those filed by </w:t>
      </w:r>
      <w:r w:rsidR="00493066" w:rsidRPr="00B90432">
        <w:rPr>
          <w:rFonts w:asciiTheme="minorHAnsi" w:hAnsiTheme="minorHAnsi" w:cs="Tahoma"/>
        </w:rPr>
        <w:lastRenderedPageBreak/>
        <w:t>human rights defenders stem from acts of aggression by extractive companies.</w:t>
      </w:r>
      <w:r w:rsidR="003E4A74" w:rsidRPr="00B90432">
        <w:rPr>
          <w:rStyle w:val="FootnoteReference"/>
          <w:rFonts w:asciiTheme="minorHAnsi" w:hAnsiTheme="minorHAnsi" w:cs="Tahoma"/>
          <w:sz w:val="22"/>
          <w:szCs w:val="22"/>
        </w:rPr>
        <w:footnoteReference w:id="298"/>
      </w:r>
      <w:r w:rsidR="003E4A74" w:rsidRPr="00B90432">
        <w:rPr>
          <w:rFonts w:asciiTheme="minorHAnsi" w:hAnsiTheme="minorHAnsi" w:cs="Tahoma"/>
        </w:rPr>
        <w:t xml:space="preserve">  </w:t>
      </w:r>
    </w:p>
    <w:p w14:paraId="01696C21" w14:textId="77777777" w:rsidR="009902C0" w:rsidRPr="00B90432" w:rsidRDefault="000F00DE" w:rsidP="006F4717">
      <w:pPr>
        <w:pStyle w:val="Numberedparagraphs"/>
        <w:rPr>
          <w:rFonts w:asciiTheme="minorHAnsi" w:hAnsiTheme="minorHAnsi"/>
        </w:rPr>
      </w:pPr>
      <w:r w:rsidRPr="00B90432">
        <w:rPr>
          <w:rFonts w:asciiTheme="minorHAnsi" w:hAnsiTheme="minorHAnsi"/>
        </w:rPr>
        <w:t xml:space="preserve">The Commission reiterates, </w:t>
      </w:r>
      <w:r w:rsidR="00752B5F" w:rsidRPr="00B90432">
        <w:rPr>
          <w:rFonts w:asciiTheme="minorHAnsi" w:hAnsiTheme="minorHAnsi"/>
        </w:rPr>
        <w:t xml:space="preserve">as </w:t>
      </w:r>
      <w:r w:rsidR="009F5359" w:rsidRPr="00B90432">
        <w:rPr>
          <w:rFonts w:asciiTheme="minorHAnsi" w:hAnsiTheme="minorHAnsi"/>
        </w:rPr>
        <w:t xml:space="preserve">emphasized </w:t>
      </w:r>
      <w:r w:rsidR="00752B5F" w:rsidRPr="00B90432">
        <w:rPr>
          <w:rFonts w:asciiTheme="minorHAnsi" w:hAnsiTheme="minorHAnsi"/>
        </w:rPr>
        <w:t xml:space="preserve">in its Report on Criminalization of Human Rights Defenders, </w:t>
      </w:r>
      <w:r w:rsidRPr="00B90432">
        <w:rPr>
          <w:rFonts w:asciiTheme="minorHAnsi" w:hAnsiTheme="minorHAnsi"/>
        </w:rPr>
        <w:t xml:space="preserve">that </w:t>
      </w:r>
      <w:r w:rsidR="00752B5F" w:rsidRPr="00B90432">
        <w:rPr>
          <w:rFonts w:asciiTheme="minorHAnsi" w:hAnsiTheme="minorHAnsi"/>
        </w:rPr>
        <w:t xml:space="preserve">no defender </w:t>
      </w:r>
      <w:r w:rsidR="009F5359" w:rsidRPr="00B90432">
        <w:rPr>
          <w:rFonts w:asciiTheme="minorHAnsi" w:hAnsiTheme="minorHAnsi"/>
        </w:rPr>
        <w:t xml:space="preserve">may </w:t>
      </w:r>
      <w:r w:rsidR="00752B5F" w:rsidRPr="00B90432">
        <w:rPr>
          <w:rFonts w:asciiTheme="minorHAnsi" w:hAnsiTheme="minorHAnsi"/>
        </w:rPr>
        <w:t xml:space="preserve">be subjected to </w:t>
      </w:r>
      <w:r w:rsidR="009F5359" w:rsidRPr="00B90432">
        <w:rPr>
          <w:rFonts w:asciiTheme="minorHAnsi" w:hAnsiTheme="minorHAnsi"/>
        </w:rPr>
        <w:t>a criminal proceeding indefinitely</w:t>
      </w:r>
      <w:r w:rsidR="00752B5F" w:rsidRPr="00B90432">
        <w:rPr>
          <w:rFonts w:asciiTheme="minorHAnsi" w:hAnsiTheme="minorHAnsi"/>
        </w:rPr>
        <w:t xml:space="preserve">, </w:t>
      </w:r>
      <w:r w:rsidR="009F5359" w:rsidRPr="00B90432">
        <w:rPr>
          <w:rFonts w:asciiTheme="minorHAnsi" w:hAnsiTheme="minorHAnsi"/>
        </w:rPr>
        <w:t xml:space="preserve">inasmuch as such a situation would infringe on the guarantee of </w:t>
      </w:r>
      <w:r w:rsidR="00752B5F" w:rsidRPr="00B90432">
        <w:rPr>
          <w:rFonts w:asciiTheme="minorHAnsi" w:hAnsiTheme="minorHAnsi"/>
        </w:rPr>
        <w:t>a reasonable time</w:t>
      </w:r>
      <w:r w:rsidR="009F5359" w:rsidRPr="00B90432">
        <w:rPr>
          <w:rFonts w:asciiTheme="minorHAnsi" w:hAnsiTheme="minorHAnsi"/>
        </w:rPr>
        <w:t xml:space="preserve"> period.  This guarantee, in addition to being a basic element for the right to a </w:t>
      </w:r>
      <w:r w:rsidR="00AF23E3" w:rsidRPr="00B90432">
        <w:rPr>
          <w:rFonts w:asciiTheme="minorHAnsi" w:hAnsiTheme="minorHAnsi"/>
        </w:rPr>
        <w:t>fair trial in accordance with the rules of due process</w:t>
      </w:r>
      <w:r w:rsidR="00752B5F" w:rsidRPr="00B90432">
        <w:rPr>
          <w:rFonts w:asciiTheme="minorHAnsi" w:hAnsiTheme="minorHAnsi"/>
        </w:rPr>
        <w:t>,</w:t>
      </w:r>
      <w:r w:rsidR="00AF23E3" w:rsidRPr="00B90432">
        <w:rPr>
          <w:rFonts w:asciiTheme="minorHAnsi" w:hAnsiTheme="minorHAnsi"/>
        </w:rPr>
        <w:t xml:space="preserve"> is </w:t>
      </w:r>
      <w:r w:rsidR="00752B5F" w:rsidRPr="00B90432">
        <w:rPr>
          <w:rFonts w:asciiTheme="minorHAnsi" w:hAnsiTheme="minorHAnsi"/>
        </w:rPr>
        <w:t xml:space="preserve">particularly </w:t>
      </w:r>
      <w:r w:rsidR="00DB3C74" w:rsidRPr="00B90432">
        <w:rPr>
          <w:rFonts w:asciiTheme="minorHAnsi" w:hAnsiTheme="minorHAnsi"/>
        </w:rPr>
        <w:t xml:space="preserve">instrumental in preventing </w:t>
      </w:r>
      <w:r w:rsidR="00AF23E3" w:rsidRPr="00B90432">
        <w:rPr>
          <w:rFonts w:asciiTheme="minorHAnsi" w:hAnsiTheme="minorHAnsi"/>
        </w:rPr>
        <w:t xml:space="preserve">unwarranted </w:t>
      </w:r>
      <w:r w:rsidR="00C84719" w:rsidRPr="00B90432">
        <w:rPr>
          <w:rFonts w:asciiTheme="minorHAnsi" w:hAnsiTheme="minorHAnsi"/>
        </w:rPr>
        <w:t xml:space="preserve">criminal </w:t>
      </w:r>
      <w:r w:rsidR="00AF23E3" w:rsidRPr="00B90432">
        <w:rPr>
          <w:rFonts w:asciiTheme="minorHAnsi" w:hAnsiTheme="minorHAnsi"/>
        </w:rPr>
        <w:t xml:space="preserve">proceedings </w:t>
      </w:r>
      <w:r w:rsidR="00C84719" w:rsidRPr="00B90432">
        <w:rPr>
          <w:rFonts w:asciiTheme="minorHAnsi" w:hAnsiTheme="minorHAnsi"/>
        </w:rPr>
        <w:t>from hampering the work of human rights defenders.</w:t>
      </w:r>
      <w:r w:rsidR="009E7883" w:rsidRPr="00B90432">
        <w:rPr>
          <w:rFonts w:asciiTheme="minorHAnsi" w:hAnsiTheme="minorHAnsi"/>
          <w:vertAlign w:val="superscript"/>
        </w:rPr>
        <w:footnoteReference w:id="299"/>
      </w:r>
      <w:r w:rsidR="00D87F28" w:rsidRPr="00B90432">
        <w:rPr>
          <w:rFonts w:asciiTheme="minorHAnsi" w:hAnsiTheme="minorHAnsi"/>
        </w:rPr>
        <w:t xml:space="preserve"> According</w:t>
      </w:r>
      <w:r w:rsidR="00014541" w:rsidRPr="00B90432">
        <w:rPr>
          <w:rFonts w:asciiTheme="minorHAnsi" w:hAnsiTheme="minorHAnsi"/>
        </w:rPr>
        <w:t xml:space="preserve">ly, States should take all </w:t>
      </w:r>
      <w:r w:rsidR="00C84719" w:rsidRPr="00B90432">
        <w:rPr>
          <w:rFonts w:asciiTheme="minorHAnsi" w:hAnsiTheme="minorHAnsi"/>
        </w:rPr>
        <w:t>necessary measure</w:t>
      </w:r>
      <w:r w:rsidR="00135D49" w:rsidRPr="00B90432">
        <w:rPr>
          <w:rFonts w:asciiTheme="minorHAnsi" w:hAnsiTheme="minorHAnsi"/>
        </w:rPr>
        <w:t>s</w:t>
      </w:r>
      <w:r w:rsidR="00C84719" w:rsidRPr="00B90432">
        <w:rPr>
          <w:rFonts w:asciiTheme="minorHAnsi" w:hAnsiTheme="minorHAnsi"/>
        </w:rPr>
        <w:t xml:space="preserve"> to prevent</w:t>
      </w:r>
      <w:r w:rsidR="006349FC" w:rsidRPr="00B90432">
        <w:rPr>
          <w:rFonts w:asciiTheme="minorHAnsi" w:hAnsiTheme="minorHAnsi"/>
        </w:rPr>
        <w:t xml:space="preserve"> </w:t>
      </w:r>
      <w:r w:rsidR="00014541" w:rsidRPr="00B90432">
        <w:rPr>
          <w:rFonts w:asciiTheme="minorHAnsi" w:hAnsiTheme="minorHAnsi"/>
        </w:rPr>
        <w:t>State investigations from leading to unjust or unfounded trial proceedings against people who legitimately demand respect for and protection of human rights.</w:t>
      </w:r>
      <w:r w:rsidR="009E7883" w:rsidRPr="00B90432">
        <w:rPr>
          <w:rFonts w:asciiTheme="minorHAnsi" w:hAnsiTheme="minorHAnsi"/>
          <w:vertAlign w:val="superscript"/>
        </w:rPr>
        <w:footnoteReference w:id="300"/>
      </w:r>
    </w:p>
    <w:p w14:paraId="4465E117" w14:textId="339547DE" w:rsidR="0041678D" w:rsidRPr="005725AE" w:rsidRDefault="00CF0E83" w:rsidP="002F1C96">
      <w:pPr>
        <w:pStyle w:val="Heading4"/>
        <w:ind w:left="1080" w:hanging="540"/>
        <w:rPr>
          <w:lang w:val="en-US"/>
        </w:rPr>
      </w:pPr>
      <w:bookmarkStart w:id="46" w:name="_Toc509827648"/>
      <w:r w:rsidRPr="005725AE">
        <w:rPr>
          <w:lang w:val="en-US"/>
        </w:rPr>
        <w:t xml:space="preserve">Measures </w:t>
      </w:r>
      <w:r w:rsidR="002C41EC" w:rsidRPr="005725AE">
        <w:rPr>
          <w:lang w:val="en-US"/>
        </w:rPr>
        <w:t xml:space="preserve">Adopted </w:t>
      </w:r>
      <w:r w:rsidRPr="005725AE">
        <w:rPr>
          <w:lang w:val="en-US"/>
        </w:rPr>
        <w:t>by the State: Protection Mechanism</w:t>
      </w:r>
      <w:bookmarkEnd w:id="46"/>
    </w:p>
    <w:p w14:paraId="1379048E" w14:textId="77777777" w:rsidR="00617BF5" w:rsidRPr="00B90432" w:rsidRDefault="001F500F" w:rsidP="006F4717">
      <w:pPr>
        <w:pStyle w:val="Numberedparagraphs"/>
        <w:rPr>
          <w:rFonts w:asciiTheme="minorHAnsi" w:hAnsiTheme="minorHAnsi"/>
        </w:rPr>
      </w:pPr>
      <w:r w:rsidRPr="00B90432">
        <w:rPr>
          <w:rFonts w:asciiTheme="minorHAnsi" w:hAnsiTheme="minorHAnsi"/>
        </w:rPr>
        <w:t xml:space="preserve">The State of Guatemala does not have in place, as of the date of approval of this report, a Public </w:t>
      </w:r>
      <w:r w:rsidR="0012175C" w:rsidRPr="00B90432">
        <w:rPr>
          <w:rFonts w:asciiTheme="minorHAnsi" w:hAnsiTheme="minorHAnsi"/>
        </w:rPr>
        <w:t xml:space="preserve">Policy for the Protection of </w:t>
      </w:r>
      <w:r w:rsidRPr="00B90432">
        <w:rPr>
          <w:rFonts w:asciiTheme="minorHAnsi" w:hAnsiTheme="minorHAnsi"/>
        </w:rPr>
        <w:t>Human Rights Defender</w:t>
      </w:r>
      <w:r w:rsidR="0012175C" w:rsidRPr="00B90432">
        <w:rPr>
          <w:rFonts w:asciiTheme="minorHAnsi" w:hAnsiTheme="minorHAnsi"/>
        </w:rPr>
        <w:t>s</w:t>
      </w:r>
      <w:r w:rsidR="00533205" w:rsidRPr="00B90432">
        <w:rPr>
          <w:rFonts w:asciiTheme="minorHAnsi" w:hAnsiTheme="minorHAnsi"/>
        </w:rPr>
        <w:t xml:space="preserve">. </w:t>
      </w:r>
      <w:r w:rsidR="00E56EA6" w:rsidRPr="00B90432">
        <w:rPr>
          <w:rFonts w:asciiTheme="minorHAnsi" w:hAnsiTheme="minorHAnsi"/>
        </w:rPr>
        <w:t xml:space="preserve">Consequently, the State must coordinate different government agencies, whose obligation it is to grant protection to human rights defenders, </w:t>
      </w:r>
      <w:r w:rsidR="00353F5A" w:rsidRPr="00B90432">
        <w:rPr>
          <w:rFonts w:asciiTheme="minorHAnsi" w:hAnsiTheme="minorHAnsi"/>
        </w:rPr>
        <w:t>with the participation of different civil society organizations and experts.</w:t>
      </w:r>
      <w:r w:rsidR="004A01B2" w:rsidRPr="00B90432">
        <w:rPr>
          <w:rFonts w:asciiTheme="minorHAnsi" w:hAnsiTheme="minorHAnsi"/>
          <w:vertAlign w:val="superscript"/>
        </w:rPr>
        <w:footnoteReference w:id="301"/>
      </w:r>
      <w:r w:rsidR="00EB672B" w:rsidRPr="00B90432">
        <w:rPr>
          <w:rFonts w:asciiTheme="minorHAnsi" w:hAnsiTheme="minorHAnsi"/>
        </w:rPr>
        <w:t xml:space="preserve"> </w:t>
      </w:r>
      <w:r w:rsidR="004A01B2" w:rsidRPr="00B90432">
        <w:rPr>
          <w:rFonts w:asciiTheme="minorHAnsi" w:hAnsiTheme="minorHAnsi"/>
        </w:rPr>
        <w:t xml:space="preserve"> </w:t>
      </w:r>
      <w:r w:rsidR="00515C19" w:rsidRPr="00B90432">
        <w:rPr>
          <w:rFonts w:asciiTheme="minorHAnsi" w:hAnsiTheme="minorHAnsi"/>
        </w:rPr>
        <w:t xml:space="preserve">According to the information the IACHR received, despite the </w:t>
      </w:r>
      <w:r w:rsidR="00206388" w:rsidRPr="00B90432">
        <w:rPr>
          <w:rFonts w:asciiTheme="minorHAnsi" w:hAnsiTheme="minorHAnsi"/>
        </w:rPr>
        <w:t xml:space="preserve">regulatory </w:t>
      </w:r>
      <w:r w:rsidR="00515C19" w:rsidRPr="00B90432">
        <w:rPr>
          <w:rFonts w:asciiTheme="minorHAnsi" w:hAnsiTheme="minorHAnsi"/>
        </w:rPr>
        <w:t>framework established to create the agencies</w:t>
      </w:r>
      <w:r w:rsidR="00206388" w:rsidRPr="00B90432">
        <w:rPr>
          <w:rFonts w:asciiTheme="minorHAnsi" w:hAnsiTheme="minorHAnsi"/>
        </w:rPr>
        <w:t xml:space="preserve"> in charge of</w:t>
      </w:r>
      <w:r w:rsidR="00515C19" w:rsidRPr="00B90432">
        <w:rPr>
          <w:rFonts w:asciiTheme="minorHAnsi" w:hAnsiTheme="minorHAnsi"/>
        </w:rPr>
        <w:t xml:space="preserve"> human rights defender protection, no systematic </w:t>
      </w:r>
      <w:r w:rsidR="00C64FCA" w:rsidRPr="00B90432">
        <w:rPr>
          <w:rFonts w:asciiTheme="minorHAnsi" w:hAnsiTheme="minorHAnsi"/>
        </w:rPr>
        <w:t>or coordinated approach</w:t>
      </w:r>
      <w:r w:rsidR="007B342D" w:rsidRPr="00B90432">
        <w:rPr>
          <w:rFonts w:asciiTheme="minorHAnsi" w:hAnsiTheme="minorHAnsi"/>
        </w:rPr>
        <w:t xml:space="preserve"> </w:t>
      </w:r>
      <w:r w:rsidR="00206388" w:rsidRPr="00B90432">
        <w:rPr>
          <w:rFonts w:asciiTheme="minorHAnsi" w:hAnsiTheme="minorHAnsi"/>
        </w:rPr>
        <w:t>from</w:t>
      </w:r>
      <w:r w:rsidR="007B342D" w:rsidRPr="00B90432">
        <w:rPr>
          <w:rFonts w:asciiTheme="minorHAnsi" w:hAnsiTheme="minorHAnsi"/>
        </w:rPr>
        <w:t xml:space="preserve"> these authorities is currently in place to address violence </w:t>
      </w:r>
      <w:r w:rsidR="000B46A7" w:rsidRPr="00B90432">
        <w:rPr>
          <w:rFonts w:asciiTheme="minorHAnsi" w:hAnsiTheme="minorHAnsi"/>
        </w:rPr>
        <w:t xml:space="preserve">against these </w:t>
      </w:r>
      <w:r w:rsidR="007B342D" w:rsidRPr="00B90432">
        <w:rPr>
          <w:rFonts w:asciiTheme="minorHAnsi" w:hAnsiTheme="minorHAnsi"/>
        </w:rPr>
        <w:t>defenders.</w:t>
      </w:r>
      <w:r w:rsidR="004A01B2" w:rsidRPr="00B90432">
        <w:rPr>
          <w:rFonts w:asciiTheme="minorHAnsi" w:hAnsiTheme="minorHAnsi"/>
          <w:vertAlign w:val="superscript"/>
        </w:rPr>
        <w:footnoteReference w:id="302"/>
      </w:r>
    </w:p>
    <w:p w14:paraId="24B06852" w14:textId="77777777" w:rsidR="00617BF5" w:rsidRPr="00B90432" w:rsidRDefault="00712162" w:rsidP="006F4717">
      <w:pPr>
        <w:pStyle w:val="Numberedparagraphs"/>
        <w:rPr>
          <w:rFonts w:asciiTheme="minorHAnsi" w:hAnsiTheme="minorHAnsi"/>
        </w:rPr>
      </w:pPr>
      <w:r w:rsidRPr="00B90432">
        <w:rPr>
          <w:rFonts w:asciiTheme="minorHAnsi" w:hAnsiTheme="minorHAnsi"/>
        </w:rPr>
        <w:t xml:space="preserve">The IACHR notes that the State does have a process in place for the intake, analysis and granting of protection measures for human rights defenders within the National </w:t>
      </w:r>
      <w:r w:rsidR="00D523B2" w:rsidRPr="00B90432">
        <w:rPr>
          <w:rFonts w:asciiTheme="minorHAnsi" w:hAnsiTheme="minorHAnsi"/>
        </w:rPr>
        <w:t>Civilian</w:t>
      </w:r>
      <w:r w:rsidRPr="00B90432">
        <w:rPr>
          <w:rFonts w:asciiTheme="minorHAnsi" w:hAnsiTheme="minorHAnsi"/>
        </w:rPr>
        <w:t xml:space="preserve"> Police </w:t>
      </w:r>
      <w:r w:rsidR="00EE73AB" w:rsidRPr="00B90432">
        <w:rPr>
          <w:rFonts w:asciiTheme="minorHAnsi" w:hAnsiTheme="minorHAnsi"/>
        </w:rPr>
        <w:t xml:space="preserve">(PNC) through the Division of Protection of Individuals and Security of the Office of the Assistant Director General for Operations. </w:t>
      </w:r>
      <w:r w:rsidR="00831143" w:rsidRPr="00B90432">
        <w:rPr>
          <w:rFonts w:asciiTheme="minorHAnsi" w:hAnsiTheme="minorHAnsi"/>
        </w:rPr>
        <w:t xml:space="preserve">According to the information provided by the State of Guatemala, through this Division, </w:t>
      </w:r>
      <w:r w:rsidR="00EF7A27" w:rsidRPr="00B90432">
        <w:rPr>
          <w:rFonts w:asciiTheme="minorHAnsi" w:hAnsiTheme="minorHAnsi"/>
        </w:rPr>
        <w:t>the PNC provid</w:t>
      </w:r>
      <w:r w:rsidR="002B5F2A" w:rsidRPr="00B90432">
        <w:rPr>
          <w:rFonts w:asciiTheme="minorHAnsi" w:hAnsiTheme="minorHAnsi"/>
        </w:rPr>
        <w:t xml:space="preserve">es personalized </w:t>
      </w:r>
      <w:r w:rsidR="001B71DA" w:rsidRPr="00B90432">
        <w:rPr>
          <w:rFonts w:asciiTheme="minorHAnsi" w:hAnsiTheme="minorHAnsi"/>
        </w:rPr>
        <w:t xml:space="preserve">or </w:t>
      </w:r>
      <w:r w:rsidR="001B71DA" w:rsidRPr="00B90432">
        <w:rPr>
          <w:rFonts w:asciiTheme="minorHAnsi" w:hAnsiTheme="minorHAnsi"/>
        </w:rPr>
        <w:lastRenderedPageBreak/>
        <w:t>perimeter</w:t>
      </w:r>
      <w:r w:rsidR="00831143" w:rsidRPr="00B90432">
        <w:rPr>
          <w:rFonts w:asciiTheme="minorHAnsi" w:hAnsiTheme="minorHAnsi"/>
        </w:rPr>
        <w:t xml:space="preserve"> security to </w:t>
      </w:r>
      <w:r w:rsidR="00EF7A27" w:rsidRPr="00B90432">
        <w:rPr>
          <w:rFonts w:asciiTheme="minorHAnsi" w:hAnsiTheme="minorHAnsi"/>
        </w:rPr>
        <w:t xml:space="preserve">human rights defenders, whose risk has been ascertained through specific assessment to determine the security </w:t>
      </w:r>
      <w:r w:rsidR="002C5962" w:rsidRPr="00B90432">
        <w:rPr>
          <w:rFonts w:asciiTheme="minorHAnsi" w:hAnsiTheme="minorHAnsi"/>
        </w:rPr>
        <w:t xml:space="preserve">contingent </w:t>
      </w:r>
      <w:r w:rsidR="00A976C3" w:rsidRPr="00B90432">
        <w:rPr>
          <w:rFonts w:asciiTheme="minorHAnsi" w:hAnsiTheme="minorHAnsi"/>
        </w:rPr>
        <w:t>required by the</w:t>
      </w:r>
      <w:r w:rsidR="002C5962" w:rsidRPr="00B90432">
        <w:rPr>
          <w:rFonts w:asciiTheme="minorHAnsi" w:hAnsiTheme="minorHAnsi"/>
        </w:rPr>
        <w:t xml:space="preserve"> situation.</w:t>
      </w:r>
      <w:r w:rsidR="00A976C3" w:rsidRPr="00B90432">
        <w:rPr>
          <w:rFonts w:asciiTheme="minorHAnsi" w:hAnsiTheme="minorHAnsi"/>
        </w:rPr>
        <w:t xml:space="preserve"> </w:t>
      </w:r>
      <w:r w:rsidR="002C5962" w:rsidRPr="00B90432">
        <w:rPr>
          <w:rFonts w:asciiTheme="minorHAnsi" w:hAnsiTheme="minorHAnsi"/>
        </w:rPr>
        <w:t>Based on this information, beginning in 2016 at the Ministry of the Interior, the Protocol for the Implementation of Immediate and Preventive Security Measures</w:t>
      </w:r>
      <w:r w:rsidR="00FF38FD" w:rsidRPr="00B90432">
        <w:rPr>
          <w:rFonts w:asciiTheme="minorHAnsi" w:hAnsiTheme="minorHAnsi"/>
        </w:rPr>
        <w:t xml:space="preserve"> has been in force to provide such measures for</w:t>
      </w:r>
      <w:r w:rsidR="002C5962" w:rsidRPr="00B90432">
        <w:rPr>
          <w:rFonts w:asciiTheme="minorHAnsi" w:hAnsiTheme="minorHAnsi"/>
        </w:rPr>
        <w:t xml:space="preserve"> union workers, union leaders, officials, members, persons related to the defense of labor rights, as well as the physical spaces where t</w:t>
      </w:r>
      <w:r w:rsidR="00FF38FD" w:rsidRPr="00B90432">
        <w:rPr>
          <w:rFonts w:asciiTheme="minorHAnsi" w:hAnsiTheme="minorHAnsi"/>
        </w:rPr>
        <w:t>hey carry out their activities</w:t>
      </w:r>
      <w:r w:rsidR="002C5962" w:rsidRPr="00B90432">
        <w:rPr>
          <w:rFonts w:asciiTheme="minorHAnsi" w:hAnsiTheme="minorHAnsi"/>
        </w:rPr>
        <w:t xml:space="preserve">. </w:t>
      </w:r>
      <w:r w:rsidR="009B29C0" w:rsidRPr="00B90432">
        <w:rPr>
          <w:rFonts w:asciiTheme="minorHAnsi" w:hAnsiTheme="minorHAnsi"/>
        </w:rPr>
        <w:t xml:space="preserve">Additionally, in its report to the IACHR, the State noted that in order to uphold the PNC’s commitment to the protection of </w:t>
      </w:r>
      <w:r w:rsidR="00046383" w:rsidRPr="00B90432">
        <w:rPr>
          <w:rFonts w:asciiTheme="minorHAnsi" w:hAnsiTheme="minorHAnsi"/>
        </w:rPr>
        <w:t xml:space="preserve">human rights defenders, representatives of the institution have been appointed to formulate </w:t>
      </w:r>
      <w:r w:rsidR="00497469" w:rsidRPr="00B90432">
        <w:rPr>
          <w:rFonts w:asciiTheme="minorHAnsi" w:hAnsiTheme="minorHAnsi"/>
        </w:rPr>
        <w:t xml:space="preserve">a </w:t>
      </w:r>
      <w:r w:rsidR="00F82239" w:rsidRPr="00B90432">
        <w:rPr>
          <w:rFonts w:asciiTheme="minorHAnsi" w:hAnsiTheme="minorHAnsi"/>
        </w:rPr>
        <w:t xml:space="preserve">Public </w:t>
      </w:r>
      <w:r w:rsidR="00AA296E" w:rsidRPr="00B90432">
        <w:rPr>
          <w:rFonts w:asciiTheme="minorHAnsi" w:hAnsiTheme="minorHAnsi"/>
        </w:rPr>
        <w:t xml:space="preserve">Policy for the </w:t>
      </w:r>
      <w:r w:rsidR="00F82239" w:rsidRPr="00B90432">
        <w:rPr>
          <w:rFonts w:asciiTheme="minorHAnsi" w:hAnsiTheme="minorHAnsi"/>
        </w:rPr>
        <w:t>Protection for Human Rights Defenders.</w:t>
      </w:r>
      <w:r w:rsidR="00617BF5" w:rsidRPr="00B90432">
        <w:rPr>
          <w:rFonts w:asciiTheme="minorHAnsi" w:hAnsiTheme="minorHAnsi"/>
          <w:vertAlign w:val="superscript"/>
        </w:rPr>
        <w:footnoteReference w:id="303"/>
      </w:r>
    </w:p>
    <w:p w14:paraId="1E9ED620" w14:textId="77777777" w:rsidR="00B45341" w:rsidRPr="00B90432" w:rsidRDefault="009767B6" w:rsidP="006F4717">
      <w:pPr>
        <w:pStyle w:val="Numberedparagraphs"/>
        <w:rPr>
          <w:rFonts w:asciiTheme="minorHAnsi" w:hAnsiTheme="minorHAnsi"/>
        </w:rPr>
      </w:pPr>
      <w:r w:rsidRPr="00B90432">
        <w:rPr>
          <w:rFonts w:asciiTheme="minorHAnsi" w:hAnsiTheme="minorHAnsi"/>
        </w:rPr>
        <w:t>Notwithstanding, according to the claims of civil society organizations and the OUNHCHR, the Division for the Protection of Individuals</w:t>
      </w:r>
      <w:r w:rsidR="00304C58" w:rsidRPr="00B90432">
        <w:rPr>
          <w:rFonts w:asciiTheme="minorHAnsi" w:hAnsiTheme="minorHAnsi"/>
        </w:rPr>
        <w:t xml:space="preserve"> and Security of the PNC is still not adequately documenting or monitoring the cases to assess on</w:t>
      </w:r>
      <w:r w:rsidR="00475D8B" w:rsidRPr="00B90432">
        <w:rPr>
          <w:rFonts w:asciiTheme="minorHAnsi" w:hAnsiTheme="minorHAnsi"/>
        </w:rPr>
        <w:t>g</w:t>
      </w:r>
      <w:r w:rsidR="00304C58" w:rsidRPr="00B90432">
        <w:rPr>
          <w:rFonts w:asciiTheme="minorHAnsi" w:hAnsiTheme="minorHAnsi"/>
        </w:rPr>
        <w:t xml:space="preserve">oing risks and determine the </w:t>
      </w:r>
      <w:r w:rsidR="0041756C" w:rsidRPr="00B90432">
        <w:rPr>
          <w:rFonts w:asciiTheme="minorHAnsi" w:hAnsiTheme="minorHAnsi"/>
        </w:rPr>
        <w:t xml:space="preserve">effectiveness of the security measures. </w:t>
      </w:r>
      <w:r w:rsidR="00112D02" w:rsidRPr="00B90432">
        <w:rPr>
          <w:rFonts w:asciiTheme="minorHAnsi" w:hAnsiTheme="minorHAnsi"/>
        </w:rPr>
        <w:t>Additionally, the risk assessment processes do not always adequately take into account the culture and gender of the human rights defenders, or th</w:t>
      </w:r>
      <w:r w:rsidR="008C4C90" w:rsidRPr="00B90432">
        <w:rPr>
          <w:rFonts w:asciiTheme="minorHAnsi" w:hAnsiTheme="minorHAnsi"/>
        </w:rPr>
        <w:t xml:space="preserve">e social and general political </w:t>
      </w:r>
      <w:r w:rsidR="00112D02" w:rsidRPr="00B90432">
        <w:rPr>
          <w:rFonts w:asciiTheme="minorHAnsi" w:hAnsiTheme="minorHAnsi"/>
        </w:rPr>
        <w:t xml:space="preserve">context in which they perform their work. </w:t>
      </w:r>
    </w:p>
    <w:p w14:paraId="4E895647" w14:textId="77777777" w:rsidR="00617BF5" w:rsidRPr="00B90432" w:rsidRDefault="00621051" w:rsidP="006F4717">
      <w:pPr>
        <w:pStyle w:val="Numberedparagraphs"/>
        <w:rPr>
          <w:rFonts w:asciiTheme="minorHAnsi" w:hAnsiTheme="minorHAnsi"/>
        </w:rPr>
      </w:pPr>
      <w:r w:rsidRPr="00B90432">
        <w:rPr>
          <w:rFonts w:asciiTheme="minorHAnsi" w:hAnsiTheme="minorHAnsi"/>
        </w:rPr>
        <w:t xml:space="preserve">As to protection measures, civil society organizations expressed concern about the risk assessments of human rights defenders conducted by the Division for Individual Protection and Security of the PNC. </w:t>
      </w:r>
      <w:r w:rsidR="00B3499E" w:rsidRPr="00B90432">
        <w:rPr>
          <w:rFonts w:asciiTheme="minorHAnsi" w:hAnsiTheme="minorHAnsi"/>
        </w:rPr>
        <w:t>This unit reportedly lac</w:t>
      </w:r>
      <w:r w:rsidR="001A422A" w:rsidRPr="00B90432">
        <w:rPr>
          <w:rFonts w:asciiTheme="minorHAnsi" w:hAnsiTheme="minorHAnsi"/>
        </w:rPr>
        <w:t xml:space="preserve">ks a manual or unified </w:t>
      </w:r>
      <w:r w:rsidR="00D523B2" w:rsidRPr="00B90432">
        <w:rPr>
          <w:rFonts w:asciiTheme="minorHAnsi" w:hAnsiTheme="minorHAnsi"/>
        </w:rPr>
        <w:t>criteria</w:t>
      </w:r>
      <w:r w:rsidR="00B3499E" w:rsidRPr="00B90432">
        <w:rPr>
          <w:rFonts w:asciiTheme="minorHAnsi" w:hAnsiTheme="minorHAnsi"/>
        </w:rPr>
        <w:t xml:space="preserve"> to aid in establishing what requirements need to be me</w:t>
      </w:r>
      <w:r w:rsidR="001B71DA" w:rsidRPr="00B90432">
        <w:rPr>
          <w:rFonts w:asciiTheme="minorHAnsi" w:hAnsiTheme="minorHAnsi"/>
        </w:rPr>
        <w:t>t in order to provide perimeter</w:t>
      </w:r>
      <w:r w:rsidR="00B3499E" w:rsidRPr="00B90432">
        <w:rPr>
          <w:rFonts w:asciiTheme="minorHAnsi" w:hAnsiTheme="minorHAnsi"/>
        </w:rPr>
        <w:t xml:space="preserve"> or personalized security. </w:t>
      </w:r>
      <w:r w:rsidR="00B865DC" w:rsidRPr="00B90432">
        <w:rPr>
          <w:rFonts w:asciiTheme="minorHAnsi" w:hAnsiTheme="minorHAnsi"/>
        </w:rPr>
        <w:t>They also claimed that this division does not provide a copy of the risk assessment report to de</w:t>
      </w:r>
      <w:r w:rsidR="00EC4F75" w:rsidRPr="00B90432">
        <w:rPr>
          <w:rFonts w:asciiTheme="minorHAnsi" w:hAnsiTheme="minorHAnsi"/>
        </w:rPr>
        <w:t xml:space="preserve">fenders, who thus remain in the dark about the </w:t>
      </w:r>
      <w:r w:rsidR="00B865DC" w:rsidRPr="00B90432">
        <w:rPr>
          <w:rFonts w:asciiTheme="minorHAnsi" w:hAnsiTheme="minorHAnsi"/>
        </w:rPr>
        <w:t>reasoning behind the proposed security arrangement</w:t>
      </w:r>
      <w:r w:rsidR="007759A3" w:rsidRPr="00B90432">
        <w:rPr>
          <w:rFonts w:asciiTheme="minorHAnsi" w:hAnsiTheme="minorHAnsi"/>
        </w:rPr>
        <w:t xml:space="preserve"> or</w:t>
      </w:r>
      <w:r w:rsidR="002A17FF" w:rsidRPr="00B90432">
        <w:rPr>
          <w:rFonts w:asciiTheme="minorHAnsi" w:hAnsiTheme="minorHAnsi"/>
        </w:rPr>
        <w:t xml:space="preserve"> any changes to it or decision to remove it altogether</w:t>
      </w:r>
      <w:r w:rsidR="007759A3" w:rsidRPr="00B90432">
        <w:rPr>
          <w:rFonts w:asciiTheme="minorHAnsi" w:hAnsiTheme="minorHAnsi"/>
        </w:rPr>
        <w:t xml:space="preserve">. </w:t>
      </w:r>
      <w:r w:rsidR="00B03F24" w:rsidRPr="00B90432">
        <w:rPr>
          <w:rFonts w:asciiTheme="minorHAnsi" w:hAnsiTheme="minorHAnsi"/>
        </w:rPr>
        <w:t xml:space="preserve">In order to obtain this information, they must </w:t>
      </w:r>
      <w:r w:rsidR="00475D8B" w:rsidRPr="00B90432">
        <w:rPr>
          <w:rFonts w:asciiTheme="minorHAnsi" w:hAnsiTheme="minorHAnsi"/>
        </w:rPr>
        <w:t xml:space="preserve">physically </w:t>
      </w:r>
      <w:r w:rsidR="00770628" w:rsidRPr="00B90432">
        <w:rPr>
          <w:rFonts w:asciiTheme="minorHAnsi" w:hAnsiTheme="minorHAnsi"/>
        </w:rPr>
        <w:t xml:space="preserve">go to the Public Information Unit of the Ministry of the Interior. </w:t>
      </w:r>
      <w:r w:rsidR="003529C7" w:rsidRPr="00B90432">
        <w:rPr>
          <w:rFonts w:asciiTheme="minorHAnsi" w:hAnsiTheme="minorHAnsi"/>
        </w:rPr>
        <w:t>Based on the risk assessment reports that these organizations were able to obtain, they express concern about weak analytical content</w:t>
      </w:r>
      <w:r w:rsidR="003A7E71" w:rsidRPr="00B90432">
        <w:rPr>
          <w:rFonts w:asciiTheme="minorHAnsi" w:hAnsiTheme="minorHAnsi"/>
        </w:rPr>
        <w:t xml:space="preserve"> and very little fact-based grounds</w:t>
      </w:r>
      <w:r w:rsidR="009265DD" w:rsidRPr="00B90432">
        <w:rPr>
          <w:rFonts w:asciiTheme="minorHAnsi" w:hAnsiTheme="minorHAnsi"/>
        </w:rPr>
        <w:t xml:space="preserve"> for conclu</w:t>
      </w:r>
      <w:r w:rsidR="004809C2" w:rsidRPr="00B90432">
        <w:rPr>
          <w:rFonts w:asciiTheme="minorHAnsi" w:hAnsiTheme="minorHAnsi"/>
        </w:rPr>
        <w:t>sions as well as</w:t>
      </w:r>
      <w:r w:rsidR="001C5A16" w:rsidRPr="00B90432">
        <w:rPr>
          <w:rFonts w:asciiTheme="minorHAnsi" w:hAnsiTheme="minorHAnsi"/>
        </w:rPr>
        <w:t xml:space="preserve"> the failure </w:t>
      </w:r>
      <w:r w:rsidR="00D37EAF" w:rsidRPr="00B90432">
        <w:rPr>
          <w:rFonts w:asciiTheme="minorHAnsi" w:hAnsiTheme="minorHAnsi"/>
        </w:rPr>
        <w:t>to take</w:t>
      </w:r>
      <w:r w:rsidR="009265DD" w:rsidRPr="00B90432">
        <w:rPr>
          <w:rFonts w:asciiTheme="minorHAnsi" w:hAnsiTheme="minorHAnsi"/>
        </w:rPr>
        <w:t xml:space="preserve"> into account the context in which the defenders</w:t>
      </w:r>
      <w:r w:rsidR="001C5A16" w:rsidRPr="00B90432">
        <w:rPr>
          <w:rFonts w:asciiTheme="minorHAnsi" w:hAnsiTheme="minorHAnsi"/>
        </w:rPr>
        <w:t xml:space="preserve"> do their work</w:t>
      </w:r>
      <w:r w:rsidR="00D25935" w:rsidRPr="00B90432">
        <w:rPr>
          <w:rFonts w:asciiTheme="minorHAnsi" w:hAnsiTheme="minorHAnsi"/>
        </w:rPr>
        <w:t>.</w:t>
      </w:r>
      <w:r w:rsidR="00617BF5" w:rsidRPr="00B90432">
        <w:rPr>
          <w:rFonts w:asciiTheme="minorHAnsi" w:hAnsiTheme="minorHAnsi"/>
          <w:vertAlign w:val="superscript"/>
        </w:rPr>
        <w:footnoteReference w:id="304"/>
      </w:r>
    </w:p>
    <w:p w14:paraId="05BFB4AB" w14:textId="77777777" w:rsidR="00617BF5" w:rsidRPr="00B90432" w:rsidRDefault="004809C2" w:rsidP="006F4717">
      <w:pPr>
        <w:pStyle w:val="Numberedparagraphs"/>
        <w:rPr>
          <w:rFonts w:asciiTheme="minorHAnsi" w:hAnsiTheme="minorHAnsi"/>
        </w:rPr>
      </w:pPr>
      <w:r w:rsidRPr="00B90432">
        <w:rPr>
          <w:rFonts w:asciiTheme="minorHAnsi" w:hAnsiTheme="minorHAnsi"/>
        </w:rPr>
        <w:t xml:space="preserve">During its on-site visit, the IACHR held a meeting with the authorities of the Unit for Analysis of Patterns of Attacks </w:t>
      </w:r>
      <w:r w:rsidR="006067F4" w:rsidRPr="00B90432">
        <w:rPr>
          <w:rFonts w:asciiTheme="minorHAnsi" w:hAnsiTheme="minorHAnsi"/>
        </w:rPr>
        <w:t xml:space="preserve">on </w:t>
      </w:r>
      <w:r w:rsidRPr="00B90432">
        <w:rPr>
          <w:rFonts w:asciiTheme="minorHAnsi" w:hAnsiTheme="minorHAnsi"/>
        </w:rPr>
        <w:t xml:space="preserve">Human Rights Defenders of the </w:t>
      </w:r>
      <w:r w:rsidRPr="00B90432">
        <w:rPr>
          <w:rFonts w:asciiTheme="minorHAnsi" w:hAnsiTheme="minorHAnsi"/>
        </w:rPr>
        <w:lastRenderedPageBreak/>
        <w:t xml:space="preserve">Ministry of the Interior. At this meeting, the Commission was briefed about the mandate of said Unit, which entails analyzing, in context, patterns of attacks on human rights defenders, </w:t>
      </w:r>
      <w:r w:rsidR="0032628D" w:rsidRPr="00B90432">
        <w:rPr>
          <w:rFonts w:asciiTheme="minorHAnsi" w:hAnsiTheme="minorHAnsi"/>
        </w:rPr>
        <w:t xml:space="preserve">using </w:t>
      </w:r>
      <w:r w:rsidR="00951947" w:rsidRPr="00B90432">
        <w:rPr>
          <w:rFonts w:asciiTheme="minorHAnsi" w:hAnsiTheme="minorHAnsi"/>
        </w:rPr>
        <w:t xml:space="preserve">a </w:t>
      </w:r>
      <w:r w:rsidR="00D523B2" w:rsidRPr="00B90432">
        <w:rPr>
          <w:rFonts w:asciiTheme="minorHAnsi" w:hAnsiTheme="minorHAnsi"/>
        </w:rPr>
        <w:t>pre-established</w:t>
      </w:r>
      <w:r w:rsidR="00951947" w:rsidRPr="00B90432">
        <w:rPr>
          <w:rFonts w:asciiTheme="minorHAnsi" w:hAnsiTheme="minorHAnsi"/>
        </w:rPr>
        <w:t xml:space="preserve"> method, </w:t>
      </w:r>
      <w:r w:rsidRPr="00B90432">
        <w:rPr>
          <w:rFonts w:asciiTheme="minorHAnsi" w:hAnsiTheme="minorHAnsi"/>
        </w:rPr>
        <w:t>approved by the members of the Unit.</w:t>
      </w:r>
      <w:r w:rsidR="00617BF5" w:rsidRPr="00B90432">
        <w:rPr>
          <w:rStyle w:val="FootnoteReference"/>
          <w:rFonts w:asciiTheme="minorHAnsi" w:hAnsiTheme="minorHAnsi"/>
          <w:sz w:val="22"/>
          <w:szCs w:val="22"/>
        </w:rPr>
        <w:footnoteReference w:id="305"/>
      </w:r>
      <w:r w:rsidR="005F6331" w:rsidRPr="00B90432">
        <w:rPr>
          <w:rFonts w:asciiTheme="minorHAnsi" w:hAnsiTheme="minorHAnsi"/>
        </w:rPr>
        <w:t xml:space="preserve"> </w:t>
      </w:r>
      <w:r w:rsidR="00617BF5" w:rsidRPr="00B90432">
        <w:rPr>
          <w:rFonts w:asciiTheme="minorHAnsi" w:hAnsiTheme="minorHAnsi"/>
        </w:rPr>
        <w:t xml:space="preserve"> </w:t>
      </w:r>
      <w:r w:rsidR="000F2D99" w:rsidRPr="00B90432">
        <w:rPr>
          <w:rFonts w:asciiTheme="minorHAnsi" w:hAnsiTheme="minorHAnsi"/>
        </w:rPr>
        <w:t>According to the authority of the Ministry of the Interior representing the Unit, no pattern of attacks on human rights defenders has been verified.</w:t>
      </w:r>
      <w:r w:rsidR="00617BF5" w:rsidRPr="00B90432">
        <w:rPr>
          <w:rFonts w:asciiTheme="minorHAnsi" w:hAnsiTheme="minorHAnsi"/>
          <w:vertAlign w:val="superscript"/>
        </w:rPr>
        <w:footnoteReference w:id="306"/>
      </w:r>
      <w:r w:rsidR="00617BF5" w:rsidRPr="00B90432">
        <w:rPr>
          <w:rFonts w:asciiTheme="minorHAnsi" w:hAnsiTheme="minorHAnsi"/>
        </w:rPr>
        <w:t xml:space="preserve"> </w:t>
      </w:r>
    </w:p>
    <w:p w14:paraId="2682B38D" w14:textId="77777777" w:rsidR="00617BF5" w:rsidRPr="00B90432" w:rsidRDefault="00AF2B57" w:rsidP="006F4717">
      <w:pPr>
        <w:pStyle w:val="Numberedparagraphs"/>
        <w:rPr>
          <w:rFonts w:asciiTheme="minorHAnsi" w:hAnsiTheme="minorHAnsi"/>
        </w:rPr>
      </w:pPr>
      <w:r w:rsidRPr="00B90432">
        <w:rPr>
          <w:rFonts w:asciiTheme="minorHAnsi" w:hAnsiTheme="minorHAnsi"/>
        </w:rPr>
        <w:t xml:space="preserve">In contrast, civil society organizations have contended that the Unit for the Analysis of Attacks on Human Rights Defenders in Guatemala has not been very effective and reiterated that the Unit has not taken adequate steps to protect </w:t>
      </w:r>
      <w:r w:rsidR="003422F8" w:rsidRPr="00B90432">
        <w:rPr>
          <w:rFonts w:asciiTheme="minorHAnsi" w:hAnsiTheme="minorHAnsi"/>
        </w:rPr>
        <w:t xml:space="preserve">defenders from the improper use of the justice system through unfounded criminal investigations </w:t>
      </w:r>
      <w:r w:rsidR="00604301" w:rsidRPr="00B90432">
        <w:rPr>
          <w:rFonts w:asciiTheme="minorHAnsi" w:hAnsiTheme="minorHAnsi"/>
        </w:rPr>
        <w:t>that are used by the State itself</w:t>
      </w:r>
      <w:r w:rsidR="00CF16EA" w:rsidRPr="00B90432">
        <w:rPr>
          <w:rFonts w:asciiTheme="minorHAnsi" w:hAnsiTheme="minorHAnsi"/>
        </w:rPr>
        <w:t>,</w:t>
      </w:r>
      <w:r w:rsidR="00604301" w:rsidRPr="00B90432">
        <w:rPr>
          <w:rFonts w:asciiTheme="minorHAnsi" w:hAnsiTheme="minorHAnsi"/>
        </w:rPr>
        <w:t xml:space="preserve"> particularly against those</w:t>
      </w:r>
      <w:r w:rsidR="00F67CAE" w:rsidRPr="00B90432">
        <w:rPr>
          <w:rFonts w:asciiTheme="minorHAnsi" w:hAnsiTheme="minorHAnsi"/>
        </w:rPr>
        <w:t xml:space="preserve"> who work to defend land, </w:t>
      </w:r>
      <w:r w:rsidR="00604301" w:rsidRPr="00B90432">
        <w:rPr>
          <w:rFonts w:asciiTheme="minorHAnsi" w:hAnsiTheme="minorHAnsi"/>
        </w:rPr>
        <w:t>territory</w:t>
      </w:r>
      <w:r w:rsidR="00F67CAE" w:rsidRPr="00B90432">
        <w:rPr>
          <w:rFonts w:asciiTheme="minorHAnsi" w:hAnsiTheme="minorHAnsi"/>
        </w:rPr>
        <w:t xml:space="preserve"> and the environment.</w:t>
      </w:r>
      <w:r w:rsidR="00D854C7" w:rsidRPr="00B90432">
        <w:rPr>
          <w:rFonts w:asciiTheme="minorHAnsi" w:hAnsiTheme="minorHAnsi"/>
          <w:vertAlign w:val="superscript"/>
        </w:rPr>
        <w:footnoteReference w:id="307"/>
      </w:r>
      <w:r w:rsidR="00D854C7" w:rsidRPr="00B90432">
        <w:rPr>
          <w:rFonts w:asciiTheme="minorHAnsi" w:hAnsiTheme="minorHAnsi"/>
        </w:rPr>
        <w:t xml:space="preserve">. </w:t>
      </w:r>
      <w:r w:rsidR="000D6CE6" w:rsidRPr="00B90432">
        <w:rPr>
          <w:rFonts w:asciiTheme="minorHAnsi" w:hAnsiTheme="minorHAnsi"/>
        </w:rPr>
        <w:t xml:space="preserve">In fact, the organizations representing civil society in this framework became so </w:t>
      </w:r>
      <w:r w:rsidR="005956AB" w:rsidRPr="00B90432">
        <w:rPr>
          <w:rFonts w:asciiTheme="minorHAnsi" w:hAnsiTheme="minorHAnsi"/>
        </w:rPr>
        <w:t xml:space="preserve">unhappy with the way the Unit functions and its ineffectiveness that it decided to withdraw from it. In </w:t>
      </w:r>
      <w:r w:rsidR="00D854C7" w:rsidRPr="00B90432">
        <w:rPr>
          <w:rFonts w:asciiTheme="minorHAnsi" w:hAnsiTheme="minorHAnsi"/>
        </w:rPr>
        <w:t>2016,</w:t>
      </w:r>
      <w:r w:rsidR="005956AB" w:rsidRPr="00B90432">
        <w:rPr>
          <w:rFonts w:asciiTheme="minorHAnsi" w:hAnsiTheme="minorHAnsi"/>
        </w:rPr>
        <w:t xml:space="preserve"> several years later, the civil society organizations resumed participation at the Unit for the Analysis of Attacks on Human Rights Defenders in Guatemala, because they felt that the new authorities in charge of this body would be more willing to change their approach to the protection of defenders.</w:t>
      </w:r>
      <w:r w:rsidR="00D854C7" w:rsidRPr="00B90432">
        <w:rPr>
          <w:rFonts w:asciiTheme="minorHAnsi" w:hAnsiTheme="minorHAnsi"/>
          <w:vertAlign w:val="superscript"/>
        </w:rPr>
        <w:footnoteReference w:id="308"/>
      </w:r>
      <w:r w:rsidR="00D854C7" w:rsidRPr="00B90432">
        <w:rPr>
          <w:rFonts w:asciiTheme="minorHAnsi" w:hAnsiTheme="minorHAnsi"/>
        </w:rPr>
        <w:t xml:space="preserve"> </w:t>
      </w:r>
    </w:p>
    <w:p w14:paraId="7F2F013C" w14:textId="77777777" w:rsidR="00617BF5" w:rsidRPr="00B90432" w:rsidRDefault="00A57D99" w:rsidP="006F4717">
      <w:pPr>
        <w:pStyle w:val="Numberedparagraphs"/>
        <w:rPr>
          <w:rFonts w:asciiTheme="minorHAnsi" w:hAnsiTheme="minorHAnsi"/>
        </w:rPr>
      </w:pPr>
      <w:r w:rsidRPr="00B90432">
        <w:rPr>
          <w:rFonts w:asciiTheme="minorHAnsi" w:hAnsiTheme="minorHAnsi"/>
        </w:rPr>
        <w:t xml:space="preserve">Furthermore, the OUNHCHR voiced its concern </w:t>
      </w:r>
      <w:r w:rsidR="004E735A" w:rsidRPr="00B90432">
        <w:rPr>
          <w:rFonts w:asciiTheme="minorHAnsi" w:hAnsiTheme="minorHAnsi"/>
        </w:rPr>
        <w:t xml:space="preserve">that </w:t>
      </w:r>
      <w:r w:rsidRPr="00B90432">
        <w:rPr>
          <w:rFonts w:asciiTheme="minorHAnsi" w:hAnsiTheme="minorHAnsi"/>
        </w:rPr>
        <w:t xml:space="preserve">the Ministerial Decision </w:t>
      </w:r>
      <w:r w:rsidR="00F638CB" w:rsidRPr="00B90432">
        <w:rPr>
          <w:rFonts w:asciiTheme="minorHAnsi" w:hAnsiTheme="minorHAnsi"/>
        </w:rPr>
        <w:t xml:space="preserve">issuing </w:t>
      </w:r>
      <w:r w:rsidRPr="00B90432">
        <w:rPr>
          <w:rFonts w:asciiTheme="minorHAnsi" w:hAnsiTheme="minorHAnsi"/>
        </w:rPr>
        <w:t xml:space="preserve">the mandate of the Unit has not been renewed since it </w:t>
      </w:r>
      <w:r w:rsidR="0064277C" w:rsidRPr="00B90432">
        <w:rPr>
          <w:rFonts w:asciiTheme="minorHAnsi" w:hAnsiTheme="minorHAnsi"/>
        </w:rPr>
        <w:t xml:space="preserve">lapsed </w:t>
      </w:r>
      <w:r w:rsidRPr="00B90432">
        <w:rPr>
          <w:rFonts w:asciiTheme="minorHAnsi" w:hAnsiTheme="minorHAnsi"/>
        </w:rPr>
        <w:t>in January 2017.</w:t>
      </w:r>
      <w:r w:rsidR="00617BF5" w:rsidRPr="00B90432">
        <w:rPr>
          <w:rFonts w:asciiTheme="minorHAnsi" w:hAnsiTheme="minorHAnsi"/>
          <w:vertAlign w:val="superscript"/>
        </w:rPr>
        <w:footnoteReference w:id="309"/>
      </w:r>
      <w:r w:rsidRPr="00B90432">
        <w:rPr>
          <w:rFonts w:asciiTheme="minorHAnsi" w:hAnsiTheme="minorHAnsi"/>
        </w:rPr>
        <w:t xml:space="preserve"> </w:t>
      </w:r>
      <w:r w:rsidR="00617BF5" w:rsidRPr="00B90432">
        <w:rPr>
          <w:rFonts w:asciiTheme="minorHAnsi" w:hAnsiTheme="minorHAnsi"/>
        </w:rPr>
        <w:t xml:space="preserve"> </w:t>
      </w:r>
      <w:r w:rsidRPr="00B90432">
        <w:rPr>
          <w:rFonts w:asciiTheme="minorHAnsi" w:hAnsiTheme="minorHAnsi"/>
        </w:rPr>
        <w:t xml:space="preserve">This concern </w:t>
      </w:r>
      <w:r w:rsidR="00D62BE0" w:rsidRPr="00B90432">
        <w:rPr>
          <w:rFonts w:asciiTheme="minorHAnsi" w:hAnsiTheme="minorHAnsi"/>
        </w:rPr>
        <w:t xml:space="preserve">was also </w:t>
      </w:r>
      <w:r w:rsidR="00D53A29" w:rsidRPr="00B90432">
        <w:rPr>
          <w:rFonts w:asciiTheme="minorHAnsi" w:hAnsiTheme="minorHAnsi"/>
        </w:rPr>
        <w:t xml:space="preserve">echoed </w:t>
      </w:r>
      <w:r w:rsidR="004E0812" w:rsidRPr="00B90432">
        <w:rPr>
          <w:rFonts w:asciiTheme="minorHAnsi" w:hAnsiTheme="minorHAnsi"/>
        </w:rPr>
        <w:t xml:space="preserve">by civil society organizations, which </w:t>
      </w:r>
      <w:r w:rsidR="00FD0DC7" w:rsidRPr="00B90432">
        <w:rPr>
          <w:rFonts w:asciiTheme="minorHAnsi" w:hAnsiTheme="minorHAnsi"/>
        </w:rPr>
        <w:t>noted</w:t>
      </w:r>
      <w:r w:rsidR="00DB7674" w:rsidRPr="00B90432">
        <w:rPr>
          <w:rFonts w:asciiTheme="minorHAnsi" w:hAnsiTheme="minorHAnsi"/>
        </w:rPr>
        <w:t xml:space="preserve"> in addition</w:t>
      </w:r>
      <w:r w:rsidR="00FD0DC7" w:rsidRPr="00B90432">
        <w:rPr>
          <w:rFonts w:asciiTheme="minorHAnsi" w:hAnsiTheme="minorHAnsi"/>
        </w:rPr>
        <w:t xml:space="preserve"> </w:t>
      </w:r>
      <w:r w:rsidR="004E0812" w:rsidRPr="00B90432">
        <w:rPr>
          <w:rFonts w:asciiTheme="minorHAnsi" w:hAnsiTheme="minorHAnsi"/>
        </w:rPr>
        <w:t xml:space="preserve">that the Unit for Analysis </w:t>
      </w:r>
      <w:r w:rsidR="00DB7674" w:rsidRPr="00B90432">
        <w:rPr>
          <w:rFonts w:asciiTheme="minorHAnsi" w:hAnsiTheme="minorHAnsi"/>
        </w:rPr>
        <w:t>does not</w:t>
      </w:r>
      <w:r w:rsidR="004C4C40" w:rsidRPr="00B90432">
        <w:rPr>
          <w:rFonts w:asciiTheme="minorHAnsi" w:hAnsiTheme="minorHAnsi"/>
        </w:rPr>
        <w:t xml:space="preserve"> have its own financial resources or </w:t>
      </w:r>
      <w:r w:rsidR="004E0812" w:rsidRPr="00B90432">
        <w:rPr>
          <w:rFonts w:asciiTheme="minorHAnsi" w:hAnsiTheme="minorHAnsi"/>
        </w:rPr>
        <w:t xml:space="preserve">staff, but </w:t>
      </w:r>
      <w:r w:rsidR="004C4C40" w:rsidRPr="00B90432">
        <w:rPr>
          <w:rFonts w:asciiTheme="minorHAnsi" w:hAnsiTheme="minorHAnsi"/>
        </w:rPr>
        <w:t xml:space="preserve">must use whatever financial </w:t>
      </w:r>
      <w:r w:rsidR="004C4C40" w:rsidRPr="00B90432">
        <w:rPr>
          <w:rFonts w:asciiTheme="minorHAnsi" w:hAnsiTheme="minorHAnsi"/>
        </w:rPr>
        <w:lastRenderedPageBreak/>
        <w:t>and human resources</w:t>
      </w:r>
      <w:r w:rsidR="004E0812" w:rsidRPr="00B90432">
        <w:rPr>
          <w:rFonts w:asciiTheme="minorHAnsi" w:hAnsiTheme="minorHAnsi"/>
        </w:rPr>
        <w:t xml:space="preserve"> that </w:t>
      </w:r>
      <w:r w:rsidR="00910548" w:rsidRPr="00B90432">
        <w:rPr>
          <w:rFonts w:asciiTheme="minorHAnsi" w:hAnsiTheme="minorHAnsi"/>
        </w:rPr>
        <w:t xml:space="preserve">are contributed by </w:t>
      </w:r>
      <w:r w:rsidR="004E0812" w:rsidRPr="00B90432">
        <w:rPr>
          <w:rFonts w:asciiTheme="minorHAnsi" w:hAnsiTheme="minorHAnsi"/>
        </w:rPr>
        <w:t>the public institutions</w:t>
      </w:r>
      <w:r w:rsidR="00B03832" w:rsidRPr="00B90432">
        <w:rPr>
          <w:rFonts w:asciiTheme="minorHAnsi" w:hAnsiTheme="minorHAnsi"/>
        </w:rPr>
        <w:t xml:space="preserve"> making it up</w:t>
      </w:r>
      <w:r w:rsidR="004E0812" w:rsidRPr="00B90432">
        <w:rPr>
          <w:rFonts w:asciiTheme="minorHAnsi" w:hAnsiTheme="minorHAnsi"/>
        </w:rPr>
        <w:t>.</w:t>
      </w:r>
      <w:r w:rsidR="00617BF5" w:rsidRPr="00B90432">
        <w:rPr>
          <w:rFonts w:asciiTheme="minorHAnsi" w:hAnsiTheme="minorHAnsi"/>
          <w:vertAlign w:val="superscript"/>
        </w:rPr>
        <w:footnoteReference w:id="310"/>
      </w:r>
      <w:r w:rsidR="00617BF5" w:rsidRPr="00B90432">
        <w:rPr>
          <w:rFonts w:asciiTheme="minorHAnsi" w:hAnsiTheme="minorHAnsi"/>
        </w:rPr>
        <w:t xml:space="preserve"> </w:t>
      </w:r>
    </w:p>
    <w:p w14:paraId="494F52E8" w14:textId="77777777" w:rsidR="00617BF5" w:rsidRPr="00B90432" w:rsidRDefault="00910548" w:rsidP="006F4717">
      <w:pPr>
        <w:pStyle w:val="Numberedparagraphs"/>
        <w:rPr>
          <w:rFonts w:asciiTheme="minorHAnsi" w:hAnsiTheme="minorHAnsi"/>
        </w:rPr>
      </w:pPr>
      <w:r w:rsidRPr="00B90432">
        <w:rPr>
          <w:rFonts w:asciiTheme="minorHAnsi" w:hAnsiTheme="minorHAnsi"/>
        </w:rPr>
        <w:t>The Commission notes that even though the State has taken some initiatives</w:t>
      </w:r>
      <w:r w:rsidR="008F3C43" w:rsidRPr="00B90432">
        <w:rPr>
          <w:rFonts w:asciiTheme="minorHAnsi" w:hAnsiTheme="minorHAnsi"/>
        </w:rPr>
        <w:t>,</w:t>
      </w:r>
      <w:r w:rsidRPr="00B90432">
        <w:rPr>
          <w:rFonts w:asciiTheme="minorHAnsi" w:hAnsiTheme="minorHAnsi"/>
        </w:rPr>
        <w:t xml:space="preserve"> such as</w:t>
      </w:r>
      <w:r w:rsidR="008F3C43" w:rsidRPr="00B90432">
        <w:rPr>
          <w:rFonts w:asciiTheme="minorHAnsi" w:hAnsiTheme="minorHAnsi"/>
        </w:rPr>
        <w:t xml:space="preserve"> creating</w:t>
      </w:r>
      <w:r w:rsidRPr="00B90432">
        <w:rPr>
          <w:rFonts w:asciiTheme="minorHAnsi" w:hAnsiTheme="minorHAnsi"/>
        </w:rPr>
        <w:t xml:space="preserve"> the Unit for Analysis of Attacks on Defenders and the Unit for Crimes against Human Rights Activists, these entities have not been properly strengthened or endowed with sufficient resources. </w:t>
      </w:r>
      <w:r w:rsidR="004656BA" w:rsidRPr="00B90432">
        <w:rPr>
          <w:rFonts w:asciiTheme="minorHAnsi" w:hAnsiTheme="minorHAnsi"/>
        </w:rPr>
        <w:t xml:space="preserve">The Unit for Analysis continues to operate </w:t>
      </w:r>
      <w:r w:rsidR="008F3C43" w:rsidRPr="00B90432">
        <w:rPr>
          <w:rFonts w:asciiTheme="minorHAnsi" w:hAnsiTheme="minorHAnsi"/>
        </w:rPr>
        <w:t>on an un</w:t>
      </w:r>
      <w:r w:rsidR="004656BA" w:rsidRPr="00B90432">
        <w:rPr>
          <w:rFonts w:asciiTheme="minorHAnsi" w:hAnsiTheme="minorHAnsi"/>
        </w:rPr>
        <w:t xml:space="preserve">sure legal footing and the Unit for Crimes against Activists does not have the capacity to get to the bottom of </w:t>
      </w:r>
      <w:r w:rsidR="00C979E4" w:rsidRPr="00B90432">
        <w:rPr>
          <w:rFonts w:asciiTheme="minorHAnsi" w:hAnsiTheme="minorHAnsi"/>
        </w:rPr>
        <w:t xml:space="preserve">crimes </w:t>
      </w:r>
      <w:r w:rsidR="004656BA" w:rsidRPr="00B90432">
        <w:rPr>
          <w:rFonts w:asciiTheme="minorHAnsi" w:hAnsiTheme="minorHAnsi"/>
        </w:rPr>
        <w:t xml:space="preserve">and effectively </w:t>
      </w:r>
      <w:r w:rsidR="00C979E4" w:rsidRPr="00B90432">
        <w:rPr>
          <w:rFonts w:asciiTheme="minorHAnsi" w:hAnsiTheme="minorHAnsi"/>
        </w:rPr>
        <w:t xml:space="preserve">punish those responsible. </w:t>
      </w:r>
      <w:r w:rsidR="00BE0009" w:rsidRPr="00B90432">
        <w:rPr>
          <w:rFonts w:asciiTheme="minorHAnsi" w:hAnsiTheme="minorHAnsi"/>
        </w:rPr>
        <w:t xml:space="preserve">The Commission further ascertained that the State still does not have adequate regulations and practices in place to ensure that defenders are not the targets of unwarranted criminal proceedings. </w:t>
      </w:r>
      <w:r w:rsidR="002A5E75" w:rsidRPr="00B90432">
        <w:rPr>
          <w:rFonts w:asciiTheme="minorHAnsi" w:hAnsiTheme="minorHAnsi"/>
        </w:rPr>
        <w:t>The IACHR recalls the obligation of the State to investigate and punish violations of the rights of defenders in order to combat existing impunity and prevent the repetition thereof.</w:t>
      </w:r>
      <w:r w:rsidR="00617BF5" w:rsidRPr="00B90432">
        <w:rPr>
          <w:rFonts w:asciiTheme="minorHAnsi" w:hAnsiTheme="minorHAnsi"/>
          <w:vertAlign w:val="superscript"/>
        </w:rPr>
        <w:footnoteReference w:id="311"/>
      </w:r>
    </w:p>
    <w:p w14:paraId="032C6EB8" w14:textId="77777777" w:rsidR="00617BF5" w:rsidRPr="00B90432" w:rsidRDefault="002927EF" w:rsidP="006F4717">
      <w:pPr>
        <w:pStyle w:val="Numberedparagraphs"/>
        <w:rPr>
          <w:rFonts w:asciiTheme="minorHAnsi" w:hAnsiTheme="minorHAnsi"/>
        </w:rPr>
      </w:pPr>
      <w:r w:rsidRPr="00B90432">
        <w:rPr>
          <w:rFonts w:asciiTheme="minorHAnsi" w:hAnsiTheme="minorHAnsi"/>
        </w:rPr>
        <w:t xml:space="preserve">The IACHR notes the importance of </w:t>
      </w:r>
      <w:r w:rsidR="00850E67" w:rsidRPr="00B90432">
        <w:rPr>
          <w:rFonts w:asciiTheme="minorHAnsi" w:hAnsiTheme="minorHAnsi"/>
        </w:rPr>
        <w:t xml:space="preserve">creating </w:t>
      </w:r>
      <w:r w:rsidRPr="00B90432">
        <w:rPr>
          <w:rFonts w:asciiTheme="minorHAnsi" w:hAnsiTheme="minorHAnsi"/>
        </w:rPr>
        <w:t>a program or public policy for the comprehensive protection of human rights defenders</w:t>
      </w:r>
      <w:r w:rsidR="00617BF5" w:rsidRPr="00B90432">
        <w:rPr>
          <w:rFonts w:asciiTheme="minorHAnsi" w:hAnsiTheme="minorHAnsi"/>
        </w:rPr>
        <w:t>,</w:t>
      </w:r>
      <w:r w:rsidRPr="00B90432">
        <w:rPr>
          <w:rFonts w:asciiTheme="minorHAnsi" w:hAnsiTheme="minorHAnsi"/>
        </w:rPr>
        <w:t xml:space="preserve"> in keeping with the provisions of the judgment of the Inter-American Court in the case of </w:t>
      </w:r>
      <w:r w:rsidRPr="00B90432">
        <w:rPr>
          <w:rFonts w:asciiTheme="minorHAnsi" w:hAnsiTheme="minorHAnsi"/>
          <w:i/>
        </w:rPr>
        <w:t xml:space="preserve">Human </w:t>
      </w:r>
      <w:r w:rsidR="00D523B2" w:rsidRPr="00B90432">
        <w:rPr>
          <w:rFonts w:asciiTheme="minorHAnsi" w:hAnsiTheme="minorHAnsi"/>
          <w:i/>
        </w:rPr>
        <w:t>Rights</w:t>
      </w:r>
      <w:r w:rsidRPr="00B90432">
        <w:rPr>
          <w:rFonts w:asciiTheme="minorHAnsi" w:hAnsiTheme="minorHAnsi"/>
          <w:i/>
        </w:rPr>
        <w:t xml:space="preserve"> Defender et al v.</w:t>
      </w:r>
      <w:r w:rsidR="00617BF5" w:rsidRPr="00B90432">
        <w:rPr>
          <w:rFonts w:asciiTheme="minorHAnsi" w:hAnsiTheme="minorHAnsi"/>
        </w:rPr>
        <w:t xml:space="preserve"> </w:t>
      </w:r>
      <w:r w:rsidR="00617BF5" w:rsidRPr="00B90432">
        <w:rPr>
          <w:rFonts w:asciiTheme="minorHAnsi" w:hAnsiTheme="minorHAnsi"/>
          <w:i/>
          <w:iCs/>
        </w:rPr>
        <w:t>Guatemala</w:t>
      </w:r>
      <w:r w:rsidRPr="00B90432">
        <w:rPr>
          <w:rFonts w:asciiTheme="minorHAnsi" w:hAnsiTheme="minorHAnsi"/>
          <w:i/>
          <w:iCs/>
        </w:rPr>
        <w:t>.</w:t>
      </w:r>
      <w:r w:rsidR="00617BF5" w:rsidRPr="00B90432">
        <w:rPr>
          <w:rFonts w:asciiTheme="minorHAnsi" w:hAnsiTheme="minorHAnsi"/>
          <w:vertAlign w:val="superscript"/>
        </w:rPr>
        <w:footnoteReference w:id="312"/>
      </w:r>
      <w:r w:rsidR="00617BF5" w:rsidRPr="00B90432">
        <w:rPr>
          <w:rFonts w:asciiTheme="minorHAnsi" w:hAnsiTheme="minorHAnsi"/>
        </w:rPr>
        <w:t xml:space="preserve"> </w:t>
      </w:r>
      <w:r w:rsidR="00563C41" w:rsidRPr="00B90432">
        <w:rPr>
          <w:rFonts w:asciiTheme="minorHAnsi" w:hAnsiTheme="minorHAnsi"/>
        </w:rPr>
        <w:t xml:space="preserve">This concern has also been echoed by the European Parliament, which in a resolution expressed worry that the ongoing acts of violence and lack of security may have a negative effect on the full and free exercise of </w:t>
      </w:r>
      <w:r w:rsidR="0006612C" w:rsidRPr="00B90432">
        <w:rPr>
          <w:rFonts w:asciiTheme="minorHAnsi" w:hAnsiTheme="minorHAnsi"/>
        </w:rPr>
        <w:t xml:space="preserve">the </w:t>
      </w:r>
      <w:r w:rsidR="00563C41" w:rsidRPr="00B90432">
        <w:rPr>
          <w:rFonts w:asciiTheme="minorHAnsi" w:hAnsiTheme="minorHAnsi"/>
        </w:rPr>
        <w:t>activities</w:t>
      </w:r>
      <w:r w:rsidR="0006612C" w:rsidRPr="00B90432">
        <w:rPr>
          <w:rFonts w:asciiTheme="minorHAnsi" w:hAnsiTheme="minorHAnsi"/>
        </w:rPr>
        <w:t xml:space="preserve"> of human rights defenders</w:t>
      </w:r>
      <w:r w:rsidR="00563C41" w:rsidRPr="00B90432">
        <w:rPr>
          <w:rFonts w:asciiTheme="minorHAnsi" w:hAnsiTheme="minorHAnsi"/>
        </w:rPr>
        <w:t xml:space="preserve">. </w:t>
      </w:r>
      <w:r w:rsidR="00B65B65" w:rsidRPr="00B90432">
        <w:rPr>
          <w:rFonts w:asciiTheme="minorHAnsi" w:hAnsiTheme="minorHAnsi"/>
        </w:rPr>
        <w:t xml:space="preserve">Additionally, </w:t>
      </w:r>
      <w:r w:rsidR="00FE5788" w:rsidRPr="00B90432">
        <w:rPr>
          <w:rFonts w:asciiTheme="minorHAnsi" w:hAnsiTheme="minorHAnsi"/>
        </w:rPr>
        <w:t xml:space="preserve">it </w:t>
      </w:r>
      <w:r w:rsidR="00B65B65" w:rsidRPr="00B90432">
        <w:rPr>
          <w:rFonts w:asciiTheme="minorHAnsi" w:hAnsiTheme="minorHAnsi"/>
        </w:rPr>
        <w:t>recalled the need to develop a public policy for the protection of human rights defenders through a process of broad participation addressing the structural causes for the increased vulnerability of human rights defenders and</w:t>
      </w:r>
      <w:r w:rsidR="00004BC3" w:rsidRPr="00B90432">
        <w:rPr>
          <w:rFonts w:asciiTheme="minorHAnsi" w:hAnsiTheme="minorHAnsi"/>
        </w:rPr>
        <w:t xml:space="preserve"> asking the business community to support these efforts.</w:t>
      </w:r>
      <w:r w:rsidR="00617BF5" w:rsidRPr="00B90432">
        <w:rPr>
          <w:rFonts w:asciiTheme="minorHAnsi" w:hAnsiTheme="minorHAnsi"/>
          <w:vertAlign w:val="superscript"/>
        </w:rPr>
        <w:footnoteReference w:id="313"/>
      </w:r>
    </w:p>
    <w:p w14:paraId="5AA0338D" w14:textId="77777777" w:rsidR="00617BF5" w:rsidRPr="00B90432" w:rsidRDefault="00FD5A78" w:rsidP="006F4717">
      <w:pPr>
        <w:pStyle w:val="Numberedparagraphs"/>
        <w:rPr>
          <w:rFonts w:asciiTheme="minorHAnsi" w:hAnsiTheme="minorHAnsi"/>
        </w:rPr>
      </w:pPr>
      <w:r w:rsidRPr="00B90432">
        <w:rPr>
          <w:rFonts w:asciiTheme="minorHAnsi" w:hAnsiTheme="minorHAnsi"/>
        </w:rPr>
        <w:t>The Commission notes that in September 2016,</w:t>
      </w:r>
      <w:r w:rsidR="00617BF5" w:rsidRPr="00B90432">
        <w:rPr>
          <w:rFonts w:asciiTheme="minorHAnsi" w:hAnsiTheme="minorHAnsi"/>
        </w:rPr>
        <w:t xml:space="preserve"> COPREDEH </w:t>
      </w:r>
      <w:r w:rsidRPr="00B90432">
        <w:rPr>
          <w:rFonts w:asciiTheme="minorHAnsi" w:hAnsiTheme="minorHAnsi"/>
        </w:rPr>
        <w:t>began to develop a public policy on human rights defenders, which will be the subject to public consultation with civil society</w:t>
      </w:r>
      <w:r w:rsidR="00DB7674" w:rsidRPr="00B90432">
        <w:rPr>
          <w:rFonts w:asciiTheme="minorHAnsi" w:hAnsiTheme="minorHAnsi"/>
        </w:rPr>
        <w:t>.</w:t>
      </w:r>
      <w:r w:rsidRPr="00B90432">
        <w:rPr>
          <w:rFonts w:asciiTheme="minorHAnsi" w:hAnsiTheme="minorHAnsi"/>
        </w:rPr>
        <w:t xml:space="preserve"> </w:t>
      </w:r>
      <w:r w:rsidR="00DB7674" w:rsidRPr="00B90432">
        <w:rPr>
          <w:rFonts w:asciiTheme="minorHAnsi" w:hAnsiTheme="minorHAnsi"/>
        </w:rPr>
        <w:t>I</w:t>
      </w:r>
      <w:r w:rsidRPr="00B90432">
        <w:rPr>
          <w:rFonts w:asciiTheme="minorHAnsi" w:hAnsiTheme="minorHAnsi"/>
        </w:rPr>
        <w:t xml:space="preserve">f it is actually carried out, </w:t>
      </w:r>
      <w:r w:rsidR="00DB7674" w:rsidRPr="00B90432">
        <w:rPr>
          <w:rFonts w:asciiTheme="minorHAnsi" w:hAnsiTheme="minorHAnsi"/>
        </w:rPr>
        <w:t xml:space="preserve">it </w:t>
      </w:r>
      <w:r w:rsidRPr="00B90432">
        <w:rPr>
          <w:rFonts w:asciiTheme="minorHAnsi" w:hAnsiTheme="minorHAnsi"/>
        </w:rPr>
        <w:t xml:space="preserve">would represent a step toward implementation of the judgment in the </w:t>
      </w:r>
      <w:r w:rsidRPr="00B90432">
        <w:rPr>
          <w:rFonts w:asciiTheme="minorHAnsi" w:hAnsiTheme="minorHAnsi"/>
        </w:rPr>
        <w:lastRenderedPageBreak/>
        <w:t xml:space="preserve">case of </w:t>
      </w:r>
      <w:r w:rsidRPr="00B90432">
        <w:rPr>
          <w:rFonts w:asciiTheme="minorHAnsi" w:hAnsiTheme="minorHAnsi"/>
          <w:i/>
        </w:rPr>
        <w:t>Human Rights Defender et al v.</w:t>
      </w:r>
      <w:r w:rsidR="00617BF5" w:rsidRPr="00B90432">
        <w:rPr>
          <w:rFonts w:asciiTheme="minorHAnsi" w:hAnsiTheme="minorHAnsi"/>
        </w:rPr>
        <w:t xml:space="preserve"> </w:t>
      </w:r>
      <w:r w:rsidR="00617BF5" w:rsidRPr="00B90432">
        <w:rPr>
          <w:rFonts w:asciiTheme="minorHAnsi" w:hAnsiTheme="minorHAnsi"/>
          <w:i/>
          <w:iCs/>
        </w:rPr>
        <w:t>Guatemala</w:t>
      </w:r>
      <w:r w:rsidR="00617BF5" w:rsidRPr="00B90432">
        <w:rPr>
          <w:rFonts w:asciiTheme="minorHAnsi" w:hAnsiTheme="minorHAnsi"/>
        </w:rPr>
        <w:t xml:space="preserve">. </w:t>
      </w:r>
      <w:r w:rsidR="00B3418E" w:rsidRPr="00B90432">
        <w:rPr>
          <w:rFonts w:asciiTheme="minorHAnsi" w:hAnsiTheme="minorHAnsi"/>
        </w:rPr>
        <w:t>The</w:t>
      </w:r>
      <w:r w:rsidR="00C10E3D" w:rsidRPr="00B90432">
        <w:rPr>
          <w:rFonts w:asciiTheme="minorHAnsi" w:hAnsiTheme="minorHAnsi"/>
        </w:rPr>
        <w:t xml:space="preserve"> IACHR</w:t>
      </w:r>
      <w:r w:rsidR="00B3418E" w:rsidRPr="00B90432">
        <w:rPr>
          <w:rFonts w:asciiTheme="minorHAnsi" w:hAnsiTheme="minorHAnsi"/>
        </w:rPr>
        <w:t xml:space="preserve"> also learned that the Public Prosecutor’s Office is developing an internal policy for the investigation of crimes against human rights defenders, which could help to ensure that these cases are examined with a differential approach.</w:t>
      </w:r>
      <w:r w:rsidR="00617BF5" w:rsidRPr="00B90432">
        <w:rPr>
          <w:rFonts w:asciiTheme="minorHAnsi" w:hAnsiTheme="minorHAnsi"/>
          <w:vertAlign w:val="superscript"/>
        </w:rPr>
        <w:footnoteReference w:id="314"/>
      </w:r>
      <w:r w:rsidR="00617BF5" w:rsidRPr="00B90432">
        <w:rPr>
          <w:rFonts w:asciiTheme="minorHAnsi" w:hAnsiTheme="minorHAnsi"/>
        </w:rPr>
        <w:t xml:space="preserve"> </w:t>
      </w:r>
    </w:p>
    <w:p w14:paraId="4EE69698" w14:textId="77777777" w:rsidR="00617BF5" w:rsidRPr="00B90432" w:rsidRDefault="00E6766A" w:rsidP="006F4717">
      <w:pPr>
        <w:pStyle w:val="Numberedparagraphs"/>
        <w:rPr>
          <w:rFonts w:asciiTheme="minorHAnsi" w:hAnsiTheme="minorHAnsi"/>
        </w:rPr>
      </w:pPr>
      <w:r w:rsidRPr="00B90432">
        <w:rPr>
          <w:rFonts w:asciiTheme="minorHAnsi" w:hAnsiTheme="minorHAnsi"/>
        </w:rPr>
        <w:t xml:space="preserve">The Commission recognizes the efforts of the State to institute in early 2018 a process to create the “Public Policy for the Protection of Human Rights Defenders,” which has been supported by different State agencies and civil society organizations. </w:t>
      </w:r>
      <w:r w:rsidR="00D066FB" w:rsidRPr="00B90432">
        <w:rPr>
          <w:rFonts w:asciiTheme="minorHAnsi" w:hAnsiTheme="minorHAnsi"/>
        </w:rPr>
        <w:t xml:space="preserve">As </w:t>
      </w:r>
      <w:r w:rsidR="00D523B2" w:rsidRPr="00B90432">
        <w:rPr>
          <w:rFonts w:asciiTheme="minorHAnsi" w:hAnsiTheme="minorHAnsi"/>
        </w:rPr>
        <w:t>directed</w:t>
      </w:r>
      <w:r w:rsidR="00D066FB" w:rsidRPr="00B90432">
        <w:rPr>
          <w:rFonts w:asciiTheme="minorHAnsi" w:hAnsiTheme="minorHAnsi"/>
        </w:rPr>
        <w:t xml:space="preserve"> by the Inter-American Court of Human Rights, this policy must include implementation of a program of comprehensive protection for human rights defenders providing for special measures of adequate and effective protection, which are suitable to </w:t>
      </w:r>
      <w:r w:rsidR="00D523B2" w:rsidRPr="00B90432">
        <w:rPr>
          <w:rFonts w:asciiTheme="minorHAnsi" w:hAnsiTheme="minorHAnsi"/>
        </w:rPr>
        <w:t>address</w:t>
      </w:r>
      <w:r w:rsidR="00D066FB" w:rsidRPr="00B90432">
        <w:rPr>
          <w:rFonts w:asciiTheme="minorHAnsi" w:hAnsiTheme="minorHAnsi"/>
        </w:rPr>
        <w:t xml:space="preserve"> the particular situation of risk faced by the individual</w:t>
      </w:r>
      <w:r w:rsidR="00B817CF" w:rsidRPr="00B90432">
        <w:rPr>
          <w:rFonts w:asciiTheme="minorHAnsi" w:hAnsiTheme="minorHAnsi"/>
        </w:rPr>
        <w:t xml:space="preserve"> and capable of producing the results for which they have been conceived.</w:t>
      </w:r>
      <w:r w:rsidR="00617BF5" w:rsidRPr="00B90432">
        <w:rPr>
          <w:rStyle w:val="FootnoteReference"/>
          <w:rFonts w:asciiTheme="minorHAnsi" w:hAnsiTheme="minorHAnsi"/>
          <w:sz w:val="22"/>
          <w:szCs w:val="22"/>
        </w:rPr>
        <w:footnoteReference w:id="315"/>
      </w:r>
      <w:r w:rsidR="001E123F" w:rsidRPr="00B90432">
        <w:rPr>
          <w:rFonts w:asciiTheme="minorHAnsi" w:hAnsiTheme="minorHAnsi"/>
        </w:rPr>
        <w:t xml:space="preserve"> This program should incorporate a model of analysis to be able to assess risk and the protection needs of each individual defender or</w:t>
      </w:r>
      <w:r w:rsidR="005273AD" w:rsidRPr="00B90432">
        <w:rPr>
          <w:rFonts w:asciiTheme="minorHAnsi" w:hAnsiTheme="minorHAnsi"/>
        </w:rPr>
        <w:t xml:space="preserve"> group of defenders, including </w:t>
      </w:r>
      <w:r w:rsidR="001E123F" w:rsidRPr="00B90432">
        <w:rPr>
          <w:rFonts w:asciiTheme="minorHAnsi" w:hAnsiTheme="minorHAnsi"/>
        </w:rPr>
        <w:t xml:space="preserve">a gender perspective or a perspective of groups in situations of special vulnerability. </w:t>
      </w:r>
      <w:r w:rsidR="00C97393" w:rsidRPr="00B90432">
        <w:rPr>
          <w:rFonts w:asciiTheme="minorHAnsi" w:hAnsiTheme="minorHAnsi"/>
        </w:rPr>
        <w:t>Additionally, the State should make sure that authorities or third parties do not manipulate the punitive power of the State and its bodies of justice in order to harass human rights defenders and justice operators.</w:t>
      </w:r>
      <w:r w:rsidR="00617BF5" w:rsidRPr="00B90432">
        <w:rPr>
          <w:rFonts w:asciiTheme="minorHAnsi" w:hAnsiTheme="minorHAnsi"/>
          <w:vertAlign w:val="superscript"/>
        </w:rPr>
        <w:footnoteReference w:id="316"/>
      </w:r>
      <w:r w:rsidR="00617BF5" w:rsidRPr="00B90432">
        <w:rPr>
          <w:rFonts w:asciiTheme="minorHAnsi" w:hAnsiTheme="minorHAnsi"/>
        </w:rPr>
        <w:t xml:space="preserve"> </w:t>
      </w:r>
    </w:p>
    <w:p w14:paraId="7F2C250C" w14:textId="77777777" w:rsidR="00617BF5" w:rsidRPr="00B90432" w:rsidRDefault="00E23C8A" w:rsidP="006F4717">
      <w:pPr>
        <w:pStyle w:val="Numberedparagraphs"/>
        <w:rPr>
          <w:rFonts w:asciiTheme="minorHAnsi" w:hAnsiTheme="minorHAnsi"/>
        </w:rPr>
      </w:pPr>
      <w:r w:rsidRPr="00B90432">
        <w:rPr>
          <w:rFonts w:asciiTheme="minorHAnsi" w:hAnsiTheme="minorHAnsi"/>
        </w:rPr>
        <w:t xml:space="preserve">The IACHR welcomes </w:t>
      </w:r>
      <w:r w:rsidR="001441B1" w:rsidRPr="00B90432">
        <w:rPr>
          <w:rFonts w:asciiTheme="minorHAnsi" w:hAnsiTheme="minorHAnsi"/>
        </w:rPr>
        <w:t xml:space="preserve">that </w:t>
      </w:r>
      <w:r w:rsidRPr="00B90432">
        <w:rPr>
          <w:rFonts w:asciiTheme="minorHAnsi" w:hAnsiTheme="minorHAnsi"/>
        </w:rPr>
        <w:t xml:space="preserve">the Office of the </w:t>
      </w:r>
      <w:r w:rsidR="00D523B2" w:rsidRPr="00B90432">
        <w:rPr>
          <w:rFonts w:asciiTheme="minorHAnsi" w:hAnsiTheme="minorHAnsi"/>
        </w:rPr>
        <w:t>Attorney</w:t>
      </w:r>
      <w:r w:rsidRPr="00B90432">
        <w:rPr>
          <w:rFonts w:asciiTheme="minorHAnsi" w:hAnsiTheme="minorHAnsi"/>
        </w:rPr>
        <w:t xml:space="preserve"> General </w:t>
      </w:r>
      <w:r w:rsidR="001441B1" w:rsidRPr="00B90432">
        <w:rPr>
          <w:rFonts w:asciiTheme="minorHAnsi" w:hAnsiTheme="minorHAnsi"/>
        </w:rPr>
        <w:t xml:space="preserve">is </w:t>
      </w:r>
      <w:r w:rsidRPr="00B90432">
        <w:rPr>
          <w:rFonts w:asciiTheme="minorHAnsi" w:hAnsiTheme="minorHAnsi"/>
        </w:rPr>
        <w:t xml:space="preserve">setting into motion the </w:t>
      </w:r>
      <w:r w:rsidR="005449C9" w:rsidRPr="00B90432">
        <w:rPr>
          <w:rFonts w:asciiTheme="minorHAnsi" w:hAnsiTheme="minorHAnsi"/>
        </w:rPr>
        <w:t xml:space="preserve">process of </w:t>
      </w:r>
      <w:r w:rsidR="00983762" w:rsidRPr="00B90432">
        <w:rPr>
          <w:rFonts w:asciiTheme="minorHAnsi" w:hAnsiTheme="minorHAnsi"/>
        </w:rPr>
        <w:t xml:space="preserve">drafting a </w:t>
      </w:r>
      <w:r w:rsidRPr="00B90432">
        <w:rPr>
          <w:rFonts w:asciiTheme="minorHAnsi" w:hAnsiTheme="minorHAnsi"/>
        </w:rPr>
        <w:t xml:space="preserve">General Instruction manual to guide prosecutors in the investigation of attacks on defenders. </w:t>
      </w:r>
      <w:r w:rsidR="00CB1CB9" w:rsidRPr="00B90432">
        <w:rPr>
          <w:rFonts w:asciiTheme="minorHAnsi" w:hAnsiTheme="minorHAnsi"/>
        </w:rPr>
        <w:t>The initiative, pushed forward by civil society gro</w:t>
      </w:r>
      <w:r w:rsidR="009A6D4C" w:rsidRPr="00B90432">
        <w:rPr>
          <w:rFonts w:asciiTheme="minorHAnsi" w:hAnsiTheme="minorHAnsi"/>
        </w:rPr>
        <w:t xml:space="preserve">ups, is currently under discussion. </w:t>
      </w:r>
      <w:r w:rsidR="002F7890" w:rsidRPr="00B90432">
        <w:rPr>
          <w:rFonts w:asciiTheme="minorHAnsi" w:hAnsiTheme="minorHAnsi"/>
        </w:rPr>
        <w:t>The adoption of this General Instruction could be a significant step toward address</w:t>
      </w:r>
      <w:r w:rsidR="00B778BD" w:rsidRPr="00B90432">
        <w:rPr>
          <w:rFonts w:asciiTheme="minorHAnsi" w:hAnsiTheme="minorHAnsi"/>
        </w:rPr>
        <w:t>ing</w:t>
      </w:r>
      <w:r w:rsidR="002F7890" w:rsidRPr="00B90432">
        <w:rPr>
          <w:rFonts w:asciiTheme="minorHAnsi" w:hAnsiTheme="minorHAnsi"/>
        </w:rPr>
        <w:t xml:space="preserve"> impunity</w:t>
      </w:r>
      <w:r w:rsidR="00B778BD" w:rsidRPr="00B90432">
        <w:rPr>
          <w:rFonts w:asciiTheme="minorHAnsi" w:hAnsiTheme="minorHAnsi"/>
        </w:rPr>
        <w:t xml:space="preserve"> in cases of attacks on human rights defenders. </w:t>
      </w:r>
      <w:r w:rsidR="00D523B2" w:rsidRPr="00B90432">
        <w:rPr>
          <w:rFonts w:asciiTheme="minorHAnsi" w:hAnsiTheme="minorHAnsi"/>
        </w:rPr>
        <w:t>Additionally</w:t>
      </w:r>
      <w:r w:rsidR="003B7704" w:rsidRPr="00B90432">
        <w:rPr>
          <w:rFonts w:asciiTheme="minorHAnsi" w:hAnsiTheme="minorHAnsi"/>
        </w:rPr>
        <w:t xml:space="preserve">, according to civil society organizations, the Office of the Attorney General is reportedly working on draft guidelines to prevent criminalization and ensure that the criminal justice system is not used to attack or harass defenders. </w:t>
      </w:r>
      <w:r w:rsidR="004D25D2" w:rsidRPr="00B90432">
        <w:rPr>
          <w:rFonts w:asciiTheme="minorHAnsi" w:hAnsiTheme="minorHAnsi"/>
        </w:rPr>
        <w:t xml:space="preserve">Adoption of these guidelines could represent a significant improvement in addressing the improper use of the justice </w:t>
      </w:r>
      <w:r w:rsidR="004D25D2" w:rsidRPr="00B90432">
        <w:rPr>
          <w:rFonts w:asciiTheme="minorHAnsi" w:hAnsiTheme="minorHAnsi"/>
        </w:rPr>
        <w:lastRenderedPageBreak/>
        <w:t xml:space="preserve">system against them. </w:t>
      </w:r>
      <w:r w:rsidR="00465A1A" w:rsidRPr="00B90432">
        <w:rPr>
          <w:rFonts w:asciiTheme="minorHAnsi" w:hAnsiTheme="minorHAnsi"/>
        </w:rPr>
        <w:t>In both instances, it is crucial for the authorities in charge of enforcing the General Instruction and the guidelines to be adequately trained to implement them effectively.</w:t>
      </w:r>
      <w:r w:rsidR="00617BF5" w:rsidRPr="00B90432">
        <w:rPr>
          <w:rFonts w:asciiTheme="minorHAnsi" w:hAnsiTheme="minorHAnsi"/>
          <w:vertAlign w:val="superscript"/>
        </w:rPr>
        <w:footnoteReference w:id="317"/>
      </w:r>
    </w:p>
    <w:p w14:paraId="5B9649C6" w14:textId="77777777" w:rsidR="00765B63" w:rsidRPr="00B90432" w:rsidRDefault="005A22B9" w:rsidP="006F4717">
      <w:pPr>
        <w:pStyle w:val="Numberedparagraphs"/>
        <w:rPr>
          <w:rFonts w:asciiTheme="minorHAnsi" w:hAnsiTheme="minorHAnsi"/>
        </w:rPr>
      </w:pPr>
      <w:r w:rsidRPr="00B90432">
        <w:rPr>
          <w:rFonts w:asciiTheme="minorHAnsi" w:hAnsiTheme="minorHAnsi"/>
        </w:rPr>
        <w:t xml:space="preserve">Civil society organizations have expressed, nonetheless, their concern over the fact that as of the present date, the proposed General Instruction has still not been delivered to the Attorney General </w:t>
      </w:r>
      <w:r w:rsidR="00B87543" w:rsidRPr="00B90432">
        <w:rPr>
          <w:rFonts w:asciiTheme="minorHAnsi" w:hAnsiTheme="minorHAnsi"/>
        </w:rPr>
        <w:t>of the Ministry of Public Prosecution, whose job it is to approve and promote the implementation</w:t>
      </w:r>
      <w:r w:rsidR="00543868" w:rsidRPr="00B90432">
        <w:rPr>
          <w:rFonts w:asciiTheme="minorHAnsi" w:hAnsiTheme="minorHAnsi"/>
        </w:rPr>
        <w:t xml:space="preserve"> thereof nation</w:t>
      </w:r>
      <w:r w:rsidR="00B87543" w:rsidRPr="00B90432">
        <w:rPr>
          <w:rFonts w:asciiTheme="minorHAnsi" w:hAnsiTheme="minorHAnsi"/>
        </w:rPr>
        <w:t xml:space="preserve">wide. </w:t>
      </w:r>
      <w:r w:rsidR="005F0ACE" w:rsidRPr="00B90432">
        <w:rPr>
          <w:rFonts w:asciiTheme="minorHAnsi" w:hAnsiTheme="minorHAnsi"/>
        </w:rPr>
        <w:t xml:space="preserve">In the absence of </w:t>
      </w:r>
      <w:r w:rsidR="007B0A12" w:rsidRPr="00B90432">
        <w:rPr>
          <w:rFonts w:asciiTheme="minorHAnsi" w:hAnsiTheme="minorHAnsi"/>
        </w:rPr>
        <w:t>this instruction manual, the capacity to conduct immediate, independent and systematic investigations of violations committed against human rights defenders is</w:t>
      </w:r>
      <w:r w:rsidR="00CD5068" w:rsidRPr="00B90432">
        <w:rPr>
          <w:rFonts w:asciiTheme="minorHAnsi" w:hAnsiTheme="minorHAnsi"/>
        </w:rPr>
        <w:t xml:space="preserve"> curtailed</w:t>
      </w:r>
      <w:r w:rsidR="007B0A12" w:rsidRPr="00B90432">
        <w:rPr>
          <w:rFonts w:asciiTheme="minorHAnsi" w:hAnsiTheme="minorHAnsi"/>
        </w:rPr>
        <w:t>.</w:t>
      </w:r>
      <w:r w:rsidR="00617BF5" w:rsidRPr="00B90432">
        <w:rPr>
          <w:rFonts w:asciiTheme="minorHAnsi" w:hAnsiTheme="minorHAnsi"/>
          <w:vertAlign w:val="superscript"/>
        </w:rPr>
        <w:footnoteReference w:id="318"/>
      </w:r>
      <w:r w:rsidR="00617BF5" w:rsidRPr="00B90432">
        <w:rPr>
          <w:rFonts w:asciiTheme="minorHAnsi" w:hAnsiTheme="minorHAnsi"/>
        </w:rPr>
        <w:t xml:space="preserve"> </w:t>
      </w:r>
    </w:p>
    <w:p w14:paraId="2F991A0E" w14:textId="77777777" w:rsidR="00617BF5" w:rsidRPr="00B90432" w:rsidRDefault="00B91753" w:rsidP="006F4717">
      <w:pPr>
        <w:pStyle w:val="Numberedparagraphs"/>
        <w:rPr>
          <w:rFonts w:asciiTheme="minorHAnsi" w:hAnsiTheme="minorHAnsi"/>
        </w:rPr>
      </w:pPr>
      <w:r w:rsidRPr="00B90432">
        <w:rPr>
          <w:rFonts w:asciiTheme="minorHAnsi" w:hAnsiTheme="minorHAnsi"/>
        </w:rPr>
        <w:t>The IACHR recalls that</w:t>
      </w:r>
      <w:r w:rsidR="00C006C1" w:rsidRPr="00B90432">
        <w:rPr>
          <w:rFonts w:asciiTheme="minorHAnsi" w:hAnsiTheme="minorHAnsi"/>
        </w:rPr>
        <w:t xml:space="preserve"> States should undertake, as a matter of</w:t>
      </w:r>
      <w:r w:rsidRPr="00B90432">
        <w:rPr>
          <w:rFonts w:asciiTheme="minorHAnsi" w:hAnsiTheme="minorHAnsi"/>
        </w:rPr>
        <w:t xml:space="preserve"> public policy, </w:t>
      </w:r>
      <w:r w:rsidR="007E5E89" w:rsidRPr="00B90432">
        <w:rPr>
          <w:rFonts w:asciiTheme="minorHAnsi" w:hAnsiTheme="minorHAnsi"/>
        </w:rPr>
        <w:t xml:space="preserve">the struggle against impunity for violations of the rights of human rights defenders, exhaustive and independent </w:t>
      </w:r>
      <w:r w:rsidRPr="00B90432">
        <w:rPr>
          <w:rFonts w:asciiTheme="minorHAnsi" w:hAnsiTheme="minorHAnsi"/>
        </w:rPr>
        <w:t>investigations</w:t>
      </w:r>
      <w:r w:rsidR="007E5E89" w:rsidRPr="00B90432">
        <w:rPr>
          <w:rFonts w:asciiTheme="minorHAnsi" w:hAnsiTheme="minorHAnsi"/>
        </w:rPr>
        <w:t xml:space="preserve"> </w:t>
      </w:r>
      <w:r w:rsidR="00D523B2" w:rsidRPr="00B90432">
        <w:rPr>
          <w:rFonts w:asciiTheme="minorHAnsi" w:hAnsiTheme="minorHAnsi"/>
        </w:rPr>
        <w:t>into</w:t>
      </w:r>
      <w:r w:rsidR="007E5E89" w:rsidRPr="00B90432">
        <w:rPr>
          <w:rFonts w:asciiTheme="minorHAnsi" w:hAnsiTheme="minorHAnsi"/>
        </w:rPr>
        <w:t xml:space="preserve"> the attacks on this group, and punish their perpetrators, as a fundamental me</w:t>
      </w:r>
      <w:r w:rsidR="00EE4830" w:rsidRPr="00B90432">
        <w:rPr>
          <w:rFonts w:asciiTheme="minorHAnsi" w:hAnsiTheme="minorHAnsi"/>
        </w:rPr>
        <w:t>ans of preventing such attacks from recurring.</w:t>
      </w:r>
      <w:r w:rsidR="00617BF5" w:rsidRPr="00B90432">
        <w:rPr>
          <w:rFonts w:asciiTheme="minorHAnsi" w:hAnsiTheme="minorHAnsi"/>
          <w:vertAlign w:val="superscript"/>
        </w:rPr>
        <w:footnoteReference w:id="319"/>
      </w:r>
      <w:r w:rsidR="00EE4830" w:rsidRPr="00B90432">
        <w:rPr>
          <w:rFonts w:asciiTheme="minorHAnsi" w:hAnsiTheme="minorHAnsi"/>
        </w:rPr>
        <w:t xml:space="preserve"> The IACHR has urged States to </w:t>
      </w:r>
      <w:r w:rsidR="006C7F8C" w:rsidRPr="00B90432">
        <w:rPr>
          <w:rFonts w:asciiTheme="minorHAnsi" w:hAnsiTheme="minorHAnsi"/>
        </w:rPr>
        <w:t>set up specialized units within</w:t>
      </w:r>
      <w:r w:rsidR="00EE4830" w:rsidRPr="00B90432">
        <w:rPr>
          <w:rFonts w:asciiTheme="minorHAnsi" w:hAnsiTheme="minorHAnsi"/>
        </w:rPr>
        <w:t xml:space="preserve"> the police</w:t>
      </w:r>
      <w:r w:rsidR="006C7F8C" w:rsidRPr="00B90432">
        <w:rPr>
          <w:rFonts w:asciiTheme="minorHAnsi" w:hAnsiTheme="minorHAnsi"/>
        </w:rPr>
        <w:t xml:space="preserve"> force</w:t>
      </w:r>
      <w:r w:rsidR="00EE4830" w:rsidRPr="00B90432">
        <w:rPr>
          <w:rFonts w:asciiTheme="minorHAnsi" w:hAnsiTheme="minorHAnsi"/>
        </w:rPr>
        <w:t xml:space="preserve"> and public prosecutor’s office, </w:t>
      </w:r>
      <w:r w:rsidR="006C7F8C" w:rsidRPr="00B90432">
        <w:rPr>
          <w:rFonts w:asciiTheme="minorHAnsi" w:hAnsiTheme="minorHAnsi"/>
        </w:rPr>
        <w:t xml:space="preserve">armed with the necessary </w:t>
      </w:r>
      <w:r w:rsidR="00EE4830" w:rsidRPr="00B90432">
        <w:rPr>
          <w:rFonts w:asciiTheme="minorHAnsi" w:hAnsiTheme="minorHAnsi"/>
        </w:rPr>
        <w:t>resources</w:t>
      </w:r>
      <w:r w:rsidR="006C7F8C" w:rsidRPr="00B90432">
        <w:rPr>
          <w:rFonts w:asciiTheme="minorHAnsi" w:hAnsiTheme="minorHAnsi"/>
        </w:rPr>
        <w:t xml:space="preserve"> and training and protocols to enable them to act in coordination and with due diligence when investigating </w:t>
      </w:r>
      <w:r w:rsidR="005F628E" w:rsidRPr="00B90432">
        <w:rPr>
          <w:rFonts w:asciiTheme="minorHAnsi" w:hAnsiTheme="minorHAnsi"/>
        </w:rPr>
        <w:t>attacks on human rights defenders, while establishing hypothesis about the crimes and guidelines to steer the investigation, taking into account the interests that may have been harmed in retaliation for the activities conducted by the aggrieved human rights defender.</w:t>
      </w:r>
      <w:r w:rsidR="00617BF5" w:rsidRPr="00B90432">
        <w:rPr>
          <w:rFonts w:asciiTheme="minorHAnsi" w:hAnsiTheme="minorHAnsi"/>
          <w:vertAlign w:val="superscript"/>
        </w:rPr>
        <w:footnoteReference w:id="320"/>
      </w:r>
      <w:r w:rsidR="00617BF5" w:rsidRPr="00B90432">
        <w:rPr>
          <w:rFonts w:asciiTheme="minorHAnsi" w:hAnsiTheme="minorHAnsi"/>
        </w:rPr>
        <w:t xml:space="preserve"> </w:t>
      </w:r>
    </w:p>
    <w:p w14:paraId="1F895EDC" w14:textId="776CE3B7" w:rsidR="0041678D" w:rsidRPr="00B90432" w:rsidRDefault="005C73BA" w:rsidP="009A58BE">
      <w:pPr>
        <w:pStyle w:val="Heading2"/>
      </w:pPr>
      <w:bookmarkStart w:id="47" w:name="_Toc509827649"/>
      <w:r w:rsidRPr="00B90432">
        <w:t xml:space="preserve">Justice </w:t>
      </w:r>
      <w:r w:rsidR="0004096F">
        <w:t>Operators</w:t>
      </w:r>
      <w:bookmarkEnd w:id="47"/>
    </w:p>
    <w:p w14:paraId="7408D43E" w14:textId="77777777" w:rsidR="00765B63" w:rsidRPr="00B90432" w:rsidRDefault="0094151B" w:rsidP="006F4717">
      <w:pPr>
        <w:pStyle w:val="Numberedparagraphs"/>
        <w:rPr>
          <w:rFonts w:asciiTheme="minorHAnsi" w:hAnsiTheme="minorHAnsi"/>
        </w:rPr>
      </w:pPr>
      <w:r w:rsidRPr="00B90432">
        <w:rPr>
          <w:rFonts w:asciiTheme="minorHAnsi" w:hAnsiTheme="minorHAnsi"/>
        </w:rPr>
        <w:t xml:space="preserve">The Commission has repeatedly made the point that judges are the lead actors in ensuring judicial protection of human rights in a democratic State and the due process that must be observed </w:t>
      </w:r>
      <w:r w:rsidR="00F37FF3" w:rsidRPr="00B90432">
        <w:rPr>
          <w:rFonts w:asciiTheme="minorHAnsi" w:hAnsiTheme="minorHAnsi"/>
        </w:rPr>
        <w:t xml:space="preserve">when the State is able to impose a punishment. In a democratic system, judges act as a check on the acts of other branches of government and public servants in general to make sure their acts are consistent with conventions, the constitution and laws. </w:t>
      </w:r>
      <w:r w:rsidR="008533E8" w:rsidRPr="00B90432">
        <w:rPr>
          <w:rFonts w:asciiTheme="minorHAnsi" w:hAnsiTheme="minorHAnsi"/>
        </w:rPr>
        <w:lastRenderedPageBreak/>
        <w:t xml:space="preserve">Judges </w:t>
      </w:r>
      <w:r w:rsidR="00D523B2" w:rsidRPr="00B90432">
        <w:rPr>
          <w:rFonts w:asciiTheme="minorHAnsi" w:hAnsiTheme="minorHAnsi"/>
        </w:rPr>
        <w:t>also</w:t>
      </w:r>
      <w:r w:rsidR="008533E8" w:rsidRPr="00B90432">
        <w:rPr>
          <w:rFonts w:asciiTheme="minorHAnsi" w:hAnsiTheme="minorHAnsi"/>
        </w:rPr>
        <w:t xml:space="preserve"> administer justice in disputes between private parties where a person’s rights might be at stake. </w:t>
      </w:r>
      <w:r w:rsidR="00ED3730" w:rsidRPr="00B90432">
        <w:rPr>
          <w:rFonts w:asciiTheme="minorHAnsi" w:hAnsiTheme="minorHAnsi"/>
        </w:rPr>
        <w:t>For their part, prosecutors are essential to eliminating impunity in cases of human rights violations and</w:t>
      </w:r>
      <w:r w:rsidR="00C16E6D" w:rsidRPr="00B90432">
        <w:rPr>
          <w:rFonts w:asciiTheme="minorHAnsi" w:hAnsiTheme="minorHAnsi"/>
        </w:rPr>
        <w:t xml:space="preserve"> providing an effective recourse to persons whose rights have been violated </w:t>
      </w:r>
      <w:r w:rsidR="00F13856" w:rsidRPr="00B90432">
        <w:rPr>
          <w:rFonts w:asciiTheme="minorHAnsi" w:hAnsiTheme="minorHAnsi"/>
        </w:rPr>
        <w:t>as a result of crimes committed against them</w:t>
      </w:r>
      <w:r w:rsidR="00ED3730" w:rsidRPr="00B90432">
        <w:rPr>
          <w:rFonts w:asciiTheme="minorHAnsi" w:hAnsiTheme="minorHAnsi"/>
        </w:rPr>
        <w:t xml:space="preserve">. </w:t>
      </w:r>
      <w:r w:rsidR="00FA6441" w:rsidRPr="00B90432">
        <w:rPr>
          <w:rFonts w:asciiTheme="minorHAnsi" w:hAnsiTheme="minorHAnsi"/>
        </w:rPr>
        <w:t xml:space="preserve">Additionally, public defenders play a critical role in ensuring that the State complies with its obligation to guarantee </w:t>
      </w:r>
      <w:r w:rsidR="00EC6771" w:rsidRPr="00B90432">
        <w:rPr>
          <w:rFonts w:asciiTheme="minorHAnsi" w:hAnsiTheme="minorHAnsi"/>
        </w:rPr>
        <w:t>due process to any persons affected by the State’s exercise of its punitive authority.</w:t>
      </w:r>
      <w:r w:rsidR="00765B63" w:rsidRPr="00B90432">
        <w:rPr>
          <w:rStyle w:val="FootnoteReference"/>
          <w:rFonts w:asciiTheme="minorHAnsi" w:eastAsia="Times New Roman" w:hAnsiTheme="minorHAnsi"/>
          <w:sz w:val="22"/>
          <w:szCs w:val="22"/>
        </w:rPr>
        <w:footnoteReference w:id="321"/>
      </w:r>
    </w:p>
    <w:p w14:paraId="11C342D1" w14:textId="02BE05AD" w:rsidR="00617BF5" w:rsidRPr="0004096F" w:rsidRDefault="009011E5" w:rsidP="0085755A">
      <w:pPr>
        <w:pStyle w:val="Heading3"/>
        <w:numPr>
          <w:ilvl w:val="0"/>
          <w:numId w:val="12"/>
        </w:numPr>
        <w:ind w:left="1080" w:hanging="540"/>
      </w:pPr>
      <w:bookmarkStart w:id="48" w:name="_Toc509827650"/>
      <w:r w:rsidRPr="0004096F">
        <w:t>Act</w:t>
      </w:r>
      <w:r w:rsidR="003D1549" w:rsidRPr="0004096F">
        <w:t xml:space="preserve">s </w:t>
      </w:r>
      <w:r w:rsidR="0004096F" w:rsidRPr="0004096F">
        <w:t xml:space="preserve">Limiting </w:t>
      </w:r>
      <w:r w:rsidRPr="0004096F">
        <w:t xml:space="preserve">or </w:t>
      </w:r>
      <w:r w:rsidR="0004096F" w:rsidRPr="0004096F">
        <w:t xml:space="preserve">Hampering Performance </w:t>
      </w:r>
      <w:r w:rsidRPr="0004096F">
        <w:t xml:space="preserve">of their </w:t>
      </w:r>
      <w:r w:rsidR="0004096F" w:rsidRPr="0004096F">
        <w:t>Work</w:t>
      </w:r>
      <w:bookmarkEnd w:id="48"/>
      <w:r w:rsidR="0004096F" w:rsidRPr="0004096F">
        <w:t xml:space="preserve"> </w:t>
      </w:r>
    </w:p>
    <w:p w14:paraId="0AE6FBCF" w14:textId="77777777" w:rsidR="00617BF5" w:rsidRPr="00B90432" w:rsidRDefault="00DD3880" w:rsidP="006F4717">
      <w:pPr>
        <w:pStyle w:val="Numberedparagraphs"/>
        <w:rPr>
          <w:rFonts w:asciiTheme="minorHAnsi" w:hAnsiTheme="minorHAnsi"/>
        </w:rPr>
      </w:pPr>
      <w:r w:rsidRPr="00B90432">
        <w:rPr>
          <w:rFonts w:asciiTheme="minorHAnsi" w:hAnsiTheme="minorHAnsi"/>
        </w:rPr>
        <w:t>At a meeting with operators of justice in the context of the country visit, the IACHR received information about the situation</w:t>
      </w:r>
      <w:r w:rsidR="00DF1E33" w:rsidRPr="00B90432">
        <w:rPr>
          <w:rFonts w:asciiTheme="minorHAnsi" w:hAnsiTheme="minorHAnsi"/>
        </w:rPr>
        <w:t xml:space="preserve"> of accusations</w:t>
      </w:r>
      <w:r w:rsidRPr="00B90432">
        <w:rPr>
          <w:rFonts w:asciiTheme="minorHAnsi" w:hAnsiTheme="minorHAnsi"/>
        </w:rPr>
        <w:t xml:space="preserve">, defamation of character </w:t>
      </w:r>
      <w:r w:rsidR="00DF1E33" w:rsidRPr="00B90432">
        <w:rPr>
          <w:rFonts w:asciiTheme="minorHAnsi" w:hAnsiTheme="minorHAnsi"/>
        </w:rPr>
        <w:t>and attacks against</w:t>
      </w:r>
      <w:r w:rsidRPr="00B90432">
        <w:rPr>
          <w:rFonts w:asciiTheme="minorHAnsi" w:hAnsiTheme="minorHAnsi"/>
        </w:rPr>
        <w:t xml:space="preserve"> judges and magistrates. At said meeting, the justice operators claimed they were targe</w:t>
      </w:r>
      <w:r w:rsidR="00245CF4" w:rsidRPr="00B90432">
        <w:rPr>
          <w:rFonts w:asciiTheme="minorHAnsi" w:hAnsiTheme="minorHAnsi"/>
        </w:rPr>
        <w:t>t</w:t>
      </w:r>
      <w:r w:rsidRPr="00B90432">
        <w:rPr>
          <w:rFonts w:asciiTheme="minorHAnsi" w:hAnsiTheme="minorHAnsi"/>
        </w:rPr>
        <w:t>s of smear campaigns</w:t>
      </w:r>
      <w:r w:rsidR="000D6AF0" w:rsidRPr="00B90432">
        <w:rPr>
          <w:rFonts w:asciiTheme="minorHAnsi" w:hAnsiTheme="minorHAnsi"/>
        </w:rPr>
        <w:t xml:space="preserve"> branding them as “communists,” “lefties” or “guerrillas.” They claimed they are the target of harassment through groundless motions to strip them of their immunity to stand regular trial</w:t>
      </w:r>
      <w:r w:rsidR="00D16677" w:rsidRPr="00B90432">
        <w:rPr>
          <w:rFonts w:asciiTheme="minorHAnsi" w:hAnsiTheme="minorHAnsi"/>
        </w:rPr>
        <w:t xml:space="preserve"> (</w:t>
      </w:r>
      <w:r w:rsidR="00D16677" w:rsidRPr="00B90432">
        <w:rPr>
          <w:rFonts w:asciiTheme="minorHAnsi" w:hAnsiTheme="minorHAnsi"/>
          <w:i/>
        </w:rPr>
        <w:t>prejuicio</w:t>
      </w:r>
      <w:r w:rsidR="00B35704" w:rsidRPr="00B90432">
        <w:rPr>
          <w:rFonts w:asciiTheme="minorHAnsi" w:hAnsiTheme="minorHAnsi"/>
          <w:i/>
        </w:rPr>
        <w:t>s</w:t>
      </w:r>
      <w:r w:rsidR="00D16677" w:rsidRPr="00B90432">
        <w:rPr>
          <w:rFonts w:asciiTheme="minorHAnsi" w:hAnsiTheme="minorHAnsi"/>
          <w:i/>
        </w:rPr>
        <w:t>)</w:t>
      </w:r>
      <w:r w:rsidR="000D6AF0" w:rsidRPr="00B90432">
        <w:rPr>
          <w:rFonts w:asciiTheme="minorHAnsi" w:hAnsiTheme="minorHAnsi"/>
        </w:rPr>
        <w:t xml:space="preserve">, as well as of attacks and threats. </w:t>
      </w:r>
      <w:r w:rsidR="005E1727" w:rsidRPr="00B90432">
        <w:rPr>
          <w:rFonts w:asciiTheme="minorHAnsi" w:hAnsiTheme="minorHAnsi"/>
        </w:rPr>
        <w:t xml:space="preserve">Accordingly, they raised the need for retaliation to halt, as well as for improvement of administrative management procedures to ensure protection for justice operators, </w:t>
      </w:r>
      <w:r w:rsidR="00D2569A" w:rsidRPr="00B90432">
        <w:rPr>
          <w:rFonts w:asciiTheme="minorHAnsi" w:hAnsiTheme="minorHAnsi"/>
        </w:rPr>
        <w:t xml:space="preserve">inasmuch as said attacks and threats are not addressed from a perspective that takes into account the pattern and nature thereof, but instead are treated as common crimes. </w:t>
      </w:r>
      <w:r w:rsidR="00CB61DA" w:rsidRPr="00B90432">
        <w:rPr>
          <w:rFonts w:asciiTheme="minorHAnsi" w:hAnsiTheme="minorHAnsi"/>
        </w:rPr>
        <w:t xml:space="preserve">They also </w:t>
      </w:r>
      <w:r w:rsidR="00367EF4" w:rsidRPr="00B90432">
        <w:rPr>
          <w:rFonts w:asciiTheme="minorHAnsi" w:hAnsiTheme="minorHAnsi"/>
        </w:rPr>
        <w:t xml:space="preserve">emphasized </w:t>
      </w:r>
      <w:r w:rsidR="00CB61DA" w:rsidRPr="00B90432">
        <w:rPr>
          <w:rFonts w:asciiTheme="minorHAnsi" w:hAnsiTheme="minorHAnsi"/>
        </w:rPr>
        <w:t xml:space="preserve">the need to strengthen the </w:t>
      </w:r>
      <w:r w:rsidR="00FB6C87" w:rsidRPr="00B90432">
        <w:rPr>
          <w:rFonts w:asciiTheme="minorHAnsi" w:hAnsiTheme="minorHAnsi"/>
        </w:rPr>
        <w:t xml:space="preserve">agency protecting </w:t>
      </w:r>
      <w:r w:rsidR="00CB61DA" w:rsidRPr="00B90432">
        <w:rPr>
          <w:rFonts w:asciiTheme="minorHAnsi" w:hAnsiTheme="minorHAnsi"/>
        </w:rPr>
        <w:t>judges and magistrates an</w:t>
      </w:r>
      <w:r w:rsidR="00FB6C87" w:rsidRPr="00B90432">
        <w:rPr>
          <w:rFonts w:asciiTheme="minorHAnsi" w:hAnsiTheme="minorHAnsi"/>
        </w:rPr>
        <w:t xml:space="preserve">d to conduct a thorough review or </w:t>
      </w:r>
      <w:r w:rsidR="00CB61DA" w:rsidRPr="00B90432">
        <w:rPr>
          <w:rFonts w:asciiTheme="minorHAnsi" w:hAnsiTheme="minorHAnsi"/>
        </w:rPr>
        <w:t>ve</w:t>
      </w:r>
      <w:r w:rsidR="00FB6C87" w:rsidRPr="00B90432">
        <w:rPr>
          <w:rFonts w:asciiTheme="minorHAnsi" w:hAnsiTheme="minorHAnsi"/>
        </w:rPr>
        <w:t>tting</w:t>
      </w:r>
      <w:r w:rsidR="0096545F" w:rsidRPr="00B90432">
        <w:rPr>
          <w:rFonts w:asciiTheme="minorHAnsi" w:hAnsiTheme="minorHAnsi"/>
        </w:rPr>
        <w:t xml:space="preserve"> process</w:t>
      </w:r>
      <w:r w:rsidR="00577F1B" w:rsidRPr="00B90432">
        <w:rPr>
          <w:rFonts w:asciiTheme="minorHAnsi" w:hAnsiTheme="minorHAnsi"/>
        </w:rPr>
        <w:t xml:space="preserve"> of the personnel assigned to</w:t>
      </w:r>
      <w:r w:rsidR="00CB61DA" w:rsidRPr="00B90432">
        <w:rPr>
          <w:rFonts w:asciiTheme="minorHAnsi" w:hAnsiTheme="minorHAnsi"/>
        </w:rPr>
        <w:t xml:space="preserve"> the personal security system and produce </w:t>
      </w:r>
      <w:r w:rsidR="00395F96" w:rsidRPr="00B90432">
        <w:rPr>
          <w:rFonts w:asciiTheme="minorHAnsi" w:hAnsiTheme="minorHAnsi"/>
        </w:rPr>
        <w:t xml:space="preserve">action </w:t>
      </w:r>
      <w:r w:rsidR="00CB61DA" w:rsidRPr="00B90432">
        <w:rPr>
          <w:rFonts w:asciiTheme="minorHAnsi" w:hAnsiTheme="minorHAnsi"/>
        </w:rPr>
        <w:t>protocols</w:t>
      </w:r>
      <w:r w:rsidR="00395F96" w:rsidRPr="00B90432">
        <w:rPr>
          <w:rFonts w:asciiTheme="minorHAnsi" w:hAnsiTheme="minorHAnsi"/>
        </w:rPr>
        <w:t xml:space="preserve"> for rapid</w:t>
      </w:r>
      <w:r w:rsidR="00FF0A50" w:rsidRPr="00B90432">
        <w:rPr>
          <w:rFonts w:asciiTheme="minorHAnsi" w:hAnsiTheme="minorHAnsi"/>
        </w:rPr>
        <w:t>-response</w:t>
      </w:r>
      <w:r w:rsidR="00395F96" w:rsidRPr="00B90432">
        <w:rPr>
          <w:rFonts w:asciiTheme="minorHAnsi" w:hAnsiTheme="minorHAnsi"/>
        </w:rPr>
        <w:t xml:space="preserve"> protection of judges who come under threat.</w:t>
      </w:r>
      <w:r w:rsidR="00617BF5" w:rsidRPr="00B90432">
        <w:rPr>
          <w:rFonts w:asciiTheme="minorHAnsi" w:hAnsiTheme="minorHAnsi"/>
          <w:vertAlign w:val="superscript"/>
        </w:rPr>
        <w:footnoteReference w:id="322"/>
      </w:r>
    </w:p>
    <w:p w14:paraId="5A56EA4C" w14:textId="77777777" w:rsidR="00FF5978" w:rsidRPr="00B90432" w:rsidRDefault="00305C08" w:rsidP="006F4717">
      <w:pPr>
        <w:pStyle w:val="Numberedparagraphs"/>
        <w:rPr>
          <w:rFonts w:asciiTheme="minorHAnsi" w:hAnsiTheme="minorHAnsi"/>
        </w:rPr>
      </w:pPr>
      <w:r w:rsidRPr="00B90432">
        <w:rPr>
          <w:rFonts w:asciiTheme="minorHAnsi" w:hAnsiTheme="minorHAnsi"/>
        </w:rPr>
        <w:t xml:space="preserve">Following its country visit in </w:t>
      </w:r>
      <w:r w:rsidR="00765B63" w:rsidRPr="00B90432">
        <w:rPr>
          <w:rFonts w:asciiTheme="minorHAnsi" w:hAnsiTheme="minorHAnsi"/>
        </w:rPr>
        <w:t xml:space="preserve">2017, </w:t>
      </w:r>
      <w:r w:rsidRPr="00B90432">
        <w:rPr>
          <w:rFonts w:asciiTheme="minorHAnsi" w:hAnsiTheme="minorHAnsi"/>
        </w:rPr>
        <w:t>the International Commission of Jurists (ICJ) concluded that if high level officials who have sufficient protection are vulnerable to attacks and intimidation, the</w:t>
      </w:r>
      <w:r w:rsidR="00AE29E5" w:rsidRPr="00B90432">
        <w:rPr>
          <w:rFonts w:asciiTheme="minorHAnsi" w:hAnsiTheme="minorHAnsi"/>
        </w:rPr>
        <w:t>n the</w:t>
      </w:r>
      <w:r w:rsidRPr="00B90432">
        <w:rPr>
          <w:rFonts w:asciiTheme="minorHAnsi" w:hAnsiTheme="minorHAnsi"/>
        </w:rPr>
        <w:t xml:space="preserve"> situation is truly </w:t>
      </w:r>
      <w:r w:rsidR="003A6F64" w:rsidRPr="00B90432">
        <w:rPr>
          <w:rFonts w:asciiTheme="minorHAnsi" w:hAnsiTheme="minorHAnsi"/>
        </w:rPr>
        <w:t xml:space="preserve">worrisome </w:t>
      </w:r>
      <w:r w:rsidRPr="00B90432">
        <w:rPr>
          <w:rFonts w:asciiTheme="minorHAnsi" w:hAnsiTheme="minorHAnsi"/>
        </w:rPr>
        <w:t xml:space="preserve">for </w:t>
      </w:r>
      <w:r w:rsidR="00EE5879" w:rsidRPr="00B90432">
        <w:rPr>
          <w:rFonts w:asciiTheme="minorHAnsi" w:hAnsiTheme="minorHAnsi"/>
        </w:rPr>
        <w:t xml:space="preserve">justice </w:t>
      </w:r>
      <w:r w:rsidRPr="00B90432">
        <w:rPr>
          <w:rFonts w:asciiTheme="minorHAnsi" w:hAnsiTheme="minorHAnsi"/>
        </w:rPr>
        <w:t>operators who work on behalf of the affected communities</w:t>
      </w:r>
      <w:r w:rsidR="00765B63" w:rsidRPr="00B90432">
        <w:rPr>
          <w:rFonts w:asciiTheme="minorHAnsi" w:hAnsiTheme="minorHAnsi"/>
        </w:rPr>
        <w:t xml:space="preserve"> </w:t>
      </w:r>
      <w:r w:rsidR="00E75068" w:rsidRPr="00B90432">
        <w:rPr>
          <w:rFonts w:asciiTheme="minorHAnsi" w:hAnsiTheme="minorHAnsi"/>
        </w:rPr>
        <w:t xml:space="preserve">in departments or municipalities removed from Guatemala City, </w:t>
      </w:r>
      <w:r w:rsidR="00AE29E5" w:rsidRPr="00B90432">
        <w:rPr>
          <w:rFonts w:asciiTheme="minorHAnsi" w:hAnsiTheme="minorHAnsi"/>
        </w:rPr>
        <w:t xml:space="preserve">where they are </w:t>
      </w:r>
      <w:r w:rsidR="00E75068" w:rsidRPr="00B90432">
        <w:rPr>
          <w:rFonts w:asciiTheme="minorHAnsi" w:hAnsiTheme="minorHAnsi"/>
        </w:rPr>
        <w:t xml:space="preserve">much more vulnerable to attacks. </w:t>
      </w:r>
      <w:r w:rsidR="00AE29E5" w:rsidRPr="00B90432">
        <w:rPr>
          <w:rFonts w:asciiTheme="minorHAnsi" w:hAnsiTheme="minorHAnsi"/>
        </w:rPr>
        <w:t xml:space="preserve">Recently, the </w:t>
      </w:r>
      <w:r w:rsidR="0010710F" w:rsidRPr="00B90432">
        <w:rPr>
          <w:rFonts w:asciiTheme="minorHAnsi" w:hAnsiTheme="minorHAnsi"/>
        </w:rPr>
        <w:t>judicial officer</w:t>
      </w:r>
      <w:r w:rsidR="000756BF" w:rsidRPr="00B90432">
        <w:rPr>
          <w:rFonts w:asciiTheme="minorHAnsi" w:hAnsiTheme="minorHAnsi"/>
        </w:rPr>
        <w:t xml:space="preserve"> presiding over the</w:t>
      </w:r>
      <w:r w:rsidR="0010710F" w:rsidRPr="00B90432">
        <w:rPr>
          <w:rFonts w:asciiTheme="minorHAnsi" w:hAnsiTheme="minorHAnsi"/>
        </w:rPr>
        <w:t xml:space="preserve"> </w:t>
      </w:r>
      <w:r w:rsidR="00AE29E5" w:rsidRPr="00B90432">
        <w:rPr>
          <w:rFonts w:asciiTheme="minorHAnsi" w:hAnsiTheme="minorHAnsi"/>
        </w:rPr>
        <w:t xml:space="preserve">Justice of the Peace </w:t>
      </w:r>
      <w:r w:rsidR="0010710F" w:rsidRPr="00B90432">
        <w:rPr>
          <w:rFonts w:asciiTheme="minorHAnsi" w:hAnsiTheme="minorHAnsi"/>
        </w:rPr>
        <w:t xml:space="preserve">Court </w:t>
      </w:r>
      <w:r w:rsidR="00AE29E5" w:rsidRPr="00B90432">
        <w:rPr>
          <w:rFonts w:asciiTheme="minorHAnsi" w:hAnsiTheme="minorHAnsi"/>
        </w:rPr>
        <w:t xml:space="preserve">for Civil and Criminal Matters in San Cristóbal </w:t>
      </w:r>
      <w:r w:rsidR="003D4A95" w:rsidRPr="00B90432">
        <w:rPr>
          <w:rFonts w:asciiTheme="minorHAnsi" w:hAnsiTheme="minorHAnsi"/>
        </w:rPr>
        <w:t xml:space="preserve">Department of </w:t>
      </w:r>
      <w:r w:rsidR="00765B63" w:rsidRPr="00B90432">
        <w:rPr>
          <w:rFonts w:asciiTheme="minorHAnsi" w:hAnsiTheme="minorHAnsi"/>
        </w:rPr>
        <w:t xml:space="preserve">Alta Verapaz </w:t>
      </w:r>
      <w:r w:rsidR="00253A31" w:rsidRPr="00B90432">
        <w:rPr>
          <w:rFonts w:asciiTheme="minorHAnsi" w:hAnsiTheme="minorHAnsi"/>
        </w:rPr>
        <w:t xml:space="preserve">and an assistant </w:t>
      </w:r>
      <w:r w:rsidR="00253A31" w:rsidRPr="00B90432">
        <w:rPr>
          <w:rFonts w:asciiTheme="minorHAnsi" w:hAnsiTheme="minorHAnsi"/>
        </w:rPr>
        <w:lastRenderedPageBreak/>
        <w:t xml:space="preserve">prosecutor of the Public Prosecutor’s </w:t>
      </w:r>
      <w:r w:rsidR="0085423A" w:rsidRPr="00B90432">
        <w:rPr>
          <w:rFonts w:asciiTheme="minorHAnsi" w:hAnsiTheme="minorHAnsi"/>
        </w:rPr>
        <w:t>Office were each attacked separately</w:t>
      </w:r>
      <w:r w:rsidR="00765B63" w:rsidRPr="00B90432">
        <w:rPr>
          <w:rFonts w:asciiTheme="minorHAnsi" w:hAnsiTheme="minorHAnsi"/>
        </w:rPr>
        <w:t xml:space="preserve">. </w:t>
      </w:r>
      <w:r w:rsidR="00D523B2" w:rsidRPr="00B90432">
        <w:rPr>
          <w:rFonts w:asciiTheme="minorHAnsi" w:hAnsiTheme="minorHAnsi"/>
        </w:rPr>
        <w:t>Additionally</w:t>
      </w:r>
      <w:r w:rsidR="0054213E" w:rsidRPr="00B90432">
        <w:rPr>
          <w:rFonts w:asciiTheme="minorHAnsi" w:hAnsiTheme="minorHAnsi"/>
        </w:rPr>
        <w:t xml:space="preserve">, according to public information from the College of Attorneys, the President of the Bar Association of </w:t>
      </w:r>
      <w:r w:rsidR="00765B63" w:rsidRPr="00B90432">
        <w:rPr>
          <w:rFonts w:asciiTheme="minorHAnsi" w:hAnsiTheme="minorHAnsi"/>
        </w:rPr>
        <w:t xml:space="preserve">Jutiapa </w:t>
      </w:r>
      <w:r w:rsidR="0054213E" w:rsidRPr="00B90432">
        <w:rPr>
          <w:rFonts w:asciiTheme="minorHAnsi" w:hAnsiTheme="minorHAnsi"/>
        </w:rPr>
        <w:t xml:space="preserve">endured an armed assault and an attorney of the Department of Peten, and Saul </w:t>
      </w:r>
      <w:r w:rsidR="00765B63" w:rsidRPr="00B90432">
        <w:rPr>
          <w:rFonts w:asciiTheme="minorHAnsi" w:hAnsiTheme="minorHAnsi"/>
        </w:rPr>
        <w:t xml:space="preserve">Paaú Maaz </w:t>
      </w:r>
      <w:r w:rsidR="0054213E" w:rsidRPr="00B90432">
        <w:rPr>
          <w:rFonts w:asciiTheme="minorHAnsi" w:hAnsiTheme="minorHAnsi"/>
        </w:rPr>
        <w:t xml:space="preserve">was the target of threats, possibly linked to defense on behalf of communities affected by pollution of the La Pasion River. In this last case, Judge </w:t>
      </w:r>
      <w:r w:rsidR="00765B63" w:rsidRPr="00B90432">
        <w:rPr>
          <w:rFonts w:asciiTheme="minorHAnsi" w:hAnsiTheme="minorHAnsi"/>
        </w:rPr>
        <w:t xml:space="preserve">Karla Hernández </w:t>
      </w:r>
      <w:r w:rsidR="0054213E" w:rsidRPr="00B90432">
        <w:rPr>
          <w:rFonts w:asciiTheme="minorHAnsi" w:hAnsiTheme="minorHAnsi"/>
        </w:rPr>
        <w:t>was also reportedly threatened.</w:t>
      </w:r>
      <w:r w:rsidR="00765B63" w:rsidRPr="00B90432">
        <w:rPr>
          <w:rFonts w:asciiTheme="minorHAnsi" w:hAnsiTheme="minorHAnsi"/>
          <w:vertAlign w:val="superscript"/>
        </w:rPr>
        <w:footnoteReference w:id="323"/>
      </w:r>
    </w:p>
    <w:p w14:paraId="536744FE" w14:textId="77777777" w:rsidR="00534841" w:rsidRPr="00B90432" w:rsidRDefault="00164DB1" w:rsidP="006F4717">
      <w:pPr>
        <w:pStyle w:val="Numberedparagraphs"/>
        <w:rPr>
          <w:rFonts w:asciiTheme="minorHAnsi" w:hAnsiTheme="minorHAnsi"/>
        </w:rPr>
      </w:pPr>
      <w:r w:rsidRPr="00B90432">
        <w:rPr>
          <w:rFonts w:asciiTheme="minorHAnsi" w:hAnsiTheme="minorHAnsi"/>
        </w:rPr>
        <w:t xml:space="preserve">Furthermore, following its country visit, the ICJ noted that the case </w:t>
      </w:r>
      <w:r w:rsidR="0061697D" w:rsidRPr="00B90432">
        <w:rPr>
          <w:rFonts w:asciiTheme="minorHAnsi" w:hAnsiTheme="minorHAnsi"/>
        </w:rPr>
        <w:t xml:space="preserve">assignment </w:t>
      </w:r>
      <w:r w:rsidRPr="00B90432">
        <w:rPr>
          <w:rFonts w:asciiTheme="minorHAnsi" w:hAnsiTheme="minorHAnsi"/>
        </w:rPr>
        <w:t>system is very fragile and can</w:t>
      </w:r>
      <w:r w:rsidR="00721778" w:rsidRPr="00B90432">
        <w:rPr>
          <w:rFonts w:asciiTheme="minorHAnsi" w:hAnsiTheme="minorHAnsi"/>
        </w:rPr>
        <w:t xml:space="preserve"> be readily manipulated so that</w:t>
      </w:r>
      <w:r w:rsidR="004E5C38" w:rsidRPr="00B90432">
        <w:rPr>
          <w:rFonts w:asciiTheme="minorHAnsi" w:hAnsiTheme="minorHAnsi"/>
        </w:rPr>
        <w:t xml:space="preserve"> cases </w:t>
      </w:r>
      <w:r w:rsidRPr="00B90432">
        <w:rPr>
          <w:rFonts w:asciiTheme="minorHAnsi" w:hAnsiTheme="minorHAnsi"/>
        </w:rPr>
        <w:t xml:space="preserve">are assigned to a particular judge, who could act without independence or impartiality and </w:t>
      </w:r>
      <w:r w:rsidR="00FA2641" w:rsidRPr="00B90432">
        <w:rPr>
          <w:rFonts w:asciiTheme="minorHAnsi" w:hAnsiTheme="minorHAnsi"/>
        </w:rPr>
        <w:t xml:space="preserve">foster through his or her rulings the impunity sought by the respective attorneys. </w:t>
      </w:r>
      <w:r w:rsidR="00831844" w:rsidRPr="00B90432">
        <w:rPr>
          <w:rFonts w:asciiTheme="minorHAnsi" w:hAnsiTheme="minorHAnsi"/>
        </w:rPr>
        <w:t>By way of example, according to information that was provided to the ICJ, most of the cases that</w:t>
      </w:r>
      <w:r w:rsidR="0061697D" w:rsidRPr="00B90432">
        <w:rPr>
          <w:rFonts w:asciiTheme="minorHAnsi" w:hAnsiTheme="minorHAnsi"/>
        </w:rPr>
        <w:t xml:space="preserve"> are brought by the </w:t>
      </w:r>
      <w:r w:rsidR="00534841" w:rsidRPr="00B90432">
        <w:rPr>
          <w:rFonts w:asciiTheme="minorHAnsi" w:hAnsiTheme="minorHAnsi"/>
        </w:rPr>
        <w:t xml:space="preserve">Fundación contra el Terrorismo </w:t>
      </w:r>
      <w:r w:rsidR="0061697D" w:rsidRPr="00B90432">
        <w:rPr>
          <w:rFonts w:asciiTheme="minorHAnsi" w:hAnsiTheme="minorHAnsi"/>
        </w:rPr>
        <w:t xml:space="preserve">are assigned to </w:t>
      </w:r>
      <w:r w:rsidR="0039104C" w:rsidRPr="00B90432">
        <w:rPr>
          <w:rFonts w:asciiTheme="minorHAnsi" w:hAnsiTheme="minorHAnsi"/>
        </w:rPr>
        <w:t>J</w:t>
      </w:r>
      <w:r w:rsidR="0061697D" w:rsidRPr="00B90432">
        <w:rPr>
          <w:rFonts w:asciiTheme="minorHAnsi" w:hAnsiTheme="minorHAnsi"/>
        </w:rPr>
        <w:t xml:space="preserve">udge of the Seventh Criminal Court </w:t>
      </w:r>
      <w:r w:rsidR="00534841" w:rsidRPr="00B90432">
        <w:rPr>
          <w:rFonts w:asciiTheme="minorHAnsi" w:hAnsiTheme="minorHAnsi"/>
        </w:rPr>
        <w:t xml:space="preserve">Adrián Rodríguez. </w:t>
      </w:r>
      <w:r w:rsidR="0061697D" w:rsidRPr="00B90432">
        <w:rPr>
          <w:rFonts w:asciiTheme="minorHAnsi" w:hAnsiTheme="minorHAnsi"/>
        </w:rPr>
        <w:t>In particular, the cas</w:t>
      </w:r>
      <w:r w:rsidR="00C86EAD" w:rsidRPr="00B90432">
        <w:rPr>
          <w:rFonts w:asciiTheme="minorHAnsi" w:hAnsiTheme="minorHAnsi"/>
        </w:rPr>
        <w:t>e assignment system of the high-</w:t>
      </w:r>
      <w:r w:rsidR="0061697D" w:rsidRPr="00B90432">
        <w:rPr>
          <w:rFonts w:asciiTheme="minorHAnsi" w:hAnsiTheme="minorHAnsi"/>
        </w:rPr>
        <w:t xml:space="preserve">risk courts </w:t>
      </w:r>
      <w:r w:rsidR="0039104C" w:rsidRPr="00B90432">
        <w:rPr>
          <w:rFonts w:asciiTheme="minorHAnsi" w:hAnsiTheme="minorHAnsi"/>
        </w:rPr>
        <w:t xml:space="preserve">has led to High Risk Tribunal A receiving few or no cases. </w:t>
      </w:r>
      <w:r w:rsidR="00BF47DC" w:rsidRPr="00B90432">
        <w:rPr>
          <w:rFonts w:asciiTheme="minorHAnsi" w:hAnsiTheme="minorHAnsi"/>
        </w:rPr>
        <w:t xml:space="preserve">This is at odds with the notion of crating a High Risk Tribunal D.  In its observations, the ICJ regretted that this practice is going on, as it can be </w:t>
      </w:r>
      <w:r w:rsidR="00D523B2" w:rsidRPr="00B90432">
        <w:rPr>
          <w:rFonts w:asciiTheme="minorHAnsi" w:hAnsiTheme="minorHAnsi"/>
        </w:rPr>
        <w:t>construed</w:t>
      </w:r>
      <w:r w:rsidR="00BF47DC" w:rsidRPr="00B90432">
        <w:rPr>
          <w:rFonts w:asciiTheme="minorHAnsi" w:hAnsiTheme="minorHAnsi"/>
        </w:rPr>
        <w:t xml:space="preserve"> as a mechanism to undermine the two women and one male judges sitting on said Tribunal.</w:t>
      </w:r>
      <w:r w:rsidR="00534841" w:rsidRPr="00B90432">
        <w:rPr>
          <w:rStyle w:val="FootnoteReference"/>
          <w:rFonts w:asciiTheme="minorHAnsi" w:hAnsiTheme="minorHAnsi"/>
          <w:sz w:val="22"/>
          <w:szCs w:val="22"/>
        </w:rPr>
        <w:footnoteReference w:id="324"/>
      </w:r>
    </w:p>
    <w:p w14:paraId="3BCEA6E1" w14:textId="77777777" w:rsidR="00171AD9" w:rsidRPr="00B90432" w:rsidRDefault="00392060" w:rsidP="006F4717">
      <w:pPr>
        <w:pStyle w:val="Numberedparagraphs"/>
        <w:rPr>
          <w:rFonts w:asciiTheme="minorHAnsi" w:hAnsiTheme="minorHAnsi"/>
        </w:rPr>
      </w:pPr>
      <w:r w:rsidRPr="00B90432">
        <w:rPr>
          <w:rFonts w:asciiTheme="minorHAnsi" w:hAnsiTheme="minorHAnsi"/>
        </w:rPr>
        <w:t xml:space="preserve">The attempts to make progress in combatting impunity and corruption by </w:t>
      </w:r>
      <w:r w:rsidR="002A5C1C" w:rsidRPr="00B90432">
        <w:rPr>
          <w:rFonts w:asciiTheme="minorHAnsi" w:hAnsiTheme="minorHAnsi"/>
        </w:rPr>
        <w:t xml:space="preserve">justice </w:t>
      </w:r>
      <w:r w:rsidRPr="00B90432">
        <w:rPr>
          <w:rFonts w:asciiTheme="minorHAnsi" w:hAnsiTheme="minorHAnsi"/>
        </w:rPr>
        <w:t>operators, described in the chapter on access to justice</w:t>
      </w:r>
      <w:r w:rsidR="00FF5978" w:rsidRPr="00B90432">
        <w:rPr>
          <w:rStyle w:val="FootnoteReference"/>
          <w:rFonts w:asciiTheme="minorHAnsi" w:hAnsiTheme="minorHAnsi"/>
          <w:sz w:val="22"/>
          <w:szCs w:val="22"/>
        </w:rPr>
        <w:footnoteReference w:id="325"/>
      </w:r>
      <w:r w:rsidR="00FF5978" w:rsidRPr="00B90432">
        <w:rPr>
          <w:rFonts w:asciiTheme="minorHAnsi" w:hAnsiTheme="minorHAnsi"/>
        </w:rPr>
        <w:t xml:space="preserve"> </w:t>
      </w:r>
      <w:r w:rsidRPr="00B90432">
        <w:rPr>
          <w:rFonts w:asciiTheme="minorHAnsi" w:hAnsiTheme="minorHAnsi"/>
        </w:rPr>
        <w:t>have</w:t>
      </w:r>
      <w:r w:rsidR="00C86EAD" w:rsidRPr="00B90432">
        <w:rPr>
          <w:rFonts w:asciiTheme="minorHAnsi" w:hAnsiTheme="minorHAnsi"/>
        </w:rPr>
        <w:t xml:space="preserve"> brought in their wake attacks and threats against them</w:t>
      </w:r>
      <w:r w:rsidR="00FF5978" w:rsidRPr="00B90432">
        <w:rPr>
          <w:rFonts w:asciiTheme="minorHAnsi" w:hAnsiTheme="minorHAnsi"/>
        </w:rPr>
        <w:t xml:space="preserve">. </w:t>
      </w:r>
      <w:r w:rsidR="001867F0" w:rsidRPr="00B90432">
        <w:rPr>
          <w:rFonts w:asciiTheme="minorHAnsi" w:hAnsiTheme="minorHAnsi"/>
        </w:rPr>
        <w:t xml:space="preserve">At meetings with both judges and prosecuting and defense attorneys, the Commission received reports of harassment, assaults and threats as instruments of control and intimidation in the performance of their duties, especially from those who are involved in high impact cases of corruption, serious human rights violations or case in which significant economic interests are at stake. </w:t>
      </w:r>
    </w:p>
    <w:p w14:paraId="01E4E114" w14:textId="77777777" w:rsidR="00171AD9" w:rsidRPr="00B90432" w:rsidRDefault="008B24C4" w:rsidP="006F4717">
      <w:pPr>
        <w:pStyle w:val="Numberedparagraphs"/>
        <w:rPr>
          <w:rFonts w:asciiTheme="minorHAnsi" w:hAnsiTheme="minorHAnsi"/>
        </w:rPr>
      </w:pPr>
      <w:r w:rsidRPr="00B90432">
        <w:rPr>
          <w:rFonts w:asciiTheme="minorHAnsi" w:hAnsiTheme="minorHAnsi"/>
        </w:rPr>
        <w:t xml:space="preserve">Over the past years, the Commission </w:t>
      </w:r>
      <w:r w:rsidR="002F7EB4" w:rsidRPr="00B90432">
        <w:rPr>
          <w:rFonts w:asciiTheme="minorHAnsi" w:hAnsiTheme="minorHAnsi"/>
        </w:rPr>
        <w:t>h</w:t>
      </w:r>
      <w:r w:rsidRPr="00B90432">
        <w:rPr>
          <w:rFonts w:asciiTheme="minorHAnsi" w:hAnsiTheme="minorHAnsi"/>
        </w:rPr>
        <w:t xml:space="preserve">as requested the Guatemalan State to adopt precautionary measures on behalf of Attorney General </w:t>
      </w:r>
      <w:r w:rsidR="00171AD9" w:rsidRPr="00B90432">
        <w:rPr>
          <w:rFonts w:asciiTheme="minorHAnsi" w:hAnsiTheme="minorHAnsi"/>
        </w:rPr>
        <w:t>Thelma Aldana (MC 351-16)</w:t>
      </w:r>
      <w:r w:rsidRPr="00B90432">
        <w:rPr>
          <w:rFonts w:asciiTheme="minorHAnsi" w:hAnsiTheme="minorHAnsi"/>
        </w:rPr>
        <w:t>;</w:t>
      </w:r>
      <w:r w:rsidR="00171AD9" w:rsidRPr="00B90432">
        <w:rPr>
          <w:rStyle w:val="FootnoteReference"/>
          <w:rFonts w:asciiTheme="minorHAnsi" w:hAnsiTheme="minorHAnsi"/>
          <w:sz w:val="22"/>
          <w:szCs w:val="22"/>
        </w:rPr>
        <w:footnoteReference w:id="326"/>
      </w:r>
      <w:r w:rsidRPr="00B90432">
        <w:rPr>
          <w:rFonts w:asciiTheme="minorHAnsi" w:hAnsiTheme="minorHAnsi"/>
        </w:rPr>
        <w:t xml:space="preserve"> magistrates</w:t>
      </w:r>
      <w:r w:rsidR="00171AD9" w:rsidRPr="00B90432">
        <w:rPr>
          <w:rFonts w:asciiTheme="minorHAnsi" w:hAnsiTheme="minorHAnsi"/>
        </w:rPr>
        <w:t xml:space="preserve"> Claudia Escobar (MC 433-14); Patricia </w:t>
      </w:r>
      <w:r w:rsidR="00171AD9" w:rsidRPr="00B90432">
        <w:rPr>
          <w:rFonts w:asciiTheme="minorHAnsi" w:hAnsiTheme="minorHAnsi"/>
        </w:rPr>
        <w:lastRenderedPageBreak/>
        <w:t>Isabel Bustamante</w:t>
      </w:r>
      <w:r w:rsidRPr="00B90432">
        <w:rPr>
          <w:rFonts w:asciiTheme="minorHAnsi" w:hAnsiTheme="minorHAnsi"/>
        </w:rPr>
        <w:t xml:space="preserve"> García, Pablo Xitumul de Paz, and</w:t>
      </w:r>
      <w:r w:rsidR="00171AD9" w:rsidRPr="00B90432">
        <w:rPr>
          <w:rFonts w:asciiTheme="minorHAnsi" w:hAnsiTheme="minorHAnsi"/>
        </w:rPr>
        <w:t xml:space="preserve"> Yassmín Barrios Aguilar (MC 125-13)</w:t>
      </w:r>
      <w:r w:rsidR="006B076E" w:rsidRPr="00B90432">
        <w:rPr>
          <w:rFonts w:asciiTheme="minorHAnsi" w:hAnsiTheme="minorHAnsi"/>
        </w:rPr>
        <w:t>;</w:t>
      </w:r>
      <w:r w:rsidR="00171AD9" w:rsidRPr="00B90432">
        <w:rPr>
          <w:rStyle w:val="FootnoteReference"/>
          <w:rFonts w:asciiTheme="minorHAnsi" w:hAnsiTheme="minorHAnsi"/>
          <w:sz w:val="22"/>
          <w:szCs w:val="22"/>
        </w:rPr>
        <w:footnoteReference w:id="327"/>
      </w:r>
      <w:r w:rsidR="006B076E" w:rsidRPr="00B90432">
        <w:rPr>
          <w:rFonts w:asciiTheme="minorHAnsi" w:hAnsiTheme="minorHAnsi"/>
        </w:rPr>
        <w:t xml:space="preserve"> as well as judge </w:t>
      </w:r>
      <w:r w:rsidR="00171AD9" w:rsidRPr="00B90432">
        <w:rPr>
          <w:rFonts w:asciiTheme="minorHAnsi" w:hAnsiTheme="minorHAnsi"/>
        </w:rPr>
        <w:t>Miguel Ángel Gálvez (MC 351-16)</w:t>
      </w:r>
      <w:r w:rsidR="006B076E" w:rsidRPr="00B90432">
        <w:rPr>
          <w:rFonts w:asciiTheme="minorHAnsi" w:hAnsiTheme="minorHAnsi"/>
        </w:rPr>
        <w:t>;</w:t>
      </w:r>
      <w:r w:rsidR="00171AD9" w:rsidRPr="00B90432">
        <w:rPr>
          <w:rStyle w:val="FootnoteReference"/>
          <w:rFonts w:asciiTheme="minorHAnsi" w:hAnsiTheme="minorHAnsi"/>
          <w:sz w:val="22"/>
          <w:szCs w:val="22"/>
        </w:rPr>
        <w:footnoteReference w:id="328"/>
      </w:r>
      <w:r w:rsidR="006B076E" w:rsidRPr="00B90432">
        <w:rPr>
          <w:rFonts w:asciiTheme="minorHAnsi" w:hAnsiTheme="minorHAnsi"/>
        </w:rPr>
        <w:t xml:space="preserve"> </w:t>
      </w:r>
      <w:r w:rsidR="004F2B8B" w:rsidRPr="00B90432">
        <w:rPr>
          <w:rFonts w:asciiTheme="minorHAnsi" w:hAnsiTheme="minorHAnsi"/>
        </w:rPr>
        <w:t xml:space="preserve">and </w:t>
      </w:r>
      <w:r w:rsidR="006B076E" w:rsidRPr="00B90432">
        <w:rPr>
          <w:rFonts w:asciiTheme="minorHAnsi" w:hAnsiTheme="minorHAnsi"/>
        </w:rPr>
        <w:t>magistrate</w:t>
      </w:r>
      <w:r w:rsidR="00171AD9" w:rsidRPr="00B90432">
        <w:rPr>
          <w:rFonts w:asciiTheme="minorHAnsi" w:hAnsiTheme="minorHAnsi"/>
        </w:rPr>
        <w:t xml:space="preserve"> Gloria Patricia Porras Escobar (MC 431-17)</w:t>
      </w:r>
      <w:r w:rsidR="004F2B8B" w:rsidRPr="00B90432">
        <w:rPr>
          <w:rFonts w:asciiTheme="minorHAnsi" w:hAnsiTheme="minorHAnsi"/>
        </w:rPr>
        <w:t>.</w:t>
      </w:r>
      <w:r w:rsidR="00171AD9" w:rsidRPr="00B90432">
        <w:rPr>
          <w:rStyle w:val="FootnoteReference"/>
          <w:rFonts w:asciiTheme="minorHAnsi" w:hAnsiTheme="minorHAnsi"/>
          <w:sz w:val="22"/>
          <w:szCs w:val="22"/>
        </w:rPr>
        <w:footnoteReference w:id="329"/>
      </w:r>
      <w:r w:rsidR="0028317F" w:rsidRPr="00B90432">
        <w:rPr>
          <w:rFonts w:asciiTheme="minorHAnsi" w:hAnsiTheme="minorHAnsi"/>
        </w:rPr>
        <w:t xml:space="preserve"> </w:t>
      </w:r>
      <w:r w:rsidR="00DE0FD2" w:rsidRPr="00B90432">
        <w:rPr>
          <w:rFonts w:asciiTheme="minorHAnsi" w:hAnsiTheme="minorHAnsi"/>
        </w:rPr>
        <w:t xml:space="preserve">Following the visit, requests for precautionary measures were also received on behalf of </w:t>
      </w:r>
      <w:r w:rsidR="00E70547" w:rsidRPr="00B90432">
        <w:rPr>
          <w:rFonts w:asciiTheme="minorHAnsi" w:hAnsiTheme="minorHAnsi"/>
        </w:rPr>
        <w:t xml:space="preserve">members of the Office of the Human Rights Ombudsman, who completed their term in August 2017. The IACHR has </w:t>
      </w:r>
      <w:r w:rsidR="000E2B30" w:rsidRPr="00B90432">
        <w:rPr>
          <w:rFonts w:asciiTheme="minorHAnsi" w:hAnsiTheme="minorHAnsi"/>
        </w:rPr>
        <w:t>followed up on these requests through the process of evaluation of Precautionary Measures, in accordance with its own Rules of Procedure, and urges the State to comply with all of the recommendations set forth within that framework.</w:t>
      </w:r>
      <w:r w:rsidR="00171AD9" w:rsidRPr="00B90432">
        <w:rPr>
          <w:rStyle w:val="FootnoteReference"/>
          <w:rFonts w:asciiTheme="minorHAnsi" w:hAnsiTheme="minorHAnsi"/>
          <w:sz w:val="22"/>
          <w:szCs w:val="22"/>
        </w:rPr>
        <w:footnoteReference w:id="330"/>
      </w:r>
    </w:p>
    <w:p w14:paraId="449B7FDA" w14:textId="77777777" w:rsidR="009902C0" w:rsidRPr="00B90432" w:rsidRDefault="00E908BF" w:rsidP="006F4717">
      <w:pPr>
        <w:pStyle w:val="Numberedparagraphs"/>
        <w:rPr>
          <w:rFonts w:asciiTheme="minorHAnsi" w:hAnsiTheme="minorHAnsi"/>
        </w:rPr>
      </w:pPr>
      <w:r w:rsidRPr="00B90432">
        <w:rPr>
          <w:rFonts w:asciiTheme="minorHAnsi" w:hAnsiTheme="minorHAnsi"/>
        </w:rPr>
        <w:t xml:space="preserve">As was referenced above, on August </w:t>
      </w:r>
      <w:r w:rsidR="003B031E" w:rsidRPr="00B90432">
        <w:rPr>
          <w:rFonts w:asciiTheme="minorHAnsi" w:hAnsiTheme="minorHAnsi"/>
        </w:rPr>
        <w:t xml:space="preserve">29, 2017, the IACHR requested the State of Guatemala to adopt the necessary measures to preserve the life and personal integrity of Magistrate </w:t>
      </w:r>
      <w:r w:rsidR="009902C0" w:rsidRPr="00B90432">
        <w:rPr>
          <w:rFonts w:asciiTheme="minorHAnsi" w:hAnsiTheme="minorHAnsi"/>
        </w:rPr>
        <w:t xml:space="preserve">Gloria Patricia Porras Escobar </w:t>
      </w:r>
      <w:r w:rsidR="003B031E" w:rsidRPr="00B90432">
        <w:rPr>
          <w:rFonts w:asciiTheme="minorHAnsi" w:hAnsiTheme="minorHAnsi"/>
        </w:rPr>
        <w:t xml:space="preserve">and next-of-kin, inasmuch as it finds that she faces a situation of risk stemming from her work as a Justice of the </w:t>
      </w:r>
      <w:r w:rsidR="00ED6236" w:rsidRPr="00B90432">
        <w:rPr>
          <w:rFonts w:asciiTheme="minorHAnsi" w:hAnsiTheme="minorHAnsi"/>
        </w:rPr>
        <w:t xml:space="preserve">Constitutional </w:t>
      </w:r>
      <w:r w:rsidR="003B031E" w:rsidRPr="00B90432">
        <w:rPr>
          <w:rFonts w:asciiTheme="minorHAnsi" w:hAnsiTheme="minorHAnsi"/>
        </w:rPr>
        <w:t xml:space="preserve">Court in </w:t>
      </w:r>
      <w:r w:rsidR="009902C0" w:rsidRPr="00B90432">
        <w:rPr>
          <w:rFonts w:asciiTheme="minorHAnsi" w:hAnsiTheme="minorHAnsi"/>
        </w:rPr>
        <w:t>Guatemala</w:t>
      </w:r>
      <w:r w:rsidR="003B031E" w:rsidRPr="00B90432">
        <w:rPr>
          <w:rFonts w:asciiTheme="minorHAnsi" w:hAnsiTheme="minorHAnsi"/>
        </w:rPr>
        <w:t>.</w:t>
      </w:r>
      <w:r w:rsidR="009902C0" w:rsidRPr="00B90432">
        <w:rPr>
          <w:rStyle w:val="FootnoteReference"/>
          <w:rFonts w:asciiTheme="minorHAnsi" w:hAnsiTheme="minorHAnsi"/>
          <w:sz w:val="22"/>
          <w:szCs w:val="22"/>
        </w:rPr>
        <w:footnoteReference w:id="331"/>
      </w:r>
      <w:r w:rsidR="003B031E" w:rsidRPr="00B90432">
        <w:rPr>
          <w:rFonts w:asciiTheme="minorHAnsi" w:hAnsiTheme="minorHAnsi"/>
        </w:rPr>
        <w:t xml:space="preserve"> The IACHR requested the State to</w:t>
      </w:r>
      <w:r w:rsidR="0006376D" w:rsidRPr="00B90432">
        <w:rPr>
          <w:rFonts w:asciiTheme="minorHAnsi" w:hAnsiTheme="minorHAnsi"/>
        </w:rPr>
        <w:t xml:space="preserve"> adopt the necessary measures to ensure</w:t>
      </w:r>
      <w:r w:rsidR="003B031E" w:rsidRPr="00B90432">
        <w:rPr>
          <w:rFonts w:asciiTheme="minorHAnsi" w:hAnsiTheme="minorHAnsi"/>
        </w:rPr>
        <w:t xml:space="preserve"> that Magistrate </w:t>
      </w:r>
      <w:r w:rsidR="009902C0" w:rsidRPr="00B90432">
        <w:rPr>
          <w:rFonts w:asciiTheme="minorHAnsi" w:hAnsiTheme="minorHAnsi"/>
        </w:rPr>
        <w:t xml:space="preserve">Porras Escobar </w:t>
      </w:r>
      <w:r w:rsidR="009C5867" w:rsidRPr="00B90432">
        <w:rPr>
          <w:rFonts w:asciiTheme="minorHAnsi" w:hAnsiTheme="minorHAnsi"/>
        </w:rPr>
        <w:t xml:space="preserve">is able to perform her duties as a justice of the </w:t>
      </w:r>
      <w:r w:rsidR="00C81A70" w:rsidRPr="00B90432">
        <w:rPr>
          <w:rFonts w:asciiTheme="minorHAnsi" w:hAnsiTheme="minorHAnsi"/>
        </w:rPr>
        <w:t xml:space="preserve">Constitutional </w:t>
      </w:r>
      <w:r w:rsidR="009C5867" w:rsidRPr="00B90432">
        <w:rPr>
          <w:rFonts w:asciiTheme="minorHAnsi" w:hAnsiTheme="minorHAnsi"/>
        </w:rPr>
        <w:t>without being the target of acts of intimidation, threats and harassment; agree on the measures to be adopted together with the benefi</w:t>
      </w:r>
      <w:r w:rsidR="00D523B2" w:rsidRPr="00B90432">
        <w:rPr>
          <w:rFonts w:asciiTheme="minorHAnsi" w:hAnsiTheme="minorHAnsi"/>
        </w:rPr>
        <w:t>ci</w:t>
      </w:r>
      <w:r w:rsidR="009C5867" w:rsidRPr="00B90432">
        <w:rPr>
          <w:rFonts w:asciiTheme="minorHAnsi" w:hAnsiTheme="minorHAnsi"/>
        </w:rPr>
        <w:t>aries and their representatives; and report on the steps taken to investigate the alleged incidents that gave rise to the adoption of said precautionary measure and thus prevent them from happening again.</w:t>
      </w:r>
      <w:r w:rsidR="009902C0" w:rsidRPr="00B90432">
        <w:rPr>
          <w:rStyle w:val="FootnoteReference"/>
          <w:rFonts w:asciiTheme="minorHAnsi" w:hAnsiTheme="minorHAnsi"/>
          <w:sz w:val="22"/>
          <w:szCs w:val="22"/>
        </w:rPr>
        <w:footnoteReference w:id="332"/>
      </w:r>
    </w:p>
    <w:p w14:paraId="1C84A1E5" w14:textId="77777777" w:rsidR="00FF5978" w:rsidRPr="00B90432" w:rsidRDefault="00D11143" w:rsidP="006F4717">
      <w:pPr>
        <w:pStyle w:val="Numberedparagraphs"/>
        <w:rPr>
          <w:rFonts w:asciiTheme="minorHAnsi" w:hAnsiTheme="minorHAnsi"/>
        </w:rPr>
      </w:pPr>
      <w:r w:rsidRPr="00B90432">
        <w:rPr>
          <w:rFonts w:asciiTheme="minorHAnsi" w:hAnsiTheme="minorHAnsi"/>
        </w:rPr>
        <w:t xml:space="preserve">The Commission also learned of </w:t>
      </w:r>
      <w:r w:rsidR="00A06611" w:rsidRPr="00B90432">
        <w:rPr>
          <w:rFonts w:asciiTheme="minorHAnsi" w:hAnsiTheme="minorHAnsi"/>
        </w:rPr>
        <w:t>hard</w:t>
      </w:r>
      <w:r w:rsidR="000C1D44" w:rsidRPr="00B90432">
        <w:rPr>
          <w:rFonts w:asciiTheme="minorHAnsi" w:hAnsiTheme="minorHAnsi"/>
        </w:rPr>
        <w:t>-hitting</w:t>
      </w:r>
      <w:r w:rsidR="007B1436" w:rsidRPr="00B90432">
        <w:rPr>
          <w:rFonts w:asciiTheme="minorHAnsi" w:hAnsiTheme="minorHAnsi"/>
        </w:rPr>
        <w:t xml:space="preserve"> stigmatization campaigns in the media and on social networks branding justice operators as “guerrilla members” or “detractors of development,” together with other strategies of intimidation, including repeatedly </w:t>
      </w:r>
      <w:r w:rsidR="00023407" w:rsidRPr="00B90432">
        <w:rPr>
          <w:rFonts w:asciiTheme="minorHAnsi" w:hAnsiTheme="minorHAnsi"/>
        </w:rPr>
        <w:t>subjecting operators</w:t>
      </w:r>
      <w:r w:rsidR="007B1436" w:rsidRPr="00B90432">
        <w:rPr>
          <w:rFonts w:asciiTheme="minorHAnsi" w:hAnsiTheme="minorHAnsi"/>
        </w:rPr>
        <w:t xml:space="preserve"> to groundless disciplinary and/or criminal proceedings and threats through written messages and telephone calls.</w:t>
      </w:r>
      <w:r w:rsidR="009902C0" w:rsidRPr="00B90432">
        <w:rPr>
          <w:rFonts w:asciiTheme="minorHAnsi" w:hAnsiTheme="minorHAnsi"/>
          <w:vertAlign w:val="superscript"/>
        </w:rPr>
        <w:footnoteReference w:id="333"/>
      </w:r>
      <w:r w:rsidR="005561F8" w:rsidRPr="00B90432">
        <w:rPr>
          <w:rFonts w:asciiTheme="minorHAnsi" w:hAnsiTheme="minorHAnsi"/>
        </w:rPr>
        <w:t xml:space="preserve"> During the hearing on “</w:t>
      </w:r>
      <w:r w:rsidR="00EA0FCA" w:rsidRPr="00B90432">
        <w:rPr>
          <w:rFonts w:asciiTheme="minorHAnsi" w:hAnsiTheme="minorHAnsi"/>
        </w:rPr>
        <w:t>Denunciations</w:t>
      </w:r>
      <w:r w:rsidR="005561F8" w:rsidRPr="00B90432">
        <w:rPr>
          <w:rFonts w:asciiTheme="minorHAnsi" w:hAnsiTheme="minorHAnsi"/>
        </w:rPr>
        <w:t xml:space="preserve"> of </w:t>
      </w:r>
      <w:r w:rsidR="005561F8" w:rsidRPr="00B90432">
        <w:rPr>
          <w:rFonts w:asciiTheme="minorHAnsi" w:hAnsiTheme="minorHAnsi"/>
        </w:rPr>
        <w:lastRenderedPageBreak/>
        <w:t xml:space="preserve">threats to judicial independence in </w:t>
      </w:r>
      <w:r w:rsidR="009902C0" w:rsidRPr="00B90432">
        <w:rPr>
          <w:rFonts w:asciiTheme="minorHAnsi" w:hAnsiTheme="minorHAnsi"/>
        </w:rPr>
        <w:t>Guatemala</w:t>
      </w:r>
      <w:r w:rsidR="005561F8" w:rsidRPr="00B90432">
        <w:rPr>
          <w:rFonts w:asciiTheme="minorHAnsi" w:hAnsiTheme="minorHAnsi"/>
        </w:rPr>
        <w:t xml:space="preserve">,” held on September </w:t>
      </w:r>
      <w:r w:rsidR="009902C0" w:rsidRPr="00B90432">
        <w:rPr>
          <w:rFonts w:asciiTheme="minorHAnsi" w:hAnsiTheme="minorHAnsi"/>
        </w:rPr>
        <w:t>7</w:t>
      </w:r>
      <w:r w:rsidR="005561F8" w:rsidRPr="00B90432">
        <w:rPr>
          <w:rFonts w:asciiTheme="minorHAnsi" w:hAnsiTheme="minorHAnsi"/>
        </w:rPr>
        <w:t>,</w:t>
      </w:r>
      <w:r w:rsidR="009902C0" w:rsidRPr="00B90432">
        <w:rPr>
          <w:rFonts w:asciiTheme="minorHAnsi" w:hAnsiTheme="minorHAnsi"/>
        </w:rPr>
        <w:t xml:space="preserve"> 2017</w:t>
      </w:r>
      <w:r w:rsidR="00BF659D" w:rsidRPr="00B90432">
        <w:rPr>
          <w:rFonts w:asciiTheme="minorHAnsi" w:hAnsiTheme="minorHAnsi"/>
        </w:rPr>
        <w:t>, during the 164</w:t>
      </w:r>
      <w:r w:rsidR="00BF659D" w:rsidRPr="00B90432">
        <w:rPr>
          <w:rFonts w:asciiTheme="minorHAnsi" w:hAnsiTheme="minorHAnsi"/>
          <w:vertAlign w:val="superscript"/>
        </w:rPr>
        <w:t>th</w:t>
      </w:r>
      <w:r w:rsidR="00BF659D" w:rsidRPr="00B90432">
        <w:rPr>
          <w:rFonts w:asciiTheme="minorHAnsi" w:hAnsiTheme="minorHAnsi"/>
        </w:rPr>
        <w:t xml:space="preserve"> Special Session in Mexico City, Mexico, the IACHR heard directly from operator of justice </w:t>
      </w:r>
      <w:r w:rsidR="00682DD8" w:rsidRPr="00B90432">
        <w:rPr>
          <w:rFonts w:asciiTheme="minorHAnsi" w:hAnsiTheme="minorHAnsi"/>
        </w:rPr>
        <w:t>Carmen Leonor Maldonado Cambra about an attempt on her life on February 9, 2017, where she was seriously wounded by gun shots.</w:t>
      </w:r>
      <w:r w:rsidR="009902C0" w:rsidRPr="00B90432">
        <w:rPr>
          <w:rStyle w:val="FootnoteReference"/>
          <w:rFonts w:asciiTheme="minorHAnsi" w:hAnsiTheme="minorHAnsi"/>
          <w:sz w:val="22"/>
          <w:szCs w:val="22"/>
        </w:rPr>
        <w:footnoteReference w:id="334"/>
      </w:r>
      <w:r w:rsidR="009902C0" w:rsidRPr="00B90432">
        <w:rPr>
          <w:rFonts w:asciiTheme="minorHAnsi" w:hAnsiTheme="minorHAnsi"/>
        </w:rPr>
        <w:t xml:space="preserve"> </w:t>
      </w:r>
      <w:r w:rsidR="00B451DB" w:rsidRPr="00B90432">
        <w:rPr>
          <w:rFonts w:asciiTheme="minorHAnsi" w:hAnsiTheme="minorHAnsi"/>
        </w:rPr>
        <w:t xml:space="preserve">According to the account of prosecutor </w:t>
      </w:r>
      <w:r w:rsidR="009902C0" w:rsidRPr="00B90432">
        <w:rPr>
          <w:rFonts w:asciiTheme="minorHAnsi" w:hAnsiTheme="minorHAnsi"/>
        </w:rPr>
        <w:t xml:space="preserve">Maldonado Cambra, </w:t>
      </w:r>
      <w:r w:rsidR="00B451DB" w:rsidRPr="00B90432">
        <w:rPr>
          <w:rFonts w:asciiTheme="minorHAnsi" w:hAnsiTheme="minorHAnsi"/>
        </w:rPr>
        <w:t xml:space="preserve">the PDH had requested perimeter security on her behalf, but the National Civilian Police failed to provide it. </w:t>
      </w:r>
      <w:r w:rsidR="007D1B65" w:rsidRPr="00B90432">
        <w:rPr>
          <w:rFonts w:asciiTheme="minorHAnsi" w:hAnsiTheme="minorHAnsi"/>
        </w:rPr>
        <w:t>The prosecutor decried that “power groups” with interests opposing human rights protection were behind the attempt.</w:t>
      </w:r>
      <w:r w:rsidR="009902C0" w:rsidRPr="00B90432">
        <w:rPr>
          <w:rStyle w:val="FootnoteReference"/>
          <w:rFonts w:asciiTheme="minorHAnsi" w:hAnsiTheme="minorHAnsi"/>
          <w:sz w:val="22"/>
          <w:szCs w:val="22"/>
        </w:rPr>
        <w:footnoteReference w:id="335"/>
      </w:r>
      <w:r w:rsidR="009902C0" w:rsidRPr="00B90432">
        <w:rPr>
          <w:rFonts w:asciiTheme="minorHAnsi" w:hAnsiTheme="minorHAnsi"/>
        </w:rPr>
        <w:t xml:space="preserve"> </w:t>
      </w:r>
    </w:p>
    <w:p w14:paraId="2743948D" w14:textId="77777777" w:rsidR="00FF5978" w:rsidRPr="00B90432" w:rsidRDefault="00BA4BD4" w:rsidP="006F4717">
      <w:pPr>
        <w:pStyle w:val="Numberedparagraphs"/>
        <w:rPr>
          <w:rFonts w:asciiTheme="minorHAnsi" w:hAnsiTheme="minorHAnsi"/>
        </w:rPr>
      </w:pPr>
      <w:r w:rsidRPr="00B90432">
        <w:rPr>
          <w:rFonts w:asciiTheme="minorHAnsi" w:hAnsiTheme="minorHAnsi"/>
        </w:rPr>
        <w:t xml:space="preserve">According to information received by the IACHR in early 2017, during the criminal proceedings against her son and other defendants, former magistrate </w:t>
      </w:r>
      <w:r w:rsidR="00FF5978" w:rsidRPr="00B90432">
        <w:rPr>
          <w:rFonts w:asciiTheme="minorHAnsi" w:hAnsiTheme="minorHAnsi"/>
        </w:rPr>
        <w:t xml:space="preserve">Blanca Stalling </w:t>
      </w:r>
      <w:r w:rsidRPr="00B90432">
        <w:rPr>
          <w:rFonts w:asciiTheme="minorHAnsi" w:hAnsiTheme="minorHAnsi"/>
        </w:rPr>
        <w:t xml:space="preserve">attempted to wield her influence over one of the judges of the sentencing court that was presiding over the case, Judge </w:t>
      </w:r>
      <w:r w:rsidR="00FF5978" w:rsidRPr="00B90432">
        <w:rPr>
          <w:rFonts w:asciiTheme="minorHAnsi" w:hAnsiTheme="minorHAnsi"/>
        </w:rPr>
        <w:t xml:space="preserve">Carlos Ruano, </w:t>
      </w:r>
      <w:r w:rsidRPr="00B90432">
        <w:rPr>
          <w:rFonts w:asciiTheme="minorHAnsi" w:hAnsiTheme="minorHAnsi"/>
        </w:rPr>
        <w:t xml:space="preserve">member of the Guatemalan Association of Judges for Integrity </w:t>
      </w:r>
      <w:r w:rsidR="00FF5978" w:rsidRPr="00B90432">
        <w:rPr>
          <w:rFonts w:asciiTheme="minorHAnsi" w:hAnsiTheme="minorHAnsi"/>
        </w:rPr>
        <w:t xml:space="preserve">(AGJI). </w:t>
      </w:r>
      <w:r w:rsidR="00FD4039" w:rsidRPr="00B90432">
        <w:rPr>
          <w:rFonts w:asciiTheme="minorHAnsi" w:hAnsiTheme="minorHAnsi"/>
        </w:rPr>
        <w:t xml:space="preserve">Said judge reported the act to the Office of the Special Prosecutor against Impunity of the Attorney General’s Office (FECI), the CICIG and the media, which prompted a </w:t>
      </w:r>
      <w:r w:rsidR="00F66519" w:rsidRPr="00B90432">
        <w:rPr>
          <w:rFonts w:asciiTheme="minorHAnsi" w:hAnsiTheme="minorHAnsi"/>
        </w:rPr>
        <w:t xml:space="preserve">hearing to remove her immunity before the commission of inquiry of the Congress of the Republic. Because of the imminent risk to the life of judge Ruano, in January 2017, he was compelled to leave the country temporarily. However, in its investigation, the Inquiry Commission itself requested information from the General </w:t>
      </w:r>
      <w:r w:rsidR="00EA0FCA" w:rsidRPr="00B90432">
        <w:rPr>
          <w:rFonts w:asciiTheme="minorHAnsi" w:hAnsiTheme="minorHAnsi"/>
        </w:rPr>
        <w:t>Directorate</w:t>
      </w:r>
      <w:r w:rsidR="00F66519" w:rsidRPr="00B90432">
        <w:rPr>
          <w:rFonts w:asciiTheme="minorHAnsi" w:hAnsiTheme="minorHAnsi"/>
        </w:rPr>
        <w:t xml:space="preserve"> of Migration about Judge Ruano, whereby the location where he was living as a security measure was made public, placing him at even great</w:t>
      </w:r>
      <w:r w:rsidR="00714B31" w:rsidRPr="00B90432">
        <w:rPr>
          <w:rFonts w:asciiTheme="minorHAnsi" w:hAnsiTheme="minorHAnsi"/>
        </w:rPr>
        <w:t>er</w:t>
      </w:r>
      <w:r w:rsidR="00F66519" w:rsidRPr="00B90432">
        <w:rPr>
          <w:rFonts w:asciiTheme="minorHAnsi" w:hAnsiTheme="minorHAnsi"/>
        </w:rPr>
        <w:t xml:space="preserve"> risk, according to the organizations.</w:t>
      </w:r>
      <w:r w:rsidR="00FF5978" w:rsidRPr="00B90432">
        <w:rPr>
          <w:rFonts w:asciiTheme="minorHAnsi" w:hAnsiTheme="minorHAnsi"/>
          <w:vertAlign w:val="superscript"/>
        </w:rPr>
        <w:footnoteReference w:id="336"/>
      </w:r>
    </w:p>
    <w:p w14:paraId="66A6AE33" w14:textId="77777777" w:rsidR="008D01CA" w:rsidRPr="00B90432" w:rsidRDefault="003067A1" w:rsidP="006F4717">
      <w:pPr>
        <w:pStyle w:val="Numberedparagraphs"/>
        <w:rPr>
          <w:rFonts w:asciiTheme="minorHAnsi" w:hAnsiTheme="minorHAnsi"/>
        </w:rPr>
      </w:pPr>
      <w:r w:rsidRPr="00B90432">
        <w:rPr>
          <w:rFonts w:asciiTheme="minorHAnsi" w:hAnsiTheme="minorHAnsi"/>
        </w:rPr>
        <w:t xml:space="preserve">The Inter-American Court of Human </w:t>
      </w:r>
      <w:r w:rsidR="00DF7168" w:rsidRPr="00B90432">
        <w:rPr>
          <w:rFonts w:asciiTheme="minorHAnsi" w:hAnsiTheme="minorHAnsi"/>
        </w:rPr>
        <w:t xml:space="preserve">Rights has held in its legal precedents </w:t>
      </w:r>
      <w:r w:rsidRPr="00B90432">
        <w:rPr>
          <w:rFonts w:asciiTheme="minorHAnsi" w:hAnsiTheme="minorHAnsi"/>
        </w:rPr>
        <w:t>that States must</w:t>
      </w:r>
      <w:r w:rsidR="00DF7168" w:rsidRPr="00B90432">
        <w:rPr>
          <w:rFonts w:asciiTheme="minorHAnsi" w:hAnsiTheme="minorHAnsi"/>
        </w:rPr>
        <w:t xml:space="preserve"> ensure that judicial officers, prosecutors, investigators and other justice officials have an adequate security and protection system</w:t>
      </w:r>
      <w:r w:rsidRPr="00B90432">
        <w:rPr>
          <w:rFonts w:asciiTheme="minorHAnsi" w:hAnsiTheme="minorHAnsi"/>
        </w:rPr>
        <w:t xml:space="preserve"> </w:t>
      </w:r>
      <w:r w:rsidR="00DF7168" w:rsidRPr="00B90432">
        <w:rPr>
          <w:rFonts w:asciiTheme="minorHAnsi" w:hAnsiTheme="minorHAnsi"/>
        </w:rPr>
        <w:t>that takes into account the circumstances of the cases under their jurisdiction and their places of work so that they may perform their duties with due diligence.</w:t>
      </w:r>
      <w:r w:rsidR="00617BF5" w:rsidRPr="00B90432">
        <w:rPr>
          <w:rFonts w:asciiTheme="minorHAnsi" w:hAnsiTheme="minorHAnsi"/>
          <w:vertAlign w:val="superscript"/>
        </w:rPr>
        <w:footnoteReference w:id="337"/>
      </w:r>
      <w:r w:rsidR="00467BA9" w:rsidRPr="00B90432">
        <w:rPr>
          <w:rFonts w:asciiTheme="minorHAnsi" w:hAnsiTheme="minorHAnsi"/>
        </w:rPr>
        <w:t xml:space="preserve"> The IACHR reiterates that it is the duty of the State of Guatemala to protect </w:t>
      </w:r>
      <w:r w:rsidR="00506216" w:rsidRPr="00B90432">
        <w:rPr>
          <w:rFonts w:asciiTheme="minorHAnsi" w:hAnsiTheme="minorHAnsi"/>
        </w:rPr>
        <w:t xml:space="preserve">its </w:t>
      </w:r>
      <w:r w:rsidR="00467BA9" w:rsidRPr="00B90432">
        <w:rPr>
          <w:rFonts w:asciiTheme="minorHAnsi" w:hAnsiTheme="minorHAnsi"/>
        </w:rPr>
        <w:t xml:space="preserve">justice operators from attacks, acts of intimidation, threats and harassment, </w:t>
      </w:r>
      <w:r w:rsidR="00506216" w:rsidRPr="00B90432">
        <w:rPr>
          <w:rFonts w:asciiTheme="minorHAnsi" w:hAnsiTheme="minorHAnsi"/>
        </w:rPr>
        <w:t xml:space="preserve">and to investigate </w:t>
      </w:r>
      <w:r w:rsidR="00467BA9" w:rsidRPr="00B90432">
        <w:rPr>
          <w:rFonts w:asciiTheme="minorHAnsi" w:hAnsiTheme="minorHAnsi"/>
        </w:rPr>
        <w:t xml:space="preserve">those who </w:t>
      </w:r>
      <w:r w:rsidR="00506216" w:rsidRPr="00B90432">
        <w:rPr>
          <w:rFonts w:asciiTheme="minorHAnsi" w:hAnsiTheme="minorHAnsi"/>
        </w:rPr>
        <w:t xml:space="preserve">violate </w:t>
      </w:r>
      <w:r w:rsidR="00467BA9" w:rsidRPr="00B90432">
        <w:rPr>
          <w:rFonts w:asciiTheme="minorHAnsi" w:hAnsiTheme="minorHAnsi"/>
        </w:rPr>
        <w:t xml:space="preserve">their </w:t>
      </w:r>
      <w:r w:rsidR="00506216" w:rsidRPr="00B90432">
        <w:rPr>
          <w:rFonts w:asciiTheme="minorHAnsi" w:hAnsiTheme="minorHAnsi"/>
        </w:rPr>
        <w:t>rights and effectively punish</w:t>
      </w:r>
      <w:r w:rsidR="00467BA9" w:rsidRPr="00B90432">
        <w:rPr>
          <w:rFonts w:asciiTheme="minorHAnsi" w:hAnsiTheme="minorHAnsi"/>
        </w:rPr>
        <w:t xml:space="preserve"> them. </w:t>
      </w:r>
      <w:r w:rsidR="001C5EEC" w:rsidRPr="00B90432">
        <w:rPr>
          <w:rFonts w:asciiTheme="minorHAnsi" w:hAnsiTheme="minorHAnsi"/>
        </w:rPr>
        <w:t xml:space="preserve">If States </w:t>
      </w:r>
      <w:r w:rsidR="0083402E" w:rsidRPr="00B90432">
        <w:rPr>
          <w:rFonts w:asciiTheme="minorHAnsi" w:hAnsiTheme="minorHAnsi"/>
        </w:rPr>
        <w:t xml:space="preserve">fail to guarantee the safety of their justice operators from every </w:t>
      </w:r>
      <w:r w:rsidR="001C5EEC" w:rsidRPr="00B90432">
        <w:rPr>
          <w:rFonts w:asciiTheme="minorHAnsi" w:hAnsiTheme="minorHAnsi"/>
        </w:rPr>
        <w:t xml:space="preserve">type of external and internal pressure, including </w:t>
      </w:r>
      <w:r w:rsidR="0083402E" w:rsidRPr="00B90432">
        <w:rPr>
          <w:rFonts w:asciiTheme="minorHAnsi" w:hAnsiTheme="minorHAnsi"/>
        </w:rPr>
        <w:t xml:space="preserve">reprisals directly aimed at attacking their person </w:t>
      </w:r>
      <w:r w:rsidR="001C5EEC" w:rsidRPr="00B90432">
        <w:rPr>
          <w:rFonts w:asciiTheme="minorHAnsi" w:hAnsiTheme="minorHAnsi"/>
        </w:rPr>
        <w:t xml:space="preserve">and </w:t>
      </w:r>
      <w:r w:rsidR="0083402E" w:rsidRPr="00B90432">
        <w:rPr>
          <w:rFonts w:asciiTheme="minorHAnsi" w:hAnsiTheme="minorHAnsi"/>
        </w:rPr>
        <w:t>family</w:t>
      </w:r>
      <w:r w:rsidR="001C5EEC" w:rsidRPr="00B90432">
        <w:rPr>
          <w:rFonts w:asciiTheme="minorHAnsi" w:hAnsiTheme="minorHAnsi"/>
        </w:rPr>
        <w:t xml:space="preserve">, </w:t>
      </w:r>
      <w:r w:rsidR="00B615CB" w:rsidRPr="00B90432">
        <w:rPr>
          <w:rFonts w:asciiTheme="minorHAnsi" w:hAnsiTheme="minorHAnsi"/>
        </w:rPr>
        <w:t xml:space="preserve">the </w:t>
      </w:r>
      <w:r w:rsidR="00B615CB" w:rsidRPr="00B90432">
        <w:rPr>
          <w:rFonts w:asciiTheme="minorHAnsi" w:hAnsiTheme="minorHAnsi"/>
        </w:rPr>
        <w:lastRenderedPageBreak/>
        <w:t>exercise of judicial function may be gravely affected, access to justice</w:t>
      </w:r>
      <w:r w:rsidR="002F67B9" w:rsidRPr="00B90432">
        <w:rPr>
          <w:rFonts w:asciiTheme="minorHAnsi" w:hAnsiTheme="minorHAnsi"/>
        </w:rPr>
        <w:t xml:space="preserve"> impeded</w:t>
      </w:r>
      <w:r w:rsidR="00B615CB" w:rsidRPr="00B90432">
        <w:rPr>
          <w:rFonts w:asciiTheme="minorHAnsi" w:hAnsiTheme="minorHAnsi"/>
        </w:rPr>
        <w:t>, and the rule of law weakened</w:t>
      </w:r>
      <w:r w:rsidR="00A90A4B" w:rsidRPr="00B90432">
        <w:rPr>
          <w:rFonts w:asciiTheme="minorHAnsi" w:hAnsiTheme="minorHAnsi"/>
        </w:rPr>
        <w:t>.</w:t>
      </w:r>
      <w:r w:rsidR="00617BF5" w:rsidRPr="00B90432">
        <w:rPr>
          <w:rFonts w:asciiTheme="minorHAnsi" w:hAnsiTheme="minorHAnsi"/>
          <w:vertAlign w:val="superscript"/>
        </w:rPr>
        <w:footnoteReference w:id="338"/>
      </w:r>
    </w:p>
    <w:p w14:paraId="2375D796" w14:textId="77777777" w:rsidR="008D01CA" w:rsidRPr="00B90432" w:rsidRDefault="00AA0863" w:rsidP="006F4717">
      <w:pPr>
        <w:pStyle w:val="Numberedparagraphs"/>
        <w:rPr>
          <w:rFonts w:asciiTheme="minorHAnsi" w:hAnsiTheme="minorHAnsi"/>
        </w:rPr>
      </w:pPr>
      <w:r w:rsidRPr="00B90432">
        <w:rPr>
          <w:rFonts w:asciiTheme="minorHAnsi" w:hAnsiTheme="minorHAnsi"/>
        </w:rPr>
        <w:t>In 2011, the Guatema</w:t>
      </w:r>
      <w:r w:rsidR="007D3199" w:rsidRPr="00B90432">
        <w:rPr>
          <w:rFonts w:asciiTheme="minorHAnsi" w:hAnsiTheme="minorHAnsi"/>
        </w:rPr>
        <w:t>lan State established the Unit</w:t>
      </w:r>
      <w:r w:rsidRPr="00B90432">
        <w:rPr>
          <w:rFonts w:asciiTheme="minorHAnsi" w:hAnsiTheme="minorHAnsi"/>
        </w:rPr>
        <w:t xml:space="preserve"> for C</w:t>
      </w:r>
      <w:r w:rsidR="007D3199" w:rsidRPr="00B90432">
        <w:rPr>
          <w:rFonts w:asciiTheme="minorHAnsi" w:hAnsiTheme="minorHAnsi"/>
        </w:rPr>
        <w:t>rimes against Justice Operators</w:t>
      </w:r>
      <w:r w:rsidRPr="00B90432">
        <w:rPr>
          <w:rFonts w:asciiTheme="minorHAnsi" w:hAnsiTheme="minorHAnsi"/>
        </w:rPr>
        <w:t xml:space="preserve"> within the Office of the Prosecutor for Human Rights under the Public Prosecutor’s Office. The IACHR received information indicating th</w:t>
      </w:r>
      <w:r w:rsidR="007D3199" w:rsidRPr="00B90432">
        <w:rPr>
          <w:rFonts w:asciiTheme="minorHAnsi" w:hAnsiTheme="minorHAnsi"/>
        </w:rPr>
        <w:t>a</w:t>
      </w:r>
      <w:r w:rsidRPr="00B90432">
        <w:rPr>
          <w:rFonts w:asciiTheme="minorHAnsi" w:hAnsiTheme="minorHAnsi"/>
        </w:rPr>
        <w:t xml:space="preserve">t this unit </w:t>
      </w:r>
      <w:r w:rsidR="00783BA5" w:rsidRPr="00B90432">
        <w:rPr>
          <w:rFonts w:asciiTheme="minorHAnsi" w:hAnsiTheme="minorHAnsi"/>
        </w:rPr>
        <w:t>is underfunded and thus is unable to fulfill its mandate, and the staff is not properly trained.</w:t>
      </w:r>
      <w:r w:rsidR="008D01CA" w:rsidRPr="00B90432">
        <w:rPr>
          <w:rStyle w:val="FootnoteReference"/>
          <w:rFonts w:asciiTheme="minorHAnsi" w:hAnsiTheme="minorHAnsi"/>
          <w:sz w:val="22"/>
          <w:szCs w:val="22"/>
        </w:rPr>
        <w:footnoteReference w:id="339"/>
      </w:r>
      <w:r w:rsidR="008D01CA" w:rsidRPr="00B90432">
        <w:rPr>
          <w:rFonts w:asciiTheme="minorHAnsi" w:hAnsiTheme="minorHAnsi"/>
        </w:rPr>
        <w:t xml:space="preserve"> </w:t>
      </w:r>
      <w:r w:rsidR="007D3199" w:rsidRPr="00B90432">
        <w:rPr>
          <w:rFonts w:asciiTheme="minorHAnsi" w:hAnsiTheme="minorHAnsi"/>
        </w:rPr>
        <w:t>Information was also received that justice operators have been subjected to pressure and attempts at improper interference in cases. In view of the conte</w:t>
      </w:r>
      <w:r w:rsidR="00C667DC" w:rsidRPr="00B90432">
        <w:rPr>
          <w:rFonts w:asciiTheme="minorHAnsi" w:hAnsiTheme="minorHAnsi"/>
        </w:rPr>
        <w:t>x</w:t>
      </w:r>
      <w:r w:rsidR="007D3199" w:rsidRPr="00B90432">
        <w:rPr>
          <w:rFonts w:asciiTheme="minorHAnsi" w:hAnsiTheme="minorHAnsi"/>
        </w:rPr>
        <w:t>t of pressure and intimidation to which justice operators are subjected in Guatemala, as reflected in the number of precautionary measures requested on their behalf, the Commission urges the State to strengthen the work of said Unit and recognize the importance</w:t>
      </w:r>
      <w:r w:rsidR="00F35801" w:rsidRPr="00B90432">
        <w:rPr>
          <w:rFonts w:asciiTheme="minorHAnsi" w:hAnsiTheme="minorHAnsi"/>
        </w:rPr>
        <w:t xml:space="preserve"> of its functions to guarantee the right of access to justice as well as to due process of law. </w:t>
      </w:r>
      <w:r w:rsidR="007D3199" w:rsidRPr="00B90432">
        <w:rPr>
          <w:rFonts w:asciiTheme="minorHAnsi" w:hAnsiTheme="minorHAnsi"/>
        </w:rPr>
        <w:t xml:space="preserve"> </w:t>
      </w:r>
    </w:p>
    <w:p w14:paraId="7ADC4F09" w14:textId="77777777" w:rsidR="00F03A31" w:rsidRPr="00B90432" w:rsidRDefault="007C0614" w:rsidP="006F4717">
      <w:pPr>
        <w:pStyle w:val="Numberedparagraphs"/>
        <w:rPr>
          <w:rFonts w:asciiTheme="minorHAnsi" w:hAnsiTheme="minorHAnsi"/>
        </w:rPr>
      </w:pPr>
      <w:r w:rsidRPr="00B90432">
        <w:rPr>
          <w:rFonts w:asciiTheme="minorHAnsi" w:hAnsiTheme="minorHAnsi"/>
        </w:rPr>
        <w:t xml:space="preserve">The </w:t>
      </w:r>
      <w:r w:rsidR="00F5379D" w:rsidRPr="00B90432">
        <w:rPr>
          <w:rFonts w:asciiTheme="minorHAnsi" w:hAnsiTheme="minorHAnsi"/>
        </w:rPr>
        <w:t xml:space="preserve">Commission </w:t>
      </w:r>
      <w:r w:rsidRPr="00B90432">
        <w:rPr>
          <w:rFonts w:asciiTheme="minorHAnsi" w:hAnsiTheme="minorHAnsi"/>
        </w:rPr>
        <w:t xml:space="preserve">finds that to strengthen the institutional independence of the judicial branch and of the prosecution service and public defender service, they must be </w:t>
      </w:r>
      <w:r w:rsidR="00525BEB" w:rsidRPr="00B90432">
        <w:rPr>
          <w:rFonts w:asciiTheme="minorHAnsi" w:hAnsiTheme="minorHAnsi"/>
        </w:rPr>
        <w:t xml:space="preserve">statutorily </w:t>
      </w:r>
      <w:r w:rsidRPr="00B90432">
        <w:rPr>
          <w:rFonts w:asciiTheme="minorHAnsi" w:hAnsiTheme="minorHAnsi"/>
        </w:rPr>
        <w:t>provided with stable and sufficient resources</w:t>
      </w:r>
      <w:r w:rsidR="00525BEB" w:rsidRPr="00B90432">
        <w:rPr>
          <w:rFonts w:asciiTheme="minorHAnsi" w:hAnsiTheme="minorHAnsi"/>
        </w:rPr>
        <w:t xml:space="preserve"> </w:t>
      </w:r>
      <w:r w:rsidR="00625714" w:rsidRPr="00B90432">
        <w:rPr>
          <w:rFonts w:asciiTheme="minorHAnsi" w:hAnsiTheme="minorHAnsi"/>
        </w:rPr>
        <w:t xml:space="preserve">to enable them to perform their functions of protecting and ensuring the right of access to justice. </w:t>
      </w:r>
      <w:r w:rsidR="00F828C1" w:rsidRPr="00B90432">
        <w:rPr>
          <w:rFonts w:asciiTheme="minorHAnsi" w:hAnsiTheme="minorHAnsi"/>
        </w:rPr>
        <w:t xml:space="preserve">Moreover, their budgets must be periodically reviewed with a view toward progressive increase. </w:t>
      </w:r>
      <w:r w:rsidR="006763D5" w:rsidRPr="00B90432">
        <w:rPr>
          <w:rFonts w:asciiTheme="minorHAnsi" w:hAnsiTheme="minorHAnsi"/>
        </w:rPr>
        <w:t>There must be a procedure in place to enable the entity concerned to participate in any change or modification of its budget and it must have assurances that it can execute and manage its own budget or that such authority will be vested in the respective organ of government.</w:t>
      </w:r>
      <w:r w:rsidR="00617BF5" w:rsidRPr="00B90432">
        <w:rPr>
          <w:rFonts w:asciiTheme="minorHAnsi" w:hAnsiTheme="minorHAnsi"/>
          <w:vertAlign w:val="superscript"/>
        </w:rPr>
        <w:footnoteReference w:id="340"/>
      </w:r>
    </w:p>
    <w:p w14:paraId="46793EFD" w14:textId="77777777" w:rsidR="0004096F" w:rsidRDefault="0004096F" w:rsidP="006F4717">
      <w:pPr>
        <w:pStyle w:val="Numberedparagraphs"/>
        <w:numPr>
          <w:ilvl w:val="0"/>
          <w:numId w:val="0"/>
        </w:numPr>
        <w:ind w:left="547" w:hanging="547"/>
        <w:rPr>
          <w:rFonts w:asciiTheme="minorHAnsi" w:hAnsiTheme="minorHAnsi"/>
        </w:rPr>
        <w:sectPr w:rsidR="0004096F" w:rsidSect="00450424">
          <w:headerReference w:type="default" r:id="rId43"/>
          <w:footerReference w:type="default" r:id="rId44"/>
          <w:type w:val="oddPage"/>
          <w:pgSz w:w="10080" w:h="14400" w:code="13"/>
          <w:pgMar w:top="1152" w:right="1152" w:bottom="1152" w:left="1296" w:header="720" w:footer="720" w:gutter="0"/>
          <w:cols w:space="720"/>
          <w:docGrid w:linePitch="360"/>
        </w:sectPr>
      </w:pPr>
    </w:p>
    <w:p w14:paraId="0E52D14D" w14:textId="1A34328B" w:rsidR="00B81B84" w:rsidRPr="00B81B84" w:rsidRDefault="00B81B84" w:rsidP="00B81B84">
      <w:pPr>
        <w:pStyle w:val="Title"/>
        <w:rPr>
          <w:color w:val="808080" w:themeColor="background1" w:themeShade="80"/>
          <w:sz w:val="44"/>
          <w:szCs w:val="44"/>
          <w:lang w:val="en-US"/>
        </w:rPr>
      </w:pPr>
      <w:bookmarkStart w:id="49" w:name="_Toc509827651"/>
      <w:r w:rsidRPr="00B81B84">
        <w:rPr>
          <w:color w:val="808080" w:themeColor="background1" w:themeShade="80"/>
          <w:sz w:val="44"/>
          <w:szCs w:val="44"/>
          <w:lang w:val="en-US"/>
        </w:rPr>
        <w:lastRenderedPageBreak/>
        <w:t>CHAPTER 4</w:t>
      </w:r>
      <w:bookmarkEnd w:id="49"/>
    </w:p>
    <w:p w14:paraId="20A66F5D" w14:textId="73F80E8B" w:rsidR="0004096F" w:rsidRPr="00B81B84" w:rsidRDefault="00B81B84" w:rsidP="00B81B84">
      <w:pPr>
        <w:pStyle w:val="Title"/>
        <w:rPr>
          <w:lang w:val="en-US"/>
        </w:rPr>
        <w:sectPr w:rsidR="0004096F" w:rsidRPr="00B81B84" w:rsidSect="00B81B84">
          <w:headerReference w:type="default" r:id="rId45"/>
          <w:footerReference w:type="default" r:id="rId46"/>
          <w:type w:val="oddPage"/>
          <w:pgSz w:w="10080" w:h="14400" w:code="13"/>
          <w:pgMar w:top="1152" w:right="1152" w:bottom="1152" w:left="1296" w:header="720" w:footer="720" w:gutter="0"/>
          <w:cols w:space="720"/>
          <w:vAlign w:val="center"/>
          <w:docGrid w:linePitch="360"/>
        </w:sectPr>
      </w:pPr>
      <w:bookmarkStart w:id="50" w:name="_Toc509827652"/>
      <w:r w:rsidRPr="00B81B84">
        <w:rPr>
          <w:lang w:val="en-US"/>
        </w:rPr>
        <w:t>INTERNALLY DISPLACED PERSONS, MIGRANTS, ASYLUM-SEEKERS, REFUGEES, AND VICTIMS OF HUMAN TRAFFICKING IN GUATEMALA</w:t>
      </w:r>
      <w:bookmarkEnd w:id="50"/>
    </w:p>
    <w:p w14:paraId="70D0F94A" w14:textId="34725151" w:rsidR="006243A1" w:rsidRPr="0004096F" w:rsidRDefault="006243A1" w:rsidP="003D17BA">
      <w:pPr>
        <w:pStyle w:val="Heading1"/>
        <w:rPr>
          <w:lang w:val="en-US"/>
        </w:rPr>
      </w:pPr>
      <w:bookmarkStart w:id="51" w:name="_Toc509827653"/>
      <w:r w:rsidRPr="0004096F">
        <w:rPr>
          <w:lang w:val="en-US"/>
        </w:rPr>
        <w:lastRenderedPageBreak/>
        <w:t>INTERNALLY DISPLACED PERSONS, MIGRANTS, ASYLUM-SEEKERS, REFUGEES, AND VICTIMS OF HUMAN TRAFFICKING IN GUATEMALA</w:t>
      </w:r>
      <w:bookmarkEnd w:id="51"/>
      <w:r w:rsidRPr="0004096F">
        <w:rPr>
          <w:lang w:val="en-US"/>
        </w:rPr>
        <w:t xml:space="preserve"> </w:t>
      </w:r>
    </w:p>
    <w:p w14:paraId="1BF870D0" w14:textId="77777777" w:rsidR="006243A1" w:rsidRPr="00B90432" w:rsidRDefault="006243A1" w:rsidP="00BE721D">
      <w:pPr>
        <w:pStyle w:val="Numberedparagraphs"/>
        <w:rPr>
          <w:rFonts w:asciiTheme="minorHAnsi" w:hAnsiTheme="minorHAnsi"/>
        </w:rPr>
      </w:pPr>
      <w:r w:rsidRPr="00B90432">
        <w:rPr>
          <w:rFonts w:asciiTheme="minorHAnsi" w:hAnsiTheme="minorHAnsi"/>
        </w:rPr>
        <w:t>Guatemala is a country of origin, transit, destination and return of migrants. The prevailing trend in the country is migration to other countries.</w:t>
      </w:r>
      <w:r w:rsidRPr="00B90432">
        <w:rPr>
          <w:rStyle w:val="FootnoteReference"/>
          <w:rFonts w:asciiTheme="minorHAnsi" w:hAnsiTheme="minorHAnsi"/>
          <w:sz w:val="22"/>
          <w:szCs w:val="22"/>
        </w:rPr>
        <w:footnoteReference w:id="341"/>
      </w:r>
      <w:r w:rsidRPr="00B90432">
        <w:rPr>
          <w:rFonts w:asciiTheme="minorHAnsi" w:hAnsiTheme="minorHAnsi"/>
        </w:rPr>
        <w:t xml:space="preserve">  Throughout the visit, the IACHR received extensive information about how a variety of factors have compelled tens of thousands of people </w:t>
      </w:r>
      <w:r w:rsidR="00F23747" w:rsidRPr="00B90432">
        <w:rPr>
          <w:rFonts w:asciiTheme="minorHAnsi" w:hAnsiTheme="minorHAnsi"/>
        </w:rPr>
        <w:t xml:space="preserve">over the past years </w:t>
      </w:r>
      <w:r w:rsidRPr="00B90432">
        <w:rPr>
          <w:rFonts w:asciiTheme="minorHAnsi" w:hAnsiTheme="minorHAnsi"/>
        </w:rPr>
        <w:t xml:space="preserve">to flee their homes both internally within Guatemala, and to other countries of the region, contributing in this way to the crisis of displaced persons and refugees from the </w:t>
      </w:r>
      <w:r w:rsidR="00671179" w:rsidRPr="00B90432">
        <w:rPr>
          <w:rFonts w:asciiTheme="minorHAnsi" w:hAnsiTheme="minorHAnsi"/>
        </w:rPr>
        <w:t xml:space="preserve">countries of the </w:t>
      </w:r>
      <w:r w:rsidRPr="00B90432">
        <w:rPr>
          <w:rFonts w:asciiTheme="minorHAnsi" w:hAnsiTheme="minorHAnsi"/>
        </w:rPr>
        <w:t xml:space="preserve">Northern Triangle of Central America. </w:t>
      </w:r>
    </w:p>
    <w:p w14:paraId="250CA8D1"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As was noted earlier in the report, the common thread running through the different forms of violence and displacement in Guatemala </w:t>
      </w:r>
      <w:r w:rsidR="00732296" w:rsidRPr="00B90432">
        <w:rPr>
          <w:rFonts w:asciiTheme="minorHAnsi" w:hAnsiTheme="minorHAnsi"/>
        </w:rPr>
        <w:t xml:space="preserve">for decades </w:t>
      </w:r>
      <w:r w:rsidRPr="00B90432">
        <w:rPr>
          <w:rFonts w:asciiTheme="minorHAnsi" w:hAnsiTheme="minorHAnsi"/>
        </w:rPr>
        <w:t>has been concentrated ownership and use of land and natural resources by a limited segment of society. This has gone hand and hand with different forms of discrimination and racism, the main victims of which have been members of indigenous peoples, peasants farmers (</w:t>
      </w:r>
      <w:r w:rsidRPr="00B90432">
        <w:rPr>
          <w:rFonts w:asciiTheme="minorHAnsi" w:hAnsiTheme="minorHAnsi"/>
          <w:i/>
        </w:rPr>
        <w:t>campesinos</w:t>
      </w:r>
      <w:r w:rsidRPr="00B90432">
        <w:rPr>
          <w:rFonts w:asciiTheme="minorHAnsi" w:hAnsiTheme="minorHAnsi"/>
        </w:rPr>
        <w:t>), communities, persons in situation of poverty and other populations in situations of vulnerability. Regarding this issue, the Commission notes that the Agreement on the Identity and Rights of Indigenous Peoples and the Agreement on Socioeconomic Aspects of the Agrarian Situation gave rise to the Law of Registration of Cadastral Information, Article 91 of which sets forth the obligation of the Supreme Court of Justice to create Agrarian Tribunals and for a draft law to be introduced within the shortest length of time possible, regulating the substance and procedure for the application thereof and for which the appropriate budget would be allocated.</w:t>
      </w:r>
      <w:r w:rsidRPr="00B90432">
        <w:rPr>
          <w:rStyle w:val="FootnoteReference"/>
          <w:rFonts w:asciiTheme="minorHAnsi" w:hAnsiTheme="minorHAnsi"/>
          <w:sz w:val="22"/>
          <w:szCs w:val="22"/>
        </w:rPr>
        <w:footnoteReference w:id="342"/>
      </w:r>
      <w:r w:rsidRPr="00B90432">
        <w:rPr>
          <w:rFonts w:asciiTheme="minorHAnsi" w:hAnsiTheme="minorHAnsi"/>
        </w:rPr>
        <w:t xml:space="preserve"> Notwithstanding, the IACHR was apprised of the lack of political will to comply with these commitments and, on the contrary, the Coordinating Committee of Agricultural, Commercial, Industrial and Financial Associations (CACIF) brought a suit challenging the constitutionality of this article. Consequently, the Supreme Court of Justice ordered the temporary </w:t>
      </w:r>
      <w:r w:rsidRPr="00B90432">
        <w:rPr>
          <w:rFonts w:asciiTheme="minorHAnsi" w:hAnsiTheme="minorHAnsi"/>
        </w:rPr>
        <w:lastRenderedPageBreak/>
        <w:t>stay of the effect of the law, but left in force the obligation of the agrarian tribunals and the budget allocation to them.</w:t>
      </w:r>
      <w:r w:rsidRPr="00B90432">
        <w:rPr>
          <w:rStyle w:val="FootnoteReference"/>
          <w:rFonts w:asciiTheme="minorHAnsi" w:hAnsiTheme="minorHAnsi"/>
          <w:sz w:val="22"/>
          <w:szCs w:val="22"/>
        </w:rPr>
        <w:footnoteReference w:id="343"/>
      </w:r>
      <w:r w:rsidRPr="00B90432">
        <w:rPr>
          <w:rFonts w:asciiTheme="minorHAnsi" w:hAnsiTheme="minorHAnsi"/>
        </w:rPr>
        <w:t xml:space="preserve"> </w:t>
      </w:r>
    </w:p>
    <w:p w14:paraId="71B517D0" w14:textId="02A81627" w:rsidR="006243A1" w:rsidRPr="00B90432" w:rsidRDefault="00482806" w:rsidP="0085755A">
      <w:pPr>
        <w:pStyle w:val="Heading2"/>
        <w:numPr>
          <w:ilvl w:val="0"/>
          <w:numId w:val="8"/>
        </w:numPr>
        <w:ind w:left="540" w:hanging="540"/>
      </w:pPr>
      <w:bookmarkStart w:id="52" w:name="_Toc509827654"/>
      <w:r>
        <w:t>Internal Displacement</w:t>
      </w:r>
      <w:bookmarkEnd w:id="52"/>
    </w:p>
    <w:p w14:paraId="4B5F881D"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In the context of the visit, the IACHR received ample information about the different forms of forced internal displacement in Guatemala. According to estimates of the Internal Displacement Monitoring Centre (IDMC), as of 2016, </w:t>
      </w:r>
      <w:r w:rsidR="009D1C30" w:rsidRPr="00B90432">
        <w:rPr>
          <w:rFonts w:asciiTheme="minorHAnsi" w:hAnsiTheme="minorHAnsi"/>
        </w:rPr>
        <w:t xml:space="preserve">there were </w:t>
      </w:r>
      <w:r w:rsidRPr="00B90432">
        <w:rPr>
          <w:rFonts w:asciiTheme="minorHAnsi" w:hAnsiTheme="minorHAnsi"/>
        </w:rPr>
        <w:t xml:space="preserve">257,000 </w:t>
      </w:r>
      <w:r w:rsidR="009D1C30" w:rsidRPr="00B90432">
        <w:rPr>
          <w:rFonts w:asciiTheme="minorHAnsi" w:hAnsiTheme="minorHAnsi"/>
        </w:rPr>
        <w:t xml:space="preserve">internally displaced </w:t>
      </w:r>
      <w:r w:rsidRPr="00B90432">
        <w:rPr>
          <w:rFonts w:asciiTheme="minorHAnsi" w:hAnsiTheme="minorHAnsi"/>
        </w:rPr>
        <w:t>persons.</w:t>
      </w:r>
      <w:r w:rsidRPr="00B90432">
        <w:rPr>
          <w:rStyle w:val="FootnoteReference"/>
          <w:rFonts w:asciiTheme="minorHAnsi" w:hAnsiTheme="minorHAnsi"/>
          <w:sz w:val="22"/>
          <w:szCs w:val="22"/>
        </w:rPr>
        <w:footnoteReference w:id="344"/>
      </w:r>
      <w:r w:rsidRPr="00B90432">
        <w:rPr>
          <w:rFonts w:asciiTheme="minorHAnsi" w:hAnsiTheme="minorHAnsi"/>
        </w:rPr>
        <w:t xml:space="preserve"> Based on the information received, there are multiple causes for the phenomenon of internal displacement in Guatemala. The main factors leading to forced displacement </w:t>
      </w:r>
      <w:r w:rsidR="00BB5046" w:rsidRPr="00B90432">
        <w:rPr>
          <w:rFonts w:asciiTheme="minorHAnsi" w:hAnsiTheme="minorHAnsi"/>
        </w:rPr>
        <w:t xml:space="preserve">in the country </w:t>
      </w:r>
      <w:r w:rsidRPr="00B90432">
        <w:rPr>
          <w:rFonts w:asciiTheme="minorHAnsi" w:hAnsiTheme="minorHAnsi"/>
        </w:rPr>
        <w:t>include extortion and threats, the presence of organized crime and drug trafficking activity, expansion of megaprojects and large scale business activities (such as monoculture of sugarcane and oil palm, extensive cattle ranching and expansion of grazing pastures, logging of fine wood, metal and non-metal mining, hydroelectric plants, archeological extraction, tourism), extreme poverty, social exclusion, different forms of violence such as intrafamily and gender violence,</w:t>
      </w:r>
      <w:r w:rsidRPr="00B90432">
        <w:rPr>
          <w:rStyle w:val="FootnoteReference"/>
          <w:rFonts w:asciiTheme="minorHAnsi" w:hAnsiTheme="minorHAnsi"/>
          <w:sz w:val="22"/>
          <w:szCs w:val="22"/>
        </w:rPr>
        <w:footnoteReference w:id="345"/>
      </w:r>
      <w:r w:rsidRPr="00B90432">
        <w:rPr>
          <w:rFonts w:asciiTheme="minorHAnsi" w:hAnsiTheme="minorHAnsi"/>
        </w:rPr>
        <w:t xml:space="preserve"> as well as factors linked to climate change and natural disasters.</w:t>
      </w:r>
      <w:r w:rsidRPr="00B90432">
        <w:rPr>
          <w:rStyle w:val="FootnoteReference"/>
          <w:rFonts w:asciiTheme="minorHAnsi" w:hAnsiTheme="minorHAnsi"/>
          <w:sz w:val="22"/>
          <w:szCs w:val="22"/>
        </w:rPr>
        <w:footnoteReference w:id="346"/>
      </w:r>
      <w:r w:rsidRPr="00B90432">
        <w:rPr>
          <w:rFonts w:asciiTheme="minorHAnsi" w:hAnsiTheme="minorHAnsi"/>
        </w:rPr>
        <w:t xml:space="preserve"> According to a diagnostic analysis on internal displacement written by Rafael Landívar University in 2016, this issue has been fueled by structural violence and the failure to fully implement the Peace Accords; the promotion of neoliberal policies; and the fragility of the State, which is under the influence of a military, political and economic elite, some of which is linked to illicit activities.</w:t>
      </w:r>
      <w:r w:rsidRPr="00B90432">
        <w:rPr>
          <w:rStyle w:val="FootnoteReference"/>
          <w:rFonts w:asciiTheme="minorHAnsi" w:hAnsiTheme="minorHAnsi"/>
          <w:sz w:val="22"/>
          <w:szCs w:val="22"/>
        </w:rPr>
        <w:footnoteReference w:id="347"/>
      </w:r>
      <w:r w:rsidRPr="00B90432">
        <w:rPr>
          <w:rFonts w:asciiTheme="minorHAnsi" w:hAnsiTheme="minorHAnsi"/>
        </w:rPr>
        <w:t xml:space="preserve"> </w:t>
      </w:r>
    </w:p>
    <w:p w14:paraId="2AF59CA0"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During the visit, the IACHR received information about cases of displacement stemming from the acts of illegal actors, such as </w:t>
      </w:r>
      <w:r w:rsidRPr="00B90432">
        <w:rPr>
          <w:rFonts w:asciiTheme="minorHAnsi" w:hAnsiTheme="minorHAnsi"/>
          <w:i/>
        </w:rPr>
        <w:t xml:space="preserve">maras </w:t>
      </w:r>
      <w:r w:rsidRPr="00B90432">
        <w:rPr>
          <w:rFonts w:asciiTheme="minorHAnsi" w:hAnsiTheme="minorHAnsi"/>
        </w:rPr>
        <w:t>and gangs, criminal organizations and criminals acting on their own.</w:t>
      </w:r>
      <w:r w:rsidRPr="00B90432">
        <w:rPr>
          <w:rStyle w:val="FootnoteReference"/>
          <w:rFonts w:asciiTheme="minorHAnsi" w:hAnsiTheme="minorHAnsi"/>
          <w:sz w:val="22"/>
          <w:szCs w:val="22"/>
        </w:rPr>
        <w:footnoteReference w:id="348"/>
      </w:r>
      <w:r w:rsidRPr="00B90432">
        <w:rPr>
          <w:rFonts w:asciiTheme="minorHAnsi" w:hAnsiTheme="minorHAnsi"/>
        </w:rPr>
        <w:t xml:space="preserve">  According to a study conducted by the Universidad Rafael Landívar, displaced persons fleeing these groups live mostly in the periphery of the metropolitan area of the capital city and move to nearby areas, which are </w:t>
      </w:r>
      <w:r w:rsidRPr="00B90432">
        <w:rPr>
          <w:rFonts w:asciiTheme="minorHAnsi" w:hAnsiTheme="minorHAnsi"/>
        </w:rPr>
        <w:lastRenderedPageBreak/>
        <w:t>slightly less dangerous.  Those displaced by violence lack any mechanism of protection or security for their own and their family’s safety and live in constant fear and mistrust of authorities. In many instances, these people would rather not file complaints or reports with authorities and this situation leads to impunity.</w:t>
      </w:r>
      <w:r w:rsidRPr="00B90432">
        <w:rPr>
          <w:rStyle w:val="FootnoteReference"/>
          <w:rFonts w:asciiTheme="minorHAnsi" w:hAnsiTheme="minorHAnsi"/>
          <w:sz w:val="22"/>
          <w:szCs w:val="22"/>
        </w:rPr>
        <w:footnoteReference w:id="349"/>
      </w:r>
      <w:r w:rsidRPr="00B90432">
        <w:rPr>
          <w:rFonts w:asciiTheme="minorHAnsi" w:hAnsiTheme="minorHAnsi"/>
        </w:rPr>
        <w:t xml:space="preserve"> Children and adolescents are at a higher risk of being victims of internal displacement, as well as of human trafficking for sexual or labor purposes or to be recruited by gangs and criminal organizations. The Commission also received information about cases of displacement caused by gender violence, as well as cases of displacement of the LGBTI population as a consequence of prevailing homophobic and lesbophobic attitudes.</w:t>
      </w:r>
      <w:r w:rsidRPr="00B90432">
        <w:rPr>
          <w:rStyle w:val="FootnoteReference"/>
          <w:rFonts w:asciiTheme="minorHAnsi" w:hAnsiTheme="minorHAnsi"/>
          <w:sz w:val="22"/>
          <w:szCs w:val="22"/>
        </w:rPr>
        <w:footnoteReference w:id="350"/>
      </w:r>
      <w:r w:rsidRPr="00B90432">
        <w:rPr>
          <w:rFonts w:asciiTheme="minorHAnsi" w:hAnsiTheme="minorHAnsi"/>
        </w:rPr>
        <w:t xml:space="preserve"> </w:t>
      </w:r>
    </w:p>
    <w:p w14:paraId="2B8662AB" w14:textId="77777777" w:rsidR="006243A1" w:rsidRPr="00B90432" w:rsidRDefault="0032594C" w:rsidP="00BE721D">
      <w:pPr>
        <w:pStyle w:val="Numberedparagraphs"/>
        <w:rPr>
          <w:rFonts w:asciiTheme="minorHAnsi" w:hAnsiTheme="minorHAnsi"/>
        </w:rPr>
      </w:pPr>
      <w:r w:rsidRPr="00B90432">
        <w:rPr>
          <w:rFonts w:asciiTheme="minorHAnsi" w:hAnsiTheme="minorHAnsi"/>
        </w:rPr>
        <w:t xml:space="preserve">By way of example, </w:t>
      </w:r>
      <w:r w:rsidR="006243A1" w:rsidRPr="00B90432">
        <w:rPr>
          <w:rFonts w:asciiTheme="minorHAnsi" w:hAnsiTheme="minorHAnsi"/>
        </w:rPr>
        <w:t>the delegation heard testimony from a displaced person who stated: “I left my community because I was extorted. I do not know perhaps some of my siblings went to the United States. I think that that is why they started to threaten my family for money. I had to leave my community and I have not been able to return and so unfortunately it is very sad to be far away from the family while being in our own country.”</w:t>
      </w:r>
      <w:r w:rsidR="006243A1" w:rsidRPr="00B90432">
        <w:rPr>
          <w:rStyle w:val="FootnoteReference"/>
          <w:rFonts w:asciiTheme="minorHAnsi" w:hAnsiTheme="minorHAnsi"/>
          <w:sz w:val="22"/>
          <w:szCs w:val="22"/>
        </w:rPr>
        <w:footnoteReference w:id="351"/>
      </w:r>
    </w:p>
    <w:p w14:paraId="5D840AF8" w14:textId="77777777" w:rsidR="006243A1" w:rsidRPr="00B90432" w:rsidRDefault="006243A1" w:rsidP="00BE721D">
      <w:pPr>
        <w:pStyle w:val="Numberedparagraphs"/>
        <w:rPr>
          <w:rFonts w:asciiTheme="minorHAnsi" w:hAnsiTheme="minorHAnsi"/>
        </w:rPr>
      </w:pPr>
      <w:r w:rsidRPr="00B90432">
        <w:rPr>
          <w:rFonts w:asciiTheme="minorHAnsi" w:hAnsiTheme="minorHAnsi"/>
        </w:rPr>
        <w:t>Another type of displacement is linked to the expansion of business activities, such as the cultivation of oil palm trees, sugarcane and the expansion of cattle grazing pastures, which has reduced food crop-growing areas.  As a result, many families and communities, mostly indigenous ones, have been displaced, and damage is also done to nature in the process.</w:t>
      </w:r>
      <w:r w:rsidRPr="00B90432">
        <w:rPr>
          <w:rStyle w:val="FootnoteReference"/>
          <w:rFonts w:asciiTheme="minorHAnsi" w:hAnsiTheme="minorHAnsi"/>
          <w:sz w:val="22"/>
          <w:szCs w:val="22"/>
        </w:rPr>
        <w:footnoteReference w:id="352"/>
      </w:r>
      <w:r w:rsidRPr="00B90432">
        <w:rPr>
          <w:rFonts w:asciiTheme="minorHAnsi" w:hAnsiTheme="minorHAnsi"/>
        </w:rPr>
        <w:t xml:space="preserve"> This situation places these displaced persons at risk of malnutrition and disease.</w:t>
      </w:r>
      <w:r w:rsidRPr="00B90432">
        <w:rPr>
          <w:rStyle w:val="FootnoteReference"/>
          <w:rFonts w:asciiTheme="minorHAnsi" w:hAnsiTheme="minorHAnsi"/>
          <w:sz w:val="22"/>
          <w:szCs w:val="22"/>
        </w:rPr>
        <w:footnoteReference w:id="353"/>
      </w:r>
      <w:r w:rsidRPr="00B90432">
        <w:rPr>
          <w:rFonts w:asciiTheme="minorHAnsi" w:hAnsiTheme="minorHAnsi"/>
        </w:rPr>
        <w:t xml:space="preserve"> Additionally, companies often resort to violence, material and physical harm in order to force the sale of plots of land. Similarly, mining companies and hydroelectric dam projects claim to carry out development projects, but this does not translate into formal jobs nor do they protect natural resources. These projects have divided communities and caused internal forced displacement in different parts of Guatemala, mostly in rural areas.</w:t>
      </w:r>
      <w:r w:rsidRPr="00B90432">
        <w:rPr>
          <w:rStyle w:val="FootnoteReference"/>
          <w:rFonts w:asciiTheme="minorHAnsi" w:hAnsiTheme="minorHAnsi"/>
          <w:sz w:val="22"/>
          <w:szCs w:val="22"/>
        </w:rPr>
        <w:footnoteReference w:id="354"/>
      </w:r>
      <w:r w:rsidRPr="00B90432">
        <w:rPr>
          <w:rFonts w:asciiTheme="minorHAnsi" w:hAnsiTheme="minorHAnsi"/>
        </w:rPr>
        <w:t xml:space="preserve"> </w:t>
      </w:r>
    </w:p>
    <w:p w14:paraId="2DA5A58F"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last form of displacement observed by the Commission in the State of Guatemala is </w:t>
      </w:r>
      <w:r w:rsidR="00883E50" w:rsidRPr="00B90432">
        <w:rPr>
          <w:rFonts w:asciiTheme="minorHAnsi" w:hAnsiTheme="minorHAnsi"/>
        </w:rPr>
        <w:t>natural disaster-caused</w:t>
      </w:r>
      <w:r w:rsidRPr="00B90432">
        <w:rPr>
          <w:rFonts w:asciiTheme="minorHAnsi" w:hAnsiTheme="minorHAnsi"/>
        </w:rPr>
        <w:t xml:space="preserve">, such as heavy storms or hurricanes, </w:t>
      </w:r>
      <w:r w:rsidRPr="00B90432">
        <w:rPr>
          <w:rFonts w:asciiTheme="minorHAnsi" w:hAnsiTheme="minorHAnsi"/>
        </w:rPr>
        <w:lastRenderedPageBreak/>
        <w:t>volcanic eruptions and earthquakes. This situation has been further exacerbated by climate change, a</w:t>
      </w:r>
      <w:r w:rsidR="00200BE9" w:rsidRPr="00B90432">
        <w:rPr>
          <w:rFonts w:asciiTheme="minorHAnsi" w:hAnsiTheme="minorHAnsi"/>
        </w:rPr>
        <w:t>s well as by deforestation, lack</w:t>
      </w:r>
      <w:r w:rsidRPr="00B90432">
        <w:rPr>
          <w:rFonts w:asciiTheme="minorHAnsi" w:hAnsiTheme="minorHAnsi"/>
        </w:rPr>
        <w:t xml:space="preserve"> of control over real estate development and home building companies, a housing shortage and few prevention measures. Based on IDMC figur</w:t>
      </w:r>
      <w:r w:rsidR="000F5EEC" w:rsidRPr="00B90432">
        <w:rPr>
          <w:rFonts w:asciiTheme="minorHAnsi" w:hAnsiTheme="minorHAnsi"/>
        </w:rPr>
        <w:t xml:space="preserve">es, in 2016 approximately 1,700 </w:t>
      </w:r>
      <w:r w:rsidRPr="00B90432">
        <w:rPr>
          <w:rFonts w:asciiTheme="minorHAnsi" w:hAnsiTheme="minorHAnsi"/>
        </w:rPr>
        <w:t>displacement events took place as a result of natural disasters.</w:t>
      </w:r>
      <w:r w:rsidRPr="00B90432">
        <w:rPr>
          <w:rStyle w:val="FootnoteReference"/>
          <w:rFonts w:asciiTheme="minorHAnsi" w:hAnsiTheme="minorHAnsi"/>
          <w:sz w:val="22"/>
          <w:szCs w:val="22"/>
        </w:rPr>
        <w:footnoteReference w:id="355"/>
      </w:r>
      <w:r w:rsidRPr="00B90432">
        <w:rPr>
          <w:rFonts w:asciiTheme="minorHAnsi" w:hAnsiTheme="minorHAnsi"/>
        </w:rPr>
        <w:t xml:space="preserve">  The people most affected in these displacements are those living in a situation of poverty and in marginalized areas. According to a study of the Universidad de Landívar, persons affected by this type of displacement only receive emergency assistance, even though they lose their property and endure emotional damages, are left homeless in precarious conditions and without any psychological support.</w:t>
      </w:r>
      <w:r w:rsidRPr="00B90432">
        <w:rPr>
          <w:rStyle w:val="FootnoteReference"/>
          <w:rFonts w:asciiTheme="minorHAnsi" w:hAnsiTheme="minorHAnsi"/>
          <w:sz w:val="22"/>
          <w:szCs w:val="22"/>
        </w:rPr>
        <w:footnoteReference w:id="356"/>
      </w:r>
      <w:r w:rsidRPr="00B90432">
        <w:rPr>
          <w:rFonts w:asciiTheme="minorHAnsi" w:hAnsiTheme="minorHAnsi"/>
        </w:rPr>
        <w:t xml:space="preserve"> </w:t>
      </w:r>
    </w:p>
    <w:p w14:paraId="46CD3425"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It can be surmised from the information in this section that the many forms of violence have forced a high number of Guatemalans to move to other parts of Guatemalan territory. The Commission notes that, as of the present date, the State has not produced any study or statistics regarding the profile and scope of internal displacement in Guatemala. Currently, most available statistics on this issue come mainly from qualitative and partial or indirect information produced by academic and research institutions and civil society organizations. Consequently, the IACHR urges the Guatemalan State to recognize the issue, perform a diagnostic assessment on it and collect data on the different types of internal displacement, as well as to develop and implement public policies aimed at preventing and dealing with the problem, including legislation based on the Guiding Principles on Internal Displacement, which must ensure the participation of displaced persons, the Office of the </w:t>
      </w:r>
      <w:r w:rsidR="000F5EEC" w:rsidRPr="00B90432">
        <w:rPr>
          <w:rFonts w:asciiTheme="minorHAnsi" w:hAnsiTheme="minorHAnsi"/>
        </w:rPr>
        <w:t xml:space="preserve">Human Rights </w:t>
      </w:r>
      <w:r w:rsidRPr="00B90432">
        <w:rPr>
          <w:rFonts w:asciiTheme="minorHAnsi" w:hAnsiTheme="minorHAnsi"/>
        </w:rPr>
        <w:t xml:space="preserve">Ombudsman and civil society organizations.  The Commission also calls on the State to appoint a lead institution to address this issue and implement the public policy that is developed on this subject matter, providing adequate budget resources for the effective implementation thereof. </w:t>
      </w:r>
    </w:p>
    <w:p w14:paraId="49563713" w14:textId="6BD8D496" w:rsidR="006243A1" w:rsidRPr="00B90432" w:rsidRDefault="00482806" w:rsidP="0085755A">
      <w:pPr>
        <w:pStyle w:val="Heading2"/>
        <w:numPr>
          <w:ilvl w:val="0"/>
          <w:numId w:val="8"/>
        </w:numPr>
        <w:ind w:left="540" w:hanging="540"/>
      </w:pPr>
      <w:bookmarkStart w:id="53" w:name="_Toc509827655"/>
      <w:r>
        <w:t>Forced Evictions</w:t>
      </w:r>
      <w:bookmarkEnd w:id="53"/>
    </w:p>
    <w:p w14:paraId="0B8BA042" w14:textId="77777777" w:rsidR="006243A1" w:rsidRPr="00B90432" w:rsidRDefault="006243A1" w:rsidP="00BE721D">
      <w:pPr>
        <w:pStyle w:val="Numberedparagraphs"/>
        <w:rPr>
          <w:rFonts w:asciiTheme="minorHAnsi" w:hAnsiTheme="minorHAnsi"/>
        </w:rPr>
      </w:pPr>
      <w:r w:rsidRPr="00B90432">
        <w:rPr>
          <w:rFonts w:asciiTheme="minorHAnsi" w:hAnsiTheme="minorHAnsi"/>
        </w:rPr>
        <w:t>On its visit, the IACHR received a plethora of information on forced evictions and the risk faced by a high number of peasant farmer and indigenous communities of being evicted by the Guatemalan State as a result of the execution of court orders.</w:t>
      </w:r>
      <w:r w:rsidRPr="00B90432">
        <w:rPr>
          <w:rStyle w:val="FootnoteReference"/>
          <w:rFonts w:asciiTheme="minorHAnsi" w:hAnsiTheme="minorHAnsi"/>
          <w:sz w:val="22"/>
          <w:szCs w:val="22"/>
        </w:rPr>
        <w:footnoteReference w:id="357"/>
      </w:r>
      <w:r w:rsidRPr="00B90432">
        <w:rPr>
          <w:rFonts w:asciiTheme="minorHAnsi" w:hAnsiTheme="minorHAnsi"/>
        </w:rPr>
        <w:t xml:space="preserve"> According to the information </w:t>
      </w:r>
      <w:r w:rsidRPr="00B90432">
        <w:rPr>
          <w:rFonts w:asciiTheme="minorHAnsi" w:hAnsiTheme="minorHAnsi"/>
        </w:rPr>
        <w:lastRenderedPageBreak/>
        <w:t xml:space="preserve">collected during the visit, the vested interests of private corporations or companies are often behind the execution of the eviction orders and involve a variety of investment projects in monoculture farming, mining, hydroelectric dams, petroleum or tourism, </w:t>
      </w:r>
      <w:r w:rsidRPr="00B90432">
        <w:rPr>
          <w:rFonts w:asciiTheme="minorHAnsi" w:hAnsiTheme="minorHAnsi"/>
          <w:i/>
        </w:rPr>
        <w:t xml:space="preserve">inter alia. </w:t>
      </w:r>
      <w:r w:rsidRPr="00B90432">
        <w:rPr>
          <w:rFonts w:asciiTheme="minorHAnsi" w:hAnsiTheme="minorHAnsi"/>
        </w:rPr>
        <w:t>Over the past years, we have observed how legal and illegal interests have forced the population to move or resist and defend their territory. During the visit, the Commission learned that in the Department of El Petén alone at least 125 motions for eviction have been filed, in addition to evictions of the communities of Centro Uno, Nueva Esperanza and Laguna Larga. The IACHR notes that the evictions affect persons living in situations of greatest vulnerability and further compound inequality, social conflicts, segregation and the creation of ghettos.</w:t>
      </w:r>
      <w:r w:rsidRPr="00B90432">
        <w:rPr>
          <w:rStyle w:val="FootnoteReference"/>
          <w:rFonts w:asciiTheme="minorHAnsi" w:hAnsiTheme="minorHAnsi"/>
          <w:sz w:val="22"/>
          <w:szCs w:val="22"/>
        </w:rPr>
        <w:footnoteReference w:id="358"/>
      </w:r>
      <w:r w:rsidRPr="00B90432">
        <w:rPr>
          <w:rFonts w:asciiTheme="minorHAnsi" w:hAnsiTheme="minorHAnsi"/>
        </w:rPr>
        <w:t xml:space="preserve"> Forced evictions are often linked to a lack of legal certainty about their land, which constitutes an essential ingredient of the right to adequate housing.</w:t>
      </w:r>
      <w:r w:rsidRPr="00B90432">
        <w:rPr>
          <w:rStyle w:val="FootnoteReference"/>
          <w:rFonts w:asciiTheme="minorHAnsi" w:hAnsiTheme="minorHAnsi"/>
          <w:sz w:val="22"/>
          <w:szCs w:val="22"/>
        </w:rPr>
        <w:footnoteReference w:id="359"/>
      </w:r>
    </w:p>
    <w:p w14:paraId="068FBAFA"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received information about 37 multicultural communities, which have been in existence for 20 to 40 years and inhabit the “Laguna del Tigre National Park” and “La Sierra Lacandón National Park,” both of which are part of the Maya Biosphere Reserve, a protected area of the Department of El Petén, consisting of several parks or natural reserves and holding the status of protected areas as of the time of entry into force of Decree 4-89, the Law of Projected Areas. Additionally, in 1990 the State approved the Law, which declared the Maya Biosphere Reserve as a Protected Area</w:t>
      </w:r>
      <w:r w:rsidR="00A5343F" w:rsidRPr="00B90432">
        <w:rPr>
          <w:rFonts w:asciiTheme="minorHAnsi" w:hAnsiTheme="minorHAnsi"/>
        </w:rPr>
        <w:t>,</w:t>
      </w:r>
      <w:r w:rsidRPr="00B90432">
        <w:rPr>
          <w:rFonts w:asciiTheme="minorHAnsi" w:hAnsiTheme="minorHAnsi"/>
        </w:rPr>
        <w:t xml:space="preserve"> and in 2004, Decree No. 16-2004 on the Emergency Law for the Defense, Restoration and Conservation of the Laguna del Tigre National Park. </w:t>
      </w:r>
    </w:p>
    <w:p w14:paraId="5304C8BC"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individuals and communities inhabiting the Department of Petén arrived there at different points in time for different reasons. Based on the information received during the visit, groups of people and communities began to arrive in and created the Department of Petén, as a result of resettlements promoted by the Guatemalan State around the 1980s.  Other people live in the Department on their original territory because they belong to the Q’eqchí community; </w:t>
      </w:r>
      <w:r w:rsidR="00A5343F" w:rsidRPr="00B90432">
        <w:rPr>
          <w:rFonts w:asciiTheme="minorHAnsi" w:hAnsiTheme="minorHAnsi"/>
        </w:rPr>
        <w:t xml:space="preserve">while </w:t>
      </w:r>
      <w:r w:rsidRPr="00B90432">
        <w:rPr>
          <w:rFonts w:asciiTheme="minorHAnsi" w:hAnsiTheme="minorHAnsi"/>
        </w:rPr>
        <w:t xml:space="preserve">others were displaced during the internal armed conflict and returned to their areas of origin with the signing of the Agreement on a Firm and Lasting Peace; and other people </w:t>
      </w:r>
      <w:r w:rsidRPr="00B90432">
        <w:rPr>
          <w:rFonts w:asciiTheme="minorHAnsi" w:hAnsiTheme="minorHAnsi"/>
        </w:rPr>
        <w:lastRenderedPageBreak/>
        <w:t>arrived in the Department after the State declared it a protected area.</w:t>
      </w:r>
      <w:r w:rsidRPr="00B90432">
        <w:rPr>
          <w:rStyle w:val="FootnoteReference"/>
          <w:rFonts w:asciiTheme="minorHAnsi" w:hAnsiTheme="minorHAnsi"/>
          <w:sz w:val="22"/>
          <w:szCs w:val="22"/>
        </w:rPr>
        <w:footnoteReference w:id="360"/>
      </w:r>
      <w:r w:rsidRPr="00B90432">
        <w:rPr>
          <w:rFonts w:asciiTheme="minorHAnsi" w:hAnsiTheme="minorHAnsi"/>
        </w:rPr>
        <w:t xml:space="preserve"> One factor common to many of these people and communities is the lack of legal certainty regarding their land, even though they may be living in Petén for decades and 20 years have elapsed since the signing of the Peace Accords.</w:t>
      </w:r>
      <w:r w:rsidRPr="00B90432">
        <w:rPr>
          <w:rStyle w:val="FootnoteReference"/>
          <w:rFonts w:asciiTheme="minorHAnsi" w:hAnsiTheme="minorHAnsi"/>
          <w:sz w:val="22"/>
          <w:szCs w:val="22"/>
        </w:rPr>
        <w:footnoteReference w:id="361"/>
      </w:r>
      <w:r w:rsidRPr="00B90432">
        <w:rPr>
          <w:rFonts w:asciiTheme="minorHAnsi" w:hAnsiTheme="minorHAnsi"/>
        </w:rPr>
        <w:t xml:space="preserve">  Once the area was declared a natural protected area, many of these persons were regarded as “trespassers.”</w:t>
      </w:r>
      <w:r w:rsidRPr="00B90432">
        <w:rPr>
          <w:rStyle w:val="FootnoteReference"/>
          <w:rFonts w:asciiTheme="minorHAnsi" w:hAnsiTheme="minorHAnsi"/>
          <w:sz w:val="22"/>
          <w:szCs w:val="22"/>
        </w:rPr>
        <w:footnoteReference w:id="362"/>
      </w:r>
      <w:r w:rsidRPr="00B90432">
        <w:rPr>
          <w:rFonts w:asciiTheme="minorHAnsi" w:hAnsiTheme="minorHAnsi"/>
        </w:rPr>
        <w:t xml:space="preserve"> Notwithstanding, in cases such as the community of Laguna Larga, the State took several steps, which entailed recognition of the existence of that community through a 2006 endorsement enabling the community to receive elementary school teachers from the Ministry of Education and another endorsement enabling it to appoint an assistant mayor recognized by the Municipality of San Andrés. The IACHR was apprised of the processes of eviction, which were sealed and stemmed from 12 year old court cases, and were reportedly reopened in a short period of time as a result of alleged pressure from economic interests. </w:t>
      </w:r>
    </w:p>
    <w:p w14:paraId="7995ABCF" w14:textId="77777777" w:rsidR="006243A1" w:rsidRPr="00B90432" w:rsidRDefault="006243A1" w:rsidP="00BE721D">
      <w:pPr>
        <w:pStyle w:val="Numberedparagraphs"/>
        <w:rPr>
          <w:rFonts w:asciiTheme="minorHAnsi" w:hAnsiTheme="minorHAnsi"/>
        </w:rPr>
      </w:pPr>
      <w:r w:rsidRPr="00B90432">
        <w:rPr>
          <w:rFonts w:asciiTheme="minorHAnsi" w:hAnsiTheme="minorHAnsi"/>
        </w:rPr>
        <w:t>In this context, the IACHR received information about a systematic and standing practice of Guatemalan authorities to bring community leaders before the Guatemalan justice system for allegedly committing the crime of “usurpation” or “aggravated usurpation” of protected areas, as well as “terrorism,” “illegal assembly or demonstrations,” as was noted in the section on the situation of human rights defenders.</w:t>
      </w:r>
      <w:r w:rsidRPr="00B90432">
        <w:rPr>
          <w:rStyle w:val="FootnoteReference"/>
          <w:rFonts w:asciiTheme="minorHAnsi" w:hAnsiTheme="minorHAnsi"/>
          <w:sz w:val="22"/>
          <w:szCs w:val="22"/>
        </w:rPr>
        <w:footnoteReference w:id="363"/>
      </w:r>
      <w:r w:rsidRPr="00B90432">
        <w:rPr>
          <w:rFonts w:asciiTheme="minorHAnsi" w:hAnsiTheme="minorHAnsi"/>
        </w:rPr>
        <w:t xml:space="preserve"> On this note, the IACHR was provided information about the arrest of Don Jovel Tobar, a human rights defender from the community of La Mestiza, at the hands of members of the National Civilian Police, on March 28, 2017, for the alleged crime of usurpation of a protected area. According to reports from the members of his community and human rights defenders to the IACHR, the arrest of Mr. Tobar took place in response to his work as a representative of his community and, therefore, the criminal proceedings instituted against him allegedly amounts to a form of criminalization of social protest and of his human rights defense.</w:t>
      </w:r>
      <w:r w:rsidRPr="00B90432">
        <w:rPr>
          <w:rStyle w:val="FootnoteReference"/>
          <w:rFonts w:asciiTheme="minorHAnsi" w:hAnsiTheme="minorHAnsi"/>
          <w:sz w:val="22"/>
          <w:szCs w:val="22"/>
        </w:rPr>
        <w:footnoteReference w:id="364"/>
      </w:r>
      <w:r w:rsidRPr="00B90432">
        <w:rPr>
          <w:rFonts w:asciiTheme="minorHAnsi" w:hAnsiTheme="minorHAnsi"/>
        </w:rPr>
        <w:t xml:space="preserve"> The IACHR learned that Mr. Jovel Tobar </w:t>
      </w:r>
      <w:r w:rsidRPr="00B90432">
        <w:rPr>
          <w:rFonts w:asciiTheme="minorHAnsi" w:hAnsiTheme="minorHAnsi"/>
        </w:rPr>
        <w:lastRenderedPageBreak/>
        <w:t xml:space="preserve">was released from detention after the Commission’s press release was issued reporting on the granting of precautionary measure 412-17 to the Community of Petén. </w:t>
      </w:r>
    </w:p>
    <w:p w14:paraId="7DED2A64" w14:textId="77777777" w:rsidR="006243A1" w:rsidRPr="00B90432" w:rsidRDefault="006243A1" w:rsidP="00BE721D">
      <w:pPr>
        <w:pStyle w:val="Numberedparagraphs"/>
        <w:rPr>
          <w:rFonts w:asciiTheme="minorHAnsi" w:hAnsiTheme="minorHAnsi"/>
        </w:rPr>
      </w:pPr>
      <w:r w:rsidRPr="00B90432">
        <w:rPr>
          <w:rFonts w:asciiTheme="minorHAnsi" w:hAnsiTheme="minorHAnsi"/>
        </w:rPr>
        <w:t>Likewise, it has also come to the attention of the IACHR that the Guatemalan State has charged communities inhabiting protected areas of being “drug trafficking collaborators.” This situation is of special concern to the IACHR because generalizations of this kind were also used during the time of the internal armed conflict, when claims were made that all peasant farmers (</w:t>
      </w:r>
      <w:r w:rsidRPr="00B90432">
        <w:rPr>
          <w:rFonts w:asciiTheme="minorHAnsi" w:hAnsiTheme="minorHAnsi"/>
          <w:i/>
        </w:rPr>
        <w:t>campesinos</w:t>
      </w:r>
      <w:r w:rsidRPr="00B90432">
        <w:rPr>
          <w:rFonts w:asciiTheme="minorHAnsi" w:hAnsiTheme="minorHAnsi"/>
        </w:rPr>
        <w:t>) and indigenous people were guerrilla members or collaborated with the guerrilla forces, in an effort to stigmatize and criminalize these population groups.</w:t>
      </w:r>
      <w:r w:rsidRPr="00B90432">
        <w:rPr>
          <w:rStyle w:val="FootnoteReference"/>
          <w:rFonts w:asciiTheme="minorHAnsi" w:hAnsiTheme="minorHAnsi"/>
          <w:sz w:val="22"/>
          <w:szCs w:val="22"/>
        </w:rPr>
        <w:footnoteReference w:id="365"/>
      </w:r>
      <w:r w:rsidRPr="00B90432">
        <w:rPr>
          <w:rFonts w:asciiTheme="minorHAnsi" w:hAnsiTheme="minorHAnsi"/>
        </w:rPr>
        <w:t xml:space="preserve">   </w:t>
      </w:r>
    </w:p>
    <w:p w14:paraId="0E804AD2"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IACHR learned of a pattern of human rights violations in the execution of evictions, including the violation of the right to consultation and the failure to provide advance notice, which is usually carried out in summary fashion and with violence by members of the National Civilian Police, the Army and the National Council of Protected Areas (CONAP), and involve burning and destruction of homes, food, animals, without any arrangement for return or relocation or any real chance for due process or access to justice. In light of this situation, 37 communities of Petén took actions aimed at engaging the State in direct talks through the </w:t>
      </w:r>
      <w:r w:rsidRPr="00B90432">
        <w:rPr>
          <w:rFonts w:asciiTheme="minorHAnsi" w:hAnsiTheme="minorHAnsi"/>
          <w:i/>
        </w:rPr>
        <w:t>Alternative Proposal for the Comprehensive and Sustainable Development of the Communities Affected by the Declaration of the Protected Areas of Laguna del Tigre and Sierra Lacandon.</w:t>
      </w:r>
      <w:r w:rsidRPr="00B90432">
        <w:rPr>
          <w:rStyle w:val="FootnoteReference"/>
          <w:rFonts w:asciiTheme="minorHAnsi" w:hAnsiTheme="minorHAnsi"/>
          <w:sz w:val="22"/>
          <w:szCs w:val="22"/>
        </w:rPr>
        <w:footnoteReference w:id="366"/>
      </w:r>
      <w:r w:rsidRPr="00B90432">
        <w:rPr>
          <w:rFonts w:asciiTheme="minorHAnsi" w:hAnsiTheme="minorHAnsi"/>
          <w:i/>
          <w:color w:val="000000"/>
        </w:rPr>
        <w:t xml:space="preserve"> </w:t>
      </w:r>
      <w:r w:rsidRPr="00B90432">
        <w:rPr>
          <w:rFonts w:asciiTheme="minorHAnsi" w:hAnsiTheme="minorHAnsi"/>
        </w:rPr>
        <w:t xml:space="preserve">Despite appearing open to dialogue at first, Guatemalan authorities closed the door on this possibility in 2017. On June 2, 2017, nearly 700 members of the community of San Andrés in Laguna Larga, Municipality of La Libertad in Petén, Guatemala, were forcibly displaced from their lands. The community decided to flee from location of their homes, yard animals and staple crops before the Guatemalan authorities executed the eviction order.  </w:t>
      </w:r>
    </w:p>
    <w:p w14:paraId="6AC323F1"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 The eviction order operation was executed by 1500 members of the National Police, 300 members of the Army and officials of CONAP and the PDH. The IACHR delegation witnesse</w:t>
      </w:r>
      <w:r w:rsidR="00AB7FF2" w:rsidRPr="00B90432">
        <w:rPr>
          <w:rFonts w:asciiTheme="minorHAnsi" w:hAnsiTheme="minorHAnsi"/>
        </w:rPr>
        <w:t>d the presence in the area of</w:t>
      </w:r>
      <w:r w:rsidRPr="00B90432">
        <w:rPr>
          <w:rFonts w:asciiTheme="minorHAnsi" w:hAnsiTheme="minorHAnsi"/>
        </w:rPr>
        <w:t xml:space="preserve"> heavily armed members of the Army and CONAP officials. The IACHR also </w:t>
      </w:r>
      <w:r w:rsidRPr="00B90432">
        <w:rPr>
          <w:rFonts w:asciiTheme="minorHAnsi" w:hAnsiTheme="minorHAnsi"/>
        </w:rPr>
        <w:lastRenderedPageBreak/>
        <w:t xml:space="preserve">confirmed that most of the houses had been destroyed or burned and that only the school, the church and a few houses remained intact. The community school was occupied by the military men who were guarding the area and one of the walls was marked as “Kaibil Battalion Military Outpost Laguna Larga.” One house that was not destroyed was being used by CONAP officials. Crops were still seen around the houses, as well as backyard animals wandering freely between the houses and the ruins that remained of the community. </w:t>
      </w:r>
    </w:p>
    <w:p w14:paraId="5B46C398"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affected individuals were displaced to the vicinity of </w:t>
      </w:r>
      <w:r w:rsidRPr="00B90432">
        <w:rPr>
          <w:rFonts w:asciiTheme="minorHAnsi" w:hAnsiTheme="minorHAnsi"/>
          <w:i/>
        </w:rPr>
        <w:t xml:space="preserve">ejido </w:t>
      </w:r>
      <w:r w:rsidRPr="00B90432">
        <w:rPr>
          <w:rFonts w:asciiTheme="minorHAnsi" w:hAnsiTheme="minorHAnsi"/>
        </w:rPr>
        <w:t xml:space="preserve">El Desengaño in the Municipality of Candelaria, State of Campeche, Mexico, which was also visited by the Commission on August 1, 2017. The IACHR delegation was received by a group of nearly 450 people, made up of slightly more than 100 children, 100 women, 200 men and 50 older adults. In the interviews, the community members identified themselves as a </w:t>
      </w:r>
      <w:r w:rsidRPr="00B90432">
        <w:rPr>
          <w:rFonts w:asciiTheme="minorHAnsi" w:hAnsiTheme="minorHAnsi"/>
          <w:i/>
        </w:rPr>
        <w:t xml:space="preserve">campesina </w:t>
      </w:r>
      <w:r w:rsidRPr="00B90432">
        <w:rPr>
          <w:rFonts w:asciiTheme="minorHAnsi" w:hAnsiTheme="minorHAnsi"/>
        </w:rPr>
        <w:t>community of indigenous extract. They reported that they had not been notified formally of the eviction, no reasonable alternatives to the eviction had been provided to them, no measures had been taken to minimize the adverse effects thereof and they were not allowed to take inventory of their properties either.</w:t>
      </w:r>
      <w:r w:rsidRPr="00B90432">
        <w:rPr>
          <w:rStyle w:val="FootnoteReference"/>
          <w:rFonts w:asciiTheme="minorHAnsi" w:hAnsiTheme="minorHAnsi"/>
          <w:sz w:val="22"/>
          <w:szCs w:val="22"/>
        </w:rPr>
        <w:footnoteReference w:id="367"/>
      </w:r>
      <w:r w:rsidRPr="00B90432">
        <w:rPr>
          <w:rFonts w:asciiTheme="minorHAnsi" w:hAnsiTheme="minorHAnsi"/>
        </w:rPr>
        <w:t xml:space="preserve"> </w:t>
      </w:r>
    </w:p>
    <w:p w14:paraId="44CA7F67"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They claimed that there were never notified that a public hearing or consultation was held in the context of the proceedings leading to the eviction order. They also reported that they had been negotiating for several years with different state offices to find a way to avoid the eviction. They contended as well that there were economic interests, such as Guatecarbon company, which </w:t>
      </w:r>
      <w:r w:rsidR="00AB2C51" w:rsidRPr="00B90432">
        <w:rPr>
          <w:rFonts w:asciiTheme="minorHAnsi" w:hAnsiTheme="minorHAnsi"/>
        </w:rPr>
        <w:t xml:space="preserve">was </w:t>
      </w:r>
      <w:r w:rsidRPr="00B90432">
        <w:rPr>
          <w:rFonts w:asciiTheme="minorHAnsi" w:hAnsiTheme="minorHAnsi"/>
        </w:rPr>
        <w:t xml:space="preserve">interested in cap and trade carbon emission credits. Many of the people interviewed stated that as a consequence of displacement, they had to incur expenses, which in many instances were as high as 1,000 quetzals. Regarding the stretch of border, they reported that they had no chance for any future economically sustainable livelihood there because they had no place to grow crops. They reported that the Presidential Commission for Dialogue of Guatemala had mentioned a possibility of alternative resettlement, but they believed it was not </w:t>
      </w:r>
      <w:r w:rsidR="00C60069" w:rsidRPr="00B90432">
        <w:rPr>
          <w:rFonts w:asciiTheme="minorHAnsi" w:hAnsiTheme="minorHAnsi"/>
        </w:rPr>
        <w:t xml:space="preserve">certain </w:t>
      </w:r>
      <w:r w:rsidRPr="00B90432">
        <w:rPr>
          <w:rFonts w:asciiTheme="minorHAnsi" w:hAnsiTheme="minorHAnsi"/>
        </w:rPr>
        <w:t xml:space="preserve">and they feared that the measure would take a long time and that the land to which they were resettled was not suitable for farming. The delegation took the testimony of a women originally from Laguna Larga, Petén, who </w:t>
      </w:r>
      <w:r w:rsidR="00941FD4" w:rsidRPr="00B90432">
        <w:rPr>
          <w:rFonts w:asciiTheme="minorHAnsi" w:hAnsiTheme="minorHAnsi"/>
        </w:rPr>
        <w:t>testified as follows:</w:t>
      </w:r>
      <w:r w:rsidRPr="00B90432">
        <w:rPr>
          <w:rFonts w:asciiTheme="minorHAnsi" w:hAnsiTheme="minorHAnsi"/>
        </w:rPr>
        <w:t xml:space="preserve"> </w:t>
      </w:r>
    </w:p>
    <w:p w14:paraId="68956CEF" w14:textId="77777777" w:rsidR="006243A1" w:rsidRPr="00B90432" w:rsidRDefault="006243A1" w:rsidP="00482806">
      <w:pPr>
        <w:pStyle w:val="ListParagraph"/>
        <w:spacing w:after="240"/>
        <w:ind w:left="1166" w:right="619"/>
        <w:jc w:val="both"/>
        <w:rPr>
          <w:rFonts w:asciiTheme="minorHAnsi" w:hAnsiTheme="minorHAnsi"/>
        </w:rPr>
      </w:pPr>
      <w:r w:rsidRPr="00B90432">
        <w:rPr>
          <w:rFonts w:asciiTheme="minorHAnsi" w:hAnsiTheme="minorHAnsi"/>
        </w:rPr>
        <w:t xml:space="preserve">“We are persons who have been living for 17 years in Laguna Larga and we are going through such a difficult time. What we </w:t>
      </w:r>
      <w:r w:rsidRPr="00B90432">
        <w:rPr>
          <w:rFonts w:asciiTheme="minorHAnsi" w:hAnsiTheme="minorHAnsi"/>
        </w:rPr>
        <w:lastRenderedPageBreak/>
        <w:t>are going through is very difficult. We have been abandoned now for almost two months in this place by our government and economic resources is the most impossible thing for us [to get] in order to continue to raise our children because this eviction was illegal, we believe it is because we were not called, we were not summoned to a meeting prior to the eviction (…). It is a blow, they hit us from behind and they knocked us down. (…) We ask to return to our place [of residence], this location is not suitable to be with our children, we are lacking everything, we are lacking economic resources, we are lacking everything we need to raise our children.”</w:t>
      </w:r>
      <w:r w:rsidRPr="00B90432">
        <w:rPr>
          <w:rStyle w:val="FootnoteReference"/>
          <w:rFonts w:asciiTheme="minorHAnsi" w:hAnsiTheme="minorHAnsi"/>
          <w:sz w:val="22"/>
          <w:szCs w:val="22"/>
        </w:rPr>
        <w:footnoteReference w:id="368"/>
      </w:r>
    </w:p>
    <w:p w14:paraId="4780FFC4" w14:textId="77777777" w:rsidR="006243A1" w:rsidRPr="00B90432" w:rsidRDefault="006243A1" w:rsidP="00BE721D">
      <w:pPr>
        <w:pStyle w:val="Numberedparagraphs"/>
        <w:rPr>
          <w:rFonts w:asciiTheme="minorHAnsi" w:hAnsiTheme="minorHAnsi"/>
        </w:rPr>
      </w:pPr>
      <w:r w:rsidRPr="00B90432">
        <w:rPr>
          <w:rFonts w:asciiTheme="minorHAnsi" w:hAnsiTheme="minorHAnsi"/>
        </w:rPr>
        <w:t>The Commission was able to ascertain the inhuman and degrading conditions in which the community was living with the lack of potable water, electricity, and basic sanitation services. Families were living in shacks (</w:t>
      </w:r>
      <w:r w:rsidRPr="00B90432">
        <w:rPr>
          <w:rFonts w:asciiTheme="minorHAnsi" w:hAnsiTheme="minorHAnsi"/>
          <w:i/>
        </w:rPr>
        <w:t>champas</w:t>
      </w:r>
      <w:r w:rsidRPr="00B90432">
        <w:rPr>
          <w:rFonts w:asciiTheme="minorHAnsi" w:hAnsiTheme="minorHAnsi"/>
        </w:rPr>
        <w:t>) with straw roofs and tents, fully exposed to the climate, animals and the elements. According to members of the community, most of the humanitarian assistance they have received has been provided by the Mexican State, as well as by Mexican civil society and organizations such as UNICEF and the Mexican Red Cross. The attending doctor at the medical center, which was set up for the community, reported to the Commission that the situation of the community is quite critical and that different illnesses are starting to appear. In particular, the doctor treating the community stressed that there was a considerable number of children with varying degrees of malnutrition and that 9 of them were suffering from severe cases.</w:t>
      </w:r>
      <w:r w:rsidRPr="00B90432">
        <w:rPr>
          <w:rStyle w:val="FootnoteReference"/>
          <w:rFonts w:asciiTheme="minorHAnsi" w:hAnsiTheme="minorHAnsi"/>
          <w:sz w:val="22"/>
          <w:szCs w:val="22"/>
        </w:rPr>
        <w:footnoteReference w:id="369"/>
      </w:r>
    </w:p>
    <w:p w14:paraId="3AE0CE1B"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doctor also reported that there were 14 pregnant women, including 7 to 8 cases of highly risky pregnancy. The main diseases that are faced by the community pertain to skin, respiratory and diarrhea problems and one very serious case of a 2-year-old girl with a facial </w:t>
      </w:r>
      <w:r w:rsidRPr="00B90432">
        <w:rPr>
          <w:rFonts w:asciiTheme="minorHAnsi" w:hAnsiTheme="minorHAnsi"/>
          <w:bCs/>
          <w:i/>
          <w:iCs/>
        </w:rPr>
        <w:t>staphylococcus</w:t>
      </w:r>
      <w:r w:rsidRPr="00B90432">
        <w:rPr>
          <w:rFonts w:asciiTheme="minorHAnsi" w:hAnsiTheme="minorHAnsi"/>
        </w:rPr>
        <w:t xml:space="preserve"> infection. Many of these diseases were the consequences of having to live exposed to the elements, in unsanitary conditions, without access to potable wat</w:t>
      </w:r>
      <w:r w:rsidR="00087049" w:rsidRPr="00B90432">
        <w:rPr>
          <w:rFonts w:asciiTheme="minorHAnsi" w:hAnsiTheme="minorHAnsi"/>
        </w:rPr>
        <w:t>er, practices of poor hygiene,</w:t>
      </w:r>
      <w:r w:rsidRPr="00B90432">
        <w:rPr>
          <w:rFonts w:asciiTheme="minorHAnsi" w:hAnsiTheme="minorHAnsi"/>
        </w:rPr>
        <w:t xml:space="preserve"> encountering difficulties to gain access to clean water and the use of communal latrines. With respect to older adults, the doctor reported that three patients have been diagnosed with enlarged prostate, which requires medical treatment. Because resources are scarce and the location is so inaccessible, priority has had to be given to those </w:t>
      </w:r>
      <w:r w:rsidRPr="00B90432">
        <w:rPr>
          <w:rFonts w:asciiTheme="minorHAnsi" w:hAnsiTheme="minorHAnsi"/>
        </w:rPr>
        <w:lastRenderedPageBreak/>
        <w:t>people who most need treatment and care. Community members reported that the closest points of medical and health services were the Health Center of El Desengaño and Candelaria Hospital in Mexico. They also stated that they do not have sufficient clothing and that women do not have supplies for their hygiene. They claimed that the food assistance was inadequate, and that it consisted of rations per family of mostly rice and corn.</w:t>
      </w:r>
      <w:r w:rsidRPr="00B90432">
        <w:rPr>
          <w:rStyle w:val="FootnoteReference"/>
          <w:rFonts w:asciiTheme="minorHAnsi" w:hAnsiTheme="minorHAnsi"/>
          <w:sz w:val="22"/>
          <w:szCs w:val="22"/>
        </w:rPr>
        <w:footnoteReference w:id="370"/>
      </w:r>
      <w:r w:rsidRPr="00B90432">
        <w:rPr>
          <w:rFonts w:asciiTheme="minorHAnsi" w:hAnsiTheme="minorHAnsi"/>
        </w:rPr>
        <w:t xml:space="preserve"> </w:t>
      </w:r>
    </w:p>
    <w:p w14:paraId="5D4FBBB9"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IACHR confirmed that the community’s main source of water was a lake that was located at the end of the camp of tents and shacks, but that the water it held was cloudy and polluted and, therefore, the community needed to dig a water well on the Guatemalan side of the border area. Because it is difficult and expensive to obtain clean water, the community members must go to the lake to wash their clothes and dishes. In the interviews, community members reported that the closest location to get potable water was the </w:t>
      </w:r>
      <w:r w:rsidRPr="00B90432">
        <w:rPr>
          <w:rFonts w:asciiTheme="minorHAnsi" w:hAnsiTheme="minorHAnsi"/>
          <w:i/>
        </w:rPr>
        <w:t xml:space="preserve">ejido </w:t>
      </w:r>
      <w:r w:rsidRPr="00B90432">
        <w:rPr>
          <w:rFonts w:asciiTheme="minorHAnsi" w:hAnsiTheme="minorHAnsi"/>
        </w:rPr>
        <w:t>El Desengaño in Mexico, which could be around 10 kilometers away and would take them nearly one hour to get there by motorcycle. Many of these people stated that they used the nearby lake as well to bathe.</w:t>
      </w:r>
      <w:r w:rsidRPr="00B90432">
        <w:rPr>
          <w:rStyle w:val="FootnoteReference"/>
          <w:rFonts w:asciiTheme="minorHAnsi" w:hAnsiTheme="minorHAnsi"/>
          <w:sz w:val="22"/>
          <w:szCs w:val="22"/>
        </w:rPr>
        <w:footnoteReference w:id="371"/>
      </w:r>
      <w:r w:rsidRPr="00B90432">
        <w:rPr>
          <w:rFonts w:asciiTheme="minorHAnsi" w:hAnsiTheme="minorHAnsi"/>
        </w:rPr>
        <w:t xml:space="preserve"> </w:t>
      </w:r>
    </w:p>
    <w:p w14:paraId="56E180D9" w14:textId="77777777" w:rsidR="006243A1" w:rsidRPr="00B90432" w:rsidRDefault="006243A1" w:rsidP="00BE721D">
      <w:pPr>
        <w:pStyle w:val="Numberedparagraphs"/>
        <w:rPr>
          <w:rFonts w:asciiTheme="minorHAnsi" w:hAnsiTheme="minorHAnsi"/>
        </w:rPr>
      </w:pPr>
      <w:r w:rsidRPr="00B90432">
        <w:rPr>
          <w:rFonts w:asciiTheme="minorHAnsi" w:hAnsiTheme="minorHAnsi"/>
        </w:rPr>
        <w:t>Community members reported being threatened and intimidated by members of the Army who were guarding the former community and have not allowed them to pick up the belongings they left behind or their crops, which are starting to spoil. The community members asked the Commission to intercede on their behalf before the Guatemalan State in order to allow them to return to the community where they had been living since the early 2000s and filed a request for a precautionary measure.</w:t>
      </w:r>
      <w:r w:rsidRPr="00B90432">
        <w:rPr>
          <w:rStyle w:val="FootnoteReference"/>
          <w:rFonts w:asciiTheme="minorHAnsi" w:hAnsiTheme="minorHAnsi"/>
          <w:sz w:val="22"/>
          <w:szCs w:val="22"/>
        </w:rPr>
        <w:footnoteReference w:id="372"/>
      </w:r>
      <w:r w:rsidRPr="00B90432">
        <w:rPr>
          <w:rFonts w:asciiTheme="minorHAnsi" w:hAnsiTheme="minorHAnsi"/>
        </w:rPr>
        <w:t xml:space="preserve"> </w:t>
      </w:r>
    </w:p>
    <w:p w14:paraId="2418DA1A" w14:textId="77777777" w:rsidR="006243A1" w:rsidRPr="00B90432" w:rsidRDefault="006243A1" w:rsidP="00BE721D">
      <w:pPr>
        <w:pStyle w:val="Numberedparagraphs"/>
        <w:rPr>
          <w:rFonts w:asciiTheme="minorHAnsi" w:hAnsiTheme="minorHAnsi"/>
        </w:rPr>
      </w:pPr>
      <w:r w:rsidRPr="00B90432">
        <w:rPr>
          <w:rFonts w:asciiTheme="minorHAnsi" w:hAnsiTheme="minorHAnsi"/>
        </w:rPr>
        <w:t>In response, the IACHR granted precautionary measure 412-17, on the grounds that the persons evicted and displaced from Laguna Larga community are in a situation of gravity and urgency, because their rights to life and personal integrity are at risk of irreparable harm.</w:t>
      </w:r>
      <w:r w:rsidRPr="00B90432">
        <w:rPr>
          <w:rStyle w:val="FootnoteReference"/>
          <w:rFonts w:asciiTheme="minorHAnsi" w:hAnsiTheme="minorHAnsi"/>
          <w:sz w:val="22"/>
          <w:szCs w:val="22"/>
        </w:rPr>
        <w:footnoteReference w:id="373"/>
      </w:r>
      <w:r w:rsidRPr="00B90432">
        <w:rPr>
          <w:rFonts w:asciiTheme="minorHAnsi" w:hAnsiTheme="minorHAnsi"/>
        </w:rPr>
        <w:t xml:space="preserve"> Based on the information provided by the petitioner, as well as on its own observations during the country visit, the IACHR asked the Guatemalan State to:</w:t>
      </w:r>
      <w:r w:rsidRPr="00B90432">
        <w:rPr>
          <w:rStyle w:val="FootnoteReference"/>
          <w:rFonts w:asciiTheme="minorHAnsi" w:hAnsiTheme="minorHAnsi"/>
          <w:sz w:val="22"/>
          <w:szCs w:val="22"/>
        </w:rPr>
        <w:footnoteReference w:id="374"/>
      </w:r>
      <w:r w:rsidRPr="00B90432">
        <w:rPr>
          <w:rFonts w:asciiTheme="minorHAnsi" w:hAnsiTheme="minorHAnsi"/>
        </w:rPr>
        <w:t xml:space="preserve"> a) Adopt the necessary measures to protect the right to life and personal integrity of the beneficiaries, through measures aimed at improving, among </w:t>
      </w:r>
      <w:r w:rsidRPr="00B90432">
        <w:rPr>
          <w:rFonts w:asciiTheme="minorHAnsi" w:hAnsiTheme="minorHAnsi"/>
        </w:rPr>
        <w:lastRenderedPageBreak/>
        <w:t>other aspects, sanitary and health conditions, especially of children, women and older adults. In particular, through measures to ensure, among other aspects: i. Access to adequate food in terms of nutrition and culturally appropriateness, as well as potable water for the displaced population, in keeping with a standard regarded as acceptable by international organizations such as the World Health Organization (WHO). Especially, adopt immediate measures to protect the lives and integrity of children suffering from malnutrition, and with the aim of preventing future cases; ii. Shelter in adequate conditions of habitability and sanitation as well as clothing that provides protection from heat, rain, wind and other threats to health, as well as conditions of safety; iii. Safe access to the area where they previously lived in order to collect the property, possessions and crops required for subsistence of the population; iv. Continuation of education and assistance services and basic care for children; v. Adequate medical treatment for pathologies, ailments and diseases of the beneficiary population in keeping with applicable international standards, including specialized medical treatment for those who are afflicted with chronic illness, as well as specialized women’s health care, maternal health care, as well as for children and older adults in affordable and accessible conditions; b) Adopt the necessary measures to protect the right to life and personal integrity of the displaced population from potential acts of violence by third parties or agents of the State. At the same time, ensure protection of household items, property and crops left behind when members of the community were displaced; c) Adopt the measures necessary to continue in the appropriate dialogue and consultation with the evicted persons, in order to reach a lasting solution for the situation of the evicted and displaced persons; d) Arrange for the measures to be adopted together with the beneficiaries and their representatives; and e) Report on the steps taken in order to investigate the events that gave rise to the adoption of the instant precautionary measure and thus prevent them from happening again.</w:t>
      </w:r>
      <w:r w:rsidRPr="00B90432">
        <w:rPr>
          <w:rStyle w:val="FootnoteReference"/>
          <w:rFonts w:asciiTheme="minorHAnsi" w:hAnsiTheme="minorHAnsi"/>
          <w:sz w:val="22"/>
          <w:szCs w:val="22"/>
        </w:rPr>
        <w:footnoteReference w:id="375"/>
      </w:r>
    </w:p>
    <w:p w14:paraId="6873E60B"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Guatemalan State reported to the IACHR on the actions that it is implementing in order to comply with the precautionary measure. These actions include authorization from Chamber B of the Multi-Judge Trial Court for Criminal Matters, Drug Activity and Crimes against the Environment of San Benito, department of Petén so that, in coordination with the other pertinent authorities, COPREDEH take the necessary steps to gather the harvest of the community as soon as possible; the decision to carry out a process of profiling families in order to be able to provide the necessary care, including the urgency of a temporary shelter; delivery of </w:t>
      </w:r>
      <w:r w:rsidRPr="00B90432">
        <w:rPr>
          <w:rFonts w:asciiTheme="minorHAnsi" w:hAnsiTheme="minorHAnsi"/>
        </w:rPr>
        <w:lastRenderedPageBreak/>
        <w:t xml:space="preserve">food assistance for two months; setting up a medical care day and the delivery of 234 mosquito nets to 91 families in order to prevent insect-born diseases such as malaria; proposing to the community to grant them title to land located in the Municipality of Morales, department of Izabal, consisting of six </w:t>
      </w:r>
      <w:r w:rsidRPr="00B90432">
        <w:rPr>
          <w:rFonts w:asciiTheme="minorHAnsi" w:hAnsiTheme="minorHAnsi"/>
          <w:i/>
        </w:rPr>
        <w:t xml:space="preserve">caballerías </w:t>
      </w:r>
      <w:r w:rsidRPr="00B90432">
        <w:rPr>
          <w:rFonts w:asciiTheme="minorHAnsi" w:hAnsiTheme="minorHAnsi"/>
        </w:rPr>
        <w:t>(669 acres) of land</w:t>
      </w:r>
      <w:r w:rsidRPr="00B90432">
        <w:rPr>
          <w:rFonts w:asciiTheme="minorHAnsi" w:hAnsiTheme="minorHAnsi"/>
          <w:i/>
        </w:rPr>
        <w:t xml:space="preserve"> </w:t>
      </w:r>
      <w:r w:rsidRPr="00B90432">
        <w:rPr>
          <w:rFonts w:asciiTheme="minorHAnsi" w:hAnsiTheme="minorHAnsi"/>
        </w:rPr>
        <w:t>with</w:t>
      </w:r>
      <w:r w:rsidRPr="00B90432">
        <w:rPr>
          <w:rFonts w:asciiTheme="minorHAnsi" w:hAnsiTheme="minorHAnsi"/>
          <w:i/>
        </w:rPr>
        <w:t xml:space="preserve"> </w:t>
      </w:r>
      <w:r w:rsidRPr="00B90432">
        <w:rPr>
          <w:rFonts w:asciiTheme="minorHAnsi" w:hAnsiTheme="minorHAnsi"/>
        </w:rPr>
        <w:t xml:space="preserve">fertile soil and each family can be provided three </w:t>
      </w:r>
      <w:r w:rsidRPr="00B90432">
        <w:rPr>
          <w:rFonts w:asciiTheme="minorHAnsi" w:hAnsiTheme="minorHAnsi"/>
          <w:i/>
        </w:rPr>
        <w:t xml:space="preserve">manzanas </w:t>
      </w:r>
      <w:r w:rsidRPr="00B90432">
        <w:rPr>
          <w:rFonts w:asciiTheme="minorHAnsi" w:hAnsiTheme="minorHAnsi"/>
        </w:rPr>
        <w:t>of land for farming (3 hectares).</w:t>
      </w:r>
      <w:r w:rsidRPr="00B90432">
        <w:rPr>
          <w:rStyle w:val="FootnoteReference"/>
          <w:rFonts w:asciiTheme="minorHAnsi" w:hAnsiTheme="minorHAnsi"/>
          <w:sz w:val="22"/>
          <w:szCs w:val="22"/>
        </w:rPr>
        <w:footnoteReference w:id="376"/>
      </w:r>
      <w:r w:rsidRPr="00B90432">
        <w:rPr>
          <w:rFonts w:asciiTheme="minorHAnsi" w:hAnsiTheme="minorHAnsi"/>
        </w:rPr>
        <w:t xml:space="preserve"> </w:t>
      </w:r>
    </w:p>
    <w:p w14:paraId="414D2297"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Subsequently to the granting of the precautionary measure to the community of Laguna Larga, the IACHR received information on evictions of Maya </w:t>
      </w:r>
      <w:r w:rsidRPr="00B90432">
        <w:rPr>
          <w:rFonts w:asciiTheme="minorHAnsi" w:eastAsia="Times New Roman" w:hAnsiTheme="minorHAnsi" w:cs="Arial"/>
          <w:shd w:val="clear" w:color="auto" w:fill="FFFFFF"/>
        </w:rPr>
        <w:t>Q´eqchí communities, which had been demanding legal recognition of their lands for several years.</w:t>
      </w:r>
      <w:r w:rsidRPr="00B90432">
        <w:rPr>
          <w:rStyle w:val="FootnoteReference"/>
          <w:rFonts w:asciiTheme="minorHAnsi" w:hAnsiTheme="minorHAnsi"/>
          <w:sz w:val="22"/>
          <w:szCs w:val="22"/>
        </w:rPr>
        <w:footnoteReference w:id="377"/>
      </w:r>
      <w:r w:rsidRPr="00B90432">
        <w:rPr>
          <w:rFonts w:asciiTheme="minorHAnsi" w:hAnsiTheme="minorHAnsi"/>
        </w:rPr>
        <w:t xml:space="preserve"> In this regard, on October 30, 2017 approximately 80 families, made up of 429 individuals, including women, men, children belonging to the Chaab´ilch´o´ch of the municipality of Livingston,</w:t>
      </w:r>
      <w:r w:rsidRPr="00B90432">
        <w:rPr>
          <w:rStyle w:val="FootnoteReference"/>
          <w:rFonts w:asciiTheme="minorHAnsi" w:hAnsiTheme="minorHAnsi"/>
          <w:sz w:val="22"/>
          <w:szCs w:val="22"/>
        </w:rPr>
        <w:footnoteReference w:id="378"/>
      </w:r>
      <w:r w:rsidRPr="00B90432">
        <w:rPr>
          <w:rFonts w:asciiTheme="minorHAnsi" w:hAnsiTheme="minorHAnsi"/>
        </w:rPr>
        <w:t xml:space="preserve"> department of Izabal, were evicted, and had previously been subjected to force displacement during the internal conflict.</w:t>
      </w:r>
      <w:r w:rsidRPr="00B90432">
        <w:rPr>
          <w:rStyle w:val="FootnoteReference"/>
          <w:rFonts w:asciiTheme="minorHAnsi" w:hAnsiTheme="minorHAnsi"/>
          <w:sz w:val="22"/>
          <w:szCs w:val="22"/>
        </w:rPr>
        <w:footnoteReference w:id="379"/>
      </w:r>
      <w:r w:rsidRPr="00B90432">
        <w:rPr>
          <w:rFonts w:asciiTheme="minorHAnsi" w:eastAsia="Times New Roman" w:hAnsiTheme="minorHAnsi" w:cs="Arial"/>
          <w:shd w:val="clear" w:color="auto" w:fill="FFFFFF"/>
        </w:rPr>
        <w:t xml:space="preserve"> The eviction was carried out by 1,141 members of the National Civilian Police.</w:t>
      </w:r>
      <w:r w:rsidRPr="00B90432">
        <w:rPr>
          <w:rStyle w:val="FootnoteReference"/>
          <w:rFonts w:asciiTheme="minorHAnsi" w:hAnsiTheme="minorHAnsi"/>
          <w:sz w:val="22"/>
          <w:szCs w:val="22"/>
        </w:rPr>
        <w:footnoteReference w:id="380"/>
      </w:r>
      <w:r w:rsidRPr="00B90432">
        <w:rPr>
          <w:rFonts w:asciiTheme="minorHAnsi" w:eastAsia="Times New Roman" w:hAnsiTheme="minorHAnsi" w:cs="Arial"/>
          <w:shd w:val="clear" w:color="auto" w:fill="FFFFFF"/>
        </w:rPr>
        <w:t xml:space="preserve">  Separately, on November 1, 2017, the community of La Cumbre </w:t>
      </w:r>
      <w:r w:rsidRPr="00B90432">
        <w:rPr>
          <w:rFonts w:asciiTheme="minorHAnsi" w:hAnsiTheme="minorHAnsi"/>
        </w:rPr>
        <w:t>Sacuxha, Tactic, department of Alta Vera Paz</w:t>
      </w:r>
      <w:r w:rsidRPr="00B90432">
        <w:rPr>
          <w:rFonts w:asciiTheme="minorHAnsi" w:eastAsia="Times New Roman" w:hAnsiTheme="minorHAnsi" w:cs="Arial"/>
          <w:shd w:val="clear" w:color="auto" w:fill="FFFFFF"/>
        </w:rPr>
        <w:t>, which was made up of approximately 25 families</w:t>
      </w:r>
      <w:r w:rsidRPr="00B90432">
        <w:rPr>
          <w:rStyle w:val="FootnoteReference"/>
          <w:rFonts w:asciiTheme="minorHAnsi" w:hAnsiTheme="minorHAnsi"/>
          <w:sz w:val="22"/>
          <w:szCs w:val="22"/>
        </w:rPr>
        <w:footnoteReference w:id="381"/>
      </w:r>
      <w:r w:rsidRPr="00B90432">
        <w:rPr>
          <w:rFonts w:asciiTheme="minorHAnsi" w:hAnsiTheme="minorHAnsi"/>
        </w:rPr>
        <w:t xml:space="preserve"> (120 persons), including 60 children, 6 infant children and 15 older adults, were evicted. The eviction was conducted with the participation of 182 National Civilian Police agents.</w:t>
      </w:r>
      <w:r w:rsidRPr="00B90432">
        <w:rPr>
          <w:rStyle w:val="FootnoteReference"/>
          <w:rFonts w:asciiTheme="minorHAnsi" w:hAnsiTheme="minorHAnsi"/>
          <w:sz w:val="22"/>
          <w:szCs w:val="22"/>
        </w:rPr>
        <w:footnoteReference w:id="382"/>
      </w:r>
      <w:r w:rsidRPr="00B90432">
        <w:rPr>
          <w:rFonts w:asciiTheme="minorHAnsi" w:hAnsiTheme="minorHAnsi"/>
        </w:rPr>
        <w:t xml:space="preserve"> In the context of these events, an arrest warrant was reportedly issued for 6 individuals for the crime of aggravated usurpation. Lastly, on November 3, 15 families of </w:t>
      </w:r>
      <w:r w:rsidRPr="00B90432">
        <w:rPr>
          <w:rFonts w:asciiTheme="minorHAnsi" w:hAnsiTheme="minorHAnsi"/>
        </w:rPr>
        <w:lastRenderedPageBreak/>
        <w:t>the Community of Chaqchila Trece Aguas, Senahu, Department of Alta Verapaz were evicted by 217 National Civilian Police agents.</w:t>
      </w:r>
      <w:r w:rsidRPr="00B90432">
        <w:rPr>
          <w:rStyle w:val="FootnoteReference"/>
          <w:rFonts w:asciiTheme="minorHAnsi" w:hAnsiTheme="minorHAnsi"/>
          <w:sz w:val="22"/>
          <w:szCs w:val="22"/>
        </w:rPr>
        <w:footnoteReference w:id="383"/>
      </w:r>
    </w:p>
    <w:p w14:paraId="4734D897" w14:textId="77777777" w:rsidR="006243A1" w:rsidRPr="00B90432" w:rsidRDefault="006243A1" w:rsidP="00BE721D">
      <w:pPr>
        <w:pStyle w:val="Numberedparagraphs"/>
        <w:rPr>
          <w:rFonts w:asciiTheme="minorHAnsi" w:hAnsiTheme="minorHAnsi"/>
        </w:rPr>
      </w:pPr>
      <w:r w:rsidRPr="00B90432">
        <w:rPr>
          <w:rFonts w:asciiTheme="minorHAnsi" w:hAnsiTheme="minorHAnsi"/>
        </w:rPr>
        <w:t>Based on available information, the IACHR notes with extreme concern that the evictions were carried out without conducting any prior consultation with the communities, with very little time in advance to remove their belongings, and using a disproportionate number of police agents to act by use of intimidation, humiliation, threats and aggression, particularly against some women.</w:t>
      </w:r>
      <w:r w:rsidRPr="00B90432">
        <w:rPr>
          <w:rStyle w:val="FootnoteReference"/>
          <w:rFonts w:asciiTheme="minorHAnsi" w:hAnsiTheme="minorHAnsi"/>
          <w:sz w:val="22"/>
          <w:szCs w:val="22"/>
        </w:rPr>
        <w:footnoteReference w:id="384"/>
      </w:r>
      <w:r w:rsidRPr="00B90432">
        <w:rPr>
          <w:rFonts w:asciiTheme="minorHAnsi" w:eastAsia="Calibri" w:hAnsiTheme="minorHAnsi"/>
        </w:rPr>
        <w:t xml:space="preserve"> Additionally, in the view of the Commission, it is of deep concern that houses were burn down by non State actors, though in the presence of the authorities, with them doing anything about it; as well as the lack of alternatives for relocation or lasting solutions for the displaced communities.</w:t>
      </w:r>
      <w:r w:rsidRPr="00B90432">
        <w:rPr>
          <w:rStyle w:val="FootnoteReference"/>
          <w:rFonts w:asciiTheme="minorHAnsi" w:hAnsiTheme="minorHAnsi"/>
          <w:sz w:val="22"/>
          <w:szCs w:val="22"/>
        </w:rPr>
        <w:footnoteReference w:id="385"/>
      </w:r>
      <w:r w:rsidRPr="00B90432">
        <w:rPr>
          <w:rFonts w:asciiTheme="minorHAnsi" w:eastAsia="Calibri" w:hAnsiTheme="minorHAnsi"/>
        </w:rPr>
        <w:t xml:space="preserve"> It is also worrying that during and after the eviction, the communities have not received support from the authorities, but have had to resort to neighbors or members of neighboring communities, specifically the </w:t>
      </w:r>
      <w:r w:rsidRPr="00B90432">
        <w:rPr>
          <w:rFonts w:asciiTheme="minorHAnsi" w:hAnsiTheme="minorHAnsi"/>
        </w:rPr>
        <w:t xml:space="preserve">Cotoxhá community in Finca Manzanitas, where there is dire need </w:t>
      </w:r>
      <w:r w:rsidRPr="00B90432">
        <w:rPr>
          <w:rFonts w:asciiTheme="minorHAnsi" w:eastAsia="Calibri" w:hAnsiTheme="minorHAnsi"/>
        </w:rPr>
        <w:t>for food, healthcare, access to water and medical services, especially for children under 13 years of age and infant babies</w:t>
      </w:r>
      <w:r w:rsidRPr="00B90432">
        <w:rPr>
          <w:rFonts w:asciiTheme="minorHAnsi" w:hAnsiTheme="minorHAnsi"/>
        </w:rPr>
        <w:t>, who mostly present health and diarrhea problems.</w:t>
      </w:r>
      <w:r w:rsidRPr="00B90432">
        <w:rPr>
          <w:rStyle w:val="FootnoteReference"/>
          <w:rFonts w:asciiTheme="minorHAnsi" w:hAnsiTheme="minorHAnsi"/>
          <w:sz w:val="22"/>
          <w:szCs w:val="22"/>
        </w:rPr>
        <w:footnoteReference w:id="386"/>
      </w:r>
      <w:r w:rsidRPr="00B90432">
        <w:rPr>
          <w:rFonts w:asciiTheme="minorHAnsi" w:hAnsiTheme="minorHAnsi"/>
        </w:rPr>
        <w:t xml:space="preserve"> </w:t>
      </w:r>
    </w:p>
    <w:p w14:paraId="5165FB9C"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notices that the practice of forced evictions has been implemented by the Guatemalan State over the past years and has been causing internal displacement. In accordance with human rights norms and standards, the IACHR deems it pertinent to explicitly note that evictions must only be carried out under strict observance of international human rights norms and standards and the principles of exceptionality, legality, proportionality and suitability, with the legitimate aim of promoting social wellbeing and ensuring solutions for the evicted population, which may involve restitution and return, resettlement to different land of better or equal quality and rehabilitation or fair compensation.</w:t>
      </w:r>
      <w:r w:rsidRPr="00B90432">
        <w:rPr>
          <w:rStyle w:val="FootnoteReference"/>
          <w:rFonts w:asciiTheme="minorHAnsi" w:hAnsiTheme="minorHAnsi"/>
          <w:sz w:val="22"/>
          <w:szCs w:val="22"/>
        </w:rPr>
        <w:footnoteReference w:id="387"/>
      </w:r>
      <w:r w:rsidRPr="00B90432">
        <w:rPr>
          <w:rFonts w:asciiTheme="minorHAnsi" w:hAnsiTheme="minorHAnsi"/>
        </w:rPr>
        <w:t xml:space="preserve"> Likewise, should it </w:t>
      </w:r>
      <w:r w:rsidRPr="00B90432">
        <w:rPr>
          <w:rFonts w:asciiTheme="minorHAnsi" w:hAnsiTheme="minorHAnsi"/>
        </w:rPr>
        <w:lastRenderedPageBreak/>
        <w:t>be necessary to conduct an eviction, States must protect the dignity, lives and security of the evicted persons, ensuring at a minimum access to adequate food in terms of nutrition and culture, potable water and sanitation, lodging in adequately inhabitable conditions, as well as clothing that provides protection from inclement weather and other threats to health, access to medical services, means of subsistence, education and access to justice, as well as ensure access to humanitarian aid and independent monitoring. Additionally, safe access to commonly owned resources upon which they depended previously must be ensured, which includes the ability to collect their property, household items, crops and harvests.</w:t>
      </w:r>
      <w:r w:rsidRPr="00B90432">
        <w:rPr>
          <w:rStyle w:val="FootnoteReference"/>
          <w:rFonts w:asciiTheme="minorHAnsi" w:hAnsiTheme="minorHAnsi"/>
          <w:sz w:val="22"/>
          <w:szCs w:val="22"/>
        </w:rPr>
        <w:footnoteReference w:id="388"/>
      </w:r>
    </w:p>
    <w:p w14:paraId="507278F2" w14:textId="77777777" w:rsidR="006243A1" w:rsidRPr="00B90432" w:rsidRDefault="006243A1" w:rsidP="0085755A">
      <w:pPr>
        <w:pStyle w:val="Heading2"/>
        <w:numPr>
          <w:ilvl w:val="0"/>
          <w:numId w:val="8"/>
        </w:numPr>
        <w:tabs>
          <w:tab w:val="left" w:pos="540"/>
        </w:tabs>
        <w:ind w:left="540" w:hanging="540"/>
      </w:pPr>
      <w:bookmarkStart w:id="54" w:name="_Toc509827656"/>
      <w:r w:rsidRPr="00B90432">
        <w:t>International Migration: Migrants, Asylum-Seekers and Refugees</w:t>
      </w:r>
      <w:bookmarkEnd w:id="54"/>
    </w:p>
    <w:p w14:paraId="5296BD9F" w14:textId="77777777" w:rsidR="006243A1" w:rsidRPr="00B90432" w:rsidRDefault="006243A1" w:rsidP="00BE721D">
      <w:pPr>
        <w:pStyle w:val="Numberedparagraphs"/>
        <w:rPr>
          <w:rFonts w:asciiTheme="minorHAnsi" w:hAnsiTheme="minorHAnsi"/>
        </w:rPr>
      </w:pPr>
      <w:r w:rsidRPr="00B90432">
        <w:rPr>
          <w:rFonts w:asciiTheme="minorHAnsi" w:hAnsiTheme="minorHAnsi"/>
        </w:rPr>
        <w:t>The Commission notes that according to the information it received, internal displacement tends to be the previous stage to international migration. It is estimated that one out of every ten Guatemalans live outside their country and that the majority of the people who migrate (97.4%), do so to the United States of America.</w:t>
      </w:r>
      <w:r w:rsidRPr="00B90432">
        <w:rPr>
          <w:rStyle w:val="FootnoteReference"/>
          <w:rFonts w:asciiTheme="minorHAnsi" w:hAnsiTheme="minorHAnsi"/>
          <w:sz w:val="22"/>
          <w:szCs w:val="22"/>
        </w:rPr>
        <w:footnoteReference w:id="389"/>
      </w:r>
      <w:r w:rsidRPr="00B90432">
        <w:rPr>
          <w:rFonts w:asciiTheme="minorHAnsi" w:hAnsiTheme="minorHAnsi"/>
        </w:rPr>
        <w:t xml:space="preserve"> The trip is often made by paying around $5,000 USD to coyotes and generally covers three attempts. In many instances, people opt to go into debt and ask for loans to make the journey.</w:t>
      </w:r>
      <w:r w:rsidRPr="00B90432">
        <w:rPr>
          <w:rStyle w:val="FootnoteReference"/>
          <w:rFonts w:asciiTheme="minorHAnsi" w:hAnsiTheme="minorHAnsi"/>
          <w:sz w:val="22"/>
          <w:szCs w:val="22"/>
        </w:rPr>
        <w:footnoteReference w:id="390"/>
      </w:r>
      <w:r w:rsidRPr="00B90432">
        <w:rPr>
          <w:rFonts w:asciiTheme="minorHAnsi" w:hAnsiTheme="minorHAnsi"/>
        </w:rPr>
        <w:t xml:space="preserve"> Very often, the migrants become the victims of different humans rights violations over the course of their trip, including kidnapping, sexual violence, extortions, robbery, disappearances and human trafficking. </w:t>
      </w:r>
    </w:p>
    <w:p w14:paraId="7BF55134"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observes that the number of individuals that have felt compelled to leave Guatemala and seek asylum in neighboring countries as a consequence of different forms of violence, has grown dramatically over the past years. Based on the figures of the United Nations High Commissioner for Refugees (UNHCR), from 2010 to 2016, asylum requests rose by 4,427.62% (See Graph 1).</w:t>
      </w:r>
      <w:r w:rsidRPr="00B90432">
        <w:rPr>
          <w:rStyle w:val="FootnoteReference"/>
          <w:rFonts w:asciiTheme="minorHAnsi" w:hAnsiTheme="minorHAnsi"/>
          <w:sz w:val="22"/>
          <w:szCs w:val="22"/>
        </w:rPr>
        <w:footnoteReference w:id="391"/>
      </w:r>
      <w:r w:rsidRPr="00B90432">
        <w:rPr>
          <w:rFonts w:asciiTheme="minorHAnsi" w:hAnsiTheme="minorHAnsi"/>
        </w:rPr>
        <w:t xml:space="preserve">  For the same period, the number of persons who were recognized as refugees increase by 121.06%.</w:t>
      </w:r>
      <w:r w:rsidRPr="00B90432">
        <w:rPr>
          <w:rStyle w:val="FootnoteReference"/>
          <w:rFonts w:asciiTheme="minorHAnsi" w:hAnsiTheme="minorHAnsi"/>
          <w:sz w:val="22"/>
          <w:szCs w:val="22"/>
        </w:rPr>
        <w:footnoteReference w:id="392"/>
      </w:r>
    </w:p>
    <w:p w14:paraId="0D392CEF" w14:textId="77777777" w:rsidR="006243A1" w:rsidRPr="00B90432" w:rsidRDefault="006243A1" w:rsidP="006243A1">
      <w:pPr>
        <w:spacing w:before="240" w:after="10" w:line="240" w:lineRule="auto"/>
        <w:ind w:left="1170"/>
        <w:jc w:val="both"/>
        <w:rPr>
          <w:rFonts w:asciiTheme="minorHAnsi" w:hAnsiTheme="minorHAnsi"/>
        </w:rPr>
      </w:pPr>
    </w:p>
    <w:p w14:paraId="657D75CF" w14:textId="77777777" w:rsidR="006243A1" w:rsidRPr="00B90432" w:rsidRDefault="006243A1" w:rsidP="005B7767">
      <w:pPr>
        <w:pStyle w:val="ListParagraph"/>
        <w:ind w:left="0"/>
        <w:jc w:val="center"/>
        <w:rPr>
          <w:rFonts w:asciiTheme="minorHAnsi" w:hAnsiTheme="minorHAnsi"/>
        </w:rPr>
      </w:pPr>
      <w:r w:rsidRPr="00B90432">
        <w:rPr>
          <w:rFonts w:asciiTheme="minorHAnsi" w:hAnsiTheme="minorHAnsi"/>
          <w:noProof/>
        </w:rPr>
        <w:drawing>
          <wp:inline distT="0" distB="0" distL="0" distR="0" wp14:anchorId="3B10E093" wp14:editId="11842BF7">
            <wp:extent cx="4279900" cy="2235200"/>
            <wp:effectExtent l="0" t="0" r="12700" b="254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91D6DC1" w14:textId="77777777" w:rsidR="006243A1" w:rsidRPr="00B90432" w:rsidRDefault="006243A1" w:rsidP="0085755A">
      <w:pPr>
        <w:pStyle w:val="ListParagraph"/>
        <w:numPr>
          <w:ilvl w:val="0"/>
          <w:numId w:val="1"/>
        </w:numPr>
        <w:contextualSpacing/>
        <w:jc w:val="center"/>
        <w:rPr>
          <w:rFonts w:asciiTheme="minorHAnsi" w:hAnsiTheme="minorHAnsi"/>
          <w:bCs/>
          <w:color w:val="808080"/>
        </w:rPr>
      </w:pPr>
    </w:p>
    <w:p w14:paraId="190839A4" w14:textId="1CC4B2E7" w:rsidR="006243A1" w:rsidRPr="00482806" w:rsidRDefault="006243A1" w:rsidP="00BE721D">
      <w:pPr>
        <w:pStyle w:val="ListParagraph"/>
        <w:ind w:left="0"/>
        <w:contextualSpacing/>
        <w:jc w:val="center"/>
        <w:rPr>
          <w:rFonts w:asciiTheme="minorHAnsi" w:hAnsiTheme="minorHAnsi"/>
          <w:bCs/>
          <w:color w:val="808080"/>
          <w:sz w:val="20"/>
        </w:rPr>
      </w:pPr>
      <w:r w:rsidRPr="00482806">
        <w:rPr>
          <w:rFonts w:asciiTheme="minorHAnsi" w:hAnsiTheme="minorHAnsi"/>
          <w:bCs/>
          <w:color w:val="808080"/>
          <w:sz w:val="20"/>
        </w:rPr>
        <w:t>Source: United Nations High Commissioner for Human Rights (UNHCR)</w:t>
      </w:r>
    </w:p>
    <w:p w14:paraId="6B9808B7" w14:textId="77777777" w:rsidR="006243A1" w:rsidRPr="00482806" w:rsidRDefault="006243A1" w:rsidP="00BE721D">
      <w:pPr>
        <w:pStyle w:val="ListParagraph"/>
        <w:ind w:left="0"/>
        <w:jc w:val="center"/>
        <w:rPr>
          <w:rFonts w:asciiTheme="minorHAnsi" w:hAnsiTheme="minorHAnsi"/>
          <w:bCs/>
          <w:color w:val="808080"/>
          <w:sz w:val="20"/>
        </w:rPr>
      </w:pPr>
      <w:r w:rsidRPr="00482806">
        <w:rPr>
          <w:rFonts w:asciiTheme="minorHAnsi" w:hAnsiTheme="minorHAnsi"/>
          <w:bCs/>
          <w:color w:val="808080"/>
          <w:sz w:val="20"/>
        </w:rPr>
        <w:t>Reports Global Trends 2012 – 2016</w:t>
      </w:r>
    </w:p>
    <w:p w14:paraId="429340E7" w14:textId="77777777" w:rsidR="006243A1" w:rsidRPr="00B90432" w:rsidRDefault="006243A1" w:rsidP="006243A1">
      <w:pPr>
        <w:pStyle w:val="ListParagraph"/>
        <w:shd w:val="clear" w:color="auto" w:fill="FFFFFF"/>
        <w:ind w:left="1440" w:right="144"/>
        <w:jc w:val="both"/>
        <w:rPr>
          <w:rFonts w:asciiTheme="minorHAnsi" w:hAnsiTheme="minorHAnsi"/>
        </w:rPr>
      </w:pPr>
    </w:p>
    <w:p w14:paraId="262DB177" w14:textId="77777777" w:rsidR="006243A1" w:rsidRPr="00B90432" w:rsidRDefault="006243A1" w:rsidP="00BE721D">
      <w:pPr>
        <w:pStyle w:val="Numberedparagraphs"/>
        <w:rPr>
          <w:rFonts w:asciiTheme="minorHAnsi" w:hAnsiTheme="minorHAnsi"/>
        </w:rPr>
      </w:pPr>
      <w:r w:rsidRPr="00B90432">
        <w:rPr>
          <w:rFonts w:asciiTheme="minorHAnsi" w:hAnsiTheme="minorHAnsi"/>
        </w:rPr>
        <w:t>In transit through Guatemala, migrants are victims of many abuses, such as extortion, robbery and even disappearances, inasmuch as the Guatemalan State has seriously failed in its response to ensure these people and their family members access to justice and searches for missing and unidentified migrants. According to information provided by civil society organizations, migrants claim that it is harder to cross Central American borders and heavy emphasis on security serves to weaken the use of Regional Agreement on Procedure CA-4 for the Extension of the Single Central American Visa (CA-4).</w:t>
      </w:r>
      <w:r w:rsidRPr="00B90432">
        <w:rPr>
          <w:rStyle w:val="FootnoteReference"/>
          <w:rFonts w:asciiTheme="minorHAnsi" w:hAnsiTheme="minorHAnsi"/>
          <w:sz w:val="22"/>
          <w:szCs w:val="22"/>
        </w:rPr>
        <w:footnoteReference w:id="393"/>
      </w:r>
      <w:r w:rsidRPr="00B90432">
        <w:rPr>
          <w:rFonts w:asciiTheme="minorHAnsi" w:hAnsiTheme="minorHAnsi"/>
        </w:rPr>
        <w:t xml:space="preserve"> </w:t>
      </w:r>
    </w:p>
    <w:p w14:paraId="41FDEA03" w14:textId="77777777" w:rsidR="006243A1" w:rsidRPr="00B90432" w:rsidRDefault="006243A1" w:rsidP="00BE721D">
      <w:pPr>
        <w:pStyle w:val="Numberedparagraphs"/>
        <w:rPr>
          <w:rFonts w:asciiTheme="minorHAnsi" w:hAnsiTheme="minorHAnsi"/>
        </w:rPr>
      </w:pPr>
      <w:r w:rsidRPr="00B90432">
        <w:rPr>
          <w:rFonts w:asciiTheme="minorHAnsi" w:hAnsiTheme="minorHAnsi"/>
        </w:rPr>
        <w:t>In this regard, the delegation heard the testimony of a family member of one of the 72 persons massacred in Tamaulipas, Mexico, who claimed that: “We want to know what happened, we need for the Guatemalan government to ensure our rights as victims. As next of kin, we suffer many consequences and we need for the government to address our complaints, to not act deaf and turn a blind eye.” “It is still frequent for authorities to refuse to take our complaints about disappearances occurring outside of Guatemalan territory, while the Mexican authorities do not facilitate the right to justice either because many times they refuse to bring a complaint and only make a simple record of appearance of the families.</w:t>
      </w:r>
      <w:r w:rsidRPr="00B90432">
        <w:rPr>
          <w:rStyle w:val="FootnoteReference"/>
          <w:rFonts w:asciiTheme="minorHAnsi" w:hAnsiTheme="minorHAnsi"/>
          <w:sz w:val="22"/>
          <w:szCs w:val="22"/>
        </w:rPr>
        <w:footnoteReference w:id="394"/>
      </w:r>
      <w:r w:rsidRPr="00B90432">
        <w:rPr>
          <w:rFonts w:asciiTheme="minorHAnsi" w:hAnsiTheme="minorHAnsi"/>
        </w:rPr>
        <w:t>”</w:t>
      </w:r>
    </w:p>
    <w:p w14:paraId="45074F61" w14:textId="77777777" w:rsidR="006243A1" w:rsidRPr="00B90432" w:rsidRDefault="006243A1" w:rsidP="00BE721D">
      <w:pPr>
        <w:pStyle w:val="Numberedparagraphs"/>
        <w:rPr>
          <w:rFonts w:asciiTheme="minorHAnsi" w:hAnsiTheme="minorHAnsi"/>
        </w:rPr>
      </w:pPr>
      <w:r w:rsidRPr="00B90432">
        <w:rPr>
          <w:rFonts w:asciiTheme="minorHAnsi" w:hAnsiTheme="minorHAnsi"/>
        </w:rPr>
        <w:lastRenderedPageBreak/>
        <w:t>Even though there have been policies aimed at providing access to transnational justice such as the Mexican Mechanism for Foreign Support for Search and Investigation, the IACHR deems it necessary for the State of Guatemala to accept joint responsibility so that this mechanism can adequately function. For this purpose, authorities must become involved in the coordination and collaboration with the Mechanism and make adequate, trained and permanent translators, interpreters and staffing available to advise the families and enable them to file and follow up on reports. Additionally, direct lines of communication with authorities of other countries must be ensured and plans for the protection of victims, complainants and witnesses must be drawn up.</w:t>
      </w:r>
      <w:r w:rsidRPr="00B90432">
        <w:rPr>
          <w:rStyle w:val="FootnoteReference"/>
          <w:rFonts w:asciiTheme="minorHAnsi" w:hAnsiTheme="minorHAnsi"/>
          <w:sz w:val="22"/>
          <w:szCs w:val="22"/>
        </w:rPr>
        <w:footnoteReference w:id="395"/>
      </w:r>
    </w:p>
    <w:p w14:paraId="447D115B" w14:textId="77777777" w:rsidR="006243A1" w:rsidRPr="00B90432" w:rsidRDefault="006243A1" w:rsidP="00BE721D">
      <w:pPr>
        <w:pStyle w:val="Numberedparagraphs"/>
        <w:rPr>
          <w:rFonts w:asciiTheme="minorHAnsi" w:hAnsiTheme="minorHAnsi"/>
        </w:rPr>
      </w:pPr>
      <w:r w:rsidRPr="00B90432">
        <w:rPr>
          <w:rFonts w:asciiTheme="minorHAnsi" w:hAnsiTheme="minorHAnsi"/>
        </w:rPr>
        <w:t>In this regard, the IACHR highlights the progress achieved with the entry into force of the new Migration Code, to which approximately 70 organizations and institutions from all spheres contributed.</w:t>
      </w:r>
      <w:r w:rsidRPr="00B90432">
        <w:rPr>
          <w:rStyle w:val="FootnoteReference"/>
          <w:rFonts w:asciiTheme="minorHAnsi" w:hAnsiTheme="minorHAnsi"/>
          <w:sz w:val="22"/>
          <w:szCs w:val="22"/>
        </w:rPr>
        <w:footnoteReference w:id="396"/>
      </w:r>
      <w:r w:rsidRPr="00B90432">
        <w:rPr>
          <w:rFonts w:asciiTheme="minorHAnsi" w:hAnsiTheme="minorHAnsi"/>
        </w:rPr>
        <w:t xml:space="preserve"> The Code established the creation of the Guatemalan Migration Institute as an autonomous authority, which has incorporated a procedure for the care and assistance of the families of persons reported as disappeared as a result of migration, and includes the obligation to establish a search procedure, facilitation of conveyances, repatriation of bodies, prohibition of cremation and the facilitation of search mechanisms between States of transit, destination and origin of migrants, as well as special provisions for the search of unaccompanied migrant children and adolescents reported as disappeared or missing.</w:t>
      </w:r>
      <w:r w:rsidRPr="00B90432">
        <w:rPr>
          <w:rStyle w:val="FootnoteReference"/>
          <w:rFonts w:asciiTheme="minorHAnsi" w:hAnsiTheme="minorHAnsi"/>
          <w:sz w:val="22"/>
          <w:szCs w:val="22"/>
        </w:rPr>
        <w:footnoteReference w:id="397"/>
      </w:r>
    </w:p>
    <w:p w14:paraId="0D0FB717" w14:textId="77777777" w:rsidR="006243A1" w:rsidRPr="00B90432" w:rsidRDefault="006243A1" w:rsidP="00BE721D">
      <w:pPr>
        <w:pStyle w:val="Numberedparagraphs"/>
        <w:rPr>
          <w:rFonts w:asciiTheme="minorHAnsi" w:hAnsiTheme="minorHAnsi"/>
        </w:rPr>
      </w:pPr>
      <w:r w:rsidRPr="00B90432">
        <w:rPr>
          <w:rFonts w:asciiTheme="minorHAnsi" w:hAnsiTheme="minorHAnsi"/>
        </w:rPr>
        <w:t>Additionally, the Migration Code sets forth some important developments, such as recognition of the right to migrate,</w:t>
      </w:r>
      <w:r w:rsidRPr="00B90432">
        <w:rPr>
          <w:rStyle w:val="FootnoteReference"/>
          <w:rFonts w:asciiTheme="minorHAnsi" w:hAnsiTheme="minorHAnsi"/>
          <w:sz w:val="22"/>
          <w:szCs w:val="22"/>
        </w:rPr>
        <w:footnoteReference w:id="398"/>
      </w:r>
      <w:r w:rsidRPr="00B90432">
        <w:rPr>
          <w:rFonts w:asciiTheme="minorHAnsi" w:hAnsiTheme="minorHAnsi"/>
        </w:rPr>
        <w:t xml:space="preserve"> the right to request recognition of refugee status</w:t>
      </w:r>
      <w:r w:rsidRPr="00B90432">
        <w:rPr>
          <w:rStyle w:val="FootnoteReference"/>
          <w:rFonts w:asciiTheme="minorHAnsi" w:hAnsiTheme="minorHAnsi"/>
          <w:sz w:val="22"/>
          <w:szCs w:val="22"/>
        </w:rPr>
        <w:footnoteReference w:id="399"/>
      </w:r>
      <w:r w:rsidRPr="00B90432">
        <w:rPr>
          <w:rFonts w:asciiTheme="minorHAnsi" w:hAnsiTheme="minorHAnsi"/>
        </w:rPr>
        <w:t xml:space="preserve"> and the concept of diplomatic asylum.</w:t>
      </w:r>
      <w:r w:rsidRPr="00B90432">
        <w:rPr>
          <w:rStyle w:val="FootnoteReference"/>
          <w:rFonts w:asciiTheme="minorHAnsi" w:hAnsiTheme="minorHAnsi"/>
          <w:sz w:val="22"/>
          <w:szCs w:val="22"/>
        </w:rPr>
        <w:footnoteReference w:id="400"/>
      </w:r>
      <w:r w:rsidRPr="00B90432">
        <w:rPr>
          <w:rFonts w:asciiTheme="minorHAnsi" w:hAnsiTheme="minorHAnsi"/>
        </w:rPr>
        <w:t xml:space="preserve"> The Code allows for the entry of foreigners for humanitarian reasons, including persons affected by natural disasters, medical emergencies, armed conflicts, cooperation with other States for medical purposes, aid </w:t>
      </w:r>
      <w:r w:rsidRPr="00B90432">
        <w:rPr>
          <w:rFonts w:asciiTheme="minorHAnsi" w:hAnsiTheme="minorHAnsi"/>
        </w:rPr>
        <w:lastRenderedPageBreak/>
        <w:t>and relief and for the repatriation of the remains of family members, who die in Guatemala.</w:t>
      </w:r>
      <w:r w:rsidRPr="00B90432">
        <w:rPr>
          <w:rStyle w:val="FootnoteReference"/>
          <w:rFonts w:asciiTheme="minorHAnsi" w:hAnsiTheme="minorHAnsi"/>
          <w:sz w:val="22"/>
          <w:szCs w:val="22"/>
        </w:rPr>
        <w:footnoteReference w:id="401"/>
      </w:r>
    </w:p>
    <w:p w14:paraId="2EEF9777" w14:textId="77777777" w:rsidR="006243A1" w:rsidRPr="00B90432" w:rsidRDefault="006243A1" w:rsidP="00BE721D">
      <w:pPr>
        <w:pStyle w:val="Numberedparagraphs"/>
        <w:rPr>
          <w:rFonts w:asciiTheme="minorHAnsi" w:hAnsiTheme="minorHAnsi"/>
        </w:rPr>
      </w:pPr>
      <w:r w:rsidRPr="00B90432">
        <w:rPr>
          <w:rFonts w:asciiTheme="minorHAnsi" w:hAnsiTheme="minorHAnsi"/>
        </w:rPr>
        <w:t>With respect to the right to not be returned (</w:t>
      </w:r>
      <w:r w:rsidRPr="00B90432">
        <w:rPr>
          <w:rFonts w:asciiTheme="minorHAnsi" w:hAnsiTheme="minorHAnsi"/>
          <w:i/>
          <w:iCs/>
        </w:rPr>
        <w:t>non-refoulement</w:t>
      </w:r>
      <w:r w:rsidRPr="00B90432">
        <w:rPr>
          <w:rFonts w:asciiTheme="minorHAnsi" w:hAnsiTheme="minorHAnsi"/>
        </w:rPr>
        <w:t>),</w:t>
      </w:r>
      <w:r w:rsidRPr="00B90432">
        <w:rPr>
          <w:rStyle w:val="FootnoteReference"/>
          <w:rFonts w:asciiTheme="minorHAnsi" w:hAnsiTheme="minorHAnsi"/>
          <w:sz w:val="22"/>
          <w:szCs w:val="22"/>
        </w:rPr>
        <w:footnoteReference w:id="402"/>
      </w:r>
      <w:r w:rsidRPr="00B90432">
        <w:rPr>
          <w:rFonts w:asciiTheme="minorHAnsi" w:hAnsiTheme="minorHAnsi"/>
        </w:rPr>
        <w:t xml:space="preserve"> the Code only defines as the prohibition of returning a person who has been denied status of refugee or asylum, when there is a compelling reason to believe that his her life, physical integrity and liberty will be jeopardized, ensuring that the Office of the UNHCR has been apprised of the person’s situation.  This arrangement is of concern to the IACHR because it does not provide for the right of non-refoulement over the course of the entire proceeding for recognition of refugee status, nor for the prohibition of refusal of entry at the border, or for indirect return to home country (indirect </w:t>
      </w:r>
      <w:r w:rsidRPr="00B90432">
        <w:rPr>
          <w:rFonts w:asciiTheme="minorHAnsi" w:hAnsiTheme="minorHAnsi"/>
          <w:i/>
        </w:rPr>
        <w:t>non-refoulement</w:t>
      </w:r>
      <w:r w:rsidRPr="00B90432">
        <w:rPr>
          <w:rFonts w:asciiTheme="minorHAnsi" w:hAnsiTheme="minorHAnsi"/>
        </w:rPr>
        <w:t xml:space="preserve">). Additionally, Article 50 of the Code establishes the obligation to pay administrative costs incurred for persons who do not carry identification and travel documents or who have not fulfilled the administrative requirements for entry, in addition to providing that “they will returned to their country of provenance.” The IACHR reminds the Guatemalan State that the obligation of </w:t>
      </w:r>
      <w:r w:rsidRPr="00B90432">
        <w:rPr>
          <w:rFonts w:asciiTheme="minorHAnsi" w:hAnsiTheme="minorHAnsi"/>
          <w:i/>
        </w:rPr>
        <w:t xml:space="preserve">non-refoulement </w:t>
      </w:r>
      <w:r w:rsidRPr="00B90432">
        <w:rPr>
          <w:rFonts w:asciiTheme="minorHAnsi" w:hAnsiTheme="minorHAnsi"/>
        </w:rPr>
        <w:t xml:space="preserve">is a peremptory norm of general international law, which means that no person may be expelled or returned to another country, whether or it is of origin, when his or her right to life or personal liberty is at risk of being violated for reasons of race, religion, nationality, membership in a particular social group or of political opinion.  Likewise, returning a refugee because of entry into Guatemalan territory without identification documents or for not fulfilling administrative entry requirements would be a clear infringement of Article 22.8 of the American Convention on Human Rights on </w:t>
      </w:r>
      <w:r w:rsidRPr="00B90432">
        <w:rPr>
          <w:rFonts w:asciiTheme="minorHAnsi" w:hAnsiTheme="minorHAnsi"/>
          <w:i/>
        </w:rPr>
        <w:t>non-refoulement</w:t>
      </w:r>
      <w:r w:rsidRPr="00B90432">
        <w:rPr>
          <w:rFonts w:asciiTheme="minorHAnsi" w:hAnsiTheme="minorHAnsi"/>
        </w:rPr>
        <w:t>.</w:t>
      </w:r>
    </w:p>
    <w:p w14:paraId="38928D38"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regards the enactment of the Migration Code in Guatemala</w:t>
      </w:r>
      <w:r w:rsidR="003B63C9" w:rsidRPr="00B90432">
        <w:rPr>
          <w:rFonts w:asciiTheme="minorHAnsi" w:hAnsiTheme="minorHAnsi"/>
        </w:rPr>
        <w:t>, on May 8, 2017,</w:t>
      </w:r>
      <w:r w:rsidRPr="00B90432">
        <w:rPr>
          <w:rFonts w:asciiTheme="minorHAnsi" w:hAnsiTheme="minorHAnsi"/>
        </w:rPr>
        <w:t xml:space="preserve"> as a first step to address migration from a human rights perspective. </w:t>
      </w:r>
      <w:r w:rsidR="003B63C9" w:rsidRPr="00B90432">
        <w:rPr>
          <w:rFonts w:asciiTheme="minorHAnsi" w:hAnsiTheme="minorHAnsi"/>
        </w:rPr>
        <w:t>The State also informed, in its comments to the draft of this report, that between January and Decembe 2017 it housed 2,648 people in the Shelter of the General Directorate of Migration in Guatemala City. In addition, in December 2017 the State renewed 26 permits to remain in the country for appilcants under the Refugee Statute.</w:t>
      </w:r>
      <w:r w:rsidR="003B63C9" w:rsidRPr="00B90432">
        <w:rPr>
          <w:rStyle w:val="FootnoteReference"/>
          <w:rFonts w:asciiTheme="minorHAnsi" w:hAnsiTheme="minorHAnsi"/>
          <w:sz w:val="22"/>
          <w:szCs w:val="22"/>
        </w:rPr>
        <w:footnoteReference w:id="403"/>
      </w:r>
      <w:r w:rsidR="003B63C9" w:rsidRPr="00B90432">
        <w:rPr>
          <w:rFonts w:asciiTheme="minorHAnsi" w:hAnsiTheme="minorHAnsi"/>
        </w:rPr>
        <w:t xml:space="preserve"> I</w:t>
      </w:r>
      <w:r w:rsidRPr="00B90432">
        <w:rPr>
          <w:rFonts w:asciiTheme="minorHAnsi" w:hAnsiTheme="minorHAnsi"/>
        </w:rPr>
        <w:t xml:space="preserve">n this </w:t>
      </w:r>
      <w:r w:rsidR="003B63C9" w:rsidRPr="00B90432">
        <w:rPr>
          <w:rFonts w:asciiTheme="minorHAnsi" w:hAnsiTheme="minorHAnsi"/>
        </w:rPr>
        <w:t>regard</w:t>
      </w:r>
      <w:r w:rsidRPr="00B90432">
        <w:rPr>
          <w:rFonts w:asciiTheme="minorHAnsi" w:hAnsiTheme="minorHAnsi"/>
        </w:rPr>
        <w:t xml:space="preserve">, the IACHR urges the Guatemalan State to overhaul the way in which the right of non-refoulement in Article 50 is established, in order to bring it in line with international and Inter-American human rights norms and standards. It is also essential to regulate the Migration Code and other statutes regarding persons in the context of human mobility, under the framework </w:t>
      </w:r>
      <w:r w:rsidRPr="00B90432">
        <w:rPr>
          <w:rFonts w:asciiTheme="minorHAnsi" w:hAnsiTheme="minorHAnsi"/>
        </w:rPr>
        <w:lastRenderedPageBreak/>
        <w:t xml:space="preserve">of a participatory process with civil society organizations and other relevant actors. Lastly, the IACHR urges the Guatemalan State to address and prevent the causes giving rise to forced migration of Guatemalans to other countries. </w:t>
      </w:r>
    </w:p>
    <w:p w14:paraId="694060C7" w14:textId="0550625F" w:rsidR="006243A1" w:rsidRPr="00B90432" w:rsidRDefault="00482806" w:rsidP="009A58BE">
      <w:pPr>
        <w:pStyle w:val="Heading2"/>
      </w:pPr>
      <w:bookmarkStart w:id="55" w:name="_Toc509827657"/>
      <w:r>
        <w:t>Returned or Deported Migrants</w:t>
      </w:r>
      <w:bookmarkEnd w:id="55"/>
    </w:p>
    <w:p w14:paraId="65CD9E6A"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Inter-American Commission notes that Guatemala is also a important country for forced return of migrants, especially since the crack down in migration policies of Mexico and United States over the past years. The number of persons detained and deported by Mexican authorities has grown exponentially, especially after the Southern Border Plan came into effect in 2014. According to official statistics from Mexico’s National Migration Institute (INM), fro 2014 to 2015 detentions of Guatemalans increased by 75.22%, while deportations grew by 92.95% (See Graph 2).</w:t>
      </w:r>
      <w:r w:rsidRPr="00B90432">
        <w:rPr>
          <w:rStyle w:val="FootnoteReference"/>
          <w:rFonts w:asciiTheme="minorHAnsi" w:hAnsiTheme="minorHAnsi"/>
          <w:sz w:val="22"/>
          <w:szCs w:val="22"/>
        </w:rPr>
        <w:footnoteReference w:id="404"/>
      </w:r>
      <w:r w:rsidRPr="00B90432">
        <w:rPr>
          <w:rFonts w:asciiTheme="minorHAnsi" w:hAnsiTheme="minorHAnsi"/>
        </w:rPr>
        <w:t xml:space="preserve"> The IACHR finds that this situation raises significant challenges with regard to the reintegration of these people into society and the effective enjoyment of their rights in Guatemala. Even though the Guatemalan State has begun to adopt some measures to receive and reintegrate deported or returned persons, such as the recent opening of a lounge in the international airport of Guatemala City for migrant children,</w:t>
      </w:r>
      <w:r w:rsidRPr="00B90432">
        <w:rPr>
          <w:rStyle w:val="FootnoteReference"/>
          <w:rFonts w:asciiTheme="minorHAnsi" w:hAnsiTheme="minorHAnsi"/>
          <w:sz w:val="22"/>
          <w:szCs w:val="22"/>
        </w:rPr>
        <w:footnoteReference w:id="405"/>
      </w:r>
      <w:r w:rsidRPr="00B90432">
        <w:rPr>
          <w:rFonts w:asciiTheme="minorHAnsi" w:hAnsiTheme="minorHAnsi"/>
        </w:rPr>
        <w:t xml:space="preserve"> and incorporating into the Migration Code the ability to request shelter and temporary care to stay overnight for 48 hours,</w:t>
      </w:r>
      <w:r w:rsidRPr="00B90432">
        <w:rPr>
          <w:rStyle w:val="FootnoteReference"/>
          <w:rFonts w:asciiTheme="minorHAnsi" w:hAnsiTheme="minorHAnsi"/>
          <w:sz w:val="22"/>
          <w:szCs w:val="22"/>
        </w:rPr>
        <w:footnoteReference w:id="406"/>
      </w:r>
      <w:r w:rsidRPr="00B90432">
        <w:rPr>
          <w:rFonts w:asciiTheme="minorHAnsi" w:hAnsiTheme="minorHAnsi"/>
        </w:rPr>
        <w:t xml:space="preserve"> these efforts are still inadequate to address the current situation what’s more the sharp increase in deportations and impacts this type of measures can have in the long term within Guatemalan society. </w:t>
      </w:r>
    </w:p>
    <w:p w14:paraId="1C432678" w14:textId="77777777" w:rsidR="003B63C9" w:rsidRPr="00B90432" w:rsidRDefault="003B63C9" w:rsidP="00BE721D">
      <w:pPr>
        <w:pStyle w:val="Numberedparagraphs"/>
        <w:rPr>
          <w:rFonts w:asciiTheme="minorHAnsi" w:hAnsiTheme="minorHAnsi"/>
        </w:rPr>
      </w:pPr>
      <w:r w:rsidRPr="00B90432">
        <w:rPr>
          <w:rFonts w:asciiTheme="minorHAnsi" w:hAnsiTheme="minorHAnsi"/>
        </w:rPr>
        <w:t>In its comments to the draft of this report, the State submitted statistics of Guatemalan individuals deported from Mexico by land as of October 23, 2017. These figures show 25,167 people have been so deported, of whom 15,659 are adult males, 428 adult females, 215 accompanied boys, 175 accompanied girls, 156 unaccompanied boys, and 39 unaccompanied girls. The total figures reported reflect a derease compared to previous years, where the number of people deported reached 45,459 in 2016 and 61,635 in 2015</w:t>
      </w:r>
      <w:r w:rsidR="005D2FA1" w:rsidRPr="00B90432">
        <w:rPr>
          <w:rFonts w:asciiTheme="minorHAnsi" w:hAnsiTheme="minorHAnsi"/>
        </w:rPr>
        <w:t xml:space="preserve">, as of October 31 of each year. Regarding Guatemalan people deported from the United States of America by air, figures for 2017 (as of </w:t>
      </w:r>
      <w:r w:rsidR="005D2FA1" w:rsidRPr="00B90432">
        <w:rPr>
          <w:rFonts w:asciiTheme="minorHAnsi" w:hAnsiTheme="minorHAnsi"/>
        </w:rPr>
        <w:lastRenderedPageBreak/>
        <w:t>October 4) show 22,477 people, compared to 28,464 in 2016 and 26,097 in 2015, as of October 31 of each year.</w:t>
      </w:r>
      <w:r w:rsidR="005D2FA1" w:rsidRPr="00B90432">
        <w:rPr>
          <w:rStyle w:val="FootnoteReference"/>
          <w:rFonts w:asciiTheme="minorHAnsi" w:hAnsiTheme="minorHAnsi"/>
          <w:sz w:val="22"/>
          <w:szCs w:val="22"/>
        </w:rPr>
        <w:footnoteReference w:id="407"/>
      </w:r>
    </w:p>
    <w:p w14:paraId="57279AE4" w14:textId="77777777" w:rsidR="006243A1" w:rsidRPr="00B90432" w:rsidRDefault="006243A1" w:rsidP="006243A1">
      <w:pPr>
        <w:spacing w:before="240" w:after="10" w:line="240" w:lineRule="auto"/>
        <w:ind w:left="1170"/>
        <w:jc w:val="both"/>
        <w:rPr>
          <w:rFonts w:asciiTheme="minorHAnsi" w:hAnsiTheme="minorHAnsi"/>
        </w:rPr>
      </w:pPr>
      <w:r w:rsidRPr="00B90432">
        <w:rPr>
          <w:rFonts w:asciiTheme="minorHAnsi" w:hAnsiTheme="minorHAnsi"/>
        </w:rPr>
        <w:t xml:space="preserve">  </w:t>
      </w:r>
    </w:p>
    <w:p w14:paraId="256DF9BE" w14:textId="77777777" w:rsidR="006243A1" w:rsidRPr="00B90432" w:rsidRDefault="006243A1" w:rsidP="006243A1">
      <w:pPr>
        <w:spacing w:after="0" w:line="240" w:lineRule="auto"/>
        <w:jc w:val="center"/>
        <w:rPr>
          <w:rFonts w:asciiTheme="minorHAnsi" w:hAnsiTheme="minorHAnsi"/>
        </w:rPr>
      </w:pPr>
      <w:r w:rsidRPr="00B90432">
        <w:rPr>
          <w:rFonts w:asciiTheme="minorHAnsi" w:hAnsiTheme="minorHAnsi"/>
          <w:noProof/>
        </w:rPr>
        <w:drawing>
          <wp:inline distT="0" distB="0" distL="0" distR="0" wp14:anchorId="16975DED" wp14:editId="47FB139B">
            <wp:extent cx="3183890" cy="1790065"/>
            <wp:effectExtent l="0" t="0" r="16510" b="1333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712AA7F" w14:textId="77777777" w:rsidR="006243A1" w:rsidRPr="00B90432" w:rsidRDefault="006243A1" w:rsidP="006243A1">
      <w:pPr>
        <w:spacing w:after="0" w:line="240" w:lineRule="auto"/>
        <w:jc w:val="both"/>
        <w:rPr>
          <w:rFonts w:asciiTheme="minorHAnsi" w:hAnsiTheme="minorHAnsi"/>
        </w:rPr>
      </w:pPr>
    </w:p>
    <w:p w14:paraId="72236DA6" w14:textId="77777777" w:rsidR="006243A1" w:rsidRPr="00EF7349" w:rsidRDefault="006243A1" w:rsidP="006243A1">
      <w:pPr>
        <w:spacing w:after="0" w:line="240" w:lineRule="auto"/>
        <w:contextualSpacing/>
        <w:jc w:val="center"/>
        <w:rPr>
          <w:rFonts w:asciiTheme="minorHAnsi" w:hAnsiTheme="minorHAnsi"/>
          <w:bCs/>
          <w:color w:val="808080"/>
          <w:sz w:val="20"/>
        </w:rPr>
      </w:pPr>
      <w:r w:rsidRPr="00EF7349">
        <w:rPr>
          <w:rFonts w:asciiTheme="minorHAnsi" w:hAnsiTheme="minorHAnsi"/>
          <w:bCs/>
          <w:color w:val="808080"/>
          <w:sz w:val="20"/>
        </w:rPr>
        <w:t>Source: Secretariat of the Interior, National Migration Institute 2010 -2017</w:t>
      </w:r>
    </w:p>
    <w:p w14:paraId="54327D41" w14:textId="77777777" w:rsidR="006243A1" w:rsidRDefault="006243A1" w:rsidP="006243A1">
      <w:pPr>
        <w:spacing w:after="0" w:line="240" w:lineRule="auto"/>
        <w:contextualSpacing/>
        <w:jc w:val="center"/>
        <w:rPr>
          <w:rFonts w:asciiTheme="minorHAnsi" w:hAnsiTheme="minorHAnsi"/>
          <w:bCs/>
          <w:color w:val="808080"/>
          <w:sz w:val="20"/>
        </w:rPr>
      </w:pPr>
      <w:r w:rsidRPr="00EF7349">
        <w:rPr>
          <w:rFonts w:asciiTheme="minorHAnsi" w:hAnsiTheme="minorHAnsi"/>
          <w:bCs/>
          <w:color w:val="808080"/>
          <w:sz w:val="20"/>
        </w:rPr>
        <w:t>* Statistics available until July 2017</w:t>
      </w:r>
    </w:p>
    <w:p w14:paraId="2BAE6305" w14:textId="77777777" w:rsidR="00EF7349" w:rsidRPr="00EF7349" w:rsidRDefault="00EF7349" w:rsidP="006243A1">
      <w:pPr>
        <w:spacing w:after="0" w:line="240" w:lineRule="auto"/>
        <w:contextualSpacing/>
        <w:jc w:val="center"/>
        <w:rPr>
          <w:rFonts w:asciiTheme="minorHAnsi" w:hAnsiTheme="minorHAnsi"/>
          <w:bCs/>
          <w:color w:val="808080"/>
          <w:sz w:val="20"/>
        </w:rPr>
      </w:pPr>
    </w:p>
    <w:p w14:paraId="2FFBFB82"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IACHR urges the State of Guatemala to continue to implement measures aimed at taking in and reintegrating returnees, especially to protect persons who first fled a situation of violence and run the risk of being persecuted or revictimized. </w:t>
      </w:r>
    </w:p>
    <w:p w14:paraId="70EC7C58" w14:textId="77777777" w:rsidR="006243A1" w:rsidRPr="00B90432" w:rsidRDefault="00C10A94" w:rsidP="009A58BE">
      <w:pPr>
        <w:pStyle w:val="Heading2"/>
      </w:pPr>
      <w:bookmarkStart w:id="56" w:name="_Toc509827658"/>
      <w:r w:rsidRPr="00B90432">
        <w:t xml:space="preserve">Human </w:t>
      </w:r>
      <w:r w:rsidR="006243A1" w:rsidRPr="00B90432">
        <w:t>Trafficking</w:t>
      </w:r>
      <w:bookmarkEnd w:id="56"/>
      <w:r w:rsidR="006243A1" w:rsidRPr="00B90432">
        <w:t xml:space="preserve"> </w:t>
      </w:r>
    </w:p>
    <w:p w14:paraId="3B6B3F2B" w14:textId="77777777" w:rsidR="006243A1" w:rsidRPr="00B90432" w:rsidRDefault="006243A1" w:rsidP="00BE721D">
      <w:pPr>
        <w:pStyle w:val="Numberedparagraphs"/>
        <w:rPr>
          <w:rFonts w:asciiTheme="minorHAnsi" w:hAnsiTheme="minorHAnsi"/>
        </w:rPr>
      </w:pPr>
      <w:r w:rsidRPr="00B90432">
        <w:rPr>
          <w:rFonts w:asciiTheme="minorHAnsi" w:hAnsiTheme="minorHAnsi"/>
        </w:rPr>
        <w:t>Guatemala is also a country of origin, transit and destination of male and female adult and child and adolescent victims of trafficking for sexual or labor purposes.</w:t>
      </w:r>
      <w:r w:rsidRPr="00B90432">
        <w:rPr>
          <w:rStyle w:val="FootnoteReference"/>
          <w:rFonts w:asciiTheme="minorHAnsi" w:hAnsiTheme="minorHAnsi"/>
          <w:sz w:val="22"/>
          <w:szCs w:val="22"/>
        </w:rPr>
        <w:footnoteReference w:id="408"/>
      </w:r>
      <w:r w:rsidRPr="00B90432">
        <w:rPr>
          <w:rFonts w:asciiTheme="minorHAnsi" w:hAnsiTheme="minorHAnsi"/>
        </w:rPr>
        <w:t xml:space="preserve"> Indigenous persons and children and adolescents tend to be the main victims of these crimes; children are usually exploited to beg on the streets and as roving vendors; moreover, criminal organizations tend to sexually exploit little girls and force young men in urban areas to sell or transport drugs or commit extortion.</w:t>
      </w:r>
      <w:r w:rsidRPr="00B90432">
        <w:rPr>
          <w:rStyle w:val="FootnoteReference"/>
          <w:rFonts w:asciiTheme="minorHAnsi" w:hAnsiTheme="minorHAnsi"/>
          <w:sz w:val="22"/>
          <w:szCs w:val="22"/>
        </w:rPr>
        <w:footnoteReference w:id="409"/>
      </w:r>
      <w:r w:rsidRPr="00B90432">
        <w:rPr>
          <w:rFonts w:asciiTheme="minorHAnsi" w:hAnsiTheme="minorHAnsi"/>
        </w:rPr>
        <w:t xml:space="preserve"> According to the United Nations Office on Drugs and Crime (UNODC), crossborder trafficking in persons originating in Central America and the Caribbean accounts for </w:t>
      </w:r>
      <w:r w:rsidRPr="00B90432">
        <w:rPr>
          <w:rFonts w:asciiTheme="minorHAnsi" w:hAnsiTheme="minorHAnsi"/>
        </w:rPr>
        <w:lastRenderedPageBreak/>
        <w:t>12% of the all human trafficking victims detected in North America, especially Mexico and the United States.</w:t>
      </w:r>
      <w:r w:rsidRPr="00B90432">
        <w:rPr>
          <w:rStyle w:val="FootnoteReference"/>
          <w:rFonts w:asciiTheme="minorHAnsi" w:hAnsiTheme="minorHAnsi"/>
          <w:sz w:val="22"/>
          <w:szCs w:val="22"/>
        </w:rPr>
        <w:footnoteReference w:id="410"/>
      </w:r>
    </w:p>
    <w:p w14:paraId="1C633090" w14:textId="77777777" w:rsidR="006243A1" w:rsidRPr="00B90432" w:rsidRDefault="006243A1" w:rsidP="00BE721D">
      <w:pPr>
        <w:pStyle w:val="Numberedparagraphs"/>
        <w:rPr>
          <w:rFonts w:asciiTheme="minorHAnsi" w:hAnsiTheme="minorHAnsi"/>
        </w:rPr>
      </w:pPr>
      <w:r w:rsidRPr="00B90432">
        <w:rPr>
          <w:rFonts w:asciiTheme="minorHAnsi" w:hAnsiTheme="minorHAnsi"/>
        </w:rPr>
        <w:t>In this regard, the Commission notes that through the Inter-Institutional Commission against Trafficking in persons, the Guatemalan State implemented training of 246 public officials in the first quarter of 2017.</w:t>
      </w:r>
      <w:r w:rsidRPr="00B90432">
        <w:rPr>
          <w:rStyle w:val="FootnoteReference"/>
          <w:rFonts w:asciiTheme="minorHAnsi" w:hAnsiTheme="minorHAnsi"/>
          <w:sz w:val="22"/>
          <w:szCs w:val="22"/>
        </w:rPr>
        <w:footnoteReference w:id="411"/>
      </w:r>
      <w:r w:rsidRPr="00B90432">
        <w:rPr>
          <w:rFonts w:asciiTheme="minorHAnsi" w:hAnsiTheme="minorHAnsi"/>
        </w:rPr>
        <w:t xml:space="preserve"> </w:t>
      </w:r>
      <w:r w:rsidR="005D2FA1" w:rsidRPr="00B90432">
        <w:rPr>
          <w:rFonts w:asciiTheme="minorHAnsi" w:hAnsiTheme="minorHAnsi"/>
        </w:rPr>
        <w:t>In its comments to the draft of this report, the State indicated that the Secretariat against Sexual Violence, Exploitation and Human Trafficking (SVET) has trained 146,221 people on the prevention of crimes related to sexual violence, exploitation, human trafficking and LGBTI persons.</w:t>
      </w:r>
      <w:r w:rsidR="005D2FA1" w:rsidRPr="00B90432">
        <w:rPr>
          <w:rStyle w:val="FootnoteReference"/>
          <w:rFonts w:asciiTheme="minorHAnsi" w:hAnsiTheme="minorHAnsi"/>
          <w:sz w:val="22"/>
          <w:szCs w:val="22"/>
        </w:rPr>
        <w:footnoteReference w:id="412"/>
      </w:r>
      <w:r w:rsidRPr="00B90432">
        <w:rPr>
          <w:rFonts w:asciiTheme="minorHAnsi" w:hAnsiTheme="minorHAnsi"/>
        </w:rPr>
        <w:t xml:space="preserve"> Additionally, 147 victims of human trafficking have been assisted, 113 of which are children and 13, adult males and females, while 138 of the victims were women or girls and 9 were boys and men.</w:t>
      </w:r>
      <w:r w:rsidRPr="00B90432">
        <w:rPr>
          <w:rStyle w:val="FootnoteReference"/>
          <w:rFonts w:asciiTheme="minorHAnsi" w:hAnsiTheme="minorHAnsi"/>
          <w:sz w:val="22"/>
          <w:szCs w:val="22"/>
        </w:rPr>
        <w:footnoteReference w:id="413"/>
      </w:r>
      <w:r w:rsidRPr="00B90432">
        <w:rPr>
          <w:rFonts w:asciiTheme="minorHAnsi" w:hAnsiTheme="minorHAnsi"/>
        </w:rPr>
        <w:t xml:space="preserve"> Most of the victims were Guatemalan nationals, while there were 3 Hondurans, 3 Mexicans, 3 Salvadorans and 1 Venezuelan national.</w:t>
      </w:r>
      <w:r w:rsidRPr="00B90432">
        <w:rPr>
          <w:rStyle w:val="FootnoteReference"/>
          <w:rFonts w:asciiTheme="minorHAnsi" w:hAnsiTheme="minorHAnsi"/>
          <w:sz w:val="22"/>
          <w:szCs w:val="22"/>
        </w:rPr>
        <w:footnoteReference w:id="414"/>
      </w:r>
      <w:r w:rsidRPr="00B90432">
        <w:rPr>
          <w:rFonts w:asciiTheme="minorHAnsi" w:hAnsiTheme="minorHAnsi"/>
        </w:rPr>
        <w:t xml:space="preserve">    </w:t>
      </w:r>
    </w:p>
    <w:p w14:paraId="244AB2EB" w14:textId="77777777" w:rsidR="006243A1" w:rsidRPr="00B90432" w:rsidRDefault="006243A1" w:rsidP="002C41EC">
      <w:pPr>
        <w:spacing w:before="240" w:after="10" w:line="240" w:lineRule="auto"/>
        <w:jc w:val="both"/>
        <w:rPr>
          <w:rFonts w:asciiTheme="minorHAnsi" w:hAnsiTheme="minorHAnsi"/>
        </w:rPr>
      </w:pPr>
    </w:p>
    <w:p w14:paraId="60BEBA76" w14:textId="77777777" w:rsidR="006243A1" w:rsidRPr="00B90432" w:rsidRDefault="006243A1" w:rsidP="002C41EC">
      <w:pPr>
        <w:pStyle w:val="ListParagraph"/>
        <w:ind w:left="0"/>
        <w:jc w:val="center"/>
        <w:rPr>
          <w:rFonts w:asciiTheme="minorHAnsi" w:hAnsiTheme="minorHAnsi"/>
        </w:rPr>
      </w:pPr>
      <w:r w:rsidRPr="00B90432">
        <w:rPr>
          <w:rFonts w:asciiTheme="minorHAnsi" w:hAnsiTheme="minorHAnsi"/>
          <w:noProof/>
        </w:rPr>
        <w:drawing>
          <wp:inline distT="0" distB="0" distL="0" distR="0" wp14:anchorId="062BF83B" wp14:editId="5FDE9785">
            <wp:extent cx="3450590" cy="2192655"/>
            <wp:effectExtent l="0" t="0" r="29210" b="1714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0041996" w14:textId="42B24B82" w:rsidR="006243A1" w:rsidRPr="00C50B93" w:rsidRDefault="006243A1" w:rsidP="002C41EC">
      <w:pPr>
        <w:spacing w:after="240" w:line="240" w:lineRule="auto"/>
        <w:jc w:val="center"/>
        <w:rPr>
          <w:rFonts w:asciiTheme="minorHAnsi" w:hAnsiTheme="minorHAnsi"/>
          <w:bCs/>
          <w:color w:val="808080"/>
          <w:sz w:val="20"/>
        </w:rPr>
      </w:pPr>
      <w:r w:rsidRPr="00C50B93">
        <w:rPr>
          <w:rFonts w:asciiTheme="minorHAnsi" w:hAnsiTheme="minorHAnsi"/>
          <w:bCs/>
          <w:color w:val="808080"/>
          <w:sz w:val="20"/>
        </w:rPr>
        <w:t xml:space="preserve">Source: Report of the Guatemalan State on Trafficking in Persons, </w:t>
      </w:r>
      <w:r w:rsidR="00C50B93" w:rsidRPr="00C50B93">
        <w:rPr>
          <w:rFonts w:asciiTheme="minorHAnsi" w:hAnsiTheme="minorHAnsi"/>
          <w:bCs/>
          <w:color w:val="808080"/>
          <w:sz w:val="20"/>
        </w:rPr>
        <w:br/>
      </w:r>
      <w:r w:rsidRPr="00C50B93">
        <w:rPr>
          <w:rFonts w:asciiTheme="minorHAnsi" w:hAnsiTheme="minorHAnsi"/>
          <w:bCs/>
          <w:color w:val="808080"/>
          <w:sz w:val="20"/>
        </w:rPr>
        <w:t>2016 and 2017.</w:t>
      </w:r>
    </w:p>
    <w:p w14:paraId="70AFF1A0" w14:textId="77777777" w:rsidR="006243A1" w:rsidRPr="00B90432" w:rsidRDefault="004F3D83" w:rsidP="00BE721D">
      <w:pPr>
        <w:pStyle w:val="Numberedparagraphs"/>
        <w:rPr>
          <w:rFonts w:asciiTheme="minorHAnsi" w:hAnsiTheme="minorHAnsi"/>
        </w:rPr>
      </w:pPr>
      <w:r w:rsidRPr="00B90432">
        <w:rPr>
          <w:rFonts w:asciiTheme="minorHAnsi" w:hAnsiTheme="minorHAnsi"/>
        </w:rPr>
        <w:t xml:space="preserve">In its comments to the draft of this report, the State stated that SVET has served 415 children and adolescents in its specialized termporary shelters. Additionally, in October 2015 the Public Prosecutor’s Office approved the “Protocol regarding Assistance to Victims of Human Trafficking,” the </w:t>
      </w:r>
      <w:r w:rsidRPr="00B90432">
        <w:rPr>
          <w:rFonts w:asciiTheme="minorHAnsi" w:hAnsiTheme="minorHAnsi"/>
        </w:rPr>
        <w:lastRenderedPageBreak/>
        <w:t>“General Instruction regulating the Mechanisms of Serving, Coordinating and Intervention by the Public Prosecutor related to the Assistance to Victims and Strategic Criminal Prosecution of Human Trafficking Crimes.”</w:t>
      </w:r>
      <w:r w:rsidR="00A66D91" w:rsidRPr="00B90432">
        <w:rPr>
          <w:rFonts w:asciiTheme="minorHAnsi" w:hAnsiTheme="minorHAnsi"/>
        </w:rPr>
        <w:t xml:space="preserve"> Also, the System for the Protection of Children and the Unit Against Child Pornography were created in May 2016, as pat of the Prosecutor’s Office United on Human Trafficking.</w:t>
      </w:r>
      <w:r w:rsidR="00A66D91" w:rsidRPr="00B90432">
        <w:rPr>
          <w:rStyle w:val="FootnoteReference"/>
          <w:rFonts w:asciiTheme="minorHAnsi" w:hAnsiTheme="minorHAnsi"/>
          <w:sz w:val="22"/>
          <w:szCs w:val="22"/>
        </w:rPr>
        <w:footnoteReference w:id="415"/>
      </w:r>
      <w:r w:rsidR="00A66D91" w:rsidRPr="00B90432">
        <w:rPr>
          <w:rFonts w:asciiTheme="minorHAnsi" w:hAnsiTheme="minorHAnsi"/>
        </w:rPr>
        <w:t xml:space="preserve"> </w:t>
      </w:r>
      <w:r w:rsidRPr="00B90432">
        <w:rPr>
          <w:rFonts w:asciiTheme="minorHAnsi" w:hAnsiTheme="minorHAnsi"/>
        </w:rPr>
        <w:t xml:space="preserve"> </w:t>
      </w:r>
      <w:r w:rsidR="006243A1" w:rsidRPr="00B90432">
        <w:rPr>
          <w:rFonts w:asciiTheme="minorHAnsi" w:hAnsiTheme="minorHAnsi"/>
        </w:rPr>
        <w:t>As for the prosecution and punishment of the crime of trafficking in persons, the Guatemalan State received 168 complaints for the period of January to June 2017, obtaining over the same period 21 judgments, 17 of which were convictions and 4, acquittals.</w:t>
      </w:r>
      <w:r w:rsidR="006243A1" w:rsidRPr="00B90432">
        <w:rPr>
          <w:rStyle w:val="FootnoteReference"/>
          <w:rFonts w:asciiTheme="minorHAnsi" w:hAnsiTheme="minorHAnsi"/>
          <w:sz w:val="22"/>
          <w:szCs w:val="22"/>
        </w:rPr>
        <w:footnoteReference w:id="416"/>
      </w:r>
      <w:r w:rsidR="006243A1" w:rsidRPr="00B90432">
        <w:rPr>
          <w:rFonts w:asciiTheme="minorHAnsi" w:hAnsiTheme="minorHAnsi"/>
        </w:rPr>
        <w:t xml:space="preserve"> </w:t>
      </w:r>
      <w:r w:rsidR="00A66D91" w:rsidRPr="00B90432">
        <w:rPr>
          <w:rFonts w:asciiTheme="minorHAnsi" w:hAnsiTheme="minorHAnsi"/>
        </w:rPr>
        <w:t>Figures provided by the State in its comments to the draft of this report reflect that between 2012 and June 2017, there were a total of 1,771 reports, which included 3,338 people affected and resulted in a total of 82 convictions.</w:t>
      </w:r>
      <w:r w:rsidR="005008BE" w:rsidRPr="00B90432">
        <w:rPr>
          <w:rStyle w:val="FootnoteReference"/>
          <w:rFonts w:asciiTheme="minorHAnsi" w:hAnsiTheme="minorHAnsi"/>
          <w:sz w:val="22"/>
          <w:szCs w:val="22"/>
        </w:rPr>
        <w:footnoteReference w:id="417"/>
      </w:r>
      <w:r w:rsidR="006243A1" w:rsidRPr="00B90432">
        <w:rPr>
          <w:rFonts w:asciiTheme="minorHAnsi" w:hAnsiTheme="minorHAnsi"/>
        </w:rPr>
        <w:t xml:space="preserve"> In this regard, the IACHR urges the Guatemalan State to continue its efforts to prevent and address the crime of human trafficking, especially, prosecuting the crime and providing assistance and care and full reparation to the victims thereof. </w:t>
      </w:r>
    </w:p>
    <w:p w14:paraId="28D57618"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facts described in the instant chapter suggest that the situation of internal displacement, forced evictions, migration and return has grown worse over the past years in Guatemala, while the State has not taken adequate measures to properly address it over the migration continuum, either within the country or on route to other countries. Both internal and external displacement in Guatemala are caused by, </w:t>
      </w:r>
      <w:r w:rsidRPr="00B90432">
        <w:rPr>
          <w:rFonts w:asciiTheme="minorHAnsi" w:hAnsiTheme="minorHAnsi"/>
          <w:i/>
        </w:rPr>
        <w:t xml:space="preserve">inter alia, </w:t>
      </w:r>
      <w:r w:rsidRPr="00B90432">
        <w:rPr>
          <w:rFonts w:asciiTheme="minorHAnsi" w:hAnsiTheme="minorHAnsi"/>
        </w:rPr>
        <w:t xml:space="preserve">poverty, inequality, violence, forced evictions, domestic violence, megaprojects and natural disasters, which lead to Guatemalans having to leave their homes and places of origin as a mechanism of survival and protection.  Thus, it is essential for the approach to human mobility in the State of Guatemala to include addressing the root causes of the internal and external displacement, recognizing internal forced displacement in order to properly deal and eradicate it, addressing the return of displaced persons in order to ensure their protection and reintegration, as well as ensure human rights, including access to justice, the right to asylum and non-refoulement, for migrants on Guatemalan soil. </w:t>
      </w:r>
    </w:p>
    <w:p w14:paraId="767CAED3" w14:textId="77777777" w:rsidR="00C50B93" w:rsidRDefault="00C50B93" w:rsidP="00BE721D">
      <w:pPr>
        <w:pStyle w:val="Numberedparagraphs"/>
        <w:numPr>
          <w:ilvl w:val="0"/>
          <w:numId w:val="0"/>
        </w:numPr>
        <w:ind w:left="547" w:hanging="547"/>
        <w:rPr>
          <w:rFonts w:asciiTheme="minorHAnsi" w:hAnsiTheme="minorHAnsi"/>
        </w:rPr>
        <w:sectPr w:rsidR="00C50B93" w:rsidSect="00450424">
          <w:headerReference w:type="default" r:id="rId50"/>
          <w:footerReference w:type="default" r:id="rId51"/>
          <w:type w:val="oddPage"/>
          <w:pgSz w:w="10080" w:h="14400" w:code="13"/>
          <w:pgMar w:top="1152" w:right="1152" w:bottom="1152" w:left="1296" w:header="720" w:footer="720" w:gutter="0"/>
          <w:cols w:space="720"/>
          <w:docGrid w:linePitch="360"/>
        </w:sectPr>
      </w:pPr>
    </w:p>
    <w:p w14:paraId="01B5B5C7" w14:textId="24796B35" w:rsidR="00C50B93" w:rsidRPr="00C50B93" w:rsidRDefault="00C50B93" w:rsidP="00C50B93">
      <w:pPr>
        <w:pStyle w:val="Title"/>
        <w:rPr>
          <w:color w:val="808080" w:themeColor="background1" w:themeShade="80"/>
          <w:sz w:val="44"/>
          <w:szCs w:val="44"/>
          <w:lang w:val="en-US"/>
        </w:rPr>
      </w:pPr>
      <w:bookmarkStart w:id="57" w:name="_Toc509827659"/>
      <w:r w:rsidRPr="00C50B93">
        <w:rPr>
          <w:color w:val="808080" w:themeColor="background1" w:themeShade="80"/>
          <w:sz w:val="44"/>
          <w:szCs w:val="44"/>
          <w:lang w:val="en-US"/>
        </w:rPr>
        <w:lastRenderedPageBreak/>
        <w:t>CHAPTER 5</w:t>
      </w:r>
      <w:bookmarkEnd w:id="57"/>
    </w:p>
    <w:p w14:paraId="3B4A17A2" w14:textId="6112A36C" w:rsidR="00C50B93" w:rsidRPr="00990D97" w:rsidRDefault="00C50B93" w:rsidP="00C50B93">
      <w:pPr>
        <w:pStyle w:val="Title"/>
        <w:rPr>
          <w:lang w:val="en-US"/>
        </w:rPr>
        <w:sectPr w:rsidR="00C50B93" w:rsidRPr="00990D97" w:rsidSect="00D61BE3">
          <w:headerReference w:type="default" r:id="rId52"/>
          <w:footerReference w:type="default" r:id="rId53"/>
          <w:type w:val="oddPage"/>
          <w:pgSz w:w="10080" w:h="14400" w:code="13"/>
          <w:pgMar w:top="1152" w:right="1152" w:bottom="1152" w:left="1296" w:header="720" w:footer="720" w:gutter="0"/>
          <w:cols w:space="720"/>
          <w:vAlign w:val="center"/>
          <w:docGrid w:linePitch="360"/>
        </w:sectPr>
      </w:pPr>
      <w:bookmarkStart w:id="58" w:name="_Toc509827660"/>
      <w:r w:rsidRPr="00990D97">
        <w:rPr>
          <w:lang w:val="en-US"/>
        </w:rPr>
        <w:t>SITUATION OF FREEDOM OF EXPRESSION</w:t>
      </w:r>
      <w:bookmarkEnd w:id="58"/>
    </w:p>
    <w:p w14:paraId="20205102" w14:textId="77777777" w:rsidR="006243A1" w:rsidRPr="00C50B93" w:rsidRDefault="00DD0CB9" w:rsidP="003D17BA">
      <w:pPr>
        <w:pStyle w:val="Heading1"/>
        <w:rPr>
          <w:lang w:val="en-US"/>
        </w:rPr>
      </w:pPr>
      <w:bookmarkStart w:id="59" w:name="_Toc509827661"/>
      <w:r w:rsidRPr="00C50B93">
        <w:rPr>
          <w:lang w:val="en-US"/>
        </w:rPr>
        <w:lastRenderedPageBreak/>
        <w:t xml:space="preserve">SITUATION OF </w:t>
      </w:r>
      <w:r w:rsidR="009C7796" w:rsidRPr="00C50B93">
        <w:rPr>
          <w:lang w:val="en-US"/>
        </w:rPr>
        <w:t>FREEDOM OF EXPRESSION</w:t>
      </w:r>
      <w:bookmarkEnd w:id="59"/>
    </w:p>
    <w:p w14:paraId="12D08ED9" w14:textId="77777777" w:rsidR="006243A1" w:rsidRPr="005B7767" w:rsidRDefault="009C7796" w:rsidP="0085755A">
      <w:pPr>
        <w:pStyle w:val="Heading2"/>
        <w:numPr>
          <w:ilvl w:val="0"/>
          <w:numId w:val="14"/>
        </w:numPr>
        <w:ind w:left="540" w:hanging="540"/>
      </w:pPr>
      <w:bookmarkStart w:id="60" w:name="_Toc509827662"/>
      <w:r w:rsidRPr="005B7767">
        <w:t xml:space="preserve">Situation of journalists and </w:t>
      </w:r>
      <w:r w:rsidR="00DD0CB9" w:rsidRPr="005B7767">
        <w:t xml:space="preserve">attacks to </w:t>
      </w:r>
      <w:r w:rsidRPr="005B7767">
        <w:t>freedom of expression</w:t>
      </w:r>
      <w:bookmarkEnd w:id="60"/>
    </w:p>
    <w:p w14:paraId="6604DB7E" w14:textId="77777777" w:rsidR="00CD0E32" w:rsidRPr="00B90432" w:rsidRDefault="00CD0E32" w:rsidP="00BE721D">
      <w:pPr>
        <w:pStyle w:val="Numberedparagraphs"/>
        <w:rPr>
          <w:rFonts w:asciiTheme="minorHAnsi" w:hAnsiTheme="minorHAnsi"/>
          <w:b/>
        </w:rPr>
      </w:pPr>
      <w:r w:rsidRPr="00B90432">
        <w:rPr>
          <w:rFonts w:asciiTheme="minorHAnsi" w:hAnsiTheme="minorHAnsi"/>
          <w:lang w:val="en"/>
        </w:rPr>
        <w:t xml:space="preserve">During the </w:t>
      </w:r>
      <w:r w:rsidRPr="00B90432">
        <w:rPr>
          <w:rFonts w:asciiTheme="minorHAnsi" w:hAnsiTheme="minorHAnsi"/>
          <w:iCs/>
          <w:lang w:val="en"/>
        </w:rPr>
        <w:t>on-site</w:t>
      </w:r>
      <w:r w:rsidRPr="00B90432">
        <w:rPr>
          <w:rFonts w:asciiTheme="minorHAnsi" w:hAnsiTheme="minorHAnsi"/>
          <w:lang w:val="en"/>
        </w:rPr>
        <w:t xml:space="preserve"> visit</w:t>
      </w:r>
      <w:r w:rsidRPr="00B90432">
        <w:rPr>
          <w:rFonts w:asciiTheme="minorHAnsi" w:hAnsiTheme="minorHAnsi"/>
        </w:rPr>
        <w:t xml:space="preserve"> conducted in 2017, the IACHR verified significant levels of violence against journalists in Guatemala, characterized by murders, threats, and speech that aims to stigmatize media outlets and journalists engaged in the fight against corruption and the abuse of power. According to reports, journalists and media workers are “highly vulnerable” to violence in the practice of their profession, especially in areas outside the nation’s capital. These journalists, in addition to confronting the scourge of drug trafficking and organized crime, are also subject to attacks from some public servants allegedly linked to corrupt acts. </w:t>
      </w:r>
      <w:r w:rsidRPr="00B90432">
        <w:rPr>
          <w:rStyle w:val="FootnoteReference"/>
          <w:rFonts w:asciiTheme="minorHAnsi" w:hAnsiTheme="minorHAnsi"/>
          <w:sz w:val="22"/>
          <w:szCs w:val="22"/>
          <w:lang w:val="es-ES"/>
        </w:rPr>
        <w:footnoteReference w:id="418"/>
      </w:r>
      <w:r w:rsidRPr="00B90432">
        <w:rPr>
          <w:rFonts w:asciiTheme="minorHAnsi" w:hAnsiTheme="minorHAnsi"/>
        </w:rPr>
        <w:t xml:space="preserve"> According to the information received, Quetzaltenango is one of the areas where the greatest number of attacks on journalists has been reported in recent years. </w:t>
      </w:r>
      <w:r w:rsidRPr="00B90432">
        <w:rPr>
          <w:rStyle w:val="FootnoteReference"/>
          <w:rFonts w:asciiTheme="minorHAnsi" w:hAnsiTheme="minorHAnsi"/>
          <w:sz w:val="22"/>
          <w:szCs w:val="22"/>
          <w:lang w:val="es-ES"/>
        </w:rPr>
        <w:footnoteReference w:id="419"/>
      </w:r>
    </w:p>
    <w:p w14:paraId="6365679C" w14:textId="77777777" w:rsidR="00CD0E32" w:rsidRPr="00B90432" w:rsidRDefault="00CD0E32" w:rsidP="00BE721D">
      <w:pPr>
        <w:pStyle w:val="Numberedparagraphs"/>
        <w:rPr>
          <w:rFonts w:asciiTheme="minorHAnsi" w:hAnsiTheme="minorHAnsi"/>
        </w:rPr>
      </w:pPr>
      <w:r w:rsidRPr="00B90432">
        <w:rPr>
          <w:rFonts w:asciiTheme="minorHAnsi" w:hAnsiTheme="minorHAnsi"/>
        </w:rPr>
        <w:t>Article 35 of the 1985 Constitution of the Republic of Guatemala, amended in 1993, establishes that “The expression of thought through any means of dissemination, without censorship or prior permission, is free [...].” Notwithstanding this broad constitutional protection of the right to freedom of expression, the Commission has “constantly received information to the effect that the full exercise of that right has been obstructed by acts of intimidation against independent media and journalists.”</w:t>
      </w:r>
      <w:r w:rsidRPr="00B90432">
        <w:rPr>
          <w:rStyle w:val="FootnoteReference"/>
          <w:rFonts w:asciiTheme="minorHAnsi" w:hAnsiTheme="minorHAnsi"/>
          <w:sz w:val="22"/>
          <w:szCs w:val="22"/>
          <w:lang w:val="es-ES"/>
        </w:rPr>
        <w:footnoteReference w:id="420"/>
      </w:r>
      <w:r w:rsidRPr="00B90432">
        <w:rPr>
          <w:rFonts w:asciiTheme="minorHAnsi" w:hAnsiTheme="minorHAnsi"/>
        </w:rPr>
        <w:t xml:space="preserve"> Additionally, in recent years the IACHR has noted “with particular concern the attacks against [journalists] covering investigations into public administration, acts of corruption, and human rights.”</w:t>
      </w:r>
      <w:r w:rsidRPr="00B90432">
        <w:rPr>
          <w:rFonts w:asciiTheme="minorHAnsi" w:hAnsiTheme="minorHAnsi"/>
          <w:vertAlign w:val="superscript"/>
        </w:rPr>
        <w:footnoteReference w:id="421"/>
      </w:r>
      <w:r w:rsidRPr="00B90432">
        <w:rPr>
          <w:rFonts w:asciiTheme="minorHAnsi" w:hAnsiTheme="minorHAnsi"/>
        </w:rPr>
        <w:t xml:space="preserve"> During its on-site visit, the Commission verified that, in addition to attacks and stigmatization, there are persistent structural problems in Guatemala that </w:t>
      </w:r>
      <w:r w:rsidRPr="00B90432">
        <w:rPr>
          <w:rFonts w:asciiTheme="minorHAnsi" w:hAnsiTheme="minorHAnsi"/>
        </w:rPr>
        <w:lastRenderedPageBreak/>
        <w:t xml:space="preserve">prevent citizens from receiving information from a variety of sources, such as the high degree of concentration in the ownership and control of both free-to-air and subscription-based radio and television channels. There are also serious obstacles that keep the community media outlets of indigenous peoples from accessing the radio spectrum and the public resources needed to achieve sustainability. </w:t>
      </w:r>
    </w:p>
    <w:p w14:paraId="4444A8A8"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The IACHR notes in particular the announcement made by President Jimmy Morales during the </w:t>
      </w:r>
      <w:r w:rsidRPr="00B90432">
        <w:rPr>
          <w:rFonts w:asciiTheme="minorHAnsi" w:hAnsiTheme="minorHAnsi"/>
          <w:iCs/>
        </w:rPr>
        <w:t>on-site</w:t>
      </w:r>
      <w:r w:rsidRPr="00B90432">
        <w:rPr>
          <w:rFonts w:asciiTheme="minorHAnsi" w:hAnsiTheme="minorHAnsi"/>
        </w:rPr>
        <w:t xml:space="preserve"> visit, regarding the imminent approval of a Program for the Protection of Journalists and Media Workers, on which he is reportedly working in consultation with journalists’ organizations. Nevertheless, the IACHR also notes with concern that there has been no tangible progress since that time toward the establishment of that program. </w:t>
      </w:r>
    </w:p>
    <w:p w14:paraId="19071ED5" w14:textId="77777777" w:rsidR="00CD0E32" w:rsidRPr="00B90432" w:rsidRDefault="00CD0E32" w:rsidP="00BE721D">
      <w:pPr>
        <w:pStyle w:val="Numberedparagraphs"/>
        <w:rPr>
          <w:rFonts w:asciiTheme="minorHAnsi" w:hAnsiTheme="minorHAnsi"/>
        </w:rPr>
      </w:pPr>
      <w:r w:rsidRPr="00B90432">
        <w:rPr>
          <w:rFonts w:asciiTheme="minorHAnsi" w:hAnsiTheme="minorHAnsi"/>
        </w:rPr>
        <w:t>The IACHR and its Office of the Special Rapporteur for Freedom of Expression would like to underscore that journalism in Guatemala is currently playing a fundamental role in denouncing abuses of power and following up on investigations into cases of corruption. The IACHR observed that journalists and media workers continue to be, throughout Guatemala, the main source of information and debate concerning the serious human rights problems, institutional crisis, and corruption affecting the country. Nevertheless, a smear campaign against journalists and news media was evident on social media in 2017. According to Human Rights Ombudsman [</w:t>
      </w:r>
      <w:r w:rsidRPr="00B90432">
        <w:rPr>
          <w:rFonts w:asciiTheme="minorHAnsi" w:hAnsiTheme="minorHAnsi"/>
          <w:i/>
        </w:rPr>
        <w:t>Procurador de los Derechos Humanos</w:t>
      </w:r>
      <w:r w:rsidRPr="00B90432">
        <w:rPr>
          <w:rFonts w:asciiTheme="minorHAnsi" w:hAnsiTheme="minorHAnsi"/>
        </w:rPr>
        <w:t>] (PDH) Augusto Jordán Rodas Andrade, there is “an intent to disparage journalists in these times of so much uncertainty in Guatemala, which may jeopardize [its] fragile democracy.”</w:t>
      </w:r>
      <w:r w:rsidRPr="00B90432">
        <w:rPr>
          <w:rFonts w:asciiTheme="minorHAnsi" w:hAnsiTheme="minorHAnsi"/>
          <w:shd w:val="clear" w:color="auto" w:fill="FFFFFF"/>
        </w:rPr>
        <w:t xml:space="preserve"> </w:t>
      </w:r>
      <w:r w:rsidRPr="00B90432">
        <w:rPr>
          <w:rStyle w:val="FootnoteReference"/>
          <w:rFonts w:asciiTheme="minorHAnsi" w:hAnsiTheme="minorHAnsi"/>
          <w:sz w:val="22"/>
          <w:szCs w:val="22"/>
          <w:shd w:val="clear" w:color="auto" w:fill="FFFFFF"/>
          <w:lang w:val="es-ES_tradnl"/>
        </w:rPr>
        <w:footnoteReference w:id="422"/>
      </w:r>
      <w:r w:rsidRPr="00B90432">
        <w:rPr>
          <w:rFonts w:asciiTheme="minorHAnsi" w:hAnsiTheme="minorHAnsi"/>
        </w:rPr>
        <w:t xml:space="preserve">     </w:t>
      </w:r>
    </w:p>
    <w:p w14:paraId="41369723" w14:textId="77777777" w:rsidR="00CD0E32" w:rsidRPr="00B90432" w:rsidRDefault="00CD0E32" w:rsidP="00BE721D">
      <w:pPr>
        <w:pStyle w:val="Numberedparagraphs"/>
        <w:rPr>
          <w:rFonts w:asciiTheme="minorHAnsi" w:hAnsiTheme="minorHAnsi"/>
        </w:rPr>
      </w:pPr>
      <w:r w:rsidRPr="00B90432">
        <w:rPr>
          <w:rFonts w:asciiTheme="minorHAnsi" w:hAnsiTheme="minorHAnsi"/>
        </w:rPr>
        <w:t>Principle 9 of the Declaration of Principles on Freedom of Expression of the IACHR establishes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14:paraId="6650F7AC"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Based on the Inter-American case law and doctrine, the IACHR and its Office of the Special Rapporteur remind the Guatemalan State, in relation to violence and attacks on journalists and media outlets, of the importance of meeting the three positive obligations that emanate from the rights to life, </w:t>
      </w:r>
      <w:r w:rsidRPr="00B90432">
        <w:rPr>
          <w:rFonts w:asciiTheme="minorHAnsi" w:hAnsiTheme="minorHAnsi"/>
        </w:rPr>
        <w:lastRenderedPageBreak/>
        <w:t xml:space="preserve">humane treatment, and freedom of expression, to wit: the obligation to prevent, the obligation to protect, and the obligation to criminally investigate, prosecute, and punish the perpetrators of these crimes. Violence against journalists must be combated through a comprehensive policy of prevention, protection, and the pursuit of justice. These obligations are mutually complementary in order for free, democratic, and robust speech to exist without restrictions. </w:t>
      </w:r>
      <w:r w:rsidRPr="00B90432">
        <w:rPr>
          <w:rStyle w:val="FootnoteReference"/>
          <w:rFonts w:asciiTheme="minorHAnsi" w:hAnsiTheme="minorHAnsi"/>
          <w:sz w:val="22"/>
          <w:szCs w:val="22"/>
          <w:lang w:val="es-ES"/>
        </w:rPr>
        <w:footnoteReference w:id="423"/>
      </w:r>
    </w:p>
    <w:p w14:paraId="1D465D5B" w14:textId="31A7F97E" w:rsidR="00CD0E32" w:rsidRPr="00B90432" w:rsidRDefault="00CD0E32" w:rsidP="0085755A">
      <w:pPr>
        <w:pStyle w:val="Heading3"/>
        <w:numPr>
          <w:ilvl w:val="0"/>
          <w:numId w:val="13"/>
        </w:numPr>
        <w:ind w:left="1080" w:hanging="540"/>
        <w:jc w:val="left"/>
      </w:pPr>
      <w:bookmarkStart w:id="61" w:name="_Toc509827663"/>
      <w:r w:rsidRPr="00B90432">
        <w:t xml:space="preserve">Murders of </w:t>
      </w:r>
      <w:r w:rsidR="002C41EC" w:rsidRPr="00B90432">
        <w:t xml:space="preserve">Journalists </w:t>
      </w:r>
      <w:r w:rsidRPr="00B90432">
        <w:t xml:space="preserve">and </w:t>
      </w:r>
      <w:r w:rsidR="002C41EC" w:rsidRPr="00B90432">
        <w:t>Reporters</w:t>
      </w:r>
      <w:r w:rsidRPr="00B90432">
        <w:t xml:space="preserve">, and </w:t>
      </w:r>
      <w:r w:rsidR="002C41EC" w:rsidRPr="00B90432">
        <w:t xml:space="preserve">Impunity </w:t>
      </w:r>
      <w:r w:rsidRPr="00B90432">
        <w:t xml:space="preserve">for these </w:t>
      </w:r>
      <w:r w:rsidR="002C41EC" w:rsidRPr="00B90432">
        <w:t>Crimes</w:t>
      </w:r>
      <w:bookmarkEnd w:id="61"/>
    </w:p>
    <w:p w14:paraId="2F782887" w14:textId="77777777" w:rsidR="00CD0E32" w:rsidRPr="00B90432" w:rsidRDefault="00CD0E32" w:rsidP="00BE721D">
      <w:pPr>
        <w:pStyle w:val="Numberedparagraphs"/>
        <w:rPr>
          <w:rFonts w:asciiTheme="minorHAnsi" w:hAnsiTheme="minorHAnsi"/>
        </w:rPr>
      </w:pPr>
      <w:r w:rsidRPr="00B90432">
        <w:rPr>
          <w:rFonts w:asciiTheme="minorHAnsi" w:hAnsiTheme="minorHAnsi"/>
        </w:rPr>
        <w:t>In 2016, and thus far in 2017, the Office of the Special Rapporteur for Freedom of Expression received information about the murder of 10 journalists in Guatemala. Eight journalists were reported to have been murdered in 2016; nevertheless, it has not been determined whether their murders were connected to the exercise of the right to freedom of expression.</w:t>
      </w:r>
      <w:r w:rsidRPr="00B90432">
        <w:rPr>
          <w:rFonts w:asciiTheme="minorHAnsi" w:hAnsiTheme="minorHAnsi"/>
          <w:vertAlign w:val="superscript"/>
        </w:rPr>
        <w:t xml:space="preserve"> </w:t>
      </w:r>
      <w:r w:rsidRPr="00B90432">
        <w:rPr>
          <w:rFonts w:asciiTheme="minorHAnsi" w:hAnsiTheme="minorHAnsi"/>
          <w:vertAlign w:val="superscript"/>
        </w:rPr>
        <w:footnoteReference w:id="424"/>
      </w:r>
      <w:r w:rsidRPr="00B90432">
        <w:rPr>
          <w:rFonts w:asciiTheme="minorHAnsi" w:hAnsiTheme="minorHAnsi"/>
          <w:vertAlign w:val="superscript"/>
        </w:rPr>
        <w:t xml:space="preserve"> </w:t>
      </w:r>
      <w:r w:rsidRPr="00B90432">
        <w:rPr>
          <w:rFonts w:asciiTheme="minorHAnsi" w:hAnsiTheme="minorHAnsi"/>
        </w:rPr>
        <w:t xml:space="preserve">According to the information available, the authorities opened investigations in those cases, but no answers have yet been provided with respect to the logical line of investigation into whether these crimes were connected to the work the victims were performing as journalists and media workers. </w:t>
      </w:r>
      <w:r w:rsidRPr="00B90432">
        <w:rPr>
          <w:rStyle w:val="FootnoteReference"/>
          <w:rFonts w:asciiTheme="minorHAnsi" w:hAnsiTheme="minorHAnsi"/>
          <w:sz w:val="22"/>
          <w:szCs w:val="22"/>
          <w:lang w:val="es-ES"/>
        </w:rPr>
        <w:footnoteReference w:id="425"/>
      </w:r>
      <w:r w:rsidRPr="00B90432">
        <w:rPr>
          <w:rFonts w:asciiTheme="minorHAnsi" w:hAnsiTheme="minorHAnsi"/>
        </w:rPr>
        <w:t xml:space="preserve"> The Office of the Special Rapporteur has received information about two other cases in 2017, which it is monitoring in order to establish whether they are related to the victims’ journalistic work. </w:t>
      </w:r>
      <w:r w:rsidRPr="00B90432">
        <w:rPr>
          <w:rStyle w:val="FootnoteReference"/>
          <w:rFonts w:asciiTheme="minorHAnsi" w:hAnsiTheme="minorHAnsi"/>
          <w:sz w:val="22"/>
          <w:szCs w:val="22"/>
          <w:lang w:val="es-ES_tradnl"/>
        </w:rPr>
        <w:footnoteReference w:id="426"/>
      </w:r>
      <w:r w:rsidRPr="00B90432">
        <w:rPr>
          <w:rFonts w:asciiTheme="minorHAnsi" w:hAnsiTheme="minorHAnsi"/>
        </w:rPr>
        <w:t xml:space="preserve"> In its comments to the draft of this report, the State indicated that between 2012 and June 2017, the Public Prosecutor’s Office received 372 reports related to threates, violent attacks and murders of journalists, which lead to 17 judicial sentences: two acuittals and six convictions for </w:t>
      </w:r>
      <w:r w:rsidRPr="00B90432">
        <w:rPr>
          <w:rFonts w:asciiTheme="minorHAnsi" w:hAnsiTheme="minorHAnsi"/>
        </w:rPr>
        <w:lastRenderedPageBreak/>
        <w:t>crimes against life, as well as one acquittal and eight convictions for other crimes.</w:t>
      </w:r>
      <w:r w:rsidRPr="00B90432">
        <w:rPr>
          <w:rStyle w:val="FootnoteReference"/>
          <w:rFonts w:asciiTheme="minorHAnsi" w:hAnsiTheme="minorHAnsi"/>
          <w:sz w:val="22"/>
          <w:szCs w:val="22"/>
        </w:rPr>
        <w:footnoteReference w:id="427"/>
      </w:r>
    </w:p>
    <w:p w14:paraId="2FB78CEC" w14:textId="77777777" w:rsidR="00CD0E32" w:rsidRPr="00B90432" w:rsidRDefault="00CD0E32" w:rsidP="00BE721D">
      <w:pPr>
        <w:pStyle w:val="Numberedparagraphs"/>
        <w:rPr>
          <w:rFonts w:asciiTheme="minorHAnsi" w:hAnsiTheme="minorHAnsi"/>
        </w:rPr>
      </w:pPr>
      <w:r w:rsidRPr="00B90432">
        <w:rPr>
          <w:rFonts w:asciiTheme="minorHAnsi" w:hAnsiTheme="minorHAnsi"/>
        </w:rPr>
        <w:t>Journalist Manuel Salvador Villagrán, who worked with different local media outlets in the municipality of San Jorge, Department of Zacapa, was murdered on January 19, 2017. He was also reportedly the head of the Department of Public Relations of the Municipality of San Jorge. Sources revealed that the journalist was shot several times while riding his motorcycle.</w:t>
      </w:r>
      <w:r w:rsidRPr="00B90432">
        <w:rPr>
          <w:rFonts w:asciiTheme="minorHAnsi" w:hAnsiTheme="minorHAnsi" w:cs="Arial"/>
          <w:color w:val="222222"/>
          <w:shd w:val="clear" w:color="auto" w:fill="FFFFFF"/>
        </w:rPr>
        <w:t xml:space="preserve"> </w:t>
      </w:r>
      <w:r w:rsidRPr="00B90432">
        <w:rPr>
          <w:rStyle w:val="FootnoteReference"/>
          <w:rFonts w:asciiTheme="minorHAnsi" w:hAnsiTheme="minorHAnsi" w:cs="Arial"/>
          <w:color w:val="222222"/>
          <w:sz w:val="22"/>
          <w:szCs w:val="22"/>
          <w:shd w:val="clear" w:color="auto" w:fill="FFFFFF"/>
        </w:rPr>
        <w:footnoteReference w:id="428"/>
      </w:r>
      <w:r w:rsidRPr="00B90432">
        <w:rPr>
          <w:rFonts w:asciiTheme="minorHAnsi" w:hAnsiTheme="minorHAnsi"/>
        </w:rPr>
        <w:t xml:space="preserve"> According to publicly available information, significant progress has been made in the investigation of this crime.</w:t>
      </w:r>
      <w:r w:rsidRPr="00B90432">
        <w:rPr>
          <w:rStyle w:val="FootnoteReference"/>
          <w:rFonts w:asciiTheme="minorHAnsi" w:hAnsiTheme="minorHAnsi" w:cs="Arial"/>
          <w:color w:val="222222"/>
          <w:sz w:val="22"/>
          <w:szCs w:val="22"/>
          <w:shd w:val="clear" w:color="auto" w:fill="FFFFFF"/>
          <w:lang w:val="es-ES_tradnl"/>
        </w:rPr>
        <w:footnoteReference w:id="429"/>
      </w:r>
    </w:p>
    <w:p w14:paraId="2FA61752" w14:textId="77777777" w:rsidR="00CD0E32" w:rsidRPr="00B90432" w:rsidRDefault="00CD0E32" w:rsidP="00BE721D">
      <w:pPr>
        <w:pStyle w:val="Numberedparagraphs"/>
        <w:rPr>
          <w:rFonts w:asciiTheme="minorHAnsi" w:hAnsiTheme="minorHAnsi"/>
        </w:rPr>
      </w:pPr>
      <w:r w:rsidRPr="00B90432">
        <w:rPr>
          <w:rFonts w:asciiTheme="minorHAnsi" w:hAnsiTheme="minorHAnsi"/>
        </w:rPr>
        <w:t>Also, on July 8, 2017, journalist and presenter Johnny Javier Guardado’s body was found in the municipality of El Chal, Department of Petén. According to the information available, he had been stabbed.</w:t>
      </w:r>
      <w:r w:rsidRPr="00B90432">
        <w:rPr>
          <w:rStyle w:val="FootnoteReference"/>
          <w:rFonts w:asciiTheme="minorHAnsi" w:hAnsiTheme="minorHAnsi" w:cs="Arial"/>
          <w:sz w:val="22"/>
          <w:szCs w:val="22"/>
          <w:shd w:val="clear" w:color="auto" w:fill="FFFFFF"/>
        </w:rPr>
        <w:footnoteReference w:id="430"/>
      </w:r>
    </w:p>
    <w:p w14:paraId="11D9799C" w14:textId="77777777" w:rsidR="00CD0E32" w:rsidRPr="00B90432" w:rsidRDefault="00CD0E32" w:rsidP="00BE721D">
      <w:pPr>
        <w:pStyle w:val="Numberedparagraphs"/>
        <w:rPr>
          <w:rFonts w:asciiTheme="minorHAnsi" w:hAnsiTheme="minorHAnsi"/>
        </w:rPr>
      </w:pPr>
      <w:r w:rsidRPr="00B90432">
        <w:rPr>
          <w:rFonts w:asciiTheme="minorHAnsi" w:hAnsiTheme="minorHAnsi"/>
        </w:rPr>
        <w:t>Additionally, according to the information gathered by the Office of the Special Rapporteur and received during the on-site visit, Guatemala continues to have high levels of impunity for crimes involving the murder of journalists. Given the slow pace of the investigations, in most cases the authorities reportedly have not been able to determine whether these crimes are related to the journalistic work of the victims.</w:t>
      </w:r>
      <w:r w:rsidRPr="00B90432">
        <w:rPr>
          <w:rFonts w:asciiTheme="minorHAnsi" w:hAnsiTheme="minorHAnsi" w:cs="Tahoma"/>
        </w:rPr>
        <w:t xml:space="preserve"> </w:t>
      </w:r>
      <w:r w:rsidRPr="00B90432">
        <w:rPr>
          <w:rStyle w:val="FootnoteReference"/>
          <w:rFonts w:asciiTheme="minorHAnsi" w:hAnsiTheme="minorHAnsi" w:cs="Tahoma"/>
          <w:sz w:val="22"/>
          <w:szCs w:val="22"/>
          <w:lang w:val="es-ES"/>
        </w:rPr>
        <w:footnoteReference w:id="431"/>
      </w:r>
      <w:r w:rsidRPr="00B90432">
        <w:rPr>
          <w:rFonts w:asciiTheme="minorHAnsi" w:hAnsiTheme="minorHAnsi"/>
        </w:rPr>
        <w:t xml:space="preserve"> According to Guatemalan freedom of expression organizations, that situation gives rise to self-censorship among journalists who do not know why they might be attacked.</w:t>
      </w:r>
      <w:r w:rsidRPr="00B90432">
        <w:rPr>
          <w:rStyle w:val="FootnoteReference"/>
          <w:rFonts w:asciiTheme="minorHAnsi" w:hAnsiTheme="minorHAnsi" w:cs="Tahoma"/>
          <w:sz w:val="22"/>
          <w:szCs w:val="22"/>
          <w:lang w:val="es-ES"/>
        </w:rPr>
        <w:footnoteReference w:id="432"/>
      </w:r>
    </w:p>
    <w:p w14:paraId="5F1B20D3"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Despite this situation, the IACHR acknowledges the progress of the investigation into the murder of two journalists which shook the country in 2015. In January 2017, the International Commission against Impunity in </w:t>
      </w:r>
      <w:r w:rsidRPr="00B90432">
        <w:rPr>
          <w:rFonts w:asciiTheme="minorHAnsi" w:hAnsiTheme="minorHAnsi"/>
          <w:iCs/>
        </w:rPr>
        <w:t>Guatemala</w:t>
      </w:r>
      <w:r w:rsidRPr="00B90432">
        <w:rPr>
          <w:rFonts w:asciiTheme="minorHAnsi" w:hAnsiTheme="minorHAnsi"/>
        </w:rPr>
        <w:t xml:space="preserve"> [</w:t>
      </w:r>
      <w:r w:rsidRPr="00B90432">
        <w:rPr>
          <w:rFonts w:asciiTheme="minorHAnsi" w:hAnsiTheme="minorHAnsi"/>
          <w:i/>
        </w:rPr>
        <w:t>Comisión Internacional contra la Impunidad en Guatemala</w:t>
      </w:r>
      <w:r w:rsidRPr="00B90432">
        <w:rPr>
          <w:rFonts w:asciiTheme="minorHAnsi" w:hAnsiTheme="minorHAnsi"/>
        </w:rPr>
        <w:t xml:space="preserve">] (CICIG) and the Public Ministry (MP) filed a request for a preliminary impeachment hearing against Representative Julio Antonio Juárez Ramírez for the March 10, 2015 death of journalists Danilo Efraín Zapón López and Federico Benjamín Salazar Gerónimo in Mazatenango, Suchitepéquez. </w:t>
      </w:r>
      <w:r w:rsidRPr="00B90432">
        <w:rPr>
          <w:rFonts w:asciiTheme="minorHAnsi" w:hAnsiTheme="minorHAnsi"/>
        </w:rPr>
        <w:lastRenderedPageBreak/>
        <w:t xml:space="preserve">Ramírez is alleged to have been the mastermind of the murders, and reportedly viewed Zapón López as “a threat to the consolidation of his candidacy as district representative and a challenge to his power in the area.” In January 2017, two individuals were reportedly arrested for their participation in the journalists’ deaths. </w:t>
      </w:r>
      <w:r w:rsidRPr="00B90432">
        <w:rPr>
          <w:rStyle w:val="FootnoteReference"/>
          <w:rFonts w:asciiTheme="minorHAnsi" w:hAnsiTheme="minorHAnsi"/>
          <w:sz w:val="22"/>
          <w:szCs w:val="22"/>
          <w:lang w:val="es-ES"/>
        </w:rPr>
        <w:footnoteReference w:id="433"/>
      </w:r>
      <w:r w:rsidRPr="00B90432">
        <w:rPr>
          <w:rFonts w:asciiTheme="minorHAnsi" w:hAnsiTheme="minorHAnsi"/>
        </w:rPr>
        <w:t xml:space="preserve"> Another four individuals were reportedly apprehended at an initial phase. </w:t>
      </w:r>
      <w:r w:rsidRPr="00B90432">
        <w:rPr>
          <w:rStyle w:val="FootnoteReference"/>
          <w:rFonts w:asciiTheme="minorHAnsi" w:hAnsiTheme="minorHAnsi"/>
          <w:sz w:val="22"/>
          <w:szCs w:val="22"/>
          <w:lang w:val="es-ES"/>
        </w:rPr>
        <w:footnoteReference w:id="434"/>
      </w:r>
      <w:r w:rsidRPr="00B90432">
        <w:rPr>
          <w:rFonts w:asciiTheme="minorHAnsi" w:hAnsiTheme="minorHAnsi"/>
        </w:rPr>
        <w:t xml:space="preserve"> In February, the Guatemalan Supreme Court (CSJ) heard the request for a preliminary impeachment hearing against Representative Juárez Ramírez. </w:t>
      </w:r>
      <w:r w:rsidRPr="00B90432">
        <w:rPr>
          <w:rStyle w:val="FootnoteReference"/>
          <w:rFonts w:asciiTheme="minorHAnsi" w:hAnsiTheme="minorHAnsi"/>
          <w:sz w:val="22"/>
          <w:szCs w:val="22"/>
          <w:lang w:val="es-ES"/>
        </w:rPr>
        <w:footnoteReference w:id="435"/>
      </w:r>
      <w:r w:rsidRPr="00B90432">
        <w:rPr>
          <w:rFonts w:asciiTheme="minorHAnsi" w:hAnsiTheme="minorHAnsi"/>
        </w:rPr>
        <w:t xml:space="preserve"> In November, the Investigative Judge [</w:t>
      </w:r>
      <w:r w:rsidRPr="00B90432">
        <w:rPr>
          <w:rFonts w:asciiTheme="minorHAnsi" w:hAnsiTheme="minorHAnsi"/>
          <w:i/>
        </w:rPr>
        <w:t>Jueza Pesquisidora</w:t>
      </w:r>
      <w:r w:rsidRPr="00B90432">
        <w:rPr>
          <w:rFonts w:asciiTheme="minorHAnsi" w:hAnsiTheme="minorHAnsi"/>
        </w:rPr>
        <w:t>]appointed by the Supreme Court of Justice [</w:t>
      </w:r>
      <w:r w:rsidRPr="00B90432">
        <w:rPr>
          <w:rFonts w:asciiTheme="minorHAnsi" w:hAnsiTheme="minorHAnsi"/>
          <w:i/>
        </w:rPr>
        <w:t>Corte Suprema de Justicia</w:t>
      </w:r>
      <w:r w:rsidRPr="00B90432">
        <w:rPr>
          <w:rFonts w:asciiTheme="minorHAnsi" w:hAnsiTheme="minorHAnsi"/>
        </w:rPr>
        <w:t>] (CJS) in the case against Representative Juárez Ramírez, would have recommended to the plenary of judges of the CSJ to withdraw the immunity of the parliamentarian to be investigated for the murder of the journalists.</w:t>
      </w:r>
      <w:r w:rsidRPr="00B90432">
        <w:rPr>
          <w:rStyle w:val="FootnoteReference"/>
          <w:rFonts w:asciiTheme="minorHAnsi" w:hAnsiTheme="minorHAnsi"/>
          <w:sz w:val="22"/>
          <w:szCs w:val="22"/>
          <w:lang w:val="es-ES"/>
        </w:rPr>
        <w:footnoteReference w:id="436"/>
      </w:r>
    </w:p>
    <w:p w14:paraId="2EC71F9C"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June 2017, it was learned that through its </w:t>
      </w:r>
      <w:r w:rsidRPr="00B90432">
        <w:rPr>
          <w:rFonts w:asciiTheme="minorHAnsi" w:hAnsiTheme="minorHAnsi"/>
          <w:iCs/>
        </w:rPr>
        <w:t>Office of the Special Prosecutor against Impunity</w:t>
      </w:r>
      <w:r w:rsidRPr="00B90432">
        <w:rPr>
          <w:rFonts w:asciiTheme="minorHAnsi" w:hAnsiTheme="minorHAnsi"/>
        </w:rPr>
        <w:t xml:space="preserve"> [</w:t>
      </w:r>
      <w:r w:rsidRPr="00B90432">
        <w:rPr>
          <w:rFonts w:asciiTheme="minorHAnsi" w:hAnsiTheme="minorHAnsi"/>
          <w:i/>
        </w:rPr>
        <w:t>Fiscalía Especial contra la Impunidad</w:t>
      </w:r>
      <w:r w:rsidRPr="00B90432">
        <w:rPr>
          <w:rFonts w:asciiTheme="minorHAnsi" w:hAnsiTheme="minorHAnsi"/>
        </w:rPr>
        <w:t>], the Public Ministry was able to get High-Risk Court “B” [</w:t>
      </w:r>
      <w:r w:rsidRPr="00B90432">
        <w:rPr>
          <w:rFonts w:asciiTheme="minorHAnsi" w:hAnsiTheme="minorHAnsi"/>
          <w:i/>
        </w:rPr>
        <w:t>Juzgado de Mayor Riesgo “B”</w:t>
      </w:r>
      <w:r w:rsidRPr="00B90432">
        <w:rPr>
          <w:rFonts w:asciiTheme="minorHAnsi" w:hAnsiTheme="minorHAnsi"/>
        </w:rPr>
        <w:t>] to admit 81 items of evidence against the alleged murderers of Danilo López and Federico Salazar. It was also determined that the trial will be held in High-Risk Court “A” [</w:t>
      </w:r>
      <w:r w:rsidRPr="00B90432">
        <w:rPr>
          <w:rFonts w:asciiTheme="minorHAnsi" w:hAnsiTheme="minorHAnsi"/>
          <w:i/>
        </w:rPr>
        <w:t>Tribunal “A” de Mayor Riesgo</w:t>
      </w:r>
      <w:r w:rsidRPr="00B90432">
        <w:rPr>
          <w:rFonts w:asciiTheme="minorHAnsi" w:hAnsiTheme="minorHAnsi"/>
        </w:rPr>
        <w:t>].</w:t>
      </w:r>
      <w:r w:rsidRPr="00B90432">
        <w:rPr>
          <w:rStyle w:val="FootnoteReference"/>
          <w:rFonts w:asciiTheme="minorHAnsi" w:hAnsiTheme="minorHAnsi"/>
          <w:sz w:val="22"/>
          <w:szCs w:val="22"/>
          <w:lang w:val="es-ES"/>
        </w:rPr>
        <w:footnoteReference w:id="437"/>
      </w:r>
    </w:p>
    <w:p w14:paraId="28147F29" w14:textId="77777777" w:rsidR="00CD0E32" w:rsidRPr="00B90432" w:rsidRDefault="00CD0E32" w:rsidP="00BE721D">
      <w:pPr>
        <w:pStyle w:val="Numberedparagraphs"/>
        <w:rPr>
          <w:rFonts w:asciiTheme="minorHAnsi" w:hAnsiTheme="minorHAnsi"/>
        </w:rPr>
      </w:pPr>
      <w:r w:rsidRPr="00B90432">
        <w:rPr>
          <w:rFonts w:asciiTheme="minorHAnsi" w:hAnsiTheme="minorHAnsi"/>
        </w:rPr>
        <w:t>Additionally, during the first half of 2017, through the actions of the Public Ministry’s Unit for Crimes against Journalists [</w:t>
      </w:r>
      <w:r w:rsidRPr="00B90432">
        <w:rPr>
          <w:rFonts w:asciiTheme="minorHAnsi" w:hAnsiTheme="minorHAnsi"/>
          <w:i/>
        </w:rPr>
        <w:t>Unidad de Delitos contra Periodistas</w:t>
      </w:r>
      <w:r w:rsidRPr="00B90432">
        <w:rPr>
          <w:rFonts w:asciiTheme="minorHAnsi" w:hAnsiTheme="minorHAnsi"/>
        </w:rPr>
        <w:t xml:space="preserve">], two individuals were convicted of crimes committed against journalists during 2016. On May 30, Byron Eduardo Felipe Morales was sentenced to 40 years for the June 2016 murder of journalist Víctor Hugo Valdez Cardona. Similarly, on June 2, Rolando Antonio Jiménez Cruz was sentenced to 23 years for the September 4, 2016 death of journalist Felipe David Munguía Jiménez. The investigation is reportedly ongoing in an effort </w:t>
      </w:r>
      <w:r w:rsidRPr="00B90432">
        <w:rPr>
          <w:rFonts w:asciiTheme="minorHAnsi" w:hAnsiTheme="minorHAnsi"/>
        </w:rPr>
        <w:lastRenderedPageBreak/>
        <w:t>to establish the identity of the masterminds of the crime against Jiménez.</w:t>
      </w:r>
      <w:r w:rsidRPr="00B90432">
        <w:rPr>
          <w:rFonts w:asciiTheme="minorHAnsi" w:hAnsiTheme="minorHAnsi"/>
          <w:vertAlign w:val="superscript"/>
        </w:rPr>
        <w:t xml:space="preserve"> </w:t>
      </w:r>
      <w:r w:rsidRPr="00B90432">
        <w:rPr>
          <w:rStyle w:val="FootnoteReference"/>
          <w:rFonts w:asciiTheme="minorHAnsi" w:hAnsiTheme="minorHAnsi"/>
          <w:sz w:val="22"/>
          <w:szCs w:val="22"/>
          <w:lang w:val="es-ES"/>
        </w:rPr>
        <w:footnoteReference w:id="438"/>
      </w:r>
      <w:r w:rsidRPr="00B90432">
        <w:rPr>
          <w:rFonts w:asciiTheme="minorHAnsi" w:hAnsiTheme="minorHAnsi"/>
        </w:rPr>
        <w:t xml:space="preserve"> </w:t>
      </w:r>
    </w:p>
    <w:p w14:paraId="355F196B" w14:textId="77777777" w:rsidR="00CD0E32" w:rsidRPr="00B90432" w:rsidRDefault="00CD0E32" w:rsidP="00BE721D">
      <w:pPr>
        <w:pStyle w:val="Numberedparagraphs"/>
        <w:rPr>
          <w:rFonts w:asciiTheme="minorHAnsi" w:hAnsiTheme="minorHAnsi"/>
        </w:rPr>
      </w:pPr>
      <w:r w:rsidRPr="00B90432">
        <w:rPr>
          <w:rFonts w:asciiTheme="minorHAnsi" w:hAnsiTheme="minorHAnsi"/>
        </w:rPr>
        <w:t>The IACHR received information about the May 2017 inauguration of a Prosecution Unit for Crimes against Journalists [</w:t>
      </w:r>
      <w:r w:rsidRPr="00B90432">
        <w:rPr>
          <w:rFonts w:asciiTheme="minorHAnsi" w:hAnsiTheme="minorHAnsi"/>
          <w:i/>
        </w:rPr>
        <w:t>Unidad de Delitos contra Periodistas del Ministerio Público</w:t>
      </w:r>
      <w:r w:rsidRPr="00B90432">
        <w:rPr>
          <w:rFonts w:asciiTheme="minorHAnsi" w:hAnsiTheme="minorHAnsi"/>
        </w:rPr>
        <w:t>] in Quetzaltenango. According to reports, the Prosecutor’s Office in Quetzaltenango is composed of one prosecutor, three assistant prosecutors, one prosecution officer, and an administrative assistant.</w:t>
      </w:r>
      <w:r w:rsidRPr="00B90432">
        <w:rPr>
          <w:rFonts w:asciiTheme="minorHAnsi" w:hAnsiTheme="minorHAnsi" w:cs="Arial"/>
          <w:shd w:val="clear" w:color="auto" w:fill="FFFFFF"/>
        </w:rPr>
        <w:t xml:space="preserve"> </w:t>
      </w:r>
      <w:r w:rsidRPr="00B90432">
        <w:rPr>
          <w:rStyle w:val="FootnoteReference"/>
          <w:rFonts w:asciiTheme="minorHAnsi" w:hAnsiTheme="minorHAnsi" w:cs="Arial"/>
          <w:sz w:val="22"/>
          <w:szCs w:val="22"/>
          <w:shd w:val="clear" w:color="auto" w:fill="FFFFFF"/>
          <w:lang w:val="es-ES_tradnl"/>
        </w:rPr>
        <w:footnoteReference w:id="439"/>
      </w:r>
      <w:r w:rsidRPr="00B90432">
        <w:rPr>
          <w:rFonts w:asciiTheme="minorHAnsi" w:hAnsiTheme="minorHAnsi"/>
        </w:rPr>
        <w:t xml:space="preserve"> This agency has territorial jurisdiction over the departments of Suchitepéquez, Retalhuleu, San Marcos, Huehuetenango, Totonicapán, Sololá, and Quetzaltenango.</w:t>
      </w:r>
      <w:r w:rsidRPr="00B90432">
        <w:rPr>
          <w:rFonts w:asciiTheme="minorHAnsi" w:hAnsiTheme="minorHAnsi" w:cs="Arial"/>
          <w:shd w:val="clear" w:color="auto" w:fill="FFFFFF"/>
        </w:rPr>
        <w:t xml:space="preserve"> </w:t>
      </w:r>
      <w:r w:rsidRPr="00B90432">
        <w:rPr>
          <w:rStyle w:val="FootnoteReference"/>
          <w:rFonts w:asciiTheme="minorHAnsi" w:hAnsiTheme="minorHAnsi" w:cs="Arial"/>
          <w:sz w:val="22"/>
          <w:szCs w:val="22"/>
          <w:shd w:val="clear" w:color="auto" w:fill="FFFFFF"/>
          <w:lang w:val="es-ES_tradnl"/>
        </w:rPr>
        <w:footnoteReference w:id="440"/>
      </w:r>
      <w:r w:rsidRPr="00B90432">
        <w:rPr>
          <w:rFonts w:asciiTheme="minorHAnsi" w:hAnsiTheme="minorHAnsi"/>
        </w:rPr>
        <w:t xml:space="preserve"> In addition, according to information provided by the State, a division of the Unit for Crimes against Journalists that operates in Guatemala City was established in 2017, which includes: an agency that handles common crimes, made up of one prosecutor, 5 assistant prosecutors, and one prosecution officer; and another agency that investigates crimes against the person committed against journalists, comprised by one prosecutor, 4 assistant prosecutors, and one prosecution officer. A driver has also reportedly been assigned to provide assistance in investigative proceedings.</w:t>
      </w:r>
      <w:r w:rsidRPr="00B90432">
        <w:rPr>
          <w:rStyle w:val="FootnoteReference"/>
          <w:rFonts w:asciiTheme="minorHAnsi" w:hAnsiTheme="minorHAnsi" w:cs="Arial"/>
          <w:sz w:val="22"/>
          <w:szCs w:val="22"/>
          <w:shd w:val="clear" w:color="auto" w:fill="FFFFFF"/>
          <w:lang w:val="es-ES_tradnl"/>
        </w:rPr>
        <w:footnoteReference w:id="441"/>
      </w:r>
      <w:r w:rsidRPr="00B90432">
        <w:rPr>
          <w:rFonts w:asciiTheme="minorHAnsi" w:hAnsiTheme="minorHAnsi"/>
        </w:rPr>
        <w:t xml:space="preserve"> This staffing increase represents a strengthening of the Unit’s human resources, which in 2015 had only five prosecutors to handle over 100 cases.</w:t>
      </w:r>
      <w:r w:rsidRPr="00B90432">
        <w:rPr>
          <w:rFonts w:asciiTheme="minorHAnsi" w:hAnsiTheme="minorHAnsi" w:cs="Arial"/>
          <w:shd w:val="clear" w:color="auto" w:fill="FFFFFF"/>
        </w:rPr>
        <w:t xml:space="preserve"> </w:t>
      </w:r>
      <w:r w:rsidRPr="00B90432">
        <w:rPr>
          <w:rStyle w:val="FootnoteReference"/>
          <w:rFonts w:asciiTheme="minorHAnsi" w:hAnsiTheme="minorHAnsi" w:cs="Arial"/>
          <w:sz w:val="22"/>
          <w:szCs w:val="22"/>
          <w:shd w:val="clear" w:color="auto" w:fill="FFFFFF"/>
          <w:lang w:val="es-ES_tradnl"/>
        </w:rPr>
        <w:footnoteReference w:id="442"/>
      </w:r>
      <w:r w:rsidRPr="00B90432">
        <w:rPr>
          <w:rFonts w:asciiTheme="minorHAnsi" w:hAnsiTheme="minorHAnsi"/>
        </w:rPr>
        <w:t xml:space="preserve"> The State additionally reports that a general instruction from the Attorney General and Head of the Public Ministry that contains general guidelines for investigating cases in which the victims are human rights defenders (including journalists) is currently at the approval stage. </w:t>
      </w:r>
      <w:r w:rsidRPr="00B90432">
        <w:rPr>
          <w:rStyle w:val="FootnoteReference"/>
          <w:rFonts w:asciiTheme="minorHAnsi" w:hAnsiTheme="minorHAnsi"/>
          <w:sz w:val="22"/>
          <w:szCs w:val="22"/>
          <w:lang w:val="es-ES"/>
        </w:rPr>
        <w:footnoteReference w:id="443"/>
      </w:r>
    </w:p>
    <w:p w14:paraId="1C5EE954" w14:textId="77777777" w:rsidR="00CD0E32" w:rsidRPr="00B90432" w:rsidRDefault="00CD0E32" w:rsidP="00BE721D">
      <w:pPr>
        <w:pStyle w:val="Numberedparagraphs"/>
        <w:rPr>
          <w:rFonts w:asciiTheme="minorHAnsi" w:hAnsiTheme="minorHAnsi"/>
        </w:rPr>
      </w:pPr>
      <w:r w:rsidRPr="00B90432">
        <w:rPr>
          <w:rFonts w:asciiTheme="minorHAnsi" w:hAnsiTheme="minorHAnsi"/>
        </w:rPr>
        <w:lastRenderedPageBreak/>
        <w:t xml:space="preserve">The IACHR notes in particular the efforts made by the Public Ministry to address the obligation to pursue full justice for murdered journalists, bearing in mind the specificities of these types of investigations. However, it also takes note of the delay in prosecuting the masterminds in some of these cases, due to the lack of coordination among the different state agencies with jurisdiction over the matter. </w:t>
      </w:r>
    </w:p>
    <w:p w14:paraId="0029EBA0" w14:textId="77777777" w:rsidR="00CD0E32" w:rsidRPr="00B90432" w:rsidRDefault="00CD0E32" w:rsidP="00BE721D">
      <w:pPr>
        <w:pStyle w:val="Numberedparagraphs"/>
        <w:rPr>
          <w:rFonts w:asciiTheme="minorHAnsi" w:hAnsiTheme="minorHAnsi"/>
        </w:rPr>
      </w:pPr>
      <w:r w:rsidRPr="00B90432">
        <w:rPr>
          <w:rFonts w:asciiTheme="minorHAnsi" w:hAnsiTheme="minorHAnsi"/>
        </w:rPr>
        <w:t>The IACHR has reiterated that the murder of journalists constitutes the most extreme form of censorship and States have a positive obligation to identify and punish the perpetrators of these crimes. For the Inter-American Commission, it is essential that the Guatemalan State investigate in a complete, effective, and impartial manner the murders of journalists and clarify their motives and judicially determine the relationship they may have with journalism and freedom of expression. The authorities should not rule out the exercise of journalism as a motive for murder and/or aggression before the investigation is completed. The omission of logical lines of investigation or the lack of diligence in collecting evidence in this regard can have serious repercussions on the development of the processes in stages of prosecution or trial.</w:t>
      </w:r>
      <w:r w:rsidRPr="00B90432">
        <w:rPr>
          <w:rStyle w:val="FootnoteReference"/>
          <w:rFonts w:asciiTheme="minorHAnsi" w:hAnsiTheme="minorHAnsi"/>
          <w:sz w:val="22"/>
          <w:szCs w:val="22"/>
          <w:lang w:val="es-ES"/>
        </w:rPr>
        <w:footnoteReference w:id="444"/>
      </w:r>
      <w:r w:rsidRPr="00B90432">
        <w:rPr>
          <w:rFonts w:asciiTheme="minorHAnsi" w:hAnsiTheme="minorHAnsi"/>
        </w:rPr>
        <w:t xml:space="preserve"> Not having exhausted completely the logical lines of investigation affects, above all, that the intellectual authors cannot be identified.</w:t>
      </w:r>
      <w:r w:rsidRPr="00B90432">
        <w:rPr>
          <w:rStyle w:val="FootnoteReference"/>
          <w:rFonts w:asciiTheme="minorHAnsi" w:hAnsiTheme="minorHAnsi"/>
          <w:sz w:val="22"/>
          <w:szCs w:val="22"/>
          <w:lang w:val="es-ES"/>
        </w:rPr>
        <w:footnoteReference w:id="445"/>
      </w:r>
    </w:p>
    <w:p w14:paraId="6340FDC3" w14:textId="77777777" w:rsidR="00CD0E32" w:rsidRPr="00B90432" w:rsidRDefault="00CD0E32" w:rsidP="00BE721D">
      <w:pPr>
        <w:pStyle w:val="Numberedparagraphs"/>
        <w:rPr>
          <w:rFonts w:asciiTheme="minorHAnsi" w:hAnsiTheme="minorHAnsi"/>
        </w:rPr>
      </w:pPr>
      <w:r w:rsidRPr="00B90432">
        <w:rPr>
          <w:rFonts w:asciiTheme="minorHAnsi" w:hAnsiTheme="minorHAnsi"/>
        </w:rPr>
        <w:t>As established by the Special Rapporteur of the United Nations (UN) for the Protection and Promotion of the Right to Freedom of Opinion and Expression and the Office of the Special Rapporteur for Freedom of Expression of the Inter-American Commission on Human Rights of the Organization of the American States (OAS), the State “has the duty to ensure that journalists and media workers reporting on public demonstrations are not arrested, threatened, assaulted, or limited in any manner in their rights as a result of the practicing their profession. Their work material and tools must not be destroyed or confiscated by the authorities.” Moreover, “the authorities must not stigmatize or stereotype demonstrators and their demands. They must refrain from making generalizations based on isolated events or the conduct of particular groups.”</w:t>
      </w:r>
      <w:r w:rsidRPr="00B90432">
        <w:rPr>
          <w:rFonts w:asciiTheme="minorHAnsi" w:hAnsiTheme="minorHAnsi"/>
          <w:vertAlign w:val="superscript"/>
        </w:rPr>
        <w:t xml:space="preserve"> </w:t>
      </w:r>
      <w:r w:rsidRPr="00B90432">
        <w:rPr>
          <w:rFonts w:asciiTheme="minorHAnsi" w:hAnsiTheme="minorHAnsi"/>
          <w:vertAlign w:val="superscript"/>
          <w:lang w:val="es-ES"/>
        </w:rPr>
        <w:footnoteReference w:id="446"/>
      </w:r>
    </w:p>
    <w:p w14:paraId="4F541B39" w14:textId="077CE627" w:rsidR="00CD0E32" w:rsidRPr="00B90432" w:rsidRDefault="00CD0E32" w:rsidP="005B7767">
      <w:pPr>
        <w:pStyle w:val="Heading3"/>
      </w:pPr>
      <w:bookmarkStart w:id="62" w:name="_Toc509827664"/>
      <w:r w:rsidRPr="00B90432">
        <w:lastRenderedPageBreak/>
        <w:t xml:space="preserve">Threats, </w:t>
      </w:r>
      <w:r w:rsidR="005B7767" w:rsidRPr="00B90432">
        <w:t>Arrests, Harassment</w:t>
      </w:r>
      <w:r w:rsidRPr="00B90432">
        <w:t xml:space="preserve">, and </w:t>
      </w:r>
      <w:r w:rsidR="005B7767" w:rsidRPr="00B90432">
        <w:t xml:space="preserve">Attacks </w:t>
      </w:r>
      <w:r w:rsidRPr="00B90432">
        <w:t xml:space="preserve">on </w:t>
      </w:r>
      <w:r w:rsidR="005B7767" w:rsidRPr="00B90432">
        <w:t xml:space="preserve">Journalists </w:t>
      </w:r>
      <w:r w:rsidRPr="00B90432">
        <w:t xml:space="preserve">and </w:t>
      </w:r>
      <w:r w:rsidR="005B7767" w:rsidRPr="00B90432">
        <w:t>Media Outlets</w:t>
      </w:r>
      <w:bookmarkEnd w:id="62"/>
      <w:r w:rsidR="005B7767" w:rsidRPr="00B90432">
        <w:t xml:space="preserve"> </w:t>
      </w:r>
    </w:p>
    <w:p w14:paraId="68A54BD2"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its report entitled </w:t>
      </w:r>
      <w:r w:rsidRPr="00B90432">
        <w:rPr>
          <w:rFonts w:asciiTheme="minorHAnsi" w:hAnsiTheme="minorHAnsi"/>
          <w:i/>
        </w:rPr>
        <w:t>Situation of Human Rights in Guatemala: Diversity, Inequality, and Exclusion</w:t>
      </w:r>
      <w:r w:rsidRPr="00B90432">
        <w:rPr>
          <w:rFonts w:asciiTheme="minorHAnsi" w:hAnsiTheme="minorHAnsi"/>
        </w:rPr>
        <w:t>, the IACHR observed that, given their difficult working conditions, some journalists are said to have opted for self-censorship to protect themselves from attacks and threats. Between January and August of 2015, the Office of the Prosecutor for Crimes against Journalists [</w:t>
      </w:r>
      <w:r w:rsidRPr="00B90432">
        <w:rPr>
          <w:rFonts w:asciiTheme="minorHAnsi" w:hAnsiTheme="minorHAnsi"/>
          <w:i/>
        </w:rPr>
        <w:t>Fiscalía de Delitos contra Periodistas</w:t>
      </w:r>
      <w:r w:rsidRPr="00B90432">
        <w:rPr>
          <w:rFonts w:asciiTheme="minorHAnsi" w:hAnsiTheme="minorHAnsi"/>
        </w:rPr>
        <w:t>] received 81 complaints—a figure that surpassed the numbers recorded in each of the three previous years.</w:t>
      </w:r>
      <w:r w:rsidRPr="00B90432">
        <w:rPr>
          <w:rStyle w:val="FootnoteReference"/>
          <w:rFonts w:asciiTheme="minorHAnsi" w:hAnsiTheme="minorHAnsi"/>
          <w:sz w:val="22"/>
          <w:szCs w:val="22"/>
          <w:lang w:val="es-ES"/>
        </w:rPr>
        <w:footnoteReference w:id="447"/>
      </w:r>
      <w:r w:rsidRPr="00B90432">
        <w:rPr>
          <w:rFonts w:asciiTheme="minorHAnsi" w:hAnsiTheme="minorHAnsi"/>
        </w:rPr>
        <w:t xml:space="preserve"> </w:t>
      </w:r>
    </w:p>
    <w:p w14:paraId="285AA9A2" w14:textId="77777777" w:rsidR="00CD0E32" w:rsidRPr="00B90432" w:rsidRDefault="00CD0E32" w:rsidP="00BE721D">
      <w:pPr>
        <w:pStyle w:val="Numberedparagraphs"/>
        <w:rPr>
          <w:rFonts w:asciiTheme="minorHAnsi" w:hAnsiTheme="minorHAnsi"/>
        </w:rPr>
      </w:pPr>
      <w:r w:rsidRPr="00B90432">
        <w:rPr>
          <w:rFonts w:asciiTheme="minorHAnsi" w:hAnsiTheme="minorHAnsi"/>
        </w:rPr>
        <w:t>More recently, during the on-site visit, journalists and organizations that defend freedom of expression reported to the IACHR a spike in threats and stigmatization on social media, assaults by law enforcement officers, and a climate of sharp social and political polarization that also permeates the practice of journalism, especially opinion journalism. According to press organizations, local politicians, members of the National Police, and organized crime are sources of intimidation in areas of the country outside the capital. Under the difficult working conditions, some journalists have reportedly continued to engage in self-censorship to protect themselves from attacks and threats. In 2017, between January and August, the Office of the Prosecutor for Crimes against Journalists reportedly received 53 complaints, 24 of which alleged threats.</w:t>
      </w:r>
      <w:r w:rsidRPr="00B90432">
        <w:rPr>
          <w:rStyle w:val="FootnoteReference"/>
          <w:rFonts w:asciiTheme="minorHAnsi" w:hAnsiTheme="minorHAnsi" w:cs="Tahoma"/>
          <w:sz w:val="22"/>
          <w:szCs w:val="22"/>
          <w:lang w:val="es-ES"/>
        </w:rPr>
        <w:footnoteReference w:id="448"/>
      </w:r>
      <w:r w:rsidRPr="00B90432">
        <w:rPr>
          <w:rFonts w:asciiTheme="minorHAnsi" w:hAnsiTheme="minorHAnsi"/>
        </w:rPr>
        <w:t xml:space="preserve"> Additionally, 170 complaints are reportedly at the initial criminal investigation phase in the common crimes unit, including the Department of Quetzaltenango, and 24 complaints are pending in the unit for crimes against the person. Some of the most notable cases of 2017 are detailed below.</w:t>
      </w:r>
      <w:r w:rsidRPr="00B90432">
        <w:rPr>
          <w:rStyle w:val="FootnoteReference"/>
          <w:rFonts w:asciiTheme="minorHAnsi" w:hAnsiTheme="minorHAnsi" w:cs="Tahoma"/>
          <w:sz w:val="22"/>
          <w:szCs w:val="22"/>
          <w:lang w:val="es-ES"/>
        </w:rPr>
        <w:footnoteReference w:id="449"/>
      </w:r>
    </w:p>
    <w:p w14:paraId="392A665F"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On March 1, photojournalist Alex Cruz and driver Ernesto Hidalgo, of the newspaper </w:t>
      </w:r>
      <w:r w:rsidRPr="00B90432">
        <w:rPr>
          <w:rFonts w:asciiTheme="minorHAnsi" w:hAnsiTheme="minorHAnsi"/>
          <w:i/>
        </w:rPr>
        <w:t>elPeriódico</w:t>
      </w:r>
      <w:r w:rsidRPr="00B90432">
        <w:rPr>
          <w:rFonts w:asciiTheme="minorHAnsi" w:hAnsiTheme="minorHAnsi"/>
        </w:rPr>
        <w:t xml:space="preserve">, were reportedly intercepted by two unknown men </w:t>
      </w:r>
      <w:r w:rsidRPr="00B90432">
        <w:rPr>
          <w:rFonts w:asciiTheme="minorHAnsi" w:hAnsiTheme="minorHAnsi"/>
        </w:rPr>
        <w:lastRenderedPageBreak/>
        <w:t>who threatened them with firearms and confiscated their cell phones and photography equipment.</w:t>
      </w:r>
      <w:r w:rsidRPr="00B90432">
        <w:rPr>
          <w:rStyle w:val="FootnoteReference"/>
          <w:rFonts w:asciiTheme="minorHAnsi" w:hAnsiTheme="minorHAnsi" w:cs="Tahoma"/>
          <w:sz w:val="22"/>
          <w:szCs w:val="22"/>
          <w:lang w:val="es-ES"/>
        </w:rPr>
        <w:footnoteReference w:id="450"/>
      </w:r>
    </w:p>
    <w:p w14:paraId="2AA61F08" w14:textId="77777777" w:rsidR="00CD0E32" w:rsidRPr="00B90432" w:rsidRDefault="00CD0E32" w:rsidP="00BE721D">
      <w:pPr>
        <w:pStyle w:val="Numberedparagraphs"/>
        <w:rPr>
          <w:rFonts w:asciiTheme="minorHAnsi" w:hAnsiTheme="minorHAnsi"/>
          <w:b/>
          <w:bCs/>
        </w:rPr>
      </w:pPr>
      <w:r w:rsidRPr="00B90432">
        <w:rPr>
          <w:rFonts w:asciiTheme="minorHAnsi" w:hAnsiTheme="minorHAnsi"/>
        </w:rPr>
        <w:t xml:space="preserve">In June, it was learned that journalist Marielos Monzón, a columnist for </w:t>
      </w:r>
      <w:r w:rsidRPr="00B90432">
        <w:rPr>
          <w:rFonts w:asciiTheme="minorHAnsi" w:hAnsiTheme="minorHAnsi"/>
          <w:i/>
        </w:rPr>
        <w:t>Prensa Libre,</w:t>
      </w:r>
      <w:r w:rsidRPr="00B90432">
        <w:rPr>
          <w:rFonts w:asciiTheme="minorHAnsi" w:hAnsiTheme="minorHAnsi"/>
        </w:rPr>
        <w:t xml:space="preserve"> filed a complaint with the Public Ministry’s Prosecution Unit for Crimes against Journalists alleging that she had been subject to threats and intimidation. According to the information available, a list had reportedly been distributed in recent weeks to members of organized crime blaming her and other journalists for being responsible for the legal proceedings brought against individuals involved in drug trafficking crimes. This was reportedly not the first time the journalist had been accused of criminal activity—in 2011 she and 50 other individuals were accused of participating in various crimes during the internal armed conflict, although in fact she was just a child at the time. That complaint was dismissed by the Prosecutor’s Office.</w:t>
      </w:r>
      <w:r w:rsidRPr="00B90432">
        <w:rPr>
          <w:rStyle w:val="FootnoteReference"/>
          <w:rFonts w:asciiTheme="minorHAnsi" w:hAnsiTheme="minorHAnsi" w:cs="Tahoma"/>
          <w:sz w:val="22"/>
          <w:szCs w:val="22"/>
          <w:lang w:val="es-ES"/>
        </w:rPr>
        <w:footnoteReference w:id="451"/>
      </w:r>
      <w:r w:rsidRPr="00B90432">
        <w:rPr>
          <w:rFonts w:asciiTheme="minorHAnsi" w:hAnsiTheme="minorHAnsi"/>
        </w:rPr>
        <w:t xml:space="preserve"> </w:t>
      </w:r>
    </w:p>
    <w:p w14:paraId="42014B8D" w14:textId="77777777" w:rsidR="00CD0E32" w:rsidRPr="00B90432" w:rsidRDefault="00CD0E32" w:rsidP="00BE721D">
      <w:pPr>
        <w:pStyle w:val="Numberedparagraphs"/>
        <w:rPr>
          <w:rFonts w:asciiTheme="minorHAnsi" w:hAnsiTheme="minorHAnsi"/>
        </w:rPr>
      </w:pPr>
      <w:r w:rsidRPr="00B90432">
        <w:rPr>
          <w:rFonts w:asciiTheme="minorHAnsi" w:hAnsiTheme="minorHAnsi"/>
          <w:bCs/>
        </w:rPr>
        <w:t xml:space="preserve">The same month, it was reported that Edgar Rubio Castañeda, an </w:t>
      </w:r>
      <w:r w:rsidRPr="00B90432">
        <w:rPr>
          <w:rFonts w:asciiTheme="minorHAnsi" w:hAnsiTheme="minorHAnsi"/>
          <w:bCs/>
          <w:iCs/>
        </w:rPr>
        <w:t>Infantry Colonel in the Guatemalan Army</w:t>
      </w:r>
      <w:r w:rsidRPr="00B90432">
        <w:rPr>
          <w:rFonts w:asciiTheme="minorHAnsi" w:hAnsiTheme="minorHAnsi"/>
          <w:bCs/>
        </w:rPr>
        <w:t xml:space="preserve">, </w:t>
      </w:r>
      <w:r w:rsidRPr="00B90432">
        <w:rPr>
          <w:rFonts w:asciiTheme="minorHAnsi" w:hAnsiTheme="minorHAnsi"/>
        </w:rPr>
        <w:t xml:space="preserve">had been interrogated by military authorities because of his book </w:t>
      </w:r>
      <w:r w:rsidRPr="00B90432">
        <w:rPr>
          <w:rFonts w:asciiTheme="minorHAnsi" w:hAnsiTheme="minorHAnsi"/>
          <w:i/>
        </w:rPr>
        <w:t>Desde el cuartel, otra visión de Guatemala</w:t>
      </w:r>
      <w:r w:rsidRPr="00B90432">
        <w:rPr>
          <w:rFonts w:asciiTheme="minorHAnsi" w:hAnsiTheme="minorHAnsi"/>
        </w:rPr>
        <w:t xml:space="preserve"> [“From the Barracks: Another View of Guatemala”]. A Military Honor Board [</w:t>
      </w:r>
      <w:r w:rsidRPr="00B90432">
        <w:rPr>
          <w:rFonts w:asciiTheme="minorHAnsi" w:hAnsiTheme="minorHAnsi"/>
          <w:i/>
        </w:rPr>
        <w:t>Junta de Honor Militar</w:t>
      </w:r>
      <w:r w:rsidRPr="00B90432">
        <w:rPr>
          <w:rFonts w:asciiTheme="minorHAnsi" w:hAnsiTheme="minorHAnsi"/>
        </w:rPr>
        <w:t>], which was reportedly established specifically to question him about the publication of the aforementioned book, reportedly demanded that Rubio Castañeda present defense evidence. Additionally, the Board reportedly accused him of insubordination to the Army and of failing to conform to the institution, both of which are punishable under the Military Code.</w:t>
      </w:r>
      <w:r w:rsidRPr="00B90432">
        <w:rPr>
          <w:rStyle w:val="FootnoteReference"/>
          <w:rFonts w:asciiTheme="minorHAnsi" w:hAnsiTheme="minorHAnsi"/>
          <w:sz w:val="22"/>
          <w:szCs w:val="22"/>
          <w:lang w:val="es-ES"/>
        </w:rPr>
        <w:footnoteReference w:id="452"/>
      </w:r>
    </w:p>
    <w:p w14:paraId="46BC2B4D"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July, </w:t>
      </w:r>
      <w:r w:rsidRPr="00B90432">
        <w:rPr>
          <w:rFonts w:asciiTheme="minorHAnsi" w:hAnsiTheme="minorHAnsi"/>
          <w:i/>
        </w:rPr>
        <w:t>Centro Pen</w:t>
      </w:r>
      <w:r w:rsidRPr="00B90432">
        <w:rPr>
          <w:rFonts w:asciiTheme="minorHAnsi" w:hAnsiTheme="minorHAnsi"/>
        </w:rPr>
        <w:t xml:space="preserve"> [PEN Center] Guatemala condemned the assaults committed against various reporters from </w:t>
      </w:r>
      <w:r w:rsidRPr="00B90432">
        <w:rPr>
          <w:rFonts w:asciiTheme="minorHAnsi" w:hAnsiTheme="minorHAnsi"/>
          <w:i/>
        </w:rPr>
        <w:t>Prensa Libre</w:t>
      </w:r>
      <w:r w:rsidRPr="00B90432">
        <w:rPr>
          <w:rFonts w:asciiTheme="minorHAnsi" w:hAnsiTheme="minorHAnsi"/>
        </w:rPr>
        <w:t xml:space="preserve"> in the capital and Quetzaltenango, and from </w:t>
      </w:r>
      <w:r w:rsidRPr="00B90432">
        <w:rPr>
          <w:rFonts w:asciiTheme="minorHAnsi" w:hAnsiTheme="minorHAnsi"/>
          <w:i/>
        </w:rPr>
        <w:t>Nuestro Diario</w:t>
      </w:r>
      <w:r w:rsidRPr="00B90432">
        <w:rPr>
          <w:rFonts w:asciiTheme="minorHAnsi" w:hAnsiTheme="minorHAnsi"/>
        </w:rPr>
        <w:t xml:space="preserve">. According to the organization, reporters Rigoberto Escobar, Carlos Paredes, Edwin Pitán, Carlos Ventura, and Byron Bravo were assaulted by members of the security details of politicians and private electric power generation companies in outlying </w:t>
      </w:r>
      <w:r w:rsidRPr="00B90432">
        <w:rPr>
          <w:rFonts w:asciiTheme="minorHAnsi" w:hAnsiTheme="minorHAnsi"/>
        </w:rPr>
        <w:lastRenderedPageBreak/>
        <w:t>areas of the country.</w:t>
      </w:r>
      <w:r w:rsidRPr="00B90432">
        <w:rPr>
          <w:rStyle w:val="FootnoteReference"/>
          <w:rFonts w:asciiTheme="minorHAnsi" w:hAnsiTheme="minorHAnsi" w:cs="Tahoma"/>
          <w:sz w:val="22"/>
          <w:szCs w:val="22"/>
          <w:lang w:val="es-ES"/>
        </w:rPr>
        <w:footnoteReference w:id="453"/>
      </w:r>
      <w:r w:rsidRPr="00B90432">
        <w:rPr>
          <w:rFonts w:asciiTheme="minorHAnsi" w:hAnsiTheme="minorHAnsi" w:cs="Tahoma"/>
        </w:rPr>
        <w:t xml:space="preserve"> </w:t>
      </w:r>
      <w:r w:rsidRPr="00B90432">
        <w:rPr>
          <w:rFonts w:asciiTheme="minorHAnsi" w:hAnsiTheme="minorHAnsi"/>
        </w:rPr>
        <w:t xml:space="preserve">Similarly, on September 7, Rony Rolando Castillo, the </w:t>
      </w:r>
      <w:r w:rsidRPr="00B90432">
        <w:rPr>
          <w:rFonts w:asciiTheme="minorHAnsi" w:hAnsiTheme="minorHAnsi"/>
          <w:i/>
        </w:rPr>
        <w:t>Nuestro Diario</w:t>
      </w:r>
      <w:r w:rsidRPr="00B90432">
        <w:rPr>
          <w:rFonts w:asciiTheme="minorHAnsi" w:hAnsiTheme="minorHAnsi"/>
        </w:rPr>
        <w:t xml:space="preserve"> correspondent for central-north Santa Rosa, was reportedly assaulted and had his photography equipment stolen by a group of tuk-tuk drivers while photographing a demonstration outside the Cuilapa National Hospital in Santa Rosa.</w:t>
      </w:r>
      <w:r w:rsidRPr="00B90432">
        <w:rPr>
          <w:rStyle w:val="FootnoteReference"/>
          <w:rFonts w:asciiTheme="minorHAnsi" w:hAnsiTheme="minorHAnsi" w:cs="Tahoma"/>
          <w:sz w:val="22"/>
          <w:szCs w:val="22"/>
          <w:lang w:val="es-ES"/>
        </w:rPr>
        <w:footnoteReference w:id="454"/>
      </w:r>
      <w:r w:rsidRPr="00B90432">
        <w:rPr>
          <w:rFonts w:asciiTheme="minorHAnsi" w:hAnsiTheme="minorHAnsi"/>
        </w:rPr>
        <w:t xml:space="preserve"> </w:t>
      </w:r>
    </w:p>
    <w:p w14:paraId="3BD602F6" w14:textId="77777777" w:rsidR="00CD0E32" w:rsidRPr="00B90432" w:rsidRDefault="00CD0E32" w:rsidP="00BE721D">
      <w:pPr>
        <w:pStyle w:val="Numberedparagraphs"/>
        <w:rPr>
          <w:rFonts w:asciiTheme="minorHAnsi" w:hAnsiTheme="minorHAnsi"/>
        </w:rPr>
      </w:pPr>
      <w:r w:rsidRPr="00B90432">
        <w:rPr>
          <w:rFonts w:asciiTheme="minorHAnsi" w:hAnsiTheme="minorHAnsi"/>
        </w:rPr>
        <w:t>As previously indicated, the sharp social and political polarization permeating the practice of journalism in Guatemala, threats, harassment, and the stigmatization of journalists, media workers and media outlets, among other things, were also reported. Some of the most notable cases from 2017 are detailed below.</w:t>
      </w:r>
    </w:p>
    <w:p w14:paraId="1C3C76FA" w14:textId="77777777" w:rsidR="00CD0E32" w:rsidRPr="00B90432" w:rsidRDefault="00CD0E32" w:rsidP="00BE721D">
      <w:pPr>
        <w:pStyle w:val="Numberedparagraphs"/>
        <w:rPr>
          <w:rFonts w:asciiTheme="minorHAnsi" w:hAnsiTheme="minorHAnsi"/>
        </w:rPr>
      </w:pPr>
      <w:r w:rsidRPr="00B90432">
        <w:rPr>
          <w:rFonts w:asciiTheme="minorHAnsi" w:hAnsiTheme="minorHAnsi"/>
        </w:rPr>
        <w:t>On February 28, during a press conference, President Jimmy Morales reportedly blamed the media for spreading rumors of a coup d'état in Guatemala.</w:t>
      </w:r>
      <w:r w:rsidRPr="00B90432">
        <w:rPr>
          <w:rStyle w:val="FootnoteReference"/>
          <w:rFonts w:asciiTheme="minorHAnsi" w:hAnsiTheme="minorHAnsi" w:cs="Arial"/>
          <w:sz w:val="22"/>
          <w:szCs w:val="22"/>
          <w:shd w:val="clear" w:color="auto" w:fill="FFFFFF"/>
          <w:lang w:val="es-ES_tradnl"/>
        </w:rPr>
        <w:footnoteReference w:id="455"/>
      </w:r>
      <w:r w:rsidRPr="00B90432">
        <w:rPr>
          <w:rFonts w:asciiTheme="minorHAnsi" w:hAnsiTheme="minorHAnsi"/>
        </w:rPr>
        <w:t xml:space="preserve"> According to reports, the president himself was the one who raised the issue on February 16, when he alleged that he had heard “well-founded rumors” of a possible coup in Guatemala.</w:t>
      </w:r>
      <w:r w:rsidRPr="00B90432">
        <w:rPr>
          <w:rStyle w:val="FootnoteReference"/>
          <w:rFonts w:asciiTheme="minorHAnsi" w:hAnsiTheme="minorHAnsi" w:cs="Arial"/>
          <w:sz w:val="22"/>
          <w:szCs w:val="22"/>
          <w:shd w:val="clear" w:color="auto" w:fill="FFFFFF"/>
          <w:lang w:val="es-ES_tradnl"/>
        </w:rPr>
        <w:footnoteReference w:id="456"/>
      </w:r>
      <w:r w:rsidRPr="00B90432">
        <w:rPr>
          <w:rFonts w:asciiTheme="minorHAnsi" w:hAnsiTheme="minorHAnsi"/>
        </w:rPr>
        <w:t xml:space="preserve"> </w:t>
      </w:r>
    </w:p>
    <w:p w14:paraId="56AD25F7"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According to the information available, on August 28, </w:t>
      </w:r>
      <w:r w:rsidRPr="00B90432">
        <w:rPr>
          <w:rFonts w:asciiTheme="minorHAnsi" w:hAnsiTheme="minorHAnsi"/>
          <w:i/>
        </w:rPr>
        <w:t xml:space="preserve">Guatevisión </w:t>
      </w:r>
      <w:r w:rsidRPr="00B90432">
        <w:rPr>
          <w:rFonts w:asciiTheme="minorHAnsi" w:hAnsiTheme="minorHAnsi"/>
        </w:rPr>
        <w:t xml:space="preserve">denounced the publication of a fake Facebook page, which acused the media outlet of being a “traitor to the nation,” allegedly manipulating information, and placing the country in foreign hands. According to reports, that message was apparently replicated by accounts with few posts in their history, with few contacts, or contacts that were hidden or created within the past two or three years—which in turn attacked the channel on its own Facebook page, as well as in the comment sections of articles that had been shared. These events reportedly occurred in reaction to the channel’s uninterrupted coverage the previous day of President Jimmy Morales’s decision to declare Iván Velázquez </w:t>
      </w:r>
      <w:r w:rsidRPr="00B90432">
        <w:rPr>
          <w:rFonts w:asciiTheme="minorHAnsi" w:hAnsiTheme="minorHAnsi"/>
          <w:i/>
        </w:rPr>
        <w:t>persona non grata</w:t>
      </w:r>
      <w:r w:rsidRPr="00B90432">
        <w:rPr>
          <w:rFonts w:asciiTheme="minorHAnsi" w:hAnsiTheme="minorHAnsi"/>
        </w:rPr>
        <w:t>.</w:t>
      </w:r>
      <w:r w:rsidRPr="00B90432">
        <w:rPr>
          <w:rStyle w:val="FootnoteReference"/>
          <w:rFonts w:asciiTheme="minorHAnsi" w:hAnsiTheme="minorHAnsi" w:cs="Arial"/>
          <w:sz w:val="22"/>
          <w:szCs w:val="22"/>
          <w:lang w:val="es-ES_tradnl"/>
        </w:rPr>
        <w:footnoteReference w:id="457"/>
      </w:r>
    </w:p>
    <w:p w14:paraId="4B966A11" w14:textId="77777777" w:rsidR="00CD0E32" w:rsidRPr="00B90432" w:rsidRDefault="00CD0E32" w:rsidP="00BE721D">
      <w:pPr>
        <w:pStyle w:val="Numberedparagraphs"/>
        <w:rPr>
          <w:rFonts w:asciiTheme="minorHAnsi" w:hAnsiTheme="minorHAnsi"/>
        </w:rPr>
      </w:pPr>
      <w:r w:rsidRPr="00B90432">
        <w:rPr>
          <w:rFonts w:asciiTheme="minorHAnsi" w:hAnsiTheme="minorHAnsi"/>
        </w:rPr>
        <w:t>Following the smear campaign that had been waged on social media against journalists and the news media, the Office of the Human Rights Ombudsman [</w:t>
      </w:r>
      <w:r w:rsidRPr="00B90432">
        <w:rPr>
          <w:rFonts w:asciiTheme="minorHAnsi" w:hAnsiTheme="minorHAnsi" w:cs="Arial"/>
          <w:i/>
        </w:rPr>
        <w:t>Procuraduría de Derechos Humanos</w:t>
      </w:r>
      <w:r w:rsidRPr="00B90432">
        <w:rPr>
          <w:rFonts w:asciiTheme="minorHAnsi" w:hAnsiTheme="minorHAnsi" w:cs="Arial"/>
        </w:rPr>
        <w:t xml:space="preserve">] </w:t>
      </w:r>
      <w:r w:rsidRPr="00B90432">
        <w:rPr>
          <w:rFonts w:asciiTheme="minorHAnsi" w:hAnsiTheme="minorHAnsi"/>
        </w:rPr>
        <w:t xml:space="preserve">(PDH) opened a file on September 2, as Ombudsman Augusto Jordán Rodas Andrade had indicated </w:t>
      </w:r>
      <w:r w:rsidRPr="00B90432">
        <w:rPr>
          <w:rFonts w:asciiTheme="minorHAnsi" w:hAnsiTheme="minorHAnsi"/>
        </w:rPr>
        <w:lastRenderedPageBreak/>
        <w:t>that, “there is an intent to disparage journalists in these times of so much uncertainty in Guatemala, which may jeopardize our fragile democracy.”</w:t>
      </w:r>
      <w:r w:rsidRPr="00B90432">
        <w:rPr>
          <w:rStyle w:val="FootnoteReference"/>
          <w:rFonts w:asciiTheme="minorHAnsi" w:hAnsiTheme="minorHAnsi"/>
          <w:sz w:val="22"/>
          <w:szCs w:val="22"/>
          <w:shd w:val="clear" w:color="auto" w:fill="FFFFFF"/>
          <w:lang w:val="es-ES_tradnl"/>
        </w:rPr>
        <w:footnoteReference w:id="458"/>
      </w:r>
      <w:r w:rsidRPr="00B90432">
        <w:rPr>
          <w:rFonts w:asciiTheme="minorHAnsi" w:hAnsiTheme="minorHAnsi"/>
        </w:rPr>
        <w:t xml:space="preserve">   </w:t>
      </w:r>
    </w:p>
    <w:p w14:paraId="646FF93F"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On August 29, various media outlets complained of the restrictions placed on their coverage of the Regional Intelligence Conference in which President Jimmy Morales took part. According to the information available, a group of journalists was reportedly assaulted by members of the Secretariat of </w:t>
      </w:r>
      <w:r w:rsidRPr="00B90432">
        <w:rPr>
          <w:rFonts w:asciiTheme="minorHAnsi" w:hAnsiTheme="minorHAnsi"/>
          <w:iCs/>
        </w:rPr>
        <w:t>Administrative</w:t>
      </w:r>
      <w:r w:rsidRPr="00B90432">
        <w:rPr>
          <w:rFonts w:asciiTheme="minorHAnsi" w:hAnsiTheme="minorHAnsi"/>
        </w:rPr>
        <w:t xml:space="preserve"> and </w:t>
      </w:r>
      <w:r w:rsidRPr="00B90432">
        <w:rPr>
          <w:rFonts w:asciiTheme="minorHAnsi" w:hAnsiTheme="minorHAnsi"/>
          <w:iCs/>
        </w:rPr>
        <w:t>Security</w:t>
      </w:r>
      <w:r w:rsidRPr="00B90432">
        <w:rPr>
          <w:rFonts w:asciiTheme="minorHAnsi" w:hAnsiTheme="minorHAnsi"/>
        </w:rPr>
        <w:t xml:space="preserve"> Affairs [</w:t>
      </w:r>
      <w:r w:rsidRPr="00B90432">
        <w:rPr>
          <w:rFonts w:asciiTheme="minorHAnsi" w:hAnsiTheme="minorHAnsi"/>
          <w:i/>
        </w:rPr>
        <w:t>Secretaría de Asuntos Administrativos y de Seguridad</w:t>
      </w:r>
      <w:r w:rsidRPr="00B90432">
        <w:rPr>
          <w:rFonts w:asciiTheme="minorHAnsi" w:hAnsiTheme="minorHAnsi"/>
        </w:rPr>
        <w:t>] (SAAS). At the same event, SAAS staff reportedly tried to grab a camera that the reporters were using to film the incident. The President reportedly left without making any statements to the press.</w:t>
      </w:r>
      <w:r w:rsidRPr="00B90432">
        <w:rPr>
          <w:rStyle w:val="FootnoteReference"/>
          <w:rFonts w:asciiTheme="minorHAnsi" w:hAnsiTheme="minorHAnsi" w:cs="Arial"/>
          <w:sz w:val="22"/>
          <w:szCs w:val="22"/>
          <w:shd w:val="clear" w:color="auto" w:fill="FFFFFF"/>
          <w:lang w:val="es-ES_tradnl"/>
        </w:rPr>
        <w:footnoteReference w:id="459"/>
      </w:r>
    </w:p>
    <w:p w14:paraId="36B9D562" w14:textId="77777777" w:rsidR="00CD0E32" w:rsidRPr="00B90432" w:rsidRDefault="00CD0E32" w:rsidP="00BE721D">
      <w:pPr>
        <w:pStyle w:val="Numberedparagraphs"/>
        <w:rPr>
          <w:rFonts w:asciiTheme="minorHAnsi" w:hAnsiTheme="minorHAnsi"/>
        </w:rPr>
      </w:pPr>
      <w:r w:rsidRPr="00B90432">
        <w:rPr>
          <w:rFonts w:asciiTheme="minorHAnsi" w:hAnsiTheme="minorHAnsi"/>
        </w:rPr>
        <w:t>All types of threats, attacks, or harassment directed against journalists, media personnel, or media outlets themselves must be investigated by the justice system and the authorities should not proceed to discard the practice of journalism as the motive for criminal acts before an investigation is over. States have an obligation to take effective steps to prevent attacks against journalists and others exercising their right to freedom of expression and to combat impunity, specifically by vehemently condemning such attacks when they occur, through prompt and effective investigation, in order to duly punish perpetrators and make reparation to victims, as appropriate. States also have an obligation to provide protection to journalists and others exercising their right to freedom of expression, who run a grave risk of being attacked.</w:t>
      </w:r>
      <w:r w:rsidRPr="00B90432">
        <w:rPr>
          <w:rStyle w:val="FootnoteReference"/>
          <w:rFonts w:asciiTheme="minorHAnsi" w:hAnsiTheme="minorHAnsi"/>
          <w:sz w:val="22"/>
          <w:szCs w:val="22"/>
          <w:lang w:val="es-ES"/>
        </w:rPr>
        <w:footnoteReference w:id="460"/>
      </w:r>
    </w:p>
    <w:p w14:paraId="123BCEDF" w14:textId="77777777" w:rsidR="00CD0E32" w:rsidRPr="00B90432" w:rsidRDefault="00CD0E32" w:rsidP="00BE721D">
      <w:pPr>
        <w:pStyle w:val="Numberedparagraphs"/>
        <w:rPr>
          <w:rFonts w:asciiTheme="minorHAnsi" w:hAnsiTheme="minorHAnsi"/>
        </w:rPr>
      </w:pPr>
      <w:r w:rsidRPr="00B90432">
        <w:rPr>
          <w:rFonts w:asciiTheme="minorHAnsi" w:hAnsiTheme="minorHAnsi"/>
        </w:rPr>
        <w:t>Likewise, principle 9 of the Declaration of Principles on Freedom of Expression provides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14:paraId="1B7BF251" w14:textId="77777777" w:rsidR="00CD0E32" w:rsidRPr="00B90432" w:rsidRDefault="00CD0E32" w:rsidP="005B7767">
      <w:pPr>
        <w:pStyle w:val="Heading3"/>
      </w:pPr>
      <w:bookmarkStart w:id="63" w:name="_Toc509827665"/>
      <w:r w:rsidRPr="00B90432">
        <w:lastRenderedPageBreak/>
        <w:t>Censorship</w:t>
      </w:r>
      <w:bookmarkEnd w:id="63"/>
    </w:p>
    <w:p w14:paraId="7D0BD4D4"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During 2017, the IACHR and the Office of the Special Rapporteur for Freedom of Expression also received information about alleged cases of censorship in Guatemala. In February, a group of journalists working for the newspaper </w:t>
      </w:r>
      <w:r w:rsidRPr="00B90432">
        <w:rPr>
          <w:rFonts w:asciiTheme="minorHAnsi" w:hAnsiTheme="minorHAnsi"/>
          <w:i/>
        </w:rPr>
        <w:t>Contrapoder</w:t>
      </w:r>
      <w:r w:rsidRPr="00B90432">
        <w:rPr>
          <w:rFonts w:asciiTheme="minorHAnsi" w:hAnsiTheme="minorHAnsi"/>
        </w:rPr>
        <w:t xml:space="preserve"> complained that an article about Iván Velásquez, head of the International Commission against Impunity in Guatemala (CICIG), was censored. The article, entitled “</w:t>
      </w:r>
      <w:r w:rsidRPr="00B90432">
        <w:rPr>
          <w:rFonts w:asciiTheme="minorHAnsi" w:hAnsiTheme="minorHAnsi"/>
          <w:i/>
        </w:rPr>
        <w:t>Emboscada contra Iván Velásquez</w:t>
      </w:r>
      <w:r w:rsidRPr="00B90432">
        <w:rPr>
          <w:rFonts w:asciiTheme="minorHAnsi" w:hAnsiTheme="minorHAnsi"/>
        </w:rPr>
        <w:t>” [“Ambush of Iván Velásquez”] was supposedly withdrawn moments before the magazine went to press.</w:t>
      </w:r>
      <w:r w:rsidRPr="00B90432">
        <w:rPr>
          <w:rStyle w:val="FootnoteReference"/>
          <w:rFonts w:asciiTheme="minorHAnsi" w:hAnsiTheme="minorHAnsi"/>
          <w:sz w:val="22"/>
          <w:szCs w:val="22"/>
          <w:lang w:val="es-ES"/>
        </w:rPr>
        <w:footnoteReference w:id="461"/>
      </w:r>
      <w:r w:rsidRPr="00B90432">
        <w:rPr>
          <w:rFonts w:asciiTheme="minorHAnsi" w:hAnsiTheme="minorHAnsi"/>
        </w:rPr>
        <w:t xml:space="preserve"> According to the information available, the reason given by the vice president of the publishing group for its withdrawal was a lack of “journalistic rigor.”</w:t>
      </w:r>
      <w:r w:rsidRPr="00B90432">
        <w:rPr>
          <w:rStyle w:val="FootnoteReference"/>
          <w:rFonts w:asciiTheme="minorHAnsi" w:hAnsiTheme="minorHAnsi"/>
          <w:sz w:val="22"/>
          <w:szCs w:val="22"/>
          <w:lang w:val="es-ES"/>
        </w:rPr>
        <w:footnoteReference w:id="462"/>
      </w:r>
    </w:p>
    <w:p w14:paraId="49F0CD30" w14:textId="77777777" w:rsidR="00CD0E32" w:rsidRPr="00B90432" w:rsidRDefault="00CD0E32" w:rsidP="00BE721D">
      <w:pPr>
        <w:pStyle w:val="Numberedparagraphs"/>
        <w:rPr>
          <w:rFonts w:asciiTheme="minorHAnsi" w:hAnsiTheme="minorHAnsi"/>
          <w:b/>
        </w:rPr>
      </w:pPr>
      <w:r w:rsidRPr="00B90432">
        <w:rPr>
          <w:rFonts w:asciiTheme="minorHAnsi" w:hAnsiTheme="minorHAnsi"/>
        </w:rPr>
        <w:t xml:space="preserve">According to reports, </w:t>
      </w:r>
      <w:r w:rsidRPr="00B90432">
        <w:rPr>
          <w:rFonts w:asciiTheme="minorHAnsi" w:hAnsiTheme="minorHAnsi"/>
          <w:i/>
        </w:rPr>
        <w:t xml:space="preserve">Guatevisión’s </w:t>
      </w:r>
      <w:r w:rsidRPr="00B90432">
        <w:rPr>
          <w:rFonts w:asciiTheme="minorHAnsi" w:hAnsiTheme="minorHAnsi"/>
        </w:rPr>
        <w:t xml:space="preserve">signal was reportedly blocked in several departments of the country between 10:00 a.m. and 5:00 p.m., and 6:00 p.m. and 9:00 p.m. on August 27, while it was airing uninterrupted coverage of President Jimmy Morales’s decision to declare Iván Velázquez, </w:t>
      </w:r>
      <w:r w:rsidRPr="00B90432">
        <w:rPr>
          <w:rFonts w:asciiTheme="minorHAnsi" w:hAnsiTheme="minorHAnsi"/>
          <w:bCs/>
        </w:rPr>
        <w:t xml:space="preserve">head of the </w:t>
      </w:r>
      <w:r w:rsidRPr="00B90432">
        <w:rPr>
          <w:rFonts w:asciiTheme="minorHAnsi" w:hAnsiTheme="minorHAnsi"/>
        </w:rPr>
        <w:t>International Commission against</w:t>
      </w:r>
      <w:r w:rsidRPr="00B90432">
        <w:rPr>
          <w:rFonts w:asciiTheme="minorHAnsi" w:hAnsiTheme="minorHAnsi"/>
          <w:bCs/>
        </w:rPr>
        <w:t xml:space="preserve"> Corruption in Guatemala (CICIG), </w:t>
      </w:r>
      <w:r w:rsidRPr="00B90432">
        <w:rPr>
          <w:rFonts w:asciiTheme="minorHAnsi" w:hAnsiTheme="minorHAnsi"/>
          <w:i/>
        </w:rPr>
        <w:t>persona</w:t>
      </w:r>
      <w:r w:rsidRPr="00B90432">
        <w:rPr>
          <w:rFonts w:asciiTheme="minorHAnsi" w:hAnsiTheme="minorHAnsi"/>
        </w:rPr>
        <w:t xml:space="preserve"> </w:t>
      </w:r>
      <w:r w:rsidRPr="00B90432">
        <w:rPr>
          <w:rFonts w:asciiTheme="minorHAnsi" w:hAnsiTheme="minorHAnsi"/>
          <w:i/>
        </w:rPr>
        <w:t>non grata</w:t>
      </w:r>
      <w:r w:rsidRPr="00B90432">
        <w:rPr>
          <w:rFonts w:asciiTheme="minorHAnsi" w:hAnsiTheme="minorHAnsi"/>
          <w:bCs/>
        </w:rPr>
        <w:t>.</w:t>
      </w:r>
      <w:r w:rsidRPr="00B90432">
        <w:rPr>
          <w:rFonts w:asciiTheme="minorHAnsi" w:hAnsiTheme="minorHAnsi"/>
        </w:rPr>
        <w:t xml:space="preserve"> The blocking of </w:t>
      </w:r>
      <w:r w:rsidRPr="00B90432">
        <w:rPr>
          <w:rFonts w:asciiTheme="minorHAnsi" w:hAnsiTheme="minorHAnsi"/>
          <w:i/>
        </w:rPr>
        <w:t xml:space="preserve">Guatevisión’s </w:t>
      </w:r>
      <w:r w:rsidRPr="00B90432">
        <w:rPr>
          <w:rFonts w:asciiTheme="minorHAnsi" w:hAnsiTheme="minorHAnsi"/>
        </w:rPr>
        <w:t>signal, which was allegedly done by cable companies tied to certain political groups, and had occurred during the broadcast of “news that affected [certain] interests. </w:t>
      </w:r>
      <w:r w:rsidRPr="00B90432">
        <w:rPr>
          <w:rFonts w:asciiTheme="minorHAnsi" w:hAnsiTheme="minorHAnsi"/>
          <w:bCs/>
        </w:rPr>
        <w:t>It happened to us in Petén, Retalhuleu, Quetzaltenango, and Sololá.</w:t>
      </w:r>
      <w:r w:rsidRPr="00B90432">
        <w:rPr>
          <w:rFonts w:asciiTheme="minorHAnsi" w:hAnsiTheme="minorHAnsi"/>
        </w:rPr>
        <w:t>”</w:t>
      </w:r>
      <w:r w:rsidRPr="00B90432">
        <w:rPr>
          <w:rStyle w:val="FootnoteReference"/>
          <w:rFonts w:asciiTheme="minorHAnsi" w:hAnsiTheme="minorHAnsi"/>
          <w:sz w:val="22"/>
          <w:szCs w:val="22"/>
          <w:shd w:val="clear" w:color="auto" w:fill="FFFFFF"/>
          <w:lang w:val="es-ES_tradnl"/>
        </w:rPr>
        <w:footnoteReference w:id="463"/>
      </w:r>
      <w:r w:rsidRPr="00B90432">
        <w:rPr>
          <w:rFonts w:asciiTheme="minorHAnsi" w:hAnsiTheme="minorHAnsi"/>
          <w:b/>
        </w:rPr>
        <w:t xml:space="preserve"> </w:t>
      </w:r>
    </w:p>
    <w:p w14:paraId="35FC942A" w14:textId="77777777" w:rsidR="00CD0E32" w:rsidRPr="00B90432" w:rsidRDefault="00CD0E32" w:rsidP="00BE721D">
      <w:pPr>
        <w:pStyle w:val="Numberedparagraphs"/>
        <w:rPr>
          <w:rFonts w:asciiTheme="minorHAnsi" w:hAnsiTheme="minorHAnsi"/>
          <w:b/>
        </w:rPr>
      </w:pPr>
      <w:r w:rsidRPr="00B90432">
        <w:rPr>
          <w:rFonts w:asciiTheme="minorHAnsi" w:hAnsiTheme="minorHAnsi"/>
        </w:rPr>
        <w:t xml:space="preserve">Article 13.2 of the American Convention explicitly states that the exercise of freedom of expression cannot be subject to prior censorship. Additionally, Principle 5 of the </w:t>
      </w:r>
      <w:hyperlink r:id="rId54" w:history="1">
        <w:r w:rsidRPr="005B7767">
          <w:rPr>
            <w:rStyle w:val="Hyperlink"/>
            <w:rFonts w:asciiTheme="minorHAnsi" w:hAnsiTheme="minorHAnsi"/>
            <w:color w:val="auto"/>
          </w:rPr>
          <w:t>Declaration of Principles on Freedom of Expression</w:t>
        </w:r>
      </w:hyperlink>
      <w:r w:rsidRPr="005B7767">
        <w:rPr>
          <w:rFonts w:asciiTheme="minorHAnsi" w:hAnsiTheme="minorHAnsi"/>
        </w:rPr>
        <w:t> establishes that, “Pri</w:t>
      </w:r>
      <w:r w:rsidRPr="00B90432">
        <w:rPr>
          <w:rFonts w:asciiTheme="minorHAnsi" w:hAnsiTheme="minorHAnsi"/>
        </w:rPr>
        <w:t xml:space="preserve">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w:t>
      </w:r>
      <w:r w:rsidRPr="00B90432">
        <w:rPr>
          <w:rFonts w:asciiTheme="minorHAnsi" w:hAnsiTheme="minorHAnsi"/>
        </w:rPr>
        <w:lastRenderedPageBreak/>
        <w:t>information and the imposition of obstacles to the free flow of information violate the right to freedom of expression.”</w:t>
      </w:r>
    </w:p>
    <w:p w14:paraId="35CCCE0C" w14:textId="5BBC74EB" w:rsidR="00CD0E32" w:rsidRPr="00B90432" w:rsidRDefault="00CD0E32" w:rsidP="005B7767">
      <w:pPr>
        <w:pStyle w:val="Heading3"/>
      </w:pPr>
      <w:bookmarkStart w:id="64" w:name="_Toc509827666"/>
      <w:r w:rsidRPr="00B90432">
        <w:t xml:space="preserve">Program for the </w:t>
      </w:r>
      <w:r w:rsidR="005B7767" w:rsidRPr="00B90432">
        <w:t xml:space="preserve">Protection </w:t>
      </w:r>
      <w:r w:rsidRPr="00B90432">
        <w:t xml:space="preserve">of </w:t>
      </w:r>
      <w:r w:rsidR="005B7767" w:rsidRPr="00B90432">
        <w:t xml:space="preserve">Journalists </w:t>
      </w:r>
      <w:r w:rsidRPr="00B90432">
        <w:t xml:space="preserve">and </w:t>
      </w:r>
      <w:r w:rsidR="005B7767" w:rsidRPr="00B90432">
        <w:t>Media Workers</w:t>
      </w:r>
      <w:bookmarkEnd w:id="64"/>
    </w:p>
    <w:p w14:paraId="0D098472" w14:textId="77777777" w:rsidR="00CD0E32" w:rsidRPr="00B90432" w:rsidRDefault="00CD0E32" w:rsidP="00BE721D">
      <w:pPr>
        <w:pStyle w:val="Numberedparagraphs"/>
        <w:rPr>
          <w:rFonts w:asciiTheme="minorHAnsi" w:hAnsiTheme="minorHAnsi"/>
        </w:rPr>
      </w:pPr>
      <w:r w:rsidRPr="00B90432">
        <w:rPr>
          <w:rFonts w:asciiTheme="minorHAnsi" w:hAnsiTheme="minorHAnsi"/>
        </w:rPr>
        <w:t>In October 2012, during the Universal Periodic Review (UPR), Guatemala agreed to create a Program for the Protection of Journalists. That commitment was reiterated on November 28, 2013 by then-President of Guatemala, Otto Pérez Molina.</w:t>
      </w:r>
      <w:r w:rsidRPr="00B90432">
        <w:rPr>
          <w:rStyle w:val="FootnoteReference"/>
          <w:rFonts w:asciiTheme="minorHAnsi" w:hAnsiTheme="minorHAnsi"/>
          <w:sz w:val="22"/>
          <w:szCs w:val="22"/>
          <w:lang w:val="es-ES"/>
        </w:rPr>
        <w:footnoteReference w:id="464"/>
      </w:r>
      <w:r w:rsidRPr="00B90432">
        <w:rPr>
          <w:rFonts w:asciiTheme="minorHAnsi" w:hAnsiTheme="minorHAnsi"/>
        </w:rPr>
        <w:t xml:space="preserve"> Nevertheless—nearly five years later—the implementation of such a program continues to be under discussion, despite the repeated recommendations of the IACHR, its Office of the Special Rapporteur, UNESCO, and OHCHR to move forward with its creation. In 2014, a High-Level Committee and a Technical Committee were established, consisting of the Presidential Commission coordinating the Executive's Policy on Human Rights [</w:t>
      </w:r>
      <w:r w:rsidRPr="00B90432">
        <w:rPr>
          <w:rFonts w:asciiTheme="minorHAnsi" w:hAnsiTheme="minorHAnsi"/>
          <w:i/>
        </w:rPr>
        <w:t>Comisión Presidencial Coordinadora de la Política del Ejecutivo en Materia de Derechos Humanos</w:t>
      </w:r>
      <w:r w:rsidRPr="00B90432">
        <w:rPr>
          <w:rFonts w:asciiTheme="minorHAnsi" w:hAnsiTheme="minorHAnsi"/>
        </w:rPr>
        <w:t xml:space="preserve">] (COPREDEH), the </w:t>
      </w:r>
      <w:r w:rsidRPr="00B90432">
        <w:rPr>
          <w:rFonts w:asciiTheme="minorHAnsi" w:hAnsiTheme="minorHAnsi"/>
          <w:bCs/>
        </w:rPr>
        <w:t>Ministry of the Interior</w:t>
      </w:r>
      <w:r w:rsidRPr="00B90432">
        <w:rPr>
          <w:rFonts w:asciiTheme="minorHAnsi" w:hAnsiTheme="minorHAnsi"/>
        </w:rPr>
        <w:t xml:space="preserve"> [</w:t>
      </w:r>
      <w:r w:rsidRPr="00B90432">
        <w:rPr>
          <w:rFonts w:asciiTheme="minorHAnsi" w:hAnsiTheme="minorHAnsi"/>
          <w:i/>
        </w:rPr>
        <w:t>Ministerio de Gobernación</w:t>
      </w:r>
      <w:r w:rsidRPr="00B90432">
        <w:rPr>
          <w:rFonts w:asciiTheme="minorHAnsi" w:hAnsiTheme="minorHAnsi"/>
        </w:rPr>
        <w:t xml:space="preserve">], the Public Ministry, and the </w:t>
      </w:r>
      <w:r w:rsidRPr="00B90432">
        <w:rPr>
          <w:rFonts w:asciiTheme="minorHAnsi" w:hAnsiTheme="minorHAnsi"/>
          <w:iCs/>
        </w:rPr>
        <w:t>Social Communication Secretariat of the Presidency</w:t>
      </w:r>
      <w:r w:rsidRPr="00B90432">
        <w:rPr>
          <w:rFonts w:asciiTheme="minorHAnsi" w:hAnsiTheme="minorHAnsi"/>
          <w:i/>
          <w:iCs/>
        </w:rPr>
        <w:t xml:space="preserve"> </w:t>
      </w:r>
      <w:r w:rsidRPr="00B90432">
        <w:rPr>
          <w:rFonts w:asciiTheme="minorHAnsi" w:hAnsiTheme="minorHAnsi"/>
        </w:rPr>
        <w:t>[</w:t>
      </w:r>
      <w:r w:rsidRPr="00B90432">
        <w:rPr>
          <w:rFonts w:asciiTheme="minorHAnsi" w:hAnsiTheme="minorHAnsi"/>
          <w:i/>
        </w:rPr>
        <w:t>Secretaría de Comunicación Social de la Presidencia de la República</w:t>
      </w:r>
      <w:r w:rsidRPr="00B90432">
        <w:rPr>
          <w:rFonts w:asciiTheme="minorHAnsi" w:hAnsiTheme="minorHAnsi"/>
        </w:rPr>
        <w:t>] (SCSPR). Their objective was to design and implement a program for the protection of journalists.</w:t>
      </w:r>
      <w:r w:rsidRPr="00B90432">
        <w:rPr>
          <w:rStyle w:val="FootnoteReference"/>
          <w:rFonts w:asciiTheme="minorHAnsi" w:hAnsiTheme="minorHAnsi"/>
          <w:sz w:val="22"/>
          <w:szCs w:val="22"/>
          <w:lang w:val="es-ES"/>
        </w:rPr>
        <w:footnoteReference w:id="465"/>
      </w:r>
    </w:p>
    <w:p w14:paraId="412AB3F9"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The following year, the government made progress on the design of the mechanism, in consultation with civil society and human rights organizations. Together, the High-Level Committee and the Technical Committee worked to design and implement the protection mechanism for journalists. This work was also supported by UNESCO and the </w:t>
      </w:r>
      <w:r w:rsidRPr="00B90432">
        <w:rPr>
          <w:rFonts w:asciiTheme="minorHAnsi" w:hAnsiTheme="minorHAnsi"/>
          <w:iCs/>
        </w:rPr>
        <w:t>Office of the High Commissioner for Human Rights</w:t>
      </w:r>
      <w:r w:rsidRPr="00B90432">
        <w:rPr>
          <w:rFonts w:asciiTheme="minorHAnsi" w:hAnsiTheme="minorHAnsi"/>
        </w:rPr>
        <w:t xml:space="preserve"> (OHCHR). An initial document entitled “Preliminary Proposal - Program for the Protection of Journalists” was drafted, and the institutions that should make up the Program, their powers with respect to protection, and the mechanisms for coordination were identified. In this context, after being debated by journalists and defenders of the right to freedom of expression, a set of observations, recommendations, and comments was submitted to the Technical </w:t>
      </w:r>
      <w:r w:rsidRPr="00B90432">
        <w:rPr>
          <w:rFonts w:asciiTheme="minorHAnsi" w:hAnsiTheme="minorHAnsi"/>
        </w:rPr>
        <w:lastRenderedPageBreak/>
        <w:t>Committee, which were considered by the latter and focused on the conceptual design of the System to Protect the Practice of Journalism [</w:t>
      </w:r>
      <w:r w:rsidRPr="00B90432">
        <w:rPr>
          <w:rFonts w:asciiTheme="minorHAnsi" w:hAnsiTheme="minorHAnsi"/>
          <w:i/>
        </w:rPr>
        <w:t>Sistema de Protección al Ejercicio Periodístico</w:t>
      </w:r>
      <w:r w:rsidRPr="00B90432">
        <w:rPr>
          <w:rFonts w:asciiTheme="minorHAnsi" w:hAnsiTheme="minorHAnsi"/>
        </w:rPr>
        <w:t>] (SPEP).</w:t>
      </w:r>
      <w:r w:rsidRPr="00B90432">
        <w:rPr>
          <w:rStyle w:val="FootnoteReference"/>
          <w:rFonts w:asciiTheme="minorHAnsi" w:hAnsiTheme="minorHAnsi"/>
          <w:sz w:val="22"/>
          <w:szCs w:val="22"/>
          <w:lang w:val="es-ES"/>
        </w:rPr>
        <w:footnoteReference w:id="466"/>
      </w:r>
      <w:r w:rsidRPr="00B90432">
        <w:rPr>
          <w:rFonts w:asciiTheme="minorHAnsi" w:hAnsiTheme="minorHAnsi"/>
        </w:rPr>
        <w:t xml:space="preserve"> Nevertheless, various journalists’ associations claimed that they had little to no participation in preparing the proposal. Finally, in 2016, after the new government came to power, President Jimmy Morales’s administration decided to suspend the process and begin a new process for establishing the mechanism.</w:t>
      </w:r>
      <w:r w:rsidRPr="00B90432">
        <w:rPr>
          <w:rStyle w:val="FootnoteReference"/>
          <w:rFonts w:asciiTheme="minorHAnsi" w:hAnsiTheme="minorHAnsi"/>
          <w:sz w:val="22"/>
          <w:szCs w:val="22"/>
          <w:lang w:val="es-ES"/>
        </w:rPr>
        <w:footnoteReference w:id="467"/>
      </w:r>
    </w:p>
    <w:p w14:paraId="1E4737E4" w14:textId="77777777" w:rsidR="00CD0E32" w:rsidRPr="00B90432" w:rsidRDefault="00CD0E32" w:rsidP="00BE721D">
      <w:pPr>
        <w:pStyle w:val="Numberedparagraphs"/>
        <w:rPr>
          <w:rFonts w:asciiTheme="minorHAnsi" w:hAnsiTheme="minorHAnsi"/>
        </w:rPr>
      </w:pPr>
      <w:r w:rsidRPr="00B90432">
        <w:rPr>
          <w:rFonts w:asciiTheme="minorHAnsi" w:hAnsiTheme="minorHAnsi"/>
        </w:rPr>
        <w:t>More recently, on different occasions in 2017, then-Human Rights Ombudsman Jorge de León Duque urged the government to implement the Program for the Protection of Journalists without delay. On February 7, the then-Human Rights Ombudsman expressed his concern over the vulnerable situation of the country’s journalists, especially those who carry out their activities in areas outside Guatemala City, and urged the government to implement the program soon.</w:t>
      </w:r>
      <w:r w:rsidRPr="00B90432">
        <w:rPr>
          <w:rFonts w:asciiTheme="minorHAnsi" w:hAnsiTheme="minorHAnsi"/>
          <w:vertAlign w:val="superscript"/>
        </w:rPr>
        <w:footnoteReference w:id="468"/>
      </w:r>
      <w:r w:rsidRPr="00B90432">
        <w:rPr>
          <w:rFonts w:asciiTheme="minorHAnsi" w:hAnsiTheme="minorHAnsi"/>
        </w:rPr>
        <w:t>De León Duque reiterated that need on May 3, in a statement released for World Press Freedom Day.</w:t>
      </w:r>
      <w:r w:rsidRPr="00B90432">
        <w:rPr>
          <w:rFonts w:asciiTheme="minorHAnsi" w:hAnsiTheme="minorHAnsi"/>
          <w:vertAlign w:val="superscript"/>
        </w:rPr>
        <w:footnoteReference w:id="469"/>
      </w:r>
    </w:p>
    <w:p w14:paraId="2D37F6E7" w14:textId="77777777" w:rsidR="00CD0E32" w:rsidRPr="00B90432" w:rsidRDefault="00CD0E32" w:rsidP="00BE721D">
      <w:pPr>
        <w:pStyle w:val="Numberedparagraphs"/>
        <w:rPr>
          <w:rFonts w:asciiTheme="minorHAnsi" w:hAnsiTheme="minorHAnsi"/>
        </w:rPr>
      </w:pPr>
      <w:r w:rsidRPr="00B90432">
        <w:rPr>
          <w:rFonts w:asciiTheme="minorHAnsi" w:hAnsiTheme="minorHAnsi"/>
        </w:rPr>
        <w:t>In February, the Press Alliance [</w:t>
      </w:r>
      <w:r w:rsidRPr="00B90432">
        <w:rPr>
          <w:rFonts w:asciiTheme="minorHAnsi" w:hAnsiTheme="minorHAnsi"/>
          <w:i/>
        </w:rPr>
        <w:t>Alianza de Entidades de Prensa</w:t>
      </w:r>
      <w:r w:rsidRPr="00B90432">
        <w:rPr>
          <w:rFonts w:asciiTheme="minorHAnsi" w:hAnsiTheme="minorHAnsi"/>
        </w:rPr>
        <w:t xml:space="preserve">] reportedly denounced the Guatemalan State for failing to keep its promise to adopt a Program for the Protection of Journalists. In the joint statement signed by the </w:t>
      </w:r>
      <w:r w:rsidRPr="00B90432">
        <w:rPr>
          <w:rFonts w:asciiTheme="minorHAnsi" w:hAnsiTheme="minorHAnsi"/>
          <w:lang w:val="en"/>
        </w:rPr>
        <w:t xml:space="preserve">Association of Journalists of Guatemala </w:t>
      </w:r>
      <w:r w:rsidRPr="00B90432">
        <w:rPr>
          <w:rFonts w:asciiTheme="minorHAnsi" w:hAnsiTheme="minorHAnsi"/>
        </w:rPr>
        <w:t>(APG), the Guatemalan Chamber of Journalism [</w:t>
      </w:r>
      <w:r w:rsidRPr="00B90432">
        <w:rPr>
          <w:rFonts w:asciiTheme="minorHAnsi" w:hAnsiTheme="minorHAnsi"/>
          <w:i/>
        </w:rPr>
        <w:t>Cámara Guatemalteca de Periodismo</w:t>
      </w:r>
      <w:r w:rsidRPr="00B90432">
        <w:rPr>
          <w:rFonts w:asciiTheme="minorHAnsi" w:hAnsiTheme="minorHAnsi"/>
        </w:rPr>
        <w:t>] (CGP), the Guatemalan Chamber of Professional Broadcast Announcers [</w:t>
      </w:r>
      <w:r w:rsidRPr="00B90432">
        <w:rPr>
          <w:rFonts w:asciiTheme="minorHAnsi" w:hAnsiTheme="minorHAnsi"/>
          <w:i/>
        </w:rPr>
        <w:t>Cámara de Locutores Profesionales de Guatemala</w:t>
      </w:r>
      <w:r w:rsidRPr="00B90432">
        <w:rPr>
          <w:rFonts w:asciiTheme="minorHAnsi" w:hAnsiTheme="minorHAnsi"/>
        </w:rPr>
        <w:t>] (CLPG), and Guatemalan Sports Reporters [</w:t>
      </w:r>
      <w:r w:rsidRPr="00B90432">
        <w:rPr>
          <w:rFonts w:asciiTheme="minorHAnsi" w:hAnsiTheme="minorHAnsi"/>
          <w:i/>
        </w:rPr>
        <w:t>Cronistas Deportivos Guatemaltecos</w:t>
      </w:r>
      <w:r w:rsidRPr="00B90432">
        <w:rPr>
          <w:rFonts w:asciiTheme="minorHAnsi" w:hAnsiTheme="minorHAnsi"/>
        </w:rPr>
        <w:t>] (CDG), the Alliance condemned the Guatemalan government’s apparent lack of will to fulfill its promises with respect to the Program.</w:t>
      </w:r>
      <w:r w:rsidRPr="00B90432">
        <w:rPr>
          <w:rStyle w:val="FootnoteReference"/>
          <w:rFonts w:asciiTheme="minorHAnsi" w:hAnsiTheme="minorHAnsi"/>
          <w:sz w:val="22"/>
          <w:szCs w:val="22"/>
          <w:lang w:val="es-ES"/>
        </w:rPr>
        <w:footnoteReference w:id="470"/>
      </w:r>
      <w:r w:rsidRPr="00B90432">
        <w:rPr>
          <w:rFonts w:asciiTheme="minorHAnsi" w:hAnsiTheme="minorHAnsi"/>
        </w:rPr>
        <w:t xml:space="preserve"> On June 1, after Representative Sandra Morán announced her willingness to work on a legislative bill for </w:t>
      </w:r>
      <w:r w:rsidRPr="00B90432">
        <w:rPr>
          <w:rFonts w:asciiTheme="minorHAnsi" w:hAnsiTheme="minorHAnsi"/>
        </w:rPr>
        <w:lastRenderedPageBreak/>
        <w:t>the protection of journalists, the Press Alliance reportedly dismissed the intent of some congressional representatives who support such a law, alleging that they did not enjoy public confidence and credibility, and that the intent of the initiative was not just to protect journalists but also to create opportunities and processes for regulation that would include a general media law.</w:t>
      </w:r>
      <w:r w:rsidRPr="00B90432">
        <w:rPr>
          <w:rStyle w:val="FootnoteReference"/>
          <w:rFonts w:asciiTheme="minorHAnsi" w:hAnsiTheme="minorHAnsi"/>
          <w:sz w:val="22"/>
          <w:szCs w:val="22"/>
          <w:lang w:val="es-ES"/>
        </w:rPr>
        <w:footnoteReference w:id="471"/>
      </w:r>
    </w:p>
    <w:p w14:paraId="5707C3EC" w14:textId="77777777" w:rsidR="00CD0E32" w:rsidRPr="00B90432" w:rsidRDefault="00CD0E32" w:rsidP="00BE721D">
      <w:pPr>
        <w:pStyle w:val="Numberedparagraphs"/>
        <w:rPr>
          <w:rFonts w:asciiTheme="minorHAnsi" w:hAnsiTheme="minorHAnsi"/>
        </w:rPr>
      </w:pPr>
      <w:r w:rsidRPr="00B90432">
        <w:rPr>
          <w:rFonts w:asciiTheme="minorHAnsi" w:hAnsiTheme="minorHAnsi"/>
        </w:rPr>
        <w:t>On May 2, Guatemalan Vice President Jafeth Cabrera and his communications team met with the Press Alliance to address the establishment of the Program for the Protection of Journalists, which reportedly has made no progress since July 2016. Jafeth Cabrera was said to have offered to look into the reasons for the alleged delay, and indicated that if the President would delegate the proposal to him, he would make the effort to move it forward.</w:t>
      </w:r>
      <w:r w:rsidRPr="00B90432">
        <w:rPr>
          <w:rFonts w:asciiTheme="minorHAnsi" w:hAnsiTheme="minorHAnsi"/>
          <w:vertAlign w:val="superscript"/>
        </w:rPr>
        <w:footnoteReference w:id="472"/>
      </w:r>
    </w:p>
    <w:p w14:paraId="5FF423ED"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On this point, the IACHR took note of President Jimmy Morales’s announcement during the on-site visit to the effect that the government was working on a Program for the Protection of Journalists and Media Workers in consultation with journalists’ organizations, and that he would approve it as soon as possible. </w:t>
      </w:r>
    </w:p>
    <w:p w14:paraId="34132A38" w14:textId="77777777" w:rsidR="00CD0E32" w:rsidRPr="00B90432" w:rsidRDefault="00CD0E32" w:rsidP="00BE721D">
      <w:pPr>
        <w:pStyle w:val="Numberedparagraphs"/>
        <w:rPr>
          <w:rFonts w:asciiTheme="minorHAnsi" w:hAnsiTheme="minorHAnsi"/>
        </w:rPr>
      </w:pPr>
      <w:r w:rsidRPr="00B90432">
        <w:rPr>
          <w:rFonts w:asciiTheme="minorHAnsi" w:hAnsiTheme="minorHAnsi"/>
        </w:rPr>
        <w:t>During the on-site visit, the IACHR again heard complaints from various civil society organizations, including Cerigua and other collectives of the Press Alliance,</w:t>
      </w:r>
      <w:r w:rsidRPr="00B90432">
        <w:rPr>
          <w:rFonts w:asciiTheme="minorHAnsi" w:hAnsiTheme="minorHAnsi"/>
          <w:vertAlign w:val="superscript"/>
        </w:rPr>
        <w:footnoteReference w:id="473"/>
      </w:r>
      <w:r w:rsidRPr="00B90432">
        <w:rPr>
          <w:rFonts w:asciiTheme="minorHAnsi" w:hAnsiTheme="minorHAnsi"/>
          <w:b/>
          <w:bCs/>
          <w:i/>
          <w:iCs/>
        </w:rPr>
        <w:t xml:space="preserve"> </w:t>
      </w:r>
      <w:r w:rsidRPr="00B90432">
        <w:rPr>
          <w:rFonts w:asciiTheme="minorHAnsi" w:hAnsiTheme="minorHAnsi"/>
          <w:bCs/>
          <w:iCs/>
        </w:rPr>
        <w:t>regarding</w:t>
      </w:r>
      <w:r w:rsidRPr="00B90432">
        <w:rPr>
          <w:rFonts w:asciiTheme="minorHAnsi" w:hAnsiTheme="minorHAnsi"/>
        </w:rPr>
        <w:t xml:space="preserve"> the government’s lack of political will to move forward with the creation, funding, and implementation of a protection mechanism, despite the long-standing assurances offered by the Executive Branch. The IACHR also received a letter signed by a number of active journalists demanding a public and participatory consultation in the process for the creation of the protection mechanism.</w:t>
      </w:r>
      <w:r w:rsidRPr="00B90432">
        <w:rPr>
          <w:rStyle w:val="FootnoteReference"/>
          <w:rFonts w:asciiTheme="minorHAnsi" w:hAnsiTheme="minorHAnsi" w:cs="Tahoma"/>
          <w:sz w:val="22"/>
          <w:szCs w:val="22"/>
          <w:lang w:val="es-ES"/>
        </w:rPr>
        <w:footnoteReference w:id="474"/>
      </w:r>
      <w:r w:rsidRPr="00B90432">
        <w:rPr>
          <w:rFonts w:asciiTheme="minorHAnsi" w:hAnsiTheme="minorHAnsi"/>
        </w:rPr>
        <w:t xml:space="preserve"> </w:t>
      </w:r>
    </w:p>
    <w:p w14:paraId="5E476821" w14:textId="77777777" w:rsidR="00CD0E32" w:rsidRPr="00B90432" w:rsidRDefault="00CD0E32" w:rsidP="00BE721D">
      <w:pPr>
        <w:pStyle w:val="Numberedparagraphs"/>
        <w:rPr>
          <w:rFonts w:asciiTheme="minorHAnsi" w:hAnsiTheme="minorHAnsi"/>
        </w:rPr>
      </w:pPr>
      <w:r w:rsidRPr="00B90432">
        <w:rPr>
          <w:rFonts w:asciiTheme="minorHAnsi" w:hAnsiTheme="minorHAnsi"/>
        </w:rPr>
        <w:lastRenderedPageBreak/>
        <w:t xml:space="preserve">The IACHR observes, according to information provided by the State, that the Ministry of the Interior, through the National Civil Police and its Personal </w:t>
      </w:r>
      <w:r w:rsidRPr="00B90432">
        <w:rPr>
          <w:rFonts w:asciiTheme="minorHAnsi" w:hAnsiTheme="minorHAnsi"/>
          <w:iCs/>
        </w:rPr>
        <w:t>Protection</w:t>
      </w:r>
      <w:r w:rsidRPr="00B90432">
        <w:rPr>
          <w:rFonts w:asciiTheme="minorHAnsi" w:hAnsiTheme="minorHAnsi"/>
        </w:rPr>
        <w:t xml:space="preserve"> and </w:t>
      </w:r>
      <w:r w:rsidRPr="00B90432">
        <w:rPr>
          <w:rFonts w:asciiTheme="minorHAnsi" w:hAnsiTheme="minorHAnsi"/>
          <w:iCs/>
        </w:rPr>
        <w:t>Security Division</w:t>
      </w:r>
      <w:r w:rsidRPr="00B90432">
        <w:rPr>
          <w:rFonts w:asciiTheme="minorHAnsi" w:hAnsiTheme="minorHAnsi"/>
        </w:rPr>
        <w:t xml:space="preserve"> [</w:t>
      </w:r>
      <w:r w:rsidRPr="00B90432">
        <w:rPr>
          <w:rFonts w:asciiTheme="minorHAnsi" w:hAnsiTheme="minorHAnsi"/>
          <w:i/>
        </w:rPr>
        <w:t>División de Protección a Personas y Seguridad</w:t>
      </w:r>
      <w:r w:rsidRPr="00B90432">
        <w:rPr>
          <w:rFonts w:asciiTheme="minorHAnsi" w:hAnsiTheme="minorHAnsi"/>
        </w:rPr>
        <w:t>], is responsible for providing security to human rights defenders, journalists, trade unionists, and others pursuant to Government Order 97-2009, which has been in force since April 3, 2009. According to the Guatemalan State, supplemental protection measures are provided through personal security, permanent security posts, and perimeter security. Additionally, the Presidential Commission coordinating the Executive's Policy on Human Rights [</w:t>
      </w:r>
      <w:r w:rsidRPr="00B90432">
        <w:rPr>
          <w:rFonts w:asciiTheme="minorHAnsi" w:hAnsiTheme="minorHAnsi"/>
          <w:i/>
        </w:rPr>
        <w:t>Comisión Presidencial Coordinadora de la Política del Ejecutivo en Materia de Derechos Humanos</w:t>
      </w:r>
      <w:r w:rsidRPr="00B90432">
        <w:rPr>
          <w:rFonts w:asciiTheme="minorHAnsi" w:hAnsiTheme="minorHAnsi"/>
        </w:rPr>
        <w:t>] (COPREDEH) published the “Protocol for the Protection of Journalists” [</w:t>
      </w:r>
      <w:r w:rsidRPr="00B90432">
        <w:rPr>
          <w:rFonts w:asciiTheme="minorHAnsi" w:hAnsiTheme="minorHAnsi"/>
          <w:i/>
        </w:rPr>
        <w:t>Protocolo para Protección a Periodistas</w:t>
      </w:r>
      <w:r w:rsidRPr="00B90432">
        <w:rPr>
          <w:rFonts w:asciiTheme="minorHAnsi" w:hAnsiTheme="minorHAnsi"/>
        </w:rPr>
        <w:t>], detailing a number of situations and rules that provide individuals who practice journalism with an overview of situations of risk. It also published the “Protection Manual for Journalists and Media Workers” [</w:t>
      </w:r>
      <w:r w:rsidRPr="00B90432">
        <w:rPr>
          <w:rFonts w:asciiTheme="minorHAnsi" w:hAnsiTheme="minorHAnsi"/>
          <w:i/>
        </w:rPr>
        <w:t>Manual de protección para periodistas y comunicadores</w:t>
      </w:r>
      <w:r w:rsidRPr="00B90432">
        <w:rPr>
          <w:rFonts w:asciiTheme="minorHAnsi" w:hAnsiTheme="minorHAnsi"/>
        </w:rPr>
        <w:t>], addressing national and international laws, permissible restrictions, and other material.</w:t>
      </w:r>
      <w:r w:rsidRPr="00B90432">
        <w:rPr>
          <w:rStyle w:val="FootnoteReference"/>
          <w:rFonts w:asciiTheme="minorHAnsi" w:hAnsiTheme="minorHAnsi"/>
          <w:sz w:val="22"/>
          <w:szCs w:val="22"/>
          <w:lang w:val="es-ES"/>
        </w:rPr>
        <w:footnoteReference w:id="475"/>
      </w:r>
    </w:p>
    <w:p w14:paraId="7472A642"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More recently, the Guatemalan news agency </w:t>
      </w:r>
      <w:r w:rsidRPr="00B90432">
        <w:rPr>
          <w:rFonts w:asciiTheme="minorHAnsi" w:hAnsiTheme="minorHAnsi"/>
          <w:i/>
        </w:rPr>
        <w:t>Centro de Reportes Informativos sobre Guatemala</w:t>
      </w:r>
      <w:r w:rsidRPr="00B90432">
        <w:rPr>
          <w:rFonts w:asciiTheme="minorHAnsi" w:hAnsiTheme="minorHAnsi"/>
        </w:rPr>
        <w:t xml:space="preserve"> [Center for News Reports on Guatemala] (Cerigua), launched a campaign in Geneva with members of the diplomatic missions of different States in order to express their concern over the lack of progress on the establishment of the Program for the Protection of Journalists. The organization underscored that advances were made in the protection of the press, such as the establishment of the Body for the </w:t>
      </w:r>
      <w:r w:rsidRPr="00B90432">
        <w:rPr>
          <w:rFonts w:asciiTheme="minorHAnsi" w:hAnsiTheme="minorHAnsi"/>
          <w:iCs/>
        </w:rPr>
        <w:t>Analysis</w:t>
      </w:r>
      <w:r w:rsidRPr="00B90432">
        <w:rPr>
          <w:rFonts w:asciiTheme="minorHAnsi" w:hAnsiTheme="minorHAnsi"/>
        </w:rPr>
        <w:t xml:space="preserve"> of </w:t>
      </w:r>
      <w:r w:rsidRPr="00B90432">
        <w:rPr>
          <w:rFonts w:asciiTheme="minorHAnsi" w:hAnsiTheme="minorHAnsi"/>
          <w:iCs/>
        </w:rPr>
        <w:t>Attacks</w:t>
      </w:r>
      <w:r w:rsidRPr="00B90432">
        <w:rPr>
          <w:rFonts w:asciiTheme="minorHAnsi" w:hAnsiTheme="minorHAnsi"/>
        </w:rPr>
        <w:t xml:space="preserve"> on Human Rights </w:t>
      </w:r>
      <w:r w:rsidRPr="00B90432">
        <w:rPr>
          <w:rFonts w:asciiTheme="minorHAnsi" w:hAnsiTheme="minorHAnsi"/>
          <w:iCs/>
        </w:rPr>
        <w:t>Defenders</w:t>
      </w:r>
      <w:r w:rsidRPr="00B90432">
        <w:rPr>
          <w:rFonts w:asciiTheme="minorHAnsi" w:hAnsiTheme="minorHAnsi"/>
        </w:rPr>
        <w:t xml:space="preserve"> [</w:t>
      </w:r>
      <w:r w:rsidRPr="00B90432">
        <w:rPr>
          <w:rFonts w:asciiTheme="minorHAnsi" w:hAnsiTheme="minorHAnsi"/>
          <w:i/>
        </w:rPr>
        <w:t>Instancia de Análisis de Ataques contra Defensores de Derechos Humanos</w:t>
      </w:r>
      <w:r w:rsidRPr="00B90432">
        <w:rPr>
          <w:rFonts w:asciiTheme="minorHAnsi" w:hAnsiTheme="minorHAnsi"/>
        </w:rPr>
        <w:t xml:space="preserve">], an entity coordinated by the Ministry of the Interior whose participants include the Public Ministry (MP), the Presidential Commission coordinating the Executive's Policy on Human Rights (COPREDEH), and the </w:t>
      </w:r>
      <w:r w:rsidRPr="00B90432">
        <w:rPr>
          <w:rFonts w:asciiTheme="minorHAnsi" w:hAnsiTheme="minorHAnsi"/>
          <w:iCs/>
        </w:rPr>
        <w:t>Office of the High Commissioner for Human Rights</w:t>
      </w:r>
      <w:r w:rsidRPr="00B90432">
        <w:rPr>
          <w:rFonts w:asciiTheme="minorHAnsi" w:hAnsiTheme="minorHAnsi"/>
        </w:rPr>
        <w:t xml:space="preserve"> (OHCHR), as well as a variety of social actors, including the organization itself. Nevertheless, Cerigua indicated that the Ministry of the Interior had refused to approve the order that would enable the entity to continue operating. It further alleged that an advisor had needlessly blocked the approval of the government order to proceed with the creation </w:t>
      </w:r>
      <w:r w:rsidRPr="00B90432">
        <w:rPr>
          <w:rFonts w:asciiTheme="minorHAnsi" w:hAnsiTheme="minorHAnsi"/>
        </w:rPr>
        <w:lastRenderedPageBreak/>
        <w:t>of the Program for the Protection of Journalists, despite the existence of an order from the Office of the President.</w:t>
      </w:r>
      <w:r w:rsidRPr="00B90432">
        <w:rPr>
          <w:rStyle w:val="FootnoteReference"/>
          <w:rFonts w:asciiTheme="minorHAnsi" w:hAnsiTheme="minorHAnsi"/>
          <w:sz w:val="22"/>
          <w:szCs w:val="22"/>
          <w:lang w:val="es-ES_tradnl"/>
        </w:rPr>
        <w:footnoteReference w:id="476"/>
      </w:r>
      <w:r w:rsidRPr="00B90432">
        <w:rPr>
          <w:rFonts w:asciiTheme="minorHAnsi" w:hAnsiTheme="minorHAnsi"/>
        </w:rPr>
        <w:t xml:space="preserve"> </w:t>
      </w:r>
    </w:p>
    <w:p w14:paraId="6D611DDF" w14:textId="77777777" w:rsidR="00CD0E32" w:rsidRPr="00B90432" w:rsidRDefault="00CD0E32" w:rsidP="00BE721D">
      <w:pPr>
        <w:pStyle w:val="Numberedparagraphs"/>
        <w:rPr>
          <w:rFonts w:asciiTheme="minorHAnsi" w:hAnsiTheme="minorHAnsi"/>
        </w:rPr>
      </w:pPr>
      <w:r w:rsidRPr="00B90432">
        <w:rPr>
          <w:rFonts w:asciiTheme="minorHAnsi" w:hAnsiTheme="minorHAnsi"/>
        </w:rPr>
        <w:t>In its comments to the draft of this report, the State of Guatemala stated that in November 2016 the President pushed for the creation of a Governmental Agreement that would create the Program for the Protection of Journalists and Social Communicators. According to the State, this program:</w:t>
      </w:r>
    </w:p>
    <w:p w14:paraId="41C3E36E" w14:textId="77777777" w:rsidR="00CD0E32" w:rsidRPr="00B90432" w:rsidRDefault="00CD0E32" w:rsidP="00BE721D">
      <w:pPr>
        <w:spacing w:after="240" w:line="240" w:lineRule="auto"/>
        <w:ind w:left="1166" w:right="619"/>
        <w:jc w:val="both"/>
        <w:rPr>
          <w:rFonts w:asciiTheme="minorHAnsi" w:hAnsiTheme="minorHAnsi"/>
        </w:rPr>
      </w:pPr>
      <w:r w:rsidRPr="00B90432">
        <w:rPr>
          <w:rFonts w:asciiTheme="minorHAnsi" w:hAnsiTheme="minorHAnsi"/>
        </w:rPr>
        <w:t>“[W]ill be implemented in the office of Human Rights of the Minister of the Interior, who will define the legal procedures of the program, will establish its process within its jurisdiction, and will encompass any harm to the physical or psychological integrity, threat, harassment or intimidation against journalists and social communicators due to their profession. The Ministry of the Interior will issue the regulations for the specific activities of the program and will provide the necessary resources for its functioning. Currently, the Governmental Agreement that creates the program for the protection of journalists has been submitted to the consideration of various unionized sectors and journalists’ organizations.”</w:t>
      </w:r>
      <w:r w:rsidRPr="00B90432">
        <w:rPr>
          <w:rStyle w:val="FootnoteReference"/>
          <w:rFonts w:asciiTheme="minorHAnsi" w:hAnsiTheme="minorHAnsi"/>
          <w:sz w:val="22"/>
          <w:szCs w:val="22"/>
        </w:rPr>
        <w:footnoteReference w:id="477"/>
      </w:r>
    </w:p>
    <w:p w14:paraId="12F8D0B3"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Based on the foregoing, the IACHR and its Office of the Special Rapporteur for Freedom of Expression remind the Guatemalan State some of the guidelines it has developed, and that should be taken into account in the design and operation of protection programs for journalists, among them: i) political commitment from the State, that must include an adequate legal framework, sufficient human resources, trained and prepared, capable of establishing trust with the persons who seek protection; with corresponding resources with a view to covering the costs of the personnel who work in the program and the specific expenses related to the protective measures provided; adopt rules clearly spelling out the authorities and responsibilities of the officials who will play a role in either implementing or monitoring the protection measures; ii) that it include the adequate identification of potential beneficiaries and an adequate recognition of the grounds on which a potential beneficiary can seek protection; iii) a proper risk assessment, considering the gender perspective, that enables the State to determine the best way to fulfill its obligation to protect, taking into account contextual and specific </w:t>
      </w:r>
      <w:r w:rsidRPr="00B90432">
        <w:rPr>
          <w:rFonts w:asciiTheme="minorHAnsi" w:hAnsiTheme="minorHAnsi"/>
        </w:rPr>
        <w:lastRenderedPageBreak/>
        <w:t>circumstances and providing for the active participation of the beneficiary; iv) the provision of suitable and effective protection measures that are tailored to both protect beneficiaries’ life and integrity corresponding to journalists’ needs and allow them to continue their professional activities; v) clear criteria and procedures for monitoring the effectiveness of the selected measures, and if the measures of protection are ineffective they will have to be adjusted to comport with the situation that the beneficiary is experiencing; vi) assess the risk in order to decide whether the measures of protection should be lifted with the beneficiaries’ participation in order to get their view on the question of whether the measures should be lifted; and vii) material protective measures shall be linked to exhaustive and independent investigations by the pertinent authorities to prevent and reduce the sources of the risk.</w:t>
      </w:r>
      <w:r w:rsidRPr="00B90432">
        <w:rPr>
          <w:rStyle w:val="FootnoteReference"/>
          <w:rFonts w:asciiTheme="minorHAnsi" w:hAnsiTheme="minorHAnsi"/>
          <w:sz w:val="22"/>
          <w:szCs w:val="22"/>
          <w:lang w:val="es-ES"/>
        </w:rPr>
        <w:footnoteReference w:id="478"/>
      </w:r>
    </w:p>
    <w:p w14:paraId="1EA13526" w14:textId="77777777" w:rsidR="00CD0E32" w:rsidRPr="005B7767" w:rsidRDefault="00CD0E32" w:rsidP="005B7767">
      <w:pPr>
        <w:pStyle w:val="Heading2"/>
      </w:pPr>
      <w:bookmarkStart w:id="65" w:name="_Toc509827667"/>
      <w:r w:rsidRPr="005B7767">
        <w:t>Situation of broadcasting</w:t>
      </w:r>
      <w:bookmarkEnd w:id="65"/>
    </w:p>
    <w:p w14:paraId="2980AE39" w14:textId="22EC06CF" w:rsidR="00CD0E32" w:rsidRPr="00B90432" w:rsidRDefault="00CD0E32" w:rsidP="0085755A">
      <w:pPr>
        <w:pStyle w:val="Heading3"/>
        <w:numPr>
          <w:ilvl w:val="0"/>
          <w:numId w:val="15"/>
        </w:numPr>
        <w:ind w:hanging="727"/>
      </w:pPr>
      <w:bookmarkStart w:id="66" w:name="_Toc509827668"/>
      <w:r w:rsidRPr="00B90432">
        <w:t xml:space="preserve">Community </w:t>
      </w:r>
      <w:r w:rsidR="005B7767" w:rsidRPr="00B90432">
        <w:t>Broadcasting</w:t>
      </w:r>
      <w:bookmarkEnd w:id="66"/>
      <w:r w:rsidR="005B7767" w:rsidRPr="00B90432">
        <w:t xml:space="preserve"> </w:t>
      </w:r>
    </w:p>
    <w:p w14:paraId="48A89C1F"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During its on-site visit, the Inter-American Commission verified the lack of progress with regard to the obligation that the State assumed on multiple occasions to legally recognize the community broadcasting sector and effectively allocate permission for this sector to use frequencies. It additionally verified that, although Guatemala has no regulatory framework of policies for the incorporation of indigenous peoples into the broadcasting sector, it continued to persecute so-called “illegal” radio stations, which in some cases provide a service to the communities. While in some cases this persecution has been aimed at unauthorized commercial radio stations, in others it has also included the small radio stations of indigenous communities that broadcast in spite of the obstacles to accessing frequencies. </w:t>
      </w:r>
    </w:p>
    <w:p w14:paraId="077A1BD2"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February 2016, the IACHR and its Office of the Special Rapporteur learned that the Guatemalan Congress was in the third phase of studying draft law 4087, </w:t>
      </w:r>
      <w:r w:rsidRPr="00B90432">
        <w:rPr>
          <w:rFonts w:asciiTheme="minorHAnsi" w:hAnsiTheme="minorHAnsi"/>
          <w:lang w:val="en"/>
        </w:rPr>
        <w:t xml:space="preserve">the “Community Media Act” </w:t>
      </w:r>
      <w:r w:rsidRPr="00B90432">
        <w:rPr>
          <w:rFonts w:asciiTheme="minorHAnsi" w:hAnsiTheme="minorHAnsi"/>
        </w:rPr>
        <w:t xml:space="preserve"> [“</w:t>
      </w:r>
      <w:r w:rsidRPr="00B90432">
        <w:rPr>
          <w:rFonts w:asciiTheme="minorHAnsi" w:hAnsiTheme="minorHAnsi"/>
          <w:i/>
        </w:rPr>
        <w:t>Ley de Medios de Comunicación Comunitaria</w:t>
      </w:r>
      <w:r w:rsidRPr="00B90432">
        <w:rPr>
          <w:rFonts w:asciiTheme="minorHAnsi" w:hAnsiTheme="minorHAnsi"/>
        </w:rPr>
        <w:t xml:space="preserve">”]. </w:t>
      </w:r>
      <w:r w:rsidRPr="00B90432">
        <w:rPr>
          <w:rFonts w:asciiTheme="minorHAnsi" w:hAnsiTheme="minorHAnsi"/>
          <w:lang w:val="en"/>
        </w:rPr>
        <w:t xml:space="preserve">The bill, backed by civil society and the country’s indigenous peoples, sought to guarantee “access to media for </w:t>
      </w:r>
      <w:r w:rsidRPr="00B90432">
        <w:rPr>
          <w:rFonts w:asciiTheme="minorHAnsi" w:hAnsiTheme="minorHAnsi"/>
          <w:lang w:val="en"/>
        </w:rPr>
        <w:lastRenderedPageBreak/>
        <w:t xml:space="preserve">indigenous communities and socially excluded minority sectors,” </w:t>
      </w:r>
      <w:r w:rsidRPr="00B90432">
        <w:rPr>
          <w:rFonts w:asciiTheme="minorHAnsi" w:hAnsiTheme="minorHAnsi"/>
        </w:rPr>
        <w:t xml:space="preserve">promoting international standards. </w:t>
      </w:r>
      <w:r w:rsidRPr="00B90432">
        <w:rPr>
          <w:rFonts w:asciiTheme="minorHAnsi" w:hAnsiTheme="minorHAnsi"/>
          <w:lang w:val="en"/>
        </w:rPr>
        <w:t>At the time, the Office of the Special Rapporteur stated that the legislative debate on the bill represented an extraordinary opportunity for the State to effectively comply with its international obligations in this area</w:t>
      </w:r>
      <w:r w:rsidRPr="00B90432">
        <w:rPr>
          <w:rFonts w:asciiTheme="minorHAnsi" w:hAnsiTheme="minorHAnsi"/>
        </w:rPr>
        <w:t>.</w:t>
      </w:r>
      <w:r w:rsidRPr="00B90432">
        <w:rPr>
          <w:rFonts w:asciiTheme="minorHAnsi" w:hAnsiTheme="minorHAnsi"/>
          <w:vertAlign w:val="superscript"/>
          <w:lang w:val="es-ES"/>
        </w:rPr>
        <w:footnoteReference w:id="479"/>
      </w:r>
      <w:r w:rsidRPr="00B90432">
        <w:rPr>
          <w:rFonts w:asciiTheme="minorHAnsi" w:hAnsiTheme="minorHAnsi"/>
        </w:rPr>
        <w:t xml:space="preserve"> Nevertheless, the bill was defeated in an expedited procedure by the majority of a congressional Technical Committee, on the grounds that it lacked technical support and was an “untimely” and “unconstitutional” initiative.</w:t>
      </w:r>
    </w:p>
    <w:p w14:paraId="7289F07F" w14:textId="77777777" w:rsidR="00CD0E32" w:rsidRPr="00B90432" w:rsidRDefault="00CD0E32" w:rsidP="00BE721D">
      <w:pPr>
        <w:pStyle w:val="Numberedparagraphs"/>
        <w:rPr>
          <w:rFonts w:asciiTheme="minorHAnsi" w:hAnsiTheme="minorHAnsi"/>
        </w:rPr>
      </w:pPr>
      <w:r w:rsidRPr="00B90432">
        <w:rPr>
          <w:rFonts w:asciiTheme="minorHAnsi" w:hAnsiTheme="minorHAnsi"/>
        </w:rPr>
        <w:t>More recently, during the on-site visit, the IACHR received with concern information about the application by analogy of the criminal offense of “frequency theft” [“</w:t>
      </w:r>
      <w:r w:rsidRPr="00B90432">
        <w:rPr>
          <w:rFonts w:asciiTheme="minorHAnsi" w:hAnsiTheme="minorHAnsi"/>
          <w:i/>
        </w:rPr>
        <w:t>hurto de fluidos</w:t>
      </w:r>
      <w:r w:rsidRPr="00B90432">
        <w:rPr>
          <w:rFonts w:asciiTheme="minorHAnsi" w:hAnsiTheme="minorHAnsi"/>
        </w:rPr>
        <w:t xml:space="preserve">”] and “theft” to community radio stations in order to bring criminal charges against them. The </w:t>
      </w:r>
      <w:r w:rsidRPr="00B90432">
        <w:rPr>
          <w:rFonts w:asciiTheme="minorHAnsi" w:hAnsiTheme="minorHAnsi"/>
          <w:iCs/>
        </w:rPr>
        <w:t>Guatemalan Association of Mayan Lawyers and Notaries</w:t>
      </w:r>
      <w:r w:rsidRPr="00B90432">
        <w:rPr>
          <w:rFonts w:asciiTheme="minorHAnsi" w:hAnsiTheme="minorHAnsi"/>
        </w:rPr>
        <w:t xml:space="preserve"> reported that 46 community journalists have been convicted of this offense at this point.</w:t>
      </w:r>
      <w:r w:rsidRPr="00B90432">
        <w:rPr>
          <w:rStyle w:val="FootnoteReference"/>
          <w:rFonts w:asciiTheme="minorHAnsi" w:hAnsiTheme="minorHAnsi" w:cs="Tahoma"/>
          <w:sz w:val="22"/>
          <w:szCs w:val="22"/>
          <w:lang w:val="es-ES"/>
        </w:rPr>
        <w:footnoteReference w:id="480"/>
      </w:r>
      <w:r w:rsidRPr="00B90432">
        <w:rPr>
          <w:rFonts w:asciiTheme="minorHAnsi" w:hAnsiTheme="minorHAnsi"/>
        </w:rPr>
        <w:t xml:space="preserve"> In addition, César Gómez, a representative of the Community Radio Movement, reported that the State continues to harass these media outlets, and that at least 12 of them have been shut down in the past two years. He also reportedly stated that the Office of the Prosecutor for Crimes against Journalists and Trade Unionists stopped going after the community broadcasters once the situation was denounced before the IACHR; however, since then, the Office of the Prosecutor for Environmental Crimes [</w:t>
      </w:r>
      <w:r w:rsidRPr="00B90432">
        <w:rPr>
          <w:rFonts w:asciiTheme="minorHAnsi" w:hAnsiTheme="minorHAnsi"/>
          <w:i/>
        </w:rPr>
        <w:t>Fiscalía de Delitos contra el Ambiente</w:t>
      </w:r>
      <w:r w:rsidRPr="00B90432">
        <w:rPr>
          <w:rFonts w:asciiTheme="minorHAnsi" w:hAnsiTheme="minorHAnsi"/>
        </w:rPr>
        <w:t xml:space="preserve">] has reportedly been responsible for harassing these radios, despite the fact that the matter is not within its purview. Gómez further denounced that criminal proceedings were brought against community broadcasters without the administrative proceedings before the Superintendency of Telecommunications (SIT) first being exhausted, as required under the </w:t>
      </w:r>
      <w:r w:rsidRPr="00B90432">
        <w:rPr>
          <w:rFonts w:asciiTheme="minorHAnsi" w:hAnsiTheme="minorHAnsi"/>
          <w:lang w:val="en"/>
        </w:rPr>
        <w:t>General Telecommunications Act [</w:t>
      </w:r>
      <w:r w:rsidRPr="00B90432">
        <w:rPr>
          <w:rFonts w:asciiTheme="minorHAnsi" w:hAnsiTheme="minorHAnsi"/>
          <w:i/>
        </w:rPr>
        <w:t>Ley General de Telecomunicaciones</w:t>
      </w:r>
      <w:r w:rsidRPr="00B90432">
        <w:rPr>
          <w:rFonts w:asciiTheme="minorHAnsi" w:hAnsiTheme="minorHAnsi"/>
        </w:rPr>
        <w:t>].</w:t>
      </w:r>
      <w:r w:rsidRPr="00B90432">
        <w:rPr>
          <w:rStyle w:val="FootnoteReference"/>
          <w:rFonts w:asciiTheme="minorHAnsi" w:hAnsiTheme="minorHAnsi"/>
          <w:sz w:val="22"/>
          <w:szCs w:val="22"/>
          <w:lang w:val="es-ES_tradnl"/>
        </w:rPr>
        <w:footnoteReference w:id="481"/>
      </w:r>
      <w:r w:rsidRPr="00B90432">
        <w:rPr>
          <w:rFonts w:asciiTheme="minorHAnsi" w:hAnsiTheme="minorHAnsi"/>
        </w:rPr>
        <w:t xml:space="preserve"> </w:t>
      </w:r>
    </w:p>
    <w:p w14:paraId="30DC3498" w14:textId="77777777" w:rsidR="00CD0E32" w:rsidRPr="00B90432" w:rsidRDefault="00CD0E32" w:rsidP="00BE721D">
      <w:pPr>
        <w:pStyle w:val="Numberedparagraphs"/>
        <w:rPr>
          <w:rFonts w:asciiTheme="minorHAnsi" w:hAnsiTheme="minorHAnsi"/>
        </w:rPr>
      </w:pPr>
      <w:r w:rsidRPr="00B90432">
        <w:rPr>
          <w:rFonts w:asciiTheme="minorHAnsi" w:hAnsiTheme="minorHAnsi"/>
        </w:rPr>
        <w:t>According to the information available, various operations were carried out in the first half of the year to dismantle alleged “pirate radio stations”—the term used to refer to broadcasters that are not authorized to operate by the Superintendency of Telecommunications [</w:t>
      </w:r>
      <w:r w:rsidRPr="00B90432">
        <w:rPr>
          <w:rFonts w:asciiTheme="minorHAnsi" w:hAnsiTheme="minorHAnsi"/>
          <w:i/>
        </w:rPr>
        <w:t>Superintendencia de Telecomunicaciones</w:t>
      </w:r>
      <w:r w:rsidRPr="00B90432">
        <w:rPr>
          <w:rFonts w:asciiTheme="minorHAnsi" w:hAnsiTheme="minorHAnsi"/>
        </w:rPr>
        <w:t xml:space="preserve">] (SIT). According to information provided by the State, “Requests have been filed with the competent courts of Guatemala to </w:t>
      </w:r>
      <w:r w:rsidRPr="00B90432">
        <w:rPr>
          <w:rFonts w:asciiTheme="minorHAnsi" w:hAnsiTheme="minorHAnsi"/>
        </w:rPr>
        <w:lastRenderedPageBreak/>
        <w:t>conduct 165 evidentiary searches and inspections of premises where investigations have yielded evidence of the unlawful use of radio frequencies. […] The seizure of the broadcasting equipment used as an instrument of the crime being prosecuted has also been requested.” The State additionally indicated that, “Sixty-five convictions have been handed down to date, ordering the seizure of the broadcasting devices used in those unlawful activities.”</w:t>
      </w:r>
      <w:r w:rsidRPr="00B90432">
        <w:rPr>
          <w:rStyle w:val="FootnoteReference"/>
          <w:rFonts w:asciiTheme="minorHAnsi" w:hAnsiTheme="minorHAnsi"/>
          <w:sz w:val="22"/>
          <w:szCs w:val="22"/>
          <w:lang w:val="es-ES"/>
        </w:rPr>
        <w:footnoteReference w:id="482"/>
      </w:r>
      <w:r w:rsidRPr="00B90432">
        <w:rPr>
          <w:rFonts w:asciiTheme="minorHAnsi" w:hAnsiTheme="minorHAnsi"/>
        </w:rPr>
        <w:t xml:space="preserve"> Some of the most notable cases from 2017 are detailed below.  </w:t>
      </w:r>
    </w:p>
    <w:p w14:paraId="0ADA79D2"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According to the information available, on February 15, authorities raided the radio station </w:t>
      </w:r>
      <w:r w:rsidRPr="00B90432">
        <w:rPr>
          <w:rFonts w:asciiTheme="minorHAnsi" w:hAnsiTheme="minorHAnsi"/>
          <w:i/>
          <w:iCs/>
        </w:rPr>
        <w:t>La Jocosa</w:t>
      </w:r>
      <w:r w:rsidRPr="00B90432">
        <w:rPr>
          <w:rFonts w:asciiTheme="minorHAnsi" w:hAnsiTheme="minorHAnsi"/>
        </w:rPr>
        <w:t xml:space="preserve"> 104.7 FM,</w:t>
      </w:r>
      <w:r w:rsidRPr="00B90432">
        <w:rPr>
          <w:rStyle w:val="FootnoteReference"/>
          <w:rFonts w:asciiTheme="minorHAnsi" w:hAnsiTheme="minorHAnsi"/>
          <w:sz w:val="22"/>
          <w:szCs w:val="22"/>
          <w:lang w:val="es-ES"/>
        </w:rPr>
        <w:footnoteReference w:id="483"/>
      </w:r>
      <w:r w:rsidRPr="00B90432">
        <w:rPr>
          <w:rFonts w:asciiTheme="minorHAnsi" w:hAnsiTheme="minorHAnsi"/>
        </w:rPr>
        <w:t xml:space="preserve"> and on February 22, in the municipality of Palencia, Guatemala, raids were carried out against 87.9 FM, </w:t>
      </w:r>
      <w:r w:rsidRPr="00B90432">
        <w:rPr>
          <w:rFonts w:asciiTheme="minorHAnsi" w:hAnsiTheme="minorHAnsi"/>
          <w:i/>
          <w:iCs/>
        </w:rPr>
        <w:t>Promesa Stereo, Señal de Salvación</w:t>
      </w:r>
      <w:r w:rsidRPr="00B90432">
        <w:rPr>
          <w:rStyle w:val="FootnoteReference"/>
          <w:rFonts w:asciiTheme="minorHAnsi" w:hAnsiTheme="minorHAnsi"/>
          <w:sz w:val="22"/>
          <w:szCs w:val="22"/>
          <w:lang w:val="es-ES"/>
        </w:rPr>
        <w:footnoteReference w:id="484"/>
      </w:r>
      <w:r w:rsidRPr="00B90432">
        <w:rPr>
          <w:rFonts w:asciiTheme="minorHAnsi" w:hAnsiTheme="minorHAnsi"/>
          <w:i/>
          <w:iCs/>
        </w:rPr>
        <w:t xml:space="preserve"> </w:t>
      </w:r>
      <w:r w:rsidRPr="00B90432">
        <w:rPr>
          <w:rFonts w:asciiTheme="minorHAnsi" w:hAnsiTheme="minorHAnsi"/>
          <w:iCs/>
        </w:rPr>
        <w:t>and</w:t>
      </w:r>
      <w:r w:rsidRPr="00B90432">
        <w:rPr>
          <w:rFonts w:asciiTheme="minorHAnsi" w:hAnsiTheme="minorHAnsi"/>
        </w:rPr>
        <w:t xml:space="preserve"> radio 104.7 MHz, resulting in the arrest of Eduardo Ortega Santos, who was subsequently charged with the offense of “theft.” </w:t>
      </w:r>
      <w:r w:rsidRPr="00B90432">
        <w:rPr>
          <w:rStyle w:val="FootnoteReference"/>
          <w:rFonts w:asciiTheme="minorHAnsi" w:hAnsiTheme="minorHAnsi"/>
          <w:sz w:val="22"/>
          <w:szCs w:val="22"/>
          <w:lang w:val="es-ES"/>
        </w:rPr>
        <w:footnoteReference w:id="485"/>
      </w:r>
      <w:r w:rsidRPr="00B90432">
        <w:rPr>
          <w:rFonts w:asciiTheme="minorHAnsi" w:hAnsiTheme="minorHAnsi"/>
        </w:rPr>
        <w:t> Similarly, on March 8, in the municipality of Táctic, Department of Alta Verapaz, raids were conducted against stations using the frequencies 104.7 and 92.7, respectively.</w:t>
      </w:r>
      <w:r w:rsidRPr="00B90432">
        <w:rPr>
          <w:rStyle w:val="FootnoteReference"/>
          <w:rFonts w:asciiTheme="minorHAnsi" w:hAnsiTheme="minorHAnsi"/>
          <w:sz w:val="22"/>
          <w:szCs w:val="22"/>
          <w:lang w:val="es-ES"/>
        </w:rPr>
        <w:footnoteReference w:id="486"/>
      </w:r>
      <w:r w:rsidRPr="00B90432">
        <w:rPr>
          <w:rFonts w:asciiTheme="minorHAnsi" w:hAnsiTheme="minorHAnsi"/>
        </w:rPr>
        <w:t xml:space="preserve"> The following day, a search was conducted at a property located in the municipality of Santa Lucía Cotzumalguapa associated with the frequency 95.9 FM.</w:t>
      </w:r>
      <w:r w:rsidRPr="00B90432">
        <w:rPr>
          <w:rStyle w:val="FootnoteReference"/>
          <w:rFonts w:asciiTheme="minorHAnsi" w:hAnsiTheme="minorHAnsi"/>
          <w:sz w:val="22"/>
          <w:szCs w:val="22"/>
          <w:lang w:val="es-ES"/>
        </w:rPr>
        <w:footnoteReference w:id="487"/>
      </w:r>
      <w:r w:rsidRPr="00B90432">
        <w:rPr>
          <w:rFonts w:asciiTheme="minorHAnsi" w:hAnsiTheme="minorHAnsi"/>
        </w:rPr>
        <w:t xml:space="preserve"> Subsequently, on March 15, the Public Ministry (MP) announced the seizure of equipment used on three “illegal frequencies”: radio station </w:t>
      </w:r>
      <w:r w:rsidRPr="00B90432">
        <w:rPr>
          <w:rFonts w:asciiTheme="minorHAnsi" w:hAnsiTheme="minorHAnsi"/>
          <w:i/>
          <w:iCs/>
        </w:rPr>
        <w:t xml:space="preserve">Adoración Estéreo </w:t>
      </w:r>
      <w:r w:rsidRPr="00B90432">
        <w:rPr>
          <w:rFonts w:asciiTheme="minorHAnsi" w:hAnsiTheme="minorHAnsi"/>
        </w:rPr>
        <w:t xml:space="preserve">in the municipality of Táctic, which operated on frequency 95.5 FM; radio station </w:t>
      </w:r>
      <w:r w:rsidRPr="00B90432">
        <w:rPr>
          <w:rFonts w:asciiTheme="minorHAnsi" w:hAnsiTheme="minorHAnsi"/>
          <w:i/>
          <w:iCs/>
        </w:rPr>
        <w:t xml:space="preserve">Éxitos </w:t>
      </w:r>
      <w:r w:rsidRPr="00B90432">
        <w:rPr>
          <w:rFonts w:asciiTheme="minorHAnsi" w:hAnsiTheme="minorHAnsi"/>
        </w:rPr>
        <w:t xml:space="preserve">in the municipality of Chamelco, which operated on frequency 104.3 FM, where Franklin Caz Caal was reportedly arrested and charged with “theft”; and finally, radio station </w:t>
      </w:r>
      <w:r w:rsidRPr="00B90432">
        <w:rPr>
          <w:rFonts w:asciiTheme="minorHAnsi" w:hAnsiTheme="minorHAnsi"/>
          <w:i/>
          <w:iCs/>
        </w:rPr>
        <w:t>La Voz de Pocola</w:t>
      </w:r>
      <w:r w:rsidRPr="00B90432">
        <w:rPr>
          <w:rFonts w:asciiTheme="minorHAnsi" w:hAnsiTheme="minorHAnsi"/>
        </w:rPr>
        <w:t xml:space="preserve"> 105.5 FM, in the municipality of Pocola de Carchá.</w:t>
      </w:r>
      <w:r w:rsidRPr="00B90432">
        <w:rPr>
          <w:rStyle w:val="FootnoteReference"/>
          <w:rFonts w:asciiTheme="minorHAnsi" w:hAnsiTheme="minorHAnsi"/>
          <w:sz w:val="22"/>
          <w:szCs w:val="22"/>
          <w:lang w:val="es-ES"/>
        </w:rPr>
        <w:footnoteReference w:id="488"/>
      </w:r>
      <w:r w:rsidRPr="00B90432">
        <w:rPr>
          <w:rFonts w:asciiTheme="minorHAnsi" w:hAnsiTheme="minorHAnsi"/>
        </w:rPr>
        <w:t xml:space="preserve"> On June 15, two raids were reportedly carried out in the municipalities of Patzicia and Patzún, Department of Chimaltenango, in connection with frequencies 91.9 and 107.9. José </w:t>
      </w:r>
      <w:r w:rsidRPr="00B90432">
        <w:rPr>
          <w:rFonts w:asciiTheme="minorHAnsi" w:hAnsiTheme="minorHAnsi"/>
        </w:rPr>
        <w:lastRenderedPageBreak/>
        <w:t>Lorenzo Choc Pérez was reportedly arrested and charged with theft in one of those raids.</w:t>
      </w:r>
      <w:r w:rsidRPr="00B90432">
        <w:rPr>
          <w:rStyle w:val="FootnoteReference"/>
          <w:rFonts w:asciiTheme="minorHAnsi" w:hAnsiTheme="minorHAnsi"/>
          <w:sz w:val="22"/>
          <w:szCs w:val="22"/>
          <w:lang w:val="es-ES"/>
        </w:rPr>
        <w:footnoteReference w:id="489"/>
      </w:r>
      <w:r w:rsidRPr="00B90432">
        <w:rPr>
          <w:rFonts w:asciiTheme="minorHAnsi" w:hAnsiTheme="minorHAnsi"/>
        </w:rPr>
        <w:t xml:space="preserve">  </w:t>
      </w:r>
    </w:p>
    <w:p w14:paraId="7A803584"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On July 25, in the municipality of San Miguel Chicaj, Department of Baja Verapaz, staff from the Metropolitan District Prosecutor’s Office and National Civil Police (PNC) officers carried out a raid on a radio station that was using frequency 107.5, which is reportedly assigned to </w:t>
      </w:r>
      <w:r w:rsidRPr="00B90432">
        <w:rPr>
          <w:rFonts w:asciiTheme="minorHAnsi" w:hAnsiTheme="minorHAnsi"/>
          <w:i/>
        </w:rPr>
        <w:t>Radio TGW</w:t>
      </w:r>
      <w:r w:rsidRPr="00B90432">
        <w:rPr>
          <w:rFonts w:asciiTheme="minorHAnsi" w:hAnsiTheme="minorHAnsi"/>
        </w:rPr>
        <w:t xml:space="preserve">, owned by the Guatemalan State. The operation reportedly resulted in the seizure of the equipment used to conduct the radio activity. </w:t>
      </w:r>
      <w:r w:rsidRPr="00B90432">
        <w:rPr>
          <w:rStyle w:val="FootnoteReference"/>
          <w:rFonts w:asciiTheme="minorHAnsi" w:hAnsiTheme="minorHAnsi"/>
          <w:sz w:val="22"/>
          <w:szCs w:val="22"/>
          <w:lang w:val="es-ES"/>
        </w:rPr>
        <w:footnoteReference w:id="490"/>
      </w:r>
      <w:r w:rsidRPr="00B90432">
        <w:rPr>
          <w:rFonts w:asciiTheme="minorHAnsi" w:hAnsiTheme="minorHAnsi"/>
        </w:rPr>
        <w:t xml:space="preserve"> Additionally, on August 31, in the municipality of Fray Bartolomé de las Casas, Department of Alta Verapaz, the Agency for Crimes Committed through the Unlawful Use of Radio Frequencies [</w:t>
      </w:r>
      <w:r w:rsidRPr="00B90432">
        <w:rPr>
          <w:rFonts w:asciiTheme="minorHAnsi" w:hAnsiTheme="minorHAnsi"/>
          <w:i/>
        </w:rPr>
        <w:t>Agencia de Delitos Cometidos por el Uso Ilegal de Frecuencia Radioeléctricas</w:t>
      </w:r>
      <w:r w:rsidRPr="00B90432">
        <w:rPr>
          <w:rFonts w:asciiTheme="minorHAnsi" w:hAnsiTheme="minorHAnsi"/>
        </w:rPr>
        <w:t>] reportedly seized the equipment used by frequency 92.5, including an amplifier, a CPU, an exciter, and various consoles. In the same incident, National Civil Police (PNC) officers reportedly arrested Santos Yaxcat Yat on suspicion of theft.</w:t>
      </w:r>
      <w:r w:rsidRPr="00B90432">
        <w:rPr>
          <w:rStyle w:val="FootnoteReference"/>
          <w:rFonts w:asciiTheme="minorHAnsi" w:hAnsiTheme="minorHAnsi"/>
          <w:sz w:val="22"/>
          <w:szCs w:val="22"/>
          <w:lang w:val="es-ES_tradnl"/>
        </w:rPr>
        <w:footnoteReference w:id="491"/>
      </w:r>
    </w:p>
    <w:p w14:paraId="23920D0E"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spite of the situation described above, the IACHR took note of the fact that the community radio station </w:t>
      </w:r>
      <w:r w:rsidRPr="00B90432">
        <w:rPr>
          <w:rFonts w:asciiTheme="minorHAnsi" w:hAnsiTheme="minorHAnsi"/>
          <w:i/>
        </w:rPr>
        <w:t xml:space="preserve">Snuq’ Jolom Konob’ </w:t>
      </w:r>
      <w:r w:rsidRPr="00B90432">
        <w:rPr>
          <w:rFonts w:asciiTheme="minorHAnsi" w:hAnsiTheme="minorHAnsi"/>
        </w:rPr>
        <w:t>in Santa Eulalia—which it visited—reopened on December 2, 2016.</w:t>
      </w:r>
      <w:r w:rsidRPr="00B90432">
        <w:rPr>
          <w:rStyle w:val="FootnoteReference"/>
          <w:rFonts w:asciiTheme="minorHAnsi" w:hAnsiTheme="minorHAnsi"/>
          <w:sz w:val="22"/>
          <w:szCs w:val="22"/>
          <w:lang w:val="es-ES_tradnl"/>
        </w:rPr>
        <w:footnoteReference w:id="492"/>
      </w:r>
      <w:r w:rsidRPr="00B90432">
        <w:rPr>
          <w:rFonts w:asciiTheme="minorHAnsi" w:hAnsiTheme="minorHAnsi"/>
        </w:rPr>
        <w:t xml:space="preserve"> Previously, the Office of the Special Rapporteur had noted the harassment of the station, which was shut down by local authorities on January 20, 2015. There was an attempt to reopen it on March 19, 2016, but the attempt was blocked by the mayor and marred by violent incidents.</w:t>
      </w:r>
      <w:r w:rsidRPr="00B90432">
        <w:rPr>
          <w:rStyle w:val="FootnoteReference"/>
          <w:rFonts w:asciiTheme="minorHAnsi" w:hAnsiTheme="minorHAnsi"/>
          <w:sz w:val="22"/>
          <w:szCs w:val="22"/>
          <w:lang w:val="es-ES_tradnl"/>
        </w:rPr>
        <w:footnoteReference w:id="493"/>
      </w:r>
      <w:r w:rsidRPr="00B90432">
        <w:rPr>
          <w:rFonts w:asciiTheme="minorHAnsi" w:hAnsiTheme="minorHAnsi"/>
        </w:rPr>
        <w:t xml:space="preserve"> The IACHR takes particular note of the decision of the local authorities of Santa Eulalia in favor of the resumption of activities by </w:t>
      </w:r>
      <w:r w:rsidRPr="00B90432">
        <w:rPr>
          <w:rFonts w:asciiTheme="minorHAnsi" w:hAnsiTheme="minorHAnsi"/>
          <w:i/>
        </w:rPr>
        <w:t xml:space="preserve">Snuq’ Jolom Konob’, </w:t>
      </w:r>
      <w:r w:rsidRPr="00B90432">
        <w:rPr>
          <w:rFonts w:asciiTheme="minorHAnsi" w:hAnsiTheme="minorHAnsi"/>
        </w:rPr>
        <w:t xml:space="preserve">and of its journalists and media workers for their efforts to ensure that the population of Santa Eulalia has the means to access the right to freely seek, receive, and disseminate information and opinions. </w:t>
      </w:r>
    </w:p>
    <w:p w14:paraId="350B8E8E" w14:textId="77777777" w:rsidR="00CD0E32" w:rsidRPr="00B90432" w:rsidRDefault="00CD0E32" w:rsidP="00BE721D">
      <w:pPr>
        <w:pStyle w:val="Numberedparagraphs"/>
        <w:rPr>
          <w:rFonts w:asciiTheme="minorHAnsi" w:hAnsiTheme="minorHAnsi"/>
        </w:rPr>
      </w:pPr>
      <w:r w:rsidRPr="00B90432">
        <w:rPr>
          <w:rFonts w:asciiTheme="minorHAnsi" w:hAnsiTheme="minorHAnsi"/>
        </w:rPr>
        <w:lastRenderedPageBreak/>
        <w:t>Since 2000, the IACHR and its Office of the Special Rapporteur for Freedom of Expression have issued recommendations to the State of Guatemala in two aspects, namely: the need for a fairer and more inclusive legal framework for broadcasting and the decriminalization of broadcasting without a license.</w:t>
      </w:r>
      <w:r w:rsidRPr="00B90432">
        <w:rPr>
          <w:rStyle w:val="WW-Refdenotaalpie"/>
          <w:rFonts w:asciiTheme="minorHAnsi" w:hAnsiTheme="minorHAnsi" w:cs="Cambria"/>
          <w:lang w:val="es-ES"/>
        </w:rPr>
        <w:footnoteReference w:id="494"/>
      </w:r>
      <w:r w:rsidRPr="00B90432">
        <w:rPr>
          <w:rFonts w:asciiTheme="minorHAnsi" w:hAnsiTheme="minorHAnsi"/>
        </w:rPr>
        <w:t xml:space="preserve"> The use of criminal law to punish violations to the broadcasting regime can be problematic in the light of the American Convention on Human Rights, and the establishment of criminal penalties for commercial or community broadcasting, which they may face due to the absence or misuse of the license, could constitute a disproportionate reaction.</w:t>
      </w:r>
      <w:r w:rsidRPr="00B90432">
        <w:rPr>
          <w:rStyle w:val="FootnoteReference"/>
          <w:rFonts w:asciiTheme="minorHAnsi" w:hAnsiTheme="minorHAnsi" w:cs="Cambria"/>
          <w:sz w:val="22"/>
          <w:szCs w:val="22"/>
          <w:lang w:val="es-AR"/>
        </w:rPr>
        <w:footnoteReference w:id="495"/>
      </w:r>
      <w:r w:rsidRPr="00B90432">
        <w:rPr>
          <w:rFonts w:asciiTheme="minorHAnsi" w:hAnsiTheme="minorHAnsi"/>
        </w:rPr>
        <w:t xml:space="preserve">Also, Article 13.2 of the American Convention on Human Rights holds that the exercise of the right to freedom of thought and expression “[s]hall not be subject to prior censorship but shall be subject to subsequent imposition of liability, which shall be expressly established by law to the extent necessary to ensure: a. respect for the rights or reputations of others; or b. the protection of national security, public order, </w:t>
      </w:r>
      <w:r w:rsidRPr="00B90432">
        <w:rPr>
          <w:rFonts w:asciiTheme="minorHAnsi" w:hAnsiTheme="minorHAnsi"/>
        </w:rPr>
        <w:lastRenderedPageBreak/>
        <w:t>or public health or morals.” Additionally, the Inter-American case law has emphasized that the States have the obligation to "adopt affirmative measures (legislative, administrative, or of any other nature), under conditions of equality and non-discrimination, to reverse or change existing discriminatory situations that may compromise certain groups’ effective enjoyment and exercise of the right to freedom of expression.”</w:t>
      </w:r>
      <w:r w:rsidRPr="00B90432">
        <w:rPr>
          <w:rStyle w:val="FootnoteReference"/>
          <w:rFonts w:asciiTheme="minorHAnsi" w:hAnsiTheme="minorHAnsi"/>
          <w:sz w:val="22"/>
          <w:szCs w:val="22"/>
          <w:shd w:val="clear" w:color="auto" w:fill="FFFFFF"/>
          <w:lang w:val="es-ES"/>
        </w:rPr>
        <w:footnoteReference w:id="496"/>
      </w:r>
    </w:p>
    <w:p w14:paraId="1768A778" w14:textId="77777777" w:rsidR="00CD0E32" w:rsidRPr="00B90432" w:rsidRDefault="00CD0E32" w:rsidP="005B7767">
      <w:pPr>
        <w:pStyle w:val="Heading3"/>
      </w:pPr>
      <w:bookmarkStart w:id="67" w:name="_Toc509827669"/>
      <w:r w:rsidRPr="00B90432">
        <w:t>Improper concentration of media ownership</w:t>
      </w:r>
      <w:bookmarkEnd w:id="67"/>
    </w:p>
    <w:p w14:paraId="24ED5DD1"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During its </w:t>
      </w:r>
      <w:r w:rsidRPr="00B90432">
        <w:rPr>
          <w:rFonts w:asciiTheme="minorHAnsi" w:hAnsiTheme="minorHAnsi"/>
          <w:iCs/>
        </w:rPr>
        <w:t>on-site</w:t>
      </w:r>
      <w:r w:rsidRPr="00B90432">
        <w:rPr>
          <w:rFonts w:asciiTheme="minorHAnsi" w:hAnsiTheme="minorHAnsi"/>
        </w:rPr>
        <w:t xml:space="preserve"> visit to Guatemala, the IACHR confirmed that the State has made no progress with respect to the excessive degree of concentration in the ownership and control of audiovisual media, especially free-to-air television. In December 2012, Decree 34-2012 entered into force, amending the General Telecommunications Act to extend by 20 years the titles to the usufructuary rights to the radio spectrum.</w:t>
      </w:r>
      <w:r w:rsidRPr="00B90432">
        <w:rPr>
          <w:rFonts w:asciiTheme="minorHAnsi" w:hAnsiTheme="minorHAnsi"/>
          <w:vertAlign w:val="superscript"/>
          <w:lang w:val="es-ES"/>
        </w:rPr>
        <w:footnoteReference w:id="497"/>
      </w:r>
      <w:r w:rsidRPr="00B90432">
        <w:rPr>
          <w:rFonts w:asciiTheme="minorHAnsi" w:hAnsiTheme="minorHAnsi"/>
          <w:vertAlign w:val="superscript"/>
        </w:rPr>
        <w:t xml:space="preserve"> </w:t>
      </w:r>
      <w:r w:rsidRPr="00B90432">
        <w:rPr>
          <w:rFonts w:asciiTheme="minorHAnsi" w:hAnsiTheme="minorHAnsi"/>
        </w:rPr>
        <w:t>One of the main beneficiaries of the reform was Mexican businessman Ángel González, who holds rights to the frequencies and is the owner of four private VHF channels that broadcast in Guatemala. In addition, according to the report on Campaign Finance in Guatemala published by the International Commission against Impunity in Guatemala (CICIG) in July 2015, “There is probably no other case in the world where a single individual owns the four existing private VHF channels. But this has been possible in Guatemala, and Mr. Ángel González has no VH[F] competition.”</w:t>
      </w:r>
      <w:r w:rsidRPr="00B90432">
        <w:rPr>
          <w:rFonts w:asciiTheme="minorHAnsi" w:hAnsiTheme="minorHAnsi"/>
          <w:vertAlign w:val="superscript"/>
        </w:rPr>
        <w:t xml:space="preserve"> </w:t>
      </w:r>
      <w:r w:rsidRPr="00B90432">
        <w:rPr>
          <w:rFonts w:asciiTheme="minorHAnsi" w:hAnsiTheme="minorHAnsi"/>
          <w:vertAlign w:val="superscript"/>
          <w:lang w:val="es-ES"/>
        </w:rPr>
        <w:footnoteReference w:id="498"/>
      </w:r>
      <w:r w:rsidRPr="00B90432">
        <w:rPr>
          <w:rFonts w:asciiTheme="minorHAnsi" w:hAnsiTheme="minorHAnsi"/>
          <w:vertAlign w:val="superscript"/>
        </w:rPr>
        <w:t xml:space="preserve"> </w:t>
      </w:r>
      <w:r w:rsidRPr="00B90432">
        <w:rPr>
          <w:rFonts w:asciiTheme="minorHAnsi" w:hAnsiTheme="minorHAnsi"/>
        </w:rPr>
        <w:t xml:space="preserve">According to various actors from both civil society and the State, the businessman is responsible for promoting an agenda tied to sectors that oppose institutional anti-corruption reforms and the investigation and punishment of serious human rights violations. </w:t>
      </w:r>
    </w:p>
    <w:p w14:paraId="4134EFBF" w14:textId="77777777" w:rsidR="00CD0E32" w:rsidRPr="00B90432" w:rsidRDefault="00CD0E32" w:rsidP="00BE721D">
      <w:pPr>
        <w:pStyle w:val="Numberedparagraphs"/>
        <w:rPr>
          <w:rFonts w:asciiTheme="minorHAnsi" w:hAnsiTheme="minorHAnsi"/>
        </w:rPr>
      </w:pPr>
      <w:r w:rsidRPr="00B90432">
        <w:rPr>
          <w:rFonts w:asciiTheme="minorHAnsi" w:hAnsiTheme="minorHAnsi"/>
        </w:rPr>
        <w:t>According to the State, as far as the market and ownership in the country’s communications sector are concerned, the Superintendency of Telecommunications [</w:t>
      </w:r>
      <w:r w:rsidRPr="00B90432">
        <w:rPr>
          <w:rFonts w:asciiTheme="minorHAnsi" w:hAnsiTheme="minorHAnsi"/>
          <w:i/>
        </w:rPr>
        <w:t>Superintendencia de Telecomunicaciones</w:t>
      </w:r>
      <w:r w:rsidRPr="00B90432">
        <w:rPr>
          <w:rFonts w:asciiTheme="minorHAnsi" w:hAnsiTheme="minorHAnsi"/>
        </w:rPr>
        <w:t xml:space="preserve">] (SIT) does not apply a specific allocation process to audiovisual media outlets, “the most usual process being the one established in Article 61 of the General Telecommunications Act, which provides for a public competition, under equal conditions, for all who wish to acquire [frequencies] in accordance with the law.” It stated with respect to the announcement of public competitions and/or processes for the allocation of frequencies to the </w:t>
      </w:r>
      <w:r w:rsidRPr="00B90432">
        <w:rPr>
          <w:rFonts w:asciiTheme="minorHAnsi" w:hAnsiTheme="minorHAnsi"/>
        </w:rPr>
        <w:lastRenderedPageBreak/>
        <w:t>community sector, “We must clarify that there are no community radio stations, and thus prevent any discretionary power with respect to the matter; all that exists is what is established in Article 61 of the General Telecommunications Act, which provides for a public competition, without limitation on the participation of any person or entity.”</w:t>
      </w:r>
      <w:r w:rsidRPr="00B90432">
        <w:rPr>
          <w:rStyle w:val="FootnoteReference"/>
          <w:rFonts w:asciiTheme="minorHAnsi" w:hAnsiTheme="minorHAnsi"/>
          <w:sz w:val="22"/>
          <w:szCs w:val="22"/>
          <w:lang w:val="es-ES"/>
        </w:rPr>
        <w:footnoteReference w:id="499"/>
      </w:r>
      <w:r w:rsidRPr="00B90432">
        <w:rPr>
          <w:rFonts w:asciiTheme="minorHAnsi" w:hAnsiTheme="minorHAnsi"/>
        </w:rPr>
        <w:t xml:space="preserve"> Even though the law prescribes public competitions for the adjudication of titles to the usufructuary rights to frequencies, competition by auction would do little to encourage the plurality and diversity of voices in Guatemala. That method is provided in Article 62 of the General Telecommunications Act, which establishes that “the Superintendency will determine the manner in which the public auction will be conducted. All offers must be submitted as a sealed bid, including a performance bond equivalent to the sum offered or any other form of guarantee that the Superintendency determines.”</w:t>
      </w:r>
      <w:r w:rsidRPr="00B90432">
        <w:rPr>
          <w:rStyle w:val="FootnoteReference"/>
          <w:rFonts w:asciiTheme="minorHAnsi" w:hAnsiTheme="minorHAnsi"/>
          <w:sz w:val="22"/>
          <w:szCs w:val="22"/>
          <w:lang w:val="es-ES"/>
        </w:rPr>
        <w:footnoteReference w:id="500"/>
      </w:r>
      <w:r w:rsidRPr="00B90432">
        <w:rPr>
          <w:rFonts w:asciiTheme="minorHAnsi" w:hAnsiTheme="minorHAnsi"/>
        </w:rPr>
        <w:t xml:space="preserve"> As the IACHR has stated, “auctions based solely on economic criteria or that grant concessions without equal opportunity to all sectors are not compatible with democracy and with the right to freedom of expression and information guaranteed in the American Convention on Human Rights and the Declaration of Principles on Freedom of Expression.”</w:t>
      </w:r>
      <w:r w:rsidRPr="00B90432">
        <w:rPr>
          <w:rStyle w:val="FootnoteReference"/>
          <w:rFonts w:asciiTheme="minorHAnsi" w:hAnsiTheme="minorHAnsi"/>
          <w:sz w:val="22"/>
          <w:szCs w:val="22"/>
          <w:shd w:val="clear" w:color="auto" w:fill="FFFFFF"/>
          <w:lang w:val="es-ES"/>
        </w:rPr>
        <w:footnoteReference w:id="501"/>
      </w:r>
      <w:r w:rsidRPr="00B90432">
        <w:rPr>
          <w:rFonts w:asciiTheme="minorHAnsi" w:hAnsiTheme="minorHAnsi"/>
        </w:rPr>
        <w:t xml:space="preserve"> </w:t>
      </w:r>
    </w:p>
    <w:p w14:paraId="26DE3D8B" w14:textId="77777777" w:rsidR="00CD0E32" w:rsidRPr="00B90432" w:rsidRDefault="00CD0E32" w:rsidP="00BE721D">
      <w:pPr>
        <w:pStyle w:val="Numberedparagraphs"/>
        <w:rPr>
          <w:rFonts w:asciiTheme="minorHAnsi" w:hAnsiTheme="minorHAnsi"/>
        </w:rPr>
      </w:pPr>
      <w:r w:rsidRPr="00B90432">
        <w:rPr>
          <w:rFonts w:asciiTheme="minorHAnsi" w:hAnsiTheme="minorHAnsi"/>
        </w:rPr>
        <w:t>Additionally, during the on-site visit, the IACHR was informed that the Government had begun a process for the implementation of free-to-air digital terrestrial television, reportedly involving important regulatory decisions. The State reported that the discussion of a Draft Government Order on the Implementation of Digital Television was currently underway, and was under analysis at the Ministry of Communications, Infrastructure, and Housing [</w:t>
      </w:r>
      <w:r w:rsidRPr="00B90432">
        <w:rPr>
          <w:rFonts w:asciiTheme="minorHAnsi" w:hAnsiTheme="minorHAnsi"/>
          <w:i/>
        </w:rPr>
        <w:t>Ministerio de Comunicaciones, Infraestructura y Vivienda</w:t>
      </w:r>
      <w:r w:rsidRPr="00B90432">
        <w:rPr>
          <w:rFonts w:asciiTheme="minorHAnsi" w:hAnsiTheme="minorHAnsi"/>
        </w:rPr>
        <w:t>]. It emphasized that the Superintendency of Telecommunications [</w:t>
      </w:r>
      <w:r w:rsidRPr="00B90432">
        <w:rPr>
          <w:rFonts w:asciiTheme="minorHAnsi" w:hAnsiTheme="minorHAnsi"/>
          <w:i/>
        </w:rPr>
        <w:t>Superintendencia de Telecomunicaciones</w:t>
      </w:r>
      <w:r w:rsidRPr="00B90432">
        <w:rPr>
          <w:rFonts w:asciiTheme="minorHAnsi" w:hAnsiTheme="minorHAnsi"/>
        </w:rPr>
        <w:t xml:space="preserve">] of Guatemala (SIT) was attempting to “create major opportunities for the application of Information and Communications Technology (ICT) and multimedia services, with the transition from analog to digital television broadcasting. It is also working to ensure that the digital dividend (freed-up spectrum) </w:t>
      </w:r>
      <w:r w:rsidRPr="00B90432">
        <w:rPr>
          <w:rFonts w:asciiTheme="minorHAnsi" w:hAnsiTheme="minorHAnsi"/>
        </w:rPr>
        <w:lastRenderedPageBreak/>
        <w:t>will allow for the introduction of mobile wireless broadband communications.”</w:t>
      </w:r>
      <w:r w:rsidRPr="00B90432">
        <w:rPr>
          <w:rStyle w:val="FootnoteReference"/>
          <w:rFonts w:asciiTheme="minorHAnsi" w:hAnsiTheme="minorHAnsi"/>
          <w:sz w:val="22"/>
          <w:szCs w:val="22"/>
          <w:lang w:val="es-ES"/>
        </w:rPr>
        <w:footnoteReference w:id="502"/>
      </w:r>
      <w:r w:rsidRPr="00B90432">
        <w:rPr>
          <w:rFonts w:asciiTheme="minorHAnsi" w:hAnsiTheme="minorHAnsi"/>
        </w:rPr>
        <w:t xml:space="preserve">  </w:t>
      </w:r>
    </w:p>
    <w:p w14:paraId="36EBB817" w14:textId="77777777" w:rsidR="00CD0E32" w:rsidRPr="00B90432" w:rsidRDefault="00CD0E32" w:rsidP="00BE721D">
      <w:pPr>
        <w:pStyle w:val="Numberedparagraphs"/>
        <w:rPr>
          <w:rFonts w:asciiTheme="minorHAnsi" w:hAnsiTheme="minorHAnsi"/>
        </w:rPr>
      </w:pPr>
      <w:r w:rsidRPr="00B90432">
        <w:rPr>
          <w:rFonts w:asciiTheme="minorHAnsi" w:hAnsiTheme="minorHAnsi"/>
        </w:rPr>
        <w:t>In view of the above, the IACHR expresses its concern over the absence of a plan for organizing the spectrum and the allocation of frequencies to allow for the entrance of new operators. Guatemala should not pass up this historic opportunity to democratize its media system and promote greater media pluralism and diversity, bearing in mind the existence of a group that dominates television in the country—a group that, according to the recent criminal investigation conducted by CICIG and the MP, allegedly used its dominant position to illegally finance the campaign of former President Pérez Molina, having privileged access to funds earmarked for government advertising and influencing the State’s decisions on broadcasting.</w:t>
      </w:r>
    </w:p>
    <w:p w14:paraId="0C0225D9" w14:textId="77777777" w:rsidR="00CD0E32" w:rsidRPr="00B90432" w:rsidRDefault="00CD0E32" w:rsidP="00BE721D">
      <w:pPr>
        <w:pStyle w:val="Numberedparagraphs"/>
        <w:rPr>
          <w:rFonts w:asciiTheme="minorHAnsi" w:hAnsiTheme="minorHAnsi"/>
        </w:rPr>
      </w:pPr>
      <w:r w:rsidRPr="00B90432">
        <w:rPr>
          <w:rFonts w:asciiTheme="minorHAnsi" w:hAnsiTheme="minorHAnsi"/>
        </w:rPr>
        <w:t>As indicated on previous occasions, the IACHR recalls that the concentration of the media in a few hands has a negative impact on democracy and freedom of expression, as expressly stated in principle 12 of the Declaration of Principles on Freedom of Expression of the IACHR “[m]onopolies or oligopolies in the ownership and control of the communication media must be subject to anti-trust laws, as they conspire against democracy by limiting the plurality and diversity which ensure the full exercise of people’s right to information.” Since its first statement on the issue, the Inter-American Court has ruled that the existence of any monopoly on the ownership or administration of the media, whatever the form it intends to adopt, is prohibited, and acknowledged that States must actively intervene to avoid concentration of ownership in the media sector.</w:t>
      </w:r>
      <w:r w:rsidRPr="00B90432">
        <w:rPr>
          <w:rStyle w:val="FootnoteReference"/>
          <w:rFonts w:asciiTheme="minorHAnsi" w:hAnsiTheme="minorHAnsi"/>
          <w:sz w:val="22"/>
          <w:szCs w:val="22"/>
          <w:lang w:val="es-ES_tradnl"/>
        </w:rPr>
        <w:footnoteReference w:id="503"/>
      </w:r>
    </w:p>
    <w:p w14:paraId="4972A0FE"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this regard, the IACHR had indicated that, “If the media is controlled by a reduced number of individuals, or by only one individual, this situation would create a society in which a reduced number of individuals, or just one, would exert control over the information and, directly or indirectly, on the opinion received by the rest of the people. This lack of plurality in sources of information is a serious obstacle for the functioning of democracy. Democracy requires the confrontation of ideas, debate and discussion. When this debate does not exist, or is weakened by the lack of </w:t>
      </w:r>
      <w:r w:rsidRPr="00B90432">
        <w:rPr>
          <w:rFonts w:asciiTheme="minorHAnsi" w:hAnsiTheme="minorHAnsi"/>
        </w:rPr>
        <w:lastRenderedPageBreak/>
        <w:t>sources of information, the main pillar for the functioning of democracy is harmed.”</w:t>
      </w:r>
      <w:r w:rsidRPr="00B90432">
        <w:rPr>
          <w:rStyle w:val="FootnoteReference"/>
          <w:rFonts w:asciiTheme="minorHAnsi" w:hAnsiTheme="minorHAnsi"/>
          <w:sz w:val="22"/>
          <w:szCs w:val="22"/>
          <w:lang w:val="es-ES_tradnl"/>
        </w:rPr>
        <w:footnoteReference w:id="504"/>
      </w:r>
    </w:p>
    <w:p w14:paraId="4D96FBBA"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The Office of the Special Rapporteur has also said that the States should take measures to ensure that all groups in society have access to opportunities to make their voices heard, both within their communities and in wider social debates, including through measures to promote media diversity, public service broadcasting and community media. The promotion of media and digital literacy and citizen journalism, including the capacity to make effective use of online communication tools, are also important. </w:t>
      </w:r>
      <w:r w:rsidRPr="00B90432">
        <w:rPr>
          <w:rStyle w:val="FootnoteReference"/>
          <w:rFonts w:asciiTheme="minorHAnsi" w:hAnsiTheme="minorHAnsi"/>
          <w:sz w:val="22"/>
          <w:szCs w:val="22"/>
          <w:lang w:val="es-ES_tradnl"/>
        </w:rPr>
        <w:footnoteReference w:id="505"/>
      </w:r>
    </w:p>
    <w:p w14:paraId="3443E50A" w14:textId="77777777" w:rsidR="00CD0E32" w:rsidRPr="00B90432" w:rsidRDefault="00CD0E32" w:rsidP="00BE721D">
      <w:pPr>
        <w:pStyle w:val="Numberedparagraphs"/>
        <w:rPr>
          <w:rFonts w:asciiTheme="minorHAnsi" w:hAnsiTheme="minorHAnsi"/>
        </w:rPr>
      </w:pPr>
      <w:r w:rsidRPr="00B90432">
        <w:rPr>
          <w:rFonts w:asciiTheme="minorHAnsi" w:hAnsiTheme="minorHAnsi"/>
        </w:rPr>
        <w:t>The future regulation on digital television “should aim to ensure that the new digital dividend makes optimal use of the spectrum to ensure the greatest plurality and diversity possible”</w:t>
      </w:r>
      <w:r w:rsidRPr="00B90432">
        <w:rPr>
          <w:rStyle w:val="FootnoteReference"/>
          <w:rFonts w:asciiTheme="minorHAnsi" w:hAnsiTheme="minorHAnsi"/>
          <w:sz w:val="22"/>
          <w:szCs w:val="22"/>
          <w:lang w:val="es-ES_tradnl"/>
        </w:rPr>
        <w:footnoteReference w:id="506"/>
      </w:r>
      <w:r w:rsidRPr="00B90432">
        <w:rPr>
          <w:rFonts w:asciiTheme="minorHAnsi" w:hAnsiTheme="minorHAnsi"/>
          <w:vertAlign w:val="superscript"/>
        </w:rPr>
        <w:t xml:space="preserve"> </w:t>
      </w:r>
      <w:r w:rsidRPr="00B90432">
        <w:rPr>
          <w:rFonts w:asciiTheme="minorHAnsi" w:hAnsiTheme="minorHAnsi"/>
        </w:rPr>
        <w:t>and become an opportunity to limit and reduce, or at least not increase, the undue concentration of existing media in the analogue environment by people, companies, or linked economic groups, either through ownership or control of the operation and programming of new television services.</w:t>
      </w:r>
    </w:p>
    <w:p w14:paraId="2BB67BA3" w14:textId="705BBD44" w:rsidR="00CD0E32" w:rsidRPr="00B90432" w:rsidRDefault="00CD0E32" w:rsidP="007D3ACE">
      <w:pPr>
        <w:pStyle w:val="Heading3"/>
      </w:pPr>
      <w:bookmarkStart w:id="68" w:name="_Toc509827670"/>
      <w:r w:rsidRPr="00B90432">
        <w:t xml:space="preserve">Government </w:t>
      </w:r>
      <w:r w:rsidR="002C41EC" w:rsidRPr="00B90432">
        <w:t>Advertising</w:t>
      </w:r>
      <w:bookmarkEnd w:id="68"/>
    </w:p>
    <w:p w14:paraId="12B1EF3D" w14:textId="77777777" w:rsidR="00CD0E32" w:rsidRPr="00B90432" w:rsidRDefault="00CD0E32" w:rsidP="00BE721D">
      <w:pPr>
        <w:pStyle w:val="Numberedparagraphs"/>
        <w:rPr>
          <w:rFonts w:asciiTheme="minorHAnsi" w:hAnsiTheme="minorHAnsi"/>
        </w:rPr>
      </w:pPr>
      <w:r w:rsidRPr="00B90432">
        <w:rPr>
          <w:rFonts w:asciiTheme="minorHAnsi" w:hAnsiTheme="minorHAnsi"/>
        </w:rPr>
        <w:t>The investigation conducted by Guatemala’s Public Ministry and the International Commission against Impunity in Guatemala (CICIG), called “</w:t>
      </w:r>
      <w:r w:rsidRPr="00B90432">
        <w:rPr>
          <w:rFonts w:asciiTheme="minorHAnsi" w:hAnsiTheme="minorHAnsi"/>
          <w:iCs/>
        </w:rPr>
        <w:t>Co-optation of the State</w:t>
      </w:r>
      <w:r w:rsidRPr="00B90432">
        <w:rPr>
          <w:rFonts w:asciiTheme="minorHAnsi" w:hAnsiTheme="minorHAnsi"/>
        </w:rPr>
        <w:t xml:space="preserve">,” revealed a corruption scheme set up to finance the election campaign of </w:t>
      </w:r>
      <w:r w:rsidRPr="00B90432">
        <w:rPr>
          <w:rFonts w:asciiTheme="minorHAnsi" w:hAnsiTheme="minorHAnsi"/>
          <w:i/>
        </w:rPr>
        <w:t>Partido Patriota</w:t>
      </w:r>
      <w:r w:rsidRPr="00B90432">
        <w:rPr>
          <w:rFonts w:asciiTheme="minorHAnsi" w:hAnsiTheme="minorHAnsi"/>
        </w:rPr>
        <w:t xml:space="preserve"> that carried its leader Otto Pérez Molina to the Presidency and Roxana Baldetti to the Vice Presidency. The unlawful activities to obtain funds for </w:t>
      </w:r>
      <w:r w:rsidRPr="00B90432">
        <w:rPr>
          <w:rFonts w:asciiTheme="minorHAnsi" w:hAnsiTheme="minorHAnsi"/>
          <w:i/>
        </w:rPr>
        <w:t>Partido Patriota</w:t>
      </w:r>
      <w:r w:rsidRPr="00B90432">
        <w:rPr>
          <w:rFonts w:asciiTheme="minorHAnsi" w:hAnsiTheme="minorHAnsi"/>
        </w:rPr>
        <w:t xml:space="preserve"> were reportedly conducted between 2008 and 2011, and remained in place during the party’s administration (2012-2015). In a press release, the CICIG detailed that the “unlawful election campaign financing” was obtained through a network of corporations controlled by Baldetti that had no real business activity, since they were “instruments to channel the money secretly handed over by the representatives” of Radiotelevisión Guatemala S.A. </w:t>
      </w:r>
      <w:r w:rsidRPr="00B90432">
        <w:rPr>
          <w:rFonts w:asciiTheme="minorHAnsi" w:hAnsiTheme="minorHAnsi"/>
        </w:rPr>
        <w:lastRenderedPageBreak/>
        <w:t>(</w:t>
      </w:r>
      <w:r w:rsidRPr="00B90432">
        <w:rPr>
          <w:rFonts w:asciiTheme="minorHAnsi" w:hAnsiTheme="minorHAnsi"/>
          <w:i/>
          <w:iCs/>
        </w:rPr>
        <w:t>Canal 3</w:t>
      </w:r>
      <w:r w:rsidRPr="00B90432">
        <w:rPr>
          <w:rFonts w:asciiTheme="minorHAnsi" w:hAnsiTheme="minorHAnsi"/>
        </w:rPr>
        <w:t>) and Televisiete S.A. (</w:t>
      </w:r>
      <w:r w:rsidRPr="00B90432">
        <w:rPr>
          <w:rFonts w:asciiTheme="minorHAnsi" w:hAnsiTheme="minorHAnsi"/>
          <w:i/>
          <w:iCs/>
        </w:rPr>
        <w:t>Canal 7</w:t>
      </w:r>
      <w:r w:rsidRPr="00B90432">
        <w:rPr>
          <w:rFonts w:asciiTheme="minorHAnsi" w:hAnsiTheme="minorHAnsi"/>
        </w:rPr>
        <w:t>), owned by Mexican businessman Ángel González.</w:t>
      </w:r>
      <w:r w:rsidRPr="00B90432">
        <w:rPr>
          <w:rStyle w:val="FootnoteReference"/>
          <w:rFonts w:asciiTheme="minorHAnsi" w:hAnsiTheme="minorHAnsi"/>
          <w:sz w:val="22"/>
          <w:szCs w:val="22"/>
          <w:lang w:val="es-ES"/>
        </w:rPr>
        <w:footnoteReference w:id="507"/>
      </w:r>
    </w:p>
    <w:p w14:paraId="4F33B487"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González’s two companies, according to the documents seized during the investigation, contributed a total of 17,679,200 </w:t>
      </w:r>
      <w:r w:rsidRPr="00B90432">
        <w:rPr>
          <w:rFonts w:asciiTheme="minorHAnsi" w:hAnsiTheme="minorHAnsi"/>
          <w:i/>
        </w:rPr>
        <w:t>quetzales</w:t>
      </w:r>
      <w:r w:rsidRPr="00B90432">
        <w:rPr>
          <w:rFonts w:asciiTheme="minorHAnsi" w:hAnsiTheme="minorHAnsi"/>
        </w:rPr>
        <w:t xml:space="preserve"> (approximately US$ 2,300,000 million) to </w:t>
      </w:r>
      <w:r w:rsidRPr="00B90432">
        <w:rPr>
          <w:rFonts w:asciiTheme="minorHAnsi" w:hAnsiTheme="minorHAnsi"/>
          <w:i/>
        </w:rPr>
        <w:t xml:space="preserve">Partido Patriota </w:t>
      </w:r>
      <w:r w:rsidRPr="00B90432">
        <w:rPr>
          <w:rFonts w:asciiTheme="minorHAnsi" w:hAnsiTheme="minorHAnsi"/>
        </w:rPr>
        <w:t xml:space="preserve">between 2008 and 2011. The CICIG concluded that, “this money was not reported to the Supreme Electoral Tribunal” as campaign contributions, and “was used to purchase the latest-model vehicles.” The aforementioned television companies reportedly benefitted from million-dollar contracts for government advertising, beginning when Pérez Molina and Baldetti came to power. The investigation revealed that the value of the contracts entered into between 2012 and 2015 was in excess of 200,000,000 </w:t>
      </w:r>
      <w:r w:rsidRPr="00B90432">
        <w:rPr>
          <w:rFonts w:asciiTheme="minorHAnsi" w:hAnsiTheme="minorHAnsi"/>
          <w:i/>
        </w:rPr>
        <w:t>quetzales</w:t>
      </w:r>
      <w:r w:rsidRPr="00B90432">
        <w:rPr>
          <w:rFonts w:asciiTheme="minorHAnsi" w:hAnsiTheme="minorHAnsi"/>
        </w:rPr>
        <w:t xml:space="preserve"> (approximately US$ 26,000,000 million), which means that the two companies received 69 per cent of all government television advertising purchased during that period.</w:t>
      </w:r>
      <w:r w:rsidRPr="00B90432">
        <w:rPr>
          <w:rStyle w:val="FootnoteReference"/>
          <w:rFonts w:asciiTheme="minorHAnsi" w:hAnsiTheme="minorHAnsi"/>
          <w:sz w:val="22"/>
          <w:szCs w:val="22"/>
          <w:lang w:val="es-ES"/>
        </w:rPr>
        <w:footnoteReference w:id="508"/>
      </w:r>
      <w:r w:rsidRPr="00B90432">
        <w:rPr>
          <w:rFonts w:asciiTheme="minorHAnsi" w:hAnsiTheme="minorHAnsi"/>
        </w:rPr>
        <w:t xml:space="preserve"> González’s wife, Alba Elvira Lorenzana, is the subject of an international arrest warrant for her alleged involvement in the unlawful financing of </w:t>
      </w:r>
      <w:r w:rsidRPr="00B90432">
        <w:rPr>
          <w:rFonts w:asciiTheme="minorHAnsi" w:hAnsiTheme="minorHAnsi"/>
          <w:i/>
        </w:rPr>
        <w:t>Partido Patriota</w:t>
      </w:r>
      <w:r w:rsidRPr="00B90432">
        <w:rPr>
          <w:rFonts w:asciiTheme="minorHAnsi" w:hAnsiTheme="minorHAnsi"/>
        </w:rPr>
        <w:t xml:space="preserve"> in exchange for the million-dollar contracts for state advertising.</w:t>
      </w:r>
      <w:r w:rsidRPr="00B90432">
        <w:rPr>
          <w:rStyle w:val="FootnoteReference"/>
          <w:rFonts w:asciiTheme="minorHAnsi" w:hAnsiTheme="minorHAnsi"/>
          <w:sz w:val="22"/>
          <w:szCs w:val="22"/>
          <w:lang w:val="es-ES"/>
        </w:rPr>
        <w:footnoteReference w:id="509"/>
      </w:r>
      <w:r w:rsidRPr="00B90432">
        <w:rPr>
          <w:rFonts w:asciiTheme="minorHAnsi" w:hAnsiTheme="minorHAnsi"/>
        </w:rPr>
        <w:t xml:space="preserve"> Former President Pérez Molina and former Vice President Baldetti resigned in 2015 amid various accusations of corruption, and both are being held in pretrial detention awaiting trial. </w:t>
      </w:r>
    </w:p>
    <w:p w14:paraId="0DA16FD2" w14:textId="77777777" w:rsidR="00CD0E32" w:rsidRPr="00B90432" w:rsidRDefault="00CD0E32" w:rsidP="00BE721D">
      <w:pPr>
        <w:pStyle w:val="Numberedparagraphs"/>
        <w:rPr>
          <w:rFonts w:asciiTheme="minorHAnsi" w:hAnsiTheme="minorHAnsi"/>
        </w:rPr>
      </w:pPr>
      <w:r w:rsidRPr="00B90432">
        <w:rPr>
          <w:rFonts w:asciiTheme="minorHAnsi" w:hAnsiTheme="minorHAnsi"/>
        </w:rPr>
        <w:t>In connection with this group, in March 2017, the head of the Office of the Solicitor General [</w:t>
      </w:r>
      <w:r w:rsidRPr="00B90432">
        <w:rPr>
          <w:rFonts w:asciiTheme="minorHAnsi" w:hAnsiTheme="minorHAnsi"/>
          <w:i/>
        </w:rPr>
        <w:t>Procuraduría General de la Nación</w:t>
      </w:r>
      <w:r w:rsidRPr="00B90432">
        <w:rPr>
          <w:rFonts w:asciiTheme="minorHAnsi" w:hAnsiTheme="minorHAnsi"/>
        </w:rPr>
        <w:t xml:space="preserve">] (PGN), Anabella Morfín, filed a criminal complaint with the Public Ministry (MP) against the Superintendency of Telecommunications of Guatemala (SIT) for its alleged failure to turn over documents concerning the titles to the usufructuary </w:t>
      </w:r>
      <w:r w:rsidRPr="00B90432">
        <w:rPr>
          <w:rFonts w:asciiTheme="minorHAnsi" w:hAnsiTheme="minorHAnsi"/>
        </w:rPr>
        <w:lastRenderedPageBreak/>
        <w:t>rights to television frequencies granted to the company Albavisión, owned by Mexican businessman Ángel González, requested of the SIT in 2016. The complaint was reportedly filed together with a report on the 85 frequencies said to be held by Ángel González’s channels. According to the information available, the Solicitor General has indicated on a number of occasions that she was not given the complete documentation on those titles to usufructuary rights for purposes of verifying whether they were granted lawfully or unlawfully. For its part, the SIT reportedly replied that it had turned over all of the documents on record in the Telecommunications archives.</w:t>
      </w:r>
      <w:r w:rsidRPr="00B90432">
        <w:rPr>
          <w:rStyle w:val="FootnoteReference"/>
          <w:rFonts w:asciiTheme="minorHAnsi" w:hAnsiTheme="minorHAnsi"/>
          <w:sz w:val="22"/>
          <w:szCs w:val="22"/>
          <w:lang w:val="es-ES"/>
        </w:rPr>
        <w:footnoteReference w:id="510"/>
      </w:r>
    </w:p>
    <w:p w14:paraId="054B776D" w14:textId="77777777" w:rsidR="00CD0E32" w:rsidRPr="00B90432" w:rsidRDefault="00CD0E32" w:rsidP="00BE721D">
      <w:pPr>
        <w:pStyle w:val="Numberedparagraphs"/>
        <w:rPr>
          <w:rFonts w:asciiTheme="minorHAnsi" w:hAnsiTheme="minorHAnsi"/>
        </w:rPr>
      </w:pPr>
      <w:r w:rsidRPr="00B90432">
        <w:rPr>
          <w:rFonts w:asciiTheme="minorHAnsi" w:hAnsiTheme="minorHAnsi"/>
        </w:rPr>
        <w:t>In May, the Guatemalan Prosecutor’s Office filed an indictment in the “Co-optation of the State” case, naming 46 individual defendants, including former President Pérez Molina.</w:t>
      </w:r>
      <w:r w:rsidRPr="00B90432">
        <w:rPr>
          <w:rStyle w:val="FootnoteReference"/>
          <w:rFonts w:asciiTheme="minorHAnsi" w:hAnsiTheme="minorHAnsi"/>
          <w:sz w:val="22"/>
          <w:szCs w:val="22"/>
          <w:lang w:val="es-ES"/>
        </w:rPr>
        <w:footnoteReference w:id="511"/>
      </w:r>
      <w:r w:rsidRPr="00B90432">
        <w:rPr>
          <w:rFonts w:asciiTheme="minorHAnsi" w:hAnsiTheme="minorHAnsi"/>
        </w:rPr>
        <w:t xml:space="preserve"> The same month, based on testimony offered by Salvador González Álvarez, it was learned that, during the period she served as Vice President (2012-2015), Roxana Baldetti allegedly controlled 70 per cent of the </w:t>
      </w:r>
      <w:r w:rsidRPr="00B90432">
        <w:rPr>
          <w:rFonts w:asciiTheme="minorHAnsi" w:hAnsiTheme="minorHAnsi"/>
          <w:i/>
        </w:rPr>
        <w:t>Corporación de Noticias</w:t>
      </w:r>
      <w:r w:rsidRPr="00B90432">
        <w:rPr>
          <w:rFonts w:asciiTheme="minorHAnsi" w:hAnsiTheme="minorHAnsi"/>
        </w:rPr>
        <w:t xml:space="preserve"> media group, which owned the newspapers </w:t>
      </w:r>
      <w:r w:rsidRPr="00B90432">
        <w:rPr>
          <w:rFonts w:asciiTheme="minorHAnsi" w:hAnsiTheme="minorHAnsi"/>
          <w:i/>
          <w:iCs/>
        </w:rPr>
        <w:t>Siglo21</w:t>
      </w:r>
      <w:r w:rsidRPr="00B90432">
        <w:rPr>
          <w:rFonts w:asciiTheme="minorHAnsi" w:hAnsiTheme="minorHAnsi"/>
        </w:rPr>
        <w:t xml:space="preserve"> and </w:t>
      </w:r>
      <w:r w:rsidRPr="00B90432">
        <w:rPr>
          <w:rFonts w:asciiTheme="minorHAnsi" w:hAnsiTheme="minorHAnsi"/>
          <w:i/>
          <w:iCs/>
        </w:rPr>
        <w:t>Al Día</w:t>
      </w:r>
      <w:r w:rsidRPr="00B90432">
        <w:rPr>
          <w:rFonts w:asciiTheme="minorHAnsi" w:hAnsiTheme="minorHAnsi"/>
        </w:rPr>
        <w:t>, and used it to present information favorable to her and to the Government.</w:t>
      </w:r>
      <w:r w:rsidRPr="00B90432">
        <w:rPr>
          <w:rStyle w:val="FootnoteReference"/>
          <w:rFonts w:asciiTheme="minorHAnsi" w:hAnsiTheme="minorHAnsi"/>
          <w:sz w:val="22"/>
          <w:szCs w:val="22"/>
          <w:lang w:val="es-ES"/>
        </w:rPr>
        <w:footnoteReference w:id="512"/>
      </w:r>
      <w:r w:rsidRPr="00B90432">
        <w:rPr>
          <w:rFonts w:asciiTheme="minorHAnsi" w:hAnsiTheme="minorHAnsi"/>
        </w:rPr>
        <w:t xml:space="preserve">  </w:t>
      </w:r>
    </w:p>
    <w:p w14:paraId="3B31438D" w14:textId="77777777" w:rsidR="00CD0E32" w:rsidRPr="00B90432" w:rsidRDefault="00CD0E32" w:rsidP="00BE721D">
      <w:pPr>
        <w:pStyle w:val="Numberedparagraphs"/>
        <w:rPr>
          <w:rFonts w:asciiTheme="minorHAnsi" w:hAnsiTheme="minorHAnsi"/>
        </w:rPr>
      </w:pPr>
      <w:r w:rsidRPr="00B90432">
        <w:rPr>
          <w:rFonts w:asciiTheme="minorHAnsi" w:hAnsiTheme="minorHAnsi"/>
        </w:rPr>
        <w:t>During the on-site visit, the Communications Secretariat of the Presidency [</w:t>
      </w:r>
      <w:r w:rsidRPr="00B90432">
        <w:rPr>
          <w:rFonts w:asciiTheme="minorHAnsi" w:hAnsiTheme="minorHAnsi"/>
          <w:i/>
        </w:rPr>
        <w:t>Secretaría de Comunicación de la Presidencia</w:t>
      </w:r>
      <w:r w:rsidRPr="00B90432">
        <w:rPr>
          <w:rFonts w:asciiTheme="minorHAnsi" w:hAnsiTheme="minorHAnsi"/>
        </w:rPr>
        <w:t xml:space="preserve">] reported that it had ended the practice of using government advertising to reward media outlets for favorable coverage and punish critical media. </w:t>
      </w:r>
    </w:p>
    <w:p w14:paraId="6BF93F7A"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The Office of the Special Rapporteur recalls that Article 13.3 of the American Convention establishes that “[t]the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 In this sense, also the Declaration of Principles on Freedom of Expression of the Inter-American Commission on Human Rights, in principle 13 indicates that “the exercise of power and the use of public funds by the State, the granting of customs duty privileges, the </w:t>
      </w:r>
      <w:r w:rsidRPr="00B90432">
        <w:rPr>
          <w:rFonts w:asciiTheme="minorHAnsi" w:hAnsiTheme="minorHAnsi"/>
        </w:rPr>
        <w:lastRenderedPageBreak/>
        <w:t>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w:t>
      </w:r>
    </w:p>
    <w:p w14:paraId="5405218E" w14:textId="28F73052" w:rsidR="00CD0E32" w:rsidRPr="007D3ACE" w:rsidRDefault="00CD0E32" w:rsidP="007D3ACE">
      <w:pPr>
        <w:pStyle w:val="Heading2"/>
      </w:pPr>
      <w:bookmarkStart w:id="69" w:name="_Toc509827671"/>
      <w:r w:rsidRPr="007D3ACE">
        <w:t xml:space="preserve">Excesive </w:t>
      </w:r>
      <w:r w:rsidR="007D3ACE" w:rsidRPr="007D3ACE">
        <w:t xml:space="preserve">Use </w:t>
      </w:r>
      <w:r w:rsidRPr="007D3ACE">
        <w:t xml:space="preserve">of </w:t>
      </w:r>
      <w:r w:rsidR="007D3ACE" w:rsidRPr="007D3ACE">
        <w:t xml:space="preserve">Force </w:t>
      </w:r>
      <w:r w:rsidRPr="007D3ACE">
        <w:t xml:space="preserve">at </w:t>
      </w:r>
      <w:r w:rsidR="007D3ACE" w:rsidRPr="007D3ACE">
        <w:t>Social Protests</w:t>
      </w:r>
      <w:bookmarkEnd w:id="69"/>
      <w:r w:rsidR="007D3ACE" w:rsidRPr="007D3ACE">
        <w:t xml:space="preserve"> </w:t>
      </w:r>
    </w:p>
    <w:p w14:paraId="63E536B3"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According to the information gathered by the Office of the Special Rapporteur and received during the on-site visit, the interests and presence of corporations on traditional indigenous lands and territories has led to serious tensions and disputes in different regions of Guatemala, giving rise to social protest and—on occasion—triggering episodes of violence. There have been protests in some communities in view of the implementation of extractive projects, which have reportedly been repressed by the National Civil Police (PCN) and the army, as well as by private security personnel.  </w:t>
      </w:r>
    </w:p>
    <w:p w14:paraId="6B70635E"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In its visits to the cities of Ixquisis and Santa Eulalia, the IACHR received with concern information about the situation of violence and criminalization to which human rights defenders are reportedly exposed. Reports included allegations of the excessive use of force during social protests against hydroelectric projects in the region. In Ixquisis, in particular, the IACHR heard the testimony of relatives of Sebastián Alonso Juán, who was shot to death on January 17 during a peaceful protest outside the company </w:t>
      </w:r>
      <w:r w:rsidRPr="00B90432">
        <w:rPr>
          <w:rFonts w:asciiTheme="minorHAnsi" w:hAnsiTheme="minorHAnsi"/>
          <w:i/>
        </w:rPr>
        <w:t>Proyectos de Desarrollo Hídrico S.A</w:t>
      </w:r>
      <w:r w:rsidRPr="00B90432">
        <w:rPr>
          <w:rFonts w:asciiTheme="minorHAnsi" w:hAnsiTheme="minorHAnsi"/>
        </w:rPr>
        <w:t>., in San Mateo Ixtatán. According to the information available, citizens from different communities of the Chuj and Q’anjob’al peoples were protesting against a hydroelectric project in Ixquisis, when armed individuals reportedly fired shots at them.</w:t>
      </w:r>
      <w:r w:rsidRPr="00B90432">
        <w:rPr>
          <w:rStyle w:val="FootnoteReference"/>
          <w:rFonts w:asciiTheme="minorHAnsi" w:hAnsiTheme="minorHAnsi"/>
          <w:sz w:val="22"/>
          <w:szCs w:val="22"/>
          <w:lang w:val="es-ES"/>
        </w:rPr>
        <w:footnoteReference w:id="513"/>
      </w:r>
    </w:p>
    <w:p w14:paraId="51A0EE08"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At the March 20 hearing it held on the criminalization of rights defenders who are opposed to hydroelectric projects in Guatemala, the Commission </w:t>
      </w:r>
      <w:r w:rsidRPr="00B90432">
        <w:rPr>
          <w:rFonts w:asciiTheme="minorHAnsi" w:hAnsiTheme="minorHAnsi"/>
        </w:rPr>
        <w:lastRenderedPageBreak/>
        <w:t>received information about violent evictions of the communities that opposed the operation of corporations in their territories, as well as attacks, threats, and constant harassment, particularly against female rights defenders. They alleged patterns of criminalization in the Guatemalan system through the statutory creation of criminal offenses to be used against them, as well as through malicious prosecution by prosecutors from the Public Ministry and lawyers from the transnational corporations. They condemned, among other things, the beforementioned murder of rights defender Sebastián Alonso Juán. At that same hearing, the Guatemalan State explained that it was seeking to gradually replace its current energy sources with renewable energy like hydroelectric power. It also stated that it was developing a National Plan on Business and Human Rights, which will include the monitoring and oversight of business activities, the protection of human rights, and measures of reparation.</w:t>
      </w:r>
      <w:r w:rsidRPr="00B90432">
        <w:rPr>
          <w:rStyle w:val="FootnoteReference"/>
          <w:rFonts w:asciiTheme="minorHAnsi" w:hAnsiTheme="minorHAnsi" w:cs="Tahoma"/>
          <w:sz w:val="22"/>
          <w:szCs w:val="22"/>
          <w:shd w:val="clear" w:color="auto" w:fill="FFFFFF"/>
          <w:lang w:val="es-ES"/>
        </w:rPr>
        <w:footnoteReference w:id="514"/>
      </w:r>
      <w:r w:rsidRPr="00B90432">
        <w:rPr>
          <w:rFonts w:asciiTheme="minorHAnsi" w:hAnsiTheme="minorHAnsi"/>
        </w:rPr>
        <w:t xml:space="preserve"> </w:t>
      </w:r>
    </w:p>
    <w:p w14:paraId="25D87D81" w14:textId="77777777" w:rsidR="00CD0E32" w:rsidRPr="00B90432" w:rsidRDefault="00CD0E32" w:rsidP="00BE721D">
      <w:pPr>
        <w:pStyle w:val="Numberedparagraphs"/>
        <w:rPr>
          <w:rFonts w:asciiTheme="minorHAnsi" w:hAnsiTheme="minorHAnsi"/>
        </w:rPr>
      </w:pPr>
      <w:r w:rsidRPr="00B90432">
        <w:rPr>
          <w:rFonts w:asciiTheme="minorHAnsi" w:hAnsiTheme="minorHAnsi"/>
        </w:rPr>
        <w:t>At the September 7, 2017 hearing about reports of attacks on human rights defenders by extractive corporations in Guatemala, the Commission received information about an alleged State policy of persecuting individuals who defend the environment, natural resources, water, and land and territory in general. The requesting organizations stated, among other things, that this was an “unwritten” policy, implemented through defamation cases, stigmatization, and criminalization, carried out principally by the National Civil Police (PCN), and by the Public Ministry in some cases. They also reported attacks by extractive industries against them and against communities. For its part, the State indicated, among other things, that the on-site visit was the starting point for reaching consensuses, dialogues, negotiations, and taking account of the communities. It indicated that the recommendations made by the IACHR after the on-site visit had been received by COPREDEH and the Guatemalan Foreign Ministry, and that they are being considered for this sustainable dialogue with the communities and the corporations. The Guatemalan State expressed its willingness to engage in ongoing, sustainable dialogue, and to conduct these types of negotiations. Finally, it stated that it strives to ensure strict compliance with the law, and the application of “conventionality control” with respect to the investigation that is incumbent upon the Public Ministry. It asserted that a very low percentage of the complaints lodged with the Human Rights Prosecutor’s Unit for Crimes against Activists [</w:t>
      </w:r>
      <w:r w:rsidRPr="00B90432">
        <w:rPr>
          <w:rFonts w:asciiTheme="minorHAnsi" w:hAnsiTheme="minorHAnsi"/>
          <w:i/>
        </w:rPr>
        <w:t xml:space="preserve">Unidad de delitos contra activistas de la Fiscalía de </w:t>
      </w:r>
      <w:r w:rsidRPr="00B90432">
        <w:rPr>
          <w:rFonts w:asciiTheme="minorHAnsi" w:hAnsiTheme="minorHAnsi"/>
          <w:i/>
        </w:rPr>
        <w:lastRenderedPageBreak/>
        <w:t>Derechos Humanos</w:t>
      </w:r>
      <w:r w:rsidRPr="00B90432">
        <w:rPr>
          <w:rFonts w:asciiTheme="minorHAnsi" w:hAnsiTheme="minorHAnsi"/>
        </w:rPr>
        <w:t>] by human rights defenders stem from attacks by the extractive corporations.</w:t>
      </w:r>
      <w:r w:rsidRPr="00B90432">
        <w:rPr>
          <w:rStyle w:val="FootnoteReference"/>
          <w:rFonts w:asciiTheme="minorHAnsi" w:hAnsiTheme="minorHAnsi"/>
          <w:sz w:val="22"/>
          <w:szCs w:val="22"/>
          <w:lang w:val="es-ES"/>
        </w:rPr>
        <w:footnoteReference w:id="515"/>
      </w:r>
      <w:r w:rsidRPr="00B90432">
        <w:rPr>
          <w:rFonts w:asciiTheme="minorHAnsi" w:hAnsiTheme="minorHAnsi"/>
        </w:rPr>
        <w:t xml:space="preserve"> </w:t>
      </w:r>
    </w:p>
    <w:p w14:paraId="7D53741C"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According to publicly available information, on May 27, members of the</w:t>
      </w:r>
      <w:r w:rsidRPr="00B90432">
        <w:rPr>
          <w:rFonts w:asciiTheme="minorHAnsi" w:hAnsiTheme="minorHAnsi"/>
        </w:rPr>
        <w:t xml:space="preserve"> </w:t>
      </w:r>
      <w:r w:rsidRPr="00B90432">
        <w:rPr>
          <w:rFonts w:asciiTheme="minorHAnsi" w:hAnsiTheme="minorHAnsi"/>
          <w:bCs/>
        </w:rPr>
        <w:t xml:space="preserve">Artisanal </w:t>
      </w:r>
      <w:r w:rsidRPr="00B90432">
        <w:rPr>
          <w:rFonts w:asciiTheme="minorHAnsi" w:hAnsiTheme="minorHAnsi"/>
          <w:bCs/>
          <w:iCs/>
        </w:rPr>
        <w:t>Fishermen's</w:t>
      </w:r>
      <w:r w:rsidRPr="00B90432">
        <w:rPr>
          <w:rFonts w:asciiTheme="minorHAnsi" w:hAnsiTheme="minorHAnsi"/>
          <w:bCs/>
        </w:rPr>
        <w:t xml:space="preserve"> Guild [</w:t>
      </w:r>
      <w:r w:rsidRPr="00B90432">
        <w:rPr>
          <w:rFonts w:asciiTheme="minorHAnsi" w:hAnsiTheme="minorHAnsi"/>
          <w:bCs/>
          <w:i/>
        </w:rPr>
        <w:t>Gremial de Pescadores Artesanales</w:t>
      </w:r>
      <w:r w:rsidRPr="00B90432">
        <w:rPr>
          <w:rFonts w:asciiTheme="minorHAnsi" w:hAnsiTheme="minorHAnsi"/>
          <w:bCs/>
        </w:rPr>
        <w:t xml:space="preserve">] (GPA) of El Estor, Department of Izabal, reportedly blocked the route to Panzós, Alta Verapaz, in response to the authorities’ refusal to establish a dialogue roundtable to address the alleged pollution of the El Estor Lake by the </w:t>
      </w:r>
      <w:r w:rsidRPr="00B90432">
        <w:rPr>
          <w:rFonts w:asciiTheme="minorHAnsi" w:hAnsiTheme="minorHAnsi"/>
          <w:bCs/>
          <w:i/>
        </w:rPr>
        <w:t>Compañía Guatemalteca de Niquel</w:t>
      </w:r>
      <w:r w:rsidRPr="00B90432">
        <w:rPr>
          <w:rFonts w:asciiTheme="minorHAnsi" w:hAnsiTheme="minorHAnsi"/>
          <w:bCs/>
        </w:rPr>
        <w:t xml:space="preserve"> [</w:t>
      </w:r>
      <w:r w:rsidRPr="00B90432">
        <w:rPr>
          <w:rFonts w:asciiTheme="minorHAnsi" w:hAnsiTheme="minorHAnsi"/>
          <w:bCs/>
          <w:iCs/>
        </w:rPr>
        <w:t>Guatemalan Nickel Company</w:t>
      </w:r>
      <w:r w:rsidRPr="00B90432">
        <w:rPr>
          <w:rFonts w:asciiTheme="minorHAnsi" w:hAnsiTheme="minorHAnsi"/>
          <w:bCs/>
        </w:rPr>
        <w:t xml:space="preserve">] (GNC). In order to clear the way, National Civil Police (PNC) anti-riot forces reportedly fired ammunition, rubber bullets, and tear gas canisters at the demonstrators. Carlos Maaz Coc, a member of the Maya-Q’eqchi indigenous community, reportedly died in the incident after being shot, and at least four police officers were wounded. </w:t>
      </w:r>
      <w:r w:rsidRPr="00B90432">
        <w:rPr>
          <w:rStyle w:val="FootnoteReference"/>
          <w:rFonts w:asciiTheme="minorHAnsi" w:hAnsiTheme="minorHAnsi"/>
          <w:bCs/>
          <w:sz w:val="22"/>
          <w:szCs w:val="22"/>
          <w:lang w:val="es-ES"/>
        </w:rPr>
        <w:footnoteReference w:id="516"/>
      </w:r>
      <w:r w:rsidRPr="00B90432">
        <w:rPr>
          <w:rFonts w:asciiTheme="minorHAnsi" w:hAnsiTheme="minorHAnsi"/>
          <w:bCs/>
        </w:rPr>
        <w:t xml:space="preserve"> The same day, the Ministry of the Interior reported the death of one individual, although that statement was subsequently denied.</w:t>
      </w:r>
      <w:r w:rsidRPr="00B90432">
        <w:rPr>
          <w:rStyle w:val="FootnoteReference"/>
          <w:rFonts w:asciiTheme="minorHAnsi" w:hAnsiTheme="minorHAnsi"/>
          <w:bCs/>
          <w:sz w:val="22"/>
          <w:szCs w:val="22"/>
          <w:lang w:val="es-ES"/>
        </w:rPr>
        <w:footnoteReference w:id="517"/>
      </w:r>
    </w:p>
    <w:p w14:paraId="059A437F"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 xml:space="preserve">On June 22, a group of residents of the municipality of Casillas, Department of Santa Rosa, reportedly blocked traffic heading toward the San Rafael Las Flores Mine. This was done to protest the mining company, which they held responsible for a number of tremors in the area that had caused cracks to form in residents’ houses. </w:t>
      </w:r>
      <w:r w:rsidRPr="00B90432">
        <w:rPr>
          <w:rFonts w:asciiTheme="minorHAnsi" w:hAnsiTheme="minorHAnsi"/>
        </w:rPr>
        <w:t>According to the information available, riot control officers from the National Civil Police (PNC) arrived on the scene and launched tear gas to break up the protest. Eleven people were reportedly injured, including a four-month-old baby and a two-year-old who were sickened by a tear gas canister that was thrown at their house. Four individuals who allegedly used rocks to assault members of the PNC were also arrested.</w:t>
      </w:r>
      <w:r w:rsidRPr="00B90432">
        <w:rPr>
          <w:rStyle w:val="FootnoteReference"/>
          <w:rFonts w:asciiTheme="minorHAnsi" w:hAnsiTheme="minorHAnsi"/>
          <w:sz w:val="22"/>
          <w:szCs w:val="22"/>
          <w:shd w:val="clear" w:color="auto" w:fill="FFFFFF"/>
          <w:lang w:val="es-ES_tradnl"/>
        </w:rPr>
        <w:footnoteReference w:id="518"/>
      </w:r>
      <w:r w:rsidRPr="00B90432">
        <w:rPr>
          <w:rFonts w:asciiTheme="minorHAnsi" w:hAnsiTheme="minorHAnsi"/>
        </w:rPr>
        <w:t xml:space="preserve">     </w:t>
      </w:r>
      <w:r w:rsidRPr="00B90432">
        <w:rPr>
          <w:rFonts w:asciiTheme="minorHAnsi" w:hAnsiTheme="minorHAnsi"/>
          <w:bCs/>
        </w:rPr>
        <w:t xml:space="preserve">   </w:t>
      </w:r>
    </w:p>
    <w:p w14:paraId="0A1C1337"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 xml:space="preserve">On July 21, a group of residents protested by obstructing the highway leading to the municipality of Casillas, Department of Santa Rosa, reportedly blocking the passage of vehicles headed toward the El Escobal Mine in San Rafael Las Flores, which was guarded by the National Civil Police (PNC). According to the information available, the mine was not authorized to operate in light of a judgment by the Guatemalan Supreme </w:t>
      </w:r>
      <w:r w:rsidRPr="00B90432">
        <w:rPr>
          <w:rFonts w:asciiTheme="minorHAnsi" w:hAnsiTheme="minorHAnsi"/>
          <w:bCs/>
        </w:rPr>
        <w:lastRenderedPageBreak/>
        <w:t>Court [</w:t>
      </w:r>
      <w:r w:rsidRPr="00B90432">
        <w:rPr>
          <w:rFonts w:asciiTheme="minorHAnsi" w:hAnsiTheme="minorHAnsi"/>
          <w:bCs/>
          <w:i/>
        </w:rPr>
        <w:t>Corte Suprema de Justicia</w:t>
      </w:r>
      <w:r w:rsidRPr="00B90432">
        <w:rPr>
          <w:rFonts w:asciiTheme="minorHAnsi" w:hAnsiTheme="minorHAnsi"/>
          <w:bCs/>
        </w:rPr>
        <w:t>] (CSJ) admitting a petition for a constitutional remedy [</w:t>
      </w:r>
      <w:r w:rsidRPr="00B90432">
        <w:rPr>
          <w:rFonts w:asciiTheme="minorHAnsi" w:hAnsiTheme="minorHAnsi"/>
          <w:bCs/>
          <w:i/>
        </w:rPr>
        <w:t>amparo</w:t>
      </w:r>
      <w:r w:rsidRPr="00B90432">
        <w:rPr>
          <w:rFonts w:asciiTheme="minorHAnsi" w:hAnsiTheme="minorHAnsi"/>
          <w:bCs/>
        </w:rPr>
        <w:t xml:space="preserve">] filed by the </w:t>
      </w:r>
      <w:r w:rsidRPr="00B90432">
        <w:rPr>
          <w:rFonts w:asciiTheme="minorHAnsi" w:hAnsiTheme="minorHAnsi"/>
          <w:bCs/>
          <w:iCs/>
        </w:rPr>
        <w:t>Center</w:t>
      </w:r>
      <w:r w:rsidRPr="00B90432">
        <w:rPr>
          <w:rFonts w:asciiTheme="minorHAnsi" w:hAnsiTheme="minorHAnsi"/>
          <w:bCs/>
        </w:rPr>
        <w:t xml:space="preserve"> for </w:t>
      </w:r>
      <w:r w:rsidRPr="00B90432">
        <w:rPr>
          <w:rFonts w:asciiTheme="minorHAnsi" w:hAnsiTheme="minorHAnsi"/>
          <w:bCs/>
          <w:iCs/>
        </w:rPr>
        <w:t>Environmental</w:t>
      </w:r>
      <w:r w:rsidRPr="00B90432">
        <w:rPr>
          <w:rFonts w:asciiTheme="minorHAnsi" w:hAnsiTheme="minorHAnsi"/>
          <w:bCs/>
        </w:rPr>
        <w:t xml:space="preserve">, </w:t>
      </w:r>
      <w:r w:rsidRPr="00B90432">
        <w:rPr>
          <w:rFonts w:asciiTheme="minorHAnsi" w:hAnsiTheme="minorHAnsi"/>
          <w:bCs/>
          <w:iCs/>
        </w:rPr>
        <w:t>Social</w:t>
      </w:r>
      <w:r w:rsidRPr="00B90432">
        <w:rPr>
          <w:rFonts w:asciiTheme="minorHAnsi" w:hAnsiTheme="minorHAnsi"/>
          <w:bCs/>
        </w:rPr>
        <w:t xml:space="preserve"> and </w:t>
      </w:r>
      <w:r w:rsidRPr="00B90432">
        <w:rPr>
          <w:rFonts w:asciiTheme="minorHAnsi" w:hAnsiTheme="minorHAnsi"/>
          <w:bCs/>
          <w:iCs/>
        </w:rPr>
        <w:t>Legal Action</w:t>
      </w:r>
      <w:r w:rsidRPr="00B90432">
        <w:rPr>
          <w:rFonts w:asciiTheme="minorHAnsi" w:hAnsiTheme="minorHAnsi"/>
          <w:bCs/>
        </w:rPr>
        <w:t xml:space="preserve"> [</w:t>
      </w:r>
      <w:r w:rsidRPr="00B90432">
        <w:rPr>
          <w:rFonts w:asciiTheme="minorHAnsi" w:hAnsiTheme="minorHAnsi"/>
          <w:bCs/>
          <w:i/>
        </w:rPr>
        <w:t>Centro de Acción Legal Ambiental y Social</w:t>
      </w:r>
      <w:r w:rsidRPr="00B90432">
        <w:rPr>
          <w:rFonts w:asciiTheme="minorHAnsi" w:hAnsiTheme="minorHAnsi"/>
          <w:bCs/>
        </w:rPr>
        <w:t>] (Calas) and suspending the mine’s license for extraction.</w:t>
      </w:r>
      <w:r w:rsidRPr="00B90432">
        <w:rPr>
          <w:rStyle w:val="FootnoteReference"/>
          <w:rFonts w:asciiTheme="minorHAnsi" w:hAnsiTheme="minorHAnsi"/>
          <w:bCs/>
          <w:sz w:val="22"/>
          <w:szCs w:val="22"/>
          <w:lang w:val="es-ES"/>
        </w:rPr>
        <w:footnoteReference w:id="519"/>
      </w:r>
      <w:r w:rsidRPr="00B90432">
        <w:rPr>
          <w:rFonts w:asciiTheme="minorHAnsi" w:hAnsiTheme="minorHAnsi"/>
          <w:bCs/>
        </w:rPr>
        <w:t xml:space="preserve"> PNC Officers reportedly fired tear gas canisters to break up the protest, and at least four people were sickened as a result.</w:t>
      </w:r>
      <w:r w:rsidRPr="00B90432">
        <w:rPr>
          <w:rStyle w:val="FootnoteReference"/>
          <w:rFonts w:asciiTheme="minorHAnsi" w:hAnsiTheme="minorHAnsi"/>
          <w:bCs/>
          <w:sz w:val="22"/>
          <w:szCs w:val="22"/>
          <w:lang w:val="es-ES"/>
        </w:rPr>
        <w:footnoteReference w:id="520"/>
      </w:r>
      <w:r w:rsidRPr="00B90432">
        <w:rPr>
          <w:rFonts w:asciiTheme="minorHAnsi" w:hAnsiTheme="minorHAnsi"/>
          <w:bCs/>
        </w:rPr>
        <w:t xml:space="preserve">    </w:t>
      </w:r>
    </w:p>
    <w:p w14:paraId="7219E1AB"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 xml:space="preserve">On August 24, the </w:t>
      </w:r>
      <w:r w:rsidRPr="00B90432">
        <w:rPr>
          <w:rFonts w:asciiTheme="minorHAnsi" w:hAnsiTheme="minorHAnsi"/>
          <w:bCs/>
          <w:iCs/>
        </w:rPr>
        <w:t>Guatemalan Education Workers</w:t>
      </w:r>
      <w:r w:rsidRPr="00B90432">
        <w:rPr>
          <w:rFonts w:asciiTheme="minorHAnsi" w:hAnsiTheme="minorHAnsi"/>
          <w:bCs/>
        </w:rPr>
        <w:t xml:space="preserve"> Union [</w:t>
      </w:r>
      <w:r w:rsidRPr="00B90432">
        <w:rPr>
          <w:rFonts w:asciiTheme="minorHAnsi" w:hAnsiTheme="minorHAnsi"/>
          <w:bCs/>
          <w:i/>
        </w:rPr>
        <w:t>Sindicato de Trabajadores y Trabajadoras por la Educación</w:t>
      </w:r>
      <w:r w:rsidRPr="00B90432">
        <w:rPr>
          <w:rFonts w:asciiTheme="minorHAnsi" w:hAnsiTheme="minorHAnsi"/>
          <w:bCs/>
        </w:rPr>
        <w:t>] (STEG) held a number of protests around the country to demand better working conditions and salary increases. In the town of Atescatempa, Department of Jutiapa, at least two teachers were reportedly arrested.</w:t>
      </w:r>
      <w:r w:rsidRPr="00B90432">
        <w:rPr>
          <w:rStyle w:val="FootnoteReference"/>
          <w:rFonts w:asciiTheme="minorHAnsi" w:hAnsiTheme="minorHAnsi"/>
          <w:bCs/>
          <w:sz w:val="22"/>
          <w:szCs w:val="22"/>
          <w:lang w:val="es-ES"/>
        </w:rPr>
        <w:footnoteReference w:id="521"/>
      </w:r>
      <w:r w:rsidRPr="00B90432">
        <w:rPr>
          <w:rFonts w:asciiTheme="minorHAnsi" w:hAnsiTheme="minorHAnsi"/>
          <w:bCs/>
        </w:rPr>
        <w:t xml:space="preserve"> The same day, in Ciudad Pedro de Alvarado, Department of Jutiapa, four other teachers were reportedly arrested for blocking the highway. Likewise, in Puerto Quetzal, Department of Escuintla, seven teachers were said to have been apprehended by the PNC while taking part in the demonstrations, although they were released after speaking with the authorities. According to the information available, la PNC used tear gas to disperse the crowd and no injuries were reported.</w:t>
      </w:r>
      <w:r w:rsidRPr="00B90432">
        <w:rPr>
          <w:rStyle w:val="FootnoteReference"/>
          <w:rFonts w:asciiTheme="minorHAnsi" w:hAnsiTheme="minorHAnsi"/>
          <w:bCs/>
          <w:sz w:val="22"/>
          <w:szCs w:val="22"/>
          <w:lang w:val="es-ES"/>
        </w:rPr>
        <w:footnoteReference w:id="522"/>
      </w:r>
    </w:p>
    <w:p w14:paraId="65F36244"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Guatemala also saw numerous social protests and demonstrations this year stemming from the country’s political turmoil. This resulted, among other things, in President Jimmy Morales decision to declare Iván Velásquez, head of the International Commission against Impunity in Guatemala (CICIG) </w:t>
      </w:r>
      <w:r w:rsidRPr="00B90432">
        <w:rPr>
          <w:rFonts w:asciiTheme="minorHAnsi" w:hAnsiTheme="minorHAnsi"/>
          <w:i/>
        </w:rPr>
        <w:t>persona</w:t>
      </w:r>
      <w:r w:rsidRPr="00B90432">
        <w:rPr>
          <w:rFonts w:asciiTheme="minorHAnsi" w:hAnsiTheme="minorHAnsi"/>
        </w:rPr>
        <w:t xml:space="preserve"> </w:t>
      </w:r>
      <w:r w:rsidRPr="00B90432">
        <w:rPr>
          <w:rFonts w:asciiTheme="minorHAnsi" w:hAnsiTheme="minorHAnsi"/>
          <w:i/>
        </w:rPr>
        <w:t>non grata</w:t>
      </w:r>
      <w:r w:rsidRPr="00B90432">
        <w:rPr>
          <w:rFonts w:asciiTheme="minorHAnsi" w:hAnsiTheme="minorHAnsi"/>
        </w:rPr>
        <w:t>, after he and the Office of the Attorney General accused President Morales of irregularities during the campaign that carried him to power in 2016. In view of this situation, on September 12 the IACHR issued a resolution on human rights, impunity, and corruption in Guatemala, urging the State to “fulfill [its] obligation to protect human rights defenders, whistleblowers, journalists, and media outlets, which face particular risk when they investigate and disseminate information on corruption,” among other things.</w:t>
      </w:r>
      <w:r w:rsidRPr="00B90432">
        <w:rPr>
          <w:rStyle w:val="FootnoteReference"/>
          <w:rFonts w:asciiTheme="minorHAnsi" w:hAnsiTheme="minorHAnsi"/>
          <w:sz w:val="22"/>
          <w:szCs w:val="22"/>
          <w:lang w:val="es-ES_tradnl"/>
        </w:rPr>
        <w:footnoteReference w:id="523"/>
      </w:r>
      <w:r w:rsidRPr="00B90432">
        <w:rPr>
          <w:rFonts w:asciiTheme="minorHAnsi" w:hAnsiTheme="minorHAnsi"/>
        </w:rPr>
        <w:t xml:space="preserve"> </w:t>
      </w:r>
    </w:p>
    <w:p w14:paraId="450DC25D"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lastRenderedPageBreak/>
        <w:t xml:space="preserve">On September 14, a group of individuals demonstrated in the </w:t>
      </w:r>
      <w:r w:rsidRPr="00B90432">
        <w:rPr>
          <w:rFonts w:asciiTheme="minorHAnsi" w:hAnsiTheme="minorHAnsi"/>
          <w:bCs/>
          <w:i/>
        </w:rPr>
        <w:t>Plaza de la Constitución</w:t>
      </w:r>
      <w:r w:rsidRPr="00B90432">
        <w:rPr>
          <w:rFonts w:asciiTheme="minorHAnsi" w:hAnsiTheme="minorHAnsi"/>
          <w:bCs/>
        </w:rPr>
        <w:t xml:space="preserve"> in Guatemala City, across from the Congress of the Republic, to reject the amendments made to the Criminal Code by decrees 14-2017 and 15-2017 which, upon entering into force, would benefit politicians investigated for electoral crimes. They also demanded the resignation of the 107 members of congress who had voted for the amendments. There was a certain degree of tension between the demonstrators and the Military Police (PM) and officers from the Secretariat of </w:t>
      </w:r>
      <w:r w:rsidRPr="00B90432">
        <w:rPr>
          <w:rFonts w:asciiTheme="minorHAnsi" w:hAnsiTheme="minorHAnsi"/>
          <w:bCs/>
          <w:iCs/>
        </w:rPr>
        <w:t>Administrative</w:t>
      </w:r>
      <w:r w:rsidRPr="00B90432">
        <w:rPr>
          <w:rFonts w:asciiTheme="minorHAnsi" w:hAnsiTheme="minorHAnsi"/>
          <w:bCs/>
        </w:rPr>
        <w:t xml:space="preserve"> and </w:t>
      </w:r>
      <w:r w:rsidRPr="00B90432">
        <w:rPr>
          <w:rFonts w:asciiTheme="minorHAnsi" w:hAnsiTheme="minorHAnsi"/>
          <w:bCs/>
          <w:iCs/>
        </w:rPr>
        <w:t>Security</w:t>
      </w:r>
      <w:r w:rsidRPr="00B90432">
        <w:rPr>
          <w:rFonts w:asciiTheme="minorHAnsi" w:hAnsiTheme="minorHAnsi"/>
          <w:bCs/>
        </w:rPr>
        <w:t xml:space="preserve"> Affairs of the Presidency (SAAS) guarding the </w:t>
      </w:r>
      <w:r w:rsidRPr="00B90432">
        <w:rPr>
          <w:rFonts w:asciiTheme="minorHAnsi" w:hAnsiTheme="minorHAnsi"/>
          <w:bCs/>
          <w:i/>
        </w:rPr>
        <w:t>Plaza de la Constitución</w:t>
      </w:r>
      <w:r w:rsidRPr="00B90432">
        <w:rPr>
          <w:rFonts w:asciiTheme="minorHAnsi" w:hAnsiTheme="minorHAnsi"/>
          <w:bCs/>
        </w:rPr>
        <w:t>.</w:t>
      </w:r>
      <w:r w:rsidRPr="00B90432">
        <w:rPr>
          <w:rStyle w:val="FootnoteReference"/>
          <w:rFonts w:asciiTheme="minorHAnsi" w:hAnsiTheme="minorHAnsi"/>
          <w:bCs/>
          <w:sz w:val="22"/>
          <w:szCs w:val="22"/>
          <w:lang w:val="es-ES"/>
        </w:rPr>
        <w:footnoteReference w:id="524"/>
      </w:r>
      <w:r w:rsidRPr="00B90432">
        <w:rPr>
          <w:rFonts w:asciiTheme="minorHAnsi" w:hAnsiTheme="minorHAnsi"/>
          <w:bCs/>
        </w:rPr>
        <w:t xml:space="preserve"> Consequently, President Jimmy Morales issued a statement rejecting “all acts and displays of violence,” and indicated that he had instructed the country’s security authorities to investigate who had been responsible for those acts.</w:t>
      </w:r>
      <w:r w:rsidRPr="00B90432">
        <w:rPr>
          <w:rStyle w:val="FootnoteReference"/>
          <w:rFonts w:asciiTheme="minorHAnsi" w:hAnsiTheme="minorHAnsi"/>
          <w:bCs/>
          <w:sz w:val="22"/>
          <w:szCs w:val="22"/>
          <w:lang w:val="es-ES"/>
        </w:rPr>
        <w:footnoteReference w:id="525"/>
      </w:r>
    </w:p>
    <w:p w14:paraId="3BE646B2"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The following day, the protests outside the Legislative Palace continued, while members of the House of Representatives held an extraordinary session to review the amendments to the Criminal Code. The session resulted in the shelving of both decrees. The Military Police (PM) reportedly dispersed the protest with pepper spray.</w:t>
      </w:r>
      <w:r w:rsidRPr="00B90432">
        <w:rPr>
          <w:rStyle w:val="FootnoteReference"/>
          <w:rFonts w:asciiTheme="minorHAnsi" w:hAnsiTheme="minorHAnsi"/>
          <w:bCs/>
          <w:sz w:val="22"/>
          <w:szCs w:val="22"/>
          <w:lang w:val="es-ES"/>
        </w:rPr>
        <w:footnoteReference w:id="526"/>
      </w:r>
      <w:r w:rsidRPr="00B90432">
        <w:rPr>
          <w:rFonts w:asciiTheme="minorHAnsi" w:hAnsiTheme="minorHAnsi"/>
          <w:bCs/>
        </w:rPr>
        <w:t xml:space="preserve"> One representative from the </w:t>
      </w:r>
      <w:r w:rsidRPr="00B90432">
        <w:rPr>
          <w:rFonts w:asciiTheme="minorHAnsi" w:hAnsiTheme="minorHAnsi"/>
          <w:bCs/>
          <w:i/>
        </w:rPr>
        <w:t>FCN-Nación</w:t>
      </w:r>
      <w:r w:rsidRPr="00B90432">
        <w:rPr>
          <w:rFonts w:asciiTheme="minorHAnsi" w:hAnsiTheme="minorHAnsi"/>
          <w:bCs/>
        </w:rPr>
        <w:t xml:space="preserve"> party reportedly called the demonstrators “terrorists.”</w:t>
      </w:r>
      <w:r w:rsidRPr="00B90432">
        <w:rPr>
          <w:rStyle w:val="FootnoteReference"/>
          <w:rFonts w:asciiTheme="minorHAnsi" w:hAnsiTheme="minorHAnsi"/>
          <w:bCs/>
          <w:sz w:val="22"/>
          <w:szCs w:val="22"/>
          <w:lang w:val="es-ES"/>
        </w:rPr>
        <w:footnoteReference w:id="527"/>
      </w:r>
      <w:r w:rsidRPr="00B90432">
        <w:rPr>
          <w:rFonts w:asciiTheme="minorHAnsi" w:hAnsiTheme="minorHAnsi"/>
          <w:bCs/>
        </w:rPr>
        <w:t xml:space="preserve"> A video also shows that when the representatives exited a bus at the Legislative Palace, some of them hurled insults and made vulgar gestures at the demonstrators.</w:t>
      </w:r>
      <w:r w:rsidRPr="00B90432">
        <w:rPr>
          <w:rStyle w:val="FootnoteReference"/>
          <w:rFonts w:asciiTheme="minorHAnsi" w:hAnsiTheme="minorHAnsi"/>
          <w:bCs/>
          <w:sz w:val="22"/>
          <w:szCs w:val="22"/>
          <w:lang w:val="es-ES"/>
        </w:rPr>
        <w:footnoteReference w:id="528"/>
      </w:r>
    </w:p>
    <w:p w14:paraId="0C32FD7F"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 xml:space="preserve">On September 16, referring to the previous day’s events, Human Rights Ombudsman Jordán Rodas allegedly stated that among the demonstrators </w:t>
      </w:r>
      <w:r w:rsidRPr="00B90432">
        <w:rPr>
          <w:rFonts w:asciiTheme="minorHAnsi" w:hAnsiTheme="minorHAnsi"/>
          <w:iCs/>
        </w:rPr>
        <w:t xml:space="preserve">it was known that there were infiltrators, not part of the social movement, who intended to leave a negative impression of the civic action. According </w:t>
      </w:r>
      <w:r w:rsidRPr="00B90432">
        <w:rPr>
          <w:rFonts w:asciiTheme="minorHAnsi" w:hAnsiTheme="minorHAnsi"/>
          <w:iCs/>
        </w:rPr>
        <w:lastRenderedPageBreak/>
        <w:t>to him, among people trying to destabilize the demonstrations there were security staff of some congressmen.</w:t>
      </w:r>
      <w:r w:rsidRPr="00B90432">
        <w:rPr>
          <w:rStyle w:val="FootnoteReference"/>
          <w:rFonts w:asciiTheme="minorHAnsi" w:hAnsiTheme="minorHAnsi"/>
          <w:bCs/>
          <w:sz w:val="22"/>
          <w:szCs w:val="22"/>
          <w:lang w:val="es-ES"/>
        </w:rPr>
        <w:footnoteReference w:id="529"/>
      </w:r>
      <w:r w:rsidRPr="00B90432">
        <w:rPr>
          <w:rFonts w:asciiTheme="minorHAnsi" w:hAnsiTheme="minorHAnsi"/>
          <w:bCs/>
        </w:rPr>
        <w:t xml:space="preserve"> </w:t>
      </w:r>
    </w:p>
    <w:p w14:paraId="1B33BB05" w14:textId="77777777" w:rsidR="00CD0E32" w:rsidRPr="00B90432" w:rsidRDefault="00CD0E32" w:rsidP="00BE721D">
      <w:pPr>
        <w:pStyle w:val="Numberedparagraphs"/>
        <w:rPr>
          <w:rFonts w:asciiTheme="minorHAnsi" w:hAnsiTheme="minorHAnsi"/>
          <w:bCs/>
        </w:rPr>
      </w:pPr>
      <w:r w:rsidRPr="00B90432">
        <w:rPr>
          <w:rFonts w:asciiTheme="minorHAnsi" w:hAnsiTheme="minorHAnsi"/>
          <w:bCs/>
        </w:rPr>
        <w:t>The same day, the Constitutional Court [</w:t>
      </w:r>
      <w:r w:rsidRPr="00B90432">
        <w:rPr>
          <w:rFonts w:asciiTheme="minorHAnsi" w:hAnsiTheme="minorHAnsi"/>
          <w:bCs/>
          <w:i/>
        </w:rPr>
        <w:t>Corte de Constitucionalidad</w:t>
      </w:r>
      <w:r w:rsidRPr="00B90432">
        <w:rPr>
          <w:rFonts w:asciiTheme="minorHAnsi" w:hAnsiTheme="minorHAnsi"/>
          <w:bCs/>
        </w:rPr>
        <w:t>](CC) admitted two petitions for constitutional remedies [</w:t>
      </w:r>
      <w:r w:rsidRPr="00B90432">
        <w:rPr>
          <w:rFonts w:asciiTheme="minorHAnsi" w:hAnsiTheme="minorHAnsi"/>
          <w:bCs/>
          <w:i/>
        </w:rPr>
        <w:t>amparos</w:t>
      </w:r>
      <w:r w:rsidRPr="00B90432">
        <w:rPr>
          <w:rFonts w:asciiTheme="minorHAnsi" w:hAnsiTheme="minorHAnsi"/>
          <w:bCs/>
        </w:rPr>
        <w:t>] filed by the Office of the Human Rights Ombudsman [</w:t>
      </w:r>
      <w:r w:rsidRPr="00B90432">
        <w:rPr>
          <w:rFonts w:asciiTheme="minorHAnsi" w:hAnsiTheme="minorHAnsi"/>
          <w:bCs/>
          <w:i/>
        </w:rPr>
        <w:t>Procuraduría de los Derechos Humanos</w:t>
      </w:r>
      <w:r w:rsidRPr="00B90432">
        <w:rPr>
          <w:rFonts w:asciiTheme="minorHAnsi" w:hAnsiTheme="minorHAnsi"/>
          <w:bCs/>
        </w:rPr>
        <w:t>] (PDH). In its decision, the CC held that the authorities “</w:t>
      </w:r>
      <w:r w:rsidRPr="00B90432">
        <w:rPr>
          <w:rFonts w:asciiTheme="minorHAnsi" w:hAnsiTheme="minorHAnsi"/>
        </w:rPr>
        <w:t xml:space="preserve">must allow the exercise of the rights to free movement, free expression of thought, assembly, and protest,” </w:t>
      </w:r>
      <w:r w:rsidRPr="00B90432">
        <w:rPr>
          <w:rFonts w:asciiTheme="minorHAnsi" w:hAnsiTheme="minorHAnsi"/>
          <w:bCs/>
        </w:rPr>
        <w:t>and that the President must adhere to the decision, instructing the Ministry of the Interior</w:t>
      </w:r>
      <w:r w:rsidRPr="00B90432">
        <w:rPr>
          <w:rFonts w:asciiTheme="minorHAnsi" w:hAnsiTheme="minorHAnsi"/>
        </w:rPr>
        <w:t xml:space="preserve"> </w:t>
      </w:r>
      <w:r w:rsidRPr="00B90432">
        <w:rPr>
          <w:rFonts w:asciiTheme="minorHAnsi" w:hAnsiTheme="minorHAnsi"/>
          <w:bCs/>
        </w:rPr>
        <w:t>and the National Civil Police (PNC) to comply with the decision and allow demonstrators to exercise their rights peacefully.</w:t>
      </w:r>
      <w:r w:rsidRPr="00B90432">
        <w:rPr>
          <w:rStyle w:val="FootnoteReference"/>
          <w:rFonts w:asciiTheme="minorHAnsi" w:hAnsiTheme="minorHAnsi"/>
          <w:bCs/>
          <w:sz w:val="22"/>
          <w:szCs w:val="22"/>
          <w:lang w:val="es-ES"/>
        </w:rPr>
        <w:footnoteReference w:id="530"/>
      </w:r>
      <w:r w:rsidRPr="00B90432">
        <w:rPr>
          <w:rFonts w:asciiTheme="minorHAnsi" w:hAnsiTheme="minorHAnsi"/>
          <w:bCs/>
        </w:rPr>
        <w:t xml:space="preserve"> The same day, the Guatemalan government released a statement on Twitter indicating that it would comply with the decision.</w:t>
      </w:r>
      <w:r w:rsidRPr="00B90432">
        <w:rPr>
          <w:rStyle w:val="FootnoteReference"/>
          <w:rFonts w:asciiTheme="minorHAnsi" w:hAnsiTheme="minorHAnsi"/>
          <w:bCs/>
          <w:sz w:val="22"/>
          <w:szCs w:val="22"/>
          <w:lang w:val="es-ES"/>
        </w:rPr>
        <w:footnoteReference w:id="531"/>
      </w:r>
      <w:r w:rsidRPr="00B90432">
        <w:rPr>
          <w:rFonts w:asciiTheme="minorHAnsi" w:hAnsiTheme="minorHAnsi"/>
          <w:bCs/>
        </w:rPr>
        <w:t xml:space="preserve"> </w:t>
      </w:r>
    </w:p>
    <w:p w14:paraId="2A9A660A" w14:textId="77777777" w:rsidR="00CD0E32" w:rsidRPr="00B90432" w:rsidRDefault="00CD0E32" w:rsidP="00BE721D">
      <w:pPr>
        <w:pStyle w:val="Numberedparagraphs"/>
        <w:rPr>
          <w:rFonts w:asciiTheme="minorHAnsi" w:hAnsiTheme="minorHAnsi"/>
        </w:rPr>
      </w:pPr>
      <w:r w:rsidRPr="00B90432">
        <w:rPr>
          <w:rFonts w:asciiTheme="minorHAnsi" w:hAnsiTheme="minorHAnsi"/>
        </w:rPr>
        <w:t>On September 24, at a public meeting attended by ranchers and agribusiness leaders, as well as President Jimmy Morales, the governor of the Department of Izabal reportedly stated in reference to the social protests that had taken place in the past month, that “We are not going to allow small minority groups that have no representation to demand [the President’s] resignation,” later adding that, “out of respect and loyalty to the Guatemalan people, we have to say no to those people that were demonstrating—they are not a big deal.” Finally, he stated that “For five or ten thousand people to gather in the square, those people have [been paid], and that is why they can’t claim to be speaking on behalf of honest and hardworking Guatemalans.”</w:t>
      </w:r>
      <w:r w:rsidRPr="00B90432">
        <w:rPr>
          <w:rFonts w:asciiTheme="minorHAnsi" w:hAnsiTheme="minorHAnsi"/>
          <w:vertAlign w:val="superscript"/>
        </w:rPr>
        <w:footnoteReference w:id="532"/>
      </w:r>
    </w:p>
    <w:p w14:paraId="00496275" w14:textId="77777777" w:rsidR="00CD0E32" w:rsidRPr="00B90432" w:rsidRDefault="00CD0E32" w:rsidP="00BE721D">
      <w:pPr>
        <w:pStyle w:val="Numberedparagraphs"/>
        <w:rPr>
          <w:rFonts w:asciiTheme="minorHAnsi" w:hAnsiTheme="minorHAnsi"/>
          <w:b/>
          <w:bCs/>
        </w:rPr>
      </w:pPr>
      <w:r w:rsidRPr="00B90432">
        <w:rPr>
          <w:rFonts w:asciiTheme="minorHAnsi" w:hAnsiTheme="minorHAnsi"/>
        </w:rPr>
        <w:t>The IACHR has reiterated that social protest is a fundamental tool for defending human rights and it is essential for expressing social and political criticism on the activities of the authorities. The Commission has stated that “in principle, criminalization per se of demonstrations in public thoroughfares is inadmissible when they are carried out in exercise of the rights to freedom of expression and to freedom of assembly”</w:t>
      </w:r>
      <w:r w:rsidRPr="00B90432">
        <w:rPr>
          <w:rFonts w:asciiTheme="minorHAnsi" w:hAnsiTheme="minorHAnsi"/>
          <w:vertAlign w:val="superscript"/>
        </w:rPr>
        <w:t xml:space="preserve"> </w:t>
      </w:r>
      <w:r w:rsidRPr="00B90432">
        <w:rPr>
          <w:rFonts w:asciiTheme="minorHAnsi" w:hAnsiTheme="minorHAnsi"/>
          <w:vertAlign w:val="superscript"/>
          <w:lang w:val="es-ES"/>
        </w:rPr>
        <w:footnoteReference w:id="533"/>
      </w:r>
      <w:r w:rsidRPr="00B90432">
        <w:rPr>
          <w:rFonts w:asciiTheme="minorHAnsi" w:hAnsiTheme="minorHAnsi"/>
        </w:rPr>
        <w:t xml:space="preserve"> and that </w:t>
      </w:r>
      <w:r w:rsidRPr="00B90432">
        <w:rPr>
          <w:rFonts w:asciiTheme="minorHAnsi" w:hAnsiTheme="minorHAnsi"/>
        </w:rPr>
        <w:lastRenderedPageBreak/>
        <w:t>“the exercise of the right of assembly through social protest must not be subject to authorization on the part of the authorities or to excessive requirements that make such protests difficult to carry out.”</w:t>
      </w:r>
      <w:r w:rsidRPr="00B90432">
        <w:rPr>
          <w:rFonts w:asciiTheme="minorHAnsi" w:hAnsiTheme="minorHAnsi"/>
          <w:vertAlign w:val="superscript"/>
          <w:lang w:val="es-ES"/>
        </w:rPr>
        <w:footnoteReference w:id="534"/>
      </w:r>
    </w:p>
    <w:p w14:paraId="1A52C74C" w14:textId="77777777" w:rsidR="00CD0E32" w:rsidRPr="00B90432" w:rsidRDefault="00CD0E32" w:rsidP="00BE721D">
      <w:pPr>
        <w:pStyle w:val="Numberedparagraphs"/>
        <w:rPr>
          <w:rFonts w:asciiTheme="minorHAnsi" w:hAnsiTheme="minorHAnsi"/>
        </w:rPr>
      </w:pPr>
      <w:r w:rsidRPr="00B90432">
        <w:rPr>
          <w:rFonts w:asciiTheme="minorHAnsi" w:hAnsiTheme="minorHAnsi"/>
        </w:rPr>
        <w:t>Also, the Joint Declaration on violence against journalists and media workers in the context of protests, adopted in 2013, establishes that the rights of assembly and freedom of expression “are fundamental, and guaranteeing them is a vital condition to the existence and proper functioning of a democratic society. A State may impose reasonable limitations on demonstrations for purposes of ensuring that they are conducted peacefully, or to disperse those that turn violent, provided that such limits are governed by the principles of legality, necessity, and proportionality. In addition, the breaking-up of a demonstration must be warranted by the duty to protect individuals, and authorities must use the measures that are safest and least harmful to the demonstrators. The use of force at public demonstrations must be an exception, used under strictly necessary circumstances consistent with internationally recognized principles.”</w:t>
      </w:r>
      <w:r w:rsidRPr="00B90432">
        <w:rPr>
          <w:rFonts w:asciiTheme="minorHAnsi" w:hAnsiTheme="minorHAnsi"/>
          <w:vertAlign w:val="superscript"/>
          <w:lang w:val="es-ES"/>
        </w:rPr>
        <w:footnoteReference w:id="535"/>
      </w:r>
      <w:r w:rsidRPr="00B90432">
        <w:rPr>
          <w:rFonts w:asciiTheme="minorHAnsi" w:hAnsiTheme="minorHAnsi"/>
        </w:rPr>
        <w:t xml:space="preserve"> Finally, the Inter-American Commission has found that any kind of arbitrary or abusive interference that affects the privacy of human rights defenders and their organizations is prohibited by the American Declaration and Convention.</w:t>
      </w:r>
      <w:r w:rsidRPr="00B90432">
        <w:rPr>
          <w:rFonts w:asciiTheme="minorHAnsi" w:hAnsiTheme="minorHAnsi"/>
          <w:vertAlign w:val="superscript"/>
          <w:lang w:val="es-ES"/>
        </w:rPr>
        <w:footnoteReference w:id="536"/>
      </w:r>
      <w:r w:rsidRPr="00B90432">
        <w:rPr>
          <w:rFonts w:asciiTheme="minorHAnsi" w:hAnsiTheme="minorHAnsi"/>
        </w:rPr>
        <w:t xml:space="preserve"> </w:t>
      </w:r>
    </w:p>
    <w:p w14:paraId="74B46934" w14:textId="77777777" w:rsidR="00CD0E32" w:rsidRPr="00B90432" w:rsidRDefault="00CD0E32" w:rsidP="00BE721D">
      <w:pPr>
        <w:pStyle w:val="Numberedparagraphs"/>
        <w:rPr>
          <w:rFonts w:asciiTheme="minorHAnsi" w:hAnsiTheme="minorHAnsi"/>
        </w:rPr>
      </w:pPr>
      <w:r w:rsidRPr="00B90432">
        <w:rPr>
          <w:rFonts w:asciiTheme="minorHAnsi" w:hAnsiTheme="minorHAnsi"/>
        </w:rPr>
        <w:t>With respect to the use of force in contexts of social protest, the IACHR presented standards on the subject in its 2015 report on the Use of Force.</w:t>
      </w:r>
      <w:r w:rsidRPr="00B90432">
        <w:rPr>
          <w:rFonts w:asciiTheme="minorHAnsi" w:hAnsiTheme="minorHAnsi"/>
          <w:vertAlign w:val="superscript"/>
          <w:lang w:val="es-ES"/>
        </w:rPr>
        <w:footnoteReference w:id="537"/>
      </w:r>
      <w:r w:rsidRPr="00B90432">
        <w:rPr>
          <w:rFonts w:asciiTheme="minorHAnsi" w:hAnsiTheme="minorHAnsi"/>
          <w:vertAlign w:val="superscript"/>
        </w:rPr>
        <w:t xml:space="preserve"> </w:t>
      </w:r>
      <w:r w:rsidRPr="00B90432">
        <w:rPr>
          <w:rFonts w:asciiTheme="minorHAnsi" w:hAnsiTheme="minorHAnsi"/>
        </w:rPr>
        <w:t xml:space="preserve">The IACHR indicated that “the imperative social interest of the right to participate in public demonstrations means that there is a general presumption in favor of its exercise.” The IACHR affirmed that “the presumption in favor of the exercise of social protest implies that the States must act on the basis of the legality of the protests or public demonstrations and on the assumption that they do not constitute a threat to public order, even in the cases that are made without prior notice.” Police action should have as its main objective the facilitation and not containment or confrontation with the demonstrators. Hence, police operations organized in the context of protests should be guided, as a general rule, to guarantee the exercise of this right and the protection of </w:t>
      </w:r>
      <w:r w:rsidRPr="00B90432">
        <w:rPr>
          <w:rFonts w:asciiTheme="minorHAnsi" w:hAnsiTheme="minorHAnsi"/>
        </w:rPr>
        <w:lastRenderedPageBreak/>
        <w:t>protesters and third parties present. In this sense, the Commission has considered that the mere deconcentration of a demonstration does not constitute, in itself, a legitimate end that justifies the use of force by the security forces. “When a demonstration or protest leads to situations of violence, it must be understood that the State was not able to guarantee the exercise of this right.”</w:t>
      </w:r>
    </w:p>
    <w:p w14:paraId="4834D9BF" w14:textId="626DB43A" w:rsidR="00CD0E32" w:rsidRPr="007D3ACE" w:rsidRDefault="00CD0E32" w:rsidP="007D3ACE">
      <w:pPr>
        <w:pStyle w:val="Heading2"/>
      </w:pPr>
      <w:bookmarkStart w:id="70" w:name="_Toc509827672"/>
      <w:r w:rsidRPr="007D3ACE">
        <w:t xml:space="preserve">Access to </w:t>
      </w:r>
      <w:r w:rsidR="002C41EC" w:rsidRPr="007D3ACE">
        <w:t>Public Information</w:t>
      </w:r>
      <w:bookmarkEnd w:id="70"/>
      <w:r w:rsidR="002C41EC" w:rsidRPr="007D3ACE">
        <w:t xml:space="preserve"> </w:t>
      </w:r>
    </w:p>
    <w:p w14:paraId="2E9248FB" w14:textId="77777777" w:rsidR="00CD0E32" w:rsidRPr="00B90432" w:rsidRDefault="00CD0E32" w:rsidP="00BE721D">
      <w:pPr>
        <w:pStyle w:val="Numberedparagraphs"/>
        <w:rPr>
          <w:rFonts w:asciiTheme="minorHAnsi" w:hAnsiTheme="minorHAnsi"/>
        </w:rPr>
      </w:pPr>
      <w:r w:rsidRPr="00B90432">
        <w:rPr>
          <w:rFonts w:asciiTheme="minorHAnsi" w:hAnsiTheme="minorHAnsi"/>
        </w:rPr>
        <w:t>The right to access to public information in Guatemala is provided in the Constitution of Guatemala, as well as in the ordinary law, through the Access to Public Information Act [</w:t>
      </w:r>
      <w:r w:rsidRPr="00B90432">
        <w:rPr>
          <w:rFonts w:asciiTheme="minorHAnsi" w:hAnsiTheme="minorHAnsi"/>
          <w:i/>
        </w:rPr>
        <w:t>Ley de Acceso a la Información Pública</w:t>
      </w:r>
      <w:r w:rsidRPr="00B90432">
        <w:rPr>
          <w:rFonts w:asciiTheme="minorHAnsi" w:hAnsiTheme="minorHAnsi"/>
        </w:rPr>
        <w:t>] (LAIP), Decree 57-2008, passed in 2008 by the Congress of the Republic, which further designates the Human Rights Ombudsman (PDH) as its regulating entity.</w:t>
      </w:r>
      <w:r w:rsidRPr="00B90432">
        <w:rPr>
          <w:rStyle w:val="FootnoteReference"/>
          <w:rFonts w:asciiTheme="minorHAnsi" w:hAnsiTheme="minorHAnsi"/>
          <w:sz w:val="22"/>
          <w:szCs w:val="22"/>
          <w:lang w:val="es-ES"/>
        </w:rPr>
        <w:footnoteReference w:id="538"/>
      </w:r>
      <w:r w:rsidRPr="00B90432">
        <w:rPr>
          <w:rFonts w:asciiTheme="minorHAnsi" w:hAnsiTheme="minorHAnsi"/>
        </w:rPr>
        <w:t xml:space="preserve"> </w:t>
      </w:r>
    </w:p>
    <w:p w14:paraId="3D06A1CC" w14:textId="77777777" w:rsidR="00CD0E32" w:rsidRPr="00B90432" w:rsidRDefault="00CD0E32" w:rsidP="00BE721D">
      <w:pPr>
        <w:pStyle w:val="Numberedparagraphs"/>
        <w:rPr>
          <w:rFonts w:asciiTheme="minorHAnsi" w:hAnsiTheme="minorHAnsi"/>
        </w:rPr>
      </w:pPr>
      <w:r w:rsidRPr="00B90432">
        <w:rPr>
          <w:rFonts w:asciiTheme="minorHAnsi" w:hAnsiTheme="minorHAnsi"/>
        </w:rPr>
        <w:t xml:space="preserve">According to the PDH, progress was made in the implementation of the Access to Information Act in 2016, “to the extent that the number of Access to Information Units, Electronic Portals, Reports of Entities Subject to the Law, and public requests have all risen.” Nevertheless, he indicated that certain challenges remain in view of the low levels of compliance, especially in areas outside the capital, in the municipal governments and development councils. At the central level, noncompliance is said to be notable among trusts, non-governmental entities that handle funds, and entities in the sports sector. He further asserted that there are structural challenges such as “the politicization, corruption, and social inequality of the country, which has hindered the exercise of the right in outlying areas, specifically in municipalities where citizens have considerable interest in how resources are managed, but procedures at times are not carried out correctly due to unfamiliarity with the law”, affirmed the </w:t>
      </w:r>
      <w:r w:rsidRPr="00B90432">
        <w:rPr>
          <w:rFonts w:asciiTheme="minorHAnsi" w:hAnsiTheme="minorHAnsi"/>
          <w:bCs/>
        </w:rPr>
        <w:t xml:space="preserve">Human Rights </w:t>
      </w:r>
      <w:r w:rsidRPr="00B90432">
        <w:rPr>
          <w:rFonts w:asciiTheme="minorHAnsi" w:hAnsiTheme="minorHAnsi"/>
        </w:rPr>
        <w:t>Ombudsman</w:t>
      </w:r>
      <w:r w:rsidRPr="00B90432">
        <w:rPr>
          <w:rStyle w:val="FootnoteReference"/>
          <w:rFonts w:asciiTheme="minorHAnsi" w:hAnsiTheme="minorHAnsi"/>
          <w:sz w:val="22"/>
          <w:szCs w:val="22"/>
          <w:lang w:val="es-ES"/>
        </w:rPr>
        <w:footnoteReference w:id="539"/>
      </w:r>
      <w:r w:rsidRPr="00B90432">
        <w:rPr>
          <w:rFonts w:asciiTheme="minorHAnsi" w:hAnsiTheme="minorHAnsi"/>
        </w:rPr>
        <w:t xml:space="preserve"> </w:t>
      </w:r>
    </w:p>
    <w:p w14:paraId="4279D611" w14:textId="77777777" w:rsidR="00CD0E32" w:rsidRPr="00B90432" w:rsidRDefault="00CD0E32" w:rsidP="00BE721D">
      <w:pPr>
        <w:pStyle w:val="Numberedparagraphs"/>
        <w:rPr>
          <w:rFonts w:asciiTheme="minorHAnsi" w:hAnsiTheme="minorHAnsi"/>
        </w:rPr>
      </w:pPr>
      <w:r w:rsidRPr="00B90432">
        <w:rPr>
          <w:rFonts w:asciiTheme="minorHAnsi" w:hAnsiTheme="minorHAnsi"/>
        </w:rPr>
        <w:softHyphen/>
        <w:t xml:space="preserve">According to the information available, between 2012 and 2016 the PDH documented an exponential increase in the number of requests for access to public information submitted to the mechanisms established by the LAIP. This is reflected in the 21,944 requests received in 2012, compared to 63,830 in 2016. Nevertheless, in this context, the PDH identified two </w:t>
      </w:r>
      <w:r w:rsidRPr="00B90432">
        <w:rPr>
          <w:rFonts w:asciiTheme="minorHAnsi" w:hAnsiTheme="minorHAnsi"/>
        </w:rPr>
        <w:lastRenderedPageBreak/>
        <w:t>related challenges: first, to compare figures on the gender of the persons requesting information, and second, to promote the use of the legally created mechanisms throughout the country to prevent the geographic concentration of requests in the Department of Guatemala.</w:t>
      </w:r>
      <w:r w:rsidRPr="00B90432">
        <w:rPr>
          <w:rStyle w:val="FootnoteReference"/>
          <w:rFonts w:asciiTheme="minorHAnsi" w:hAnsiTheme="minorHAnsi"/>
          <w:sz w:val="22"/>
          <w:szCs w:val="22"/>
          <w:lang w:val="es-ES_tradnl"/>
        </w:rPr>
        <w:footnoteReference w:id="540"/>
      </w:r>
      <w:r w:rsidRPr="00B90432">
        <w:rPr>
          <w:rFonts w:asciiTheme="minorHAnsi" w:hAnsiTheme="minorHAnsi"/>
        </w:rPr>
        <w:t xml:space="preserve"> In July 2017, the Public Ministry (MP) and the PDH reportedly signed an inter-institutional cooperation agreement. Its objective is to strengthen the LAIP through the creation of one agency under the responsibility of the MP that will hear and decide complaints alleging noncompliance with the law, and another that will provide guidance to complainants in those proceedings, under the direction of the PDH.</w:t>
      </w:r>
      <w:r w:rsidRPr="00B90432">
        <w:rPr>
          <w:rStyle w:val="FootnoteReference"/>
          <w:rFonts w:asciiTheme="minorHAnsi" w:hAnsiTheme="minorHAnsi"/>
          <w:sz w:val="22"/>
          <w:szCs w:val="22"/>
          <w:lang w:val="es-ES_tradnl"/>
        </w:rPr>
        <w:footnoteReference w:id="541"/>
      </w:r>
      <w:r w:rsidRPr="00B90432">
        <w:rPr>
          <w:rFonts w:asciiTheme="minorHAnsi" w:hAnsiTheme="minorHAnsi"/>
        </w:rPr>
        <w:t xml:space="preserve"> The new Human Rights Ombudsman, Jordán Rodas Andrade, reportedly confirmed that the agreement remains in effect.</w:t>
      </w:r>
      <w:r w:rsidRPr="00B90432">
        <w:rPr>
          <w:rStyle w:val="FootnoteReference"/>
          <w:rFonts w:asciiTheme="minorHAnsi" w:hAnsiTheme="minorHAnsi"/>
          <w:sz w:val="22"/>
          <w:szCs w:val="22"/>
          <w:lang w:val="es-ES_tradnl"/>
        </w:rPr>
        <w:footnoteReference w:id="542"/>
      </w:r>
    </w:p>
    <w:p w14:paraId="5716248A" w14:textId="77777777" w:rsidR="00CD0E32" w:rsidRPr="00B90432" w:rsidRDefault="00CD0E32" w:rsidP="00BE721D">
      <w:pPr>
        <w:pStyle w:val="Numberedparagraphs"/>
        <w:rPr>
          <w:rFonts w:asciiTheme="minorHAnsi" w:hAnsiTheme="minorHAnsi"/>
        </w:rPr>
      </w:pPr>
      <w:r w:rsidRPr="00B90432">
        <w:rPr>
          <w:rFonts w:asciiTheme="minorHAnsi" w:hAnsiTheme="minorHAnsi"/>
        </w:rPr>
        <w:t>Principle 4 of the Declaration of Principles on Freedom of Expression states that “[a]ccess to information held by the state is a fundamental right of every individual. States have the obligation to guarantee the full exercise of this right. This principle allows only exceptional limitations that must be previously established by law in case of a real and imminent danger that threatens national security in democratic societies.” Considering the principle of maximum disclosure, the law must guarantee the effective and broadest possible access to public information, and any exceptions must not become the general rule in practice. Also, the exceptions regime should be interpreted restrictively and all doubts should be resolved in favor of transparency and access.</w:t>
      </w:r>
    </w:p>
    <w:p w14:paraId="4D3F75D3" w14:textId="77777777" w:rsidR="007D3ACE" w:rsidRDefault="007D3ACE" w:rsidP="00BE721D">
      <w:pPr>
        <w:pStyle w:val="Numberedparagraphs"/>
        <w:numPr>
          <w:ilvl w:val="0"/>
          <w:numId w:val="0"/>
        </w:numPr>
        <w:ind w:left="547" w:hanging="547"/>
        <w:rPr>
          <w:rFonts w:asciiTheme="minorHAnsi" w:hAnsiTheme="minorHAnsi"/>
        </w:rPr>
        <w:sectPr w:rsidR="007D3ACE" w:rsidSect="00450424">
          <w:headerReference w:type="default" r:id="rId55"/>
          <w:footerReference w:type="default" r:id="rId56"/>
          <w:type w:val="oddPage"/>
          <w:pgSz w:w="10080" w:h="14400" w:code="13"/>
          <w:pgMar w:top="1152" w:right="1152" w:bottom="1152" w:left="1296" w:header="720" w:footer="720" w:gutter="0"/>
          <w:cols w:space="720"/>
          <w:docGrid w:linePitch="360"/>
        </w:sectPr>
      </w:pPr>
    </w:p>
    <w:p w14:paraId="62C6405A" w14:textId="3A517F33" w:rsidR="007D3ACE" w:rsidRPr="006F17D4" w:rsidRDefault="002C41EC" w:rsidP="007D3ACE">
      <w:pPr>
        <w:pStyle w:val="Title"/>
        <w:rPr>
          <w:color w:val="808080" w:themeColor="background1" w:themeShade="80"/>
          <w:sz w:val="44"/>
          <w:szCs w:val="44"/>
          <w:lang w:val="en-US"/>
        </w:rPr>
      </w:pPr>
      <w:bookmarkStart w:id="71" w:name="_Toc509827673"/>
      <w:r>
        <w:rPr>
          <w:color w:val="808080" w:themeColor="background1" w:themeShade="80"/>
          <w:sz w:val="44"/>
          <w:szCs w:val="44"/>
          <w:lang w:val="en-US"/>
        </w:rPr>
        <w:lastRenderedPageBreak/>
        <w:t>CHAPTER 6</w:t>
      </w:r>
      <w:bookmarkEnd w:id="71"/>
    </w:p>
    <w:p w14:paraId="6C60ECE7" w14:textId="438992A7" w:rsidR="007D3ACE" w:rsidRPr="007D3ACE" w:rsidRDefault="007D3ACE" w:rsidP="007D3ACE">
      <w:pPr>
        <w:pStyle w:val="Title"/>
        <w:sectPr w:rsidR="007D3ACE" w:rsidRPr="007D3ACE" w:rsidSect="007D3ACE">
          <w:headerReference w:type="default" r:id="rId57"/>
          <w:footerReference w:type="default" r:id="rId58"/>
          <w:type w:val="oddPage"/>
          <w:pgSz w:w="10080" w:h="14400" w:code="13"/>
          <w:pgMar w:top="1152" w:right="1152" w:bottom="1152" w:left="1296" w:header="720" w:footer="720" w:gutter="0"/>
          <w:cols w:space="720"/>
          <w:vAlign w:val="center"/>
          <w:docGrid w:linePitch="360"/>
        </w:sectPr>
      </w:pPr>
      <w:bookmarkStart w:id="72" w:name="_Toc509827674"/>
      <w:r w:rsidRPr="007D3ACE">
        <w:t>CITIZEN SECURITY</w:t>
      </w:r>
      <w:bookmarkEnd w:id="72"/>
    </w:p>
    <w:p w14:paraId="07849E39" w14:textId="169810B9" w:rsidR="006243A1" w:rsidRPr="007D3ACE" w:rsidRDefault="006243A1" w:rsidP="003D17BA">
      <w:pPr>
        <w:pStyle w:val="Heading1"/>
        <w:rPr>
          <w:lang w:val="en-US"/>
        </w:rPr>
      </w:pPr>
      <w:bookmarkStart w:id="73" w:name="_Toc509827675"/>
      <w:r w:rsidRPr="007D3ACE">
        <w:rPr>
          <w:lang w:val="en-US"/>
        </w:rPr>
        <w:lastRenderedPageBreak/>
        <w:t>CITIZEN SECURITY</w:t>
      </w:r>
      <w:bookmarkEnd w:id="73"/>
      <w:r w:rsidRPr="007D3ACE">
        <w:rPr>
          <w:lang w:val="en-US"/>
        </w:rPr>
        <w:t xml:space="preserve"> </w:t>
      </w:r>
    </w:p>
    <w:p w14:paraId="05B6AD41" w14:textId="545B0474" w:rsidR="006243A1" w:rsidRPr="006F17D4" w:rsidRDefault="006243A1" w:rsidP="0085755A">
      <w:pPr>
        <w:pStyle w:val="Heading2"/>
        <w:numPr>
          <w:ilvl w:val="0"/>
          <w:numId w:val="16"/>
        </w:numPr>
        <w:ind w:left="540" w:hanging="540"/>
      </w:pPr>
      <w:bookmarkStart w:id="74" w:name="_Toc509827676"/>
      <w:r w:rsidRPr="006F17D4">
        <w:t xml:space="preserve">General </w:t>
      </w:r>
      <w:r w:rsidR="006F17D4" w:rsidRPr="006F17D4">
        <w:t xml:space="preserve">Situation </w:t>
      </w:r>
      <w:r w:rsidRPr="006F17D4">
        <w:t xml:space="preserve">of </w:t>
      </w:r>
      <w:r w:rsidR="006F17D4" w:rsidRPr="006F17D4">
        <w:t>Violence</w:t>
      </w:r>
      <w:r w:rsidRPr="006F17D4">
        <w:t xml:space="preserve">: </w:t>
      </w:r>
      <w:r w:rsidR="006F17D4" w:rsidRPr="006F17D4">
        <w:t>Types</w:t>
      </w:r>
      <w:r w:rsidRPr="006F17D4">
        <w:t xml:space="preserve">, </w:t>
      </w:r>
      <w:r w:rsidR="006F17D4" w:rsidRPr="006F17D4">
        <w:t xml:space="preserve">Areas </w:t>
      </w:r>
      <w:r w:rsidRPr="006F17D4">
        <w:t xml:space="preserve">of </w:t>
      </w:r>
      <w:r w:rsidR="006F17D4" w:rsidRPr="006F17D4">
        <w:t>Highest Concentration</w:t>
      </w:r>
      <w:r w:rsidRPr="006F17D4">
        <w:t xml:space="preserve">, </w:t>
      </w:r>
      <w:r w:rsidR="006F17D4" w:rsidRPr="006F17D4">
        <w:t>Actors Involved</w:t>
      </w:r>
      <w:bookmarkEnd w:id="74"/>
      <w:r w:rsidR="006F17D4" w:rsidRPr="006F17D4">
        <w:t xml:space="preserve"> </w:t>
      </w:r>
    </w:p>
    <w:p w14:paraId="4C214119" w14:textId="77777777" w:rsidR="009E4831" w:rsidRPr="00B90432" w:rsidRDefault="006243A1" w:rsidP="00BE721D">
      <w:pPr>
        <w:pStyle w:val="Numberedparagraphs"/>
        <w:rPr>
          <w:rFonts w:asciiTheme="minorHAnsi" w:hAnsiTheme="minorHAnsi"/>
        </w:rPr>
      </w:pPr>
      <w:r w:rsidRPr="00B90432">
        <w:rPr>
          <w:rFonts w:asciiTheme="minorHAnsi" w:hAnsiTheme="minorHAnsi"/>
        </w:rPr>
        <w:t>The concept of citizen security is a situation in which persons are able to live free of the threats caused by violence and crime, and the State has the necessary means to guarantee and protect the human rights directly threatened by violence and crime.</w:t>
      </w:r>
      <w:r w:rsidRPr="00B90432">
        <w:rPr>
          <w:rStyle w:val="FootnoteReference"/>
          <w:rFonts w:asciiTheme="minorHAnsi" w:hAnsiTheme="minorHAnsi"/>
          <w:sz w:val="22"/>
          <w:szCs w:val="22"/>
        </w:rPr>
        <w:footnoteReference w:id="543"/>
      </w:r>
      <w:r w:rsidRPr="00B90432">
        <w:rPr>
          <w:rFonts w:asciiTheme="minorHAnsi" w:hAnsiTheme="minorHAnsi"/>
        </w:rPr>
        <w:t xml:space="preserve"> In Guatemala, the high rates of violence and insecurity pose an obstacle to the full enjoyment of human rights. </w:t>
      </w:r>
    </w:p>
    <w:p w14:paraId="32CB358C" w14:textId="77777777" w:rsidR="006243A1" w:rsidRPr="00B90432" w:rsidRDefault="006243A1" w:rsidP="00BE721D">
      <w:pPr>
        <w:pStyle w:val="Numberedparagraphs"/>
        <w:rPr>
          <w:rFonts w:asciiTheme="minorHAnsi" w:hAnsiTheme="minorHAnsi"/>
        </w:rPr>
      </w:pPr>
      <w:r w:rsidRPr="00B90432">
        <w:rPr>
          <w:rFonts w:asciiTheme="minorHAnsi" w:hAnsiTheme="minorHAnsi"/>
        </w:rPr>
        <w:t>In the context of its monitoring duties, the Commission has been closely tracking levels of insecurity and violence in Guatemala. Even though there has been a slight decrease in the past ten years, the general homicide rate in the country continues to be one of the highest in Latin American and the Caribbean, one of the world’s most violent regions.</w:t>
      </w:r>
      <w:r w:rsidRPr="00B90432">
        <w:rPr>
          <w:rStyle w:val="FootnoteReference"/>
          <w:rFonts w:asciiTheme="minorHAnsi" w:hAnsiTheme="minorHAnsi"/>
          <w:sz w:val="22"/>
          <w:szCs w:val="22"/>
        </w:rPr>
        <w:footnoteReference w:id="544"/>
      </w:r>
      <w:r w:rsidRPr="00B90432">
        <w:rPr>
          <w:rFonts w:asciiTheme="minorHAnsi" w:hAnsiTheme="minorHAnsi"/>
        </w:rPr>
        <w:t xml:space="preserve"> Most crimes are attributed to the gangs (</w:t>
      </w:r>
      <w:r w:rsidRPr="00B90432">
        <w:rPr>
          <w:rFonts w:asciiTheme="minorHAnsi" w:hAnsiTheme="minorHAnsi"/>
          <w:i/>
        </w:rPr>
        <w:t>maras</w:t>
      </w:r>
      <w:r w:rsidRPr="00B90432">
        <w:rPr>
          <w:rFonts w:asciiTheme="minorHAnsi" w:hAnsiTheme="minorHAnsi"/>
        </w:rPr>
        <w:t xml:space="preserve">), the drug trafficking cartels and organized crime, which pose one of the most important security problems in the country, as is described in this section of the report.  </w:t>
      </w:r>
    </w:p>
    <w:p w14:paraId="38D2110E" w14:textId="77777777" w:rsidR="006243A1" w:rsidRPr="00B90432" w:rsidRDefault="006243A1" w:rsidP="0085755A">
      <w:pPr>
        <w:pStyle w:val="Heading3"/>
        <w:numPr>
          <w:ilvl w:val="0"/>
          <w:numId w:val="17"/>
        </w:numPr>
        <w:ind w:hanging="727"/>
      </w:pPr>
      <w:bookmarkStart w:id="75" w:name="_Toc509827677"/>
      <w:r w:rsidRPr="00B90432">
        <w:t>Homicides and other violent deaths</w:t>
      </w:r>
      <w:bookmarkEnd w:id="75"/>
      <w:r w:rsidRPr="00B90432">
        <w:t xml:space="preserve"> </w:t>
      </w:r>
    </w:p>
    <w:p w14:paraId="6DE50DB7" w14:textId="77777777" w:rsidR="009E4831" w:rsidRPr="00B90432" w:rsidRDefault="006243A1" w:rsidP="00BE721D">
      <w:pPr>
        <w:pStyle w:val="Numberedparagraphs"/>
        <w:rPr>
          <w:rFonts w:asciiTheme="minorHAnsi" w:hAnsiTheme="minorHAnsi"/>
        </w:rPr>
      </w:pPr>
      <w:r w:rsidRPr="00B90432">
        <w:rPr>
          <w:rFonts w:asciiTheme="minorHAnsi" w:hAnsiTheme="minorHAnsi"/>
        </w:rPr>
        <w:t xml:space="preserve">As part of the drafting process of the instant report, the IACHR asked the State to provide official statistics on homicides occurring in Guatemala in 2016 and 2017, in order to set up a baseline for analysis of the situation of violence in the country. The State provided statistical data from the National Civilian Police (PNC), the Office of the Public Prosecutor, and the National Institute of Forensic Sciences of Guatemala (INACIF), and figures from each entity were not entirely consistent with each other. The figures of the PNC show that in 2016 there were 4,520 homicides in the country, 258 fewer than in 2015. Based on these figures, the homicide rate dropped from 29.5 to 27.3 for every 100,000 inhabitants.  It must be noted that the </w:t>
      </w:r>
      <w:r w:rsidRPr="00B90432">
        <w:rPr>
          <w:rFonts w:asciiTheme="minorHAnsi" w:hAnsiTheme="minorHAnsi"/>
        </w:rPr>
        <w:lastRenderedPageBreak/>
        <w:t>World Health Organization considers a rate above 100 homicides per 100,000 inhabitants to be an outbreak of violence. For 2017, the State reported that from January to May there were 1,498 homicides, as compared to 1,584 for the same period in 2016.</w:t>
      </w:r>
      <w:r w:rsidRPr="00B90432">
        <w:rPr>
          <w:rStyle w:val="FootnoteReference"/>
          <w:rFonts w:asciiTheme="minorHAnsi" w:hAnsiTheme="minorHAnsi"/>
          <w:sz w:val="22"/>
          <w:szCs w:val="22"/>
        </w:rPr>
        <w:footnoteReference w:id="545"/>
      </w:r>
      <w:r w:rsidRPr="00B90432">
        <w:rPr>
          <w:rFonts w:asciiTheme="minorHAnsi" w:hAnsiTheme="minorHAnsi"/>
        </w:rPr>
        <w:t xml:space="preserve">  For its part, INACIF statistics reveal that in the first quarter of 2017, 2,641 autopsies for violent deaths were performed, averaging 4.1% less than for the same period in 2016.</w:t>
      </w:r>
      <w:r w:rsidRPr="00B90432">
        <w:rPr>
          <w:rStyle w:val="FootnoteReference"/>
          <w:rFonts w:asciiTheme="minorHAnsi" w:hAnsiTheme="minorHAnsi"/>
          <w:sz w:val="22"/>
          <w:szCs w:val="22"/>
        </w:rPr>
        <w:footnoteReference w:id="546"/>
      </w:r>
      <w:r w:rsidRPr="00B90432">
        <w:rPr>
          <w:rFonts w:asciiTheme="minorHAnsi" w:hAnsiTheme="minorHAnsi"/>
        </w:rPr>
        <w:t xml:space="preserve"> Despite these figures continuing to be high and worrying—even reaching levels of an epidemic—the IACHR is pleased about the general downward trend in the indicators. At the same time, it notices with concern that in Guatemala City and other urban centers, homicides and violent deaths have risen in 2017.</w:t>
      </w:r>
      <w:r w:rsidRPr="00B90432">
        <w:rPr>
          <w:rStyle w:val="FootnoteReference"/>
          <w:rFonts w:asciiTheme="minorHAnsi" w:hAnsiTheme="minorHAnsi"/>
          <w:sz w:val="22"/>
          <w:szCs w:val="22"/>
        </w:rPr>
        <w:footnoteReference w:id="547"/>
      </w:r>
    </w:p>
    <w:p w14:paraId="074C1833" w14:textId="77777777" w:rsidR="009E4831" w:rsidRPr="00B90432" w:rsidRDefault="006243A1" w:rsidP="00BE721D">
      <w:pPr>
        <w:pStyle w:val="Numberedparagraphs"/>
        <w:rPr>
          <w:rFonts w:asciiTheme="minorHAnsi" w:hAnsiTheme="minorHAnsi"/>
        </w:rPr>
      </w:pPr>
      <w:r w:rsidRPr="00B90432">
        <w:rPr>
          <w:rFonts w:asciiTheme="minorHAnsi" w:hAnsiTheme="minorHAnsi"/>
        </w:rPr>
        <w:t>As for the figures provided by the State, the IACHR notes that the PNC, the Office of the Public Prosecutor (MP), and the INACIF record homicides, “violent deaths,” and “deaths from causes associated with criminal acts” based on apparently different criteria, thus making it difficult to compare available statistics. The PNC statistics refer to “homicides,” but do not specify what definition is used.  The MP’s figures of “violent deaths” include any ones that take place in the context of the following criminal offense: homicide, murder, femicide, extrajudicial execution, parricide, aggravated homicide, homicide in tumultuous feud, homicide committed in a state of violent emotion.</w:t>
      </w:r>
      <w:r w:rsidRPr="00B90432">
        <w:rPr>
          <w:rStyle w:val="FootnoteReference"/>
          <w:rFonts w:asciiTheme="minorHAnsi" w:hAnsiTheme="minorHAnsi"/>
          <w:sz w:val="22"/>
          <w:szCs w:val="22"/>
        </w:rPr>
        <w:footnoteReference w:id="548"/>
      </w:r>
      <w:r w:rsidRPr="00B90432">
        <w:rPr>
          <w:rFonts w:asciiTheme="minorHAnsi" w:hAnsiTheme="minorHAnsi"/>
        </w:rPr>
        <w:t xml:space="preserve"> The INACIF, however, counts as deaths from “causes associated with criminal acts” those that are caused by firearm projectile wound, wounds caused by blade weapons, asphyxia by suspension, asphyxia by strangulation, asphyxia by suffocation, asphyxia from submersion, asphyxia by abdominal thoracic compression, corporal resection (decapitation and/or dismemberment).</w:t>
      </w:r>
      <w:r w:rsidRPr="00B90432">
        <w:rPr>
          <w:rStyle w:val="FootnoteReference"/>
          <w:rFonts w:asciiTheme="minorHAnsi" w:hAnsiTheme="minorHAnsi"/>
          <w:sz w:val="22"/>
          <w:szCs w:val="22"/>
        </w:rPr>
        <w:footnoteReference w:id="549"/>
      </w:r>
      <w:r w:rsidRPr="00B90432">
        <w:rPr>
          <w:rFonts w:asciiTheme="minorHAnsi" w:hAnsiTheme="minorHAnsi"/>
        </w:rPr>
        <w:t xml:space="preserve"> The varying criteria lead to apparent</w:t>
      </w:r>
      <w:r w:rsidR="009E4831" w:rsidRPr="00B90432">
        <w:rPr>
          <w:rFonts w:asciiTheme="minorHAnsi" w:hAnsiTheme="minorHAnsi"/>
        </w:rPr>
        <w:t xml:space="preserve">ly disparate homicide figures. </w:t>
      </w:r>
    </w:p>
    <w:p w14:paraId="0D49139A" w14:textId="77777777" w:rsidR="009E4831" w:rsidRPr="00B90432" w:rsidRDefault="006243A1" w:rsidP="00BE721D">
      <w:pPr>
        <w:pStyle w:val="Numberedparagraphs"/>
        <w:rPr>
          <w:rFonts w:asciiTheme="minorHAnsi" w:hAnsiTheme="minorHAnsi"/>
        </w:rPr>
      </w:pPr>
      <w:r w:rsidRPr="00B90432">
        <w:rPr>
          <w:rFonts w:asciiTheme="minorHAnsi" w:hAnsiTheme="minorHAnsi"/>
        </w:rPr>
        <w:t>By way of example, the figures of the Office of the Public Prosecutor (MP) post 4,831 “violent deaths” in 2016,</w:t>
      </w:r>
      <w:r w:rsidRPr="00B90432">
        <w:rPr>
          <w:rStyle w:val="FootnoteReference"/>
          <w:rFonts w:asciiTheme="minorHAnsi" w:hAnsiTheme="minorHAnsi"/>
          <w:sz w:val="22"/>
          <w:szCs w:val="22"/>
        </w:rPr>
        <w:footnoteReference w:id="550"/>
      </w:r>
      <w:r w:rsidRPr="00B90432">
        <w:rPr>
          <w:rFonts w:asciiTheme="minorHAnsi" w:hAnsiTheme="minorHAnsi"/>
        </w:rPr>
        <w:t xml:space="preserve"> while INACIF registered 5.459 autopsies performed in deaths from “causes associated with criminal acts” in the same period.</w:t>
      </w:r>
      <w:r w:rsidRPr="00B90432">
        <w:rPr>
          <w:rStyle w:val="FootnoteReference"/>
          <w:rFonts w:asciiTheme="minorHAnsi" w:hAnsiTheme="minorHAnsi"/>
          <w:sz w:val="22"/>
          <w:szCs w:val="22"/>
        </w:rPr>
        <w:footnoteReference w:id="551"/>
      </w:r>
      <w:r w:rsidRPr="00B90432">
        <w:rPr>
          <w:rFonts w:asciiTheme="minorHAnsi" w:hAnsiTheme="minorHAnsi"/>
        </w:rPr>
        <w:t xml:space="preserve"> Likewise, the PNC recorded 1.498 homicides from January 1 to May 4, 2017, while the MP reflected 1,053 homicides in the </w:t>
      </w:r>
      <w:r w:rsidRPr="00B90432">
        <w:rPr>
          <w:rFonts w:asciiTheme="minorHAnsi" w:hAnsiTheme="minorHAnsi"/>
        </w:rPr>
        <w:lastRenderedPageBreak/>
        <w:t>same period of time.</w:t>
      </w:r>
      <w:r w:rsidRPr="00B90432">
        <w:rPr>
          <w:rStyle w:val="FootnoteReference"/>
          <w:rFonts w:asciiTheme="minorHAnsi" w:hAnsiTheme="minorHAnsi"/>
          <w:sz w:val="22"/>
          <w:szCs w:val="22"/>
        </w:rPr>
        <w:footnoteReference w:id="552"/>
      </w:r>
      <w:r w:rsidRPr="00B90432">
        <w:rPr>
          <w:rFonts w:asciiTheme="minorHAnsi" w:hAnsiTheme="minorHAnsi"/>
        </w:rPr>
        <w:t xml:space="preserve"> For its part, INACIF posted 1,726 autopsies performed in deaths associated with criminal acts from January to the last day of April, 2017 (in addition to the 41 little girls at the Hogar Virgen de la Asunción on March 8</w:t>
      </w:r>
      <w:r w:rsidRPr="00B90432">
        <w:rPr>
          <w:rStyle w:val="FootnoteReference"/>
          <w:rFonts w:asciiTheme="minorHAnsi" w:hAnsiTheme="minorHAnsi"/>
          <w:sz w:val="22"/>
          <w:szCs w:val="22"/>
        </w:rPr>
        <w:footnoteReference w:id="553"/>
      </w:r>
      <w:r w:rsidRPr="00B90432">
        <w:rPr>
          <w:rFonts w:asciiTheme="minorHAnsi" w:hAnsiTheme="minorHAnsi"/>
        </w:rPr>
        <w:t>), while the Public Prosecutor recorded 1,382 violent deaths in the same period.</w:t>
      </w:r>
      <w:r w:rsidRPr="00B90432">
        <w:rPr>
          <w:rStyle w:val="FootnoteReference"/>
          <w:rFonts w:asciiTheme="minorHAnsi" w:hAnsiTheme="minorHAnsi"/>
          <w:sz w:val="22"/>
          <w:szCs w:val="22"/>
        </w:rPr>
        <w:footnoteReference w:id="554"/>
      </w:r>
      <w:r w:rsidRPr="00B90432">
        <w:rPr>
          <w:rFonts w:asciiTheme="minorHAnsi" w:hAnsiTheme="minorHAnsi"/>
        </w:rPr>
        <w:t xml:space="preserve"> Based on the figures provided, it is not clear to the IACHR why the Public Prosecutor’s Office would only record 1,382 “violent deaths” in this period when INACIF performed 1,726 autopsies in deaths associated with criminal acts (a discrepancy of 344 over a period of 4 months). Similarly, it is not clear how to account for the fact that in 2016, the MP has posted 4,831 violent deaths, while during that year INACIF performed 5,459 autopsies in deaths associated with alleged criminal acts (a discrepancy of 628 over one period of a year).</w:t>
      </w:r>
      <w:r w:rsidRPr="00B90432">
        <w:rPr>
          <w:rStyle w:val="FootnoteReference"/>
          <w:rFonts w:asciiTheme="minorHAnsi" w:hAnsiTheme="minorHAnsi"/>
          <w:sz w:val="22"/>
          <w:szCs w:val="22"/>
        </w:rPr>
        <w:footnoteReference w:id="555"/>
      </w:r>
    </w:p>
    <w:p w14:paraId="4781C1D4" w14:textId="77777777" w:rsidR="009E4831" w:rsidRPr="00B90432" w:rsidRDefault="006243A1" w:rsidP="00BE721D">
      <w:pPr>
        <w:pStyle w:val="Numberedparagraphs"/>
        <w:rPr>
          <w:rFonts w:asciiTheme="minorHAnsi" w:hAnsiTheme="minorHAnsi"/>
        </w:rPr>
      </w:pPr>
      <w:r w:rsidRPr="00B90432">
        <w:rPr>
          <w:rFonts w:asciiTheme="minorHAnsi" w:hAnsiTheme="minorHAnsi"/>
        </w:rPr>
        <w:t>In response to the inconsistency in figures on homicides and violent deaths in Guatemala, the State explained that the PNC “collects information on deaths that take place in a context of a victim-criminal relationship, deaths from other causes are reflected in other statistics, and although the latter deaths may be violent deaths, they cannot be included in the homicide figure.  By that account, the INACIF records statistics on the number of autopsies performed and the Public Prosecutor’s Office includes in its statistics the overall count of different deaths.”</w:t>
      </w:r>
      <w:r w:rsidRPr="00B90432">
        <w:rPr>
          <w:rStyle w:val="FootnoteReference"/>
          <w:rFonts w:asciiTheme="minorHAnsi" w:hAnsiTheme="minorHAnsi"/>
          <w:sz w:val="22"/>
          <w:szCs w:val="22"/>
        </w:rPr>
        <w:footnoteReference w:id="556"/>
      </w:r>
      <w:r w:rsidRPr="00B90432">
        <w:rPr>
          <w:rFonts w:asciiTheme="minorHAnsi" w:hAnsiTheme="minorHAnsi"/>
        </w:rPr>
        <w:t xml:space="preserve">  Based on this explanation, the IACHR clarifies that the figures of the INACIF described in the previous paragraph account for autopsies performed in deaths from “causes associated with criminal acts,” as opposed to autopsies performed in deaths from “causes associated with traffic accidents, common diseases and complications from them, intoxication and causes under review,” which the INACIF breaks down in its statistics.</w:t>
      </w:r>
      <w:r w:rsidRPr="00B90432">
        <w:rPr>
          <w:rStyle w:val="FootnoteReference"/>
          <w:rFonts w:asciiTheme="minorHAnsi" w:hAnsiTheme="minorHAnsi"/>
          <w:sz w:val="22"/>
          <w:szCs w:val="22"/>
        </w:rPr>
        <w:footnoteReference w:id="557"/>
      </w:r>
      <w:r w:rsidRPr="00B90432">
        <w:rPr>
          <w:rFonts w:asciiTheme="minorHAnsi" w:hAnsiTheme="minorHAnsi"/>
        </w:rPr>
        <w:t xml:space="preserve"> The lack of clarity and certainty in the statistics of the State’s own institutions makes it difficult to analyze the phenomenon of violence </w:t>
      </w:r>
      <w:r w:rsidR="009E4831" w:rsidRPr="00B90432">
        <w:rPr>
          <w:rFonts w:asciiTheme="minorHAnsi" w:hAnsiTheme="minorHAnsi"/>
        </w:rPr>
        <w:t xml:space="preserve">and insecurity in the country. </w:t>
      </w:r>
    </w:p>
    <w:p w14:paraId="57F5B569" w14:textId="77777777" w:rsidR="009E4831" w:rsidRPr="00B90432" w:rsidRDefault="006243A1" w:rsidP="00BE721D">
      <w:pPr>
        <w:pStyle w:val="Numberedparagraphs"/>
        <w:rPr>
          <w:rFonts w:asciiTheme="minorHAnsi" w:hAnsiTheme="minorHAnsi"/>
        </w:rPr>
      </w:pPr>
      <w:r w:rsidRPr="00B90432">
        <w:rPr>
          <w:rFonts w:asciiTheme="minorHAnsi" w:hAnsiTheme="minorHAnsi"/>
        </w:rPr>
        <w:t>The State reported that the Ministry of the Interior has set up an Inter-Institutional Technical Group, made up of the Office of the Public Prosecutor, INACIF, PNC and other institutions that manage statistical information in the security and justice system. “The objective is to standardize the indicators of violence in the country in order to create a single statistic” in the country.</w:t>
      </w:r>
      <w:r w:rsidRPr="00B90432">
        <w:rPr>
          <w:rStyle w:val="FootnoteReference"/>
          <w:rFonts w:asciiTheme="minorHAnsi" w:hAnsiTheme="minorHAnsi"/>
          <w:sz w:val="22"/>
          <w:szCs w:val="22"/>
        </w:rPr>
        <w:footnoteReference w:id="558"/>
      </w:r>
      <w:r w:rsidRPr="00B90432">
        <w:rPr>
          <w:rFonts w:asciiTheme="minorHAnsi" w:hAnsiTheme="minorHAnsi"/>
        </w:rPr>
        <w:t xml:space="preserve"> The IACHR hopes that with the creation of </w:t>
      </w:r>
      <w:r w:rsidRPr="00B90432">
        <w:rPr>
          <w:rFonts w:asciiTheme="minorHAnsi" w:hAnsiTheme="minorHAnsi"/>
        </w:rPr>
        <w:lastRenderedPageBreak/>
        <w:t>this group, standardized figures are generated regarding violent deaths and other crimes in the country to facilitate time-bound, region-based and disaggregated analysis</w:t>
      </w:r>
      <w:r w:rsidR="009E4831" w:rsidRPr="00B90432">
        <w:rPr>
          <w:rFonts w:asciiTheme="minorHAnsi" w:hAnsiTheme="minorHAnsi"/>
        </w:rPr>
        <w:t xml:space="preserve"> of crime trends in Guatemala. </w:t>
      </w:r>
    </w:p>
    <w:p w14:paraId="083D5D5B" w14:textId="77777777" w:rsidR="006243A1" w:rsidRPr="00B90432" w:rsidRDefault="006243A1" w:rsidP="00BE721D">
      <w:pPr>
        <w:pStyle w:val="Numberedparagraphs"/>
        <w:rPr>
          <w:rFonts w:asciiTheme="minorHAnsi" w:hAnsiTheme="minorHAnsi"/>
        </w:rPr>
      </w:pPr>
      <w:r w:rsidRPr="00B90432">
        <w:rPr>
          <w:rFonts w:asciiTheme="minorHAnsi" w:hAnsiTheme="minorHAnsi"/>
        </w:rPr>
        <w:t>Approximately 80% of violent deaths in Guatemala are perpetrated with firearms and this figure has also decreased slightly. According to available data, 1,941 deaths by firearm were counted in the first half of 2017, which amounts to a 3% decrease as compared to the first half of 2016, when 2,000 deaths by firearms were recorded.</w:t>
      </w:r>
      <w:r w:rsidRPr="00B90432">
        <w:rPr>
          <w:rStyle w:val="FootnoteReference"/>
          <w:rFonts w:asciiTheme="minorHAnsi" w:hAnsiTheme="minorHAnsi"/>
          <w:sz w:val="22"/>
          <w:szCs w:val="22"/>
        </w:rPr>
        <w:footnoteReference w:id="559"/>
      </w:r>
      <w:r w:rsidRPr="00B90432">
        <w:rPr>
          <w:rFonts w:asciiTheme="minorHAnsi" w:hAnsiTheme="minorHAnsi"/>
        </w:rPr>
        <w:t xml:space="preserve"> In earlier reports, the IACHR has attributed the high number of deaths by firearms to the loose control over firearm possession and carry, the lack of a policy to reduce the number of firearms and a national disarmament plan, and effective implementation thereof. </w:t>
      </w:r>
    </w:p>
    <w:p w14:paraId="3533283A" w14:textId="65148F76" w:rsidR="006243A1" w:rsidRPr="00B90432" w:rsidRDefault="006243A1" w:rsidP="006F17D4">
      <w:pPr>
        <w:pStyle w:val="Heading3"/>
      </w:pPr>
      <w:bookmarkStart w:id="76" w:name="_Toc509827678"/>
      <w:r w:rsidRPr="00B90432">
        <w:t xml:space="preserve">Other </w:t>
      </w:r>
      <w:r w:rsidR="0091514B" w:rsidRPr="0091514B">
        <w:t>Types</w:t>
      </w:r>
      <w:r w:rsidR="0091514B" w:rsidRPr="00B90432">
        <w:t xml:space="preserve"> </w:t>
      </w:r>
      <w:r w:rsidRPr="00B90432">
        <w:t xml:space="preserve">of </w:t>
      </w:r>
      <w:r w:rsidR="0091514B" w:rsidRPr="00B90432">
        <w:t xml:space="preserve">Violence </w:t>
      </w:r>
      <w:r w:rsidRPr="00B90432">
        <w:t xml:space="preserve">and </w:t>
      </w:r>
      <w:r w:rsidR="0091514B" w:rsidRPr="00B90432">
        <w:t>Insecurity</w:t>
      </w:r>
      <w:bookmarkEnd w:id="76"/>
      <w:r w:rsidR="0091514B" w:rsidRPr="00B90432">
        <w:t xml:space="preserve"> </w:t>
      </w:r>
    </w:p>
    <w:p w14:paraId="069B0D72" w14:textId="77777777" w:rsidR="009E4831" w:rsidRPr="00B90432" w:rsidRDefault="006243A1" w:rsidP="00BE721D">
      <w:pPr>
        <w:pStyle w:val="Numberedparagraphs"/>
        <w:rPr>
          <w:rFonts w:asciiTheme="minorHAnsi" w:hAnsiTheme="minorHAnsi"/>
        </w:rPr>
      </w:pPr>
      <w:r w:rsidRPr="00B90432">
        <w:rPr>
          <w:rFonts w:asciiTheme="minorHAnsi" w:hAnsiTheme="minorHAnsi"/>
        </w:rPr>
        <w:t>In addition to homicides, other types of violence, crime and insecurity have a bearing on the enjoyment of human rights in Guatemala. The IACHR has closely monitored the way private security forces function, a particularly critical issue in the area of security in the country.</w:t>
      </w:r>
      <w:r w:rsidRPr="00B90432">
        <w:rPr>
          <w:rFonts w:asciiTheme="minorHAnsi" w:hAnsiTheme="minorHAnsi"/>
          <w:vertAlign w:val="superscript"/>
        </w:rPr>
        <w:footnoteReference w:id="560"/>
      </w:r>
      <w:r w:rsidRPr="00B90432">
        <w:rPr>
          <w:rFonts w:asciiTheme="minorHAnsi" w:hAnsiTheme="minorHAnsi"/>
        </w:rPr>
        <w:t xml:space="preserve"> On September </w:t>
      </w:r>
      <w:r w:rsidRPr="00B90432">
        <w:rPr>
          <w:rFonts w:asciiTheme="minorHAnsi" w:hAnsiTheme="minorHAnsi"/>
          <w:bCs/>
        </w:rPr>
        <w:t>20, 2016, the General Directorate of Private Security Services (DIGESSP) approved Resolution No. 370-2016 on misapplication of the Law Regulating Private Security Services (Decree Number 52-2010), which grants operating licenses to provide private security services through private security agents, such as private escorts.</w:t>
      </w:r>
      <w:r w:rsidRPr="00B90432">
        <w:rPr>
          <w:rFonts w:asciiTheme="minorHAnsi" w:hAnsiTheme="minorHAnsi"/>
          <w:bCs/>
          <w:vertAlign w:val="superscript"/>
        </w:rPr>
        <w:footnoteReference w:id="561"/>
      </w:r>
      <w:r w:rsidRPr="00B90432">
        <w:rPr>
          <w:rFonts w:asciiTheme="minorHAnsi" w:hAnsiTheme="minorHAnsi"/>
          <w:bCs/>
        </w:rPr>
        <w:t xml:space="preserve"> According to the General Directorate of Private Security Services, there are 181 private security firms currently in compliance or in the process of bringing themselves into compliance with the Law Regulating Private Security Services.</w:t>
      </w:r>
      <w:r w:rsidRPr="00B90432">
        <w:rPr>
          <w:rStyle w:val="FootnoteReference"/>
          <w:rFonts w:asciiTheme="minorHAnsi" w:hAnsiTheme="minorHAnsi"/>
          <w:bCs/>
          <w:sz w:val="22"/>
          <w:szCs w:val="22"/>
        </w:rPr>
        <w:footnoteReference w:id="562"/>
      </w:r>
      <w:r w:rsidRPr="00B90432">
        <w:rPr>
          <w:rFonts w:asciiTheme="minorHAnsi" w:hAnsiTheme="minorHAnsi"/>
          <w:bCs/>
        </w:rPr>
        <w:t xml:space="preserve"> Nonetheless, 37% of the firms continue to be out of compliance with the law. During its country visit, the IACHR received information suggesting that, despite some measures adopted by the DIGESSP, challenges to State control over private security companies persist, in particular with regard to gun control, illegal arms trafficking and control over working conditions </w:t>
      </w:r>
      <w:r w:rsidRPr="00B90432">
        <w:rPr>
          <w:rFonts w:asciiTheme="minorHAnsi" w:hAnsiTheme="minorHAnsi"/>
          <w:bCs/>
        </w:rPr>
        <w:lastRenderedPageBreak/>
        <w:t>of private security agents.</w:t>
      </w:r>
      <w:r w:rsidRPr="00B90432">
        <w:rPr>
          <w:rFonts w:asciiTheme="minorHAnsi" w:hAnsiTheme="minorHAnsi"/>
          <w:bCs/>
          <w:vertAlign w:val="superscript"/>
        </w:rPr>
        <w:footnoteReference w:id="563"/>
      </w:r>
      <w:r w:rsidRPr="00B90432">
        <w:rPr>
          <w:rFonts w:asciiTheme="minorHAnsi" w:hAnsiTheme="minorHAnsi"/>
          <w:bCs/>
        </w:rPr>
        <w:t xml:space="preserve"> The case of activist and human rights defender Patricia Samayoa, who was allegedly killed by a private security guard, for example, was brought to the attention of the Commission.</w:t>
      </w:r>
      <w:r w:rsidRPr="00B90432">
        <w:rPr>
          <w:rStyle w:val="FootnoteReference"/>
          <w:rFonts w:asciiTheme="minorHAnsi" w:hAnsiTheme="minorHAnsi"/>
          <w:bCs/>
          <w:sz w:val="22"/>
          <w:szCs w:val="22"/>
        </w:rPr>
        <w:footnoteReference w:id="564"/>
      </w:r>
    </w:p>
    <w:p w14:paraId="055F6FC3" w14:textId="77777777" w:rsidR="009E4831" w:rsidRPr="00B90432" w:rsidRDefault="006243A1" w:rsidP="00BE721D">
      <w:pPr>
        <w:pStyle w:val="Numberedparagraphs"/>
        <w:rPr>
          <w:rFonts w:asciiTheme="minorHAnsi" w:hAnsiTheme="minorHAnsi"/>
        </w:rPr>
      </w:pPr>
      <w:r w:rsidRPr="00B90432">
        <w:rPr>
          <w:rFonts w:asciiTheme="minorHAnsi" w:hAnsiTheme="minorHAnsi"/>
        </w:rPr>
        <w:t>In Guatemala, it has been common for “states of emergency (exception)” to be declared in response to public demonstrations, which for most part are organized by indigenous peoples and communities in defense of their territories and in opposition to projects carried out there.</w:t>
      </w:r>
      <w:r w:rsidRPr="00B90432">
        <w:rPr>
          <w:rFonts w:asciiTheme="minorHAnsi" w:hAnsiTheme="minorHAnsi"/>
          <w:vertAlign w:val="superscript"/>
        </w:rPr>
        <w:footnoteReference w:id="565"/>
      </w:r>
      <w:r w:rsidRPr="00B90432">
        <w:rPr>
          <w:rFonts w:asciiTheme="minorHAnsi" w:hAnsiTheme="minorHAnsi"/>
        </w:rPr>
        <w:t xml:space="preserve"> In May 2017, the Legislative Branch of government upheld the declaration of a state of siege for the municipalities of Ixchiguán and Tajamulco, in the Department of San Marcos, under decree issued by the Executive Branch. Based on widely known public information, there has been a boundary dispute between these municipalities for more than 80 years, which escalated this year into armed confrontations.  According to press accounts, the reported presence of organized crime in the area has compounded the situation. The IACHR learned that the Office of the Human Rights Ombudsman has been monitoring the process. </w:t>
      </w:r>
    </w:p>
    <w:p w14:paraId="394F38CC" w14:textId="77777777" w:rsidR="009E4831" w:rsidRPr="00B90432" w:rsidRDefault="006243A1" w:rsidP="00BE721D">
      <w:pPr>
        <w:pStyle w:val="Numberedparagraphs"/>
        <w:rPr>
          <w:rFonts w:asciiTheme="minorHAnsi" w:hAnsiTheme="minorHAnsi"/>
        </w:rPr>
      </w:pPr>
      <w:r w:rsidRPr="00B90432">
        <w:rPr>
          <w:rFonts w:asciiTheme="minorHAnsi" w:hAnsiTheme="minorHAnsi"/>
        </w:rPr>
        <w:t>Additionally, lynching is another phenomenon fueling citizen insecurity in Guatemala, which has been closely watched by the IACHR for several years. Lynching is an act of crowd violence against one or more persons in order to dispense justice for themselves, regardless of whether or not the victim or victims die as a result. This social phenomenon has the particularity that the perpetrators are not habitual criminals nor do they act individually, but instead are ordinary citizens who join crowds of people and even entire communities to participate in lynching.</w:t>
      </w:r>
      <w:r w:rsidRPr="00B90432">
        <w:rPr>
          <w:rStyle w:val="FootnoteReference"/>
          <w:rFonts w:asciiTheme="minorHAnsi" w:hAnsiTheme="minorHAnsi"/>
          <w:sz w:val="22"/>
          <w:szCs w:val="22"/>
        </w:rPr>
        <w:footnoteReference w:id="566"/>
      </w:r>
      <w:r w:rsidRPr="00B90432">
        <w:rPr>
          <w:rFonts w:asciiTheme="minorHAnsi" w:hAnsiTheme="minorHAnsi"/>
        </w:rPr>
        <w:t xml:space="preserve"> The victims are usually suspected of committing a crime. The victims are usually men, and are frequently tortured and beaten, mutilated, stoned to death or burned alive.</w:t>
      </w:r>
      <w:r w:rsidRPr="00B90432">
        <w:rPr>
          <w:rStyle w:val="FootnoteReference"/>
          <w:rFonts w:asciiTheme="minorHAnsi" w:hAnsiTheme="minorHAnsi"/>
          <w:sz w:val="22"/>
          <w:szCs w:val="22"/>
        </w:rPr>
        <w:footnoteReference w:id="567"/>
      </w:r>
    </w:p>
    <w:p w14:paraId="2F42C35A" w14:textId="77777777" w:rsidR="009E4831" w:rsidRPr="00B90432" w:rsidRDefault="006243A1" w:rsidP="00BE721D">
      <w:pPr>
        <w:pStyle w:val="Numberedparagraphs"/>
        <w:rPr>
          <w:rFonts w:asciiTheme="minorHAnsi" w:hAnsiTheme="minorHAnsi"/>
        </w:rPr>
      </w:pPr>
      <w:r w:rsidRPr="00B90432">
        <w:rPr>
          <w:rFonts w:asciiTheme="minorHAnsi" w:hAnsiTheme="minorHAnsi"/>
        </w:rPr>
        <w:t>According to information provided by the PDH in 2017, the number of lynching in the past years has held relatively steady, ranging from around 30 deaths per year and one hundred injured, although a 2013 witnessed a sharp rise in deaths from this cause</w:t>
      </w:r>
      <w:r w:rsidR="00927124" w:rsidRPr="00B90432">
        <w:rPr>
          <w:rFonts w:asciiTheme="minorHAnsi" w:hAnsiTheme="minorHAnsi"/>
        </w:rPr>
        <w:t>, with 53 ly</w:t>
      </w:r>
      <w:r w:rsidRPr="00B90432">
        <w:rPr>
          <w:rFonts w:asciiTheme="minorHAnsi" w:hAnsiTheme="minorHAnsi"/>
        </w:rPr>
        <w:t>nchings reported in that year alone (that works out to an average of more than one person lynched per week).</w:t>
      </w:r>
      <w:r w:rsidRPr="00B90432">
        <w:rPr>
          <w:rStyle w:val="FootnoteReference"/>
          <w:rFonts w:asciiTheme="minorHAnsi" w:hAnsiTheme="minorHAnsi"/>
          <w:sz w:val="22"/>
          <w:szCs w:val="22"/>
        </w:rPr>
        <w:footnoteReference w:id="568"/>
      </w:r>
      <w:r w:rsidRPr="00B90432">
        <w:rPr>
          <w:rFonts w:asciiTheme="minorHAnsi" w:hAnsiTheme="minorHAnsi"/>
        </w:rPr>
        <w:t xml:space="preserve"> </w:t>
      </w:r>
      <w:r w:rsidR="00DD0CB9" w:rsidRPr="00B90432">
        <w:rPr>
          <w:rFonts w:asciiTheme="minorHAnsi" w:hAnsiTheme="minorHAnsi"/>
        </w:rPr>
        <w:t>The</w:t>
      </w:r>
      <w:r w:rsidRPr="00B90432">
        <w:rPr>
          <w:rFonts w:asciiTheme="minorHAnsi" w:hAnsiTheme="minorHAnsi"/>
        </w:rPr>
        <w:t xml:space="preserve"> IACHR </w:t>
      </w:r>
      <w:r w:rsidR="00DD0CB9" w:rsidRPr="00B90432">
        <w:rPr>
          <w:rFonts w:asciiTheme="minorHAnsi" w:hAnsiTheme="minorHAnsi"/>
        </w:rPr>
        <w:t>has noted above that</w:t>
      </w:r>
      <w:r w:rsidRPr="00B90432">
        <w:rPr>
          <w:rFonts w:asciiTheme="minorHAnsi" w:hAnsiTheme="minorHAnsi"/>
        </w:rPr>
        <w:t xml:space="preserve"> lynching not only constitute </w:t>
      </w:r>
      <w:r w:rsidRPr="00B90432">
        <w:rPr>
          <w:rFonts w:asciiTheme="minorHAnsi" w:hAnsiTheme="minorHAnsi"/>
        </w:rPr>
        <w:lastRenderedPageBreak/>
        <w:t>a serious crime against the victim of the lynching, but are often also the cause and effect of impunity, because they are closely tied to a lack of public confidence in the State justice system, both in its duty to prevent crime and its duty to investigate, prosecute and punish those responsible for crimes.</w:t>
      </w:r>
      <w:r w:rsidRPr="00B90432">
        <w:rPr>
          <w:rStyle w:val="FootnoteReference"/>
          <w:rFonts w:asciiTheme="minorHAnsi" w:hAnsiTheme="minorHAnsi"/>
          <w:sz w:val="22"/>
          <w:szCs w:val="22"/>
        </w:rPr>
        <w:footnoteReference w:id="569"/>
      </w:r>
      <w:r w:rsidRPr="00B90432">
        <w:rPr>
          <w:rFonts w:asciiTheme="minorHAnsi" w:hAnsiTheme="minorHAnsi"/>
        </w:rPr>
        <w:t xml:space="preserve"> Lynching is also emblematic of social conflict in some regions of the country, particularly regions with a heavy indigenous population where extraction projects are carried out on ancestral lands and territories. Some specialists also link the persistence of the phenomenon of lynching in Guatemala to the legacy of the internal armed conflict experienced by broad swaths of the population during that period, particularly in rural, mostly indigenous areas.</w:t>
      </w:r>
      <w:r w:rsidRPr="00B90432">
        <w:rPr>
          <w:rStyle w:val="FootnoteReference"/>
          <w:rFonts w:asciiTheme="minorHAnsi" w:hAnsiTheme="minorHAnsi"/>
          <w:sz w:val="22"/>
          <w:szCs w:val="22"/>
        </w:rPr>
        <w:footnoteReference w:id="570"/>
      </w:r>
    </w:p>
    <w:p w14:paraId="2F4D13FC"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regrets that tangible progress has not been made to mitigate this issue, even though an appeal was issued by it to do so in its 2016 report.</w:t>
      </w:r>
      <w:r w:rsidRPr="00B90432">
        <w:rPr>
          <w:rStyle w:val="FootnoteReference"/>
          <w:rFonts w:asciiTheme="minorHAnsi" w:hAnsiTheme="minorHAnsi"/>
          <w:sz w:val="22"/>
          <w:szCs w:val="22"/>
        </w:rPr>
        <w:footnoteReference w:id="571"/>
      </w:r>
      <w:r w:rsidRPr="00B90432">
        <w:rPr>
          <w:rFonts w:asciiTheme="minorHAnsi" w:hAnsiTheme="minorHAnsi"/>
        </w:rPr>
        <w:t xml:space="preserve"> The Commission reiterates its appeal and reminds the State that it is its duty to prevent crime and resolve conflicts or disputes, which trigger violence.</w:t>
      </w:r>
      <w:r w:rsidRPr="00B90432">
        <w:rPr>
          <w:rStyle w:val="FootnoteReference"/>
          <w:rFonts w:asciiTheme="minorHAnsi" w:hAnsiTheme="minorHAnsi"/>
          <w:sz w:val="22"/>
          <w:szCs w:val="22"/>
        </w:rPr>
        <w:footnoteReference w:id="572"/>
      </w:r>
      <w:r w:rsidRPr="00B90432">
        <w:rPr>
          <w:rFonts w:asciiTheme="minorHAnsi" w:hAnsiTheme="minorHAnsi"/>
        </w:rPr>
        <w:t xml:space="preserve">  Additionally, the State has the obligation to conduct an investigation from a culturally appropriate perspective, prosecute and, when applicable, punish those responsible for criminal acts and, thereby, address the phenomenon of lynching with a comprehensive approach and from a multicultural and prevention perspective.</w:t>
      </w:r>
      <w:r w:rsidRPr="00B90432">
        <w:rPr>
          <w:rStyle w:val="FootnoteReference"/>
          <w:rFonts w:asciiTheme="minorHAnsi" w:hAnsiTheme="minorHAnsi"/>
          <w:sz w:val="22"/>
          <w:szCs w:val="22"/>
        </w:rPr>
        <w:footnoteReference w:id="573"/>
      </w:r>
    </w:p>
    <w:p w14:paraId="3B047E8B" w14:textId="77777777" w:rsidR="006243A1" w:rsidRPr="00B90432" w:rsidRDefault="006243A1" w:rsidP="0091514B">
      <w:pPr>
        <w:pStyle w:val="Heading3"/>
      </w:pPr>
      <w:bookmarkStart w:id="77" w:name="_Toc509827679"/>
      <w:r w:rsidRPr="00B90432">
        <w:t>State’s Response</w:t>
      </w:r>
      <w:bookmarkEnd w:id="77"/>
      <w:r w:rsidRPr="00B90432">
        <w:t xml:space="preserve"> </w:t>
      </w:r>
    </w:p>
    <w:p w14:paraId="367765BA" w14:textId="77777777" w:rsidR="009E4831" w:rsidRPr="00B90432" w:rsidRDefault="006243A1" w:rsidP="00BE721D">
      <w:pPr>
        <w:pStyle w:val="Numberedparagraphs"/>
        <w:rPr>
          <w:rFonts w:asciiTheme="minorHAnsi" w:hAnsiTheme="minorHAnsi"/>
        </w:rPr>
      </w:pPr>
      <w:r w:rsidRPr="00B90432">
        <w:rPr>
          <w:rFonts w:asciiTheme="minorHAnsi" w:hAnsiTheme="minorHAnsi"/>
        </w:rPr>
        <w:t xml:space="preserve">In response, the State reported to the IACHR on important initiatives in the area of citizen security. The State’s concrete proposals to prevent crime include: (i) implementing the 2014-2034 National Violence and Crime Prevention, Citizen Security and Peaceful Coexistence Policy; (ii) developing early warning and monitoring mechanisms for social conflict; (iii) amending laws, regulations and rules in order to strengthen public ethics and judicial independence; (iv) establishing comprehensive and </w:t>
      </w:r>
      <w:r w:rsidRPr="00B90432">
        <w:rPr>
          <w:rFonts w:asciiTheme="minorHAnsi" w:hAnsiTheme="minorHAnsi"/>
        </w:rPr>
        <w:lastRenderedPageBreak/>
        <w:t>coordinated mechanisms for victim assistance, paying special attention to victims belonging to particularly vulnerable groups; (v) conducting public information campaigns to promote a culture of peaceful social interaction and reducing sexism, racism and discrimination; (vi) promoting a culture of reporting acts of corruption; and (vii) designing urgent assistance mechanisms to prevent lynching.</w:t>
      </w:r>
      <w:r w:rsidRPr="00B90432">
        <w:rPr>
          <w:rStyle w:val="FootnoteReference"/>
          <w:rFonts w:asciiTheme="minorHAnsi" w:hAnsiTheme="minorHAnsi"/>
          <w:sz w:val="22"/>
          <w:szCs w:val="22"/>
        </w:rPr>
        <w:footnoteReference w:id="574"/>
      </w:r>
      <w:r w:rsidRPr="00B90432">
        <w:rPr>
          <w:rFonts w:asciiTheme="minorHAnsi" w:hAnsiTheme="minorHAnsi"/>
        </w:rPr>
        <w:t xml:space="preserve"> The State also noted that it has 58 public policies in force, 10 of which include among their objectives violence and insecurity prevention and reduction.</w:t>
      </w:r>
      <w:r w:rsidRPr="00B90432">
        <w:rPr>
          <w:rFonts w:asciiTheme="minorHAnsi" w:hAnsiTheme="minorHAnsi"/>
          <w:bCs/>
          <w:vertAlign w:val="superscript"/>
        </w:rPr>
        <w:footnoteReference w:id="575"/>
      </w:r>
    </w:p>
    <w:p w14:paraId="1D865223" w14:textId="77777777" w:rsidR="009E4831" w:rsidRPr="00B90432" w:rsidRDefault="006243A1" w:rsidP="00BE721D">
      <w:pPr>
        <w:pStyle w:val="Numberedparagraphs"/>
        <w:rPr>
          <w:rFonts w:asciiTheme="minorHAnsi" w:hAnsiTheme="minorHAnsi"/>
        </w:rPr>
      </w:pPr>
      <w:r w:rsidRPr="00B90432">
        <w:rPr>
          <w:rFonts w:asciiTheme="minorHAnsi" w:hAnsiTheme="minorHAnsi"/>
          <w:bCs/>
        </w:rPr>
        <w:t>The Commission also received information on the creation, in October 2016, of a Prosecutor’s Office Specialized in Children and Adolescents under the Office of the Public Prosecutor.</w:t>
      </w:r>
      <w:r w:rsidRPr="00B90432">
        <w:rPr>
          <w:rStyle w:val="FootnoteReference"/>
          <w:rFonts w:asciiTheme="minorHAnsi" w:hAnsiTheme="minorHAnsi"/>
          <w:bCs/>
          <w:sz w:val="22"/>
          <w:szCs w:val="22"/>
        </w:rPr>
        <w:footnoteReference w:id="576"/>
      </w:r>
      <w:r w:rsidRPr="00B90432">
        <w:rPr>
          <w:rFonts w:asciiTheme="minorHAnsi" w:hAnsiTheme="minorHAnsi"/>
          <w:bCs/>
        </w:rPr>
        <w:t xml:space="preserve"> Implementation of said Prosecutor’s Office took place in four stages, according to available information, it was first launched in Guatemala City and the metropolitan area, and was expanded to include the municipalities of Mixco, Villa Nueva, Quetzaltenango, Escu</w:t>
      </w:r>
      <w:r w:rsidR="009E4831" w:rsidRPr="00B90432">
        <w:rPr>
          <w:rFonts w:asciiTheme="minorHAnsi" w:hAnsiTheme="minorHAnsi"/>
          <w:bCs/>
        </w:rPr>
        <w:t>intla and Alta Verapaz.</w:t>
      </w:r>
    </w:p>
    <w:p w14:paraId="4509B9B8" w14:textId="77777777" w:rsidR="006243A1" w:rsidRPr="00B90432" w:rsidRDefault="006243A1" w:rsidP="00BE721D">
      <w:pPr>
        <w:pStyle w:val="Numberedparagraphs"/>
        <w:rPr>
          <w:rFonts w:asciiTheme="minorHAnsi" w:hAnsiTheme="minorHAnsi"/>
        </w:rPr>
      </w:pPr>
      <w:r w:rsidRPr="00B90432">
        <w:rPr>
          <w:rFonts w:asciiTheme="minorHAnsi" w:hAnsiTheme="minorHAnsi"/>
        </w:rPr>
        <w:t>As for measures to ensure that the PNC is in charge of internal security (domestic law enforcement), and has the capacity to do so in compliance with human rights, the State reported on some measures it adopted to strengthen the Police. These measures include increased budget for the PNC, adoption of the 2014-2034 National Violence and Crime Prevention, Citizen Security and Peaceful Coexistence Policy, as well as the National Action Plan cited above.</w:t>
      </w:r>
      <w:r w:rsidRPr="00B90432">
        <w:rPr>
          <w:rFonts w:asciiTheme="minorHAnsi" w:hAnsiTheme="minorHAnsi"/>
          <w:vertAlign w:val="superscript"/>
        </w:rPr>
        <w:footnoteReference w:id="577"/>
      </w:r>
      <w:r w:rsidRPr="00B90432">
        <w:rPr>
          <w:rFonts w:asciiTheme="minorHAnsi" w:hAnsiTheme="minorHAnsi"/>
        </w:rPr>
        <w:t xml:space="preserve"> The State also reported that as of 2012, the PNC has taken steps to put the necessary human and material resources in place for it to operate properly, such as: prioritizing expenditures, streamlining resources; closing the gap between the allocated and executed budget; efforts to increase budget allocation; arrange for financial assistance for projects aimed at helping the PNC properly function with international </w:t>
      </w:r>
      <w:r w:rsidRPr="00B90432">
        <w:rPr>
          <w:rFonts w:asciiTheme="minorHAnsi" w:hAnsiTheme="minorHAnsi"/>
        </w:rPr>
        <w:lastRenderedPageBreak/>
        <w:t xml:space="preserve">cooperation agencies; among other steps. </w:t>
      </w:r>
      <w:r w:rsidRPr="00B90432">
        <w:rPr>
          <w:rFonts w:asciiTheme="minorHAnsi" w:hAnsiTheme="minorHAnsi"/>
          <w:bCs/>
        </w:rPr>
        <w:t>The State reported as well on the appointment of an Office of the Inspector General, as the body in charge of internal oversight of the PNC. Its powers include prevention, investigation and sanction actions.</w:t>
      </w:r>
      <w:r w:rsidRPr="00B90432">
        <w:rPr>
          <w:rStyle w:val="FootnoteReference"/>
          <w:rFonts w:asciiTheme="minorHAnsi" w:hAnsiTheme="minorHAnsi"/>
          <w:bCs/>
          <w:sz w:val="22"/>
          <w:szCs w:val="22"/>
        </w:rPr>
        <w:footnoteReference w:id="578"/>
      </w:r>
    </w:p>
    <w:p w14:paraId="212699BE" w14:textId="77777777" w:rsidR="009E4831" w:rsidRPr="00B90432" w:rsidRDefault="006243A1" w:rsidP="00BE721D">
      <w:pPr>
        <w:pStyle w:val="Numberedparagraphs"/>
        <w:rPr>
          <w:rFonts w:asciiTheme="minorHAnsi" w:hAnsiTheme="minorHAnsi"/>
        </w:rPr>
      </w:pPr>
      <w:r w:rsidRPr="00B90432">
        <w:rPr>
          <w:rFonts w:asciiTheme="minorHAnsi" w:eastAsia="Times New Roman" w:hAnsiTheme="minorHAnsi" w:cs="Tahoma"/>
        </w:rPr>
        <w:t xml:space="preserve">As was reported in the 2016 IACHR Report, one of the Guatemalan State’s responses to violence and insecurity has been the participation of the armed forces in internal security tasks. In said report, the IACHR underscored the importance for the armed forces to be removed from internal security duties, because the Army and the police are substantively different institutions insofar as the purposes for which they were created and their training and preparation are concerned. Additionally, each entity is </w:t>
      </w:r>
      <w:r w:rsidRPr="00B90432">
        <w:rPr>
          <w:rFonts w:asciiTheme="minorHAnsi" w:hAnsiTheme="minorHAnsi"/>
        </w:rPr>
        <w:t>legally empowered to fulfill two entirely different duties under their respective jurisdictions.</w:t>
      </w:r>
      <w:r w:rsidRPr="00B90432">
        <w:rPr>
          <w:rStyle w:val="FootnoteReference"/>
          <w:rFonts w:asciiTheme="minorHAnsi" w:hAnsiTheme="minorHAnsi"/>
          <w:sz w:val="22"/>
          <w:szCs w:val="22"/>
        </w:rPr>
        <w:footnoteReference w:id="579"/>
      </w:r>
      <w:r w:rsidRPr="00B90432">
        <w:rPr>
          <w:rFonts w:asciiTheme="minorHAnsi" w:hAnsiTheme="minorHAnsi"/>
        </w:rPr>
        <w:t xml:space="preserve">  The permanent presence of the Army in citizen security issues, besides, could be inconsistent with the Peace Accords, inasmuch as the accords set forth that citizen security is the sole province of the civilian police forces.</w:t>
      </w:r>
      <w:r w:rsidRPr="00B90432">
        <w:rPr>
          <w:rFonts w:asciiTheme="minorHAnsi" w:hAnsiTheme="minorHAnsi"/>
          <w:vertAlign w:val="superscript"/>
        </w:rPr>
        <w:footnoteReference w:id="580"/>
      </w:r>
      <w:r w:rsidRPr="00B90432">
        <w:rPr>
          <w:rFonts w:asciiTheme="minorHAnsi" w:hAnsiTheme="minorHAnsi"/>
        </w:rPr>
        <w:t xml:space="preserve"> Subsequent to publication of the 2016 report, the State reported that in order to consolidate the Central American Democratic Security Model, it is currently executing the Plan to Strengthen the National Civilian Police and gradually remove the Guatemalan Army from Citizen Security tasks.</w:t>
      </w:r>
      <w:r w:rsidRPr="00B90432">
        <w:rPr>
          <w:rStyle w:val="FootnoteReference"/>
          <w:rFonts w:asciiTheme="minorHAnsi" w:hAnsiTheme="minorHAnsi"/>
          <w:sz w:val="22"/>
          <w:szCs w:val="22"/>
        </w:rPr>
        <w:footnoteReference w:id="581"/>
      </w:r>
      <w:r w:rsidRPr="00B90432">
        <w:rPr>
          <w:rFonts w:asciiTheme="minorHAnsi" w:hAnsiTheme="minorHAnsi"/>
        </w:rPr>
        <w:t xml:space="preserve"> The IACHR welcomes this information.</w:t>
      </w:r>
    </w:p>
    <w:p w14:paraId="60E4D5F4" w14:textId="77777777" w:rsidR="009E4831" w:rsidRPr="00B90432" w:rsidRDefault="006243A1" w:rsidP="00BE721D">
      <w:pPr>
        <w:pStyle w:val="Numberedparagraphs"/>
        <w:rPr>
          <w:rFonts w:asciiTheme="minorHAnsi" w:hAnsiTheme="minorHAnsi"/>
        </w:rPr>
      </w:pPr>
      <w:r w:rsidRPr="00B90432">
        <w:rPr>
          <w:rFonts w:asciiTheme="minorHAnsi" w:hAnsiTheme="minorHAnsi"/>
        </w:rPr>
        <w:t>The State proposed the withdrawal of the armed forces from internal security tasks in three phases. The first phase is redistribution and entails redirecting manpower to new priority locations as of January 1, 2017. This phase provides for the reassignment and relocation of the Army in thirty high violence high priority municipalities.</w:t>
      </w:r>
      <w:r w:rsidRPr="00B90432">
        <w:rPr>
          <w:rStyle w:val="FootnoteReference"/>
          <w:rFonts w:asciiTheme="minorHAnsi" w:hAnsiTheme="minorHAnsi"/>
          <w:sz w:val="22"/>
          <w:szCs w:val="22"/>
        </w:rPr>
        <w:footnoteReference w:id="582"/>
      </w:r>
      <w:r w:rsidRPr="00B90432">
        <w:rPr>
          <w:rFonts w:asciiTheme="minorHAnsi" w:hAnsiTheme="minorHAnsi"/>
        </w:rPr>
        <w:t xml:space="preserve"> The second phase, reduction, currently underway as of the date of approval of this report, involves quantitative reduction of Army assets by 50% starting April1, 2017.  Lastly, the third phase establishes the total withdrawal of Army assets from citizen security activities beginning on January 1, 2018, “leaving it open to the possibility of requesting support when necessary, pursuant to established protocols.”</w:t>
      </w:r>
      <w:r w:rsidRPr="00B90432">
        <w:rPr>
          <w:rStyle w:val="FootnoteReference"/>
          <w:rFonts w:asciiTheme="minorHAnsi" w:hAnsiTheme="minorHAnsi"/>
          <w:sz w:val="22"/>
          <w:szCs w:val="22"/>
        </w:rPr>
        <w:footnoteReference w:id="583"/>
      </w:r>
      <w:r w:rsidRPr="00B90432">
        <w:rPr>
          <w:rFonts w:asciiTheme="minorHAnsi" w:hAnsiTheme="minorHAnsi"/>
        </w:rPr>
        <w:t xml:space="preserve"> The State explained that it would continue to provide </w:t>
      </w:r>
      <w:r w:rsidRPr="00B90432">
        <w:rPr>
          <w:rFonts w:asciiTheme="minorHAnsi" w:hAnsiTheme="minorHAnsi"/>
        </w:rPr>
        <w:lastRenderedPageBreak/>
        <w:t>security outside prison facilities and along the borders of the country.</w:t>
      </w:r>
      <w:r w:rsidRPr="00B90432">
        <w:rPr>
          <w:rStyle w:val="FootnoteReference"/>
          <w:rFonts w:asciiTheme="minorHAnsi" w:hAnsiTheme="minorHAnsi"/>
          <w:sz w:val="22"/>
          <w:szCs w:val="22"/>
        </w:rPr>
        <w:footnoteReference w:id="584"/>
      </w:r>
      <w:r w:rsidRPr="00B90432">
        <w:rPr>
          <w:rFonts w:asciiTheme="minorHAnsi" w:hAnsiTheme="minorHAnsi"/>
        </w:rPr>
        <w:t xml:space="preserve">  The IACHR welcomes and encourages the efforts made and the commitments undertaken by the State in this regard, and it will closely monitor the process of withdrawal of the armed forces from these internal security tasks until it is completed, as scheduled for 2018. </w:t>
      </w:r>
    </w:p>
    <w:p w14:paraId="45F0D9DE" w14:textId="77777777" w:rsidR="009E4831" w:rsidRPr="00B90432" w:rsidRDefault="006243A1" w:rsidP="00BE721D">
      <w:pPr>
        <w:pStyle w:val="Numberedparagraphs"/>
        <w:rPr>
          <w:rFonts w:asciiTheme="minorHAnsi" w:hAnsiTheme="minorHAnsi"/>
        </w:rPr>
      </w:pPr>
      <w:r w:rsidRPr="00B90432">
        <w:rPr>
          <w:rFonts w:asciiTheme="minorHAnsi" w:hAnsiTheme="minorHAnsi"/>
        </w:rPr>
        <w:t>In the same vein, the State has also noted that it is strengthening the PNC in order to meet international standards and turn it into a highly professionalized police force, of a multicultural, multiethnic and multilingual nature, which is in tune with the country’s true make-up, through the consequent vetting process with a view toward completely dispense with the presence of the armed forces in citizen security tasks.</w:t>
      </w:r>
      <w:r w:rsidRPr="00B90432">
        <w:rPr>
          <w:rFonts w:asciiTheme="minorHAnsi" w:hAnsiTheme="minorHAnsi"/>
          <w:vertAlign w:val="superscript"/>
        </w:rPr>
        <w:footnoteReference w:id="585"/>
      </w:r>
      <w:r w:rsidRPr="00B90432">
        <w:rPr>
          <w:rFonts w:asciiTheme="minorHAnsi" w:hAnsiTheme="minorHAnsi"/>
        </w:rPr>
        <w:t xml:space="preserve"> The State reiterated that for the past 5 years, the Ministry of the Interior has been growing the ranks of the National Civilian Police force, and it expects the number to surpass 37,000 police members in 2017.</w:t>
      </w:r>
      <w:r w:rsidRPr="00B90432">
        <w:rPr>
          <w:rFonts w:asciiTheme="minorHAnsi" w:hAnsiTheme="minorHAnsi"/>
          <w:vertAlign w:val="superscript"/>
        </w:rPr>
        <w:footnoteReference w:id="586"/>
      </w:r>
    </w:p>
    <w:p w14:paraId="43E2E686"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welcomes the efforts made by the State in the area of citizen security, in particular, in dismantling criminal gangs. In May 2016, the Office of the Public Prosecutor and the National Civilian Police conducted a landmark operation against organized crime, which led to the apprehension of 72 alleged members of a ring of extortionists operating in the urban and extra urban transportation sectors, as well as to the seizure of scores of weapons, drugs and cash.</w:t>
      </w:r>
      <w:r w:rsidRPr="00B90432">
        <w:rPr>
          <w:rStyle w:val="FootnoteReference"/>
          <w:rFonts w:asciiTheme="minorHAnsi" w:hAnsiTheme="minorHAnsi"/>
          <w:sz w:val="22"/>
          <w:szCs w:val="22"/>
        </w:rPr>
        <w:footnoteReference w:id="587"/>
      </w:r>
      <w:r w:rsidRPr="00B90432">
        <w:rPr>
          <w:rFonts w:asciiTheme="minorHAnsi" w:hAnsiTheme="minorHAnsi"/>
        </w:rPr>
        <w:t xml:space="preserve"> It was the largest operation ever reported by the MP and the PNC as of that time.</w:t>
      </w:r>
      <w:r w:rsidRPr="00B90432">
        <w:rPr>
          <w:rStyle w:val="FootnoteReference"/>
          <w:rFonts w:asciiTheme="minorHAnsi" w:hAnsiTheme="minorHAnsi"/>
          <w:sz w:val="22"/>
          <w:szCs w:val="22"/>
        </w:rPr>
        <w:footnoteReference w:id="588"/>
      </w:r>
      <w:r w:rsidRPr="00B90432">
        <w:rPr>
          <w:rFonts w:asciiTheme="minorHAnsi" w:hAnsiTheme="minorHAnsi"/>
        </w:rPr>
        <w:t xml:space="preserve"> In similar operations against organized crime, authorities reported arresting more than 50 alleged criminals.</w:t>
      </w:r>
      <w:r w:rsidRPr="00B90432">
        <w:rPr>
          <w:rStyle w:val="FootnoteReference"/>
          <w:rFonts w:asciiTheme="minorHAnsi" w:hAnsiTheme="minorHAnsi"/>
          <w:sz w:val="22"/>
          <w:szCs w:val="22"/>
        </w:rPr>
        <w:footnoteReference w:id="589"/>
      </w:r>
      <w:r w:rsidRPr="00B90432">
        <w:rPr>
          <w:rFonts w:asciiTheme="minorHAnsi" w:hAnsiTheme="minorHAnsi"/>
        </w:rPr>
        <w:t xml:space="preserve"> Likewise, in September 2017, the MP and the PNC reported another “mega operation” of enforcement against gangs and </w:t>
      </w:r>
      <w:r w:rsidRPr="00B90432">
        <w:rPr>
          <w:rFonts w:asciiTheme="minorHAnsi" w:hAnsiTheme="minorHAnsi"/>
        </w:rPr>
        <w:lastRenderedPageBreak/>
        <w:t>criminal groups in the business of extortion.</w:t>
      </w:r>
      <w:r w:rsidRPr="00B90432">
        <w:rPr>
          <w:rStyle w:val="FootnoteReference"/>
          <w:rFonts w:asciiTheme="minorHAnsi" w:hAnsiTheme="minorHAnsi"/>
          <w:sz w:val="22"/>
          <w:szCs w:val="22"/>
        </w:rPr>
        <w:footnoteReference w:id="590"/>
      </w:r>
      <w:r w:rsidRPr="00B90432">
        <w:rPr>
          <w:rFonts w:asciiTheme="minorHAnsi" w:hAnsiTheme="minorHAnsi"/>
        </w:rPr>
        <w:t xml:space="preserve"> Mounted with officers of the abovementioned institutions, in addition to the Ministry of the Interior, the Judiciary and the Public Criminal Defense Institute, the operation netted 114 arrests of individuals charged in a case of the alleged crimes of murder, extortion, extortive obstruction of traffic and illicit association.</w:t>
      </w:r>
      <w:r w:rsidRPr="00B90432">
        <w:rPr>
          <w:rStyle w:val="FootnoteReference"/>
          <w:rFonts w:asciiTheme="minorHAnsi" w:hAnsiTheme="minorHAnsi"/>
          <w:sz w:val="22"/>
          <w:szCs w:val="22"/>
        </w:rPr>
        <w:footnoteReference w:id="591"/>
      </w:r>
    </w:p>
    <w:p w14:paraId="72B28A74"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Because of the high levels of violence Guatemala is experiencing, the Commission calls on the State to step up the efforts it announced, and to allocate sufficient resources to prevent, investigate and punish the acts of violence, in particular when the targets are specific segments of the population who are affected by violence in a differential manner, as is explained hereunder. </w:t>
      </w:r>
    </w:p>
    <w:p w14:paraId="467673EF" w14:textId="36A103C5" w:rsidR="006243A1" w:rsidRPr="0091514B" w:rsidRDefault="006243A1" w:rsidP="0091514B">
      <w:pPr>
        <w:pStyle w:val="Heading2"/>
      </w:pPr>
      <w:bookmarkStart w:id="78" w:name="_Toc509827680"/>
      <w:r w:rsidRPr="0091514B">
        <w:t xml:space="preserve">Effects on </w:t>
      </w:r>
      <w:r w:rsidR="0091514B" w:rsidRPr="0091514B">
        <w:t xml:space="preserve">Particular Groups </w:t>
      </w:r>
      <w:r w:rsidRPr="0091514B">
        <w:t xml:space="preserve">and </w:t>
      </w:r>
      <w:r w:rsidR="0091514B" w:rsidRPr="0091514B">
        <w:t xml:space="preserve">Effectiveness </w:t>
      </w:r>
      <w:r w:rsidRPr="0091514B">
        <w:t xml:space="preserve">of State </w:t>
      </w:r>
      <w:r w:rsidR="0091514B" w:rsidRPr="0091514B">
        <w:t>Policies</w:t>
      </w:r>
      <w:bookmarkEnd w:id="78"/>
      <w:r w:rsidR="0091514B" w:rsidRPr="0091514B">
        <w:t xml:space="preserve"> </w:t>
      </w:r>
    </w:p>
    <w:p w14:paraId="4802D7EA" w14:textId="77777777" w:rsidR="006243A1" w:rsidRPr="00B90432" w:rsidRDefault="006243A1" w:rsidP="0085755A">
      <w:pPr>
        <w:pStyle w:val="Heading3"/>
        <w:numPr>
          <w:ilvl w:val="0"/>
          <w:numId w:val="18"/>
        </w:numPr>
        <w:ind w:hanging="727"/>
      </w:pPr>
      <w:bookmarkStart w:id="79" w:name="_Toc509827681"/>
      <w:r w:rsidRPr="00B90432">
        <w:t>Women</w:t>
      </w:r>
      <w:bookmarkEnd w:id="79"/>
      <w:r w:rsidRPr="00B90432">
        <w:t xml:space="preserve"> </w:t>
      </w:r>
    </w:p>
    <w:p w14:paraId="3021F4EA"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has repeatedly voiced its concern over the prevalence of violence against women in Guatemala and the general context of impunity for it.</w:t>
      </w:r>
      <w:r w:rsidRPr="00B90432">
        <w:rPr>
          <w:rFonts w:asciiTheme="minorHAnsi" w:hAnsiTheme="minorHAnsi"/>
          <w:vertAlign w:val="superscript"/>
        </w:rPr>
        <w:footnoteReference w:id="592"/>
      </w:r>
      <w:r w:rsidRPr="00B90432">
        <w:rPr>
          <w:rFonts w:asciiTheme="minorHAnsi" w:hAnsiTheme="minorHAnsi"/>
        </w:rPr>
        <w:t xml:space="preserve">  During its visit, the Commission received reports about a disconnect between the efforts of the State institutions to protect women and the increase in violence against women in the country. As was noted by the Office of the UNHCHR, despite a slight decrease in the total number of violent deaths over the past two years, Guatemala continues to face serious problems of violence and organized crime, especially in the departments of Guatemala, Escuintla and Izabal, which have a differential effect on women.</w:t>
      </w:r>
      <w:r w:rsidRPr="00B90432">
        <w:rPr>
          <w:rFonts w:asciiTheme="minorHAnsi" w:hAnsiTheme="minorHAnsi"/>
          <w:vertAlign w:val="superscript"/>
        </w:rPr>
        <w:footnoteReference w:id="593"/>
      </w:r>
      <w:r w:rsidRPr="00B90432">
        <w:rPr>
          <w:rFonts w:asciiTheme="minorHAnsi" w:hAnsiTheme="minorHAnsi"/>
        </w:rPr>
        <w:t xml:space="preserve"> In 2016, 4,327 cases of the crimes of femicide and other forms of violence against women were brought before the courts (an increase of 38% over 2015) and the courts specialized in crimes of femicide and other </w:t>
      </w:r>
      <w:r w:rsidRPr="00B90432">
        <w:rPr>
          <w:rFonts w:asciiTheme="minorHAnsi" w:hAnsiTheme="minorHAnsi"/>
        </w:rPr>
        <w:lastRenderedPageBreak/>
        <w:t>forms of violence against women issued 1,908 judgments in 2016, which represents a 29% increase over 2015.</w:t>
      </w:r>
      <w:r w:rsidRPr="00B90432">
        <w:rPr>
          <w:rFonts w:asciiTheme="minorHAnsi" w:hAnsiTheme="minorHAnsi"/>
          <w:vertAlign w:val="superscript"/>
        </w:rPr>
        <w:footnoteReference w:id="594"/>
      </w:r>
    </w:p>
    <w:p w14:paraId="21BD84BC" w14:textId="77777777" w:rsidR="00DD785B" w:rsidRPr="00B90432" w:rsidRDefault="00DD785B" w:rsidP="00BE721D">
      <w:pPr>
        <w:pStyle w:val="Numberedparagraphs"/>
        <w:rPr>
          <w:rFonts w:asciiTheme="minorHAnsi" w:hAnsiTheme="minorHAnsi"/>
        </w:rPr>
      </w:pPr>
      <w:r w:rsidRPr="00B90432">
        <w:rPr>
          <w:rFonts w:asciiTheme="minorHAnsi" w:hAnsiTheme="minorHAnsi"/>
        </w:rPr>
        <w:t>In its comment to the draft of this report, the State indicated that currently it has 35 Gender Units in the Executive Branch, and 340 Municipal Directorates for Women, in addition to the 60 municipal policies of security with equity that have been signed. Similarly, the Department of Protection of Womens’ Rights within the Attorney General’s Office receives and processes reports of intra-family violence since 2015. Regarding the Centers of Integral Support for Women Survivors of Violence (CAIMUS), the State informed that in October 2016 a formal meeting took place between the Ministry of the Interior, the Ministry of Public Finance and members of Congress, for the purpose of including a specific appropriation in the annual national budget to ensure the functioning of these centers, which the State considers would be beneficial for the Commission to visit at some point.</w:t>
      </w:r>
      <w:r w:rsidRPr="00B90432">
        <w:rPr>
          <w:rStyle w:val="FootnoteReference"/>
          <w:rFonts w:asciiTheme="minorHAnsi" w:hAnsiTheme="minorHAnsi"/>
          <w:sz w:val="22"/>
          <w:szCs w:val="22"/>
        </w:rPr>
        <w:footnoteReference w:id="595"/>
      </w:r>
    </w:p>
    <w:p w14:paraId="7E99DDF6" w14:textId="77777777" w:rsidR="006243A1" w:rsidRPr="00B90432" w:rsidRDefault="006243A1" w:rsidP="00BE721D">
      <w:pPr>
        <w:pStyle w:val="Numberedparagraphs"/>
        <w:rPr>
          <w:rFonts w:asciiTheme="minorHAnsi" w:hAnsiTheme="minorHAnsi"/>
        </w:rPr>
      </w:pPr>
      <w:r w:rsidRPr="00B90432">
        <w:rPr>
          <w:rFonts w:asciiTheme="minorHAnsi" w:hAnsiTheme="minorHAnsi"/>
        </w:rPr>
        <w:t>The UN WOMEN country study asserts that impunity, stereotypes, discrimination, the prevalence of a machista culture and acceptance of violence lead to particular brutality against women in Guatemala.</w:t>
      </w:r>
      <w:r w:rsidRPr="00B90432">
        <w:rPr>
          <w:rFonts w:asciiTheme="minorHAnsi" w:hAnsiTheme="minorHAnsi"/>
          <w:vertAlign w:val="superscript"/>
        </w:rPr>
        <w:footnoteReference w:id="596"/>
      </w:r>
      <w:r w:rsidRPr="00B90432">
        <w:rPr>
          <w:rFonts w:asciiTheme="minorHAnsi" w:hAnsiTheme="minorHAnsi"/>
        </w:rPr>
        <w:t xml:space="preserve"> According to the autopsies performed by the INACIF, from January to June 2016, 374 autopsies for violent deaths of women were counted, while in the same period of 2017, 431 have been conducted.</w:t>
      </w:r>
      <w:r w:rsidRPr="00B90432">
        <w:rPr>
          <w:rFonts w:asciiTheme="minorHAnsi" w:hAnsiTheme="minorHAnsi"/>
          <w:vertAlign w:val="superscript"/>
        </w:rPr>
        <w:footnoteReference w:id="597"/>
      </w:r>
      <w:r w:rsidRPr="00B90432">
        <w:rPr>
          <w:rFonts w:asciiTheme="minorHAnsi" w:hAnsiTheme="minorHAnsi"/>
        </w:rPr>
        <w:t xml:space="preserve">  These figures confirm the rising trend of violent deaths of women, despite the decrease in violent deaths of men in the same period. Additionally, the Commission has obtained information about the prevalence of acts of asphyxiation and dismemberment, including decapitations, thus exhibiting particular viciousness against women’s bodies.</w:t>
      </w:r>
      <w:r w:rsidRPr="00B90432">
        <w:rPr>
          <w:rFonts w:asciiTheme="minorHAnsi" w:hAnsiTheme="minorHAnsi"/>
          <w:vertAlign w:val="superscript"/>
        </w:rPr>
        <w:footnoteReference w:id="598"/>
      </w:r>
    </w:p>
    <w:p w14:paraId="6FE51303" w14:textId="77777777" w:rsidR="006243A1" w:rsidRPr="00B90432" w:rsidRDefault="006243A1" w:rsidP="00BE721D">
      <w:pPr>
        <w:pStyle w:val="Numberedparagraphs"/>
        <w:rPr>
          <w:rFonts w:asciiTheme="minorHAnsi" w:hAnsiTheme="minorHAnsi"/>
        </w:rPr>
      </w:pPr>
      <w:r w:rsidRPr="00B90432">
        <w:rPr>
          <w:rFonts w:asciiTheme="minorHAnsi" w:hAnsiTheme="minorHAnsi"/>
        </w:rPr>
        <w:t>According to information obtained by the Commission, violence against women is the most reported crime in the country,</w:t>
      </w:r>
      <w:r w:rsidRPr="00B90432">
        <w:rPr>
          <w:rFonts w:asciiTheme="minorHAnsi" w:hAnsiTheme="minorHAnsi"/>
          <w:vertAlign w:val="superscript"/>
        </w:rPr>
        <w:footnoteReference w:id="599"/>
      </w:r>
      <w:r w:rsidRPr="00B90432">
        <w:rPr>
          <w:rFonts w:asciiTheme="minorHAnsi" w:hAnsiTheme="minorHAnsi"/>
        </w:rPr>
        <w:t xml:space="preserve"> especially sexual violence, for which the troubling statistics are flat.  Based on the data of the Secretariat against Sexual Violence, Exploitation and Trafficking in Persons (SVET), in 2015, the Office of the Public Prosecutor registered 7,845 </w:t>
      </w:r>
      <w:r w:rsidRPr="00B90432">
        <w:rPr>
          <w:rFonts w:asciiTheme="minorHAnsi" w:hAnsiTheme="minorHAnsi"/>
        </w:rPr>
        <w:lastRenderedPageBreak/>
        <w:t>complaints for crimes of sexual violence, while in 2016 7,949 complaints were recorded. For this past year, less than 1% of the cases have been disposed of with judgment.</w:t>
      </w:r>
      <w:r w:rsidRPr="00B90432">
        <w:rPr>
          <w:rFonts w:asciiTheme="minorHAnsi" w:hAnsiTheme="minorHAnsi"/>
          <w:vertAlign w:val="superscript"/>
        </w:rPr>
        <w:footnoteReference w:id="600"/>
      </w:r>
      <w:r w:rsidRPr="00B90432">
        <w:rPr>
          <w:rFonts w:asciiTheme="minorHAnsi" w:hAnsiTheme="minorHAnsi"/>
        </w:rPr>
        <w:t xml:space="preserve">  According to information provided by the Human Rights Ombudsman, from 2008 to 2016, 90% of the victims of sexual violence were women, especially young girls, adolescents and young women.</w:t>
      </w:r>
      <w:r w:rsidRPr="00B90432">
        <w:rPr>
          <w:rFonts w:asciiTheme="minorHAnsi" w:hAnsiTheme="minorHAnsi"/>
          <w:vertAlign w:val="superscript"/>
        </w:rPr>
        <w:footnoteReference w:id="601"/>
      </w:r>
      <w:r w:rsidR="000A28A8" w:rsidRPr="00B90432">
        <w:rPr>
          <w:rFonts w:asciiTheme="minorHAnsi" w:hAnsiTheme="minorHAnsi"/>
        </w:rPr>
        <w:t xml:space="preserve"> In its comments to the draft of this report, the State indicated that figures of the Public Prosecutor’s Office registered, beteen 2012 and June 2017, 71,504 women who were victims of sexual violence. In that same period, the State indicated that it conducted 263 trainings on issues related to violence against women, benefiting 4,532 peopl (2,589 women and 1,942 men).</w:t>
      </w:r>
      <w:r w:rsidR="000A28A8" w:rsidRPr="00B90432">
        <w:rPr>
          <w:rStyle w:val="FootnoteReference"/>
          <w:rFonts w:asciiTheme="minorHAnsi" w:hAnsiTheme="minorHAnsi"/>
          <w:sz w:val="22"/>
          <w:szCs w:val="22"/>
        </w:rPr>
        <w:footnoteReference w:id="602"/>
      </w:r>
      <w:r w:rsidR="000A28A8" w:rsidRPr="00B90432">
        <w:rPr>
          <w:rFonts w:asciiTheme="minorHAnsi" w:hAnsiTheme="minorHAnsi"/>
        </w:rPr>
        <w:t xml:space="preserve"> The Commission reiterates its concern over the prevalence of sexual violence against women and calls on the State to step up its efforts to prevent, investigate and punish cases of sexual violence.</w:t>
      </w:r>
    </w:p>
    <w:p w14:paraId="4217429D" w14:textId="77777777" w:rsidR="006243A1" w:rsidRPr="00B90432" w:rsidRDefault="006243A1" w:rsidP="00BE721D">
      <w:pPr>
        <w:pStyle w:val="Numberedparagraphs"/>
        <w:rPr>
          <w:rFonts w:asciiTheme="minorHAnsi" w:hAnsiTheme="minorHAnsi"/>
        </w:rPr>
      </w:pPr>
      <w:r w:rsidRPr="00B90432">
        <w:rPr>
          <w:rFonts w:asciiTheme="minorHAnsi" w:hAnsiTheme="minorHAnsi"/>
        </w:rPr>
        <w:t>The Commission learned of the draft bill of law 5178,</w:t>
      </w:r>
      <w:r w:rsidRPr="00B90432">
        <w:rPr>
          <w:rFonts w:asciiTheme="minorHAnsi" w:hAnsiTheme="minorHAnsi"/>
          <w:vertAlign w:val="superscript"/>
        </w:rPr>
        <w:footnoteReference w:id="603"/>
      </w:r>
      <w:r w:rsidRPr="00B90432">
        <w:rPr>
          <w:rFonts w:asciiTheme="minorHAnsi" w:hAnsiTheme="minorHAnsi"/>
        </w:rPr>
        <w:t xml:space="preserve"> introduced in the Congress of the Republic in 2016 in order to approve the </w:t>
      </w:r>
      <w:r w:rsidR="000A28A8" w:rsidRPr="00B90432">
        <w:rPr>
          <w:rFonts w:asciiTheme="minorHAnsi" w:hAnsiTheme="minorHAnsi"/>
          <w:i/>
        </w:rPr>
        <w:t>Law of the National Regist</w:t>
      </w:r>
      <w:r w:rsidRPr="00B90432">
        <w:rPr>
          <w:rFonts w:asciiTheme="minorHAnsi" w:hAnsiTheme="minorHAnsi"/>
          <w:i/>
        </w:rPr>
        <w:t>r</w:t>
      </w:r>
      <w:r w:rsidR="000A28A8" w:rsidRPr="00B90432">
        <w:rPr>
          <w:rFonts w:asciiTheme="minorHAnsi" w:hAnsiTheme="minorHAnsi"/>
          <w:i/>
        </w:rPr>
        <w:t>y</w:t>
      </w:r>
      <w:r w:rsidRPr="00B90432">
        <w:rPr>
          <w:rFonts w:asciiTheme="minorHAnsi" w:hAnsiTheme="minorHAnsi"/>
          <w:i/>
        </w:rPr>
        <w:t xml:space="preserve"> of Sexual </w:t>
      </w:r>
      <w:r w:rsidR="000A28A8" w:rsidRPr="00B90432">
        <w:rPr>
          <w:rFonts w:asciiTheme="minorHAnsi" w:hAnsiTheme="minorHAnsi"/>
          <w:i/>
        </w:rPr>
        <w:t>Offenders</w:t>
      </w:r>
      <w:r w:rsidRPr="00B90432">
        <w:rPr>
          <w:rFonts w:asciiTheme="minorHAnsi" w:hAnsiTheme="minorHAnsi"/>
          <w:i/>
        </w:rPr>
        <w:t xml:space="preserve"> and the Genetic Database. </w:t>
      </w:r>
      <w:r w:rsidRPr="00B90432">
        <w:rPr>
          <w:rFonts w:asciiTheme="minorHAnsi" w:hAnsiTheme="minorHAnsi"/>
        </w:rPr>
        <w:t>The bill seeks to enhance the efficiency of security and justice agencies in identifying victimizers of these types of crimes</w:t>
      </w:r>
      <w:r w:rsidR="000A28A8" w:rsidRPr="00B90432">
        <w:rPr>
          <w:rFonts w:asciiTheme="minorHAnsi" w:hAnsiTheme="minorHAnsi"/>
        </w:rPr>
        <w:t>,</w:t>
      </w:r>
      <w:r w:rsidRPr="00B90432">
        <w:rPr>
          <w:rFonts w:asciiTheme="minorHAnsi" w:hAnsiTheme="minorHAnsi"/>
        </w:rPr>
        <w:t xml:space="preserve"> and effectively enforce the law.</w:t>
      </w:r>
      <w:r w:rsidR="000A28A8" w:rsidRPr="00B90432">
        <w:rPr>
          <w:rFonts w:asciiTheme="minorHAnsi" w:hAnsiTheme="minorHAnsi"/>
        </w:rPr>
        <w:t xml:space="preserve"> In its comments to the draft of this report, the State highlighted that this Law was approved on November 29, 2017, </w:t>
      </w:r>
      <w:r w:rsidRPr="00B90432">
        <w:rPr>
          <w:rFonts w:asciiTheme="minorHAnsi" w:hAnsiTheme="minorHAnsi"/>
        </w:rPr>
        <w:t xml:space="preserve"> </w:t>
      </w:r>
      <w:r w:rsidR="000A28A8" w:rsidRPr="00B90432">
        <w:rPr>
          <w:rFonts w:asciiTheme="minorHAnsi" w:hAnsiTheme="minorHAnsi"/>
        </w:rPr>
        <w:t>which the IACHR salutes.</w:t>
      </w:r>
      <w:r w:rsidR="000A28A8" w:rsidRPr="00B90432">
        <w:rPr>
          <w:rStyle w:val="FootnoteReference"/>
          <w:rFonts w:asciiTheme="minorHAnsi" w:hAnsiTheme="minorHAnsi"/>
          <w:sz w:val="22"/>
          <w:szCs w:val="22"/>
        </w:rPr>
        <w:footnoteReference w:id="604"/>
      </w:r>
    </w:p>
    <w:p w14:paraId="116369DD" w14:textId="77777777" w:rsidR="006243A1" w:rsidRPr="00B90432" w:rsidRDefault="006243A1" w:rsidP="00BE721D">
      <w:pPr>
        <w:pStyle w:val="Numberedparagraphs"/>
        <w:rPr>
          <w:rFonts w:asciiTheme="minorHAnsi" w:hAnsiTheme="minorHAnsi"/>
        </w:rPr>
      </w:pPr>
      <w:r w:rsidRPr="00B90432">
        <w:rPr>
          <w:rFonts w:asciiTheme="minorHAnsi" w:hAnsiTheme="minorHAnsi"/>
        </w:rPr>
        <w:t>The Commission has asserted that the end to the armed conflict has not meant the end to violence, especially for women, who do not realize their right to lead a violence-free life.</w:t>
      </w:r>
      <w:r w:rsidRPr="00B90432">
        <w:rPr>
          <w:rFonts w:asciiTheme="minorHAnsi" w:hAnsiTheme="minorHAnsi"/>
          <w:vertAlign w:val="superscript"/>
        </w:rPr>
        <w:footnoteReference w:id="605"/>
      </w:r>
      <w:r w:rsidRPr="00B90432">
        <w:rPr>
          <w:rFonts w:asciiTheme="minorHAnsi" w:hAnsiTheme="minorHAnsi"/>
        </w:rPr>
        <w:t xml:space="preserve">   The Commission has been noticing a scenario of violence in Guatemala, where most crime is attributed to violence perpetrated by criminal organizations, such as drug trafficking cartels and gangs or </w:t>
      </w:r>
      <w:r w:rsidRPr="00B90432">
        <w:rPr>
          <w:rFonts w:asciiTheme="minorHAnsi" w:hAnsiTheme="minorHAnsi"/>
          <w:i/>
        </w:rPr>
        <w:t xml:space="preserve">maras. </w:t>
      </w:r>
      <w:r w:rsidRPr="00B90432">
        <w:rPr>
          <w:rFonts w:asciiTheme="minorHAnsi" w:hAnsiTheme="minorHAnsi"/>
        </w:rPr>
        <w:t xml:space="preserve">In this context, women face a heightened situation of risk: the maras tend to be criminal structures dominated by males with a machista hierarchy, who engage in practices of extreme </w:t>
      </w:r>
      <w:r w:rsidRPr="00B90432">
        <w:rPr>
          <w:rFonts w:asciiTheme="minorHAnsi" w:hAnsiTheme="minorHAnsi"/>
        </w:rPr>
        <w:lastRenderedPageBreak/>
        <w:t>violence. It is difficult for women to rise above men to hold high positions in the hierarchy and, true to the stereotype, many women (mothers, sisters, female partners) are regarded as “property” of men and their gang.</w:t>
      </w:r>
      <w:r w:rsidRPr="00B90432">
        <w:rPr>
          <w:rFonts w:asciiTheme="minorHAnsi" w:hAnsiTheme="minorHAnsi"/>
          <w:vertAlign w:val="superscript"/>
        </w:rPr>
        <w:footnoteReference w:id="606"/>
      </w:r>
      <w:r w:rsidRPr="00B90432">
        <w:rPr>
          <w:rFonts w:asciiTheme="minorHAnsi" w:hAnsiTheme="minorHAnsi"/>
        </w:rPr>
        <w:t xml:space="preserve"> Overpowering and harassing women is part of the control and confrontation strategy among gangs, which leaves women particularly vulnerable to acts of extortion, threats, sexual violence, torture and murder.</w:t>
      </w:r>
      <w:r w:rsidRPr="00B90432">
        <w:rPr>
          <w:rFonts w:asciiTheme="minorHAnsi" w:hAnsiTheme="minorHAnsi"/>
          <w:vertAlign w:val="superscript"/>
        </w:rPr>
        <w:footnoteReference w:id="607"/>
      </w:r>
      <w:r w:rsidRPr="00B90432">
        <w:rPr>
          <w:rFonts w:asciiTheme="minorHAnsi" w:hAnsiTheme="minorHAnsi"/>
        </w:rPr>
        <w:t xml:space="preserve"> </w:t>
      </w:r>
    </w:p>
    <w:p w14:paraId="2DE0FB2F" w14:textId="77777777" w:rsidR="006243A1" w:rsidRPr="00B90432" w:rsidRDefault="006243A1" w:rsidP="00BE721D">
      <w:pPr>
        <w:pStyle w:val="Numberedparagraphs"/>
        <w:rPr>
          <w:rFonts w:asciiTheme="minorHAnsi" w:hAnsiTheme="minorHAnsi"/>
        </w:rPr>
      </w:pPr>
      <w:r w:rsidRPr="00B90432">
        <w:rPr>
          <w:rFonts w:asciiTheme="minorHAnsi" w:hAnsiTheme="minorHAnsi"/>
        </w:rPr>
        <w:t>In response to the Preliminary Observations of the IACHR, following its country visit,</w:t>
      </w:r>
      <w:r w:rsidRPr="00B90432">
        <w:rPr>
          <w:rFonts w:asciiTheme="minorHAnsi" w:hAnsiTheme="minorHAnsi"/>
          <w:vertAlign w:val="superscript"/>
        </w:rPr>
        <w:footnoteReference w:id="608"/>
      </w:r>
      <w:r w:rsidRPr="00B90432">
        <w:rPr>
          <w:rFonts w:asciiTheme="minorHAnsi" w:hAnsiTheme="minorHAnsi"/>
        </w:rPr>
        <w:t xml:space="preserve"> the State reported to the Commission that in examining PNC-created registries of this crime phenomenon, an increase was noticed in the number of women victimizers (arrested or jailed) for different criminal acts, which could suggest that violence against women mostly stems from their involvement in criminal organizations.</w:t>
      </w:r>
      <w:r w:rsidRPr="00B90432">
        <w:rPr>
          <w:rFonts w:asciiTheme="minorHAnsi" w:hAnsiTheme="minorHAnsi"/>
          <w:vertAlign w:val="superscript"/>
        </w:rPr>
        <w:footnoteReference w:id="609"/>
      </w:r>
      <w:r w:rsidRPr="00B90432">
        <w:rPr>
          <w:rFonts w:asciiTheme="minorHAnsi" w:hAnsiTheme="minorHAnsi"/>
        </w:rPr>
        <w:t xml:space="preserve"> In light of this situation, the Commission takes note of the intent of the State to promote and further actions to protect women in order to prevent them from being forced to join criminal groups or joining out of the sense of being the possession of the groups, and to adopt policies to prevent violence against women in general, regardless of who the perpetrators are.</w:t>
      </w:r>
    </w:p>
    <w:p w14:paraId="2B1100E2" w14:textId="05E22764" w:rsidR="006243A1" w:rsidRPr="00B90432" w:rsidRDefault="006243A1" w:rsidP="001944CF">
      <w:pPr>
        <w:pStyle w:val="Heading3"/>
      </w:pPr>
      <w:bookmarkStart w:id="80" w:name="_Toc509827682"/>
      <w:r w:rsidRPr="00B90432">
        <w:t xml:space="preserve">Children and </w:t>
      </w:r>
      <w:r w:rsidR="001944CF" w:rsidRPr="00B90432">
        <w:t>Adolescents</w:t>
      </w:r>
      <w:bookmarkEnd w:id="80"/>
    </w:p>
    <w:p w14:paraId="465BAA87"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insecurity and violence currently dogging Guatemala, which is associated with the actions of organized crime and is aggravated by high levels of corruption and impunity, has negative repercussions on child protection. In addition to the alarming homicide </w:t>
      </w:r>
      <w:r w:rsidR="000D2A69" w:rsidRPr="00B90432">
        <w:rPr>
          <w:rFonts w:asciiTheme="minorHAnsi" w:hAnsiTheme="minorHAnsi"/>
        </w:rPr>
        <w:t>numbers</w:t>
      </w:r>
      <w:r w:rsidRPr="00B90432">
        <w:rPr>
          <w:rFonts w:asciiTheme="minorHAnsi" w:hAnsiTheme="minorHAnsi"/>
        </w:rPr>
        <w:t xml:space="preserve"> among children and adolescents, the IACHR has received information about the levels of crime affecting this population group and the link of this phenomenon to the situation of poverty, marginalization and lack of access to education in which many Guatemalan, particularly indigenous, children and adolescents are living. </w:t>
      </w:r>
    </w:p>
    <w:p w14:paraId="45A9E15F" w14:textId="77777777" w:rsidR="006243A1" w:rsidRPr="00B90432" w:rsidRDefault="006243A1" w:rsidP="00BE721D">
      <w:pPr>
        <w:pStyle w:val="Numberedparagraphs"/>
        <w:rPr>
          <w:rFonts w:asciiTheme="minorHAnsi" w:hAnsiTheme="minorHAnsi"/>
        </w:rPr>
      </w:pPr>
      <w:r w:rsidRPr="00B90432">
        <w:rPr>
          <w:rFonts w:asciiTheme="minorHAnsi" w:hAnsiTheme="minorHAnsi"/>
        </w:rPr>
        <w:lastRenderedPageBreak/>
        <w:t>Homicides are the main cause of death among adolescents and young people from 15 to 24 years of age in Guatemala, for whom the homicide rate surpassed 55 for every 100,000 inhabitants in 2015 (the most recent year for which figures are available for this age group).</w:t>
      </w:r>
      <w:r w:rsidRPr="00B90432">
        <w:rPr>
          <w:rStyle w:val="FootnoteReference"/>
          <w:rFonts w:asciiTheme="minorHAnsi" w:hAnsiTheme="minorHAnsi"/>
          <w:sz w:val="22"/>
          <w:szCs w:val="22"/>
        </w:rPr>
        <w:footnoteReference w:id="610"/>
      </w:r>
      <w:r w:rsidRPr="00B90432">
        <w:rPr>
          <w:rFonts w:asciiTheme="minorHAnsi" w:hAnsiTheme="minorHAnsi"/>
        </w:rPr>
        <w:t xml:space="preserve">  This has meant that much of the progress achieved in the area of survival during early childhood through public child protection policies falls by the wayside during adolescence.</w:t>
      </w:r>
      <w:r w:rsidRPr="00B90432">
        <w:rPr>
          <w:rFonts w:asciiTheme="minorHAnsi" w:hAnsiTheme="minorHAnsi"/>
          <w:vertAlign w:val="superscript"/>
        </w:rPr>
        <w:footnoteReference w:id="611"/>
      </w:r>
      <w:r w:rsidRPr="00B90432">
        <w:rPr>
          <w:rFonts w:asciiTheme="minorHAnsi" w:hAnsiTheme="minorHAnsi"/>
        </w:rPr>
        <w:t xml:space="preserve">  Available information</w:t>
      </w:r>
      <w:r w:rsidR="000D2A69" w:rsidRPr="00B90432">
        <w:rPr>
          <w:rFonts w:asciiTheme="minorHAnsi" w:hAnsiTheme="minorHAnsi"/>
        </w:rPr>
        <w:t xml:space="preserve"> to the IACHR</w:t>
      </w:r>
      <w:r w:rsidRPr="00B90432">
        <w:rPr>
          <w:rFonts w:asciiTheme="minorHAnsi" w:hAnsiTheme="minorHAnsi"/>
        </w:rPr>
        <w:t xml:space="preserve"> suggests that most homicides can be attributed to activities of the </w:t>
      </w:r>
      <w:r w:rsidRPr="00B90432">
        <w:rPr>
          <w:rFonts w:asciiTheme="minorHAnsi" w:hAnsiTheme="minorHAnsi"/>
          <w:i/>
        </w:rPr>
        <w:t>maras</w:t>
      </w:r>
      <w:r w:rsidRPr="00B90432">
        <w:rPr>
          <w:rFonts w:asciiTheme="minorHAnsi" w:hAnsiTheme="minorHAnsi"/>
        </w:rPr>
        <w:t xml:space="preserve">. </w:t>
      </w:r>
    </w:p>
    <w:p w14:paraId="2137DBAC"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Accordingly, the Commission notes that </w:t>
      </w:r>
      <w:r w:rsidRPr="00B90432">
        <w:rPr>
          <w:rFonts w:asciiTheme="minorHAnsi" w:hAnsiTheme="minorHAnsi"/>
          <w:i/>
        </w:rPr>
        <w:t xml:space="preserve">maras </w:t>
      </w:r>
      <w:r w:rsidRPr="00B90432">
        <w:rPr>
          <w:rFonts w:asciiTheme="minorHAnsi" w:hAnsiTheme="minorHAnsi"/>
        </w:rPr>
        <w:t>not only</w:t>
      </w:r>
      <w:r w:rsidRPr="00B90432">
        <w:rPr>
          <w:rFonts w:asciiTheme="minorHAnsi" w:hAnsiTheme="minorHAnsi"/>
          <w:i/>
        </w:rPr>
        <w:t xml:space="preserve"> </w:t>
      </w:r>
      <w:r w:rsidRPr="00B90432">
        <w:rPr>
          <w:rFonts w:asciiTheme="minorHAnsi" w:hAnsiTheme="minorHAnsi"/>
        </w:rPr>
        <w:t xml:space="preserve">pose the most important security, but also human rights problem. The IACHR has noted that marginalization, social exclusion, poor quality education, violence in the home and poverty have led to the emergence and the expansion of criminal groups; children and adolescents join these groups because of a lack of education or job opportunities, or else in search of a feeling of belonging, recognition or protection. Additionally, many children and teenagers are recruited under deceit, pressure, threats, extortion and violence perpetrated by the </w:t>
      </w:r>
      <w:r w:rsidRPr="00B90432">
        <w:rPr>
          <w:rFonts w:asciiTheme="minorHAnsi" w:hAnsiTheme="minorHAnsi"/>
          <w:i/>
        </w:rPr>
        <w:t xml:space="preserve">maras </w:t>
      </w:r>
      <w:r w:rsidRPr="00B90432">
        <w:rPr>
          <w:rFonts w:asciiTheme="minorHAnsi" w:hAnsiTheme="minorHAnsi"/>
        </w:rPr>
        <w:t>themselves</w:t>
      </w:r>
      <w:r w:rsidRPr="00B90432">
        <w:rPr>
          <w:rFonts w:asciiTheme="minorHAnsi" w:hAnsiTheme="minorHAnsi"/>
          <w:i/>
        </w:rPr>
        <w:t>.</w:t>
      </w:r>
      <w:r w:rsidRPr="00B90432">
        <w:rPr>
          <w:rFonts w:asciiTheme="minorHAnsi" w:hAnsiTheme="minorHAnsi"/>
          <w:vertAlign w:val="superscript"/>
        </w:rPr>
        <w:footnoteReference w:id="612"/>
      </w:r>
      <w:r w:rsidRPr="00B90432">
        <w:rPr>
          <w:rFonts w:asciiTheme="minorHAnsi" w:hAnsiTheme="minorHAnsi"/>
        </w:rPr>
        <w:t xml:space="preserve"> Even though there have been some isolated programs and initiatives to deal with this issue, available information shows that the lack of a comprehensive national public policy renders these programs ineffective, or they are discarded shortly after they get off the ground.    </w:t>
      </w:r>
    </w:p>
    <w:p w14:paraId="76F30702"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weaknesses cited earlier in information gathering and statistical data collection on violence and homicides in Guatemala also applies to </w:t>
      </w:r>
      <w:r w:rsidR="000D2A69" w:rsidRPr="00B90432">
        <w:rPr>
          <w:rFonts w:asciiTheme="minorHAnsi" w:hAnsiTheme="minorHAnsi"/>
        </w:rPr>
        <w:t xml:space="preserve">the type of </w:t>
      </w:r>
      <w:r w:rsidRPr="00B90432">
        <w:rPr>
          <w:rFonts w:asciiTheme="minorHAnsi" w:hAnsiTheme="minorHAnsi"/>
        </w:rPr>
        <w:t>violence endured by children and adolescents. These weaknesses make it difficult to accurately identify victims and categorize homicides, in turn, making it hard to create effective public policies to address these issues.</w:t>
      </w:r>
      <w:r w:rsidRPr="00B90432">
        <w:rPr>
          <w:rFonts w:asciiTheme="minorHAnsi" w:hAnsiTheme="minorHAnsi"/>
          <w:vertAlign w:val="superscript"/>
        </w:rPr>
        <w:footnoteReference w:id="613"/>
      </w:r>
    </w:p>
    <w:p w14:paraId="6460DA66"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Contrary to the trend in homicides and violent deaths, sexual crimes have been on the rise over the past eight years, according to medical examinations conducted by INACIF. Based on the figures of the Office of the Public Prosecutor, in 2015, there were 15,401 sexual offenses reported and </w:t>
      </w:r>
      <w:r w:rsidRPr="00B90432">
        <w:rPr>
          <w:rFonts w:asciiTheme="minorHAnsi" w:hAnsiTheme="minorHAnsi"/>
        </w:rPr>
        <w:lastRenderedPageBreak/>
        <w:t>from January to October 2016 there were already 12,115 cases</w:t>
      </w:r>
      <w:r w:rsidRPr="00B90432">
        <w:rPr>
          <w:rFonts w:asciiTheme="minorHAnsi" w:hAnsiTheme="minorHAnsi"/>
          <w:vertAlign w:val="superscript"/>
        </w:rPr>
        <w:footnoteReference w:id="614"/>
      </w:r>
      <w:r w:rsidRPr="00B90432">
        <w:rPr>
          <w:rFonts w:asciiTheme="minorHAnsi" w:hAnsiTheme="minorHAnsi"/>
        </w:rPr>
        <w:t xml:space="preserve">  Among the cases reported during the first third of 2017, 37.8% was sexual assault, amounting to 990 rapes, against adolescents from 13 to 17 years of age; followed by 7 to 12 year old little boys and girls, with a total of 409 cases.</w:t>
      </w:r>
      <w:r w:rsidRPr="00B90432">
        <w:rPr>
          <w:rStyle w:val="FootnoteReference"/>
          <w:rFonts w:asciiTheme="minorHAnsi" w:hAnsiTheme="minorHAnsi"/>
          <w:sz w:val="22"/>
          <w:szCs w:val="22"/>
        </w:rPr>
        <w:footnoteReference w:id="615"/>
      </w:r>
      <w:r w:rsidRPr="00B90432">
        <w:rPr>
          <w:rFonts w:asciiTheme="minorHAnsi" w:hAnsiTheme="minorHAnsi"/>
        </w:rPr>
        <w:t xml:space="preserve"> There were also 230 cases of sexual violence reported against children from 0 to 6 years of age, 169 of which documented that little girls as the victims.</w:t>
      </w:r>
      <w:r w:rsidRPr="00B90432">
        <w:rPr>
          <w:rStyle w:val="FootnoteReference"/>
          <w:rFonts w:asciiTheme="minorHAnsi" w:hAnsiTheme="minorHAnsi"/>
          <w:sz w:val="22"/>
          <w:szCs w:val="22"/>
        </w:rPr>
        <w:footnoteReference w:id="616"/>
      </w:r>
      <w:r w:rsidRPr="00B90432">
        <w:rPr>
          <w:rFonts w:asciiTheme="minorHAnsi" w:hAnsiTheme="minorHAnsi"/>
        </w:rPr>
        <w:t xml:space="preserve"> Additionally, it was report that in 2016, 8% of the victims of sexual violence were from 0 to 6 years of age, 15% from 7 to 12 years of age, 36% from 13 to 17 years old, and 13% from 18 to 29 years of age.</w:t>
      </w:r>
      <w:r w:rsidRPr="00B90432">
        <w:rPr>
          <w:rFonts w:asciiTheme="minorHAnsi" w:hAnsiTheme="minorHAnsi"/>
          <w:vertAlign w:val="superscript"/>
        </w:rPr>
        <w:footnoteReference w:id="617"/>
      </w:r>
      <w:r w:rsidRPr="00B90432">
        <w:rPr>
          <w:rFonts w:asciiTheme="minorHAnsi" w:hAnsiTheme="minorHAnsi"/>
        </w:rPr>
        <w:t xml:space="preserve"> These figures are for reported cases only and it is also estimated that there is a significant underreporting of cases, as victims often fail to report abuse.</w:t>
      </w:r>
      <w:r w:rsidRPr="00B90432">
        <w:rPr>
          <w:rFonts w:asciiTheme="minorHAnsi" w:hAnsiTheme="minorHAnsi"/>
          <w:vertAlign w:val="superscript"/>
        </w:rPr>
        <w:footnoteReference w:id="618"/>
      </w:r>
      <w:r w:rsidRPr="00B90432">
        <w:rPr>
          <w:rFonts w:asciiTheme="minorHAnsi" w:hAnsiTheme="minorHAnsi"/>
        </w:rPr>
        <w:t xml:space="preserve"> </w:t>
      </w:r>
    </w:p>
    <w:p w14:paraId="72A772DD" w14:textId="77777777" w:rsidR="006243A1" w:rsidRPr="00B90432" w:rsidRDefault="006243A1" w:rsidP="00BE721D">
      <w:pPr>
        <w:pStyle w:val="Numberedparagraphs"/>
        <w:rPr>
          <w:rFonts w:asciiTheme="minorHAnsi" w:hAnsiTheme="minorHAnsi"/>
        </w:rPr>
      </w:pPr>
      <w:r w:rsidRPr="00B90432">
        <w:rPr>
          <w:rFonts w:asciiTheme="minorHAnsi" w:hAnsiTheme="minorHAnsi"/>
        </w:rPr>
        <w:t>On another note, from January 1 to May 31, 2017, the Office of the Public Prosecutor reported receiving 2,637 complaints for sexual violence against children and adolescents: 1,733 for rape, 661 for sexual assault, 193 for aggravated rape, 26 for sexual assault with special aggravating circumstances, and 24 for rape with special aggravating circumstances.</w:t>
      </w:r>
      <w:r w:rsidRPr="00B90432">
        <w:rPr>
          <w:rStyle w:val="FootnoteReference"/>
          <w:rFonts w:asciiTheme="minorHAnsi" w:hAnsiTheme="minorHAnsi"/>
          <w:sz w:val="22"/>
          <w:szCs w:val="22"/>
        </w:rPr>
        <w:footnoteReference w:id="619"/>
      </w:r>
      <w:r w:rsidRPr="00B90432">
        <w:rPr>
          <w:rFonts w:asciiTheme="minorHAnsi" w:hAnsiTheme="minorHAnsi"/>
        </w:rPr>
        <w:t xml:space="preserve"> According to the INACIF, around 85% of the forensic examinations performed for reasons of sexual assault </w:t>
      </w:r>
      <w:r w:rsidR="003553CC" w:rsidRPr="00B90432">
        <w:rPr>
          <w:rFonts w:asciiTheme="minorHAnsi" w:hAnsiTheme="minorHAnsi"/>
        </w:rPr>
        <w:t xml:space="preserve">are present </w:t>
      </w:r>
      <w:r w:rsidRPr="00B90432">
        <w:rPr>
          <w:rFonts w:asciiTheme="minorHAnsi" w:hAnsiTheme="minorHAnsi"/>
        </w:rPr>
        <w:t>in cases where the alleged perpetrator is a family member or a person close to the family.</w:t>
      </w:r>
      <w:r w:rsidRPr="00B90432">
        <w:rPr>
          <w:rStyle w:val="FootnoteReference"/>
          <w:rFonts w:asciiTheme="minorHAnsi" w:hAnsiTheme="minorHAnsi"/>
          <w:sz w:val="22"/>
          <w:szCs w:val="22"/>
        </w:rPr>
        <w:footnoteReference w:id="620"/>
      </w:r>
      <w:r w:rsidRPr="00B90432">
        <w:rPr>
          <w:rFonts w:asciiTheme="minorHAnsi" w:hAnsiTheme="minorHAnsi"/>
        </w:rPr>
        <w:t xml:space="preserve"> The Commission notes that there is also a discrepancy under this category between the figures of the Office of the Public Prosecutor and the INACIF.  </w:t>
      </w:r>
    </w:p>
    <w:p w14:paraId="1CEE7323" w14:textId="77777777" w:rsidR="003553CC" w:rsidRPr="00B90432" w:rsidRDefault="003553CC" w:rsidP="00BE721D">
      <w:pPr>
        <w:pStyle w:val="Numberedparagraphs"/>
        <w:rPr>
          <w:rFonts w:asciiTheme="minorHAnsi" w:hAnsiTheme="minorHAnsi"/>
        </w:rPr>
      </w:pPr>
      <w:r w:rsidRPr="00B90432">
        <w:rPr>
          <w:rFonts w:asciiTheme="minorHAnsi" w:hAnsiTheme="minorHAnsi"/>
        </w:rPr>
        <w:t xml:space="preserve">In its comments to the draft of this report, the State informed that in 2016 an agreement was entered into by the Ministry of Public Health and Social Welfare, the Public Prosecutors’ Office, and the Secretariat against Sexual Violence, Exploitation and Human Trafficking (SVET) for the support in the provision of medication necessary in the assistance to victims of sexual violence. Between 2014 and 2017, SVET reported having provided medical assistance, psychological and social assistance, recreation, education or </w:t>
      </w:r>
      <w:r w:rsidRPr="00B90432">
        <w:rPr>
          <w:rFonts w:asciiTheme="minorHAnsi" w:hAnsiTheme="minorHAnsi"/>
        </w:rPr>
        <w:lastRenderedPageBreak/>
        <w:t>legal assistance to a total of 852 victims of sexual violence or sexual trafficking.</w:t>
      </w:r>
      <w:r w:rsidRPr="00B90432">
        <w:rPr>
          <w:rStyle w:val="FootnoteReference"/>
          <w:rFonts w:asciiTheme="minorHAnsi" w:hAnsiTheme="minorHAnsi"/>
          <w:sz w:val="22"/>
          <w:szCs w:val="22"/>
        </w:rPr>
        <w:footnoteReference w:id="621"/>
      </w:r>
    </w:p>
    <w:p w14:paraId="02C3BA18" w14:textId="77777777" w:rsidR="006243A1" w:rsidRPr="00B90432" w:rsidRDefault="006243A1" w:rsidP="00BE721D">
      <w:pPr>
        <w:pStyle w:val="Numberedparagraphs"/>
        <w:rPr>
          <w:rFonts w:asciiTheme="minorHAnsi" w:hAnsiTheme="minorHAnsi"/>
        </w:rPr>
      </w:pPr>
      <w:r w:rsidRPr="00B90432">
        <w:rPr>
          <w:rFonts w:asciiTheme="minorHAnsi" w:hAnsiTheme="minorHAnsi"/>
        </w:rPr>
        <w:t>As for child and teenage pregnancy, the Observatory on Sexual and Reproductive Health reported 18,279 pregnancies of girls aged 10 to 19 years old from January 1 to March 31, 2017.</w:t>
      </w:r>
      <w:r w:rsidRPr="00B90432">
        <w:rPr>
          <w:rStyle w:val="FootnoteReference"/>
          <w:rFonts w:asciiTheme="minorHAnsi" w:hAnsiTheme="minorHAnsi"/>
          <w:sz w:val="22"/>
          <w:szCs w:val="22"/>
        </w:rPr>
        <w:footnoteReference w:id="622"/>
      </w:r>
      <w:r w:rsidRPr="00B90432">
        <w:rPr>
          <w:rFonts w:asciiTheme="minorHAnsi" w:hAnsiTheme="minorHAnsi"/>
        </w:rPr>
        <w:t xml:space="preserve">  The available information</w:t>
      </w:r>
      <w:r w:rsidR="003553CC" w:rsidRPr="00B90432">
        <w:rPr>
          <w:rFonts w:asciiTheme="minorHAnsi" w:hAnsiTheme="minorHAnsi"/>
        </w:rPr>
        <w:t xml:space="preserve"> to the IACHR</w:t>
      </w:r>
      <w:r w:rsidRPr="00B90432">
        <w:rPr>
          <w:rFonts w:asciiTheme="minorHAnsi" w:hAnsiTheme="minorHAnsi"/>
        </w:rPr>
        <w:t xml:space="preserve"> indicates that girls and adolescents are twice as likely to die during pregnancy or while giving birth, and the babies born to an adolescent mother have a higher likelihood of dying in the first month of their lives as compared to babies born to adult mothers.</w:t>
      </w:r>
      <w:r w:rsidRPr="00B90432">
        <w:rPr>
          <w:rStyle w:val="FootnoteReference"/>
          <w:rFonts w:asciiTheme="minorHAnsi" w:hAnsiTheme="minorHAnsi"/>
          <w:sz w:val="22"/>
          <w:szCs w:val="22"/>
        </w:rPr>
        <w:footnoteReference w:id="623"/>
      </w:r>
      <w:r w:rsidRPr="00B90432">
        <w:rPr>
          <w:rFonts w:asciiTheme="minorHAnsi" w:hAnsiTheme="minorHAnsi"/>
        </w:rPr>
        <w:t xml:space="preserve"> On August 17, 2017, the Congress of the Republic approved Decree 13-2017, amending the Civil Code to eliminate the exceptions allowing marriage of persons below 18 years of age, partly in response to the high rates of teenage pregnancy.</w:t>
      </w:r>
      <w:r w:rsidRPr="00B90432">
        <w:rPr>
          <w:rStyle w:val="FootnoteReference"/>
          <w:rFonts w:asciiTheme="minorHAnsi" w:hAnsiTheme="minorHAnsi"/>
          <w:sz w:val="22"/>
          <w:szCs w:val="22"/>
        </w:rPr>
        <w:footnoteReference w:id="624"/>
      </w:r>
      <w:r w:rsidRPr="00B90432">
        <w:rPr>
          <w:rFonts w:asciiTheme="minorHAnsi" w:hAnsiTheme="minorHAnsi"/>
        </w:rPr>
        <w:t xml:space="preserve"> The Commission voices its concern over the high number of child and teenage pregnancies in Guatemala and, in addition to the amendment to the law urges the State to implement public policies on education and comprehensive care for children and adolescents, including age group appropriate sexual and reproductive education.  </w:t>
      </w:r>
    </w:p>
    <w:p w14:paraId="29C6DCEC" w14:textId="77777777" w:rsidR="006243A1" w:rsidRPr="00B90432" w:rsidRDefault="006243A1" w:rsidP="00BE721D">
      <w:pPr>
        <w:pStyle w:val="Numberedparagraphs"/>
        <w:rPr>
          <w:rFonts w:asciiTheme="minorHAnsi" w:hAnsiTheme="minorHAnsi"/>
        </w:rPr>
      </w:pPr>
      <w:r w:rsidRPr="00B90432">
        <w:rPr>
          <w:rFonts w:asciiTheme="minorHAnsi" w:hAnsiTheme="minorHAnsi"/>
        </w:rPr>
        <w:t>The Commission has also received reports to the effect that as part of the citizen security strategy, in Guatemala, armed members of the military at times teach classes in schools, including family planning.</w:t>
      </w:r>
      <w:r w:rsidRPr="00B90432">
        <w:rPr>
          <w:rFonts w:asciiTheme="minorHAnsi" w:hAnsiTheme="minorHAnsi"/>
          <w:vertAlign w:val="superscript"/>
        </w:rPr>
        <w:footnoteReference w:id="625"/>
      </w:r>
      <w:r w:rsidRPr="00B90432">
        <w:rPr>
          <w:rFonts w:asciiTheme="minorHAnsi" w:hAnsiTheme="minorHAnsi"/>
        </w:rPr>
        <w:t xml:space="preserve"> This is reportedly a strategy used by the State to build ties of trust between the armed forces of the State and children and adolescents. During its visit to the department of Petén, the IACHR saw firsthand how members of the Army had occupied a school in the community of Laguna Larga, which they were apparently using to sleep overnight.</w:t>
      </w:r>
      <w:r w:rsidRPr="00B90432">
        <w:rPr>
          <w:rStyle w:val="FootnoteReference"/>
          <w:rFonts w:asciiTheme="minorHAnsi" w:hAnsiTheme="minorHAnsi"/>
          <w:sz w:val="22"/>
          <w:szCs w:val="22"/>
        </w:rPr>
        <w:footnoteReference w:id="626"/>
      </w:r>
      <w:r w:rsidRPr="00B90432">
        <w:rPr>
          <w:rFonts w:asciiTheme="minorHAnsi" w:hAnsiTheme="minorHAnsi"/>
        </w:rPr>
        <w:t xml:space="preserve"> On this score, the State noted that “it is not the duty of the Guatemalan Army to occupy communities or schools.”</w:t>
      </w:r>
      <w:r w:rsidRPr="00B90432">
        <w:rPr>
          <w:rStyle w:val="FootnoteReference"/>
          <w:rFonts w:asciiTheme="minorHAnsi" w:hAnsiTheme="minorHAnsi"/>
          <w:sz w:val="22"/>
          <w:szCs w:val="22"/>
        </w:rPr>
        <w:footnoteReference w:id="627"/>
      </w:r>
    </w:p>
    <w:p w14:paraId="4D161809" w14:textId="77777777" w:rsidR="006243A1" w:rsidRPr="00B90432" w:rsidRDefault="006243A1" w:rsidP="00BE721D">
      <w:pPr>
        <w:pStyle w:val="Numberedparagraphs"/>
        <w:rPr>
          <w:rFonts w:asciiTheme="minorHAnsi" w:hAnsiTheme="minorHAnsi"/>
        </w:rPr>
      </w:pPr>
      <w:r w:rsidRPr="00B90432">
        <w:rPr>
          <w:rFonts w:asciiTheme="minorHAnsi" w:hAnsiTheme="minorHAnsi"/>
        </w:rPr>
        <w:lastRenderedPageBreak/>
        <w:t>The IACHR has expressed that the trust of the civilian population in the Armed Forces must be build through other means and mechanisms, without infringing the right to education. The teaching of academic subject matter by personnel of the armed forces of the State is not consistent with the duty of the State to provide a quality education through specialized professionals in the education of children and adolescents.</w:t>
      </w:r>
      <w:r w:rsidRPr="00B90432">
        <w:rPr>
          <w:rStyle w:val="FootnoteReference"/>
          <w:rFonts w:asciiTheme="minorHAnsi" w:hAnsiTheme="minorHAnsi"/>
          <w:sz w:val="22"/>
          <w:szCs w:val="22"/>
        </w:rPr>
        <w:footnoteReference w:id="628"/>
      </w:r>
    </w:p>
    <w:p w14:paraId="63A4FAFE" w14:textId="77777777" w:rsidR="006243A1" w:rsidRPr="00B90432" w:rsidRDefault="006243A1" w:rsidP="001944CF">
      <w:pPr>
        <w:pStyle w:val="Heading3"/>
      </w:pPr>
      <w:bookmarkStart w:id="81" w:name="_Toc509827683"/>
      <w:r w:rsidRPr="00B90432">
        <w:t>Indigenous Peoples</w:t>
      </w:r>
      <w:bookmarkEnd w:id="81"/>
      <w:r w:rsidRPr="00B90432">
        <w:t xml:space="preserve"> </w:t>
      </w:r>
    </w:p>
    <w:p w14:paraId="4B3DC76D" w14:textId="77777777" w:rsidR="006243A1" w:rsidRPr="00B90432" w:rsidRDefault="006243A1" w:rsidP="00BE721D">
      <w:pPr>
        <w:pStyle w:val="Numberedparagraphs"/>
        <w:rPr>
          <w:rFonts w:asciiTheme="minorHAnsi" w:hAnsiTheme="minorHAnsi"/>
        </w:rPr>
      </w:pPr>
      <w:r w:rsidRPr="00B90432">
        <w:rPr>
          <w:rFonts w:asciiTheme="minorHAnsi" w:hAnsiTheme="minorHAnsi"/>
        </w:rPr>
        <w:t>As for the situation of violence and citizen security in Guatemala and how it particularly affects indigenous peoples, the IACHR has been repeatedly contended that attacks in Guatemala are often targeted at traditional authorities, indigenous leaders, particularly those that are against projects on their ancestral lands and territories.</w:t>
      </w:r>
      <w:r w:rsidRPr="00B90432">
        <w:rPr>
          <w:rFonts w:asciiTheme="minorHAnsi" w:hAnsiTheme="minorHAnsi"/>
          <w:vertAlign w:val="superscript"/>
        </w:rPr>
        <w:footnoteReference w:id="629"/>
      </w:r>
      <w:r w:rsidRPr="00B90432">
        <w:rPr>
          <w:rFonts w:asciiTheme="minorHAnsi" w:hAnsiTheme="minorHAnsi"/>
        </w:rPr>
        <w:t xml:space="preserve"> Over the past years, the IACHR has been receiving reports of increased violence, intimidation, murders, crackdowns on peaceful demonstrations, as well as criminal prosecution against indigenous leaders and authorities for their opposition to development and investment projects. </w:t>
      </w:r>
    </w:p>
    <w:p w14:paraId="1C1882AE"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reports stresses that indigenous communities opposing megaprojects on their territories have </w:t>
      </w:r>
      <w:r w:rsidR="00614E53" w:rsidRPr="00B90432">
        <w:rPr>
          <w:rFonts w:asciiTheme="minorHAnsi" w:hAnsiTheme="minorHAnsi"/>
        </w:rPr>
        <w:t xml:space="preserve">confronted, among other aspects to: </w:t>
      </w:r>
      <w:r w:rsidRPr="00B90432">
        <w:rPr>
          <w:rFonts w:asciiTheme="minorHAnsi" w:hAnsiTheme="minorHAnsi"/>
        </w:rPr>
        <w:t>property destruction, robbery and theft and the burning of homes and crops; blo</w:t>
      </w:r>
      <w:r w:rsidR="00614E53" w:rsidRPr="00B90432">
        <w:rPr>
          <w:rFonts w:asciiTheme="minorHAnsi" w:hAnsiTheme="minorHAnsi"/>
        </w:rPr>
        <w:t>cked roads or destroyed bridges;</w:t>
      </w:r>
      <w:r w:rsidRPr="00B90432">
        <w:rPr>
          <w:rFonts w:asciiTheme="minorHAnsi" w:hAnsiTheme="minorHAnsi"/>
        </w:rPr>
        <w:t xml:space="preserve"> verbal threats and threats with blade weapons and firearms; gun shots in the air or on communities; complaints with local courts to obtain warrants for their arrest; direct physical assaults on communities, including on children; smear and stigmatization campaigns in the news media; and processes of criminalization of defenders of the human rights of indigenous peoples, among other things.</w:t>
      </w:r>
      <w:r w:rsidRPr="00B90432">
        <w:rPr>
          <w:rStyle w:val="FootnoteReference"/>
          <w:rFonts w:asciiTheme="minorHAnsi" w:hAnsiTheme="minorHAnsi"/>
          <w:sz w:val="22"/>
          <w:szCs w:val="22"/>
        </w:rPr>
        <w:footnoteReference w:id="630"/>
      </w:r>
      <w:r w:rsidRPr="00B90432">
        <w:rPr>
          <w:rFonts w:asciiTheme="minorHAnsi" w:hAnsiTheme="minorHAnsi"/>
        </w:rPr>
        <w:t xml:space="preserve"> </w:t>
      </w:r>
    </w:p>
    <w:p w14:paraId="735A1E21"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violence faced by indigenous communities and peoples is also often linked to the agrarian conflict persisting in many areas of the country. The IACHR learned of the situation of the communities of Nueva Seamay and Nueva Sebax, in Senahú, Alta Verapaz. According to the information it received, the members of the communities of the Verapaz Union of Peasant Organizations (OVOC) have been the targets of assaults, death threats, and have even been attacked with firearms, with community member Dominga </w:t>
      </w:r>
      <w:r w:rsidRPr="00B90432">
        <w:rPr>
          <w:rFonts w:asciiTheme="minorHAnsi" w:hAnsiTheme="minorHAnsi"/>
        </w:rPr>
        <w:lastRenderedPageBreak/>
        <w:t>Caal Col sustaining a bullet wound.</w:t>
      </w:r>
      <w:r w:rsidRPr="00B90432">
        <w:rPr>
          <w:rStyle w:val="FootnoteReference"/>
          <w:rFonts w:asciiTheme="minorHAnsi" w:hAnsiTheme="minorHAnsi"/>
          <w:sz w:val="22"/>
          <w:szCs w:val="22"/>
        </w:rPr>
        <w:footnoteReference w:id="631"/>
      </w:r>
      <w:r w:rsidRPr="00B90432">
        <w:rPr>
          <w:rFonts w:asciiTheme="minorHAnsi" w:hAnsiTheme="minorHAnsi"/>
        </w:rPr>
        <w:t xml:space="preserve"> Their houses and farm plantings have reportedly been destroyed, and as of the present date those responsible for the destruction or the attack on Mrs. Caal Col have not be apprehended, based on available information. These attacks and violence have come about despite  the Secretariat of Agrarian Affairs (SAA) having set up a discussion forum, where the Ministry of the Interior, the municipal governments, the Land Fund (FONTIERRAS), the National Land Registry (National Cadastre), human rights organizations and the affected communities all have a seat as well. This forum, however, has not been effective at preventing these attacks, evictions and conflicts.</w:t>
      </w:r>
      <w:r w:rsidRPr="00B90432">
        <w:rPr>
          <w:rStyle w:val="FootnoteReference"/>
          <w:rFonts w:asciiTheme="minorHAnsi" w:hAnsiTheme="minorHAnsi"/>
          <w:sz w:val="22"/>
          <w:szCs w:val="22"/>
        </w:rPr>
        <w:footnoteReference w:id="632"/>
      </w:r>
    </w:p>
    <w:p w14:paraId="6342DEC8" w14:textId="77777777" w:rsidR="006243A1" w:rsidRPr="00B90432" w:rsidRDefault="006243A1" w:rsidP="00BE721D">
      <w:pPr>
        <w:pStyle w:val="Numberedparagraphs"/>
        <w:rPr>
          <w:rFonts w:asciiTheme="minorHAnsi" w:hAnsiTheme="minorHAnsi"/>
        </w:rPr>
      </w:pPr>
      <w:r w:rsidRPr="00B90432">
        <w:rPr>
          <w:rFonts w:asciiTheme="minorHAnsi" w:hAnsiTheme="minorHAnsi"/>
        </w:rPr>
        <w:t>The violence faced by indigenous peoples is closely connected to the situation of discrimination and exclusion they experience.  Th</w:t>
      </w:r>
      <w:r w:rsidR="00BF55C2" w:rsidRPr="00B90432">
        <w:rPr>
          <w:rFonts w:asciiTheme="minorHAnsi" w:hAnsiTheme="minorHAnsi"/>
        </w:rPr>
        <w:t>is</w:t>
      </w:r>
      <w:r w:rsidRPr="00B90432">
        <w:rPr>
          <w:rFonts w:asciiTheme="minorHAnsi" w:hAnsiTheme="minorHAnsi"/>
        </w:rPr>
        <w:t xml:space="preserve"> exclusion can be seen in spheres such as land ownership, access to basic services, working conditions, access to the formal economy, participation in decision-making and in the institutions of the State, representation in the media and public debate, and the lack of access to justice.</w:t>
      </w:r>
      <w:r w:rsidRPr="00B90432">
        <w:rPr>
          <w:rFonts w:asciiTheme="minorHAnsi" w:hAnsiTheme="minorHAnsi"/>
          <w:vertAlign w:val="superscript"/>
        </w:rPr>
        <w:footnoteReference w:id="633"/>
      </w:r>
      <w:r w:rsidRPr="00B90432">
        <w:rPr>
          <w:rFonts w:asciiTheme="minorHAnsi" w:hAnsiTheme="minorHAnsi"/>
        </w:rPr>
        <w:t xml:space="preserve"> Despite specific provisions of the 1996 Peace Accords on the elimination of discrimination against indigenous peoples, more than 20 years after the signing, the IACHR continues to receive reports of the need for full compliance with the commitments, especially the </w:t>
      </w:r>
      <w:r w:rsidRPr="00B90432">
        <w:rPr>
          <w:rFonts w:asciiTheme="minorHAnsi" w:hAnsiTheme="minorHAnsi"/>
          <w:i/>
        </w:rPr>
        <w:t xml:space="preserve">Agreement on Identity and the Rights of Indigenous Peoples. </w:t>
      </w:r>
      <w:r w:rsidRPr="00B90432">
        <w:rPr>
          <w:rFonts w:asciiTheme="minorHAnsi" w:hAnsiTheme="minorHAnsi"/>
        </w:rPr>
        <w:t xml:space="preserve">Despite claims to the contrary, the Commission notes that, according to the Secretariat of Peace (SEPAZ), both that Agreement as well as the </w:t>
      </w:r>
      <w:r w:rsidRPr="00B90432">
        <w:rPr>
          <w:rFonts w:asciiTheme="minorHAnsi" w:hAnsiTheme="minorHAnsi"/>
          <w:i/>
        </w:rPr>
        <w:t>Agreement on Socio-economic Aspects and the Agrarian Situation</w:t>
      </w:r>
      <w:r w:rsidRPr="00B90432">
        <w:rPr>
          <w:rFonts w:asciiTheme="minorHAnsi" w:hAnsiTheme="minorHAnsi"/>
        </w:rPr>
        <w:t xml:space="preserve"> are ones that present the “highest number of commitments pending compliance, which affects the socio-economic and culture issues of the country.”</w:t>
      </w:r>
      <w:r w:rsidRPr="00B90432">
        <w:rPr>
          <w:rFonts w:asciiTheme="minorHAnsi" w:hAnsiTheme="minorHAnsi"/>
          <w:vertAlign w:val="superscript"/>
        </w:rPr>
        <w:footnoteReference w:id="634"/>
      </w:r>
    </w:p>
    <w:p w14:paraId="1769962B"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also received reports of threats, harassment, intimidation and attempted cooptation against the members of the Central Campesina Ch’orti’ Nuevo Día union, who are opposed to the operation of a hydroelectric company and an antimony mine in the municipality of Olopa, in the Department of Chiquimula.</w:t>
      </w:r>
      <w:r w:rsidRPr="00B90432">
        <w:rPr>
          <w:rStyle w:val="FootnoteReference"/>
          <w:rFonts w:asciiTheme="minorHAnsi" w:hAnsiTheme="minorHAnsi"/>
          <w:sz w:val="22"/>
          <w:szCs w:val="22"/>
        </w:rPr>
        <w:footnoteReference w:id="635"/>
      </w:r>
      <w:r w:rsidRPr="00B90432">
        <w:rPr>
          <w:rFonts w:asciiTheme="minorHAnsi" w:hAnsiTheme="minorHAnsi"/>
        </w:rPr>
        <w:t xml:space="preserve">  Reports were also received about assaults with machetes and threats against the lives of indigenous members of the Matasano community, as well as conflicts in the community </w:t>
      </w:r>
      <w:r w:rsidRPr="00B90432">
        <w:rPr>
          <w:rFonts w:asciiTheme="minorHAnsi" w:hAnsiTheme="minorHAnsi"/>
        </w:rPr>
        <w:lastRenderedPageBreak/>
        <w:t xml:space="preserve">of El Rodeo, also stemming from the presence of companies in the area and community opposition to it.  </w:t>
      </w:r>
    </w:p>
    <w:p w14:paraId="48B2BE98" w14:textId="77777777" w:rsidR="006243A1" w:rsidRPr="00B90432" w:rsidRDefault="006243A1" w:rsidP="00BE721D">
      <w:pPr>
        <w:pStyle w:val="Numberedparagraphs"/>
        <w:rPr>
          <w:rFonts w:asciiTheme="minorHAnsi" w:hAnsiTheme="minorHAnsi"/>
        </w:rPr>
      </w:pPr>
      <w:r w:rsidRPr="00B90432">
        <w:rPr>
          <w:rFonts w:asciiTheme="minorHAnsi" w:hAnsiTheme="minorHAnsi"/>
        </w:rPr>
        <w:t>The IACHR notes that the common thread to the violence and insecurity afflicting the indigenous peoples and communities in rural areas of Guatemala is the presence of actors foreign to these communities, and the lack of a process of consultation in keeping with Inter-American standards. The IACHR stresses again the process of prior consultation must not be thought of merely as a tool to mitigate social conflict.  Notwithstanding, when it is properly conducted, it can have a collateral effect of lessening such conflicts.</w:t>
      </w:r>
      <w:r w:rsidRPr="00B90432">
        <w:rPr>
          <w:rStyle w:val="FootnoteReference"/>
          <w:rFonts w:asciiTheme="minorHAnsi" w:hAnsiTheme="minorHAnsi"/>
          <w:sz w:val="22"/>
          <w:szCs w:val="22"/>
        </w:rPr>
        <w:footnoteReference w:id="636"/>
      </w:r>
    </w:p>
    <w:p w14:paraId="0C46B84B" w14:textId="0FE19AE4" w:rsidR="006243A1" w:rsidRPr="00B90432" w:rsidRDefault="006243A1" w:rsidP="001944CF">
      <w:pPr>
        <w:pStyle w:val="Heading3"/>
      </w:pPr>
      <w:bookmarkStart w:id="82" w:name="_Toc509827684"/>
      <w:r w:rsidRPr="00B90432">
        <w:t>LGBTI Persons</w:t>
      </w:r>
      <w:bookmarkEnd w:id="82"/>
    </w:p>
    <w:p w14:paraId="1018DE61"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During its visit, the IACHR received information </w:t>
      </w:r>
      <w:r w:rsidR="003B2BA2" w:rsidRPr="00B90432">
        <w:rPr>
          <w:rFonts w:asciiTheme="minorHAnsi" w:hAnsiTheme="minorHAnsi"/>
        </w:rPr>
        <w:t>indicating</w:t>
      </w:r>
      <w:r w:rsidRPr="00B90432">
        <w:rPr>
          <w:rFonts w:asciiTheme="minorHAnsi" w:hAnsiTheme="minorHAnsi"/>
        </w:rPr>
        <w:t xml:space="preserve"> </w:t>
      </w:r>
      <w:r w:rsidR="003B2BA2" w:rsidRPr="00B90432">
        <w:rPr>
          <w:rFonts w:asciiTheme="minorHAnsi" w:hAnsiTheme="minorHAnsi"/>
        </w:rPr>
        <w:t>that v</w:t>
      </w:r>
      <w:r w:rsidRPr="00B90432">
        <w:rPr>
          <w:rFonts w:asciiTheme="minorHAnsi" w:hAnsiTheme="minorHAnsi"/>
        </w:rPr>
        <w:t>iolence</w:t>
      </w:r>
      <w:r w:rsidR="003B2BA2" w:rsidRPr="00B90432">
        <w:rPr>
          <w:rFonts w:asciiTheme="minorHAnsi" w:hAnsiTheme="minorHAnsi"/>
        </w:rPr>
        <w:t xml:space="preserve"> against LGBTI persons</w:t>
      </w:r>
      <w:r w:rsidRPr="00B90432">
        <w:rPr>
          <w:rFonts w:asciiTheme="minorHAnsi" w:hAnsiTheme="minorHAnsi"/>
        </w:rPr>
        <w:t xml:space="preserve"> is a structural issue, as illustrated by persistent forms of discrimination and prejudice. In this regard, the Commission has become aware of the high incidence of violence against trans women, and of the high risk faced by human rights defenders of LGBTI rights. Additionally, the IACHR has received information regarding human rights matters linked to the right to health</w:t>
      </w:r>
      <w:r w:rsidR="003B2BA2" w:rsidRPr="00B90432">
        <w:rPr>
          <w:rFonts w:asciiTheme="minorHAnsi" w:hAnsiTheme="minorHAnsi"/>
        </w:rPr>
        <w:t xml:space="preserve"> of trans persons</w:t>
      </w:r>
      <w:r w:rsidRPr="00B90432">
        <w:rPr>
          <w:rFonts w:asciiTheme="minorHAnsi" w:hAnsiTheme="minorHAnsi"/>
        </w:rPr>
        <w:t>, which warrant being addressed by the State, such as lack of medicine in hospitals for the treatment of HIV</w:t>
      </w:r>
      <w:r w:rsidR="003B2BA2" w:rsidRPr="00B90432">
        <w:rPr>
          <w:rFonts w:asciiTheme="minorHAnsi" w:hAnsiTheme="minorHAnsi"/>
        </w:rPr>
        <w:t xml:space="preserve"> for who require it,</w:t>
      </w:r>
      <w:r w:rsidRPr="00B90432">
        <w:rPr>
          <w:rFonts w:asciiTheme="minorHAnsi" w:hAnsiTheme="minorHAnsi"/>
        </w:rPr>
        <w:t xml:space="preserve"> and the absence of a public health care policy from a gender perspective.   </w:t>
      </w:r>
    </w:p>
    <w:p w14:paraId="2517ED81" w14:textId="77777777" w:rsidR="006243A1" w:rsidRPr="00B90432" w:rsidRDefault="006243A1" w:rsidP="00BE721D">
      <w:pPr>
        <w:pStyle w:val="Numberedparagraphs"/>
        <w:rPr>
          <w:rFonts w:asciiTheme="minorHAnsi" w:hAnsiTheme="minorHAnsi"/>
        </w:rPr>
      </w:pPr>
      <w:r w:rsidRPr="00B90432">
        <w:rPr>
          <w:rFonts w:asciiTheme="minorHAnsi" w:hAnsiTheme="minorHAnsi"/>
        </w:rPr>
        <w:t>On this topic, civil society has reported to the Commission that 85% of trans women, who are victims of violence and discrimination, are below 35 years of age, with 33% of the total number of victims from 18 to 24 years of age.</w:t>
      </w:r>
      <w:r w:rsidRPr="00B90432">
        <w:rPr>
          <w:rFonts w:asciiTheme="minorHAnsi" w:hAnsiTheme="minorHAnsi"/>
          <w:vertAlign w:val="superscript"/>
        </w:rPr>
        <w:footnoteReference w:id="637"/>
      </w:r>
      <w:r w:rsidRPr="00B90432">
        <w:rPr>
          <w:rFonts w:asciiTheme="minorHAnsi" w:hAnsiTheme="minorHAnsi"/>
        </w:rPr>
        <w:t xml:space="preserve"> Additionally, based on accounts received by the Commission, trans women sex workers have been murdered by individuals, who use their services or at the hands of gangs and criminal groups.</w:t>
      </w:r>
      <w:r w:rsidRPr="00B90432">
        <w:rPr>
          <w:rFonts w:asciiTheme="minorHAnsi" w:hAnsiTheme="minorHAnsi"/>
          <w:vertAlign w:val="superscript"/>
        </w:rPr>
        <w:footnoteReference w:id="638"/>
      </w:r>
      <w:r w:rsidRPr="00B90432">
        <w:rPr>
          <w:rFonts w:asciiTheme="minorHAnsi" w:hAnsiTheme="minorHAnsi"/>
        </w:rPr>
        <w:t xml:space="preserve"> </w:t>
      </w:r>
    </w:p>
    <w:p w14:paraId="21FF4588" w14:textId="77777777" w:rsidR="006243A1" w:rsidRPr="00B90432" w:rsidRDefault="006243A1" w:rsidP="00BE721D">
      <w:pPr>
        <w:pStyle w:val="Numberedparagraphs"/>
        <w:rPr>
          <w:rFonts w:asciiTheme="minorHAnsi" w:hAnsiTheme="minorHAnsi"/>
        </w:rPr>
      </w:pPr>
      <w:r w:rsidRPr="00B90432">
        <w:rPr>
          <w:rFonts w:asciiTheme="minorHAnsi" w:hAnsiTheme="minorHAnsi"/>
        </w:rPr>
        <w:t>On related note, the IACHR has received worrying reports</w:t>
      </w:r>
      <w:r w:rsidR="004D259F" w:rsidRPr="00B90432">
        <w:rPr>
          <w:rFonts w:asciiTheme="minorHAnsi" w:hAnsiTheme="minorHAnsi"/>
        </w:rPr>
        <w:t xml:space="preserve"> that indicate that </w:t>
      </w:r>
      <w:r w:rsidRPr="00B90432">
        <w:rPr>
          <w:rFonts w:asciiTheme="minorHAnsi" w:hAnsiTheme="minorHAnsi"/>
        </w:rPr>
        <w:t xml:space="preserve">defenders of the rights of LGBTI persons </w:t>
      </w:r>
      <w:r w:rsidR="004D259F" w:rsidRPr="00B90432">
        <w:rPr>
          <w:rFonts w:asciiTheme="minorHAnsi" w:hAnsiTheme="minorHAnsi"/>
        </w:rPr>
        <w:t>are subject to violence, threats and harassment because of the work they do</w:t>
      </w:r>
      <w:r w:rsidRPr="00B90432">
        <w:rPr>
          <w:rFonts w:asciiTheme="minorHAnsi" w:hAnsiTheme="minorHAnsi"/>
        </w:rPr>
        <w:t>.</w:t>
      </w:r>
      <w:r w:rsidRPr="00B90432">
        <w:rPr>
          <w:rFonts w:asciiTheme="minorHAnsi" w:hAnsiTheme="minorHAnsi"/>
          <w:vertAlign w:val="superscript"/>
        </w:rPr>
        <w:footnoteReference w:id="639"/>
      </w:r>
      <w:r w:rsidRPr="00B90432">
        <w:rPr>
          <w:rFonts w:asciiTheme="minorHAnsi" w:hAnsiTheme="minorHAnsi"/>
        </w:rPr>
        <w:t xml:space="preserve">  </w:t>
      </w:r>
      <w:r w:rsidR="004D259F" w:rsidRPr="00B90432">
        <w:rPr>
          <w:rFonts w:asciiTheme="minorHAnsi" w:hAnsiTheme="minorHAnsi"/>
        </w:rPr>
        <w:t>In this sense</w:t>
      </w:r>
      <w:r w:rsidRPr="00B90432">
        <w:rPr>
          <w:rFonts w:asciiTheme="minorHAnsi" w:hAnsiTheme="minorHAnsi"/>
        </w:rPr>
        <w:t xml:space="preserve">, the offices of </w:t>
      </w:r>
      <w:r w:rsidRPr="00B90432">
        <w:rPr>
          <w:rFonts w:asciiTheme="minorHAnsi" w:hAnsiTheme="minorHAnsi"/>
        </w:rPr>
        <w:lastRenderedPageBreak/>
        <w:t>certain organizations have allegedly been attacked by unknown individuals.</w:t>
      </w:r>
      <w:r w:rsidRPr="00B90432">
        <w:rPr>
          <w:rFonts w:asciiTheme="minorHAnsi" w:hAnsiTheme="minorHAnsi"/>
          <w:vertAlign w:val="superscript"/>
        </w:rPr>
        <w:footnoteReference w:id="640"/>
      </w:r>
      <w:r w:rsidRPr="00B90432">
        <w:rPr>
          <w:rFonts w:asciiTheme="minorHAnsi" w:hAnsiTheme="minorHAnsi"/>
        </w:rPr>
        <w:t xml:space="preserve"> On this score, the Commission cites the murder of the trans leader and activist Evelyn Zulm, who was a beneficiary of precautionary measures requested by the IACHR,</w:t>
      </w:r>
      <w:r w:rsidRPr="00B90432">
        <w:rPr>
          <w:rFonts w:asciiTheme="minorHAnsi" w:hAnsiTheme="minorHAnsi"/>
          <w:vertAlign w:val="superscript"/>
        </w:rPr>
        <w:footnoteReference w:id="641"/>
      </w:r>
      <w:r w:rsidRPr="00B90432">
        <w:rPr>
          <w:rFonts w:asciiTheme="minorHAnsi" w:hAnsiTheme="minorHAnsi"/>
        </w:rPr>
        <w:t xml:space="preserve"> in November 2016. In this same period, the IACHR received reports of three other murders of trans women in Guatemala, which were characterized by alarming degrees of cruelty;</w:t>
      </w:r>
      <w:r w:rsidRPr="00B90432">
        <w:rPr>
          <w:rFonts w:asciiTheme="minorHAnsi" w:hAnsiTheme="minorHAnsi"/>
          <w:vertAlign w:val="superscript"/>
        </w:rPr>
        <w:footnoteReference w:id="642"/>
      </w:r>
      <w:r w:rsidRPr="00B90432">
        <w:rPr>
          <w:rFonts w:asciiTheme="minorHAnsi" w:hAnsiTheme="minorHAnsi"/>
        </w:rPr>
        <w:t xml:space="preserve"> a view shared by the Human Rights Ombudsman of Guatemala and the Office of the United Nations High Commissioner for Human Rights.  The two entities have voiced their concern over the evident “troubling trend of attacks on trans women.”</w:t>
      </w:r>
      <w:r w:rsidRPr="00B90432">
        <w:rPr>
          <w:rFonts w:asciiTheme="minorHAnsi" w:hAnsiTheme="minorHAnsi"/>
          <w:vertAlign w:val="superscript"/>
        </w:rPr>
        <w:footnoteReference w:id="643"/>
      </w:r>
    </w:p>
    <w:p w14:paraId="591B39D0" w14:textId="77777777" w:rsidR="006243A1" w:rsidRPr="00B90432" w:rsidRDefault="006243A1" w:rsidP="00BE721D">
      <w:pPr>
        <w:pStyle w:val="Numberedparagraphs"/>
        <w:rPr>
          <w:rFonts w:asciiTheme="minorHAnsi" w:hAnsiTheme="minorHAnsi"/>
        </w:rPr>
      </w:pPr>
      <w:r w:rsidRPr="00B90432">
        <w:rPr>
          <w:rFonts w:asciiTheme="minorHAnsi" w:hAnsiTheme="minorHAnsi"/>
        </w:rPr>
        <w:t>The Commission also learned about the serious situation</w:t>
      </w:r>
      <w:r w:rsidR="004D259F" w:rsidRPr="00B90432">
        <w:rPr>
          <w:rFonts w:asciiTheme="minorHAnsi" w:hAnsiTheme="minorHAnsi"/>
        </w:rPr>
        <w:t xml:space="preserve"> that trans women confront in their access to health services</w:t>
      </w:r>
      <w:r w:rsidRPr="00B90432">
        <w:rPr>
          <w:rFonts w:asciiTheme="minorHAnsi" w:hAnsiTheme="minorHAnsi"/>
        </w:rPr>
        <w:t xml:space="preserve"> because of the lack of HIV medications for hospitals in the public health network.</w:t>
      </w:r>
      <w:r w:rsidRPr="00B90432">
        <w:rPr>
          <w:rStyle w:val="FootnoteReference"/>
          <w:rFonts w:asciiTheme="minorHAnsi" w:hAnsiTheme="minorHAnsi"/>
          <w:sz w:val="22"/>
          <w:szCs w:val="22"/>
        </w:rPr>
        <w:footnoteReference w:id="644"/>
      </w:r>
      <w:r w:rsidRPr="00B90432">
        <w:rPr>
          <w:rFonts w:asciiTheme="minorHAnsi" w:hAnsiTheme="minorHAnsi"/>
        </w:rPr>
        <w:t xml:space="preserve"> According to the information it received, this situation reportedly came about because of new directives from the Ministry of Health for the procurement of these drugs, which do not take into consideration the need to provide HIV treatment on a continual basis.</w:t>
      </w:r>
      <w:r w:rsidRPr="00B90432">
        <w:rPr>
          <w:rStyle w:val="FootnoteReference"/>
          <w:rFonts w:asciiTheme="minorHAnsi" w:hAnsiTheme="minorHAnsi"/>
          <w:sz w:val="22"/>
          <w:szCs w:val="22"/>
        </w:rPr>
        <w:footnoteReference w:id="645"/>
      </w:r>
      <w:r w:rsidRPr="00B90432">
        <w:rPr>
          <w:rFonts w:asciiTheme="minorHAnsi" w:hAnsiTheme="minorHAnsi"/>
        </w:rPr>
        <w:t xml:space="preserve"> The IACHR was apprised as well during its on-site visit by civil society organizations on August 1, 2017 that the Ministry of Health was only purchasing medications once inventories are completely exhausted. This situation reportedly causes breaks in treatment for persons with HIV, particularly affecting trans women, who make up nearly 22% of the HIV positive population of the country.</w:t>
      </w:r>
      <w:r w:rsidRPr="00B90432">
        <w:rPr>
          <w:rStyle w:val="FootnoteReference"/>
          <w:rFonts w:asciiTheme="minorHAnsi" w:hAnsiTheme="minorHAnsi"/>
          <w:sz w:val="22"/>
          <w:szCs w:val="22"/>
        </w:rPr>
        <w:footnoteReference w:id="646"/>
      </w:r>
      <w:r w:rsidRPr="00B90432">
        <w:rPr>
          <w:rFonts w:asciiTheme="minorHAnsi" w:hAnsiTheme="minorHAnsi"/>
        </w:rPr>
        <w:t xml:space="preserve"> Additionally with regard to the situation of trans persons, the IACHR heard accounts that in Guatemala there is no specific prison policy for the deprivation of liberty of trans persons. </w:t>
      </w:r>
    </w:p>
    <w:p w14:paraId="0485BE60"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Notwithstanding, the Commission recognizes the forward steps cited by the Office of the Human Rights Ombudsman of Guatemala, in his “2016 Annual Status Report” which, following the recommendations of the IACHR, conducted training sessions of National Civilian Police agents who “take </w:t>
      </w:r>
      <w:r w:rsidRPr="00B90432">
        <w:rPr>
          <w:rFonts w:asciiTheme="minorHAnsi" w:hAnsiTheme="minorHAnsi"/>
        </w:rPr>
        <w:lastRenderedPageBreak/>
        <w:t>complaints in order to shed light on and document the violence suffered by LGBTI persons.”</w:t>
      </w:r>
      <w:r w:rsidRPr="00B90432">
        <w:rPr>
          <w:rStyle w:val="FootnoteReference"/>
          <w:rFonts w:asciiTheme="minorHAnsi" w:eastAsia="Times New Roman" w:hAnsiTheme="minorHAnsi" w:cs="Arial"/>
          <w:sz w:val="22"/>
          <w:szCs w:val="22"/>
          <w:lang w:eastAsia="es-ES"/>
        </w:rPr>
        <w:footnoteReference w:id="647"/>
      </w:r>
      <w:r w:rsidRPr="00B90432">
        <w:rPr>
          <w:rFonts w:asciiTheme="minorHAnsi" w:hAnsiTheme="minorHAnsi"/>
        </w:rPr>
        <w:t xml:space="preserve"> The Office of the Ombudsman wrote that as a result of the oversight of the Office of Victim Care (OAV) of the National Civilian Police, it could be confirmed: “there are several deficiencies in recording violence suffered by LGBTI persons.”</w:t>
      </w:r>
      <w:r w:rsidRPr="00B90432">
        <w:rPr>
          <w:rStyle w:val="FootnoteReference"/>
          <w:rFonts w:asciiTheme="minorHAnsi" w:eastAsia="Times New Roman" w:hAnsiTheme="minorHAnsi" w:cs="Arial"/>
          <w:sz w:val="22"/>
          <w:szCs w:val="22"/>
          <w:lang w:eastAsia="es-ES"/>
        </w:rPr>
        <w:footnoteReference w:id="648"/>
      </w:r>
      <w:r w:rsidRPr="00B90432">
        <w:rPr>
          <w:rFonts w:asciiTheme="minorHAnsi" w:hAnsiTheme="minorHAnsi"/>
        </w:rPr>
        <w:t xml:space="preserve"> The Office of the Ombudsman noted in his report that a field was added for the identification of the complainant persons, “in addition to the name of the personal identification document (DPI), for the gender identification”</w:t>
      </w:r>
      <w:r w:rsidRPr="00B90432">
        <w:rPr>
          <w:rStyle w:val="FootnoteReference"/>
          <w:rFonts w:asciiTheme="minorHAnsi" w:eastAsia="Times New Roman" w:hAnsiTheme="minorHAnsi" w:cs="Arial"/>
          <w:sz w:val="22"/>
          <w:szCs w:val="22"/>
          <w:lang w:eastAsia="es-ES"/>
        </w:rPr>
        <w:footnoteReference w:id="649"/>
      </w:r>
      <w:r w:rsidRPr="00B90432">
        <w:rPr>
          <w:rFonts w:asciiTheme="minorHAnsi" w:hAnsiTheme="minorHAnsi"/>
        </w:rPr>
        <w:t xml:space="preserve"> and that “the OAV agents must respect self-identification”</w:t>
      </w:r>
      <w:r w:rsidRPr="00B90432">
        <w:rPr>
          <w:rStyle w:val="FootnoteReference"/>
          <w:rFonts w:asciiTheme="minorHAnsi" w:eastAsia="Times New Roman" w:hAnsiTheme="minorHAnsi" w:cs="Arial"/>
          <w:sz w:val="22"/>
          <w:szCs w:val="22"/>
          <w:lang w:eastAsia="es-ES"/>
        </w:rPr>
        <w:footnoteReference w:id="650"/>
      </w:r>
      <w:r w:rsidRPr="00B90432">
        <w:rPr>
          <w:rFonts w:asciiTheme="minorHAnsi" w:hAnsiTheme="minorHAnsi"/>
        </w:rPr>
        <w:t xml:space="preserve"> of the person bringing the complaint. Additionally, the Office of the Ombudsman reported to the IACHR that the Offices of Permanent Care of the Office of the Public Prosecutor and of Victim Care of the Office of the Ombudsman, carried out a supervisory check in order to make sure “to include the LGBTI field in complaint intake, so that violence against this population group is made visible.”</w:t>
      </w:r>
      <w:r w:rsidRPr="00B90432">
        <w:rPr>
          <w:rStyle w:val="FootnoteReference"/>
          <w:rFonts w:asciiTheme="minorHAnsi" w:eastAsia="Times New Roman" w:hAnsiTheme="minorHAnsi" w:cs="Arial"/>
          <w:sz w:val="22"/>
          <w:szCs w:val="22"/>
          <w:lang w:eastAsia="es-ES"/>
        </w:rPr>
        <w:footnoteReference w:id="651"/>
      </w:r>
      <w:r w:rsidRPr="00B90432">
        <w:rPr>
          <w:rFonts w:asciiTheme="minorHAnsi" w:hAnsiTheme="minorHAnsi"/>
        </w:rPr>
        <w:t xml:space="preserve"> </w:t>
      </w:r>
    </w:p>
    <w:p w14:paraId="19E52C3D" w14:textId="77777777" w:rsidR="006243A1" w:rsidRPr="00B90432" w:rsidRDefault="006243A1" w:rsidP="00BE721D">
      <w:pPr>
        <w:pStyle w:val="Numberedparagraphs"/>
        <w:rPr>
          <w:rFonts w:asciiTheme="minorHAnsi" w:hAnsiTheme="minorHAnsi"/>
        </w:rPr>
      </w:pPr>
      <w:r w:rsidRPr="00B90432">
        <w:rPr>
          <w:rFonts w:asciiTheme="minorHAnsi" w:hAnsiTheme="minorHAnsi"/>
        </w:rPr>
        <w:t xml:space="preserve">The IACHR expresses its concern over the situation of violence and discrimination endured by LGBTI persons in Guatemala, as well as the lack of specific public policies to fully ensure the rights of these people. Nonetheless, the Commission does take note of the efforts of the bodies of justice in advancing the rights of LGBTI persons. The IACHR takes this opportunity to recall that the State of Guatemala is obligated to act with due diligence to prevent, investigate, punish and provide reparation for all types of violence committed against LGBTI persons. The Commission, accordingly, recommends the State of Guatemala to adopt the legislative and policy measures necessary to prevent violence, discrimination and prejudice against persons based on sexual orientation, identity and diverse gender expression, or whose bodies deviate from the male and female standard. </w:t>
      </w:r>
    </w:p>
    <w:p w14:paraId="07DEDEF4" w14:textId="5FF20EF5" w:rsidR="006243A1" w:rsidRPr="001944CF" w:rsidRDefault="006243A1" w:rsidP="001944CF">
      <w:pPr>
        <w:pStyle w:val="Heading2"/>
      </w:pPr>
      <w:bookmarkStart w:id="83" w:name="_Toc509827685"/>
      <w:r w:rsidRPr="001944CF">
        <w:t xml:space="preserve">Death </w:t>
      </w:r>
      <w:r w:rsidR="001944CF" w:rsidRPr="001944CF">
        <w:t>Penalty</w:t>
      </w:r>
      <w:bookmarkEnd w:id="83"/>
      <w:r w:rsidR="001944CF" w:rsidRPr="001944CF">
        <w:t xml:space="preserve"> </w:t>
      </w:r>
    </w:p>
    <w:p w14:paraId="0C1BF25D"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During its country visit, the IACHR noticed that a public debate was taking place about the high levels of insecurity </w:t>
      </w:r>
      <w:r w:rsidR="00F15CF9" w:rsidRPr="00B90432">
        <w:rPr>
          <w:rFonts w:asciiTheme="minorHAnsi" w:hAnsiTheme="minorHAnsi"/>
        </w:rPr>
        <w:t xml:space="preserve">in </w:t>
      </w:r>
      <w:r w:rsidRPr="00B90432">
        <w:rPr>
          <w:rFonts w:asciiTheme="minorHAnsi" w:hAnsiTheme="minorHAnsi"/>
        </w:rPr>
        <w:t xml:space="preserve">the country, particularly </w:t>
      </w:r>
      <w:r w:rsidR="00F15CF9" w:rsidRPr="00B90432">
        <w:rPr>
          <w:rFonts w:asciiTheme="minorHAnsi" w:hAnsiTheme="minorHAnsi"/>
        </w:rPr>
        <w:t>as a consequence of</w:t>
      </w:r>
      <w:r w:rsidRPr="00B90432">
        <w:rPr>
          <w:rFonts w:asciiTheme="minorHAnsi" w:hAnsiTheme="minorHAnsi"/>
        </w:rPr>
        <w:t xml:space="preserve"> activities of the so-called </w:t>
      </w:r>
      <w:r w:rsidRPr="00B90432">
        <w:rPr>
          <w:rFonts w:asciiTheme="minorHAnsi" w:hAnsiTheme="minorHAnsi"/>
          <w:i/>
        </w:rPr>
        <w:t xml:space="preserve">maras </w:t>
      </w:r>
      <w:r w:rsidRPr="00B90432">
        <w:rPr>
          <w:rFonts w:asciiTheme="minorHAnsi" w:hAnsiTheme="minorHAnsi"/>
        </w:rPr>
        <w:t xml:space="preserve">or gangs. The debate has included, among other </w:t>
      </w:r>
      <w:r w:rsidR="008A64C6" w:rsidRPr="00B90432">
        <w:rPr>
          <w:rFonts w:asciiTheme="minorHAnsi" w:hAnsiTheme="minorHAnsi"/>
        </w:rPr>
        <w:t>aspects</w:t>
      </w:r>
      <w:r w:rsidRPr="00B90432">
        <w:rPr>
          <w:rFonts w:asciiTheme="minorHAnsi" w:hAnsiTheme="minorHAnsi"/>
        </w:rPr>
        <w:t xml:space="preserve">, calls to resume </w:t>
      </w:r>
      <w:r w:rsidR="008A64C6" w:rsidRPr="00B90432">
        <w:rPr>
          <w:rFonts w:asciiTheme="minorHAnsi" w:hAnsiTheme="minorHAnsi"/>
        </w:rPr>
        <w:t>application</w:t>
      </w:r>
      <w:r w:rsidRPr="00B90432">
        <w:rPr>
          <w:rFonts w:asciiTheme="minorHAnsi" w:hAnsiTheme="minorHAnsi"/>
        </w:rPr>
        <w:t xml:space="preserve"> of the death </w:t>
      </w:r>
      <w:r w:rsidRPr="00B90432">
        <w:rPr>
          <w:rFonts w:asciiTheme="minorHAnsi" w:hAnsiTheme="minorHAnsi"/>
        </w:rPr>
        <w:lastRenderedPageBreak/>
        <w:t xml:space="preserve">penalty for crimes committed by members of the </w:t>
      </w:r>
      <w:r w:rsidRPr="00B90432">
        <w:rPr>
          <w:rFonts w:asciiTheme="minorHAnsi" w:hAnsiTheme="minorHAnsi"/>
          <w:i/>
        </w:rPr>
        <w:t>maras.</w:t>
      </w:r>
      <w:r w:rsidRPr="00B90432">
        <w:rPr>
          <w:rFonts w:asciiTheme="minorHAnsi" w:hAnsiTheme="minorHAnsi"/>
          <w:vertAlign w:val="superscript"/>
        </w:rPr>
        <w:footnoteReference w:id="652"/>
      </w:r>
      <w:r w:rsidRPr="00B90432">
        <w:rPr>
          <w:rFonts w:asciiTheme="minorHAnsi" w:hAnsiTheme="minorHAnsi"/>
        </w:rPr>
        <w:t xml:space="preserve"> In light of the situation, the IACHR underscores the importance for the State of Guatemala to consider adopting as soon as possible Legislative Bill 5100 to abolish the death penalty, which is pending in Congress. </w:t>
      </w:r>
    </w:p>
    <w:p w14:paraId="272D8459" w14:textId="77777777" w:rsidR="006243A1" w:rsidRPr="00B90432" w:rsidRDefault="006243A1" w:rsidP="00B90432">
      <w:pPr>
        <w:pStyle w:val="Numberedparagraphs"/>
        <w:rPr>
          <w:rFonts w:asciiTheme="minorHAnsi" w:hAnsiTheme="minorHAnsi"/>
        </w:rPr>
      </w:pPr>
      <w:r w:rsidRPr="00B90432">
        <w:rPr>
          <w:rFonts w:asciiTheme="minorHAnsi" w:hAnsiTheme="minorHAnsi"/>
        </w:rPr>
        <w:t>Guatemala is one of the few countries of the hemisphere where the death penalty is still provided for within the domestic legal framework.</w:t>
      </w:r>
      <w:r w:rsidRPr="00B90432">
        <w:rPr>
          <w:rStyle w:val="FootnoteReference"/>
          <w:rFonts w:asciiTheme="minorHAnsi" w:hAnsiTheme="minorHAnsi"/>
          <w:sz w:val="22"/>
          <w:szCs w:val="22"/>
        </w:rPr>
        <w:footnoteReference w:id="653"/>
      </w:r>
      <w:r w:rsidRPr="00B90432">
        <w:rPr>
          <w:rFonts w:asciiTheme="minorHAnsi" w:hAnsiTheme="minorHAnsi"/>
        </w:rPr>
        <w:t xml:space="preserve"> </w:t>
      </w:r>
      <w:r w:rsidR="008A64C6" w:rsidRPr="00B90432">
        <w:rPr>
          <w:rFonts w:asciiTheme="minorHAnsi" w:hAnsiTheme="minorHAnsi"/>
        </w:rPr>
        <w:t>The Guatemalan State</w:t>
      </w:r>
      <w:r w:rsidRPr="00B90432">
        <w:rPr>
          <w:rFonts w:asciiTheme="minorHAnsi" w:hAnsiTheme="minorHAnsi"/>
        </w:rPr>
        <w:t xml:space="preserve"> ratified in 1978 the American Convention on Human Rights, Article 4 of which enshrines the right to life and Article 2 of which enshrines the obligation to adopt provisions of domestic law to give effect to that right. Guatemala has still not ratified the Protocol to the American Convention on Human Rights to Abolish the Death Penalty. </w:t>
      </w:r>
    </w:p>
    <w:p w14:paraId="183B0467" w14:textId="77777777" w:rsidR="006243A1" w:rsidRPr="00B90432" w:rsidRDefault="008A64C6" w:rsidP="00B90432">
      <w:pPr>
        <w:pStyle w:val="Numberedparagraphs"/>
        <w:rPr>
          <w:rFonts w:asciiTheme="minorHAnsi" w:hAnsiTheme="minorHAnsi"/>
        </w:rPr>
      </w:pPr>
      <w:r w:rsidRPr="00B90432">
        <w:rPr>
          <w:rFonts w:asciiTheme="minorHAnsi" w:hAnsiTheme="minorHAnsi"/>
        </w:rPr>
        <w:t>C</w:t>
      </w:r>
      <w:r w:rsidR="006243A1" w:rsidRPr="00B90432">
        <w:rPr>
          <w:rFonts w:asciiTheme="minorHAnsi" w:hAnsiTheme="minorHAnsi"/>
        </w:rPr>
        <w:t>apital punishment is provided for in the Guatemalan Criminal Code, the Law against Narcoactivity (Decree 48-92), and</w:t>
      </w:r>
      <w:r w:rsidRPr="00B90432">
        <w:rPr>
          <w:rFonts w:asciiTheme="minorHAnsi" w:hAnsiTheme="minorHAnsi"/>
        </w:rPr>
        <w:t xml:space="preserve"> in</w:t>
      </w:r>
      <w:r w:rsidR="006243A1" w:rsidRPr="00B90432">
        <w:rPr>
          <w:rFonts w:asciiTheme="minorHAnsi" w:hAnsiTheme="minorHAnsi"/>
        </w:rPr>
        <w:t xml:space="preserve"> Decree 100-96 </w:t>
      </w:r>
      <w:r w:rsidRPr="00B90432">
        <w:rPr>
          <w:rFonts w:asciiTheme="minorHAnsi" w:hAnsiTheme="minorHAnsi"/>
        </w:rPr>
        <w:t xml:space="preserve">that </w:t>
      </w:r>
      <w:r w:rsidR="006243A1" w:rsidRPr="00B90432">
        <w:rPr>
          <w:rFonts w:asciiTheme="minorHAnsi" w:hAnsiTheme="minorHAnsi"/>
        </w:rPr>
        <w:t>establishes the procedure for execution of the death penalty. The death penalty is in force in the country for the crimes of parricide, extrajudicial execution, abduction or kidnapping, forced disappearance, killing the President or Vice President</w:t>
      </w:r>
      <w:r w:rsidRPr="00B90432">
        <w:rPr>
          <w:rFonts w:asciiTheme="minorHAnsi" w:hAnsiTheme="minorHAnsi"/>
        </w:rPr>
        <w:t xml:space="preserve">. No </w:t>
      </w:r>
      <w:r w:rsidR="006243A1" w:rsidRPr="00B90432">
        <w:rPr>
          <w:rFonts w:asciiTheme="minorHAnsi" w:hAnsiTheme="minorHAnsi"/>
        </w:rPr>
        <w:t>legal mechanism is in place to regulate pardons. Article 18 of the Political Constitution of the Republic of Guatemala lists the instances in which said punishment may not be imposed, and also provides that the “Congress of the Republic may abolish the death penalty.”</w:t>
      </w:r>
      <w:r w:rsidR="006243A1" w:rsidRPr="00B90432">
        <w:rPr>
          <w:rStyle w:val="FootnoteReference"/>
          <w:rFonts w:asciiTheme="minorHAnsi" w:hAnsiTheme="minorHAnsi"/>
          <w:sz w:val="22"/>
          <w:szCs w:val="22"/>
        </w:rPr>
        <w:footnoteReference w:id="654"/>
      </w:r>
      <w:r w:rsidR="006243A1" w:rsidRPr="00B90432">
        <w:rPr>
          <w:rFonts w:asciiTheme="minorHAnsi" w:hAnsiTheme="minorHAnsi"/>
        </w:rPr>
        <w:t xml:space="preserve"> That is to say, in order to abolish the death penalty from the Guatemalan legal system, a simple amendment to the law is sufficient without the need for a constitutional amendment.   </w:t>
      </w:r>
    </w:p>
    <w:p w14:paraId="2B24B47E" w14:textId="77777777" w:rsidR="006243A1" w:rsidRPr="00B90432" w:rsidRDefault="006243A1" w:rsidP="00B90432">
      <w:pPr>
        <w:pStyle w:val="Numberedparagraphs"/>
        <w:rPr>
          <w:rFonts w:asciiTheme="minorHAnsi" w:hAnsiTheme="minorHAnsi"/>
        </w:rPr>
      </w:pPr>
      <w:r w:rsidRPr="00B90432">
        <w:rPr>
          <w:rFonts w:asciiTheme="minorHAnsi" w:hAnsiTheme="minorHAnsi"/>
        </w:rPr>
        <w:t>The Commission was informed of the legislative bill No. 5100, Law Abolishing the Death Penalty, which is currently pending in Congress. It also received information about the promotion of initiatives aimed resuming implementation of the death penalty, in particular, in response to the high levels of insecurity afflicting the country.</w:t>
      </w:r>
      <w:r w:rsidRPr="00B90432">
        <w:rPr>
          <w:rStyle w:val="FootnoteReference"/>
          <w:rFonts w:asciiTheme="minorHAnsi" w:hAnsiTheme="minorHAnsi"/>
          <w:sz w:val="22"/>
          <w:szCs w:val="22"/>
        </w:rPr>
        <w:footnoteReference w:id="655"/>
      </w:r>
      <w:r w:rsidRPr="00B90432">
        <w:rPr>
          <w:rFonts w:asciiTheme="minorHAnsi" w:hAnsiTheme="minorHAnsi"/>
        </w:rPr>
        <w:t xml:space="preserve"> </w:t>
      </w:r>
    </w:p>
    <w:p w14:paraId="3A2D0DC8" w14:textId="5846B6DF" w:rsidR="006243A1" w:rsidRPr="00B90432" w:rsidRDefault="006243A1" w:rsidP="00B90432">
      <w:pPr>
        <w:pStyle w:val="Numberedparagraphs"/>
        <w:rPr>
          <w:rFonts w:asciiTheme="minorHAnsi" w:hAnsiTheme="minorHAnsi"/>
        </w:rPr>
      </w:pPr>
      <w:r w:rsidRPr="00B90432">
        <w:rPr>
          <w:rFonts w:asciiTheme="minorHAnsi" w:hAnsiTheme="minorHAnsi"/>
        </w:rPr>
        <w:lastRenderedPageBreak/>
        <w:t>During its on-site visit, State officials reiterated to the Commission that the death penalty has not been applied in the country since 2000, and that there are no inmates on “death row,” meaning sentenced to the death penalty and awaiting execution.</w:t>
      </w:r>
      <w:r w:rsidRPr="00B90432">
        <w:rPr>
          <w:rStyle w:val="FootnoteReference"/>
          <w:rFonts w:asciiTheme="minorHAnsi" w:hAnsiTheme="minorHAnsi"/>
          <w:sz w:val="22"/>
          <w:szCs w:val="22"/>
        </w:rPr>
        <w:footnoteReference w:id="656"/>
      </w:r>
      <w:r w:rsidRPr="00B90432">
        <w:rPr>
          <w:rFonts w:asciiTheme="minorHAnsi" w:hAnsiTheme="minorHAnsi"/>
        </w:rPr>
        <w:t xml:space="preserve"> The IACHR welcomed this information, and noted that since the repeal of Decree 159, a void has opened up in the Guatemalan legal system on the subject of the death penalty, inasmuch as there is no State entity with the legal authority to hear and rule on pardons, petitions for clemency and commutation of sentences. In practice, this has functioned as a de facto moratorium. In February 2016, the Court of Constitutionality found the application of the death penalty for the crime of murder to be unconstitutional as established in Article 132 of the Guatemalan Criminal Code. The ruling did away with the element of dangerousness as grounds for a death sentence. </w:t>
      </w:r>
    </w:p>
    <w:p w14:paraId="6D767A7C" w14:textId="1D30129C" w:rsidR="006243A1" w:rsidRPr="00B90432" w:rsidRDefault="006243A1" w:rsidP="00B90432">
      <w:pPr>
        <w:pStyle w:val="Numberedparagraphs"/>
        <w:rPr>
          <w:rFonts w:asciiTheme="minorHAnsi" w:hAnsiTheme="minorHAnsi"/>
        </w:rPr>
      </w:pPr>
      <w:r w:rsidRPr="00B90432">
        <w:rPr>
          <w:rFonts w:asciiTheme="minorHAnsi" w:hAnsiTheme="minorHAnsi"/>
        </w:rPr>
        <w:t xml:space="preserve">The Commission views as positive that for 17 years the death penalty has not been imposed by judicial authorities and that for more than a decade commutation of death penalty sentence has been ordered for persons previously sentenced.  In response to recent calls to resume the application of the death penalty, the IACHR recalls that even though it is not used in practice, as long as the domestic law provides for its use, potential implementation of the death penalty lies dormant. As the Inter-American Court has held, even when the accused has not been executed, “the mere existence of [a rule that provides for the death penalty] is, </w:t>
      </w:r>
      <w:r w:rsidRPr="00B90432">
        <w:rPr>
          <w:rFonts w:asciiTheme="minorHAnsi" w:hAnsiTheme="minorHAnsi"/>
          <w:i/>
        </w:rPr>
        <w:t>per se,</w:t>
      </w:r>
      <w:r w:rsidRPr="00B90432">
        <w:rPr>
          <w:rFonts w:asciiTheme="minorHAnsi" w:hAnsiTheme="minorHAnsi"/>
        </w:rPr>
        <w:t xml:space="preserve"> a violation” of the provision of the Convention to adopt laws in the domestic legal system to give effect to the right to life.</w:t>
      </w:r>
      <w:r w:rsidRPr="00B90432">
        <w:rPr>
          <w:rStyle w:val="FootnoteReference"/>
          <w:rFonts w:asciiTheme="minorHAnsi" w:hAnsiTheme="minorHAnsi"/>
          <w:sz w:val="22"/>
          <w:szCs w:val="22"/>
        </w:rPr>
        <w:footnoteReference w:id="657"/>
      </w:r>
      <w:r w:rsidRPr="00B90432">
        <w:rPr>
          <w:rFonts w:asciiTheme="minorHAnsi" w:hAnsiTheme="minorHAnsi"/>
        </w:rPr>
        <w:t xml:space="preserve">. In May 2016, in relation to compliance with judgment in the case of </w:t>
      </w:r>
      <w:r w:rsidRPr="00B90432">
        <w:rPr>
          <w:rFonts w:asciiTheme="minorHAnsi" w:hAnsiTheme="minorHAnsi"/>
          <w:i/>
        </w:rPr>
        <w:t>Raxcacó v. Guatemala</w:t>
      </w:r>
      <w:r w:rsidRPr="00B90432">
        <w:rPr>
          <w:rFonts w:asciiTheme="minorHAnsi" w:hAnsiTheme="minorHAnsi"/>
        </w:rPr>
        <w:t>, the Inter-American Court oversaw potential amendment to Article 132 of the Criminal Code on the crime of murder and the ability to impose the death penalty on the grounds of “dangerousness of the agent,” as well as amendment to Article 201 of the Criminal Code which sets forth the elements and punishment of the crime of abduction or kidnapping, in such a way that different definitions and punishments are set forth for different forms of that criminal offense, and during the implementation of these amendments, to not apply the death penalty for that crime.</w:t>
      </w:r>
      <w:r w:rsidRPr="00B90432">
        <w:rPr>
          <w:rStyle w:val="FootnoteReference"/>
          <w:rFonts w:asciiTheme="minorHAnsi" w:hAnsiTheme="minorHAnsi"/>
          <w:sz w:val="22"/>
          <w:szCs w:val="22"/>
        </w:rPr>
        <w:footnoteReference w:id="658"/>
      </w:r>
      <w:r w:rsidRPr="00B90432">
        <w:rPr>
          <w:rFonts w:asciiTheme="minorHAnsi" w:hAnsiTheme="minorHAnsi"/>
        </w:rPr>
        <w:t xml:space="preserve"> The Commission takes note and views positively that as a consequence of actions of both the Executive Branch and of the Judicial Branch, in keeping with the judgments of the Inter-American Court, more than 17 years have elapsed without the death penalty being imposed or executed in Guatemala. The Commission finds that, in practice, the State of Guatemala has taken steps forward toward abolishing the death penalty, which is </w:t>
      </w:r>
      <w:r w:rsidRPr="00B90432">
        <w:rPr>
          <w:rFonts w:asciiTheme="minorHAnsi" w:hAnsiTheme="minorHAnsi"/>
        </w:rPr>
        <w:lastRenderedPageBreak/>
        <w:t xml:space="preserve">consistent with the spirit of the American Convention on the subject matter. </w:t>
      </w:r>
    </w:p>
    <w:p w14:paraId="7545D62A" w14:textId="4DBDC926" w:rsidR="006243A1" w:rsidRPr="00B90432" w:rsidRDefault="006243A1" w:rsidP="00B90432">
      <w:pPr>
        <w:pStyle w:val="Numberedparagraphs"/>
        <w:rPr>
          <w:rFonts w:asciiTheme="minorHAnsi" w:hAnsiTheme="minorHAnsi"/>
        </w:rPr>
      </w:pPr>
      <w:r w:rsidRPr="00B90432">
        <w:rPr>
          <w:rFonts w:asciiTheme="minorHAnsi" w:hAnsiTheme="minorHAnsi"/>
        </w:rPr>
        <w:t xml:space="preserve">Additionally, the IACHR </w:t>
      </w:r>
      <w:r w:rsidR="002330E6" w:rsidRPr="00B90432">
        <w:rPr>
          <w:rFonts w:asciiTheme="minorHAnsi" w:hAnsiTheme="minorHAnsi"/>
        </w:rPr>
        <w:t>acknowledges</w:t>
      </w:r>
      <w:r w:rsidRPr="00B90432">
        <w:rPr>
          <w:rFonts w:asciiTheme="minorHAnsi" w:hAnsiTheme="minorHAnsi"/>
        </w:rPr>
        <w:t xml:space="preserve"> </w:t>
      </w:r>
      <w:r w:rsidR="002330E6" w:rsidRPr="00B90432">
        <w:rPr>
          <w:rFonts w:asciiTheme="minorHAnsi" w:hAnsiTheme="minorHAnsi"/>
        </w:rPr>
        <w:t xml:space="preserve">the </w:t>
      </w:r>
      <w:r w:rsidRPr="00B90432">
        <w:rPr>
          <w:rFonts w:asciiTheme="minorHAnsi" w:hAnsiTheme="minorHAnsi"/>
        </w:rPr>
        <w:t>ruling of the Constitutionality Court of October 24, 2017, declaring unconstitutional the application of the death penalty to the crimes of parricide, extrajudicial execution, abduction or kidnapping, forced disappearance, and killing the president or vice president.</w:t>
      </w:r>
      <w:r w:rsidRPr="00B90432">
        <w:rPr>
          <w:rStyle w:val="FootnoteReference"/>
          <w:rFonts w:asciiTheme="minorHAnsi" w:hAnsiTheme="minorHAnsi"/>
          <w:sz w:val="22"/>
          <w:szCs w:val="22"/>
        </w:rPr>
        <w:footnoteReference w:id="659"/>
      </w:r>
      <w:r w:rsidRPr="00B90432">
        <w:rPr>
          <w:rFonts w:asciiTheme="minorHAnsi" w:hAnsiTheme="minorHAnsi"/>
        </w:rPr>
        <w:t xml:space="preserve"> The grounds for the Court’s decision included the inconsistency between the application of the death penalty and international human rights </w:t>
      </w:r>
      <w:r w:rsidR="002330E6" w:rsidRPr="00B90432">
        <w:rPr>
          <w:rFonts w:asciiTheme="minorHAnsi" w:hAnsiTheme="minorHAnsi"/>
        </w:rPr>
        <w:t>treaties</w:t>
      </w:r>
      <w:r w:rsidRPr="00B90432">
        <w:rPr>
          <w:rFonts w:asciiTheme="minorHAnsi" w:hAnsiTheme="minorHAnsi"/>
        </w:rPr>
        <w:t xml:space="preserve"> ratified by the Guatemalan State. In this regard, the Commission notes that while Article 18 of Guatemala’s Constitution still provides for the death penalty, it may no longer be imposed in the country in light of Article 4.2 of the American Convention.</w:t>
      </w:r>
      <w:r w:rsidRPr="00B90432">
        <w:rPr>
          <w:rStyle w:val="FootnoteReference"/>
          <w:rFonts w:asciiTheme="minorHAnsi" w:hAnsiTheme="minorHAnsi"/>
          <w:sz w:val="22"/>
          <w:szCs w:val="22"/>
        </w:rPr>
        <w:footnoteReference w:id="660"/>
      </w:r>
      <w:r w:rsidRPr="00B90432">
        <w:rPr>
          <w:rFonts w:asciiTheme="minorHAnsi" w:hAnsiTheme="minorHAnsi"/>
        </w:rPr>
        <w:t xml:space="preserve"> The IACHR welcomes this advancement toward abolition of the death penalty.</w:t>
      </w:r>
      <w:r w:rsidRPr="00B90432">
        <w:rPr>
          <w:rStyle w:val="FootnoteReference"/>
          <w:rFonts w:asciiTheme="minorHAnsi" w:hAnsiTheme="minorHAnsi"/>
          <w:sz w:val="22"/>
          <w:szCs w:val="22"/>
        </w:rPr>
        <w:footnoteReference w:id="661"/>
      </w:r>
      <w:r w:rsidRPr="00B90432">
        <w:rPr>
          <w:rFonts w:asciiTheme="minorHAnsi" w:hAnsiTheme="minorHAnsi"/>
        </w:rPr>
        <w:t> </w:t>
      </w:r>
    </w:p>
    <w:p w14:paraId="1335F17C" w14:textId="4DF7B21E" w:rsidR="006243A1" w:rsidRPr="00B90432" w:rsidRDefault="006243A1" w:rsidP="00B90432">
      <w:pPr>
        <w:pStyle w:val="Numberedparagraphs"/>
        <w:rPr>
          <w:rFonts w:asciiTheme="minorHAnsi" w:hAnsiTheme="minorHAnsi"/>
        </w:rPr>
      </w:pPr>
      <w:r w:rsidRPr="00B90432">
        <w:rPr>
          <w:rFonts w:asciiTheme="minorHAnsi" w:hAnsiTheme="minorHAnsi"/>
        </w:rPr>
        <w:t>Based on the foregoing, and taking into account the practice of almost two decades, and the findings of the IACHR in its Report “</w:t>
      </w:r>
      <w:r w:rsidRPr="00B90432">
        <w:rPr>
          <w:rFonts w:asciiTheme="minorHAnsi" w:hAnsiTheme="minorHAnsi"/>
          <w:i/>
        </w:rPr>
        <w:t xml:space="preserve">The Death Penalty in the Inter-American Human Rights System: From Restrictions to Abolition” </w:t>
      </w:r>
      <w:r w:rsidRPr="00B90432">
        <w:rPr>
          <w:rFonts w:asciiTheme="minorHAnsi" w:hAnsiTheme="minorHAnsi"/>
        </w:rPr>
        <w:t xml:space="preserve">with regard to the obligation of OAS member States to gradually eliminate the death penalty, the Commission recommends the State of Guatemala to adopt the necessary measures so that domestic law is brought into line with said practice and thus continue to move toward abolition of the death penalty. The IACHR reiterates the need to move forward in amending laws in the countries of the region, which still allow the death penalty, in order to totally abolish it from their legal systems or, otherwise, impose a moratorium on imposing it. In this vein, the Commission </w:t>
      </w:r>
      <w:r w:rsidR="002330E6" w:rsidRPr="00B90432">
        <w:rPr>
          <w:rFonts w:asciiTheme="minorHAnsi" w:hAnsiTheme="minorHAnsi"/>
        </w:rPr>
        <w:t>calls</w:t>
      </w:r>
      <w:r w:rsidRPr="00B90432">
        <w:rPr>
          <w:rFonts w:asciiTheme="minorHAnsi" w:hAnsiTheme="minorHAnsi"/>
        </w:rPr>
        <w:t xml:space="preserve"> Guatemala to ratify the Protocol to the American Convention on Human Rights to Abolish the Death Penalty.</w:t>
      </w:r>
      <w:r w:rsidRPr="00B90432">
        <w:rPr>
          <w:rStyle w:val="FootnoteReference"/>
          <w:rFonts w:asciiTheme="minorHAnsi" w:hAnsiTheme="minorHAnsi"/>
          <w:sz w:val="22"/>
          <w:szCs w:val="22"/>
        </w:rPr>
        <w:footnoteReference w:id="662"/>
      </w:r>
    </w:p>
    <w:p w14:paraId="57FC2412" w14:textId="77777777" w:rsidR="001944CF" w:rsidRDefault="001944CF" w:rsidP="00B90432">
      <w:pPr>
        <w:pStyle w:val="Numberedparagraphs"/>
        <w:numPr>
          <w:ilvl w:val="0"/>
          <w:numId w:val="0"/>
        </w:numPr>
        <w:ind w:left="547" w:hanging="547"/>
        <w:rPr>
          <w:rFonts w:asciiTheme="minorHAnsi" w:hAnsiTheme="minorHAnsi"/>
        </w:rPr>
        <w:sectPr w:rsidR="001944CF" w:rsidSect="00450424">
          <w:headerReference w:type="default" r:id="rId59"/>
          <w:footerReference w:type="default" r:id="rId60"/>
          <w:type w:val="oddPage"/>
          <w:pgSz w:w="10080" w:h="14400" w:code="13"/>
          <w:pgMar w:top="1152" w:right="1152" w:bottom="1152" w:left="1296" w:header="720" w:footer="720" w:gutter="0"/>
          <w:cols w:space="720"/>
          <w:docGrid w:linePitch="360"/>
        </w:sectPr>
      </w:pPr>
    </w:p>
    <w:p w14:paraId="5A6DE8DC" w14:textId="14E7043E" w:rsidR="001944CF" w:rsidRPr="001944CF" w:rsidRDefault="001944CF" w:rsidP="001944CF">
      <w:pPr>
        <w:pStyle w:val="Title"/>
        <w:rPr>
          <w:color w:val="808080" w:themeColor="background1" w:themeShade="80"/>
          <w:sz w:val="44"/>
          <w:szCs w:val="44"/>
          <w:lang w:val="en-US"/>
        </w:rPr>
      </w:pPr>
      <w:bookmarkStart w:id="84" w:name="_Toc509827686"/>
      <w:r w:rsidRPr="001944CF">
        <w:rPr>
          <w:color w:val="808080" w:themeColor="background1" w:themeShade="80"/>
          <w:sz w:val="44"/>
          <w:szCs w:val="44"/>
          <w:lang w:val="en-US"/>
        </w:rPr>
        <w:lastRenderedPageBreak/>
        <w:t>C</w:t>
      </w:r>
      <w:r w:rsidR="00257EAE">
        <w:rPr>
          <w:color w:val="808080" w:themeColor="background1" w:themeShade="80"/>
          <w:sz w:val="44"/>
          <w:szCs w:val="44"/>
          <w:lang w:val="en-US"/>
        </w:rPr>
        <w:t>HAPTER 7</w:t>
      </w:r>
      <w:bookmarkEnd w:id="84"/>
    </w:p>
    <w:p w14:paraId="2C7880EF" w14:textId="4578EA42" w:rsidR="001944CF" w:rsidRPr="001944CF" w:rsidRDefault="001944CF" w:rsidP="001944CF">
      <w:pPr>
        <w:pStyle w:val="Title"/>
        <w:rPr>
          <w:lang w:val="en-US"/>
        </w:rPr>
        <w:sectPr w:rsidR="001944CF" w:rsidRPr="001944CF" w:rsidSect="00257EAE">
          <w:headerReference w:type="default" r:id="rId61"/>
          <w:footerReference w:type="default" r:id="rId62"/>
          <w:type w:val="oddPage"/>
          <w:pgSz w:w="10080" w:h="14400" w:code="13"/>
          <w:pgMar w:top="1152" w:right="1152" w:bottom="1152" w:left="1296" w:header="720" w:footer="720" w:gutter="0"/>
          <w:cols w:space="720"/>
          <w:vAlign w:val="center"/>
          <w:docGrid w:linePitch="360"/>
        </w:sectPr>
      </w:pPr>
      <w:bookmarkStart w:id="85" w:name="_Toc509827687"/>
      <w:r w:rsidRPr="001944CF">
        <w:rPr>
          <w:lang w:val="en-US"/>
        </w:rPr>
        <w:t>SITUATION OF PERSONS UNDER STATE CUSTODY</w:t>
      </w:r>
      <w:bookmarkEnd w:id="85"/>
    </w:p>
    <w:p w14:paraId="177DEF00" w14:textId="77777777" w:rsidR="006243A1" w:rsidRPr="00990D97" w:rsidRDefault="006243A1" w:rsidP="003D17BA">
      <w:pPr>
        <w:pStyle w:val="Heading1"/>
        <w:rPr>
          <w:lang w:val="en-US"/>
        </w:rPr>
      </w:pPr>
      <w:bookmarkStart w:id="86" w:name="_Toc509827688"/>
      <w:r w:rsidRPr="00990D97">
        <w:rPr>
          <w:lang w:val="en-US"/>
        </w:rPr>
        <w:lastRenderedPageBreak/>
        <w:t>SITUATION OF PERSONS UNDER STATE CUSTODY</w:t>
      </w:r>
      <w:bookmarkEnd w:id="86"/>
      <w:r w:rsidRPr="00990D97">
        <w:rPr>
          <w:lang w:val="en-US"/>
        </w:rPr>
        <w:t xml:space="preserve"> </w:t>
      </w:r>
    </w:p>
    <w:p w14:paraId="55469B61" w14:textId="58F177B7" w:rsidR="006243A1" w:rsidRPr="00257EAE" w:rsidRDefault="006243A1" w:rsidP="0085755A">
      <w:pPr>
        <w:pStyle w:val="Heading2"/>
        <w:numPr>
          <w:ilvl w:val="0"/>
          <w:numId w:val="19"/>
        </w:numPr>
        <w:ind w:left="540" w:hanging="540"/>
      </w:pPr>
      <w:bookmarkStart w:id="87" w:name="_Toc509827689"/>
      <w:r w:rsidRPr="00257EAE">
        <w:t xml:space="preserve">Persons </w:t>
      </w:r>
      <w:r w:rsidR="00257EAE" w:rsidRPr="00257EAE">
        <w:t xml:space="preserve">Deprived </w:t>
      </w:r>
      <w:r w:rsidRPr="00257EAE">
        <w:t xml:space="preserve">of </w:t>
      </w:r>
      <w:r w:rsidR="00257EAE">
        <w:t>Liberty</w:t>
      </w:r>
      <w:bookmarkEnd w:id="87"/>
    </w:p>
    <w:p w14:paraId="10C3C3EA"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With regard to the situation of persons deprived of liberty in Guatemala, the Inter-American Commission notes that the Guatemalan prison system is characterized for the most part by overcrowding (22,464 persons held in facilities with a maximum capacity of 6,320), excessive use of pre-trial detention (50% of the total of the prison population), and a slow justice system. It is also characterized by deplorable conditions of detention, high levels of violence, a lack of effective social reintegration programs, corruption, authorities’ failure to effectively control the inside of prison facilities. </w:t>
      </w:r>
    </w:p>
    <w:p w14:paraId="413F9C28" w14:textId="77777777" w:rsidR="006243A1" w:rsidRPr="00B90432" w:rsidRDefault="006243A1" w:rsidP="00B90432">
      <w:pPr>
        <w:pStyle w:val="Numberedparagraphs"/>
        <w:rPr>
          <w:rFonts w:asciiTheme="minorHAnsi" w:hAnsiTheme="minorHAnsi"/>
        </w:rPr>
      </w:pPr>
      <w:r w:rsidRPr="00B90432">
        <w:rPr>
          <w:rFonts w:asciiTheme="minorHAnsi" w:hAnsiTheme="minorHAnsi"/>
        </w:rPr>
        <w:t>According to official figures, as of May 2017, a total of 22,464 persons were being held in detention at 21 prison/detention facilities currently in operation in the country.</w:t>
      </w:r>
      <w:r w:rsidRPr="00B90432">
        <w:rPr>
          <w:rFonts w:asciiTheme="minorHAnsi" w:hAnsiTheme="minorHAnsi"/>
          <w:vertAlign w:val="superscript"/>
        </w:rPr>
        <w:footnoteReference w:id="663"/>
      </w:r>
      <w:r w:rsidRPr="00B90432">
        <w:rPr>
          <w:rFonts w:asciiTheme="minorHAnsi" w:hAnsiTheme="minorHAnsi"/>
        </w:rPr>
        <w:t xml:space="preserve"> Additionally, approximately 1,600 persons are regularly held in custody at police stations.</w:t>
      </w:r>
      <w:r w:rsidRPr="00B90432">
        <w:rPr>
          <w:rFonts w:asciiTheme="minorHAnsi" w:hAnsiTheme="minorHAnsi"/>
          <w:vertAlign w:val="superscript"/>
        </w:rPr>
        <w:footnoteReference w:id="664"/>
      </w:r>
      <w:r w:rsidRPr="00B90432">
        <w:rPr>
          <w:rFonts w:asciiTheme="minorHAnsi" w:hAnsiTheme="minorHAnsi"/>
        </w:rPr>
        <w:t xml:space="preserve"> In particular, the IACHR learned that the total number of women deprived of liberty is 2,248, the equivalent of 10% of the total prison population.</w:t>
      </w:r>
      <w:r w:rsidRPr="00B90432">
        <w:rPr>
          <w:rFonts w:asciiTheme="minorHAnsi" w:hAnsiTheme="minorHAnsi"/>
          <w:vertAlign w:val="superscript"/>
        </w:rPr>
        <w:footnoteReference w:id="665"/>
      </w:r>
      <w:r w:rsidRPr="00B90432">
        <w:rPr>
          <w:rFonts w:asciiTheme="minorHAnsi" w:hAnsiTheme="minorHAnsi"/>
        </w:rPr>
        <w:t xml:space="preserve"> This figure is of particular concern to the Commission, considering that the percentage of incarcerated women more than doubles the average of women deprived of liberty in the region.</w:t>
      </w:r>
      <w:r w:rsidRPr="00B90432">
        <w:rPr>
          <w:rFonts w:asciiTheme="minorHAnsi" w:hAnsiTheme="minorHAnsi"/>
          <w:vertAlign w:val="superscript"/>
        </w:rPr>
        <w:footnoteReference w:id="666"/>
      </w:r>
    </w:p>
    <w:p w14:paraId="1793FF2E" w14:textId="77777777" w:rsidR="00DF3726" w:rsidRDefault="00DF3726">
      <w:pPr>
        <w:spacing w:after="0" w:line="240" w:lineRule="auto"/>
        <w:rPr>
          <w:rFonts w:asciiTheme="minorHAnsi" w:hAnsiTheme="minorHAnsi"/>
          <w:b/>
          <w:sz w:val="24"/>
        </w:rPr>
      </w:pPr>
      <w:r>
        <w:br w:type="page"/>
      </w:r>
    </w:p>
    <w:p w14:paraId="4056948E" w14:textId="25BB2555" w:rsidR="006243A1" w:rsidRPr="00B90432" w:rsidRDefault="006243A1" w:rsidP="0085755A">
      <w:pPr>
        <w:pStyle w:val="Heading3"/>
        <w:numPr>
          <w:ilvl w:val="0"/>
          <w:numId w:val="20"/>
        </w:numPr>
        <w:ind w:hanging="727"/>
      </w:pPr>
      <w:bookmarkStart w:id="88" w:name="_Toc509827690"/>
      <w:r w:rsidRPr="00B90432">
        <w:lastRenderedPageBreak/>
        <w:t>Overcrowding and excessive use of pre-trial detention</w:t>
      </w:r>
      <w:bookmarkEnd w:id="88"/>
      <w:r w:rsidRPr="00B90432">
        <w:t xml:space="preserve"> </w:t>
      </w:r>
    </w:p>
    <w:p w14:paraId="548DE640" w14:textId="77777777" w:rsidR="006243A1" w:rsidRPr="00B90432" w:rsidRDefault="006243A1" w:rsidP="00E60017">
      <w:pPr>
        <w:pStyle w:val="Heading4"/>
        <w:ind w:left="1260" w:hanging="720"/>
      </w:pPr>
      <w:bookmarkStart w:id="89" w:name="_Toc509827691"/>
      <w:r w:rsidRPr="00B90432">
        <w:t>General considerations</w:t>
      </w:r>
      <w:bookmarkEnd w:id="89"/>
      <w:r w:rsidRPr="00B90432">
        <w:t xml:space="preserve"> </w:t>
      </w:r>
    </w:p>
    <w:p w14:paraId="62C6F6D8" w14:textId="64E6C3D4" w:rsidR="006243A1" w:rsidRPr="00B90432" w:rsidRDefault="006243A1" w:rsidP="00B90432">
      <w:pPr>
        <w:pStyle w:val="Numberedparagraphs"/>
        <w:rPr>
          <w:rFonts w:asciiTheme="minorHAnsi" w:hAnsiTheme="minorHAnsi"/>
        </w:rPr>
      </w:pPr>
      <w:r w:rsidRPr="00B90432">
        <w:rPr>
          <w:rFonts w:asciiTheme="minorHAnsi" w:hAnsiTheme="minorHAnsi"/>
        </w:rPr>
        <w:t>High rates of overcrowding pose one of the main concerns in connection with the prison system in Guatemala.</w:t>
      </w:r>
      <w:r w:rsidRPr="00B90432">
        <w:rPr>
          <w:rFonts w:asciiTheme="minorHAnsi" w:hAnsiTheme="minorHAnsi"/>
          <w:vertAlign w:val="superscript"/>
        </w:rPr>
        <w:footnoteReference w:id="667"/>
      </w:r>
      <w:r w:rsidRPr="00B90432">
        <w:rPr>
          <w:rFonts w:asciiTheme="minorHAnsi" w:hAnsiTheme="minorHAnsi"/>
        </w:rPr>
        <w:t xml:space="preserve"> Available information shows that from 2010 to the present, the prison population in the country has nearly doubled.</w:t>
      </w:r>
      <w:r w:rsidRPr="00B90432">
        <w:rPr>
          <w:rFonts w:asciiTheme="minorHAnsi" w:hAnsiTheme="minorHAnsi"/>
          <w:vertAlign w:val="superscript"/>
        </w:rPr>
        <w:footnoteReference w:id="668"/>
      </w:r>
      <w:r w:rsidRPr="00B90432">
        <w:rPr>
          <w:rFonts w:asciiTheme="minorHAnsi" w:hAnsiTheme="minorHAnsi"/>
        </w:rPr>
        <w:t xml:space="preserve"> In this regard, in order to address the situation of overcrowding, the IACHR notes that the Guatemalan State has made several efforts to reduce the number of persons deprived of liberty. These efforts include measures aimed at reducing pretrial detention in cases that warrant doing so, such as the use of alternative measures to incarceration, and the creation of the Democratic Crime Policy (Política Criminal Democrática) of the State of Guatemala by the Office of the Public Prosecutor (Ministerio Público or MP for its Spanish initials),</w:t>
      </w:r>
      <w:r w:rsidRPr="00B90432">
        <w:rPr>
          <w:rFonts w:asciiTheme="minorHAnsi" w:hAnsiTheme="minorHAnsi"/>
          <w:vertAlign w:val="superscript"/>
        </w:rPr>
        <w:footnoteReference w:id="669"/>
      </w:r>
      <w:r w:rsidRPr="00B90432">
        <w:rPr>
          <w:rFonts w:asciiTheme="minorHAnsi" w:hAnsiTheme="minorHAnsi"/>
        </w:rPr>
        <w:t xml:space="preserve"> an initiative to use pretrial detention in keeping with its exceptional nature, and only in cases where risk of flight or potential hampering of the investigation is “provable.” The State has also established programs such as the ‘progressive regime’ (gradual easing of confinement) and sentence reduction, which seek to facilitate social reintegration and enable persons deprived of liberty—through work, education and good conduct—to be conditionally released or to benefit from early release prior to completing their prison sentence.</w:t>
      </w:r>
      <w:r w:rsidRPr="00B90432">
        <w:rPr>
          <w:rFonts w:asciiTheme="minorHAnsi" w:hAnsiTheme="minorHAnsi"/>
          <w:vertAlign w:val="superscript"/>
        </w:rPr>
        <w:footnoteReference w:id="670"/>
      </w:r>
      <w:r w:rsidRPr="00B90432">
        <w:rPr>
          <w:rFonts w:asciiTheme="minorHAnsi" w:hAnsiTheme="minorHAnsi"/>
        </w:rPr>
        <w:t xml:space="preserve">  </w:t>
      </w:r>
      <w:r w:rsidR="00C35D90" w:rsidRPr="00B90432">
        <w:rPr>
          <w:rFonts w:asciiTheme="minorHAnsi" w:hAnsiTheme="minorHAnsi"/>
        </w:rPr>
        <w:t xml:space="preserve">In its comments to the draft of this report, the </w:t>
      </w:r>
      <w:r w:rsidR="00C35D90" w:rsidRPr="00B90432">
        <w:rPr>
          <w:rFonts w:asciiTheme="minorHAnsi" w:hAnsiTheme="minorHAnsi"/>
        </w:rPr>
        <w:lastRenderedPageBreak/>
        <w:t>State informed that it is currently working on the regulations to implement this Law.</w:t>
      </w:r>
      <w:r w:rsidR="00C35D90" w:rsidRPr="00B90432">
        <w:rPr>
          <w:rStyle w:val="FootnoteReference"/>
          <w:rFonts w:asciiTheme="minorHAnsi" w:hAnsiTheme="minorHAnsi"/>
          <w:sz w:val="22"/>
          <w:szCs w:val="22"/>
        </w:rPr>
        <w:footnoteReference w:id="671"/>
      </w:r>
      <w:r w:rsidR="00C35D90" w:rsidRPr="00B90432">
        <w:rPr>
          <w:rFonts w:asciiTheme="minorHAnsi" w:hAnsiTheme="minorHAnsi"/>
        </w:rPr>
        <w:t xml:space="preserve"> </w:t>
      </w:r>
      <w:r w:rsidRPr="00B90432">
        <w:rPr>
          <w:rFonts w:asciiTheme="minorHAnsi" w:hAnsiTheme="minorHAnsi"/>
        </w:rPr>
        <w:t xml:space="preserve">Notwithstanding, the information provided indicates that the aforementioned measures have not been effective, and that the occupancy rate of prison facilities is at more than three times their maximum capacity. </w:t>
      </w:r>
    </w:p>
    <w:p w14:paraId="05F8B542"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In view of the fact that overcrowding constitutes </w:t>
      </w:r>
      <w:r w:rsidRPr="00B90432">
        <w:rPr>
          <w:rFonts w:asciiTheme="minorHAnsi" w:hAnsiTheme="minorHAnsi"/>
          <w:i/>
        </w:rPr>
        <w:t xml:space="preserve">per se </w:t>
      </w:r>
      <w:r w:rsidRPr="00B90432">
        <w:rPr>
          <w:rFonts w:asciiTheme="minorHAnsi" w:hAnsiTheme="minorHAnsi"/>
        </w:rPr>
        <w:t>a violation of personal integrity, and that this situation seriously undermines the enjoyment of human rights by persons deprived of liberty,</w:t>
      </w:r>
      <w:r w:rsidRPr="00B90432">
        <w:rPr>
          <w:rFonts w:asciiTheme="minorHAnsi" w:hAnsiTheme="minorHAnsi"/>
          <w:vertAlign w:val="superscript"/>
        </w:rPr>
        <w:footnoteReference w:id="672"/>
      </w:r>
      <w:r w:rsidRPr="00B90432">
        <w:rPr>
          <w:rFonts w:asciiTheme="minorHAnsi" w:hAnsiTheme="minorHAnsi"/>
        </w:rPr>
        <w:t xml:space="preserve"> the IACHR urges the State to adopt measures aimed at a more rational use of incarceration, such as the use of pretrial detention in keeping with standards on the subject matter; and the promotion, regulation and use of alternatives measures to the deprivation of liberty. The Guatemalan State must also take steps to efficiently implement existing initiatives which provide for the use of conditional release, which in addition to reduce the prison population, helps support persons deprived of liberty to become reintegrated into society. In particular, in order for programs such as sentence redemption and progressive release regime to efficiently work, the State must, among other things: a) implement comprehensive measures to prevent bureaucratization of processes and help to speed up and providing certainty to the processing of the progressive release regime and of motions for redemption of sentence; b) implement an automatized and unified system of registry and assessment of cases under these regimes, or cases that could be eligible for these benefits; c) ensure continuity of these programs, regardless of turnover of prison or government officials, and d) ensure that persons deprived of liberty have the legal assistance they require to gain access to the programs. </w:t>
      </w:r>
    </w:p>
    <w:p w14:paraId="314E50F6" w14:textId="77777777" w:rsidR="006243A1" w:rsidRPr="00B90432" w:rsidRDefault="006243A1" w:rsidP="00B90432">
      <w:pPr>
        <w:pStyle w:val="Numberedparagraphs"/>
        <w:rPr>
          <w:rFonts w:asciiTheme="minorHAnsi" w:hAnsiTheme="minorHAnsi"/>
        </w:rPr>
      </w:pPr>
      <w:r w:rsidRPr="00B90432">
        <w:rPr>
          <w:rFonts w:asciiTheme="minorHAnsi" w:hAnsiTheme="minorHAnsi"/>
        </w:rPr>
        <w:t>As for the situation of pretrial detention, which poses one of the most serious problems faced by persons deprived of liberty in Guatemala, the IACHR notes that as of May 2017, 50.07% of the total prison population—that is, a total of 11,210 individuals—were being held in pretrial detention.</w:t>
      </w:r>
      <w:r w:rsidRPr="00B90432">
        <w:rPr>
          <w:rFonts w:asciiTheme="minorHAnsi" w:hAnsiTheme="minorHAnsi"/>
          <w:vertAlign w:val="superscript"/>
        </w:rPr>
        <w:footnoteReference w:id="673"/>
      </w:r>
      <w:r w:rsidRPr="00B90432">
        <w:rPr>
          <w:rFonts w:asciiTheme="minorHAnsi" w:hAnsiTheme="minorHAnsi"/>
        </w:rPr>
        <w:t xml:space="preserve"> The fact that 50% of said population is under this regime </w:t>
      </w:r>
      <w:r w:rsidRPr="00B90432">
        <w:rPr>
          <w:rFonts w:asciiTheme="minorHAnsi" w:hAnsiTheme="minorHAnsi"/>
        </w:rPr>
        <w:lastRenderedPageBreak/>
        <w:t>clearly shows that it is not being used in keeping with the requirement for it to be exceptional in nature, and that it disproportionately affects persons who cannot afford to pay the monetary punishment of a fine. Excessive use of this measure is one of the most obvious signs of the failure of the justice administration system, and represents an unacceptable situation in a democratic society, which respects the right of every person to the presumption of innocence.</w:t>
      </w:r>
      <w:r w:rsidRPr="00B90432">
        <w:rPr>
          <w:rFonts w:asciiTheme="minorHAnsi" w:hAnsiTheme="minorHAnsi"/>
          <w:vertAlign w:val="superscript"/>
        </w:rPr>
        <w:footnoteReference w:id="674"/>
      </w:r>
      <w:r w:rsidRPr="00B90432">
        <w:rPr>
          <w:rFonts w:asciiTheme="minorHAnsi" w:hAnsiTheme="minorHAnsi"/>
        </w:rPr>
        <w:t xml:space="preserve"> Accordingly, the Commission calls on the State to adopt the judicial, legislative, administrative and other types of measures required to correct the excessive use of pretrial detention, ensuring that this measure is of an exceptional nature and hews to the principles of legality, presumption of innocence, necessity and proportionality,</w:t>
      </w:r>
      <w:r w:rsidRPr="00B90432">
        <w:rPr>
          <w:rFonts w:asciiTheme="minorHAnsi" w:hAnsiTheme="minorHAnsi"/>
          <w:vertAlign w:val="superscript"/>
        </w:rPr>
        <w:footnoteReference w:id="675"/>
      </w:r>
      <w:r w:rsidRPr="00B90432">
        <w:rPr>
          <w:rFonts w:asciiTheme="minorHAnsi" w:hAnsiTheme="minorHAnsi"/>
        </w:rPr>
        <w:t xml:space="preserve"> and making sure that the regulation thereof does not run counter to efforts to combat impunity in Guatemala. </w:t>
      </w:r>
    </w:p>
    <w:p w14:paraId="2484B8BF" w14:textId="77777777" w:rsidR="006243A1" w:rsidRPr="009D7FDE" w:rsidRDefault="006243A1" w:rsidP="00E60017">
      <w:pPr>
        <w:pStyle w:val="Heading4"/>
        <w:ind w:left="1260" w:hanging="720"/>
        <w:rPr>
          <w:lang w:val="en-US"/>
        </w:rPr>
      </w:pPr>
      <w:bookmarkStart w:id="90" w:name="_Toc509827692"/>
      <w:r w:rsidRPr="009D7FDE">
        <w:rPr>
          <w:lang w:val="en-US"/>
        </w:rPr>
        <w:t>Major challenges to reducing pretrial detention</w:t>
      </w:r>
      <w:bookmarkEnd w:id="90"/>
      <w:r w:rsidRPr="009D7FDE">
        <w:rPr>
          <w:lang w:val="en-US"/>
        </w:rPr>
        <w:t xml:space="preserve"> </w:t>
      </w:r>
    </w:p>
    <w:p w14:paraId="12B046E4" w14:textId="77777777" w:rsidR="006243A1" w:rsidRPr="00B90432" w:rsidRDefault="006243A1" w:rsidP="00B90432">
      <w:pPr>
        <w:pStyle w:val="Numberedparagraphs"/>
        <w:rPr>
          <w:rFonts w:asciiTheme="minorHAnsi" w:hAnsiTheme="minorHAnsi"/>
        </w:rPr>
      </w:pPr>
      <w:r w:rsidRPr="00B90432">
        <w:rPr>
          <w:rFonts w:asciiTheme="minorHAnsi" w:hAnsiTheme="minorHAnsi"/>
        </w:rPr>
        <w:t>The IACHR had access to information suggesting that the major challenges faced by the Guatemalan State to reduce excessive use of pretrial detention, and consequently, high levels of prison overcrowding, include the following: a) crime policies proposing higher incarceration rates as a solution to citizen security; b) pressure from the media and public opinion to address citizen insecurity through deprivation of liberty; c) use of the mechanism of disciplinary control as a measure of pressure or punishment against judicial authorities who decide to use alternative measures to incarceration; d) inadequate public defense; e) lack of registries to monitor the length of judicial proceedings, and f) high incidence of hearing postponement.</w:t>
      </w:r>
    </w:p>
    <w:p w14:paraId="0F9C4198"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Firstly, crime policies proposing higher rates of incarceration as a solution to citizen insecurity translate into legislation that seeks to: a) favor the use of pretrial detention; b) limit the ability to use alternative measures to </w:t>
      </w:r>
      <w:r w:rsidRPr="00B90432">
        <w:rPr>
          <w:rFonts w:asciiTheme="minorHAnsi" w:hAnsiTheme="minorHAnsi"/>
        </w:rPr>
        <w:lastRenderedPageBreak/>
        <w:t>deprivation of liberty, and c) impose more requirements for release.</w:t>
      </w:r>
      <w:r w:rsidRPr="00B90432">
        <w:rPr>
          <w:rFonts w:asciiTheme="minorHAnsi" w:hAnsiTheme="minorHAnsi"/>
          <w:vertAlign w:val="superscript"/>
        </w:rPr>
        <w:footnoteReference w:id="676"/>
      </w:r>
      <w:r w:rsidRPr="00B90432">
        <w:rPr>
          <w:rFonts w:asciiTheme="minorHAnsi" w:hAnsiTheme="minorHAnsi"/>
        </w:rPr>
        <w:t xml:space="preserve"> In this regard, amended Article 264 of the Code of Criminal Procedure makes it mandatory to impose pretrial detention with no ability to use alternative measures for certain crimes;</w:t>
      </w:r>
      <w:r w:rsidRPr="00B90432">
        <w:rPr>
          <w:rFonts w:asciiTheme="minorHAnsi" w:hAnsiTheme="minorHAnsi"/>
          <w:vertAlign w:val="superscript"/>
        </w:rPr>
        <w:footnoteReference w:id="677"/>
      </w:r>
      <w:r w:rsidRPr="00B90432">
        <w:rPr>
          <w:rFonts w:asciiTheme="minorHAnsi" w:hAnsiTheme="minorHAnsi"/>
        </w:rPr>
        <w:t xml:space="preserve"> in addition to allowing for repeat offense as a criterion </w:t>
      </w:r>
      <w:r w:rsidRPr="00B90432">
        <w:rPr>
          <w:rFonts w:asciiTheme="minorHAnsi" w:hAnsiTheme="minorHAnsi"/>
          <w:i/>
        </w:rPr>
        <w:t xml:space="preserve">per se </w:t>
      </w:r>
      <w:r w:rsidRPr="00B90432">
        <w:rPr>
          <w:rFonts w:asciiTheme="minorHAnsi" w:hAnsiTheme="minorHAnsi"/>
        </w:rPr>
        <w:t>to automatically impose this regime.</w:t>
      </w:r>
      <w:r w:rsidRPr="00B90432">
        <w:rPr>
          <w:rFonts w:asciiTheme="minorHAnsi" w:hAnsiTheme="minorHAnsi"/>
          <w:vertAlign w:val="superscript"/>
        </w:rPr>
        <w:footnoteReference w:id="678"/>
      </w:r>
      <w:r w:rsidRPr="00B90432">
        <w:rPr>
          <w:rFonts w:asciiTheme="minorHAnsi" w:hAnsiTheme="minorHAnsi"/>
        </w:rPr>
        <w:t xml:space="preserve"> In another statute, the Law against Femicide and other Forms of Violence against Women prohibits the use of alternatives to pretrial detention for any charge of femicide;</w:t>
      </w:r>
      <w:r w:rsidRPr="00B90432">
        <w:rPr>
          <w:rFonts w:asciiTheme="minorHAnsi" w:hAnsiTheme="minorHAnsi"/>
          <w:vertAlign w:val="superscript"/>
        </w:rPr>
        <w:footnoteReference w:id="679"/>
      </w:r>
      <w:r w:rsidRPr="00B90432">
        <w:rPr>
          <w:rFonts w:asciiTheme="minorHAnsi" w:hAnsiTheme="minorHAnsi"/>
        </w:rPr>
        <w:t xml:space="preserve"> and the Law to Strengthen Criminal Prosecution, in addition to making pretrial detention automatic for certain crimes, prohibits the use of any prison benefits such as alternative measures for these same crimes.</w:t>
      </w:r>
      <w:r w:rsidRPr="00B90432">
        <w:rPr>
          <w:rFonts w:asciiTheme="minorHAnsi" w:hAnsiTheme="minorHAnsi"/>
          <w:vertAlign w:val="superscript"/>
        </w:rPr>
        <w:footnoteReference w:id="680"/>
      </w:r>
      <w:r w:rsidRPr="00B90432">
        <w:rPr>
          <w:rFonts w:asciiTheme="minorHAnsi" w:hAnsiTheme="minorHAnsi"/>
        </w:rPr>
        <w:t xml:space="preserve"> </w:t>
      </w:r>
    </w:p>
    <w:p w14:paraId="788D1080" w14:textId="77777777" w:rsidR="006243A1" w:rsidRPr="00B90432" w:rsidRDefault="006243A1" w:rsidP="00B90432">
      <w:pPr>
        <w:pStyle w:val="Numberedparagraphs"/>
        <w:rPr>
          <w:rFonts w:asciiTheme="minorHAnsi" w:hAnsiTheme="minorHAnsi"/>
        </w:rPr>
      </w:pPr>
      <w:r w:rsidRPr="00B90432">
        <w:rPr>
          <w:rFonts w:asciiTheme="minorHAnsi" w:hAnsiTheme="minorHAnsi"/>
        </w:rPr>
        <w:t>The IACHR notes that these legal provisions establish grounds for admissibility of pretrial detention that differ from the traditional or precautionary grounds and reflect a punitive or a perpetrator-focused approach to criminal law. In this regard, the IACHR reiterates that pretrial detention should be justified in each specific case and that legislation that provides for the use of non-custodial measures based on the type of offense, stands at odds with the governing principles of the use of pretrial detention.</w:t>
      </w:r>
      <w:r w:rsidRPr="00B90432">
        <w:rPr>
          <w:rFonts w:asciiTheme="minorHAnsi" w:hAnsiTheme="minorHAnsi"/>
          <w:vertAlign w:val="superscript"/>
        </w:rPr>
        <w:footnoteReference w:id="681"/>
      </w:r>
      <w:r w:rsidRPr="00B90432">
        <w:rPr>
          <w:rFonts w:asciiTheme="minorHAnsi" w:hAnsiTheme="minorHAnsi"/>
        </w:rPr>
        <w:t xml:space="preserve"> Based on the foregoing, in no circumstance may the law provide that any type of offense is excluded from the regime established for ending pretrial detention, or provide for certain types of offense to receive a different treatment from others in relation to being free during the trial, without any basis in objective and legitimate criteria, other than meeting standards such as “social alarm,” “social repercussion,” “dangerousness."</w:t>
      </w:r>
      <w:r w:rsidRPr="00B90432">
        <w:rPr>
          <w:rFonts w:asciiTheme="minorHAnsi" w:hAnsiTheme="minorHAnsi"/>
          <w:vertAlign w:val="superscript"/>
        </w:rPr>
        <w:footnoteReference w:id="682"/>
      </w:r>
      <w:r w:rsidRPr="00B90432">
        <w:rPr>
          <w:rFonts w:asciiTheme="minorHAnsi" w:hAnsiTheme="minorHAnsi"/>
        </w:rPr>
        <w:t xml:space="preserve">  </w:t>
      </w:r>
      <w:r w:rsidRPr="00B90432">
        <w:rPr>
          <w:rFonts w:asciiTheme="minorHAnsi" w:hAnsiTheme="minorHAnsi"/>
        </w:rPr>
        <w:lastRenderedPageBreak/>
        <w:t>On this issue, the IACHR determined in its recent jurisprudence that when a legal provision is in force allowing as sole grounds for pretrial detention preclusion from release during the case proceedings—and it is not determined based on an assessment of the evidence of risk of flight or hampering the case— the differential treatment leading to restriction of personal liberty is arbitrary and, therefore, a violation of the principle of equality and non-discrimination and of the right to personal liberty.</w:t>
      </w:r>
      <w:r w:rsidRPr="00B90432">
        <w:rPr>
          <w:rFonts w:asciiTheme="minorHAnsi" w:hAnsiTheme="minorHAnsi"/>
          <w:vertAlign w:val="superscript"/>
        </w:rPr>
        <w:footnoteReference w:id="683"/>
      </w:r>
      <w:r w:rsidRPr="00B90432">
        <w:rPr>
          <w:rFonts w:asciiTheme="minorHAnsi" w:hAnsiTheme="minorHAnsi"/>
        </w:rPr>
        <w:t xml:space="preserve"> </w:t>
      </w:r>
    </w:p>
    <w:p w14:paraId="56BEE5C0" w14:textId="77777777" w:rsidR="006243A1" w:rsidRPr="00B90432" w:rsidRDefault="006243A1" w:rsidP="00B90432">
      <w:pPr>
        <w:pStyle w:val="Numberedparagraphs"/>
        <w:rPr>
          <w:rFonts w:asciiTheme="minorHAnsi" w:hAnsiTheme="minorHAnsi"/>
        </w:rPr>
      </w:pPr>
      <w:r w:rsidRPr="00B90432">
        <w:rPr>
          <w:rFonts w:asciiTheme="minorHAnsi" w:hAnsiTheme="minorHAnsi"/>
        </w:rPr>
        <w:t>Additionally, the IACHR views with concern that Guatemala has a ‘tough-on-crime’ or ‘iron fist’ crime policy in place when it comes to drugs,</w:t>
      </w:r>
      <w:r w:rsidRPr="00B90432">
        <w:rPr>
          <w:rFonts w:asciiTheme="minorHAnsi" w:hAnsiTheme="minorHAnsi"/>
          <w:vertAlign w:val="superscript"/>
        </w:rPr>
        <w:footnoteReference w:id="684"/>
      </w:r>
      <w:r w:rsidRPr="00B90432">
        <w:rPr>
          <w:rFonts w:asciiTheme="minorHAnsi" w:hAnsiTheme="minorHAnsi"/>
        </w:rPr>
        <w:t xml:space="preserve"> in categorizing as “serious offenses’ (felonies) all conduct relating to the use of drugs, which triggers automatic imposition of pretrial detention, and precludes defendants from benefitting from alternatives to incarceration.</w:t>
      </w:r>
      <w:r w:rsidRPr="00B90432">
        <w:rPr>
          <w:rFonts w:asciiTheme="minorHAnsi" w:hAnsiTheme="minorHAnsi"/>
          <w:vertAlign w:val="superscript"/>
        </w:rPr>
        <w:footnoteReference w:id="685"/>
      </w:r>
      <w:r w:rsidRPr="00B90432">
        <w:rPr>
          <w:rFonts w:asciiTheme="minorHAnsi" w:hAnsiTheme="minorHAnsi"/>
        </w:rPr>
        <w:t xml:space="preserve">  On this score, the Commission notes that the Law against Narcoactivity, in regarding as “serious” all offenses related to drugs, makes pretrial detention mandatory for the crimes of “drug trafficking” or only “possession for use.”</w:t>
      </w:r>
      <w:r w:rsidRPr="00B90432">
        <w:rPr>
          <w:rFonts w:asciiTheme="minorHAnsi" w:hAnsiTheme="minorHAnsi"/>
          <w:vertAlign w:val="superscript"/>
        </w:rPr>
        <w:footnoteReference w:id="686"/>
      </w:r>
      <w:r w:rsidRPr="00B90432">
        <w:rPr>
          <w:rFonts w:asciiTheme="minorHAnsi" w:hAnsiTheme="minorHAnsi"/>
        </w:rPr>
        <w:t xml:space="preserve"> By drawing no distinction between the treatments of crimes linked to drugs, Guatemalan law ignores the principles upon which the use pretrial detention is based, especially, the principle of proportionality.</w:t>
      </w:r>
      <w:r w:rsidRPr="00B90432">
        <w:rPr>
          <w:rFonts w:asciiTheme="minorHAnsi" w:hAnsiTheme="minorHAnsi"/>
          <w:vertAlign w:val="superscript"/>
        </w:rPr>
        <w:footnoteReference w:id="687"/>
      </w:r>
      <w:r w:rsidRPr="00B90432">
        <w:rPr>
          <w:rFonts w:asciiTheme="minorHAnsi" w:hAnsiTheme="minorHAnsi"/>
        </w:rPr>
        <w:t xml:space="preserve">  Accordingly, and taking into account the incompatibility of this legislation with international standards, the IACHR welcomes the </w:t>
      </w:r>
      <w:r w:rsidRPr="00B90432">
        <w:rPr>
          <w:rFonts w:asciiTheme="minorHAnsi" w:hAnsiTheme="minorHAnsi"/>
        </w:rPr>
        <w:lastRenderedPageBreak/>
        <w:t>recent commitment made by the State with respect to the adoption of international criteria providing for “alternative measures to incarceration such as a strategy that allows for addressing the issue of drugs.”</w:t>
      </w:r>
      <w:r w:rsidRPr="00B90432">
        <w:rPr>
          <w:rFonts w:asciiTheme="minorHAnsi" w:hAnsiTheme="minorHAnsi"/>
          <w:vertAlign w:val="superscript"/>
        </w:rPr>
        <w:footnoteReference w:id="688"/>
      </w:r>
    </w:p>
    <w:p w14:paraId="7480DC46" w14:textId="77777777" w:rsidR="006243A1" w:rsidRPr="00B90432" w:rsidRDefault="006243A1" w:rsidP="00B90432">
      <w:pPr>
        <w:pStyle w:val="Numberedparagraphs"/>
        <w:rPr>
          <w:rFonts w:asciiTheme="minorHAnsi" w:hAnsiTheme="minorHAnsi"/>
        </w:rPr>
      </w:pPr>
      <w:r w:rsidRPr="00B90432">
        <w:rPr>
          <w:rFonts w:asciiTheme="minorHAnsi" w:hAnsiTheme="minorHAnsi"/>
        </w:rPr>
        <w:t>As for the lack of independence of justice operators, described in Chapter IV, Section B, this situation continues to be one of the major challenges to the use of alternatives to deprivation of liberty and, consequently, to a reduction in the incidence of prison overcrowding. This is because State policies, which propose more incarceration as a solution to the problems of citizen insecurity, often go hand in hand with a sharp media and political institutional message backed by public opinion, and even by the institutions of justice themselves. In this regard, the OUNHCHR and the PDH have noted that judicial officials receive very little encouragement or support from the institutions of justice to grant alternative measures, and that these decisions are more likely to be overturned than decisions imposing a custodial measure.</w:t>
      </w:r>
      <w:r w:rsidRPr="00B90432">
        <w:rPr>
          <w:rFonts w:asciiTheme="minorHAnsi" w:hAnsiTheme="minorHAnsi"/>
          <w:vertAlign w:val="superscript"/>
        </w:rPr>
        <w:footnoteReference w:id="689"/>
      </w:r>
      <w:r w:rsidRPr="00B90432">
        <w:rPr>
          <w:rFonts w:asciiTheme="minorHAnsi" w:hAnsiTheme="minorHAnsi"/>
        </w:rPr>
        <w:t xml:space="preserve"> Furthermore, the National Mechanism Office for the Prevention of Torture reported to the IACHR that the major challenge for the use of non-custodial measures is precisely that, the fear of their decisions being attacked in this way, by both civil society and the media, as well as by the Supreme Court of Justice itself.</w:t>
      </w:r>
      <w:r w:rsidRPr="00B90432">
        <w:rPr>
          <w:rFonts w:asciiTheme="minorHAnsi" w:hAnsiTheme="minorHAnsi"/>
          <w:vertAlign w:val="superscript"/>
        </w:rPr>
        <w:footnoteReference w:id="690"/>
      </w:r>
      <w:r w:rsidRPr="00B90432">
        <w:rPr>
          <w:rFonts w:asciiTheme="minorHAnsi" w:hAnsiTheme="minorHAnsi"/>
        </w:rPr>
        <w:t xml:space="preserve"> In response to this situation, the IACHR recommends the State to adopt the legislative, administrative and institutional measures necessary to ensure the highest degree possible of independence, autonomy and impartiality of judicial authorities, so that they are able to perform their duties free of any type of interference.</w:t>
      </w:r>
      <w:r w:rsidRPr="00B90432">
        <w:rPr>
          <w:rFonts w:asciiTheme="minorHAnsi" w:hAnsiTheme="minorHAnsi"/>
          <w:vertAlign w:val="superscript"/>
        </w:rPr>
        <w:footnoteReference w:id="691"/>
      </w:r>
    </w:p>
    <w:p w14:paraId="0E8F6E5B" w14:textId="77777777" w:rsidR="006243A1" w:rsidRPr="00B90432" w:rsidRDefault="006243A1" w:rsidP="00B90432">
      <w:pPr>
        <w:pStyle w:val="Numberedparagraphs"/>
        <w:rPr>
          <w:rFonts w:asciiTheme="minorHAnsi" w:hAnsiTheme="minorHAnsi"/>
        </w:rPr>
      </w:pPr>
      <w:r w:rsidRPr="00B90432">
        <w:rPr>
          <w:rFonts w:asciiTheme="minorHAnsi" w:hAnsiTheme="minorHAnsi"/>
        </w:rPr>
        <w:t>With respect to public defense in Guatemala, inadequate services continue to be one of the major causes of protracted pretrial detention. In particular, poor performance of public defenders is mostly rooted in the scant amount of resources allocated to pay them to fulfill their mandate and to remedy the problem of understaffing and cope with the heavy workload, which consequently befalls them. This keeps them from being able to effectively focus and properly follow up on the cases they take.</w:t>
      </w:r>
      <w:r w:rsidRPr="00B90432">
        <w:rPr>
          <w:rFonts w:asciiTheme="minorHAnsi" w:hAnsiTheme="minorHAnsi"/>
          <w:vertAlign w:val="superscript"/>
        </w:rPr>
        <w:footnoteReference w:id="692"/>
      </w:r>
      <w:r w:rsidRPr="00B90432">
        <w:rPr>
          <w:rFonts w:asciiTheme="minorHAnsi" w:hAnsiTheme="minorHAnsi"/>
        </w:rPr>
        <w:t xml:space="preserve">  Regarding this </w:t>
      </w:r>
      <w:r w:rsidRPr="00B90432">
        <w:rPr>
          <w:rFonts w:asciiTheme="minorHAnsi" w:hAnsiTheme="minorHAnsi"/>
        </w:rPr>
        <w:lastRenderedPageBreak/>
        <w:t>institution, the IACHR recalls the recent legal precedents of the Inter-American Court to the effect that “the provision of free and public legal assistance helps […] to adequately make up for the procedural inequality in which persons who face the punitive power of the State find themselves in, as well as the situation of vulnerability of persons deprived of liberty.”</w:t>
      </w:r>
      <w:r w:rsidRPr="00B90432">
        <w:rPr>
          <w:rFonts w:asciiTheme="minorHAnsi" w:hAnsiTheme="minorHAnsi"/>
          <w:vertAlign w:val="superscript"/>
        </w:rPr>
        <w:footnoteReference w:id="693"/>
      </w:r>
      <w:r w:rsidRPr="00B90432">
        <w:rPr>
          <w:rFonts w:asciiTheme="minorHAnsi" w:hAnsiTheme="minorHAnsi"/>
        </w:rPr>
        <w:t xml:space="preserve"> Therefore, the Commission calls on the State of Guatemala to strengthen its public defender system, paying priority attention to the coverage and the quality of the service in order to provide from the time of apprehension by the police, a service aimed at timely and effective protection of the fundamental rights of the person charged with the crime.</w:t>
      </w:r>
      <w:r w:rsidRPr="00B90432">
        <w:rPr>
          <w:rFonts w:asciiTheme="minorHAnsi" w:hAnsiTheme="minorHAnsi"/>
          <w:vertAlign w:val="superscript"/>
        </w:rPr>
        <w:footnoteReference w:id="694"/>
      </w:r>
    </w:p>
    <w:p w14:paraId="2F895587" w14:textId="77777777" w:rsidR="006243A1" w:rsidRPr="00B90432" w:rsidRDefault="006243A1" w:rsidP="00B90432">
      <w:pPr>
        <w:pStyle w:val="Numberedparagraphs"/>
        <w:rPr>
          <w:rFonts w:asciiTheme="minorHAnsi" w:hAnsiTheme="minorHAnsi"/>
        </w:rPr>
      </w:pPr>
      <w:r w:rsidRPr="00B90432">
        <w:rPr>
          <w:rFonts w:asciiTheme="minorHAnsi" w:hAnsiTheme="minorHAnsi"/>
        </w:rPr>
        <w:t>On another note, the lack of an automated and unified registration/record-keeping system of cases of persons deprived of liberty makes it virtually impossible to know when the deadline for holding someone in pretrial detention has lapsed leading to detainees awaiting judgment remaining in jail for inordinate lengths of time.</w:t>
      </w:r>
      <w:r w:rsidRPr="00B90432">
        <w:rPr>
          <w:rFonts w:asciiTheme="minorHAnsi" w:hAnsiTheme="minorHAnsi"/>
          <w:vertAlign w:val="superscript"/>
        </w:rPr>
        <w:footnoteReference w:id="695"/>
      </w:r>
      <w:r w:rsidRPr="00B90432">
        <w:rPr>
          <w:rFonts w:asciiTheme="minorHAnsi" w:hAnsiTheme="minorHAnsi"/>
        </w:rPr>
        <w:t xml:space="preserve"> In view of the foregoing, the State should implement a judicial and prison information management system at every detention facility in the country, in order to provide updated information and easy access to case information and the legal status of persons deprived of liberty in the country. These information management systems should make it possible to process information in an organized and efficient way at every prison facility, and make all information available in centralized information management systems, to which prison administration officials can resort in order to obtain up-to-date data and reliable statistics.</w:t>
      </w:r>
      <w:r w:rsidRPr="00B90432">
        <w:rPr>
          <w:rFonts w:asciiTheme="minorHAnsi" w:hAnsiTheme="minorHAnsi"/>
          <w:vertAlign w:val="superscript"/>
        </w:rPr>
        <w:footnoteReference w:id="696"/>
      </w:r>
      <w:r w:rsidRPr="00B90432">
        <w:rPr>
          <w:rFonts w:asciiTheme="minorHAnsi" w:hAnsiTheme="minorHAnsi"/>
        </w:rPr>
        <w:t xml:space="preserve"> </w:t>
      </w:r>
    </w:p>
    <w:p w14:paraId="42A2E5EC" w14:textId="77777777" w:rsidR="006243A1" w:rsidRPr="00B90432" w:rsidRDefault="006243A1" w:rsidP="00B90432">
      <w:pPr>
        <w:pStyle w:val="Numberedparagraphs"/>
        <w:rPr>
          <w:rFonts w:asciiTheme="minorHAnsi" w:hAnsiTheme="minorHAnsi"/>
        </w:rPr>
      </w:pPr>
      <w:r w:rsidRPr="00B90432">
        <w:rPr>
          <w:rFonts w:asciiTheme="minorHAnsi" w:hAnsiTheme="minorHAnsi"/>
        </w:rPr>
        <w:lastRenderedPageBreak/>
        <w:t>Another cause of the extended length of pretrial detention is the high number of hearings that are suspended, as a consequence of a variety of factors such as parties’ failure to appear; lack of means of transportation, not enough gasoline, insufficient prison guards and failures in the coordination between institutions in planning for hearings. This issue is one of the main complaints made to the Commission through numerous testimonies of persons deprived of liberty and from information provided by civil society. The OUNHCHR and the PDH have also spoken out about this situation.</w:t>
      </w:r>
      <w:r w:rsidRPr="00B90432">
        <w:rPr>
          <w:rFonts w:asciiTheme="minorHAnsi" w:hAnsiTheme="minorHAnsi"/>
          <w:vertAlign w:val="superscript"/>
        </w:rPr>
        <w:footnoteReference w:id="697"/>
      </w:r>
      <w:r w:rsidRPr="00B90432">
        <w:rPr>
          <w:rFonts w:asciiTheme="minorHAnsi" w:hAnsiTheme="minorHAnsi"/>
        </w:rPr>
        <w:t xml:space="preserve"> On this score, the State of Guatemala reported that in order to streamline case proceedings and avoid hearing postponement, in 2017 the Judiciary entered into two interinstitutional cooperation agreements to implement the criminal matter notification system. One of the agreements is with the Office of the Public Prosecutor and the other one is with the Criminal Public Defense Institute.</w:t>
      </w:r>
      <w:r w:rsidRPr="00B90432">
        <w:rPr>
          <w:rFonts w:asciiTheme="minorHAnsi" w:hAnsiTheme="minorHAnsi"/>
          <w:vertAlign w:val="superscript"/>
        </w:rPr>
        <w:footnoteReference w:id="698"/>
      </w:r>
      <w:r w:rsidRPr="00B90432">
        <w:rPr>
          <w:rFonts w:asciiTheme="minorHAnsi" w:hAnsiTheme="minorHAnsi"/>
        </w:rPr>
        <w:t xml:space="preserve"> For its part, the IACHR believes that one of the most effective measures that the State can adopt in order to overcome the difficulties that arise in transferring defendants to court hearings is to implement so-called “in-prison hearings,” which are held on the prison premises and with the judicial officers going to the premises and conducting the particular proceeding.</w:t>
      </w:r>
      <w:r w:rsidRPr="00B90432">
        <w:rPr>
          <w:rFonts w:asciiTheme="minorHAnsi" w:hAnsiTheme="minorHAnsi"/>
          <w:vertAlign w:val="superscript"/>
        </w:rPr>
        <w:footnoteReference w:id="699"/>
      </w:r>
      <w:r w:rsidRPr="00B90432">
        <w:rPr>
          <w:rFonts w:asciiTheme="minorHAnsi" w:hAnsiTheme="minorHAnsi"/>
        </w:rPr>
        <w:t xml:space="preserve">  In addition to making sure a higher number of cases are heard this way, by holding this type of hearing justice operators are also brought into direct contact with the actual prison conditions. This could help to make the judiciary more sensitive to how important it is to use alternative measures to the deprivation of liberty, particularly, to deal with the high incidence of overcrowding plaguing Guatemala’s prisons.</w:t>
      </w:r>
      <w:r w:rsidRPr="00B90432">
        <w:rPr>
          <w:rFonts w:asciiTheme="minorHAnsi" w:hAnsiTheme="minorHAnsi"/>
          <w:vertAlign w:val="superscript"/>
        </w:rPr>
        <w:footnoteReference w:id="700"/>
      </w:r>
    </w:p>
    <w:p w14:paraId="7E5B6C51" w14:textId="77777777" w:rsidR="006243A1" w:rsidRPr="00E60017" w:rsidRDefault="006243A1" w:rsidP="00E60017">
      <w:pPr>
        <w:pStyle w:val="Heading4"/>
        <w:ind w:left="1260" w:hanging="720"/>
      </w:pPr>
      <w:bookmarkStart w:id="91" w:name="_Toc509827693"/>
      <w:r w:rsidRPr="00E60017">
        <w:t>Alternative measures to pretrial detention</w:t>
      </w:r>
      <w:bookmarkEnd w:id="91"/>
      <w:r w:rsidRPr="00E60017">
        <w:t xml:space="preserve"> </w:t>
      </w:r>
    </w:p>
    <w:p w14:paraId="14575A9C"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Alternative measures are regulated under Article 264 of the Code of Criminal Procedure. This Code establishes that as long as the risk of flight or of obstruction of the proceeding to “ascertain the truth” can be reasonably avoided, the judicial authority may choose to any of the </w:t>
      </w:r>
      <w:r w:rsidRPr="00B90432">
        <w:rPr>
          <w:rFonts w:asciiTheme="minorHAnsi" w:hAnsiTheme="minorHAnsi"/>
        </w:rPr>
        <w:lastRenderedPageBreak/>
        <w:t>following measures: a) bail bond; b) house arrest; c) ban from departing a particular territory, or from going to certain gatherings or locations; d) placement in the custody or under the surveillance of a particular person or institution; e) periodic appearance before a court or designated authority, and f) prohibition of contact with certain individuals.</w:t>
      </w:r>
      <w:r w:rsidRPr="00B90432">
        <w:rPr>
          <w:rFonts w:asciiTheme="minorHAnsi" w:hAnsiTheme="minorHAnsi"/>
          <w:vertAlign w:val="superscript"/>
        </w:rPr>
        <w:footnoteReference w:id="701"/>
      </w:r>
      <w:r w:rsidRPr="00B90432">
        <w:rPr>
          <w:rFonts w:asciiTheme="minorHAnsi" w:hAnsiTheme="minorHAnsi"/>
        </w:rPr>
        <w:t xml:space="preserve"> </w:t>
      </w:r>
    </w:p>
    <w:p w14:paraId="763BDDD2" w14:textId="2A1C1B5B" w:rsidR="006243A1" w:rsidRPr="00B90432" w:rsidRDefault="006243A1" w:rsidP="00B90432">
      <w:pPr>
        <w:pStyle w:val="Numberedparagraphs"/>
        <w:rPr>
          <w:rFonts w:asciiTheme="minorHAnsi" w:hAnsiTheme="minorHAnsi"/>
        </w:rPr>
      </w:pPr>
      <w:r w:rsidRPr="00B90432">
        <w:rPr>
          <w:rFonts w:asciiTheme="minorHAnsi" w:hAnsiTheme="minorHAnsi"/>
        </w:rPr>
        <w:t>The IACHR notes that over the past years, the Guatemalan State has made several efforts mainly to apply two types of alternative measures: electronic monitoring devices; and restorative justice programs in criminal matters, focused on treatment of persons who commit minor drug-related offenses. As for electronic monitoring, the Law of Implementation of Control by Telematics (Telecommunications and Informatics) in Criminal Proceedings, in force as of December 2016, regulates the use of “telcom and computer (telematics) control over criminal cases […] under the modality of permanent location of persons, through the use of electronic bracelets, anklets, armbands or of any electronic device with a global positioning system (GPS).”</w:t>
      </w:r>
      <w:r w:rsidRPr="00B90432">
        <w:rPr>
          <w:rFonts w:asciiTheme="minorHAnsi" w:hAnsiTheme="minorHAnsi"/>
          <w:vertAlign w:val="superscript"/>
        </w:rPr>
        <w:footnoteReference w:id="702"/>
      </w:r>
      <w:r w:rsidRPr="00B90432">
        <w:rPr>
          <w:rFonts w:asciiTheme="minorHAnsi" w:hAnsiTheme="minorHAnsi"/>
        </w:rPr>
        <w:t xml:space="preserve">  In response to the enactment of this law, and in order to develop the implementation of said devices, the Supreme Court of Justice issued Resolution 14-2017.</w:t>
      </w:r>
      <w:r w:rsidRPr="00B90432">
        <w:rPr>
          <w:rFonts w:asciiTheme="minorHAnsi" w:hAnsiTheme="minorHAnsi"/>
          <w:vertAlign w:val="superscript"/>
        </w:rPr>
        <w:footnoteReference w:id="703"/>
      </w:r>
      <w:r w:rsidR="00BB1E7A" w:rsidRPr="00B90432">
        <w:rPr>
          <w:rFonts w:asciiTheme="minorHAnsi" w:hAnsiTheme="minorHAnsi"/>
        </w:rPr>
        <w:t xml:space="preserve"> </w:t>
      </w:r>
    </w:p>
    <w:p w14:paraId="71B9C89B" w14:textId="77777777" w:rsidR="006243A1" w:rsidRPr="00B90432" w:rsidRDefault="006243A1" w:rsidP="00B90432">
      <w:pPr>
        <w:pStyle w:val="Numberedparagraphs"/>
        <w:rPr>
          <w:rFonts w:asciiTheme="minorHAnsi" w:hAnsiTheme="minorHAnsi"/>
        </w:rPr>
      </w:pPr>
      <w:r w:rsidRPr="00B90432">
        <w:rPr>
          <w:rFonts w:asciiTheme="minorHAnsi" w:hAnsiTheme="minorHAnsi"/>
        </w:rPr>
        <w:t>The IACHR was informed that the use of electronic monitoring devices poses serious challenges to persons who cannot afford to pay for them. In this regard, the Law of Implementation of Electronic Control establishes that the cost of the respective devices must be defrayed by the beneficiaries themselves, except at the discretion of the competent judge, after a socio-economic study has been conducted.</w:t>
      </w:r>
      <w:r w:rsidRPr="00B90432">
        <w:rPr>
          <w:rFonts w:asciiTheme="minorHAnsi" w:hAnsiTheme="minorHAnsi"/>
          <w:vertAlign w:val="superscript"/>
        </w:rPr>
        <w:footnoteReference w:id="704"/>
      </w:r>
      <w:r w:rsidRPr="00B90432">
        <w:rPr>
          <w:rFonts w:asciiTheme="minorHAnsi" w:hAnsiTheme="minorHAnsi"/>
        </w:rPr>
        <w:t xml:space="preserve">  On this score, the PDH has said that said provision amounts to a “limitation to persons deprived of liberty who, eligible for a non-custodial measure […] are unable to secure it because they are unable to cover its cost.”</w:t>
      </w:r>
      <w:r w:rsidRPr="00B90432">
        <w:rPr>
          <w:rFonts w:asciiTheme="minorHAnsi" w:hAnsiTheme="minorHAnsi"/>
          <w:vertAlign w:val="superscript"/>
        </w:rPr>
        <w:footnoteReference w:id="705"/>
      </w:r>
      <w:r w:rsidRPr="00B90432">
        <w:rPr>
          <w:rFonts w:asciiTheme="minorHAnsi" w:hAnsiTheme="minorHAnsi"/>
        </w:rPr>
        <w:t xml:space="preserve"> In light of the foregoing, the IACHR recalls the obligation of States to take the necessary measures to make sure that the use of electronic monitoring devices conforms to the criteria of material equality, and does not pose a discriminatory measure to the </w:t>
      </w:r>
      <w:r w:rsidRPr="00B90432">
        <w:rPr>
          <w:rFonts w:asciiTheme="minorHAnsi" w:hAnsiTheme="minorHAnsi"/>
        </w:rPr>
        <w:lastRenderedPageBreak/>
        <w:t>detriment of persons unable to afford said amounts of money.</w:t>
      </w:r>
      <w:r w:rsidRPr="00B90432">
        <w:rPr>
          <w:rFonts w:asciiTheme="minorHAnsi" w:hAnsiTheme="minorHAnsi"/>
          <w:vertAlign w:val="superscript"/>
        </w:rPr>
        <w:footnoteReference w:id="706"/>
      </w:r>
      <w:r w:rsidRPr="00B90432">
        <w:rPr>
          <w:rFonts w:asciiTheme="minorHAnsi" w:hAnsiTheme="minorHAnsi"/>
        </w:rPr>
        <w:t xml:space="preserve"> Therefore, in the event the potential beneficiary’s inability to afford the payment, another non-custodial measure must be used, or not charge for the use of the electronic device.</w:t>
      </w:r>
      <w:r w:rsidRPr="00B90432">
        <w:rPr>
          <w:rFonts w:asciiTheme="minorHAnsi" w:hAnsiTheme="minorHAnsi"/>
          <w:vertAlign w:val="superscript"/>
        </w:rPr>
        <w:footnoteReference w:id="707"/>
      </w:r>
      <w:r w:rsidRPr="00B90432">
        <w:rPr>
          <w:rFonts w:asciiTheme="minorHAnsi" w:hAnsiTheme="minorHAnsi"/>
        </w:rPr>
        <w:t xml:space="preserve"> </w:t>
      </w:r>
    </w:p>
    <w:p w14:paraId="7F51E44E" w14:textId="77777777" w:rsidR="006243A1" w:rsidRPr="00B90432" w:rsidRDefault="006243A1" w:rsidP="00B90432">
      <w:pPr>
        <w:pStyle w:val="Numberedparagraphs"/>
        <w:rPr>
          <w:rFonts w:asciiTheme="minorHAnsi" w:hAnsiTheme="minorHAnsi"/>
        </w:rPr>
      </w:pPr>
      <w:r w:rsidRPr="00B90432">
        <w:rPr>
          <w:rFonts w:asciiTheme="minorHAnsi" w:hAnsiTheme="minorHAnsi"/>
        </w:rPr>
        <w:t>In respect to programs of restorative justice in criminal matters, the Regulation for the Control of Sentences issued within the Probationary Regime of Conditional Suspension of Sentence –approved by the Supreme Court of Justice in 2013</w:t>
      </w:r>
      <w:r w:rsidRPr="00B90432">
        <w:rPr>
          <w:rFonts w:asciiTheme="minorHAnsi" w:hAnsiTheme="minorHAnsi"/>
          <w:vertAlign w:val="superscript"/>
        </w:rPr>
        <w:footnoteReference w:id="708"/>
      </w:r>
      <w:r w:rsidRPr="00B90432">
        <w:rPr>
          <w:rFonts w:asciiTheme="minorHAnsi" w:hAnsiTheme="minorHAnsi"/>
        </w:rPr>
        <w:t>– provides for the ability of the defendant and the persons affected by the illicit conduct to participate in dispute resolution, through non-punitive measures which serve to redress the damage and mainstream the defendant back into society.</w:t>
      </w:r>
      <w:r w:rsidRPr="00B90432">
        <w:rPr>
          <w:rFonts w:asciiTheme="minorHAnsi" w:hAnsiTheme="minorHAnsi"/>
          <w:vertAlign w:val="superscript"/>
        </w:rPr>
        <w:footnoteReference w:id="709"/>
      </w:r>
      <w:r w:rsidRPr="00B90432">
        <w:rPr>
          <w:rFonts w:asciiTheme="minorHAnsi" w:hAnsiTheme="minorHAnsi"/>
        </w:rPr>
        <w:t xml:space="preserve"> </w:t>
      </w:r>
    </w:p>
    <w:p w14:paraId="03B08A3D" w14:textId="77777777" w:rsidR="006243A1" w:rsidRPr="00B90432" w:rsidRDefault="006243A1" w:rsidP="00B90432">
      <w:pPr>
        <w:pStyle w:val="Numberedparagraphs"/>
        <w:rPr>
          <w:rFonts w:asciiTheme="minorHAnsi" w:hAnsiTheme="minorHAnsi"/>
        </w:rPr>
      </w:pPr>
      <w:r w:rsidRPr="00B90432">
        <w:rPr>
          <w:rFonts w:asciiTheme="minorHAnsi" w:hAnsiTheme="minorHAnsi"/>
        </w:rPr>
        <w:t>In the context of these cases, heavy drug users who commit crimes related to drug use cam be placed in treatment programs and, in such cases, the judicial authority has the power to remand the person to institutions, such as: a) specialized rehab facilities for addiction treatment; b) specialized institutions in psychological and psychiatric programs; c) job training providing institutions; and d) academic institutions.</w:t>
      </w:r>
      <w:r w:rsidRPr="00B90432">
        <w:rPr>
          <w:rFonts w:asciiTheme="minorHAnsi" w:hAnsiTheme="minorHAnsi"/>
          <w:vertAlign w:val="superscript"/>
        </w:rPr>
        <w:footnoteReference w:id="710"/>
      </w:r>
      <w:r w:rsidRPr="00B90432">
        <w:rPr>
          <w:rFonts w:asciiTheme="minorHAnsi" w:hAnsiTheme="minorHAnsi"/>
        </w:rPr>
        <w:t xml:space="preserve"> On this score, the State reported that judicial officers of the Narcoactivity Courts have opted to remand persons who “are facing criminal proceedings for minor drug-related offenses” to the Treatment Center of the Executive Secretariat of the Commission against Addictions and Illicit Drug Trafficking (SECCATID), so that users can receive medical treatment and rehabilitation, and avoid being incarcerated.</w:t>
      </w:r>
      <w:r w:rsidRPr="00B90432">
        <w:rPr>
          <w:rFonts w:asciiTheme="minorHAnsi" w:hAnsiTheme="minorHAnsi"/>
          <w:vertAlign w:val="superscript"/>
        </w:rPr>
        <w:footnoteReference w:id="711"/>
      </w:r>
    </w:p>
    <w:p w14:paraId="26B3EA0D"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In light of the main concerns voiced by the IACHR in the </w:t>
      </w:r>
      <w:r w:rsidRPr="00B90432">
        <w:rPr>
          <w:rFonts w:asciiTheme="minorHAnsi" w:hAnsiTheme="minorHAnsi"/>
          <w:i/>
        </w:rPr>
        <w:t xml:space="preserve">Report on Measures Aimed at Reducing the Use of Pretrial Detention in the Americas </w:t>
      </w:r>
      <w:r w:rsidRPr="00B90432">
        <w:rPr>
          <w:rFonts w:asciiTheme="minorHAnsi" w:hAnsiTheme="minorHAnsi"/>
        </w:rPr>
        <w:t xml:space="preserve">with respect to drug treatment programs operating under judicial supervision in the region, the IACHR urges the Guatemalan State to take the necessary </w:t>
      </w:r>
      <w:r w:rsidRPr="00B90432">
        <w:rPr>
          <w:rFonts w:asciiTheme="minorHAnsi" w:hAnsiTheme="minorHAnsi"/>
        </w:rPr>
        <w:lastRenderedPageBreak/>
        <w:t>measures to ensure implementation of a drug policy that pursues a public health rather than an enforcement and criminalizing approach.</w:t>
      </w:r>
      <w:r w:rsidRPr="00B90432">
        <w:rPr>
          <w:rFonts w:asciiTheme="minorHAnsi" w:hAnsiTheme="minorHAnsi"/>
          <w:vertAlign w:val="superscript"/>
        </w:rPr>
        <w:footnoteReference w:id="712"/>
      </w:r>
      <w:r w:rsidRPr="00B90432">
        <w:rPr>
          <w:rFonts w:asciiTheme="minorHAnsi" w:hAnsiTheme="minorHAnsi"/>
        </w:rPr>
        <w:t xml:space="preserve">  In this regard, as to the treatment of persons who have committed a minor crime as a consequence of drug use—as has been explained, are sent to the Treatment Center of SECCATID—the Guatemalan State should take the necessary measures to make sure that the persons, who will be placed in these programs are dependent or heavy drug users.  In this instance, the State must promote other alternatives to the deprivation of liberty, such as outpatient type treatment in order to avoid institutionalizing them and to be able to address this issue with a health and human rights approach.</w:t>
      </w:r>
      <w:r w:rsidRPr="00B90432">
        <w:rPr>
          <w:rFonts w:asciiTheme="minorHAnsi" w:hAnsiTheme="minorHAnsi"/>
          <w:vertAlign w:val="superscript"/>
        </w:rPr>
        <w:footnoteReference w:id="713"/>
      </w:r>
      <w:r w:rsidRPr="00B90432">
        <w:rPr>
          <w:rFonts w:asciiTheme="minorHAnsi" w:hAnsiTheme="minorHAnsi"/>
        </w:rPr>
        <w:t xml:space="preserve">  </w:t>
      </w:r>
    </w:p>
    <w:p w14:paraId="5F26CEC9" w14:textId="27BBBE2D" w:rsidR="006243A1" w:rsidRPr="00B90432" w:rsidRDefault="006243A1" w:rsidP="00931BA7">
      <w:pPr>
        <w:pStyle w:val="Heading3"/>
      </w:pPr>
      <w:bookmarkStart w:id="92" w:name="_Toc509827694"/>
      <w:r w:rsidRPr="00B90432">
        <w:t xml:space="preserve">Conditions of </w:t>
      </w:r>
      <w:r w:rsidR="00931BA7" w:rsidRPr="00B90432">
        <w:t>Detention</w:t>
      </w:r>
      <w:bookmarkEnd w:id="92"/>
      <w:r w:rsidR="00931BA7" w:rsidRPr="00B90432">
        <w:t xml:space="preserve"> </w:t>
      </w:r>
    </w:p>
    <w:p w14:paraId="6ED7DB98" w14:textId="77777777" w:rsidR="006243A1" w:rsidRPr="00B90432" w:rsidRDefault="006243A1" w:rsidP="00B90432">
      <w:pPr>
        <w:pStyle w:val="Numberedparagraphs"/>
        <w:rPr>
          <w:rFonts w:asciiTheme="minorHAnsi" w:hAnsiTheme="minorHAnsi"/>
        </w:rPr>
      </w:pPr>
      <w:r w:rsidRPr="00B90432">
        <w:rPr>
          <w:rFonts w:asciiTheme="minorHAnsi" w:hAnsiTheme="minorHAnsi"/>
        </w:rPr>
        <w:t xml:space="preserve">The Commission is particularly concerned about the deplorable conditions of detention observed at Guatemalan prisons, which pose a risk to the lives and integrity of the persons deprived of liberty.  These conditions of detention are characterized by alarming levels of overcrowding; deficient infrastructure; failure to segregate inmates awaiting judgment and those serving sentences; lack of hygiene, and of toilets and designated locations to spend the night; and deficient medical care. Furthermore, throughout prison facilities, there is a prevalence of inadequate food service, both in terms of quantity and nutritional value, a lack of social reintegration programs and of a differential approach to treatment for persons belonging to groups in special at-risk situations. </w:t>
      </w:r>
    </w:p>
    <w:p w14:paraId="6A10499B" w14:textId="06744644" w:rsidR="006243A1" w:rsidRPr="00B90432" w:rsidRDefault="006243A1" w:rsidP="00B90432">
      <w:pPr>
        <w:pStyle w:val="Numberedparagraphs"/>
        <w:rPr>
          <w:rFonts w:asciiTheme="minorHAnsi" w:hAnsiTheme="minorHAnsi"/>
        </w:rPr>
      </w:pPr>
      <w:r w:rsidRPr="00B90432">
        <w:rPr>
          <w:rFonts w:asciiTheme="minorHAnsi" w:hAnsiTheme="minorHAnsi"/>
        </w:rPr>
        <w:t xml:space="preserve">Firstly, the IACHR witnessed for itself with great concern the high degree of overcrowding at all detention facilities it visited, including three mini jailhouses or </w:t>
      </w:r>
      <w:r w:rsidRPr="00B90432">
        <w:rPr>
          <w:rFonts w:asciiTheme="minorHAnsi" w:hAnsiTheme="minorHAnsi"/>
          <w:i/>
        </w:rPr>
        <w:t>carceletas</w:t>
      </w:r>
      <w:r w:rsidR="00C35D90" w:rsidRPr="00B90432">
        <w:rPr>
          <w:rFonts w:asciiTheme="minorHAnsi" w:hAnsiTheme="minorHAnsi"/>
          <w:i/>
        </w:rPr>
        <w:t xml:space="preserve"> </w:t>
      </w:r>
      <w:r w:rsidRPr="00B90432">
        <w:rPr>
          <w:rFonts w:asciiTheme="minorHAnsi" w:hAnsiTheme="minorHAnsi"/>
        </w:rPr>
        <w:t>—</w:t>
      </w:r>
      <w:r w:rsidR="00C35D90" w:rsidRPr="00B90432">
        <w:rPr>
          <w:rFonts w:asciiTheme="minorHAnsi" w:hAnsiTheme="minorHAnsi"/>
        </w:rPr>
        <w:t xml:space="preserve"> </w:t>
      </w:r>
      <w:r w:rsidRPr="00B90432">
        <w:rPr>
          <w:rFonts w:asciiTheme="minorHAnsi" w:hAnsiTheme="minorHAnsi"/>
        </w:rPr>
        <w:t xml:space="preserve">commonly known as the ‘chicken coups’ or </w:t>
      </w:r>
      <w:r w:rsidRPr="00B90432">
        <w:rPr>
          <w:rFonts w:asciiTheme="minorHAnsi" w:hAnsiTheme="minorHAnsi"/>
          <w:i/>
        </w:rPr>
        <w:t>gallineros</w:t>
      </w:r>
      <w:r w:rsidRPr="00B90432">
        <w:rPr>
          <w:rFonts w:asciiTheme="minorHAnsi" w:hAnsiTheme="minorHAnsi"/>
        </w:rPr>
        <w:t>”—</w:t>
      </w:r>
      <w:r w:rsidR="00C35D90" w:rsidRPr="00B90432">
        <w:rPr>
          <w:rFonts w:asciiTheme="minorHAnsi" w:hAnsiTheme="minorHAnsi"/>
        </w:rPr>
        <w:t xml:space="preserve"> </w:t>
      </w:r>
      <w:r w:rsidRPr="00B90432">
        <w:rPr>
          <w:rFonts w:asciiTheme="minorHAnsi" w:hAnsiTheme="minorHAnsi"/>
        </w:rPr>
        <w:t xml:space="preserve">of the tower of the Courts of the judiciary (Torre de Tribunales del Organismo Judicial). The prison </w:t>
      </w:r>
      <w:r w:rsidR="00035651" w:rsidRPr="00B90432">
        <w:rPr>
          <w:rFonts w:asciiTheme="minorHAnsi" w:hAnsiTheme="minorHAnsi"/>
        </w:rPr>
        <w:t xml:space="preserve">Unit </w:t>
      </w:r>
      <w:r w:rsidRPr="00B90432">
        <w:rPr>
          <w:rFonts w:asciiTheme="minorHAnsi" w:hAnsiTheme="minorHAnsi"/>
          <w:i/>
        </w:rPr>
        <w:t>Granja Penal de Pavón</w:t>
      </w:r>
      <w:r w:rsidRPr="00B90432">
        <w:rPr>
          <w:rFonts w:asciiTheme="minorHAnsi" w:hAnsiTheme="minorHAnsi"/>
        </w:rPr>
        <w:t xml:space="preserve">, built for a maximum capacity of 960 </w:t>
      </w:r>
      <w:r w:rsidR="00C35D90" w:rsidRPr="00B90432">
        <w:rPr>
          <w:rFonts w:asciiTheme="minorHAnsi" w:hAnsiTheme="minorHAnsi"/>
        </w:rPr>
        <w:t>persons</w:t>
      </w:r>
      <w:r w:rsidRPr="00B90432">
        <w:rPr>
          <w:rFonts w:asciiTheme="minorHAnsi" w:hAnsiTheme="minorHAnsi"/>
        </w:rPr>
        <w:t>, houses triple that population (3,363 people). Moreover, the women’s facility Centro de Orientación Femenina and the Santa Teresa prison hold prison populations five times larger than their maximum housing capacity: the Centro de Orientación Femenina, with a capacity of 125 women, houses 700; and Santa Teresa jailhouse, with a maximum capacity of 250, has a population of 1,257 women.</w:t>
      </w:r>
      <w:r w:rsidRPr="00B90432">
        <w:rPr>
          <w:rFonts w:asciiTheme="minorHAnsi" w:hAnsiTheme="minorHAnsi"/>
          <w:vertAlign w:val="superscript"/>
        </w:rPr>
        <w:footnoteReference w:id="714"/>
      </w:r>
      <w:r w:rsidRPr="00B90432">
        <w:rPr>
          <w:rFonts w:asciiTheme="minorHAnsi" w:hAnsiTheme="minorHAnsi"/>
        </w:rPr>
        <w:t xml:space="preserve"> </w:t>
      </w:r>
      <w:r w:rsidR="00BB1E7A" w:rsidRPr="00B90432">
        <w:rPr>
          <w:rFonts w:asciiTheme="minorHAnsi" w:hAnsiTheme="minorHAnsi"/>
        </w:rPr>
        <w:t xml:space="preserve">In its comments to the draft of this report, the State notified that </w:t>
      </w:r>
      <w:r w:rsidR="00BB1E7A" w:rsidRPr="00B90432">
        <w:rPr>
          <w:rFonts w:asciiTheme="minorHAnsi" w:hAnsiTheme="minorHAnsi"/>
        </w:rPr>
        <w:lastRenderedPageBreak/>
        <w:t>it is currently developing a list of people deprived of liberty to determine who may be eligible for a reduction of the sanction.</w:t>
      </w:r>
      <w:r w:rsidR="00BB1E7A" w:rsidRPr="00B90432">
        <w:rPr>
          <w:rStyle w:val="FootnoteReference"/>
          <w:rFonts w:asciiTheme="minorHAnsi" w:hAnsiTheme="minorHAnsi"/>
          <w:sz w:val="22"/>
          <w:szCs w:val="22"/>
        </w:rPr>
        <w:footnoteReference w:id="715"/>
      </w:r>
    </w:p>
    <w:p w14:paraId="0DE4B506" w14:textId="77777777" w:rsidR="006243A1" w:rsidRPr="00B90432" w:rsidRDefault="006243A1" w:rsidP="00B90432">
      <w:pPr>
        <w:pStyle w:val="Numberedparagraphs"/>
        <w:rPr>
          <w:rFonts w:asciiTheme="minorHAnsi" w:hAnsiTheme="minorHAnsi"/>
        </w:rPr>
      </w:pPr>
      <w:r w:rsidRPr="00B90432">
        <w:rPr>
          <w:rFonts w:asciiTheme="minorHAnsi" w:hAnsiTheme="minorHAnsi"/>
        </w:rPr>
        <w:t>Likewise, the IACHR expresses its concern over the deficient medical care characterizing prison facilities in Guatemala. This deficiency is evident in the lack of medical staff, medicine and equipment, the difficult access to general hospitals, and the lack of a comprehensive health program.</w:t>
      </w:r>
      <w:r w:rsidRPr="00B90432">
        <w:rPr>
          <w:rFonts w:asciiTheme="minorHAnsi" w:hAnsiTheme="minorHAnsi"/>
          <w:vertAlign w:val="superscript"/>
        </w:rPr>
        <w:footnoteReference w:id="716"/>
      </w:r>
      <w:r w:rsidRPr="00B90432">
        <w:rPr>
          <w:rFonts w:asciiTheme="minorHAnsi" w:hAnsiTheme="minorHAnsi"/>
        </w:rPr>
        <w:t xml:space="preserve"> In particular, at the prison facilities it visited, the IACHR observed an almost total lack of medical staff for the prison population. For example, the prison </w:t>
      </w:r>
      <w:r w:rsidR="00035651" w:rsidRPr="00B90432">
        <w:rPr>
          <w:rFonts w:asciiTheme="minorHAnsi" w:hAnsiTheme="minorHAnsi"/>
        </w:rPr>
        <w:t xml:space="preserve">Unit </w:t>
      </w:r>
      <w:r w:rsidRPr="00B90432">
        <w:rPr>
          <w:rFonts w:asciiTheme="minorHAnsi" w:hAnsiTheme="minorHAnsi"/>
          <w:i/>
        </w:rPr>
        <w:t>Granja Pavón</w:t>
      </w:r>
      <w:r w:rsidRPr="00B90432">
        <w:rPr>
          <w:rFonts w:asciiTheme="minorHAnsi" w:hAnsiTheme="minorHAnsi"/>
        </w:rPr>
        <w:t>, Santa Teresa jail and the women’s prison Centro de Orientación Femenino only have one doctor on the premises from Monday to Friday, treating a total population at these facilities of approximately 5,320 people. For its part, the OHUNHCHR has noted with concern that there are only 8 doctors to treat the entire prison population of the country.</w:t>
      </w:r>
      <w:r w:rsidRPr="00B90432">
        <w:rPr>
          <w:rFonts w:asciiTheme="minorHAnsi" w:hAnsiTheme="minorHAnsi"/>
          <w:vertAlign w:val="superscript"/>
        </w:rPr>
        <w:footnoteReference w:id="717"/>
      </w:r>
      <w:r w:rsidRPr="00B90432">
        <w:rPr>
          <w:rFonts w:asciiTheme="minorHAnsi" w:hAnsiTheme="minorHAnsi"/>
        </w:rPr>
        <w:t xml:space="preserve"> Furthermore, in many instances, the health facilities on the premises are not used for providing health care, but rather are used to house prisoners because of the high degree of overcrowding.</w:t>
      </w:r>
      <w:r w:rsidRPr="00B90432">
        <w:rPr>
          <w:rFonts w:asciiTheme="minorHAnsi" w:hAnsiTheme="minorHAnsi"/>
          <w:vertAlign w:val="superscript"/>
        </w:rPr>
        <w:footnoteReference w:id="718"/>
      </w:r>
    </w:p>
    <w:p w14:paraId="1A01685F" w14:textId="77777777" w:rsidR="006243A1" w:rsidRPr="00B90432" w:rsidRDefault="006243A1" w:rsidP="00B90432">
      <w:pPr>
        <w:pStyle w:val="Numberedparagraphs"/>
        <w:rPr>
          <w:rFonts w:asciiTheme="minorHAnsi" w:hAnsiTheme="minorHAnsi"/>
        </w:rPr>
      </w:pPr>
      <w:r w:rsidRPr="00B90432">
        <w:rPr>
          <w:rFonts w:asciiTheme="minorHAnsi" w:hAnsiTheme="minorHAnsi"/>
        </w:rPr>
        <w:t>In this same vein, the IACHR notes that the extreme overcrowding, the lack of hygiene and adequate ventilation pose a serious threat to the health of the inmates, because of increased risk of the spread of infectious disease caused by such conditions. This situation was observed by the IACHR particularly at the mini-jails of the Towers of the Courts, which were also e</w:t>
      </w:r>
      <w:r w:rsidR="00742468" w:rsidRPr="00B90432">
        <w:rPr>
          <w:rFonts w:asciiTheme="minorHAnsi" w:hAnsiTheme="minorHAnsi"/>
        </w:rPr>
        <w:t xml:space="preserve">xtremely dirty, full of garbage, </w:t>
      </w:r>
      <w:r w:rsidR="001467B4" w:rsidRPr="00B90432">
        <w:rPr>
          <w:rFonts w:asciiTheme="minorHAnsi" w:hAnsiTheme="minorHAnsi"/>
        </w:rPr>
        <w:t xml:space="preserve">with </w:t>
      </w:r>
      <w:r w:rsidRPr="00B90432">
        <w:rPr>
          <w:rFonts w:asciiTheme="minorHAnsi" w:hAnsiTheme="minorHAnsi"/>
        </w:rPr>
        <w:t xml:space="preserve">a </w:t>
      </w:r>
      <w:r w:rsidR="001467B4" w:rsidRPr="00B90432">
        <w:rPr>
          <w:rFonts w:asciiTheme="minorHAnsi" w:hAnsiTheme="minorHAnsi"/>
        </w:rPr>
        <w:t xml:space="preserve">foul odor pervading </w:t>
      </w:r>
      <w:r w:rsidR="00742468" w:rsidRPr="00B90432">
        <w:rPr>
          <w:rFonts w:asciiTheme="minorHAnsi" w:hAnsiTheme="minorHAnsi"/>
        </w:rPr>
        <w:t>the facilities and detainees in di</w:t>
      </w:r>
      <w:r w:rsidR="009A149E" w:rsidRPr="00B90432">
        <w:rPr>
          <w:rFonts w:asciiTheme="minorHAnsi" w:hAnsiTheme="minorHAnsi"/>
        </w:rPr>
        <w:t>rect contact with the deplorable</w:t>
      </w:r>
      <w:r w:rsidR="00742468" w:rsidRPr="00B90432">
        <w:rPr>
          <w:rFonts w:asciiTheme="minorHAnsi" w:hAnsiTheme="minorHAnsi"/>
        </w:rPr>
        <w:t xml:space="preserve"> </w:t>
      </w:r>
      <w:r w:rsidR="00C07789" w:rsidRPr="00B90432">
        <w:rPr>
          <w:rFonts w:asciiTheme="minorHAnsi" w:hAnsiTheme="minorHAnsi"/>
        </w:rPr>
        <w:t>la</w:t>
      </w:r>
      <w:r w:rsidR="006E2C87" w:rsidRPr="00B90432">
        <w:rPr>
          <w:rFonts w:asciiTheme="minorHAnsi" w:hAnsiTheme="minorHAnsi"/>
        </w:rPr>
        <w:t xml:space="preserve">trines. </w:t>
      </w:r>
      <w:r w:rsidR="00BE6E32" w:rsidRPr="00B90432">
        <w:rPr>
          <w:rFonts w:asciiTheme="minorHAnsi" w:hAnsiTheme="minorHAnsi"/>
        </w:rPr>
        <w:t>T</w:t>
      </w:r>
      <w:r w:rsidR="00DB042A" w:rsidRPr="00B90432">
        <w:rPr>
          <w:rFonts w:asciiTheme="minorHAnsi" w:hAnsiTheme="minorHAnsi"/>
        </w:rPr>
        <w:t>h</w:t>
      </w:r>
      <w:r w:rsidR="00BE6E32" w:rsidRPr="00B90432">
        <w:rPr>
          <w:rFonts w:asciiTheme="minorHAnsi" w:hAnsiTheme="minorHAnsi"/>
        </w:rPr>
        <w:t xml:space="preserve">e detainees also ate their food in these same spaces </w:t>
      </w:r>
      <w:r w:rsidR="00DB042A" w:rsidRPr="00B90432">
        <w:rPr>
          <w:rFonts w:asciiTheme="minorHAnsi" w:hAnsiTheme="minorHAnsi"/>
        </w:rPr>
        <w:t xml:space="preserve">and could remain there several days awaiting transfer to the respective prison facilities they were assigned to. </w:t>
      </w:r>
      <w:r w:rsidR="00E24ECC" w:rsidRPr="00B90432">
        <w:rPr>
          <w:rFonts w:asciiTheme="minorHAnsi" w:hAnsiTheme="minorHAnsi"/>
        </w:rPr>
        <w:t>In its comments to the draft of this report, the State indicated that regarding infrastructure, acess to healthcare and hygene, it is working on building two new units, with resources from the General Directorate of the Penitentiary System and with assistance from the Program to Support Security and Justice in Guatemala.</w:t>
      </w:r>
      <w:r w:rsidR="00E24ECC" w:rsidRPr="00B90432">
        <w:rPr>
          <w:rStyle w:val="FootnoteReference"/>
          <w:rFonts w:asciiTheme="minorHAnsi" w:hAnsiTheme="minorHAnsi"/>
          <w:sz w:val="22"/>
          <w:szCs w:val="22"/>
        </w:rPr>
        <w:footnoteReference w:id="719"/>
      </w:r>
    </w:p>
    <w:p w14:paraId="430DB909" w14:textId="77777777" w:rsidR="006243A1" w:rsidRPr="00B90432" w:rsidRDefault="00EA0E56" w:rsidP="00B90432">
      <w:pPr>
        <w:pStyle w:val="Numberedparagraphs"/>
        <w:rPr>
          <w:rFonts w:asciiTheme="minorHAnsi" w:hAnsiTheme="minorHAnsi"/>
        </w:rPr>
      </w:pPr>
      <w:r w:rsidRPr="00B90432">
        <w:rPr>
          <w:rFonts w:asciiTheme="minorHAnsi" w:hAnsiTheme="minorHAnsi"/>
        </w:rPr>
        <w:t>T</w:t>
      </w:r>
      <w:r w:rsidR="005A05AD" w:rsidRPr="00B90432">
        <w:rPr>
          <w:rFonts w:asciiTheme="minorHAnsi" w:hAnsiTheme="minorHAnsi"/>
        </w:rPr>
        <w:t xml:space="preserve">he use of </w:t>
      </w:r>
      <w:r w:rsidR="00E615AC" w:rsidRPr="00B90432">
        <w:rPr>
          <w:rFonts w:asciiTheme="minorHAnsi" w:hAnsiTheme="minorHAnsi"/>
        </w:rPr>
        <w:t xml:space="preserve">solitary confinement witnessed </w:t>
      </w:r>
      <w:r w:rsidRPr="00B90432">
        <w:rPr>
          <w:rFonts w:asciiTheme="minorHAnsi" w:hAnsiTheme="minorHAnsi"/>
        </w:rPr>
        <w:t xml:space="preserve">by the Commission </w:t>
      </w:r>
      <w:r w:rsidR="00E615AC" w:rsidRPr="00B90432">
        <w:rPr>
          <w:rFonts w:asciiTheme="minorHAnsi" w:hAnsiTheme="minorHAnsi"/>
        </w:rPr>
        <w:t xml:space="preserve">at the three prison facilities </w:t>
      </w:r>
      <w:r w:rsidRPr="00B90432">
        <w:rPr>
          <w:rFonts w:asciiTheme="minorHAnsi" w:hAnsiTheme="minorHAnsi"/>
        </w:rPr>
        <w:t xml:space="preserve">it </w:t>
      </w:r>
      <w:r w:rsidR="00E615AC" w:rsidRPr="00B90432">
        <w:rPr>
          <w:rFonts w:asciiTheme="minorHAnsi" w:hAnsiTheme="minorHAnsi"/>
        </w:rPr>
        <w:t>visited</w:t>
      </w:r>
      <w:r w:rsidR="00443FB0" w:rsidRPr="00B90432">
        <w:rPr>
          <w:rFonts w:asciiTheme="minorHAnsi" w:hAnsiTheme="minorHAnsi"/>
        </w:rPr>
        <w:t xml:space="preserve"> runs counter</w:t>
      </w:r>
      <w:r w:rsidR="001538A9" w:rsidRPr="00B90432">
        <w:rPr>
          <w:rFonts w:asciiTheme="minorHAnsi" w:hAnsiTheme="minorHAnsi"/>
        </w:rPr>
        <w:t xml:space="preserve"> to interna</w:t>
      </w:r>
      <w:r w:rsidR="00F75B6C" w:rsidRPr="00B90432">
        <w:rPr>
          <w:rFonts w:asciiTheme="minorHAnsi" w:hAnsiTheme="minorHAnsi"/>
        </w:rPr>
        <w:t xml:space="preserve">tional standards, inasmuch </w:t>
      </w:r>
      <w:r w:rsidR="00F75B6C" w:rsidRPr="00B90432">
        <w:rPr>
          <w:rFonts w:asciiTheme="minorHAnsi" w:hAnsiTheme="minorHAnsi"/>
        </w:rPr>
        <w:lastRenderedPageBreak/>
        <w:t xml:space="preserve">as this </w:t>
      </w:r>
      <w:r w:rsidR="001538A9" w:rsidRPr="00B90432">
        <w:rPr>
          <w:rFonts w:asciiTheme="minorHAnsi" w:hAnsiTheme="minorHAnsi"/>
        </w:rPr>
        <w:t>should</w:t>
      </w:r>
      <w:r w:rsidR="00443FB0" w:rsidRPr="00B90432">
        <w:rPr>
          <w:rFonts w:asciiTheme="minorHAnsi" w:hAnsiTheme="minorHAnsi"/>
        </w:rPr>
        <w:t xml:space="preserve"> only </w:t>
      </w:r>
      <w:r w:rsidR="001538A9" w:rsidRPr="00B90432">
        <w:rPr>
          <w:rFonts w:asciiTheme="minorHAnsi" w:hAnsiTheme="minorHAnsi"/>
        </w:rPr>
        <w:t xml:space="preserve">be used </w:t>
      </w:r>
      <w:r w:rsidR="00625D31" w:rsidRPr="00B90432">
        <w:rPr>
          <w:rFonts w:asciiTheme="minorHAnsi" w:hAnsiTheme="minorHAnsi"/>
        </w:rPr>
        <w:t>as a “security measure</w:t>
      </w:r>
      <w:r w:rsidR="00443FB0" w:rsidRPr="00B90432">
        <w:rPr>
          <w:rFonts w:asciiTheme="minorHAnsi" w:hAnsiTheme="minorHAnsi"/>
        </w:rPr>
        <w:t xml:space="preserve">” to protect the integrity of </w:t>
      </w:r>
      <w:r w:rsidR="00E4637F" w:rsidRPr="00B90432">
        <w:rPr>
          <w:rFonts w:asciiTheme="minorHAnsi" w:hAnsiTheme="minorHAnsi"/>
        </w:rPr>
        <w:t xml:space="preserve">detainees </w:t>
      </w:r>
      <w:r w:rsidR="00660FC6" w:rsidRPr="00B90432">
        <w:rPr>
          <w:rFonts w:asciiTheme="minorHAnsi" w:hAnsiTheme="minorHAnsi"/>
        </w:rPr>
        <w:t>or as</w:t>
      </w:r>
      <w:r w:rsidR="00443FB0" w:rsidRPr="00B90432">
        <w:rPr>
          <w:rFonts w:asciiTheme="minorHAnsi" w:hAnsiTheme="minorHAnsi"/>
        </w:rPr>
        <w:t xml:space="preserve"> punishment for misconduct. </w:t>
      </w:r>
      <w:r w:rsidR="00992594" w:rsidRPr="00B90432">
        <w:rPr>
          <w:rFonts w:asciiTheme="minorHAnsi" w:hAnsiTheme="minorHAnsi"/>
        </w:rPr>
        <w:t xml:space="preserve">The IACHR documented the situation </w:t>
      </w:r>
      <w:r w:rsidR="007A0E38" w:rsidRPr="00B90432">
        <w:rPr>
          <w:rFonts w:asciiTheme="minorHAnsi" w:hAnsiTheme="minorHAnsi"/>
        </w:rPr>
        <w:t xml:space="preserve">of 45 individuals who were being held in 8 solitary confinement cells; 28 of them were men, and 17 were women. In general, the group and individual cells </w:t>
      </w:r>
      <w:r w:rsidR="00BC5810" w:rsidRPr="00B90432">
        <w:rPr>
          <w:rFonts w:asciiTheme="minorHAnsi" w:hAnsiTheme="minorHAnsi"/>
        </w:rPr>
        <w:t xml:space="preserve">are characterized by extremely </w:t>
      </w:r>
      <w:r w:rsidR="001F6B09" w:rsidRPr="00B90432">
        <w:rPr>
          <w:rFonts w:asciiTheme="minorHAnsi" w:hAnsiTheme="minorHAnsi"/>
        </w:rPr>
        <w:t xml:space="preserve">cramped </w:t>
      </w:r>
      <w:r w:rsidR="001F4253" w:rsidRPr="00B90432">
        <w:rPr>
          <w:rFonts w:asciiTheme="minorHAnsi" w:hAnsiTheme="minorHAnsi"/>
        </w:rPr>
        <w:t>space, un</w:t>
      </w:r>
      <w:r w:rsidR="00BC5810" w:rsidRPr="00B90432">
        <w:rPr>
          <w:rFonts w:asciiTheme="minorHAnsi" w:hAnsiTheme="minorHAnsi"/>
        </w:rPr>
        <w:t xml:space="preserve">hygienic conditions, </w:t>
      </w:r>
      <w:r w:rsidR="00660FC6" w:rsidRPr="00B90432">
        <w:rPr>
          <w:rFonts w:asciiTheme="minorHAnsi" w:hAnsiTheme="minorHAnsi"/>
        </w:rPr>
        <w:t xml:space="preserve">no </w:t>
      </w:r>
      <w:r w:rsidR="00BC5810" w:rsidRPr="00B90432">
        <w:rPr>
          <w:rFonts w:asciiTheme="minorHAnsi" w:hAnsiTheme="minorHAnsi"/>
        </w:rPr>
        <w:t xml:space="preserve">natural light and </w:t>
      </w:r>
      <w:r w:rsidR="00E2336E" w:rsidRPr="00B90432">
        <w:rPr>
          <w:rFonts w:asciiTheme="minorHAnsi" w:hAnsiTheme="minorHAnsi"/>
        </w:rPr>
        <w:t xml:space="preserve">very </w:t>
      </w:r>
      <w:r w:rsidR="00621419" w:rsidRPr="00B90432">
        <w:rPr>
          <w:rFonts w:asciiTheme="minorHAnsi" w:hAnsiTheme="minorHAnsi"/>
        </w:rPr>
        <w:t>l</w:t>
      </w:r>
      <w:r w:rsidR="00E2336E" w:rsidRPr="00B90432">
        <w:rPr>
          <w:rFonts w:asciiTheme="minorHAnsi" w:hAnsiTheme="minorHAnsi"/>
        </w:rPr>
        <w:t xml:space="preserve">ittle </w:t>
      </w:r>
      <w:r w:rsidR="00621419" w:rsidRPr="00B90432">
        <w:rPr>
          <w:rFonts w:asciiTheme="minorHAnsi" w:hAnsiTheme="minorHAnsi"/>
        </w:rPr>
        <w:t>artificial light</w:t>
      </w:r>
      <w:r w:rsidR="00F235DE" w:rsidRPr="00B90432">
        <w:rPr>
          <w:rFonts w:asciiTheme="minorHAnsi" w:hAnsiTheme="minorHAnsi"/>
        </w:rPr>
        <w:t xml:space="preserve">, inadequate ventilation, and high </w:t>
      </w:r>
      <w:r w:rsidR="00977629" w:rsidRPr="00B90432">
        <w:rPr>
          <w:rFonts w:asciiTheme="minorHAnsi" w:hAnsiTheme="minorHAnsi"/>
        </w:rPr>
        <w:t>temperatures</w:t>
      </w:r>
      <w:r w:rsidR="00DE0A1C" w:rsidRPr="00B90432">
        <w:rPr>
          <w:rFonts w:asciiTheme="minorHAnsi" w:hAnsiTheme="minorHAnsi"/>
        </w:rPr>
        <w:t>. Persons held</w:t>
      </w:r>
      <w:r w:rsidR="00F235DE" w:rsidRPr="00B90432">
        <w:rPr>
          <w:rFonts w:asciiTheme="minorHAnsi" w:hAnsiTheme="minorHAnsi"/>
        </w:rPr>
        <w:t xml:space="preserve"> in solitary confinement </w:t>
      </w:r>
      <w:r w:rsidR="00094E75" w:rsidRPr="00B90432">
        <w:rPr>
          <w:rFonts w:asciiTheme="minorHAnsi" w:hAnsiTheme="minorHAnsi"/>
        </w:rPr>
        <w:t xml:space="preserve">had the right to one hour of </w:t>
      </w:r>
      <w:r w:rsidR="000D0DD3" w:rsidRPr="00B90432">
        <w:rPr>
          <w:rFonts w:asciiTheme="minorHAnsi" w:hAnsiTheme="minorHAnsi"/>
        </w:rPr>
        <w:t xml:space="preserve">exposure to the sun </w:t>
      </w:r>
      <w:r w:rsidR="00094E75" w:rsidRPr="00B90432">
        <w:rPr>
          <w:rFonts w:asciiTheme="minorHAnsi" w:hAnsiTheme="minorHAnsi"/>
        </w:rPr>
        <w:t>per week—and</w:t>
      </w:r>
      <w:r w:rsidR="00E576C0" w:rsidRPr="00B90432">
        <w:rPr>
          <w:rFonts w:asciiTheme="minorHAnsi" w:hAnsiTheme="minorHAnsi"/>
        </w:rPr>
        <w:t>,</w:t>
      </w:r>
      <w:r w:rsidR="00094E75" w:rsidRPr="00B90432">
        <w:rPr>
          <w:rFonts w:asciiTheme="minorHAnsi" w:hAnsiTheme="minorHAnsi"/>
        </w:rPr>
        <w:t xml:space="preserve"> in the best of circumstances, per day—and they were not permitted visits or any contact with family members. </w:t>
      </w:r>
    </w:p>
    <w:p w14:paraId="008074C7" w14:textId="77777777" w:rsidR="006243A1" w:rsidRPr="00B90432" w:rsidRDefault="00543ECD" w:rsidP="00B90432">
      <w:pPr>
        <w:pStyle w:val="Numberedparagraphs"/>
        <w:rPr>
          <w:rFonts w:asciiTheme="minorHAnsi" w:hAnsiTheme="minorHAnsi"/>
        </w:rPr>
      </w:pPr>
      <w:r w:rsidRPr="00B90432">
        <w:rPr>
          <w:rFonts w:asciiTheme="minorHAnsi" w:hAnsiTheme="minorHAnsi"/>
        </w:rPr>
        <w:t xml:space="preserve">The </w:t>
      </w:r>
      <w:r w:rsidR="00977629" w:rsidRPr="00B90432">
        <w:rPr>
          <w:rFonts w:asciiTheme="minorHAnsi" w:hAnsiTheme="minorHAnsi"/>
        </w:rPr>
        <w:t>protracted</w:t>
      </w:r>
      <w:r w:rsidRPr="00B90432">
        <w:rPr>
          <w:rFonts w:asciiTheme="minorHAnsi" w:hAnsiTheme="minorHAnsi"/>
        </w:rPr>
        <w:t xml:space="preserve"> length of time </w:t>
      </w:r>
      <w:r w:rsidR="00822353" w:rsidRPr="00B90432">
        <w:rPr>
          <w:rFonts w:asciiTheme="minorHAnsi" w:hAnsiTheme="minorHAnsi"/>
        </w:rPr>
        <w:t>that th</w:t>
      </w:r>
      <w:r w:rsidR="00DC73D0" w:rsidRPr="00B90432">
        <w:rPr>
          <w:rFonts w:asciiTheme="minorHAnsi" w:hAnsiTheme="minorHAnsi"/>
        </w:rPr>
        <w:t>ese</w:t>
      </w:r>
      <w:r w:rsidR="00822353" w:rsidRPr="00B90432">
        <w:rPr>
          <w:rFonts w:asciiTheme="minorHAnsi" w:hAnsiTheme="minorHAnsi"/>
        </w:rPr>
        <w:t xml:space="preserve"> </w:t>
      </w:r>
      <w:r w:rsidR="004960DA" w:rsidRPr="00B90432">
        <w:rPr>
          <w:rFonts w:asciiTheme="minorHAnsi" w:hAnsiTheme="minorHAnsi"/>
        </w:rPr>
        <w:t xml:space="preserve">exceptional </w:t>
      </w:r>
      <w:r w:rsidR="00822353" w:rsidRPr="00B90432">
        <w:rPr>
          <w:rFonts w:asciiTheme="minorHAnsi" w:hAnsiTheme="minorHAnsi"/>
        </w:rPr>
        <w:t xml:space="preserve">regimes last </w:t>
      </w:r>
      <w:r w:rsidRPr="00B90432">
        <w:rPr>
          <w:rFonts w:asciiTheme="minorHAnsi" w:hAnsiTheme="minorHAnsi"/>
        </w:rPr>
        <w:t xml:space="preserve">is </w:t>
      </w:r>
      <w:r w:rsidR="00977629" w:rsidRPr="00B90432">
        <w:rPr>
          <w:rFonts w:asciiTheme="minorHAnsi" w:hAnsiTheme="minorHAnsi"/>
        </w:rPr>
        <w:t>alarmingly</w:t>
      </w:r>
      <w:r w:rsidR="00822353" w:rsidRPr="00B90432">
        <w:rPr>
          <w:rFonts w:asciiTheme="minorHAnsi" w:hAnsiTheme="minorHAnsi"/>
        </w:rPr>
        <w:t xml:space="preserve"> worrisome </w:t>
      </w:r>
      <w:r w:rsidR="00E15AA8" w:rsidRPr="00B90432">
        <w:rPr>
          <w:rFonts w:asciiTheme="minorHAnsi" w:hAnsiTheme="minorHAnsi"/>
        </w:rPr>
        <w:t>to the IACHR</w:t>
      </w:r>
      <w:r w:rsidR="006243A1" w:rsidRPr="00B90432">
        <w:rPr>
          <w:rFonts w:asciiTheme="minorHAnsi" w:hAnsiTheme="minorHAnsi"/>
        </w:rPr>
        <w:t>.</w:t>
      </w:r>
      <w:r w:rsidR="00481AD3" w:rsidRPr="00B90432">
        <w:rPr>
          <w:rFonts w:asciiTheme="minorHAnsi" w:hAnsiTheme="minorHAnsi"/>
        </w:rPr>
        <w:t xml:space="preserve"> </w:t>
      </w:r>
      <w:r w:rsidR="00C82864" w:rsidRPr="00B90432">
        <w:rPr>
          <w:rFonts w:asciiTheme="minorHAnsi" w:hAnsiTheme="minorHAnsi"/>
        </w:rPr>
        <w:t xml:space="preserve"> Further fueling this concern </w:t>
      </w:r>
      <w:r w:rsidR="009D4381" w:rsidRPr="00B90432">
        <w:rPr>
          <w:rFonts w:asciiTheme="minorHAnsi" w:hAnsiTheme="minorHAnsi"/>
        </w:rPr>
        <w:t xml:space="preserve">is </w:t>
      </w:r>
      <w:r w:rsidR="00A047E0" w:rsidRPr="00B90432">
        <w:rPr>
          <w:rFonts w:asciiTheme="minorHAnsi" w:hAnsiTheme="minorHAnsi"/>
        </w:rPr>
        <w:t xml:space="preserve">the fact </w:t>
      </w:r>
      <w:r w:rsidR="009D4381" w:rsidRPr="00B90432">
        <w:rPr>
          <w:rFonts w:asciiTheme="minorHAnsi" w:hAnsiTheme="minorHAnsi"/>
        </w:rPr>
        <w:t xml:space="preserve">that </w:t>
      </w:r>
      <w:r w:rsidR="00356D4E" w:rsidRPr="00B90432">
        <w:rPr>
          <w:rFonts w:asciiTheme="minorHAnsi" w:hAnsiTheme="minorHAnsi"/>
        </w:rPr>
        <w:t xml:space="preserve">31 </w:t>
      </w:r>
      <w:r w:rsidR="00E15AA8" w:rsidRPr="00B90432">
        <w:rPr>
          <w:rFonts w:asciiTheme="minorHAnsi" w:hAnsiTheme="minorHAnsi"/>
        </w:rPr>
        <w:t>of the 45 persons in solitary confinement</w:t>
      </w:r>
      <w:r w:rsidR="00CF4AD0" w:rsidRPr="00B90432">
        <w:rPr>
          <w:rFonts w:asciiTheme="minorHAnsi" w:hAnsiTheme="minorHAnsi"/>
        </w:rPr>
        <w:t>,</w:t>
      </w:r>
      <w:r w:rsidR="00E15AA8" w:rsidRPr="00B90432">
        <w:rPr>
          <w:rFonts w:asciiTheme="minorHAnsi" w:hAnsiTheme="minorHAnsi"/>
        </w:rPr>
        <w:t xml:space="preserve"> who were interviewed, </w:t>
      </w:r>
      <w:r w:rsidR="00372A2C" w:rsidRPr="00B90432">
        <w:rPr>
          <w:rFonts w:asciiTheme="minorHAnsi" w:hAnsiTheme="minorHAnsi"/>
        </w:rPr>
        <w:t xml:space="preserve">claimed </w:t>
      </w:r>
      <w:r w:rsidR="00196884" w:rsidRPr="00B90432">
        <w:rPr>
          <w:rFonts w:asciiTheme="minorHAnsi" w:hAnsiTheme="minorHAnsi"/>
        </w:rPr>
        <w:t xml:space="preserve">they have been held </w:t>
      </w:r>
      <w:r w:rsidR="00E15AA8" w:rsidRPr="00B90432">
        <w:rPr>
          <w:rFonts w:asciiTheme="minorHAnsi" w:hAnsiTheme="minorHAnsi"/>
        </w:rPr>
        <w:t xml:space="preserve">under this </w:t>
      </w:r>
      <w:r w:rsidR="00956BD1" w:rsidRPr="00B90432">
        <w:rPr>
          <w:rFonts w:asciiTheme="minorHAnsi" w:hAnsiTheme="minorHAnsi"/>
        </w:rPr>
        <w:t xml:space="preserve">regime </w:t>
      </w:r>
      <w:r w:rsidR="00C82864" w:rsidRPr="00B90432">
        <w:rPr>
          <w:rFonts w:asciiTheme="minorHAnsi" w:hAnsiTheme="minorHAnsi"/>
        </w:rPr>
        <w:t>for more than one</w:t>
      </w:r>
      <w:r w:rsidR="00E15AA8" w:rsidRPr="00B90432">
        <w:rPr>
          <w:rFonts w:asciiTheme="minorHAnsi" w:hAnsiTheme="minorHAnsi"/>
        </w:rPr>
        <w:t xml:space="preserve"> year. </w:t>
      </w:r>
      <w:r w:rsidR="00886F51" w:rsidRPr="00B90432">
        <w:rPr>
          <w:rFonts w:asciiTheme="minorHAnsi" w:hAnsiTheme="minorHAnsi"/>
        </w:rPr>
        <w:t xml:space="preserve">The IACHR saw solitary confinement cells on its visit and notes the </w:t>
      </w:r>
      <w:r w:rsidR="00C441B9" w:rsidRPr="00B90432">
        <w:rPr>
          <w:rFonts w:asciiTheme="minorHAnsi" w:hAnsiTheme="minorHAnsi"/>
        </w:rPr>
        <w:t>deplorable conditi</w:t>
      </w:r>
      <w:r w:rsidR="00441CEA" w:rsidRPr="00B90432">
        <w:rPr>
          <w:rFonts w:asciiTheme="minorHAnsi" w:hAnsiTheme="minorHAnsi"/>
        </w:rPr>
        <w:t>ons of one</w:t>
      </w:r>
      <w:r w:rsidR="00C441B9" w:rsidRPr="00B90432">
        <w:rPr>
          <w:rFonts w:asciiTheme="minorHAnsi" w:hAnsiTheme="minorHAnsi"/>
        </w:rPr>
        <w:t xml:space="preserve"> particular cell dubbed</w:t>
      </w:r>
      <w:r w:rsidR="00886F51" w:rsidRPr="00B90432">
        <w:rPr>
          <w:rFonts w:asciiTheme="minorHAnsi" w:hAnsiTheme="minorHAnsi"/>
        </w:rPr>
        <w:t xml:space="preserve"> “Reflexión” [‘Reflection’]</w:t>
      </w:r>
      <w:r w:rsidR="00C441B9" w:rsidRPr="00B90432">
        <w:rPr>
          <w:rFonts w:asciiTheme="minorHAnsi" w:hAnsiTheme="minorHAnsi"/>
        </w:rPr>
        <w:t xml:space="preserve"> at the women’s prison </w:t>
      </w:r>
      <w:r w:rsidR="006243A1" w:rsidRPr="00B90432">
        <w:rPr>
          <w:rFonts w:asciiTheme="minorHAnsi" w:hAnsiTheme="minorHAnsi"/>
        </w:rPr>
        <w:t xml:space="preserve">Centro de Orientación Femenino. </w:t>
      </w:r>
      <w:r w:rsidR="00E641A0" w:rsidRPr="00B90432">
        <w:rPr>
          <w:rFonts w:asciiTheme="minorHAnsi" w:hAnsiTheme="minorHAnsi"/>
        </w:rPr>
        <w:t>In said space,</w:t>
      </w:r>
      <w:r w:rsidR="00243AFE" w:rsidRPr="00B90432">
        <w:rPr>
          <w:rFonts w:asciiTheme="minorHAnsi" w:hAnsiTheme="minorHAnsi"/>
        </w:rPr>
        <w:t xml:space="preserve"> measuring a</w:t>
      </w:r>
      <w:r w:rsidR="00E641A0" w:rsidRPr="00B90432">
        <w:rPr>
          <w:rFonts w:asciiTheme="minorHAnsi" w:hAnsiTheme="minorHAnsi"/>
        </w:rPr>
        <w:t xml:space="preserve"> mere </w:t>
      </w:r>
      <w:r w:rsidR="00C441B9" w:rsidRPr="00B90432">
        <w:rPr>
          <w:rFonts w:asciiTheme="minorHAnsi" w:hAnsiTheme="minorHAnsi"/>
        </w:rPr>
        <w:t>1</w:t>
      </w:r>
      <w:r w:rsidR="00243AFE" w:rsidRPr="00B90432">
        <w:rPr>
          <w:rFonts w:asciiTheme="minorHAnsi" w:hAnsiTheme="minorHAnsi"/>
        </w:rPr>
        <w:t xml:space="preserve"> meter</w:t>
      </w:r>
      <w:r w:rsidR="00E641A0" w:rsidRPr="00B90432">
        <w:rPr>
          <w:rFonts w:asciiTheme="minorHAnsi" w:hAnsiTheme="minorHAnsi"/>
        </w:rPr>
        <w:t xml:space="preserve"> by 2 meter</w:t>
      </w:r>
      <w:r w:rsidR="00243AFE" w:rsidRPr="00B90432">
        <w:rPr>
          <w:rFonts w:asciiTheme="minorHAnsi" w:hAnsiTheme="minorHAnsi"/>
        </w:rPr>
        <w:t>s</w:t>
      </w:r>
      <w:r w:rsidR="00C441B9" w:rsidRPr="00B90432">
        <w:rPr>
          <w:rFonts w:asciiTheme="minorHAnsi" w:hAnsiTheme="minorHAnsi"/>
        </w:rPr>
        <w:t xml:space="preserve">, 5 women </w:t>
      </w:r>
      <w:r w:rsidR="00E5778D" w:rsidRPr="00B90432">
        <w:rPr>
          <w:rFonts w:asciiTheme="minorHAnsi" w:hAnsiTheme="minorHAnsi"/>
        </w:rPr>
        <w:t xml:space="preserve">are </w:t>
      </w:r>
      <w:r w:rsidR="00B049AD" w:rsidRPr="00B90432">
        <w:rPr>
          <w:rFonts w:asciiTheme="minorHAnsi" w:hAnsiTheme="minorHAnsi"/>
        </w:rPr>
        <w:t xml:space="preserve">housed, who in addition to the violations characterizing this type of regime, </w:t>
      </w:r>
      <w:r w:rsidR="00385180" w:rsidRPr="00B90432">
        <w:rPr>
          <w:rFonts w:asciiTheme="minorHAnsi" w:hAnsiTheme="minorHAnsi"/>
        </w:rPr>
        <w:t xml:space="preserve">have </w:t>
      </w:r>
      <w:r w:rsidR="00FD1385" w:rsidRPr="00B90432">
        <w:rPr>
          <w:rFonts w:asciiTheme="minorHAnsi" w:hAnsiTheme="minorHAnsi"/>
        </w:rPr>
        <w:t xml:space="preserve">no </w:t>
      </w:r>
      <w:r w:rsidR="00385180" w:rsidRPr="00B90432">
        <w:rPr>
          <w:rFonts w:asciiTheme="minorHAnsi" w:hAnsiTheme="minorHAnsi"/>
        </w:rPr>
        <w:t xml:space="preserve">access </w:t>
      </w:r>
      <w:r w:rsidR="00A72CD4" w:rsidRPr="00B90432">
        <w:rPr>
          <w:rFonts w:asciiTheme="minorHAnsi" w:hAnsiTheme="minorHAnsi"/>
        </w:rPr>
        <w:t xml:space="preserve">to </w:t>
      </w:r>
      <w:r w:rsidR="000A0373" w:rsidRPr="00B90432">
        <w:rPr>
          <w:rFonts w:asciiTheme="minorHAnsi" w:hAnsiTheme="minorHAnsi"/>
        </w:rPr>
        <w:t>sunshine</w:t>
      </w:r>
      <w:r w:rsidR="00096252" w:rsidRPr="00B90432">
        <w:rPr>
          <w:rFonts w:asciiTheme="minorHAnsi" w:hAnsiTheme="minorHAnsi"/>
        </w:rPr>
        <w:t xml:space="preserve"> and are </w:t>
      </w:r>
      <w:r w:rsidR="00E24BC3" w:rsidRPr="00B90432">
        <w:rPr>
          <w:rFonts w:asciiTheme="minorHAnsi" w:hAnsiTheme="minorHAnsi"/>
        </w:rPr>
        <w:t xml:space="preserve">forced </w:t>
      </w:r>
      <w:r w:rsidR="00096252" w:rsidRPr="00B90432">
        <w:rPr>
          <w:rFonts w:asciiTheme="minorHAnsi" w:hAnsiTheme="minorHAnsi"/>
        </w:rPr>
        <w:t xml:space="preserve">to sleep in a seated position. Two of these women </w:t>
      </w:r>
      <w:r w:rsidR="009840C0" w:rsidRPr="00B90432">
        <w:rPr>
          <w:rFonts w:asciiTheme="minorHAnsi" w:hAnsiTheme="minorHAnsi"/>
        </w:rPr>
        <w:t xml:space="preserve">have reportedly been held in these conditions for more than one year. </w:t>
      </w:r>
      <w:r w:rsidR="00295202" w:rsidRPr="00B90432">
        <w:rPr>
          <w:rFonts w:asciiTheme="minorHAnsi" w:hAnsiTheme="minorHAnsi"/>
        </w:rPr>
        <w:t xml:space="preserve">Considering the frequency and extended periods of time </w:t>
      </w:r>
      <w:r w:rsidR="00976EC8" w:rsidRPr="00B90432">
        <w:rPr>
          <w:rFonts w:asciiTheme="minorHAnsi" w:hAnsiTheme="minorHAnsi"/>
        </w:rPr>
        <w:t xml:space="preserve">for which </w:t>
      </w:r>
      <w:r w:rsidR="00295202" w:rsidRPr="00B90432">
        <w:rPr>
          <w:rFonts w:asciiTheme="minorHAnsi" w:hAnsiTheme="minorHAnsi"/>
        </w:rPr>
        <w:t>this type of regime is us</w:t>
      </w:r>
      <w:r w:rsidR="00976EC8" w:rsidRPr="00B90432">
        <w:rPr>
          <w:rFonts w:asciiTheme="minorHAnsi" w:hAnsiTheme="minorHAnsi"/>
        </w:rPr>
        <w:t xml:space="preserve">ed, the IACHR recalls that indefinite, unnecessary or prolonged application of the regime of solitary confinement </w:t>
      </w:r>
      <w:r w:rsidR="0074584F" w:rsidRPr="00B90432">
        <w:rPr>
          <w:rFonts w:asciiTheme="minorHAnsi" w:hAnsiTheme="minorHAnsi"/>
        </w:rPr>
        <w:t>constitutes torture or cruel, inhuman or degrading treatment.</w:t>
      </w:r>
      <w:r w:rsidR="006243A1" w:rsidRPr="00B90432">
        <w:rPr>
          <w:rFonts w:asciiTheme="minorHAnsi" w:hAnsiTheme="minorHAnsi"/>
          <w:vertAlign w:val="superscript"/>
        </w:rPr>
        <w:footnoteReference w:id="720"/>
      </w:r>
      <w:r w:rsidR="006B3737" w:rsidRPr="00B90432">
        <w:rPr>
          <w:rFonts w:asciiTheme="minorHAnsi" w:hAnsiTheme="minorHAnsi"/>
        </w:rPr>
        <w:t xml:space="preserve"> Consequently, the IACHR urges the State to use the regime of solitary confinement as an exception, for as short a time as </w:t>
      </w:r>
      <w:r w:rsidR="00977629" w:rsidRPr="00B90432">
        <w:rPr>
          <w:rFonts w:asciiTheme="minorHAnsi" w:hAnsiTheme="minorHAnsi"/>
        </w:rPr>
        <w:t>possible</w:t>
      </w:r>
      <w:r w:rsidR="006B3737" w:rsidRPr="00B90432">
        <w:rPr>
          <w:rFonts w:asciiTheme="minorHAnsi" w:hAnsiTheme="minorHAnsi"/>
        </w:rPr>
        <w:t>, and only as a last resort.</w:t>
      </w:r>
      <w:r w:rsidR="006243A1" w:rsidRPr="00B90432">
        <w:rPr>
          <w:rFonts w:asciiTheme="minorHAnsi" w:hAnsiTheme="minorHAnsi"/>
          <w:vertAlign w:val="superscript"/>
        </w:rPr>
        <w:footnoteReference w:id="721"/>
      </w:r>
      <w:r w:rsidR="00877E38" w:rsidRPr="00B90432">
        <w:rPr>
          <w:rFonts w:asciiTheme="minorHAnsi" w:hAnsiTheme="minorHAnsi"/>
        </w:rPr>
        <w:t xml:space="preserve"> </w:t>
      </w:r>
      <w:r w:rsidR="007B5EE9" w:rsidRPr="00B90432">
        <w:rPr>
          <w:rFonts w:asciiTheme="minorHAnsi" w:hAnsiTheme="minorHAnsi"/>
        </w:rPr>
        <w:t xml:space="preserve">Additionally, it reiterates that solitary confinement orders should be </w:t>
      </w:r>
      <w:r w:rsidR="007B5EE9" w:rsidRPr="00B90432">
        <w:rPr>
          <w:rFonts w:asciiTheme="minorHAnsi" w:hAnsiTheme="minorHAnsi"/>
        </w:rPr>
        <w:lastRenderedPageBreak/>
        <w:t>authorized by a competent authority</w:t>
      </w:r>
      <w:r w:rsidR="006243A1" w:rsidRPr="00B90432">
        <w:rPr>
          <w:rFonts w:asciiTheme="minorHAnsi" w:hAnsiTheme="minorHAnsi"/>
          <w:vertAlign w:val="superscript"/>
        </w:rPr>
        <w:footnoteReference w:id="722"/>
      </w:r>
      <w:r w:rsidR="006243A1" w:rsidRPr="00B90432">
        <w:rPr>
          <w:rFonts w:asciiTheme="minorHAnsi" w:hAnsiTheme="minorHAnsi"/>
        </w:rPr>
        <w:t xml:space="preserve"> </w:t>
      </w:r>
      <w:r w:rsidR="00EF4084" w:rsidRPr="00B90432">
        <w:rPr>
          <w:rFonts w:asciiTheme="minorHAnsi" w:hAnsiTheme="minorHAnsi"/>
        </w:rPr>
        <w:t>and subjected to independent review.</w:t>
      </w:r>
      <w:r w:rsidR="006243A1" w:rsidRPr="00B90432">
        <w:rPr>
          <w:rFonts w:asciiTheme="minorHAnsi" w:hAnsiTheme="minorHAnsi"/>
          <w:vertAlign w:val="superscript"/>
        </w:rPr>
        <w:footnoteReference w:id="723"/>
      </w:r>
    </w:p>
    <w:p w14:paraId="5B0C95FC" w14:textId="0B7205DF" w:rsidR="006243A1" w:rsidRPr="00B90432" w:rsidRDefault="00EF4084" w:rsidP="00931BA7">
      <w:pPr>
        <w:pStyle w:val="Heading3"/>
      </w:pPr>
      <w:bookmarkStart w:id="93" w:name="_Toc509827695"/>
      <w:r w:rsidRPr="00B90432">
        <w:t xml:space="preserve">Acts of </w:t>
      </w:r>
      <w:r w:rsidR="00931BA7" w:rsidRPr="00B90432">
        <w:t xml:space="preserve">Violence Occurring </w:t>
      </w:r>
      <w:r w:rsidRPr="00B90432">
        <w:t xml:space="preserve">at </w:t>
      </w:r>
      <w:r w:rsidR="00931BA7" w:rsidRPr="00B90432">
        <w:t>Prison Facilities</w:t>
      </w:r>
      <w:bookmarkEnd w:id="93"/>
      <w:r w:rsidR="00931BA7" w:rsidRPr="00B90432">
        <w:t xml:space="preserve"> </w:t>
      </w:r>
    </w:p>
    <w:p w14:paraId="0CE2DE63" w14:textId="77777777" w:rsidR="006243A1" w:rsidRPr="00B90432" w:rsidRDefault="00120EE8" w:rsidP="00B90432">
      <w:pPr>
        <w:pStyle w:val="Numberedparagraphs"/>
        <w:rPr>
          <w:rFonts w:asciiTheme="minorHAnsi" w:hAnsiTheme="minorHAnsi"/>
        </w:rPr>
      </w:pPr>
      <w:r w:rsidRPr="00B90432">
        <w:rPr>
          <w:rFonts w:asciiTheme="minorHAnsi" w:hAnsiTheme="minorHAnsi"/>
        </w:rPr>
        <w:t xml:space="preserve">Over the past years, the IACHR has received information on </w:t>
      </w:r>
      <w:r w:rsidR="001904F4" w:rsidRPr="00B90432">
        <w:rPr>
          <w:rFonts w:asciiTheme="minorHAnsi" w:hAnsiTheme="minorHAnsi"/>
        </w:rPr>
        <w:t xml:space="preserve">the persistent </w:t>
      </w:r>
      <w:r w:rsidRPr="00B90432">
        <w:rPr>
          <w:rFonts w:asciiTheme="minorHAnsi" w:hAnsiTheme="minorHAnsi"/>
        </w:rPr>
        <w:t xml:space="preserve">high incidence of violence at prison facilities stemming from conflicts between </w:t>
      </w:r>
      <w:r w:rsidR="00E809A2" w:rsidRPr="00B90432">
        <w:rPr>
          <w:rFonts w:asciiTheme="minorHAnsi" w:hAnsiTheme="minorHAnsi"/>
        </w:rPr>
        <w:t xml:space="preserve">rival </w:t>
      </w:r>
      <w:r w:rsidRPr="00B90432">
        <w:rPr>
          <w:rFonts w:asciiTheme="minorHAnsi" w:hAnsiTheme="minorHAnsi"/>
        </w:rPr>
        <w:t xml:space="preserve">groups of </w:t>
      </w:r>
      <w:r w:rsidR="00A82941" w:rsidRPr="00B90432">
        <w:rPr>
          <w:rFonts w:asciiTheme="minorHAnsi" w:hAnsiTheme="minorHAnsi"/>
        </w:rPr>
        <w:t>inmates</w:t>
      </w:r>
      <w:r w:rsidRPr="00B90432">
        <w:rPr>
          <w:rFonts w:asciiTheme="minorHAnsi" w:hAnsiTheme="minorHAnsi"/>
        </w:rPr>
        <w:t xml:space="preserve"> and from a lack of effective control by authorities over </w:t>
      </w:r>
      <w:r w:rsidR="00E809A2" w:rsidRPr="00B90432">
        <w:rPr>
          <w:rFonts w:asciiTheme="minorHAnsi" w:hAnsiTheme="minorHAnsi"/>
        </w:rPr>
        <w:t xml:space="preserve">what goes on </w:t>
      </w:r>
      <w:r w:rsidR="007020E1" w:rsidRPr="00B90432">
        <w:rPr>
          <w:rFonts w:asciiTheme="minorHAnsi" w:hAnsiTheme="minorHAnsi"/>
        </w:rPr>
        <w:t>in</w:t>
      </w:r>
      <w:r w:rsidR="006C24BE" w:rsidRPr="00B90432">
        <w:rPr>
          <w:rFonts w:asciiTheme="minorHAnsi" w:hAnsiTheme="minorHAnsi"/>
        </w:rPr>
        <w:t xml:space="preserve">side these incarceration facilities. </w:t>
      </w:r>
      <w:r w:rsidR="00E74E9E" w:rsidRPr="00B90432">
        <w:rPr>
          <w:rFonts w:asciiTheme="minorHAnsi" w:hAnsiTheme="minorHAnsi"/>
        </w:rPr>
        <w:t>In particular, the IACHR notes that since 2015, there has been a notable</w:t>
      </w:r>
      <w:r w:rsidR="007020E1" w:rsidRPr="00B90432">
        <w:rPr>
          <w:rFonts w:asciiTheme="minorHAnsi" w:hAnsiTheme="minorHAnsi"/>
        </w:rPr>
        <w:t xml:space="preserve"> increas</w:t>
      </w:r>
      <w:r w:rsidR="00E74E9E" w:rsidRPr="00B90432">
        <w:rPr>
          <w:rFonts w:asciiTheme="minorHAnsi" w:hAnsiTheme="minorHAnsi"/>
        </w:rPr>
        <w:t>e in deaths from violent causes at prison facilities.</w:t>
      </w:r>
      <w:r w:rsidR="00784736" w:rsidRPr="00B90432">
        <w:rPr>
          <w:rFonts w:asciiTheme="minorHAnsi" w:hAnsiTheme="minorHAnsi"/>
        </w:rPr>
        <w:t xml:space="preserve"> </w:t>
      </w:r>
      <w:r w:rsidR="00A267D7" w:rsidRPr="00B90432">
        <w:rPr>
          <w:rFonts w:asciiTheme="minorHAnsi" w:hAnsiTheme="minorHAnsi"/>
        </w:rPr>
        <w:t>On this score</w:t>
      </w:r>
      <w:r w:rsidR="00784736" w:rsidRPr="00B90432">
        <w:rPr>
          <w:rFonts w:asciiTheme="minorHAnsi" w:hAnsiTheme="minorHAnsi"/>
        </w:rPr>
        <w:t xml:space="preserve">, the General </w:t>
      </w:r>
      <w:r w:rsidR="002004AD" w:rsidRPr="00B90432">
        <w:rPr>
          <w:rFonts w:asciiTheme="minorHAnsi" w:hAnsiTheme="minorHAnsi"/>
        </w:rPr>
        <w:t xml:space="preserve">Directorate </w:t>
      </w:r>
      <w:r w:rsidR="00784736" w:rsidRPr="00B90432">
        <w:rPr>
          <w:rFonts w:asciiTheme="minorHAnsi" w:hAnsiTheme="minorHAnsi"/>
        </w:rPr>
        <w:t xml:space="preserve">of the Penitentiary System reports that </w:t>
      </w:r>
      <w:r w:rsidR="0049353A" w:rsidRPr="00B90432">
        <w:rPr>
          <w:rFonts w:asciiTheme="minorHAnsi" w:hAnsiTheme="minorHAnsi"/>
        </w:rPr>
        <w:t>in 2015 and 2016,</w:t>
      </w:r>
      <w:r w:rsidR="00E97BB7" w:rsidRPr="00B90432">
        <w:rPr>
          <w:rFonts w:asciiTheme="minorHAnsi" w:hAnsiTheme="minorHAnsi"/>
        </w:rPr>
        <w:t xml:space="preserve">  respectively,</w:t>
      </w:r>
      <w:r w:rsidR="0049353A" w:rsidRPr="00B90432">
        <w:rPr>
          <w:rFonts w:asciiTheme="minorHAnsi" w:hAnsiTheme="minorHAnsi"/>
        </w:rPr>
        <w:t xml:space="preserve"> the number of </w:t>
      </w:r>
      <w:r w:rsidR="00977629" w:rsidRPr="00B90432">
        <w:rPr>
          <w:rFonts w:asciiTheme="minorHAnsi" w:hAnsiTheme="minorHAnsi"/>
        </w:rPr>
        <w:t>violent</w:t>
      </w:r>
      <w:r w:rsidR="0049353A" w:rsidRPr="00B90432">
        <w:rPr>
          <w:rFonts w:asciiTheme="minorHAnsi" w:hAnsiTheme="minorHAnsi"/>
        </w:rPr>
        <w:t xml:space="preserve"> deaths </w:t>
      </w:r>
      <w:r w:rsidR="00E97BB7" w:rsidRPr="00B90432">
        <w:rPr>
          <w:rFonts w:asciiTheme="minorHAnsi" w:hAnsiTheme="minorHAnsi"/>
        </w:rPr>
        <w:t xml:space="preserve">totaled </w:t>
      </w:r>
      <w:r w:rsidR="006243A1" w:rsidRPr="00B90432">
        <w:rPr>
          <w:rFonts w:asciiTheme="minorHAnsi" w:hAnsiTheme="minorHAnsi"/>
        </w:rPr>
        <w:t>59</w:t>
      </w:r>
      <w:r w:rsidR="006243A1" w:rsidRPr="00B90432">
        <w:rPr>
          <w:rFonts w:asciiTheme="minorHAnsi" w:hAnsiTheme="minorHAnsi"/>
          <w:vertAlign w:val="superscript"/>
        </w:rPr>
        <w:footnoteReference w:id="724"/>
      </w:r>
      <w:r w:rsidR="0049353A" w:rsidRPr="00B90432">
        <w:rPr>
          <w:rFonts w:asciiTheme="minorHAnsi" w:hAnsiTheme="minorHAnsi"/>
        </w:rPr>
        <w:t xml:space="preserve"> and</w:t>
      </w:r>
      <w:r w:rsidR="006243A1" w:rsidRPr="00B90432">
        <w:rPr>
          <w:rFonts w:asciiTheme="minorHAnsi" w:hAnsiTheme="minorHAnsi"/>
        </w:rPr>
        <w:t xml:space="preserve"> 57</w:t>
      </w:r>
      <w:r w:rsidR="0049353A" w:rsidRPr="00B90432">
        <w:rPr>
          <w:rFonts w:asciiTheme="minorHAnsi" w:hAnsiTheme="minorHAnsi"/>
        </w:rPr>
        <w:t>;</w:t>
      </w:r>
      <w:r w:rsidR="006243A1" w:rsidRPr="00B90432">
        <w:rPr>
          <w:rFonts w:asciiTheme="minorHAnsi" w:hAnsiTheme="minorHAnsi"/>
          <w:vertAlign w:val="superscript"/>
        </w:rPr>
        <w:footnoteReference w:id="725"/>
      </w:r>
      <w:r w:rsidR="00B91BBA" w:rsidRPr="00B90432">
        <w:rPr>
          <w:rFonts w:asciiTheme="minorHAnsi" w:hAnsiTheme="minorHAnsi"/>
        </w:rPr>
        <w:t xml:space="preserve"> while during the period of</w:t>
      </w:r>
      <w:r w:rsidR="0049353A" w:rsidRPr="00B90432">
        <w:rPr>
          <w:rFonts w:asciiTheme="minorHAnsi" w:hAnsiTheme="minorHAnsi"/>
        </w:rPr>
        <w:t xml:space="preserve"> 2010 to 2014, a total of 23 violent deaths were reported. </w:t>
      </w:r>
      <w:r w:rsidR="006243A1" w:rsidRPr="00B90432">
        <w:rPr>
          <w:rFonts w:asciiTheme="minorHAnsi" w:hAnsiTheme="minorHAnsi"/>
        </w:rPr>
        <w:t xml:space="preserve"> </w:t>
      </w:r>
    </w:p>
    <w:p w14:paraId="767A21E0" w14:textId="35B8503B" w:rsidR="006243A1" w:rsidRPr="00B90432" w:rsidRDefault="003F71EA" w:rsidP="00B90432">
      <w:pPr>
        <w:pStyle w:val="Numberedparagraphs"/>
        <w:rPr>
          <w:rFonts w:asciiTheme="minorHAnsi" w:hAnsiTheme="minorHAnsi"/>
        </w:rPr>
      </w:pPr>
      <w:r w:rsidRPr="00B90432">
        <w:rPr>
          <w:rFonts w:asciiTheme="minorHAnsi" w:hAnsiTheme="minorHAnsi"/>
        </w:rPr>
        <w:t xml:space="preserve">The IACHR expressed its concern over the acts of violence, which occurred on July 18, 2016, at the Pavón Prison Farm, which is located 17 kilometers </w:t>
      </w:r>
      <w:r w:rsidR="00BA7419" w:rsidRPr="00B90432">
        <w:rPr>
          <w:rFonts w:asciiTheme="minorHAnsi" w:hAnsiTheme="minorHAnsi"/>
        </w:rPr>
        <w:t xml:space="preserve">outside of </w:t>
      </w:r>
      <w:r w:rsidRPr="00B90432">
        <w:rPr>
          <w:rFonts w:asciiTheme="minorHAnsi" w:hAnsiTheme="minorHAnsi"/>
        </w:rPr>
        <w:t xml:space="preserve">Guatemala City. </w:t>
      </w:r>
      <w:r w:rsidR="00EB53D1" w:rsidRPr="00B90432">
        <w:rPr>
          <w:rFonts w:asciiTheme="minorHAnsi" w:hAnsiTheme="minorHAnsi"/>
        </w:rPr>
        <w:t xml:space="preserve">In this regard, </w:t>
      </w:r>
      <w:r w:rsidR="00BA2BEF" w:rsidRPr="00B90432">
        <w:rPr>
          <w:rFonts w:asciiTheme="minorHAnsi" w:hAnsiTheme="minorHAnsi"/>
        </w:rPr>
        <w:t>it noted that a riot broke ou</w:t>
      </w:r>
      <w:r w:rsidR="00534036" w:rsidRPr="00B90432">
        <w:rPr>
          <w:rFonts w:asciiTheme="minorHAnsi" w:hAnsiTheme="minorHAnsi"/>
        </w:rPr>
        <w:t xml:space="preserve">t, as a consequence of a confrontation between rival groups, </w:t>
      </w:r>
      <w:r w:rsidR="007A0335" w:rsidRPr="00B90432">
        <w:rPr>
          <w:rFonts w:asciiTheme="minorHAnsi" w:hAnsiTheme="minorHAnsi"/>
        </w:rPr>
        <w:t>leaving 14 individuals dead and</w:t>
      </w:r>
      <w:r w:rsidR="0085619C" w:rsidRPr="00B90432">
        <w:rPr>
          <w:rFonts w:asciiTheme="minorHAnsi" w:hAnsiTheme="minorHAnsi"/>
        </w:rPr>
        <w:t xml:space="preserve"> 10 people injured.</w:t>
      </w:r>
      <w:r w:rsidR="006243A1" w:rsidRPr="00B90432">
        <w:rPr>
          <w:rFonts w:asciiTheme="minorHAnsi" w:hAnsiTheme="minorHAnsi"/>
          <w:vertAlign w:val="superscript"/>
        </w:rPr>
        <w:footnoteReference w:id="726"/>
      </w:r>
      <w:r w:rsidR="00D52B61" w:rsidRPr="00B90432">
        <w:rPr>
          <w:rFonts w:asciiTheme="minorHAnsi" w:hAnsiTheme="minorHAnsi"/>
        </w:rPr>
        <w:t xml:space="preserve"> T</w:t>
      </w:r>
      <w:r w:rsidR="0078648A" w:rsidRPr="00B90432">
        <w:rPr>
          <w:rFonts w:asciiTheme="minorHAnsi" w:hAnsiTheme="minorHAnsi"/>
        </w:rPr>
        <w:t xml:space="preserve">he IACHR has </w:t>
      </w:r>
      <w:r w:rsidR="00E32AC4" w:rsidRPr="00B90432">
        <w:rPr>
          <w:rFonts w:asciiTheme="minorHAnsi" w:hAnsiTheme="minorHAnsi"/>
        </w:rPr>
        <w:t xml:space="preserve">also </w:t>
      </w:r>
      <w:r w:rsidR="0078648A" w:rsidRPr="00B90432">
        <w:rPr>
          <w:rFonts w:asciiTheme="minorHAnsi" w:hAnsiTheme="minorHAnsi"/>
        </w:rPr>
        <w:t xml:space="preserve">spoken out about the acts of violence which took place from late 2015 to early 2016 at the Canada Prison </w:t>
      </w:r>
      <w:r w:rsidR="00035651" w:rsidRPr="00B90432">
        <w:rPr>
          <w:rFonts w:asciiTheme="minorHAnsi" w:hAnsiTheme="minorHAnsi"/>
        </w:rPr>
        <w:t xml:space="preserve">Unit </w:t>
      </w:r>
      <w:r w:rsidR="0078648A" w:rsidRPr="00B90432">
        <w:rPr>
          <w:rFonts w:asciiTheme="minorHAnsi" w:hAnsiTheme="minorHAnsi"/>
        </w:rPr>
        <w:t xml:space="preserve">and </w:t>
      </w:r>
      <w:r w:rsidR="006243A1" w:rsidRPr="00B90432">
        <w:rPr>
          <w:rFonts w:asciiTheme="minorHAnsi" w:hAnsiTheme="minorHAnsi"/>
        </w:rPr>
        <w:t>Puerto Barrios</w:t>
      </w:r>
      <w:r w:rsidR="0078648A" w:rsidRPr="00B90432">
        <w:rPr>
          <w:rFonts w:asciiTheme="minorHAnsi" w:hAnsiTheme="minorHAnsi"/>
        </w:rPr>
        <w:t xml:space="preserve"> prison</w:t>
      </w:r>
      <w:r w:rsidR="006243A1" w:rsidRPr="00B90432">
        <w:rPr>
          <w:rFonts w:asciiTheme="minorHAnsi" w:hAnsiTheme="minorHAnsi"/>
        </w:rPr>
        <w:t>,</w:t>
      </w:r>
      <w:r w:rsidR="0078648A" w:rsidRPr="00B90432">
        <w:rPr>
          <w:rFonts w:asciiTheme="minorHAnsi" w:hAnsiTheme="minorHAnsi"/>
        </w:rPr>
        <w:t xml:space="preserve"> located in the</w:t>
      </w:r>
      <w:r w:rsidR="002B08F2" w:rsidRPr="00B90432">
        <w:rPr>
          <w:rFonts w:asciiTheme="minorHAnsi" w:hAnsiTheme="minorHAnsi"/>
        </w:rPr>
        <w:t xml:space="preserve"> province of </w:t>
      </w:r>
      <w:r w:rsidR="006243A1" w:rsidRPr="00B90432">
        <w:rPr>
          <w:rFonts w:asciiTheme="minorHAnsi" w:hAnsiTheme="minorHAnsi"/>
        </w:rPr>
        <w:t xml:space="preserve">Escuintla </w:t>
      </w:r>
      <w:r w:rsidR="00B329AF" w:rsidRPr="00B90432">
        <w:rPr>
          <w:rFonts w:asciiTheme="minorHAnsi" w:hAnsiTheme="minorHAnsi"/>
        </w:rPr>
        <w:t xml:space="preserve">and </w:t>
      </w:r>
      <w:r w:rsidR="002F52CC" w:rsidRPr="00B90432">
        <w:rPr>
          <w:rFonts w:asciiTheme="minorHAnsi" w:hAnsiTheme="minorHAnsi"/>
        </w:rPr>
        <w:t xml:space="preserve">in the Department of </w:t>
      </w:r>
      <w:r w:rsidR="006243A1" w:rsidRPr="00B90432">
        <w:rPr>
          <w:rFonts w:asciiTheme="minorHAnsi" w:hAnsiTheme="minorHAnsi"/>
        </w:rPr>
        <w:t xml:space="preserve">Izabal, </w:t>
      </w:r>
      <w:r w:rsidR="00B329AF" w:rsidRPr="00B90432">
        <w:rPr>
          <w:rFonts w:asciiTheme="minorHAnsi" w:hAnsiTheme="minorHAnsi"/>
        </w:rPr>
        <w:t xml:space="preserve">respectively, </w:t>
      </w:r>
      <w:r w:rsidR="00C6229B" w:rsidRPr="00B90432">
        <w:rPr>
          <w:rFonts w:asciiTheme="minorHAnsi" w:hAnsiTheme="minorHAnsi"/>
        </w:rPr>
        <w:t>where a total of 24 people lost their lives</w:t>
      </w:r>
      <w:r w:rsidR="00B329AF" w:rsidRPr="00B90432">
        <w:rPr>
          <w:rFonts w:asciiTheme="minorHAnsi" w:hAnsiTheme="minorHAnsi"/>
        </w:rPr>
        <w:t>.</w:t>
      </w:r>
      <w:r w:rsidR="006243A1" w:rsidRPr="00B90432">
        <w:rPr>
          <w:rFonts w:asciiTheme="minorHAnsi" w:hAnsiTheme="minorHAnsi"/>
          <w:vertAlign w:val="superscript"/>
        </w:rPr>
        <w:footnoteReference w:id="727"/>
      </w:r>
    </w:p>
    <w:p w14:paraId="46728B21" w14:textId="77777777" w:rsidR="006243A1" w:rsidRPr="00B90432" w:rsidRDefault="00C24D88" w:rsidP="00B90432">
      <w:pPr>
        <w:pStyle w:val="Numberedparagraphs"/>
        <w:rPr>
          <w:rFonts w:asciiTheme="minorHAnsi" w:hAnsiTheme="minorHAnsi"/>
        </w:rPr>
      </w:pPr>
      <w:r w:rsidRPr="00B90432">
        <w:rPr>
          <w:rFonts w:asciiTheme="minorHAnsi" w:hAnsiTheme="minorHAnsi"/>
        </w:rPr>
        <w:lastRenderedPageBreak/>
        <w:t xml:space="preserve">In this context, the Commission has voiced condemnation of this type of incident, and has urged the Guatemalan State to investigate and get to bottom of the </w:t>
      </w:r>
      <w:r w:rsidR="00977629" w:rsidRPr="00B90432">
        <w:rPr>
          <w:rFonts w:asciiTheme="minorHAnsi" w:hAnsiTheme="minorHAnsi"/>
        </w:rPr>
        <w:t>circumstances</w:t>
      </w:r>
      <w:r w:rsidRPr="00B90432">
        <w:rPr>
          <w:rFonts w:asciiTheme="minorHAnsi" w:hAnsiTheme="minorHAnsi"/>
        </w:rPr>
        <w:t xml:space="preserve"> in which</w:t>
      </w:r>
      <w:r w:rsidR="001B4136" w:rsidRPr="00B90432">
        <w:rPr>
          <w:rFonts w:asciiTheme="minorHAnsi" w:hAnsiTheme="minorHAnsi"/>
        </w:rPr>
        <w:t xml:space="preserve"> it to</w:t>
      </w:r>
      <w:r w:rsidR="00063AA3" w:rsidRPr="00B90432">
        <w:rPr>
          <w:rFonts w:asciiTheme="minorHAnsi" w:hAnsiTheme="minorHAnsi"/>
        </w:rPr>
        <w:t>ok place and, when possible</w:t>
      </w:r>
      <w:r w:rsidRPr="00B90432">
        <w:rPr>
          <w:rFonts w:asciiTheme="minorHAnsi" w:hAnsiTheme="minorHAnsi"/>
        </w:rPr>
        <w:t xml:space="preserve">, identify and punish those </w:t>
      </w:r>
      <w:r w:rsidR="00977629" w:rsidRPr="00B90432">
        <w:rPr>
          <w:rFonts w:asciiTheme="minorHAnsi" w:hAnsiTheme="minorHAnsi"/>
        </w:rPr>
        <w:t>responsible</w:t>
      </w:r>
      <w:r w:rsidRPr="00B90432">
        <w:rPr>
          <w:rFonts w:asciiTheme="minorHAnsi" w:hAnsiTheme="minorHAnsi"/>
        </w:rPr>
        <w:t>.</w:t>
      </w:r>
      <w:r w:rsidR="006243A1" w:rsidRPr="00B90432">
        <w:rPr>
          <w:rFonts w:asciiTheme="minorHAnsi" w:hAnsiTheme="minorHAnsi"/>
          <w:vertAlign w:val="superscript"/>
        </w:rPr>
        <w:footnoteReference w:id="728"/>
      </w:r>
      <w:r w:rsidR="00CF233B" w:rsidRPr="00B90432">
        <w:rPr>
          <w:rFonts w:asciiTheme="minorHAnsi" w:hAnsiTheme="minorHAnsi"/>
        </w:rPr>
        <w:t xml:space="preserve"> </w:t>
      </w:r>
      <w:r w:rsidR="00931ECE" w:rsidRPr="00B90432">
        <w:rPr>
          <w:rFonts w:asciiTheme="minorHAnsi" w:hAnsiTheme="minorHAnsi"/>
        </w:rPr>
        <w:t>The IACHR has also calle</w:t>
      </w:r>
      <w:r w:rsidR="00136390" w:rsidRPr="00B90432">
        <w:rPr>
          <w:rFonts w:asciiTheme="minorHAnsi" w:hAnsiTheme="minorHAnsi"/>
        </w:rPr>
        <w:t xml:space="preserve">d </w:t>
      </w:r>
      <w:r w:rsidR="00931ECE" w:rsidRPr="00B90432">
        <w:rPr>
          <w:rFonts w:asciiTheme="minorHAnsi" w:hAnsiTheme="minorHAnsi"/>
        </w:rPr>
        <w:t>on the State to take concrete measures</w:t>
      </w:r>
      <w:r w:rsidR="00315F04" w:rsidRPr="00B90432">
        <w:rPr>
          <w:rFonts w:asciiTheme="minorHAnsi" w:hAnsiTheme="minorHAnsi"/>
        </w:rPr>
        <w:t>,</w:t>
      </w:r>
      <w:r w:rsidR="00931ECE" w:rsidRPr="00B90432">
        <w:rPr>
          <w:rFonts w:asciiTheme="minorHAnsi" w:hAnsiTheme="minorHAnsi"/>
        </w:rPr>
        <w:t xml:space="preserve"> such as disarming inmates and </w:t>
      </w:r>
      <w:r w:rsidR="007F1F2C" w:rsidRPr="00B90432">
        <w:rPr>
          <w:rFonts w:asciiTheme="minorHAnsi" w:hAnsiTheme="minorHAnsi"/>
        </w:rPr>
        <w:t xml:space="preserve">gaining </w:t>
      </w:r>
      <w:r w:rsidR="00931ECE" w:rsidRPr="00B90432">
        <w:rPr>
          <w:rFonts w:asciiTheme="minorHAnsi" w:hAnsiTheme="minorHAnsi"/>
        </w:rPr>
        <w:t xml:space="preserve">effective control </w:t>
      </w:r>
      <w:r w:rsidR="00315F04" w:rsidRPr="00B90432">
        <w:rPr>
          <w:rFonts w:asciiTheme="minorHAnsi" w:hAnsiTheme="minorHAnsi"/>
        </w:rPr>
        <w:t xml:space="preserve">inside prisons </w:t>
      </w:r>
      <w:r w:rsidR="00931ECE" w:rsidRPr="00B90432">
        <w:rPr>
          <w:rFonts w:asciiTheme="minorHAnsi" w:hAnsiTheme="minorHAnsi"/>
        </w:rPr>
        <w:t xml:space="preserve">to prevent the entry of firearms and other </w:t>
      </w:r>
      <w:r w:rsidR="00977629" w:rsidRPr="00B90432">
        <w:rPr>
          <w:rFonts w:asciiTheme="minorHAnsi" w:hAnsiTheme="minorHAnsi"/>
        </w:rPr>
        <w:t>illegal</w:t>
      </w:r>
      <w:r w:rsidR="00931ECE" w:rsidRPr="00B90432">
        <w:rPr>
          <w:rFonts w:asciiTheme="minorHAnsi" w:hAnsiTheme="minorHAnsi"/>
        </w:rPr>
        <w:t xml:space="preserve"> items; improve security inside</w:t>
      </w:r>
      <w:r w:rsidR="00664F61" w:rsidRPr="00B90432">
        <w:rPr>
          <w:rFonts w:asciiTheme="minorHAnsi" w:hAnsiTheme="minorHAnsi"/>
        </w:rPr>
        <w:t xml:space="preserve"> prisons; and prevent the operation of criminal organizations that have a presence inside jails.</w:t>
      </w:r>
      <w:r w:rsidR="006243A1" w:rsidRPr="00B90432">
        <w:rPr>
          <w:rFonts w:asciiTheme="minorHAnsi" w:hAnsiTheme="minorHAnsi"/>
          <w:vertAlign w:val="superscript"/>
        </w:rPr>
        <w:footnoteReference w:id="729"/>
      </w:r>
    </w:p>
    <w:p w14:paraId="2CD19BFB" w14:textId="1A6C8F67" w:rsidR="006243A1" w:rsidRPr="00931BA7" w:rsidRDefault="00764523" w:rsidP="00931BA7">
      <w:pPr>
        <w:pStyle w:val="Heading3"/>
        <w:jc w:val="left"/>
      </w:pPr>
      <w:bookmarkStart w:id="94" w:name="_Toc509827696"/>
      <w:r w:rsidRPr="00931BA7">
        <w:t xml:space="preserve">Depravation of </w:t>
      </w:r>
      <w:r w:rsidR="00931BA7" w:rsidRPr="00931BA7">
        <w:t xml:space="preserve">Liberty </w:t>
      </w:r>
      <w:r w:rsidRPr="00931BA7">
        <w:t xml:space="preserve">at </w:t>
      </w:r>
      <w:r w:rsidR="00931BA7" w:rsidRPr="00931BA7">
        <w:t xml:space="preserve">Police Stations </w:t>
      </w:r>
      <w:r w:rsidRPr="00931BA7">
        <w:t xml:space="preserve">and </w:t>
      </w:r>
      <w:r w:rsidR="00D53C88" w:rsidRPr="00931BA7">
        <w:t xml:space="preserve">on </w:t>
      </w:r>
      <w:r w:rsidR="00931BA7" w:rsidRPr="00931BA7">
        <w:t>Military Bases</w:t>
      </w:r>
      <w:bookmarkEnd w:id="94"/>
    </w:p>
    <w:p w14:paraId="0059A50F" w14:textId="77777777" w:rsidR="006243A1" w:rsidRPr="00B90432" w:rsidRDefault="005D2C88" w:rsidP="00B90432">
      <w:pPr>
        <w:pStyle w:val="Numberedparagraphs"/>
        <w:rPr>
          <w:rFonts w:asciiTheme="minorHAnsi" w:hAnsiTheme="minorHAnsi"/>
        </w:rPr>
      </w:pPr>
      <w:r w:rsidRPr="00B90432">
        <w:rPr>
          <w:rFonts w:asciiTheme="minorHAnsi" w:hAnsiTheme="minorHAnsi"/>
        </w:rPr>
        <w:t>The use of police stations as permanent detention facilities</w:t>
      </w:r>
      <w:r w:rsidR="00621A44" w:rsidRPr="00B90432">
        <w:rPr>
          <w:rFonts w:asciiTheme="minorHAnsi" w:hAnsiTheme="minorHAnsi"/>
        </w:rPr>
        <w:t xml:space="preserve"> and of military </w:t>
      </w:r>
      <w:r w:rsidR="0024319E" w:rsidRPr="00B90432">
        <w:rPr>
          <w:rFonts w:asciiTheme="minorHAnsi" w:hAnsiTheme="minorHAnsi"/>
        </w:rPr>
        <w:t xml:space="preserve">bases </w:t>
      </w:r>
      <w:r w:rsidR="00621A44" w:rsidRPr="00B90432">
        <w:rPr>
          <w:rFonts w:asciiTheme="minorHAnsi" w:hAnsiTheme="minorHAnsi"/>
        </w:rPr>
        <w:t xml:space="preserve">to </w:t>
      </w:r>
      <w:r w:rsidR="00597C86" w:rsidRPr="00B90432">
        <w:rPr>
          <w:rFonts w:asciiTheme="minorHAnsi" w:hAnsiTheme="minorHAnsi"/>
        </w:rPr>
        <w:t xml:space="preserve">house </w:t>
      </w:r>
      <w:r w:rsidR="00621A44" w:rsidRPr="00B90432">
        <w:rPr>
          <w:rFonts w:asciiTheme="minorHAnsi" w:hAnsiTheme="minorHAnsi"/>
        </w:rPr>
        <w:t>persons deprived of liberty indefinitely</w:t>
      </w:r>
      <w:r w:rsidR="00B317DF" w:rsidRPr="00B90432">
        <w:rPr>
          <w:rFonts w:asciiTheme="minorHAnsi" w:hAnsiTheme="minorHAnsi"/>
        </w:rPr>
        <w:t xml:space="preserve"> constitutes a special situation of concern to the IACHR. As to</w:t>
      </w:r>
      <w:r w:rsidR="00A659A7" w:rsidRPr="00B90432">
        <w:rPr>
          <w:rFonts w:asciiTheme="minorHAnsi" w:hAnsiTheme="minorHAnsi"/>
        </w:rPr>
        <w:t xml:space="preserve"> the</w:t>
      </w:r>
      <w:r w:rsidR="00B317DF" w:rsidRPr="00B90432">
        <w:rPr>
          <w:rFonts w:asciiTheme="minorHAnsi" w:hAnsiTheme="minorHAnsi"/>
        </w:rPr>
        <w:t xml:space="preserve"> National Civilian Police, it was brought to the attention of the Commission</w:t>
      </w:r>
      <w:r w:rsidR="00B955CB" w:rsidRPr="00B90432">
        <w:rPr>
          <w:rFonts w:asciiTheme="minorHAnsi" w:hAnsiTheme="minorHAnsi"/>
        </w:rPr>
        <w:t xml:space="preserve"> that police </w:t>
      </w:r>
      <w:r w:rsidR="00A659A7" w:rsidRPr="00B90432">
        <w:rPr>
          <w:rFonts w:asciiTheme="minorHAnsi" w:hAnsiTheme="minorHAnsi"/>
        </w:rPr>
        <w:t xml:space="preserve">stations </w:t>
      </w:r>
      <w:r w:rsidR="00B955CB" w:rsidRPr="00B90432">
        <w:rPr>
          <w:rFonts w:asciiTheme="minorHAnsi" w:hAnsiTheme="minorHAnsi"/>
        </w:rPr>
        <w:t>are used as permanent detention centers because</w:t>
      </w:r>
      <w:r w:rsidR="00AB4CE5" w:rsidRPr="00B90432">
        <w:rPr>
          <w:rFonts w:asciiTheme="minorHAnsi" w:hAnsiTheme="minorHAnsi"/>
        </w:rPr>
        <w:t xml:space="preserve"> of the current lack of space at</w:t>
      </w:r>
      <w:r w:rsidR="00B955CB" w:rsidRPr="00B90432">
        <w:rPr>
          <w:rFonts w:asciiTheme="minorHAnsi" w:hAnsiTheme="minorHAnsi"/>
        </w:rPr>
        <w:t xml:space="preserve"> prison</w:t>
      </w:r>
      <w:r w:rsidR="00A75385" w:rsidRPr="00B90432">
        <w:rPr>
          <w:rFonts w:asciiTheme="minorHAnsi" w:hAnsiTheme="minorHAnsi"/>
        </w:rPr>
        <w:t xml:space="preserve"> facilities and </w:t>
      </w:r>
      <w:r w:rsidR="009238CC" w:rsidRPr="00B90432">
        <w:rPr>
          <w:rFonts w:asciiTheme="minorHAnsi" w:hAnsiTheme="minorHAnsi"/>
        </w:rPr>
        <w:t>the respective abuse of pretrial detention</w:t>
      </w:r>
      <w:r w:rsidR="00F76F62" w:rsidRPr="00B90432">
        <w:rPr>
          <w:rFonts w:asciiTheme="minorHAnsi" w:hAnsiTheme="minorHAnsi"/>
        </w:rPr>
        <w:t xml:space="preserve"> prevailing </w:t>
      </w:r>
      <w:r w:rsidR="00AE23E2" w:rsidRPr="00B90432">
        <w:rPr>
          <w:rFonts w:asciiTheme="minorHAnsi" w:hAnsiTheme="minorHAnsi"/>
        </w:rPr>
        <w:t>throughout</w:t>
      </w:r>
      <w:r w:rsidR="00D61BFE" w:rsidRPr="00B90432">
        <w:rPr>
          <w:rFonts w:asciiTheme="minorHAnsi" w:hAnsiTheme="minorHAnsi"/>
        </w:rPr>
        <w:t xml:space="preserve"> the State. </w:t>
      </w:r>
      <w:r w:rsidR="00146589" w:rsidRPr="00B90432">
        <w:rPr>
          <w:rFonts w:asciiTheme="minorHAnsi" w:hAnsiTheme="minorHAnsi"/>
        </w:rPr>
        <w:t xml:space="preserve">The PDH has </w:t>
      </w:r>
      <w:r w:rsidR="00002985" w:rsidRPr="00B90432">
        <w:rPr>
          <w:rFonts w:asciiTheme="minorHAnsi" w:hAnsiTheme="minorHAnsi"/>
        </w:rPr>
        <w:t>been warning about t</w:t>
      </w:r>
      <w:r w:rsidR="0066096D" w:rsidRPr="00B90432">
        <w:rPr>
          <w:rFonts w:asciiTheme="minorHAnsi" w:hAnsiTheme="minorHAnsi"/>
        </w:rPr>
        <w:t>his situation</w:t>
      </w:r>
      <w:r w:rsidR="00002985" w:rsidRPr="00B90432">
        <w:rPr>
          <w:rFonts w:asciiTheme="minorHAnsi" w:hAnsiTheme="minorHAnsi"/>
        </w:rPr>
        <w:t xml:space="preserve"> since 2014, and has recommended </w:t>
      </w:r>
      <w:r w:rsidR="00B210BD" w:rsidRPr="00B90432">
        <w:rPr>
          <w:rFonts w:asciiTheme="minorHAnsi" w:hAnsiTheme="minorHAnsi"/>
        </w:rPr>
        <w:t xml:space="preserve">the prison system to implement the necessary measures </w:t>
      </w:r>
      <w:r w:rsidR="00AF6FA8" w:rsidRPr="00B90432">
        <w:rPr>
          <w:rFonts w:asciiTheme="minorHAnsi" w:hAnsiTheme="minorHAnsi"/>
        </w:rPr>
        <w:t xml:space="preserve">to </w:t>
      </w:r>
      <w:r w:rsidR="00833828" w:rsidRPr="00B90432">
        <w:rPr>
          <w:rFonts w:asciiTheme="minorHAnsi" w:hAnsiTheme="minorHAnsi"/>
        </w:rPr>
        <w:t xml:space="preserve">undertake </w:t>
      </w:r>
      <w:r w:rsidR="00F17E20" w:rsidRPr="00B90432">
        <w:rPr>
          <w:rFonts w:asciiTheme="minorHAnsi" w:hAnsiTheme="minorHAnsi"/>
        </w:rPr>
        <w:t>the “</w:t>
      </w:r>
      <w:r w:rsidR="00833828" w:rsidRPr="00B90432">
        <w:rPr>
          <w:rFonts w:asciiTheme="minorHAnsi" w:hAnsiTheme="minorHAnsi"/>
        </w:rPr>
        <w:t xml:space="preserve">protection </w:t>
      </w:r>
      <w:r w:rsidR="00F17E20" w:rsidRPr="00B90432">
        <w:rPr>
          <w:rFonts w:asciiTheme="minorHAnsi" w:hAnsiTheme="minorHAnsi"/>
        </w:rPr>
        <w:t>of persons deprived of liberty at said stations.”</w:t>
      </w:r>
      <w:r w:rsidR="006243A1" w:rsidRPr="00B90432">
        <w:rPr>
          <w:rFonts w:asciiTheme="minorHAnsi" w:hAnsiTheme="minorHAnsi"/>
          <w:vertAlign w:val="superscript"/>
        </w:rPr>
        <w:footnoteReference w:id="730"/>
      </w:r>
      <w:r w:rsidR="006243A1" w:rsidRPr="00B90432">
        <w:rPr>
          <w:rFonts w:asciiTheme="minorHAnsi" w:hAnsiTheme="minorHAnsi"/>
        </w:rPr>
        <w:t xml:space="preserve"> </w:t>
      </w:r>
      <w:r w:rsidR="00887987" w:rsidRPr="00B90432">
        <w:rPr>
          <w:rFonts w:asciiTheme="minorHAnsi" w:hAnsiTheme="minorHAnsi"/>
        </w:rPr>
        <w:t xml:space="preserve">In this regard, </w:t>
      </w:r>
      <w:r w:rsidR="00300E15" w:rsidRPr="00B90432">
        <w:rPr>
          <w:rFonts w:asciiTheme="minorHAnsi" w:hAnsiTheme="minorHAnsi"/>
        </w:rPr>
        <w:t xml:space="preserve">the IACHR reiterates </w:t>
      </w:r>
      <w:r w:rsidR="004C35B6" w:rsidRPr="00B90432">
        <w:rPr>
          <w:rFonts w:asciiTheme="minorHAnsi" w:hAnsiTheme="minorHAnsi"/>
        </w:rPr>
        <w:t>that police stations</w:t>
      </w:r>
      <w:r w:rsidR="00505849" w:rsidRPr="00B90432">
        <w:rPr>
          <w:rFonts w:asciiTheme="minorHAnsi" w:hAnsiTheme="minorHAnsi"/>
        </w:rPr>
        <w:t xml:space="preserve"> facilities</w:t>
      </w:r>
      <w:r w:rsidR="004C35B6" w:rsidRPr="00B90432">
        <w:rPr>
          <w:rFonts w:asciiTheme="minorHAnsi" w:hAnsiTheme="minorHAnsi"/>
        </w:rPr>
        <w:t xml:space="preserve"> are not </w:t>
      </w:r>
      <w:r w:rsidR="001E41EC" w:rsidRPr="00B90432">
        <w:rPr>
          <w:rFonts w:asciiTheme="minorHAnsi" w:hAnsiTheme="minorHAnsi"/>
        </w:rPr>
        <w:t xml:space="preserve">originally </w:t>
      </w:r>
      <w:r w:rsidR="004C35B6" w:rsidRPr="00B90432">
        <w:rPr>
          <w:rFonts w:asciiTheme="minorHAnsi" w:hAnsiTheme="minorHAnsi"/>
        </w:rPr>
        <w:t>designed for the purpose of lodging persons deprived of liberty indefinitely</w:t>
      </w:r>
      <w:r w:rsidR="006243A1" w:rsidRPr="00B90432">
        <w:rPr>
          <w:rFonts w:asciiTheme="minorHAnsi" w:hAnsiTheme="minorHAnsi"/>
        </w:rPr>
        <w:t>,</w:t>
      </w:r>
      <w:r w:rsidR="00EC4DCC" w:rsidRPr="00B90432">
        <w:rPr>
          <w:rFonts w:asciiTheme="minorHAnsi" w:hAnsiTheme="minorHAnsi"/>
        </w:rPr>
        <w:t xml:space="preserve"> nor do they fulfill requirements for the long term housing of </w:t>
      </w:r>
      <w:r w:rsidR="004D53ED" w:rsidRPr="00B90432">
        <w:rPr>
          <w:rFonts w:asciiTheme="minorHAnsi" w:hAnsiTheme="minorHAnsi"/>
        </w:rPr>
        <w:t xml:space="preserve">such </w:t>
      </w:r>
      <w:r w:rsidR="00EC4DCC" w:rsidRPr="00B90432">
        <w:rPr>
          <w:rFonts w:asciiTheme="minorHAnsi" w:hAnsiTheme="minorHAnsi"/>
        </w:rPr>
        <w:t>persons.</w:t>
      </w:r>
      <w:r w:rsidR="006243A1" w:rsidRPr="00B90432">
        <w:rPr>
          <w:rFonts w:asciiTheme="minorHAnsi" w:hAnsiTheme="minorHAnsi"/>
          <w:vertAlign w:val="superscript"/>
        </w:rPr>
        <w:footnoteReference w:id="731"/>
      </w:r>
      <w:r w:rsidR="006243A1" w:rsidRPr="00B90432">
        <w:rPr>
          <w:rFonts w:asciiTheme="minorHAnsi" w:hAnsiTheme="minorHAnsi"/>
        </w:rPr>
        <w:t xml:space="preserve"> </w:t>
      </w:r>
    </w:p>
    <w:p w14:paraId="0A1DDEC2" w14:textId="77777777" w:rsidR="006243A1" w:rsidRPr="00B90432" w:rsidRDefault="009D0617" w:rsidP="00B90432">
      <w:pPr>
        <w:pStyle w:val="Numberedparagraphs"/>
        <w:rPr>
          <w:rFonts w:asciiTheme="minorHAnsi" w:hAnsiTheme="minorHAnsi"/>
        </w:rPr>
      </w:pPr>
      <w:r w:rsidRPr="00B90432">
        <w:rPr>
          <w:rFonts w:asciiTheme="minorHAnsi" w:hAnsiTheme="minorHAnsi"/>
        </w:rPr>
        <w:t xml:space="preserve">With respect to </w:t>
      </w:r>
      <w:r w:rsidR="003B1373" w:rsidRPr="00B90432">
        <w:rPr>
          <w:rFonts w:asciiTheme="minorHAnsi" w:hAnsiTheme="minorHAnsi"/>
        </w:rPr>
        <w:t xml:space="preserve">the use of military bases, the “use </w:t>
      </w:r>
      <w:r w:rsidR="00CC16D5" w:rsidRPr="00B90432">
        <w:rPr>
          <w:rFonts w:asciiTheme="minorHAnsi" w:hAnsiTheme="minorHAnsi"/>
        </w:rPr>
        <w:t xml:space="preserve">of a space on the facilities of a military base or military unit” was first authorized under </w:t>
      </w:r>
      <w:r w:rsidR="00D164F7" w:rsidRPr="00B90432">
        <w:rPr>
          <w:rFonts w:asciiTheme="minorHAnsi" w:hAnsiTheme="minorHAnsi"/>
        </w:rPr>
        <w:t xml:space="preserve">Ministry of the Interior </w:t>
      </w:r>
      <w:r w:rsidR="00CC16D5" w:rsidRPr="00B90432">
        <w:rPr>
          <w:rFonts w:asciiTheme="minorHAnsi" w:hAnsiTheme="minorHAnsi"/>
        </w:rPr>
        <w:t xml:space="preserve">Decision No. </w:t>
      </w:r>
      <w:r w:rsidR="006243A1" w:rsidRPr="00B90432">
        <w:rPr>
          <w:rFonts w:asciiTheme="minorHAnsi" w:hAnsiTheme="minorHAnsi"/>
        </w:rPr>
        <w:t xml:space="preserve">126-2010, </w:t>
      </w:r>
      <w:r w:rsidR="005249E0" w:rsidRPr="00B90432">
        <w:rPr>
          <w:rFonts w:asciiTheme="minorHAnsi" w:hAnsiTheme="minorHAnsi"/>
        </w:rPr>
        <w:t xml:space="preserve">on June </w:t>
      </w:r>
      <w:r w:rsidR="006243A1" w:rsidRPr="00B90432">
        <w:rPr>
          <w:rFonts w:asciiTheme="minorHAnsi" w:hAnsiTheme="minorHAnsi"/>
        </w:rPr>
        <w:t>18</w:t>
      </w:r>
      <w:r w:rsidR="005249E0" w:rsidRPr="00B90432">
        <w:rPr>
          <w:rFonts w:asciiTheme="minorHAnsi" w:hAnsiTheme="minorHAnsi"/>
        </w:rPr>
        <w:t>,</w:t>
      </w:r>
      <w:r w:rsidR="006243A1" w:rsidRPr="00B90432">
        <w:rPr>
          <w:rFonts w:asciiTheme="minorHAnsi" w:hAnsiTheme="minorHAnsi"/>
        </w:rPr>
        <w:t xml:space="preserve"> 2010, “</w:t>
      </w:r>
      <w:r w:rsidR="00B94C45" w:rsidRPr="00B90432">
        <w:rPr>
          <w:rFonts w:asciiTheme="minorHAnsi" w:hAnsiTheme="minorHAnsi"/>
        </w:rPr>
        <w:t>in order to transfer</w:t>
      </w:r>
      <w:r w:rsidR="0013006D" w:rsidRPr="00B90432">
        <w:rPr>
          <w:rFonts w:asciiTheme="minorHAnsi" w:hAnsiTheme="minorHAnsi"/>
        </w:rPr>
        <w:t xml:space="preserve"> for their confinement</w:t>
      </w:r>
      <w:r w:rsidR="00B94C45" w:rsidRPr="00B90432">
        <w:rPr>
          <w:rFonts w:asciiTheme="minorHAnsi" w:hAnsiTheme="minorHAnsi"/>
        </w:rPr>
        <w:t xml:space="preserve"> those persons deprived of liberty </w:t>
      </w:r>
      <w:r w:rsidR="00914B30" w:rsidRPr="00B90432">
        <w:rPr>
          <w:rFonts w:asciiTheme="minorHAnsi" w:hAnsiTheme="minorHAnsi"/>
        </w:rPr>
        <w:t>whose lives or safety, for reasons of a situation of vulnerability and security, may</w:t>
      </w:r>
      <w:r w:rsidR="0013006D" w:rsidRPr="00B90432">
        <w:rPr>
          <w:rFonts w:asciiTheme="minorHAnsi" w:hAnsiTheme="minorHAnsi"/>
        </w:rPr>
        <w:t xml:space="preserve"> be at risk.</w:t>
      </w:r>
      <w:r w:rsidR="00914B30" w:rsidRPr="00B90432">
        <w:rPr>
          <w:rFonts w:asciiTheme="minorHAnsi" w:hAnsiTheme="minorHAnsi"/>
        </w:rPr>
        <w:t xml:space="preserve">” </w:t>
      </w:r>
      <w:r w:rsidR="00CB4EE3" w:rsidRPr="00B90432">
        <w:rPr>
          <w:rFonts w:asciiTheme="minorHAnsi" w:hAnsiTheme="minorHAnsi"/>
        </w:rPr>
        <w:t xml:space="preserve">Under subsequent decisions of the Ministry of Interior, the following </w:t>
      </w:r>
      <w:r w:rsidR="00CB4EE3" w:rsidRPr="00B90432">
        <w:rPr>
          <w:rFonts w:asciiTheme="minorHAnsi" w:hAnsiTheme="minorHAnsi"/>
        </w:rPr>
        <w:lastRenderedPageBreak/>
        <w:t xml:space="preserve">military premises </w:t>
      </w:r>
      <w:r w:rsidR="006C4F02" w:rsidRPr="00B90432">
        <w:rPr>
          <w:rFonts w:asciiTheme="minorHAnsi" w:hAnsiTheme="minorHAnsi"/>
        </w:rPr>
        <w:t xml:space="preserve">have been used to house civilians deprived of their liberty: </w:t>
      </w:r>
      <w:r w:rsidR="006243A1" w:rsidRPr="00B90432">
        <w:rPr>
          <w:rFonts w:asciiTheme="minorHAnsi" w:hAnsiTheme="minorHAnsi"/>
        </w:rPr>
        <w:t xml:space="preserve">a) </w:t>
      </w:r>
      <w:r w:rsidR="00A94238" w:rsidRPr="00B90432">
        <w:rPr>
          <w:rFonts w:asciiTheme="minorHAnsi" w:hAnsiTheme="minorHAnsi"/>
        </w:rPr>
        <w:t xml:space="preserve">military headquarters </w:t>
      </w:r>
      <w:r w:rsidR="006243A1" w:rsidRPr="00B90432">
        <w:rPr>
          <w:rFonts w:asciiTheme="minorHAnsi" w:hAnsiTheme="minorHAnsi"/>
        </w:rPr>
        <w:t>“Matamoros</w:t>
      </w:r>
      <w:r w:rsidR="00A94238" w:rsidRPr="00B90432">
        <w:rPr>
          <w:rFonts w:asciiTheme="minorHAnsi" w:hAnsiTheme="minorHAnsi"/>
        </w:rPr>
        <w:t>,”</w:t>
      </w:r>
      <w:r w:rsidR="006243A1" w:rsidRPr="00B90432">
        <w:rPr>
          <w:rFonts w:asciiTheme="minorHAnsi" w:hAnsiTheme="minorHAnsi"/>
        </w:rPr>
        <w:t xml:space="preserve"> </w:t>
      </w:r>
      <w:r w:rsidR="00A94238" w:rsidRPr="00B90432">
        <w:rPr>
          <w:rFonts w:asciiTheme="minorHAnsi" w:hAnsiTheme="minorHAnsi"/>
        </w:rPr>
        <w:t xml:space="preserve">under Ministry Decision </w:t>
      </w:r>
      <w:r w:rsidR="006243A1" w:rsidRPr="00B90432">
        <w:rPr>
          <w:rFonts w:asciiTheme="minorHAnsi" w:hAnsiTheme="minorHAnsi"/>
        </w:rPr>
        <w:t xml:space="preserve">No. 129-2010, </w:t>
      </w:r>
      <w:r w:rsidR="00A94238" w:rsidRPr="00B90432">
        <w:rPr>
          <w:rFonts w:asciiTheme="minorHAnsi" w:hAnsiTheme="minorHAnsi"/>
        </w:rPr>
        <w:t xml:space="preserve">of June </w:t>
      </w:r>
      <w:r w:rsidR="006243A1" w:rsidRPr="00B90432">
        <w:rPr>
          <w:rFonts w:asciiTheme="minorHAnsi" w:hAnsiTheme="minorHAnsi"/>
        </w:rPr>
        <w:t>24</w:t>
      </w:r>
      <w:r w:rsidR="00A94238" w:rsidRPr="00B90432">
        <w:rPr>
          <w:rFonts w:asciiTheme="minorHAnsi" w:hAnsiTheme="minorHAnsi"/>
        </w:rPr>
        <w:t>,</w:t>
      </w:r>
      <w:r w:rsidR="006243A1" w:rsidRPr="00B90432">
        <w:rPr>
          <w:rFonts w:asciiTheme="minorHAnsi" w:hAnsiTheme="minorHAnsi"/>
        </w:rPr>
        <w:t xml:space="preserve"> 2010; b) </w:t>
      </w:r>
      <w:r w:rsidR="00A94238" w:rsidRPr="00B90432">
        <w:rPr>
          <w:rFonts w:asciiTheme="minorHAnsi" w:hAnsiTheme="minorHAnsi"/>
        </w:rPr>
        <w:t xml:space="preserve">space for women at the military headquarters </w:t>
      </w:r>
      <w:r w:rsidR="006243A1" w:rsidRPr="00B90432">
        <w:rPr>
          <w:rFonts w:asciiTheme="minorHAnsi" w:hAnsiTheme="minorHAnsi"/>
        </w:rPr>
        <w:t xml:space="preserve">“Matamoros”, </w:t>
      </w:r>
      <w:r w:rsidR="00573478" w:rsidRPr="00B90432">
        <w:rPr>
          <w:rFonts w:asciiTheme="minorHAnsi" w:hAnsiTheme="minorHAnsi"/>
        </w:rPr>
        <w:t xml:space="preserve">under Ministry Decision </w:t>
      </w:r>
      <w:r w:rsidR="006243A1" w:rsidRPr="00B90432">
        <w:rPr>
          <w:rFonts w:asciiTheme="minorHAnsi" w:hAnsiTheme="minorHAnsi"/>
        </w:rPr>
        <w:t xml:space="preserve">No. 484-2015, </w:t>
      </w:r>
      <w:r w:rsidR="00573478" w:rsidRPr="00B90432">
        <w:rPr>
          <w:rFonts w:asciiTheme="minorHAnsi" w:hAnsiTheme="minorHAnsi"/>
        </w:rPr>
        <w:t xml:space="preserve">of August </w:t>
      </w:r>
      <w:r w:rsidR="006243A1" w:rsidRPr="00B90432">
        <w:rPr>
          <w:rFonts w:asciiTheme="minorHAnsi" w:hAnsiTheme="minorHAnsi"/>
        </w:rPr>
        <w:t>24</w:t>
      </w:r>
      <w:r w:rsidR="00573478" w:rsidRPr="00B90432">
        <w:rPr>
          <w:rFonts w:asciiTheme="minorHAnsi" w:hAnsiTheme="minorHAnsi"/>
        </w:rPr>
        <w:t>,</w:t>
      </w:r>
      <w:r w:rsidR="006243A1" w:rsidRPr="00B90432">
        <w:rPr>
          <w:rFonts w:asciiTheme="minorHAnsi" w:hAnsiTheme="minorHAnsi"/>
        </w:rPr>
        <w:t xml:space="preserve"> 2015; c) </w:t>
      </w:r>
      <w:r w:rsidR="006264EA" w:rsidRPr="00B90432">
        <w:rPr>
          <w:rFonts w:asciiTheme="minorHAnsi" w:hAnsiTheme="minorHAnsi"/>
        </w:rPr>
        <w:t xml:space="preserve">expansion of the military headquarters </w:t>
      </w:r>
      <w:r w:rsidR="006243A1" w:rsidRPr="00B90432">
        <w:rPr>
          <w:rFonts w:asciiTheme="minorHAnsi" w:hAnsiTheme="minorHAnsi"/>
        </w:rPr>
        <w:t>“Matamoros</w:t>
      </w:r>
      <w:r w:rsidR="00F2463C" w:rsidRPr="00B90432">
        <w:rPr>
          <w:rFonts w:asciiTheme="minorHAnsi" w:hAnsiTheme="minorHAnsi"/>
        </w:rPr>
        <w:t>”</w:t>
      </w:r>
      <w:r w:rsidR="006243A1" w:rsidRPr="00B90432">
        <w:rPr>
          <w:rFonts w:asciiTheme="minorHAnsi" w:hAnsiTheme="minorHAnsi"/>
        </w:rPr>
        <w:t xml:space="preserve"> </w:t>
      </w:r>
      <w:r w:rsidR="006264EA" w:rsidRPr="00B90432">
        <w:rPr>
          <w:rFonts w:asciiTheme="minorHAnsi" w:hAnsiTheme="minorHAnsi"/>
        </w:rPr>
        <w:t>to 32 persons</w:t>
      </w:r>
      <w:r w:rsidR="006243A1" w:rsidRPr="00B90432">
        <w:rPr>
          <w:rFonts w:asciiTheme="minorHAnsi" w:hAnsiTheme="minorHAnsi"/>
        </w:rPr>
        <w:t>,</w:t>
      </w:r>
      <w:r w:rsidR="006264EA" w:rsidRPr="00B90432">
        <w:rPr>
          <w:rFonts w:asciiTheme="minorHAnsi" w:hAnsiTheme="minorHAnsi"/>
        </w:rPr>
        <w:t xml:space="preserve"> under Ministerial Decision </w:t>
      </w:r>
      <w:r w:rsidR="006243A1" w:rsidRPr="00B90432">
        <w:rPr>
          <w:rFonts w:asciiTheme="minorHAnsi" w:hAnsiTheme="minorHAnsi"/>
        </w:rPr>
        <w:t xml:space="preserve">No. 263-2016, </w:t>
      </w:r>
      <w:r w:rsidR="006264EA" w:rsidRPr="00B90432">
        <w:rPr>
          <w:rFonts w:asciiTheme="minorHAnsi" w:hAnsiTheme="minorHAnsi"/>
        </w:rPr>
        <w:t xml:space="preserve">of June </w:t>
      </w:r>
      <w:r w:rsidR="006243A1" w:rsidRPr="00B90432">
        <w:rPr>
          <w:rFonts w:asciiTheme="minorHAnsi" w:hAnsiTheme="minorHAnsi"/>
        </w:rPr>
        <w:t>13</w:t>
      </w:r>
      <w:r w:rsidR="006264EA" w:rsidRPr="00B90432">
        <w:rPr>
          <w:rFonts w:asciiTheme="minorHAnsi" w:hAnsiTheme="minorHAnsi"/>
        </w:rPr>
        <w:t>,</w:t>
      </w:r>
      <w:r w:rsidR="006243A1" w:rsidRPr="00B90432">
        <w:rPr>
          <w:rFonts w:asciiTheme="minorHAnsi" w:hAnsiTheme="minorHAnsi"/>
        </w:rPr>
        <w:t xml:space="preserve"> 2016, </w:t>
      </w:r>
      <w:r w:rsidR="00E11104" w:rsidRPr="00B90432">
        <w:rPr>
          <w:rFonts w:asciiTheme="minorHAnsi" w:hAnsiTheme="minorHAnsi"/>
        </w:rPr>
        <w:t>and</w:t>
      </w:r>
      <w:r w:rsidR="006243A1" w:rsidRPr="00B90432">
        <w:rPr>
          <w:rFonts w:asciiTheme="minorHAnsi" w:hAnsiTheme="minorHAnsi"/>
        </w:rPr>
        <w:t xml:space="preserve"> d) </w:t>
      </w:r>
      <w:r w:rsidR="00E11104" w:rsidRPr="00B90432">
        <w:rPr>
          <w:rFonts w:asciiTheme="minorHAnsi" w:hAnsiTheme="minorHAnsi"/>
        </w:rPr>
        <w:t xml:space="preserve">expansion of First Infantry Brigade Headquarters </w:t>
      </w:r>
      <w:r w:rsidR="006243A1" w:rsidRPr="00B90432">
        <w:rPr>
          <w:rFonts w:asciiTheme="minorHAnsi" w:hAnsiTheme="minorHAnsi"/>
        </w:rPr>
        <w:t>“Mariscal Zavala</w:t>
      </w:r>
      <w:r w:rsidR="00E11104" w:rsidRPr="00B90432">
        <w:rPr>
          <w:rFonts w:asciiTheme="minorHAnsi" w:hAnsiTheme="minorHAnsi"/>
        </w:rPr>
        <w:t>,”</w:t>
      </w:r>
      <w:r w:rsidR="006243A1" w:rsidRPr="00B90432">
        <w:rPr>
          <w:rFonts w:asciiTheme="minorHAnsi" w:hAnsiTheme="minorHAnsi"/>
        </w:rPr>
        <w:t xml:space="preserve"> </w:t>
      </w:r>
      <w:r w:rsidR="007567D4" w:rsidRPr="00B90432">
        <w:rPr>
          <w:rFonts w:asciiTheme="minorHAnsi" w:hAnsiTheme="minorHAnsi"/>
        </w:rPr>
        <w:t xml:space="preserve">to </w:t>
      </w:r>
      <w:r w:rsidR="006243A1" w:rsidRPr="00B90432">
        <w:rPr>
          <w:rFonts w:asciiTheme="minorHAnsi" w:hAnsiTheme="minorHAnsi"/>
        </w:rPr>
        <w:t xml:space="preserve">135 </w:t>
      </w:r>
      <w:r w:rsidR="005A0E3D" w:rsidRPr="00B90432">
        <w:rPr>
          <w:rFonts w:asciiTheme="minorHAnsi" w:hAnsiTheme="minorHAnsi"/>
        </w:rPr>
        <w:t>persons in pre-trial detention, under Decision</w:t>
      </w:r>
      <w:r w:rsidR="006243A1" w:rsidRPr="00B90432">
        <w:rPr>
          <w:rFonts w:asciiTheme="minorHAnsi" w:hAnsiTheme="minorHAnsi"/>
        </w:rPr>
        <w:t xml:space="preserve"> No. 557-2015, </w:t>
      </w:r>
      <w:r w:rsidR="005A0E3D" w:rsidRPr="00B90432">
        <w:rPr>
          <w:rFonts w:asciiTheme="minorHAnsi" w:hAnsiTheme="minorHAnsi"/>
        </w:rPr>
        <w:t xml:space="preserve">November </w:t>
      </w:r>
      <w:r w:rsidR="006243A1" w:rsidRPr="00B90432">
        <w:rPr>
          <w:rFonts w:asciiTheme="minorHAnsi" w:hAnsiTheme="minorHAnsi"/>
        </w:rPr>
        <w:t>12</w:t>
      </w:r>
      <w:r w:rsidR="005A0E3D" w:rsidRPr="00B90432">
        <w:rPr>
          <w:rFonts w:asciiTheme="minorHAnsi" w:hAnsiTheme="minorHAnsi"/>
        </w:rPr>
        <w:t>,</w:t>
      </w:r>
      <w:r w:rsidR="006243A1" w:rsidRPr="00B90432">
        <w:rPr>
          <w:rFonts w:asciiTheme="minorHAnsi" w:hAnsiTheme="minorHAnsi"/>
        </w:rPr>
        <w:t xml:space="preserve"> 2015</w:t>
      </w:r>
      <w:r w:rsidR="000B4584" w:rsidRPr="00B90432">
        <w:rPr>
          <w:rFonts w:asciiTheme="minorHAnsi" w:hAnsiTheme="minorHAnsi"/>
        </w:rPr>
        <w:t>.</w:t>
      </w:r>
      <w:r w:rsidR="006243A1" w:rsidRPr="00B90432">
        <w:rPr>
          <w:rFonts w:asciiTheme="minorHAnsi" w:hAnsiTheme="minorHAnsi"/>
          <w:vertAlign w:val="superscript"/>
        </w:rPr>
        <w:footnoteReference w:id="732"/>
      </w:r>
    </w:p>
    <w:p w14:paraId="36F775B2" w14:textId="77777777" w:rsidR="006243A1" w:rsidRPr="00B90432" w:rsidRDefault="000A4455" w:rsidP="00B90432">
      <w:pPr>
        <w:pStyle w:val="Numberedparagraphs"/>
        <w:rPr>
          <w:rFonts w:asciiTheme="minorHAnsi" w:hAnsiTheme="minorHAnsi"/>
        </w:rPr>
      </w:pPr>
      <w:r w:rsidRPr="00B90432">
        <w:rPr>
          <w:rFonts w:asciiTheme="minorHAnsi" w:hAnsiTheme="minorHAnsi"/>
        </w:rPr>
        <w:t>Regarding this situation, the CICIG has warned about the risks of operating jails on military</w:t>
      </w:r>
      <w:r w:rsidR="00166662" w:rsidRPr="00B90432">
        <w:rPr>
          <w:rFonts w:asciiTheme="minorHAnsi" w:hAnsiTheme="minorHAnsi"/>
        </w:rPr>
        <w:t xml:space="preserve"> </w:t>
      </w:r>
      <w:r w:rsidR="007E2912" w:rsidRPr="00B90432">
        <w:rPr>
          <w:rFonts w:asciiTheme="minorHAnsi" w:hAnsiTheme="minorHAnsi"/>
        </w:rPr>
        <w:t>b</w:t>
      </w:r>
      <w:r w:rsidR="00166662" w:rsidRPr="00B90432">
        <w:rPr>
          <w:rFonts w:asciiTheme="minorHAnsi" w:hAnsiTheme="minorHAnsi"/>
        </w:rPr>
        <w:t>ases</w:t>
      </w:r>
      <w:r w:rsidR="006243A1" w:rsidRPr="00B90432">
        <w:rPr>
          <w:rFonts w:asciiTheme="minorHAnsi" w:hAnsiTheme="minorHAnsi"/>
        </w:rPr>
        <w:t>,</w:t>
      </w:r>
      <w:r w:rsidRPr="00B90432">
        <w:rPr>
          <w:rFonts w:asciiTheme="minorHAnsi" w:hAnsiTheme="minorHAnsi"/>
        </w:rPr>
        <w:t xml:space="preserve"> and has called on </w:t>
      </w:r>
      <w:r w:rsidR="00942319" w:rsidRPr="00B90432">
        <w:rPr>
          <w:rFonts w:asciiTheme="minorHAnsi" w:hAnsiTheme="minorHAnsi"/>
        </w:rPr>
        <w:t xml:space="preserve">the State to close </w:t>
      </w:r>
      <w:r w:rsidR="00EF0B20" w:rsidRPr="00B90432">
        <w:rPr>
          <w:rFonts w:asciiTheme="minorHAnsi" w:hAnsiTheme="minorHAnsi"/>
        </w:rPr>
        <w:t xml:space="preserve">down </w:t>
      </w:r>
      <w:r w:rsidR="00942319" w:rsidRPr="00B90432">
        <w:rPr>
          <w:rFonts w:asciiTheme="minorHAnsi" w:hAnsiTheme="minorHAnsi"/>
        </w:rPr>
        <w:t>these spaces.</w:t>
      </w:r>
      <w:r w:rsidR="006243A1" w:rsidRPr="00B90432">
        <w:rPr>
          <w:rFonts w:asciiTheme="minorHAnsi" w:hAnsiTheme="minorHAnsi"/>
          <w:vertAlign w:val="superscript"/>
        </w:rPr>
        <w:footnoteReference w:id="733"/>
      </w:r>
      <w:r w:rsidR="00942319" w:rsidRPr="00B90432">
        <w:rPr>
          <w:rFonts w:asciiTheme="minorHAnsi" w:hAnsiTheme="minorHAnsi"/>
        </w:rPr>
        <w:t xml:space="preserve"> On another front, the PDH has noted that detention at military facilities is worrisome</w:t>
      </w:r>
      <w:r w:rsidR="00BF66A7" w:rsidRPr="00B90432">
        <w:rPr>
          <w:rFonts w:asciiTheme="minorHAnsi" w:hAnsiTheme="minorHAnsi"/>
        </w:rPr>
        <w:t>, because</w:t>
      </w:r>
      <w:r w:rsidR="00942319" w:rsidRPr="00B90432">
        <w:rPr>
          <w:rFonts w:asciiTheme="minorHAnsi" w:hAnsiTheme="minorHAnsi"/>
        </w:rPr>
        <w:t xml:space="preserve"> “detainees </w:t>
      </w:r>
      <w:r w:rsidR="00BF66A7" w:rsidRPr="00B90432">
        <w:rPr>
          <w:rFonts w:asciiTheme="minorHAnsi" w:hAnsiTheme="minorHAnsi"/>
        </w:rPr>
        <w:t xml:space="preserve">should </w:t>
      </w:r>
      <w:r w:rsidR="00942319" w:rsidRPr="00B90432">
        <w:rPr>
          <w:rFonts w:asciiTheme="minorHAnsi" w:hAnsiTheme="minorHAnsi"/>
        </w:rPr>
        <w:t xml:space="preserve">be located at detention facilities of a civilian nature;” </w:t>
      </w:r>
      <w:r w:rsidR="00635F81" w:rsidRPr="00B90432">
        <w:rPr>
          <w:rFonts w:asciiTheme="minorHAnsi" w:hAnsiTheme="minorHAnsi"/>
        </w:rPr>
        <w:t>an aspect that also runs counter to the provisions of the Guatemalan Constitution, which establishes that pr</w:t>
      </w:r>
      <w:r w:rsidR="001B7B81" w:rsidRPr="00B90432">
        <w:rPr>
          <w:rFonts w:asciiTheme="minorHAnsi" w:hAnsiTheme="minorHAnsi"/>
        </w:rPr>
        <w:t>ison sentences must be served at</w:t>
      </w:r>
      <w:r w:rsidR="00635F81" w:rsidRPr="00B90432">
        <w:rPr>
          <w:rFonts w:asciiTheme="minorHAnsi" w:hAnsiTheme="minorHAnsi"/>
        </w:rPr>
        <w:t xml:space="preserve"> “locations intended for such </w:t>
      </w:r>
      <w:r w:rsidR="00D30D0D" w:rsidRPr="00B90432">
        <w:rPr>
          <w:rFonts w:asciiTheme="minorHAnsi" w:hAnsiTheme="minorHAnsi"/>
        </w:rPr>
        <w:t xml:space="preserve">a </w:t>
      </w:r>
      <w:r w:rsidR="00635F81" w:rsidRPr="00B90432">
        <w:rPr>
          <w:rFonts w:asciiTheme="minorHAnsi" w:hAnsiTheme="minorHAnsi"/>
        </w:rPr>
        <w:t xml:space="preserve">purpose,” which are characterized </w:t>
      </w:r>
      <w:r w:rsidR="00FC320F" w:rsidRPr="00B90432">
        <w:rPr>
          <w:rFonts w:asciiTheme="minorHAnsi" w:hAnsiTheme="minorHAnsi"/>
        </w:rPr>
        <w:t xml:space="preserve">by </w:t>
      </w:r>
      <w:r w:rsidR="00751A00" w:rsidRPr="00B90432">
        <w:rPr>
          <w:rFonts w:asciiTheme="minorHAnsi" w:hAnsiTheme="minorHAnsi"/>
        </w:rPr>
        <w:t>being “of a civilian nature and with specialized personnel.”</w:t>
      </w:r>
      <w:r w:rsidR="006243A1" w:rsidRPr="00B90432">
        <w:rPr>
          <w:rFonts w:asciiTheme="minorHAnsi" w:hAnsiTheme="minorHAnsi"/>
          <w:vertAlign w:val="superscript"/>
        </w:rPr>
        <w:footnoteReference w:id="734"/>
      </w:r>
      <w:r w:rsidR="008B6E40" w:rsidRPr="00B90432">
        <w:rPr>
          <w:rFonts w:asciiTheme="minorHAnsi" w:hAnsiTheme="minorHAnsi"/>
        </w:rPr>
        <w:t xml:space="preserve"> </w:t>
      </w:r>
      <w:r w:rsidR="00167233" w:rsidRPr="00B90432">
        <w:rPr>
          <w:rFonts w:asciiTheme="minorHAnsi" w:hAnsiTheme="minorHAnsi"/>
        </w:rPr>
        <w:t xml:space="preserve">Moreover, the IACHR </w:t>
      </w:r>
      <w:r w:rsidR="006B2643" w:rsidRPr="00B90432">
        <w:rPr>
          <w:rFonts w:asciiTheme="minorHAnsi" w:hAnsiTheme="minorHAnsi"/>
        </w:rPr>
        <w:t xml:space="preserve">finds </w:t>
      </w:r>
      <w:r w:rsidR="00167233" w:rsidRPr="00B90432">
        <w:rPr>
          <w:rFonts w:asciiTheme="minorHAnsi" w:hAnsiTheme="minorHAnsi"/>
        </w:rPr>
        <w:t>that prison</w:t>
      </w:r>
      <w:r w:rsidR="006B2643" w:rsidRPr="00B90432">
        <w:rPr>
          <w:rFonts w:asciiTheme="minorHAnsi" w:hAnsiTheme="minorHAnsi"/>
        </w:rPr>
        <w:t xml:space="preserve"> administration should not be in the hands of the army or any other military institutions, except </w:t>
      </w:r>
      <w:r w:rsidR="00D1308D" w:rsidRPr="00B90432">
        <w:rPr>
          <w:rFonts w:asciiTheme="minorHAnsi" w:hAnsiTheme="minorHAnsi"/>
        </w:rPr>
        <w:t xml:space="preserve">when they are </w:t>
      </w:r>
      <w:r w:rsidR="006B2643" w:rsidRPr="00B90432">
        <w:rPr>
          <w:rFonts w:asciiTheme="minorHAnsi" w:hAnsiTheme="minorHAnsi"/>
        </w:rPr>
        <w:t xml:space="preserve">under the control of civilian authority. </w:t>
      </w:r>
      <w:r w:rsidR="009A2745" w:rsidRPr="00B90432">
        <w:rPr>
          <w:rFonts w:asciiTheme="minorHAnsi" w:hAnsiTheme="minorHAnsi"/>
        </w:rPr>
        <w:t xml:space="preserve">Civilian public officials are suitable to perform duties of direct custody </w:t>
      </w:r>
      <w:r w:rsidR="00AF4478" w:rsidRPr="00B90432">
        <w:rPr>
          <w:rFonts w:asciiTheme="minorHAnsi" w:hAnsiTheme="minorHAnsi"/>
        </w:rPr>
        <w:t>with respect to persons deprived of liberty, as well as to meet psychological, educational, labor and social reintegration needs.”</w:t>
      </w:r>
      <w:r w:rsidR="006243A1" w:rsidRPr="00B90432">
        <w:rPr>
          <w:rFonts w:asciiTheme="minorHAnsi" w:hAnsiTheme="minorHAnsi"/>
          <w:vertAlign w:val="superscript"/>
        </w:rPr>
        <w:footnoteReference w:id="735"/>
      </w:r>
    </w:p>
    <w:p w14:paraId="4E6AFEE0" w14:textId="24D1C5C7" w:rsidR="006243A1" w:rsidRPr="00B90432" w:rsidRDefault="008707CC" w:rsidP="00931BA7">
      <w:pPr>
        <w:pStyle w:val="Heading3"/>
      </w:pPr>
      <w:bookmarkStart w:id="95" w:name="_Toc509827697"/>
      <w:r w:rsidRPr="00B90432">
        <w:lastRenderedPageBreak/>
        <w:t xml:space="preserve">Imposition of </w:t>
      </w:r>
      <w:r w:rsidR="00931BA7" w:rsidRPr="00B90432">
        <w:t xml:space="preserve">Fines </w:t>
      </w:r>
      <w:r w:rsidRPr="00B90432">
        <w:t xml:space="preserve">for </w:t>
      </w:r>
      <w:r w:rsidR="00931BA7" w:rsidRPr="00B90432">
        <w:t>Money Laundering Convictions</w:t>
      </w:r>
      <w:bookmarkEnd w:id="95"/>
      <w:r w:rsidR="00931BA7" w:rsidRPr="00B90432">
        <w:t xml:space="preserve"> </w:t>
      </w:r>
    </w:p>
    <w:p w14:paraId="79C0C464" w14:textId="77777777" w:rsidR="006243A1" w:rsidRPr="00B90432" w:rsidRDefault="00631AD3" w:rsidP="00B90432">
      <w:pPr>
        <w:pStyle w:val="Numberedparagraphs"/>
        <w:rPr>
          <w:rFonts w:asciiTheme="minorHAnsi" w:hAnsiTheme="minorHAnsi"/>
        </w:rPr>
      </w:pPr>
      <w:r w:rsidRPr="00B90432">
        <w:rPr>
          <w:rFonts w:asciiTheme="minorHAnsi" w:hAnsiTheme="minorHAnsi"/>
        </w:rPr>
        <w:t>Article 4 of the Law against the Laund</w:t>
      </w:r>
      <w:r w:rsidR="00CE5222" w:rsidRPr="00B90432">
        <w:rPr>
          <w:rFonts w:asciiTheme="minorHAnsi" w:hAnsiTheme="minorHAnsi"/>
        </w:rPr>
        <w:t xml:space="preserve">ering of Money and other Assets provides that the commission of the crime of </w:t>
      </w:r>
      <w:r w:rsidR="0021646A" w:rsidRPr="00B90432">
        <w:rPr>
          <w:rFonts w:asciiTheme="minorHAnsi" w:hAnsiTheme="minorHAnsi"/>
        </w:rPr>
        <w:t xml:space="preserve">laundering </w:t>
      </w:r>
      <w:r w:rsidR="00CE5222" w:rsidRPr="00B90432">
        <w:rPr>
          <w:rFonts w:asciiTheme="minorHAnsi" w:hAnsiTheme="minorHAnsi"/>
        </w:rPr>
        <w:t xml:space="preserve">money or any </w:t>
      </w:r>
      <w:r w:rsidR="00E937EA" w:rsidRPr="00B90432">
        <w:rPr>
          <w:rFonts w:asciiTheme="minorHAnsi" w:hAnsiTheme="minorHAnsi"/>
        </w:rPr>
        <w:t xml:space="preserve">other </w:t>
      </w:r>
      <w:r w:rsidR="00CE5222" w:rsidRPr="00B90432">
        <w:rPr>
          <w:rFonts w:asciiTheme="minorHAnsi" w:hAnsiTheme="minorHAnsi"/>
        </w:rPr>
        <w:t>asset will be punished with an uncommutable prison term of 6 to 20 years, “plus a fine equal to the amount of the assets, instruments or proceeds of the subject crime.”</w:t>
      </w:r>
      <w:r w:rsidR="006243A1" w:rsidRPr="00B90432">
        <w:rPr>
          <w:rFonts w:asciiTheme="minorHAnsi" w:hAnsiTheme="minorHAnsi"/>
          <w:vertAlign w:val="superscript"/>
        </w:rPr>
        <w:footnoteReference w:id="736"/>
      </w:r>
      <w:r w:rsidR="00CE5222" w:rsidRPr="00B90432">
        <w:rPr>
          <w:rFonts w:asciiTheme="minorHAnsi" w:hAnsiTheme="minorHAnsi"/>
        </w:rPr>
        <w:t xml:space="preserve"> Additionally, </w:t>
      </w:r>
      <w:r w:rsidR="00425F6E" w:rsidRPr="00B90432">
        <w:rPr>
          <w:rFonts w:asciiTheme="minorHAnsi" w:hAnsiTheme="minorHAnsi"/>
        </w:rPr>
        <w:t xml:space="preserve">the Guatemalan Criminal Code provides that anyone who </w:t>
      </w:r>
      <w:r w:rsidR="00B61B1A" w:rsidRPr="00B90432">
        <w:rPr>
          <w:rFonts w:asciiTheme="minorHAnsi" w:hAnsiTheme="minorHAnsi"/>
        </w:rPr>
        <w:t xml:space="preserve">cannot afford </w:t>
      </w:r>
      <w:r w:rsidR="00C21E37" w:rsidRPr="00B90432">
        <w:rPr>
          <w:rFonts w:asciiTheme="minorHAnsi" w:hAnsiTheme="minorHAnsi"/>
        </w:rPr>
        <w:t>to pay the fines imposed on them</w:t>
      </w:r>
      <w:r w:rsidR="00425F6E" w:rsidRPr="00B90432">
        <w:rPr>
          <w:rFonts w:asciiTheme="minorHAnsi" w:hAnsiTheme="minorHAnsi"/>
        </w:rPr>
        <w:t xml:space="preserve"> </w:t>
      </w:r>
      <w:r w:rsidR="008B3932" w:rsidRPr="00B90432">
        <w:rPr>
          <w:rFonts w:asciiTheme="minorHAnsi" w:hAnsiTheme="minorHAnsi"/>
        </w:rPr>
        <w:t xml:space="preserve">must </w:t>
      </w:r>
      <w:r w:rsidR="00860419" w:rsidRPr="00B90432">
        <w:rPr>
          <w:rFonts w:asciiTheme="minorHAnsi" w:hAnsiTheme="minorHAnsi"/>
        </w:rPr>
        <w:t xml:space="preserve">pay off their fine by serving </w:t>
      </w:r>
      <w:r w:rsidR="00B61B1A" w:rsidRPr="00B90432">
        <w:rPr>
          <w:rFonts w:asciiTheme="minorHAnsi" w:hAnsiTheme="minorHAnsi"/>
        </w:rPr>
        <w:t xml:space="preserve">a </w:t>
      </w:r>
      <w:r w:rsidR="00425F6E" w:rsidRPr="00B90432">
        <w:rPr>
          <w:rFonts w:asciiTheme="minorHAnsi" w:hAnsiTheme="minorHAnsi"/>
        </w:rPr>
        <w:t xml:space="preserve">sentence </w:t>
      </w:r>
      <w:r w:rsidR="00B61B1A" w:rsidRPr="00B90432">
        <w:rPr>
          <w:rFonts w:asciiTheme="minorHAnsi" w:hAnsiTheme="minorHAnsi"/>
        </w:rPr>
        <w:t xml:space="preserve">of </w:t>
      </w:r>
      <w:r w:rsidR="00425F6E" w:rsidRPr="00B90432">
        <w:rPr>
          <w:rFonts w:asciiTheme="minorHAnsi" w:hAnsiTheme="minorHAnsi"/>
        </w:rPr>
        <w:t xml:space="preserve">deprivation of liberty </w:t>
      </w:r>
      <w:r w:rsidR="00371F40" w:rsidRPr="00B90432">
        <w:rPr>
          <w:rFonts w:asciiTheme="minorHAnsi" w:hAnsiTheme="minorHAnsi"/>
        </w:rPr>
        <w:t xml:space="preserve">equal to one day in prison for every 5 to 100 </w:t>
      </w:r>
      <w:r w:rsidR="00977629" w:rsidRPr="00B90432">
        <w:rPr>
          <w:rFonts w:asciiTheme="minorHAnsi" w:hAnsiTheme="minorHAnsi"/>
        </w:rPr>
        <w:t>quetzals</w:t>
      </w:r>
      <w:r w:rsidR="00860419" w:rsidRPr="00B90432">
        <w:rPr>
          <w:rFonts w:asciiTheme="minorHAnsi" w:hAnsiTheme="minorHAnsi"/>
        </w:rPr>
        <w:t xml:space="preserve"> of fine</w:t>
      </w:r>
      <w:r w:rsidR="00425F6E" w:rsidRPr="00B90432">
        <w:rPr>
          <w:rFonts w:asciiTheme="minorHAnsi" w:hAnsiTheme="minorHAnsi"/>
        </w:rPr>
        <w:t>.</w:t>
      </w:r>
      <w:r w:rsidR="006243A1" w:rsidRPr="00B90432">
        <w:rPr>
          <w:rFonts w:asciiTheme="minorHAnsi" w:hAnsiTheme="minorHAnsi"/>
          <w:vertAlign w:val="superscript"/>
        </w:rPr>
        <w:footnoteReference w:id="737"/>
      </w:r>
      <w:r w:rsidR="000240C7" w:rsidRPr="00B90432">
        <w:rPr>
          <w:rFonts w:asciiTheme="minorHAnsi" w:hAnsiTheme="minorHAnsi"/>
        </w:rPr>
        <w:t xml:space="preserve"> </w:t>
      </w:r>
      <w:r w:rsidR="00212B2C" w:rsidRPr="00B90432">
        <w:rPr>
          <w:rFonts w:asciiTheme="minorHAnsi" w:hAnsiTheme="minorHAnsi"/>
        </w:rPr>
        <w:t>During its country visit, the IACHR recei</w:t>
      </w:r>
      <w:r w:rsidR="003B27D9" w:rsidRPr="00B90432">
        <w:rPr>
          <w:rFonts w:asciiTheme="minorHAnsi" w:hAnsiTheme="minorHAnsi"/>
        </w:rPr>
        <w:t xml:space="preserve">ved repeated testimony from persons deprived of liberty, as well as information from prison authorities, indicating that hundreds of persons, who have served their prison sentence for the commission of this crime, </w:t>
      </w:r>
      <w:r w:rsidR="00CC0729" w:rsidRPr="00B90432">
        <w:rPr>
          <w:rFonts w:asciiTheme="minorHAnsi" w:hAnsiTheme="minorHAnsi"/>
        </w:rPr>
        <w:t xml:space="preserve">are held in Guatemalan jails because they do not have the economic resources to pay the fines that were imposed on them. </w:t>
      </w:r>
    </w:p>
    <w:p w14:paraId="733B3B8B" w14:textId="77777777" w:rsidR="006243A1" w:rsidRPr="00B90432" w:rsidRDefault="00FB4040" w:rsidP="00B90432">
      <w:pPr>
        <w:pStyle w:val="Numberedparagraphs"/>
        <w:rPr>
          <w:rFonts w:asciiTheme="minorHAnsi" w:hAnsiTheme="minorHAnsi"/>
        </w:rPr>
      </w:pPr>
      <w:r w:rsidRPr="00B90432">
        <w:rPr>
          <w:rFonts w:asciiTheme="minorHAnsi" w:hAnsiTheme="minorHAnsi"/>
        </w:rPr>
        <w:t>On</w:t>
      </w:r>
      <w:r w:rsidR="00E7283D" w:rsidRPr="00B90432">
        <w:rPr>
          <w:rFonts w:asciiTheme="minorHAnsi" w:hAnsiTheme="minorHAnsi"/>
        </w:rPr>
        <w:t xml:space="preserve"> this</w:t>
      </w:r>
      <w:r w:rsidRPr="00B90432">
        <w:rPr>
          <w:rFonts w:asciiTheme="minorHAnsi" w:hAnsiTheme="minorHAnsi"/>
        </w:rPr>
        <w:t xml:space="preserve"> score</w:t>
      </w:r>
      <w:r w:rsidR="00E7283D" w:rsidRPr="00B90432">
        <w:rPr>
          <w:rFonts w:asciiTheme="minorHAnsi" w:hAnsiTheme="minorHAnsi"/>
        </w:rPr>
        <w:t xml:space="preserve">, the IACHR </w:t>
      </w:r>
      <w:r w:rsidR="0077166C" w:rsidRPr="00B90432">
        <w:rPr>
          <w:rFonts w:asciiTheme="minorHAnsi" w:hAnsiTheme="minorHAnsi"/>
        </w:rPr>
        <w:t xml:space="preserve">was informed </w:t>
      </w:r>
      <w:r w:rsidR="0081509B" w:rsidRPr="00B90432">
        <w:rPr>
          <w:rFonts w:asciiTheme="minorHAnsi" w:hAnsiTheme="minorHAnsi"/>
        </w:rPr>
        <w:t>that the above-cited provision</w:t>
      </w:r>
      <w:r w:rsidR="00CC435B" w:rsidRPr="00B90432">
        <w:rPr>
          <w:rFonts w:asciiTheme="minorHAnsi" w:hAnsiTheme="minorHAnsi"/>
        </w:rPr>
        <w:t xml:space="preserve"> of law </w:t>
      </w:r>
      <w:r w:rsidR="005F2232" w:rsidRPr="00B90432">
        <w:rPr>
          <w:rFonts w:asciiTheme="minorHAnsi" w:hAnsiTheme="minorHAnsi"/>
        </w:rPr>
        <w:t xml:space="preserve">leads to low income persons sentenced to deprivation of liberty </w:t>
      </w:r>
      <w:r w:rsidR="005371DB" w:rsidRPr="00B90432">
        <w:rPr>
          <w:rFonts w:asciiTheme="minorHAnsi" w:hAnsiTheme="minorHAnsi"/>
        </w:rPr>
        <w:t>remain</w:t>
      </w:r>
      <w:r w:rsidR="0024297E" w:rsidRPr="00B90432">
        <w:rPr>
          <w:rFonts w:asciiTheme="minorHAnsi" w:hAnsiTheme="minorHAnsi"/>
        </w:rPr>
        <w:t>in</w:t>
      </w:r>
      <w:r w:rsidR="005371DB" w:rsidRPr="00B90432">
        <w:rPr>
          <w:rFonts w:asciiTheme="minorHAnsi" w:hAnsiTheme="minorHAnsi"/>
        </w:rPr>
        <w:t xml:space="preserve">g </w:t>
      </w:r>
      <w:r w:rsidR="005F2232" w:rsidRPr="00B90432">
        <w:rPr>
          <w:rFonts w:asciiTheme="minorHAnsi" w:hAnsiTheme="minorHAnsi"/>
        </w:rPr>
        <w:t>in jail for life, or spend</w:t>
      </w:r>
      <w:r w:rsidR="00DB65AA" w:rsidRPr="00B90432">
        <w:rPr>
          <w:rFonts w:asciiTheme="minorHAnsi" w:hAnsiTheme="minorHAnsi"/>
        </w:rPr>
        <w:t>ing</w:t>
      </w:r>
      <w:r w:rsidR="005F2232" w:rsidRPr="00B90432">
        <w:rPr>
          <w:rFonts w:asciiTheme="minorHAnsi" w:hAnsiTheme="minorHAnsi"/>
        </w:rPr>
        <w:t xml:space="preserve"> periods of time there that surpass three or even four times the length of time to which they had been sentenced to serve</w:t>
      </w:r>
      <w:r w:rsidR="008B4BF8" w:rsidRPr="00B90432">
        <w:rPr>
          <w:rFonts w:asciiTheme="minorHAnsi" w:hAnsiTheme="minorHAnsi"/>
        </w:rPr>
        <w:t xml:space="preserve"> for their conviction</w:t>
      </w:r>
      <w:r w:rsidR="005F2232" w:rsidRPr="00B90432">
        <w:rPr>
          <w:rFonts w:asciiTheme="minorHAnsi" w:hAnsiTheme="minorHAnsi"/>
        </w:rPr>
        <w:t>.</w:t>
      </w:r>
      <w:r w:rsidR="006243A1" w:rsidRPr="00B90432">
        <w:rPr>
          <w:rFonts w:asciiTheme="minorHAnsi" w:hAnsiTheme="minorHAnsi"/>
          <w:vertAlign w:val="superscript"/>
        </w:rPr>
        <w:footnoteReference w:id="738"/>
      </w:r>
      <w:r w:rsidR="00B40187" w:rsidRPr="00B90432">
        <w:rPr>
          <w:rFonts w:asciiTheme="minorHAnsi" w:hAnsiTheme="minorHAnsi"/>
        </w:rPr>
        <w:t xml:space="preserve"> </w:t>
      </w:r>
      <w:r w:rsidR="006243A1" w:rsidRPr="00B90432">
        <w:rPr>
          <w:rFonts w:asciiTheme="minorHAnsi" w:hAnsiTheme="minorHAnsi"/>
        </w:rPr>
        <w:t xml:space="preserve"> </w:t>
      </w:r>
      <w:r w:rsidR="00125ADB" w:rsidRPr="00B90432">
        <w:rPr>
          <w:rFonts w:asciiTheme="minorHAnsi" w:hAnsiTheme="minorHAnsi"/>
        </w:rPr>
        <w:t>In response to this situation, in January</w:t>
      </w:r>
      <w:r w:rsidR="006243A1" w:rsidRPr="00B90432">
        <w:rPr>
          <w:rFonts w:asciiTheme="minorHAnsi" w:hAnsiTheme="minorHAnsi"/>
        </w:rPr>
        <w:t xml:space="preserve"> 2017, </w:t>
      </w:r>
      <w:r w:rsidR="00125ADB" w:rsidRPr="00B90432">
        <w:rPr>
          <w:rFonts w:asciiTheme="minorHAnsi" w:hAnsiTheme="minorHAnsi"/>
        </w:rPr>
        <w:t xml:space="preserve">the Public Criminal Defense Institute brought an unconstitutionality action before the Court of Constitutionality against Article 4 of the Law against Money Laundering. </w:t>
      </w:r>
      <w:r w:rsidR="00B566D4" w:rsidRPr="00B90432">
        <w:rPr>
          <w:rFonts w:asciiTheme="minorHAnsi" w:hAnsiTheme="minorHAnsi"/>
        </w:rPr>
        <w:t xml:space="preserve">This action is based on the argument that the provision of the law in question provides for a double prison sentence for the same crime, because </w:t>
      </w:r>
      <w:r w:rsidR="000F491E" w:rsidRPr="00B90432">
        <w:rPr>
          <w:rFonts w:asciiTheme="minorHAnsi" w:hAnsiTheme="minorHAnsi"/>
        </w:rPr>
        <w:t xml:space="preserve">if </w:t>
      </w:r>
      <w:r w:rsidR="00B566D4" w:rsidRPr="00B90432">
        <w:rPr>
          <w:rFonts w:asciiTheme="minorHAnsi" w:hAnsiTheme="minorHAnsi"/>
        </w:rPr>
        <w:t xml:space="preserve">a person </w:t>
      </w:r>
      <w:r w:rsidR="00FA107B" w:rsidRPr="00B90432">
        <w:rPr>
          <w:rFonts w:asciiTheme="minorHAnsi" w:hAnsiTheme="minorHAnsi"/>
        </w:rPr>
        <w:t xml:space="preserve">is unable </w:t>
      </w:r>
      <w:r w:rsidR="00B566D4" w:rsidRPr="00B90432">
        <w:rPr>
          <w:rFonts w:asciiTheme="minorHAnsi" w:hAnsiTheme="minorHAnsi"/>
        </w:rPr>
        <w:t>to pay the fine, he would continue to be deprived of liberty.</w:t>
      </w:r>
      <w:r w:rsidR="006243A1" w:rsidRPr="00B90432">
        <w:rPr>
          <w:rFonts w:asciiTheme="minorHAnsi" w:hAnsiTheme="minorHAnsi"/>
          <w:vertAlign w:val="superscript"/>
        </w:rPr>
        <w:footnoteReference w:id="739"/>
      </w:r>
      <w:r w:rsidR="000671EB" w:rsidRPr="00B90432">
        <w:rPr>
          <w:rFonts w:asciiTheme="minorHAnsi" w:hAnsiTheme="minorHAnsi"/>
        </w:rPr>
        <w:t xml:space="preserve"> This line of argument has been supported by the PDH in his le</w:t>
      </w:r>
      <w:r w:rsidR="00B21D80" w:rsidRPr="00B90432">
        <w:rPr>
          <w:rFonts w:asciiTheme="minorHAnsi" w:hAnsiTheme="minorHAnsi"/>
        </w:rPr>
        <w:t>gal opinion of September 6, 2016.</w:t>
      </w:r>
      <w:r w:rsidR="006243A1" w:rsidRPr="00B90432">
        <w:rPr>
          <w:rFonts w:asciiTheme="minorHAnsi" w:hAnsiTheme="minorHAnsi"/>
          <w:vertAlign w:val="superscript"/>
        </w:rPr>
        <w:footnoteReference w:id="740"/>
      </w:r>
      <w:r w:rsidR="00B21D80" w:rsidRPr="00B90432">
        <w:rPr>
          <w:rFonts w:asciiTheme="minorHAnsi" w:hAnsiTheme="minorHAnsi"/>
        </w:rPr>
        <w:t xml:space="preserve"> The Commission will follow up on the outcome of this challenge to the constitutionality of the provision of the law. </w:t>
      </w:r>
    </w:p>
    <w:p w14:paraId="42683038" w14:textId="77777777" w:rsidR="006243A1" w:rsidRPr="00B90432" w:rsidRDefault="0034289B" w:rsidP="00B90432">
      <w:pPr>
        <w:pStyle w:val="Numberedparagraphs"/>
        <w:rPr>
          <w:rFonts w:asciiTheme="minorHAnsi" w:hAnsiTheme="minorHAnsi"/>
        </w:rPr>
      </w:pPr>
      <w:r w:rsidRPr="00B90432">
        <w:rPr>
          <w:rFonts w:asciiTheme="minorHAnsi" w:hAnsiTheme="minorHAnsi"/>
        </w:rPr>
        <w:t xml:space="preserve">The IACHR </w:t>
      </w:r>
      <w:r w:rsidR="007B3B6D" w:rsidRPr="00B90432">
        <w:rPr>
          <w:rFonts w:asciiTheme="minorHAnsi" w:hAnsiTheme="minorHAnsi"/>
        </w:rPr>
        <w:t xml:space="preserve">notes </w:t>
      </w:r>
      <w:r w:rsidRPr="00B90432">
        <w:rPr>
          <w:rFonts w:asciiTheme="minorHAnsi" w:hAnsiTheme="minorHAnsi"/>
        </w:rPr>
        <w:t xml:space="preserve">that pursuant to the legal precedents of the Inter-American Court, the prohibition against torture and other cruel, inhuman </w:t>
      </w:r>
      <w:r w:rsidRPr="00B90432">
        <w:rPr>
          <w:rFonts w:asciiTheme="minorHAnsi" w:hAnsiTheme="minorHAnsi"/>
        </w:rPr>
        <w:lastRenderedPageBreak/>
        <w:t>and degrading punishments or treatment,</w:t>
      </w:r>
      <w:r w:rsidR="006243A1" w:rsidRPr="00B90432">
        <w:rPr>
          <w:rFonts w:asciiTheme="minorHAnsi" w:hAnsiTheme="minorHAnsi"/>
          <w:vertAlign w:val="superscript"/>
        </w:rPr>
        <w:footnoteReference w:id="741"/>
      </w:r>
      <w:r w:rsidRPr="00B90432">
        <w:rPr>
          <w:rFonts w:asciiTheme="minorHAnsi" w:hAnsiTheme="minorHAnsi"/>
        </w:rPr>
        <w:t xml:space="preserve"> also </w:t>
      </w:r>
      <w:r w:rsidR="004F6E45" w:rsidRPr="00B90432">
        <w:rPr>
          <w:rFonts w:asciiTheme="minorHAnsi" w:hAnsiTheme="minorHAnsi"/>
        </w:rPr>
        <w:t xml:space="preserve">entails the requirement of </w:t>
      </w:r>
      <w:r w:rsidR="0039569D" w:rsidRPr="00B90432">
        <w:rPr>
          <w:rFonts w:asciiTheme="minorHAnsi" w:hAnsiTheme="minorHAnsi"/>
        </w:rPr>
        <w:t>proportionality</w:t>
      </w:r>
      <w:r w:rsidRPr="00B90432">
        <w:rPr>
          <w:rFonts w:asciiTheme="minorHAnsi" w:hAnsiTheme="minorHAnsi"/>
        </w:rPr>
        <w:t xml:space="preserve"> in “state punishments for the </w:t>
      </w:r>
      <w:r w:rsidR="00CC1FB3" w:rsidRPr="00B90432">
        <w:rPr>
          <w:rFonts w:asciiTheme="minorHAnsi" w:hAnsiTheme="minorHAnsi"/>
        </w:rPr>
        <w:t xml:space="preserve">perpetration </w:t>
      </w:r>
      <w:r w:rsidRPr="00B90432">
        <w:rPr>
          <w:rFonts w:asciiTheme="minorHAnsi" w:hAnsiTheme="minorHAnsi"/>
        </w:rPr>
        <w:t>of</w:t>
      </w:r>
      <w:r w:rsidR="00CC1FB3" w:rsidRPr="00B90432">
        <w:rPr>
          <w:rFonts w:asciiTheme="minorHAnsi" w:hAnsiTheme="minorHAnsi"/>
        </w:rPr>
        <w:t xml:space="preserve"> offenses</w:t>
      </w:r>
      <w:r w:rsidRPr="00B90432">
        <w:rPr>
          <w:rFonts w:asciiTheme="minorHAnsi" w:hAnsiTheme="minorHAnsi"/>
        </w:rPr>
        <w:t>.”</w:t>
      </w:r>
      <w:r w:rsidR="006243A1" w:rsidRPr="00B90432">
        <w:rPr>
          <w:rFonts w:asciiTheme="minorHAnsi" w:hAnsiTheme="minorHAnsi"/>
          <w:vertAlign w:val="superscript"/>
        </w:rPr>
        <w:footnoteReference w:id="742"/>
      </w:r>
      <w:r w:rsidR="006243A1" w:rsidRPr="00B90432">
        <w:rPr>
          <w:rFonts w:asciiTheme="minorHAnsi" w:hAnsiTheme="minorHAnsi"/>
        </w:rPr>
        <w:t xml:space="preserve"> </w:t>
      </w:r>
      <w:r w:rsidR="009F1422" w:rsidRPr="00B90432">
        <w:rPr>
          <w:rFonts w:asciiTheme="minorHAnsi" w:hAnsiTheme="minorHAnsi"/>
        </w:rPr>
        <w:t>In not providing for other means to address the monetary obligation, the Law against Money Laundering an</w:t>
      </w:r>
      <w:r w:rsidR="005B6EF4" w:rsidRPr="00B90432">
        <w:rPr>
          <w:rFonts w:asciiTheme="minorHAnsi" w:hAnsiTheme="minorHAnsi"/>
        </w:rPr>
        <w:t>d the Criminal Code</w:t>
      </w:r>
      <w:r w:rsidR="0066317C" w:rsidRPr="00B90432">
        <w:rPr>
          <w:rFonts w:asciiTheme="minorHAnsi" w:hAnsiTheme="minorHAnsi"/>
        </w:rPr>
        <w:t>,</w:t>
      </w:r>
      <w:r w:rsidR="005B6EF4" w:rsidRPr="00B90432">
        <w:rPr>
          <w:rFonts w:asciiTheme="minorHAnsi" w:hAnsiTheme="minorHAnsi"/>
        </w:rPr>
        <w:t xml:space="preserve"> in conjunction</w:t>
      </w:r>
      <w:r w:rsidR="0066317C" w:rsidRPr="00B90432">
        <w:rPr>
          <w:rFonts w:asciiTheme="minorHAnsi" w:hAnsiTheme="minorHAnsi"/>
        </w:rPr>
        <w:t>,</w:t>
      </w:r>
      <w:r w:rsidR="005B6EF4" w:rsidRPr="00B90432">
        <w:rPr>
          <w:rFonts w:asciiTheme="minorHAnsi" w:hAnsiTheme="minorHAnsi"/>
        </w:rPr>
        <w:t xml:space="preserve"> allow for a person convicted of money laundering to be deprived of his liberty indefinitely because he cannot afford to pay the fines based on the value of the assets, instruments or proceeds of the crime</w:t>
      </w:r>
      <w:r w:rsidR="006243A1" w:rsidRPr="00B90432">
        <w:rPr>
          <w:rFonts w:asciiTheme="minorHAnsi" w:hAnsiTheme="minorHAnsi"/>
        </w:rPr>
        <w:t xml:space="preserve">. </w:t>
      </w:r>
      <w:r w:rsidR="00253BC9" w:rsidRPr="00B90432">
        <w:rPr>
          <w:rFonts w:asciiTheme="minorHAnsi" w:hAnsiTheme="minorHAnsi"/>
        </w:rPr>
        <w:t xml:space="preserve">Moreover, the miniscule amount of money </w:t>
      </w:r>
      <w:r w:rsidR="00BC4F3A" w:rsidRPr="00B90432">
        <w:rPr>
          <w:rFonts w:asciiTheme="minorHAnsi" w:hAnsiTheme="minorHAnsi"/>
        </w:rPr>
        <w:t>subtracted</w:t>
      </w:r>
      <w:r w:rsidR="004C13F0" w:rsidRPr="00B90432">
        <w:rPr>
          <w:rFonts w:asciiTheme="minorHAnsi" w:hAnsiTheme="minorHAnsi"/>
        </w:rPr>
        <w:t xml:space="preserve"> from the debt of the fine</w:t>
      </w:r>
      <w:r w:rsidR="00BC4F3A" w:rsidRPr="00B90432">
        <w:rPr>
          <w:rFonts w:asciiTheme="minorHAnsi" w:hAnsiTheme="minorHAnsi"/>
        </w:rPr>
        <w:t xml:space="preserve"> in exchange for each day served in prison (ranging from .70¢ to $14 USD</w:t>
      </w:r>
      <w:r w:rsidR="004C13F0" w:rsidRPr="00B90432">
        <w:rPr>
          <w:rFonts w:asciiTheme="minorHAnsi" w:hAnsiTheme="minorHAnsi"/>
        </w:rPr>
        <w:t>/day</w:t>
      </w:r>
      <w:r w:rsidR="00BC4F3A" w:rsidRPr="00B90432">
        <w:rPr>
          <w:rFonts w:asciiTheme="minorHAnsi" w:hAnsiTheme="minorHAnsi"/>
        </w:rPr>
        <w:t xml:space="preserve">) </w:t>
      </w:r>
      <w:r w:rsidR="00C905B4" w:rsidRPr="00B90432">
        <w:rPr>
          <w:rFonts w:asciiTheme="minorHAnsi" w:hAnsiTheme="minorHAnsi"/>
        </w:rPr>
        <w:t xml:space="preserve">further </w:t>
      </w:r>
      <w:r w:rsidR="000E053E" w:rsidRPr="00B90432">
        <w:rPr>
          <w:rFonts w:asciiTheme="minorHAnsi" w:hAnsiTheme="minorHAnsi"/>
        </w:rPr>
        <w:t xml:space="preserve">keeps </w:t>
      </w:r>
      <w:r w:rsidR="00100F68" w:rsidRPr="00B90432">
        <w:rPr>
          <w:rFonts w:asciiTheme="minorHAnsi" w:hAnsiTheme="minorHAnsi"/>
        </w:rPr>
        <w:t>persons deprived of liberty from successfully paying off</w:t>
      </w:r>
      <w:r w:rsidR="00BA6D65" w:rsidRPr="00B90432">
        <w:rPr>
          <w:rFonts w:asciiTheme="minorHAnsi" w:hAnsiTheme="minorHAnsi"/>
        </w:rPr>
        <w:t xml:space="preserve"> their debt</w:t>
      </w:r>
      <w:r w:rsidR="006243A1" w:rsidRPr="00B90432">
        <w:rPr>
          <w:rFonts w:asciiTheme="minorHAnsi" w:hAnsiTheme="minorHAnsi"/>
        </w:rPr>
        <w:t xml:space="preserve">. </w:t>
      </w:r>
      <w:r w:rsidR="00C905B4" w:rsidRPr="00B90432">
        <w:rPr>
          <w:rFonts w:asciiTheme="minorHAnsi" w:hAnsiTheme="minorHAnsi"/>
        </w:rPr>
        <w:t xml:space="preserve">The absence of explicit regulations of the time periods in these </w:t>
      </w:r>
      <w:r w:rsidR="00372EFC" w:rsidRPr="00B90432">
        <w:rPr>
          <w:rFonts w:asciiTheme="minorHAnsi" w:hAnsiTheme="minorHAnsi"/>
        </w:rPr>
        <w:t>circumstances</w:t>
      </w:r>
      <w:r w:rsidR="00C905B4" w:rsidRPr="00B90432">
        <w:rPr>
          <w:rFonts w:asciiTheme="minorHAnsi" w:hAnsiTheme="minorHAnsi"/>
        </w:rPr>
        <w:t xml:space="preserve"> and </w:t>
      </w:r>
      <w:r w:rsidR="001E37F7" w:rsidRPr="00B90432">
        <w:rPr>
          <w:rFonts w:asciiTheme="minorHAnsi" w:hAnsiTheme="minorHAnsi"/>
        </w:rPr>
        <w:t xml:space="preserve">the </w:t>
      </w:r>
      <w:r w:rsidR="00C905B4" w:rsidRPr="00B90432">
        <w:rPr>
          <w:rFonts w:asciiTheme="minorHAnsi" w:hAnsiTheme="minorHAnsi"/>
        </w:rPr>
        <w:t>unpredictability render the de</w:t>
      </w:r>
      <w:r w:rsidR="00EF06FE" w:rsidRPr="00B90432">
        <w:rPr>
          <w:rFonts w:asciiTheme="minorHAnsi" w:hAnsiTheme="minorHAnsi"/>
        </w:rPr>
        <w:t xml:space="preserve">privation of liberty arbitrary and </w:t>
      </w:r>
      <w:r w:rsidR="001E37F7" w:rsidRPr="00B90432">
        <w:rPr>
          <w:rFonts w:asciiTheme="minorHAnsi" w:hAnsiTheme="minorHAnsi"/>
        </w:rPr>
        <w:t xml:space="preserve">amount to </w:t>
      </w:r>
      <w:r w:rsidR="00E2248F" w:rsidRPr="00B90432">
        <w:rPr>
          <w:rFonts w:asciiTheme="minorHAnsi" w:hAnsiTheme="minorHAnsi"/>
        </w:rPr>
        <w:t xml:space="preserve">life imprisonment. </w:t>
      </w:r>
      <w:r w:rsidR="008B10D0" w:rsidRPr="00B90432">
        <w:rPr>
          <w:rFonts w:asciiTheme="minorHAnsi" w:hAnsiTheme="minorHAnsi"/>
        </w:rPr>
        <w:t xml:space="preserve">Furthermore, said practice </w:t>
      </w:r>
      <w:r w:rsidR="00704313" w:rsidRPr="00B90432">
        <w:rPr>
          <w:rFonts w:asciiTheme="minorHAnsi" w:hAnsiTheme="minorHAnsi"/>
        </w:rPr>
        <w:t xml:space="preserve">constitutes deprivation of liberty for debts, which is prohibited under Article 7.7 of the American Convention. </w:t>
      </w:r>
    </w:p>
    <w:p w14:paraId="320E9D66" w14:textId="77777777" w:rsidR="006243A1" w:rsidRPr="00B90432" w:rsidRDefault="00E9399F" w:rsidP="00B90432">
      <w:pPr>
        <w:pStyle w:val="Numberedparagraphs"/>
        <w:rPr>
          <w:rFonts w:asciiTheme="minorHAnsi" w:hAnsiTheme="minorHAnsi"/>
        </w:rPr>
      </w:pPr>
      <w:r w:rsidRPr="00B90432">
        <w:rPr>
          <w:rFonts w:asciiTheme="minorHAnsi" w:hAnsiTheme="minorHAnsi"/>
        </w:rPr>
        <w:t xml:space="preserve">Additionally, the IACHR notes that this legal provision is glaringly discriminatory because it has a differential effect on persons living in poverty or who do not have the economic wherewithal to pay the fine imposed. </w:t>
      </w:r>
      <w:r w:rsidR="00624E8D" w:rsidRPr="00B90432">
        <w:rPr>
          <w:rFonts w:asciiTheme="minorHAnsi" w:hAnsiTheme="minorHAnsi"/>
        </w:rPr>
        <w:t xml:space="preserve">In view of the foregoing, the IACHR calls on the State to amend the </w:t>
      </w:r>
      <w:r w:rsidR="00372EFC" w:rsidRPr="00B90432">
        <w:rPr>
          <w:rFonts w:asciiTheme="minorHAnsi" w:hAnsiTheme="minorHAnsi"/>
        </w:rPr>
        <w:t>Guatemalan</w:t>
      </w:r>
      <w:r w:rsidR="00624E8D" w:rsidRPr="00B90432">
        <w:rPr>
          <w:rFonts w:asciiTheme="minorHAnsi" w:hAnsiTheme="minorHAnsi"/>
        </w:rPr>
        <w:t xml:space="preserve"> law so that it</w:t>
      </w:r>
      <w:r w:rsidR="00384128" w:rsidRPr="00B90432">
        <w:rPr>
          <w:rFonts w:asciiTheme="minorHAnsi" w:hAnsiTheme="minorHAnsi"/>
        </w:rPr>
        <w:t xml:space="preserve"> can meet</w:t>
      </w:r>
      <w:r w:rsidR="00624E8D" w:rsidRPr="00B90432">
        <w:rPr>
          <w:rFonts w:asciiTheme="minorHAnsi" w:hAnsiTheme="minorHAnsi"/>
        </w:rPr>
        <w:t xml:space="preserve"> the following requirements: </w:t>
      </w:r>
      <w:r w:rsidR="006243A1" w:rsidRPr="00B90432">
        <w:rPr>
          <w:rFonts w:asciiTheme="minorHAnsi" w:hAnsiTheme="minorHAnsi"/>
        </w:rPr>
        <w:t xml:space="preserve">a) </w:t>
      </w:r>
      <w:r w:rsidR="00624E8D" w:rsidRPr="00B90432">
        <w:rPr>
          <w:rFonts w:asciiTheme="minorHAnsi" w:hAnsiTheme="minorHAnsi"/>
        </w:rPr>
        <w:t xml:space="preserve">that the punishment for money laundering does not amount to </w:t>
      </w:r>
      <w:r w:rsidR="00624E8D" w:rsidRPr="00B90432">
        <w:rPr>
          <w:rFonts w:asciiTheme="minorHAnsi" w:hAnsiTheme="minorHAnsi"/>
          <w:i/>
        </w:rPr>
        <w:t xml:space="preserve">de facto </w:t>
      </w:r>
      <w:r w:rsidR="00624E8D" w:rsidRPr="00B90432">
        <w:rPr>
          <w:rFonts w:asciiTheme="minorHAnsi" w:hAnsiTheme="minorHAnsi"/>
        </w:rPr>
        <w:t xml:space="preserve">imposition of a double </w:t>
      </w:r>
      <w:r w:rsidR="003B7B3B" w:rsidRPr="00B90432">
        <w:rPr>
          <w:rFonts w:asciiTheme="minorHAnsi" w:hAnsiTheme="minorHAnsi"/>
        </w:rPr>
        <w:t>punishment of deprivation of liberty, even</w:t>
      </w:r>
      <w:r w:rsidR="004F31FC" w:rsidRPr="00B90432">
        <w:rPr>
          <w:rFonts w:asciiTheme="minorHAnsi" w:hAnsiTheme="minorHAnsi"/>
        </w:rPr>
        <w:t xml:space="preserve"> possibly leading</w:t>
      </w:r>
      <w:r w:rsidR="003B7B3B" w:rsidRPr="00B90432">
        <w:rPr>
          <w:rFonts w:asciiTheme="minorHAnsi" w:hAnsiTheme="minorHAnsi"/>
        </w:rPr>
        <w:t xml:space="preserve"> to life imprisonment, and </w:t>
      </w:r>
      <w:r w:rsidR="006243A1" w:rsidRPr="00B90432">
        <w:rPr>
          <w:rFonts w:asciiTheme="minorHAnsi" w:hAnsiTheme="minorHAnsi"/>
        </w:rPr>
        <w:t xml:space="preserve">b) </w:t>
      </w:r>
      <w:r w:rsidR="003B7B3B" w:rsidRPr="00B90432">
        <w:rPr>
          <w:rFonts w:asciiTheme="minorHAnsi" w:hAnsiTheme="minorHAnsi"/>
        </w:rPr>
        <w:t xml:space="preserve">that it not continue to </w:t>
      </w:r>
      <w:r w:rsidR="00FC5627" w:rsidRPr="00B90432">
        <w:rPr>
          <w:rFonts w:asciiTheme="minorHAnsi" w:hAnsiTheme="minorHAnsi"/>
        </w:rPr>
        <w:t xml:space="preserve">perpetuate </w:t>
      </w:r>
      <w:r w:rsidR="003B7B3B" w:rsidRPr="00B90432">
        <w:rPr>
          <w:rFonts w:asciiTheme="minorHAnsi" w:hAnsiTheme="minorHAnsi"/>
        </w:rPr>
        <w:t xml:space="preserve">the deprivation of liberty based on the mere material impediment that the persons have to </w:t>
      </w:r>
      <w:r w:rsidR="006250BB" w:rsidRPr="00B90432">
        <w:rPr>
          <w:rFonts w:asciiTheme="minorHAnsi" w:hAnsiTheme="minorHAnsi"/>
        </w:rPr>
        <w:t xml:space="preserve">address the fine imposed. </w:t>
      </w:r>
    </w:p>
    <w:p w14:paraId="75B92FB6" w14:textId="5FED8395" w:rsidR="006243A1" w:rsidRPr="00931BA7" w:rsidRDefault="004301EC" w:rsidP="00931BA7">
      <w:pPr>
        <w:pStyle w:val="Heading2"/>
      </w:pPr>
      <w:bookmarkStart w:id="96" w:name="_Toc509827698"/>
      <w:r w:rsidRPr="00931BA7">
        <w:t xml:space="preserve">Adolescent </w:t>
      </w:r>
      <w:r w:rsidR="00931BA7" w:rsidRPr="00931BA7">
        <w:t xml:space="preserve">Care </w:t>
      </w:r>
      <w:r w:rsidRPr="00931BA7">
        <w:t xml:space="preserve">and </w:t>
      </w:r>
      <w:r w:rsidR="00931BA7" w:rsidRPr="00931BA7">
        <w:t>Detention Facilities</w:t>
      </w:r>
      <w:bookmarkEnd w:id="96"/>
      <w:r w:rsidR="00931BA7" w:rsidRPr="00931BA7">
        <w:t xml:space="preserve"> </w:t>
      </w:r>
    </w:p>
    <w:p w14:paraId="5C685B44" w14:textId="12817011" w:rsidR="006243A1" w:rsidRPr="00B90432" w:rsidRDefault="006243A1" w:rsidP="00B90432">
      <w:pPr>
        <w:pStyle w:val="Numberedparagraphs"/>
        <w:rPr>
          <w:rFonts w:asciiTheme="minorHAnsi" w:hAnsiTheme="minorHAnsi"/>
        </w:rPr>
      </w:pPr>
      <w:r w:rsidRPr="00B90432">
        <w:rPr>
          <w:rFonts w:asciiTheme="minorHAnsi" w:hAnsiTheme="minorHAnsi"/>
        </w:rPr>
        <w:t xml:space="preserve">Guatemala </w:t>
      </w:r>
      <w:r w:rsidR="006E44BA" w:rsidRPr="00B90432">
        <w:rPr>
          <w:rFonts w:asciiTheme="minorHAnsi" w:hAnsiTheme="minorHAnsi"/>
        </w:rPr>
        <w:t>is an eminently young country. It has a population of more than 16 million</w:t>
      </w:r>
      <w:r w:rsidR="00A3789F" w:rsidRPr="00B90432">
        <w:rPr>
          <w:rFonts w:asciiTheme="minorHAnsi" w:hAnsiTheme="minorHAnsi"/>
        </w:rPr>
        <w:t xml:space="preserve"> inhabitants, around one half or 8,169,715 of which</w:t>
      </w:r>
      <w:r w:rsidR="006E44BA" w:rsidRPr="00B90432">
        <w:rPr>
          <w:rFonts w:asciiTheme="minorHAnsi" w:hAnsiTheme="minorHAnsi"/>
        </w:rPr>
        <w:t xml:space="preserve"> are children and adolescents from </w:t>
      </w:r>
      <w:r w:rsidR="006B4CD3" w:rsidRPr="00B90432">
        <w:rPr>
          <w:rFonts w:asciiTheme="minorHAnsi" w:hAnsiTheme="minorHAnsi"/>
        </w:rPr>
        <w:t xml:space="preserve">0 </w:t>
      </w:r>
      <w:r w:rsidR="006E44BA" w:rsidRPr="00B90432">
        <w:rPr>
          <w:rFonts w:asciiTheme="minorHAnsi" w:hAnsiTheme="minorHAnsi"/>
        </w:rPr>
        <w:t>to 19 years of age.</w:t>
      </w:r>
      <w:r w:rsidRPr="00B90432">
        <w:rPr>
          <w:rStyle w:val="FootnoteReference"/>
          <w:rFonts w:asciiTheme="minorHAnsi" w:hAnsiTheme="minorHAnsi"/>
          <w:sz w:val="22"/>
          <w:szCs w:val="22"/>
        </w:rPr>
        <w:footnoteReference w:id="743"/>
      </w:r>
      <w:r w:rsidRPr="00B90432">
        <w:rPr>
          <w:rFonts w:asciiTheme="minorHAnsi" w:hAnsiTheme="minorHAnsi"/>
        </w:rPr>
        <w:t xml:space="preserve"> </w:t>
      </w:r>
      <w:r w:rsidR="002B6802" w:rsidRPr="00B90432">
        <w:rPr>
          <w:rFonts w:asciiTheme="minorHAnsi" w:hAnsiTheme="minorHAnsi"/>
        </w:rPr>
        <w:t xml:space="preserve">According to the National Adoption Council, it is estimated that more than 5,000 children are currently institutionalized in the country for different reasons ranging from abandonment, abuse (physical, sexual or other types), poverty, pregnancy, a disability, </w:t>
      </w:r>
      <w:r w:rsidR="004F31FC" w:rsidRPr="00B90432">
        <w:rPr>
          <w:rFonts w:asciiTheme="minorHAnsi" w:hAnsiTheme="minorHAnsi"/>
        </w:rPr>
        <w:t>add</w:t>
      </w:r>
      <w:r w:rsidR="002B6802" w:rsidRPr="00B90432">
        <w:rPr>
          <w:rFonts w:asciiTheme="minorHAnsi" w:hAnsiTheme="minorHAnsi"/>
        </w:rPr>
        <w:t xml:space="preserve">iction, conflict or contact with criminal law, </w:t>
      </w:r>
      <w:r w:rsidR="002B6802" w:rsidRPr="00B90432">
        <w:rPr>
          <w:rFonts w:asciiTheme="minorHAnsi" w:hAnsiTheme="minorHAnsi"/>
          <w:i/>
        </w:rPr>
        <w:t>inter alia.</w:t>
      </w:r>
      <w:r w:rsidRPr="00B90432">
        <w:rPr>
          <w:rStyle w:val="FootnoteReference"/>
          <w:rFonts w:asciiTheme="minorHAnsi" w:hAnsiTheme="minorHAnsi"/>
          <w:sz w:val="22"/>
          <w:szCs w:val="22"/>
        </w:rPr>
        <w:footnoteReference w:id="744"/>
      </w:r>
      <w:r w:rsidRPr="00B90432">
        <w:rPr>
          <w:rFonts w:asciiTheme="minorHAnsi" w:hAnsiTheme="minorHAnsi"/>
        </w:rPr>
        <w:t xml:space="preserve"> </w:t>
      </w:r>
      <w:r w:rsidR="00CD3175" w:rsidRPr="00B90432">
        <w:rPr>
          <w:rFonts w:asciiTheme="minorHAnsi" w:hAnsiTheme="minorHAnsi"/>
        </w:rPr>
        <w:lastRenderedPageBreak/>
        <w:t xml:space="preserve">According to available statistics, </w:t>
      </w:r>
      <w:r w:rsidR="00DC6FA9" w:rsidRPr="00B90432">
        <w:rPr>
          <w:rFonts w:asciiTheme="minorHAnsi" w:hAnsiTheme="minorHAnsi"/>
        </w:rPr>
        <w:t xml:space="preserve">almost </w:t>
      </w:r>
      <w:r w:rsidR="00CD3175" w:rsidRPr="00B90432">
        <w:rPr>
          <w:rFonts w:asciiTheme="minorHAnsi" w:hAnsiTheme="minorHAnsi"/>
        </w:rPr>
        <w:t>40 children, on average, are orphaned in Guatemala each day.</w:t>
      </w:r>
      <w:r w:rsidRPr="00B90432">
        <w:rPr>
          <w:rStyle w:val="FootnoteReference"/>
          <w:rFonts w:asciiTheme="minorHAnsi" w:hAnsiTheme="minorHAnsi"/>
          <w:sz w:val="22"/>
          <w:szCs w:val="22"/>
        </w:rPr>
        <w:footnoteReference w:id="745"/>
      </w:r>
      <w:r w:rsidRPr="00B90432">
        <w:rPr>
          <w:rFonts w:asciiTheme="minorHAnsi" w:hAnsiTheme="minorHAnsi"/>
        </w:rPr>
        <w:t xml:space="preserve"> </w:t>
      </w:r>
      <w:r w:rsidR="004F64E1" w:rsidRPr="00B90432">
        <w:rPr>
          <w:rFonts w:asciiTheme="minorHAnsi" w:hAnsiTheme="minorHAnsi"/>
        </w:rPr>
        <w:t xml:space="preserve">In </w:t>
      </w:r>
      <w:r w:rsidR="00E91B64" w:rsidRPr="00B90432">
        <w:rPr>
          <w:rFonts w:asciiTheme="minorHAnsi" w:hAnsiTheme="minorHAnsi"/>
        </w:rPr>
        <w:t>this context</w:t>
      </w:r>
      <w:r w:rsidR="00EE334A" w:rsidRPr="00B90432">
        <w:rPr>
          <w:rFonts w:asciiTheme="minorHAnsi" w:hAnsiTheme="minorHAnsi"/>
        </w:rPr>
        <w:t xml:space="preserve">, this </w:t>
      </w:r>
      <w:r w:rsidR="00D054E8" w:rsidRPr="00B90432">
        <w:rPr>
          <w:rFonts w:asciiTheme="minorHAnsi" w:hAnsiTheme="minorHAnsi"/>
        </w:rPr>
        <w:t>section of the instant</w:t>
      </w:r>
      <w:r w:rsidR="004F64E1" w:rsidRPr="00B90432">
        <w:rPr>
          <w:rFonts w:asciiTheme="minorHAnsi" w:hAnsiTheme="minorHAnsi"/>
        </w:rPr>
        <w:t xml:space="preserve"> report examines the situation of children under the custody of th</w:t>
      </w:r>
      <w:r w:rsidR="00AE3921" w:rsidRPr="00B90432">
        <w:rPr>
          <w:rFonts w:asciiTheme="minorHAnsi" w:hAnsiTheme="minorHAnsi"/>
        </w:rPr>
        <w:t xml:space="preserve">e State at shelters, </w:t>
      </w:r>
      <w:r w:rsidR="002748FC" w:rsidRPr="00B90432">
        <w:rPr>
          <w:rFonts w:asciiTheme="minorHAnsi" w:hAnsiTheme="minorHAnsi"/>
        </w:rPr>
        <w:t xml:space="preserve">orphanages </w:t>
      </w:r>
      <w:r w:rsidR="004F64E1" w:rsidRPr="00B90432">
        <w:rPr>
          <w:rFonts w:asciiTheme="minorHAnsi" w:hAnsiTheme="minorHAnsi"/>
        </w:rPr>
        <w:t xml:space="preserve">and other </w:t>
      </w:r>
      <w:r w:rsidR="002748FC" w:rsidRPr="00B90432">
        <w:rPr>
          <w:rFonts w:asciiTheme="minorHAnsi" w:hAnsiTheme="minorHAnsi"/>
        </w:rPr>
        <w:t xml:space="preserve">residential </w:t>
      </w:r>
      <w:r w:rsidR="004F64E1" w:rsidRPr="00B90432">
        <w:rPr>
          <w:rFonts w:asciiTheme="minorHAnsi" w:hAnsiTheme="minorHAnsi"/>
        </w:rPr>
        <w:t xml:space="preserve">care or detention facilities. </w:t>
      </w:r>
    </w:p>
    <w:p w14:paraId="2A822D2D" w14:textId="77777777" w:rsidR="006243A1" w:rsidRPr="00B90432" w:rsidRDefault="00F41AFD" w:rsidP="00B90432">
      <w:pPr>
        <w:pStyle w:val="Numberedparagraphs"/>
        <w:rPr>
          <w:rFonts w:asciiTheme="minorHAnsi" w:hAnsiTheme="minorHAnsi"/>
        </w:rPr>
      </w:pPr>
      <w:r w:rsidRPr="00B90432">
        <w:rPr>
          <w:rFonts w:asciiTheme="minorHAnsi" w:hAnsiTheme="minorHAnsi"/>
        </w:rPr>
        <w:t>The State of G</w:t>
      </w:r>
      <w:r w:rsidR="003806FF" w:rsidRPr="00B90432">
        <w:rPr>
          <w:rFonts w:asciiTheme="minorHAnsi" w:hAnsiTheme="minorHAnsi"/>
        </w:rPr>
        <w:t xml:space="preserve">uatemala does not have a National System for the </w:t>
      </w:r>
      <w:r w:rsidR="007B0C4C" w:rsidRPr="00B90432">
        <w:rPr>
          <w:rFonts w:asciiTheme="minorHAnsi" w:hAnsiTheme="minorHAnsi"/>
        </w:rPr>
        <w:t xml:space="preserve">Full Implementation of the Rights </w:t>
      </w:r>
      <w:r w:rsidR="003806FF" w:rsidRPr="00B90432">
        <w:rPr>
          <w:rFonts w:asciiTheme="minorHAnsi" w:hAnsiTheme="minorHAnsi"/>
        </w:rPr>
        <w:t>of Chil</w:t>
      </w:r>
      <w:r w:rsidR="00E34E13" w:rsidRPr="00B90432">
        <w:rPr>
          <w:rFonts w:asciiTheme="minorHAnsi" w:hAnsiTheme="minorHAnsi"/>
        </w:rPr>
        <w:t>dren and Adolescents (NSFIRCA</w:t>
      </w:r>
      <w:r w:rsidR="00502E4F" w:rsidRPr="00B90432">
        <w:rPr>
          <w:rFonts w:asciiTheme="minorHAnsi" w:hAnsiTheme="minorHAnsi"/>
        </w:rPr>
        <w:t xml:space="preserve">), </w:t>
      </w:r>
      <w:r w:rsidR="00E34E13" w:rsidRPr="00B90432">
        <w:rPr>
          <w:rFonts w:asciiTheme="minorHAnsi" w:hAnsiTheme="minorHAnsi"/>
        </w:rPr>
        <w:t>b</w:t>
      </w:r>
      <w:r w:rsidR="00517D7D" w:rsidRPr="00B90432">
        <w:rPr>
          <w:rFonts w:asciiTheme="minorHAnsi" w:hAnsiTheme="minorHAnsi"/>
        </w:rPr>
        <w:t>ecause</w:t>
      </w:r>
      <w:r w:rsidR="00E34E13" w:rsidRPr="00B90432">
        <w:rPr>
          <w:rFonts w:asciiTheme="minorHAnsi" w:hAnsiTheme="minorHAnsi"/>
        </w:rPr>
        <w:t xml:space="preserve"> the Comprehensive </w:t>
      </w:r>
      <w:r w:rsidR="001E5C2D" w:rsidRPr="00B90432">
        <w:rPr>
          <w:rFonts w:asciiTheme="minorHAnsi" w:hAnsiTheme="minorHAnsi"/>
        </w:rPr>
        <w:t xml:space="preserve">Child and Adolescent </w:t>
      </w:r>
      <w:r w:rsidR="00E34E13" w:rsidRPr="00B90432">
        <w:rPr>
          <w:rFonts w:asciiTheme="minorHAnsi" w:hAnsiTheme="minorHAnsi"/>
        </w:rPr>
        <w:t>Protection Law (PINA Law, from the Spanish acronym)</w:t>
      </w:r>
      <w:r w:rsidR="00222499" w:rsidRPr="00B90432">
        <w:rPr>
          <w:rFonts w:asciiTheme="minorHAnsi" w:hAnsiTheme="minorHAnsi"/>
        </w:rPr>
        <w:t xml:space="preserve"> currently in force</w:t>
      </w:r>
      <w:r w:rsidR="00E34E13" w:rsidRPr="00B90432">
        <w:rPr>
          <w:rFonts w:asciiTheme="minorHAnsi" w:hAnsiTheme="minorHAnsi"/>
        </w:rPr>
        <w:t xml:space="preserve"> </w:t>
      </w:r>
      <w:r w:rsidR="00517D7D" w:rsidRPr="00B90432">
        <w:rPr>
          <w:rFonts w:asciiTheme="minorHAnsi" w:hAnsiTheme="minorHAnsi"/>
        </w:rPr>
        <w:t xml:space="preserve">does not </w:t>
      </w:r>
      <w:r w:rsidR="00F63EFA" w:rsidRPr="00B90432">
        <w:rPr>
          <w:rFonts w:asciiTheme="minorHAnsi" w:hAnsiTheme="minorHAnsi"/>
        </w:rPr>
        <w:t xml:space="preserve">clearly </w:t>
      </w:r>
      <w:r w:rsidR="00517D7D" w:rsidRPr="00B90432">
        <w:rPr>
          <w:rFonts w:asciiTheme="minorHAnsi" w:hAnsiTheme="minorHAnsi"/>
        </w:rPr>
        <w:t xml:space="preserve">establish </w:t>
      </w:r>
      <w:r w:rsidR="00283732" w:rsidRPr="00B90432">
        <w:rPr>
          <w:rFonts w:asciiTheme="minorHAnsi" w:hAnsiTheme="minorHAnsi"/>
        </w:rPr>
        <w:t>any comprehensive</w:t>
      </w:r>
      <w:r w:rsidR="00517D7D" w:rsidRPr="00B90432">
        <w:rPr>
          <w:rFonts w:asciiTheme="minorHAnsi" w:hAnsiTheme="minorHAnsi"/>
        </w:rPr>
        <w:t xml:space="preserve"> </w:t>
      </w:r>
      <w:r w:rsidR="00E34E13" w:rsidRPr="00B90432">
        <w:rPr>
          <w:rFonts w:asciiTheme="minorHAnsi" w:hAnsiTheme="minorHAnsi"/>
        </w:rPr>
        <w:t xml:space="preserve">protection system </w:t>
      </w:r>
      <w:r w:rsidR="00361BED" w:rsidRPr="00B90432">
        <w:rPr>
          <w:rFonts w:asciiTheme="minorHAnsi" w:hAnsiTheme="minorHAnsi"/>
        </w:rPr>
        <w:t xml:space="preserve">with </w:t>
      </w:r>
      <w:r w:rsidR="00A44B72" w:rsidRPr="00B90432">
        <w:rPr>
          <w:rFonts w:asciiTheme="minorHAnsi" w:hAnsiTheme="minorHAnsi"/>
        </w:rPr>
        <w:t>a high-</w:t>
      </w:r>
      <w:r w:rsidR="00361BED" w:rsidRPr="00B90432">
        <w:rPr>
          <w:rFonts w:asciiTheme="minorHAnsi" w:hAnsiTheme="minorHAnsi"/>
        </w:rPr>
        <w:t>level</w:t>
      </w:r>
      <w:r w:rsidR="00816894" w:rsidRPr="00B90432">
        <w:rPr>
          <w:rFonts w:asciiTheme="minorHAnsi" w:hAnsiTheme="minorHAnsi"/>
        </w:rPr>
        <w:t xml:space="preserve"> interinstitutional coordinating body. </w:t>
      </w:r>
      <w:r w:rsidR="00C065B5" w:rsidRPr="00B90432">
        <w:rPr>
          <w:rFonts w:asciiTheme="minorHAnsi" w:hAnsiTheme="minorHAnsi"/>
        </w:rPr>
        <w:t xml:space="preserve">Such a system for full implementation requires that comprehensive protection policies </w:t>
      </w:r>
      <w:r w:rsidR="00583656" w:rsidRPr="00B90432">
        <w:rPr>
          <w:rFonts w:asciiTheme="minorHAnsi" w:hAnsiTheme="minorHAnsi"/>
        </w:rPr>
        <w:t>d</w:t>
      </w:r>
      <w:r w:rsidR="00A44B72" w:rsidRPr="00B90432">
        <w:rPr>
          <w:rFonts w:asciiTheme="minorHAnsi" w:hAnsiTheme="minorHAnsi"/>
        </w:rPr>
        <w:t>efining</w:t>
      </w:r>
      <w:r w:rsidR="00583656" w:rsidRPr="00B90432">
        <w:rPr>
          <w:rFonts w:asciiTheme="minorHAnsi" w:hAnsiTheme="minorHAnsi"/>
        </w:rPr>
        <w:t xml:space="preserve"> a </w:t>
      </w:r>
      <w:r w:rsidR="00DB5DD9" w:rsidRPr="00B90432">
        <w:rPr>
          <w:rFonts w:asciiTheme="minorHAnsi" w:hAnsiTheme="minorHAnsi"/>
        </w:rPr>
        <w:t xml:space="preserve">set of actions </w:t>
      </w:r>
      <w:r w:rsidR="00AD46DE" w:rsidRPr="00B90432">
        <w:rPr>
          <w:rFonts w:asciiTheme="minorHAnsi" w:hAnsiTheme="minorHAnsi"/>
        </w:rPr>
        <w:t xml:space="preserve">be </w:t>
      </w:r>
      <w:r w:rsidR="00C05CAB" w:rsidRPr="00B90432">
        <w:rPr>
          <w:rFonts w:asciiTheme="minorHAnsi" w:hAnsiTheme="minorHAnsi"/>
        </w:rPr>
        <w:t xml:space="preserve">prescribed </w:t>
      </w:r>
      <w:r w:rsidR="00A239FB" w:rsidRPr="00B90432">
        <w:rPr>
          <w:rFonts w:asciiTheme="minorHAnsi" w:hAnsiTheme="minorHAnsi"/>
        </w:rPr>
        <w:t xml:space="preserve">by </w:t>
      </w:r>
      <w:r w:rsidR="002E6F42" w:rsidRPr="00B90432">
        <w:rPr>
          <w:rFonts w:asciiTheme="minorHAnsi" w:hAnsiTheme="minorHAnsi"/>
        </w:rPr>
        <w:t xml:space="preserve">the </w:t>
      </w:r>
      <w:r w:rsidR="004453E4" w:rsidRPr="00B90432">
        <w:rPr>
          <w:rFonts w:asciiTheme="minorHAnsi" w:hAnsiTheme="minorHAnsi"/>
        </w:rPr>
        <w:t>National Children’s and Adolescents’</w:t>
      </w:r>
      <w:r w:rsidR="000D1F07" w:rsidRPr="00B90432">
        <w:rPr>
          <w:rFonts w:asciiTheme="minorHAnsi" w:hAnsiTheme="minorHAnsi"/>
        </w:rPr>
        <w:t xml:space="preserve"> </w:t>
      </w:r>
      <w:r w:rsidR="004453E4" w:rsidRPr="00B90432">
        <w:rPr>
          <w:rFonts w:asciiTheme="minorHAnsi" w:hAnsiTheme="minorHAnsi"/>
        </w:rPr>
        <w:t>Commission</w:t>
      </w:r>
      <w:r w:rsidR="001340F6" w:rsidRPr="00B90432">
        <w:rPr>
          <w:rFonts w:asciiTheme="minorHAnsi" w:hAnsiTheme="minorHAnsi"/>
        </w:rPr>
        <w:t xml:space="preserve"> </w:t>
      </w:r>
      <w:r w:rsidR="004453E4" w:rsidRPr="00B90432">
        <w:rPr>
          <w:rFonts w:asciiTheme="minorHAnsi" w:hAnsiTheme="minorHAnsi"/>
        </w:rPr>
        <w:t xml:space="preserve">and the Municipal Children’s and Adolescents’ </w:t>
      </w:r>
      <w:r w:rsidR="00AC3827" w:rsidRPr="00B90432">
        <w:rPr>
          <w:rFonts w:asciiTheme="minorHAnsi" w:hAnsiTheme="minorHAnsi"/>
        </w:rPr>
        <w:t>Commissions for children and adolescents</w:t>
      </w:r>
      <w:r w:rsidR="00D05B41" w:rsidRPr="00B90432">
        <w:rPr>
          <w:rFonts w:asciiTheme="minorHAnsi" w:hAnsiTheme="minorHAnsi"/>
        </w:rPr>
        <w:t xml:space="preserve"> </w:t>
      </w:r>
      <w:r w:rsidR="00AC3827" w:rsidRPr="00B90432">
        <w:rPr>
          <w:rFonts w:asciiTheme="minorHAnsi" w:hAnsiTheme="minorHAnsi"/>
        </w:rPr>
        <w:t xml:space="preserve">to be able to </w:t>
      </w:r>
      <w:r w:rsidR="00D05B41" w:rsidRPr="00B90432">
        <w:rPr>
          <w:rFonts w:asciiTheme="minorHAnsi" w:hAnsiTheme="minorHAnsi"/>
        </w:rPr>
        <w:t xml:space="preserve">ensure </w:t>
      </w:r>
      <w:r w:rsidR="008E2C9D" w:rsidRPr="00B90432">
        <w:rPr>
          <w:rFonts w:asciiTheme="minorHAnsi" w:hAnsiTheme="minorHAnsi"/>
        </w:rPr>
        <w:t>the full enjoyment of the</w:t>
      </w:r>
      <w:r w:rsidR="009409DC" w:rsidRPr="00B90432">
        <w:rPr>
          <w:rFonts w:asciiTheme="minorHAnsi" w:hAnsiTheme="minorHAnsi"/>
        </w:rPr>
        <w:t>ir</w:t>
      </w:r>
      <w:r w:rsidR="008E2C9D" w:rsidRPr="00B90432">
        <w:rPr>
          <w:rFonts w:asciiTheme="minorHAnsi" w:hAnsiTheme="minorHAnsi"/>
        </w:rPr>
        <w:t xml:space="preserve"> rights and freedoms. </w:t>
      </w:r>
      <w:r w:rsidR="00676C83" w:rsidRPr="00B90432">
        <w:rPr>
          <w:rFonts w:asciiTheme="minorHAnsi" w:hAnsiTheme="minorHAnsi"/>
        </w:rPr>
        <w:t>In an attempt to create a National System for the Full Implementation of the Rights of Children</w:t>
      </w:r>
      <w:r w:rsidR="00843F54" w:rsidRPr="00B90432">
        <w:rPr>
          <w:rFonts w:asciiTheme="minorHAnsi" w:hAnsiTheme="minorHAnsi"/>
        </w:rPr>
        <w:t xml:space="preserve"> and A</w:t>
      </w:r>
      <w:r w:rsidR="001E3EF6" w:rsidRPr="00B90432">
        <w:rPr>
          <w:rFonts w:asciiTheme="minorHAnsi" w:hAnsiTheme="minorHAnsi"/>
        </w:rPr>
        <w:t>dolescents, the National Children’s and Adolescents’</w:t>
      </w:r>
      <w:r w:rsidR="000D1F07" w:rsidRPr="00B90432">
        <w:rPr>
          <w:rFonts w:asciiTheme="minorHAnsi" w:hAnsiTheme="minorHAnsi"/>
        </w:rPr>
        <w:t xml:space="preserve"> Commission was created </w:t>
      </w:r>
      <w:r w:rsidR="001E3EF6" w:rsidRPr="00B90432">
        <w:rPr>
          <w:rFonts w:asciiTheme="minorHAnsi" w:hAnsiTheme="minorHAnsi"/>
        </w:rPr>
        <w:t xml:space="preserve">to be the </w:t>
      </w:r>
      <w:r w:rsidR="0057533B" w:rsidRPr="00B90432">
        <w:rPr>
          <w:rFonts w:asciiTheme="minorHAnsi" w:hAnsiTheme="minorHAnsi"/>
        </w:rPr>
        <w:t xml:space="preserve">lead </w:t>
      </w:r>
      <w:r w:rsidR="00B91E4F" w:rsidRPr="00B90432">
        <w:rPr>
          <w:rFonts w:asciiTheme="minorHAnsi" w:hAnsiTheme="minorHAnsi"/>
        </w:rPr>
        <w:t xml:space="preserve">children’s </w:t>
      </w:r>
      <w:r w:rsidR="001E3EF6" w:rsidRPr="00B90432">
        <w:rPr>
          <w:rFonts w:asciiTheme="minorHAnsi" w:hAnsiTheme="minorHAnsi"/>
        </w:rPr>
        <w:t>policy-making body</w:t>
      </w:r>
      <w:r w:rsidR="00B91E4F" w:rsidRPr="00B90432">
        <w:rPr>
          <w:rFonts w:asciiTheme="minorHAnsi" w:hAnsiTheme="minorHAnsi"/>
        </w:rPr>
        <w:t xml:space="preserve">. </w:t>
      </w:r>
      <w:r w:rsidR="00AC14D5" w:rsidRPr="00B90432">
        <w:rPr>
          <w:rFonts w:asciiTheme="minorHAnsi" w:hAnsiTheme="minorHAnsi"/>
        </w:rPr>
        <w:t>In practice, this National Commission</w:t>
      </w:r>
      <w:r w:rsidR="00AE5B0D" w:rsidRPr="00B90432">
        <w:rPr>
          <w:rFonts w:asciiTheme="minorHAnsi" w:hAnsiTheme="minorHAnsi"/>
        </w:rPr>
        <w:t xml:space="preserve"> fulfills its duty only to a limited extent, inasmuch as</w:t>
      </w:r>
      <w:r w:rsidR="00E92C05" w:rsidRPr="00B90432">
        <w:rPr>
          <w:rFonts w:asciiTheme="minorHAnsi" w:hAnsiTheme="minorHAnsi"/>
        </w:rPr>
        <w:t xml:space="preserve"> instead of coordinating a comprehensive public policy between the institutions involved</w:t>
      </w:r>
      <w:r w:rsidR="004029FF" w:rsidRPr="00B90432">
        <w:rPr>
          <w:rFonts w:asciiTheme="minorHAnsi" w:hAnsiTheme="minorHAnsi"/>
        </w:rPr>
        <w:t>,</w:t>
      </w:r>
      <w:r w:rsidR="00E92C05" w:rsidRPr="00B90432">
        <w:rPr>
          <w:rFonts w:asciiTheme="minorHAnsi" w:hAnsiTheme="minorHAnsi"/>
        </w:rPr>
        <w:t xml:space="preserve"> it </w:t>
      </w:r>
      <w:r w:rsidR="007C281D" w:rsidRPr="00B90432">
        <w:rPr>
          <w:rFonts w:asciiTheme="minorHAnsi" w:hAnsiTheme="minorHAnsi"/>
        </w:rPr>
        <w:t xml:space="preserve">only </w:t>
      </w:r>
      <w:r w:rsidR="00AA42F6" w:rsidRPr="00B90432">
        <w:rPr>
          <w:rFonts w:asciiTheme="minorHAnsi" w:hAnsiTheme="minorHAnsi"/>
        </w:rPr>
        <w:t xml:space="preserve">focuses on </w:t>
      </w:r>
      <w:r w:rsidR="00E92C05" w:rsidRPr="00B90432">
        <w:rPr>
          <w:rFonts w:asciiTheme="minorHAnsi" w:hAnsiTheme="minorHAnsi"/>
        </w:rPr>
        <w:t xml:space="preserve">selected </w:t>
      </w:r>
      <w:r w:rsidR="00275D4A" w:rsidRPr="00B90432">
        <w:rPr>
          <w:rFonts w:asciiTheme="minorHAnsi" w:hAnsiTheme="minorHAnsi"/>
        </w:rPr>
        <w:t>programs</w:t>
      </w:r>
      <w:r w:rsidR="00E92C05" w:rsidRPr="00B90432">
        <w:rPr>
          <w:rFonts w:asciiTheme="minorHAnsi" w:hAnsiTheme="minorHAnsi"/>
        </w:rPr>
        <w:t>.</w:t>
      </w:r>
      <w:r w:rsidR="00275D4A" w:rsidRPr="00B90432">
        <w:rPr>
          <w:rFonts w:asciiTheme="minorHAnsi" w:hAnsiTheme="minorHAnsi"/>
        </w:rPr>
        <w:t xml:space="preserve"> </w:t>
      </w:r>
    </w:p>
    <w:p w14:paraId="5F0BD948" w14:textId="77777777" w:rsidR="006243A1" w:rsidRPr="00B90432" w:rsidRDefault="00C22254" w:rsidP="00B90432">
      <w:pPr>
        <w:pStyle w:val="Numberedparagraphs"/>
        <w:rPr>
          <w:rFonts w:asciiTheme="minorHAnsi" w:hAnsiTheme="minorHAnsi"/>
        </w:rPr>
      </w:pPr>
      <w:r w:rsidRPr="00B90432">
        <w:rPr>
          <w:rFonts w:asciiTheme="minorHAnsi" w:hAnsiTheme="minorHAnsi"/>
        </w:rPr>
        <w:t xml:space="preserve">In the absence </w:t>
      </w:r>
      <w:r w:rsidR="001400AE" w:rsidRPr="00B90432">
        <w:rPr>
          <w:rFonts w:asciiTheme="minorHAnsi" w:hAnsiTheme="minorHAnsi"/>
        </w:rPr>
        <w:t xml:space="preserve">of </w:t>
      </w:r>
      <w:r w:rsidR="00861B27" w:rsidRPr="00B90432">
        <w:rPr>
          <w:rFonts w:asciiTheme="minorHAnsi" w:hAnsiTheme="minorHAnsi"/>
        </w:rPr>
        <w:t xml:space="preserve">such a </w:t>
      </w:r>
      <w:r w:rsidR="001400AE" w:rsidRPr="00B90432">
        <w:rPr>
          <w:rFonts w:asciiTheme="minorHAnsi" w:hAnsiTheme="minorHAnsi"/>
        </w:rPr>
        <w:t>system, the Secr</w:t>
      </w:r>
      <w:r w:rsidR="00173DEB" w:rsidRPr="00B90432">
        <w:rPr>
          <w:rFonts w:asciiTheme="minorHAnsi" w:hAnsiTheme="minorHAnsi"/>
        </w:rPr>
        <w:t>e</w:t>
      </w:r>
      <w:r w:rsidR="001400AE" w:rsidRPr="00B90432">
        <w:rPr>
          <w:rFonts w:asciiTheme="minorHAnsi" w:hAnsiTheme="minorHAnsi"/>
        </w:rPr>
        <w:t>tariat of Social Welfare (SBS) has taken on the role of the lead</w:t>
      </w:r>
      <w:r w:rsidR="00173DEB" w:rsidRPr="00B90432">
        <w:rPr>
          <w:rFonts w:asciiTheme="minorHAnsi" w:hAnsiTheme="minorHAnsi"/>
        </w:rPr>
        <w:t>,</w:t>
      </w:r>
      <w:r w:rsidR="001400AE" w:rsidRPr="00B90432">
        <w:rPr>
          <w:rFonts w:asciiTheme="minorHAnsi" w:hAnsiTheme="minorHAnsi"/>
        </w:rPr>
        <w:t xml:space="preserve"> as well as the implementing</w:t>
      </w:r>
      <w:r w:rsidR="00173DEB" w:rsidRPr="00B90432">
        <w:rPr>
          <w:rFonts w:asciiTheme="minorHAnsi" w:hAnsiTheme="minorHAnsi"/>
        </w:rPr>
        <w:t>,</w:t>
      </w:r>
      <w:r w:rsidR="001400AE" w:rsidRPr="00B90432">
        <w:rPr>
          <w:rFonts w:asciiTheme="minorHAnsi" w:hAnsiTheme="minorHAnsi"/>
        </w:rPr>
        <w:t xml:space="preserve"> agency for services at residential institutions and facilities housing adolescents in conflict or contact with </w:t>
      </w:r>
      <w:r w:rsidR="00315DAF" w:rsidRPr="00B90432">
        <w:rPr>
          <w:rFonts w:asciiTheme="minorHAnsi" w:hAnsiTheme="minorHAnsi"/>
        </w:rPr>
        <w:t>the criminal justice system. Consequently,</w:t>
      </w:r>
      <w:r w:rsidR="001400AE" w:rsidRPr="00B90432">
        <w:rPr>
          <w:rFonts w:asciiTheme="minorHAnsi" w:hAnsiTheme="minorHAnsi"/>
        </w:rPr>
        <w:t xml:space="preserve"> </w:t>
      </w:r>
      <w:r w:rsidR="000B5CB9" w:rsidRPr="00B90432">
        <w:rPr>
          <w:rFonts w:asciiTheme="minorHAnsi" w:hAnsiTheme="minorHAnsi"/>
        </w:rPr>
        <w:t xml:space="preserve">a </w:t>
      </w:r>
      <w:r w:rsidR="00832528" w:rsidRPr="00B90432">
        <w:rPr>
          <w:rFonts w:asciiTheme="minorHAnsi" w:hAnsiTheme="minorHAnsi"/>
        </w:rPr>
        <w:t xml:space="preserve">public </w:t>
      </w:r>
      <w:r w:rsidR="004A2376" w:rsidRPr="00B90432">
        <w:rPr>
          <w:rFonts w:asciiTheme="minorHAnsi" w:hAnsiTheme="minorHAnsi"/>
        </w:rPr>
        <w:t>assistance-</w:t>
      </w:r>
      <w:r w:rsidR="00873D5B" w:rsidRPr="00B90432">
        <w:rPr>
          <w:rFonts w:asciiTheme="minorHAnsi" w:hAnsiTheme="minorHAnsi"/>
        </w:rPr>
        <w:t xml:space="preserve">focused </w:t>
      </w:r>
      <w:r w:rsidR="000B5CB9" w:rsidRPr="00B90432">
        <w:rPr>
          <w:rFonts w:asciiTheme="minorHAnsi" w:hAnsiTheme="minorHAnsi"/>
        </w:rPr>
        <w:t xml:space="preserve">approach </w:t>
      </w:r>
      <w:r w:rsidR="00873D5B" w:rsidRPr="00B90432">
        <w:rPr>
          <w:rFonts w:asciiTheme="minorHAnsi" w:hAnsiTheme="minorHAnsi"/>
        </w:rPr>
        <w:t>based on a paradigm of an irregular</w:t>
      </w:r>
      <w:r w:rsidR="00042861" w:rsidRPr="00B90432">
        <w:rPr>
          <w:rFonts w:asciiTheme="minorHAnsi" w:hAnsiTheme="minorHAnsi"/>
        </w:rPr>
        <w:t xml:space="preserve"> or aberra</w:t>
      </w:r>
      <w:r w:rsidR="000C70B2" w:rsidRPr="00B90432">
        <w:rPr>
          <w:rFonts w:asciiTheme="minorHAnsi" w:hAnsiTheme="minorHAnsi"/>
        </w:rPr>
        <w:t>nt</w:t>
      </w:r>
      <w:r w:rsidR="00873D5B" w:rsidRPr="00B90432">
        <w:rPr>
          <w:rFonts w:asciiTheme="minorHAnsi" w:hAnsiTheme="minorHAnsi"/>
        </w:rPr>
        <w:t xml:space="preserve"> situation</w:t>
      </w:r>
      <w:r w:rsidR="00A568B5" w:rsidRPr="00B90432">
        <w:rPr>
          <w:rFonts w:asciiTheme="minorHAnsi" w:hAnsiTheme="minorHAnsi"/>
        </w:rPr>
        <w:t xml:space="preserve"> is</w:t>
      </w:r>
      <w:r w:rsidR="00B149A0" w:rsidRPr="00B90432">
        <w:rPr>
          <w:rFonts w:asciiTheme="minorHAnsi" w:hAnsiTheme="minorHAnsi"/>
        </w:rPr>
        <w:t xml:space="preserve"> used</w:t>
      </w:r>
      <w:r w:rsidR="00A568B5" w:rsidRPr="00B90432">
        <w:rPr>
          <w:rFonts w:asciiTheme="minorHAnsi" w:hAnsiTheme="minorHAnsi"/>
        </w:rPr>
        <w:t>,</w:t>
      </w:r>
      <w:r w:rsidR="00873D5B" w:rsidRPr="00B90432">
        <w:rPr>
          <w:rFonts w:asciiTheme="minorHAnsi" w:hAnsiTheme="minorHAnsi"/>
        </w:rPr>
        <w:t xml:space="preserve"> as opposed to </w:t>
      </w:r>
      <w:r w:rsidR="004A2376" w:rsidRPr="00B90432">
        <w:rPr>
          <w:rFonts w:asciiTheme="minorHAnsi" w:hAnsiTheme="minorHAnsi"/>
        </w:rPr>
        <w:t xml:space="preserve">an approach of </w:t>
      </w:r>
      <w:r w:rsidR="006A51CC" w:rsidRPr="00B90432">
        <w:rPr>
          <w:rFonts w:asciiTheme="minorHAnsi" w:hAnsiTheme="minorHAnsi"/>
        </w:rPr>
        <w:t>full protection and implementation of rights</w:t>
      </w:r>
      <w:r w:rsidR="001563CD" w:rsidRPr="00B90432">
        <w:rPr>
          <w:rFonts w:asciiTheme="minorHAnsi" w:hAnsiTheme="minorHAnsi"/>
        </w:rPr>
        <w:t xml:space="preserve">. </w:t>
      </w:r>
      <w:r w:rsidR="0072648B" w:rsidRPr="00B90432">
        <w:rPr>
          <w:rFonts w:asciiTheme="minorHAnsi" w:hAnsiTheme="minorHAnsi"/>
        </w:rPr>
        <w:t>The Commi</w:t>
      </w:r>
      <w:r w:rsidR="000C5130" w:rsidRPr="00B90432">
        <w:rPr>
          <w:rFonts w:asciiTheme="minorHAnsi" w:hAnsiTheme="minorHAnsi"/>
        </w:rPr>
        <w:t xml:space="preserve">ssion received information </w:t>
      </w:r>
      <w:r w:rsidR="003531DF" w:rsidRPr="00B90432">
        <w:rPr>
          <w:rFonts w:asciiTheme="minorHAnsi" w:hAnsiTheme="minorHAnsi"/>
        </w:rPr>
        <w:t xml:space="preserve">indicating </w:t>
      </w:r>
      <w:r w:rsidR="000C5130" w:rsidRPr="00B90432">
        <w:rPr>
          <w:rFonts w:asciiTheme="minorHAnsi" w:hAnsiTheme="minorHAnsi"/>
        </w:rPr>
        <w:t xml:space="preserve">that </w:t>
      </w:r>
      <w:r w:rsidR="00823994" w:rsidRPr="00B90432">
        <w:rPr>
          <w:rFonts w:asciiTheme="minorHAnsi" w:hAnsiTheme="minorHAnsi"/>
        </w:rPr>
        <w:t xml:space="preserve">coordination </w:t>
      </w:r>
      <w:r w:rsidR="000C5130" w:rsidRPr="00B90432">
        <w:rPr>
          <w:rFonts w:asciiTheme="minorHAnsi" w:hAnsiTheme="minorHAnsi"/>
        </w:rPr>
        <w:t>between the SBS</w:t>
      </w:r>
      <w:r w:rsidR="00815EAD" w:rsidRPr="00B90432">
        <w:rPr>
          <w:rFonts w:asciiTheme="minorHAnsi" w:hAnsiTheme="minorHAnsi"/>
        </w:rPr>
        <w:t xml:space="preserve"> (</w:t>
      </w:r>
      <w:r w:rsidR="000C5130" w:rsidRPr="00B90432">
        <w:rPr>
          <w:rFonts w:asciiTheme="minorHAnsi" w:hAnsiTheme="minorHAnsi"/>
        </w:rPr>
        <w:t>which is directly und</w:t>
      </w:r>
      <w:r w:rsidR="00815EAD" w:rsidRPr="00B90432">
        <w:rPr>
          <w:rFonts w:asciiTheme="minorHAnsi" w:hAnsiTheme="minorHAnsi"/>
        </w:rPr>
        <w:t>er the Office of the President)</w:t>
      </w:r>
      <w:r w:rsidR="00B26FBC" w:rsidRPr="00B90432">
        <w:rPr>
          <w:rFonts w:asciiTheme="minorHAnsi" w:hAnsiTheme="minorHAnsi"/>
        </w:rPr>
        <w:t>,</w:t>
      </w:r>
      <w:r w:rsidR="000C5130" w:rsidRPr="00B90432">
        <w:rPr>
          <w:rFonts w:asciiTheme="minorHAnsi" w:hAnsiTheme="minorHAnsi"/>
        </w:rPr>
        <w:t xml:space="preserve"> the Ministry of Social </w:t>
      </w:r>
      <w:r w:rsidR="007076F8" w:rsidRPr="00B90432">
        <w:rPr>
          <w:rFonts w:asciiTheme="minorHAnsi" w:hAnsiTheme="minorHAnsi"/>
        </w:rPr>
        <w:t>Development, and other r</w:t>
      </w:r>
      <w:r w:rsidR="00974E7F" w:rsidRPr="00B90432">
        <w:rPr>
          <w:rFonts w:asciiTheme="minorHAnsi" w:hAnsiTheme="minorHAnsi"/>
        </w:rPr>
        <w:t xml:space="preserve">elevant government agencies </w:t>
      </w:r>
      <w:r w:rsidR="002A11C2" w:rsidRPr="00B90432">
        <w:rPr>
          <w:rFonts w:asciiTheme="minorHAnsi" w:hAnsiTheme="minorHAnsi"/>
        </w:rPr>
        <w:t xml:space="preserve">involved in </w:t>
      </w:r>
      <w:r w:rsidR="00907C9F" w:rsidRPr="00B90432">
        <w:rPr>
          <w:rFonts w:asciiTheme="minorHAnsi" w:hAnsiTheme="minorHAnsi"/>
        </w:rPr>
        <w:t xml:space="preserve">the </w:t>
      </w:r>
      <w:r w:rsidR="00974E7F" w:rsidRPr="00B90432">
        <w:rPr>
          <w:rFonts w:asciiTheme="minorHAnsi" w:hAnsiTheme="minorHAnsi"/>
        </w:rPr>
        <w:t>full implementation of rights and protect</w:t>
      </w:r>
      <w:r w:rsidR="002A11C2" w:rsidRPr="00B90432">
        <w:rPr>
          <w:rFonts w:asciiTheme="minorHAnsi" w:hAnsiTheme="minorHAnsi"/>
        </w:rPr>
        <w:t>ion of</w:t>
      </w:r>
      <w:r w:rsidR="00974E7F" w:rsidRPr="00B90432">
        <w:rPr>
          <w:rFonts w:asciiTheme="minorHAnsi" w:hAnsiTheme="minorHAnsi"/>
        </w:rPr>
        <w:t xml:space="preserve"> children</w:t>
      </w:r>
      <w:r w:rsidR="001D149D" w:rsidRPr="00B90432">
        <w:rPr>
          <w:rFonts w:asciiTheme="minorHAnsi" w:hAnsiTheme="minorHAnsi"/>
        </w:rPr>
        <w:t xml:space="preserve"> is </w:t>
      </w:r>
      <w:r w:rsidR="00372EFC" w:rsidRPr="00B90432">
        <w:rPr>
          <w:rFonts w:asciiTheme="minorHAnsi" w:hAnsiTheme="minorHAnsi"/>
        </w:rPr>
        <w:t>wholly</w:t>
      </w:r>
      <w:r w:rsidR="001D149D" w:rsidRPr="00B90432">
        <w:rPr>
          <w:rFonts w:asciiTheme="minorHAnsi" w:hAnsiTheme="minorHAnsi"/>
        </w:rPr>
        <w:t xml:space="preserve"> inadequate</w:t>
      </w:r>
      <w:r w:rsidR="00974E7F" w:rsidRPr="00B90432">
        <w:rPr>
          <w:rFonts w:asciiTheme="minorHAnsi" w:hAnsiTheme="minorHAnsi"/>
        </w:rPr>
        <w:t>.</w:t>
      </w:r>
      <w:r w:rsidR="006243A1" w:rsidRPr="00B90432">
        <w:rPr>
          <w:rStyle w:val="FootnoteReference"/>
          <w:rFonts w:asciiTheme="minorHAnsi" w:hAnsiTheme="minorHAnsi"/>
          <w:sz w:val="22"/>
          <w:szCs w:val="22"/>
        </w:rPr>
        <w:footnoteReference w:id="746"/>
      </w:r>
      <w:r w:rsidR="00D02E7B" w:rsidRPr="00B90432">
        <w:rPr>
          <w:rFonts w:asciiTheme="minorHAnsi" w:hAnsiTheme="minorHAnsi"/>
        </w:rPr>
        <w:t xml:space="preserve"> The Ministry of Social Development is the lead agency for social services and national policy </w:t>
      </w:r>
      <w:r w:rsidR="008E50DA" w:rsidRPr="00B90432">
        <w:rPr>
          <w:rFonts w:asciiTheme="minorHAnsi" w:hAnsiTheme="minorHAnsi"/>
        </w:rPr>
        <w:t xml:space="preserve">for the support of </w:t>
      </w:r>
      <w:r w:rsidR="00D02E7B" w:rsidRPr="00B90432">
        <w:rPr>
          <w:rFonts w:asciiTheme="minorHAnsi" w:hAnsiTheme="minorHAnsi"/>
        </w:rPr>
        <w:t xml:space="preserve">the most vulnerable segments of society and families living </w:t>
      </w:r>
      <w:r w:rsidR="00D02E7B" w:rsidRPr="00B90432">
        <w:rPr>
          <w:rFonts w:asciiTheme="minorHAnsi" w:hAnsiTheme="minorHAnsi"/>
        </w:rPr>
        <w:lastRenderedPageBreak/>
        <w:t xml:space="preserve">in a situation of poverty. </w:t>
      </w:r>
      <w:r w:rsidR="00174C67" w:rsidRPr="00B90432">
        <w:rPr>
          <w:rFonts w:asciiTheme="minorHAnsi" w:hAnsiTheme="minorHAnsi"/>
        </w:rPr>
        <w:t>H</w:t>
      </w:r>
      <w:r w:rsidR="00833C20" w:rsidRPr="00B90432">
        <w:rPr>
          <w:rFonts w:asciiTheme="minorHAnsi" w:hAnsiTheme="minorHAnsi"/>
        </w:rPr>
        <w:t xml:space="preserve">owever, </w:t>
      </w:r>
      <w:r w:rsidR="00174C67" w:rsidRPr="00B90432">
        <w:rPr>
          <w:rFonts w:asciiTheme="minorHAnsi" w:hAnsiTheme="minorHAnsi"/>
        </w:rPr>
        <w:t>the</w:t>
      </w:r>
      <w:r w:rsidR="004763A2" w:rsidRPr="00B90432">
        <w:rPr>
          <w:rFonts w:asciiTheme="minorHAnsi" w:hAnsiTheme="minorHAnsi"/>
        </w:rPr>
        <w:t>se policies</w:t>
      </w:r>
      <w:r w:rsidR="00174C67" w:rsidRPr="00B90432">
        <w:rPr>
          <w:rFonts w:asciiTheme="minorHAnsi" w:hAnsiTheme="minorHAnsi"/>
        </w:rPr>
        <w:t xml:space="preserve"> </w:t>
      </w:r>
      <w:r w:rsidR="00833C20" w:rsidRPr="00B90432">
        <w:rPr>
          <w:rFonts w:asciiTheme="minorHAnsi" w:hAnsiTheme="minorHAnsi"/>
        </w:rPr>
        <w:t>are not always coordinated with child protection and rights implementation policies, precisely because of the absence of an effective National System for the Full Implementation of Rights</w:t>
      </w:r>
      <w:r w:rsidR="00D35ADF" w:rsidRPr="00B90432">
        <w:rPr>
          <w:rFonts w:asciiTheme="minorHAnsi" w:hAnsiTheme="minorHAnsi"/>
        </w:rPr>
        <w:t xml:space="preserve"> of Children and Adolescents</w:t>
      </w:r>
      <w:r w:rsidR="00833C20" w:rsidRPr="00B90432">
        <w:rPr>
          <w:rFonts w:asciiTheme="minorHAnsi" w:hAnsiTheme="minorHAnsi"/>
        </w:rPr>
        <w:t xml:space="preserve">. </w:t>
      </w:r>
    </w:p>
    <w:p w14:paraId="649B995D" w14:textId="77777777" w:rsidR="006243A1" w:rsidRPr="00B90432" w:rsidRDefault="006537DC" w:rsidP="00B90432">
      <w:pPr>
        <w:pStyle w:val="Numberedparagraphs"/>
        <w:rPr>
          <w:rFonts w:asciiTheme="minorHAnsi" w:hAnsiTheme="minorHAnsi"/>
        </w:rPr>
      </w:pPr>
      <w:r w:rsidRPr="00B90432">
        <w:rPr>
          <w:rFonts w:asciiTheme="minorHAnsi" w:hAnsiTheme="minorHAnsi"/>
        </w:rPr>
        <w:t xml:space="preserve">The information received </w:t>
      </w:r>
      <w:r w:rsidR="00773E7A" w:rsidRPr="00B90432">
        <w:rPr>
          <w:rFonts w:asciiTheme="minorHAnsi" w:hAnsiTheme="minorHAnsi"/>
        </w:rPr>
        <w:t xml:space="preserve">shows that the lack of a comprehensive national policy for the full implementation of the rights of the child has given rise to </w:t>
      </w:r>
      <w:r w:rsidR="001B17EB" w:rsidRPr="00B90432">
        <w:rPr>
          <w:rFonts w:asciiTheme="minorHAnsi" w:hAnsiTheme="minorHAnsi"/>
        </w:rPr>
        <w:t>a high rate of institutionalization of children and adolescents</w:t>
      </w:r>
      <w:r w:rsidR="0055134F" w:rsidRPr="00B90432">
        <w:rPr>
          <w:rFonts w:asciiTheme="minorHAnsi" w:hAnsiTheme="minorHAnsi"/>
        </w:rPr>
        <w:t xml:space="preserve"> living in a situation of vulnerability, because </w:t>
      </w:r>
      <w:r w:rsidR="000B64CD" w:rsidRPr="00B90432">
        <w:rPr>
          <w:rFonts w:asciiTheme="minorHAnsi" w:hAnsiTheme="minorHAnsi"/>
        </w:rPr>
        <w:t xml:space="preserve">no </w:t>
      </w:r>
      <w:r w:rsidR="0055134F" w:rsidRPr="00B90432">
        <w:rPr>
          <w:rFonts w:asciiTheme="minorHAnsi" w:hAnsiTheme="minorHAnsi"/>
        </w:rPr>
        <w:t>comprehensive family protection an</w:t>
      </w:r>
      <w:r w:rsidR="00A85FF9" w:rsidRPr="00B90432">
        <w:rPr>
          <w:rFonts w:asciiTheme="minorHAnsi" w:hAnsiTheme="minorHAnsi"/>
        </w:rPr>
        <w:t>d rights violation prevention policies</w:t>
      </w:r>
      <w:r w:rsidR="004C6979" w:rsidRPr="00B90432">
        <w:rPr>
          <w:rFonts w:asciiTheme="minorHAnsi" w:hAnsiTheme="minorHAnsi"/>
        </w:rPr>
        <w:t xml:space="preserve"> are </w:t>
      </w:r>
      <w:r w:rsidR="00AB3D8A" w:rsidRPr="00B90432">
        <w:rPr>
          <w:rFonts w:asciiTheme="minorHAnsi" w:hAnsiTheme="minorHAnsi"/>
        </w:rPr>
        <w:t>in place</w:t>
      </w:r>
      <w:r w:rsidR="00A85FF9" w:rsidRPr="00B90432">
        <w:rPr>
          <w:rFonts w:asciiTheme="minorHAnsi" w:hAnsiTheme="minorHAnsi"/>
        </w:rPr>
        <w:t>.</w:t>
      </w:r>
      <w:r w:rsidR="006243A1" w:rsidRPr="00B90432">
        <w:rPr>
          <w:rStyle w:val="FootnoteReference"/>
          <w:rFonts w:asciiTheme="minorHAnsi" w:hAnsiTheme="minorHAnsi"/>
          <w:sz w:val="22"/>
          <w:szCs w:val="22"/>
        </w:rPr>
        <w:footnoteReference w:id="747"/>
      </w:r>
      <w:r w:rsidR="00BF7EAB" w:rsidRPr="00B90432">
        <w:rPr>
          <w:rFonts w:asciiTheme="minorHAnsi" w:hAnsiTheme="minorHAnsi"/>
        </w:rPr>
        <w:t xml:space="preserve"> In Guatemala, children and adolescents living in conditions of vulnerability—whether </w:t>
      </w:r>
      <w:r w:rsidR="00C73991" w:rsidRPr="00B90432">
        <w:rPr>
          <w:rFonts w:asciiTheme="minorHAnsi" w:hAnsiTheme="minorHAnsi"/>
        </w:rPr>
        <w:t xml:space="preserve">it is </w:t>
      </w:r>
      <w:r w:rsidR="00BF7EAB" w:rsidRPr="00B90432">
        <w:rPr>
          <w:rFonts w:asciiTheme="minorHAnsi" w:hAnsiTheme="minorHAnsi"/>
        </w:rPr>
        <w:t>because of poverty, teen pregnancy, being victims of physical or sexual vio</w:t>
      </w:r>
      <w:r w:rsidR="002C2A31" w:rsidRPr="00B90432">
        <w:rPr>
          <w:rFonts w:asciiTheme="minorHAnsi" w:hAnsiTheme="minorHAnsi"/>
        </w:rPr>
        <w:t>lence, disability, ad</w:t>
      </w:r>
      <w:r w:rsidR="00D04F7A" w:rsidRPr="00B90432">
        <w:rPr>
          <w:rFonts w:asciiTheme="minorHAnsi" w:hAnsiTheme="minorHAnsi"/>
        </w:rPr>
        <w:t>d</w:t>
      </w:r>
      <w:r w:rsidR="002C2A31" w:rsidRPr="00B90432">
        <w:rPr>
          <w:rFonts w:asciiTheme="minorHAnsi" w:hAnsiTheme="minorHAnsi"/>
        </w:rPr>
        <w:t xml:space="preserve">ictions or due to </w:t>
      </w:r>
      <w:r w:rsidR="00BF7EAB" w:rsidRPr="00B90432">
        <w:rPr>
          <w:rFonts w:asciiTheme="minorHAnsi" w:hAnsiTheme="minorHAnsi"/>
        </w:rPr>
        <w:t>other causes—are generally placed in residential care instituti</w:t>
      </w:r>
      <w:r w:rsidR="00446520" w:rsidRPr="00B90432">
        <w:rPr>
          <w:rFonts w:asciiTheme="minorHAnsi" w:hAnsiTheme="minorHAnsi"/>
        </w:rPr>
        <w:t>on</w:t>
      </w:r>
      <w:r w:rsidR="00434597" w:rsidRPr="00B90432">
        <w:rPr>
          <w:rFonts w:asciiTheme="minorHAnsi" w:hAnsiTheme="minorHAnsi"/>
        </w:rPr>
        <w:t>s</w:t>
      </w:r>
      <w:r w:rsidR="00446520" w:rsidRPr="00B90432">
        <w:rPr>
          <w:rFonts w:asciiTheme="minorHAnsi" w:hAnsiTheme="minorHAnsi"/>
        </w:rPr>
        <w:t>, usually</w:t>
      </w:r>
      <w:r w:rsidR="00633DDF" w:rsidRPr="00B90432">
        <w:rPr>
          <w:rFonts w:asciiTheme="minorHAnsi" w:hAnsiTheme="minorHAnsi"/>
        </w:rPr>
        <w:t xml:space="preserve"> large facilities, which have the capacity to house hundreds of </w:t>
      </w:r>
      <w:r w:rsidR="00EA1DF1" w:rsidRPr="00B90432">
        <w:rPr>
          <w:rFonts w:asciiTheme="minorHAnsi" w:hAnsiTheme="minorHAnsi"/>
        </w:rPr>
        <w:t xml:space="preserve">boys and girls and operate under a closed-door regime with security mechanisms </w:t>
      </w:r>
      <w:r w:rsidR="002E19DC" w:rsidRPr="00B90432">
        <w:rPr>
          <w:rFonts w:asciiTheme="minorHAnsi" w:hAnsiTheme="minorHAnsi"/>
        </w:rPr>
        <w:t xml:space="preserve">and </w:t>
      </w:r>
      <w:r w:rsidR="005F3837" w:rsidRPr="00B90432">
        <w:rPr>
          <w:rFonts w:asciiTheme="minorHAnsi" w:hAnsiTheme="minorHAnsi"/>
        </w:rPr>
        <w:t xml:space="preserve">details similar to those of </w:t>
      </w:r>
      <w:r w:rsidR="00AC5062" w:rsidRPr="00B90432">
        <w:rPr>
          <w:rFonts w:asciiTheme="minorHAnsi" w:hAnsiTheme="minorHAnsi"/>
        </w:rPr>
        <w:t>pri</w:t>
      </w:r>
      <w:r w:rsidR="00ED517F" w:rsidRPr="00B90432">
        <w:rPr>
          <w:rFonts w:asciiTheme="minorHAnsi" w:hAnsiTheme="minorHAnsi"/>
        </w:rPr>
        <w:t>s</w:t>
      </w:r>
      <w:r w:rsidR="00AC5062" w:rsidRPr="00B90432">
        <w:rPr>
          <w:rFonts w:asciiTheme="minorHAnsi" w:hAnsiTheme="minorHAnsi"/>
        </w:rPr>
        <w:t>on facilities.  This is inconsistent with international and Inter-American human rights standards on the best interests of the child.</w:t>
      </w:r>
      <w:r w:rsidR="006243A1" w:rsidRPr="00B90432">
        <w:rPr>
          <w:rStyle w:val="FootnoteReference"/>
          <w:rFonts w:asciiTheme="minorHAnsi" w:hAnsiTheme="minorHAnsi"/>
          <w:sz w:val="22"/>
          <w:szCs w:val="22"/>
        </w:rPr>
        <w:footnoteReference w:id="748"/>
      </w:r>
      <w:r w:rsidR="006243A1" w:rsidRPr="00B90432">
        <w:rPr>
          <w:rFonts w:asciiTheme="minorHAnsi" w:hAnsiTheme="minorHAnsi"/>
        </w:rPr>
        <w:t xml:space="preserve"> </w:t>
      </w:r>
    </w:p>
    <w:p w14:paraId="40576871" w14:textId="77777777" w:rsidR="006243A1" w:rsidRPr="00B90432" w:rsidRDefault="00617070" w:rsidP="00B90432">
      <w:pPr>
        <w:pStyle w:val="Numberedparagraphs"/>
        <w:rPr>
          <w:rFonts w:asciiTheme="minorHAnsi" w:hAnsiTheme="minorHAnsi"/>
        </w:rPr>
      </w:pPr>
      <w:r w:rsidRPr="00B90432">
        <w:rPr>
          <w:rFonts w:asciiTheme="minorHAnsi" w:hAnsiTheme="minorHAnsi"/>
        </w:rPr>
        <w:t>The information received by the IACHR</w:t>
      </w:r>
      <w:r w:rsidR="00DE2D8C" w:rsidRPr="00B90432">
        <w:rPr>
          <w:rFonts w:asciiTheme="minorHAnsi" w:hAnsiTheme="minorHAnsi"/>
        </w:rPr>
        <w:t xml:space="preserve"> on this score indicates </w:t>
      </w:r>
      <w:r w:rsidRPr="00B90432">
        <w:rPr>
          <w:rFonts w:asciiTheme="minorHAnsi" w:hAnsiTheme="minorHAnsi"/>
        </w:rPr>
        <w:t xml:space="preserve">that the model </w:t>
      </w:r>
      <w:r w:rsidR="00830BF2" w:rsidRPr="00B90432">
        <w:rPr>
          <w:rFonts w:asciiTheme="minorHAnsi" w:hAnsiTheme="minorHAnsi"/>
        </w:rPr>
        <w:t xml:space="preserve">of </w:t>
      </w:r>
      <w:r w:rsidRPr="00B90432">
        <w:rPr>
          <w:rFonts w:asciiTheme="minorHAnsi" w:hAnsiTheme="minorHAnsi"/>
        </w:rPr>
        <w:t xml:space="preserve">large </w:t>
      </w:r>
      <w:r w:rsidR="00443909" w:rsidRPr="00B90432">
        <w:rPr>
          <w:rFonts w:asciiTheme="minorHAnsi" w:hAnsiTheme="minorHAnsi"/>
        </w:rPr>
        <w:t xml:space="preserve">residential institutions is a </w:t>
      </w:r>
      <w:r w:rsidR="001804FB" w:rsidRPr="00B90432">
        <w:rPr>
          <w:rFonts w:asciiTheme="minorHAnsi" w:hAnsiTheme="minorHAnsi"/>
        </w:rPr>
        <w:t xml:space="preserve">structural </w:t>
      </w:r>
      <w:r w:rsidR="00443909" w:rsidRPr="00B90432">
        <w:rPr>
          <w:rFonts w:asciiTheme="minorHAnsi" w:hAnsiTheme="minorHAnsi"/>
        </w:rPr>
        <w:t xml:space="preserve">problem in Guatemala. </w:t>
      </w:r>
      <w:r w:rsidR="000C641A" w:rsidRPr="00B90432">
        <w:rPr>
          <w:rFonts w:asciiTheme="minorHAnsi" w:hAnsiTheme="minorHAnsi"/>
        </w:rPr>
        <w:t>The Commission has written that “the objective of special measures of protection cannot be other than the protection of the child and the preservation and restor</w:t>
      </w:r>
      <w:r w:rsidR="00975C39" w:rsidRPr="00B90432">
        <w:rPr>
          <w:rFonts w:asciiTheme="minorHAnsi" w:hAnsiTheme="minorHAnsi"/>
        </w:rPr>
        <w:t xml:space="preserve">ation of his/her rights,” </w:t>
      </w:r>
      <w:r w:rsidR="000F2201" w:rsidRPr="00B90432">
        <w:rPr>
          <w:rFonts w:asciiTheme="minorHAnsi" w:hAnsiTheme="minorHAnsi"/>
        </w:rPr>
        <w:t>and that institutionalization and other protection measures “cannot be considered in</w:t>
      </w:r>
      <w:r w:rsidR="008526F4" w:rsidRPr="00B90432">
        <w:rPr>
          <w:rFonts w:asciiTheme="minorHAnsi" w:hAnsiTheme="minorHAnsi"/>
        </w:rPr>
        <w:t xml:space="preserve"> their design or implementation, as a sanction on the parents in the exercise of their parental responsibilities; nor can they be considered as a corrective measure for those children who are deemed to have behavioral difficulties, or are la</w:t>
      </w:r>
      <w:r w:rsidR="00445B93" w:rsidRPr="00B90432">
        <w:rPr>
          <w:rFonts w:asciiTheme="minorHAnsi" w:hAnsiTheme="minorHAnsi"/>
        </w:rPr>
        <w:t>be</w:t>
      </w:r>
      <w:r w:rsidR="008526F4" w:rsidRPr="00B90432">
        <w:rPr>
          <w:rFonts w:asciiTheme="minorHAnsi" w:hAnsiTheme="minorHAnsi"/>
        </w:rPr>
        <w:t>led “rebels” or considered to have behavioral or social adaptation problems.</w:t>
      </w:r>
      <w:r w:rsidR="006243A1" w:rsidRPr="00B90432">
        <w:rPr>
          <w:rFonts w:asciiTheme="minorHAnsi" w:hAnsiTheme="minorHAnsi"/>
        </w:rPr>
        <w:t>”</w:t>
      </w:r>
      <w:r w:rsidR="006243A1" w:rsidRPr="00B90432">
        <w:rPr>
          <w:rFonts w:asciiTheme="minorHAnsi" w:hAnsiTheme="minorHAnsi"/>
          <w:vertAlign w:val="superscript"/>
        </w:rPr>
        <w:footnoteReference w:id="749"/>
      </w:r>
      <w:r w:rsidR="00123CEF" w:rsidRPr="00B90432">
        <w:rPr>
          <w:rFonts w:asciiTheme="minorHAnsi" w:hAnsiTheme="minorHAnsi"/>
        </w:rPr>
        <w:t xml:space="preserve"> Therefore, the IACHR, the United Nations Committee on the Rights of the Child, UNICEF and the Office </w:t>
      </w:r>
      <w:r w:rsidR="005C6356" w:rsidRPr="00B90432">
        <w:rPr>
          <w:rFonts w:asciiTheme="minorHAnsi" w:hAnsiTheme="minorHAnsi"/>
        </w:rPr>
        <w:t xml:space="preserve">of the Human Rights Ombudsman of Guatemala have repeatedly requested the State to do away with this model of institutionalization, which stands in violation of the Convention on the Rights of the Child and </w:t>
      </w:r>
      <w:r w:rsidR="003D77A3" w:rsidRPr="00B90432">
        <w:rPr>
          <w:rFonts w:asciiTheme="minorHAnsi" w:hAnsiTheme="minorHAnsi"/>
        </w:rPr>
        <w:t>international protection and alternative care standards.</w:t>
      </w:r>
      <w:r w:rsidR="006243A1" w:rsidRPr="00B90432">
        <w:rPr>
          <w:rStyle w:val="FootnoteReference"/>
          <w:rFonts w:asciiTheme="minorHAnsi" w:hAnsiTheme="minorHAnsi"/>
          <w:sz w:val="22"/>
          <w:szCs w:val="22"/>
        </w:rPr>
        <w:footnoteReference w:id="750"/>
      </w:r>
      <w:r w:rsidR="00F93F26" w:rsidRPr="00B90432">
        <w:rPr>
          <w:rFonts w:asciiTheme="minorHAnsi" w:hAnsiTheme="minorHAnsi"/>
        </w:rPr>
        <w:t xml:space="preserve"> In August </w:t>
      </w:r>
      <w:r w:rsidR="006243A1" w:rsidRPr="00B90432">
        <w:rPr>
          <w:rFonts w:asciiTheme="minorHAnsi" w:hAnsiTheme="minorHAnsi"/>
        </w:rPr>
        <w:t xml:space="preserve">2016, </w:t>
      </w:r>
      <w:r w:rsidR="00463A0D" w:rsidRPr="00B90432">
        <w:rPr>
          <w:rFonts w:asciiTheme="minorHAnsi" w:hAnsiTheme="minorHAnsi"/>
        </w:rPr>
        <w:t>the UN Committee on the Rights of Persons with Disabilities asked Guatemala to abolish “</w:t>
      </w:r>
      <w:r w:rsidR="00DF40E3" w:rsidRPr="00B90432">
        <w:rPr>
          <w:rFonts w:asciiTheme="minorHAnsi" w:hAnsiTheme="minorHAnsi"/>
        </w:rPr>
        <w:t>all</w:t>
      </w:r>
      <w:r w:rsidR="00C41D34" w:rsidRPr="00B90432">
        <w:rPr>
          <w:rFonts w:asciiTheme="minorHAnsi" w:hAnsiTheme="minorHAnsi"/>
        </w:rPr>
        <w:t xml:space="preserve"> placements at instit</w:t>
      </w:r>
      <w:r w:rsidR="00DF40E3" w:rsidRPr="00B90432">
        <w:rPr>
          <w:rFonts w:asciiTheme="minorHAnsi" w:hAnsiTheme="minorHAnsi"/>
        </w:rPr>
        <w:t>u</w:t>
      </w:r>
      <w:r w:rsidR="00C41D34" w:rsidRPr="00B90432">
        <w:rPr>
          <w:rFonts w:asciiTheme="minorHAnsi" w:hAnsiTheme="minorHAnsi"/>
        </w:rPr>
        <w:t>t</w:t>
      </w:r>
      <w:r w:rsidR="00DF40E3" w:rsidRPr="00B90432">
        <w:rPr>
          <w:rFonts w:asciiTheme="minorHAnsi" w:hAnsiTheme="minorHAnsi"/>
        </w:rPr>
        <w:t>ions</w:t>
      </w:r>
      <w:r w:rsidR="00AE3921" w:rsidRPr="00B90432">
        <w:rPr>
          <w:rFonts w:asciiTheme="minorHAnsi" w:hAnsiTheme="minorHAnsi"/>
        </w:rPr>
        <w:t xml:space="preserve"> for all children of </w:t>
      </w:r>
      <w:r w:rsidR="00D95338" w:rsidRPr="00B90432">
        <w:rPr>
          <w:rFonts w:asciiTheme="minorHAnsi" w:hAnsiTheme="minorHAnsi"/>
        </w:rPr>
        <w:t xml:space="preserve">all </w:t>
      </w:r>
      <w:r w:rsidR="00AE3921" w:rsidRPr="00B90432">
        <w:rPr>
          <w:rFonts w:asciiTheme="minorHAnsi" w:hAnsiTheme="minorHAnsi"/>
        </w:rPr>
        <w:t>age</w:t>
      </w:r>
      <w:r w:rsidR="00D95338" w:rsidRPr="00B90432">
        <w:rPr>
          <w:rFonts w:asciiTheme="minorHAnsi" w:hAnsiTheme="minorHAnsi"/>
        </w:rPr>
        <w:t>s</w:t>
      </w:r>
      <w:r w:rsidR="00AE3921" w:rsidRPr="00B90432">
        <w:rPr>
          <w:rFonts w:asciiTheme="minorHAnsi" w:hAnsiTheme="minorHAnsi"/>
        </w:rPr>
        <w:t xml:space="preserve">, with or without </w:t>
      </w:r>
      <w:r w:rsidR="00AE3921" w:rsidRPr="00B90432">
        <w:rPr>
          <w:rFonts w:asciiTheme="minorHAnsi" w:hAnsiTheme="minorHAnsi"/>
        </w:rPr>
        <w:lastRenderedPageBreak/>
        <w:t xml:space="preserve">disability,” because of </w:t>
      </w:r>
      <w:r w:rsidR="007654CF" w:rsidRPr="00B90432">
        <w:rPr>
          <w:rFonts w:asciiTheme="minorHAnsi" w:hAnsiTheme="minorHAnsi"/>
        </w:rPr>
        <w:t>the abuses that are committed in</w:t>
      </w:r>
      <w:r w:rsidR="00AE3921" w:rsidRPr="00B90432">
        <w:rPr>
          <w:rFonts w:asciiTheme="minorHAnsi" w:hAnsiTheme="minorHAnsi"/>
        </w:rPr>
        <w:t xml:space="preserve"> them. The Committee recommended the State to suppo</w:t>
      </w:r>
      <w:r w:rsidR="00C3746F" w:rsidRPr="00B90432">
        <w:rPr>
          <w:rFonts w:asciiTheme="minorHAnsi" w:hAnsiTheme="minorHAnsi"/>
        </w:rPr>
        <w:t>rt the families and services ada</w:t>
      </w:r>
      <w:r w:rsidR="00AE3921" w:rsidRPr="00B90432">
        <w:rPr>
          <w:rFonts w:asciiTheme="minorHAnsi" w:hAnsiTheme="minorHAnsi"/>
        </w:rPr>
        <w:t>pted</w:t>
      </w:r>
      <w:r w:rsidR="001639F3" w:rsidRPr="00B90432">
        <w:rPr>
          <w:rFonts w:asciiTheme="minorHAnsi" w:hAnsiTheme="minorHAnsi"/>
        </w:rPr>
        <w:t xml:space="preserve"> </w:t>
      </w:r>
      <w:r w:rsidR="00B35F45" w:rsidRPr="00B90432">
        <w:rPr>
          <w:rFonts w:asciiTheme="minorHAnsi" w:hAnsiTheme="minorHAnsi"/>
        </w:rPr>
        <w:t>for</w:t>
      </w:r>
      <w:r w:rsidR="001639F3" w:rsidRPr="00B90432">
        <w:rPr>
          <w:rFonts w:asciiTheme="minorHAnsi" w:hAnsiTheme="minorHAnsi"/>
        </w:rPr>
        <w:t xml:space="preserve"> these children and adolescents</w:t>
      </w:r>
      <w:r w:rsidR="00B35F45" w:rsidRPr="00B90432">
        <w:rPr>
          <w:rFonts w:asciiTheme="minorHAnsi" w:hAnsiTheme="minorHAnsi"/>
        </w:rPr>
        <w:t xml:space="preserve"> in the community sphere and linked to social, medical and other types of services as appropriate.</w:t>
      </w:r>
      <w:r w:rsidR="006243A1" w:rsidRPr="00B90432">
        <w:rPr>
          <w:rStyle w:val="FootnoteReference"/>
          <w:rFonts w:asciiTheme="minorHAnsi" w:hAnsiTheme="minorHAnsi"/>
          <w:sz w:val="22"/>
          <w:szCs w:val="22"/>
        </w:rPr>
        <w:footnoteReference w:id="751"/>
      </w:r>
      <w:r w:rsidR="00B35F45" w:rsidRPr="00B90432">
        <w:rPr>
          <w:rFonts w:asciiTheme="minorHAnsi" w:hAnsiTheme="minorHAnsi"/>
        </w:rPr>
        <w:t xml:space="preserve"> The Commission agrees with </w:t>
      </w:r>
      <w:r w:rsidR="00AE6124" w:rsidRPr="00B90432">
        <w:rPr>
          <w:rFonts w:asciiTheme="minorHAnsi" w:hAnsiTheme="minorHAnsi"/>
        </w:rPr>
        <w:t xml:space="preserve">and endorses </w:t>
      </w:r>
      <w:r w:rsidR="00B35F45" w:rsidRPr="00B90432">
        <w:rPr>
          <w:rFonts w:asciiTheme="minorHAnsi" w:hAnsiTheme="minorHAnsi"/>
        </w:rPr>
        <w:t>said request</w:t>
      </w:r>
      <w:r w:rsidR="006243A1" w:rsidRPr="00B90432">
        <w:rPr>
          <w:rFonts w:asciiTheme="minorHAnsi" w:hAnsiTheme="minorHAnsi"/>
        </w:rPr>
        <w:t xml:space="preserve">. </w:t>
      </w:r>
    </w:p>
    <w:p w14:paraId="744E80DA" w14:textId="0B13E9FF" w:rsidR="006243A1" w:rsidRPr="00B90432" w:rsidRDefault="00DE5CC5" w:rsidP="00B90432">
      <w:pPr>
        <w:pStyle w:val="Numberedparagraphs"/>
        <w:rPr>
          <w:rFonts w:asciiTheme="minorHAnsi" w:hAnsiTheme="minorHAnsi"/>
        </w:rPr>
      </w:pPr>
      <w:r w:rsidRPr="00B90432">
        <w:rPr>
          <w:rFonts w:asciiTheme="minorHAnsi" w:hAnsiTheme="minorHAnsi"/>
        </w:rPr>
        <w:t xml:space="preserve">The environment described above raises a variety of concerns because of the precarious conditions </w:t>
      </w:r>
      <w:r w:rsidR="00972129" w:rsidRPr="00B90432">
        <w:rPr>
          <w:rFonts w:asciiTheme="minorHAnsi" w:hAnsiTheme="minorHAnsi"/>
        </w:rPr>
        <w:t>at this type of facility</w:t>
      </w:r>
      <w:r w:rsidR="002F1083" w:rsidRPr="00B90432">
        <w:rPr>
          <w:rFonts w:asciiTheme="minorHAnsi" w:hAnsiTheme="minorHAnsi"/>
        </w:rPr>
        <w:t>,</w:t>
      </w:r>
      <w:r w:rsidR="003437CE" w:rsidRPr="00B90432">
        <w:rPr>
          <w:rFonts w:asciiTheme="minorHAnsi" w:hAnsiTheme="minorHAnsi"/>
        </w:rPr>
        <w:t xml:space="preserve"> in terms of </w:t>
      </w:r>
      <w:r w:rsidR="006A5B00" w:rsidRPr="00B90432">
        <w:rPr>
          <w:rFonts w:asciiTheme="minorHAnsi" w:hAnsiTheme="minorHAnsi"/>
        </w:rPr>
        <w:t xml:space="preserve">sanitation, hygiene, security and overcrowding. </w:t>
      </w:r>
      <w:r w:rsidR="00163DF1" w:rsidRPr="00B90432">
        <w:rPr>
          <w:rFonts w:asciiTheme="minorHAnsi" w:hAnsiTheme="minorHAnsi"/>
        </w:rPr>
        <w:t xml:space="preserve">These conditions are incompatible with the objective of </w:t>
      </w:r>
      <w:r w:rsidR="002F1083" w:rsidRPr="00B90432">
        <w:rPr>
          <w:rFonts w:asciiTheme="minorHAnsi" w:hAnsiTheme="minorHAnsi"/>
        </w:rPr>
        <w:t>child protection and care because at such facilities children and adolescents</w:t>
      </w:r>
      <w:r w:rsidR="006B29BE" w:rsidRPr="00B90432">
        <w:rPr>
          <w:rFonts w:asciiTheme="minorHAnsi" w:hAnsiTheme="minorHAnsi"/>
        </w:rPr>
        <w:t xml:space="preserve"> are isolated from society and because it deprives </w:t>
      </w:r>
      <w:r w:rsidR="00AA1362" w:rsidRPr="00B90432">
        <w:rPr>
          <w:rFonts w:asciiTheme="minorHAnsi" w:hAnsiTheme="minorHAnsi"/>
        </w:rPr>
        <w:t xml:space="preserve">them </w:t>
      </w:r>
      <w:r w:rsidR="006B29BE" w:rsidRPr="00B90432">
        <w:rPr>
          <w:rFonts w:asciiTheme="minorHAnsi" w:hAnsiTheme="minorHAnsi"/>
        </w:rPr>
        <w:t>of their right to live with their families and in their communities.</w:t>
      </w:r>
      <w:r w:rsidR="006243A1" w:rsidRPr="00B90432">
        <w:rPr>
          <w:rStyle w:val="FootnoteReference"/>
          <w:rFonts w:asciiTheme="minorHAnsi" w:hAnsiTheme="minorHAnsi"/>
          <w:sz w:val="22"/>
          <w:szCs w:val="22"/>
        </w:rPr>
        <w:footnoteReference w:id="752"/>
      </w:r>
      <w:r w:rsidR="006B29BE" w:rsidRPr="00B90432">
        <w:rPr>
          <w:rFonts w:asciiTheme="minorHAnsi" w:hAnsiTheme="minorHAnsi"/>
        </w:rPr>
        <w:t xml:space="preserve"> Available information </w:t>
      </w:r>
      <w:r w:rsidR="00AF3676" w:rsidRPr="00B90432">
        <w:rPr>
          <w:rFonts w:asciiTheme="minorHAnsi" w:hAnsiTheme="minorHAnsi"/>
        </w:rPr>
        <w:t xml:space="preserve">shows that </w:t>
      </w:r>
      <w:r w:rsidR="00E7335A" w:rsidRPr="00B90432">
        <w:rPr>
          <w:rFonts w:asciiTheme="minorHAnsi" w:hAnsiTheme="minorHAnsi"/>
        </w:rPr>
        <w:t xml:space="preserve">the number of care providers or other staff </w:t>
      </w:r>
      <w:r w:rsidR="00AF1736" w:rsidRPr="00B90432">
        <w:rPr>
          <w:rFonts w:asciiTheme="minorHAnsi" w:hAnsiTheme="minorHAnsi"/>
        </w:rPr>
        <w:t xml:space="preserve">at these mega-institutions </w:t>
      </w:r>
      <w:r w:rsidR="00E7335A" w:rsidRPr="00B90432">
        <w:rPr>
          <w:rFonts w:asciiTheme="minorHAnsi" w:hAnsiTheme="minorHAnsi"/>
        </w:rPr>
        <w:t>is often inadequate to cope with the high number of children and adolescents housed in them, or they lack qualified and trained staff to provide the su</w:t>
      </w:r>
      <w:r w:rsidR="00AF1736" w:rsidRPr="00B90432">
        <w:rPr>
          <w:rFonts w:asciiTheme="minorHAnsi" w:hAnsiTheme="minorHAnsi"/>
        </w:rPr>
        <w:t>pport and assistance</w:t>
      </w:r>
      <w:r w:rsidR="00E7335A" w:rsidRPr="00B90432">
        <w:rPr>
          <w:rFonts w:asciiTheme="minorHAnsi" w:hAnsiTheme="minorHAnsi"/>
        </w:rPr>
        <w:t xml:space="preserve"> require</w:t>
      </w:r>
      <w:r w:rsidR="007A15F5" w:rsidRPr="00B90432">
        <w:rPr>
          <w:rFonts w:asciiTheme="minorHAnsi" w:hAnsiTheme="minorHAnsi"/>
        </w:rPr>
        <w:t>d by the children</w:t>
      </w:r>
      <w:r w:rsidR="00E7335A" w:rsidRPr="00B90432">
        <w:rPr>
          <w:rFonts w:asciiTheme="minorHAnsi" w:hAnsiTheme="minorHAnsi"/>
        </w:rPr>
        <w:t xml:space="preserve">. </w:t>
      </w:r>
      <w:r w:rsidR="009C3874" w:rsidRPr="00B90432">
        <w:rPr>
          <w:rFonts w:asciiTheme="minorHAnsi" w:hAnsiTheme="minorHAnsi"/>
        </w:rPr>
        <w:t>In th</w:t>
      </w:r>
      <w:r w:rsidR="007618F3" w:rsidRPr="00B90432">
        <w:rPr>
          <w:rFonts w:asciiTheme="minorHAnsi" w:hAnsiTheme="minorHAnsi"/>
        </w:rPr>
        <w:t>ese</w:t>
      </w:r>
      <w:r w:rsidR="00D61DF8" w:rsidRPr="00B90432">
        <w:rPr>
          <w:rFonts w:asciiTheme="minorHAnsi" w:hAnsiTheme="minorHAnsi"/>
        </w:rPr>
        <w:t xml:space="preserve"> settings</w:t>
      </w:r>
      <w:r w:rsidR="007618F3" w:rsidRPr="00B90432">
        <w:rPr>
          <w:rFonts w:asciiTheme="minorHAnsi" w:hAnsiTheme="minorHAnsi"/>
        </w:rPr>
        <w:t xml:space="preserve">, it is also commonplace </w:t>
      </w:r>
      <w:r w:rsidR="009C3874" w:rsidRPr="00B90432">
        <w:rPr>
          <w:rFonts w:asciiTheme="minorHAnsi" w:hAnsiTheme="minorHAnsi"/>
        </w:rPr>
        <w:t xml:space="preserve">to find </w:t>
      </w:r>
      <w:r w:rsidR="001F135E" w:rsidRPr="00B90432">
        <w:rPr>
          <w:rFonts w:asciiTheme="minorHAnsi" w:hAnsiTheme="minorHAnsi"/>
        </w:rPr>
        <w:t xml:space="preserve">that </w:t>
      </w:r>
      <w:r w:rsidR="009C3874" w:rsidRPr="00B90432">
        <w:rPr>
          <w:rFonts w:asciiTheme="minorHAnsi" w:hAnsiTheme="minorHAnsi"/>
        </w:rPr>
        <w:t xml:space="preserve">boys, girls and adolescents of </w:t>
      </w:r>
      <w:r w:rsidR="00F2282B" w:rsidRPr="00B90432">
        <w:rPr>
          <w:rFonts w:asciiTheme="minorHAnsi" w:hAnsiTheme="minorHAnsi"/>
        </w:rPr>
        <w:t xml:space="preserve">differing </w:t>
      </w:r>
      <w:r w:rsidR="006A79E4" w:rsidRPr="00B90432">
        <w:rPr>
          <w:rFonts w:asciiTheme="minorHAnsi" w:hAnsiTheme="minorHAnsi"/>
        </w:rPr>
        <w:t xml:space="preserve">profiles </w:t>
      </w:r>
      <w:r w:rsidR="001F135E" w:rsidRPr="00B90432">
        <w:rPr>
          <w:rFonts w:asciiTheme="minorHAnsi" w:hAnsiTheme="minorHAnsi"/>
        </w:rPr>
        <w:t xml:space="preserve">are </w:t>
      </w:r>
      <w:r w:rsidR="006A79E4" w:rsidRPr="00B90432">
        <w:rPr>
          <w:rFonts w:asciiTheme="minorHAnsi" w:hAnsiTheme="minorHAnsi"/>
        </w:rPr>
        <w:t xml:space="preserve">not </w:t>
      </w:r>
      <w:r w:rsidR="009C3874" w:rsidRPr="00B90432">
        <w:rPr>
          <w:rFonts w:asciiTheme="minorHAnsi" w:hAnsiTheme="minorHAnsi"/>
        </w:rPr>
        <w:t xml:space="preserve">grouped together based on their ages and protection needs, </w:t>
      </w:r>
      <w:r w:rsidR="00704199" w:rsidRPr="00B90432">
        <w:rPr>
          <w:rFonts w:asciiTheme="minorHAnsi" w:hAnsiTheme="minorHAnsi"/>
        </w:rPr>
        <w:t xml:space="preserve">thus fostering </w:t>
      </w:r>
      <w:r w:rsidR="009C3874" w:rsidRPr="00B90432">
        <w:rPr>
          <w:rFonts w:asciiTheme="minorHAnsi" w:hAnsiTheme="minorHAnsi"/>
        </w:rPr>
        <w:t>situations of abuse and violence.</w:t>
      </w:r>
      <w:r w:rsidR="006243A1" w:rsidRPr="00B90432">
        <w:rPr>
          <w:rStyle w:val="FootnoteReference"/>
          <w:rFonts w:asciiTheme="minorHAnsi" w:hAnsiTheme="minorHAnsi"/>
          <w:sz w:val="22"/>
          <w:szCs w:val="22"/>
        </w:rPr>
        <w:footnoteReference w:id="753"/>
      </w:r>
      <w:r w:rsidR="00281567" w:rsidRPr="00B90432">
        <w:rPr>
          <w:rFonts w:asciiTheme="minorHAnsi" w:hAnsiTheme="minorHAnsi"/>
        </w:rPr>
        <w:t xml:space="preserve"> </w:t>
      </w:r>
      <w:r w:rsidR="000A0F5D" w:rsidRPr="00B90432">
        <w:rPr>
          <w:rFonts w:asciiTheme="minorHAnsi" w:hAnsiTheme="minorHAnsi"/>
        </w:rPr>
        <w:t xml:space="preserve"> </w:t>
      </w:r>
      <w:r w:rsidR="00E91B64" w:rsidRPr="00B90432">
        <w:rPr>
          <w:rFonts w:asciiTheme="minorHAnsi" w:hAnsiTheme="minorHAnsi"/>
        </w:rPr>
        <w:t xml:space="preserve">Also, the IACHR received information about </w:t>
      </w:r>
      <w:r w:rsidR="00815954" w:rsidRPr="00B90432">
        <w:rPr>
          <w:rFonts w:asciiTheme="minorHAnsi" w:hAnsiTheme="minorHAnsi"/>
        </w:rPr>
        <w:t>gross</w:t>
      </w:r>
      <w:r w:rsidR="00E91B64" w:rsidRPr="00B90432">
        <w:rPr>
          <w:rFonts w:asciiTheme="minorHAnsi" w:hAnsiTheme="minorHAnsi"/>
        </w:rPr>
        <w:t xml:space="preserve"> human rights violations</w:t>
      </w:r>
      <w:r w:rsidR="00815954" w:rsidRPr="00B90432">
        <w:rPr>
          <w:rFonts w:asciiTheme="minorHAnsi" w:hAnsiTheme="minorHAnsi"/>
        </w:rPr>
        <w:t xml:space="preserve"> of children in some facilities, such as: </w:t>
      </w:r>
      <w:r w:rsidR="000A0F5D" w:rsidRPr="00B90432">
        <w:rPr>
          <w:rFonts w:asciiTheme="minorHAnsi" w:hAnsiTheme="minorHAnsi"/>
        </w:rPr>
        <w:t>charges against</w:t>
      </w:r>
      <w:r w:rsidR="000F4B75" w:rsidRPr="00B90432">
        <w:rPr>
          <w:rFonts w:asciiTheme="minorHAnsi" w:hAnsiTheme="minorHAnsi"/>
        </w:rPr>
        <w:t xml:space="preserve"> facility staff or other inmates perpetrating</w:t>
      </w:r>
      <w:r w:rsidR="007E1F84" w:rsidRPr="00B90432">
        <w:rPr>
          <w:rFonts w:asciiTheme="minorHAnsi" w:hAnsiTheme="minorHAnsi"/>
        </w:rPr>
        <w:t xml:space="preserve"> physical, psychological and sexual violence</w:t>
      </w:r>
      <w:r w:rsidR="000F4B75" w:rsidRPr="00B90432">
        <w:rPr>
          <w:rFonts w:asciiTheme="minorHAnsi" w:hAnsiTheme="minorHAnsi"/>
        </w:rPr>
        <w:t xml:space="preserve">, </w:t>
      </w:r>
      <w:r w:rsidR="00BF48F3" w:rsidRPr="00B90432">
        <w:rPr>
          <w:rFonts w:asciiTheme="minorHAnsi" w:hAnsiTheme="minorHAnsi"/>
        </w:rPr>
        <w:t xml:space="preserve">and of </w:t>
      </w:r>
      <w:r w:rsidR="000F4B75" w:rsidRPr="00B90432">
        <w:rPr>
          <w:rFonts w:asciiTheme="minorHAnsi" w:hAnsiTheme="minorHAnsi"/>
        </w:rPr>
        <w:t xml:space="preserve">negligent treatment, deficient food service, lack of access to age-appropriate </w:t>
      </w:r>
      <w:r w:rsidR="00372EFC" w:rsidRPr="00B90432">
        <w:rPr>
          <w:rFonts w:asciiTheme="minorHAnsi" w:hAnsiTheme="minorHAnsi"/>
        </w:rPr>
        <w:t>education</w:t>
      </w:r>
      <w:r w:rsidR="000F4B75" w:rsidRPr="00B90432">
        <w:rPr>
          <w:rFonts w:asciiTheme="minorHAnsi" w:hAnsiTheme="minorHAnsi"/>
        </w:rPr>
        <w:t xml:space="preserve"> and medical services</w:t>
      </w:r>
      <w:r w:rsidR="00462C4B" w:rsidRPr="00B90432">
        <w:rPr>
          <w:rFonts w:asciiTheme="minorHAnsi" w:hAnsiTheme="minorHAnsi"/>
        </w:rPr>
        <w:t xml:space="preserve">, </w:t>
      </w:r>
      <w:r w:rsidR="00815954" w:rsidRPr="00B90432">
        <w:rPr>
          <w:rFonts w:asciiTheme="minorHAnsi" w:hAnsiTheme="minorHAnsi"/>
        </w:rPr>
        <w:t>and</w:t>
      </w:r>
      <w:r w:rsidR="00462C4B" w:rsidRPr="00B90432">
        <w:rPr>
          <w:rFonts w:asciiTheme="minorHAnsi" w:hAnsiTheme="minorHAnsi"/>
        </w:rPr>
        <w:t xml:space="preserve"> </w:t>
      </w:r>
      <w:r w:rsidR="00287E1F" w:rsidRPr="00B90432">
        <w:rPr>
          <w:rFonts w:asciiTheme="minorHAnsi" w:hAnsiTheme="minorHAnsi"/>
        </w:rPr>
        <w:t xml:space="preserve">baseless </w:t>
      </w:r>
      <w:r w:rsidR="00462C4B" w:rsidRPr="00B90432">
        <w:rPr>
          <w:rFonts w:asciiTheme="minorHAnsi" w:hAnsiTheme="minorHAnsi"/>
        </w:rPr>
        <w:t>restrictions</w:t>
      </w:r>
      <w:r w:rsidR="00815954" w:rsidRPr="00B90432">
        <w:rPr>
          <w:rFonts w:asciiTheme="minorHAnsi" w:hAnsiTheme="minorHAnsi"/>
        </w:rPr>
        <w:t xml:space="preserve"> on contact with family members</w:t>
      </w:r>
      <w:r w:rsidR="00462C4B" w:rsidRPr="00B90432">
        <w:rPr>
          <w:rFonts w:asciiTheme="minorHAnsi" w:hAnsiTheme="minorHAnsi"/>
        </w:rPr>
        <w:t>.</w:t>
      </w:r>
      <w:r w:rsidR="006243A1" w:rsidRPr="00B90432">
        <w:rPr>
          <w:rStyle w:val="FootnoteReference"/>
          <w:rFonts w:asciiTheme="minorHAnsi" w:hAnsiTheme="minorHAnsi"/>
          <w:sz w:val="22"/>
          <w:szCs w:val="22"/>
        </w:rPr>
        <w:footnoteReference w:id="754"/>
      </w:r>
      <w:r w:rsidR="006243A1" w:rsidRPr="00B90432">
        <w:rPr>
          <w:rFonts w:asciiTheme="minorHAnsi" w:hAnsiTheme="minorHAnsi"/>
        </w:rPr>
        <w:t xml:space="preserve"> </w:t>
      </w:r>
      <w:r w:rsidR="0009383C" w:rsidRPr="00B90432">
        <w:rPr>
          <w:rFonts w:asciiTheme="minorHAnsi" w:hAnsiTheme="minorHAnsi"/>
        </w:rPr>
        <w:t xml:space="preserve">These conditions </w:t>
      </w:r>
      <w:r w:rsidR="00AF65E0" w:rsidRPr="00B90432">
        <w:rPr>
          <w:rFonts w:asciiTheme="minorHAnsi" w:hAnsiTheme="minorHAnsi"/>
        </w:rPr>
        <w:t xml:space="preserve">are typical of </w:t>
      </w:r>
      <w:r w:rsidR="00B21CA3" w:rsidRPr="00B90432">
        <w:rPr>
          <w:rFonts w:asciiTheme="minorHAnsi" w:hAnsiTheme="minorHAnsi"/>
        </w:rPr>
        <w:t xml:space="preserve">the </w:t>
      </w:r>
      <w:r w:rsidR="008C712B" w:rsidRPr="00B90432">
        <w:rPr>
          <w:rFonts w:asciiTheme="minorHAnsi" w:hAnsiTheme="minorHAnsi"/>
        </w:rPr>
        <w:t xml:space="preserve">problems </w:t>
      </w:r>
      <w:r w:rsidR="00956E88" w:rsidRPr="00B90432">
        <w:rPr>
          <w:rFonts w:asciiTheme="minorHAnsi" w:hAnsiTheme="minorHAnsi"/>
        </w:rPr>
        <w:t xml:space="preserve">found </w:t>
      </w:r>
      <w:r w:rsidR="00391119" w:rsidRPr="00B90432">
        <w:rPr>
          <w:rFonts w:asciiTheme="minorHAnsi" w:hAnsiTheme="minorHAnsi"/>
        </w:rPr>
        <w:t xml:space="preserve">at the </w:t>
      </w:r>
      <w:r w:rsidR="00983285" w:rsidRPr="00B90432">
        <w:rPr>
          <w:rFonts w:asciiTheme="minorHAnsi" w:hAnsiTheme="minorHAnsi"/>
        </w:rPr>
        <w:t xml:space="preserve">institutions where many children in Guatemala </w:t>
      </w:r>
      <w:r w:rsidR="003B6E7E" w:rsidRPr="00B90432">
        <w:rPr>
          <w:rFonts w:asciiTheme="minorHAnsi" w:hAnsiTheme="minorHAnsi"/>
        </w:rPr>
        <w:t xml:space="preserve">live and, therefore, the IACHR </w:t>
      </w:r>
      <w:r w:rsidR="00205A15" w:rsidRPr="00B90432">
        <w:rPr>
          <w:rFonts w:asciiTheme="minorHAnsi" w:hAnsiTheme="minorHAnsi"/>
        </w:rPr>
        <w:t xml:space="preserve">calls on </w:t>
      </w:r>
      <w:r w:rsidR="003B6E7E" w:rsidRPr="00B90432">
        <w:rPr>
          <w:rFonts w:asciiTheme="minorHAnsi" w:hAnsiTheme="minorHAnsi"/>
        </w:rPr>
        <w:t>the State</w:t>
      </w:r>
      <w:r w:rsidR="00205A15" w:rsidRPr="00B90432">
        <w:rPr>
          <w:rFonts w:asciiTheme="minorHAnsi" w:hAnsiTheme="minorHAnsi"/>
        </w:rPr>
        <w:t xml:space="preserve"> again</w:t>
      </w:r>
      <w:r w:rsidR="003B6E7E" w:rsidRPr="00B90432">
        <w:rPr>
          <w:rFonts w:asciiTheme="minorHAnsi" w:hAnsiTheme="minorHAnsi"/>
        </w:rPr>
        <w:t xml:space="preserve"> to take measures aimed at putting an end to the institutionalization of children and adolescents in the country. </w:t>
      </w:r>
      <w:r w:rsidR="008C712B" w:rsidRPr="00B90432">
        <w:rPr>
          <w:rFonts w:asciiTheme="minorHAnsi" w:hAnsiTheme="minorHAnsi"/>
        </w:rPr>
        <w:t xml:space="preserve"> </w:t>
      </w:r>
    </w:p>
    <w:p w14:paraId="02B2282E" w14:textId="77777777" w:rsidR="006243A1" w:rsidRPr="00B90432" w:rsidRDefault="00084153" w:rsidP="00B90432">
      <w:pPr>
        <w:pStyle w:val="Numberedparagraphs"/>
        <w:rPr>
          <w:rFonts w:asciiTheme="minorHAnsi" w:hAnsiTheme="minorHAnsi"/>
        </w:rPr>
      </w:pPr>
      <w:r w:rsidRPr="00B90432">
        <w:rPr>
          <w:rFonts w:asciiTheme="minorHAnsi" w:hAnsiTheme="minorHAnsi"/>
        </w:rPr>
        <w:t xml:space="preserve">Furthermore, the State </w:t>
      </w:r>
      <w:r w:rsidR="00E2275C" w:rsidRPr="00B90432">
        <w:rPr>
          <w:rFonts w:asciiTheme="minorHAnsi" w:hAnsiTheme="minorHAnsi"/>
        </w:rPr>
        <w:t xml:space="preserve">has not instituted </w:t>
      </w:r>
      <w:r w:rsidRPr="00B90432">
        <w:rPr>
          <w:rFonts w:asciiTheme="minorHAnsi" w:hAnsiTheme="minorHAnsi"/>
        </w:rPr>
        <w:t>comprehensive</w:t>
      </w:r>
      <w:r w:rsidR="00903BAA" w:rsidRPr="00B90432">
        <w:rPr>
          <w:rFonts w:asciiTheme="minorHAnsi" w:hAnsiTheme="minorHAnsi"/>
        </w:rPr>
        <w:t xml:space="preserve"> and effective</w:t>
      </w:r>
      <w:r w:rsidRPr="00B90432">
        <w:rPr>
          <w:rFonts w:asciiTheme="minorHAnsi" w:hAnsiTheme="minorHAnsi"/>
        </w:rPr>
        <w:t xml:space="preserve"> socio-educational and rehabilitation programs </w:t>
      </w:r>
      <w:r w:rsidR="00382CD5" w:rsidRPr="00B90432">
        <w:rPr>
          <w:rFonts w:asciiTheme="minorHAnsi" w:hAnsiTheme="minorHAnsi"/>
        </w:rPr>
        <w:t>for adolescents in conflict and contact with the criminal justice system. In Guatemala, there are around 1,087 adolescents deprived of liberty, based on SBS statistics.</w:t>
      </w:r>
      <w:r w:rsidR="006243A1" w:rsidRPr="00B90432">
        <w:rPr>
          <w:rFonts w:asciiTheme="minorHAnsi" w:hAnsiTheme="minorHAnsi"/>
          <w:vertAlign w:val="superscript"/>
        </w:rPr>
        <w:footnoteReference w:id="755"/>
      </w:r>
      <w:r w:rsidR="004935FF" w:rsidRPr="00B90432">
        <w:rPr>
          <w:rFonts w:asciiTheme="minorHAnsi" w:hAnsiTheme="minorHAnsi"/>
        </w:rPr>
        <w:t xml:space="preserve"> </w:t>
      </w:r>
      <w:r w:rsidR="00BA4099" w:rsidRPr="00B90432">
        <w:rPr>
          <w:rFonts w:asciiTheme="minorHAnsi" w:hAnsiTheme="minorHAnsi"/>
        </w:rPr>
        <w:lastRenderedPageBreak/>
        <w:t>Facilities where adolescents are deprived</w:t>
      </w:r>
      <w:r w:rsidR="00C26E72" w:rsidRPr="00B90432">
        <w:rPr>
          <w:rFonts w:asciiTheme="minorHAnsi" w:hAnsiTheme="minorHAnsi"/>
        </w:rPr>
        <w:t xml:space="preserve"> of liberty operate under extremely </w:t>
      </w:r>
      <w:r w:rsidR="00AC6E93" w:rsidRPr="00B90432">
        <w:rPr>
          <w:rFonts w:asciiTheme="minorHAnsi" w:hAnsiTheme="minorHAnsi"/>
        </w:rPr>
        <w:t>precarious conditions of confinement</w:t>
      </w:r>
      <w:r w:rsidR="00107EF1" w:rsidRPr="00B90432">
        <w:rPr>
          <w:rFonts w:asciiTheme="minorHAnsi" w:hAnsiTheme="minorHAnsi"/>
        </w:rPr>
        <w:t xml:space="preserve">, in terms of overcrowding, </w:t>
      </w:r>
      <w:r w:rsidR="000F6F73" w:rsidRPr="00B90432">
        <w:rPr>
          <w:rFonts w:asciiTheme="minorHAnsi" w:hAnsiTheme="minorHAnsi"/>
        </w:rPr>
        <w:t>unhealthiness</w:t>
      </w:r>
      <w:r w:rsidR="00107EF1" w:rsidRPr="00B90432">
        <w:rPr>
          <w:rFonts w:asciiTheme="minorHAnsi" w:hAnsiTheme="minorHAnsi"/>
        </w:rPr>
        <w:t xml:space="preserve">, </w:t>
      </w:r>
      <w:r w:rsidR="00DC5E4E" w:rsidRPr="00B90432">
        <w:rPr>
          <w:rFonts w:asciiTheme="minorHAnsi" w:hAnsiTheme="minorHAnsi"/>
        </w:rPr>
        <w:t>inse</w:t>
      </w:r>
      <w:r w:rsidR="00776E8D" w:rsidRPr="00B90432">
        <w:rPr>
          <w:rFonts w:asciiTheme="minorHAnsi" w:hAnsiTheme="minorHAnsi"/>
        </w:rPr>
        <w:t xml:space="preserve">curity and violence. </w:t>
      </w:r>
      <w:r w:rsidR="00B83030" w:rsidRPr="00B90432">
        <w:rPr>
          <w:rFonts w:asciiTheme="minorHAnsi" w:hAnsiTheme="minorHAnsi"/>
        </w:rPr>
        <w:t>This exposes</w:t>
      </w:r>
      <w:r w:rsidR="00E208DD" w:rsidRPr="00B90432">
        <w:rPr>
          <w:rFonts w:asciiTheme="minorHAnsi" w:hAnsiTheme="minorHAnsi"/>
        </w:rPr>
        <w:t xml:space="preserve"> the adolescents to further abuses and violations of their r</w:t>
      </w:r>
      <w:r w:rsidR="0001759F" w:rsidRPr="00B90432">
        <w:rPr>
          <w:rFonts w:asciiTheme="minorHAnsi" w:hAnsiTheme="minorHAnsi"/>
        </w:rPr>
        <w:t xml:space="preserve">ights and does not help </w:t>
      </w:r>
      <w:r w:rsidR="00E208DD" w:rsidRPr="00B90432">
        <w:rPr>
          <w:rFonts w:asciiTheme="minorHAnsi" w:hAnsiTheme="minorHAnsi"/>
        </w:rPr>
        <w:t>to prevent recidivism</w:t>
      </w:r>
      <w:r w:rsidR="000B14EC" w:rsidRPr="00B90432">
        <w:rPr>
          <w:rFonts w:asciiTheme="minorHAnsi" w:hAnsiTheme="minorHAnsi"/>
        </w:rPr>
        <w:t xml:space="preserve">, further exacerbating the problem instead of </w:t>
      </w:r>
      <w:r w:rsidR="00B1568C" w:rsidRPr="00B90432">
        <w:rPr>
          <w:rFonts w:asciiTheme="minorHAnsi" w:hAnsiTheme="minorHAnsi"/>
        </w:rPr>
        <w:t xml:space="preserve">providing opportunities for social integration. </w:t>
      </w:r>
      <w:r w:rsidR="0043219C" w:rsidRPr="00B90432">
        <w:rPr>
          <w:rFonts w:asciiTheme="minorHAnsi" w:hAnsiTheme="minorHAnsi"/>
        </w:rPr>
        <w:t xml:space="preserve">On June </w:t>
      </w:r>
      <w:r w:rsidR="006243A1" w:rsidRPr="00B90432">
        <w:rPr>
          <w:rFonts w:asciiTheme="minorHAnsi" w:hAnsiTheme="minorHAnsi"/>
        </w:rPr>
        <w:t>12</w:t>
      </w:r>
      <w:r w:rsidR="0043219C" w:rsidRPr="00B90432">
        <w:rPr>
          <w:rFonts w:asciiTheme="minorHAnsi" w:hAnsiTheme="minorHAnsi"/>
        </w:rPr>
        <w:t>,</w:t>
      </w:r>
      <w:r w:rsidR="006243A1" w:rsidRPr="00B90432">
        <w:rPr>
          <w:rFonts w:asciiTheme="minorHAnsi" w:hAnsiTheme="minorHAnsi"/>
        </w:rPr>
        <w:t xml:space="preserve"> 2017, </w:t>
      </w:r>
      <w:r w:rsidR="002D53E4" w:rsidRPr="00B90432">
        <w:rPr>
          <w:rFonts w:asciiTheme="minorHAnsi" w:hAnsiTheme="minorHAnsi"/>
        </w:rPr>
        <w:t xml:space="preserve">as was mentioned earlier, the IACHR granted Precautionary Measure </w:t>
      </w:r>
      <w:r w:rsidR="006243A1" w:rsidRPr="00B90432">
        <w:rPr>
          <w:rFonts w:asciiTheme="minorHAnsi" w:hAnsiTheme="minorHAnsi"/>
        </w:rPr>
        <w:t>161-17</w:t>
      </w:r>
      <w:r w:rsidR="00881F22" w:rsidRPr="00B90432">
        <w:rPr>
          <w:rFonts w:asciiTheme="minorHAnsi" w:hAnsiTheme="minorHAnsi"/>
        </w:rPr>
        <w:t xml:space="preserve"> (Resolutio</w:t>
      </w:r>
      <w:r w:rsidR="006243A1" w:rsidRPr="00B90432">
        <w:rPr>
          <w:rFonts w:asciiTheme="minorHAnsi" w:hAnsiTheme="minorHAnsi"/>
        </w:rPr>
        <w:t xml:space="preserve">n 17/2017) </w:t>
      </w:r>
      <w:r w:rsidR="00E202DA" w:rsidRPr="00B90432">
        <w:rPr>
          <w:rFonts w:asciiTheme="minorHAnsi" w:hAnsiTheme="minorHAnsi"/>
        </w:rPr>
        <w:t xml:space="preserve">on </w:t>
      </w:r>
      <w:r w:rsidR="008735EC" w:rsidRPr="00B90432">
        <w:rPr>
          <w:rFonts w:asciiTheme="minorHAnsi" w:hAnsiTheme="minorHAnsi"/>
        </w:rPr>
        <w:t>“</w:t>
      </w:r>
      <w:r w:rsidR="004950F6" w:rsidRPr="00B90432">
        <w:rPr>
          <w:rFonts w:asciiTheme="minorHAnsi" w:hAnsiTheme="minorHAnsi"/>
        </w:rPr>
        <w:t>Juvenile Deprivation of Liberty Facilities with respect to Guatemala.</w:t>
      </w:r>
      <w:r w:rsidR="006243A1" w:rsidRPr="00B90432">
        <w:rPr>
          <w:rFonts w:asciiTheme="minorHAnsi" w:hAnsiTheme="minorHAnsi"/>
        </w:rPr>
        <w:t>”</w:t>
      </w:r>
      <w:r w:rsidR="006243A1" w:rsidRPr="00B90432">
        <w:rPr>
          <w:rStyle w:val="FootnoteReference"/>
          <w:rFonts w:asciiTheme="minorHAnsi" w:hAnsiTheme="minorHAnsi"/>
          <w:sz w:val="22"/>
          <w:szCs w:val="22"/>
        </w:rPr>
        <w:footnoteReference w:id="756"/>
      </w:r>
    </w:p>
    <w:p w14:paraId="07BC1F4B" w14:textId="59C20561" w:rsidR="006243A1" w:rsidRPr="00B90432" w:rsidRDefault="00711911" w:rsidP="00B90432">
      <w:pPr>
        <w:pStyle w:val="Numberedparagraphs"/>
        <w:rPr>
          <w:rFonts w:asciiTheme="minorHAnsi" w:hAnsiTheme="minorHAnsi"/>
        </w:rPr>
      </w:pPr>
      <w:r w:rsidRPr="00B90432">
        <w:rPr>
          <w:rFonts w:asciiTheme="minorHAnsi" w:hAnsiTheme="minorHAnsi"/>
        </w:rPr>
        <w:t xml:space="preserve">The Office of </w:t>
      </w:r>
      <w:r w:rsidR="00F813A2" w:rsidRPr="00B90432">
        <w:rPr>
          <w:rFonts w:asciiTheme="minorHAnsi" w:hAnsiTheme="minorHAnsi"/>
        </w:rPr>
        <w:t xml:space="preserve">the Human Rights Ombudsman, who filed the request for </w:t>
      </w:r>
      <w:r w:rsidRPr="00B90432">
        <w:rPr>
          <w:rFonts w:asciiTheme="minorHAnsi" w:hAnsiTheme="minorHAnsi"/>
        </w:rPr>
        <w:t xml:space="preserve">PM </w:t>
      </w:r>
      <w:r w:rsidR="006243A1" w:rsidRPr="00B90432">
        <w:rPr>
          <w:rFonts w:asciiTheme="minorHAnsi" w:hAnsiTheme="minorHAnsi"/>
        </w:rPr>
        <w:t xml:space="preserve">161-17, </w:t>
      </w:r>
      <w:r w:rsidR="00284F47" w:rsidRPr="00B90432">
        <w:rPr>
          <w:rFonts w:asciiTheme="minorHAnsi" w:hAnsiTheme="minorHAnsi"/>
        </w:rPr>
        <w:t xml:space="preserve">alleged a situation of risk to life and personal integrity of the adolescents deprived of liberty at four facilities </w:t>
      </w:r>
      <w:r w:rsidR="00385E76" w:rsidRPr="00B90432">
        <w:rPr>
          <w:rFonts w:asciiTheme="minorHAnsi" w:hAnsiTheme="minorHAnsi"/>
        </w:rPr>
        <w:t>as a consequence of several risk factors af</w:t>
      </w:r>
      <w:r w:rsidR="007E2D4B" w:rsidRPr="00B90432">
        <w:rPr>
          <w:rFonts w:asciiTheme="minorHAnsi" w:hAnsiTheme="minorHAnsi"/>
        </w:rPr>
        <w:t>fecting them disproportionately</w:t>
      </w:r>
      <w:r w:rsidR="006243A1" w:rsidRPr="00B90432">
        <w:rPr>
          <w:rFonts w:asciiTheme="minorHAnsi" w:hAnsiTheme="minorHAnsi"/>
        </w:rPr>
        <w:t xml:space="preserve">. </w:t>
      </w:r>
      <w:r w:rsidR="002C70AE" w:rsidRPr="00B90432">
        <w:rPr>
          <w:rFonts w:asciiTheme="minorHAnsi" w:hAnsiTheme="minorHAnsi"/>
        </w:rPr>
        <w:t>These sources of risk include precarious sanitation</w:t>
      </w:r>
      <w:r w:rsidR="00E42BBD" w:rsidRPr="00B90432">
        <w:rPr>
          <w:rFonts w:asciiTheme="minorHAnsi" w:hAnsiTheme="minorHAnsi"/>
        </w:rPr>
        <w:t xml:space="preserve"> and </w:t>
      </w:r>
      <w:r w:rsidR="002C70AE" w:rsidRPr="00B90432">
        <w:rPr>
          <w:rFonts w:asciiTheme="minorHAnsi" w:hAnsiTheme="minorHAnsi"/>
        </w:rPr>
        <w:t>infrastructure</w:t>
      </w:r>
      <w:r w:rsidR="00E42BBD" w:rsidRPr="00B90432">
        <w:rPr>
          <w:rFonts w:asciiTheme="minorHAnsi" w:hAnsiTheme="minorHAnsi"/>
        </w:rPr>
        <w:t>, and negligent</w:t>
      </w:r>
      <w:r w:rsidR="002C70AE" w:rsidRPr="00B90432">
        <w:rPr>
          <w:rFonts w:asciiTheme="minorHAnsi" w:hAnsiTheme="minorHAnsi"/>
        </w:rPr>
        <w:t xml:space="preserve"> health care</w:t>
      </w:r>
      <w:r w:rsidR="00E42BBD" w:rsidRPr="00B90432">
        <w:rPr>
          <w:rFonts w:asciiTheme="minorHAnsi" w:hAnsiTheme="minorHAnsi"/>
        </w:rPr>
        <w:t xml:space="preserve">. Also, high levels of violence are present, </w:t>
      </w:r>
      <w:r w:rsidR="00BB0104" w:rsidRPr="00B90432">
        <w:rPr>
          <w:rFonts w:asciiTheme="minorHAnsi" w:hAnsiTheme="minorHAnsi"/>
        </w:rPr>
        <w:t xml:space="preserve">internal riots, abusive treatment </w:t>
      </w:r>
      <w:r w:rsidR="00E42BBD" w:rsidRPr="00B90432">
        <w:rPr>
          <w:rFonts w:asciiTheme="minorHAnsi" w:hAnsiTheme="minorHAnsi"/>
        </w:rPr>
        <w:t>and</w:t>
      </w:r>
      <w:r w:rsidR="00911E14" w:rsidRPr="00B90432">
        <w:rPr>
          <w:rFonts w:asciiTheme="minorHAnsi" w:hAnsiTheme="minorHAnsi"/>
        </w:rPr>
        <w:t xml:space="preserve"> attacks on the facilities by individuals from outside the premises, </w:t>
      </w:r>
      <w:r w:rsidR="00E42BBD" w:rsidRPr="00B90432">
        <w:rPr>
          <w:rFonts w:asciiTheme="minorHAnsi" w:hAnsiTheme="minorHAnsi"/>
        </w:rPr>
        <w:t>and</w:t>
      </w:r>
      <w:r w:rsidR="00911E14" w:rsidRPr="00B90432">
        <w:rPr>
          <w:rFonts w:asciiTheme="minorHAnsi" w:hAnsiTheme="minorHAnsi"/>
        </w:rPr>
        <w:t xml:space="preserve"> the fact that pregnant </w:t>
      </w:r>
      <w:r w:rsidR="004E65D8" w:rsidRPr="00B90432">
        <w:rPr>
          <w:rFonts w:asciiTheme="minorHAnsi" w:hAnsiTheme="minorHAnsi"/>
        </w:rPr>
        <w:t xml:space="preserve">adolescents </w:t>
      </w:r>
      <w:r w:rsidR="00911E14" w:rsidRPr="00B90432">
        <w:rPr>
          <w:rFonts w:asciiTheme="minorHAnsi" w:hAnsiTheme="minorHAnsi"/>
        </w:rPr>
        <w:t xml:space="preserve">and </w:t>
      </w:r>
      <w:r w:rsidR="00EE0C8B" w:rsidRPr="00B90432">
        <w:rPr>
          <w:rFonts w:asciiTheme="minorHAnsi" w:hAnsiTheme="minorHAnsi"/>
        </w:rPr>
        <w:t xml:space="preserve">adolescent </w:t>
      </w:r>
      <w:r w:rsidR="003D44D8" w:rsidRPr="00B90432">
        <w:rPr>
          <w:rFonts w:asciiTheme="minorHAnsi" w:hAnsiTheme="minorHAnsi"/>
        </w:rPr>
        <w:t>mothers with their babies are housed at these facilities.</w:t>
      </w:r>
      <w:r w:rsidR="006243A1" w:rsidRPr="00B90432">
        <w:rPr>
          <w:rFonts w:asciiTheme="minorHAnsi" w:hAnsiTheme="minorHAnsi"/>
          <w:vertAlign w:val="superscript"/>
        </w:rPr>
        <w:footnoteReference w:id="757"/>
      </w:r>
      <w:r w:rsidR="006243A1" w:rsidRPr="00B90432">
        <w:rPr>
          <w:rFonts w:asciiTheme="minorHAnsi" w:hAnsiTheme="minorHAnsi"/>
        </w:rPr>
        <w:t xml:space="preserve"> </w:t>
      </w:r>
    </w:p>
    <w:p w14:paraId="570924AA" w14:textId="38C7AC6F" w:rsidR="006243A1" w:rsidRPr="00B90432" w:rsidRDefault="00D104D7" w:rsidP="00B90432">
      <w:pPr>
        <w:pStyle w:val="Numberedparagraphs"/>
        <w:rPr>
          <w:rFonts w:asciiTheme="minorHAnsi" w:hAnsiTheme="minorHAnsi"/>
        </w:rPr>
      </w:pPr>
      <w:r w:rsidRPr="00B90432">
        <w:rPr>
          <w:rFonts w:asciiTheme="minorHAnsi" w:hAnsiTheme="minorHAnsi"/>
        </w:rPr>
        <w:t xml:space="preserve">The </w:t>
      </w:r>
      <w:r w:rsidR="000D06E6" w:rsidRPr="00B90432">
        <w:rPr>
          <w:rFonts w:asciiTheme="minorHAnsi" w:hAnsiTheme="minorHAnsi"/>
        </w:rPr>
        <w:t xml:space="preserve">acts </w:t>
      </w:r>
      <w:r w:rsidRPr="00B90432">
        <w:rPr>
          <w:rFonts w:asciiTheme="minorHAnsi" w:hAnsiTheme="minorHAnsi"/>
        </w:rPr>
        <w:t>of vio</w:t>
      </w:r>
      <w:r w:rsidR="0071691A" w:rsidRPr="00B90432">
        <w:rPr>
          <w:rFonts w:asciiTheme="minorHAnsi" w:hAnsiTheme="minorHAnsi"/>
        </w:rPr>
        <w:t xml:space="preserve">lence, riots and fires are </w:t>
      </w:r>
      <w:r w:rsidR="0027451E" w:rsidRPr="00B90432">
        <w:rPr>
          <w:rFonts w:asciiTheme="minorHAnsi" w:hAnsiTheme="minorHAnsi"/>
        </w:rPr>
        <w:t>periodic</w:t>
      </w:r>
      <w:r w:rsidR="00702868" w:rsidRPr="00B90432">
        <w:rPr>
          <w:rFonts w:asciiTheme="minorHAnsi" w:hAnsiTheme="minorHAnsi"/>
        </w:rPr>
        <w:t xml:space="preserve"> and e</w:t>
      </w:r>
      <w:r w:rsidR="0027451E" w:rsidRPr="00B90432">
        <w:rPr>
          <w:rFonts w:asciiTheme="minorHAnsi" w:hAnsiTheme="minorHAnsi"/>
        </w:rPr>
        <w:t>ndemic to how the system operates.</w:t>
      </w:r>
      <w:r w:rsidR="000936E7" w:rsidRPr="00B90432">
        <w:rPr>
          <w:rFonts w:asciiTheme="minorHAnsi" w:hAnsiTheme="minorHAnsi"/>
        </w:rPr>
        <w:t xml:space="preserve"> </w:t>
      </w:r>
      <w:r w:rsidR="00702868" w:rsidRPr="00B90432">
        <w:rPr>
          <w:rFonts w:asciiTheme="minorHAnsi" w:hAnsiTheme="minorHAnsi"/>
        </w:rPr>
        <w:t xml:space="preserve">During the </w:t>
      </w:r>
      <w:r w:rsidR="00372EFC" w:rsidRPr="00B90432">
        <w:rPr>
          <w:rFonts w:asciiTheme="minorHAnsi" w:hAnsiTheme="minorHAnsi"/>
        </w:rPr>
        <w:t>country</w:t>
      </w:r>
      <w:r w:rsidR="00702868" w:rsidRPr="00B90432">
        <w:rPr>
          <w:rFonts w:asciiTheme="minorHAnsi" w:hAnsiTheme="minorHAnsi"/>
        </w:rPr>
        <w:t xml:space="preserve"> visit, the IACHR </w:t>
      </w:r>
      <w:r w:rsidR="003168F2" w:rsidRPr="00B90432">
        <w:rPr>
          <w:rFonts w:asciiTheme="minorHAnsi" w:hAnsiTheme="minorHAnsi"/>
        </w:rPr>
        <w:t xml:space="preserve">visited the two facilities </w:t>
      </w:r>
      <w:r w:rsidR="006243A1" w:rsidRPr="00B90432">
        <w:rPr>
          <w:rFonts w:asciiTheme="minorHAnsi" w:hAnsiTheme="minorHAnsi"/>
        </w:rPr>
        <w:t>Centro</w:t>
      </w:r>
      <w:r w:rsidR="003168F2" w:rsidRPr="00B90432">
        <w:rPr>
          <w:rFonts w:asciiTheme="minorHAnsi" w:hAnsiTheme="minorHAnsi"/>
        </w:rPr>
        <w:t xml:space="preserve"> “Gaviotas” and Centro</w:t>
      </w:r>
      <w:r w:rsidR="006243A1" w:rsidRPr="00B90432">
        <w:rPr>
          <w:rFonts w:asciiTheme="minorHAnsi" w:hAnsiTheme="minorHAnsi"/>
        </w:rPr>
        <w:t xml:space="preserve"> “Gorriones</w:t>
      </w:r>
      <w:r w:rsidR="003168F2" w:rsidRPr="00B90432">
        <w:rPr>
          <w:rFonts w:asciiTheme="minorHAnsi" w:hAnsiTheme="minorHAnsi"/>
        </w:rPr>
        <w:t xml:space="preserve">,” where it was able to examine the conditions </w:t>
      </w:r>
      <w:r w:rsidR="00321680" w:rsidRPr="00B90432">
        <w:rPr>
          <w:rFonts w:asciiTheme="minorHAnsi" w:hAnsiTheme="minorHAnsi"/>
        </w:rPr>
        <w:t>of imprisonment and ascertain</w:t>
      </w:r>
      <w:r w:rsidR="00581AD3" w:rsidRPr="00B90432">
        <w:rPr>
          <w:rFonts w:asciiTheme="minorHAnsi" w:hAnsiTheme="minorHAnsi"/>
        </w:rPr>
        <w:t xml:space="preserve"> for itself</w:t>
      </w:r>
      <w:r w:rsidR="00321680" w:rsidRPr="00B90432">
        <w:rPr>
          <w:rFonts w:asciiTheme="minorHAnsi" w:hAnsiTheme="minorHAnsi"/>
        </w:rPr>
        <w:t xml:space="preserve"> some of </w:t>
      </w:r>
      <w:r w:rsidR="00B37243" w:rsidRPr="00B90432">
        <w:rPr>
          <w:rFonts w:asciiTheme="minorHAnsi" w:hAnsiTheme="minorHAnsi"/>
        </w:rPr>
        <w:t xml:space="preserve">its </w:t>
      </w:r>
      <w:r w:rsidR="00321680" w:rsidRPr="00B90432">
        <w:rPr>
          <w:rFonts w:asciiTheme="minorHAnsi" w:hAnsiTheme="minorHAnsi"/>
        </w:rPr>
        <w:t xml:space="preserve">concerns. </w:t>
      </w:r>
      <w:r w:rsidR="008A5341" w:rsidRPr="00B90432">
        <w:rPr>
          <w:rFonts w:asciiTheme="minorHAnsi" w:hAnsiTheme="minorHAnsi"/>
        </w:rPr>
        <w:t>Of particular concer</w:t>
      </w:r>
      <w:r w:rsidR="00693F4E" w:rsidRPr="00B90432">
        <w:rPr>
          <w:rFonts w:asciiTheme="minorHAnsi" w:hAnsiTheme="minorHAnsi"/>
        </w:rPr>
        <w:t>n</w:t>
      </w:r>
      <w:r w:rsidR="008A5341" w:rsidRPr="00B90432">
        <w:rPr>
          <w:rFonts w:asciiTheme="minorHAnsi" w:hAnsiTheme="minorHAnsi"/>
        </w:rPr>
        <w:t xml:space="preserve"> to the IACHR was that at these facilities young people are held in the same spaces</w:t>
      </w:r>
      <w:r w:rsidR="00E42BBD" w:rsidRPr="00B90432">
        <w:rPr>
          <w:rFonts w:asciiTheme="minorHAnsi" w:hAnsiTheme="minorHAnsi"/>
        </w:rPr>
        <w:t xml:space="preserve"> as people of other age groups, and </w:t>
      </w:r>
      <w:r w:rsidR="00D81306" w:rsidRPr="00B90432">
        <w:rPr>
          <w:rFonts w:asciiTheme="minorHAnsi" w:hAnsiTheme="minorHAnsi"/>
        </w:rPr>
        <w:t>consequently, there are currently 13 year-old boys held in the same spaces as 26 year-old men.</w:t>
      </w:r>
      <w:r w:rsidR="006243A1" w:rsidRPr="00B90432">
        <w:rPr>
          <w:rStyle w:val="FootnoteReference"/>
          <w:rFonts w:asciiTheme="minorHAnsi" w:hAnsiTheme="minorHAnsi"/>
          <w:sz w:val="22"/>
          <w:szCs w:val="22"/>
        </w:rPr>
        <w:footnoteReference w:id="758"/>
      </w:r>
    </w:p>
    <w:p w14:paraId="14D062DF" w14:textId="5F2EE821" w:rsidR="006243A1" w:rsidRPr="00B90432" w:rsidRDefault="007E7A57" w:rsidP="00B90432">
      <w:pPr>
        <w:pStyle w:val="Numberedparagraphs"/>
        <w:rPr>
          <w:rFonts w:asciiTheme="minorHAnsi" w:hAnsiTheme="minorHAnsi"/>
        </w:rPr>
      </w:pPr>
      <w:r w:rsidRPr="00B90432">
        <w:rPr>
          <w:rFonts w:asciiTheme="minorHAnsi" w:hAnsiTheme="minorHAnsi"/>
        </w:rPr>
        <w:t xml:space="preserve">The Commission </w:t>
      </w:r>
      <w:r w:rsidR="00233BD1" w:rsidRPr="00B90432">
        <w:rPr>
          <w:rFonts w:asciiTheme="minorHAnsi" w:hAnsiTheme="minorHAnsi"/>
        </w:rPr>
        <w:t xml:space="preserve">also visited the juvenile women’s facility </w:t>
      </w:r>
      <w:r w:rsidR="003F0F0E" w:rsidRPr="00B90432">
        <w:rPr>
          <w:rFonts w:asciiTheme="minorHAnsi" w:hAnsiTheme="minorHAnsi"/>
        </w:rPr>
        <w:t xml:space="preserve">called </w:t>
      </w:r>
      <w:r w:rsidR="00233BD1" w:rsidRPr="00B90432">
        <w:rPr>
          <w:rFonts w:asciiTheme="minorHAnsi" w:hAnsiTheme="minorHAnsi"/>
        </w:rPr>
        <w:t xml:space="preserve">the </w:t>
      </w:r>
      <w:r w:rsidR="006243A1" w:rsidRPr="00B90432">
        <w:rPr>
          <w:rFonts w:asciiTheme="minorHAnsi" w:hAnsiTheme="minorHAnsi"/>
        </w:rPr>
        <w:t>Centro Juvenil de Privación de Libertad para Mujeres (CEJUPLIM) "Gorriones</w:t>
      </w:r>
      <w:r w:rsidR="00233BD1" w:rsidRPr="00B90432">
        <w:rPr>
          <w:rFonts w:asciiTheme="minorHAnsi" w:hAnsiTheme="minorHAnsi"/>
        </w:rPr>
        <w:t xml:space="preserve">," </w:t>
      </w:r>
      <w:r w:rsidR="00994ECE" w:rsidRPr="00B90432">
        <w:rPr>
          <w:rFonts w:asciiTheme="minorHAnsi" w:hAnsiTheme="minorHAnsi"/>
        </w:rPr>
        <w:t xml:space="preserve">where girls, female adolescents and women in conflict and contact with the criminal justice system </w:t>
      </w:r>
      <w:r w:rsidR="001F5C5F" w:rsidRPr="00B90432">
        <w:rPr>
          <w:rFonts w:asciiTheme="minorHAnsi" w:hAnsiTheme="minorHAnsi"/>
        </w:rPr>
        <w:t xml:space="preserve">ranging </w:t>
      </w:r>
      <w:r w:rsidR="00994ECE" w:rsidRPr="00B90432">
        <w:rPr>
          <w:rFonts w:asciiTheme="minorHAnsi" w:hAnsiTheme="minorHAnsi"/>
        </w:rPr>
        <w:t>from 13 to 22 years of age were being held</w:t>
      </w:r>
      <w:r w:rsidR="00D5544F" w:rsidRPr="00B90432">
        <w:rPr>
          <w:rFonts w:asciiTheme="minorHAnsi" w:hAnsiTheme="minorHAnsi"/>
        </w:rPr>
        <w:t xml:space="preserve">, </w:t>
      </w:r>
      <w:r w:rsidR="00D5544F" w:rsidRPr="00B90432">
        <w:rPr>
          <w:rFonts w:asciiTheme="minorHAnsi" w:hAnsiTheme="minorHAnsi"/>
        </w:rPr>
        <w:lastRenderedPageBreak/>
        <w:t xml:space="preserve">some </w:t>
      </w:r>
      <w:r w:rsidR="00CC69D6" w:rsidRPr="00B90432">
        <w:rPr>
          <w:rFonts w:asciiTheme="minorHAnsi" w:hAnsiTheme="minorHAnsi"/>
        </w:rPr>
        <w:t>pregnant and some with children</w:t>
      </w:r>
      <w:r w:rsidR="006243A1" w:rsidRPr="00B90432">
        <w:rPr>
          <w:rFonts w:asciiTheme="minorHAnsi" w:hAnsiTheme="minorHAnsi"/>
        </w:rPr>
        <w:t xml:space="preserve">. </w:t>
      </w:r>
      <w:r w:rsidR="00CC69D6" w:rsidRPr="00B90432">
        <w:rPr>
          <w:rFonts w:asciiTheme="minorHAnsi" w:hAnsiTheme="minorHAnsi"/>
        </w:rPr>
        <w:t xml:space="preserve">The Commission takes note of the efforts </w:t>
      </w:r>
      <w:r w:rsidR="00673625" w:rsidRPr="00B90432">
        <w:rPr>
          <w:rFonts w:asciiTheme="minorHAnsi" w:hAnsiTheme="minorHAnsi"/>
        </w:rPr>
        <w:t xml:space="preserve">mentioned </w:t>
      </w:r>
      <w:r w:rsidR="00CC69D6" w:rsidRPr="00B90432">
        <w:rPr>
          <w:rFonts w:asciiTheme="minorHAnsi" w:hAnsiTheme="minorHAnsi"/>
        </w:rPr>
        <w:t xml:space="preserve">by the </w:t>
      </w:r>
      <w:r w:rsidR="00CE5A16" w:rsidRPr="00B90432">
        <w:rPr>
          <w:rFonts w:asciiTheme="minorHAnsi" w:hAnsiTheme="minorHAnsi"/>
        </w:rPr>
        <w:t>m</w:t>
      </w:r>
      <w:r w:rsidR="00C74ED0" w:rsidRPr="00B90432">
        <w:rPr>
          <w:rFonts w:asciiTheme="minorHAnsi" w:hAnsiTheme="minorHAnsi"/>
        </w:rPr>
        <w:t>anagement of the facility to improve conditions of confinement</w:t>
      </w:r>
      <w:r w:rsidR="007A45DD" w:rsidRPr="00B90432">
        <w:rPr>
          <w:rFonts w:asciiTheme="minorHAnsi" w:hAnsiTheme="minorHAnsi"/>
        </w:rPr>
        <w:t xml:space="preserve">. </w:t>
      </w:r>
      <w:r w:rsidR="00D84539" w:rsidRPr="00B90432">
        <w:rPr>
          <w:rFonts w:asciiTheme="minorHAnsi" w:hAnsiTheme="minorHAnsi"/>
        </w:rPr>
        <w:t xml:space="preserve">However, during the visit to the facility, the Commission </w:t>
      </w:r>
      <w:r w:rsidR="00FC7A8B" w:rsidRPr="00B90432">
        <w:rPr>
          <w:rFonts w:asciiTheme="minorHAnsi" w:hAnsiTheme="minorHAnsi"/>
        </w:rPr>
        <w:t>ascertained several different problems relating to the human rig</w:t>
      </w:r>
      <w:r w:rsidR="008D43E6" w:rsidRPr="00B90432">
        <w:rPr>
          <w:rFonts w:asciiTheme="minorHAnsi" w:hAnsiTheme="minorHAnsi"/>
        </w:rPr>
        <w:t>hts of the imprisoned girls and adolescent</w:t>
      </w:r>
      <w:r w:rsidR="006C13B9" w:rsidRPr="00B90432">
        <w:rPr>
          <w:rFonts w:asciiTheme="minorHAnsi" w:hAnsiTheme="minorHAnsi"/>
        </w:rPr>
        <w:t>s</w:t>
      </w:r>
      <w:r w:rsidR="008D43E6" w:rsidRPr="00B90432">
        <w:rPr>
          <w:rFonts w:asciiTheme="minorHAnsi" w:hAnsiTheme="minorHAnsi"/>
        </w:rPr>
        <w:t>.</w:t>
      </w:r>
      <w:r w:rsidR="006243A1" w:rsidRPr="00B90432">
        <w:rPr>
          <w:rFonts w:asciiTheme="minorHAnsi" w:hAnsiTheme="minorHAnsi"/>
          <w:vertAlign w:val="superscript"/>
        </w:rPr>
        <w:footnoteReference w:id="759"/>
      </w:r>
      <w:r w:rsidR="006243A1" w:rsidRPr="00B90432">
        <w:rPr>
          <w:rFonts w:asciiTheme="minorHAnsi" w:hAnsiTheme="minorHAnsi"/>
        </w:rPr>
        <w:t xml:space="preserve"> </w:t>
      </w:r>
    </w:p>
    <w:p w14:paraId="196DB664" w14:textId="78EA6F1C" w:rsidR="006243A1" w:rsidRPr="00B90432" w:rsidRDefault="00546C1B" w:rsidP="00B90432">
      <w:pPr>
        <w:pStyle w:val="Numberedparagraphs"/>
        <w:rPr>
          <w:rFonts w:asciiTheme="minorHAnsi" w:hAnsiTheme="minorHAnsi"/>
        </w:rPr>
      </w:pPr>
      <w:r w:rsidRPr="00B90432">
        <w:rPr>
          <w:rFonts w:asciiTheme="minorHAnsi" w:hAnsiTheme="minorHAnsi"/>
        </w:rPr>
        <w:t xml:space="preserve">As for </w:t>
      </w:r>
      <w:r w:rsidR="0081533E" w:rsidRPr="00B90432">
        <w:rPr>
          <w:rFonts w:asciiTheme="minorHAnsi" w:hAnsiTheme="minorHAnsi"/>
        </w:rPr>
        <w:t>conditions of inc</w:t>
      </w:r>
      <w:r w:rsidR="003F7EFF" w:rsidRPr="00B90432">
        <w:rPr>
          <w:rFonts w:asciiTheme="minorHAnsi" w:hAnsiTheme="minorHAnsi"/>
        </w:rPr>
        <w:t>arceration, the Commission noticed</w:t>
      </w:r>
      <w:r w:rsidR="0081533E" w:rsidRPr="00B90432">
        <w:rPr>
          <w:rFonts w:asciiTheme="minorHAnsi" w:hAnsiTheme="minorHAnsi"/>
        </w:rPr>
        <w:t xml:space="preserve"> the absence of windows in the dormitories, the lack of ventilation in the </w:t>
      </w:r>
      <w:r w:rsidR="00E42BBD" w:rsidRPr="00B90432">
        <w:rPr>
          <w:rFonts w:asciiTheme="minorHAnsi" w:hAnsiTheme="minorHAnsi"/>
        </w:rPr>
        <w:t>common</w:t>
      </w:r>
      <w:r w:rsidR="0081533E" w:rsidRPr="00B90432">
        <w:rPr>
          <w:rFonts w:asciiTheme="minorHAnsi" w:hAnsiTheme="minorHAnsi"/>
        </w:rPr>
        <w:t xml:space="preserve"> spaces, as well as some structures on the verge of collapse. </w:t>
      </w:r>
      <w:r w:rsidR="000D0A46" w:rsidRPr="00B90432">
        <w:rPr>
          <w:rFonts w:asciiTheme="minorHAnsi" w:hAnsiTheme="minorHAnsi"/>
        </w:rPr>
        <w:t>The inadequate and precarious infrastructure has negative repercussions on the physical a</w:t>
      </w:r>
      <w:r w:rsidR="00ED300F" w:rsidRPr="00B90432">
        <w:rPr>
          <w:rFonts w:asciiTheme="minorHAnsi" w:hAnsiTheme="minorHAnsi"/>
        </w:rPr>
        <w:t>nd ment</w:t>
      </w:r>
      <w:r w:rsidR="000D0A46" w:rsidRPr="00B90432">
        <w:rPr>
          <w:rFonts w:asciiTheme="minorHAnsi" w:hAnsiTheme="minorHAnsi"/>
        </w:rPr>
        <w:t xml:space="preserve">al health of the girls and adolescents, even placing their </w:t>
      </w:r>
      <w:r w:rsidR="000D54BA" w:rsidRPr="00B90432">
        <w:rPr>
          <w:rFonts w:asciiTheme="minorHAnsi" w:hAnsiTheme="minorHAnsi"/>
        </w:rPr>
        <w:t xml:space="preserve">physical integrity </w:t>
      </w:r>
      <w:r w:rsidR="000D0A46" w:rsidRPr="00B90432">
        <w:rPr>
          <w:rFonts w:asciiTheme="minorHAnsi" w:hAnsiTheme="minorHAnsi"/>
        </w:rPr>
        <w:t xml:space="preserve">at risk. </w:t>
      </w:r>
      <w:r w:rsidR="007F3F56" w:rsidRPr="00B90432">
        <w:rPr>
          <w:rFonts w:asciiTheme="minorHAnsi" w:hAnsiTheme="minorHAnsi"/>
        </w:rPr>
        <w:t>The Commission also witnessed the widespread lack of hygi</w:t>
      </w:r>
      <w:r w:rsidR="008D4579" w:rsidRPr="00B90432">
        <w:rPr>
          <w:rFonts w:asciiTheme="minorHAnsi" w:hAnsiTheme="minorHAnsi"/>
        </w:rPr>
        <w:t xml:space="preserve">ene such as </w:t>
      </w:r>
      <w:r w:rsidR="00372EFC" w:rsidRPr="00B90432">
        <w:rPr>
          <w:rFonts w:asciiTheme="minorHAnsi" w:hAnsiTheme="minorHAnsi"/>
        </w:rPr>
        <w:t>plumbing</w:t>
      </w:r>
      <w:r w:rsidR="008D4579" w:rsidRPr="00B90432">
        <w:rPr>
          <w:rFonts w:asciiTheme="minorHAnsi" w:hAnsiTheme="minorHAnsi"/>
        </w:rPr>
        <w:t xml:space="preserve"> problems in</w:t>
      </w:r>
      <w:r w:rsidR="00446E31" w:rsidRPr="00B90432">
        <w:rPr>
          <w:rFonts w:asciiTheme="minorHAnsi" w:hAnsiTheme="minorHAnsi"/>
        </w:rPr>
        <w:t xml:space="preserve"> pipes</w:t>
      </w:r>
      <w:r w:rsidR="007F3F56" w:rsidRPr="00B90432">
        <w:rPr>
          <w:rFonts w:asciiTheme="minorHAnsi" w:hAnsiTheme="minorHAnsi"/>
        </w:rPr>
        <w:t xml:space="preserve">, heavy humidity in the dormitories and inadequate </w:t>
      </w:r>
      <w:r w:rsidR="00674D41" w:rsidRPr="00B90432">
        <w:rPr>
          <w:rFonts w:asciiTheme="minorHAnsi" w:hAnsiTheme="minorHAnsi"/>
        </w:rPr>
        <w:t>washing and drying</w:t>
      </w:r>
      <w:r w:rsidR="00EF5C33" w:rsidRPr="00B90432">
        <w:rPr>
          <w:rFonts w:asciiTheme="minorHAnsi" w:hAnsiTheme="minorHAnsi"/>
        </w:rPr>
        <w:t xml:space="preserve"> of clothing</w:t>
      </w:r>
      <w:r w:rsidR="00674D41" w:rsidRPr="00B90432">
        <w:rPr>
          <w:rFonts w:asciiTheme="minorHAnsi" w:hAnsiTheme="minorHAnsi"/>
        </w:rPr>
        <w:t xml:space="preserve">, which can have negative </w:t>
      </w:r>
      <w:r w:rsidR="00372EFC" w:rsidRPr="00B90432">
        <w:rPr>
          <w:rFonts w:asciiTheme="minorHAnsi" w:hAnsiTheme="minorHAnsi"/>
        </w:rPr>
        <w:t>consequences</w:t>
      </w:r>
      <w:r w:rsidR="00674D41" w:rsidRPr="00B90432">
        <w:rPr>
          <w:rFonts w:asciiTheme="minorHAnsi" w:hAnsiTheme="minorHAnsi"/>
        </w:rPr>
        <w:t xml:space="preserve"> on the physical health of the female inmates. </w:t>
      </w:r>
      <w:r w:rsidR="00355094" w:rsidRPr="00B90432">
        <w:rPr>
          <w:rFonts w:asciiTheme="minorHAnsi" w:hAnsiTheme="minorHAnsi"/>
        </w:rPr>
        <w:t>Additionally, the Commission viewed with concern the</w:t>
      </w:r>
      <w:r w:rsidR="00A514D8" w:rsidRPr="00B90432">
        <w:rPr>
          <w:rFonts w:asciiTheme="minorHAnsi" w:hAnsiTheme="minorHAnsi"/>
        </w:rPr>
        <w:t xml:space="preserve"> presence of several men workin</w:t>
      </w:r>
      <w:r w:rsidR="00355094" w:rsidRPr="00B90432">
        <w:rPr>
          <w:rFonts w:asciiTheme="minorHAnsi" w:hAnsiTheme="minorHAnsi"/>
        </w:rPr>
        <w:t>g</w:t>
      </w:r>
      <w:r w:rsidR="00A514D8" w:rsidRPr="00B90432">
        <w:rPr>
          <w:rFonts w:asciiTheme="minorHAnsi" w:hAnsiTheme="minorHAnsi"/>
        </w:rPr>
        <w:t xml:space="preserve"> </w:t>
      </w:r>
      <w:r w:rsidR="00355094" w:rsidRPr="00B90432">
        <w:rPr>
          <w:rFonts w:asciiTheme="minorHAnsi" w:hAnsiTheme="minorHAnsi"/>
        </w:rPr>
        <w:t xml:space="preserve">at the female </w:t>
      </w:r>
      <w:r w:rsidR="00FB35F4" w:rsidRPr="00B90432">
        <w:rPr>
          <w:rFonts w:asciiTheme="minorHAnsi" w:hAnsiTheme="minorHAnsi"/>
        </w:rPr>
        <w:t xml:space="preserve">detention </w:t>
      </w:r>
      <w:r w:rsidR="00355094" w:rsidRPr="00B90432">
        <w:rPr>
          <w:rFonts w:asciiTheme="minorHAnsi" w:hAnsiTheme="minorHAnsi"/>
        </w:rPr>
        <w:t>facility, including the</w:t>
      </w:r>
      <w:r w:rsidR="00166FCA" w:rsidRPr="00B90432">
        <w:rPr>
          <w:rFonts w:asciiTheme="minorHAnsi" w:hAnsiTheme="minorHAnsi"/>
        </w:rPr>
        <w:t xml:space="preserve"> Director’s</w:t>
      </w:r>
      <w:r w:rsidR="00355094" w:rsidRPr="00B90432">
        <w:rPr>
          <w:rFonts w:asciiTheme="minorHAnsi" w:hAnsiTheme="minorHAnsi"/>
        </w:rPr>
        <w:t xml:space="preserve"> security guard</w:t>
      </w:r>
      <w:r w:rsidR="00166FCA" w:rsidRPr="00B90432">
        <w:rPr>
          <w:rFonts w:asciiTheme="minorHAnsi" w:hAnsiTheme="minorHAnsi"/>
        </w:rPr>
        <w:t xml:space="preserve">, inasmuch as this is </w:t>
      </w:r>
      <w:r w:rsidR="00445270" w:rsidRPr="00B90432">
        <w:rPr>
          <w:rFonts w:asciiTheme="minorHAnsi" w:hAnsiTheme="minorHAnsi"/>
        </w:rPr>
        <w:t xml:space="preserve">a </w:t>
      </w:r>
      <w:r w:rsidR="00166FCA" w:rsidRPr="00B90432">
        <w:rPr>
          <w:rFonts w:asciiTheme="minorHAnsi" w:hAnsiTheme="minorHAnsi"/>
        </w:rPr>
        <w:t xml:space="preserve">setting where,  only the presence of women is allowed. </w:t>
      </w:r>
      <w:r w:rsidR="00D0072F" w:rsidRPr="00B90432">
        <w:rPr>
          <w:rFonts w:asciiTheme="minorHAnsi" w:hAnsiTheme="minorHAnsi"/>
        </w:rPr>
        <w:t>In general, the Commission noted that the infrastructure of the facility is more typical of a penitentiary than a juvenile detention facility.</w:t>
      </w:r>
      <w:r w:rsidR="006243A1" w:rsidRPr="00B90432">
        <w:rPr>
          <w:rFonts w:asciiTheme="minorHAnsi" w:hAnsiTheme="minorHAnsi"/>
          <w:vertAlign w:val="superscript"/>
        </w:rPr>
        <w:footnoteReference w:id="760"/>
      </w:r>
    </w:p>
    <w:p w14:paraId="20FAE8B5" w14:textId="2870F45B" w:rsidR="006243A1" w:rsidRPr="00B90432" w:rsidRDefault="000C562B" w:rsidP="00B90432">
      <w:pPr>
        <w:pStyle w:val="Numberedparagraphs"/>
        <w:rPr>
          <w:rFonts w:asciiTheme="minorHAnsi" w:hAnsiTheme="minorHAnsi"/>
        </w:rPr>
      </w:pPr>
      <w:r w:rsidRPr="00B90432">
        <w:rPr>
          <w:rFonts w:asciiTheme="minorHAnsi" w:hAnsiTheme="minorHAnsi"/>
        </w:rPr>
        <w:t xml:space="preserve">With regard to the situation of women and adolescents with children who were pregnant or had children, the Commission visited the section that is </w:t>
      </w:r>
      <w:r w:rsidR="00B70A98" w:rsidRPr="00B90432">
        <w:rPr>
          <w:rFonts w:asciiTheme="minorHAnsi" w:hAnsiTheme="minorHAnsi"/>
        </w:rPr>
        <w:t>designated for this population and noted the health statu</w:t>
      </w:r>
      <w:r w:rsidR="00186C9E" w:rsidRPr="00B90432">
        <w:rPr>
          <w:rFonts w:asciiTheme="minorHAnsi" w:hAnsiTheme="minorHAnsi"/>
        </w:rPr>
        <w:t>s of the female</w:t>
      </w:r>
      <w:r w:rsidR="00B70A98" w:rsidRPr="00B90432">
        <w:rPr>
          <w:rFonts w:asciiTheme="minorHAnsi" w:hAnsiTheme="minorHAnsi"/>
        </w:rPr>
        <w:t xml:space="preserve"> inmates and their children. </w:t>
      </w:r>
      <w:r w:rsidR="00CB3B51" w:rsidRPr="00B90432">
        <w:rPr>
          <w:rFonts w:asciiTheme="minorHAnsi" w:hAnsiTheme="minorHAnsi"/>
        </w:rPr>
        <w:t>The</w:t>
      </w:r>
      <w:r w:rsidR="00B70A98" w:rsidRPr="00B90432">
        <w:rPr>
          <w:rFonts w:asciiTheme="minorHAnsi" w:hAnsiTheme="minorHAnsi"/>
        </w:rPr>
        <w:t xml:space="preserve"> testimonies</w:t>
      </w:r>
      <w:r w:rsidR="00CB3B51" w:rsidRPr="00B90432">
        <w:rPr>
          <w:rFonts w:asciiTheme="minorHAnsi" w:hAnsiTheme="minorHAnsi"/>
        </w:rPr>
        <w:t xml:space="preserve"> received indicate t</w:t>
      </w:r>
      <w:r w:rsidR="00B70A98" w:rsidRPr="00B90432">
        <w:rPr>
          <w:rFonts w:asciiTheme="minorHAnsi" w:hAnsiTheme="minorHAnsi"/>
        </w:rPr>
        <w:t>he absence of proper food service, vitamin supplements and the lack of specialized medical care</w:t>
      </w:r>
      <w:r w:rsidR="00327199" w:rsidRPr="00B90432">
        <w:rPr>
          <w:rFonts w:asciiTheme="minorHAnsi" w:hAnsiTheme="minorHAnsi"/>
        </w:rPr>
        <w:t xml:space="preserve"> for the pregnant women, as well as the limited access to potable water.</w:t>
      </w:r>
      <w:r w:rsidR="006243A1" w:rsidRPr="00B90432">
        <w:rPr>
          <w:rFonts w:asciiTheme="minorHAnsi" w:hAnsiTheme="minorHAnsi"/>
          <w:vertAlign w:val="superscript"/>
        </w:rPr>
        <w:footnoteReference w:id="761"/>
      </w:r>
    </w:p>
    <w:p w14:paraId="54BE1B14" w14:textId="2EBB16D3" w:rsidR="006243A1" w:rsidRPr="00B90432" w:rsidRDefault="00782A42" w:rsidP="00B90432">
      <w:pPr>
        <w:pStyle w:val="Numberedparagraphs"/>
        <w:rPr>
          <w:rFonts w:asciiTheme="minorHAnsi" w:hAnsiTheme="minorHAnsi"/>
        </w:rPr>
      </w:pPr>
      <w:r w:rsidRPr="00B90432">
        <w:rPr>
          <w:rFonts w:asciiTheme="minorHAnsi" w:hAnsiTheme="minorHAnsi"/>
        </w:rPr>
        <w:t xml:space="preserve">The IACHR also heard adolescent girls </w:t>
      </w:r>
      <w:r w:rsidR="0007756B" w:rsidRPr="00B90432">
        <w:rPr>
          <w:rFonts w:asciiTheme="minorHAnsi" w:hAnsiTheme="minorHAnsi"/>
        </w:rPr>
        <w:t>p</w:t>
      </w:r>
      <w:r w:rsidR="00495E77" w:rsidRPr="00B90432">
        <w:rPr>
          <w:rFonts w:asciiTheme="minorHAnsi" w:hAnsiTheme="minorHAnsi"/>
        </w:rPr>
        <w:t xml:space="preserve">rovide </w:t>
      </w:r>
      <w:r w:rsidR="005027F4" w:rsidRPr="00B90432">
        <w:rPr>
          <w:rFonts w:asciiTheme="minorHAnsi" w:hAnsiTheme="minorHAnsi"/>
        </w:rPr>
        <w:t xml:space="preserve">accounts of </w:t>
      </w:r>
      <w:r w:rsidR="00924243" w:rsidRPr="00B90432">
        <w:rPr>
          <w:rFonts w:asciiTheme="minorHAnsi" w:hAnsiTheme="minorHAnsi"/>
        </w:rPr>
        <w:t xml:space="preserve">enduring </w:t>
      </w:r>
      <w:r w:rsidR="00730CAD" w:rsidRPr="00B90432">
        <w:rPr>
          <w:rFonts w:asciiTheme="minorHAnsi" w:hAnsiTheme="minorHAnsi"/>
        </w:rPr>
        <w:t>mistreatment</w:t>
      </w:r>
      <w:r w:rsidR="005027F4" w:rsidRPr="00B90432">
        <w:rPr>
          <w:rFonts w:asciiTheme="minorHAnsi" w:hAnsiTheme="minorHAnsi"/>
        </w:rPr>
        <w:t xml:space="preserve">, as well as </w:t>
      </w:r>
      <w:r w:rsidR="00DA7B0A" w:rsidRPr="00B90432">
        <w:rPr>
          <w:rFonts w:asciiTheme="minorHAnsi" w:hAnsiTheme="minorHAnsi"/>
        </w:rPr>
        <w:t>cruel, inhuman and degrading treatment, which could constitute torture.</w:t>
      </w:r>
      <w:r w:rsidR="00FF78AE" w:rsidRPr="00B90432">
        <w:rPr>
          <w:rFonts w:asciiTheme="minorHAnsi" w:hAnsiTheme="minorHAnsi"/>
        </w:rPr>
        <w:t xml:space="preserve"> Several </w:t>
      </w:r>
      <w:r w:rsidR="007913CB" w:rsidRPr="00B90432">
        <w:rPr>
          <w:rFonts w:asciiTheme="minorHAnsi" w:hAnsiTheme="minorHAnsi"/>
        </w:rPr>
        <w:t xml:space="preserve">adolescents reported to the Commission the practice of humiliating shouting and insults, as well as the use of dousing their bodies and face with gas, having sustained beatings and have been forced to do squats (known as </w:t>
      </w:r>
      <w:r w:rsidR="006243A1" w:rsidRPr="00B90432">
        <w:rPr>
          <w:rFonts w:asciiTheme="minorHAnsi" w:hAnsiTheme="minorHAnsi"/>
        </w:rPr>
        <w:t> “sapitos” o</w:t>
      </w:r>
      <w:r w:rsidR="007913CB" w:rsidRPr="00B90432">
        <w:rPr>
          <w:rFonts w:asciiTheme="minorHAnsi" w:hAnsiTheme="minorHAnsi"/>
        </w:rPr>
        <w:t>r</w:t>
      </w:r>
      <w:r w:rsidR="006243A1" w:rsidRPr="00B90432">
        <w:rPr>
          <w:rFonts w:asciiTheme="minorHAnsi" w:hAnsiTheme="minorHAnsi"/>
        </w:rPr>
        <w:t xml:space="preserve"> “rollitos”) </w:t>
      </w:r>
      <w:r w:rsidR="007913CB" w:rsidRPr="00B90432">
        <w:rPr>
          <w:rFonts w:asciiTheme="minorHAnsi" w:hAnsiTheme="minorHAnsi"/>
        </w:rPr>
        <w:t xml:space="preserve">as </w:t>
      </w:r>
      <w:r w:rsidR="00B4261E" w:rsidRPr="00B90432">
        <w:rPr>
          <w:rFonts w:asciiTheme="minorHAnsi" w:hAnsiTheme="minorHAnsi"/>
        </w:rPr>
        <w:t xml:space="preserve">a </w:t>
      </w:r>
      <w:r w:rsidR="00677D2C" w:rsidRPr="00B90432">
        <w:rPr>
          <w:rFonts w:asciiTheme="minorHAnsi" w:hAnsiTheme="minorHAnsi"/>
        </w:rPr>
        <w:t>form of punishment</w:t>
      </w:r>
      <w:r w:rsidR="007913CB" w:rsidRPr="00B90432">
        <w:rPr>
          <w:rFonts w:asciiTheme="minorHAnsi" w:hAnsiTheme="minorHAnsi"/>
        </w:rPr>
        <w:t xml:space="preserve">. </w:t>
      </w:r>
      <w:r w:rsidR="00D95447" w:rsidRPr="00B90432">
        <w:rPr>
          <w:rFonts w:asciiTheme="minorHAnsi" w:hAnsiTheme="minorHAnsi"/>
        </w:rPr>
        <w:t xml:space="preserve">Likewise, information was received about abusive and disproportionate </w:t>
      </w:r>
      <w:r w:rsidR="00E02EA8" w:rsidRPr="00B90432">
        <w:rPr>
          <w:rFonts w:asciiTheme="minorHAnsi" w:hAnsiTheme="minorHAnsi"/>
        </w:rPr>
        <w:t xml:space="preserve">searches </w:t>
      </w:r>
      <w:r w:rsidR="008A7F33" w:rsidRPr="00B90432">
        <w:rPr>
          <w:rFonts w:asciiTheme="minorHAnsi" w:hAnsiTheme="minorHAnsi"/>
        </w:rPr>
        <w:t>of female inmates</w:t>
      </w:r>
      <w:r w:rsidR="00987C08" w:rsidRPr="00B90432">
        <w:rPr>
          <w:rFonts w:asciiTheme="minorHAnsi" w:hAnsiTheme="minorHAnsi"/>
        </w:rPr>
        <w:t xml:space="preserve">, </w:t>
      </w:r>
      <w:r w:rsidR="00CA6D6A" w:rsidRPr="00B90432">
        <w:rPr>
          <w:rFonts w:asciiTheme="minorHAnsi" w:hAnsiTheme="minorHAnsi"/>
        </w:rPr>
        <w:t>who are forced to strip off their clothing several times a day</w:t>
      </w:r>
      <w:r w:rsidR="008A7F33" w:rsidRPr="00B90432">
        <w:rPr>
          <w:rFonts w:asciiTheme="minorHAnsi" w:hAnsiTheme="minorHAnsi"/>
        </w:rPr>
        <w:t>, and of their family members</w:t>
      </w:r>
      <w:r w:rsidR="00CA6D6A" w:rsidRPr="00B90432">
        <w:rPr>
          <w:rFonts w:asciiTheme="minorHAnsi" w:hAnsiTheme="minorHAnsi"/>
        </w:rPr>
        <w:t>.</w:t>
      </w:r>
      <w:r w:rsidR="006243A1" w:rsidRPr="00B90432">
        <w:rPr>
          <w:rFonts w:asciiTheme="minorHAnsi" w:hAnsiTheme="minorHAnsi"/>
          <w:vertAlign w:val="superscript"/>
        </w:rPr>
        <w:footnoteReference w:id="762"/>
      </w:r>
      <w:r w:rsidR="006C5E84" w:rsidRPr="00B90432">
        <w:rPr>
          <w:rFonts w:asciiTheme="minorHAnsi" w:hAnsiTheme="minorHAnsi"/>
        </w:rPr>
        <w:t xml:space="preserve"> The </w:t>
      </w:r>
      <w:r w:rsidR="006C5E84" w:rsidRPr="00B90432">
        <w:rPr>
          <w:rFonts w:asciiTheme="minorHAnsi" w:hAnsiTheme="minorHAnsi"/>
        </w:rPr>
        <w:lastRenderedPageBreak/>
        <w:t>Commission reminds the State of the importance to ensure that persons</w:t>
      </w:r>
      <w:r w:rsidR="00671B53" w:rsidRPr="00B90432">
        <w:rPr>
          <w:rFonts w:asciiTheme="minorHAnsi" w:hAnsiTheme="minorHAnsi"/>
        </w:rPr>
        <w:t xml:space="preserve">, </w:t>
      </w:r>
      <w:r w:rsidR="006C5E84" w:rsidRPr="00B90432">
        <w:rPr>
          <w:rFonts w:asciiTheme="minorHAnsi" w:hAnsiTheme="minorHAnsi"/>
        </w:rPr>
        <w:t xml:space="preserve">who met with the </w:t>
      </w:r>
      <w:r w:rsidR="00F713BA" w:rsidRPr="00B90432">
        <w:rPr>
          <w:rFonts w:asciiTheme="minorHAnsi" w:hAnsiTheme="minorHAnsi"/>
        </w:rPr>
        <w:t>IACHR</w:t>
      </w:r>
      <w:r w:rsidR="006C5E84" w:rsidRPr="00B90432">
        <w:rPr>
          <w:rFonts w:asciiTheme="minorHAnsi" w:hAnsiTheme="minorHAnsi"/>
        </w:rPr>
        <w:t xml:space="preserve"> and provided information, including the little girl</w:t>
      </w:r>
      <w:r w:rsidR="005F4E9C" w:rsidRPr="00B90432">
        <w:rPr>
          <w:rFonts w:asciiTheme="minorHAnsi" w:hAnsiTheme="minorHAnsi"/>
        </w:rPr>
        <w:t>s and female adolescent inmates and persons who work at the facility</w:t>
      </w:r>
      <w:r w:rsidR="005F22B6" w:rsidRPr="00B90432">
        <w:rPr>
          <w:rFonts w:asciiTheme="minorHAnsi" w:hAnsiTheme="minorHAnsi"/>
        </w:rPr>
        <w:t>,</w:t>
      </w:r>
      <w:r w:rsidR="006C5E84" w:rsidRPr="00B90432">
        <w:rPr>
          <w:rFonts w:asciiTheme="minorHAnsi" w:hAnsiTheme="minorHAnsi"/>
        </w:rPr>
        <w:t xml:space="preserve"> are not subjected to ret</w:t>
      </w:r>
      <w:r w:rsidR="005F4E9C" w:rsidRPr="00B90432">
        <w:rPr>
          <w:rFonts w:asciiTheme="minorHAnsi" w:hAnsiTheme="minorHAnsi"/>
        </w:rPr>
        <w:t>aliation by agents of the State</w:t>
      </w:r>
      <w:r w:rsidR="006C5E84" w:rsidRPr="00B90432">
        <w:rPr>
          <w:rFonts w:asciiTheme="minorHAnsi" w:hAnsiTheme="minorHAnsi"/>
        </w:rPr>
        <w:t xml:space="preserve">. </w:t>
      </w:r>
      <w:r w:rsidR="006243A1" w:rsidRPr="00B90432">
        <w:rPr>
          <w:rFonts w:asciiTheme="minorHAnsi" w:hAnsiTheme="minorHAnsi"/>
        </w:rPr>
        <w:t xml:space="preserve"> </w:t>
      </w:r>
    </w:p>
    <w:p w14:paraId="1C21B85E" w14:textId="77777777" w:rsidR="006243A1" w:rsidRPr="00B90432" w:rsidRDefault="000B774F" w:rsidP="00B90432">
      <w:pPr>
        <w:pStyle w:val="Numberedparagraphs"/>
        <w:rPr>
          <w:rFonts w:asciiTheme="minorHAnsi" w:hAnsiTheme="minorHAnsi"/>
        </w:rPr>
      </w:pPr>
      <w:r w:rsidRPr="00B90432">
        <w:rPr>
          <w:rFonts w:asciiTheme="minorHAnsi" w:hAnsiTheme="minorHAnsi"/>
        </w:rPr>
        <w:t xml:space="preserve">The situation of the juvenile prison facilities </w:t>
      </w:r>
      <w:r w:rsidR="007A0678" w:rsidRPr="00B90432">
        <w:rPr>
          <w:rFonts w:asciiTheme="minorHAnsi" w:hAnsiTheme="minorHAnsi"/>
        </w:rPr>
        <w:t xml:space="preserve">are also adversely affected by the absence of a System for the Full Implementation of Rights of children and adolescents in Guatemala, as mentioned earlier in this report. </w:t>
      </w:r>
      <w:r w:rsidR="00AB124F" w:rsidRPr="00B90432">
        <w:rPr>
          <w:rFonts w:asciiTheme="minorHAnsi" w:hAnsiTheme="minorHAnsi"/>
        </w:rPr>
        <w:t xml:space="preserve">At the time of approval of the instant report, the Commission had not received any information to indicate that there was a comprehensive child protection vision, strategies </w:t>
      </w:r>
      <w:r w:rsidR="00671B53" w:rsidRPr="00B90432">
        <w:rPr>
          <w:rFonts w:asciiTheme="minorHAnsi" w:hAnsiTheme="minorHAnsi"/>
        </w:rPr>
        <w:t xml:space="preserve">to promote respect of </w:t>
      </w:r>
      <w:r w:rsidR="006536CE" w:rsidRPr="00B90432">
        <w:rPr>
          <w:rFonts w:asciiTheme="minorHAnsi" w:hAnsiTheme="minorHAnsi"/>
        </w:rPr>
        <w:t xml:space="preserve">all rights of every child and adolescent, or effective coordination </w:t>
      </w:r>
      <w:r w:rsidR="00E37E1B" w:rsidRPr="00B90432">
        <w:rPr>
          <w:rFonts w:asciiTheme="minorHAnsi" w:hAnsiTheme="minorHAnsi"/>
        </w:rPr>
        <w:t xml:space="preserve">of </w:t>
      </w:r>
      <w:r w:rsidR="008A4A9E" w:rsidRPr="00B90432">
        <w:rPr>
          <w:rFonts w:asciiTheme="minorHAnsi" w:hAnsiTheme="minorHAnsi"/>
        </w:rPr>
        <w:t>policies, programs and services, and sufficient resources for them to function properly</w:t>
      </w:r>
      <w:r w:rsidR="006243A1" w:rsidRPr="00B90432">
        <w:rPr>
          <w:rFonts w:asciiTheme="minorHAnsi" w:hAnsiTheme="minorHAnsi"/>
        </w:rPr>
        <w:t xml:space="preserve">. </w:t>
      </w:r>
    </w:p>
    <w:p w14:paraId="54AAA96A" w14:textId="77777777" w:rsidR="006243A1" w:rsidRPr="00931BA7" w:rsidRDefault="00B32923" w:rsidP="00931BA7">
      <w:pPr>
        <w:spacing w:after="240" w:line="240" w:lineRule="auto"/>
        <w:ind w:firstLine="547"/>
        <w:jc w:val="both"/>
        <w:rPr>
          <w:rFonts w:asciiTheme="minorHAnsi" w:hAnsiTheme="minorHAnsi"/>
          <w:b/>
        </w:rPr>
      </w:pPr>
      <w:r w:rsidRPr="00931BA7">
        <w:rPr>
          <w:rFonts w:asciiTheme="minorHAnsi" w:hAnsiTheme="minorHAnsi"/>
          <w:b/>
        </w:rPr>
        <w:t xml:space="preserve">The tragedy of the </w:t>
      </w:r>
      <w:r w:rsidR="00BA4099" w:rsidRPr="00931BA7">
        <w:rPr>
          <w:rFonts w:asciiTheme="minorHAnsi" w:hAnsiTheme="minorHAnsi"/>
          <w:b/>
        </w:rPr>
        <w:t>“</w:t>
      </w:r>
      <w:r w:rsidR="006243A1" w:rsidRPr="00931BA7">
        <w:rPr>
          <w:rFonts w:asciiTheme="minorHAnsi" w:hAnsiTheme="minorHAnsi"/>
          <w:b/>
        </w:rPr>
        <w:t>Hogar Virgen de la Asunción</w:t>
      </w:r>
      <w:r w:rsidR="00BA4099" w:rsidRPr="00931BA7">
        <w:rPr>
          <w:rFonts w:asciiTheme="minorHAnsi" w:hAnsiTheme="minorHAnsi"/>
          <w:b/>
        </w:rPr>
        <w:t>”</w:t>
      </w:r>
    </w:p>
    <w:p w14:paraId="32323B59" w14:textId="77777777" w:rsidR="006243A1" w:rsidRPr="00B90432" w:rsidRDefault="00AA591A" w:rsidP="00B90432">
      <w:pPr>
        <w:pStyle w:val="Numberedparagraphs"/>
        <w:rPr>
          <w:rFonts w:asciiTheme="minorHAnsi" w:hAnsiTheme="minorHAnsi"/>
        </w:rPr>
      </w:pPr>
      <w:r w:rsidRPr="00B90432">
        <w:rPr>
          <w:rFonts w:asciiTheme="minorHAnsi" w:hAnsiTheme="minorHAnsi"/>
        </w:rPr>
        <w:t>The</w:t>
      </w:r>
      <w:r w:rsidR="00315E41" w:rsidRPr="00B90432">
        <w:rPr>
          <w:rFonts w:asciiTheme="minorHAnsi" w:hAnsiTheme="minorHAnsi"/>
        </w:rPr>
        <w:t xml:space="preserve"> </w:t>
      </w:r>
      <w:r w:rsidR="009A4402" w:rsidRPr="00B90432">
        <w:rPr>
          <w:rFonts w:asciiTheme="minorHAnsi" w:hAnsiTheme="minorHAnsi"/>
        </w:rPr>
        <w:t>facility former</w:t>
      </w:r>
      <w:r w:rsidR="00BA4099" w:rsidRPr="00B90432">
        <w:rPr>
          <w:rFonts w:asciiTheme="minorHAnsi" w:hAnsiTheme="minorHAnsi"/>
        </w:rPr>
        <w:t>ly</w:t>
      </w:r>
      <w:r w:rsidR="009A4402" w:rsidRPr="00B90432">
        <w:rPr>
          <w:rFonts w:asciiTheme="minorHAnsi" w:hAnsiTheme="minorHAnsi"/>
        </w:rPr>
        <w:t xml:space="preserve"> known as “</w:t>
      </w:r>
      <w:r w:rsidR="006243A1" w:rsidRPr="00B90432">
        <w:rPr>
          <w:rFonts w:asciiTheme="minorHAnsi" w:hAnsiTheme="minorHAnsi"/>
        </w:rPr>
        <w:t xml:space="preserve">Hogar Seguro Virgen de la Asunción” </w:t>
      </w:r>
      <w:r w:rsidR="009A4402" w:rsidRPr="00B90432">
        <w:rPr>
          <w:rFonts w:asciiTheme="minorHAnsi" w:hAnsiTheme="minorHAnsi"/>
        </w:rPr>
        <w:t>was a state</w:t>
      </w:r>
      <w:r w:rsidR="00315E41" w:rsidRPr="00B90432">
        <w:rPr>
          <w:rFonts w:asciiTheme="minorHAnsi" w:hAnsiTheme="minorHAnsi"/>
        </w:rPr>
        <w:t>-run</w:t>
      </w:r>
      <w:r w:rsidR="009A4402" w:rsidRPr="00B90432">
        <w:rPr>
          <w:rFonts w:asciiTheme="minorHAnsi" w:hAnsiTheme="minorHAnsi"/>
        </w:rPr>
        <w:t xml:space="preserve"> </w:t>
      </w:r>
      <w:r w:rsidR="00A97F2B" w:rsidRPr="00B90432">
        <w:rPr>
          <w:rFonts w:asciiTheme="minorHAnsi" w:hAnsiTheme="minorHAnsi"/>
        </w:rPr>
        <w:t xml:space="preserve">residential facility </w:t>
      </w:r>
      <w:r w:rsidR="009A4402" w:rsidRPr="00B90432">
        <w:rPr>
          <w:rFonts w:asciiTheme="minorHAnsi" w:hAnsiTheme="minorHAnsi"/>
        </w:rPr>
        <w:t xml:space="preserve">for children and adolescent </w:t>
      </w:r>
      <w:r w:rsidR="008463B0" w:rsidRPr="00B90432">
        <w:rPr>
          <w:rFonts w:asciiTheme="minorHAnsi" w:hAnsiTheme="minorHAnsi"/>
        </w:rPr>
        <w:t xml:space="preserve">victims of violence, abandonment and child abuse located in </w:t>
      </w:r>
      <w:r w:rsidR="006243A1" w:rsidRPr="00B90432">
        <w:rPr>
          <w:rFonts w:asciiTheme="minorHAnsi" w:hAnsiTheme="minorHAnsi"/>
        </w:rPr>
        <w:t xml:space="preserve">San José Pinula, </w:t>
      </w:r>
      <w:r w:rsidR="008C7710" w:rsidRPr="00B90432">
        <w:rPr>
          <w:rFonts w:asciiTheme="minorHAnsi" w:hAnsiTheme="minorHAnsi"/>
        </w:rPr>
        <w:t xml:space="preserve">Department of </w:t>
      </w:r>
      <w:r w:rsidR="006243A1" w:rsidRPr="00B90432">
        <w:rPr>
          <w:rFonts w:asciiTheme="minorHAnsi" w:hAnsiTheme="minorHAnsi"/>
        </w:rPr>
        <w:t xml:space="preserve">Guatemala. </w:t>
      </w:r>
      <w:r w:rsidR="00CD73FE" w:rsidRPr="00B90432">
        <w:rPr>
          <w:rFonts w:asciiTheme="minorHAnsi" w:hAnsiTheme="minorHAnsi"/>
        </w:rPr>
        <w:t xml:space="preserve">In operation since 2010, the facility had a maximum capacity of 500 children and adolescents, but complaints had been </w:t>
      </w:r>
      <w:r w:rsidR="003362AD" w:rsidRPr="00B90432">
        <w:rPr>
          <w:rFonts w:asciiTheme="minorHAnsi" w:hAnsiTheme="minorHAnsi"/>
        </w:rPr>
        <w:t>filed for</w:t>
      </w:r>
      <w:r w:rsidR="00CD73FE" w:rsidRPr="00B90432">
        <w:rPr>
          <w:rFonts w:asciiTheme="minorHAnsi" w:hAnsiTheme="minorHAnsi"/>
        </w:rPr>
        <w:t xml:space="preserve"> </w:t>
      </w:r>
      <w:r w:rsidR="009E6C33" w:rsidRPr="00B90432">
        <w:rPr>
          <w:rFonts w:asciiTheme="minorHAnsi" w:hAnsiTheme="minorHAnsi"/>
        </w:rPr>
        <w:t>surpassing its capacity</w:t>
      </w:r>
      <w:r w:rsidR="00BB3ACF" w:rsidRPr="00B90432">
        <w:rPr>
          <w:rFonts w:asciiTheme="minorHAnsi" w:hAnsiTheme="minorHAnsi"/>
        </w:rPr>
        <w:t xml:space="preserve"> and overcrowding </w:t>
      </w:r>
      <w:r w:rsidR="00CD73FE" w:rsidRPr="00B90432">
        <w:rPr>
          <w:rFonts w:asciiTheme="minorHAnsi" w:hAnsiTheme="minorHAnsi"/>
        </w:rPr>
        <w:t>since it first opened.</w:t>
      </w:r>
      <w:r w:rsidR="006243A1" w:rsidRPr="00B90432">
        <w:rPr>
          <w:rFonts w:asciiTheme="minorHAnsi" w:hAnsiTheme="minorHAnsi"/>
        </w:rPr>
        <w:t xml:space="preserve"> </w:t>
      </w:r>
    </w:p>
    <w:p w14:paraId="4C1B9821" w14:textId="77777777" w:rsidR="006243A1" w:rsidRPr="00B90432" w:rsidRDefault="00E47407" w:rsidP="00B90432">
      <w:pPr>
        <w:pStyle w:val="Numberedparagraphs"/>
        <w:rPr>
          <w:rFonts w:asciiTheme="minorHAnsi" w:hAnsiTheme="minorHAnsi"/>
        </w:rPr>
      </w:pPr>
      <w:r w:rsidRPr="00B90432">
        <w:rPr>
          <w:rFonts w:asciiTheme="minorHAnsi" w:hAnsiTheme="minorHAnsi"/>
        </w:rPr>
        <w:t>To provide an idea of these</w:t>
      </w:r>
      <w:r w:rsidR="001412EB" w:rsidRPr="00B90432">
        <w:rPr>
          <w:rFonts w:asciiTheme="minorHAnsi" w:hAnsiTheme="minorHAnsi"/>
        </w:rPr>
        <w:t xml:space="preserve"> complaints, according to the Human Rights Ombudsman’s Office, since 2012, </w:t>
      </w:r>
      <w:r w:rsidR="008D6328" w:rsidRPr="00B90432">
        <w:rPr>
          <w:rFonts w:asciiTheme="minorHAnsi" w:hAnsiTheme="minorHAnsi"/>
        </w:rPr>
        <w:t xml:space="preserve">it received </w:t>
      </w:r>
      <w:r w:rsidR="001412EB" w:rsidRPr="00B90432">
        <w:rPr>
          <w:rFonts w:asciiTheme="minorHAnsi" w:hAnsiTheme="minorHAnsi"/>
        </w:rPr>
        <w:t xml:space="preserve">37 </w:t>
      </w:r>
      <w:r w:rsidR="008D6328" w:rsidRPr="00B90432">
        <w:rPr>
          <w:rFonts w:asciiTheme="minorHAnsi" w:hAnsiTheme="minorHAnsi"/>
        </w:rPr>
        <w:t>reports of different types of violations of the</w:t>
      </w:r>
      <w:r w:rsidR="0039513E" w:rsidRPr="00B90432">
        <w:rPr>
          <w:rFonts w:asciiTheme="minorHAnsi" w:hAnsiTheme="minorHAnsi"/>
        </w:rPr>
        <w:t xml:space="preserve"> right to</w:t>
      </w:r>
      <w:r w:rsidR="008D6328" w:rsidRPr="00B90432">
        <w:rPr>
          <w:rFonts w:asciiTheme="minorHAnsi" w:hAnsiTheme="minorHAnsi"/>
        </w:rPr>
        <w:t xml:space="preserve"> personal integrity of children at that</w:t>
      </w:r>
      <w:r w:rsidR="00AA591A" w:rsidRPr="00B90432">
        <w:rPr>
          <w:rFonts w:asciiTheme="minorHAnsi" w:hAnsiTheme="minorHAnsi"/>
        </w:rPr>
        <w:t xml:space="preserve"> institution</w:t>
      </w:r>
      <w:r w:rsidR="00587393" w:rsidRPr="00B90432">
        <w:rPr>
          <w:rFonts w:asciiTheme="minorHAnsi" w:hAnsiTheme="minorHAnsi"/>
        </w:rPr>
        <w:t xml:space="preserve">; and from May to October 2016, 43 adolescents ran away from the </w:t>
      </w:r>
      <w:r w:rsidR="006243A1" w:rsidRPr="00B90432">
        <w:rPr>
          <w:rFonts w:asciiTheme="minorHAnsi" w:hAnsiTheme="minorHAnsi" w:cs="Tahoma"/>
        </w:rPr>
        <w:t>Hogar</w:t>
      </w:r>
      <w:r w:rsidR="006243A1" w:rsidRPr="00B90432">
        <w:rPr>
          <w:rFonts w:asciiTheme="minorHAnsi" w:hAnsiTheme="minorHAnsi"/>
        </w:rPr>
        <w:t xml:space="preserve"> Virgen de la Asunción. </w:t>
      </w:r>
      <w:r w:rsidR="00467E37" w:rsidRPr="00B90432">
        <w:rPr>
          <w:rFonts w:asciiTheme="minorHAnsi" w:hAnsiTheme="minorHAnsi"/>
        </w:rPr>
        <w:t xml:space="preserve">On November </w:t>
      </w:r>
      <w:r w:rsidR="006243A1" w:rsidRPr="00B90432">
        <w:rPr>
          <w:rFonts w:asciiTheme="minorHAnsi" w:hAnsiTheme="minorHAnsi"/>
        </w:rPr>
        <w:t>16</w:t>
      </w:r>
      <w:r w:rsidR="00467E37" w:rsidRPr="00B90432">
        <w:rPr>
          <w:rFonts w:asciiTheme="minorHAnsi" w:hAnsiTheme="minorHAnsi"/>
        </w:rPr>
        <w:t>,</w:t>
      </w:r>
      <w:r w:rsidR="006243A1" w:rsidRPr="00B90432">
        <w:rPr>
          <w:rFonts w:asciiTheme="minorHAnsi" w:hAnsiTheme="minorHAnsi"/>
        </w:rPr>
        <w:t xml:space="preserve"> 2016</w:t>
      </w:r>
      <w:r w:rsidR="00637224" w:rsidRPr="00B90432">
        <w:rPr>
          <w:rFonts w:asciiTheme="minorHAnsi" w:hAnsiTheme="minorHAnsi"/>
        </w:rPr>
        <w:t xml:space="preserve">, </w:t>
      </w:r>
      <w:r w:rsidR="004E24B3" w:rsidRPr="00B90432">
        <w:rPr>
          <w:rFonts w:asciiTheme="minorHAnsi" w:hAnsiTheme="minorHAnsi"/>
        </w:rPr>
        <w:t xml:space="preserve">the media reported that 18 of the adolescents were located, </w:t>
      </w:r>
      <w:r w:rsidR="00CD5A2E" w:rsidRPr="00B90432">
        <w:rPr>
          <w:rFonts w:asciiTheme="minorHAnsi" w:hAnsiTheme="minorHAnsi"/>
        </w:rPr>
        <w:t>wh</w:t>
      </w:r>
      <w:r w:rsidR="00B872D3" w:rsidRPr="00B90432">
        <w:rPr>
          <w:rFonts w:asciiTheme="minorHAnsi" w:hAnsiTheme="minorHAnsi"/>
        </w:rPr>
        <w:t>ile the whereabouts of the rest were</w:t>
      </w:r>
      <w:r w:rsidR="00F0445E" w:rsidRPr="00B90432">
        <w:rPr>
          <w:rFonts w:asciiTheme="minorHAnsi" w:hAnsiTheme="minorHAnsi"/>
        </w:rPr>
        <w:t xml:space="preserve"> still </w:t>
      </w:r>
      <w:r w:rsidR="00CD5A2E" w:rsidRPr="00B90432">
        <w:rPr>
          <w:rFonts w:asciiTheme="minorHAnsi" w:hAnsiTheme="minorHAnsi"/>
        </w:rPr>
        <w:t xml:space="preserve">unknown. </w:t>
      </w:r>
      <w:r w:rsidR="00572117" w:rsidRPr="00B90432">
        <w:rPr>
          <w:rFonts w:asciiTheme="minorHAnsi" w:hAnsiTheme="minorHAnsi"/>
        </w:rPr>
        <w:t>Additionally, on repeated occasions</w:t>
      </w:r>
      <w:r w:rsidR="007740FA" w:rsidRPr="00B90432">
        <w:rPr>
          <w:rFonts w:asciiTheme="minorHAnsi" w:hAnsiTheme="minorHAnsi"/>
        </w:rPr>
        <w:t xml:space="preserve"> (2012, 2013 and</w:t>
      </w:r>
      <w:r w:rsidR="006243A1" w:rsidRPr="00B90432">
        <w:rPr>
          <w:rFonts w:asciiTheme="minorHAnsi" w:hAnsiTheme="minorHAnsi"/>
        </w:rPr>
        <w:t xml:space="preserve"> 2014)</w:t>
      </w:r>
      <w:r w:rsidR="00180DEC" w:rsidRPr="00B90432">
        <w:rPr>
          <w:rFonts w:asciiTheme="minorHAnsi" w:hAnsiTheme="minorHAnsi"/>
        </w:rPr>
        <w:t xml:space="preserve">, </w:t>
      </w:r>
      <w:r w:rsidR="0097316B" w:rsidRPr="00B90432">
        <w:rPr>
          <w:rFonts w:asciiTheme="minorHAnsi" w:hAnsiTheme="minorHAnsi"/>
        </w:rPr>
        <w:t xml:space="preserve">the </w:t>
      </w:r>
      <w:r w:rsidR="00180DEC" w:rsidRPr="00B90432">
        <w:rPr>
          <w:rFonts w:asciiTheme="minorHAnsi" w:hAnsiTheme="minorHAnsi"/>
        </w:rPr>
        <w:t>Office of the Human Rights Ombudsman issued recommendations to reduce the rate of overcrowding and ensure the personal integrity of the children at the</w:t>
      </w:r>
      <w:r w:rsidR="007D38D7" w:rsidRPr="00B90432">
        <w:rPr>
          <w:rFonts w:asciiTheme="minorHAnsi" w:hAnsiTheme="minorHAnsi"/>
        </w:rPr>
        <w:t xml:space="preserve"> care facility</w:t>
      </w:r>
      <w:r w:rsidR="006F7133" w:rsidRPr="00B90432">
        <w:rPr>
          <w:rFonts w:asciiTheme="minorHAnsi" w:hAnsiTheme="minorHAnsi"/>
        </w:rPr>
        <w:t>;</w:t>
      </w:r>
      <w:r w:rsidR="00180DEC" w:rsidRPr="00B90432">
        <w:rPr>
          <w:rFonts w:asciiTheme="minorHAnsi" w:hAnsiTheme="minorHAnsi"/>
        </w:rPr>
        <w:t xml:space="preserve"> though based on available information, the respective authority did not properly implement the recommendations</w:t>
      </w:r>
      <w:r w:rsidR="00662136" w:rsidRPr="00B90432">
        <w:rPr>
          <w:rFonts w:asciiTheme="minorHAnsi" w:hAnsiTheme="minorHAnsi"/>
        </w:rPr>
        <w:t>.</w:t>
      </w:r>
      <w:r w:rsidR="006243A1" w:rsidRPr="00B90432">
        <w:rPr>
          <w:rStyle w:val="FootnoteReference"/>
          <w:rFonts w:asciiTheme="minorHAnsi" w:hAnsiTheme="minorHAnsi"/>
          <w:sz w:val="22"/>
          <w:szCs w:val="22"/>
        </w:rPr>
        <w:footnoteReference w:id="763"/>
      </w:r>
    </w:p>
    <w:p w14:paraId="59A7F8D0" w14:textId="2C611F47" w:rsidR="006243A1" w:rsidRPr="00B90432" w:rsidRDefault="00C6552D" w:rsidP="00B90432">
      <w:pPr>
        <w:pStyle w:val="Numberedparagraphs"/>
        <w:rPr>
          <w:rFonts w:asciiTheme="minorHAnsi" w:hAnsiTheme="minorHAnsi"/>
        </w:rPr>
      </w:pPr>
      <w:r w:rsidRPr="00B90432">
        <w:rPr>
          <w:rFonts w:asciiTheme="minorHAnsi" w:hAnsiTheme="minorHAnsi"/>
        </w:rPr>
        <w:lastRenderedPageBreak/>
        <w:t xml:space="preserve">On March </w:t>
      </w:r>
      <w:r w:rsidR="006243A1" w:rsidRPr="00B90432">
        <w:rPr>
          <w:rFonts w:asciiTheme="minorHAnsi" w:hAnsiTheme="minorHAnsi"/>
        </w:rPr>
        <w:t>8</w:t>
      </w:r>
      <w:r w:rsidRPr="00B90432">
        <w:rPr>
          <w:rFonts w:asciiTheme="minorHAnsi" w:hAnsiTheme="minorHAnsi"/>
        </w:rPr>
        <w:t>,</w:t>
      </w:r>
      <w:r w:rsidR="006243A1" w:rsidRPr="00B90432">
        <w:rPr>
          <w:rFonts w:asciiTheme="minorHAnsi" w:hAnsiTheme="minorHAnsi"/>
        </w:rPr>
        <w:t xml:space="preserve"> 2017, </w:t>
      </w:r>
      <w:r w:rsidR="006F7133" w:rsidRPr="00B90432">
        <w:rPr>
          <w:rFonts w:asciiTheme="minorHAnsi" w:hAnsiTheme="minorHAnsi"/>
        </w:rPr>
        <w:t>t</w:t>
      </w:r>
      <w:r w:rsidR="00383068" w:rsidRPr="00B90432">
        <w:rPr>
          <w:rFonts w:asciiTheme="minorHAnsi" w:hAnsiTheme="minorHAnsi"/>
        </w:rPr>
        <w:t xml:space="preserve">here were </w:t>
      </w:r>
      <w:r w:rsidR="006243A1" w:rsidRPr="00B90432">
        <w:rPr>
          <w:rFonts w:asciiTheme="minorHAnsi" w:hAnsiTheme="minorHAnsi"/>
        </w:rPr>
        <w:t xml:space="preserve">600 </w:t>
      </w:r>
      <w:r w:rsidR="00383068" w:rsidRPr="00B90432">
        <w:rPr>
          <w:rFonts w:asciiTheme="minorHAnsi" w:hAnsiTheme="minorHAnsi"/>
        </w:rPr>
        <w:t>children and adolescents housed at the Hogar Virgen de la Asunción.</w:t>
      </w:r>
      <w:r w:rsidR="006243A1" w:rsidRPr="00B90432">
        <w:rPr>
          <w:rStyle w:val="FootnoteReference"/>
          <w:rFonts w:asciiTheme="minorHAnsi" w:hAnsiTheme="minorHAnsi"/>
          <w:sz w:val="22"/>
          <w:szCs w:val="22"/>
        </w:rPr>
        <w:footnoteReference w:id="764"/>
      </w:r>
      <w:r w:rsidR="00383068" w:rsidRPr="00B90432">
        <w:rPr>
          <w:rFonts w:asciiTheme="minorHAnsi" w:hAnsiTheme="minorHAnsi"/>
        </w:rPr>
        <w:t xml:space="preserve"> The information available indicates that, as a </w:t>
      </w:r>
      <w:r w:rsidR="00372EFC" w:rsidRPr="00B90432">
        <w:rPr>
          <w:rFonts w:asciiTheme="minorHAnsi" w:hAnsiTheme="minorHAnsi"/>
        </w:rPr>
        <w:t>disciplinary</w:t>
      </w:r>
      <w:r w:rsidR="00383068" w:rsidRPr="00B90432">
        <w:rPr>
          <w:rFonts w:asciiTheme="minorHAnsi" w:hAnsiTheme="minorHAnsi"/>
        </w:rPr>
        <w:t xml:space="preserve"> measure, 55 girls were locked into a classroom smaller than 44 square meters. </w:t>
      </w:r>
      <w:r w:rsidR="00E177BC" w:rsidRPr="00B90432">
        <w:rPr>
          <w:rFonts w:asciiTheme="minorHAnsi" w:hAnsiTheme="minorHAnsi"/>
        </w:rPr>
        <w:t>That night</w:t>
      </w:r>
      <w:r w:rsidR="00FB1766" w:rsidRPr="00B90432">
        <w:rPr>
          <w:rFonts w:asciiTheme="minorHAnsi" w:hAnsiTheme="minorHAnsi"/>
        </w:rPr>
        <w:t xml:space="preserve"> </w:t>
      </w:r>
      <w:r w:rsidR="00900F38" w:rsidRPr="00B90432">
        <w:rPr>
          <w:rFonts w:asciiTheme="minorHAnsi" w:hAnsiTheme="minorHAnsi"/>
        </w:rPr>
        <w:t>a fire broke out in the classroom where the girls were locked in</w:t>
      </w:r>
      <w:r w:rsidR="00AF6301" w:rsidRPr="00B90432">
        <w:rPr>
          <w:rFonts w:asciiTheme="minorHAnsi" w:hAnsiTheme="minorHAnsi"/>
        </w:rPr>
        <w:t>, burning and suffocating 41 girls and adolescents</w:t>
      </w:r>
      <w:r w:rsidR="00E177BC" w:rsidRPr="00B90432">
        <w:rPr>
          <w:rFonts w:asciiTheme="minorHAnsi" w:hAnsiTheme="minorHAnsi"/>
        </w:rPr>
        <w:t xml:space="preserve"> to death</w:t>
      </w:r>
      <w:r w:rsidR="00AF6301" w:rsidRPr="00B90432">
        <w:rPr>
          <w:rFonts w:asciiTheme="minorHAnsi" w:hAnsiTheme="minorHAnsi"/>
        </w:rPr>
        <w:t xml:space="preserve">, and </w:t>
      </w:r>
      <w:r w:rsidR="00B42DD7" w:rsidRPr="00B90432">
        <w:rPr>
          <w:rFonts w:asciiTheme="minorHAnsi" w:hAnsiTheme="minorHAnsi"/>
        </w:rPr>
        <w:t xml:space="preserve">leaving </w:t>
      </w:r>
      <w:r w:rsidR="00AF6301" w:rsidRPr="00B90432">
        <w:rPr>
          <w:rFonts w:asciiTheme="minorHAnsi" w:hAnsiTheme="minorHAnsi"/>
        </w:rPr>
        <w:t xml:space="preserve">another 15 girls hospitalized because of burns and other injuries </w:t>
      </w:r>
      <w:r w:rsidR="00DF5EA0" w:rsidRPr="00B90432">
        <w:rPr>
          <w:rFonts w:asciiTheme="minorHAnsi" w:hAnsiTheme="minorHAnsi"/>
        </w:rPr>
        <w:t xml:space="preserve">they </w:t>
      </w:r>
      <w:r w:rsidR="00AF6301" w:rsidRPr="00B90432">
        <w:rPr>
          <w:rFonts w:asciiTheme="minorHAnsi" w:hAnsiTheme="minorHAnsi"/>
        </w:rPr>
        <w:t>sustained as a result of the fire.</w:t>
      </w:r>
      <w:r w:rsidR="006243A1" w:rsidRPr="00B90432">
        <w:rPr>
          <w:rStyle w:val="FootnoteReference"/>
          <w:rFonts w:asciiTheme="minorHAnsi" w:hAnsiTheme="minorHAnsi"/>
          <w:sz w:val="22"/>
          <w:szCs w:val="22"/>
        </w:rPr>
        <w:footnoteReference w:id="765"/>
      </w:r>
      <w:r w:rsidR="00147791" w:rsidRPr="00B90432">
        <w:rPr>
          <w:rFonts w:asciiTheme="minorHAnsi" w:hAnsiTheme="minorHAnsi"/>
        </w:rPr>
        <w:t xml:space="preserve">  According to the information received, </w:t>
      </w:r>
      <w:r w:rsidR="009E5167" w:rsidRPr="00B90432">
        <w:rPr>
          <w:rFonts w:asciiTheme="minorHAnsi" w:hAnsiTheme="minorHAnsi"/>
        </w:rPr>
        <w:t xml:space="preserve">police officials and security guards of the facility had the key to open the door where the girls were locked in, but </w:t>
      </w:r>
      <w:r w:rsidR="00D578F2" w:rsidRPr="00B90432">
        <w:rPr>
          <w:rFonts w:asciiTheme="minorHAnsi" w:hAnsiTheme="minorHAnsi"/>
        </w:rPr>
        <w:t>it</w:t>
      </w:r>
      <w:r w:rsidR="009E5167" w:rsidRPr="00B90432">
        <w:rPr>
          <w:rFonts w:asciiTheme="minorHAnsi" w:hAnsiTheme="minorHAnsi"/>
        </w:rPr>
        <w:t xml:space="preserve"> took nearly nine minutes before </w:t>
      </w:r>
      <w:r w:rsidR="000C6087" w:rsidRPr="00B90432">
        <w:rPr>
          <w:rFonts w:asciiTheme="minorHAnsi" w:hAnsiTheme="minorHAnsi"/>
        </w:rPr>
        <w:t>they opened it</w:t>
      </w:r>
      <w:r w:rsidR="009E5167" w:rsidRPr="00B90432">
        <w:rPr>
          <w:rFonts w:asciiTheme="minorHAnsi" w:hAnsiTheme="minorHAnsi"/>
        </w:rPr>
        <w:t>.</w:t>
      </w:r>
      <w:r w:rsidR="006243A1" w:rsidRPr="00B90432">
        <w:rPr>
          <w:rStyle w:val="FootnoteReference"/>
          <w:rFonts w:asciiTheme="minorHAnsi" w:hAnsiTheme="minorHAnsi"/>
          <w:sz w:val="22"/>
          <w:szCs w:val="22"/>
        </w:rPr>
        <w:footnoteReference w:id="766"/>
      </w:r>
    </w:p>
    <w:p w14:paraId="1C0120B3" w14:textId="77777777" w:rsidR="006243A1" w:rsidRPr="00B90432" w:rsidRDefault="00A33695" w:rsidP="00B90432">
      <w:pPr>
        <w:pStyle w:val="Numberedparagraphs"/>
        <w:rPr>
          <w:rFonts w:asciiTheme="minorHAnsi" w:hAnsiTheme="minorHAnsi"/>
        </w:rPr>
      </w:pPr>
      <w:r w:rsidRPr="00B90432">
        <w:rPr>
          <w:rFonts w:asciiTheme="minorHAnsi" w:hAnsiTheme="minorHAnsi"/>
        </w:rPr>
        <w:t>The Office of the Public Prosecutor opened a criminal investigation</w:t>
      </w:r>
      <w:r w:rsidR="00BB65A4" w:rsidRPr="00B90432">
        <w:rPr>
          <w:rFonts w:asciiTheme="minorHAnsi" w:hAnsiTheme="minorHAnsi"/>
        </w:rPr>
        <w:t xml:space="preserve"> into the incidents against the public officials.</w:t>
      </w:r>
      <w:r w:rsidR="006243A1" w:rsidRPr="00B90432">
        <w:rPr>
          <w:rFonts w:asciiTheme="minorHAnsi" w:hAnsiTheme="minorHAnsi"/>
          <w:vertAlign w:val="superscript"/>
        </w:rPr>
        <w:footnoteReference w:id="767"/>
      </w:r>
      <w:r w:rsidR="00874265" w:rsidRPr="00B90432">
        <w:rPr>
          <w:rFonts w:asciiTheme="minorHAnsi" w:hAnsiTheme="minorHAnsi"/>
        </w:rPr>
        <w:t xml:space="preserve">  Available information show</w:t>
      </w:r>
      <w:r w:rsidR="0044151F" w:rsidRPr="00B90432">
        <w:rPr>
          <w:rFonts w:asciiTheme="minorHAnsi" w:hAnsiTheme="minorHAnsi"/>
        </w:rPr>
        <w:t>s that Secretary of Social Welfare</w:t>
      </w:r>
      <w:r w:rsidR="006243A1" w:rsidRPr="00B90432">
        <w:rPr>
          <w:rFonts w:asciiTheme="minorHAnsi" w:hAnsiTheme="minorHAnsi"/>
        </w:rPr>
        <w:t xml:space="preserve"> Carlos Antonio Rodas Mejía, </w:t>
      </w:r>
      <w:r w:rsidR="0044151F" w:rsidRPr="00B90432">
        <w:rPr>
          <w:rFonts w:asciiTheme="minorHAnsi" w:hAnsiTheme="minorHAnsi"/>
        </w:rPr>
        <w:t xml:space="preserve">Assistant Secretary of Social </w:t>
      </w:r>
      <w:r w:rsidR="000776E5" w:rsidRPr="00B90432">
        <w:rPr>
          <w:rFonts w:asciiTheme="minorHAnsi" w:hAnsiTheme="minorHAnsi"/>
        </w:rPr>
        <w:t xml:space="preserve">Welfare and </w:t>
      </w:r>
      <w:r w:rsidR="000C777C" w:rsidRPr="00B90432">
        <w:rPr>
          <w:rFonts w:asciiTheme="minorHAnsi" w:hAnsiTheme="minorHAnsi"/>
        </w:rPr>
        <w:t>Child Care</w:t>
      </w:r>
      <w:r w:rsidR="005A0F92" w:rsidRPr="00B90432">
        <w:rPr>
          <w:rFonts w:asciiTheme="minorHAnsi" w:hAnsiTheme="minorHAnsi"/>
        </w:rPr>
        <w:t xml:space="preserve"> </w:t>
      </w:r>
      <w:r w:rsidR="006243A1" w:rsidRPr="00B90432">
        <w:rPr>
          <w:rFonts w:asciiTheme="minorHAnsi" w:hAnsiTheme="minorHAnsi"/>
        </w:rPr>
        <w:t xml:space="preserve">Anahí Keller Zabala, </w:t>
      </w:r>
      <w:r w:rsidR="005A0F92" w:rsidRPr="00B90432">
        <w:rPr>
          <w:rFonts w:asciiTheme="minorHAnsi" w:hAnsiTheme="minorHAnsi"/>
        </w:rPr>
        <w:t xml:space="preserve">and the Director of the </w:t>
      </w:r>
      <w:r w:rsidR="006243A1" w:rsidRPr="00B90432">
        <w:rPr>
          <w:rFonts w:asciiTheme="minorHAnsi" w:hAnsiTheme="minorHAnsi"/>
        </w:rPr>
        <w:t xml:space="preserve">Hogar Seguro, Santos Torres Ramírez, </w:t>
      </w:r>
      <w:r w:rsidR="005A0F92" w:rsidRPr="00B90432">
        <w:rPr>
          <w:rFonts w:asciiTheme="minorHAnsi" w:hAnsiTheme="minorHAnsi"/>
        </w:rPr>
        <w:t xml:space="preserve">were initially arrested. </w:t>
      </w:r>
      <w:r w:rsidR="00600414" w:rsidRPr="00B90432">
        <w:rPr>
          <w:rFonts w:asciiTheme="minorHAnsi" w:hAnsiTheme="minorHAnsi"/>
        </w:rPr>
        <w:t xml:space="preserve"> They were formally charged and proceedings were instituted for the crime of </w:t>
      </w:r>
      <w:r w:rsidR="00C533B9" w:rsidRPr="00B90432">
        <w:rPr>
          <w:rFonts w:asciiTheme="minorHAnsi" w:hAnsiTheme="minorHAnsi"/>
        </w:rPr>
        <w:t>involuntary homicide (for the death of 41 girls), negligent bodily harm (to the detriment of the girls and adolescents who were seriously injured), abuse of authority, breach of duties and mistreatment of minors.</w:t>
      </w:r>
      <w:r w:rsidR="006243A1" w:rsidRPr="00B90432">
        <w:rPr>
          <w:rStyle w:val="FootnoteReference"/>
          <w:rFonts w:asciiTheme="minorHAnsi" w:hAnsiTheme="minorHAnsi"/>
          <w:sz w:val="22"/>
          <w:szCs w:val="22"/>
        </w:rPr>
        <w:footnoteReference w:id="768"/>
      </w:r>
      <w:r w:rsidR="00C533B9" w:rsidRPr="00B90432">
        <w:rPr>
          <w:rFonts w:asciiTheme="minorHAnsi" w:hAnsiTheme="minorHAnsi"/>
        </w:rPr>
        <w:t xml:space="preserve"> </w:t>
      </w:r>
      <w:r w:rsidR="00B03961" w:rsidRPr="00B90432">
        <w:rPr>
          <w:rFonts w:asciiTheme="minorHAnsi" w:hAnsiTheme="minorHAnsi"/>
        </w:rPr>
        <w:t>Subsequently</w:t>
      </w:r>
      <w:r w:rsidR="00C533B9" w:rsidRPr="00B90432">
        <w:rPr>
          <w:rFonts w:asciiTheme="minorHAnsi" w:hAnsiTheme="minorHAnsi"/>
        </w:rPr>
        <w:t xml:space="preserve">, arrests were carried out on the Ombudsman for Children and Adolescents of the Office of the </w:t>
      </w:r>
      <w:r w:rsidR="00D677F3" w:rsidRPr="00B90432">
        <w:rPr>
          <w:rFonts w:asciiTheme="minorHAnsi" w:hAnsiTheme="minorHAnsi"/>
        </w:rPr>
        <w:t xml:space="preserve">Council General </w:t>
      </w:r>
      <w:r w:rsidR="00C533B9" w:rsidRPr="00B90432">
        <w:rPr>
          <w:rFonts w:asciiTheme="minorHAnsi" w:hAnsiTheme="minorHAnsi"/>
        </w:rPr>
        <w:t xml:space="preserve">of the Nation </w:t>
      </w:r>
      <w:r w:rsidR="006243A1" w:rsidRPr="00B90432">
        <w:rPr>
          <w:rFonts w:asciiTheme="minorHAnsi" w:hAnsiTheme="minorHAnsi"/>
        </w:rPr>
        <w:t xml:space="preserve">(PGN), Harold Flores; </w:t>
      </w:r>
      <w:r w:rsidR="00C533B9" w:rsidRPr="00B90432">
        <w:rPr>
          <w:rFonts w:asciiTheme="minorHAnsi" w:hAnsiTheme="minorHAnsi"/>
        </w:rPr>
        <w:t>the head of the Office of the Defender of Children and Adolescents of the PDH</w:t>
      </w:r>
      <w:r w:rsidR="006243A1" w:rsidRPr="00B90432">
        <w:rPr>
          <w:rFonts w:asciiTheme="minorHAnsi" w:hAnsiTheme="minorHAnsi"/>
        </w:rPr>
        <w:t xml:space="preserve">, Gloria Castro; </w:t>
      </w:r>
      <w:r w:rsidR="00266024" w:rsidRPr="00B90432">
        <w:rPr>
          <w:rFonts w:asciiTheme="minorHAnsi" w:hAnsiTheme="minorHAnsi"/>
        </w:rPr>
        <w:t xml:space="preserve">the Assistant Police Chief of the National Civilian Police </w:t>
      </w:r>
      <w:r w:rsidR="006243A1" w:rsidRPr="00B90432">
        <w:rPr>
          <w:rFonts w:asciiTheme="minorHAnsi" w:hAnsiTheme="minorHAnsi"/>
        </w:rPr>
        <w:t xml:space="preserve">(PNC), Luis Pérez Borja; </w:t>
      </w:r>
      <w:r w:rsidR="00266024" w:rsidRPr="00B90432">
        <w:rPr>
          <w:rFonts w:asciiTheme="minorHAnsi" w:hAnsiTheme="minorHAnsi"/>
        </w:rPr>
        <w:t xml:space="preserve">the Assistant Inspector of the </w:t>
      </w:r>
      <w:r w:rsidR="006243A1" w:rsidRPr="00B90432">
        <w:rPr>
          <w:rFonts w:asciiTheme="minorHAnsi" w:hAnsiTheme="minorHAnsi"/>
        </w:rPr>
        <w:t xml:space="preserve">PNC, Eva Marina Marroquín, </w:t>
      </w:r>
      <w:r w:rsidR="00266024" w:rsidRPr="00B90432">
        <w:rPr>
          <w:rFonts w:asciiTheme="minorHAnsi" w:hAnsiTheme="minorHAnsi"/>
        </w:rPr>
        <w:t xml:space="preserve">and the Chief of Special Protection against mistreatment in all of its forms of the </w:t>
      </w:r>
      <w:r w:rsidR="006243A1" w:rsidRPr="00B90432">
        <w:rPr>
          <w:rFonts w:asciiTheme="minorHAnsi" w:hAnsiTheme="minorHAnsi"/>
        </w:rPr>
        <w:t xml:space="preserve">Hogar Virgen de la Asunción, Brenda Chaman. </w:t>
      </w:r>
      <w:r w:rsidR="006D46CB" w:rsidRPr="00B90432">
        <w:rPr>
          <w:rFonts w:asciiTheme="minorHAnsi" w:hAnsiTheme="minorHAnsi"/>
        </w:rPr>
        <w:t xml:space="preserve">Some </w:t>
      </w:r>
      <w:r w:rsidR="0087615E" w:rsidRPr="00B90432">
        <w:rPr>
          <w:rFonts w:asciiTheme="minorHAnsi" w:hAnsiTheme="minorHAnsi"/>
        </w:rPr>
        <w:t xml:space="preserve">civil society </w:t>
      </w:r>
      <w:r w:rsidR="006D46CB" w:rsidRPr="00B90432">
        <w:rPr>
          <w:rFonts w:asciiTheme="minorHAnsi" w:hAnsiTheme="minorHAnsi"/>
        </w:rPr>
        <w:t>organizations</w:t>
      </w:r>
      <w:r w:rsidR="00837F14" w:rsidRPr="00B90432">
        <w:rPr>
          <w:rFonts w:asciiTheme="minorHAnsi" w:hAnsiTheme="minorHAnsi"/>
        </w:rPr>
        <w:t xml:space="preserve"> voiced their disagreement with </w:t>
      </w:r>
      <w:r w:rsidR="00837F14" w:rsidRPr="00B90432">
        <w:rPr>
          <w:rFonts w:asciiTheme="minorHAnsi" w:hAnsiTheme="minorHAnsi"/>
        </w:rPr>
        <w:lastRenderedPageBreak/>
        <w:t xml:space="preserve">the fact that </w:t>
      </w:r>
      <w:r w:rsidR="008457C7" w:rsidRPr="00B90432">
        <w:rPr>
          <w:rFonts w:asciiTheme="minorHAnsi" w:hAnsiTheme="minorHAnsi"/>
        </w:rPr>
        <w:t>the defendants</w:t>
      </w:r>
      <w:r w:rsidR="00534536" w:rsidRPr="00B90432">
        <w:rPr>
          <w:rFonts w:asciiTheme="minorHAnsi" w:hAnsiTheme="minorHAnsi"/>
        </w:rPr>
        <w:t xml:space="preserve"> were charged with minor crimes, </w:t>
      </w:r>
      <w:r w:rsidR="008457C7" w:rsidRPr="00B90432">
        <w:rPr>
          <w:rFonts w:asciiTheme="minorHAnsi" w:hAnsiTheme="minorHAnsi"/>
        </w:rPr>
        <w:t xml:space="preserve">that intent was not included in the </w:t>
      </w:r>
      <w:r w:rsidR="0073170A" w:rsidRPr="00B90432">
        <w:rPr>
          <w:rFonts w:asciiTheme="minorHAnsi" w:hAnsiTheme="minorHAnsi"/>
        </w:rPr>
        <w:t xml:space="preserve">counts of the </w:t>
      </w:r>
      <w:r w:rsidR="008457C7" w:rsidRPr="00B90432">
        <w:rPr>
          <w:rFonts w:asciiTheme="minorHAnsi" w:hAnsiTheme="minorHAnsi"/>
        </w:rPr>
        <w:t xml:space="preserve">indictment, and that </w:t>
      </w:r>
      <w:r w:rsidR="006F7C76" w:rsidRPr="00B90432">
        <w:rPr>
          <w:rFonts w:asciiTheme="minorHAnsi" w:hAnsiTheme="minorHAnsi"/>
        </w:rPr>
        <w:t xml:space="preserve">the case would not be approached from </w:t>
      </w:r>
      <w:r w:rsidR="008457C7" w:rsidRPr="00B90432">
        <w:rPr>
          <w:rFonts w:asciiTheme="minorHAnsi" w:hAnsiTheme="minorHAnsi"/>
        </w:rPr>
        <w:t xml:space="preserve">a human rights </w:t>
      </w:r>
      <w:r w:rsidR="006F7C76" w:rsidRPr="00B90432">
        <w:rPr>
          <w:rFonts w:asciiTheme="minorHAnsi" w:hAnsiTheme="minorHAnsi"/>
        </w:rPr>
        <w:t xml:space="preserve">perspective </w:t>
      </w:r>
      <w:r w:rsidR="00534536" w:rsidRPr="00B90432">
        <w:rPr>
          <w:rFonts w:asciiTheme="minorHAnsi" w:hAnsiTheme="minorHAnsi"/>
        </w:rPr>
        <w:t xml:space="preserve">in order </w:t>
      </w:r>
      <w:r w:rsidR="009A7A9E" w:rsidRPr="00B90432">
        <w:rPr>
          <w:rFonts w:asciiTheme="minorHAnsi" w:hAnsiTheme="minorHAnsi"/>
        </w:rPr>
        <w:t xml:space="preserve">to </w:t>
      </w:r>
      <w:r w:rsidR="00713EEC" w:rsidRPr="00B90432">
        <w:rPr>
          <w:rFonts w:asciiTheme="minorHAnsi" w:hAnsiTheme="minorHAnsi"/>
        </w:rPr>
        <w:t xml:space="preserve">be able to </w:t>
      </w:r>
      <w:r w:rsidR="000C777C" w:rsidRPr="00B90432">
        <w:rPr>
          <w:rFonts w:asciiTheme="minorHAnsi" w:hAnsiTheme="minorHAnsi"/>
        </w:rPr>
        <w:t xml:space="preserve">charge </w:t>
      </w:r>
      <w:r w:rsidR="00534536" w:rsidRPr="00B90432">
        <w:rPr>
          <w:rFonts w:asciiTheme="minorHAnsi" w:hAnsiTheme="minorHAnsi"/>
        </w:rPr>
        <w:t>the defendants with</w:t>
      </w:r>
      <w:r w:rsidR="009A7A9E" w:rsidRPr="00B90432">
        <w:rPr>
          <w:rFonts w:asciiTheme="minorHAnsi" w:hAnsiTheme="minorHAnsi"/>
        </w:rPr>
        <w:t xml:space="preserve"> serious crimes</w:t>
      </w:r>
      <w:r w:rsidR="00995DF0" w:rsidRPr="00B90432">
        <w:rPr>
          <w:rFonts w:asciiTheme="minorHAnsi" w:hAnsiTheme="minorHAnsi"/>
        </w:rPr>
        <w:t xml:space="preserve">, if applicable, </w:t>
      </w:r>
      <w:r w:rsidR="002E4D8E" w:rsidRPr="00B90432">
        <w:rPr>
          <w:rFonts w:asciiTheme="minorHAnsi" w:hAnsiTheme="minorHAnsi"/>
        </w:rPr>
        <w:t>such as</w:t>
      </w:r>
      <w:r w:rsidR="009A7A9E" w:rsidRPr="00B90432">
        <w:rPr>
          <w:rFonts w:asciiTheme="minorHAnsi" w:hAnsiTheme="minorHAnsi"/>
        </w:rPr>
        <w:t xml:space="preserve"> torture.</w:t>
      </w:r>
      <w:r w:rsidR="006243A1" w:rsidRPr="00B90432">
        <w:rPr>
          <w:rStyle w:val="FootnoteReference"/>
          <w:rFonts w:asciiTheme="minorHAnsi" w:hAnsiTheme="minorHAnsi"/>
          <w:sz w:val="22"/>
          <w:szCs w:val="22"/>
        </w:rPr>
        <w:footnoteReference w:id="769"/>
      </w:r>
      <w:r w:rsidR="009A7A9E" w:rsidRPr="00B90432">
        <w:rPr>
          <w:rFonts w:asciiTheme="minorHAnsi" w:hAnsiTheme="minorHAnsi"/>
        </w:rPr>
        <w:t xml:space="preserve"> The IACHR reiterates the importance that the investigation </w:t>
      </w:r>
      <w:r w:rsidR="00AD1DB8" w:rsidRPr="00B90432">
        <w:rPr>
          <w:rFonts w:asciiTheme="minorHAnsi" w:hAnsiTheme="minorHAnsi"/>
        </w:rPr>
        <w:t xml:space="preserve">is </w:t>
      </w:r>
      <w:r w:rsidR="00574364" w:rsidRPr="00B90432">
        <w:rPr>
          <w:rFonts w:asciiTheme="minorHAnsi" w:hAnsiTheme="minorHAnsi"/>
        </w:rPr>
        <w:t xml:space="preserve">carried out </w:t>
      </w:r>
      <w:r w:rsidR="00AD1DB8" w:rsidRPr="00B90432">
        <w:rPr>
          <w:rFonts w:asciiTheme="minorHAnsi" w:hAnsiTheme="minorHAnsi"/>
        </w:rPr>
        <w:t xml:space="preserve">with due diligence and </w:t>
      </w:r>
      <w:r w:rsidR="0055457B" w:rsidRPr="00B90432">
        <w:rPr>
          <w:rFonts w:asciiTheme="minorHAnsi" w:hAnsiTheme="minorHAnsi"/>
        </w:rPr>
        <w:t xml:space="preserve">that </w:t>
      </w:r>
      <w:r w:rsidR="00F12006" w:rsidRPr="00B90432">
        <w:rPr>
          <w:rFonts w:asciiTheme="minorHAnsi" w:hAnsiTheme="minorHAnsi"/>
        </w:rPr>
        <w:t xml:space="preserve">the </w:t>
      </w:r>
      <w:r w:rsidR="00362240" w:rsidRPr="00B90432">
        <w:rPr>
          <w:rFonts w:asciiTheme="minorHAnsi" w:hAnsiTheme="minorHAnsi"/>
        </w:rPr>
        <w:t>c</w:t>
      </w:r>
      <w:r w:rsidR="00263D66" w:rsidRPr="00B90432">
        <w:rPr>
          <w:rFonts w:asciiTheme="minorHAnsi" w:hAnsiTheme="minorHAnsi"/>
        </w:rPr>
        <w:t xml:space="preserve">riminal offenses </w:t>
      </w:r>
      <w:r w:rsidR="00F12006" w:rsidRPr="00B90432">
        <w:rPr>
          <w:rFonts w:asciiTheme="minorHAnsi" w:hAnsiTheme="minorHAnsi"/>
        </w:rPr>
        <w:t xml:space="preserve">charged </w:t>
      </w:r>
      <w:r w:rsidR="00125986" w:rsidRPr="00B90432">
        <w:rPr>
          <w:rFonts w:asciiTheme="minorHAnsi" w:hAnsiTheme="minorHAnsi"/>
        </w:rPr>
        <w:t xml:space="preserve">are </w:t>
      </w:r>
      <w:r w:rsidR="00B03961" w:rsidRPr="00B90432">
        <w:rPr>
          <w:rFonts w:asciiTheme="minorHAnsi" w:hAnsiTheme="minorHAnsi"/>
        </w:rPr>
        <w:t>commensurate</w:t>
      </w:r>
      <w:r w:rsidR="00125986" w:rsidRPr="00B90432">
        <w:rPr>
          <w:rFonts w:asciiTheme="minorHAnsi" w:hAnsiTheme="minorHAnsi"/>
        </w:rPr>
        <w:t xml:space="preserve"> with </w:t>
      </w:r>
      <w:r w:rsidR="00BE7D9B" w:rsidRPr="00B90432">
        <w:rPr>
          <w:rFonts w:asciiTheme="minorHAnsi" w:hAnsiTheme="minorHAnsi"/>
        </w:rPr>
        <w:t>the seriousness of the crimes.</w:t>
      </w:r>
      <w:r w:rsidR="006243A1" w:rsidRPr="00B90432">
        <w:rPr>
          <w:rStyle w:val="FootnoteReference"/>
          <w:rFonts w:asciiTheme="minorHAnsi" w:hAnsiTheme="minorHAnsi"/>
          <w:sz w:val="22"/>
          <w:szCs w:val="22"/>
        </w:rPr>
        <w:footnoteReference w:id="770"/>
      </w:r>
    </w:p>
    <w:p w14:paraId="72504466" w14:textId="77777777" w:rsidR="006243A1" w:rsidRPr="00B90432" w:rsidRDefault="000E44CD" w:rsidP="00B90432">
      <w:pPr>
        <w:pStyle w:val="Numberedparagraphs"/>
        <w:rPr>
          <w:rFonts w:asciiTheme="minorHAnsi" w:hAnsiTheme="minorHAnsi"/>
        </w:rPr>
      </w:pPr>
      <w:r w:rsidRPr="00B90432">
        <w:rPr>
          <w:rFonts w:asciiTheme="minorHAnsi" w:hAnsiTheme="minorHAnsi"/>
        </w:rPr>
        <w:t xml:space="preserve">During the visit, the IACHR met with the representatives of some of the surviving girls, their families and the families of the girls who lost their lives in the fire. Some of the girls are being represented by different organizations in the country, and others, who do not have families to reunite with, are being represented by the Office of the Counsel General of the Nation (PGN), in keeping with its duty to represent minors who lack representation, pursuant to the Civil Code of Guatemala and </w:t>
      </w:r>
      <w:r w:rsidR="00027992" w:rsidRPr="00B90432">
        <w:rPr>
          <w:rFonts w:asciiTheme="minorHAnsi" w:hAnsiTheme="minorHAnsi"/>
        </w:rPr>
        <w:t xml:space="preserve">Article 108 of </w:t>
      </w:r>
      <w:r w:rsidRPr="00B90432">
        <w:rPr>
          <w:rFonts w:asciiTheme="minorHAnsi" w:hAnsiTheme="minorHAnsi"/>
        </w:rPr>
        <w:t xml:space="preserve">the Law of </w:t>
      </w:r>
      <w:r w:rsidR="00027992" w:rsidRPr="00B90432">
        <w:rPr>
          <w:rFonts w:asciiTheme="minorHAnsi" w:hAnsiTheme="minorHAnsi"/>
        </w:rPr>
        <w:t>Comprehensive Protection of Children and Adolescents (PINA Law)</w:t>
      </w:r>
      <w:r w:rsidR="007A5DED" w:rsidRPr="00B90432">
        <w:rPr>
          <w:rFonts w:asciiTheme="minorHAnsi" w:hAnsiTheme="minorHAnsi"/>
        </w:rPr>
        <w:t>.</w:t>
      </w:r>
      <w:r w:rsidR="006243A1" w:rsidRPr="00B90432">
        <w:rPr>
          <w:rStyle w:val="FootnoteReference"/>
          <w:rFonts w:asciiTheme="minorHAnsi" w:hAnsiTheme="minorHAnsi"/>
          <w:sz w:val="22"/>
          <w:szCs w:val="22"/>
        </w:rPr>
        <w:footnoteReference w:id="771"/>
      </w:r>
      <w:r w:rsidR="00676CD0" w:rsidRPr="00B90432">
        <w:rPr>
          <w:rFonts w:asciiTheme="minorHAnsi" w:hAnsiTheme="minorHAnsi"/>
        </w:rPr>
        <w:t xml:space="preserve"> Notwithstanding</w:t>
      </w:r>
      <w:r w:rsidR="007A5DED" w:rsidRPr="00B90432">
        <w:rPr>
          <w:rFonts w:asciiTheme="minorHAnsi" w:hAnsiTheme="minorHAnsi"/>
        </w:rPr>
        <w:t>, the PGN is also</w:t>
      </w:r>
      <w:r w:rsidR="000639AE" w:rsidRPr="00B90432">
        <w:rPr>
          <w:rFonts w:asciiTheme="minorHAnsi" w:hAnsiTheme="minorHAnsi"/>
        </w:rPr>
        <w:t xml:space="preserve"> tasked with the duty of representing and defending the interests of the State of Guatemala in every suit to which it is a party, in accordance with Article 252 of the Political Constitution of the Republic of Guatemala. </w:t>
      </w:r>
      <w:r w:rsidR="00B904B3" w:rsidRPr="00B90432">
        <w:rPr>
          <w:rFonts w:asciiTheme="minorHAnsi" w:hAnsiTheme="minorHAnsi"/>
        </w:rPr>
        <w:t xml:space="preserve">Because the PGN is representing the girls who survived the fire in the case, </w:t>
      </w:r>
      <w:r w:rsidR="00FD1A08" w:rsidRPr="00B90432">
        <w:rPr>
          <w:rFonts w:asciiTheme="minorHAnsi" w:hAnsiTheme="minorHAnsi"/>
        </w:rPr>
        <w:t>where</w:t>
      </w:r>
      <w:r w:rsidR="00B904B3" w:rsidRPr="00B90432">
        <w:rPr>
          <w:rFonts w:asciiTheme="minorHAnsi" w:hAnsiTheme="minorHAnsi"/>
        </w:rPr>
        <w:t xml:space="preserve">in officials of the </w:t>
      </w:r>
      <w:r w:rsidR="00B03961" w:rsidRPr="00B90432">
        <w:rPr>
          <w:rFonts w:asciiTheme="minorHAnsi" w:hAnsiTheme="minorHAnsi"/>
        </w:rPr>
        <w:t>Executive</w:t>
      </w:r>
      <w:r w:rsidR="00B904B3" w:rsidRPr="00B90432">
        <w:rPr>
          <w:rFonts w:asciiTheme="minorHAnsi" w:hAnsiTheme="minorHAnsi"/>
        </w:rPr>
        <w:t xml:space="preserve"> branch, among others, are being prosecuted, such as the Assistant Inspector of the PNC and the former Secretary of Social Welfare, </w:t>
      </w:r>
      <w:r w:rsidR="00FD1A08" w:rsidRPr="00B90432">
        <w:rPr>
          <w:rFonts w:asciiTheme="minorHAnsi" w:hAnsiTheme="minorHAnsi"/>
        </w:rPr>
        <w:t xml:space="preserve">the </w:t>
      </w:r>
      <w:r w:rsidR="00B904B3" w:rsidRPr="00B90432">
        <w:rPr>
          <w:rFonts w:asciiTheme="minorHAnsi" w:hAnsiTheme="minorHAnsi"/>
        </w:rPr>
        <w:t>representation</w:t>
      </w:r>
      <w:r w:rsidR="00FD1A08" w:rsidRPr="00B90432">
        <w:rPr>
          <w:rFonts w:asciiTheme="minorHAnsi" w:hAnsiTheme="minorHAnsi"/>
        </w:rPr>
        <w:t xml:space="preserve"> of the girls</w:t>
      </w:r>
      <w:r w:rsidR="00B904B3" w:rsidRPr="00B90432">
        <w:rPr>
          <w:rFonts w:asciiTheme="minorHAnsi" w:hAnsiTheme="minorHAnsi"/>
        </w:rPr>
        <w:t xml:space="preserve"> by the PGN would </w:t>
      </w:r>
      <w:r w:rsidR="00FD1A08" w:rsidRPr="00B90432">
        <w:rPr>
          <w:rFonts w:asciiTheme="minorHAnsi" w:hAnsiTheme="minorHAnsi"/>
        </w:rPr>
        <w:t xml:space="preserve">amount to </w:t>
      </w:r>
      <w:r w:rsidR="00C63312" w:rsidRPr="00B90432">
        <w:rPr>
          <w:rFonts w:asciiTheme="minorHAnsi" w:hAnsiTheme="minorHAnsi"/>
        </w:rPr>
        <w:t xml:space="preserve">a </w:t>
      </w:r>
      <w:r w:rsidR="00B904B3" w:rsidRPr="00B90432">
        <w:rPr>
          <w:rFonts w:asciiTheme="minorHAnsi" w:hAnsiTheme="minorHAnsi"/>
        </w:rPr>
        <w:t xml:space="preserve">conflict of interest. </w:t>
      </w:r>
      <w:r w:rsidR="002E4B2A" w:rsidRPr="00B90432">
        <w:rPr>
          <w:rFonts w:asciiTheme="minorHAnsi" w:hAnsiTheme="minorHAnsi"/>
        </w:rPr>
        <w:t xml:space="preserve">In view of this situation, the IACHR urges the Guatemalan State to take measures to resolve or avoid said conflict of interest </w:t>
      </w:r>
      <w:r w:rsidR="006778BD" w:rsidRPr="00B90432">
        <w:rPr>
          <w:rFonts w:asciiTheme="minorHAnsi" w:hAnsiTheme="minorHAnsi"/>
        </w:rPr>
        <w:t>and the effects thereof, and to especially</w:t>
      </w:r>
      <w:r w:rsidR="002E4B2A" w:rsidRPr="00B90432">
        <w:rPr>
          <w:rFonts w:asciiTheme="minorHAnsi" w:hAnsiTheme="minorHAnsi"/>
        </w:rPr>
        <w:t xml:space="preserve"> take into consideration the best inter</w:t>
      </w:r>
      <w:r w:rsidR="002A4721" w:rsidRPr="00B90432">
        <w:rPr>
          <w:rFonts w:asciiTheme="minorHAnsi" w:hAnsiTheme="minorHAnsi"/>
        </w:rPr>
        <w:t>e</w:t>
      </w:r>
      <w:r w:rsidR="002E4B2A" w:rsidRPr="00B90432">
        <w:rPr>
          <w:rFonts w:asciiTheme="minorHAnsi" w:hAnsiTheme="minorHAnsi"/>
        </w:rPr>
        <w:t xml:space="preserve">sts of </w:t>
      </w:r>
      <w:r w:rsidR="00713088" w:rsidRPr="00B90432">
        <w:rPr>
          <w:rFonts w:asciiTheme="minorHAnsi" w:hAnsiTheme="minorHAnsi"/>
        </w:rPr>
        <w:t>the girls involved in the</w:t>
      </w:r>
      <w:r w:rsidR="00986FF1" w:rsidRPr="00B90432">
        <w:rPr>
          <w:rFonts w:asciiTheme="minorHAnsi" w:hAnsiTheme="minorHAnsi"/>
        </w:rPr>
        <w:t xml:space="preserve"> proceed</w:t>
      </w:r>
      <w:r w:rsidR="00E0656B" w:rsidRPr="00B90432">
        <w:rPr>
          <w:rFonts w:asciiTheme="minorHAnsi" w:hAnsiTheme="minorHAnsi"/>
        </w:rPr>
        <w:t>ings.</w:t>
      </w:r>
    </w:p>
    <w:p w14:paraId="0C5CE0F0" w14:textId="24F9BB2A" w:rsidR="006243A1" w:rsidRPr="00B90432" w:rsidRDefault="002044CC" w:rsidP="00B90432">
      <w:pPr>
        <w:pStyle w:val="Numberedparagraphs"/>
        <w:rPr>
          <w:rFonts w:asciiTheme="minorHAnsi" w:hAnsiTheme="minorHAnsi"/>
        </w:rPr>
      </w:pPr>
      <w:r w:rsidRPr="00B90432">
        <w:rPr>
          <w:rFonts w:asciiTheme="minorHAnsi" w:hAnsiTheme="minorHAnsi"/>
        </w:rPr>
        <w:t xml:space="preserve">The IACHR also learned of the </w:t>
      </w:r>
      <w:r w:rsidR="006950C1" w:rsidRPr="00B90432">
        <w:rPr>
          <w:rFonts w:asciiTheme="minorHAnsi" w:hAnsiTheme="minorHAnsi"/>
        </w:rPr>
        <w:t xml:space="preserve">motion </w:t>
      </w:r>
      <w:r w:rsidRPr="00B90432">
        <w:rPr>
          <w:rFonts w:asciiTheme="minorHAnsi" w:hAnsiTheme="minorHAnsi"/>
        </w:rPr>
        <w:t xml:space="preserve">for recusal </w:t>
      </w:r>
      <w:r w:rsidR="006950C1" w:rsidRPr="00B90432">
        <w:rPr>
          <w:rFonts w:asciiTheme="minorHAnsi" w:hAnsiTheme="minorHAnsi"/>
        </w:rPr>
        <w:t xml:space="preserve">filed by the Office </w:t>
      </w:r>
      <w:r w:rsidR="00AD2410" w:rsidRPr="00B90432">
        <w:rPr>
          <w:rFonts w:asciiTheme="minorHAnsi" w:hAnsiTheme="minorHAnsi"/>
        </w:rPr>
        <w:t xml:space="preserve">of the Public Prosecutor and other civil complainants against Judge </w:t>
      </w:r>
      <w:r w:rsidR="006243A1" w:rsidRPr="00B90432">
        <w:rPr>
          <w:rFonts w:asciiTheme="minorHAnsi" w:hAnsiTheme="minorHAnsi"/>
        </w:rPr>
        <w:t xml:space="preserve">Carlos Guerra Jordán, </w:t>
      </w:r>
      <w:r w:rsidR="00AD2410" w:rsidRPr="00B90432">
        <w:rPr>
          <w:rFonts w:asciiTheme="minorHAnsi" w:hAnsiTheme="minorHAnsi"/>
        </w:rPr>
        <w:t>chief judge of the Fourth Trial Court for Criminal Matters and presiding ju</w:t>
      </w:r>
      <w:r w:rsidR="00C56E07" w:rsidRPr="00B90432">
        <w:rPr>
          <w:rFonts w:asciiTheme="minorHAnsi" w:hAnsiTheme="minorHAnsi"/>
        </w:rPr>
        <w:t>dge in the case,</w:t>
      </w:r>
      <w:r w:rsidR="00CD35A6" w:rsidRPr="00B90432">
        <w:rPr>
          <w:rFonts w:asciiTheme="minorHAnsi" w:hAnsiTheme="minorHAnsi"/>
        </w:rPr>
        <w:t xml:space="preserve"> casting doubt on his ability to be impartial because he had allegedly issued an opinion on the case proceedin</w:t>
      </w:r>
      <w:r w:rsidR="00064D3D" w:rsidRPr="00B90432">
        <w:rPr>
          <w:rFonts w:asciiTheme="minorHAnsi" w:hAnsiTheme="minorHAnsi"/>
        </w:rPr>
        <w:t xml:space="preserve">gs and the investigation, as well as citing </w:t>
      </w:r>
      <w:r w:rsidR="00CD35A6" w:rsidRPr="00B90432">
        <w:rPr>
          <w:rFonts w:asciiTheme="minorHAnsi" w:hAnsiTheme="minorHAnsi"/>
        </w:rPr>
        <w:t xml:space="preserve">other grounds. </w:t>
      </w:r>
      <w:r w:rsidR="00625439" w:rsidRPr="00B90432">
        <w:rPr>
          <w:rFonts w:asciiTheme="minorHAnsi" w:hAnsiTheme="minorHAnsi"/>
        </w:rPr>
        <w:t xml:space="preserve">On August </w:t>
      </w:r>
      <w:r w:rsidR="006243A1" w:rsidRPr="00B90432">
        <w:rPr>
          <w:rFonts w:asciiTheme="minorHAnsi" w:hAnsiTheme="minorHAnsi"/>
        </w:rPr>
        <w:t>25</w:t>
      </w:r>
      <w:r w:rsidR="00625439" w:rsidRPr="00B90432">
        <w:rPr>
          <w:rFonts w:asciiTheme="minorHAnsi" w:hAnsiTheme="minorHAnsi"/>
        </w:rPr>
        <w:t>,</w:t>
      </w:r>
      <w:r w:rsidR="006243A1" w:rsidRPr="00B90432">
        <w:rPr>
          <w:rFonts w:asciiTheme="minorHAnsi" w:hAnsiTheme="minorHAnsi"/>
        </w:rPr>
        <w:t xml:space="preserve"> 2017, </w:t>
      </w:r>
      <w:r w:rsidR="00345FBE" w:rsidRPr="00B90432">
        <w:rPr>
          <w:rFonts w:asciiTheme="minorHAnsi" w:hAnsiTheme="minorHAnsi"/>
        </w:rPr>
        <w:t xml:space="preserve">Judge </w:t>
      </w:r>
      <w:r w:rsidR="006243A1" w:rsidRPr="00B90432">
        <w:rPr>
          <w:rFonts w:asciiTheme="minorHAnsi" w:hAnsiTheme="minorHAnsi"/>
        </w:rPr>
        <w:t xml:space="preserve">Guerra Jordán </w:t>
      </w:r>
      <w:r w:rsidR="00345FBE" w:rsidRPr="00B90432">
        <w:rPr>
          <w:rFonts w:asciiTheme="minorHAnsi" w:hAnsiTheme="minorHAnsi"/>
        </w:rPr>
        <w:t xml:space="preserve">decided to </w:t>
      </w:r>
      <w:r w:rsidR="00B705A4" w:rsidRPr="00B90432">
        <w:rPr>
          <w:rFonts w:asciiTheme="minorHAnsi" w:hAnsiTheme="minorHAnsi"/>
        </w:rPr>
        <w:t xml:space="preserve">recuse himself from the case because his ability </w:t>
      </w:r>
      <w:r w:rsidR="00B705A4" w:rsidRPr="00B90432">
        <w:rPr>
          <w:rFonts w:asciiTheme="minorHAnsi" w:hAnsiTheme="minorHAnsi"/>
        </w:rPr>
        <w:lastRenderedPageBreak/>
        <w:t>to be impartial</w:t>
      </w:r>
      <w:r w:rsidR="00062031" w:rsidRPr="00B90432">
        <w:rPr>
          <w:rFonts w:asciiTheme="minorHAnsi" w:hAnsiTheme="minorHAnsi"/>
        </w:rPr>
        <w:t xml:space="preserve"> was called into question</w:t>
      </w:r>
      <w:r w:rsidR="00B705A4" w:rsidRPr="00B90432">
        <w:rPr>
          <w:rFonts w:asciiTheme="minorHAnsi" w:hAnsiTheme="minorHAnsi"/>
        </w:rPr>
        <w:t>.</w:t>
      </w:r>
      <w:r w:rsidR="006243A1" w:rsidRPr="00B90432">
        <w:rPr>
          <w:rStyle w:val="FootnoteReference"/>
          <w:rFonts w:asciiTheme="minorHAnsi" w:hAnsiTheme="minorHAnsi"/>
          <w:sz w:val="22"/>
          <w:szCs w:val="22"/>
        </w:rPr>
        <w:footnoteReference w:id="772"/>
      </w:r>
      <w:r w:rsidR="00423F10" w:rsidRPr="00B90432">
        <w:rPr>
          <w:rFonts w:asciiTheme="minorHAnsi" w:hAnsiTheme="minorHAnsi"/>
        </w:rPr>
        <w:t xml:space="preserve"> All case proceedings were suspended until the Court of Appeals appointed a new judge to preside over the case. </w:t>
      </w:r>
      <w:r w:rsidR="00DE03A6" w:rsidRPr="00B90432">
        <w:rPr>
          <w:rFonts w:asciiTheme="minorHAnsi" w:hAnsiTheme="minorHAnsi"/>
        </w:rPr>
        <w:t xml:space="preserve">As of the date of approval of this report, </w:t>
      </w:r>
      <w:r w:rsidR="00E01AC9" w:rsidRPr="00B90432">
        <w:rPr>
          <w:rFonts w:asciiTheme="minorHAnsi" w:hAnsiTheme="minorHAnsi"/>
        </w:rPr>
        <w:t>the proceedings have not resumed. The IACHR stresses the importance for the State to fulfill its obligation to provide swift</w:t>
      </w:r>
      <w:r w:rsidR="0045205F" w:rsidRPr="00B90432">
        <w:rPr>
          <w:rFonts w:asciiTheme="minorHAnsi" w:hAnsiTheme="minorHAnsi"/>
        </w:rPr>
        <w:t xml:space="preserve"> and effective</w:t>
      </w:r>
      <w:r w:rsidR="00E01AC9" w:rsidRPr="00B90432">
        <w:rPr>
          <w:rFonts w:asciiTheme="minorHAnsi" w:hAnsiTheme="minorHAnsi"/>
        </w:rPr>
        <w:t xml:space="preserve"> jus</w:t>
      </w:r>
      <w:r w:rsidR="002F1B1F" w:rsidRPr="00B90432">
        <w:rPr>
          <w:rFonts w:asciiTheme="minorHAnsi" w:hAnsiTheme="minorHAnsi"/>
        </w:rPr>
        <w:t>tice</w:t>
      </w:r>
      <w:r w:rsidR="003370AB" w:rsidRPr="00B90432">
        <w:rPr>
          <w:rFonts w:asciiTheme="minorHAnsi" w:hAnsiTheme="minorHAnsi"/>
        </w:rPr>
        <w:t xml:space="preserve">, without delay for the victims and </w:t>
      </w:r>
      <w:r w:rsidR="00220491" w:rsidRPr="00B90432">
        <w:rPr>
          <w:rFonts w:asciiTheme="minorHAnsi" w:hAnsiTheme="minorHAnsi"/>
        </w:rPr>
        <w:t xml:space="preserve">to </w:t>
      </w:r>
      <w:r w:rsidR="0045205F" w:rsidRPr="00B90432">
        <w:rPr>
          <w:rFonts w:asciiTheme="minorHAnsi" w:hAnsiTheme="minorHAnsi"/>
        </w:rPr>
        <w:t>be attentive to the resumption of the case with the alacrity that the seriousness of the case warrants, respecting at all times the right of due process of the accused, in keeping with the American Convention and Inter-American standards on the subject matter.</w:t>
      </w:r>
      <w:r w:rsidR="006243A1" w:rsidRPr="00B90432">
        <w:rPr>
          <w:rStyle w:val="FootnoteReference"/>
          <w:rFonts w:asciiTheme="minorHAnsi" w:hAnsiTheme="minorHAnsi"/>
          <w:sz w:val="22"/>
          <w:szCs w:val="22"/>
        </w:rPr>
        <w:footnoteReference w:id="773"/>
      </w:r>
    </w:p>
    <w:p w14:paraId="1626731E" w14:textId="77777777" w:rsidR="00C01EED" w:rsidRPr="00B90432" w:rsidRDefault="00EF6608" w:rsidP="00B90432">
      <w:pPr>
        <w:pStyle w:val="Numberedparagraphs"/>
        <w:rPr>
          <w:rFonts w:asciiTheme="minorHAnsi" w:hAnsiTheme="minorHAnsi"/>
        </w:rPr>
      </w:pPr>
      <w:r w:rsidRPr="00B90432">
        <w:rPr>
          <w:rFonts w:asciiTheme="minorHAnsi" w:hAnsiTheme="minorHAnsi"/>
        </w:rPr>
        <w:t xml:space="preserve">The Commission was </w:t>
      </w:r>
      <w:r w:rsidR="00A208E6" w:rsidRPr="00B90432">
        <w:rPr>
          <w:rFonts w:asciiTheme="minorHAnsi" w:hAnsiTheme="minorHAnsi"/>
        </w:rPr>
        <w:t>also informed that</w:t>
      </w:r>
      <w:r w:rsidRPr="00B90432">
        <w:rPr>
          <w:rFonts w:asciiTheme="minorHAnsi" w:hAnsiTheme="minorHAnsi"/>
        </w:rPr>
        <w:t xml:space="preserve"> after the fire, 244 girls and a</w:t>
      </w:r>
      <w:r w:rsidR="00A208E6" w:rsidRPr="00B90432">
        <w:rPr>
          <w:rFonts w:asciiTheme="minorHAnsi" w:hAnsiTheme="minorHAnsi"/>
        </w:rPr>
        <w:t xml:space="preserve">dolescents were reintegrated </w:t>
      </w:r>
      <w:r w:rsidRPr="00B90432">
        <w:rPr>
          <w:rFonts w:asciiTheme="minorHAnsi" w:hAnsiTheme="minorHAnsi"/>
        </w:rPr>
        <w:t xml:space="preserve">with their core families; 272 were transferred to public or private residential care facilities; 5 were repatriated to Honduras or El Salvador; 10 </w:t>
      </w:r>
      <w:r w:rsidR="002502BB" w:rsidRPr="00B90432">
        <w:rPr>
          <w:rFonts w:asciiTheme="minorHAnsi" w:hAnsiTheme="minorHAnsi"/>
        </w:rPr>
        <w:t>left the system, apparently, because they had reached adult age; and as of May 31, 2017, 24 had not been located and alerts were issu</w:t>
      </w:r>
      <w:r w:rsidR="0068645E" w:rsidRPr="00B90432">
        <w:rPr>
          <w:rFonts w:asciiTheme="minorHAnsi" w:hAnsiTheme="minorHAnsi"/>
        </w:rPr>
        <w:t>ed for them under the “Alba-Ken</w:t>
      </w:r>
      <w:r w:rsidR="002502BB" w:rsidRPr="00B90432">
        <w:rPr>
          <w:rFonts w:asciiTheme="minorHAnsi" w:hAnsiTheme="minorHAnsi"/>
        </w:rPr>
        <w:t>eth” system,</w:t>
      </w:r>
      <w:r w:rsidR="006243A1" w:rsidRPr="00B90432">
        <w:rPr>
          <w:rStyle w:val="FootnoteReference"/>
          <w:rFonts w:asciiTheme="minorHAnsi" w:hAnsiTheme="minorHAnsi"/>
          <w:sz w:val="22"/>
          <w:szCs w:val="22"/>
        </w:rPr>
        <w:footnoteReference w:id="774"/>
      </w:r>
      <w:r w:rsidR="002502BB" w:rsidRPr="00B90432">
        <w:rPr>
          <w:rFonts w:asciiTheme="minorHAnsi" w:hAnsiTheme="minorHAnsi"/>
        </w:rPr>
        <w:t xml:space="preserve"> and two remained hospitalized in the United States.</w:t>
      </w:r>
      <w:r w:rsidR="006243A1" w:rsidRPr="00B90432">
        <w:rPr>
          <w:rStyle w:val="FootnoteReference"/>
          <w:rFonts w:asciiTheme="minorHAnsi" w:hAnsiTheme="minorHAnsi"/>
          <w:sz w:val="22"/>
          <w:szCs w:val="22"/>
        </w:rPr>
        <w:footnoteReference w:id="775"/>
      </w:r>
      <w:r w:rsidR="00A24320" w:rsidRPr="00B90432">
        <w:rPr>
          <w:rFonts w:asciiTheme="minorHAnsi" w:hAnsiTheme="minorHAnsi"/>
        </w:rPr>
        <w:t xml:space="preserve"> The Commission understands that the situation of these children </w:t>
      </w:r>
      <w:r w:rsidR="004E30F2" w:rsidRPr="00B90432">
        <w:rPr>
          <w:rFonts w:asciiTheme="minorHAnsi" w:hAnsiTheme="minorHAnsi"/>
        </w:rPr>
        <w:t xml:space="preserve">and adolescents has been in constant flux, </w:t>
      </w:r>
      <w:r w:rsidR="00E51032" w:rsidRPr="00B90432">
        <w:rPr>
          <w:rFonts w:asciiTheme="minorHAnsi" w:hAnsiTheme="minorHAnsi"/>
        </w:rPr>
        <w:t>because some of them have been moved from one facility to ano</w:t>
      </w:r>
      <w:r w:rsidR="00F71F01" w:rsidRPr="00B90432">
        <w:rPr>
          <w:rFonts w:asciiTheme="minorHAnsi" w:hAnsiTheme="minorHAnsi"/>
        </w:rPr>
        <w:t>ther; the whereabouts of some are</w:t>
      </w:r>
      <w:r w:rsidR="00E51032" w:rsidRPr="00B90432">
        <w:rPr>
          <w:rFonts w:asciiTheme="minorHAnsi" w:hAnsiTheme="minorHAnsi"/>
        </w:rPr>
        <w:t xml:space="preserve"> unknown, one remain</w:t>
      </w:r>
      <w:r w:rsidR="00C01EED" w:rsidRPr="00B90432">
        <w:rPr>
          <w:rFonts w:asciiTheme="minorHAnsi" w:hAnsiTheme="minorHAnsi"/>
        </w:rPr>
        <w:t>s hospitalized for a disability</w:t>
      </w:r>
      <w:r w:rsidR="00E51032" w:rsidRPr="00B90432">
        <w:rPr>
          <w:rFonts w:asciiTheme="minorHAnsi" w:hAnsiTheme="minorHAnsi"/>
        </w:rPr>
        <w:t xml:space="preserve">. </w:t>
      </w:r>
      <w:r w:rsidR="004D4EBC" w:rsidRPr="00B90432">
        <w:rPr>
          <w:rFonts w:asciiTheme="minorHAnsi" w:hAnsiTheme="minorHAnsi"/>
        </w:rPr>
        <w:t xml:space="preserve">Some organizations </w:t>
      </w:r>
      <w:r w:rsidR="003B1A18" w:rsidRPr="00B90432">
        <w:rPr>
          <w:rFonts w:asciiTheme="minorHAnsi" w:hAnsiTheme="minorHAnsi"/>
        </w:rPr>
        <w:t xml:space="preserve">also reported </w:t>
      </w:r>
      <w:r w:rsidR="00D87ACE" w:rsidRPr="00B90432">
        <w:rPr>
          <w:rFonts w:asciiTheme="minorHAnsi" w:hAnsiTheme="minorHAnsi"/>
        </w:rPr>
        <w:t xml:space="preserve">to the IACHR about the institutionalization of children with disabilities, who were previously </w:t>
      </w:r>
      <w:r w:rsidR="00754163" w:rsidRPr="00B90432">
        <w:rPr>
          <w:rFonts w:asciiTheme="minorHAnsi" w:hAnsiTheme="minorHAnsi"/>
        </w:rPr>
        <w:t xml:space="preserve">housed in </w:t>
      </w:r>
      <w:r w:rsidR="00D87ACE" w:rsidRPr="00B90432">
        <w:rPr>
          <w:rFonts w:asciiTheme="minorHAnsi" w:hAnsiTheme="minorHAnsi"/>
        </w:rPr>
        <w:t>the residential care facility of the</w:t>
      </w:r>
      <w:r w:rsidR="006243A1" w:rsidRPr="00B90432">
        <w:rPr>
          <w:rFonts w:asciiTheme="minorHAnsi" w:hAnsiTheme="minorHAnsi"/>
        </w:rPr>
        <w:t xml:space="preserve"> Hogar Virgen de la Asunción</w:t>
      </w:r>
      <w:r w:rsidR="00754163" w:rsidRPr="00B90432">
        <w:rPr>
          <w:rFonts w:asciiTheme="minorHAnsi" w:hAnsiTheme="minorHAnsi"/>
        </w:rPr>
        <w:t xml:space="preserve"> and</w:t>
      </w:r>
      <w:r w:rsidR="006243A1" w:rsidRPr="00B90432">
        <w:rPr>
          <w:rFonts w:asciiTheme="minorHAnsi" w:hAnsiTheme="minorHAnsi"/>
        </w:rPr>
        <w:t xml:space="preserve"> </w:t>
      </w:r>
      <w:r w:rsidR="00D87ACE" w:rsidRPr="00B90432">
        <w:rPr>
          <w:rFonts w:asciiTheme="minorHAnsi" w:hAnsiTheme="minorHAnsi"/>
        </w:rPr>
        <w:t xml:space="preserve">at other public and private residential care facilities of different </w:t>
      </w:r>
      <w:r w:rsidR="00C01EED" w:rsidRPr="00B90432">
        <w:rPr>
          <w:rFonts w:asciiTheme="minorHAnsi" w:hAnsiTheme="minorHAnsi"/>
        </w:rPr>
        <w:t>capacities</w:t>
      </w:r>
      <w:r w:rsidR="00D87ACE" w:rsidRPr="00B90432">
        <w:rPr>
          <w:rFonts w:asciiTheme="minorHAnsi" w:hAnsiTheme="minorHAnsi"/>
        </w:rPr>
        <w:t xml:space="preserve">, but </w:t>
      </w:r>
      <w:r w:rsidR="00676EE2" w:rsidRPr="00B90432">
        <w:rPr>
          <w:rFonts w:asciiTheme="minorHAnsi" w:hAnsiTheme="minorHAnsi"/>
        </w:rPr>
        <w:t xml:space="preserve">all of </w:t>
      </w:r>
      <w:r w:rsidR="00D87ACE" w:rsidRPr="00B90432">
        <w:rPr>
          <w:rFonts w:asciiTheme="minorHAnsi" w:hAnsiTheme="minorHAnsi"/>
        </w:rPr>
        <w:t xml:space="preserve">which still follow the model of </w:t>
      </w:r>
      <w:r w:rsidR="00D87ACE" w:rsidRPr="00B90432">
        <w:rPr>
          <w:rFonts w:asciiTheme="minorHAnsi" w:hAnsiTheme="minorHAnsi"/>
        </w:rPr>
        <w:lastRenderedPageBreak/>
        <w:t xml:space="preserve">institutionalization characterizing </w:t>
      </w:r>
      <w:r w:rsidR="00CF7DE6" w:rsidRPr="00B90432">
        <w:rPr>
          <w:rFonts w:asciiTheme="minorHAnsi" w:hAnsiTheme="minorHAnsi"/>
        </w:rPr>
        <w:t xml:space="preserve">child and adolescent </w:t>
      </w:r>
      <w:r w:rsidR="00B41239" w:rsidRPr="00B90432">
        <w:rPr>
          <w:rFonts w:asciiTheme="minorHAnsi" w:hAnsiTheme="minorHAnsi"/>
        </w:rPr>
        <w:t>residential care facilities in Guatemala.</w:t>
      </w:r>
      <w:r w:rsidR="006243A1" w:rsidRPr="00B90432">
        <w:rPr>
          <w:rStyle w:val="FootnoteReference"/>
          <w:rFonts w:asciiTheme="minorHAnsi" w:hAnsiTheme="minorHAnsi"/>
          <w:sz w:val="22"/>
          <w:szCs w:val="22"/>
        </w:rPr>
        <w:footnoteReference w:id="776"/>
      </w:r>
      <w:r w:rsidR="006243A1" w:rsidRPr="00B90432">
        <w:rPr>
          <w:rFonts w:asciiTheme="minorHAnsi" w:hAnsiTheme="minorHAnsi"/>
        </w:rPr>
        <w:t xml:space="preserve"> </w:t>
      </w:r>
      <w:r w:rsidR="00B24814" w:rsidRPr="00B90432">
        <w:rPr>
          <w:rFonts w:asciiTheme="minorHAnsi" w:hAnsiTheme="minorHAnsi"/>
        </w:rPr>
        <w:t xml:space="preserve">According to the PGN, its family reunification team </w:t>
      </w:r>
      <w:r w:rsidR="001D3160" w:rsidRPr="00B90432">
        <w:rPr>
          <w:rFonts w:asciiTheme="minorHAnsi" w:hAnsiTheme="minorHAnsi"/>
        </w:rPr>
        <w:t>has been closely following</w:t>
      </w:r>
      <w:r w:rsidR="00B24814" w:rsidRPr="00B90432">
        <w:rPr>
          <w:rFonts w:asciiTheme="minorHAnsi" w:hAnsiTheme="minorHAnsi"/>
        </w:rPr>
        <w:t xml:space="preserve"> up on family </w:t>
      </w:r>
      <w:r w:rsidR="00C01EED" w:rsidRPr="00B90432">
        <w:rPr>
          <w:rFonts w:asciiTheme="minorHAnsi" w:hAnsiTheme="minorHAnsi"/>
        </w:rPr>
        <w:t>reunification</w:t>
      </w:r>
      <w:r w:rsidR="00DB1C3F" w:rsidRPr="00B90432">
        <w:rPr>
          <w:rFonts w:asciiTheme="minorHAnsi" w:hAnsiTheme="minorHAnsi"/>
        </w:rPr>
        <w:t xml:space="preserve"> carried out through administrative proceedings and through hearings, with respect to 41% of the children and adolescents of the </w:t>
      </w:r>
      <w:r w:rsidR="006243A1" w:rsidRPr="00B90432">
        <w:rPr>
          <w:rFonts w:asciiTheme="minorHAnsi" w:hAnsiTheme="minorHAnsi"/>
        </w:rPr>
        <w:t>Hogar Virgen de la Asunción</w:t>
      </w:r>
      <w:r w:rsidR="00DB1C3F" w:rsidRPr="00B90432">
        <w:rPr>
          <w:rFonts w:asciiTheme="minorHAnsi" w:hAnsiTheme="minorHAnsi"/>
        </w:rPr>
        <w:t>.</w:t>
      </w:r>
      <w:r w:rsidR="006243A1" w:rsidRPr="00B90432">
        <w:rPr>
          <w:rStyle w:val="FootnoteReference"/>
          <w:rFonts w:asciiTheme="minorHAnsi" w:hAnsiTheme="minorHAnsi"/>
          <w:sz w:val="22"/>
          <w:szCs w:val="22"/>
        </w:rPr>
        <w:footnoteReference w:id="777"/>
      </w:r>
      <w:r w:rsidR="00DB1C3F" w:rsidRPr="00B90432">
        <w:rPr>
          <w:rFonts w:asciiTheme="minorHAnsi" w:hAnsiTheme="minorHAnsi"/>
        </w:rPr>
        <w:t xml:space="preserve"> As for the children who were transferred to public residential care and private facilities, the PGN reported that it is working with said institutions to begin the process of family reintegration, and that the process will begin with the facilities</w:t>
      </w:r>
      <w:r w:rsidR="00E673F0" w:rsidRPr="00B90432">
        <w:rPr>
          <w:rFonts w:asciiTheme="minorHAnsi" w:hAnsiTheme="minorHAnsi"/>
        </w:rPr>
        <w:t xml:space="preserve"> that are not registered with National Adoption Council.</w:t>
      </w:r>
      <w:r w:rsidR="006243A1" w:rsidRPr="00B90432">
        <w:rPr>
          <w:rStyle w:val="FootnoteReference"/>
          <w:rFonts w:asciiTheme="minorHAnsi" w:hAnsiTheme="minorHAnsi"/>
          <w:sz w:val="22"/>
          <w:szCs w:val="22"/>
        </w:rPr>
        <w:footnoteReference w:id="778"/>
      </w:r>
      <w:r w:rsidR="00E673F0" w:rsidRPr="00B90432">
        <w:rPr>
          <w:rFonts w:asciiTheme="minorHAnsi" w:hAnsiTheme="minorHAnsi"/>
        </w:rPr>
        <w:t xml:space="preserve"> </w:t>
      </w:r>
      <w:r w:rsidR="00C01EED" w:rsidRPr="00B90432">
        <w:rPr>
          <w:rFonts w:asciiTheme="minorHAnsi" w:hAnsiTheme="minorHAnsi"/>
        </w:rPr>
        <w:t>In its comments to the draft of this report, the State detailed the activities of support by State entities related to this incident, in coordination with the Ministry of Social Welfare (SBS). In particular,  the State informed that the Ministry of the Environment and Natural Resources provided training to adolescents who are in SBS homes, through a certification on environmental studies with an emphasis on climate change and ecological guardians; the Ministry of the Interior provided subsidies so that families who apply for the Program for Substitute or Temporary Families within the SBS may obtain the required background checks at no cost to them; the State is coordinating the training of personnel from the SBS and the National Council of Adoptions regarding legislation on protection for children with disabilities; and it is considering the creation of a registry of children and adolescents with thin protection system.</w:t>
      </w:r>
      <w:r w:rsidR="00C01EED" w:rsidRPr="00B90432">
        <w:rPr>
          <w:rStyle w:val="FootnoteReference"/>
          <w:rFonts w:asciiTheme="minorHAnsi" w:hAnsiTheme="minorHAnsi"/>
          <w:sz w:val="22"/>
          <w:szCs w:val="22"/>
        </w:rPr>
        <w:footnoteReference w:id="779"/>
      </w:r>
      <w:r w:rsidR="00C01EED" w:rsidRPr="00B90432">
        <w:rPr>
          <w:rFonts w:asciiTheme="minorHAnsi" w:hAnsiTheme="minorHAnsi"/>
        </w:rPr>
        <w:t xml:space="preserve"> </w:t>
      </w:r>
    </w:p>
    <w:p w14:paraId="622E0F9B" w14:textId="5C1B110D" w:rsidR="006243A1" w:rsidRPr="00B90432" w:rsidRDefault="00E673F0" w:rsidP="00B90432">
      <w:pPr>
        <w:pStyle w:val="Numberedparagraphs"/>
        <w:rPr>
          <w:rFonts w:asciiTheme="minorHAnsi" w:hAnsiTheme="minorHAnsi"/>
        </w:rPr>
      </w:pPr>
      <w:r w:rsidRPr="00B90432">
        <w:rPr>
          <w:rFonts w:asciiTheme="minorHAnsi" w:hAnsiTheme="minorHAnsi"/>
        </w:rPr>
        <w:t>The Commission reiterates its call for the Guatemalan State to priori</w:t>
      </w:r>
      <w:r w:rsidR="00C01EED" w:rsidRPr="00B90432">
        <w:rPr>
          <w:rFonts w:asciiTheme="minorHAnsi" w:hAnsiTheme="minorHAnsi"/>
        </w:rPr>
        <w:t>tize reunification with family</w:t>
      </w:r>
      <w:r w:rsidRPr="00B90432">
        <w:rPr>
          <w:rFonts w:asciiTheme="minorHAnsi" w:hAnsiTheme="minorHAnsi"/>
        </w:rPr>
        <w:t>, in accordance with Inter-American and international standards on the rights of children and adolescents to live in a family and community setting, including the American Convention on Human Rights and the Convention on the Rights of the Child</w:t>
      </w:r>
      <w:r w:rsidR="006243A1" w:rsidRPr="00B90432">
        <w:rPr>
          <w:rStyle w:val="FootnoteReference"/>
          <w:rFonts w:asciiTheme="minorHAnsi" w:hAnsiTheme="minorHAnsi"/>
          <w:sz w:val="22"/>
          <w:szCs w:val="22"/>
        </w:rPr>
        <w:footnoteReference w:id="780"/>
      </w:r>
      <w:r w:rsidRPr="00B90432">
        <w:rPr>
          <w:rFonts w:asciiTheme="minorHAnsi" w:hAnsiTheme="minorHAnsi"/>
        </w:rPr>
        <w:t xml:space="preserve"> and the Convention on the Rights of Persons with Disabilities.</w:t>
      </w:r>
      <w:r w:rsidR="006243A1" w:rsidRPr="00B90432">
        <w:rPr>
          <w:rStyle w:val="FootnoteReference"/>
          <w:rFonts w:asciiTheme="minorHAnsi" w:hAnsiTheme="minorHAnsi"/>
          <w:sz w:val="22"/>
          <w:szCs w:val="22"/>
        </w:rPr>
        <w:footnoteReference w:id="781"/>
      </w:r>
    </w:p>
    <w:p w14:paraId="1C19A4E6" w14:textId="77777777" w:rsidR="00711854" w:rsidRPr="00B90432" w:rsidRDefault="00E673F0" w:rsidP="00B90432">
      <w:pPr>
        <w:pStyle w:val="Numberedparagraphs"/>
        <w:rPr>
          <w:rFonts w:asciiTheme="minorHAnsi" w:hAnsiTheme="minorHAnsi"/>
        </w:rPr>
      </w:pPr>
      <w:r w:rsidRPr="00B90432">
        <w:rPr>
          <w:rFonts w:asciiTheme="minorHAnsi" w:hAnsiTheme="minorHAnsi"/>
        </w:rPr>
        <w:t>A common denominator that the IACHR has noticed is the failure of the institutions of the State to follow up and to provide comprehensive support to the families of the victims, in terms of psy</w:t>
      </w:r>
      <w:r w:rsidR="00046E3A" w:rsidRPr="00B90432">
        <w:rPr>
          <w:rFonts w:asciiTheme="minorHAnsi" w:hAnsiTheme="minorHAnsi"/>
        </w:rPr>
        <w:t>chological support, couns</w:t>
      </w:r>
      <w:r w:rsidR="009B6E0C" w:rsidRPr="00B90432">
        <w:rPr>
          <w:rFonts w:asciiTheme="minorHAnsi" w:hAnsiTheme="minorHAnsi"/>
        </w:rPr>
        <w:t>e</w:t>
      </w:r>
      <w:r w:rsidR="00825CF8" w:rsidRPr="00B90432">
        <w:rPr>
          <w:rFonts w:asciiTheme="minorHAnsi" w:hAnsiTheme="minorHAnsi"/>
        </w:rPr>
        <w:t xml:space="preserve">ling, and care to those afflicted by post traumatic stress disorder and/or physical ailments. </w:t>
      </w:r>
      <w:r w:rsidR="0068373B" w:rsidRPr="00B90432">
        <w:rPr>
          <w:rFonts w:asciiTheme="minorHAnsi" w:hAnsiTheme="minorHAnsi"/>
        </w:rPr>
        <w:t xml:space="preserve">The Commission </w:t>
      </w:r>
      <w:r w:rsidR="00D3418F" w:rsidRPr="00B90432">
        <w:rPr>
          <w:rFonts w:asciiTheme="minorHAnsi" w:hAnsiTheme="minorHAnsi"/>
        </w:rPr>
        <w:t xml:space="preserve">finds that this is mostly due to Guatemala’s weak institutional framework with regard to the care of </w:t>
      </w:r>
      <w:r w:rsidR="00D3418F" w:rsidRPr="00B90432">
        <w:rPr>
          <w:rFonts w:asciiTheme="minorHAnsi" w:hAnsiTheme="minorHAnsi"/>
        </w:rPr>
        <w:lastRenderedPageBreak/>
        <w:t>children, inasmuch as State agencies do not have to capacity to ensure the full enjoyment of the human rights of children and adolescents</w:t>
      </w:r>
      <w:r w:rsidR="003E2E6F" w:rsidRPr="00B90432">
        <w:rPr>
          <w:rFonts w:asciiTheme="minorHAnsi" w:hAnsiTheme="minorHAnsi"/>
        </w:rPr>
        <w:t>, and that in this crisis, its la</w:t>
      </w:r>
      <w:r w:rsidR="008017D0" w:rsidRPr="00B90432">
        <w:rPr>
          <w:rFonts w:asciiTheme="minorHAnsi" w:hAnsiTheme="minorHAnsi"/>
        </w:rPr>
        <w:t>ck of capacity has gotten worse</w:t>
      </w:r>
      <w:r w:rsidR="006243A1" w:rsidRPr="00B90432">
        <w:rPr>
          <w:rFonts w:asciiTheme="minorHAnsi" w:hAnsiTheme="minorHAnsi"/>
        </w:rPr>
        <w:t>.</w:t>
      </w:r>
      <w:r w:rsidR="008017D0" w:rsidRPr="00B90432">
        <w:rPr>
          <w:rFonts w:asciiTheme="minorHAnsi" w:hAnsiTheme="minorHAnsi"/>
        </w:rPr>
        <w:t xml:space="preserve"> In the wake of the tragedy of Hogar Virgen de la Asunción, the institutional framework, which was already weak and uncoordinated, has shined a light on a veritable crisis and incapacity of the State to respond to the magnitude of the problems that the Guatemalan State i</w:t>
      </w:r>
      <w:r w:rsidR="003F3894" w:rsidRPr="00B90432">
        <w:rPr>
          <w:rFonts w:asciiTheme="minorHAnsi" w:hAnsiTheme="minorHAnsi"/>
        </w:rPr>
        <w:t xml:space="preserve">s facing when it comes to ensuring the rights of children and adolescents. </w:t>
      </w:r>
      <w:r w:rsidR="008017D0" w:rsidRPr="00B90432">
        <w:rPr>
          <w:rFonts w:asciiTheme="minorHAnsi" w:hAnsiTheme="minorHAnsi"/>
        </w:rPr>
        <w:t xml:space="preserve"> </w:t>
      </w:r>
    </w:p>
    <w:p w14:paraId="5532EE4D" w14:textId="7274B5FB" w:rsidR="006243A1" w:rsidRPr="00B90432" w:rsidRDefault="00D93738" w:rsidP="00B90432">
      <w:pPr>
        <w:pStyle w:val="Numberedparagraphs"/>
        <w:rPr>
          <w:rFonts w:asciiTheme="minorHAnsi" w:hAnsiTheme="minorHAnsi"/>
        </w:rPr>
      </w:pPr>
      <w:r w:rsidRPr="00B90432">
        <w:rPr>
          <w:rFonts w:asciiTheme="minorHAnsi" w:hAnsiTheme="minorHAnsi"/>
        </w:rPr>
        <w:t>T</w:t>
      </w:r>
      <w:r w:rsidR="00C21738" w:rsidRPr="00B90432">
        <w:rPr>
          <w:rFonts w:asciiTheme="minorHAnsi" w:hAnsiTheme="minorHAnsi"/>
        </w:rPr>
        <w:t xml:space="preserve">he IACHR notes that one aspect </w:t>
      </w:r>
      <w:r w:rsidR="00B25104" w:rsidRPr="00B90432">
        <w:rPr>
          <w:rFonts w:asciiTheme="minorHAnsi" w:hAnsiTheme="minorHAnsi"/>
        </w:rPr>
        <w:t xml:space="preserve">that </w:t>
      </w:r>
      <w:r w:rsidR="00C21738" w:rsidRPr="00B90432">
        <w:rPr>
          <w:rFonts w:asciiTheme="minorHAnsi" w:hAnsiTheme="minorHAnsi"/>
        </w:rPr>
        <w:t xml:space="preserve">has hampered interinstitutional coordination </w:t>
      </w:r>
      <w:r w:rsidR="00FF234E" w:rsidRPr="00B90432">
        <w:rPr>
          <w:rFonts w:asciiTheme="minorHAnsi" w:hAnsiTheme="minorHAnsi"/>
        </w:rPr>
        <w:t xml:space="preserve">with respect to the crisis of the Hogar Virgen de la Asunción, and protection of children in Guatemala in general, has been the constant turnover in the leadership at the relevant agencies. </w:t>
      </w:r>
      <w:r w:rsidR="00DF2385" w:rsidRPr="00B90432">
        <w:rPr>
          <w:rFonts w:asciiTheme="minorHAnsi" w:hAnsiTheme="minorHAnsi"/>
        </w:rPr>
        <w:t>During the on</w:t>
      </w:r>
      <w:r w:rsidR="006A386D" w:rsidRPr="00B90432">
        <w:rPr>
          <w:rFonts w:asciiTheme="minorHAnsi" w:hAnsiTheme="minorHAnsi"/>
        </w:rPr>
        <w:t xml:space="preserve">-site visit, the IACHR </w:t>
      </w:r>
      <w:r w:rsidR="00D66D90" w:rsidRPr="00B90432">
        <w:rPr>
          <w:rFonts w:asciiTheme="minorHAnsi" w:hAnsiTheme="minorHAnsi"/>
        </w:rPr>
        <w:t xml:space="preserve">met </w:t>
      </w:r>
      <w:r w:rsidR="006A386D" w:rsidRPr="00B90432">
        <w:rPr>
          <w:rFonts w:asciiTheme="minorHAnsi" w:hAnsiTheme="minorHAnsi"/>
        </w:rPr>
        <w:t xml:space="preserve">with then head of the Secretariat of Social Welfare Cándida Rabanales, who at the time </w:t>
      </w:r>
      <w:r w:rsidR="00BE39E9" w:rsidRPr="00B90432">
        <w:rPr>
          <w:rFonts w:asciiTheme="minorHAnsi" w:hAnsiTheme="minorHAnsi"/>
        </w:rPr>
        <w:t xml:space="preserve">mentioned her short tenure thus far </w:t>
      </w:r>
      <w:r w:rsidR="006A386D" w:rsidRPr="00B90432">
        <w:rPr>
          <w:rFonts w:asciiTheme="minorHAnsi" w:hAnsiTheme="minorHAnsi"/>
        </w:rPr>
        <w:t xml:space="preserve">in the position as one of the reasons why coordination between institutions had taken more time than anticipated. </w:t>
      </w:r>
      <w:r w:rsidR="00D6499F" w:rsidRPr="00B90432">
        <w:rPr>
          <w:rFonts w:asciiTheme="minorHAnsi" w:hAnsiTheme="minorHAnsi"/>
        </w:rPr>
        <w:t xml:space="preserve">The organizations making up the child protection “cluster”—both state </w:t>
      </w:r>
      <w:r w:rsidR="00B03961" w:rsidRPr="00B90432">
        <w:rPr>
          <w:rFonts w:asciiTheme="minorHAnsi" w:hAnsiTheme="minorHAnsi"/>
        </w:rPr>
        <w:t>entities</w:t>
      </w:r>
      <w:r w:rsidR="00D6499F" w:rsidRPr="00B90432">
        <w:rPr>
          <w:rFonts w:asciiTheme="minorHAnsi" w:hAnsiTheme="minorHAnsi"/>
        </w:rPr>
        <w:t xml:space="preserve"> and civil society organizations—echoed this situation.</w:t>
      </w:r>
      <w:r w:rsidR="006243A1" w:rsidRPr="00B90432">
        <w:rPr>
          <w:rStyle w:val="FootnoteReference"/>
          <w:rFonts w:asciiTheme="minorHAnsi" w:hAnsiTheme="minorHAnsi"/>
          <w:sz w:val="22"/>
          <w:szCs w:val="22"/>
        </w:rPr>
        <w:footnoteReference w:id="782"/>
      </w:r>
      <w:r w:rsidR="00D6499F" w:rsidRPr="00B90432">
        <w:rPr>
          <w:rFonts w:asciiTheme="minorHAnsi" w:hAnsiTheme="minorHAnsi"/>
        </w:rPr>
        <w:t xml:space="preserve"> As such, the IACHR regrets that frequent turnover continues in directorships of these agencies, which stands in the way of them achieving the stability they need. </w:t>
      </w:r>
      <w:r w:rsidR="001B67B3" w:rsidRPr="00B90432">
        <w:rPr>
          <w:rFonts w:asciiTheme="minorHAnsi" w:hAnsiTheme="minorHAnsi"/>
        </w:rPr>
        <w:t xml:space="preserve">The Commission learned of the recent appointment of Ana Patricia Contreras Mejía as Secretary of the SBS, on September 4, 2017, and calls on the State to pursue stability in the key institutions for the care of children, especially at a time of crisis, such as the one the country is going through. </w:t>
      </w:r>
      <w:r w:rsidR="006243A1" w:rsidRPr="00B90432">
        <w:rPr>
          <w:rFonts w:asciiTheme="minorHAnsi" w:hAnsiTheme="minorHAnsi"/>
        </w:rPr>
        <w:t xml:space="preserve"> </w:t>
      </w:r>
    </w:p>
    <w:p w14:paraId="1DECEFD8" w14:textId="027641EB" w:rsidR="006243A1" w:rsidRPr="00B90432" w:rsidRDefault="003A7155" w:rsidP="00B90432">
      <w:pPr>
        <w:pStyle w:val="Numberedparagraphs"/>
        <w:rPr>
          <w:rFonts w:asciiTheme="minorHAnsi" w:hAnsiTheme="minorHAnsi"/>
        </w:rPr>
      </w:pPr>
      <w:r w:rsidRPr="00B90432">
        <w:rPr>
          <w:rFonts w:asciiTheme="minorHAnsi" w:hAnsiTheme="minorHAnsi"/>
        </w:rPr>
        <w:t xml:space="preserve">As a result of the incidents of March 8, the draft legislation to create the National System for the Full Implementation of the Rights of Children and Adolescents </w:t>
      </w:r>
      <w:r w:rsidR="000869ED" w:rsidRPr="00B90432">
        <w:rPr>
          <w:rFonts w:asciiTheme="minorHAnsi" w:hAnsiTheme="minorHAnsi"/>
        </w:rPr>
        <w:t xml:space="preserve">was pushed forward more expeditiously and is before Congress at this time, but as of the date of approval of this report, it has not been enacted. </w:t>
      </w:r>
      <w:r w:rsidR="005D6993" w:rsidRPr="00B90432">
        <w:rPr>
          <w:rFonts w:asciiTheme="minorHAnsi" w:hAnsiTheme="minorHAnsi"/>
        </w:rPr>
        <w:t>Through the Commission’s precautionary measures system</w:t>
      </w:r>
      <w:r w:rsidR="00827C46" w:rsidRPr="00B90432">
        <w:rPr>
          <w:rFonts w:asciiTheme="minorHAnsi" w:hAnsiTheme="minorHAnsi"/>
        </w:rPr>
        <w:t xml:space="preserve">, on March 12, 2017, the IACHR granted Precautionary Measure 985-16 </w:t>
      </w:r>
      <w:r w:rsidR="00955E05" w:rsidRPr="00B90432">
        <w:rPr>
          <w:rFonts w:asciiTheme="minorHAnsi" w:hAnsiTheme="minorHAnsi"/>
        </w:rPr>
        <w:t xml:space="preserve">seeking to protect the lives and integrity of the children and adolescents </w:t>
      </w:r>
      <w:r w:rsidR="00B03961" w:rsidRPr="00B90432">
        <w:rPr>
          <w:rFonts w:asciiTheme="minorHAnsi" w:hAnsiTheme="minorHAnsi"/>
        </w:rPr>
        <w:t>previously</w:t>
      </w:r>
      <w:r w:rsidR="00955E05" w:rsidRPr="00B90432">
        <w:rPr>
          <w:rFonts w:asciiTheme="minorHAnsi" w:hAnsiTheme="minorHAnsi"/>
        </w:rPr>
        <w:t xml:space="preserve"> housed at the </w:t>
      </w:r>
      <w:r w:rsidR="006243A1" w:rsidRPr="00B90432">
        <w:rPr>
          <w:rFonts w:asciiTheme="minorHAnsi" w:hAnsiTheme="minorHAnsi"/>
        </w:rPr>
        <w:t>Hogar Virgen de la Asunción</w:t>
      </w:r>
      <w:r w:rsidR="00955E05" w:rsidRPr="00B90432">
        <w:rPr>
          <w:rFonts w:asciiTheme="minorHAnsi" w:hAnsiTheme="minorHAnsi"/>
        </w:rPr>
        <w:t>.</w:t>
      </w:r>
      <w:r w:rsidR="006243A1" w:rsidRPr="00B90432">
        <w:rPr>
          <w:rFonts w:asciiTheme="minorHAnsi" w:hAnsiTheme="minorHAnsi"/>
          <w:vertAlign w:val="superscript"/>
        </w:rPr>
        <w:footnoteReference w:id="783"/>
      </w:r>
      <w:r w:rsidR="00955E05" w:rsidRPr="00B90432">
        <w:rPr>
          <w:rFonts w:asciiTheme="minorHAnsi" w:hAnsiTheme="minorHAnsi"/>
        </w:rPr>
        <w:t xml:space="preserve"> In this regard, the </w:t>
      </w:r>
      <w:r w:rsidR="00955E05" w:rsidRPr="00B90432">
        <w:rPr>
          <w:rFonts w:asciiTheme="minorHAnsi" w:hAnsiTheme="minorHAnsi"/>
        </w:rPr>
        <w:lastRenderedPageBreak/>
        <w:t xml:space="preserve">IACHR reiterates its concern </w:t>
      </w:r>
      <w:r w:rsidR="006243A1" w:rsidRPr="00B90432">
        <w:rPr>
          <w:rFonts w:asciiTheme="minorHAnsi" w:hAnsiTheme="minorHAnsi"/>
        </w:rPr>
        <w:t xml:space="preserve"> </w:t>
      </w:r>
      <w:r w:rsidR="00955E05" w:rsidRPr="00B90432">
        <w:rPr>
          <w:rFonts w:asciiTheme="minorHAnsi" w:hAnsiTheme="minorHAnsi"/>
        </w:rPr>
        <w:t xml:space="preserve">over the information it received regarding the lack of support and assistance to the families of the victims and survivors of the fire, as well as the </w:t>
      </w:r>
      <w:r w:rsidR="00A53E70" w:rsidRPr="00B90432">
        <w:rPr>
          <w:rFonts w:asciiTheme="minorHAnsi" w:hAnsiTheme="minorHAnsi"/>
        </w:rPr>
        <w:t xml:space="preserve">search for the children and adolescents, who after being under the custody of the State, have still not been located. </w:t>
      </w:r>
      <w:r w:rsidR="000C35C0" w:rsidRPr="00B90432">
        <w:rPr>
          <w:rFonts w:asciiTheme="minorHAnsi" w:hAnsiTheme="minorHAnsi"/>
        </w:rPr>
        <w:t xml:space="preserve">The State must take immediate steps to find the whereabouts of those children and adolescents and provide said services to the families. </w:t>
      </w:r>
    </w:p>
    <w:p w14:paraId="25B9EC37" w14:textId="77777777" w:rsidR="006243A1" w:rsidRPr="00B90432" w:rsidRDefault="002F4B9F" w:rsidP="00B90432">
      <w:pPr>
        <w:pStyle w:val="Numberedparagraphs"/>
        <w:rPr>
          <w:rFonts w:asciiTheme="minorHAnsi" w:hAnsiTheme="minorHAnsi"/>
        </w:rPr>
      </w:pPr>
      <w:r w:rsidRPr="00B90432">
        <w:rPr>
          <w:rFonts w:asciiTheme="minorHAnsi" w:hAnsiTheme="minorHAnsi"/>
        </w:rPr>
        <w:t>In the Recommendations section, the IACHR makes concrete recommendations to the State of Guatemala with regard to child and adolescent detention facilities</w:t>
      </w:r>
      <w:r w:rsidR="00B30D9A" w:rsidRPr="00B90432">
        <w:rPr>
          <w:rFonts w:asciiTheme="minorHAnsi" w:hAnsiTheme="minorHAnsi"/>
        </w:rPr>
        <w:t xml:space="preserve"> in general, as well as on follow-up to the case of the </w:t>
      </w:r>
      <w:r w:rsidR="006243A1" w:rsidRPr="00B90432">
        <w:rPr>
          <w:rFonts w:asciiTheme="minorHAnsi" w:hAnsiTheme="minorHAnsi"/>
        </w:rPr>
        <w:t xml:space="preserve">Hogar Virgen de la Asunción </w:t>
      </w:r>
      <w:r w:rsidR="00B30D9A" w:rsidRPr="00B90432">
        <w:rPr>
          <w:rFonts w:asciiTheme="minorHAnsi" w:hAnsiTheme="minorHAnsi"/>
        </w:rPr>
        <w:t>in particular.</w:t>
      </w:r>
      <w:r w:rsidR="00FE003E" w:rsidRPr="00B90432">
        <w:rPr>
          <w:rFonts w:asciiTheme="minorHAnsi" w:hAnsiTheme="minorHAnsi"/>
        </w:rPr>
        <w:t xml:space="preserve"> The Commission will closely monitor compliance with these recommendations </w:t>
      </w:r>
      <w:r w:rsidR="00866334" w:rsidRPr="00B90432">
        <w:rPr>
          <w:rFonts w:asciiTheme="minorHAnsi" w:hAnsiTheme="minorHAnsi"/>
        </w:rPr>
        <w:t xml:space="preserve">by the State. </w:t>
      </w:r>
      <w:r w:rsidR="006243A1" w:rsidRPr="00B90432">
        <w:rPr>
          <w:rFonts w:asciiTheme="minorHAnsi" w:hAnsiTheme="minorHAnsi"/>
        </w:rPr>
        <w:t xml:space="preserve"> </w:t>
      </w:r>
    </w:p>
    <w:p w14:paraId="68A7BD0A" w14:textId="7C4853FD" w:rsidR="006243A1" w:rsidRPr="00931BA7" w:rsidRDefault="00307C21" w:rsidP="00931BA7">
      <w:pPr>
        <w:pStyle w:val="Heading2"/>
      </w:pPr>
      <w:bookmarkStart w:id="97" w:name="_Toc509827699"/>
      <w:r w:rsidRPr="00931BA7">
        <w:t>Person</w:t>
      </w:r>
      <w:r w:rsidR="006243A1" w:rsidRPr="00931BA7">
        <w:t>s</w:t>
      </w:r>
      <w:r w:rsidRPr="00931BA7">
        <w:t xml:space="preserve"> </w:t>
      </w:r>
      <w:r w:rsidR="00D93738" w:rsidRPr="00931BA7">
        <w:t xml:space="preserve"> with </w:t>
      </w:r>
      <w:r w:rsidR="004951F6" w:rsidRPr="00931BA7">
        <w:t xml:space="preserve">Disabilities </w:t>
      </w:r>
      <w:r w:rsidRPr="00931BA7">
        <w:t xml:space="preserve">at mental </w:t>
      </w:r>
      <w:r w:rsidR="004951F6" w:rsidRPr="00931BA7">
        <w:t>Health Institutions</w:t>
      </w:r>
      <w:bookmarkEnd w:id="97"/>
    </w:p>
    <w:p w14:paraId="190C27FF" w14:textId="77777777" w:rsidR="006243A1" w:rsidRPr="00B90432" w:rsidRDefault="00F84AFF" w:rsidP="0085755A">
      <w:pPr>
        <w:pStyle w:val="Heading3"/>
        <w:numPr>
          <w:ilvl w:val="0"/>
          <w:numId w:val="21"/>
        </w:numPr>
        <w:ind w:hanging="727"/>
      </w:pPr>
      <w:bookmarkStart w:id="98" w:name="_Toc509827700"/>
      <w:r w:rsidRPr="00B90432">
        <w:t>General considerations</w:t>
      </w:r>
      <w:bookmarkEnd w:id="98"/>
      <w:r w:rsidRPr="00B90432">
        <w:t xml:space="preserve"> </w:t>
      </w:r>
    </w:p>
    <w:p w14:paraId="02673111" w14:textId="77777777" w:rsidR="006243A1" w:rsidRPr="00B90432" w:rsidRDefault="00401874" w:rsidP="00B90432">
      <w:pPr>
        <w:pStyle w:val="Numberedparagraphs"/>
        <w:rPr>
          <w:rFonts w:asciiTheme="minorHAnsi" w:hAnsiTheme="minorHAnsi"/>
        </w:rPr>
      </w:pPr>
      <w:r w:rsidRPr="00B90432">
        <w:rPr>
          <w:rFonts w:asciiTheme="minorHAnsi" w:hAnsiTheme="minorHAnsi"/>
        </w:rPr>
        <w:t xml:space="preserve">In </w:t>
      </w:r>
      <w:r w:rsidR="00B93482" w:rsidRPr="00B90432">
        <w:rPr>
          <w:rFonts w:asciiTheme="minorHAnsi" w:hAnsiTheme="minorHAnsi"/>
        </w:rPr>
        <w:t xml:space="preserve">August </w:t>
      </w:r>
      <w:r w:rsidR="006243A1" w:rsidRPr="00B90432">
        <w:rPr>
          <w:rFonts w:asciiTheme="minorHAnsi" w:hAnsiTheme="minorHAnsi"/>
        </w:rPr>
        <w:t xml:space="preserve">2017, </w:t>
      </w:r>
      <w:r w:rsidR="00F94373" w:rsidRPr="00B90432">
        <w:rPr>
          <w:rFonts w:asciiTheme="minorHAnsi" w:hAnsiTheme="minorHAnsi"/>
        </w:rPr>
        <w:t xml:space="preserve">in the context of its on-site visit, the Commission visited the </w:t>
      </w:r>
      <w:r w:rsidR="006243A1" w:rsidRPr="00B90432">
        <w:rPr>
          <w:rFonts w:asciiTheme="minorHAnsi" w:hAnsiTheme="minorHAnsi"/>
        </w:rPr>
        <w:t>Federico Mora</w:t>
      </w:r>
      <w:r w:rsidR="00F94373" w:rsidRPr="00B90432">
        <w:rPr>
          <w:rFonts w:asciiTheme="minorHAnsi" w:hAnsiTheme="minorHAnsi"/>
        </w:rPr>
        <w:t xml:space="preserve"> Hospital</w:t>
      </w:r>
      <w:r w:rsidR="006243A1" w:rsidRPr="00B90432">
        <w:rPr>
          <w:rFonts w:asciiTheme="minorHAnsi" w:hAnsiTheme="minorHAnsi"/>
        </w:rPr>
        <w:t xml:space="preserve">. </w:t>
      </w:r>
      <w:r w:rsidR="00F94373" w:rsidRPr="00B90432">
        <w:rPr>
          <w:rFonts w:asciiTheme="minorHAnsi" w:hAnsiTheme="minorHAnsi"/>
        </w:rPr>
        <w:t xml:space="preserve">On this score, the Commission reiterates that the prevailing situation at this hospital “reflects </w:t>
      </w:r>
      <w:r w:rsidR="000F0BF9" w:rsidRPr="00B90432">
        <w:rPr>
          <w:rFonts w:asciiTheme="minorHAnsi" w:hAnsiTheme="minorHAnsi"/>
        </w:rPr>
        <w:t xml:space="preserve">the </w:t>
      </w:r>
      <w:r w:rsidR="00F94373" w:rsidRPr="00B90432">
        <w:rPr>
          <w:rFonts w:asciiTheme="minorHAnsi" w:hAnsiTheme="minorHAnsi"/>
        </w:rPr>
        <w:t>lack of protection of persons with disabilities in Guatemala.”</w:t>
      </w:r>
      <w:r w:rsidR="006243A1" w:rsidRPr="00B90432">
        <w:rPr>
          <w:rFonts w:asciiTheme="minorHAnsi" w:hAnsiTheme="minorHAnsi"/>
          <w:vertAlign w:val="superscript"/>
        </w:rPr>
        <w:footnoteReference w:id="784"/>
      </w:r>
    </w:p>
    <w:p w14:paraId="4BD1FAF8" w14:textId="77777777" w:rsidR="006243A1" w:rsidRPr="00B90432" w:rsidRDefault="006F3961" w:rsidP="00B90432">
      <w:pPr>
        <w:pStyle w:val="Numberedparagraphs"/>
        <w:rPr>
          <w:rFonts w:asciiTheme="minorHAnsi" w:hAnsiTheme="minorHAnsi"/>
        </w:rPr>
      </w:pPr>
      <w:r w:rsidRPr="00B90432">
        <w:rPr>
          <w:rFonts w:asciiTheme="minorHAnsi" w:hAnsiTheme="minorHAnsi"/>
        </w:rPr>
        <w:t>The</w:t>
      </w:r>
      <w:r w:rsidR="006243A1" w:rsidRPr="00B90432">
        <w:rPr>
          <w:rFonts w:asciiTheme="minorHAnsi" w:hAnsiTheme="minorHAnsi"/>
        </w:rPr>
        <w:t xml:space="preserve"> Federico Mora</w:t>
      </w:r>
      <w:r w:rsidRPr="00B90432">
        <w:rPr>
          <w:rFonts w:asciiTheme="minorHAnsi" w:hAnsiTheme="minorHAnsi"/>
        </w:rPr>
        <w:t xml:space="preserve"> Hospital </w:t>
      </w:r>
      <w:r w:rsidR="00E165F0" w:rsidRPr="00B90432">
        <w:rPr>
          <w:rFonts w:asciiTheme="minorHAnsi" w:hAnsiTheme="minorHAnsi"/>
        </w:rPr>
        <w:t xml:space="preserve">is </w:t>
      </w:r>
      <w:r w:rsidRPr="00B90432">
        <w:rPr>
          <w:rFonts w:asciiTheme="minorHAnsi" w:hAnsiTheme="minorHAnsi"/>
        </w:rPr>
        <w:t xml:space="preserve">the only </w:t>
      </w:r>
      <w:r w:rsidR="00777D22" w:rsidRPr="00B90432">
        <w:rPr>
          <w:rFonts w:asciiTheme="minorHAnsi" w:hAnsiTheme="minorHAnsi"/>
        </w:rPr>
        <w:t xml:space="preserve">long-termin </w:t>
      </w:r>
      <w:r w:rsidRPr="00B90432">
        <w:rPr>
          <w:rFonts w:asciiTheme="minorHAnsi" w:hAnsiTheme="minorHAnsi"/>
        </w:rPr>
        <w:t>public institution in Guatemala</w:t>
      </w:r>
      <w:r w:rsidR="00921791" w:rsidRPr="00B90432">
        <w:rPr>
          <w:rFonts w:asciiTheme="minorHAnsi" w:hAnsiTheme="minorHAnsi"/>
        </w:rPr>
        <w:t xml:space="preserve"> providing psychiatric care to the</w:t>
      </w:r>
      <w:r w:rsidR="007404AE" w:rsidRPr="00B90432">
        <w:rPr>
          <w:rFonts w:asciiTheme="minorHAnsi" w:hAnsiTheme="minorHAnsi"/>
        </w:rPr>
        <w:t xml:space="preserve"> country’s</w:t>
      </w:r>
      <w:r w:rsidR="00921791" w:rsidRPr="00B90432">
        <w:rPr>
          <w:rFonts w:asciiTheme="minorHAnsi" w:hAnsiTheme="minorHAnsi"/>
        </w:rPr>
        <w:t xml:space="preserve"> ent</w:t>
      </w:r>
      <w:r w:rsidR="007404AE" w:rsidRPr="00B90432">
        <w:rPr>
          <w:rFonts w:asciiTheme="minorHAnsi" w:hAnsiTheme="minorHAnsi"/>
        </w:rPr>
        <w:t>ire population of</w:t>
      </w:r>
      <w:r w:rsidR="00921791" w:rsidRPr="00B90432">
        <w:rPr>
          <w:rFonts w:asciiTheme="minorHAnsi" w:hAnsiTheme="minorHAnsi"/>
        </w:rPr>
        <w:t xml:space="preserve"> more than 15 million inhabitants</w:t>
      </w:r>
      <w:r w:rsidR="00B77C0C" w:rsidRPr="00B90432">
        <w:rPr>
          <w:rFonts w:asciiTheme="minorHAnsi" w:hAnsiTheme="minorHAnsi"/>
        </w:rPr>
        <w:t>, who are</w:t>
      </w:r>
      <w:r w:rsidR="00997D39" w:rsidRPr="00B90432">
        <w:rPr>
          <w:rFonts w:asciiTheme="minorHAnsi" w:hAnsiTheme="minorHAnsi"/>
        </w:rPr>
        <w:t xml:space="preserve"> spread out among 22 different departments.</w:t>
      </w:r>
      <w:r w:rsidR="006243A1" w:rsidRPr="00B90432">
        <w:rPr>
          <w:rFonts w:asciiTheme="minorHAnsi" w:hAnsiTheme="minorHAnsi"/>
          <w:vertAlign w:val="superscript"/>
        </w:rPr>
        <w:footnoteReference w:id="785"/>
      </w:r>
      <w:r w:rsidR="00AC2ECD" w:rsidRPr="00B90432">
        <w:rPr>
          <w:rFonts w:asciiTheme="minorHAnsi" w:hAnsiTheme="minorHAnsi"/>
        </w:rPr>
        <w:t xml:space="preserve"> As of August </w:t>
      </w:r>
      <w:r w:rsidR="006243A1" w:rsidRPr="00B90432">
        <w:rPr>
          <w:rFonts w:asciiTheme="minorHAnsi" w:hAnsiTheme="minorHAnsi"/>
        </w:rPr>
        <w:t xml:space="preserve">2017, </w:t>
      </w:r>
      <w:r w:rsidR="00AC2ECD" w:rsidRPr="00B90432">
        <w:rPr>
          <w:rFonts w:asciiTheme="minorHAnsi" w:hAnsiTheme="minorHAnsi"/>
        </w:rPr>
        <w:t xml:space="preserve">the patient population at said institution was 334. The </w:t>
      </w:r>
      <w:r w:rsidR="006243A1" w:rsidRPr="00B90432">
        <w:rPr>
          <w:rFonts w:asciiTheme="minorHAnsi" w:hAnsiTheme="minorHAnsi"/>
        </w:rPr>
        <w:t xml:space="preserve">Federico Mora </w:t>
      </w:r>
      <w:r w:rsidR="00AC2ECD" w:rsidRPr="00B90432">
        <w:rPr>
          <w:rFonts w:asciiTheme="minorHAnsi" w:hAnsiTheme="minorHAnsi"/>
        </w:rPr>
        <w:t xml:space="preserve">hospital offers acute and chronic </w:t>
      </w:r>
      <w:r w:rsidR="00777D22" w:rsidRPr="00B90432">
        <w:rPr>
          <w:rFonts w:asciiTheme="minorHAnsi" w:hAnsiTheme="minorHAnsi"/>
        </w:rPr>
        <w:t>treatment</w:t>
      </w:r>
      <w:r w:rsidR="00746FB3" w:rsidRPr="00B90432">
        <w:rPr>
          <w:rFonts w:asciiTheme="minorHAnsi" w:hAnsiTheme="minorHAnsi"/>
        </w:rPr>
        <w:t>,</w:t>
      </w:r>
      <w:r w:rsidR="00AC2ECD" w:rsidRPr="00B90432">
        <w:rPr>
          <w:rFonts w:asciiTheme="minorHAnsi" w:hAnsiTheme="minorHAnsi"/>
        </w:rPr>
        <w:t xml:space="preserve"> in addition to </w:t>
      </w:r>
      <w:r w:rsidR="00746FB3" w:rsidRPr="00B90432">
        <w:rPr>
          <w:rFonts w:asciiTheme="minorHAnsi" w:hAnsiTheme="minorHAnsi"/>
        </w:rPr>
        <w:t xml:space="preserve">functioning </w:t>
      </w:r>
      <w:r w:rsidR="00AC2ECD" w:rsidRPr="00B90432">
        <w:rPr>
          <w:rFonts w:asciiTheme="minorHAnsi" w:hAnsiTheme="minorHAnsi"/>
        </w:rPr>
        <w:t>as a psychiatric hospital, it also operates as a detention facility for so-called “forensic patients</w:t>
      </w:r>
      <w:r w:rsidR="0045491D" w:rsidRPr="00B90432">
        <w:rPr>
          <w:rFonts w:asciiTheme="minorHAnsi" w:hAnsiTheme="minorHAnsi"/>
        </w:rPr>
        <w:t xml:space="preserve">,” who </w:t>
      </w:r>
      <w:r w:rsidR="00B0503E" w:rsidRPr="00B90432">
        <w:rPr>
          <w:rFonts w:asciiTheme="minorHAnsi" w:hAnsiTheme="minorHAnsi"/>
        </w:rPr>
        <w:t xml:space="preserve">are persons </w:t>
      </w:r>
      <w:r w:rsidR="008E3CBD" w:rsidRPr="00B90432">
        <w:rPr>
          <w:rFonts w:asciiTheme="minorHAnsi" w:hAnsiTheme="minorHAnsi"/>
        </w:rPr>
        <w:t xml:space="preserve">in pretrial detention </w:t>
      </w:r>
      <w:r w:rsidR="000D0D7D" w:rsidRPr="00B90432">
        <w:rPr>
          <w:rFonts w:asciiTheme="minorHAnsi" w:hAnsiTheme="minorHAnsi"/>
        </w:rPr>
        <w:t xml:space="preserve">or are </w:t>
      </w:r>
      <w:r w:rsidR="00E92D95" w:rsidRPr="00B90432">
        <w:rPr>
          <w:rFonts w:asciiTheme="minorHAnsi" w:hAnsiTheme="minorHAnsi"/>
        </w:rPr>
        <w:t xml:space="preserve">serving sentences </w:t>
      </w:r>
      <w:r w:rsidR="000D0D7D" w:rsidRPr="00B90432">
        <w:rPr>
          <w:rFonts w:asciiTheme="minorHAnsi" w:hAnsiTheme="minorHAnsi"/>
        </w:rPr>
        <w:t>and</w:t>
      </w:r>
      <w:r w:rsidR="00777D22" w:rsidRPr="00B90432">
        <w:rPr>
          <w:rFonts w:asciiTheme="minorHAnsi" w:hAnsiTheme="minorHAnsi"/>
        </w:rPr>
        <w:t>,</w:t>
      </w:r>
      <w:r w:rsidR="000D0D7D" w:rsidRPr="00B90432">
        <w:rPr>
          <w:rFonts w:asciiTheme="minorHAnsi" w:hAnsiTheme="minorHAnsi"/>
        </w:rPr>
        <w:t xml:space="preserve"> are ordered by the court </w:t>
      </w:r>
      <w:r w:rsidR="00B0503E" w:rsidRPr="00B90432">
        <w:rPr>
          <w:rFonts w:asciiTheme="minorHAnsi" w:hAnsiTheme="minorHAnsi"/>
        </w:rPr>
        <w:t>to be a</w:t>
      </w:r>
      <w:r w:rsidR="007174EB" w:rsidRPr="00B90432">
        <w:rPr>
          <w:rFonts w:asciiTheme="minorHAnsi" w:hAnsiTheme="minorHAnsi"/>
        </w:rPr>
        <w:t>dmitted because they</w:t>
      </w:r>
      <w:r w:rsidR="00B0503E" w:rsidRPr="00B90432">
        <w:rPr>
          <w:rFonts w:asciiTheme="minorHAnsi" w:hAnsiTheme="minorHAnsi"/>
        </w:rPr>
        <w:t xml:space="preserve"> are deemed to have some mental illness.</w:t>
      </w:r>
      <w:r w:rsidR="006243A1" w:rsidRPr="00B90432">
        <w:rPr>
          <w:rFonts w:asciiTheme="minorHAnsi" w:hAnsiTheme="minorHAnsi"/>
          <w:vertAlign w:val="superscript"/>
        </w:rPr>
        <w:footnoteReference w:id="786"/>
      </w:r>
      <w:r w:rsidR="00C3325F" w:rsidRPr="00B90432">
        <w:rPr>
          <w:rFonts w:asciiTheme="minorHAnsi" w:hAnsiTheme="minorHAnsi"/>
        </w:rPr>
        <w:t xml:space="preserve"> </w:t>
      </w:r>
      <w:r w:rsidR="00841A4B" w:rsidRPr="00B90432">
        <w:rPr>
          <w:rFonts w:asciiTheme="minorHAnsi" w:hAnsiTheme="minorHAnsi"/>
        </w:rPr>
        <w:t xml:space="preserve">Persons who are </w:t>
      </w:r>
      <w:r w:rsidR="00777D22" w:rsidRPr="00B90432">
        <w:rPr>
          <w:rFonts w:asciiTheme="minorHAnsi" w:hAnsiTheme="minorHAnsi"/>
        </w:rPr>
        <w:t xml:space="preserve">sent </w:t>
      </w:r>
      <w:r w:rsidR="00841A4B" w:rsidRPr="00B90432">
        <w:rPr>
          <w:rFonts w:asciiTheme="minorHAnsi" w:hAnsiTheme="minorHAnsi"/>
        </w:rPr>
        <w:t xml:space="preserve">to the hospital as “protection measures” </w:t>
      </w:r>
      <w:r w:rsidR="00841A4B" w:rsidRPr="00B90432">
        <w:rPr>
          <w:rFonts w:asciiTheme="minorHAnsi" w:hAnsiTheme="minorHAnsi"/>
        </w:rPr>
        <w:lastRenderedPageBreak/>
        <w:t xml:space="preserve">imposed by the judicial authority, </w:t>
      </w:r>
      <w:r w:rsidR="006721C8" w:rsidRPr="00B90432">
        <w:rPr>
          <w:rFonts w:asciiTheme="minorHAnsi" w:hAnsiTheme="minorHAnsi"/>
        </w:rPr>
        <w:t xml:space="preserve">who are </w:t>
      </w:r>
      <w:r w:rsidR="00841A4B" w:rsidRPr="00B90432">
        <w:rPr>
          <w:rFonts w:asciiTheme="minorHAnsi" w:hAnsiTheme="minorHAnsi"/>
        </w:rPr>
        <w:t xml:space="preserve">in situations </w:t>
      </w:r>
      <w:r w:rsidR="00451981" w:rsidRPr="00B90432">
        <w:rPr>
          <w:rFonts w:asciiTheme="minorHAnsi" w:hAnsiTheme="minorHAnsi"/>
        </w:rPr>
        <w:t>such as living on the streets, are also considered “forensic patients.”</w:t>
      </w:r>
      <w:r w:rsidR="006243A1" w:rsidRPr="00B90432">
        <w:rPr>
          <w:rFonts w:asciiTheme="minorHAnsi" w:hAnsiTheme="minorHAnsi"/>
          <w:vertAlign w:val="superscript"/>
        </w:rPr>
        <w:footnoteReference w:id="787"/>
      </w:r>
      <w:r w:rsidR="000D0D7D" w:rsidRPr="00B90432">
        <w:rPr>
          <w:rFonts w:asciiTheme="minorHAnsi" w:hAnsiTheme="minorHAnsi"/>
        </w:rPr>
        <w:t xml:space="preserve"> These patients are currently guarded b</w:t>
      </w:r>
      <w:r w:rsidR="002405EC" w:rsidRPr="00B90432">
        <w:rPr>
          <w:rFonts w:asciiTheme="minorHAnsi" w:hAnsiTheme="minorHAnsi"/>
        </w:rPr>
        <w:t xml:space="preserve">y </w:t>
      </w:r>
      <w:r w:rsidR="00BD7DF9" w:rsidRPr="00B90432">
        <w:rPr>
          <w:rFonts w:asciiTheme="minorHAnsi" w:hAnsiTheme="minorHAnsi"/>
        </w:rPr>
        <w:t xml:space="preserve">penitentiary </w:t>
      </w:r>
      <w:r w:rsidR="002405EC" w:rsidRPr="00B90432">
        <w:rPr>
          <w:rFonts w:asciiTheme="minorHAnsi" w:hAnsiTheme="minorHAnsi"/>
        </w:rPr>
        <w:t xml:space="preserve">agents. </w:t>
      </w:r>
      <w:r w:rsidR="006F2B08" w:rsidRPr="00B90432">
        <w:rPr>
          <w:rFonts w:asciiTheme="minorHAnsi" w:hAnsiTheme="minorHAnsi"/>
        </w:rPr>
        <w:t>Because of the</w:t>
      </w:r>
      <w:r w:rsidR="00BD7DF9" w:rsidRPr="00B90432">
        <w:rPr>
          <w:rFonts w:asciiTheme="minorHAnsi" w:hAnsiTheme="minorHAnsi"/>
        </w:rPr>
        <w:t xml:space="preserve"> different type </w:t>
      </w:r>
      <w:r w:rsidR="006F2B08" w:rsidRPr="00B90432">
        <w:rPr>
          <w:rFonts w:asciiTheme="minorHAnsi" w:hAnsiTheme="minorHAnsi"/>
        </w:rPr>
        <w:t>in the hospital population, it is particularly complex to provide medi</w:t>
      </w:r>
      <w:r w:rsidR="002405EC" w:rsidRPr="00B90432">
        <w:rPr>
          <w:rFonts w:asciiTheme="minorHAnsi" w:hAnsiTheme="minorHAnsi"/>
        </w:rPr>
        <w:t>c</w:t>
      </w:r>
      <w:r w:rsidR="006F2B08" w:rsidRPr="00B90432">
        <w:rPr>
          <w:rFonts w:asciiTheme="minorHAnsi" w:hAnsiTheme="minorHAnsi"/>
        </w:rPr>
        <w:t>al treatment and care to the patients</w:t>
      </w:r>
      <w:r w:rsidR="002405EC" w:rsidRPr="00B90432">
        <w:rPr>
          <w:rFonts w:asciiTheme="minorHAnsi" w:hAnsiTheme="minorHAnsi"/>
        </w:rPr>
        <w:t>.</w:t>
      </w:r>
      <w:r w:rsidR="002405EC" w:rsidRPr="00B90432">
        <w:rPr>
          <w:rStyle w:val="FootnoteReference"/>
          <w:rFonts w:asciiTheme="minorHAnsi" w:hAnsiTheme="minorHAnsi"/>
          <w:sz w:val="22"/>
          <w:szCs w:val="22"/>
        </w:rPr>
        <w:footnoteReference w:id="788"/>
      </w:r>
    </w:p>
    <w:p w14:paraId="5195D2DD" w14:textId="4741D260" w:rsidR="006243A1" w:rsidRPr="00B90432" w:rsidRDefault="004951F6" w:rsidP="004951F6">
      <w:pPr>
        <w:pStyle w:val="Heading3"/>
      </w:pPr>
      <w:bookmarkStart w:id="99" w:name="_Toc509827701"/>
      <w:r>
        <w:t>Conditions of Detention</w:t>
      </w:r>
      <w:bookmarkEnd w:id="99"/>
    </w:p>
    <w:p w14:paraId="7BC73FCC" w14:textId="77777777" w:rsidR="006243A1" w:rsidRPr="00B90432" w:rsidRDefault="001B4723" w:rsidP="00B90432">
      <w:pPr>
        <w:pStyle w:val="Numberedparagraphs"/>
        <w:rPr>
          <w:rFonts w:asciiTheme="minorHAnsi" w:hAnsiTheme="minorHAnsi"/>
        </w:rPr>
      </w:pPr>
      <w:r w:rsidRPr="00B90432">
        <w:rPr>
          <w:rFonts w:asciiTheme="minorHAnsi" w:hAnsiTheme="minorHAnsi"/>
        </w:rPr>
        <w:t xml:space="preserve">Through </w:t>
      </w:r>
      <w:r w:rsidR="00D01D74" w:rsidRPr="00B90432">
        <w:rPr>
          <w:rFonts w:asciiTheme="minorHAnsi" w:hAnsiTheme="minorHAnsi"/>
        </w:rPr>
        <w:t>a request for precautionary measures, filed</w:t>
      </w:r>
      <w:r w:rsidR="00514C94" w:rsidRPr="00B90432">
        <w:rPr>
          <w:rFonts w:asciiTheme="minorHAnsi" w:hAnsiTheme="minorHAnsi"/>
        </w:rPr>
        <w:t xml:space="preserve"> in October 2012, the IACHR learned </w:t>
      </w:r>
      <w:r w:rsidR="00D01D74" w:rsidRPr="00B90432">
        <w:rPr>
          <w:rFonts w:asciiTheme="minorHAnsi" w:hAnsiTheme="minorHAnsi"/>
        </w:rPr>
        <w:t>of se</w:t>
      </w:r>
      <w:r w:rsidR="00281431" w:rsidRPr="00B90432">
        <w:rPr>
          <w:rFonts w:asciiTheme="minorHAnsi" w:hAnsiTheme="minorHAnsi"/>
        </w:rPr>
        <w:t xml:space="preserve">veral different violations, which jeopardize the lives and safety of the </w:t>
      </w:r>
      <w:r w:rsidR="005A7F1C" w:rsidRPr="00B90432">
        <w:rPr>
          <w:rFonts w:asciiTheme="minorHAnsi" w:hAnsiTheme="minorHAnsi"/>
        </w:rPr>
        <w:t xml:space="preserve">patients </w:t>
      </w:r>
      <w:r w:rsidR="00001D26" w:rsidRPr="00B90432">
        <w:rPr>
          <w:rFonts w:asciiTheme="minorHAnsi" w:hAnsiTheme="minorHAnsi"/>
        </w:rPr>
        <w:t>at Federico Mora Hospital.</w:t>
      </w:r>
      <w:r w:rsidR="006243A1" w:rsidRPr="00B90432">
        <w:rPr>
          <w:rFonts w:asciiTheme="minorHAnsi" w:hAnsiTheme="minorHAnsi"/>
          <w:vertAlign w:val="superscript"/>
        </w:rPr>
        <w:footnoteReference w:id="789"/>
      </w:r>
      <w:r w:rsidR="00055464" w:rsidRPr="00B90432">
        <w:rPr>
          <w:rFonts w:asciiTheme="minorHAnsi" w:hAnsiTheme="minorHAnsi"/>
        </w:rPr>
        <w:t xml:space="preserve"> One of the major allegations was that the regular hospital patients and those charged with criminal offenses shared the same space and, consequently, the former would endure abuse from the criminally charged patients and their guards.</w:t>
      </w:r>
      <w:r w:rsidR="006243A1" w:rsidRPr="00B90432">
        <w:rPr>
          <w:rFonts w:asciiTheme="minorHAnsi" w:hAnsiTheme="minorHAnsi"/>
          <w:vertAlign w:val="superscript"/>
        </w:rPr>
        <w:footnoteReference w:id="790"/>
      </w:r>
      <w:r w:rsidR="00055464" w:rsidRPr="00B90432">
        <w:rPr>
          <w:rFonts w:asciiTheme="minorHAnsi" w:hAnsiTheme="minorHAnsi"/>
        </w:rPr>
        <w:t xml:space="preserve"> </w:t>
      </w:r>
      <w:r w:rsidR="00D16CE9" w:rsidRPr="00B90432">
        <w:rPr>
          <w:rFonts w:asciiTheme="minorHAnsi" w:hAnsiTheme="minorHAnsi"/>
        </w:rPr>
        <w:t xml:space="preserve">For its part, the IACHR notes that at least 10 years prior to the filing of the request for precautionary measures, the PDH had already expressed its concern over the serious conditions </w:t>
      </w:r>
      <w:r w:rsidR="00EA38A8" w:rsidRPr="00B90432">
        <w:rPr>
          <w:rFonts w:asciiTheme="minorHAnsi" w:hAnsiTheme="minorHAnsi"/>
        </w:rPr>
        <w:t>prevai</w:t>
      </w:r>
      <w:r w:rsidR="008014B0" w:rsidRPr="00B90432">
        <w:rPr>
          <w:rFonts w:asciiTheme="minorHAnsi" w:hAnsiTheme="minorHAnsi"/>
        </w:rPr>
        <w:t>ling at the aforementioned institution</w:t>
      </w:r>
      <w:r w:rsidR="00D16CE9" w:rsidRPr="00B90432">
        <w:rPr>
          <w:rFonts w:asciiTheme="minorHAnsi" w:hAnsiTheme="minorHAnsi"/>
        </w:rPr>
        <w:t>.</w:t>
      </w:r>
      <w:r w:rsidR="006243A1" w:rsidRPr="00B90432">
        <w:rPr>
          <w:rFonts w:asciiTheme="minorHAnsi" w:hAnsiTheme="minorHAnsi"/>
          <w:vertAlign w:val="superscript"/>
        </w:rPr>
        <w:footnoteReference w:id="791"/>
      </w:r>
      <w:r w:rsidR="00BB4241" w:rsidRPr="00B90432">
        <w:rPr>
          <w:rFonts w:asciiTheme="minorHAnsi" w:hAnsiTheme="minorHAnsi"/>
        </w:rPr>
        <w:t xml:space="preserve"> In light of this situation, on November 20, 2012, the IACHR granted precautionary measure </w:t>
      </w:r>
      <w:r w:rsidR="006243A1" w:rsidRPr="00B90432">
        <w:rPr>
          <w:rFonts w:asciiTheme="minorHAnsi" w:hAnsiTheme="minorHAnsi"/>
        </w:rPr>
        <w:t>MC-</w:t>
      </w:r>
      <w:r w:rsidR="006243A1" w:rsidRPr="00B90432">
        <w:rPr>
          <w:rFonts w:asciiTheme="minorHAnsi" w:hAnsiTheme="minorHAnsi"/>
          <w:bCs/>
        </w:rPr>
        <w:t xml:space="preserve">370-12 </w:t>
      </w:r>
      <w:r w:rsidR="00BB4241" w:rsidRPr="00B90432">
        <w:rPr>
          <w:rFonts w:asciiTheme="minorHAnsi" w:hAnsiTheme="minorHAnsi"/>
          <w:bCs/>
        </w:rPr>
        <w:t xml:space="preserve">on behalf of </w:t>
      </w:r>
      <w:r w:rsidR="006243A1" w:rsidRPr="00B90432">
        <w:rPr>
          <w:rFonts w:asciiTheme="minorHAnsi" w:hAnsiTheme="minorHAnsi"/>
        </w:rPr>
        <w:t xml:space="preserve">334 </w:t>
      </w:r>
      <w:r w:rsidR="00E93296" w:rsidRPr="00B90432">
        <w:rPr>
          <w:rFonts w:asciiTheme="minorHAnsi" w:hAnsiTheme="minorHAnsi"/>
        </w:rPr>
        <w:t>patients of the Fede</w:t>
      </w:r>
      <w:r w:rsidR="00E315F4" w:rsidRPr="00B90432">
        <w:rPr>
          <w:rFonts w:asciiTheme="minorHAnsi" w:hAnsiTheme="minorHAnsi"/>
        </w:rPr>
        <w:t xml:space="preserve">rico </w:t>
      </w:r>
      <w:r w:rsidR="00E93296" w:rsidRPr="00B90432">
        <w:rPr>
          <w:rFonts w:asciiTheme="minorHAnsi" w:hAnsiTheme="minorHAnsi"/>
        </w:rPr>
        <w:t xml:space="preserve">Mora Hospital and asked the </w:t>
      </w:r>
      <w:r w:rsidR="00E315F4" w:rsidRPr="00B90432">
        <w:rPr>
          <w:rFonts w:asciiTheme="minorHAnsi" w:hAnsiTheme="minorHAnsi"/>
        </w:rPr>
        <w:t xml:space="preserve">State </w:t>
      </w:r>
      <w:r w:rsidR="00E93296" w:rsidRPr="00B90432">
        <w:rPr>
          <w:rFonts w:asciiTheme="minorHAnsi" w:hAnsiTheme="minorHAnsi"/>
        </w:rPr>
        <w:t xml:space="preserve">of </w:t>
      </w:r>
      <w:r w:rsidR="00E93296" w:rsidRPr="00B90432">
        <w:rPr>
          <w:rFonts w:asciiTheme="minorHAnsi" w:hAnsiTheme="minorHAnsi"/>
        </w:rPr>
        <w:lastRenderedPageBreak/>
        <w:t>Guatemala to adopt several measures to ensure the lives and personal integrity of the patients at the aforementioned hospital.</w:t>
      </w:r>
      <w:r w:rsidR="006243A1" w:rsidRPr="00B90432">
        <w:rPr>
          <w:rFonts w:asciiTheme="minorHAnsi" w:hAnsiTheme="minorHAnsi"/>
          <w:vertAlign w:val="superscript"/>
        </w:rPr>
        <w:footnoteReference w:id="792"/>
      </w:r>
    </w:p>
    <w:p w14:paraId="25E77B4F" w14:textId="77777777" w:rsidR="006243A1" w:rsidRPr="00B90432" w:rsidRDefault="004D13D4" w:rsidP="00B90432">
      <w:pPr>
        <w:pStyle w:val="Numberedparagraphs"/>
        <w:rPr>
          <w:rFonts w:asciiTheme="minorHAnsi" w:hAnsiTheme="minorHAnsi"/>
          <w:bCs/>
        </w:rPr>
      </w:pPr>
      <w:r w:rsidRPr="00B90432">
        <w:rPr>
          <w:rFonts w:asciiTheme="minorHAnsi" w:hAnsiTheme="minorHAnsi"/>
        </w:rPr>
        <w:t xml:space="preserve">The granting of this measure and subsequent </w:t>
      </w:r>
      <w:r w:rsidR="007079E9" w:rsidRPr="00B90432">
        <w:rPr>
          <w:rFonts w:asciiTheme="minorHAnsi" w:hAnsiTheme="minorHAnsi"/>
        </w:rPr>
        <w:t xml:space="preserve">public </w:t>
      </w:r>
      <w:r w:rsidRPr="00B90432">
        <w:rPr>
          <w:rFonts w:asciiTheme="minorHAnsi" w:hAnsiTheme="minorHAnsi"/>
        </w:rPr>
        <w:t>awareness about the situation</w:t>
      </w:r>
      <w:r w:rsidR="007079E9" w:rsidRPr="00B90432">
        <w:rPr>
          <w:rFonts w:asciiTheme="minorHAnsi" w:hAnsiTheme="minorHAnsi"/>
        </w:rPr>
        <w:t xml:space="preserve"> in w</w:t>
      </w:r>
      <w:r w:rsidR="00D06690" w:rsidRPr="00B90432">
        <w:rPr>
          <w:rFonts w:asciiTheme="minorHAnsi" w:hAnsiTheme="minorHAnsi"/>
        </w:rPr>
        <w:t>hich these patients were living</w:t>
      </w:r>
      <w:r w:rsidR="007079E9" w:rsidRPr="00B90432">
        <w:rPr>
          <w:rFonts w:asciiTheme="minorHAnsi" w:hAnsiTheme="minorHAnsi"/>
        </w:rPr>
        <w:t xml:space="preserve"> led to different international and national agencies express</w:t>
      </w:r>
      <w:r w:rsidR="00D06690" w:rsidRPr="00B90432">
        <w:rPr>
          <w:rFonts w:asciiTheme="minorHAnsi" w:hAnsiTheme="minorHAnsi"/>
        </w:rPr>
        <w:t>ing</w:t>
      </w:r>
      <w:r w:rsidR="007079E9" w:rsidRPr="00B90432">
        <w:rPr>
          <w:rFonts w:asciiTheme="minorHAnsi" w:hAnsiTheme="minorHAnsi"/>
        </w:rPr>
        <w:t xml:space="preserve"> their </w:t>
      </w:r>
      <w:r w:rsidR="00B53581" w:rsidRPr="00B90432">
        <w:rPr>
          <w:rFonts w:asciiTheme="minorHAnsi" w:hAnsiTheme="minorHAnsi"/>
        </w:rPr>
        <w:t xml:space="preserve">own </w:t>
      </w:r>
      <w:r w:rsidR="007079E9" w:rsidRPr="00B90432">
        <w:rPr>
          <w:rFonts w:asciiTheme="minorHAnsi" w:hAnsiTheme="minorHAnsi"/>
        </w:rPr>
        <w:t xml:space="preserve">concern over the “alarming conditions” prevailing at the Institution. </w:t>
      </w:r>
      <w:r w:rsidR="00997DEC" w:rsidRPr="00B90432">
        <w:rPr>
          <w:rFonts w:asciiTheme="minorHAnsi" w:hAnsiTheme="minorHAnsi"/>
        </w:rPr>
        <w:t xml:space="preserve">Thus, </w:t>
      </w:r>
      <w:r w:rsidR="00631171" w:rsidRPr="00B90432">
        <w:rPr>
          <w:rFonts w:asciiTheme="minorHAnsi" w:hAnsiTheme="minorHAnsi"/>
        </w:rPr>
        <w:t xml:space="preserve">the UN Committee on the Rights of Persons with Disabilities </w:t>
      </w:r>
      <w:r w:rsidR="00E315F4" w:rsidRPr="00B90432">
        <w:rPr>
          <w:rFonts w:asciiTheme="minorHAnsi" w:hAnsiTheme="minorHAnsi"/>
        </w:rPr>
        <w:t>(CR</w:t>
      </w:r>
      <w:r w:rsidR="006243A1" w:rsidRPr="00B90432">
        <w:rPr>
          <w:rFonts w:asciiTheme="minorHAnsi" w:hAnsiTheme="minorHAnsi"/>
        </w:rPr>
        <w:t>PD</w:t>
      </w:r>
      <w:r w:rsidR="008548D9" w:rsidRPr="00B90432">
        <w:rPr>
          <w:rFonts w:asciiTheme="minorHAnsi" w:hAnsiTheme="minorHAnsi"/>
        </w:rPr>
        <w:t xml:space="preserve"> Committee</w:t>
      </w:r>
      <w:r w:rsidR="006243A1" w:rsidRPr="00B90432">
        <w:rPr>
          <w:rFonts w:asciiTheme="minorHAnsi" w:hAnsiTheme="minorHAnsi"/>
        </w:rPr>
        <w:t xml:space="preserve">), </w:t>
      </w:r>
      <w:r w:rsidR="000E7595" w:rsidRPr="00B90432">
        <w:rPr>
          <w:rFonts w:asciiTheme="minorHAnsi" w:hAnsiTheme="minorHAnsi"/>
        </w:rPr>
        <w:t xml:space="preserve">the OUNHCHR and the Committee against Torture </w:t>
      </w:r>
      <w:r w:rsidR="006243A1" w:rsidRPr="00B90432">
        <w:rPr>
          <w:rFonts w:asciiTheme="minorHAnsi" w:hAnsiTheme="minorHAnsi"/>
        </w:rPr>
        <w:t xml:space="preserve">(CAT), </w:t>
      </w:r>
      <w:r w:rsidR="000E7595" w:rsidRPr="00B90432">
        <w:rPr>
          <w:rFonts w:asciiTheme="minorHAnsi" w:hAnsiTheme="minorHAnsi"/>
        </w:rPr>
        <w:t xml:space="preserve">have </w:t>
      </w:r>
      <w:r w:rsidR="00997DEC" w:rsidRPr="00B90432">
        <w:rPr>
          <w:rFonts w:asciiTheme="minorHAnsi" w:hAnsiTheme="minorHAnsi"/>
        </w:rPr>
        <w:t xml:space="preserve">all </w:t>
      </w:r>
      <w:r w:rsidR="000E7595" w:rsidRPr="00B90432">
        <w:rPr>
          <w:rFonts w:asciiTheme="minorHAnsi" w:hAnsiTheme="minorHAnsi"/>
        </w:rPr>
        <w:t>called upon the State of Guatemala to take the nece</w:t>
      </w:r>
      <w:r w:rsidR="0090200E" w:rsidRPr="00B90432">
        <w:rPr>
          <w:rFonts w:asciiTheme="minorHAnsi" w:hAnsiTheme="minorHAnsi"/>
        </w:rPr>
        <w:t>ssary measures to ensure and speed</w:t>
      </w:r>
      <w:r w:rsidR="000E7595" w:rsidRPr="00B90432">
        <w:rPr>
          <w:rFonts w:asciiTheme="minorHAnsi" w:hAnsiTheme="minorHAnsi"/>
        </w:rPr>
        <w:t xml:space="preserve"> up the pace of implementation of the aforementioned precautionary measure</w:t>
      </w:r>
      <w:r w:rsidR="005D6174" w:rsidRPr="00B90432">
        <w:rPr>
          <w:rFonts w:asciiTheme="minorHAnsi" w:hAnsiTheme="minorHAnsi"/>
        </w:rPr>
        <w:t>.</w:t>
      </w:r>
      <w:r w:rsidR="006243A1" w:rsidRPr="00B90432">
        <w:rPr>
          <w:rFonts w:asciiTheme="minorHAnsi" w:hAnsiTheme="minorHAnsi"/>
          <w:vertAlign w:val="superscript"/>
        </w:rPr>
        <w:footnoteReference w:id="793"/>
      </w:r>
      <w:r w:rsidR="00175041" w:rsidRPr="00B90432">
        <w:rPr>
          <w:rFonts w:asciiTheme="minorHAnsi" w:hAnsiTheme="minorHAnsi"/>
          <w:bCs/>
        </w:rPr>
        <w:t xml:space="preserve"> This case has also attracted the attention of the national and international press and was heavily covered in 20</w:t>
      </w:r>
      <w:r w:rsidR="00A4612D" w:rsidRPr="00B90432">
        <w:rPr>
          <w:rFonts w:asciiTheme="minorHAnsi" w:hAnsiTheme="minorHAnsi"/>
          <w:bCs/>
        </w:rPr>
        <w:t xml:space="preserve">14 by the BBC, which </w:t>
      </w:r>
      <w:r w:rsidR="009101A1" w:rsidRPr="00B90432">
        <w:rPr>
          <w:rFonts w:asciiTheme="minorHAnsi" w:hAnsiTheme="minorHAnsi"/>
          <w:bCs/>
        </w:rPr>
        <w:t xml:space="preserve">deemed </w:t>
      </w:r>
      <w:r w:rsidR="00A4612D" w:rsidRPr="00B90432">
        <w:rPr>
          <w:rFonts w:asciiTheme="minorHAnsi" w:hAnsiTheme="minorHAnsi"/>
          <w:bCs/>
        </w:rPr>
        <w:t>the institution</w:t>
      </w:r>
      <w:r w:rsidR="001D696D" w:rsidRPr="00B90432">
        <w:rPr>
          <w:rFonts w:asciiTheme="minorHAnsi" w:hAnsiTheme="minorHAnsi"/>
          <w:bCs/>
        </w:rPr>
        <w:t xml:space="preserve"> </w:t>
      </w:r>
      <w:r w:rsidR="00175041" w:rsidRPr="00B90432">
        <w:rPr>
          <w:rFonts w:asciiTheme="minorHAnsi" w:hAnsiTheme="minorHAnsi"/>
          <w:bCs/>
        </w:rPr>
        <w:t>the “most dangerous hospital in the world.”</w:t>
      </w:r>
      <w:r w:rsidR="006243A1" w:rsidRPr="00B90432">
        <w:rPr>
          <w:rFonts w:asciiTheme="minorHAnsi" w:hAnsiTheme="minorHAnsi"/>
          <w:bCs/>
          <w:vertAlign w:val="superscript"/>
        </w:rPr>
        <w:footnoteReference w:id="794"/>
      </w:r>
    </w:p>
    <w:p w14:paraId="3C724577" w14:textId="77777777" w:rsidR="006243A1" w:rsidRPr="00B90432" w:rsidRDefault="00F631C2" w:rsidP="00B90432">
      <w:pPr>
        <w:pStyle w:val="Numberedparagraphs"/>
        <w:rPr>
          <w:rFonts w:asciiTheme="minorHAnsi" w:hAnsiTheme="minorHAnsi"/>
        </w:rPr>
      </w:pPr>
      <w:r w:rsidRPr="00B90432">
        <w:rPr>
          <w:rFonts w:asciiTheme="minorHAnsi" w:hAnsiTheme="minorHAnsi"/>
        </w:rPr>
        <w:t xml:space="preserve">Five years after </w:t>
      </w:r>
      <w:r w:rsidR="00803275" w:rsidRPr="00B90432">
        <w:rPr>
          <w:rFonts w:asciiTheme="minorHAnsi" w:hAnsiTheme="minorHAnsi"/>
        </w:rPr>
        <w:t xml:space="preserve">precautionary measure </w:t>
      </w:r>
      <w:r w:rsidR="006243A1" w:rsidRPr="00B90432">
        <w:rPr>
          <w:rFonts w:asciiTheme="minorHAnsi" w:hAnsiTheme="minorHAnsi"/>
        </w:rPr>
        <w:t>MC-370-12</w:t>
      </w:r>
      <w:r w:rsidR="00803275" w:rsidRPr="00B90432">
        <w:rPr>
          <w:rFonts w:asciiTheme="minorHAnsi" w:hAnsiTheme="minorHAnsi"/>
        </w:rPr>
        <w:t xml:space="preserve"> was granted</w:t>
      </w:r>
      <w:r w:rsidR="006243A1" w:rsidRPr="00B90432">
        <w:rPr>
          <w:rFonts w:asciiTheme="minorHAnsi" w:hAnsiTheme="minorHAnsi"/>
        </w:rPr>
        <w:t xml:space="preserve">, </w:t>
      </w:r>
      <w:r w:rsidRPr="00B90432">
        <w:rPr>
          <w:rFonts w:asciiTheme="minorHAnsi" w:hAnsiTheme="minorHAnsi"/>
        </w:rPr>
        <w:t xml:space="preserve">the main changes noted by the Commission </w:t>
      </w:r>
      <w:r w:rsidR="0060102C" w:rsidRPr="00B90432">
        <w:rPr>
          <w:rFonts w:asciiTheme="minorHAnsi" w:hAnsiTheme="minorHAnsi"/>
        </w:rPr>
        <w:t xml:space="preserve">on its </w:t>
      </w:r>
      <w:r w:rsidRPr="00B90432">
        <w:rPr>
          <w:rFonts w:asciiTheme="minorHAnsi" w:hAnsiTheme="minorHAnsi"/>
        </w:rPr>
        <w:t>visit to the institution are</w:t>
      </w:r>
      <w:r w:rsidR="00116429" w:rsidRPr="00B90432">
        <w:rPr>
          <w:rFonts w:asciiTheme="minorHAnsi" w:hAnsiTheme="minorHAnsi"/>
        </w:rPr>
        <w:t>:</w:t>
      </w:r>
      <w:r w:rsidRPr="00B90432">
        <w:rPr>
          <w:rFonts w:asciiTheme="minorHAnsi" w:hAnsiTheme="minorHAnsi"/>
        </w:rPr>
        <w:t xml:space="preserve"> </w:t>
      </w:r>
      <w:r w:rsidR="0060102C" w:rsidRPr="00B90432">
        <w:rPr>
          <w:rFonts w:asciiTheme="minorHAnsi" w:hAnsiTheme="minorHAnsi"/>
        </w:rPr>
        <w:t xml:space="preserve">an </w:t>
      </w:r>
      <w:r w:rsidR="00077D95" w:rsidRPr="00B90432">
        <w:rPr>
          <w:rFonts w:asciiTheme="minorHAnsi" w:hAnsiTheme="minorHAnsi"/>
        </w:rPr>
        <w:t xml:space="preserve">improvement in infrastructure </w:t>
      </w:r>
      <w:r w:rsidRPr="00B90432">
        <w:rPr>
          <w:rFonts w:asciiTheme="minorHAnsi" w:hAnsiTheme="minorHAnsi"/>
        </w:rPr>
        <w:t>con</w:t>
      </w:r>
      <w:r w:rsidR="00FB46A0" w:rsidRPr="00B90432">
        <w:rPr>
          <w:rFonts w:asciiTheme="minorHAnsi" w:hAnsiTheme="minorHAnsi"/>
        </w:rPr>
        <w:t>ditions as compared</w:t>
      </w:r>
      <w:r w:rsidR="00227947" w:rsidRPr="00B90432">
        <w:rPr>
          <w:rFonts w:asciiTheme="minorHAnsi" w:hAnsiTheme="minorHAnsi"/>
        </w:rPr>
        <w:t xml:space="preserve"> to the conditions</w:t>
      </w:r>
      <w:r w:rsidRPr="00B90432">
        <w:rPr>
          <w:rFonts w:asciiTheme="minorHAnsi" w:hAnsiTheme="minorHAnsi"/>
        </w:rPr>
        <w:t xml:space="preserve"> reported at the time </w:t>
      </w:r>
      <w:r w:rsidR="00227947" w:rsidRPr="00B90432">
        <w:rPr>
          <w:rFonts w:asciiTheme="minorHAnsi" w:hAnsiTheme="minorHAnsi"/>
        </w:rPr>
        <w:t xml:space="preserve">the </w:t>
      </w:r>
      <w:r w:rsidRPr="00B90432">
        <w:rPr>
          <w:rFonts w:asciiTheme="minorHAnsi" w:hAnsiTheme="minorHAnsi"/>
        </w:rPr>
        <w:t>precautionary measures</w:t>
      </w:r>
      <w:r w:rsidR="00227947" w:rsidRPr="00B90432">
        <w:rPr>
          <w:rFonts w:asciiTheme="minorHAnsi" w:hAnsiTheme="minorHAnsi"/>
        </w:rPr>
        <w:t xml:space="preserve"> were granted</w:t>
      </w:r>
      <w:r w:rsidR="00116429" w:rsidRPr="00B90432">
        <w:rPr>
          <w:rFonts w:asciiTheme="minorHAnsi" w:hAnsiTheme="minorHAnsi"/>
        </w:rPr>
        <w:t>;</w:t>
      </w:r>
      <w:r w:rsidRPr="00B90432">
        <w:rPr>
          <w:rFonts w:asciiTheme="minorHAnsi" w:hAnsiTheme="minorHAnsi"/>
        </w:rPr>
        <w:t xml:space="preserve"> and s</w:t>
      </w:r>
      <w:r w:rsidR="00E315F4" w:rsidRPr="00B90432">
        <w:rPr>
          <w:rFonts w:asciiTheme="minorHAnsi" w:hAnsiTheme="minorHAnsi"/>
        </w:rPr>
        <w:t xml:space="preserve">eparation </w:t>
      </w:r>
      <w:r w:rsidRPr="00B90432">
        <w:rPr>
          <w:rFonts w:asciiTheme="minorHAnsi" w:hAnsiTheme="minorHAnsi"/>
        </w:rPr>
        <w:t xml:space="preserve">of hospital patients </w:t>
      </w:r>
      <w:r w:rsidR="001F516D" w:rsidRPr="00B90432">
        <w:rPr>
          <w:rFonts w:asciiTheme="minorHAnsi" w:hAnsiTheme="minorHAnsi"/>
        </w:rPr>
        <w:t xml:space="preserve">from those charged with criminal offenses. </w:t>
      </w:r>
      <w:r w:rsidR="00205536" w:rsidRPr="00B90432">
        <w:rPr>
          <w:rFonts w:asciiTheme="minorHAnsi" w:hAnsiTheme="minorHAnsi"/>
        </w:rPr>
        <w:t>As to this last issue, the State has reported to the IACHR that said se</w:t>
      </w:r>
      <w:r w:rsidR="00E315F4" w:rsidRPr="00B90432">
        <w:rPr>
          <w:rFonts w:asciiTheme="minorHAnsi" w:hAnsiTheme="minorHAnsi"/>
        </w:rPr>
        <w:t xml:space="preserve">paration </w:t>
      </w:r>
      <w:r w:rsidR="009F70A5" w:rsidRPr="00B90432">
        <w:rPr>
          <w:rFonts w:asciiTheme="minorHAnsi" w:hAnsiTheme="minorHAnsi"/>
        </w:rPr>
        <w:t xml:space="preserve">had </w:t>
      </w:r>
      <w:r w:rsidR="00077D95" w:rsidRPr="00B90432">
        <w:rPr>
          <w:rFonts w:asciiTheme="minorHAnsi" w:hAnsiTheme="minorHAnsi"/>
        </w:rPr>
        <w:t xml:space="preserve">made it possible </w:t>
      </w:r>
      <w:r w:rsidR="009F70A5" w:rsidRPr="00B90432">
        <w:rPr>
          <w:rFonts w:asciiTheme="minorHAnsi" w:hAnsiTheme="minorHAnsi"/>
        </w:rPr>
        <w:t xml:space="preserve">to do without the presence of </w:t>
      </w:r>
      <w:r w:rsidR="00597125" w:rsidRPr="00B90432">
        <w:rPr>
          <w:rFonts w:asciiTheme="minorHAnsi" w:hAnsiTheme="minorHAnsi"/>
        </w:rPr>
        <w:t xml:space="preserve">so many </w:t>
      </w:r>
      <w:r w:rsidR="009F70A5" w:rsidRPr="00B90432">
        <w:rPr>
          <w:rFonts w:asciiTheme="minorHAnsi" w:hAnsiTheme="minorHAnsi"/>
        </w:rPr>
        <w:t>agents of the National Civilian Police—previously 140</w:t>
      </w:r>
      <w:r w:rsidR="005F094F" w:rsidRPr="00B90432">
        <w:rPr>
          <w:rFonts w:asciiTheme="minorHAnsi" w:hAnsiTheme="minorHAnsi"/>
        </w:rPr>
        <w:t xml:space="preserve"> agents</w:t>
      </w:r>
      <w:r w:rsidR="006243A1" w:rsidRPr="00B90432">
        <w:rPr>
          <w:rFonts w:asciiTheme="minorHAnsi" w:hAnsiTheme="minorHAnsi"/>
        </w:rPr>
        <w:t>—</w:t>
      </w:r>
      <w:r w:rsidR="006243A1" w:rsidRPr="00B90432">
        <w:rPr>
          <w:rFonts w:asciiTheme="minorHAnsi" w:hAnsiTheme="minorHAnsi"/>
          <w:vertAlign w:val="superscript"/>
        </w:rPr>
        <w:footnoteReference w:id="795"/>
      </w:r>
      <w:r w:rsidR="006243A1" w:rsidRPr="00B90432">
        <w:rPr>
          <w:rFonts w:asciiTheme="minorHAnsi" w:hAnsiTheme="minorHAnsi"/>
        </w:rPr>
        <w:t xml:space="preserve"> </w:t>
      </w:r>
      <w:r w:rsidR="00066119" w:rsidRPr="00B90432">
        <w:rPr>
          <w:rFonts w:asciiTheme="minorHAnsi" w:hAnsiTheme="minorHAnsi"/>
        </w:rPr>
        <w:t>and</w:t>
      </w:r>
      <w:r w:rsidR="00456E28" w:rsidRPr="00B90432">
        <w:rPr>
          <w:rFonts w:asciiTheme="minorHAnsi" w:hAnsiTheme="minorHAnsi"/>
        </w:rPr>
        <w:t xml:space="preserve"> that</w:t>
      </w:r>
      <w:r w:rsidR="00066119" w:rsidRPr="00B90432">
        <w:rPr>
          <w:rFonts w:asciiTheme="minorHAnsi" w:hAnsiTheme="minorHAnsi"/>
        </w:rPr>
        <w:t xml:space="preserve"> </w:t>
      </w:r>
      <w:r w:rsidR="00066119" w:rsidRPr="00B90432">
        <w:rPr>
          <w:rFonts w:asciiTheme="minorHAnsi" w:hAnsiTheme="minorHAnsi"/>
        </w:rPr>
        <w:lastRenderedPageBreak/>
        <w:t xml:space="preserve">currently </w:t>
      </w:r>
      <w:r w:rsidR="00456E28" w:rsidRPr="00B90432">
        <w:rPr>
          <w:rFonts w:asciiTheme="minorHAnsi" w:hAnsiTheme="minorHAnsi"/>
        </w:rPr>
        <w:t xml:space="preserve">there are </w:t>
      </w:r>
      <w:r w:rsidR="00544648" w:rsidRPr="00B90432">
        <w:rPr>
          <w:rFonts w:asciiTheme="minorHAnsi" w:hAnsiTheme="minorHAnsi"/>
        </w:rPr>
        <w:t>only 15 prison guards on-</w:t>
      </w:r>
      <w:r w:rsidR="00066119" w:rsidRPr="00B90432">
        <w:rPr>
          <w:rFonts w:asciiTheme="minorHAnsi" w:hAnsiTheme="minorHAnsi"/>
        </w:rPr>
        <w:t>site.</w:t>
      </w:r>
      <w:r w:rsidR="006243A1" w:rsidRPr="00B90432">
        <w:rPr>
          <w:rFonts w:asciiTheme="minorHAnsi" w:hAnsiTheme="minorHAnsi"/>
          <w:vertAlign w:val="superscript"/>
        </w:rPr>
        <w:footnoteReference w:id="796"/>
      </w:r>
      <w:r w:rsidR="00E10FA9" w:rsidRPr="00B90432">
        <w:rPr>
          <w:rFonts w:asciiTheme="minorHAnsi" w:hAnsiTheme="minorHAnsi"/>
        </w:rPr>
        <w:t xml:space="preserve"> Also</w:t>
      </w:r>
      <w:r w:rsidR="00DA3597" w:rsidRPr="00B90432">
        <w:rPr>
          <w:rFonts w:asciiTheme="minorHAnsi" w:hAnsiTheme="minorHAnsi"/>
        </w:rPr>
        <w:t>,</w:t>
      </w:r>
      <w:r w:rsidR="00E10FA9" w:rsidRPr="00B90432">
        <w:rPr>
          <w:rFonts w:asciiTheme="minorHAnsi" w:hAnsiTheme="minorHAnsi"/>
        </w:rPr>
        <w:t xml:space="preserve"> because</w:t>
      </w:r>
      <w:r w:rsidR="00D67BE6" w:rsidRPr="00B90432">
        <w:rPr>
          <w:rFonts w:asciiTheme="minorHAnsi" w:hAnsiTheme="minorHAnsi"/>
        </w:rPr>
        <w:t xml:space="preserve"> the prison guards can only </w:t>
      </w:r>
      <w:r w:rsidR="00E10FA9" w:rsidRPr="00B90432">
        <w:rPr>
          <w:rFonts w:asciiTheme="minorHAnsi" w:hAnsiTheme="minorHAnsi"/>
        </w:rPr>
        <w:t xml:space="preserve">be posted </w:t>
      </w:r>
      <w:r w:rsidR="00D67BE6" w:rsidRPr="00B90432">
        <w:rPr>
          <w:rFonts w:asciiTheme="minorHAnsi" w:hAnsiTheme="minorHAnsi"/>
        </w:rPr>
        <w:t>in ward 4</w:t>
      </w:r>
      <w:r w:rsidR="006243A1" w:rsidRPr="00B90432">
        <w:rPr>
          <w:rFonts w:asciiTheme="minorHAnsi" w:hAnsiTheme="minorHAnsi"/>
        </w:rPr>
        <w:t>—</w:t>
      </w:r>
      <w:r w:rsidR="00D67BE6" w:rsidRPr="00B90432">
        <w:rPr>
          <w:rFonts w:asciiTheme="minorHAnsi" w:hAnsiTheme="minorHAnsi"/>
        </w:rPr>
        <w:t>the only location where criminally charged patients would be held</w:t>
      </w:r>
      <w:r w:rsidR="006243A1" w:rsidRPr="00B90432">
        <w:rPr>
          <w:rFonts w:asciiTheme="minorHAnsi" w:hAnsiTheme="minorHAnsi"/>
        </w:rPr>
        <w:t>—</w:t>
      </w:r>
      <w:r w:rsidR="00E92BEF" w:rsidRPr="00B90432">
        <w:rPr>
          <w:rFonts w:asciiTheme="minorHAnsi" w:hAnsiTheme="minorHAnsi"/>
        </w:rPr>
        <w:t xml:space="preserve">the State </w:t>
      </w:r>
      <w:r w:rsidR="00654B3B" w:rsidRPr="00B90432">
        <w:rPr>
          <w:rFonts w:asciiTheme="minorHAnsi" w:hAnsiTheme="minorHAnsi"/>
        </w:rPr>
        <w:t xml:space="preserve">claimed </w:t>
      </w:r>
      <w:r w:rsidR="00E92BEF" w:rsidRPr="00B90432">
        <w:rPr>
          <w:rFonts w:asciiTheme="minorHAnsi" w:hAnsiTheme="minorHAnsi"/>
        </w:rPr>
        <w:t>that se</w:t>
      </w:r>
      <w:r w:rsidR="00BB4E18" w:rsidRPr="00B90432">
        <w:rPr>
          <w:rFonts w:asciiTheme="minorHAnsi" w:hAnsiTheme="minorHAnsi"/>
        </w:rPr>
        <w:t xml:space="preserve">paration </w:t>
      </w:r>
      <w:r w:rsidR="000218E8" w:rsidRPr="00B90432">
        <w:rPr>
          <w:rFonts w:asciiTheme="minorHAnsi" w:hAnsiTheme="minorHAnsi"/>
        </w:rPr>
        <w:t xml:space="preserve">of the different </w:t>
      </w:r>
      <w:r w:rsidR="008436E3" w:rsidRPr="00B90432">
        <w:rPr>
          <w:rFonts w:asciiTheme="minorHAnsi" w:hAnsiTheme="minorHAnsi"/>
        </w:rPr>
        <w:t>categories of patients</w:t>
      </w:r>
      <w:r w:rsidR="00E92BEF" w:rsidRPr="00B90432">
        <w:rPr>
          <w:rFonts w:asciiTheme="minorHAnsi" w:hAnsiTheme="minorHAnsi"/>
        </w:rPr>
        <w:t xml:space="preserve"> had also led to a “considerable” decrease in </w:t>
      </w:r>
      <w:r w:rsidR="000F3877" w:rsidRPr="00B90432">
        <w:rPr>
          <w:rFonts w:asciiTheme="minorHAnsi" w:hAnsiTheme="minorHAnsi"/>
        </w:rPr>
        <w:t xml:space="preserve">state agents abusing </w:t>
      </w:r>
      <w:r w:rsidR="00E444B6" w:rsidRPr="00B90432">
        <w:rPr>
          <w:rFonts w:asciiTheme="minorHAnsi" w:hAnsiTheme="minorHAnsi"/>
        </w:rPr>
        <w:t>patients</w:t>
      </w:r>
      <w:r w:rsidR="006243A1" w:rsidRPr="00B90432">
        <w:rPr>
          <w:rFonts w:asciiTheme="minorHAnsi" w:hAnsiTheme="minorHAnsi"/>
        </w:rPr>
        <w:t>.</w:t>
      </w:r>
    </w:p>
    <w:p w14:paraId="06DFAFD0" w14:textId="77777777" w:rsidR="006243A1" w:rsidRPr="00B90432" w:rsidRDefault="00712658" w:rsidP="00B90432">
      <w:pPr>
        <w:pStyle w:val="Numberedparagraphs"/>
        <w:rPr>
          <w:rFonts w:asciiTheme="minorHAnsi" w:hAnsiTheme="minorHAnsi"/>
        </w:rPr>
      </w:pPr>
      <w:r w:rsidRPr="00B90432">
        <w:rPr>
          <w:rFonts w:asciiTheme="minorHAnsi" w:hAnsiTheme="minorHAnsi"/>
        </w:rPr>
        <w:t xml:space="preserve">The </w:t>
      </w:r>
      <w:r w:rsidR="008C67E0" w:rsidRPr="00B90432">
        <w:rPr>
          <w:rFonts w:asciiTheme="minorHAnsi" w:hAnsiTheme="minorHAnsi"/>
        </w:rPr>
        <w:t xml:space="preserve">IACHR notes that over the past years, there has been a notable increase in the budget allocated to the </w:t>
      </w:r>
      <w:r w:rsidR="006243A1" w:rsidRPr="00B90432">
        <w:rPr>
          <w:rFonts w:asciiTheme="minorHAnsi" w:hAnsiTheme="minorHAnsi"/>
        </w:rPr>
        <w:t>Federico Mora</w:t>
      </w:r>
      <w:r w:rsidR="008C67E0" w:rsidRPr="00B90432">
        <w:rPr>
          <w:rFonts w:asciiTheme="minorHAnsi" w:hAnsiTheme="minorHAnsi"/>
        </w:rPr>
        <w:t xml:space="preserve"> Hospital</w:t>
      </w:r>
      <w:r w:rsidR="006243A1" w:rsidRPr="00B90432">
        <w:rPr>
          <w:rFonts w:asciiTheme="minorHAnsi" w:hAnsiTheme="minorHAnsi"/>
        </w:rPr>
        <w:t xml:space="preserve">. </w:t>
      </w:r>
      <w:r w:rsidR="00DD60E5" w:rsidRPr="00B90432">
        <w:rPr>
          <w:rFonts w:asciiTheme="minorHAnsi" w:hAnsiTheme="minorHAnsi"/>
        </w:rPr>
        <w:t>In th</w:t>
      </w:r>
      <w:r w:rsidR="003A5E80" w:rsidRPr="00B90432">
        <w:rPr>
          <w:rFonts w:asciiTheme="minorHAnsi" w:hAnsiTheme="minorHAnsi"/>
        </w:rPr>
        <w:t>is vein</w:t>
      </w:r>
      <w:r w:rsidR="00DD60E5" w:rsidRPr="00B90432">
        <w:rPr>
          <w:rFonts w:asciiTheme="minorHAnsi" w:hAnsiTheme="minorHAnsi"/>
        </w:rPr>
        <w:t xml:space="preserve">, the State of Guatemala has reported that said budget has </w:t>
      </w:r>
      <w:r w:rsidR="004D3196" w:rsidRPr="00B90432">
        <w:rPr>
          <w:rFonts w:asciiTheme="minorHAnsi" w:hAnsiTheme="minorHAnsi"/>
        </w:rPr>
        <w:t xml:space="preserve">increased to 54 million </w:t>
      </w:r>
      <w:r w:rsidR="00D47FB2" w:rsidRPr="00B90432">
        <w:rPr>
          <w:rFonts w:asciiTheme="minorHAnsi" w:hAnsiTheme="minorHAnsi"/>
        </w:rPr>
        <w:t>quetzal</w:t>
      </w:r>
      <w:r w:rsidR="006243A1" w:rsidRPr="00B90432">
        <w:rPr>
          <w:rFonts w:asciiTheme="minorHAnsi" w:hAnsiTheme="minorHAnsi"/>
        </w:rPr>
        <w:t>s (</w:t>
      </w:r>
      <w:r w:rsidR="006A7C1E" w:rsidRPr="00B90432">
        <w:rPr>
          <w:rFonts w:asciiTheme="minorHAnsi" w:hAnsiTheme="minorHAnsi"/>
        </w:rPr>
        <w:t xml:space="preserve">the equivalent of </w:t>
      </w:r>
      <w:r w:rsidR="004D3196" w:rsidRPr="00B90432">
        <w:rPr>
          <w:rFonts w:asciiTheme="minorHAnsi" w:hAnsiTheme="minorHAnsi"/>
        </w:rPr>
        <w:t>more than USD $7 million</w:t>
      </w:r>
      <w:r w:rsidR="006243A1" w:rsidRPr="00B90432">
        <w:rPr>
          <w:rFonts w:asciiTheme="minorHAnsi" w:hAnsiTheme="minorHAnsi"/>
        </w:rPr>
        <w:t>)</w:t>
      </w:r>
      <w:r w:rsidR="007E0981" w:rsidRPr="00B90432">
        <w:rPr>
          <w:rFonts w:asciiTheme="minorHAnsi" w:hAnsiTheme="minorHAnsi"/>
        </w:rPr>
        <w:t>.</w:t>
      </w:r>
      <w:r w:rsidR="006243A1" w:rsidRPr="00B90432">
        <w:rPr>
          <w:rFonts w:asciiTheme="minorHAnsi" w:hAnsiTheme="minorHAnsi"/>
          <w:vertAlign w:val="superscript"/>
        </w:rPr>
        <w:footnoteReference w:id="797"/>
      </w:r>
      <w:r w:rsidR="007E0981" w:rsidRPr="00B90432">
        <w:rPr>
          <w:rFonts w:asciiTheme="minorHAnsi" w:hAnsiTheme="minorHAnsi"/>
        </w:rPr>
        <w:t xml:space="preserve"> On this score, the IACHR has information reflect</w:t>
      </w:r>
      <w:r w:rsidR="00803093" w:rsidRPr="00B90432">
        <w:rPr>
          <w:rFonts w:asciiTheme="minorHAnsi" w:hAnsiTheme="minorHAnsi"/>
        </w:rPr>
        <w:t>ing</w:t>
      </w:r>
      <w:r w:rsidR="007E0981" w:rsidRPr="00B90432">
        <w:rPr>
          <w:rFonts w:asciiTheme="minorHAnsi" w:hAnsiTheme="minorHAnsi"/>
        </w:rPr>
        <w:t xml:space="preserve"> that this increase</w:t>
      </w:r>
      <w:r w:rsidR="00147D4C" w:rsidRPr="00B90432">
        <w:rPr>
          <w:rFonts w:asciiTheme="minorHAnsi" w:hAnsiTheme="minorHAnsi"/>
        </w:rPr>
        <w:t xml:space="preserve"> has mainly been </w:t>
      </w:r>
      <w:r w:rsidR="002762D9" w:rsidRPr="00B90432">
        <w:rPr>
          <w:rFonts w:asciiTheme="minorHAnsi" w:hAnsiTheme="minorHAnsi"/>
        </w:rPr>
        <w:t xml:space="preserve">used </w:t>
      </w:r>
      <w:r w:rsidR="00147D4C" w:rsidRPr="00B90432">
        <w:rPr>
          <w:rFonts w:asciiTheme="minorHAnsi" w:hAnsiTheme="minorHAnsi"/>
        </w:rPr>
        <w:t>for infrastr</w:t>
      </w:r>
      <w:r w:rsidR="002762D9" w:rsidRPr="00B90432">
        <w:rPr>
          <w:rFonts w:asciiTheme="minorHAnsi" w:hAnsiTheme="minorHAnsi"/>
        </w:rPr>
        <w:t>ucture changes in the hospital and</w:t>
      </w:r>
      <w:r w:rsidR="008C0422" w:rsidRPr="00B90432">
        <w:rPr>
          <w:rFonts w:asciiTheme="minorHAnsi" w:hAnsiTheme="minorHAnsi"/>
        </w:rPr>
        <w:t xml:space="preserve"> </w:t>
      </w:r>
      <w:r w:rsidR="00993A86" w:rsidRPr="00B90432">
        <w:rPr>
          <w:rFonts w:asciiTheme="minorHAnsi" w:hAnsiTheme="minorHAnsi"/>
        </w:rPr>
        <w:t xml:space="preserve">has not been invested </w:t>
      </w:r>
      <w:r w:rsidR="00322974" w:rsidRPr="00B90432">
        <w:rPr>
          <w:rFonts w:asciiTheme="minorHAnsi" w:hAnsiTheme="minorHAnsi"/>
        </w:rPr>
        <w:t>in creat</w:t>
      </w:r>
      <w:r w:rsidR="008A509E" w:rsidRPr="00B90432">
        <w:rPr>
          <w:rFonts w:asciiTheme="minorHAnsi" w:hAnsiTheme="minorHAnsi"/>
        </w:rPr>
        <w:t xml:space="preserve">ing community services to </w:t>
      </w:r>
      <w:r w:rsidR="00BB4E18" w:rsidRPr="00B90432">
        <w:rPr>
          <w:rFonts w:asciiTheme="minorHAnsi" w:hAnsiTheme="minorHAnsi"/>
        </w:rPr>
        <w:t xml:space="preserve">facilitate </w:t>
      </w:r>
      <w:r w:rsidR="00322974" w:rsidRPr="00B90432">
        <w:rPr>
          <w:rFonts w:asciiTheme="minorHAnsi" w:hAnsiTheme="minorHAnsi"/>
        </w:rPr>
        <w:t xml:space="preserve">persons with mental </w:t>
      </w:r>
      <w:r w:rsidR="00B03961" w:rsidRPr="00B90432">
        <w:rPr>
          <w:rFonts w:asciiTheme="minorHAnsi" w:hAnsiTheme="minorHAnsi"/>
        </w:rPr>
        <w:t>disabilit</w:t>
      </w:r>
      <w:r w:rsidR="00BB4E18" w:rsidRPr="00B90432">
        <w:rPr>
          <w:rFonts w:asciiTheme="minorHAnsi" w:hAnsiTheme="minorHAnsi"/>
        </w:rPr>
        <w:t>ies to return to the community</w:t>
      </w:r>
      <w:r w:rsidR="00322974" w:rsidRPr="00B90432">
        <w:rPr>
          <w:rFonts w:asciiTheme="minorHAnsi" w:hAnsiTheme="minorHAnsi"/>
        </w:rPr>
        <w:t xml:space="preserve">. </w:t>
      </w:r>
    </w:p>
    <w:p w14:paraId="4E688046" w14:textId="77777777" w:rsidR="006243A1" w:rsidRPr="00B90432" w:rsidRDefault="009B536D" w:rsidP="00B90432">
      <w:pPr>
        <w:pStyle w:val="Numberedparagraphs"/>
        <w:rPr>
          <w:rFonts w:asciiTheme="minorHAnsi" w:hAnsiTheme="minorHAnsi"/>
        </w:rPr>
      </w:pPr>
      <w:r w:rsidRPr="00B90432">
        <w:rPr>
          <w:rFonts w:asciiTheme="minorHAnsi" w:hAnsiTheme="minorHAnsi"/>
        </w:rPr>
        <w:t>On another note</w:t>
      </w:r>
      <w:r w:rsidR="0064672A" w:rsidRPr="00B90432">
        <w:rPr>
          <w:rFonts w:asciiTheme="minorHAnsi" w:hAnsiTheme="minorHAnsi"/>
        </w:rPr>
        <w:t>, the requesting parties of precautionary measure</w:t>
      </w:r>
      <w:r w:rsidR="006243A1" w:rsidRPr="00B90432">
        <w:rPr>
          <w:rFonts w:asciiTheme="minorHAnsi" w:hAnsiTheme="minorHAnsi"/>
        </w:rPr>
        <w:t xml:space="preserve"> MC 370-12 </w:t>
      </w:r>
      <w:r w:rsidR="0064672A" w:rsidRPr="00B90432">
        <w:rPr>
          <w:rFonts w:asciiTheme="minorHAnsi" w:hAnsiTheme="minorHAnsi"/>
        </w:rPr>
        <w:t>contend that despite the amount of resources invested</w:t>
      </w:r>
      <w:r w:rsidR="00C678A9" w:rsidRPr="00B90432">
        <w:rPr>
          <w:rFonts w:asciiTheme="minorHAnsi" w:hAnsiTheme="minorHAnsi"/>
        </w:rPr>
        <w:t xml:space="preserve">, because the patients at Federico Mora are still facing similar </w:t>
      </w:r>
      <w:r w:rsidR="00855F8E" w:rsidRPr="00B90432">
        <w:rPr>
          <w:rFonts w:asciiTheme="minorHAnsi" w:hAnsiTheme="minorHAnsi"/>
        </w:rPr>
        <w:t xml:space="preserve">rights </w:t>
      </w:r>
      <w:r w:rsidR="00BB4E18" w:rsidRPr="00B90432">
        <w:rPr>
          <w:rFonts w:asciiTheme="minorHAnsi" w:hAnsiTheme="minorHAnsi"/>
        </w:rPr>
        <w:t>violations</w:t>
      </w:r>
      <w:r w:rsidR="00CB3273" w:rsidRPr="00B90432">
        <w:rPr>
          <w:rFonts w:asciiTheme="minorHAnsi" w:hAnsiTheme="minorHAnsi"/>
        </w:rPr>
        <w:t xml:space="preserve"> to those reported in </w:t>
      </w:r>
      <w:r w:rsidR="006243A1" w:rsidRPr="00B90432">
        <w:rPr>
          <w:rFonts w:asciiTheme="minorHAnsi" w:hAnsiTheme="minorHAnsi"/>
        </w:rPr>
        <w:t>2012</w:t>
      </w:r>
      <w:r w:rsidR="00CB3273" w:rsidRPr="00B90432">
        <w:rPr>
          <w:rFonts w:asciiTheme="minorHAnsi" w:hAnsiTheme="minorHAnsi"/>
        </w:rPr>
        <w:t>,</w:t>
      </w:r>
      <w:r w:rsidR="006243A1" w:rsidRPr="00B90432">
        <w:rPr>
          <w:rFonts w:asciiTheme="minorHAnsi" w:hAnsiTheme="minorHAnsi"/>
          <w:vertAlign w:val="superscript"/>
        </w:rPr>
        <w:footnoteReference w:id="798"/>
      </w:r>
      <w:r w:rsidR="00CB3273" w:rsidRPr="00B90432">
        <w:rPr>
          <w:rFonts w:asciiTheme="minorHAnsi" w:hAnsiTheme="minorHAnsi"/>
        </w:rPr>
        <w:t xml:space="preserve"> </w:t>
      </w:r>
      <w:r w:rsidR="001541A6" w:rsidRPr="00B90432">
        <w:rPr>
          <w:rFonts w:asciiTheme="minorHAnsi" w:hAnsiTheme="minorHAnsi"/>
        </w:rPr>
        <w:t xml:space="preserve">their lives and integrity continue to be at risk. </w:t>
      </w:r>
      <w:r w:rsidR="00CB3273" w:rsidRPr="00B90432">
        <w:rPr>
          <w:rFonts w:asciiTheme="minorHAnsi" w:hAnsiTheme="minorHAnsi"/>
        </w:rPr>
        <w:t>On this score, the IACHR notes the concern expr</w:t>
      </w:r>
      <w:r w:rsidR="007D541B" w:rsidRPr="00B90432">
        <w:rPr>
          <w:rFonts w:asciiTheme="minorHAnsi" w:hAnsiTheme="minorHAnsi"/>
        </w:rPr>
        <w:t xml:space="preserve">essed by the </w:t>
      </w:r>
      <w:r w:rsidR="00855F8E" w:rsidRPr="00B90432">
        <w:rPr>
          <w:rFonts w:asciiTheme="minorHAnsi" w:hAnsiTheme="minorHAnsi"/>
        </w:rPr>
        <w:t xml:space="preserve">CRPD </w:t>
      </w:r>
      <w:r w:rsidR="007D541B" w:rsidRPr="00B90432">
        <w:rPr>
          <w:rFonts w:asciiTheme="minorHAnsi" w:hAnsiTheme="minorHAnsi"/>
        </w:rPr>
        <w:t xml:space="preserve">Committee </w:t>
      </w:r>
      <w:r w:rsidR="00CB3273" w:rsidRPr="00B90432">
        <w:rPr>
          <w:rFonts w:asciiTheme="minorHAnsi" w:hAnsiTheme="minorHAnsi"/>
        </w:rPr>
        <w:t xml:space="preserve">in its recent assessment of the Guatemalan State, in </w:t>
      </w:r>
      <w:r w:rsidR="00564293" w:rsidRPr="00B90432">
        <w:rPr>
          <w:rFonts w:asciiTheme="minorHAnsi" w:hAnsiTheme="minorHAnsi"/>
        </w:rPr>
        <w:t>considering that the measures adopted by the State to en</w:t>
      </w:r>
      <w:r w:rsidR="00836851" w:rsidRPr="00B90432">
        <w:rPr>
          <w:rFonts w:asciiTheme="minorHAnsi" w:hAnsiTheme="minorHAnsi"/>
        </w:rPr>
        <w:t xml:space="preserve">sure the rights of the patients, </w:t>
      </w:r>
      <w:r w:rsidR="00564293" w:rsidRPr="00B90432">
        <w:rPr>
          <w:rFonts w:asciiTheme="minorHAnsi" w:hAnsiTheme="minorHAnsi"/>
        </w:rPr>
        <w:t>inclu</w:t>
      </w:r>
      <w:r w:rsidR="007D541B" w:rsidRPr="00B90432">
        <w:rPr>
          <w:rFonts w:asciiTheme="minorHAnsi" w:hAnsiTheme="minorHAnsi"/>
        </w:rPr>
        <w:t>ding the se</w:t>
      </w:r>
      <w:r w:rsidR="00BB4E18" w:rsidRPr="00B90432">
        <w:rPr>
          <w:rFonts w:asciiTheme="minorHAnsi" w:hAnsiTheme="minorHAnsi"/>
        </w:rPr>
        <w:t xml:space="preserve">paration </w:t>
      </w:r>
      <w:r w:rsidR="007D541B" w:rsidRPr="00B90432">
        <w:rPr>
          <w:rFonts w:asciiTheme="minorHAnsi" w:hAnsiTheme="minorHAnsi"/>
        </w:rPr>
        <w:t>of patient</w:t>
      </w:r>
      <w:r w:rsidR="00564293" w:rsidRPr="00B90432">
        <w:rPr>
          <w:rFonts w:asciiTheme="minorHAnsi" w:hAnsiTheme="minorHAnsi"/>
        </w:rPr>
        <w:t xml:space="preserve">s under medical orders or </w:t>
      </w:r>
      <w:r w:rsidR="0075194A" w:rsidRPr="00B90432">
        <w:rPr>
          <w:rFonts w:asciiTheme="minorHAnsi" w:hAnsiTheme="minorHAnsi"/>
        </w:rPr>
        <w:t xml:space="preserve">those </w:t>
      </w:r>
      <w:r w:rsidR="00836851" w:rsidRPr="00B90432">
        <w:rPr>
          <w:rFonts w:asciiTheme="minorHAnsi" w:hAnsiTheme="minorHAnsi"/>
        </w:rPr>
        <w:t>charged with criminal offenses,</w:t>
      </w:r>
      <w:r w:rsidR="00564293" w:rsidRPr="00B90432">
        <w:rPr>
          <w:rFonts w:asciiTheme="minorHAnsi" w:hAnsiTheme="minorHAnsi"/>
        </w:rPr>
        <w:t xml:space="preserve"> “have not been sufficient to pro</w:t>
      </w:r>
      <w:r w:rsidR="00D721FA" w:rsidRPr="00B90432">
        <w:rPr>
          <w:rFonts w:asciiTheme="minorHAnsi" w:hAnsiTheme="minorHAnsi"/>
        </w:rPr>
        <w:t>tect the persons with disabilities</w:t>
      </w:r>
      <w:r w:rsidR="00564293" w:rsidRPr="00B90432">
        <w:rPr>
          <w:rFonts w:asciiTheme="minorHAnsi" w:hAnsiTheme="minorHAnsi"/>
        </w:rPr>
        <w:t>.</w:t>
      </w:r>
      <w:r w:rsidR="00BB4E18" w:rsidRPr="00B90432">
        <w:rPr>
          <w:rFonts w:asciiTheme="minorHAnsi" w:hAnsiTheme="minorHAnsi"/>
        </w:rPr>
        <w:t>”</w:t>
      </w:r>
      <w:r w:rsidR="006243A1" w:rsidRPr="00B90432">
        <w:rPr>
          <w:rFonts w:asciiTheme="minorHAnsi" w:hAnsiTheme="minorHAnsi"/>
          <w:vertAlign w:val="superscript"/>
        </w:rPr>
        <w:footnoteReference w:id="799"/>
      </w:r>
    </w:p>
    <w:p w14:paraId="1A0DE2BC" w14:textId="77777777" w:rsidR="006243A1" w:rsidRPr="00B90432" w:rsidRDefault="00F56A7F" w:rsidP="00B90432">
      <w:pPr>
        <w:pStyle w:val="Numberedparagraphs"/>
        <w:rPr>
          <w:rFonts w:asciiTheme="minorHAnsi" w:hAnsiTheme="minorHAnsi"/>
        </w:rPr>
      </w:pPr>
      <w:r w:rsidRPr="00B90432">
        <w:rPr>
          <w:rFonts w:asciiTheme="minorHAnsi" w:hAnsiTheme="minorHAnsi"/>
        </w:rPr>
        <w:t>In par</w:t>
      </w:r>
      <w:r w:rsidR="00B948C0" w:rsidRPr="00B90432">
        <w:rPr>
          <w:rFonts w:asciiTheme="minorHAnsi" w:hAnsiTheme="minorHAnsi"/>
        </w:rPr>
        <w:t xml:space="preserve">ticular, </w:t>
      </w:r>
      <w:r w:rsidRPr="00B90432">
        <w:rPr>
          <w:rFonts w:asciiTheme="minorHAnsi" w:hAnsiTheme="minorHAnsi"/>
        </w:rPr>
        <w:t>information has been made available to the IACHR</w:t>
      </w:r>
      <w:r w:rsidR="00B948C0" w:rsidRPr="00B90432">
        <w:rPr>
          <w:rFonts w:asciiTheme="minorHAnsi" w:hAnsiTheme="minorHAnsi"/>
        </w:rPr>
        <w:t xml:space="preserve"> indicating that the condition</w:t>
      </w:r>
      <w:r w:rsidR="00135EDD" w:rsidRPr="00B90432">
        <w:rPr>
          <w:rFonts w:asciiTheme="minorHAnsi" w:hAnsiTheme="minorHAnsi"/>
        </w:rPr>
        <w:t>s of the hospital continue to be</w:t>
      </w:r>
      <w:r w:rsidR="00B948C0" w:rsidRPr="00B90432">
        <w:rPr>
          <w:rFonts w:asciiTheme="minorHAnsi" w:hAnsiTheme="minorHAnsi"/>
        </w:rPr>
        <w:t xml:space="preserve"> unsanitary and unhealthy</w:t>
      </w:r>
      <w:r w:rsidR="00946F4A" w:rsidRPr="00B90432">
        <w:rPr>
          <w:rFonts w:asciiTheme="minorHAnsi" w:hAnsiTheme="minorHAnsi"/>
        </w:rPr>
        <w:t>, thus</w:t>
      </w:r>
      <w:r w:rsidR="002C5D0D" w:rsidRPr="00B90432">
        <w:rPr>
          <w:rFonts w:asciiTheme="minorHAnsi" w:hAnsiTheme="minorHAnsi"/>
        </w:rPr>
        <w:t xml:space="preserve"> fostering infectious diseases and posing an immedia</w:t>
      </w:r>
      <w:r w:rsidR="00767033" w:rsidRPr="00B90432">
        <w:rPr>
          <w:rFonts w:asciiTheme="minorHAnsi" w:hAnsiTheme="minorHAnsi"/>
        </w:rPr>
        <w:t>te threat to the health and lives</w:t>
      </w:r>
      <w:r w:rsidR="002C5D0D" w:rsidRPr="00B90432">
        <w:rPr>
          <w:rFonts w:asciiTheme="minorHAnsi" w:hAnsiTheme="minorHAnsi"/>
        </w:rPr>
        <w:t xml:space="preserve"> of the patients. With respect to the use of solitary confinement, the petitioners note that just as has been documented since 2012, the solitary confinement rooms continue to be used on a regular basis as punishment, when patients are aggressive, or when they are newly admitted and are in a “state of shock or resist their hospitalization.”</w:t>
      </w:r>
      <w:r w:rsidR="006243A1" w:rsidRPr="00B90432">
        <w:rPr>
          <w:rFonts w:asciiTheme="minorHAnsi" w:hAnsiTheme="minorHAnsi"/>
          <w:vertAlign w:val="superscript"/>
        </w:rPr>
        <w:footnoteReference w:id="800"/>
      </w:r>
      <w:r w:rsidR="002C5D0D" w:rsidRPr="00B90432">
        <w:rPr>
          <w:rFonts w:asciiTheme="minorHAnsi" w:hAnsiTheme="minorHAnsi"/>
        </w:rPr>
        <w:t xml:space="preserve"> In</w:t>
      </w:r>
      <w:r w:rsidR="00675537" w:rsidRPr="00B90432">
        <w:rPr>
          <w:rFonts w:asciiTheme="minorHAnsi" w:hAnsiTheme="minorHAnsi"/>
        </w:rPr>
        <w:t xml:space="preserve"> contrast</w:t>
      </w:r>
      <w:r w:rsidR="002C5D0D" w:rsidRPr="00B90432">
        <w:rPr>
          <w:rFonts w:asciiTheme="minorHAnsi" w:hAnsiTheme="minorHAnsi"/>
        </w:rPr>
        <w:t xml:space="preserve">, the State argues that the use of solitary confinement has been </w:t>
      </w:r>
      <w:r w:rsidR="002C5D0D" w:rsidRPr="00B90432">
        <w:rPr>
          <w:rFonts w:asciiTheme="minorHAnsi" w:hAnsiTheme="minorHAnsi"/>
        </w:rPr>
        <w:lastRenderedPageBreak/>
        <w:t>reduced, and that it is only used on an exceptional basis, under doctor’s order and based on the respective protocol.</w:t>
      </w:r>
      <w:r w:rsidR="006243A1" w:rsidRPr="00B90432">
        <w:rPr>
          <w:rFonts w:asciiTheme="minorHAnsi" w:hAnsiTheme="minorHAnsi"/>
          <w:vertAlign w:val="superscript"/>
        </w:rPr>
        <w:footnoteReference w:id="801"/>
      </w:r>
      <w:r w:rsidR="006243A1" w:rsidRPr="00B90432">
        <w:rPr>
          <w:rFonts w:asciiTheme="minorHAnsi" w:hAnsiTheme="minorHAnsi"/>
        </w:rPr>
        <w:t xml:space="preserve"> </w:t>
      </w:r>
    </w:p>
    <w:p w14:paraId="21C00FF4" w14:textId="77777777" w:rsidR="006243A1" w:rsidRPr="00B90432" w:rsidRDefault="00B113F8" w:rsidP="00B90432">
      <w:pPr>
        <w:pStyle w:val="Numberedparagraphs"/>
        <w:rPr>
          <w:rFonts w:asciiTheme="minorHAnsi" w:hAnsiTheme="minorHAnsi"/>
        </w:rPr>
      </w:pPr>
      <w:r w:rsidRPr="00B90432">
        <w:rPr>
          <w:rFonts w:asciiTheme="minorHAnsi" w:hAnsiTheme="minorHAnsi"/>
        </w:rPr>
        <w:t xml:space="preserve">Additionally, with regard to the alleged abuses committed against the patients, the petitioners claim that patients continue to be subjected to torture and mistreatment.  In particular, they </w:t>
      </w:r>
      <w:r w:rsidR="0064503B" w:rsidRPr="00B90432">
        <w:rPr>
          <w:rFonts w:asciiTheme="minorHAnsi" w:hAnsiTheme="minorHAnsi"/>
        </w:rPr>
        <w:t>contend that violence and ab</w:t>
      </w:r>
      <w:r w:rsidR="000643B6" w:rsidRPr="00B90432">
        <w:rPr>
          <w:rFonts w:asciiTheme="minorHAnsi" w:hAnsiTheme="minorHAnsi"/>
        </w:rPr>
        <w:t xml:space="preserve">use are </w:t>
      </w:r>
      <w:r w:rsidR="004B32BF" w:rsidRPr="00B90432">
        <w:rPr>
          <w:rFonts w:asciiTheme="minorHAnsi" w:hAnsiTheme="minorHAnsi"/>
        </w:rPr>
        <w:t xml:space="preserve">used </w:t>
      </w:r>
      <w:r w:rsidR="000643B6" w:rsidRPr="00B90432">
        <w:rPr>
          <w:rFonts w:asciiTheme="minorHAnsi" w:hAnsiTheme="minorHAnsi"/>
        </w:rPr>
        <w:t>by medical staff as a “tool of control,” and it has an aggravated effect on overmedicated patients, who are unable to protect themselves.</w:t>
      </w:r>
      <w:r w:rsidR="006243A1" w:rsidRPr="00B90432">
        <w:rPr>
          <w:rFonts w:asciiTheme="minorHAnsi" w:hAnsiTheme="minorHAnsi"/>
          <w:vertAlign w:val="superscript"/>
        </w:rPr>
        <w:footnoteReference w:id="802"/>
      </w:r>
      <w:r w:rsidR="00966431" w:rsidRPr="00B90432">
        <w:rPr>
          <w:rFonts w:asciiTheme="minorHAnsi" w:hAnsiTheme="minorHAnsi"/>
        </w:rPr>
        <w:t xml:space="preserve"> Moreover, 5 years after the aforementioned precautionary measure was granted, and despite the different abuses com</w:t>
      </w:r>
      <w:r w:rsidR="00CB13AC" w:rsidRPr="00B90432">
        <w:rPr>
          <w:rFonts w:asciiTheme="minorHAnsi" w:hAnsiTheme="minorHAnsi"/>
        </w:rPr>
        <w:t xml:space="preserve">mitted against the patients, which were brought to the attention of the Commission, the State has </w:t>
      </w:r>
      <w:r w:rsidR="00BC5325" w:rsidRPr="00B90432">
        <w:rPr>
          <w:rFonts w:asciiTheme="minorHAnsi" w:hAnsiTheme="minorHAnsi"/>
        </w:rPr>
        <w:t xml:space="preserve">only </w:t>
      </w:r>
      <w:r w:rsidR="00CB13AC" w:rsidRPr="00B90432">
        <w:rPr>
          <w:rFonts w:asciiTheme="minorHAnsi" w:hAnsiTheme="minorHAnsi"/>
        </w:rPr>
        <w:t>reported about the drafti</w:t>
      </w:r>
      <w:r w:rsidR="006107CA" w:rsidRPr="00B90432">
        <w:rPr>
          <w:rFonts w:asciiTheme="minorHAnsi" w:hAnsiTheme="minorHAnsi"/>
        </w:rPr>
        <w:t>ng of internal rules for the application of administra</w:t>
      </w:r>
      <w:r w:rsidR="00432388" w:rsidRPr="00B90432">
        <w:rPr>
          <w:rFonts w:asciiTheme="minorHAnsi" w:hAnsiTheme="minorHAnsi"/>
        </w:rPr>
        <w:t>tive and economic punishments to</w:t>
      </w:r>
      <w:r w:rsidR="006107CA" w:rsidRPr="00B90432">
        <w:rPr>
          <w:rFonts w:asciiTheme="minorHAnsi" w:hAnsiTheme="minorHAnsi"/>
        </w:rPr>
        <w:t xml:space="preserve"> staff that </w:t>
      </w:r>
      <w:r w:rsidR="004C4FCE" w:rsidRPr="00B90432">
        <w:rPr>
          <w:rFonts w:asciiTheme="minorHAnsi" w:hAnsiTheme="minorHAnsi"/>
        </w:rPr>
        <w:t xml:space="preserve">departs </w:t>
      </w:r>
      <w:r w:rsidR="00B2356C" w:rsidRPr="00B90432">
        <w:rPr>
          <w:rFonts w:asciiTheme="minorHAnsi" w:hAnsiTheme="minorHAnsi"/>
        </w:rPr>
        <w:t xml:space="preserve">from </w:t>
      </w:r>
      <w:r w:rsidR="004C4FCE" w:rsidRPr="00B90432">
        <w:rPr>
          <w:rFonts w:asciiTheme="minorHAnsi" w:hAnsiTheme="minorHAnsi"/>
        </w:rPr>
        <w:t xml:space="preserve">the </w:t>
      </w:r>
      <w:r w:rsidR="006107CA" w:rsidRPr="00B90432">
        <w:rPr>
          <w:rFonts w:asciiTheme="minorHAnsi" w:hAnsiTheme="minorHAnsi"/>
        </w:rPr>
        <w:t>care protocols.</w:t>
      </w:r>
      <w:r w:rsidR="006243A1" w:rsidRPr="00B90432">
        <w:rPr>
          <w:rFonts w:asciiTheme="minorHAnsi" w:hAnsiTheme="minorHAnsi"/>
          <w:vertAlign w:val="superscript"/>
        </w:rPr>
        <w:footnoteReference w:id="803"/>
      </w:r>
      <w:r w:rsidR="006107CA" w:rsidRPr="00B90432">
        <w:rPr>
          <w:rFonts w:asciiTheme="minorHAnsi" w:hAnsiTheme="minorHAnsi"/>
        </w:rPr>
        <w:t xml:space="preserve">  Furthermore, the</w:t>
      </w:r>
      <w:r w:rsidR="000224EC" w:rsidRPr="00B90432">
        <w:rPr>
          <w:rFonts w:asciiTheme="minorHAnsi" w:hAnsiTheme="minorHAnsi"/>
        </w:rPr>
        <w:t xml:space="preserve"> IACHR has been informed that </w:t>
      </w:r>
      <w:r w:rsidR="006107CA" w:rsidRPr="00B90432">
        <w:rPr>
          <w:rFonts w:asciiTheme="minorHAnsi" w:hAnsiTheme="minorHAnsi"/>
        </w:rPr>
        <w:t xml:space="preserve">criminal </w:t>
      </w:r>
      <w:r w:rsidR="000224EC" w:rsidRPr="00B90432">
        <w:rPr>
          <w:rFonts w:asciiTheme="minorHAnsi" w:hAnsiTheme="minorHAnsi"/>
        </w:rPr>
        <w:t xml:space="preserve">charges were </w:t>
      </w:r>
      <w:r w:rsidR="006107CA" w:rsidRPr="00B90432">
        <w:rPr>
          <w:rFonts w:asciiTheme="minorHAnsi" w:hAnsiTheme="minorHAnsi"/>
        </w:rPr>
        <w:t xml:space="preserve">brought on September 22, 2016, against a male nurse who physically assaulted a patient. </w:t>
      </w:r>
      <w:r w:rsidR="000224EC" w:rsidRPr="00B90432">
        <w:rPr>
          <w:rFonts w:asciiTheme="minorHAnsi" w:hAnsiTheme="minorHAnsi"/>
        </w:rPr>
        <w:t xml:space="preserve">On this score, the IACHR notes that of the 12 cases of mistreatment of patients by hospital staff </w:t>
      </w:r>
      <w:r w:rsidR="00F4795D" w:rsidRPr="00B90432">
        <w:rPr>
          <w:rFonts w:asciiTheme="minorHAnsi" w:hAnsiTheme="minorHAnsi"/>
        </w:rPr>
        <w:t xml:space="preserve">reported by the State in early 2017, which include </w:t>
      </w:r>
      <w:r w:rsidR="00B57B18" w:rsidRPr="00B90432">
        <w:rPr>
          <w:rFonts w:asciiTheme="minorHAnsi" w:hAnsiTheme="minorHAnsi"/>
        </w:rPr>
        <w:t>physical abuse and negligent medical care, criminal proceedings were instituted in only one of them</w:t>
      </w:r>
      <w:r w:rsidR="006243A1" w:rsidRPr="00B90432">
        <w:rPr>
          <w:rFonts w:asciiTheme="minorHAnsi" w:hAnsiTheme="minorHAnsi"/>
        </w:rPr>
        <w:t>.</w:t>
      </w:r>
      <w:r w:rsidR="000D1586" w:rsidRPr="00B90432">
        <w:rPr>
          <w:rFonts w:asciiTheme="minorHAnsi" w:hAnsiTheme="minorHAnsi"/>
        </w:rPr>
        <w:t xml:space="preserve"> The remaining cases were “brought to the attention of the disciplinary control agencies,”</w:t>
      </w:r>
      <w:r w:rsidR="00A429B0" w:rsidRPr="00B90432">
        <w:rPr>
          <w:rFonts w:asciiTheme="minorHAnsi" w:hAnsiTheme="minorHAnsi"/>
        </w:rPr>
        <w:t xml:space="preserve"> and in one of them, </w:t>
      </w:r>
      <w:r w:rsidR="00E65EB5" w:rsidRPr="00B90432">
        <w:rPr>
          <w:rFonts w:asciiTheme="minorHAnsi" w:hAnsiTheme="minorHAnsi"/>
        </w:rPr>
        <w:t>a</w:t>
      </w:r>
      <w:r w:rsidR="00A429B0" w:rsidRPr="00B90432">
        <w:rPr>
          <w:rFonts w:asciiTheme="minorHAnsi" w:hAnsiTheme="minorHAnsi"/>
        </w:rPr>
        <w:t xml:space="preserve"> doctor who did not properly follow up on the traumatism stemming from the fall of a patient, was relieved of his duty.</w:t>
      </w:r>
      <w:r w:rsidR="006243A1" w:rsidRPr="00B90432">
        <w:rPr>
          <w:rFonts w:asciiTheme="minorHAnsi" w:hAnsiTheme="minorHAnsi"/>
          <w:vertAlign w:val="superscript"/>
        </w:rPr>
        <w:footnoteReference w:id="804"/>
      </w:r>
      <w:r w:rsidR="006243A1" w:rsidRPr="00B90432">
        <w:rPr>
          <w:rFonts w:asciiTheme="minorHAnsi" w:hAnsiTheme="minorHAnsi"/>
        </w:rPr>
        <w:t xml:space="preserve"> </w:t>
      </w:r>
    </w:p>
    <w:p w14:paraId="6030CC52" w14:textId="77777777" w:rsidR="006243A1" w:rsidRPr="00B90432" w:rsidRDefault="00BC72E4" w:rsidP="00B90432">
      <w:pPr>
        <w:pStyle w:val="Numberedparagraphs"/>
        <w:rPr>
          <w:rFonts w:asciiTheme="minorHAnsi" w:hAnsiTheme="minorHAnsi"/>
        </w:rPr>
      </w:pPr>
      <w:r w:rsidRPr="00B90432">
        <w:rPr>
          <w:rFonts w:asciiTheme="minorHAnsi" w:hAnsiTheme="minorHAnsi"/>
        </w:rPr>
        <w:t>Inasmuch as States play the role of guarantor of persons under their custody</w:t>
      </w:r>
      <w:r w:rsidR="006243A1" w:rsidRPr="00B90432">
        <w:rPr>
          <w:rFonts w:asciiTheme="minorHAnsi" w:hAnsiTheme="minorHAnsi"/>
          <w:vertAlign w:val="superscript"/>
        </w:rPr>
        <w:footnoteReference w:id="805"/>
      </w:r>
      <w:r w:rsidR="006243A1" w:rsidRPr="00B90432">
        <w:rPr>
          <w:rFonts w:asciiTheme="minorHAnsi" w:hAnsiTheme="minorHAnsi"/>
        </w:rPr>
        <w:t xml:space="preserve"> </w:t>
      </w:r>
      <w:r w:rsidR="00D721FA" w:rsidRPr="00B90432">
        <w:rPr>
          <w:rFonts w:asciiTheme="minorHAnsi" w:hAnsiTheme="minorHAnsi"/>
        </w:rPr>
        <w:t>and that persons with disabilities</w:t>
      </w:r>
      <w:r w:rsidR="00F579DC" w:rsidRPr="00B90432">
        <w:rPr>
          <w:rFonts w:asciiTheme="minorHAnsi" w:hAnsiTheme="minorHAnsi"/>
        </w:rPr>
        <w:t xml:space="preserve"> at psychiatric </w:t>
      </w:r>
      <w:r w:rsidR="00B03961" w:rsidRPr="00B90432">
        <w:rPr>
          <w:rFonts w:asciiTheme="minorHAnsi" w:hAnsiTheme="minorHAnsi"/>
        </w:rPr>
        <w:t>institutions</w:t>
      </w:r>
      <w:r w:rsidR="00F579DC" w:rsidRPr="00B90432">
        <w:rPr>
          <w:rFonts w:asciiTheme="minorHAnsi" w:hAnsiTheme="minorHAnsi"/>
        </w:rPr>
        <w:t xml:space="preserve"> are in a special at-risk situation of being </w:t>
      </w:r>
      <w:r w:rsidR="00185E12" w:rsidRPr="00B90432">
        <w:rPr>
          <w:rFonts w:asciiTheme="minorHAnsi" w:hAnsiTheme="minorHAnsi"/>
        </w:rPr>
        <w:t>subjected to torture and mistreatment,</w:t>
      </w:r>
      <w:r w:rsidR="006243A1" w:rsidRPr="00B90432">
        <w:rPr>
          <w:rFonts w:asciiTheme="minorHAnsi" w:hAnsiTheme="minorHAnsi"/>
          <w:vertAlign w:val="superscript"/>
        </w:rPr>
        <w:footnoteReference w:id="806"/>
      </w:r>
      <w:r w:rsidR="00611970" w:rsidRPr="00B90432">
        <w:rPr>
          <w:rFonts w:asciiTheme="minorHAnsi" w:hAnsiTheme="minorHAnsi"/>
        </w:rPr>
        <w:t xml:space="preserve"> it is the special duty of the Guatemalan State</w:t>
      </w:r>
      <w:r w:rsidR="001D189F" w:rsidRPr="00B90432">
        <w:rPr>
          <w:rFonts w:asciiTheme="minorHAnsi" w:hAnsiTheme="minorHAnsi"/>
        </w:rPr>
        <w:t xml:space="preserve"> to investigate ex officio, and when appropriate, punish those responsible for any violation of the personal integrity of any institutionalized persons.</w:t>
      </w:r>
      <w:r w:rsidR="006243A1" w:rsidRPr="00B90432">
        <w:rPr>
          <w:rFonts w:asciiTheme="minorHAnsi" w:hAnsiTheme="minorHAnsi"/>
          <w:vertAlign w:val="superscript"/>
        </w:rPr>
        <w:footnoteReference w:id="807"/>
      </w:r>
      <w:r w:rsidR="006243A1" w:rsidRPr="00B90432">
        <w:rPr>
          <w:rFonts w:asciiTheme="minorHAnsi" w:hAnsiTheme="minorHAnsi"/>
        </w:rPr>
        <w:t xml:space="preserve"> </w:t>
      </w:r>
      <w:r w:rsidR="00203C41" w:rsidRPr="00B90432">
        <w:rPr>
          <w:rFonts w:asciiTheme="minorHAnsi" w:hAnsiTheme="minorHAnsi"/>
        </w:rPr>
        <w:t xml:space="preserve">Moreover, </w:t>
      </w:r>
      <w:r w:rsidR="00EB2FDF" w:rsidRPr="00B90432">
        <w:rPr>
          <w:rFonts w:asciiTheme="minorHAnsi" w:hAnsiTheme="minorHAnsi"/>
        </w:rPr>
        <w:t>under the assumption of</w:t>
      </w:r>
      <w:r w:rsidR="00730032" w:rsidRPr="00B90432">
        <w:rPr>
          <w:rFonts w:asciiTheme="minorHAnsi" w:hAnsiTheme="minorHAnsi"/>
        </w:rPr>
        <w:t xml:space="preserve"> the existence of</w:t>
      </w:r>
      <w:r w:rsidR="003976F1" w:rsidRPr="00B90432">
        <w:rPr>
          <w:rFonts w:asciiTheme="minorHAnsi" w:hAnsiTheme="minorHAnsi"/>
        </w:rPr>
        <w:t xml:space="preserve"> </w:t>
      </w:r>
      <w:r w:rsidR="00E23812" w:rsidRPr="00B90432">
        <w:rPr>
          <w:rFonts w:asciiTheme="minorHAnsi" w:hAnsiTheme="minorHAnsi"/>
        </w:rPr>
        <w:t xml:space="preserve">an </w:t>
      </w:r>
      <w:r w:rsidR="00321CFE" w:rsidRPr="00B90432">
        <w:rPr>
          <w:rFonts w:asciiTheme="minorHAnsi" w:hAnsiTheme="minorHAnsi"/>
        </w:rPr>
        <w:t xml:space="preserve">intrinsic </w:t>
      </w:r>
      <w:r w:rsidR="00E23812" w:rsidRPr="00B90432">
        <w:rPr>
          <w:rFonts w:asciiTheme="minorHAnsi" w:hAnsiTheme="minorHAnsi"/>
        </w:rPr>
        <w:t xml:space="preserve">imbalance of power </w:t>
      </w:r>
      <w:r w:rsidR="00B663EA" w:rsidRPr="00B90432">
        <w:rPr>
          <w:rFonts w:asciiTheme="minorHAnsi" w:hAnsiTheme="minorHAnsi"/>
        </w:rPr>
        <w:lastRenderedPageBreak/>
        <w:t>between these persons and the respective hospital authorities, the State is required t</w:t>
      </w:r>
      <w:r w:rsidR="0080454E" w:rsidRPr="00B90432">
        <w:rPr>
          <w:rFonts w:asciiTheme="minorHAnsi" w:hAnsiTheme="minorHAnsi"/>
        </w:rPr>
        <w:t xml:space="preserve">o oversee and make sure that </w:t>
      </w:r>
      <w:r w:rsidR="00D721FA" w:rsidRPr="00B90432">
        <w:rPr>
          <w:rFonts w:asciiTheme="minorHAnsi" w:hAnsiTheme="minorHAnsi"/>
        </w:rPr>
        <w:t>persons with disabilities</w:t>
      </w:r>
      <w:r w:rsidR="0080454E" w:rsidRPr="00B90432">
        <w:rPr>
          <w:rFonts w:asciiTheme="minorHAnsi" w:hAnsiTheme="minorHAnsi"/>
        </w:rPr>
        <w:t xml:space="preserve"> at mental health facilities</w:t>
      </w:r>
      <w:r w:rsidR="00B663EA" w:rsidRPr="00B90432">
        <w:rPr>
          <w:rFonts w:asciiTheme="minorHAnsi" w:hAnsiTheme="minorHAnsi"/>
        </w:rPr>
        <w:t xml:space="preserve"> receive “</w:t>
      </w:r>
      <w:r w:rsidR="006B797E" w:rsidRPr="00B90432">
        <w:rPr>
          <w:rFonts w:asciiTheme="minorHAnsi" w:hAnsiTheme="minorHAnsi"/>
        </w:rPr>
        <w:t>a worthy, human and professional treatment,” and they be protected against exploitation and abuse.</w:t>
      </w:r>
      <w:r w:rsidR="006243A1" w:rsidRPr="00B90432">
        <w:rPr>
          <w:rFonts w:asciiTheme="minorHAnsi" w:hAnsiTheme="minorHAnsi"/>
          <w:vertAlign w:val="superscript"/>
        </w:rPr>
        <w:footnoteReference w:id="808"/>
      </w:r>
      <w:r w:rsidR="00B008EF" w:rsidRPr="00B90432">
        <w:rPr>
          <w:rFonts w:asciiTheme="minorHAnsi" w:hAnsiTheme="minorHAnsi"/>
        </w:rPr>
        <w:t xml:space="preserve"> I</w:t>
      </w:r>
      <w:r w:rsidR="0064503B" w:rsidRPr="00B90432">
        <w:rPr>
          <w:rFonts w:asciiTheme="minorHAnsi" w:hAnsiTheme="minorHAnsi"/>
        </w:rPr>
        <w:t xml:space="preserve">n particular, reflecting the promptings </w:t>
      </w:r>
      <w:r w:rsidR="00B008EF" w:rsidRPr="00B90432">
        <w:rPr>
          <w:rFonts w:asciiTheme="minorHAnsi" w:hAnsiTheme="minorHAnsi"/>
        </w:rPr>
        <w:t xml:space="preserve">of the </w:t>
      </w:r>
      <w:r w:rsidR="0064503B" w:rsidRPr="00B90432">
        <w:rPr>
          <w:rFonts w:asciiTheme="minorHAnsi" w:hAnsiTheme="minorHAnsi"/>
        </w:rPr>
        <w:t xml:space="preserve">CRPD </w:t>
      </w:r>
      <w:r w:rsidR="00B008EF" w:rsidRPr="00B90432">
        <w:rPr>
          <w:rFonts w:asciiTheme="minorHAnsi" w:hAnsiTheme="minorHAnsi"/>
        </w:rPr>
        <w:t>Committee in September 2016, the IACHR reiterates</w:t>
      </w:r>
      <w:r w:rsidR="0059019C" w:rsidRPr="00B90432">
        <w:rPr>
          <w:rFonts w:asciiTheme="minorHAnsi" w:hAnsiTheme="minorHAnsi"/>
        </w:rPr>
        <w:t xml:space="preserve"> the obligation of the State of Guatemala to establish an independent mechanism to oversee the </w:t>
      </w:r>
      <w:r w:rsidR="00BB4E18" w:rsidRPr="00B90432">
        <w:rPr>
          <w:rFonts w:asciiTheme="minorHAnsi" w:hAnsiTheme="minorHAnsi"/>
        </w:rPr>
        <w:t>confinement</w:t>
      </w:r>
      <w:r w:rsidR="0059019C" w:rsidRPr="00B90432">
        <w:rPr>
          <w:rFonts w:asciiTheme="minorHAnsi" w:hAnsiTheme="minorHAnsi"/>
        </w:rPr>
        <w:t xml:space="preserve"> of patients at Federico Mora in order to prevent and protect against acts of torture and mistreatment.</w:t>
      </w:r>
      <w:r w:rsidR="006243A1" w:rsidRPr="00B90432">
        <w:rPr>
          <w:rFonts w:asciiTheme="minorHAnsi" w:hAnsiTheme="minorHAnsi"/>
          <w:vertAlign w:val="superscript"/>
        </w:rPr>
        <w:footnoteReference w:id="809"/>
      </w:r>
    </w:p>
    <w:p w14:paraId="4B1B46F9" w14:textId="27A522CF" w:rsidR="006243A1" w:rsidRPr="00B90432" w:rsidRDefault="009F14B0" w:rsidP="004951F6">
      <w:pPr>
        <w:pStyle w:val="Heading3"/>
        <w:jc w:val="left"/>
      </w:pPr>
      <w:bookmarkStart w:id="100" w:name="_Toc509827702"/>
      <w:r w:rsidRPr="00B90432">
        <w:t xml:space="preserve">Indefinite </w:t>
      </w:r>
      <w:r w:rsidR="004951F6" w:rsidRPr="00B90432">
        <w:t xml:space="preserve">Institutionalization </w:t>
      </w:r>
      <w:r w:rsidRPr="00B90432">
        <w:t xml:space="preserve">because of </w:t>
      </w:r>
      <w:r w:rsidR="00886DA5" w:rsidRPr="00B90432">
        <w:t xml:space="preserve">a </w:t>
      </w:r>
      <w:r w:rsidR="004951F6" w:rsidRPr="00B90432">
        <w:t xml:space="preserve">Lack </w:t>
      </w:r>
      <w:r w:rsidRPr="00B90432">
        <w:t xml:space="preserve">of </w:t>
      </w:r>
      <w:r w:rsidR="004951F6" w:rsidRPr="00B90432">
        <w:t>Community Services</w:t>
      </w:r>
      <w:bookmarkEnd w:id="100"/>
      <w:r w:rsidR="004951F6" w:rsidRPr="00B90432">
        <w:t xml:space="preserve"> </w:t>
      </w:r>
    </w:p>
    <w:p w14:paraId="707E887C" w14:textId="77777777" w:rsidR="006243A1" w:rsidRPr="00B90432" w:rsidRDefault="00394218" w:rsidP="00B90432">
      <w:pPr>
        <w:pStyle w:val="Numberedparagraphs"/>
        <w:rPr>
          <w:rFonts w:asciiTheme="minorHAnsi" w:hAnsiTheme="minorHAnsi"/>
        </w:rPr>
      </w:pPr>
      <w:r w:rsidRPr="00B90432">
        <w:rPr>
          <w:rFonts w:asciiTheme="minorHAnsi" w:hAnsiTheme="minorHAnsi"/>
        </w:rPr>
        <w:t>The righ</w:t>
      </w:r>
      <w:r w:rsidR="003B49D5" w:rsidRPr="00B90432">
        <w:rPr>
          <w:rFonts w:asciiTheme="minorHAnsi" w:hAnsiTheme="minorHAnsi"/>
        </w:rPr>
        <w:t>t of persons with disabilit</w:t>
      </w:r>
      <w:r w:rsidR="00D721FA" w:rsidRPr="00B90432">
        <w:rPr>
          <w:rFonts w:asciiTheme="minorHAnsi" w:hAnsiTheme="minorHAnsi"/>
        </w:rPr>
        <w:t>ies</w:t>
      </w:r>
      <w:r w:rsidR="003B49D5" w:rsidRPr="00B90432">
        <w:rPr>
          <w:rFonts w:asciiTheme="minorHAnsi" w:hAnsiTheme="minorHAnsi"/>
        </w:rPr>
        <w:t xml:space="preserve"> to independent living</w:t>
      </w:r>
      <w:r w:rsidR="00862E84" w:rsidRPr="00B90432">
        <w:rPr>
          <w:rFonts w:asciiTheme="minorHAnsi" w:hAnsiTheme="minorHAnsi"/>
        </w:rPr>
        <w:t xml:space="preserve"> </w:t>
      </w:r>
      <w:r w:rsidRPr="00B90432">
        <w:rPr>
          <w:rFonts w:asciiTheme="minorHAnsi" w:hAnsiTheme="minorHAnsi"/>
        </w:rPr>
        <w:t xml:space="preserve">and </w:t>
      </w:r>
      <w:r w:rsidR="00862E84" w:rsidRPr="00B90432">
        <w:rPr>
          <w:rFonts w:asciiTheme="minorHAnsi" w:hAnsiTheme="minorHAnsi"/>
        </w:rPr>
        <w:t xml:space="preserve">to </w:t>
      </w:r>
      <w:r w:rsidRPr="00B90432">
        <w:rPr>
          <w:rFonts w:asciiTheme="minorHAnsi" w:hAnsiTheme="minorHAnsi"/>
        </w:rPr>
        <w:t>be included in the community, according to the CRPD Committee</w:t>
      </w:r>
      <w:r w:rsidR="00403A59" w:rsidRPr="00B90432">
        <w:rPr>
          <w:rFonts w:asciiTheme="minorHAnsi" w:hAnsiTheme="minorHAnsi"/>
        </w:rPr>
        <w:t>,</w:t>
      </w:r>
      <w:r w:rsidR="00030557" w:rsidRPr="00B90432">
        <w:rPr>
          <w:rFonts w:asciiTheme="minorHAnsi" w:hAnsiTheme="minorHAnsi"/>
        </w:rPr>
        <w:t xml:space="preserve"> means</w:t>
      </w:r>
      <w:r w:rsidR="00403A59" w:rsidRPr="00B90432">
        <w:rPr>
          <w:rFonts w:asciiTheme="minorHAnsi" w:hAnsiTheme="minorHAnsi"/>
        </w:rPr>
        <w:t xml:space="preserve"> on the one hand</w:t>
      </w:r>
      <w:r w:rsidRPr="00B90432">
        <w:rPr>
          <w:rFonts w:asciiTheme="minorHAnsi" w:hAnsiTheme="minorHAnsi"/>
        </w:rPr>
        <w:t xml:space="preserve"> that said persons </w:t>
      </w:r>
      <w:r w:rsidR="00256B99" w:rsidRPr="00B90432">
        <w:rPr>
          <w:rFonts w:asciiTheme="minorHAnsi" w:hAnsiTheme="minorHAnsi"/>
        </w:rPr>
        <w:t xml:space="preserve">are provided </w:t>
      </w:r>
      <w:r w:rsidRPr="00B90432">
        <w:rPr>
          <w:rFonts w:asciiTheme="minorHAnsi" w:hAnsiTheme="minorHAnsi"/>
        </w:rPr>
        <w:t xml:space="preserve">all </w:t>
      </w:r>
      <w:r w:rsidR="0018212D" w:rsidRPr="00B90432">
        <w:rPr>
          <w:rFonts w:asciiTheme="minorHAnsi" w:hAnsiTheme="minorHAnsi"/>
        </w:rPr>
        <w:t xml:space="preserve">the </w:t>
      </w:r>
      <w:r w:rsidR="00256B99" w:rsidRPr="00B90432">
        <w:rPr>
          <w:rFonts w:asciiTheme="minorHAnsi" w:hAnsiTheme="minorHAnsi"/>
        </w:rPr>
        <w:t xml:space="preserve">necessary </w:t>
      </w:r>
      <w:r w:rsidRPr="00B90432">
        <w:rPr>
          <w:rFonts w:asciiTheme="minorHAnsi" w:hAnsiTheme="minorHAnsi"/>
        </w:rPr>
        <w:t xml:space="preserve">means </w:t>
      </w:r>
      <w:r w:rsidR="00256B99" w:rsidRPr="00B90432">
        <w:rPr>
          <w:rFonts w:asciiTheme="minorHAnsi" w:hAnsiTheme="minorHAnsi"/>
        </w:rPr>
        <w:t>enabling</w:t>
      </w:r>
      <w:r w:rsidRPr="00B90432">
        <w:rPr>
          <w:rFonts w:asciiTheme="minorHAnsi" w:hAnsiTheme="minorHAnsi"/>
        </w:rPr>
        <w:t xml:space="preserve"> them to </w:t>
      </w:r>
      <w:r w:rsidR="00CE4E19" w:rsidRPr="00B90432">
        <w:rPr>
          <w:rFonts w:asciiTheme="minorHAnsi" w:hAnsiTheme="minorHAnsi"/>
        </w:rPr>
        <w:t>exercise choice and control over their lives and make all decision concerning their lives</w:t>
      </w:r>
      <w:r w:rsidRPr="00B90432">
        <w:rPr>
          <w:rFonts w:asciiTheme="minorHAnsi" w:hAnsiTheme="minorHAnsi"/>
        </w:rPr>
        <w:t>.</w:t>
      </w:r>
      <w:r w:rsidR="006243A1" w:rsidRPr="00B90432">
        <w:rPr>
          <w:rFonts w:asciiTheme="minorHAnsi" w:hAnsiTheme="minorHAnsi"/>
          <w:vertAlign w:val="superscript"/>
        </w:rPr>
        <w:footnoteReference w:id="810"/>
      </w:r>
      <w:r w:rsidR="00286D8A" w:rsidRPr="00B90432">
        <w:rPr>
          <w:rFonts w:asciiTheme="minorHAnsi" w:hAnsiTheme="minorHAnsi"/>
        </w:rPr>
        <w:t xml:space="preserve"> On the o</w:t>
      </w:r>
      <w:r w:rsidR="000B648A" w:rsidRPr="00B90432">
        <w:rPr>
          <w:rFonts w:asciiTheme="minorHAnsi" w:hAnsiTheme="minorHAnsi"/>
        </w:rPr>
        <w:t>ther</w:t>
      </w:r>
      <w:r w:rsidR="00BB6684" w:rsidRPr="00B90432">
        <w:rPr>
          <w:rFonts w:asciiTheme="minorHAnsi" w:hAnsiTheme="minorHAnsi"/>
        </w:rPr>
        <w:t xml:space="preserve"> hand, this right is related</w:t>
      </w:r>
      <w:r w:rsidR="00286D8A" w:rsidRPr="00B90432">
        <w:rPr>
          <w:rFonts w:asciiTheme="minorHAnsi" w:hAnsiTheme="minorHAnsi"/>
        </w:rPr>
        <w:t xml:space="preserve"> to full </w:t>
      </w:r>
      <w:r w:rsidR="00683319" w:rsidRPr="00B90432">
        <w:rPr>
          <w:rFonts w:asciiTheme="minorHAnsi" w:hAnsiTheme="minorHAnsi"/>
        </w:rPr>
        <w:t xml:space="preserve">and effective </w:t>
      </w:r>
      <w:r w:rsidR="00286D8A" w:rsidRPr="00B90432">
        <w:rPr>
          <w:rFonts w:asciiTheme="minorHAnsi" w:hAnsiTheme="minorHAnsi"/>
        </w:rPr>
        <w:t>participation and inclusion of persons with disabilit</w:t>
      </w:r>
      <w:r w:rsidR="00D721FA" w:rsidRPr="00B90432">
        <w:rPr>
          <w:rFonts w:asciiTheme="minorHAnsi" w:hAnsiTheme="minorHAnsi"/>
        </w:rPr>
        <w:t>ies</w:t>
      </w:r>
      <w:r w:rsidR="00286D8A" w:rsidRPr="00B90432">
        <w:rPr>
          <w:rFonts w:asciiTheme="minorHAnsi" w:hAnsiTheme="minorHAnsi"/>
        </w:rPr>
        <w:t xml:space="preserve"> in society, through the development of </w:t>
      </w:r>
      <w:r w:rsidR="006A51F8" w:rsidRPr="00B90432">
        <w:rPr>
          <w:rFonts w:asciiTheme="minorHAnsi" w:hAnsiTheme="minorHAnsi"/>
        </w:rPr>
        <w:t>inclusive</w:t>
      </w:r>
      <w:r w:rsidR="00E42727" w:rsidRPr="00B90432">
        <w:rPr>
          <w:rFonts w:asciiTheme="minorHAnsi" w:hAnsiTheme="minorHAnsi"/>
        </w:rPr>
        <w:t xml:space="preserve"> environments</w:t>
      </w:r>
      <w:r w:rsidR="006A51F8" w:rsidRPr="00B90432">
        <w:rPr>
          <w:rFonts w:asciiTheme="minorHAnsi" w:hAnsiTheme="minorHAnsi"/>
        </w:rPr>
        <w:t>.</w:t>
      </w:r>
      <w:r w:rsidR="006243A1" w:rsidRPr="00B90432">
        <w:rPr>
          <w:rFonts w:asciiTheme="minorHAnsi" w:hAnsiTheme="minorHAnsi"/>
          <w:vertAlign w:val="superscript"/>
        </w:rPr>
        <w:footnoteReference w:id="811"/>
      </w:r>
      <w:r w:rsidR="006243A1" w:rsidRPr="00B90432">
        <w:rPr>
          <w:rFonts w:asciiTheme="minorHAnsi" w:hAnsiTheme="minorHAnsi"/>
        </w:rPr>
        <w:t xml:space="preserve"> </w:t>
      </w:r>
      <w:r w:rsidR="00403A59" w:rsidRPr="00B90432">
        <w:rPr>
          <w:rFonts w:asciiTheme="minorHAnsi" w:hAnsiTheme="minorHAnsi"/>
        </w:rPr>
        <w:t xml:space="preserve">In and of itself, the protection of this right means that the lives </w:t>
      </w:r>
      <w:r w:rsidR="00D721FA" w:rsidRPr="00B90432">
        <w:rPr>
          <w:rFonts w:asciiTheme="minorHAnsi" w:hAnsiTheme="minorHAnsi"/>
        </w:rPr>
        <w:t>of persons with disabilities</w:t>
      </w:r>
      <w:r w:rsidR="006E2A9F" w:rsidRPr="00B90432">
        <w:rPr>
          <w:rFonts w:asciiTheme="minorHAnsi" w:hAnsiTheme="minorHAnsi"/>
        </w:rPr>
        <w:t xml:space="preserve"> take</w:t>
      </w:r>
      <w:r w:rsidR="00403A59" w:rsidRPr="00B90432">
        <w:rPr>
          <w:rFonts w:asciiTheme="minorHAnsi" w:hAnsiTheme="minorHAnsi"/>
        </w:rPr>
        <w:t xml:space="preserve"> place outside </w:t>
      </w:r>
      <w:r w:rsidR="006E2A9F" w:rsidRPr="00B90432">
        <w:rPr>
          <w:rFonts w:asciiTheme="minorHAnsi" w:hAnsiTheme="minorHAnsi"/>
        </w:rPr>
        <w:t xml:space="preserve">residential </w:t>
      </w:r>
      <w:r w:rsidR="00403A59" w:rsidRPr="00B90432">
        <w:rPr>
          <w:rFonts w:asciiTheme="minorHAnsi" w:hAnsiTheme="minorHAnsi"/>
        </w:rPr>
        <w:t>institution</w:t>
      </w:r>
      <w:r w:rsidR="006E2A9F" w:rsidRPr="00B90432">
        <w:rPr>
          <w:rFonts w:asciiTheme="minorHAnsi" w:hAnsiTheme="minorHAnsi"/>
        </w:rPr>
        <w:t xml:space="preserve">s of all kinds.  It is not “just” about living in a particular building or setting, it </w:t>
      </w:r>
      <w:r w:rsidR="009F26B1" w:rsidRPr="00B90432">
        <w:rPr>
          <w:rFonts w:asciiTheme="minorHAnsi" w:hAnsiTheme="minorHAnsi"/>
        </w:rPr>
        <w:t>i</w:t>
      </w:r>
      <w:r w:rsidR="006E2A9F" w:rsidRPr="00B90432">
        <w:rPr>
          <w:rFonts w:asciiTheme="minorHAnsi" w:hAnsiTheme="minorHAnsi"/>
        </w:rPr>
        <w:t>s, first and foremost, about losing personal choice and autonomy as a result of the imposition of certain life and living arrangements.</w:t>
      </w:r>
      <w:r w:rsidR="006243A1" w:rsidRPr="00B90432">
        <w:rPr>
          <w:rFonts w:asciiTheme="minorHAnsi" w:hAnsiTheme="minorHAnsi"/>
          <w:vertAlign w:val="superscript"/>
        </w:rPr>
        <w:footnoteReference w:id="812"/>
      </w:r>
      <w:r w:rsidR="006E2A9F" w:rsidRPr="00B90432">
        <w:rPr>
          <w:rFonts w:asciiTheme="minorHAnsi" w:hAnsiTheme="minorHAnsi"/>
        </w:rPr>
        <w:t xml:space="preserve"> When there is a lack of alternatives in the community, institutions s</w:t>
      </w:r>
      <w:r w:rsidR="00D721FA" w:rsidRPr="00B90432">
        <w:rPr>
          <w:rFonts w:asciiTheme="minorHAnsi" w:hAnsiTheme="minorHAnsi"/>
        </w:rPr>
        <w:t>egregate persons with disabilities</w:t>
      </w:r>
      <w:r w:rsidR="006E2A9F" w:rsidRPr="00B90432">
        <w:rPr>
          <w:rFonts w:asciiTheme="minorHAnsi" w:hAnsiTheme="minorHAnsi"/>
        </w:rPr>
        <w:t xml:space="preserve"> from the community, </w:t>
      </w:r>
      <w:r w:rsidR="009F26B1" w:rsidRPr="00B90432">
        <w:rPr>
          <w:rFonts w:asciiTheme="minorHAnsi" w:hAnsiTheme="minorHAnsi"/>
        </w:rPr>
        <w:t xml:space="preserve">because </w:t>
      </w:r>
      <w:r w:rsidR="006E2A9F" w:rsidRPr="00B90432">
        <w:rPr>
          <w:rFonts w:asciiTheme="minorHAnsi" w:hAnsiTheme="minorHAnsi"/>
        </w:rPr>
        <w:t xml:space="preserve">this becomes the only option for </w:t>
      </w:r>
      <w:r w:rsidR="00BB4E18" w:rsidRPr="00B90432">
        <w:rPr>
          <w:rFonts w:asciiTheme="minorHAnsi" w:hAnsiTheme="minorHAnsi"/>
        </w:rPr>
        <w:t xml:space="preserve">them </w:t>
      </w:r>
      <w:r w:rsidR="006E2A9F" w:rsidRPr="00B90432">
        <w:rPr>
          <w:rFonts w:asciiTheme="minorHAnsi" w:hAnsiTheme="minorHAnsi"/>
        </w:rPr>
        <w:t xml:space="preserve">to be able to receive the care and services they need. In this </w:t>
      </w:r>
      <w:r w:rsidR="00B03961" w:rsidRPr="00B90432">
        <w:rPr>
          <w:rFonts w:asciiTheme="minorHAnsi" w:hAnsiTheme="minorHAnsi"/>
        </w:rPr>
        <w:t>regard</w:t>
      </w:r>
      <w:r w:rsidR="006E2A9F" w:rsidRPr="00B90432">
        <w:rPr>
          <w:rFonts w:asciiTheme="minorHAnsi" w:hAnsiTheme="minorHAnsi"/>
        </w:rPr>
        <w:t>, the CRPD Committee has established that involuntary institutionalization</w:t>
      </w:r>
      <w:r w:rsidR="00334F31" w:rsidRPr="00B90432">
        <w:rPr>
          <w:rFonts w:asciiTheme="minorHAnsi" w:hAnsiTheme="minorHAnsi"/>
        </w:rPr>
        <w:t xml:space="preserve"> on the basis of impairment, is often caused or increased b</w:t>
      </w:r>
      <w:r w:rsidR="00831E04" w:rsidRPr="00B90432">
        <w:rPr>
          <w:rFonts w:asciiTheme="minorHAnsi" w:hAnsiTheme="minorHAnsi"/>
        </w:rPr>
        <w:t>y a lack of disability-</w:t>
      </w:r>
      <w:r w:rsidR="00334F31" w:rsidRPr="00B90432">
        <w:rPr>
          <w:rFonts w:asciiTheme="minorHAnsi" w:hAnsiTheme="minorHAnsi"/>
        </w:rPr>
        <w:t xml:space="preserve">specific support </w:t>
      </w:r>
      <w:r w:rsidR="00795290" w:rsidRPr="00B90432">
        <w:rPr>
          <w:rFonts w:asciiTheme="minorHAnsi" w:hAnsiTheme="minorHAnsi"/>
        </w:rPr>
        <w:t>services</w:t>
      </w:r>
      <w:r w:rsidR="001A099D" w:rsidRPr="00B90432">
        <w:rPr>
          <w:rFonts w:asciiTheme="minorHAnsi" w:hAnsiTheme="minorHAnsi"/>
        </w:rPr>
        <w:t>, and leads to arbitrary deprivation of liberty.</w:t>
      </w:r>
      <w:r w:rsidR="006243A1" w:rsidRPr="00B90432">
        <w:rPr>
          <w:rFonts w:asciiTheme="minorHAnsi" w:hAnsiTheme="minorHAnsi"/>
          <w:vertAlign w:val="superscript"/>
        </w:rPr>
        <w:footnoteReference w:id="813"/>
      </w:r>
      <w:r w:rsidR="00DC52DF" w:rsidRPr="00B90432">
        <w:rPr>
          <w:rFonts w:asciiTheme="minorHAnsi" w:hAnsiTheme="minorHAnsi"/>
        </w:rPr>
        <w:t xml:space="preserve">  </w:t>
      </w:r>
      <w:r w:rsidR="00DC52DF" w:rsidRPr="00B90432">
        <w:rPr>
          <w:rFonts w:asciiTheme="minorHAnsi" w:hAnsiTheme="minorHAnsi"/>
        </w:rPr>
        <w:lastRenderedPageBreak/>
        <w:t>Based on the foregoing, the IACHR finds that a lack of support and community serv</w:t>
      </w:r>
      <w:r w:rsidR="00D721FA" w:rsidRPr="00B90432">
        <w:rPr>
          <w:rFonts w:asciiTheme="minorHAnsi" w:hAnsiTheme="minorHAnsi"/>
        </w:rPr>
        <w:t>ices for persons with disabilities</w:t>
      </w:r>
      <w:r w:rsidR="00DC52DF" w:rsidRPr="00B90432">
        <w:rPr>
          <w:rFonts w:asciiTheme="minorHAnsi" w:hAnsiTheme="minorHAnsi"/>
        </w:rPr>
        <w:t xml:space="preserve"> and their families creates incentive to institutionalize these persons and, consequently, violates their right to live in the community. </w:t>
      </w:r>
      <w:r w:rsidR="006243A1" w:rsidRPr="00B90432">
        <w:rPr>
          <w:rFonts w:asciiTheme="minorHAnsi" w:hAnsiTheme="minorHAnsi"/>
        </w:rPr>
        <w:t xml:space="preserve"> </w:t>
      </w:r>
    </w:p>
    <w:p w14:paraId="4146E892" w14:textId="77777777" w:rsidR="006243A1" w:rsidRPr="00B90432" w:rsidRDefault="00E05207" w:rsidP="00B90432">
      <w:pPr>
        <w:pStyle w:val="Numberedparagraphs"/>
        <w:rPr>
          <w:rFonts w:asciiTheme="minorHAnsi" w:hAnsiTheme="minorHAnsi"/>
        </w:rPr>
      </w:pPr>
      <w:r w:rsidRPr="00B90432">
        <w:rPr>
          <w:rFonts w:asciiTheme="minorHAnsi" w:hAnsiTheme="minorHAnsi"/>
        </w:rPr>
        <w:t>With respect to the establishment of community services, even though the State reports on implementation of a pilot project to establish a “halfway house” model,</w:t>
      </w:r>
      <w:r w:rsidR="006243A1" w:rsidRPr="00B90432">
        <w:rPr>
          <w:rFonts w:asciiTheme="minorHAnsi" w:hAnsiTheme="minorHAnsi"/>
          <w:vertAlign w:val="superscript"/>
        </w:rPr>
        <w:footnoteReference w:id="814"/>
      </w:r>
      <w:r w:rsidRPr="00B90432">
        <w:rPr>
          <w:rFonts w:asciiTheme="minorHAnsi" w:hAnsiTheme="minorHAnsi"/>
        </w:rPr>
        <w:t xml:space="preserve"> it also recognizes </w:t>
      </w:r>
      <w:r w:rsidR="00A5716A" w:rsidRPr="00B90432">
        <w:rPr>
          <w:rFonts w:asciiTheme="minorHAnsi" w:hAnsiTheme="minorHAnsi"/>
        </w:rPr>
        <w:t xml:space="preserve">patients are subjected to </w:t>
      </w:r>
      <w:r w:rsidR="00F634D5" w:rsidRPr="00B90432">
        <w:rPr>
          <w:rFonts w:asciiTheme="minorHAnsi" w:hAnsiTheme="minorHAnsi"/>
        </w:rPr>
        <w:t>prolongued</w:t>
      </w:r>
      <w:r w:rsidRPr="00B90432">
        <w:rPr>
          <w:rFonts w:asciiTheme="minorHAnsi" w:hAnsiTheme="minorHAnsi"/>
        </w:rPr>
        <w:t xml:space="preserve"> institutionalization because of an absence of support in the community.</w:t>
      </w:r>
      <w:r w:rsidR="006243A1" w:rsidRPr="00B90432">
        <w:rPr>
          <w:rFonts w:asciiTheme="minorHAnsi" w:hAnsiTheme="minorHAnsi"/>
          <w:vertAlign w:val="superscript"/>
        </w:rPr>
        <w:footnoteReference w:id="815"/>
      </w:r>
      <w:r w:rsidR="000143FD" w:rsidRPr="00B90432">
        <w:rPr>
          <w:rFonts w:asciiTheme="minorHAnsi" w:hAnsiTheme="minorHAnsi"/>
        </w:rPr>
        <w:t xml:space="preserve"> Separately, the IACHR was </w:t>
      </w:r>
      <w:r w:rsidR="00B20477" w:rsidRPr="00B90432">
        <w:rPr>
          <w:rFonts w:asciiTheme="minorHAnsi" w:hAnsiTheme="minorHAnsi"/>
        </w:rPr>
        <w:t xml:space="preserve">advised </w:t>
      </w:r>
      <w:r w:rsidR="000143FD" w:rsidRPr="00B90432">
        <w:rPr>
          <w:rFonts w:asciiTheme="minorHAnsi" w:hAnsiTheme="minorHAnsi"/>
        </w:rPr>
        <w:t>by the Ministry of Public Health and Social Assistance that as of early 2017, it has been implementing an inclu</w:t>
      </w:r>
      <w:r w:rsidR="00B03961" w:rsidRPr="00B90432">
        <w:rPr>
          <w:rFonts w:asciiTheme="minorHAnsi" w:hAnsiTheme="minorHAnsi"/>
        </w:rPr>
        <w:t xml:space="preserve">sive model of health care, from </w:t>
      </w:r>
      <w:r w:rsidR="000143FD" w:rsidRPr="00B90432">
        <w:rPr>
          <w:rFonts w:asciiTheme="minorHAnsi" w:hAnsiTheme="minorHAnsi"/>
        </w:rPr>
        <w:t>a human rights and social integration perspective,</w:t>
      </w:r>
      <w:r w:rsidR="006243A1" w:rsidRPr="00B90432">
        <w:rPr>
          <w:rFonts w:asciiTheme="minorHAnsi" w:hAnsiTheme="minorHAnsi"/>
          <w:vertAlign w:val="superscript"/>
        </w:rPr>
        <w:footnoteReference w:id="816"/>
      </w:r>
      <w:r w:rsidR="000143FD" w:rsidRPr="00B90432">
        <w:rPr>
          <w:rFonts w:asciiTheme="minorHAnsi" w:hAnsiTheme="minorHAnsi"/>
        </w:rPr>
        <w:t xml:space="preserve"> which is based on the decentralization of medical </w:t>
      </w:r>
      <w:r w:rsidR="00F634D5" w:rsidRPr="00B90432">
        <w:rPr>
          <w:rFonts w:asciiTheme="minorHAnsi" w:hAnsiTheme="minorHAnsi"/>
        </w:rPr>
        <w:t xml:space="preserve">treatment </w:t>
      </w:r>
      <w:r w:rsidR="000143FD" w:rsidRPr="00B90432">
        <w:rPr>
          <w:rFonts w:asciiTheme="minorHAnsi" w:hAnsiTheme="minorHAnsi"/>
        </w:rPr>
        <w:t xml:space="preserve">through </w:t>
      </w:r>
      <w:r w:rsidR="00B20477" w:rsidRPr="00B90432">
        <w:rPr>
          <w:rFonts w:asciiTheme="minorHAnsi" w:hAnsiTheme="minorHAnsi"/>
        </w:rPr>
        <w:t>health care promotion, at the primary care level.</w:t>
      </w:r>
      <w:r w:rsidR="006243A1" w:rsidRPr="00B90432">
        <w:rPr>
          <w:rFonts w:asciiTheme="minorHAnsi" w:hAnsiTheme="minorHAnsi"/>
          <w:vertAlign w:val="superscript"/>
        </w:rPr>
        <w:footnoteReference w:id="817"/>
      </w:r>
      <w:r w:rsidR="00B20477" w:rsidRPr="00B90432">
        <w:rPr>
          <w:rFonts w:asciiTheme="minorHAnsi" w:hAnsiTheme="minorHAnsi"/>
        </w:rPr>
        <w:t xml:space="preserve"> In this context, said Ministry reported to the Co</w:t>
      </w:r>
      <w:r w:rsidR="00AD2454" w:rsidRPr="00B90432">
        <w:rPr>
          <w:rFonts w:asciiTheme="minorHAnsi" w:hAnsiTheme="minorHAnsi"/>
        </w:rPr>
        <w:t xml:space="preserve">mmission about the revision of the protocols </w:t>
      </w:r>
      <w:r w:rsidR="00831E04" w:rsidRPr="00B90432">
        <w:rPr>
          <w:rFonts w:asciiTheme="minorHAnsi" w:hAnsiTheme="minorHAnsi"/>
        </w:rPr>
        <w:t xml:space="preserve">to </w:t>
      </w:r>
      <w:r w:rsidR="005459E2" w:rsidRPr="00B90432">
        <w:rPr>
          <w:rFonts w:asciiTheme="minorHAnsi" w:hAnsiTheme="minorHAnsi"/>
        </w:rPr>
        <w:t xml:space="preserve">allow and ensure that the patients of Federico Mora Hospital have contact with their family members and with the community, and </w:t>
      </w:r>
      <w:r w:rsidR="003D1D77" w:rsidRPr="00B90432">
        <w:rPr>
          <w:rFonts w:asciiTheme="minorHAnsi" w:hAnsiTheme="minorHAnsi"/>
        </w:rPr>
        <w:t>about holding health care d</w:t>
      </w:r>
      <w:r w:rsidR="005459E2" w:rsidRPr="00B90432">
        <w:rPr>
          <w:rFonts w:asciiTheme="minorHAnsi" w:hAnsiTheme="minorHAnsi"/>
        </w:rPr>
        <w:t>ays for patients focused on eye care, dental care and nutrition.</w:t>
      </w:r>
      <w:r w:rsidR="006243A1" w:rsidRPr="00B90432">
        <w:rPr>
          <w:rFonts w:asciiTheme="minorHAnsi" w:hAnsiTheme="minorHAnsi"/>
          <w:vertAlign w:val="superscript"/>
        </w:rPr>
        <w:footnoteReference w:id="818"/>
      </w:r>
      <w:r w:rsidR="006243A1" w:rsidRPr="00B90432">
        <w:rPr>
          <w:rFonts w:asciiTheme="minorHAnsi" w:hAnsiTheme="minorHAnsi"/>
        </w:rPr>
        <w:t>.</w:t>
      </w:r>
    </w:p>
    <w:p w14:paraId="5854F5B1" w14:textId="77777777" w:rsidR="006243A1" w:rsidRPr="00B90432" w:rsidRDefault="009F46CE" w:rsidP="00B90432">
      <w:pPr>
        <w:pStyle w:val="Numberedparagraphs"/>
        <w:rPr>
          <w:rFonts w:asciiTheme="minorHAnsi" w:hAnsiTheme="minorHAnsi"/>
        </w:rPr>
      </w:pPr>
      <w:r w:rsidRPr="00B90432">
        <w:rPr>
          <w:rFonts w:asciiTheme="minorHAnsi" w:hAnsiTheme="minorHAnsi"/>
        </w:rPr>
        <w:t xml:space="preserve">The IACHR welcomes actions aimed at improving the living conditions of the patients of the Federico Mora Hospital; however, it does not </w:t>
      </w:r>
      <w:r w:rsidR="00A8651B" w:rsidRPr="00B90432">
        <w:rPr>
          <w:rFonts w:asciiTheme="minorHAnsi" w:hAnsiTheme="minorHAnsi"/>
        </w:rPr>
        <w:t xml:space="preserve">find that </w:t>
      </w:r>
      <w:r w:rsidR="00721B44" w:rsidRPr="00B90432">
        <w:rPr>
          <w:rFonts w:asciiTheme="minorHAnsi" w:hAnsiTheme="minorHAnsi"/>
        </w:rPr>
        <w:t xml:space="preserve">these </w:t>
      </w:r>
      <w:r w:rsidR="00A8651B" w:rsidRPr="00B90432">
        <w:rPr>
          <w:rFonts w:asciiTheme="minorHAnsi" w:hAnsiTheme="minorHAnsi"/>
        </w:rPr>
        <w:t xml:space="preserve">conditions are adequate to protect their lives and integrity. </w:t>
      </w:r>
      <w:r w:rsidR="00262296" w:rsidRPr="00B90432">
        <w:rPr>
          <w:rFonts w:asciiTheme="minorHAnsi" w:hAnsiTheme="minorHAnsi"/>
        </w:rPr>
        <w:t xml:space="preserve">In particular, the IACHR regrets that the measures adopted </w:t>
      </w:r>
      <w:r w:rsidR="005D6EBA" w:rsidRPr="00B90432">
        <w:rPr>
          <w:rFonts w:asciiTheme="minorHAnsi" w:hAnsiTheme="minorHAnsi"/>
        </w:rPr>
        <w:t>have not been focus</w:t>
      </w:r>
      <w:r w:rsidR="00F634D5" w:rsidRPr="00B90432">
        <w:rPr>
          <w:rFonts w:asciiTheme="minorHAnsi" w:hAnsiTheme="minorHAnsi"/>
        </w:rPr>
        <w:t xml:space="preserve">ed on the creation of community-based </w:t>
      </w:r>
      <w:r w:rsidR="005D6EBA" w:rsidRPr="00B90432">
        <w:rPr>
          <w:rFonts w:asciiTheme="minorHAnsi" w:hAnsiTheme="minorHAnsi"/>
        </w:rPr>
        <w:t xml:space="preserve">services and that despite the notable increased hospital budget, these resources have not been used to create alternatives in the community. </w:t>
      </w:r>
      <w:r w:rsidR="007145CF" w:rsidRPr="00B90432">
        <w:rPr>
          <w:rFonts w:asciiTheme="minorHAnsi" w:hAnsiTheme="minorHAnsi"/>
        </w:rPr>
        <w:t xml:space="preserve">In this regard, the Commission notes the words of the CRPD Committee </w:t>
      </w:r>
      <w:r w:rsidR="008F298C" w:rsidRPr="00B90432">
        <w:rPr>
          <w:rFonts w:asciiTheme="minorHAnsi" w:hAnsiTheme="minorHAnsi"/>
        </w:rPr>
        <w:t xml:space="preserve">that </w:t>
      </w:r>
      <w:r w:rsidR="007145CF" w:rsidRPr="00B90432">
        <w:rPr>
          <w:rFonts w:asciiTheme="minorHAnsi" w:hAnsiTheme="minorHAnsi"/>
        </w:rPr>
        <w:t>investme</w:t>
      </w:r>
      <w:r w:rsidR="008F298C" w:rsidRPr="00B90432">
        <w:rPr>
          <w:rFonts w:asciiTheme="minorHAnsi" w:hAnsiTheme="minorHAnsi"/>
        </w:rPr>
        <w:t xml:space="preserve">nt of resources in institutions, </w:t>
      </w:r>
      <w:r w:rsidR="00DD7D1C" w:rsidRPr="00B90432">
        <w:rPr>
          <w:rFonts w:asciiTheme="minorHAnsi" w:hAnsiTheme="minorHAnsi"/>
        </w:rPr>
        <w:t>instead of in developing possibilities for persons with disabilities to live</w:t>
      </w:r>
      <w:r w:rsidR="00C33968" w:rsidRPr="00B90432">
        <w:rPr>
          <w:rFonts w:asciiTheme="minorHAnsi" w:hAnsiTheme="minorHAnsi"/>
        </w:rPr>
        <w:t xml:space="preserve"> independently in the communit</w:t>
      </w:r>
      <w:r w:rsidR="00BF657C" w:rsidRPr="00B90432">
        <w:rPr>
          <w:rFonts w:asciiTheme="minorHAnsi" w:hAnsiTheme="minorHAnsi"/>
        </w:rPr>
        <w:t>y</w:t>
      </w:r>
      <w:r w:rsidR="00C33968" w:rsidRPr="00B90432">
        <w:rPr>
          <w:rFonts w:asciiTheme="minorHAnsi" w:hAnsiTheme="minorHAnsi"/>
        </w:rPr>
        <w:t xml:space="preserve">, </w:t>
      </w:r>
      <w:r w:rsidR="00DD7D1C" w:rsidRPr="00B90432">
        <w:rPr>
          <w:rFonts w:asciiTheme="minorHAnsi" w:hAnsiTheme="minorHAnsi"/>
        </w:rPr>
        <w:t>leads to abandonment, dependence on family, institutionalization, isolation and segregation.</w:t>
      </w:r>
      <w:r w:rsidR="006243A1" w:rsidRPr="00B90432">
        <w:rPr>
          <w:rFonts w:asciiTheme="minorHAnsi" w:hAnsiTheme="minorHAnsi"/>
          <w:vertAlign w:val="superscript"/>
        </w:rPr>
        <w:footnoteReference w:id="819"/>
      </w:r>
      <w:r w:rsidR="006243A1" w:rsidRPr="00B90432">
        <w:rPr>
          <w:rFonts w:asciiTheme="minorHAnsi" w:hAnsiTheme="minorHAnsi"/>
        </w:rPr>
        <w:t xml:space="preserve"> </w:t>
      </w:r>
    </w:p>
    <w:p w14:paraId="4E625A2C" w14:textId="77777777" w:rsidR="006243A1" w:rsidRPr="00B90432" w:rsidRDefault="001663FB" w:rsidP="00B90432">
      <w:pPr>
        <w:pStyle w:val="Numberedparagraphs"/>
        <w:rPr>
          <w:rFonts w:asciiTheme="minorHAnsi" w:hAnsiTheme="minorHAnsi"/>
        </w:rPr>
      </w:pPr>
      <w:r w:rsidRPr="00B90432">
        <w:rPr>
          <w:rFonts w:asciiTheme="minorHAnsi" w:hAnsiTheme="minorHAnsi"/>
        </w:rPr>
        <w:lastRenderedPageBreak/>
        <w:t>In light of the foregoing, the main concern of the IACHR with respect to the situation of the patients of Federico Mora Hospital is the lack of community-based care programs to ensure living in the community. In this regard, as noted by the CRPD Committee, the lack of services designed to meet the needs of the patients of this institution in the community leads to their indefinite segregation.</w:t>
      </w:r>
      <w:r w:rsidR="006243A1" w:rsidRPr="00B90432">
        <w:rPr>
          <w:rFonts w:asciiTheme="minorHAnsi" w:hAnsiTheme="minorHAnsi"/>
          <w:vertAlign w:val="superscript"/>
        </w:rPr>
        <w:footnoteReference w:id="820"/>
      </w:r>
      <w:r w:rsidR="0016317D" w:rsidRPr="00B90432">
        <w:rPr>
          <w:rFonts w:asciiTheme="minorHAnsi" w:hAnsiTheme="minorHAnsi"/>
        </w:rPr>
        <w:t xml:space="preserve"> This situation is particularly worrisome considering that most of them continue living at the institution because no support is available to them in the community. </w:t>
      </w:r>
      <w:r w:rsidR="00954AB8" w:rsidRPr="00B90432">
        <w:rPr>
          <w:rFonts w:asciiTheme="minorHAnsi" w:hAnsiTheme="minorHAnsi"/>
        </w:rPr>
        <w:t xml:space="preserve">On this score, the IACHR notes that according to the evaluation conducted in 2013 by independent psychiatric and medical staff of the hospital itself, approximately 75% of the patients (without including those in conflict with the law), did not need to remain at the institutions “for psychiatric reasons,” and could “easily” become </w:t>
      </w:r>
      <w:r w:rsidR="00F70771" w:rsidRPr="00B90432">
        <w:rPr>
          <w:rFonts w:asciiTheme="minorHAnsi" w:hAnsiTheme="minorHAnsi"/>
        </w:rPr>
        <w:t>integrated into the community, if there were outpatient services available to them.</w:t>
      </w:r>
      <w:r w:rsidR="006243A1" w:rsidRPr="00B90432">
        <w:rPr>
          <w:rFonts w:asciiTheme="minorHAnsi" w:hAnsiTheme="minorHAnsi"/>
          <w:vertAlign w:val="superscript"/>
        </w:rPr>
        <w:footnoteReference w:id="821"/>
      </w:r>
      <w:r w:rsidR="006243A1" w:rsidRPr="00B90432">
        <w:rPr>
          <w:rFonts w:asciiTheme="minorHAnsi" w:hAnsiTheme="minorHAnsi"/>
        </w:rPr>
        <w:t xml:space="preserve"> </w:t>
      </w:r>
    </w:p>
    <w:p w14:paraId="2E2A1FC7" w14:textId="77777777" w:rsidR="006243A1" w:rsidRPr="00B90432" w:rsidRDefault="001539D1" w:rsidP="00B90432">
      <w:pPr>
        <w:pStyle w:val="Numberedparagraphs"/>
        <w:rPr>
          <w:rFonts w:asciiTheme="minorHAnsi" w:hAnsiTheme="minorHAnsi"/>
        </w:rPr>
      </w:pPr>
      <w:r w:rsidRPr="00B90432">
        <w:rPr>
          <w:rFonts w:asciiTheme="minorHAnsi" w:hAnsiTheme="minorHAnsi"/>
        </w:rPr>
        <w:t>Because of the lack of community-based options for the patients of the Federico Mora Hospital to receive the n</w:t>
      </w:r>
      <w:r w:rsidR="003032F4" w:rsidRPr="00B90432">
        <w:rPr>
          <w:rFonts w:asciiTheme="minorHAnsi" w:hAnsiTheme="minorHAnsi"/>
        </w:rPr>
        <w:t>ecessary services and treatment</w:t>
      </w:r>
      <w:r w:rsidRPr="00B90432">
        <w:rPr>
          <w:rFonts w:asciiTheme="minorHAnsi" w:hAnsiTheme="minorHAnsi"/>
        </w:rPr>
        <w:t xml:space="preserve"> outside the insti</w:t>
      </w:r>
      <w:r w:rsidR="003032F4" w:rsidRPr="00B90432">
        <w:rPr>
          <w:rFonts w:asciiTheme="minorHAnsi" w:hAnsiTheme="minorHAnsi"/>
        </w:rPr>
        <w:t>tution, the IACHR recommends that</w:t>
      </w:r>
      <w:r w:rsidRPr="00B90432">
        <w:rPr>
          <w:rFonts w:asciiTheme="minorHAnsi" w:hAnsiTheme="minorHAnsi"/>
        </w:rPr>
        <w:t xml:space="preserve"> </w:t>
      </w:r>
      <w:r w:rsidR="003032F4" w:rsidRPr="00B90432">
        <w:rPr>
          <w:rFonts w:asciiTheme="minorHAnsi" w:hAnsiTheme="minorHAnsi"/>
        </w:rPr>
        <w:t xml:space="preserve">the </w:t>
      </w:r>
      <w:r w:rsidRPr="00B90432">
        <w:rPr>
          <w:rFonts w:asciiTheme="minorHAnsi" w:hAnsiTheme="minorHAnsi"/>
        </w:rPr>
        <w:t xml:space="preserve">State </w:t>
      </w:r>
      <w:r w:rsidR="00F634D5" w:rsidRPr="00B90432">
        <w:rPr>
          <w:rFonts w:asciiTheme="minorHAnsi" w:hAnsiTheme="minorHAnsi"/>
        </w:rPr>
        <w:t xml:space="preserve">guarantee </w:t>
      </w:r>
      <w:r w:rsidR="00826D0E" w:rsidRPr="00B90432">
        <w:rPr>
          <w:rFonts w:asciiTheme="minorHAnsi" w:hAnsiTheme="minorHAnsi"/>
        </w:rPr>
        <w:t>community living for these persons, by creating and establishing community</w:t>
      </w:r>
      <w:r w:rsidR="00F57549" w:rsidRPr="00B90432">
        <w:rPr>
          <w:rFonts w:asciiTheme="minorHAnsi" w:hAnsiTheme="minorHAnsi"/>
        </w:rPr>
        <w:t>-based</w:t>
      </w:r>
      <w:r w:rsidR="00826D0E" w:rsidRPr="00B90432">
        <w:rPr>
          <w:rFonts w:asciiTheme="minorHAnsi" w:hAnsiTheme="minorHAnsi"/>
        </w:rPr>
        <w:t xml:space="preserve"> services. </w:t>
      </w:r>
      <w:r w:rsidR="00D03004" w:rsidRPr="00B90432">
        <w:rPr>
          <w:rFonts w:asciiTheme="minorHAnsi" w:hAnsiTheme="minorHAnsi"/>
        </w:rPr>
        <w:t xml:space="preserve">For this purpose, the Commission urges the State to adopt, among other ones, the following measures: </w:t>
      </w:r>
      <w:r w:rsidR="006243A1" w:rsidRPr="00B90432">
        <w:rPr>
          <w:rFonts w:asciiTheme="minorHAnsi" w:hAnsiTheme="minorHAnsi"/>
        </w:rPr>
        <w:t xml:space="preserve">a) </w:t>
      </w:r>
      <w:r w:rsidR="00EE25E9" w:rsidRPr="00B90432">
        <w:rPr>
          <w:rFonts w:asciiTheme="minorHAnsi" w:hAnsiTheme="minorHAnsi"/>
        </w:rPr>
        <w:t xml:space="preserve">expeditiously </w:t>
      </w:r>
      <w:r w:rsidR="00A155C5" w:rsidRPr="00B90432">
        <w:rPr>
          <w:rFonts w:asciiTheme="minorHAnsi" w:hAnsiTheme="minorHAnsi"/>
        </w:rPr>
        <w:t>define a strategy for the de-institutionaliz</w:t>
      </w:r>
      <w:r w:rsidR="00D721FA" w:rsidRPr="00B90432">
        <w:rPr>
          <w:rFonts w:asciiTheme="minorHAnsi" w:hAnsiTheme="minorHAnsi"/>
        </w:rPr>
        <w:t>ation of persons with disabilities</w:t>
      </w:r>
      <w:r w:rsidR="00A155C5" w:rsidRPr="00B90432">
        <w:rPr>
          <w:rFonts w:asciiTheme="minorHAnsi" w:hAnsiTheme="minorHAnsi"/>
        </w:rPr>
        <w:t xml:space="preserve">, with a timeline, sufficient resources and specific evaluation </w:t>
      </w:r>
      <w:r w:rsidR="00B03961" w:rsidRPr="00B90432">
        <w:rPr>
          <w:rFonts w:asciiTheme="minorHAnsi" w:hAnsiTheme="minorHAnsi"/>
        </w:rPr>
        <w:t>measures</w:t>
      </w:r>
      <w:r w:rsidR="00A155C5" w:rsidRPr="00B90432">
        <w:rPr>
          <w:rFonts w:asciiTheme="minorHAnsi" w:hAnsiTheme="minorHAnsi"/>
        </w:rPr>
        <w:t>;</w:t>
      </w:r>
      <w:r w:rsidR="006243A1" w:rsidRPr="00B90432">
        <w:rPr>
          <w:rFonts w:asciiTheme="minorHAnsi" w:hAnsiTheme="minorHAnsi"/>
          <w:vertAlign w:val="superscript"/>
        </w:rPr>
        <w:footnoteReference w:id="822"/>
      </w:r>
      <w:r w:rsidR="006243A1" w:rsidRPr="00B90432">
        <w:rPr>
          <w:rFonts w:asciiTheme="minorHAnsi" w:hAnsiTheme="minorHAnsi"/>
          <w:vertAlign w:val="superscript"/>
        </w:rPr>
        <w:t xml:space="preserve"> </w:t>
      </w:r>
      <w:r w:rsidR="006243A1" w:rsidRPr="00B90432">
        <w:rPr>
          <w:rFonts w:asciiTheme="minorHAnsi" w:hAnsiTheme="minorHAnsi"/>
        </w:rPr>
        <w:t xml:space="preserve">b) </w:t>
      </w:r>
      <w:r w:rsidR="00A155C5" w:rsidRPr="00B90432">
        <w:rPr>
          <w:rFonts w:asciiTheme="minorHAnsi" w:hAnsiTheme="minorHAnsi"/>
        </w:rPr>
        <w:t>ensure the participa</w:t>
      </w:r>
      <w:r w:rsidR="00D721FA" w:rsidRPr="00B90432">
        <w:rPr>
          <w:rFonts w:asciiTheme="minorHAnsi" w:hAnsiTheme="minorHAnsi"/>
        </w:rPr>
        <w:t>tion of persons with disabilities</w:t>
      </w:r>
      <w:r w:rsidR="009E5001" w:rsidRPr="00B90432">
        <w:rPr>
          <w:rFonts w:asciiTheme="minorHAnsi" w:hAnsiTheme="minorHAnsi"/>
        </w:rPr>
        <w:t>, directly and through the organizations representing them, in the design and implementation of said strategy,</w:t>
      </w:r>
      <w:r w:rsidR="006243A1" w:rsidRPr="00B90432">
        <w:rPr>
          <w:rFonts w:asciiTheme="minorHAnsi" w:hAnsiTheme="minorHAnsi"/>
          <w:vertAlign w:val="superscript"/>
        </w:rPr>
        <w:footnoteReference w:id="823"/>
      </w:r>
      <w:r w:rsidR="009E5001" w:rsidRPr="00B90432">
        <w:rPr>
          <w:rFonts w:asciiTheme="minorHAnsi" w:hAnsiTheme="minorHAnsi"/>
        </w:rPr>
        <w:t xml:space="preserve"> and</w:t>
      </w:r>
      <w:r w:rsidR="006243A1" w:rsidRPr="00B90432">
        <w:rPr>
          <w:rFonts w:asciiTheme="minorHAnsi" w:hAnsiTheme="minorHAnsi"/>
        </w:rPr>
        <w:t xml:space="preserve"> c) </w:t>
      </w:r>
      <w:r w:rsidR="007B7AC4" w:rsidRPr="00B90432">
        <w:rPr>
          <w:rFonts w:asciiTheme="minorHAnsi" w:hAnsiTheme="minorHAnsi"/>
        </w:rPr>
        <w:t>allocate sufficient resources for the development of support services.</w:t>
      </w:r>
      <w:r w:rsidR="006243A1" w:rsidRPr="00B90432">
        <w:rPr>
          <w:rFonts w:asciiTheme="minorHAnsi" w:hAnsiTheme="minorHAnsi"/>
          <w:vertAlign w:val="superscript"/>
        </w:rPr>
        <w:footnoteReference w:id="824"/>
      </w:r>
      <w:r w:rsidR="007B7AC4" w:rsidRPr="00B90432">
        <w:rPr>
          <w:rFonts w:asciiTheme="minorHAnsi" w:hAnsiTheme="minorHAnsi"/>
        </w:rPr>
        <w:t xml:space="preserve"> In this regard, in accordance with the CRPD Committee, the Commission stresses that community</w:t>
      </w:r>
      <w:r w:rsidR="00D41454" w:rsidRPr="00B90432">
        <w:rPr>
          <w:rFonts w:asciiTheme="minorHAnsi" w:hAnsiTheme="minorHAnsi"/>
        </w:rPr>
        <w:t>-based</w:t>
      </w:r>
      <w:r w:rsidR="007B7AC4" w:rsidRPr="00B90432">
        <w:rPr>
          <w:rFonts w:asciiTheme="minorHAnsi" w:hAnsiTheme="minorHAnsi"/>
        </w:rPr>
        <w:t xml:space="preserve"> support must be designed to </w:t>
      </w:r>
      <w:r w:rsidR="00204096" w:rsidRPr="00B90432">
        <w:rPr>
          <w:rFonts w:asciiTheme="minorHAnsi" w:hAnsiTheme="minorHAnsi"/>
        </w:rPr>
        <w:t xml:space="preserve">help </w:t>
      </w:r>
      <w:r w:rsidR="00D721FA" w:rsidRPr="00B90432">
        <w:rPr>
          <w:rFonts w:asciiTheme="minorHAnsi" w:hAnsiTheme="minorHAnsi"/>
        </w:rPr>
        <w:t>persons with disabilities</w:t>
      </w:r>
      <w:r w:rsidR="00A317C7" w:rsidRPr="00B90432">
        <w:rPr>
          <w:rFonts w:asciiTheme="minorHAnsi" w:hAnsiTheme="minorHAnsi"/>
        </w:rPr>
        <w:t xml:space="preserve"> to be included in the community and to avoid their isolation and segregation.</w:t>
      </w:r>
      <w:r w:rsidR="006243A1" w:rsidRPr="00B90432">
        <w:rPr>
          <w:rFonts w:asciiTheme="minorHAnsi" w:hAnsiTheme="minorHAnsi"/>
          <w:vertAlign w:val="superscript"/>
        </w:rPr>
        <w:footnoteReference w:id="825"/>
      </w:r>
      <w:r w:rsidR="006243A1" w:rsidRPr="00B90432">
        <w:rPr>
          <w:rFonts w:asciiTheme="minorHAnsi" w:hAnsiTheme="minorHAnsi"/>
        </w:rPr>
        <w:t xml:space="preserve"> </w:t>
      </w:r>
    </w:p>
    <w:p w14:paraId="2111EE4F" w14:textId="77777777" w:rsidR="006243A1" w:rsidRPr="00B90432" w:rsidRDefault="0046709B" w:rsidP="00B90432">
      <w:pPr>
        <w:pStyle w:val="Numberedparagraphs"/>
        <w:rPr>
          <w:rFonts w:asciiTheme="minorHAnsi" w:hAnsiTheme="minorHAnsi"/>
        </w:rPr>
      </w:pPr>
      <w:r w:rsidRPr="00B90432">
        <w:rPr>
          <w:rFonts w:asciiTheme="minorHAnsi" w:hAnsiTheme="minorHAnsi"/>
        </w:rPr>
        <w:lastRenderedPageBreak/>
        <w:t>Lastly, as for the patients in conflict with the law</w:t>
      </w:r>
      <w:r w:rsidR="000108FD" w:rsidRPr="00B90432">
        <w:rPr>
          <w:rFonts w:asciiTheme="minorHAnsi" w:hAnsiTheme="minorHAnsi"/>
        </w:rPr>
        <w:t>, who as of August 2, 2017 numbered 46 individuals, the IACHR was informed that 90% of them should not even remain at the institution and, therefore, they too are subjected to arbitrary deprivation of liberty.</w:t>
      </w:r>
      <w:r w:rsidR="006243A1" w:rsidRPr="00B90432">
        <w:rPr>
          <w:rFonts w:asciiTheme="minorHAnsi" w:hAnsiTheme="minorHAnsi"/>
          <w:vertAlign w:val="superscript"/>
        </w:rPr>
        <w:footnoteReference w:id="826"/>
      </w:r>
      <w:r w:rsidR="000108FD" w:rsidRPr="00B90432">
        <w:rPr>
          <w:rFonts w:asciiTheme="minorHAnsi" w:hAnsiTheme="minorHAnsi"/>
        </w:rPr>
        <w:t xml:space="preserve"> According to the psychiatric staff i</w:t>
      </w:r>
      <w:r w:rsidR="00D70E03" w:rsidRPr="00B90432">
        <w:rPr>
          <w:rFonts w:asciiTheme="minorHAnsi" w:hAnsiTheme="minorHAnsi"/>
        </w:rPr>
        <w:t xml:space="preserve">n charge of the treatment of this population of patients, this situation stems from the lack of review of judicial decisions to institutionalize, even though very often </w:t>
      </w:r>
      <w:r w:rsidR="00A5051D" w:rsidRPr="00B90432">
        <w:rPr>
          <w:rFonts w:asciiTheme="minorHAnsi" w:hAnsiTheme="minorHAnsi"/>
        </w:rPr>
        <w:t>the medical expert opinions recommend outpatient treatment.</w:t>
      </w:r>
      <w:r w:rsidR="006243A1" w:rsidRPr="00B90432">
        <w:rPr>
          <w:rFonts w:asciiTheme="minorHAnsi" w:hAnsiTheme="minorHAnsi"/>
          <w:vertAlign w:val="superscript"/>
        </w:rPr>
        <w:footnoteReference w:id="827"/>
      </w:r>
      <w:r w:rsidR="00BD5E96" w:rsidRPr="00B90432">
        <w:rPr>
          <w:rFonts w:asciiTheme="minorHAnsi" w:hAnsiTheme="minorHAnsi"/>
        </w:rPr>
        <w:t xml:space="preserve"> </w:t>
      </w:r>
      <w:r w:rsidR="00B25428" w:rsidRPr="00B90432">
        <w:rPr>
          <w:rFonts w:asciiTheme="minorHAnsi" w:hAnsiTheme="minorHAnsi"/>
        </w:rPr>
        <w:t>T</w:t>
      </w:r>
      <w:r w:rsidR="00DE07AD" w:rsidRPr="00B90432">
        <w:rPr>
          <w:rFonts w:asciiTheme="minorHAnsi" w:hAnsiTheme="minorHAnsi"/>
        </w:rPr>
        <w:t>he State has</w:t>
      </w:r>
      <w:r w:rsidR="00B25428" w:rsidRPr="00B90432">
        <w:rPr>
          <w:rFonts w:asciiTheme="minorHAnsi" w:hAnsiTheme="minorHAnsi"/>
        </w:rPr>
        <w:t xml:space="preserve"> also</w:t>
      </w:r>
      <w:r w:rsidR="00DE07AD" w:rsidRPr="00B90432">
        <w:rPr>
          <w:rFonts w:asciiTheme="minorHAnsi" w:hAnsiTheme="minorHAnsi"/>
        </w:rPr>
        <w:t xml:space="preserve"> reported to</w:t>
      </w:r>
      <w:r w:rsidR="00456300" w:rsidRPr="00B90432">
        <w:rPr>
          <w:rFonts w:asciiTheme="minorHAnsi" w:hAnsiTheme="minorHAnsi"/>
        </w:rPr>
        <w:t xml:space="preserve"> the Commission that an “Interi</w:t>
      </w:r>
      <w:r w:rsidR="00DE07AD" w:rsidRPr="00B90432">
        <w:rPr>
          <w:rFonts w:asciiTheme="minorHAnsi" w:hAnsiTheme="minorHAnsi"/>
        </w:rPr>
        <w:t xml:space="preserve">nstitutional Agreement” was signed </w:t>
      </w:r>
      <w:r w:rsidR="0003793C" w:rsidRPr="00B90432">
        <w:rPr>
          <w:rFonts w:asciiTheme="minorHAnsi" w:hAnsiTheme="minorHAnsi"/>
        </w:rPr>
        <w:t xml:space="preserve">for </w:t>
      </w:r>
      <w:r w:rsidR="00DE07AD" w:rsidRPr="00B90432">
        <w:rPr>
          <w:rFonts w:asciiTheme="minorHAnsi" w:hAnsiTheme="minorHAnsi"/>
        </w:rPr>
        <w:t xml:space="preserve">the Public Criminal Defense Institute </w:t>
      </w:r>
      <w:r w:rsidR="0003793C" w:rsidRPr="00B90432">
        <w:rPr>
          <w:rFonts w:asciiTheme="minorHAnsi" w:hAnsiTheme="minorHAnsi"/>
        </w:rPr>
        <w:t xml:space="preserve">to be able to </w:t>
      </w:r>
      <w:r w:rsidR="00DE07AD" w:rsidRPr="00B90432">
        <w:rPr>
          <w:rFonts w:asciiTheme="minorHAnsi" w:hAnsiTheme="minorHAnsi"/>
        </w:rPr>
        <w:t>request the release of a significant number of patients.</w:t>
      </w:r>
      <w:r w:rsidR="006243A1" w:rsidRPr="00B90432">
        <w:rPr>
          <w:rFonts w:asciiTheme="minorHAnsi" w:hAnsiTheme="minorHAnsi"/>
          <w:vertAlign w:val="superscript"/>
        </w:rPr>
        <w:footnoteReference w:id="828"/>
      </w:r>
      <w:r w:rsidR="00AA2AB7" w:rsidRPr="00B90432">
        <w:rPr>
          <w:rFonts w:asciiTheme="minorHAnsi" w:hAnsiTheme="minorHAnsi"/>
        </w:rPr>
        <w:t xml:space="preserve"> Furthermore</w:t>
      </w:r>
      <w:r w:rsidR="004870D7" w:rsidRPr="00B90432">
        <w:rPr>
          <w:rFonts w:asciiTheme="minorHAnsi" w:hAnsiTheme="minorHAnsi"/>
        </w:rPr>
        <w:t>, the IACHR learned of a State initiative to create a justice center with an expanded purview within the hospital itself, in order to review on an ongoing basis the security measures imposed on the patients in conflict with the law.</w:t>
      </w:r>
      <w:r w:rsidR="006243A1" w:rsidRPr="00B90432">
        <w:rPr>
          <w:rFonts w:asciiTheme="minorHAnsi" w:hAnsiTheme="minorHAnsi"/>
          <w:vertAlign w:val="superscript"/>
        </w:rPr>
        <w:footnoteReference w:id="829"/>
      </w:r>
      <w:r w:rsidR="006243A1" w:rsidRPr="00B90432">
        <w:rPr>
          <w:rFonts w:asciiTheme="minorHAnsi" w:hAnsiTheme="minorHAnsi"/>
        </w:rPr>
        <w:t xml:space="preserve"> </w:t>
      </w:r>
    </w:p>
    <w:p w14:paraId="0244914A" w14:textId="77777777" w:rsidR="00B90432" w:rsidRPr="00B90432" w:rsidRDefault="00B90432" w:rsidP="00B90432">
      <w:pPr>
        <w:pStyle w:val="Numberedparagraphs"/>
        <w:numPr>
          <w:ilvl w:val="0"/>
          <w:numId w:val="0"/>
        </w:numPr>
        <w:ind w:left="547" w:hanging="547"/>
        <w:rPr>
          <w:rFonts w:asciiTheme="minorHAnsi" w:hAnsiTheme="minorHAnsi"/>
        </w:rPr>
      </w:pPr>
    </w:p>
    <w:p w14:paraId="0E8D7957" w14:textId="77777777" w:rsidR="00990D97" w:rsidRPr="00B70540" w:rsidRDefault="00990D97" w:rsidP="003D17BA">
      <w:pPr>
        <w:pStyle w:val="Heading1"/>
        <w:rPr>
          <w:lang w:val="en-US"/>
        </w:rPr>
        <w:sectPr w:rsidR="00990D97" w:rsidRPr="00B70540" w:rsidSect="00450424">
          <w:headerReference w:type="default" r:id="rId63"/>
          <w:footerReference w:type="default" r:id="rId64"/>
          <w:type w:val="oddPage"/>
          <w:pgSz w:w="10080" w:h="14400" w:code="13"/>
          <w:pgMar w:top="1152" w:right="1152" w:bottom="1152" w:left="1296" w:header="720" w:footer="720" w:gutter="0"/>
          <w:cols w:space="720"/>
          <w:docGrid w:linePitch="360"/>
        </w:sectPr>
      </w:pPr>
    </w:p>
    <w:p w14:paraId="17F97635" w14:textId="77777777" w:rsidR="001B3560" w:rsidRPr="001B3560" w:rsidRDefault="001B3560" w:rsidP="001B3560">
      <w:pPr>
        <w:pStyle w:val="Title"/>
        <w:rPr>
          <w:color w:val="808080" w:themeColor="background1" w:themeShade="80"/>
          <w:sz w:val="44"/>
          <w:szCs w:val="44"/>
        </w:rPr>
      </w:pPr>
      <w:bookmarkStart w:id="101" w:name="_Toc509827703"/>
      <w:r w:rsidRPr="001B3560">
        <w:rPr>
          <w:color w:val="808080" w:themeColor="background1" w:themeShade="80"/>
          <w:sz w:val="44"/>
          <w:szCs w:val="44"/>
        </w:rPr>
        <w:lastRenderedPageBreak/>
        <w:t>CHAPTER 8</w:t>
      </w:r>
      <w:bookmarkEnd w:id="101"/>
      <w:r w:rsidRPr="001B3560">
        <w:rPr>
          <w:color w:val="808080" w:themeColor="background1" w:themeShade="80"/>
          <w:sz w:val="44"/>
          <w:szCs w:val="44"/>
        </w:rPr>
        <w:t xml:space="preserve"> </w:t>
      </w:r>
    </w:p>
    <w:p w14:paraId="6A6AF21C" w14:textId="583890AA" w:rsidR="00990D97" w:rsidRPr="00B70540" w:rsidRDefault="001B3560" w:rsidP="001B3560">
      <w:pPr>
        <w:pStyle w:val="Title"/>
        <w:sectPr w:rsidR="00990D97" w:rsidRPr="00B70540" w:rsidSect="001D586A">
          <w:headerReference w:type="default" r:id="rId65"/>
          <w:footerReference w:type="default" r:id="rId66"/>
          <w:type w:val="oddPage"/>
          <w:pgSz w:w="10080" w:h="14400" w:code="13"/>
          <w:pgMar w:top="1152" w:right="1152" w:bottom="1152" w:left="1296" w:header="720" w:footer="720" w:gutter="0"/>
          <w:cols w:space="720"/>
          <w:vAlign w:val="center"/>
          <w:docGrid w:linePitch="360"/>
        </w:sectPr>
      </w:pPr>
      <w:bookmarkStart w:id="102" w:name="_Toc509827704"/>
      <w:r>
        <w:t>CONCLUSIONS AND RECOMMENDATIONS</w:t>
      </w:r>
      <w:bookmarkEnd w:id="102"/>
    </w:p>
    <w:p w14:paraId="47F01E72" w14:textId="6474A857" w:rsidR="006243A1" w:rsidRPr="00B90432" w:rsidRDefault="006C6B72" w:rsidP="003D17BA">
      <w:pPr>
        <w:pStyle w:val="Heading1"/>
      </w:pPr>
      <w:bookmarkStart w:id="103" w:name="_Toc509827705"/>
      <w:r w:rsidRPr="00B90432">
        <w:lastRenderedPageBreak/>
        <w:t>CONCLUSIONS AND RECOMMENDATIONS</w:t>
      </w:r>
      <w:bookmarkEnd w:id="103"/>
    </w:p>
    <w:p w14:paraId="61CCDBC5" w14:textId="77777777" w:rsidR="006243A1" w:rsidRPr="00B90432" w:rsidRDefault="00854674" w:rsidP="00B90432">
      <w:pPr>
        <w:pStyle w:val="Numberedparagraphs"/>
        <w:rPr>
          <w:rFonts w:asciiTheme="minorHAnsi" w:hAnsiTheme="minorHAnsi"/>
        </w:rPr>
      </w:pPr>
      <w:r w:rsidRPr="00B90432">
        <w:rPr>
          <w:rFonts w:asciiTheme="minorHAnsi" w:hAnsiTheme="minorHAnsi"/>
        </w:rPr>
        <w:t xml:space="preserve">The human rights situation described in this report </w:t>
      </w:r>
      <w:r w:rsidR="00D10EB8" w:rsidRPr="00B90432">
        <w:rPr>
          <w:rFonts w:asciiTheme="minorHAnsi" w:hAnsiTheme="minorHAnsi"/>
        </w:rPr>
        <w:t xml:space="preserve">is rooted in the </w:t>
      </w:r>
      <w:r w:rsidR="00DE17FC" w:rsidRPr="00B90432">
        <w:rPr>
          <w:rFonts w:asciiTheme="minorHAnsi" w:hAnsiTheme="minorHAnsi"/>
        </w:rPr>
        <w:t>causes of the ar</w:t>
      </w:r>
      <w:r w:rsidR="008B6FA1" w:rsidRPr="00B90432">
        <w:rPr>
          <w:rFonts w:asciiTheme="minorHAnsi" w:hAnsiTheme="minorHAnsi"/>
        </w:rPr>
        <w:t>med conflict</w:t>
      </w:r>
      <w:r w:rsidR="00334818" w:rsidRPr="00B90432">
        <w:rPr>
          <w:rFonts w:asciiTheme="minorHAnsi" w:hAnsiTheme="minorHAnsi"/>
        </w:rPr>
        <w:t>, which</w:t>
      </w:r>
      <w:r w:rsidR="008B6FA1" w:rsidRPr="00B90432">
        <w:rPr>
          <w:rFonts w:asciiTheme="minorHAnsi" w:hAnsiTheme="minorHAnsi"/>
        </w:rPr>
        <w:t xml:space="preserve"> persist to the present </w:t>
      </w:r>
      <w:r w:rsidR="00334818" w:rsidRPr="00B90432">
        <w:rPr>
          <w:rFonts w:asciiTheme="minorHAnsi" w:hAnsiTheme="minorHAnsi"/>
        </w:rPr>
        <w:t>day</w:t>
      </w:r>
      <w:r w:rsidR="008B6FA1" w:rsidRPr="00B90432">
        <w:rPr>
          <w:rFonts w:asciiTheme="minorHAnsi" w:hAnsiTheme="minorHAnsi"/>
        </w:rPr>
        <w:t>. This causes include</w:t>
      </w:r>
      <w:r w:rsidR="00C155B1" w:rsidRPr="00B90432">
        <w:rPr>
          <w:rFonts w:asciiTheme="minorHAnsi" w:hAnsiTheme="minorHAnsi"/>
        </w:rPr>
        <w:t xml:space="preserve"> economic and social inequality, high levels of corruption, and a weak State response, partly as a consequence of the scarce tax revenue raised</w:t>
      </w:r>
      <w:r w:rsidR="008B6FA1" w:rsidRPr="00B90432">
        <w:rPr>
          <w:rFonts w:asciiTheme="minorHAnsi" w:hAnsiTheme="minorHAnsi"/>
        </w:rPr>
        <w:t xml:space="preserve"> by the State</w:t>
      </w:r>
      <w:r w:rsidR="00C155B1" w:rsidRPr="00B90432">
        <w:rPr>
          <w:rFonts w:asciiTheme="minorHAnsi" w:hAnsiTheme="minorHAnsi"/>
        </w:rPr>
        <w:t xml:space="preserve"> to meet the most pressing needs through policies and programs. </w:t>
      </w:r>
      <w:r w:rsidR="0054703D" w:rsidRPr="00B90432">
        <w:rPr>
          <w:rFonts w:asciiTheme="minorHAnsi" w:hAnsiTheme="minorHAnsi"/>
        </w:rPr>
        <w:t>There continue</w:t>
      </w:r>
      <w:r w:rsidR="00DC4930" w:rsidRPr="00B90432">
        <w:rPr>
          <w:rFonts w:asciiTheme="minorHAnsi" w:hAnsiTheme="minorHAnsi"/>
        </w:rPr>
        <w:t>s</w:t>
      </w:r>
      <w:r w:rsidR="0054703D" w:rsidRPr="00B90432">
        <w:rPr>
          <w:rFonts w:asciiTheme="minorHAnsi" w:hAnsiTheme="minorHAnsi"/>
        </w:rPr>
        <w:t xml:space="preserve"> to be structural problems, such as racial discrimination, social inequality, a </w:t>
      </w:r>
      <w:r w:rsidR="002F0048" w:rsidRPr="00B90432">
        <w:rPr>
          <w:rFonts w:asciiTheme="minorHAnsi" w:hAnsiTheme="minorHAnsi"/>
        </w:rPr>
        <w:t xml:space="preserve">widespread situation of poverty and exclusion, impunity and lack of access to justice, which stand as roadblocks to full respect for human rights in Guatemala. </w:t>
      </w:r>
      <w:r w:rsidR="00176484" w:rsidRPr="00B90432">
        <w:rPr>
          <w:rFonts w:asciiTheme="minorHAnsi" w:hAnsiTheme="minorHAnsi"/>
        </w:rPr>
        <w:t xml:space="preserve">The IACHR has consistently received information about persisting parallel structures of power that hamper efforts to combat impunity, corruption and strengthen the rule of law. </w:t>
      </w:r>
    </w:p>
    <w:p w14:paraId="0B18050A" w14:textId="77777777" w:rsidR="006243A1" w:rsidRPr="00B90432" w:rsidRDefault="00E83E91" w:rsidP="00B90432">
      <w:pPr>
        <w:pStyle w:val="Numberedparagraphs"/>
        <w:rPr>
          <w:rFonts w:asciiTheme="minorHAnsi" w:hAnsiTheme="minorHAnsi"/>
        </w:rPr>
      </w:pPr>
      <w:r w:rsidRPr="00B90432">
        <w:rPr>
          <w:rFonts w:asciiTheme="minorHAnsi" w:hAnsiTheme="minorHAnsi"/>
        </w:rPr>
        <w:t xml:space="preserve">In this context, as immediate measures, it is essential for the State to redouble its commitment to continue with efforts undertaken to combat </w:t>
      </w:r>
      <w:r w:rsidR="00E067EA" w:rsidRPr="00B90432">
        <w:rPr>
          <w:rFonts w:asciiTheme="minorHAnsi" w:hAnsiTheme="minorHAnsi"/>
        </w:rPr>
        <w:t>impunity, violence, intolerance and corruption, through prevention and pro-human rights policies and programs</w:t>
      </w:r>
      <w:r w:rsidR="00D20ACD" w:rsidRPr="00B90432">
        <w:rPr>
          <w:rFonts w:asciiTheme="minorHAnsi" w:hAnsiTheme="minorHAnsi"/>
        </w:rPr>
        <w:t xml:space="preserve">, as well as a strengthened, independent and impartial justice system. For this purpose, it is the obligation of the State to ensure the conditions for the CICIG and the Office of the Public Prosecutor to be able to efficiently perform their jobs, as well as approve a reform to the Constitution in the field of justice in keeping with the highest human rights standards. </w:t>
      </w:r>
    </w:p>
    <w:p w14:paraId="3385F666" w14:textId="77777777" w:rsidR="006243A1" w:rsidRPr="00B90432" w:rsidRDefault="005D19E4" w:rsidP="00B90432">
      <w:pPr>
        <w:pStyle w:val="Numberedparagraphs"/>
        <w:rPr>
          <w:rFonts w:asciiTheme="minorHAnsi" w:hAnsiTheme="minorHAnsi"/>
        </w:rPr>
      </w:pPr>
      <w:r w:rsidRPr="00B90432">
        <w:rPr>
          <w:rFonts w:asciiTheme="minorHAnsi" w:hAnsiTheme="minorHAnsi"/>
        </w:rPr>
        <w:t>Additionally, the State must make further efforts to adopt laws, policies and programs to close the persistent inequality and exclusion gap, so that</w:t>
      </w:r>
      <w:r w:rsidR="001F0F3B" w:rsidRPr="00B90432">
        <w:rPr>
          <w:rFonts w:asciiTheme="minorHAnsi" w:hAnsiTheme="minorHAnsi"/>
        </w:rPr>
        <w:t xml:space="preserve"> all persons, in particular, those</w:t>
      </w:r>
      <w:r w:rsidRPr="00B90432">
        <w:rPr>
          <w:rFonts w:asciiTheme="minorHAnsi" w:hAnsiTheme="minorHAnsi"/>
        </w:rPr>
        <w:t xml:space="preserve"> historically ex</w:t>
      </w:r>
      <w:r w:rsidR="0059381E" w:rsidRPr="00B90432">
        <w:rPr>
          <w:rFonts w:asciiTheme="minorHAnsi" w:hAnsiTheme="minorHAnsi"/>
        </w:rPr>
        <w:t>cluded</w:t>
      </w:r>
      <w:r w:rsidR="001F0F3B" w:rsidRPr="00B90432">
        <w:rPr>
          <w:rFonts w:asciiTheme="minorHAnsi" w:hAnsiTheme="minorHAnsi"/>
        </w:rPr>
        <w:t xml:space="preserve">, are able to exercise their human rights. </w:t>
      </w:r>
      <w:r w:rsidR="00FD71FA" w:rsidRPr="00B90432">
        <w:rPr>
          <w:rFonts w:asciiTheme="minorHAnsi" w:hAnsiTheme="minorHAnsi"/>
        </w:rPr>
        <w:t xml:space="preserve">It includes ensuring sufficient budget to fund the areas of greatest concern </w:t>
      </w:r>
      <w:r w:rsidR="00CD16E3" w:rsidRPr="00B90432">
        <w:rPr>
          <w:rFonts w:asciiTheme="minorHAnsi" w:hAnsiTheme="minorHAnsi"/>
        </w:rPr>
        <w:t xml:space="preserve">described </w:t>
      </w:r>
      <w:r w:rsidR="00FD71FA" w:rsidRPr="00B90432">
        <w:rPr>
          <w:rFonts w:asciiTheme="minorHAnsi" w:hAnsiTheme="minorHAnsi"/>
        </w:rPr>
        <w:t>in the instant report</w:t>
      </w:r>
      <w:r w:rsidR="006243A1" w:rsidRPr="00B90432">
        <w:rPr>
          <w:rFonts w:asciiTheme="minorHAnsi" w:hAnsiTheme="minorHAnsi"/>
        </w:rPr>
        <w:t>.</w:t>
      </w:r>
    </w:p>
    <w:p w14:paraId="354A6F83" w14:textId="77777777" w:rsidR="006243A1" w:rsidRPr="00B90432" w:rsidRDefault="00DF454C" w:rsidP="00B90432">
      <w:pPr>
        <w:pStyle w:val="Numberedparagraphs"/>
        <w:rPr>
          <w:rFonts w:asciiTheme="minorHAnsi" w:hAnsiTheme="minorHAnsi"/>
        </w:rPr>
      </w:pPr>
      <w:r w:rsidRPr="00B90432">
        <w:rPr>
          <w:rFonts w:asciiTheme="minorHAnsi" w:hAnsiTheme="minorHAnsi"/>
        </w:rPr>
        <w:t>The Commission expresses its will and willingness to contribute</w:t>
      </w:r>
      <w:r w:rsidR="00C04BAD" w:rsidRPr="00B90432">
        <w:rPr>
          <w:rFonts w:asciiTheme="minorHAnsi" w:hAnsiTheme="minorHAnsi"/>
        </w:rPr>
        <w:t xml:space="preserve"> and collaborate with the State of Guat</w:t>
      </w:r>
      <w:r w:rsidR="006D5FE8" w:rsidRPr="00B90432">
        <w:rPr>
          <w:rFonts w:asciiTheme="minorHAnsi" w:hAnsiTheme="minorHAnsi"/>
        </w:rPr>
        <w:t>emala in the implementation of a</w:t>
      </w:r>
      <w:r w:rsidR="00C04BAD" w:rsidRPr="00B90432">
        <w:rPr>
          <w:rFonts w:asciiTheme="minorHAnsi" w:hAnsiTheme="minorHAnsi"/>
        </w:rPr>
        <w:t xml:space="preserve"> human rights agenda aimed at ensuring and protecting </w:t>
      </w:r>
      <w:r w:rsidR="00A77A0F" w:rsidRPr="00B90432">
        <w:rPr>
          <w:rFonts w:asciiTheme="minorHAnsi" w:hAnsiTheme="minorHAnsi"/>
        </w:rPr>
        <w:t xml:space="preserve">the rights of its inhabitants. </w:t>
      </w:r>
      <w:r w:rsidR="006D5FE8" w:rsidRPr="00B90432">
        <w:rPr>
          <w:rFonts w:asciiTheme="minorHAnsi" w:hAnsiTheme="minorHAnsi"/>
        </w:rPr>
        <w:t xml:space="preserve">In this context, the IACHR </w:t>
      </w:r>
      <w:r w:rsidR="008E01F7" w:rsidRPr="00B90432">
        <w:rPr>
          <w:rFonts w:asciiTheme="minorHAnsi" w:hAnsiTheme="minorHAnsi"/>
        </w:rPr>
        <w:t xml:space="preserve">makes the following recommendations to the State of Guatemala: </w:t>
      </w:r>
      <w:r w:rsidRPr="00B90432">
        <w:rPr>
          <w:rFonts w:asciiTheme="minorHAnsi" w:hAnsiTheme="minorHAnsi"/>
        </w:rPr>
        <w:t xml:space="preserve"> </w:t>
      </w:r>
    </w:p>
    <w:p w14:paraId="6287DB0A" w14:textId="77777777" w:rsidR="006243A1" w:rsidRPr="00B90432" w:rsidRDefault="00D21281" w:rsidP="0085755A">
      <w:pPr>
        <w:pStyle w:val="Heading2"/>
        <w:numPr>
          <w:ilvl w:val="0"/>
          <w:numId w:val="22"/>
        </w:numPr>
        <w:ind w:left="540" w:hanging="540"/>
      </w:pPr>
      <w:bookmarkStart w:id="104" w:name="_Toc509827706"/>
      <w:r w:rsidRPr="00B90432">
        <w:lastRenderedPageBreak/>
        <w:t xml:space="preserve">General </w:t>
      </w:r>
      <w:r w:rsidR="006243A1" w:rsidRPr="00B90432">
        <w:t>Recom</w:t>
      </w:r>
      <w:r w:rsidRPr="00B90432">
        <w:t>mendation</w:t>
      </w:r>
      <w:r w:rsidR="006243A1" w:rsidRPr="00B90432">
        <w:t>s</w:t>
      </w:r>
      <w:bookmarkEnd w:id="104"/>
      <w:r w:rsidR="006243A1" w:rsidRPr="00B90432">
        <w:t xml:space="preserve"> </w:t>
      </w:r>
    </w:p>
    <w:p w14:paraId="10EAF909" w14:textId="77777777" w:rsidR="006243A1" w:rsidRPr="00B90432" w:rsidRDefault="002F2C1F"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Create, together with the IACHR, a Follow-Up Mechanism to the Recommendations of the instant report. </w:t>
      </w:r>
    </w:p>
    <w:p w14:paraId="21607F0D" w14:textId="77777777" w:rsidR="006243A1" w:rsidRPr="00B90432" w:rsidRDefault="00DE2A05" w:rsidP="0085755A">
      <w:pPr>
        <w:numPr>
          <w:ilvl w:val="0"/>
          <w:numId w:val="23"/>
        </w:numPr>
        <w:spacing w:after="240" w:line="240" w:lineRule="auto"/>
        <w:ind w:left="1094" w:hanging="547"/>
        <w:jc w:val="both"/>
        <w:rPr>
          <w:rFonts w:asciiTheme="minorHAnsi" w:hAnsiTheme="minorHAnsi"/>
        </w:rPr>
      </w:pPr>
      <w:r w:rsidRPr="00B90432">
        <w:rPr>
          <w:rFonts w:asciiTheme="minorHAnsi" w:hAnsiTheme="minorHAnsi"/>
        </w:rPr>
        <w:t xml:space="preserve">Make sure that the </w:t>
      </w:r>
      <w:r w:rsidR="006243A1" w:rsidRPr="00B90432">
        <w:rPr>
          <w:rFonts w:asciiTheme="minorHAnsi" w:hAnsiTheme="minorHAnsi"/>
        </w:rPr>
        <w:t xml:space="preserve">CICIG, </w:t>
      </w:r>
      <w:r w:rsidRPr="00B90432">
        <w:rPr>
          <w:rFonts w:asciiTheme="minorHAnsi" w:hAnsiTheme="minorHAnsi"/>
        </w:rPr>
        <w:t xml:space="preserve">under the direction of its Commissioner, </w:t>
      </w:r>
      <w:r w:rsidR="006243A1" w:rsidRPr="00B90432">
        <w:rPr>
          <w:rFonts w:asciiTheme="minorHAnsi" w:hAnsiTheme="minorHAnsi"/>
        </w:rPr>
        <w:t>Iván Velásquez</w:t>
      </w:r>
      <w:r w:rsidRPr="00B90432">
        <w:rPr>
          <w:rFonts w:asciiTheme="minorHAnsi" w:hAnsiTheme="minorHAnsi"/>
        </w:rPr>
        <w:t>, is able to fulfill its mandate with the proper protections, without harassment, threats or undue inter</w:t>
      </w:r>
      <w:r w:rsidR="001A7042" w:rsidRPr="00B90432">
        <w:rPr>
          <w:rFonts w:asciiTheme="minorHAnsi" w:hAnsiTheme="minorHAnsi"/>
        </w:rPr>
        <w:t xml:space="preserve">ference, in accordance with </w:t>
      </w:r>
      <w:r w:rsidR="00BA4BC4" w:rsidRPr="00B90432">
        <w:rPr>
          <w:rFonts w:asciiTheme="minorHAnsi" w:hAnsiTheme="minorHAnsi"/>
        </w:rPr>
        <w:t xml:space="preserve">the </w:t>
      </w:r>
      <w:r w:rsidRPr="00B90432">
        <w:rPr>
          <w:rFonts w:asciiTheme="minorHAnsi" w:hAnsiTheme="minorHAnsi"/>
        </w:rPr>
        <w:t>Agreement</w:t>
      </w:r>
      <w:r w:rsidR="00BA4BC4" w:rsidRPr="00B90432">
        <w:rPr>
          <w:rFonts w:asciiTheme="minorHAnsi" w:hAnsiTheme="minorHAnsi"/>
        </w:rPr>
        <w:t xml:space="preserve"> creating it.</w:t>
      </w:r>
    </w:p>
    <w:p w14:paraId="0DF6D2B8" w14:textId="77777777" w:rsidR="006243A1" w:rsidRPr="00B90432" w:rsidRDefault="000627B2"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Endow </w:t>
      </w:r>
      <w:r w:rsidR="006243A1" w:rsidRPr="00B90432">
        <w:rPr>
          <w:rFonts w:asciiTheme="minorHAnsi" w:hAnsiTheme="minorHAnsi"/>
        </w:rPr>
        <w:t xml:space="preserve">COPREDEH </w:t>
      </w:r>
      <w:r w:rsidRPr="00B90432">
        <w:rPr>
          <w:rFonts w:asciiTheme="minorHAnsi" w:hAnsiTheme="minorHAnsi"/>
        </w:rPr>
        <w:t xml:space="preserve">and the Office of the Human Rights Ombudsman with sufficient human and budgetary resources to be able to fully comply with its mandate. </w:t>
      </w:r>
    </w:p>
    <w:p w14:paraId="50FE8AC6" w14:textId="77777777" w:rsidR="006243A1" w:rsidRPr="00B90432" w:rsidRDefault="006D24FD"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Ratify the Int</w:t>
      </w:r>
      <w:r w:rsidR="00126F44" w:rsidRPr="00B90432">
        <w:rPr>
          <w:rFonts w:asciiTheme="minorHAnsi" w:hAnsiTheme="minorHAnsi"/>
        </w:rPr>
        <w:t>er-American Convention against A</w:t>
      </w:r>
      <w:r w:rsidRPr="00B90432">
        <w:rPr>
          <w:rFonts w:asciiTheme="minorHAnsi" w:hAnsiTheme="minorHAnsi"/>
        </w:rPr>
        <w:t xml:space="preserve">ll Forms of Discrimination and Intolerance, the Inter-American Convention against Racism, Racial Discrimination and Related Forms of Intolerance, the Inter-American Convention on </w:t>
      </w:r>
      <w:r w:rsidR="005013F8" w:rsidRPr="00B90432">
        <w:rPr>
          <w:rFonts w:asciiTheme="minorHAnsi" w:hAnsiTheme="minorHAnsi"/>
        </w:rPr>
        <w:t xml:space="preserve">Protecting </w:t>
      </w:r>
      <w:r w:rsidRPr="00B90432">
        <w:rPr>
          <w:rFonts w:asciiTheme="minorHAnsi" w:hAnsiTheme="minorHAnsi"/>
        </w:rPr>
        <w:t xml:space="preserve">the Rights of Older </w:t>
      </w:r>
      <w:r w:rsidR="005013F8" w:rsidRPr="00B90432">
        <w:rPr>
          <w:rFonts w:asciiTheme="minorHAnsi" w:hAnsiTheme="minorHAnsi"/>
        </w:rPr>
        <w:t xml:space="preserve">Persons </w:t>
      </w:r>
      <w:r w:rsidRPr="00B90432">
        <w:rPr>
          <w:rFonts w:asciiTheme="minorHAnsi" w:hAnsiTheme="minorHAnsi"/>
        </w:rPr>
        <w:t xml:space="preserve">and the Additional Protocol to the American Convention on Human </w:t>
      </w:r>
      <w:r w:rsidR="00FE68F4" w:rsidRPr="00B90432">
        <w:rPr>
          <w:rFonts w:asciiTheme="minorHAnsi" w:hAnsiTheme="minorHAnsi"/>
        </w:rPr>
        <w:t>Rights to Abolish</w:t>
      </w:r>
      <w:r w:rsidRPr="00B90432">
        <w:rPr>
          <w:rFonts w:asciiTheme="minorHAnsi" w:hAnsiTheme="minorHAnsi"/>
        </w:rPr>
        <w:t xml:space="preserve"> the Death Penalty. </w:t>
      </w:r>
    </w:p>
    <w:p w14:paraId="501EB508" w14:textId="77777777" w:rsidR="006243A1" w:rsidRPr="00B90432" w:rsidRDefault="007205D5"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Continue with efforts to eradicate extreme poverty and hunger, especially, to adopt emergency measures to eliminate the serious issue of child malnutrition, such as programs and policies to prevent maternal and </w:t>
      </w:r>
      <w:r w:rsidR="00A9619A" w:rsidRPr="00B90432">
        <w:rPr>
          <w:rFonts w:asciiTheme="minorHAnsi" w:hAnsiTheme="minorHAnsi"/>
        </w:rPr>
        <w:t>infant mortality in the country</w:t>
      </w:r>
      <w:r w:rsidR="006243A1" w:rsidRPr="00B90432">
        <w:rPr>
          <w:rFonts w:asciiTheme="minorHAnsi" w:hAnsiTheme="minorHAnsi"/>
        </w:rPr>
        <w:t xml:space="preserve">. </w:t>
      </w:r>
    </w:p>
    <w:p w14:paraId="4513CB59" w14:textId="77777777" w:rsidR="006243A1" w:rsidRPr="00B90432" w:rsidRDefault="00EA78D7"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Adopt emergency measures to ensure the economic, social, cultural and environmental rights of t</w:t>
      </w:r>
      <w:r w:rsidR="00F31404" w:rsidRPr="00B90432">
        <w:rPr>
          <w:rFonts w:asciiTheme="minorHAnsi" w:hAnsiTheme="minorHAnsi"/>
        </w:rPr>
        <w:t xml:space="preserve">he population, in particular, </w:t>
      </w:r>
      <w:r w:rsidR="00AB3690" w:rsidRPr="00B90432">
        <w:rPr>
          <w:rFonts w:asciiTheme="minorHAnsi" w:hAnsiTheme="minorHAnsi"/>
        </w:rPr>
        <w:t xml:space="preserve">the </w:t>
      </w:r>
      <w:r w:rsidR="00F31404" w:rsidRPr="00B90432">
        <w:rPr>
          <w:rFonts w:asciiTheme="minorHAnsi" w:hAnsiTheme="minorHAnsi"/>
        </w:rPr>
        <w:t xml:space="preserve">persons living in a situation of </w:t>
      </w:r>
      <w:r w:rsidR="0034424C" w:rsidRPr="00B90432">
        <w:rPr>
          <w:rFonts w:asciiTheme="minorHAnsi" w:hAnsiTheme="minorHAnsi"/>
        </w:rPr>
        <w:t xml:space="preserve">major </w:t>
      </w:r>
      <w:r w:rsidR="00BC20B2" w:rsidRPr="00B90432">
        <w:rPr>
          <w:rFonts w:asciiTheme="minorHAnsi" w:hAnsiTheme="minorHAnsi"/>
        </w:rPr>
        <w:t xml:space="preserve">exclusion described in the instant report. </w:t>
      </w:r>
    </w:p>
    <w:p w14:paraId="24FADE57" w14:textId="77777777" w:rsidR="006243A1" w:rsidRPr="00B90432" w:rsidRDefault="004D3962" w:rsidP="001D586A">
      <w:pPr>
        <w:pStyle w:val="Heading2"/>
      </w:pPr>
      <w:bookmarkStart w:id="105" w:name="_Toc509827707"/>
      <w:r w:rsidRPr="00B90432">
        <w:t>Recommendation</w:t>
      </w:r>
      <w:r w:rsidR="006243A1" w:rsidRPr="00B90432">
        <w:t xml:space="preserve">s </w:t>
      </w:r>
      <w:r w:rsidRPr="00B90432">
        <w:t>regarding administration of justice</w:t>
      </w:r>
      <w:bookmarkEnd w:id="105"/>
      <w:r w:rsidRPr="00B90432">
        <w:t xml:space="preserve"> </w:t>
      </w:r>
    </w:p>
    <w:p w14:paraId="473071D8" w14:textId="77777777" w:rsidR="006243A1" w:rsidRPr="00B90432" w:rsidRDefault="00C34F4F" w:rsidP="0085755A">
      <w:pPr>
        <w:pStyle w:val="ListParagraph"/>
        <w:numPr>
          <w:ilvl w:val="0"/>
          <w:numId w:val="23"/>
        </w:numPr>
        <w:spacing w:after="240"/>
        <w:ind w:left="1094" w:hanging="547"/>
        <w:jc w:val="both"/>
        <w:rPr>
          <w:rFonts w:asciiTheme="minorHAnsi" w:hAnsiTheme="minorHAnsi"/>
          <w:color w:val="333333"/>
        </w:rPr>
      </w:pPr>
      <w:r w:rsidRPr="00B90432">
        <w:rPr>
          <w:rFonts w:asciiTheme="minorHAnsi" w:hAnsiTheme="minorHAnsi"/>
          <w:color w:val="333333"/>
        </w:rPr>
        <w:t>Approve constitutional reform on justi</w:t>
      </w:r>
      <w:r w:rsidR="00E1229C" w:rsidRPr="00B90432">
        <w:rPr>
          <w:rFonts w:asciiTheme="minorHAnsi" w:hAnsiTheme="minorHAnsi"/>
          <w:color w:val="333333"/>
        </w:rPr>
        <w:t>ce as soon as possible while ensuring compliance with international standards on the subject matter, in order to strengthen the judicial career. For this purpose, it must be ensured that the processes of selection and appointment of the operators of justice</w:t>
      </w:r>
      <w:r w:rsidR="00625B0A" w:rsidRPr="00B90432">
        <w:rPr>
          <w:rFonts w:asciiTheme="minorHAnsi" w:hAnsiTheme="minorHAnsi"/>
          <w:color w:val="333333"/>
        </w:rPr>
        <w:t xml:space="preserve"> are carried out in keeping with Inter-American standards, under </w:t>
      </w:r>
      <w:r w:rsidR="00E8047F" w:rsidRPr="00B90432">
        <w:rPr>
          <w:rFonts w:asciiTheme="minorHAnsi" w:hAnsiTheme="minorHAnsi"/>
          <w:color w:val="333333"/>
        </w:rPr>
        <w:t xml:space="preserve">merit and </w:t>
      </w:r>
      <w:r w:rsidR="00B03961" w:rsidRPr="00B90432">
        <w:rPr>
          <w:rFonts w:asciiTheme="minorHAnsi" w:hAnsiTheme="minorHAnsi"/>
          <w:color w:val="333333"/>
        </w:rPr>
        <w:t>professional</w:t>
      </w:r>
      <w:r w:rsidR="00E8047F" w:rsidRPr="00B90432">
        <w:rPr>
          <w:rFonts w:asciiTheme="minorHAnsi" w:hAnsiTheme="minorHAnsi"/>
          <w:color w:val="333333"/>
        </w:rPr>
        <w:t xml:space="preserve"> qualification-based criteria</w:t>
      </w:r>
      <w:r w:rsidR="006243A1" w:rsidRPr="00B90432">
        <w:rPr>
          <w:rFonts w:asciiTheme="minorHAnsi" w:hAnsiTheme="minorHAnsi"/>
          <w:color w:val="000000"/>
        </w:rPr>
        <w:t xml:space="preserve">, </w:t>
      </w:r>
      <w:r w:rsidR="00E8047F" w:rsidRPr="00B90432">
        <w:rPr>
          <w:rFonts w:asciiTheme="minorHAnsi" w:hAnsiTheme="minorHAnsi"/>
          <w:color w:val="000000"/>
        </w:rPr>
        <w:t>free of any improper political interference.</w:t>
      </w:r>
    </w:p>
    <w:p w14:paraId="288C34D3" w14:textId="77777777" w:rsidR="006243A1" w:rsidRPr="00B90432" w:rsidRDefault="00E6400F" w:rsidP="0085755A">
      <w:pPr>
        <w:pStyle w:val="ListParagraph"/>
        <w:numPr>
          <w:ilvl w:val="0"/>
          <w:numId w:val="23"/>
        </w:numPr>
        <w:spacing w:after="240"/>
        <w:ind w:left="1094" w:hanging="547"/>
        <w:jc w:val="both"/>
        <w:rPr>
          <w:rFonts w:asciiTheme="minorHAnsi" w:hAnsiTheme="minorHAnsi"/>
          <w:color w:val="333333"/>
        </w:rPr>
      </w:pPr>
      <w:r w:rsidRPr="00B90432">
        <w:rPr>
          <w:rFonts w:asciiTheme="minorHAnsi" w:hAnsiTheme="minorHAnsi"/>
        </w:rPr>
        <w:t xml:space="preserve">Examine the factors </w:t>
      </w:r>
      <w:r w:rsidR="00200F02" w:rsidRPr="00B90432">
        <w:rPr>
          <w:rFonts w:asciiTheme="minorHAnsi" w:hAnsiTheme="minorHAnsi"/>
        </w:rPr>
        <w:t xml:space="preserve">limiting </w:t>
      </w:r>
      <w:r w:rsidRPr="00B90432">
        <w:rPr>
          <w:rFonts w:asciiTheme="minorHAnsi" w:hAnsiTheme="minorHAnsi"/>
        </w:rPr>
        <w:t xml:space="preserve">expeditious and effective access to justice and take corrective measures. For example, ensure that the </w:t>
      </w:r>
      <w:r w:rsidRPr="00B90432">
        <w:rPr>
          <w:rFonts w:asciiTheme="minorHAnsi" w:hAnsiTheme="minorHAnsi"/>
          <w:i/>
        </w:rPr>
        <w:lastRenderedPageBreak/>
        <w:t xml:space="preserve">amparo </w:t>
      </w:r>
      <w:r w:rsidRPr="00B90432">
        <w:rPr>
          <w:rFonts w:asciiTheme="minorHAnsi" w:hAnsiTheme="minorHAnsi"/>
        </w:rPr>
        <w:t>appeal mechanism and the appli</w:t>
      </w:r>
      <w:r w:rsidR="006C5AD9" w:rsidRPr="00B90432">
        <w:rPr>
          <w:rFonts w:asciiTheme="minorHAnsi" w:hAnsiTheme="minorHAnsi"/>
        </w:rPr>
        <w:t>cation thereof in Guatemala meet</w:t>
      </w:r>
      <w:r w:rsidRPr="00B90432">
        <w:rPr>
          <w:rFonts w:asciiTheme="minorHAnsi" w:hAnsiTheme="minorHAnsi"/>
        </w:rPr>
        <w:t xml:space="preserve"> Inter-American standards on the subject. </w:t>
      </w:r>
    </w:p>
    <w:p w14:paraId="25D355D3" w14:textId="419C2699" w:rsidR="006243A1" w:rsidRPr="00B90432" w:rsidRDefault="00B03961" w:rsidP="001D586A">
      <w:pPr>
        <w:pStyle w:val="Heading2"/>
      </w:pPr>
      <w:bookmarkStart w:id="106" w:name="_Toc509827708"/>
      <w:r w:rsidRPr="00B90432">
        <w:t>Recommendations</w:t>
      </w:r>
      <w:r w:rsidR="001702A9" w:rsidRPr="00B90432">
        <w:t xml:space="preserve"> regarding </w:t>
      </w:r>
      <w:r w:rsidR="00452F06" w:rsidRPr="00B90432">
        <w:t xml:space="preserve">Transitional Justice </w:t>
      </w:r>
      <w:r w:rsidR="001702A9" w:rsidRPr="00B90432">
        <w:t xml:space="preserve">and </w:t>
      </w:r>
      <w:r w:rsidR="00452F06" w:rsidRPr="00B90432">
        <w:t xml:space="preserve">Reparation </w:t>
      </w:r>
      <w:r w:rsidR="001702A9" w:rsidRPr="00B90432">
        <w:t xml:space="preserve">to </w:t>
      </w:r>
      <w:r w:rsidR="00452F06" w:rsidRPr="00B90432">
        <w:t xml:space="preserve">Victims </w:t>
      </w:r>
      <w:r w:rsidR="001702A9" w:rsidRPr="00B90432">
        <w:t xml:space="preserve">of the </w:t>
      </w:r>
      <w:r w:rsidR="00452F06" w:rsidRPr="00B90432">
        <w:t>Internal Armed Conflict</w:t>
      </w:r>
      <w:bookmarkEnd w:id="106"/>
      <w:r w:rsidR="00452F06" w:rsidRPr="00B90432">
        <w:t xml:space="preserve"> </w:t>
      </w:r>
    </w:p>
    <w:p w14:paraId="37904AF5" w14:textId="77777777" w:rsidR="006243A1" w:rsidRPr="00B90432" w:rsidRDefault="00125E99"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Approve Law </w:t>
      </w:r>
      <w:r w:rsidR="006243A1" w:rsidRPr="00B90432">
        <w:rPr>
          <w:rFonts w:asciiTheme="minorHAnsi" w:hAnsiTheme="minorHAnsi"/>
        </w:rPr>
        <w:t xml:space="preserve">35-90 </w:t>
      </w:r>
      <w:r w:rsidRPr="00B90432">
        <w:rPr>
          <w:rFonts w:asciiTheme="minorHAnsi" w:hAnsiTheme="minorHAnsi"/>
        </w:rPr>
        <w:t>to cr</w:t>
      </w:r>
      <w:r w:rsidR="0087357C" w:rsidRPr="00B90432">
        <w:rPr>
          <w:rFonts w:asciiTheme="minorHAnsi" w:hAnsiTheme="minorHAnsi"/>
        </w:rPr>
        <w:t>eate the National Commission to Search for</w:t>
      </w:r>
      <w:r w:rsidRPr="00B90432">
        <w:rPr>
          <w:rFonts w:asciiTheme="minorHAnsi" w:hAnsiTheme="minorHAnsi"/>
        </w:rPr>
        <w:t xml:space="preserve"> Victims of Forced Disappearance </w:t>
      </w:r>
      <w:r w:rsidR="00B71880" w:rsidRPr="00B90432">
        <w:rPr>
          <w:rFonts w:asciiTheme="minorHAnsi" w:hAnsiTheme="minorHAnsi"/>
        </w:rPr>
        <w:t xml:space="preserve">and </w:t>
      </w:r>
      <w:r w:rsidR="00D370AA" w:rsidRPr="00B90432">
        <w:rPr>
          <w:rFonts w:asciiTheme="minorHAnsi" w:hAnsiTheme="minorHAnsi"/>
        </w:rPr>
        <w:t xml:space="preserve">to push forward the search for missing persons in accordance with international standards on the subject matter. </w:t>
      </w:r>
    </w:p>
    <w:p w14:paraId="35986189" w14:textId="77777777" w:rsidR="006243A1" w:rsidRPr="00B90432" w:rsidRDefault="006243A1"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Ap</w:t>
      </w:r>
      <w:r w:rsidR="009B072A" w:rsidRPr="00B90432">
        <w:rPr>
          <w:rFonts w:asciiTheme="minorHAnsi" w:hAnsiTheme="minorHAnsi"/>
        </w:rPr>
        <w:t xml:space="preserve">prove Law </w:t>
      </w:r>
      <w:r w:rsidRPr="00B90432">
        <w:rPr>
          <w:rFonts w:asciiTheme="minorHAnsi" w:hAnsiTheme="minorHAnsi"/>
        </w:rPr>
        <w:t xml:space="preserve">3551 </w:t>
      </w:r>
      <w:r w:rsidR="006E7F09" w:rsidRPr="00B90432">
        <w:rPr>
          <w:rFonts w:asciiTheme="minorHAnsi" w:hAnsiTheme="minorHAnsi"/>
        </w:rPr>
        <w:t xml:space="preserve">to </w:t>
      </w:r>
      <w:r w:rsidR="00B54A78" w:rsidRPr="00B90432">
        <w:rPr>
          <w:rFonts w:asciiTheme="minorHAnsi" w:hAnsiTheme="minorHAnsi"/>
        </w:rPr>
        <w:t xml:space="preserve">provide </w:t>
      </w:r>
      <w:r w:rsidR="00403B47" w:rsidRPr="00B90432">
        <w:rPr>
          <w:rFonts w:asciiTheme="minorHAnsi" w:hAnsiTheme="minorHAnsi"/>
        </w:rPr>
        <w:t>solidity and certainty to the National Reparation</w:t>
      </w:r>
      <w:r w:rsidR="00D40F3A" w:rsidRPr="00B90432">
        <w:rPr>
          <w:rFonts w:asciiTheme="minorHAnsi" w:hAnsiTheme="minorHAnsi"/>
        </w:rPr>
        <w:t>s Program (PNR).</w:t>
      </w:r>
      <w:r w:rsidRPr="00B90432">
        <w:rPr>
          <w:rFonts w:asciiTheme="minorHAnsi" w:hAnsiTheme="minorHAnsi"/>
        </w:rPr>
        <w:t xml:space="preserve"> </w:t>
      </w:r>
    </w:p>
    <w:p w14:paraId="31E29804" w14:textId="77777777" w:rsidR="006243A1" w:rsidRPr="00B90432" w:rsidRDefault="00D40F3A"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Reinforce actions to combat impunity for human rights violations committed during the internal arm</w:t>
      </w:r>
      <w:r w:rsidR="00C111D1" w:rsidRPr="00B90432">
        <w:rPr>
          <w:rFonts w:asciiTheme="minorHAnsi" w:hAnsiTheme="minorHAnsi"/>
        </w:rPr>
        <w:t>ed conflict, through prompt, th</w:t>
      </w:r>
      <w:r w:rsidR="002540D2" w:rsidRPr="00B90432">
        <w:rPr>
          <w:rFonts w:asciiTheme="minorHAnsi" w:hAnsiTheme="minorHAnsi"/>
        </w:rPr>
        <w:t>o</w:t>
      </w:r>
      <w:r w:rsidRPr="00B90432">
        <w:rPr>
          <w:rFonts w:asciiTheme="minorHAnsi" w:hAnsiTheme="minorHAnsi"/>
        </w:rPr>
        <w:t>rough and impartial</w:t>
      </w:r>
      <w:r w:rsidR="00C111D1" w:rsidRPr="00B90432">
        <w:rPr>
          <w:rFonts w:asciiTheme="minorHAnsi" w:hAnsiTheme="minorHAnsi"/>
        </w:rPr>
        <w:t xml:space="preserve"> investigations, punish </w:t>
      </w:r>
      <w:r w:rsidR="006E35FF" w:rsidRPr="00B90432">
        <w:rPr>
          <w:rFonts w:asciiTheme="minorHAnsi" w:hAnsiTheme="minorHAnsi"/>
        </w:rPr>
        <w:t>the perpetrators and masterminds and pro</w:t>
      </w:r>
      <w:r w:rsidR="001A15A7" w:rsidRPr="00B90432">
        <w:rPr>
          <w:rFonts w:asciiTheme="minorHAnsi" w:hAnsiTheme="minorHAnsi"/>
        </w:rPr>
        <w:t xml:space="preserve">vide reparation to the victims. </w:t>
      </w:r>
    </w:p>
    <w:p w14:paraId="5CEEA3B9" w14:textId="77777777" w:rsidR="006243A1" w:rsidRPr="00B90432" w:rsidRDefault="001A15A7"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Earmark sufficient resources to the Archive of the National Civilian Police.</w:t>
      </w:r>
    </w:p>
    <w:p w14:paraId="025E8797" w14:textId="03470D4D" w:rsidR="006243A1" w:rsidRPr="00B90432" w:rsidRDefault="006243A1" w:rsidP="001D586A">
      <w:pPr>
        <w:pStyle w:val="Heading2"/>
      </w:pPr>
      <w:bookmarkStart w:id="107" w:name="_Toc509827709"/>
      <w:r w:rsidRPr="00B90432">
        <w:t>Recom</w:t>
      </w:r>
      <w:r w:rsidR="00E15982" w:rsidRPr="00B90432">
        <w:t xml:space="preserve">mendations regarding the </w:t>
      </w:r>
      <w:r w:rsidR="00452F06" w:rsidRPr="00B90432">
        <w:t xml:space="preserve">Situation </w:t>
      </w:r>
      <w:r w:rsidR="00E15982" w:rsidRPr="00B90432">
        <w:t xml:space="preserve">of </w:t>
      </w:r>
      <w:r w:rsidR="00452F06" w:rsidRPr="00B90432">
        <w:t>Citizen Security</w:t>
      </w:r>
      <w:bookmarkEnd w:id="107"/>
      <w:r w:rsidR="00452F06" w:rsidRPr="00B90432">
        <w:t xml:space="preserve"> </w:t>
      </w:r>
    </w:p>
    <w:p w14:paraId="7F845BA8" w14:textId="77777777" w:rsidR="006243A1" w:rsidRPr="00452F06" w:rsidRDefault="006E3EE9"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Draft and implement public prevention policies, </w:t>
      </w:r>
      <w:r w:rsidR="002C71BE" w:rsidRPr="00452F06">
        <w:rPr>
          <w:rFonts w:asciiTheme="minorHAnsi" w:hAnsiTheme="minorHAnsi"/>
        </w:rPr>
        <w:t xml:space="preserve">based on the root causes of violence and the high crime rates, in order to continue to bring these rates down substantially, and to ensure that Guatemalans live in a country free of violence. </w:t>
      </w:r>
    </w:p>
    <w:p w14:paraId="13BD37E5" w14:textId="77777777" w:rsidR="006243A1" w:rsidRPr="00452F06" w:rsidRDefault="00BE58C9"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Continue with efforts to strengthen the PNC and withdraw the armed forces from duties of citizen security. </w:t>
      </w:r>
    </w:p>
    <w:p w14:paraId="5D15F9F9" w14:textId="77777777" w:rsidR="006243A1" w:rsidRPr="00452F06" w:rsidRDefault="009D368F"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Ensure the regulation and effective oversight of private security firms and their agents, registration and punishment of those who do not </w:t>
      </w:r>
      <w:r w:rsidR="00433C69" w:rsidRPr="00452F06">
        <w:rPr>
          <w:rFonts w:asciiTheme="minorHAnsi" w:hAnsiTheme="minorHAnsi"/>
        </w:rPr>
        <w:t xml:space="preserve">comply with requirements; as well as carry out strict gun control. </w:t>
      </w:r>
    </w:p>
    <w:p w14:paraId="2F239EA0" w14:textId="77777777" w:rsidR="006243A1" w:rsidRPr="00452F06" w:rsidRDefault="008C1C24"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Adopt specific measures to address the issue of </w:t>
      </w:r>
      <w:r w:rsidR="00B03961" w:rsidRPr="00452F06">
        <w:rPr>
          <w:rFonts w:asciiTheme="minorHAnsi" w:hAnsiTheme="minorHAnsi"/>
        </w:rPr>
        <w:t>lynching</w:t>
      </w:r>
      <w:r w:rsidRPr="00452F06">
        <w:rPr>
          <w:rFonts w:asciiTheme="minorHAnsi" w:hAnsiTheme="minorHAnsi"/>
        </w:rPr>
        <w:t xml:space="preserve"> in the country. </w:t>
      </w:r>
    </w:p>
    <w:p w14:paraId="5447E642" w14:textId="6AC7337E" w:rsidR="006243A1" w:rsidRPr="00B90432" w:rsidRDefault="006243A1" w:rsidP="001D586A">
      <w:pPr>
        <w:pStyle w:val="Heading2"/>
      </w:pPr>
      <w:bookmarkStart w:id="108" w:name="_Toc509827710"/>
      <w:r w:rsidRPr="00B90432">
        <w:lastRenderedPageBreak/>
        <w:t>Recom</w:t>
      </w:r>
      <w:r w:rsidR="00667BEB" w:rsidRPr="00B90432">
        <w:t xml:space="preserve">mendations regarding </w:t>
      </w:r>
      <w:r w:rsidR="00452F06" w:rsidRPr="00B90432">
        <w:t xml:space="preserve">Specific Segments </w:t>
      </w:r>
      <w:r w:rsidR="00667BEB" w:rsidRPr="00B90432">
        <w:t xml:space="preserve">of the </w:t>
      </w:r>
      <w:r w:rsidR="00452F06" w:rsidRPr="00B90432">
        <w:t>Population</w:t>
      </w:r>
      <w:bookmarkEnd w:id="108"/>
      <w:r w:rsidR="00452F06" w:rsidRPr="00B90432">
        <w:t xml:space="preserve"> </w:t>
      </w:r>
    </w:p>
    <w:p w14:paraId="3061E435" w14:textId="77777777" w:rsidR="006243A1" w:rsidRPr="00452F06" w:rsidRDefault="001346A3"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Women</w:t>
      </w:r>
    </w:p>
    <w:p w14:paraId="367C9547" w14:textId="77777777" w:rsidR="006243A1" w:rsidRPr="00452F06" w:rsidRDefault="006E4D4E"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Take decisive action to ensure for all women victims of violence and discrimination access to justice at all stages (complaint, investigation and trial proceedings) </w:t>
      </w:r>
      <w:r w:rsidR="00D1373D" w:rsidRPr="00452F06">
        <w:rPr>
          <w:rFonts w:asciiTheme="minorHAnsi" w:hAnsiTheme="minorHAnsi"/>
        </w:rPr>
        <w:t>t</w:t>
      </w:r>
      <w:r w:rsidR="00E12BC5" w:rsidRPr="00452F06">
        <w:rPr>
          <w:rFonts w:asciiTheme="minorHAnsi" w:hAnsiTheme="minorHAnsi"/>
        </w:rPr>
        <w:t xml:space="preserve">hrough </w:t>
      </w:r>
      <w:r w:rsidRPr="00452F06">
        <w:rPr>
          <w:rFonts w:asciiTheme="minorHAnsi" w:hAnsiTheme="minorHAnsi"/>
        </w:rPr>
        <w:t xml:space="preserve">accessible information in terms of language and culture, staff training, </w:t>
      </w:r>
      <w:r w:rsidR="00E12BC5" w:rsidRPr="00452F06">
        <w:rPr>
          <w:rFonts w:asciiTheme="minorHAnsi" w:hAnsiTheme="minorHAnsi"/>
        </w:rPr>
        <w:t xml:space="preserve">specialized legal assistance and through outreach services for victim assistance. </w:t>
      </w:r>
    </w:p>
    <w:p w14:paraId="64779E55" w14:textId="77777777" w:rsidR="006243A1" w:rsidRPr="00452F06" w:rsidRDefault="00BD59BA"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Promote political participation of women and, in particular, indigenous and Afrodescendant w</w:t>
      </w:r>
      <w:r w:rsidR="0074603F" w:rsidRPr="00452F06">
        <w:rPr>
          <w:rFonts w:asciiTheme="minorHAnsi" w:hAnsiTheme="minorHAnsi"/>
        </w:rPr>
        <w:t>omen, in decision-</w:t>
      </w:r>
      <w:r w:rsidRPr="00452F06">
        <w:rPr>
          <w:rFonts w:asciiTheme="minorHAnsi" w:hAnsiTheme="minorHAnsi"/>
        </w:rPr>
        <w:t xml:space="preserve">making positions through the design and implementation of affirmative action measures. </w:t>
      </w:r>
      <w:r w:rsidR="006243A1" w:rsidRPr="00452F06">
        <w:rPr>
          <w:rFonts w:asciiTheme="minorHAnsi" w:hAnsiTheme="minorHAnsi"/>
        </w:rPr>
        <w:t xml:space="preserve"> </w:t>
      </w:r>
    </w:p>
    <w:p w14:paraId="5C01FF0A" w14:textId="77777777" w:rsidR="006243A1" w:rsidRPr="00452F06" w:rsidRDefault="00775F50"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Include sexual crimes in all reparation and justice policies for victims of the armed conflict, especially with regard to implementation of the National Reparation Plan, and to take the necessary measures for the PNR to seriously </w:t>
      </w:r>
      <w:r w:rsidR="00C87CEF" w:rsidRPr="00452F06">
        <w:rPr>
          <w:rFonts w:asciiTheme="minorHAnsi" w:hAnsiTheme="minorHAnsi"/>
        </w:rPr>
        <w:t xml:space="preserve">address </w:t>
      </w:r>
      <w:r w:rsidRPr="00452F06">
        <w:rPr>
          <w:rFonts w:asciiTheme="minorHAnsi" w:hAnsiTheme="minorHAnsi"/>
        </w:rPr>
        <w:t>without discrimination</w:t>
      </w:r>
      <w:r w:rsidR="00C87CEF" w:rsidRPr="00452F06">
        <w:rPr>
          <w:rFonts w:asciiTheme="minorHAnsi" w:hAnsiTheme="minorHAnsi"/>
        </w:rPr>
        <w:t xml:space="preserve"> complaints of sexual violence. </w:t>
      </w:r>
      <w:r w:rsidR="007C7E16" w:rsidRPr="00452F06">
        <w:rPr>
          <w:rFonts w:asciiTheme="minorHAnsi" w:hAnsiTheme="minorHAnsi"/>
        </w:rPr>
        <w:t xml:space="preserve">These measures must include clarification of the criteria to gain access to justice and to the mechanisms of reparation, as well as the design of reparation measures that </w:t>
      </w:r>
      <w:r w:rsidR="0057253E" w:rsidRPr="00452F06">
        <w:rPr>
          <w:rFonts w:asciiTheme="minorHAnsi" w:hAnsiTheme="minorHAnsi"/>
        </w:rPr>
        <w:t xml:space="preserve">meet the specific needs of the women. </w:t>
      </w:r>
    </w:p>
    <w:p w14:paraId="0AC6A3F5" w14:textId="77777777" w:rsidR="006243A1" w:rsidRPr="00452F06" w:rsidRDefault="00EE1382"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Children and Adolescents</w:t>
      </w:r>
    </w:p>
    <w:p w14:paraId="018CA17C" w14:textId="77777777" w:rsidR="006243A1" w:rsidRPr="00452F06" w:rsidRDefault="00924A60"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With respect to the high rate of </w:t>
      </w:r>
      <w:r w:rsidR="00C15ABC" w:rsidRPr="00452F06">
        <w:rPr>
          <w:rFonts w:asciiTheme="minorHAnsi" w:hAnsiTheme="minorHAnsi"/>
        </w:rPr>
        <w:t>child institutionalization</w:t>
      </w:r>
      <w:r w:rsidRPr="00452F06">
        <w:rPr>
          <w:rFonts w:asciiTheme="minorHAnsi" w:hAnsiTheme="minorHAnsi"/>
        </w:rPr>
        <w:t>, implement measures to do</w:t>
      </w:r>
      <w:r w:rsidR="00C15ABC" w:rsidRPr="00452F06">
        <w:rPr>
          <w:rFonts w:asciiTheme="minorHAnsi" w:hAnsiTheme="minorHAnsi"/>
        </w:rPr>
        <w:t xml:space="preserve"> away with institutionalization</w:t>
      </w:r>
      <w:r w:rsidRPr="00452F06">
        <w:rPr>
          <w:rFonts w:asciiTheme="minorHAnsi" w:hAnsiTheme="minorHAnsi"/>
        </w:rPr>
        <w:t xml:space="preserve"> and review legisl</w:t>
      </w:r>
      <w:r w:rsidR="00FE7F56" w:rsidRPr="00452F06">
        <w:rPr>
          <w:rFonts w:asciiTheme="minorHAnsi" w:hAnsiTheme="minorHAnsi"/>
        </w:rPr>
        <w:t>ation, policies and practices to bring them</w:t>
      </w:r>
      <w:r w:rsidRPr="00452F06">
        <w:rPr>
          <w:rFonts w:asciiTheme="minorHAnsi" w:hAnsiTheme="minorHAnsi"/>
        </w:rPr>
        <w:t xml:space="preserve"> into line with international standards, particularly, reinforcing social policies of support to families </w:t>
      </w:r>
      <w:r w:rsidR="00321602" w:rsidRPr="00452F06">
        <w:rPr>
          <w:rFonts w:asciiTheme="minorHAnsi" w:hAnsiTheme="minorHAnsi"/>
        </w:rPr>
        <w:t xml:space="preserve">in order to help them to provide adequate care for their children, as well as social policies </w:t>
      </w:r>
      <w:r w:rsidR="00205882" w:rsidRPr="00452F06">
        <w:rPr>
          <w:rFonts w:asciiTheme="minorHAnsi" w:hAnsiTheme="minorHAnsi"/>
        </w:rPr>
        <w:t xml:space="preserve">aimed at </w:t>
      </w:r>
      <w:r w:rsidR="001748F5" w:rsidRPr="00452F06">
        <w:rPr>
          <w:rFonts w:asciiTheme="minorHAnsi" w:hAnsiTheme="minorHAnsi"/>
        </w:rPr>
        <w:t xml:space="preserve">ensuring rights, such as health, education and nutrition, and taking into account the best interests of the child. </w:t>
      </w:r>
    </w:p>
    <w:p w14:paraId="0B1BBD5C" w14:textId="77777777" w:rsidR="006243A1" w:rsidRPr="00452F06" w:rsidRDefault="00B8260C"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Clearly regulate </w:t>
      </w:r>
      <w:r w:rsidR="00D5577B" w:rsidRPr="00452F06">
        <w:rPr>
          <w:rFonts w:asciiTheme="minorHAnsi" w:hAnsiTheme="minorHAnsi"/>
        </w:rPr>
        <w:t xml:space="preserve">measures involving the removal of </w:t>
      </w:r>
      <w:r w:rsidR="005B2E15" w:rsidRPr="00452F06">
        <w:rPr>
          <w:rFonts w:asciiTheme="minorHAnsi" w:hAnsiTheme="minorHAnsi"/>
        </w:rPr>
        <w:t xml:space="preserve">a </w:t>
      </w:r>
      <w:r w:rsidR="00D5577B" w:rsidRPr="00452F06">
        <w:rPr>
          <w:rFonts w:asciiTheme="minorHAnsi" w:hAnsiTheme="minorHAnsi"/>
        </w:rPr>
        <w:t>child from his or her family for reasons of protection, on an exceptional basis and for the shortest length of time</w:t>
      </w:r>
      <w:r w:rsidR="00F94A22" w:rsidRPr="00452F06">
        <w:rPr>
          <w:rFonts w:asciiTheme="minorHAnsi" w:hAnsiTheme="minorHAnsi"/>
        </w:rPr>
        <w:t xml:space="preserve"> possible</w:t>
      </w:r>
      <w:r w:rsidR="006243A1" w:rsidRPr="00452F06">
        <w:rPr>
          <w:rFonts w:asciiTheme="minorHAnsi" w:hAnsiTheme="minorHAnsi"/>
        </w:rPr>
        <w:t>,</w:t>
      </w:r>
      <w:r w:rsidR="00082A3D" w:rsidRPr="00452F06">
        <w:rPr>
          <w:rFonts w:asciiTheme="minorHAnsi" w:hAnsiTheme="minorHAnsi"/>
        </w:rPr>
        <w:t xml:space="preserve"> and </w:t>
      </w:r>
      <w:r w:rsidR="008B53AB" w:rsidRPr="00452F06">
        <w:rPr>
          <w:rFonts w:asciiTheme="minorHAnsi" w:hAnsiTheme="minorHAnsi"/>
        </w:rPr>
        <w:t xml:space="preserve">making it </w:t>
      </w:r>
      <w:r w:rsidR="00082A3D" w:rsidRPr="00452F06">
        <w:rPr>
          <w:rFonts w:asciiTheme="minorHAnsi" w:hAnsiTheme="minorHAnsi"/>
        </w:rPr>
        <w:t>applicable only in limited circumstances provided for by the law, and</w:t>
      </w:r>
      <w:r w:rsidR="00047503" w:rsidRPr="00452F06">
        <w:rPr>
          <w:rFonts w:asciiTheme="minorHAnsi" w:hAnsiTheme="minorHAnsi"/>
        </w:rPr>
        <w:t xml:space="preserve"> stipulating</w:t>
      </w:r>
      <w:r w:rsidR="00082A3D" w:rsidRPr="00452F06">
        <w:rPr>
          <w:rFonts w:asciiTheme="minorHAnsi" w:hAnsiTheme="minorHAnsi"/>
        </w:rPr>
        <w:t xml:space="preserve"> that the decision </w:t>
      </w:r>
      <w:r w:rsidR="001C076F" w:rsidRPr="00452F06">
        <w:rPr>
          <w:rFonts w:asciiTheme="minorHAnsi" w:hAnsiTheme="minorHAnsi"/>
        </w:rPr>
        <w:t xml:space="preserve">must </w:t>
      </w:r>
      <w:r w:rsidR="00082A3D" w:rsidRPr="00452F06">
        <w:rPr>
          <w:rFonts w:asciiTheme="minorHAnsi" w:hAnsiTheme="minorHAnsi"/>
        </w:rPr>
        <w:t>be subject to periodical review, in keeping with international standards.</w:t>
      </w:r>
      <w:r w:rsidR="006243A1" w:rsidRPr="00452F06">
        <w:rPr>
          <w:rFonts w:asciiTheme="minorHAnsi" w:hAnsiTheme="minorHAnsi"/>
        </w:rPr>
        <w:t> </w:t>
      </w:r>
    </w:p>
    <w:p w14:paraId="423C2573" w14:textId="77777777" w:rsidR="006243A1" w:rsidRPr="00452F06" w:rsidRDefault="00D562A6"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lastRenderedPageBreak/>
        <w:t xml:space="preserve">Adopt public policies and legislative measures to implement a true </w:t>
      </w:r>
      <w:r w:rsidR="00271C2D" w:rsidRPr="00452F06">
        <w:rPr>
          <w:rFonts w:asciiTheme="minorHAnsi" w:hAnsiTheme="minorHAnsi"/>
        </w:rPr>
        <w:t>model of full implementation of all rights of all children and adolescents, which creates an adequate institutional framework</w:t>
      </w:r>
      <w:r w:rsidR="006A29CF" w:rsidRPr="00452F06">
        <w:rPr>
          <w:rFonts w:asciiTheme="minorHAnsi" w:hAnsiTheme="minorHAnsi"/>
        </w:rPr>
        <w:t xml:space="preserve"> to ensure their rights, with special emphasis on services for children at the local level, endowing the framework with sufficient human, material and economic resources. </w:t>
      </w:r>
      <w:r w:rsidR="00271C2D" w:rsidRPr="00452F06">
        <w:rPr>
          <w:rFonts w:asciiTheme="minorHAnsi" w:hAnsiTheme="minorHAnsi"/>
        </w:rPr>
        <w:t xml:space="preserve"> </w:t>
      </w:r>
    </w:p>
    <w:p w14:paraId="18758682" w14:textId="77777777" w:rsidR="006243A1" w:rsidRPr="00452F06" w:rsidRDefault="008932B2"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Put an end to the model of residential institutions for children and adolescents, inasmuch as it r</w:t>
      </w:r>
      <w:r w:rsidR="005B3BEA" w:rsidRPr="00452F06">
        <w:rPr>
          <w:rFonts w:asciiTheme="minorHAnsi" w:hAnsiTheme="minorHAnsi"/>
        </w:rPr>
        <w:t xml:space="preserve">uns counter to international standards. </w:t>
      </w:r>
    </w:p>
    <w:p w14:paraId="2EF4D629" w14:textId="4376CCD1" w:rsidR="006243A1" w:rsidRPr="00452F06" w:rsidRDefault="000026F5"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Indigenous </w:t>
      </w:r>
      <w:r w:rsidR="00452F06" w:rsidRPr="00452F06">
        <w:rPr>
          <w:rFonts w:asciiTheme="minorHAnsi" w:hAnsiTheme="minorHAnsi"/>
          <w:b/>
          <w:bCs/>
          <w:color w:val="000000"/>
          <w:sz w:val="24"/>
        </w:rPr>
        <w:t xml:space="preserve">Peoples </w:t>
      </w:r>
    </w:p>
    <w:p w14:paraId="01C89F84" w14:textId="77777777" w:rsidR="006243A1" w:rsidRPr="00452F06" w:rsidRDefault="00C8602F"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Prior to granting concessions, </w:t>
      </w:r>
      <w:r w:rsidR="00B03961" w:rsidRPr="00452F06">
        <w:rPr>
          <w:rFonts w:asciiTheme="minorHAnsi" w:hAnsiTheme="minorHAnsi"/>
        </w:rPr>
        <w:t>licenses</w:t>
      </w:r>
      <w:r w:rsidRPr="00452F06">
        <w:rPr>
          <w:rFonts w:asciiTheme="minorHAnsi" w:hAnsiTheme="minorHAnsi"/>
        </w:rPr>
        <w:t xml:space="preserve"> or permits for the exploration or exploitation of natural resources that affect the ancestral lands or </w:t>
      </w:r>
      <w:r w:rsidR="00033BA5" w:rsidRPr="00452F06">
        <w:rPr>
          <w:rFonts w:asciiTheme="minorHAnsi" w:hAnsiTheme="minorHAnsi"/>
        </w:rPr>
        <w:t xml:space="preserve">territories of indigenous peoples and communities, carry out a prior, free and informed consultation, with a view to obtain consent, in keeping with Inter-American standards on the subject, and taking into account the characteristics, practices and customs of the indigenous peoples and communities involved. </w:t>
      </w:r>
    </w:p>
    <w:p w14:paraId="089C3C69" w14:textId="77777777" w:rsidR="006243A1" w:rsidRPr="00452F06" w:rsidRDefault="00A45694"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With respect to concessions previously granted or in the proce</w:t>
      </w:r>
      <w:r w:rsidR="00266BAB" w:rsidRPr="00452F06">
        <w:rPr>
          <w:rFonts w:asciiTheme="minorHAnsi" w:hAnsiTheme="minorHAnsi"/>
        </w:rPr>
        <w:t>ss of implementation, establish</w:t>
      </w:r>
      <w:r w:rsidRPr="00452F06">
        <w:rPr>
          <w:rFonts w:asciiTheme="minorHAnsi" w:hAnsiTheme="minorHAnsi"/>
        </w:rPr>
        <w:t xml:space="preserve"> a mechanism to be able to assess the need for a change in the terms thereof in order to preserve the </w:t>
      </w:r>
      <w:r w:rsidR="00B804D9" w:rsidRPr="00452F06">
        <w:rPr>
          <w:rFonts w:asciiTheme="minorHAnsi" w:hAnsiTheme="minorHAnsi"/>
        </w:rPr>
        <w:t xml:space="preserve">physical and cultural </w:t>
      </w:r>
      <w:r w:rsidRPr="00452F06">
        <w:rPr>
          <w:rFonts w:asciiTheme="minorHAnsi" w:hAnsiTheme="minorHAnsi"/>
        </w:rPr>
        <w:t xml:space="preserve">survival of </w:t>
      </w:r>
      <w:r w:rsidR="00126EC8" w:rsidRPr="00452F06">
        <w:rPr>
          <w:rFonts w:asciiTheme="minorHAnsi" w:hAnsiTheme="minorHAnsi"/>
        </w:rPr>
        <w:t>indige</w:t>
      </w:r>
      <w:r w:rsidR="000F5572" w:rsidRPr="00452F06">
        <w:rPr>
          <w:rFonts w:asciiTheme="minorHAnsi" w:hAnsiTheme="minorHAnsi"/>
        </w:rPr>
        <w:t>nous</w:t>
      </w:r>
      <w:r w:rsidR="00126EC8" w:rsidRPr="00452F06">
        <w:rPr>
          <w:rFonts w:asciiTheme="minorHAnsi" w:hAnsiTheme="minorHAnsi"/>
        </w:rPr>
        <w:t xml:space="preserve"> communities and peoples. </w:t>
      </w:r>
      <w:r w:rsidR="00266BAB" w:rsidRPr="00452F06">
        <w:rPr>
          <w:rFonts w:asciiTheme="minorHAnsi" w:hAnsiTheme="minorHAnsi"/>
        </w:rPr>
        <w:t xml:space="preserve">Adopt the necessary measures to ensure that indigenous peoples and communities, </w:t>
      </w:r>
      <w:r w:rsidR="00E61A85" w:rsidRPr="00452F06">
        <w:rPr>
          <w:rFonts w:asciiTheme="minorHAnsi" w:hAnsiTheme="minorHAnsi"/>
        </w:rPr>
        <w:t xml:space="preserve">who </w:t>
      </w:r>
      <w:r w:rsidR="00266BAB" w:rsidRPr="00452F06">
        <w:rPr>
          <w:rFonts w:asciiTheme="minorHAnsi" w:hAnsiTheme="minorHAnsi"/>
        </w:rPr>
        <w:t xml:space="preserve">have </w:t>
      </w:r>
      <w:r w:rsidR="005D1373" w:rsidRPr="00452F06">
        <w:rPr>
          <w:rFonts w:asciiTheme="minorHAnsi" w:hAnsiTheme="minorHAnsi"/>
        </w:rPr>
        <w:t xml:space="preserve">suffered </w:t>
      </w:r>
      <w:r w:rsidR="00266BAB" w:rsidRPr="00452F06">
        <w:rPr>
          <w:rFonts w:asciiTheme="minorHAnsi" w:hAnsiTheme="minorHAnsi"/>
        </w:rPr>
        <w:t xml:space="preserve">the effects of projects about which they had not been consulted, are able to gain access to mechanisms that enable them to </w:t>
      </w:r>
      <w:r w:rsidR="001D4284" w:rsidRPr="00452F06">
        <w:rPr>
          <w:rFonts w:asciiTheme="minorHAnsi" w:hAnsiTheme="minorHAnsi"/>
        </w:rPr>
        <w:t xml:space="preserve">mitigate the effects and receive adequate reparation, that is culturally appropriate. </w:t>
      </w:r>
    </w:p>
    <w:p w14:paraId="6CC63720" w14:textId="77777777" w:rsidR="006243A1" w:rsidRPr="00452F06" w:rsidRDefault="007F787A"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Adopt immediate measures to protect collective intellectual property of indigenous women </w:t>
      </w:r>
      <w:r w:rsidR="007E3162" w:rsidRPr="00452F06">
        <w:rPr>
          <w:rFonts w:asciiTheme="minorHAnsi" w:hAnsiTheme="minorHAnsi"/>
        </w:rPr>
        <w:t xml:space="preserve">with regard to </w:t>
      </w:r>
      <w:r w:rsidRPr="00452F06">
        <w:rPr>
          <w:rFonts w:asciiTheme="minorHAnsi" w:hAnsiTheme="minorHAnsi"/>
        </w:rPr>
        <w:t>apparel and designs that repr</w:t>
      </w:r>
      <w:r w:rsidR="005D70AF" w:rsidRPr="00452F06">
        <w:rPr>
          <w:rFonts w:asciiTheme="minorHAnsi" w:hAnsiTheme="minorHAnsi"/>
        </w:rPr>
        <w:t xml:space="preserve">esent their traditional identity. </w:t>
      </w:r>
    </w:p>
    <w:p w14:paraId="59100AA2" w14:textId="020C51DC" w:rsidR="006243A1" w:rsidRPr="00452F06" w:rsidRDefault="00475138"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Persons </w:t>
      </w:r>
      <w:r w:rsidR="00452F06" w:rsidRPr="00452F06">
        <w:rPr>
          <w:rFonts w:asciiTheme="minorHAnsi" w:hAnsiTheme="minorHAnsi"/>
          <w:b/>
          <w:bCs/>
          <w:color w:val="000000"/>
          <w:sz w:val="24"/>
        </w:rPr>
        <w:t xml:space="preserve">Deprived </w:t>
      </w:r>
      <w:r w:rsidRPr="00452F06">
        <w:rPr>
          <w:rFonts w:asciiTheme="minorHAnsi" w:hAnsiTheme="minorHAnsi"/>
          <w:b/>
          <w:bCs/>
          <w:color w:val="000000"/>
          <w:sz w:val="24"/>
        </w:rPr>
        <w:t xml:space="preserve">of </w:t>
      </w:r>
      <w:r w:rsidR="00452F06" w:rsidRPr="00452F06">
        <w:rPr>
          <w:rFonts w:asciiTheme="minorHAnsi" w:hAnsiTheme="minorHAnsi"/>
          <w:b/>
          <w:bCs/>
          <w:color w:val="000000"/>
          <w:sz w:val="24"/>
        </w:rPr>
        <w:t xml:space="preserve">Liberty </w:t>
      </w:r>
    </w:p>
    <w:p w14:paraId="5774CCA8" w14:textId="77777777" w:rsidR="006243A1" w:rsidRPr="00452F06" w:rsidRDefault="00005980"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Implement in practice a model of juvenile justice that regards deprivation of liberty as a measure of last resort and for the shortest length </w:t>
      </w:r>
      <w:r w:rsidR="00933A81" w:rsidRPr="00452F06">
        <w:rPr>
          <w:rFonts w:asciiTheme="minorHAnsi" w:hAnsiTheme="minorHAnsi"/>
        </w:rPr>
        <w:t>of time possible, and with a rehabilitative instead of a punitive</w:t>
      </w:r>
      <w:r w:rsidR="00A63BC9" w:rsidRPr="00452F06">
        <w:rPr>
          <w:rFonts w:asciiTheme="minorHAnsi" w:hAnsiTheme="minorHAnsi"/>
        </w:rPr>
        <w:t xml:space="preserve"> approach</w:t>
      </w:r>
      <w:r w:rsidR="006243A1" w:rsidRPr="00452F06">
        <w:rPr>
          <w:rFonts w:asciiTheme="minorHAnsi" w:hAnsiTheme="minorHAnsi"/>
        </w:rPr>
        <w:t>.</w:t>
      </w:r>
    </w:p>
    <w:p w14:paraId="36DC20C6" w14:textId="77777777" w:rsidR="006243A1" w:rsidRPr="00452F06" w:rsidRDefault="0046789F"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Adopt judicial, legisl</w:t>
      </w:r>
      <w:r w:rsidR="00B53526" w:rsidRPr="00452F06">
        <w:rPr>
          <w:rFonts w:asciiTheme="minorHAnsi" w:hAnsiTheme="minorHAnsi"/>
        </w:rPr>
        <w:t>ative</w:t>
      </w:r>
      <w:r w:rsidRPr="00452F06">
        <w:rPr>
          <w:rFonts w:asciiTheme="minorHAnsi" w:hAnsiTheme="minorHAnsi"/>
        </w:rPr>
        <w:t xml:space="preserve">, administrative and other types of measures required to correct the excessive use of pre-trial detention, ensuring that this measure is used as an exception and is bound by the </w:t>
      </w:r>
      <w:r w:rsidRPr="00452F06">
        <w:rPr>
          <w:rFonts w:asciiTheme="minorHAnsi" w:hAnsiTheme="minorHAnsi"/>
        </w:rPr>
        <w:lastRenderedPageBreak/>
        <w:t xml:space="preserve">principles of </w:t>
      </w:r>
      <w:r w:rsidR="003E3F08" w:rsidRPr="00452F06">
        <w:rPr>
          <w:rFonts w:asciiTheme="minorHAnsi" w:hAnsiTheme="minorHAnsi"/>
        </w:rPr>
        <w:t xml:space="preserve">legality, presumption of innocence, need and proportionality. </w:t>
      </w:r>
      <w:r w:rsidR="00A3057E" w:rsidRPr="00452F06">
        <w:rPr>
          <w:rFonts w:asciiTheme="minorHAnsi" w:hAnsiTheme="minorHAnsi"/>
        </w:rPr>
        <w:t>I</w:t>
      </w:r>
      <w:r w:rsidR="006243A1" w:rsidRPr="00452F06">
        <w:rPr>
          <w:rFonts w:asciiTheme="minorHAnsi" w:hAnsiTheme="minorHAnsi"/>
        </w:rPr>
        <w:t xml:space="preserve">n particular, </w:t>
      </w:r>
      <w:r w:rsidR="00DA3F91" w:rsidRPr="00452F06">
        <w:rPr>
          <w:rFonts w:asciiTheme="minorHAnsi" w:hAnsiTheme="minorHAnsi"/>
        </w:rPr>
        <w:t>the State must promote, regulate and apply alternative measures to pre-trial detention. Accordingly, it must repeal any legal provisions ordering compulsory use of</w:t>
      </w:r>
      <w:r w:rsidR="00722E43" w:rsidRPr="00452F06">
        <w:rPr>
          <w:rFonts w:asciiTheme="minorHAnsi" w:hAnsiTheme="minorHAnsi"/>
        </w:rPr>
        <w:t xml:space="preserve"> pre-trial detention for the particular ty</w:t>
      </w:r>
      <w:r w:rsidR="00DA3F91" w:rsidRPr="00452F06">
        <w:rPr>
          <w:rFonts w:asciiTheme="minorHAnsi" w:hAnsiTheme="minorHAnsi"/>
        </w:rPr>
        <w:t>pe of offense, and no</w:t>
      </w:r>
      <w:r w:rsidR="00B23570" w:rsidRPr="00452F06">
        <w:rPr>
          <w:rFonts w:asciiTheme="minorHAnsi" w:hAnsiTheme="minorHAnsi"/>
        </w:rPr>
        <w:t xml:space="preserve">t establish </w:t>
      </w:r>
      <w:r w:rsidR="00707E60" w:rsidRPr="00452F06">
        <w:rPr>
          <w:rFonts w:asciiTheme="minorHAnsi" w:hAnsiTheme="minorHAnsi"/>
        </w:rPr>
        <w:t xml:space="preserve">further </w:t>
      </w:r>
      <w:r w:rsidR="00B23570" w:rsidRPr="00452F06">
        <w:rPr>
          <w:rFonts w:asciiTheme="minorHAnsi" w:hAnsiTheme="minorHAnsi"/>
        </w:rPr>
        <w:t xml:space="preserve">restrictions on procedural </w:t>
      </w:r>
      <w:r w:rsidR="00DA3F91" w:rsidRPr="00452F06">
        <w:rPr>
          <w:rFonts w:asciiTheme="minorHAnsi" w:hAnsiTheme="minorHAnsi"/>
        </w:rPr>
        <w:t xml:space="preserve">mechanisms and </w:t>
      </w:r>
      <w:r w:rsidR="00491E15" w:rsidRPr="00452F06">
        <w:rPr>
          <w:rFonts w:asciiTheme="minorHAnsi" w:hAnsiTheme="minorHAnsi"/>
        </w:rPr>
        <w:t xml:space="preserve">opportunities </w:t>
      </w:r>
      <w:r w:rsidR="00DA3F91" w:rsidRPr="00452F06">
        <w:rPr>
          <w:rFonts w:asciiTheme="minorHAnsi" w:hAnsiTheme="minorHAnsi"/>
        </w:rPr>
        <w:t>for release</w:t>
      </w:r>
      <w:r w:rsidR="006243A1" w:rsidRPr="00452F06">
        <w:rPr>
          <w:rFonts w:asciiTheme="minorHAnsi" w:hAnsiTheme="minorHAnsi"/>
        </w:rPr>
        <w:t>.</w:t>
      </w:r>
    </w:p>
    <w:p w14:paraId="35E21A4E" w14:textId="77777777" w:rsidR="006243A1" w:rsidRPr="00452F06" w:rsidRDefault="00E44942"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Strengthen public </w:t>
      </w:r>
      <w:r w:rsidR="00847847" w:rsidRPr="00452F06">
        <w:rPr>
          <w:rFonts w:asciiTheme="minorHAnsi" w:hAnsiTheme="minorHAnsi"/>
        </w:rPr>
        <w:t xml:space="preserve">criminal </w:t>
      </w:r>
      <w:r w:rsidRPr="00452F06">
        <w:rPr>
          <w:rFonts w:asciiTheme="minorHAnsi" w:hAnsiTheme="minorHAnsi"/>
        </w:rPr>
        <w:t xml:space="preserve">defense systems, attaching priority to coverage and quality of service in order to provide, from the time of arrest, a service aimed at timely and effective protection of fundamental rights.  </w:t>
      </w:r>
    </w:p>
    <w:p w14:paraId="3E17FC07" w14:textId="77777777" w:rsidR="006243A1" w:rsidRPr="00B90432" w:rsidRDefault="00F6521D"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Implement judicial and prison information management systems at all detention facilities of the country, in order to provide up-to-date data and ready access on cases and the </w:t>
      </w:r>
      <w:r w:rsidR="00942A2B" w:rsidRPr="00452F06">
        <w:rPr>
          <w:rFonts w:asciiTheme="minorHAnsi" w:hAnsiTheme="minorHAnsi"/>
        </w:rPr>
        <w:t xml:space="preserve">custody </w:t>
      </w:r>
      <w:r w:rsidRPr="00452F06">
        <w:rPr>
          <w:rFonts w:asciiTheme="minorHAnsi" w:hAnsiTheme="minorHAnsi"/>
        </w:rPr>
        <w:t xml:space="preserve">status of persons deprived of liberty in the country, and correct the lack of </w:t>
      </w:r>
      <w:r w:rsidR="00634A63" w:rsidRPr="00452F06">
        <w:rPr>
          <w:rFonts w:asciiTheme="minorHAnsi" w:hAnsiTheme="minorHAnsi"/>
        </w:rPr>
        <w:t xml:space="preserve">an </w:t>
      </w:r>
      <w:r w:rsidRPr="00452F06">
        <w:rPr>
          <w:rFonts w:asciiTheme="minorHAnsi" w:hAnsiTheme="minorHAnsi"/>
        </w:rPr>
        <w:t xml:space="preserve">automatized </w:t>
      </w:r>
      <w:r w:rsidR="00CC3FB9" w:rsidRPr="00452F06">
        <w:rPr>
          <w:rFonts w:asciiTheme="minorHAnsi" w:hAnsiTheme="minorHAnsi"/>
        </w:rPr>
        <w:t xml:space="preserve">and unified system of registry of the proceedings of </w:t>
      </w:r>
      <w:r w:rsidR="00E7770A" w:rsidRPr="00452F06">
        <w:rPr>
          <w:rFonts w:asciiTheme="minorHAnsi" w:hAnsiTheme="minorHAnsi"/>
        </w:rPr>
        <w:t xml:space="preserve">persons deprived of liberty. </w:t>
      </w:r>
    </w:p>
    <w:p w14:paraId="392C5C47" w14:textId="77777777" w:rsidR="006243A1" w:rsidRPr="00B90432" w:rsidRDefault="003774B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Implement on-premise</w:t>
      </w:r>
      <w:r w:rsidR="004F6960" w:rsidRPr="00452F06">
        <w:rPr>
          <w:rFonts w:asciiTheme="minorHAnsi" w:hAnsiTheme="minorHAnsi"/>
        </w:rPr>
        <w:t xml:space="preserve"> hearings</w:t>
      </w:r>
      <w:r w:rsidR="00E60403" w:rsidRPr="00452F06">
        <w:rPr>
          <w:rFonts w:asciiTheme="minorHAnsi" w:hAnsiTheme="minorHAnsi"/>
        </w:rPr>
        <w:t xml:space="preserve"> </w:t>
      </w:r>
      <w:r w:rsidR="00E167A6" w:rsidRPr="00452F06">
        <w:rPr>
          <w:rFonts w:asciiTheme="minorHAnsi" w:hAnsiTheme="minorHAnsi"/>
        </w:rPr>
        <w:t xml:space="preserve">at </w:t>
      </w:r>
      <w:r w:rsidR="00E60403" w:rsidRPr="00452F06">
        <w:rPr>
          <w:rFonts w:asciiTheme="minorHAnsi" w:hAnsiTheme="minorHAnsi"/>
        </w:rPr>
        <w:t>prison facilities</w:t>
      </w:r>
      <w:r w:rsidR="00665466" w:rsidRPr="00452F06">
        <w:rPr>
          <w:rFonts w:asciiTheme="minorHAnsi" w:hAnsiTheme="minorHAnsi"/>
        </w:rPr>
        <w:t xml:space="preserve"> in the presence of</w:t>
      </w:r>
      <w:r w:rsidR="00E60403" w:rsidRPr="00452F06">
        <w:rPr>
          <w:rFonts w:asciiTheme="minorHAnsi" w:hAnsiTheme="minorHAnsi"/>
        </w:rPr>
        <w:t xml:space="preserve"> the judicial authorities </w:t>
      </w:r>
      <w:r w:rsidR="00665466" w:rsidRPr="00452F06">
        <w:rPr>
          <w:rFonts w:asciiTheme="minorHAnsi" w:hAnsiTheme="minorHAnsi"/>
        </w:rPr>
        <w:t xml:space="preserve">in order </w:t>
      </w:r>
      <w:r w:rsidR="00E60403" w:rsidRPr="00452F06">
        <w:rPr>
          <w:rFonts w:asciiTheme="minorHAnsi" w:hAnsiTheme="minorHAnsi"/>
        </w:rPr>
        <w:t xml:space="preserve">to conduct particular </w:t>
      </w:r>
      <w:r w:rsidR="001367DB" w:rsidRPr="00452F06">
        <w:rPr>
          <w:rFonts w:asciiTheme="minorHAnsi" w:hAnsiTheme="minorHAnsi"/>
        </w:rPr>
        <w:t>proceedings to deal with the high rates of suspended court hearings</w:t>
      </w:r>
      <w:r w:rsidR="00943C60" w:rsidRPr="00452F06">
        <w:rPr>
          <w:rFonts w:asciiTheme="minorHAnsi" w:hAnsiTheme="minorHAnsi"/>
        </w:rPr>
        <w:t xml:space="preserve"> and</w:t>
      </w:r>
      <w:r w:rsidR="00B61FE3" w:rsidRPr="00452F06">
        <w:rPr>
          <w:rFonts w:asciiTheme="minorHAnsi" w:hAnsiTheme="minorHAnsi"/>
        </w:rPr>
        <w:t xml:space="preserve"> overcome difficulties in transferring persons inmates to courthouses. </w:t>
      </w:r>
      <w:r w:rsidR="00E60403" w:rsidRPr="00452F06">
        <w:rPr>
          <w:rFonts w:asciiTheme="minorHAnsi" w:hAnsiTheme="minorHAnsi"/>
        </w:rPr>
        <w:t xml:space="preserve"> </w:t>
      </w:r>
    </w:p>
    <w:p w14:paraId="75DCF16C" w14:textId="29D28E04" w:rsidR="006243A1" w:rsidRPr="00B90432" w:rsidRDefault="00815CC5"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Take the necessary steps to ensure that persons deprived of liberty are transferred to detention </w:t>
      </w:r>
      <w:r w:rsidR="00897875" w:rsidRPr="00452F06">
        <w:rPr>
          <w:rFonts w:asciiTheme="minorHAnsi" w:hAnsiTheme="minorHAnsi"/>
        </w:rPr>
        <w:t>facilities meeting the minimum conditions compatible with</w:t>
      </w:r>
      <w:r w:rsidRPr="00452F06">
        <w:rPr>
          <w:rFonts w:asciiTheme="minorHAnsi" w:hAnsiTheme="minorHAnsi"/>
        </w:rPr>
        <w:t xml:space="preserve"> the rights of persons deprived of liberty</w:t>
      </w:r>
      <w:r w:rsidR="00D93738" w:rsidRPr="00452F06">
        <w:rPr>
          <w:rFonts w:asciiTheme="minorHAnsi" w:hAnsiTheme="minorHAnsi"/>
        </w:rPr>
        <w:t xml:space="preserve">. This is </w:t>
      </w:r>
      <w:r w:rsidR="00CE18D6" w:rsidRPr="00452F06">
        <w:rPr>
          <w:rFonts w:asciiTheme="minorHAnsi" w:hAnsiTheme="minorHAnsi"/>
        </w:rPr>
        <w:t xml:space="preserve">inasmuch as police stations used as permanent detention facilities and military bases do not meet the minimum requirements for the detention to be compatible with international standards on the subject matter. </w:t>
      </w:r>
    </w:p>
    <w:p w14:paraId="3826B013" w14:textId="0D9EE661" w:rsidR="006243A1" w:rsidRPr="00B90432" w:rsidRDefault="003B3E52"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Change Guatemalan law</w:t>
      </w:r>
      <w:r w:rsidR="00D93738" w:rsidRPr="00452F06">
        <w:rPr>
          <w:rFonts w:asciiTheme="minorHAnsi" w:hAnsiTheme="minorHAnsi"/>
        </w:rPr>
        <w:t xml:space="preserve"> against money laundering and the Criminal Code</w:t>
      </w:r>
      <w:r w:rsidRPr="00452F06">
        <w:rPr>
          <w:rFonts w:asciiTheme="minorHAnsi" w:hAnsiTheme="minorHAnsi"/>
        </w:rPr>
        <w:t xml:space="preserve"> to meet the following requirements: </w:t>
      </w:r>
      <w:r w:rsidR="00A826AA" w:rsidRPr="00452F06">
        <w:rPr>
          <w:rFonts w:asciiTheme="minorHAnsi" w:hAnsiTheme="minorHAnsi"/>
        </w:rPr>
        <w:t xml:space="preserve">a) </w:t>
      </w:r>
      <w:r w:rsidR="00A826AA" w:rsidRPr="00B90432">
        <w:rPr>
          <w:rFonts w:asciiTheme="minorHAnsi" w:hAnsiTheme="minorHAnsi"/>
        </w:rPr>
        <w:t xml:space="preserve">that the punishment for money laundering does not amount to </w:t>
      </w:r>
      <w:r w:rsidR="00A826AA" w:rsidRPr="00452F06">
        <w:rPr>
          <w:rFonts w:asciiTheme="minorHAnsi" w:hAnsiTheme="minorHAnsi"/>
        </w:rPr>
        <w:t xml:space="preserve">de facto </w:t>
      </w:r>
      <w:r w:rsidR="00A826AA" w:rsidRPr="00B90432">
        <w:rPr>
          <w:rFonts w:asciiTheme="minorHAnsi" w:hAnsiTheme="minorHAnsi"/>
        </w:rPr>
        <w:t xml:space="preserve">imposition of a double </w:t>
      </w:r>
      <w:r w:rsidR="00D3334A" w:rsidRPr="00B90432">
        <w:rPr>
          <w:rFonts w:asciiTheme="minorHAnsi" w:hAnsiTheme="minorHAnsi"/>
        </w:rPr>
        <w:t xml:space="preserve">sentence </w:t>
      </w:r>
      <w:r w:rsidR="00A826AA" w:rsidRPr="00B90432">
        <w:rPr>
          <w:rFonts w:asciiTheme="minorHAnsi" w:hAnsiTheme="minorHAnsi"/>
        </w:rPr>
        <w:t xml:space="preserve">of deprivation of liberty, and </w:t>
      </w:r>
      <w:r w:rsidR="00E508A0" w:rsidRPr="00B90432">
        <w:rPr>
          <w:rFonts w:asciiTheme="minorHAnsi" w:hAnsiTheme="minorHAnsi"/>
        </w:rPr>
        <w:t>b) that the law</w:t>
      </w:r>
      <w:r w:rsidR="00A826AA" w:rsidRPr="00B90432">
        <w:rPr>
          <w:rFonts w:asciiTheme="minorHAnsi" w:hAnsiTheme="minorHAnsi"/>
        </w:rPr>
        <w:t xml:space="preserve"> not continue to perpetuate the deprivation of liberty based on the mere material impediment that the persons have to </w:t>
      </w:r>
      <w:r w:rsidR="00987A55" w:rsidRPr="00B90432">
        <w:rPr>
          <w:rFonts w:asciiTheme="minorHAnsi" w:hAnsiTheme="minorHAnsi"/>
        </w:rPr>
        <w:t xml:space="preserve">cover </w:t>
      </w:r>
      <w:r w:rsidR="00A826AA" w:rsidRPr="00B90432">
        <w:rPr>
          <w:rFonts w:asciiTheme="minorHAnsi" w:hAnsiTheme="minorHAnsi"/>
        </w:rPr>
        <w:t>the cost of the fine imposed</w:t>
      </w:r>
      <w:r w:rsidR="006243A1" w:rsidRPr="00452F06">
        <w:rPr>
          <w:rFonts w:asciiTheme="minorHAnsi" w:hAnsiTheme="minorHAnsi"/>
        </w:rPr>
        <w:t>.</w:t>
      </w:r>
    </w:p>
    <w:p w14:paraId="7ED38C1C" w14:textId="07D7B7DE" w:rsidR="006243A1" w:rsidRPr="00452F06" w:rsidRDefault="004B1A12"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Persons with </w:t>
      </w:r>
      <w:r w:rsidR="00452F06" w:rsidRPr="00452F06">
        <w:rPr>
          <w:rFonts w:asciiTheme="minorHAnsi" w:hAnsiTheme="minorHAnsi"/>
          <w:b/>
          <w:bCs/>
          <w:color w:val="000000"/>
          <w:sz w:val="24"/>
        </w:rPr>
        <w:t>Disabilities</w:t>
      </w:r>
    </w:p>
    <w:p w14:paraId="14B306A9" w14:textId="77777777" w:rsidR="006243A1" w:rsidRPr="00452F06" w:rsidRDefault="00296AEA"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Investigate ex officio and, when appropriate, punish those responsible for any violation of the personal integrity of persons with </w:t>
      </w:r>
      <w:r w:rsidRPr="00452F06">
        <w:rPr>
          <w:rFonts w:asciiTheme="minorHAnsi" w:hAnsiTheme="minorHAnsi"/>
        </w:rPr>
        <w:lastRenderedPageBreak/>
        <w:t>disabilit</w:t>
      </w:r>
      <w:r w:rsidR="00D721FA" w:rsidRPr="00452F06">
        <w:rPr>
          <w:rFonts w:asciiTheme="minorHAnsi" w:hAnsiTheme="minorHAnsi"/>
        </w:rPr>
        <w:t>ies</w:t>
      </w:r>
      <w:r w:rsidRPr="00452F06">
        <w:rPr>
          <w:rFonts w:asciiTheme="minorHAnsi" w:hAnsiTheme="minorHAnsi"/>
        </w:rPr>
        <w:t xml:space="preserve"> at psychiatric institutions. Establish an independent mechanism to oversee the institutionalization of patients at the Federico Mora Hospital in order to protect against acts of torture or mistreatment. </w:t>
      </w:r>
    </w:p>
    <w:p w14:paraId="331337DE" w14:textId="77777777" w:rsidR="006243A1" w:rsidRPr="00452F06" w:rsidRDefault="00D73FAE"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In light of the lack of community-based options for patients of the </w:t>
      </w:r>
      <w:r w:rsidR="006243A1" w:rsidRPr="00452F06">
        <w:rPr>
          <w:rFonts w:asciiTheme="minorHAnsi" w:hAnsiTheme="minorHAnsi"/>
        </w:rPr>
        <w:t>Federico Mora</w:t>
      </w:r>
      <w:r w:rsidRPr="00452F06">
        <w:rPr>
          <w:rFonts w:asciiTheme="minorHAnsi" w:hAnsiTheme="minorHAnsi"/>
        </w:rPr>
        <w:t xml:space="preserve"> Hospital to receive the necessary services and treatment</w:t>
      </w:r>
      <w:r w:rsidR="000627D1" w:rsidRPr="00452F06">
        <w:rPr>
          <w:rFonts w:asciiTheme="minorHAnsi" w:hAnsiTheme="minorHAnsi"/>
        </w:rPr>
        <w:t xml:space="preserve"> outside the institution, the IACH recommends the State to ensure </w:t>
      </w:r>
      <w:r w:rsidR="008454D6" w:rsidRPr="00452F06">
        <w:rPr>
          <w:rFonts w:asciiTheme="minorHAnsi" w:hAnsiTheme="minorHAnsi"/>
        </w:rPr>
        <w:t xml:space="preserve">the </w:t>
      </w:r>
      <w:r w:rsidR="000627D1" w:rsidRPr="00452F06">
        <w:rPr>
          <w:rFonts w:asciiTheme="minorHAnsi" w:hAnsiTheme="minorHAnsi"/>
        </w:rPr>
        <w:t>community life of these persons, by creating and establishing community-based services</w:t>
      </w:r>
      <w:r w:rsidR="006243A1" w:rsidRPr="00452F06">
        <w:rPr>
          <w:rFonts w:asciiTheme="minorHAnsi" w:hAnsiTheme="minorHAnsi"/>
        </w:rPr>
        <w:t xml:space="preserve">. </w:t>
      </w:r>
      <w:r w:rsidR="0002512C" w:rsidRPr="00452F06">
        <w:rPr>
          <w:rFonts w:asciiTheme="minorHAnsi" w:hAnsiTheme="minorHAnsi"/>
        </w:rPr>
        <w:t>For this purpose, the Commission urges the State to adopt, among other ones</w:t>
      </w:r>
      <w:r w:rsidR="006243A1" w:rsidRPr="00452F06">
        <w:rPr>
          <w:rFonts w:asciiTheme="minorHAnsi" w:hAnsiTheme="minorHAnsi"/>
        </w:rPr>
        <w:t>,</w:t>
      </w:r>
      <w:r w:rsidR="0002512C" w:rsidRPr="00452F06">
        <w:rPr>
          <w:rFonts w:asciiTheme="minorHAnsi" w:hAnsiTheme="minorHAnsi"/>
        </w:rPr>
        <w:t xml:space="preserve"> the following measures: </w:t>
      </w:r>
      <w:r w:rsidR="006243A1" w:rsidRPr="00452F06">
        <w:rPr>
          <w:rFonts w:asciiTheme="minorHAnsi" w:hAnsiTheme="minorHAnsi"/>
        </w:rPr>
        <w:t xml:space="preserve">a) </w:t>
      </w:r>
      <w:r w:rsidR="00C70827" w:rsidRPr="00B90432">
        <w:rPr>
          <w:rFonts w:asciiTheme="minorHAnsi" w:hAnsiTheme="minorHAnsi"/>
        </w:rPr>
        <w:t xml:space="preserve">expeditiously </w:t>
      </w:r>
      <w:r w:rsidR="003931EA" w:rsidRPr="00B90432">
        <w:rPr>
          <w:rFonts w:asciiTheme="minorHAnsi" w:hAnsiTheme="minorHAnsi"/>
        </w:rPr>
        <w:t>define a strategy for the de-institutionalization of persons with disabilit</w:t>
      </w:r>
      <w:r w:rsidR="00D721FA" w:rsidRPr="00B90432">
        <w:rPr>
          <w:rFonts w:asciiTheme="minorHAnsi" w:hAnsiTheme="minorHAnsi"/>
        </w:rPr>
        <w:t>ies</w:t>
      </w:r>
      <w:r w:rsidR="003931EA" w:rsidRPr="00B90432">
        <w:rPr>
          <w:rFonts w:asciiTheme="minorHAnsi" w:hAnsiTheme="minorHAnsi"/>
        </w:rPr>
        <w:t>, with a timeline, sufficient resour</w:t>
      </w:r>
      <w:r w:rsidR="00E649AE" w:rsidRPr="00B90432">
        <w:rPr>
          <w:rFonts w:asciiTheme="minorHAnsi" w:hAnsiTheme="minorHAnsi"/>
        </w:rPr>
        <w:t>ces and specific evaluation mea</w:t>
      </w:r>
      <w:r w:rsidR="003931EA" w:rsidRPr="00B90432">
        <w:rPr>
          <w:rFonts w:asciiTheme="minorHAnsi" w:hAnsiTheme="minorHAnsi"/>
        </w:rPr>
        <w:t xml:space="preserve">sures; </w:t>
      </w:r>
      <w:r w:rsidR="006243A1" w:rsidRPr="00452F06">
        <w:rPr>
          <w:rFonts w:asciiTheme="minorHAnsi" w:hAnsiTheme="minorHAnsi"/>
        </w:rPr>
        <w:t xml:space="preserve">b) </w:t>
      </w:r>
      <w:r w:rsidR="003931EA" w:rsidRPr="00B90432">
        <w:rPr>
          <w:rFonts w:asciiTheme="minorHAnsi" w:hAnsiTheme="minorHAnsi"/>
        </w:rPr>
        <w:t>ensure the particip</w:t>
      </w:r>
      <w:r w:rsidR="00D721FA" w:rsidRPr="00B90432">
        <w:rPr>
          <w:rFonts w:asciiTheme="minorHAnsi" w:hAnsiTheme="minorHAnsi"/>
        </w:rPr>
        <w:t>ation of persons with disabilities</w:t>
      </w:r>
      <w:r w:rsidR="003931EA" w:rsidRPr="00B90432">
        <w:rPr>
          <w:rFonts w:asciiTheme="minorHAnsi" w:hAnsiTheme="minorHAnsi"/>
        </w:rPr>
        <w:t xml:space="preserve">, directly and through the organizations representing them, in the design and implementation of said strategy, </w:t>
      </w:r>
      <w:r w:rsidR="003931EA" w:rsidRPr="00452F06">
        <w:rPr>
          <w:rFonts w:asciiTheme="minorHAnsi" w:hAnsiTheme="minorHAnsi"/>
        </w:rPr>
        <w:t xml:space="preserve">and </w:t>
      </w:r>
      <w:r w:rsidR="006243A1" w:rsidRPr="00452F06">
        <w:rPr>
          <w:rFonts w:asciiTheme="minorHAnsi" w:hAnsiTheme="minorHAnsi"/>
        </w:rPr>
        <w:t xml:space="preserve">c) </w:t>
      </w:r>
      <w:r w:rsidR="003931EA" w:rsidRPr="00452F06">
        <w:rPr>
          <w:rFonts w:asciiTheme="minorHAnsi" w:hAnsiTheme="minorHAnsi"/>
        </w:rPr>
        <w:t xml:space="preserve">allocate sufficient resources for the development of support services. </w:t>
      </w:r>
    </w:p>
    <w:p w14:paraId="26533E98" w14:textId="3F0EBB51" w:rsidR="006243A1" w:rsidRPr="00452F06" w:rsidRDefault="003931EA"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Human rights </w:t>
      </w:r>
      <w:r w:rsidR="00452F06" w:rsidRPr="00452F06">
        <w:rPr>
          <w:rFonts w:asciiTheme="minorHAnsi" w:hAnsiTheme="minorHAnsi"/>
          <w:b/>
          <w:bCs/>
          <w:color w:val="000000"/>
          <w:sz w:val="24"/>
        </w:rPr>
        <w:t xml:space="preserve">Defenders </w:t>
      </w:r>
    </w:p>
    <w:p w14:paraId="09C9EF86" w14:textId="77777777" w:rsidR="006243A1" w:rsidRPr="00452F06" w:rsidRDefault="004142D5"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Approve and implement on an emergency basis a public protection policy for human rights defenders. </w:t>
      </w:r>
      <w:r w:rsidR="00BD704C" w:rsidRPr="00452F06">
        <w:rPr>
          <w:rFonts w:asciiTheme="minorHAnsi" w:hAnsiTheme="minorHAnsi"/>
        </w:rPr>
        <w:t xml:space="preserve">This policy should include </w:t>
      </w:r>
      <w:r w:rsidR="00691145" w:rsidRPr="00452F06">
        <w:rPr>
          <w:rFonts w:asciiTheme="minorHAnsi" w:hAnsiTheme="minorHAnsi"/>
        </w:rPr>
        <w:t xml:space="preserve">implementation of a comprehensive protection program, and incorporate a model of risk assessment to make it possible to determine the particular protection needs of each defender, using, for example, from a perspective of gender or of groups in </w:t>
      </w:r>
      <w:r w:rsidR="0030432D" w:rsidRPr="00452F06">
        <w:rPr>
          <w:rFonts w:asciiTheme="minorHAnsi" w:hAnsiTheme="minorHAnsi"/>
        </w:rPr>
        <w:t xml:space="preserve">an </w:t>
      </w:r>
      <w:r w:rsidR="00691145" w:rsidRPr="00452F06">
        <w:rPr>
          <w:rFonts w:asciiTheme="minorHAnsi" w:hAnsiTheme="minorHAnsi"/>
        </w:rPr>
        <w:t>especially vulnera</w:t>
      </w:r>
      <w:r w:rsidR="0030432D" w:rsidRPr="00452F06">
        <w:rPr>
          <w:rFonts w:asciiTheme="minorHAnsi" w:hAnsiTheme="minorHAnsi"/>
        </w:rPr>
        <w:t>ble situation</w:t>
      </w:r>
      <w:r w:rsidR="006243A1" w:rsidRPr="00452F06">
        <w:rPr>
          <w:rFonts w:asciiTheme="minorHAnsi" w:hAnsiTheme="minorHAnsi"/>
        </w:rPr>
        <w:t>.</w:t>
      </w:r>
    </w:p>
    <w:p w14:paraId="22F69803" w14:textId="77777777" w:rsidR="006243A1" w:rsidRPr="00452F06" w:rsidRDefault="009F7066"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Hold public hearings or interviews where citizens, civil society organizations and other interested parties are able to learn the selection criteria of operators of justice, as well as challenge candidates and express their concerns or their support, in order to strengthen the independence of the operators of justice holding the high-level positions in the judiciary, the office of the prosecutor and the public defender’s office. </w:t>
      </w:r>
    </w:p>
    <w:p w14:paraId="693264A2" w14:textId="77777777" w:rsidR="006243A1" w:rsidRPr="00452F06" w:rsidRDefault="000401C3"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Adopt measures to </w:t>
      </w:r>
      <w:r w:rsidR="00172986" w:rsidRPr="00452F06">
        <w:rPr>
          <w:rFonts w:asciiTheme="minorHAnsi" w:hAnsiTheme="minorHAnsi"/>
        </w:rPr>
        <w:t xml:space="preserve">ensure that operators of justice carry out their duties impartially and independently, respecting the principle of separation of powers and free of all threat or pressure. </w:t>
      </w:r>
      <w:r w:rsidR="004F2F96" w:rsidRPr="00452F06">
        <w:rPr>
          <w:rFonts w:asciiTheme="minorHAnsi" w:hAnsiTheme="minorHAnsi"/>
        </w:rPr>
        <w:t xml:space="preserve">For this purpose, the State must strengthen the work of the Crimes against Operators of Justice Unit by recognizing the importance of its function in protecting the right of access to justice, as well as to due process. </w:t>
      </w:r>
    </w:p>
    <w:p w14:paraId="4D4B87DF" w14:textId="77777777" w:rsidR="006243A1" w:rsidRPr="00452F06" w:rsidRDefault="000434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lastRenderedPageBreak/>
        <w:t>Ensure that the authorities or third parties do not manipulate the punitive power of the State and its organs of justice in order to harass human rights defenders and opera</w:t>
      </w:r>
      <w:r w:rsidR="00EB4429" w:rsidRPr="00452F06">
        <w:rPr>
          <w:rFonts w:asciiTheme="minorHAnsi" w:hAnsiTheme="minorHAnsi"/>
        </w:rPr>
        <w:t xml:space="preserve">tors of justice.  </w:t>
      </w:r>
      <w:r w:rsidR="00D623D7" w:rsidRPr="00452F06">
        <w:rPr>
          <w:rFonts w:asciiTheme="minorHAnsi" w:hAnsiTheme="minorHAnsi"/>
        </w:rPr>
        <w:t>Likewise</w:t>
      </w:r>
      <w:r w:rsidR="003103F0" w:rsidRPr="00452F06">
        <w:rPr>
          <w:rFonts w:asciiTheme="minorHAnsi" w:hAnsiTheme="minorHAnsi"/>
        </w:rPr>
        <w:t xml:space="preserve">, authorities </w:t>
      </w:r>
      <w:r w:rsidR="00EB4429" w:rsidRPr="00452F06">
        <w:rPr>
          <w:rFonts w:asciiTheme="minorHAnsi" w:hAnsiTheme="minorHAnsi"/>
        </w:rPr>
        <w:t xml:space="preserve">should refrain from making statements or assertions that stigmatize or discredit </w:t>
      </w:r>
      <w:r w:rsidR="00441702" w:rsidRPr="00452F06">
        <w:rPr>
          <w:rFonts w:asciiTheme="minorHAnsi" w:hAnsiTheme="minorHAnsi"/>
        </w:rPr>
        <w:t>human rights defenders, journalists,</w:t>
      </w:r>
      <w:r w:rsidR="00A45A08" w:rsidRPr="00452F06">
        <w:rPr>
          <w:rFonts w:asciiTheme="minorHAnsi" w:hAnsiTheme="minorHAnsi"/>
        </w:rPr>
        <w:t xml:space="preserve"> ancestral authorities or</w:t>
      </w:r>
      <w:r w:rsidR="00F61695" w:rsidRPr="00452F06">
        <w:rPr>
          <w:rFonts w:asciiTheme="minorHAnsi" w:hAnsiTheme="minorHAnsi"/>
        </w:rPr>
        <w:t xml:space="preserve"> leaders, who suggest that the authorities</w:t>
      </w:r>
      <w:r w:rsidR="00BE60E6" w:rsidRPr="00452F06">
        <w:rPr>
          <w:rFonts w:asciiTheme="minorHAnsi" w:hAnsiTheme="minorHAnsi"/>
        </w:rPr>
        <w:t xml:space="preserve"> are acting improperly or illegally</w:t>
      </w:r>
      <w:r w:rsidR="003103F0" w:rsidRPr="00452F06">
        <w:rPr>
          <w:rFonts w:asciiTheme="minorHAnsi" w:hAnsiTheme="minorHAnsi"/>
        </w:rPr>
        <w:t>,</w:t>
      </w:r>
      <w:r w:rsidR="00BE60E6" w:rsidRPr="00452F06">
        <w:rPr>
          <w:rFonts w:asciiTheme="minorHAnsi" w:hAnsiTheme="minorHAnsi"/>
        </w:rPr>
        <w:t xml:space="preserve"> when </w:t>
      </w:r>
      <w:r w:rsidR="003103F0" w:rsidRPr="00452F06">
        <w:rPr>
          <w:rFonts w:asciiTheme="minorHAnsi" w:hAnsiTheme="minorHAnsi"/>
        </w:rPr>
        <w:t>the</w:t>
      </w:r>
      <w:r w:rsidR="00E60158" w:rsidRPr="00452F06">
        <w:rPr>
          <w:rFonts w:asciiTheme="minorHAnsi" w:hAnsiTheme="minorHAnsi"/>
        </w:rPr>
        <w:t>y</w:t>
      </w:r>
      <w:r w:rsidR="003103F0" w:rsidRPr="00452F06">
        <w:rPr>
          <w:rFonts w:asciiTheme="minorHAnsi" w:hAnsiTheme="minorHAnsi"/>
        </w:rPr>
        <w:t xml:space="preserve"> are </w:t>
      </w:r>
      <w:r w:rsidR="00BE60E6" w:rsidRPr="00452F06">
        <w:rPr>
          <w:rFonts w:asciiTheme="minorHAnsi" w:hAnsiTheme="minorHAnsi"/>
        </w:rPr>
        <w:t xml:space="preserve">simply doing their job as human rights defenders. </w:t>
      </w:r>
      <w:r w:rsidR="00AF5C68" w:rsidRPr="00452F06">
        <w:rPr>
          <w:rFonts w:asciiTheme="minorHAnsi" w:hAnsiTheme="minorHAnsi"/>
        </w:rPr>
        <w:t xml:space="preserve">In this regard, the Commission calls on the State to advance in the drafting of guidelines </w:t>
      </w:r>
      <w:r w:rsidR="000374EB" w:rsidRPr="00452F06">
        <w:rPr>
          <w:rFonts w:asciiTheme="minorHAnsi" w:hAnsiTheme="minorHAnsi"/>
        </w:rPr>
        <w:t xml:space="preserve">against criminalization by the Office of the Attorney General. </w:t>
      </w:r>
    </w:p>
    <w:p w14:paraId="65A85ADD" w14:textId="77777777" w:rsidR="006243A1" w:rsidRPr="00452F06" w:rsidRDefault="00BE05A9"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Ensure that human rights defenders are not subjected to criminal proceedings </w:t>
      </w:r>
      <w:r w:rsidR="00E60158" w:rsidRPr="00452F06">
        <w:rPr>
          <w:rFonts w:asciiTheme="minorHAnsi" w:hAnsiTheme="minorHAnsi"/>
        </w:rPr>
        <w:t xml:space="preserve">for </w:t>
      </w:r>
      <w:r w:rsidR="00B122D8" w:rsidRPr="00452F06">
        <w:rPr>
          <w:rFonts w:asciiTheme="minorHAnsi" w:hAnsiTheme="minorHAnsi"/>
        </w:rPr>
        <w:t xml:space="preserve">unnecessarily </w:t>
      </w:r>
      <w:r w:rsidR="00E60158" w:rsidRPr="00452F06">
        <w:rPr>
          <w:rFonts w:asciiTheme="minorHAnsi" w:hAnsiTheme="minorHAnsi"/>
        </w:rPr>
        <w:t xml:space="preserve">summary and protracted periods of time. Additionally, the State of Guatemala should cease using arrest warrants as mechanisms of punishment or retaliation against human rights defenders. </w:t>
      </w:r>
    </w:p>
    <w:p w14:paraId="06B2BCDC" w14:textId="77777777" w:rsidR="006243A1" w:rsidRPr="00452F06" w:rsidRDefault="00C93F41"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Take measures to prevent the use of criminal </w:t>
      </w:r>
      <w:r w:rsidR="00112BC3" w:rsidRPr="00452F06">
        <w:rPr>
          <w:rFonts w:asciiTheme="minorHAnsi" w:hAnsiTheme="minorHAnsi"/>
        </w:rPr>
        <w:t xml:space="preserve">charges against human rights defenders aimed at </w:t>
      </w:r>
      <w:r w:rsidR="00B91A6F" w:rsidRPr="00452F06">
        <w:rPr>
          <w:rFonts w:asciiTheme="minorHAnsi" w:hAnsiTheme="minorHAnsi"/>
        </w:rPr>
        <w:t>keeping them from doing</w:t>
      </w:r>
      <w:r w:rsidR="007A782C" w:rsidRPr="00452F06">
        <w:rPr>
          <w:rFonts w:asciiTheme="minorHAnsi" w:hAnsiTheme="minorHAnsi"/>
        </w:rPr>
        <w:t xml:space="preserve"> their job. Operators of justic</w:t>
      </w:r>
      <w:r w:rsidR="00B91A6F" w:rsidRPr="00452F06">
        <w:rPr>
          <w:rFonts w:asciiTheme="minorHAnsi" w:hAnsiTheme="minorHAnsi"/>
        </w:rPr>
        <w:t xml:space="preserve">e must consider, in response to the charges, whether or not the accused </w:t>
      </w:r>
      <w:r w:rsidR="00BB5A3B" w:rsidRPr="00452F06">
        <w:rPr>
          <w:rFonts w:asciiTheme="minorHAnsi" w:hAnsiTheme="minorHAnsi"/>
        </w:rPr>
        <w:t xml:space="preserve">was acting </w:t>
      </w:r>
      <w:r w:rsidR="00B91A6F" w:rsidRPr="00452F06">
        <w:rPr>
          <w:rFonts w:asciiTheme="minorHAnsi" w:hAnsiTheme="minorHAnsi"/>
        </w:rPr>
        <w:t xml:space="preserve">in the capacity of a human rights defender, as well as the context of the facts, and in this way be able to identify whether the charges were used as a means of hampering their work as defenders. </w:t>
      </w:r>
      <w:r w:rsidR="00FD2954" w:rsidRPr="00452F06">
        <w:rPr>
          <w:rFonts w:asciiTheme="minorHAnsi" w:hAnsiTheme="minorHAnsi"/>
        </w:rPr>
        <w:t>Likewise, the authorities in charge of</w:t>
      </w:r>
      <w:r w:rsidR="000E6E97" w:rsidRPr="00452F06">
        <w:rPr>
          <w:rFonts w:asciiTheme="minorHAnsi" w:hAnsiTheme="minorHAnsi"/>
        </w:rPr>
        <w:t xml:space="preserve"> the inv</w:t>
      </w:r>
      <w:r w:rsidR="0085631C" w:rsidRPr="00452F06">
        <w:rPr>
          <w:rFonts w:asciiTheme="minorHAnsi" w:hAnsiTheme="minorHAnsi"/>
        </w:rPr>
        <w:t>estigation of the crimes must make</w:t>
      </w:r>
      <w:r w:rsidR="000E6E97" w:rsidRPr="00452F06">
        <w:rPr>
          <w:rFonts w:asciiTheme="minorHAnsi" w:hAnsiTheme="minorHAnsi"/>
        </w:rPr>
        <w:t xml:space="preserve"> sure to gather the necessary evidence to determine whether there was unlawful conduct before they proceed to issue precautionary measures or </w:t>
      </w:r>
      <w:r w:rsidR="00C4108F" w:rsidRPr="00452F06">
        <w:rPr>
          <w:rFonts w:asciiTheme="minorHAnsi" w:hAnsiTheme="minorHAnsi"/>
        </w:rPr>
        <w:t xml:space="preserve">formally </w:t>
      </w:r>
      <w:r w:rsidR="0085631C" w:rsidRPr="00452F06">
        <w:rPr>
          <w:rFonts w:asciiTheme="minorHAnsi" w:hAnsiTheme="minorHAnsi"/>
        </w:rPr>
        <w:t xml:space="preserve">open </w:t>
      </w:r>
      <w:r w:rsidR="00D73290" w:rsidRPr="00452F06">
        <w:rPr>
          <w:rFonts w:asciiTheme="minorHAnsi" w:hAnsiTheme="minorHAnsi"/>
        </w:rPr>
        <w:t xml:space="preserve">a case against </w:t>
      </w:r>
      <w:r w:rsidR="00C4108F" w:rsidRPr="00452F06">
        <w:rPr>
          <w:rFonts w:asciiTheme="minorHAnsi" w:hAnsiTheme="minorHAnsi"/>
        </w:rPr>
        <w:t xml:space="preserve">the defenders. </w:t>
      </w:r>
      <w:r w:rsidR="00FD2954" w:rsidRPr="00452F06">
        <w:rPr>
          <w:rFonts w:asciiTheme="minorHAnsi" w:hAnsiTheme="minorHAnsi"/>
        </w:rPr>
        <w:t xml:space="preserve"> </w:t>
      </w:r>
    </w:p>
    <w:p w14:paraId="1203FEF8" w14:textId="77777777" w:rsidR="006243A1" w:rsidRPr="00452F06" w:rsidRDefault="00D73290"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Establish specialized police and prosecutorial units with the necessary resources, training and specific investigation protocols in order to act in a coordinated fashion and respond with due diligence to the investigation of attacks on human rights defenders, establishing </w:t>
      </w:r>
      <w:r w:rsidR="0081021B" w:rsidRPr="00452F06">
        <w:rPr>
          <w:rFonts w:asciiTheme="minorHAnsi" w:hAnsiTheme="minorHAnsi"/>
        </w:rPr>
        <w:t xml:space="preserve">a hypothesis of the crimes and guidelines for the investigation thereof, </w:t>
      </w:r>
      <w:r w:rsidR="008B7652" w:rsidRPr="00452F06">
        <w:rPr>
          <w:rFonts w:asciiTheme="minorHAnsi" w:hAnsiTheme="minorHAnsi"/>
        </w:rPr>
        <w:t xml:space="preserve">taking into account vested interested that may have </w:t>
      </w:r>
      <w:r w:rsidR="00BB5A3B" w:rsidRPr="00452F06">
        <w:rPr>
          <w:rFonts w:asciiTheme="minorHAnsi" w:hAnsiTheme="minorHAnsi"/>
        </w:rPr>
        <w:t xml:space="preserve">led to </w:t>
      </w:r>
      <w:r w:rsidR="008B7652" w:rsidRPr="00452F06">
        <w:rPr>
          <w:rFonts w:asciiTheme="minorHAnsi" w:hAnsiTheme="minorHAnsi"/>
        </w:rPr>
        <w:t>retaliation for the activities of the defender attacked. In this regard, the IACHR urges the State of Guatemala to adopt with urgency the General Instructions withi</w:t>
      </w:r>
      <w:r w:rsidR="0010213A" w:rsidRPr="00452F06">
        <w:rPr>
          <w:rFonts w:asciiTheme="minorHAnsi" w:hAnsiTheme="minorHAnsi"/>
        </w:rPr>
        <w:t>n</w:t>
      </w:r>
      <w:r w:rsidR="008B7652" w:rsidRPr="00452F06">
        <w:rPr>
          <w:rFonts w:asciiTheme="minorHAnsi" w:hAnsiTheme="minorHAnsi"/>
        </w:rPr>
        <w:t xml:space="preserve"> the Office of the Public Prosecutor to guide prosecuting attorneys when investigating attacks on defenders. </w:t>
      </w:r>
    </w:p>
    <w:p w14:paraId="391B4FCF" w14:textId="77777777" w:rsidR="00452F06" w:rsidRDefault="00452F06">
      <w:pPr>
        <w:spacing w:after="0" w:line="240" w:lineRule="auto"/>
        <w:rPr>
          <w:rFonts w:asciiTheme="minorHAnsi" w:hAnsiTheme="minorHAnsi"/>
          <w:b/>
          <w:bCs/>
          <w:color w:val="000000"/>
          <w:sz w:val="24"/>
        </w:rPr>
      </w:pPr>
      <w:r>
        <w:rPr>
          <w:rFonts w:asciiTheme="minorHAnsi" w:hAnsiTheme="minorHAnsi"/>
          <w:b/>
          <w:bCs/>
          <w:color w:val="000000"/>
          <w:sz w:val="24"/>
        </w:rPr>
        <w:br w:type="page"/>
      </w:r>
    </w:p>
    <w:p w14:paraId="7D79E0EA" w14:textId="620A1D85" w:rsidR="006243A1" w:rsidRPr="00452F06" w:rsidRDefault="00383658"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lastRenderedPageBreak/>
        <w:t xml:space="preserve">Internally </w:t>
      </w:r>
      <w:r w:rsidR="00452F06" w:rsidRPr="00452F06">
        <w:rPr>
          <w:rFonts w:asciiTheme="minorHAnsi" w:hAnsiTheme="minorHAnsi"/>
          <w:b/>
          <w:bCs/>
          <w:color w:val="000000"/>
          <w:sz w:val="24"/>
        </w:rPr>
        <w:t xml:space="preserve">Displaced </w:t>
      </w:r>
      <w:r w:rsidRPr="00452F06">
        <w:rPr>
          <w:rFonts w:asciiTheme="minorHAnsi" w:hAnsiTheme="minorHAnsi"/>
          <w:b/>
          <w:bCs/>
          <w:color w:val="000000"/>
          <w:sz w:val="24"/>
        </w:rPr>
        <w:t xml:space="preserve">persons, </w:t>
      </w:r>
      <w:r w:rsidR="00452F06" w:rsidRPr="00452F06">
        <w:rPr>
          <w:rFonts w:asciiTheme="minorHAnsi" w:hAnsiTheme="minorHAnsi"/>
          <w:b/>
          <w:bCs/>
          <w:color w:val="000000"/>
          <w:sz w:val="24"/>
        </w:rPr>
        <w:t>Migrants</w:t>
      </w:r>
      <w:r w:rsidRPr="00452F06">
        <w:rPr>
          <w:rFonts w:asciiTheme="minorHAnsi" w:hAnsiTheme="minorHAnsi"/>
          <w:b/>
          <w:bCs/>
          <w:color w:val="000000"/>
          <w:sz w:val="24"/>
        </w:rPr>
        <w:t xml:space="preserve">, </w:t>
      </w:r>
      <w:r w:rsidR="00452F06" w:rsidRPr="00452F06">
        <w:rPr>
          <w:rFonts w:asciiTheme="minorHAnsi" w:hAnsiTheme="minorHAnsi"/>
          <w:b/>
          <w:bCs/>
          <w:color w:val="000000"/>
          <w:sz w:val="24"/>
        </w:rPr>
        <w:t>Asylum Seekers</w:t>
      </w:r>
      <w:r w:rsidRPr="00452F06">
        <w:rPr>
          <w:rFonts w:asciiTheme="minorHAnsi" w:hAnsiTheme="minorHAnsi"/>
          <w:b/>
          <w:bCs/>
          <w:color w:val="000000"/>
          <w:sz w:val="24"/>
        </w:rPr>
        <w:t xml:space="preserve">, </w:t>
      </w:r>
      <w:r w:rsidR="00452F06" w:rsidRPr="00452F06">
        <w:rPr>
          <w:rFonts w:asciiTheme="minorHAnsi" w:hAnsiTheme="minorHAnsi"/>
          <w:b/>
          <w:bCs/>
          <w:color w:val="000000"/>
          <w:sz w:val="24"/>
        </w:rPr>
        <w:t>Refugees</w:t>
      </w:r>
      <w:r w:rsidRPr="00452F06">
        <w:rPr>
          <w:rFonts w:asciiTheme="minorHAnsi" w:hAnsiTheme="minorHAnsi"/>
          <w:b/>
          <w:bCs/>
          <w:color w:val="000000"/>
          <w:sz w:val="24"/>
        </w:rPr>
        <w:t xml:space="preserve">, and </w:t>
      </w:r>
      <w:r w:rsidR="00452F06" w:rsidRPr="00452F06">
        <w:rPr>
          <w:rFonts w:asciiTheme="minorHAnsi" w:hAnsiTheme="minorHAnsi"/>
          <w:b/>
          <w:bCs/>
          <w:color w:val="000000"/>
          <w:sz w:val="24"/>
        </w:rPr>
        <w:t xml:space="preserve">Victims </w:t>
      </w:r>
      <w:r w:rsidRPr="00452F06">
        <w:rPr>
          <w:rFonts w:asciiTheme="minorHAnsi" w:hAnsiTheme="minorHAnsi"/>
          <w:b/>
          <w:bCs/>
          <w:color w:val="000000"/>
          <w:sz w:val="24"/>
        </w:rPr>
        <w:t xml:space="preserve">of </w:t>
      </w:r>
      <w:r w:rsidR="00452F06" w:rsidRPr="00452F06">
        <w:rPr>
          <w:rFonts w:asciiTheme="minorHAnsi" w:hAnsiTheme="minorHAnsi"/>
          <w:b/>
          <w:bCs/>
          <w:color w:val="000000"/>
          <w:sz w:val="24"/>
        </w:rPr>
        <w:t xml:space="preserve">Trafficking </w:t>
      </w:r>
      <w:r w:rsidRPr="00452F06">
        <w:rPr>
          <w:rFonts w:asciiTheme="minorHAnsi" w:hAnsiTheme="minorHAnsi"/>
          <w:b/>
          <w:bCs/>
          <w:color w:val="000000"/>
          <w:sz w:val="24"/>
        </w:rPr>
        <w:t xml:space="preserve">in </w:t>
      </w:r>
      <w:r w:rsidR="00452F06" w:rsidRPr="00452F06">
        <w:rPr>
          <w:rFonts w:asciiTheme="minorHAnsi" w:hAnsiTheme="minorHAnsi"/>
          <w:b/>
          <w:bCs/>
          <w:color w:val="000000"/>
          <w:sz w:val="24"/>
        </w:rPr>
        <w:t xml:space="preserve">Persons </w:t>
      </w:r>
    </w:p>
    <w:p w14:paraId="47B66512" w14:textId="77777777" w:rsidR="006243A1" w:rsidRPr="00452F06" w:rsidRDefault="002E0CD7"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Adopt measures to prevent the causes of the forced migration of persons, as well as adopt measures of protection, humanitarian assistance and lasting solutions for internally displaced persons and ensure the right of migrants and persons with the need for international protection</w:t>
      </w:r>
      <w:r w:rsidR="009E0E8F" w:rsidRPr="00B90432">
        <w:rPr>
          <w:rFonts w:asciiTheme="minorHAnsi" w:hAnsiTheme="minorHAnsi"/>
        </w:rPr>
        <w:t xml:space="preserve"> to leave the territory</w:t>
      </w:r>
      <w:r w:rsidRPr="00B90432">
        <w:rPr>
          <w:rFonts w:asciiTheme="minorHAnsi" w:hAnsiTheme="minorHAnsi"/>
        </w:rPr>
        <w:t xml:space="preserve">. </w:t>
      </w:r>
    </w:p>
    <w:p w14:paraId="3B504B51" w14:textId="77777777" w:rsidR="006243A1" w:rsidRPr="00452F06" w:rsidRDefault="002E0CD7"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Adopt specific legislation at the federal and state level to address internal displacement in keeping with the Guiding Principles on Internal Displacement. </w:t>
      </w:r>
    </w:p>
    <w:p w14:paraId="12662BDC" w14:textId="77777777" w:rsidR="006243A1" w:rsidRPr="00452F06" w:rsidRDefault="002D5EDA"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Amend Article </w:t>
      </w:r>
      <w:r w:rsidR="006243A1" w:rsidRPr="00B90432">
        <w:rPr>
          <w:rFonts w:asciiTheme="minorHAnsi" w:hAnsiTheme="minorHAnsi"/>
        </w:rPr>
        <w:t xml:space="preserve">50 </w:t>
      </w:r>
      <w:r w:rsidRPr="00B90432">
        <w:rPr>
          <w:rFonts w:asciiTheme="minorHAnsi" w:hAnsiTheme="minorHAnsi"/>
        </w:rPr>
        <w:t>of the Code of Migration in keeping with human rights norms and standards in order to ensure that persons requiring international protection are never returned to a country where their life, safety and liberty are in jeopardy.</w:t>
      </w:r>
    </w:p>
    <w:p w14:paraId="74AD4AB2" w14:textId="77777777" w:rsidR="006243A1" w:rsidRPr="00452F06" w:rsidRDefault="0061156E"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Regulate the Code of Migration and other norms relating to persons in the context of human mobility in keeping with the norms and </w:t>
      </w:r>
      <w:r w:rsidR="00B03961" w:rsidRPr="00B90432">
        <w:rPr>
          <w:rFonts w:asciiTheme="minorHAnsi" w:hAnsiTheme="minorHAnsi"/>
        </w:rPr>
        <w:t>standards</w:t>
      </w:r>
      <w:r w:rsidRPr="00B90432">
        <w:rPr>
          <w:rFonts w:asciiTheme="minorHAnsi" w:hAnsiTheme="minorHAnsi"/>
        </w:rPr>
        <w:t xml:space="preserve"> of the Inter-American human rights system, in the framework of a participatory process with civil society organizations and other relevant stakeholders. </w:t>
      </w:r>
    </w:p>
    <w:p w14:paraId="37177C36" w14:textId="77777777" w:rsidR="006243A1" w:rsidRPr="00452F06" w:rsidRDefault="00330ECC"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Ensure access to justice for migrants and their families, as well as implement measures to search for and identify missing migrants. </w:t>
      </w:r>
    </w:p>
    <w:p w14:paraId="1B04ECAD" w14:textId="77777777" w:rsidR="006243A1" w:rsidRPr="00452F06" w:rsidRDefault="00C501C8"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Implement effective measures to ensure the effective enjoyment of the human rights and reintegration of deported and returning persons. </w:t>
      </w:r>
    </w:p>
    <w:p w14:paraId="26F86026" w14:textId="77777777" w:rsidR="006243A1" w:rsidRPr="00452F06" w:rsidRDefault="00534FC3"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Ensure that expansionist business and development activities are carried out in keeping with international human rights standards, analyzing legal aspects, potential social conflicts, environmental and social impacts</w:t>
      </w:r>
      <w:r w:rsidR="00EB346E" w:rsidRPr="00B90432">
        <w:rPr>
          <w:rFonts w:asciiTheme="minorHAnsi" w:hAnsiTheme="minorHAnsi"/>
        </w:rPr>
        <w:t xml:space="preserve">, </w:t>
      </w:r>
      <w:r w:rsidR="005956A4" w:rsidRPr="00B90432">
        <w:rPr>
          <w:rFonts w:asciiTheme="minorHAnsi" w:hAnsiTheme="minorHAnsi"/>
        </w:rPr>
        <w:t xml:space="preserve">the </w:t>
      </w:r>
      <w:r w:rsidR="00EB346E" w:rsidRPr="00B90432">
        <w:rPr>
          <w:rFonts w:asciiTheme="minorHAnsi" w:hAnsiTheme="minorHAnsi"/>
        </w:rPr>
        <w:t xml:space="preserve">right to consultation, </w:t>
      </w:r>
      <w:r w:rsidR="00972DA5" w:rsidRPr="00B90432">
        <w:rPr>
          <w:rFonts w:asciiTheme="minorHAnsi" w:hAnsiTheme="minorHAnsi"/>
        </w:rPr>
        <w:t xml:space="preserve">the </w:t>
      </w:r>
      <w:r w:rsidR="00EB346E" w:rsidRPr="00B90432">
        <w:rPr>
          <w:rFonts w:asciiTheme="minorHAnsi" w:hAnsiTheme="minorHAnsi"/>
        </w:rPr>
        <w:t xml:space="preserve">conduct of authorities and corruption, as well as their repercussions in the short and long term. </w:t>
      </w:r>
      <w:r w:rsidR="00C556A8" w:rsidRPr="00B90432">
        <w:rPr>
          <w:rFonts w:asciiTheme="minorHAnsi" w:hAnsiTheme="minorHAnsi"/>
        </w:rPr>
        <w:t xml:space="preserve">The Guatemalan State must exercise adequate oversight of business activities in order to comply with its international obligations. </w:t>
      </w:r>
    </w:p>
    <w:p w14:paraId="218D473B" w14:textId="77777777" w:rsidR="006243A1" w:rsidRPr="00452F06" w:rsidRDefault="009C6BAA"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Ensure that evictions are conducted only in observance with </w:t>
      </w:r>
      <w:r w:rsidR="00661E05" w:rsidRPr="00B90432">
        <w:rPr>
          <w:rFonts w:asciiTheme="minorHAnsi" w:hAnsiTheme="minorHAnsi"/>
        </w:rPr>
        <w:t xml:space="preserve">human rights norms and standards and with the principles of exceptionality, legality, proportionality and suitability, in order to promote social wellbeing and by ensuring solutions for the evicted population, such </w:t>
      </w:r>
      <w:r w:rsidR="00661E05" w:rsidRPr="00B90432">
        <w:rPr>
          <w:rFonts w:asciiTheme="minorHAnsi" w:hAnsiTheme="minorHAnsi"/>
        </w:rPr>
        <w:lastRenderedPageBreak/>
        <w:t xml:space="preserve">as restitution and return, resettlement and rehabilitation or fair compensation.  </w:t>
      </w:r>
    </w:p>
    <w:p w14:paraId="43F26977" w14:textId="77777777" w:rsidR="006243A1" w:rsidRPr="00452F06" w:rsidRDefault="002E63E8"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Pursuant to the Peace Accords, promote the creation of an agrarian and environmental jurisdiction within the judicial apparatus through enactment by the Congress of the Republic of the respective law. </w:t>
      </w:r>
    </w:p>
    <w:p w14:paraId="45C4DB90" w14:textId="77777777" w:rsidR="006243A1" w:rsidRPr="00452F06" w:rsidRDefault="00744032"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Adopt measures to ensure the protection of the dignity, life and security of the evicted persons, by ensuring at a minimum access to food, potable water and sanitation, lodging, clothing, access to medical services, means of subsistence and access to justice, as well as ensure access to humanitarian assistance and independent monitoring. </w:t>
      </w:r>
    </w:p>
    <w:p w14:paraId="14DFB613" w14:textId="77777777" w:rsidR="006243A1" w:rsidRPr="00452F06" w:rsidRDefault="00E746A5"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Afrodescendants </w:t>
      </w:r>
    </w:p>
    <w:p w14:paraId="6558C43A" w14:textId="77777777" w:rsidR="006243A1" w:rsidRPr="00B90432" w:rsidRDefault="006243A1" w:rsidP="006243A1">
      <w:pPr>
        <w:spacing w:after="0" w:line="240" w:lineRule="auto"/>
        <w:ind w:left="180" w:firstLine="720"/>
        <w:textAlignment w:val="baseline"/>
        <w:rPr>
          <w:rFonts w:asciiTheme="minorHAnsi" w:hAnsiTheme="minorHAnsi"/>
          <w:bCs/>
          <w:color w:val="000000"/>
        </w:rPr>
      </w:pPr>
    </w:p>
    <w:p w14:paraId="196CD04C" w14:textId="77777777" w:rsidR="006243A1" w:rsidRPr="00B90432" w:rsidRDefault="000B5674"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Create institutions to formulate and develop policies </w:t>
      </w:r>
      <w:r w:rsidR="00BB75AE" w:rsidRPr="00B90432">
        <w:rPr>
          <w:rFonts w:asciiTheme="minorHAnsi" w:hAnsiTheme="minorHAnsi"/>
        </w:rPr>
        <w:t xml:space="preserve">for persons of African descent through a national action plan. </w:t>
      </w:r>
    </w:p>
    <w:p w14:paraId="0DA6AD45" w14:textId="77777777" w:rsidR="006243A1" w:rsidRPr="00452F06" w:rsidRDefault="004D5672"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LGBTI Persons </w:t>
      </w:r>
    </w:p>
    <w:p w14:paraId="4E51F766" w14:textId="77777777" w:rsidR="006243A1" w:rsidRPr="00B90432" w:rsidRDefault="00185B32"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Adopt the necessary measures to discourage intolerance and abolish any type of law that discriminates against persons based on their sexual orientation, gender identity or expression. </w:t>
      </w:r>
    </w:p>
    <w:p w14:paraId="398CF1E6" w14:textId="77777777" w:rsidR="006243A1" w:rsidRPr="00B90432" w:rsidRDefault="00601321"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 xml:space="preserve">Act with due diligence to prevent, investigate, punish and provide reparation for any type of violence committed against LGBTI persons. </w:t>
      </w:r>
    </w:p>
    <w:p w14:paraId="6F28E955" w14:textId="77777777" w:rsidR="006243A1" w:rsidRPr="00B90432" w:rsidRDefault="00406157" w:rsidP="0085755A">
      <w:pPr>
        <w:pStyle w:val="ListParagraph"/>
        <w:numPr>
          <w:ilvl w:val="0"/>
          <w:numId w:val="23"/>
        </w:numPr>
        <w:spacing w:after="240"/>
        <w:ind w:left="1094" w:hanging="547"/>
        <w:jc w:val="both"/>
        <w:rPr>
          <w:rFonts w:asciiTheme="minorHAnsi" w:hAnsiTheme="minorHAnsi"/>
        </w:rPr>
      </w:pPr>
      <w:r w:rsidRPr="00B90432">
        <w:rPr>
          <w:rFonts w:asciiTheme="minorHAnsi" w:hAnsiTheme="minorHAnsi"/>
        </w:rPr>
        <w:t>Adopt the necessary legislative measures and policies to prevent violence, discrimination and prejudice against persons because of their sexual orientation, div</w:t>
      </w:r>
      <w:r w:rsidR="00B535D6" w:rsidRPr="00B90432">
        <w:rPr>
          <w:rFonts w:asciiTheme="minorHAnsi" w:hAnsiTheme="minorHAnsi"/>
        </w:rPr>
        <w:t>erse gender identity and expre</w:t>
      </w:r>
      <w:r w:rsidRPr="00B90432">
        <w:rPr>
          <w:rFonts w:asciiTheme="minorHAnsi" w:hAnsiTheme="minorHAnsi"/>
        </w:rPr>
        <w:t xml:space="preserve">ssions </w:t>
      </w:r>
      <w:r w:rsidR="00382B3E" w:rsidRPr="00B90432">
        <w:rPr>
          <w:rFonts w:asciiTheme="minorHAnsi" w:hAnsiTheme="minorHAnsi"/>
        </w:rPr>
        <w:t xml:space="preserve">or whose bodies depart from male and female standards. </w:t>
      </w:r>
    </w:p>
    <w:p w14:paraId="139F1F37" w14:textId="79A5A078" w:rsidR="006243A1" w:rsidRPr="00452F06" w:rsidRDefault="00334818" w:rsidP="00452F06">
      <w:pPr>
        <w:spacing w:after="240" w:line="240" w:lineRule="auto"/>
        <w:ind w:left="547" w:hanging="7"/>
        <w:textAlignment w:val="baseline"/>
        <w:rPr>
          <w:rFonts w:asciiTheme="minorHAnsi" w:hAnsiTheme="minorHAnsi"/>
          <w:b/>
          <w:bCs/>
          <w:color w:val="000000"/>
          <w:sz w:val="24"/>
        </w:rPr>
      </w:pPr>
      <w:r w:rsidRPr="00452F06">
        <w:rPr>
          <w:rFonts w:asciiTheme="minorHAnsi" w:hAnsiTheme="minorHAnsi"/>
          <w:b/>
          <w:bCs/>
          <w:color w:val="000000"/>
          <w:sz w:val="24"/>
        </w:rPr>
        <w:t xml:space="preserve">Freedom of </w:t>
      </w:r>
      <w:r w:rsidR="00452F06" w:rsidRPr="00452F06">
        <w:rPr>
          <w:rFonts w:asciiTheme="minorHAnsi" w:hAnsiTheme="minorHAnsi"/>
          <w:b/>
          <w:bCs/>
          <w:color w:val="000000"/>
          <w:sz w:val="24"/>
        </w:rPr>
        <w:t>Expression</w:t>
      </w:r>
    </w:p>
    <w:p w14:paraId="11075608"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Acknowledge, from the highest levels of government, the legitimacy and value of the work of journalists, and condemn attacks committed in retaliation for the exercise of freedom of expression.</w:t>
      </w:r>
    </w:p>
    <w:p w14:paraId="617C2CD9"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Investigate crimes committed against journalists completely, effectively, and impartially. Additionally, in cases involving the murder of journalists, establish the motive and judicially determine any possible connection to journalistic activity and freedom of </w:t>
      </w:r>
      <w:r w:rsidRPr="00452F06">
        <w:rPr>
          <w:rFonts w:asciiTheme="minorHAnsi" w:hAnsiTheme="minorHAnsi"/>
        </w:rPr>
        <w:lastRenderedPageBreak/>
        <w:t xml:space="preserve">expression. The authorities should not rule out the practice of journalism as a motive for the attack and/or assault before the investigation is completed.  </w:t>
      </w:r>
    </w:p>
    <w:p w14:paraId="73D166A8"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With respect to the program for the protection of journalists and media workers—the creation of which was announced by the President of the Republic during the visit—ensure that its content is consistent with the international parameters, in broad and effective consultation with civil society organizations, journalists, and media workers.</w:t>
      </w:r>
    </w:p>
    <w:p w14:paraId="435C3577"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Take measures to guarantee the exercise of freedom of expression, plurality, and diversity in the digital transition process. Among other things, bring the license access, renewal, and revocation processes into line with the inter-American standards. </w:t>
      </w:r>
    </w:p>
    <w:p w14:paraId="437BE894"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Promote a pluralistic approach to information and multiple points of view by fostering the full enjoyment of freedom of thought and expression, access to the media, and diversity in media ownership and sources of information through, among other things, transparent licensing systems, and, as appropriate, effective regulations that prevent the improper concentration of media ownership.</w:t>
      </w:r>
    </w:p>
    <w:p w14:paraId="03964126"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 xml:space="preserve">Adopt the legislative measures and public policies to recognize and ensure community media outlets’ access to radio and television frequencies and licenses; in the meantime, abstain from criminally prosecuting community radio stations. </w:t>
      </w:r>
    </w:p>
    <w:p w14:paraId="364DF7F1" w14:textId="77777777" w:rsidR="00334818"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Enact special, clear, and precise laws to regulate advertising at each level of government. Such provisions should clearly define government advertising and establish appropriate penalties for their violation. The Office of the Special Rapporteur reiterates that government advertising should never be allocated by the States to reward or punish media outlets for their editorial and news content.</w:t>
      </w:r>
    </w:p>
    <w:p w14:paraId="682DA7AC" w14:textId="77777777" w:rsidR="006243A1" w:rsidRPr="00452F06" w:rsidRDefault="00334818" w:rsidP="0085755A">
      <w:pPr>
        <w:pStyle w:val="ListParagraph"/>
        <w:numPr>
          <w:ilvl w:val="0"/>
          <w:numId w:val="23"/>
        </w:numPr>
        <w:spacing w:after="240"/>
        <w:ind w:left="1094" w:hanging="547"/>
        <w:jc w:val="both"/>
        <w:rPr>
          <w:rFonts w:asciiTheme="minorHAnsi" w:hAnsiTheme="minorHAnsi"/>
        </w:rPr>
      </w:pPr>
      <w:r w:rsidRPr="00452F06">
        <w:rPr>
          <w:rFonts w:asciiTheme="minorHAnsi" w:hAnsiTheme="minorHAnsi"/>
        </w:rPr>
        <w:t>Ensure that its administrative laws and practices are compatible with the prohibition against the participation of the armed forces in public safety operations, in particular, the control of violence at social protests. Limit budget allocations to matters concerning national defense.</w:t>
      </w:r>
    </w:p>
    <w:sectPr w:rsidR="006243A1" w:rsidRPr="00452F06" w:rsidSect="00450424">
      <w:headerReference w:type="default" r:id="rId67"/>
      <w:footerReference w:type="default" r:id="rId68"/>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DAD8" w14:textId="77777777" w:rsidR="00124AC0" w:rsidRDefault="00124AC0" w:rsidP="008D7F03">
      <w:pPr>
        <w:spacing w:after="0" w:line="240" w:lineRule="auto"/>
      </w:pPr>
      <w:r>
        <w:separator/>
      </w:r>
    </w:p>
  </w:endnote>
  <w:endnote w:type="continuationSeparator" w:id="0">
    <w:p w14:paraId="3A58F15B" w14:textId="77777777" w:rsidR="00124AC0" w:rsidRDefault="00124AC0" w:rsidP="008D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grotesque Rg">
    <w:altName w:val="Geogrotesque Rg"/>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stleT-Book-SC700">
    <w:panose1 w:val="00000000000000000000"/>
    <w:charset w:val="00"/>
    <w:family w:val="swiss"/>
    <w:notTrueType/>
    <w:pitch w:val="default"/>
    <w:sig w:usb0="00000003" w:usb1="00000000" w:usb2="00000000" w:usb3="00000000" w:csb0="00000001" w:csb1="00000000"/>
  </w:font>
  <w:font w:name="MinionPro-Regular">
    <w:altName w:val="ＭＳ ゴシック"/>
    <w:panose1 w:val="00000000000000000000"/>
    <w:charset w:val="80"/>
    <w:family w:val="auto"/>
    <w:notTrueType/>
    <w:pitch w:val="default"/>
    <w:sig w:usb0="00000001" w:usb1="08070000" w:usb2="00000010" w:usb3="00000000" w:csb0="00020000" w:csb1="00000000"/>
  </w:font>
  <w:font w:name="ArnoPro-Regular">
    <w:panose1 w:val="00000000000000000000"/>
    <w:charset w:val="00"/>
    <w:family w:val="roman"/>
    <w:notTrueType/>
    <w:pitch w:val="default"/>
    <w:sig w:usb0="00000003" w:usb1="00000000" w:usb2="00000000" w:usb3="00000000" w:csb0="00000001" w:csb1="00000000"/>
  </w:font>
  <w:font w:name="Akzidenz-Grotesk Next Bold">
    <w:altName w:val="Akzidenz-Grotesk Next Bold"/>
    <w:panose1 w:val="00000000000000000000"/>
    <w:charset w:val="00"/>
    <w:family w:val="roman"/>
    <w:notTrueType/>
    <w:pitch w:val="default"/>
    <w:sig w:usb0="00000003" w:usb1="00000000" w:usb2="00000000" w:usb3="00000000" w:csb0="00000001" w:csb1="00000000"/>
  </w:font>
  <w:font w:name="UNZOVZ+Arial,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60C6" w14:textId="77777777" w:rsidR="00A57BFC" w:rsidRDefault="00A57BF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BF77" w14:textId="2D8A0F07" w:rsidR="001D7FF7" w:rsidRPr="00450424" w:rsidRDefault="001D7FF7" w:rsidP="0045042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F04C" w14:textId="77777777" w:rsidR="001D7FF7" w:rsidRPr="00450424" w:rsidRDefault="001D7FF7" w:rsidP="00450424">
    <w:pPr>
      <w:pStyle w:val="Footer"/>
      <w:spacing w:before="420"/>
      <w:rPr>
        <w:color w:val="4A442A" w:themeColor="background2" w:themeShade="40"/>
        <w:sz w:val="16"/>
        <w:szCs w:val="14"/>
      </w:rPr>
    </w:pPr>
    <w:r w:rsidRPr="00450424">
      <w:rPr>
        <w:color w:val="4A442A" w:themeColor="background2" w:themeShade="40"/>
        <w:sz w:val="16"/>
        <w:szCs w:val="14"/>
      </w:rPr>
      <w:t xml:space="preserve">Organization of American States | </w:t>
    </w:r>
    <w:r w:rsidRPr="00450424">
      <w:rPr>
        <w:b/>
        <w:color w:val="4A442A" w:themeColor="background2" w:themeShade="40"/>
        <w:sz w:val="16"/>
        <w:szCs w:val="14"/>
      </w:rPr>
      <w:t>OAS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C9A7"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0977" w14:textId="009C1FAC" w:rsidR="001D7FF7" w:rsidRPr="00F43601" w:rsidRDefault="001D7FF7" w:rsidP="00F4360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939A"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1EA5" w14:textId="7996EBF1" w:rsidR="001D7FF7" w:rsidRPr="002B3D42" w:rsidRDefault="001D7FF7" w:rsidP="002B3D4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0815"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E459" w14:textId="00A57D56" w:rsidR="001D7FF7" w:rsidRPr="00B40D2B" w:rsidRDefault="001D7FF7" w:rsidP="00B40D2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D89E"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1B93" w14:textId="3D308B08" w:rsidR="001D7FF7" w:rsidRPr="0004096F" w:rsidRDefault="001D7FF7" w:rsidP="0004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15CD" w14:textId="77777777" w:rsidR="00A57BFC" w:rsidRDefault="00A57BF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AFC6"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20B3D" w14:textId="5A7F252C" w:rsidR="001D7FF7" w:rsidRPr="00C50B93" w:rsidRDefault="001D7FF7" w:rsidP="00C50B9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47AC"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AAB5" w14:textId="78C818B5" w:rsidR="001D7FF7" w:rsidRPr="007D3ACE" w:rsidRDefault="001D7FF7" w:rsidP="007D3ACE">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B04A" w14:textId="110A664A" w:rsidR="001D7FF7" w:rsidRPr="001944CF" w:rsidRDefault="001D7FF7" w:rsidP="001944CF">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4BBC"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E37C"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0D0C" w14:textId="74E03623" w:rsidR="001D7FF7" w:rsidRPr="001D586A" w:rsidRDefault="001D7FF7" w:rsidP="001D586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9DFDD" w14:textId="77777777" w:rsidR="001D7FF7" w:rsidRPr="00450424" w:rsidRDefault="001D7FF7" w:rsidP="00450424">
    <w:pPr>
      <w:pStyle w:val="Footer"/>
      <w:spacing w:before="420"/>
      <w:jc w:val="right"/>
      <w:rPr>
        <w:color w:val="4A442A" w:themeColor="background2" w:themeShade="40"/>
        <w:sz w:val="16"/>
        <w:szCs w:val="14"/>
      </w:rPr>
    </w:pPr>
    <w:r w:rsidRPr="00450424">
      <w:rPr>
        <w:color w:val="4A442A" w:themeColor="background2" w:themeShade="40"/>
        <w:sz w:val="16"/>
        <w:szCs w:val="14"/>
      </w:rPr>
      <w:t xml:space="preserve">Inter-American Commission on Human Rights | </w:t>
    </w:r>
    <w:r w:rsidRPr="00450424">
      <w:rPr>
        <w:b/>
        <w:color w:val="4A442A" w:themeColor="background2" w:themeShade="40"/>
        <w:sz w:val="16"/>
        <w:szCs w:val="14"/>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C5E6" w14:textId="77777777" w:rsidR="00A57BFC" w:rsidRDefault="00A57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6C7C" w14:textId="77777777" w:rsidR="001D7FF7" w:rsidRPr="00810616" w:rsidRDefault="001D7FF7" w:rsidP="00493B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CDF0" w14:textId="77777777" w:rsidR="001D7FF7" w:rsidRDefault="001D7FF7" w:rsidP="00493B79">
    <w:pPr>
      <w:pStyle w:val="Footer"/>
      <w:rPr>
        <w:color w:val="4A442A"/>
        <w:sz w:val="16"/>
        <w:szCs w:val="16"/>
      </w:rPr>
    </w:pPr>
  </w:p>
  <w:p w14:paraId="15733D97" w14:textId="77777777" w:rsidR="001D7FF7" w:rsidRDefault="001D7FF7" w:rsidP="00493B79">
    <w:pPr>
      <w:pStyle w:val="Footer"/>
      <w:rPr>
        <w:color w:val="4A442A"/>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F3AA" w14:textId="77777777" w:rsidR="001D7FF7" w:rsidRPr="00810616" w:rsidRDefault="001D7FF7" w:rsidP="00493B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1D781" w14:textId="77777777" w:rsidR="001D7FF7" w:rsidRPr="0020639F" w:rsidRDefault="001D7FF7" w:rsidP="00493B79">
    <w:pPr>
      <w:pStyle w:val="Footer"/>
      <w:jc w:val="cente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641E" w14:textId="6FEA1B20" w:rsidR="001D7FF7" w:rsidRDefault="001D7FF7" w:rsidP="00DB5798">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6657" w14:textId="2654771F" w:rsidR="001D7FF7" w:rsidRPr="00DB5798" w:rsidRDefault="001D7FF7" w:rsidP="00DB579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E15A" w14:textId="77777777" w:rsidR="00124AC0" w:rsidRPr="00B70540" w:rsidRDefault="00124AC0" w:rsidP="00B70540">
      <w:pPr>
        <w:spacing w:after="0" w:line="240" w:lineRule="auto"/>
        <w:rPr>
          <w:color w:val="808080" w:themeColor="background1" w:themeShade="80"/>
        </w:rPr>
      </w:pPr>
      <w:r w:rsidRPr="00B70540">
        <w:rPr>
          <w:color w:val="808080" w:themeColor="background1" w:themeShade="80"/>
        </w:rPr>
        <w:continuationSeparator/>
      </w:r>
    </w:p>
  </w:footnote>
  <w:footnote w:type="continuationSeparator" w:id="0">
    <w:p w14:paraId="24F949DE" w14:textId="77777777" w:rsidR="00124AC0" w:rsidRPr="00B70540" w:rsidRDefault="00124AC0" w:rsidP="008D7F03">
      <w:pPr>
        <w:spacing w:after="0" w:line="240" w:lineRule="auto"/>
        <w:rPr>
          <w:color w:val="808080" w:themeColor="background1" w:themeShade="80"/>
        </w:rPr>
      </w:pPr>
      <w:r w:rsidRPr="00B70540">
        <w:rPr>
          <w:color w:val="808080" w:themeColor="background1" w:themeShade="80"/>
        </w:rPr>
        <w:continuationSeparator/>
      </w:r>
    </w:p>
  </w:footnote>
  <w:footnote w:id="1">
    <w:p w14:paraId="2C04792B" w14:textId="669DE81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 1981, 1983, 1985, 1993,  1996, 2001, 2003, and 2015.</w:t>
      </w:r>
    </w:p>
  </w:footnote>
  <w:footnote w:id="2">
    <w:p w14:paraId="42A9342C" w14:textId="1FD948C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Every year between 1983 and 1991, and in 1993, 1994, 1996, 1997, 2002, 2004, y 2016.</w:t>
      </w:r>
    </w:p>
  </w:footnote>
  <w:footnote w:id="3">
    <w:p w14:paraId="704355BF" w14:textId="18372BA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
    <w:p w14:paraId="623D7174" w14:textId="17919F8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Ibid.</w:t>
      </w:r>
    </w:p>
  </w:footnote>
  <w:footnote w:id="5">
    <w:p w14:paraId="6A364CB9" w14:textId="59729A88"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CEH, Memory of Silence, Volume I (in Spanish only), </w:t>
      </w:r>
      <w:hyperlink r:id="rId1" w:history="1">
        <w:r w:rsidRPr="001944CF">
          <w:rPr>
            <w:rStyle w:val="Hyperlink"/>
            <w:rFonts w:asciiTheme="majorHAnsi" w:hAnsiTheme="majorHAnsi"/>
            <w:i/>
            <w:iCs/>
            <w:color w:val="808080" w:themeColor="background1" w:themeShade="80"/>
            <w:sz w:val="16"/>
            <w:szCs w:val="16"/>
          </w:rPr>
          <w:t>Causas y orígenes del enfrentamiento armado interno</w:t>
        </w:r>
      </w:hyperlink>
      <w:r w:rsidRPr="001944CF">
        <w:rPr>
          <w:rFonts w:asciiTheme="majorHAnsi" w:hAnsiTheme="majorHAnsi"/>
          <w:color w:val="808080" w:themeColor="background1" w:themeShade="80"/>
          <w:sz w:val="16"/>
          <w:szCs w:val="16"/>
        </w:rPr>
        <w:t>, p. 80</w:t>
      </w:r>
    </w:p>
  </w:footnote>
  <w:footnote w:id="6">
    <w:p w14:paraId="402A5064" w14:textId="1C9F2FA5"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r>
      <w:r w:rsidRPr="001944CF">
        <w:rPr>
          <w:rFonts w:asciiTheme="majorHAnsi" w:hAnsiTheme="majorHAnsi"/>
          <w:i/>
          <w:color w:val="808080" w:themeColor="background1" w:themeShade="80"/>
          <w:sz w:val="16"/>
          <w:szCs w:val="16"/>
        </w:rPr>
        <w:t>Id.</w:t>
      </w:r>
      <w:r w:rsidRPr="001944CF">
        <w:rPr>
          <w:rFonts w:asciiTheme="majorHAnsi" w:hAnsiTheme="majorHAnsi"/>
          <w:color w:val="808080" w:themeColor="background1" w:themeShade="80"/>
          <w:sz w:val="16"/>
          <w:szCs w:val="16"/>
        </w:rPr>
        <w:t xml:space="preserve">, Volume V, </w:t>
      </w:r>
      <w:hyperlink r:id="rId2" w:history="1">
        <w:r w:rsidRPr="001944CF">
          <w:rPr>
            <w:rStyle w:val="Hyperlink"/>
            <w:rFonts w:asciiTheme="majorHAnsi" w:hAnsiTheme="majorHAnsi"/>
            <w:color w:val="808080" w:themeColor="background1" w:themeShade="80"/>
            <w:sz w:val="16"/>
            <w:szCs w:val="16"/>
          </w:rPr>
          <w:t>Conclusions and Recommendations</w:t>
        </w:r>
      </w:hyperlink>
      <w:r w:rsidRPr="001944CF">
        <w:rPr>
          <w:rFonts w:asciiTheme="majorHAnsi" w:hAnsiTheme="majorHAnsi"/>
          <w:color w:val="808080" w:themeColor="background1" w:themeShade="80"/>
          <w:sz w:val="16"/>
          <w:szCs w:val="16"/>
        </w:rPr>
        <w:t>, p. 24.</w:t>
      </w:r>
    </w:p>
  </w:footnote>
  <w:footnote w:id="7">
    <w:p w14:paraId="325AD77B" w14:textId="21F3976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CEH, Guatemala, Memory of Silence, Conclusions and of recommendations.</w:t>
      </w:r>
    </w:p>
  </w:footnote>
  <w:footnote w:id="8">
    <w:p w14:paraId="62096AA4" w14:textId="1904D2D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9">
    <w:p w14:paraId="1E4CF111" w14:textId="6DC8DB11"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The Accord for a Firm and Lasting Peace was signed and entered into force on December 29, 1996.</w:t>
      </w:r>
    </w:p>
  </w:footnote>
  <w:footnote w:id="10">
    <w:p w14:paraId="08C8EAB4" w14:textId="4D891BE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Information presented by the following civil society organizations with the request for a thematic hearing on “Reparation in Guatemala,” October 10, 2016: Coordinadora de Víctimas de Alta Verapaz (CODEVI), Coordinadora de Víctimas de El Petén (COVIP), Asociación Campesina para el Desarrollo Nebajense (ASOCDENEB), Comunidades de Población en Resistencia (CPR-Sierra), Comunidades de Víctimas de Cotzal El Quiché, Centro de Análisis Forense y Ciencias Aplicadas (CAFCA).  </w:t>
      </w:r>
    </w:p>
  </w:footnote>
  <w:footnote w:id="11">
    <w:p w14:paraId="1EE0A07C" w14:textId="7A4D937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 its comments to the draft of this report, the State of Guatemala stated: “we respect what [the Commission] has observed, but we suggest noting the change that is being generated for the benefit of the population.”  Communication from the State of Guatemala, “Submission of the State of Guatemala to Include in the Draft Report on the Human Rights Situtation in Guatemala,” December 22, 2017.</w:t>
      </w:r>
    </w:p>
  </w:footnote>
  <w:footnote w:id="12">
    <w:p w14:paraId="2A796527" w14:textId="0D1F5E27"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According to the census, in 2002 Guatemala’s population numbered 15,073,375, 48.8% of whom were male and 51.2% female. </w:t>
      </w:r>
      <w:r w:rsidRPr="001944CF">
        <w:rPr>
          <w:rFonts w:asciiTheme="majorHAnsi" w:hAnsiTheme="majorHAnsi"/>
          <w:color w:val="808080" w:themeColor="background1" w:themeShade="80"/>
          <w:sz w:val="16"/>
          <w:szCs w:val="16"/>
          <w:lang w:val="es-MX"/>
        </w:rPr>
        <w:t xml:space="preserve">INE, </w:t>
      </w:r>
      <w:hyperlink r:id="rId3" w:history="1">
        <w:r w:rsidRPr="001944CF">
          <w:rPr>
            <w:rStyle w:val="Hyperlink"/>
            <w:rFonts w:asciiTheme="majorHAnsi" w:hAnsiTheme="majorHAnsi"/>
            <w:i/>
            <w:iCs/>
            <w:color w:val="808080" w:themeColor="background1" w:themeShade="80"/>
            <w:sz w:val="16"/>
            <w:szCs w:val="16"/>
            <w:lang w:val="es-MX"/>
          </w:rPr>
          <w:t>Caracterización Estadística de la República de Guatemala</w:t>
        </w:r>
      </w:hyperlink>
      <w:r w:rsidRPr="001944CF">
        <w:rPr>
          <w:rFonts w:asciiTheme="majorHAnsi" w:hAnsiTheme="majorHAnsi"/>
          <w:color w:val="808080" w:themeColor="background1" w:themeShade="80"/>
          <w:sz w:val="16"/>
          <w:szCs w:val="16"/>
          <w:lang w:val="es-MX"/>
        </w:rPr>
        <w:t>.</w:t>
      </w:r>
    </w:p>
  </w:footnote>
  <w:footnote w:id="13">
    <w:p w14:paraId="0E2A542D" w14:textId="076BC5E1"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ES"/>
        </w:rPr>
        <w:t xml:space="preserve"> </w:t>
      </w:r>
      <w:r w:rsidRPr="001944CF">
        <w:rPr>
          <w:rFonts w:asciiTheme="majorHAnsi" w:hAnsiTheme="majorHAnsi"/>
          <w:color w:val="808080" w:themeColor="background1" w:themeShade="80"/>
          <w:sz w:val="16"/>
          <w:szCs w:val="16"/>
          <w:lang w:val="es-ES"/>
        </w:rPr>
        <w:tab/>
        <w:t xml:space="preserve">51.0% of the population resided in rural areas. </w:t>
      </w:r>
      <w:r w:rsidRPr="001944CF">
        <w:rPr>
          <w:rFonts w:asciiTheme="majorHAnsi" w:hAnsiTheme="majorHAnsi"/>
          <w:color w:val="808080" w:themeColor="background1" w:themeShade="80"/>
          <w:sz w:val="16"/>
          <w:szCs w:val="16"/>
          <w:lang w:val="es-MX"/>
        </w:rPr>
        <w:t xml:space="preserve">INE, </w:t>
      </w:r>
      <w:hyperlink r:id="rId4" w:history="1">
        <w:r w:rsidRPr="001944CF">
          <w:rPr>
            <w:rStyle w:val="Hyperlink"/>
            <w:rFonts w:asciiTheme="majorHAnsi" w:hAnsiTheme="majorHAnsi"/>
            <w:i/>
            <w:iCs/>
            <w:color w:val="808080" w:themeColor="background1" w:themeShade="80"/>
            <w:sz w:val="16"/>
            <w:szCs w:val="16"/>
            <w:lang w:val="es-MX"/>
          </w:rPr>
          <w:t>Caracterización Estadística de la República de Guatemala</w:t>
        </w:r>
      </w:hyperlink>
      <w:r w:rsidRPr="001944CF">
        <w:rPr>
          <w:rFonts w:asciiTheme="majorHAnsi" w:hAnsiTheme="majorHAnsi"/>
          <w:color w:val="808080" w:themeColor="background1" w:themeShade="80"/>
          <w:sz w:val="16"/>
          <w:szCs w:val="16"/>
          <w:lang w:val="es-MX"/>
        </w:rPr>
        <w:t>.</w:t>
      </w:r>
    </w:p>
  </w:footnote>
  <w:footnote w:id="14">
    <w:p w14:paraId="08EBEF02" w14:textId="4C92F5B2"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t xml:space="preserve">OHCHR, Central America, </w:t>
      </w:r>
      <w:hyperlink r:id="rId5" w:history="1">
        <w:r w:rsidRPr="001944CF">
          <w:rPr>
            <w:rStyle w:val="Hyperlink"/>
            <w:rFonts w:asciiTheme="majorHAnsi" w:hAnsiTheme="majorHAnsi"/>
            <w:i/>
            <w:iCs/>
            <w:color w:val="808080" w:themeColor="background1" w:themeShade="80"/>
            <w:sz w:val="16"/>
            <w:szCs w:val="16"/>
            <w:lang w:val="es-MX"/>
          </w:rPr>
          <w:t>Diagnóstico sobre la Situación de los Derechos Humanos de los Pueblos Indígenas de América Central</w:t>
        </w:r>
      </w:hyperlink>
      <w:r w:rsidRPr="001944CF">
        <w:rPr>
          <w:rFonts w:asciiTheme="majorHAnsi" w:hAnsiTheme="majorHAnsi"/>
          <w:color w:val="808080" w:themeColor="background1" w:themeShade="80"/>
          <w:sz w:val="16"/>
          <w:szCs w:val="16"/>
          <w:lang w:val="es-MX"/>
        </w:rPr>
        <w:t xml:space="preserve">, 2011, Vol. </w:t>
      </w:r>
      <w:r w:rsidRPr="001944CF">
        <w:rPr>
          <w:rFonts w:asciiTheme="majorHAnsi" w:hAnsiTheme="majorHAnsi"/>
          <w:color w:val="808080" w:themeColor="background1" w:themeShade="80"/>
          <w:sz w:val="16"/>
          <w:szCs w:val="16"/>
        </w:rPr>
        <w:t xml:space="preserve">I, p. 190. </w:t>
      </w:r>
    </w:p>
  </w:footnote>
  <w:footnote w:id="15">
    <w:p w14:paraId="5E3CDD17" w14:textId="3CE886E7"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The </w:t>
      </w:r>
      <w:r w:rsidRPr="001944CF">
        <w:rPr>
          <w:rFonts w:asciiTheme="majorHAnsi" w:hAnsiTheme="majorHAnsi"/>
          <w:i/>
          <w:iCs/>
          <w:color w:val="808080" w:themeColor="background1" w:themeShade="80"/>
          <w:sz w:val="16"/>
          <w:szCs w:val="16"/>
        </w:rPr>
        <w:t>mestizo</w:t>
      </w:r>
      <w:r w:rsidRPr="001944CF">
        <w:rPr>
          <w:rFonts w:asciiTheme="majorHAnsi" w:hAnsiTheme="majorHAnsi"/>
          <w:color w:val="808080" w:themeColor="background1" w:themeShade="80"/>
          <w:sz w:val="16"/>
          <w:szCs w:val="16"/>
        </w:rPr>
        <w:t xml:space="preserve"> or mixed-race hispanicized community that only speaks Spanish (Central America). Dictionary of the Spanish Royal Academy.The Maya group comprises 22 distinct sociolinguistic communities. </w:t>
      </w:r>
      <w:r w:rsidRPr="001944CF">
        <w:rPr>
          <w:rFonts w:asciiTheme="majorHAnsi" w:hAnsiTheme="majorHAnsi"/>
          <w:color w:val="808080" w:themeColor="background1" w:themeShade="80"/>
          <w:sz w:val="16"/>
          <w:szCs w:val="16"/>
          <w:lang w:val="es-MX"/>
        </w:rPr>
        <w:t xml:space="preserve">Ministry of Education of Guatemala, </w:t>
      </w:r>
      <w:hyperlink r:id="rId6" w:history="1">
        <w:r w:rsidRPr="001944CF">
          <w:rPr>
            <w:rStyle w:val="Hyperlink"/>
            <w:rFonts w:asciiTheme="majorHAnsi" w:hAnsiTheme="majorHAnsi"/>
            <w:i/>
            <w:iCs/>
            <w:color w:val="808080" w:themeColor="background1" w:themeShade="80"/>
            <w:sz w:val="16"/>
            <w:szCs w:val="16"/>
            <w:u w:val="none"/>
            <w:lang w:val="es-MX"/>
          </w:rPr>
          <w:t>Un país con Diversidad Étnica, Cultural y Lingüística</w:t>
        </w:r>
      </w:hyperlink>
    </w:p>
  </w:footnote>
  <w:footnote w:id="16">
    <w:p w14:paraId="5FFAB27D" w14:textId="3F8C32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Guatemala: </w:t>
      </w:r>
      <w:r w:rsidRPr="001944CF">
        <w:rPr>
          <w:rFonts w:asciiTheme="majorHAnsi" w:hAnsiTheme="majorHAnsi"/>
          <w:i/>
          <w:iCs/>
          <w:color w:val="808080" w:themeColor="background1" w:themeShade="80"/>
        </w:rPr>
        <w:t>Diversity, Inequality and Exclusion</w:t>
      </w:r>
      <w:r w:rsidRPr="001944CF">
        <w:rPr>
          <w:rFonts w:asciiTheme="majorHAnsi" w:hAnsiTheme="majorHAnsi"/>
          <w:color w:val="808080" w:themeColor="background1" w:themeShade="80"/>
        </w:rPr>
        <w:t>, OEA/Ser.L/V/II.Doc. 43/15, December 30, 2015, para. 30.</w:t>
      </w:r>
    </w:p>
  </w:footnote>
  <w:footnote w:id="17">
    <w:p w14:paraId="2F9E5E45" w14:textId="007CDF0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According to the Organisation for Economic Cooperation and Development, except for Venezuela, Guatemala was the country with the lowest average taxpayer from 1990 to 2010. OECD, Revenue Statistics in Latin America, 1990-2010. Available online: </w:t>
      </w:r>
      <w:hyperlink r:id="rId7" w:history="1">
        <w:r w:rsidRPr="001944CF">
          <w:rPr>
            <w:rStyle w:val="Hyperlink"/>
            <w:rFonts w:asciiTheme="majorHAnsi" w:hAnsiTheme="majorHAnsi"/>
            <w:color w:val="808080" w:themeColor="background1" w:themeShade="80"/>
          </w:rPr>
          <w:t>http://www.keepeek.com/oecd/media/taxation/revenue-statistics-in-latin-america-2012_9789264183889-en-fr#.WgZO5sanGUk</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w:t>
      </w:r>
    </w:p>
  </w:footnote>
  <w:footnote w:id="18">
    <w:p w14:paraId="69935661" w14:textId="5185277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ECLAC, Fiscal Panorama of Latin America and the Caribbean 2015: Policy space and dilemmas, March 2015 Se encuentra en: http://caribbean.cepal.org/content/fiscal-panorama-latin-america-and-caribbean-2015-policy-space-and-dilemmas </w:t>
      </w:r>
    </w:p>
  </w:footnote>
  <w:footnote w:id="19">
    <w:p w14:paraId="5465B4DC" w14:textId="7C491B0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See newspaper article in La Prensa, </w:t>
      </w:r>
      <w:r w:rsidRPr="001944CF">
        <w:rPr>
          <w:rFonts w:asciiTheme="majorHAnsi" w:hAnsiTheme="majorHAnsi"/>
          <w:i/>
          <w:iCs/>
          <w:color w:val="808080" w:themeColor="background1" w:themeShade="80"/>
          <w:lang w:val="es-MX"/>
        </w:rPr>
        <w:t>SAT llegó al a meta de recaudación influida por las intervenciones</w:t>
      </w:r>
      <w:r w:rsidRPr="001944CF">
        <w:rPr>
          <w:rFonts w:asciiTheme="majorHAnsi" w:hAnsiTheme="majorHAnsi"/>
          <w:color w:val="808080" w:themeColor="background1" w:themeShade="80"/>
          <w:lang w:val="es-MX"/>
        </w:rPr>
        <w:t xml:space="preserve">, January 17, 2017. </w:t>
      </w:r>
      <w:r w:rsidRPr="001944CF">
        <w:rPr>
          <w:rFonts w:asciiTheme="majorHAnsi" w:hAnsiTheme="majorHAnsi"/>
          <w:color w:val="808080" w:themeColor="background1" w:themeShade="80"/>
        </w:rPr>
        <w:t xml:space="preserve">Available online: </w:t>
      </w:r>
      <w:hyperlink r:id="rId8" w:history="1">
        <w:r w:rsidRPr="001944CF">
          <w:rPr>
            <w:rStyle w:val="Hyperlink"/>
            <w:rFonts w:asciiTheme="majorHAnsi" w:hAnsiTheme="majorHAnsi"/>
            <w:color w:val="808080" w:themeColor="background1" w:themeShade="80"/>
          </w:rPr>
          <w:t>http://www.prensalibre.com/economia/economia/sat-llego-a-la-meta-de-cobranza-fiscal</w:t>
        </w:r>
      </w:hyperlink>
      <w:r w:rsidRPr="001944CF">
        <w:rPr>
          <w:rFonts w:asciiTheme="majorHAnsi" w:hAnsiTheme="majorHAnsi"/>
          <w:color w:val="808080" w:themeColor="background1" w:themeShade="80"/>
        </w:rPr>
        <w:t xml:space="preserve">. </w:t>
      </w:r>
    </w:p>
  </w:footnote>
  <w:footnote w:id="20">
    <w:p w14:paraId="5CD82BCB" w14:textId="1BA017A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Development Programme in Guatemala, </w:t>
      </w:r>
      <w:r w:rsidRPr="001944CF">
        <w:rPr>
          <w:rFonts w:asciiTheme="majorHAnsi" w:hAnsiTheme="majorHAnsi"/>
          <w:i/>
          <w:iCs/>
          <w:color w:val="808080" w:themeColor="background1" w:themeShade="80"/>
        </w:rPr>
        <w:t>Guatemala en breve</w:t>
      </w:r>
      <w:r w:rsidRPr="001944CF">
        <w:rPr>
          <w:rFonts w:asciiTheme="majorHAnsi" w:hAnsiTheme="majorHAnsi"/>
          <w:color w:val="808080" w:themeColor="background1" w:themeShade="80"/>
        </w:rPr>
        <w:t xml:space="preserve">, 2017. Available online: </w:t>
      </w:r>
      <w:hyperlink r:id="rId9" w:history="1">
        <w:r w:rsidRPr="001944CF">
          <w:rPr>
            <w:rStyle w:val="Hyperlink"/>
            <w:rFonts w:asciiTheme="majorHAnsi" w:hAnsiTheme="majorHAnsi"/>
            <w:color w:val="808080" w:themeColor="background1" w:themeShade="80"/>
          </w:rPr>
          <w:t>http://www.gt.undp.org/content/guatemala/es/home/countryinfo/</w:t>
        </w:r>
      </w:hyperlink>
      <w:r w:rsidRPr="001944CF">
        <w:rPr>
          <w:rFonts w:asciiTheme="majorHAnsi" w:hAnsiTheme="majorHAnsi"/>
          <w:color w:val="808080" w:themeColor="background1" w:themeShade="80"/>
        </w:rPr>
        <w:t xml:space="preserve">. </w:t>
      </w:r>
    </w:p>
  </w:footnote>
  <w:footnote w:id="21">
    <w:p w14:paraId="6C14FCB6" w14:textId="13EEDBC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other words, they make less than 10,218 quetzales per year, aproximadamente US$1,400 at 2017 prices. Poverty is "a human condition characterized by the continuous or chronic deprivation of resources, capacity, options, security and the power necessary to enjoy an adequate standard of living and other civil, cultural, political and social rights.” Extreme poverty is "a combination of scarcity of resources, lack of human development and social exclusion," where a prolonged lack of basic security affects several aspects of people’s lives simultaneously, severely compromising their chances of exercising or regaining their rights in the foreseeable future. United Nations, </w:t>
      </w:r>
      <w:hyperlink r:id="rId10" w:history="1">
        <w:r w:rsidRPr="001944CF">
          <w:rPr>
            <w:rStyle w:val="Hyperlink"/>
            <w:rFonts w:asciiTheme="majorHAnsi" w:hAnsiTheme="majorHAnsi"/>
            <w:color w:val="808080" w:themeColor="background1" w:themeShade="80"/>
          </w:rPr>
          <w:t xml:space="preserve">Guiding Principles on Extreme Poverty and Human Rights </w:t>
        </w:r>
      </w:hyperlink>
      <w:r w:rsidRPr="001944CF">
        <w:rPr>
          <w:rFonts w:asciiTheme="majorHAnsi" w:hAnsiTheme="majorHAnsi"/>
          <w:color w:val="808080" w:themeColor="background1" w:themeShade="80"/>
        </w:rPr>
        <w:t>, Special Rapporteur on extreme poverty and human rights, Magdalena Sepúlveda. Adopted by the Human Rights Council on September 27, 2012, par 2.</w:t>
      </w:r>
    </w:p>
  </w:footnote>
  <w:footnote w:id="22">
    <w:p w14:paraId="7C2FB685" w14:textId="4D70FF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National Living Standards Survey (ENCOVI) 2014, National Statistics Institute. Available online: </w:t>
      </w:r>
      <w:hyperlink r:id="rId11" w:history="1">
        <w:r w:rsidRPr="001944CF">
          <w:rPr>
            <w:rStyle w:val="Hyperlink"/>
            <w:rFonts w:asciiTheme="majorHAnsi" w:hAnsiTheme="majorHAnsi" w:cs="Arial"/>
            <w:color w:val="808080" w:themeColor="background1" w:themeShade="80"/>
          </w:rPr>
          <w:t>https://www.ine.gob.gt/sistema/uploads/2015/12/11/vjNVdb4IZswOj0ZtuivPIcaAXet8LZqZ.pdf</w:t>
        </w:r>
      </w:hyperlink>
      <w:r w:rsidRPr="001944CF">
        <w:rPr>
          <w:rFonts w:asciiTheme="majorHAnsi" w:hAnsiTheme="majorHAnsi"/>
          <w:color w:val="808080" w:themeColor="background1" w:themeShade="80"/>
        </w:rPr>
        <w:t xml:space="preserve">. </w:t>
      </w:r>
    </w:p>
  </w:footnote>
  <w:footnote w:id="23">
    <w:p w14:paraId="4D79F571" w14:textId="02F6BA8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Ibid.</w:t>
      </w:r>
    </w:p>
  </w:footnote>
  <w:footnote w:id="24">
    <w:p w14:paraId="5AC9C3E5" w14:textId="4E5E5DC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Development Programme in Guatemala, </w:t>
      </w:r>
      <w:r w:rsidRPr="001944CF">
        <w:rPr>
          <w:rFonts w:asciiTheme="majorHAnsi" w:hAnsiTheme="majorHAnsi"/>
          <w:i/>
          <w:iCs/>
          <w:color w:val="808080" w:themeColor="background1" w:themeShade="80"/>
        </w:rPr>
        <w:t>Guatemala en breve</w:t>
      </w:r>
      <w:r w:rsidRPr="001944CF">
        <w:rPr>
          <w:rFonts w:asciiTheme="majorHAnsi" w:hAnsiTheme="majorHAnsi"/>
          <w:color w:val="808080" w:themeColor="background1" w:themeShade="80"/>
        </w:rPr>
        <w:t xml:space="preserve">, 2017. Available online: </w:t>
      </w:r>
      <w:hyperlink r:id="rId12" w:history="1">
        <w:r w:rsidRPr="001944CF">
          <w:rPr>
            <w:rStyle w:val="Hyperlink"/>
            <w:rFonts w:asciiTheme="majorHAnsi" w:hAnsiTheme="majorHAnsi"/>
            <w:color w:val="808080" w:themeColor="background1" w:themeShade="80"/>
          </w:rPr>
          <w:t>http://www.gt.undp.org/content/guatemala/es/home/countryinfo/</w:t>
        </w:r>
      </w:hyperlink>
      <w:r w:rsidRPr="001944CF">
        <w:rPr>
          <w:rFonts w:asciiTheme="majorHAnsi" w:hAnsiTheme="majorHAnsi"/>
          <w:color w:val="808080" w:themeColor="background1" w:themeShade="80"/>
        </w:rPr>
        <w:t>. According to World Bank data, Guatemala's GDP grew 3.1 percent in 2016.</w:t>
      </w:r>
    </w:p>
  </w:footnote>
  <w:footnote w:id="25">
    <w:p w14:paraId="096D0BDA" w14:textId="153F7C0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National Living Standards Survey (ENCOVI) 2014, National Statistics Institute.</w:t>
      </w:r>
    </w:p>
  </w:footnote>
  <w:footnote w:id="26">
    <w:p w14:paraId="376C4DA3" w14:textId="3F84D00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pp. 49-58. Information from the organizations Campaña Guatemala Sin Hambre and IAN International (International Secretariat), August 25, 2017. In the IACHR archive.</w:t>
      </w:r>
    </w:p>
  </w:footnote>
  <w:footnote w:id="27">
    <w:p w14:paraId="50EB3CD5" w14:textId="652DC06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National Living Standards Survey (ENCOVI) 2014, National Statistics Institute.</w:t>
      </w:r>
    </w:p>
  </w:footnote>
  <w:footnote w:id="28">
    <w:p w14:paraId="6B899051" w14:textId="273B5F8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29">
    <w:p w14:paraId="17726492" w14:textId="2BCB85C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Annual Report 2016, Chapter V. Available online: </w:t>
      </w:r>
      <w:hyperlink r:id="rId13" w:history="1">
        <w:r w:rsidRPr="001944CF">
          <w:rPr>
            <w:rStyle w:val="Hyperlink"/>
            <w:rFonts w:asciiTheme="majorHAnsi" w:hAnsiTheme="majorHAnsi"/>
            <w:color w:val="808080" w:themeColor="background1" w:themeShade="80"/>
          </w:rPr>
          <w:t>www.oas.org/en/iachr/docs/annual/2016/TOC.asp</w:t>
        </w:r>
      </w:hyperlink>
      <w:r w:rsidRPr="001944CF">
        <w:rPr>
          <w:rFonts w:asciiTheme="majorHAnsi" w:hAnsiTheme="majorHAnsi"/>
          <w:color w:val="808080" w:themeColor="background1" w:themeShade="80"/>
        </w:rPr>
        <w:t xml:space="preserve">. </w:t>
      </w:r>
    </w:p>
  </w:footnote>
  <w:footnote w:id="30">
    <w:p w14:paraId="1A88F34F" w14:textId="39D8A3D9"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eastAsia="Times New Roman" w:hAnsiTheme="majorHAnsi"/>
          <w:color w:val="808080" w:themeColor="background1" w:themeShade="80"/>
          <w:sz w:val="16"/>
          <w:szCs w:val="16"/>
        </w:rPr>
        <w:footnoteRef/>
      </w:r>
      <w:r w:rsidRPr="001944CF">
        <w:rPr>
          <w:rStyle w:val="FootnoteReference"/>
          <w:rFonts w:asciiTheme="majorHAnsi" w:eastAsia="Times New Roman" w:hAnsiTheme="majorHAnsi"/>
          <w:color w:val="808080" w:themeColor="background1" w:themeShade="80"/>
          <w:sz w:val="16"/>
          <w:szCs w:val="16"/>
        </w:rPr>
        <w:t xml:space="preserve"> </w:t>
      </w:r>
      <w:r w:rsidRPr="001944CF">
        <w:rPr>
          <w:rStyle w:val="FootnoteReference"/>
          <w:rFonts w:asciiTheme="majorHAnsi" w:eastAsia="Times New Roman" w:hAnsiTheme="majorHAnsi"/>
          <w:color w:val="808080" w:themeColor="background1" w:themeShade="80"/>
          <w:sz w:val="16"/>
          <w:szCs w:val="16"/>
        </w:rPr>
        <w:tab/>
      </w:r>
      <w:r w:rsidRPr="001944CF">
        <w:rPr>
          <w:rFonts w:asciiTheme="majorHAnsi" w:eastAsia="Times New Roman" w:hAnsiTheme="majorHAnsi"/>
          <w:color w:val="808080" w:themeColor="background1" w:themeShade="80"/>
          <w:sz w:val="16"/>
          <w:szCs w:val="16"/>
        </w:rPr>
        <w:t xml:space="preserve">In its Human Development Report 2014, the UNDP ranks Guatemala 125th on the human development index. UNDP, </w:t>
      </w:r>
      <w:hyperlink r:id="rId14" w:history="1">
        <w:r w:rsidRPr="001944CF">
          <w:rPr>
            <w:rStyle w:val="Hyperlink"/>
            <w:rFonts w:asciiTheme="majorHAnsi" w:eastAsia="Times New Roman" w:hAnsiTheme="majorHAnsi"/>
            <w:color w:val="808080" w:themeColor="background1" w:themeShade="80"/>
            <w:sz w:val="16"/>
            <w:szCs w:val="16"/>
            <w:u w:val="none"/>
          </w:rPr>
          <w:t>IHuman Development Report 2014</w:t>
        </w:r>
      </w:hyperlink>
      <w:r w:rsidRPr="001944CF">
        <w:rPr>
          <w:rFonts w:asciiTheme="majorHAnsi" w:eastAsia="Times New Roman" w:hAnsiTheme="majorHAnsi"/>
          <w:color w:val="808080" w:themeColor="background1" w:themeShade="80"/>
          <w:sz w:val="16"/>
          <w:szCs w:val="16"/>
        </w:rPr>
        <w:t>, Sustaining Human Progress: Reducing Vulnerabilities and Building Resilience, p. 175.</w:t>
      </w:r>
    </w:p>
  </w:footnote>
  <w:footnote w:id="31">
    <w:p w14:paraId="12EACF01" w14:textId="4712934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FANTA, The Cost of Essential Nutrition Interventions to Reduce Chronic Malnutrition in Guatemala, Executive Summary, 2015. Available online: </w:t>
      </w:r>
      <w:hyperlink r:id="rId15" w:history="1">
        <w:r w:rsidRPr="001944CF">
          <w:rPr>
            <w:rStyle w:val="Hyperlink"/>
            <w:rFonts w:asciiTheme="majorHAnsi" w:hAnsiTheme="majorHAnsi"/>
            <w:color w:val="808080" w:themeColor="background1" w:themeShade="80"/>
          </w:rPr>
          <w:t>http://www.fantaproject.org/sites/default/files/resources/Guatemala-Nutrition-Costing-Exec-Summ-Dec2015.pdf</w:t>
        </w:r>
      </w:hyperlink>
      <w:r w:rsidRPr="001944CF">
        <w:rPr>
          <w:rFonts w:asciiTheme="majorHAnsi" w:hAnsiTheme="majorHAnsi"/>
          <w:color w:val="808080" w:themeColor="background1" w:themeShade="80"/>
        </w:rPr>
        <w:t xml:space="preserve"> </w:t>
      </w:r>
    </w:p>
  </w:footnote>
  <w:footnote w:id="32">
    <w:p w14:paraId="551420C5" w14:textId="2EA8BD4C" w:rsidR="001D7FF7" w:rsidRPr="001944CF" w:rsidRDefault="001D7FF7" w:rsidP="00B70540">
      <w:pPr>
        <w:spacing w:after="40" w:line="240" w:lineRule="auto"/>
        <w:ind w:left="547" w:hanging="547"/>
        <w:jc w:val="both"/>
        <w:rPr>
          <w:rFonts w:asciiTheme="majorHAnsi" w:hAnsiTheme="majorHAnsi" w:cs="Calibri"/>
          <w:strike/>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 xml:space="preserve"> </w:t>
      </w:r>
      <w:r w:rsidRPr="001944CF">
        <w:rPr>
          <w:rStyle w:val="FootnoteReference"/>
          <w:rFonts w:asciiTheme="majorHAnsi" w:hAnsiTheme="majorHAnsi" w:cs="Calibri"/>
          <w:color w:val="808080" w:themeColor="background1" w:themeShade="80"/>
          <w:sz w:val="16"/>
          <w:szCs w:val="16"/>
        </w:rPr>
        <w:tab/>
      </w:r>
      <w:r w:rsidRPr="001944CF">
        <w:rPr>
          <w:rFonts w:asciiTheme="majorHAnsi" w:hAnsiTheme="majorHAnsi" w:cs="Calibri"/>
          <w:color w:val="808080" w:themeColor="background1" w:themeShade="80"/>
          <w:sz w:val="16"/>
          <w:szCs w:val="16"/>
        </w:rPr>
        <w:t xml:space="preserve">Secretariat for Food and Nutrition Security, </w:t>
      </w:r>
      <w:hyperlink r:id="rId16" w:history="1">
        <w:r w:rsidRPr="001944CF">
          <w:rPr>
            <w:rStyle w:val="Hyperlink"/>
            <w:rFonts w:asciiTheme="majorHAnsi" w:hAnsiTheme="majorHAnsi" w:cs="Calibri"/>
            <w:color w:val="808080" w:themeColor="background1" w:themeShade="80"/>
            <w:sz w:val="16"/>
            <w:szCs w:val="16"/>
          </w:rPr>
          <w:t>Strategic Plan for Food and Nutrition Security</w:t>
        </w:r>
      </w:hyperlink>
      <w:r w:rsidRPr="001944CF">
        <w:rPr>
          <w:rFonts w:asciiTheme="majorHAnsi" w:hAnsiTheme="majorHAnsi" w:cs="Calibri"/>
          <w:color w:val="808080" w:themeColor="background1" w:themeShade="80"/>
          <w:sz w:val="16"/>
          <w:szCs w:val="16"/>
        </w:rPr>
        <w:t>, p. 1. The Secretariat for Food and Nutrition Security reported a drop in levels of chronic and acute malnutrition in children under five years old between 1995 and 2015.</w:t>
      </w:r>
    </w:p>
  </w:footnote>
  <w:footnote w:id="33">
    <w:p w14:paraId="003A0361" w14:textId="1A72D06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Development Programme in Guatemala, </w:t>
      </w:r>
      <w:r w:rsidRPr="001944CF">
        <w:rPr>
          <w:rFonts w:asciiTheme="majorHAnsi" w:hAnsiTheme="majorHAnsi"/>
          <w:i/>
          <w:iCs/>
          <w:color w:val="808080" w:themeColor="background1" w:themeShade="80"/>
        </w:rPr>
        <w:t>Guatemala en breve</w:t>
      </w:r>
      <w:r w:rsidRPr="001944CF">
        <w:rPr>
          <w:rFonts w:asciiTheme="majorHAnsi" w:hAnsiTheme="majorHAnsi"/>
          <w:color w:val="808080" w:themeColor="background1" w:themeShade="80"/>
        </w:rPr>
        <w:t xml:space="preserve">, 2017. Available online: </w:t>
      </w:r>
      <w:hyperlink r:id="rId17" w:history="1">
        <w:r w:rsidRPr="001944CF">
          <w:rPr>
            <w:rStyle w:val="Hyperlink"/>
            <w:rFonts w:asciiTheme="majorHAnsi" w:hAnsiTheme="majorHAnsi"/>
            <w:color w:val="808080" w:themeColor="background1" w:themeShade="80"/>
          </w:rPr>
          <w:t>http://www.gt.undp.org/content/guatemala/es/home/countryinfo/</w:t>
        </w:r>
      </w:hyperlink>
      <w:r w:rsidRPr="001944CF">
        <w:rPr>
          <w:rFonts w:asciiTheme="majorHAnsi" w:hAnsiTheme="majorHAnsi"/>
          <w:color w:val="808080" w:themeColor="background1" w:themeShade="80"/>
        </w:rPr>
        <w:t>.</w:t>
      </w:r>
    </w:p>
  </w:footnote>
  <w:footnote w:id="34">
    <w:p w14:paraId="4CA06399" w14:textId="41B28179"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 xml:space="preserve"> </w:t>
      </w:r>
      <w:r w:rsidRPr="001944CF">
        <w:rPr>
          <w:rStyle w:val="FootnoteReference"/>
          <w:rFonts w:asciiTheme="majorHAnsi" w:hAnsiTheme="majorHAnsi" w:cs="Calibri"/>
          <w:color w:val="808080" w:themeColor="background1" w:themeShade="80"/>
          <w:sz w:val="16"/>
          <w:szCs w:val="16"/>
        </w:rPr>
        <w:tab/>
      </w:r>
      <w:r w:rsidRPr="001944CF">
        <w:rPr>
          <w:rFonts w:asciiTheme="majorHAnsi" w:hAnsiTheme="majorHAnsi" w:cs="Calibri"/>
          <w:color w:val="808080" w:themeColor="background1" w:themeShade="80"/>
          <w:sz w:val="16"/>
          <w:szCs w:val="16"/>
        </w:rPr>
        <w:t>This occurs in the Departments of the Altiplano Nor-occidental, Alta Verapaz, and Baja Verapaz, and the municipalities in Chortí area of Chiquimula Department. Secretariat for Food and Nutrition Security.</w:t>
      </w:r>
      <w:hyperlink r:id="rId18" w:history="1">
        <w:r w:rsidRPr="001944CF">
          <w:rPr>
            <w:rStyle w:val="Hyperlink"/>
            <w:rFonts w:asciiTheme="majorHAnsi" w:hAnsiTheme="majorHAnsi" w:cs="Calibri"/>
            <w:color w:val="808080" w:themeColor="background1" w:themeShade="80"/>
            <w:sz w:val="16"/>
            <w:szCs w:val="16"/>
            <w:u w:val="none"/>
          </w:rPr>
          <w:t>Strategic Plan for Food and Nutrition Security</w:t>
        </w:r>
      </w:hyperlink>
      <w:r w:rsidRPr="001944CF">
        <w:rPr>
          <w:rFonts w:asciiTheme="majorHAnsi" w:hAnsiTheme="majorHAnsi" w:cs="Calibri"/>
          <w:color w:val="808080" w:themeColor="background1" w:themeShade="80"/>
          <w:sz w:val="16"/>
          <w:szCs w:val="16"/>
        </w:rPr>
        <w:t>, p. 4.</w:t>
      </w:r>
    </w:p>
  </w:footnote>
  <w:footnote w:id="35">
    <w:p w14:paraId="4019C9BD" w14:textId="781DC84F"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lang w:val="es-MX"/>
        </w:rPr>
        <w:t xml:space="preserve"> </w:t>
      </w:r>
      <w:r w:rsidRPr="001944CF">
        <w:rPr>
          <w:rStyle w:val="FootnoteReference"/>
          <w:rFonts w:asciiTheme="majorHAnsi" w:hAnsiTheme="majorHAnsi"/>
          <w:color w:val="808080" w:themeColor="background1" w:themeShade="80"/>
          <w:sz w:val="16"/>
          <w:szCs w:val="16"/>
          <w:lang w:val="es-MX"/>
        </w:rPr>
        <w:tab/>
      </w:r>
      <w:r w:rsidRPr="001944CF">
        <w:rPr>
          <w:rFonts w:asciiTheme="majorHAnsi" w:hAnsiTheme="majorHAnsi"/>
          <w:color w:val="808080" w:themeColor="background1" w:themeShade="80"/>
          <w:sz w:val="16"/>
          <w:szCs w:val="16"/>
          <w:lang w:val="es-MX"/>
        </w:rPr>
        <w:t xml:space="preserve">Office of the Human Rights Ombudsman, </w:t>
      </w:r>
      <w:r w:rsidRPr="001944CF">
        <w:rPr>
          <w:rFonts w:asciiTheme="majorHAnsi" w:hAnsiTheme="majorHAnsi"/>
          <w:i/>
          <w:iCs/>
          <w:color w:val="808080" w:themeColor="background1" w:themeShade="80"/>
          <w:sz w:val="16"/>
          <w:szCs w:val="16"/>
          <w:lang w:val="es-MX"/>
        </w:rPr>
        <w:t>IX Informe del Procurador de los Derechos Humanos al Consejo Nacional de Seguridad Alimentaria y Nutricional.</w:t>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i/>
          <w:iCs/>
          <w:color w:val="808080" w:themeColor="background1" w:themeShade="80"/>
          <w:sz w:val="16"/>
          <w:szCs w:val="16"/>
          <w:lang w:val="es-MX"/>
        </w:rPr>
        <w:t>Análisis del Derecho a la Alimentación en el Marco de la Ley del SINASAN</w:t>
      </w:r>
      <w:r w:rsidRPr="001944CF">
        <w:rPr>
          <w:rFonts w:asciiTheme="majorHAnsi" w:hAnsiTheme="majorHAnsi"/>
          <w:color w:val="808080" w:themeColor="background1" w:themeShade="80"/>
          <w:sz w:val="16"/>
          <w:szCs w:val="16"/>
          <w:lang w:val="es-MX"/>
        </w:rPr>
        <w:t xml:space="preserve">, October 2016.  </w:t>
      </w:r>
      <w:r w:rsidRPr="001944CF">
        <w:rPr>
          <w:rFonts w:asciiTheme="majorHAnsi" w:hAnsiTheme="majorHAnsi"/>
          <w:color w:val="808080" w:themeColor="background1" w:themeShade="80"/>
          <w:sz w:val="16"/>
          <w:szCs w:val="16"/>
        </w:rPr>
        <w:t>UNICEF-Guatemala.</w:t>
      </w:r>
      <w:hyperlink r:id="rId19" w:history="1">
        <w:r w:rsidRPr="001944CF">
          <w:rPr>
            <w:rStyle w:val="Hyperlink"/>
            <w:rFonts w:asciiTheme="majorHAnsi" w:hAnsiTheme="majorHAnsi"/>
            <w:color w:val="808080" w:themeColor="background1" w:themeShade="80"/>
            <w:sz w:val="16"/>
            <w:szCs w:val="16"/>
          </w:rPr>
          <w:t>Panorama</w:t>
        </w:r>
      </w:hyperlink>
      <w:r w:rsidRPr="001944CF">
        <w:rPr>
          <w:rFonts w:asciiTheme="majorHAnsi" w:hAnsiTheme="majorHAnsi"/>
          <w:color w:val="808080" w:themeColor="background1" w:themeShade="80"/>
          <w:sz w:val="16"/>
          <w:szCs w:val="16"/>
        </w:rPr>
        <w:t>.</w:t>
      </w:r>
    </w:p>
  </w:footnote>
  <w:footnote w:id="36">
    <w:p w14:paraId="385D21C4" w14:textId="299A783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National Living Standards Survey (ENCOVI) 2014, National Statistics Institute.</w:t>
      </w:r>
    </w:p>
  </w:footnote>
  <w:footnote w:id="37">
    <w:p w14:paraId="67E52854" w14:textId="2603611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38">
    <w:p w14:paraId="5D490D55" w14:textId="6AB0EAF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its comments to the draft of this report, the State also referenced the Family Agriculture Program for the Strengthening of the Rural Economy, within the Ministry of Agriculture, Cattle Raising and Food. It indicated that this Program constitutes the primary objective of the Agricultural Policy for 2016-2020, con contribute to the reduction in chronic malnutrition in children under two years of age. It also inciated that since 2016, it is strengthening the National Program for Feeding in Schools, which guarantees the rights to food and nutrition of students through food that is healthy, varied, safe and with cultural pertinence. Communication from the State of Guatemala, “Submission of the State of Guatemala to Include in the Draft Report on the Human Rights Situtation in Guatemala,” December 22, 2017. </w:t>
      </w:r>
    </w:p>
  </w:footnote>
  <w:footnote w:id="39">
    <w:p w14:paraId="56916885" w14:textId="20334C1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0">
    <w:p w14:paraId="23638CB6" w14:textId="6AF9FA7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According to the Secretariat for Food and Nutrition Security, 111 children died of malnutrition in the country in 2016. </w:t>
      </w:r>
      <w:r w:rsidRPr="001944CF">
        <w:rPr>
          <w:rFonts w:asciiTheme="majorHAnsi" w:hAnsiTheme="majorHAnsi"/>
          <w:color w:val="808080" w:themeColor="background1" w:themeShade="80"/>
          <w:lang w:val="es-MX"/>
        </w:rPr>
        <w:t xml:space="preserve">Newspaper article in La Prensa, </w:t>
      </w:r>
      <w:r w:rsidRPr="001944CF">
        <w:rPr>
          <w:rFonts w:asciiTheme="majorHAnsi" w:hAnsiTheme="majorHAnsi"/>
          <w:i/>
          <w:iCs/>
          <w:color w:val="808080" w:themeColor="background1" w:themeShade="80"/>
          <w:lang w:val="es-MX"/>
        </w:rPr>
        <w:t>Niños desnutridos suman un millón</w:t>
      </w:r>
      <w:r w:rsidRPr="001944CF">
        <w:rPr>
          <w:rFonts w:asciiTheme="majorHAnsi" w:hAnsiTheme="majorHAnsi"/>
          <w:color w:val="808080" w:themeColor="background1" w:themeShade="80"/>
          <w:lang w:val="es-MX"/>
        </w:rPr>
        <w:t xml:space="preserve">, December 3, 2016. </w:t>
      </w:r>
      <w:r w:rsidRPr="001944CF">
        <w:rPr>
          <w:rFonts w:asciiTheme="majorHAnsi" w:hAnsiTheme="majorHAnsi"/>
          <w:color w:val="808080" w:themeColor="background1" w:themeShade="80"/>
        </w:rPr>
        <w:t xml:space="preserve">Available online: </w:t>
      </w:r>
      <w:hyperlink r:id="rId20" w:history="1">
        <w:r w:rsidRPr="001944CF">
          <w:rPr>
            <w:rStyle w:val="Hyperlink"/>
            <w:rFonts w:asciiTheme="majorHAnsi" w:hAnsiTheme="majorHAnsi"/>
            <w:color w:val="808080" w:themeColor="background1" w:themeShade="80"/>
          </w:rPr>
          <w:t>http://www.prensalibre.com/guatemala/comunitario/nios-desnutridos-suman-un-millon</w:t>
        </w:r>
      </w:hyperlink>
      <w:r w:rsidRPr="001944CF">
        <w:rPr>
          <w:rFonts w:asciiTheme="majorHAnsi" w:hAnsiTheme="majorHAnsi"/>
          <w:color w:val="808080" w:themeColor="background1" w:themeShade="80"/>
        </w:rPr>
        <w:t xml:space="preserve">. </w:t>
      </w:r>
    </w:p>
  </w:footnote>
  <w:footnote w:id="41">
    <w:p w14:paraId="3D19E627" w14:textId="1309D23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from the organizations Campaña Guatemala Sin Hambre and IAN International (International Secretariat), August 25, 2017. </w:t>
      </w:r>
      <w:r w:rsidRPr="001944CF">
        <w:rPr>
          <w:rFonts w:asciiTheme="majorHAnsi" w:hAnsiTheme="majorHAnsi"/>
          <w:color w:val="808080" w:themeColor="background1" w:themeShade="80"/>
          <w:lang w:val="es-MX"/>
        </w:rPr>
        <w:t xml:space="preserve">In the IACHR archive. See also newspaper article in Prensa Libre, </w:t>
      </w:r>
      <w:r w:rsidRPr="001944CF">
        <w:rPr>
          <w:rFonts w:asciiTheme="majorHAnsi" w:hAnsiTheme="majorHAnsi"/>
          <w:i/>
          <w:iCs/>
          <w:color w:val="808080" w:themeColor="background1" w:themeShade="80"/>
          <w:lang w:val="es-MX"/>
        </w:rPr>
        <w:t>Fallece Mabelita Interiano, niña que tenia medidas de protección</w:t>
      </w:r>
      <w:r w:rsidRPr="001944CF">
        <w:rPr>
          <w:rFonts w:asciiTheme="majorHAnsi" w:hAnsiTheme="majorHAnsi"/>
          <w:color w:val="808080" w:themeColor="background1" w:themeShade="80"/>
          <w:lang w:val="es-MX"/>
        </w:rPr>
        <w:t xml:space="preserve">, August 14, 2017. </w:t>
      </w:r>
      <w:r w:rsidRPr="001944CF">
        <w:rPr>
          <w:rFonts w:asciiTheme="majorHAnsi" w:hAnsiTheme="majorHAnsi"/>
          <w:color w:val="808080" w:themeColor="background1" w:themeShade="80"/>
        </w:rPr>
        <w:t xml:space="preserve">Available online: </w:t>
      </w:r>
      <w:hyperlink r:id="rId21" w:history="1">
        <w:r w:rsidRPr="001944CF">
          <w:rPr>
            <w:rStyle w:val="Hyperlink"/>
            <w:rFonts w:asciiTheme="majorHAnsi" w:hAnsiTheme="majorHAnsi"/>
            <w:color w:val="808080" w:themeColor="background1" w:themeShade="80"/>
          </w:rPr>
          <w:t>http://www.prensalibre.com/guatemala/comunitario/fallece-mavelita-interiano-nia-que-tenia-medidas-de-proteccion</w:t>
        </w:r>
      </w:hyperlink>
      <w:r w:rsidRPr="001944CF">
        <w:rPr>
          <w:rFonts w:asciiTheme="majorHAnsi" w:hAnsiTheme="majorHAnsi"/>
          <w:color w:val="808080" w:themeColor="background1" w:themeShade="80"/>
        </w:rPr>
        <w:t xml:space="preserve">. </w:t>
      </w:r>
    </w:p>
  </w:footnote>
  <w:footnote w:id="42">
    <w:p w14:paraId="259F3D50" w14:textId="7AD14F2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Judgment No. 19003-2011-00641 Of. 1ª, Children's and Juvenile Offenders' Court of the Department of Zacapa in favor of the child Leonel Amador Garcia; Judgment No. 19003-2011-00637 Of. 1ª, Children's and Juvenile Offenders' Court of the Department of Zacapa in favor of the child Mayra Amador Raymundo; Judgment No. 19003-2011-00638 Of. 1ª, Children's and Juvenile Offenders' Court of the Department of Zacapa in favor of the children Dina Marilú and Mabelita Lucila Interiano Amador; Judgment No. 19003-2011-00639 Of. 1ª, Children's and Juvenile Offenders' Court of the Department of Zacapa in favor of the child Brayan René Espino Ramírez.</w:t>
      </w:r>
    </w:p>
  </w:footnote>
  <w:footnote w:id="43">
    <w:p w14:paraId="68FFE30D" w14:textId="4AD5A11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Judicial File No.19003-2011-0064l-Of. 1ª. Children's and Juvenile Offenders' Court of the Department of Zacapa, May 31, 2013. Confirmation of the Judgment by the Constitutional Court, Case File 4474-2014.</w:t>
      </w:r>
    </w:p>
  </w:footnote>
  <w:footnote w:id="44">
    <w:p w14:paraId="3BB66461" w14:textId="0091019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from the organizations Campaña Guatemala Sin Hambre and FIAN International (International Secretariat), August 25, 2017. In the IACHR archive.</w:t>
      </w:r>
    </w:p>
  </w:footnote>
  <w:footnote w:id="45">
    <w:p w14:paraId="5F35C457" w14:textId="55F6AD5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Child Fund, Annual Report 2016. Available online: </w:t>
      </w:r>
      <w:hyperlink r:id="rId22" w:history="1">
        <w:r w:rsidRPr="001944CF">
          <w:rPr>
            <w:rStyle w:val="Hyperlink"/>
            <w:rFonts w:asciiTheme="majorHAnsi" w:hAnsiTheme="majorHAnsi"/>
            <w:color w:val="808080" w:themeColor="background1" w:themeShade="80"/>
          </w:rPr>
          <w:t>http://childfundannualguatemala.org/</w:t>
        </w:r>
      </w:hyperlink>
      <w:r w:rsidRPr="001944CF">
        <w:rPr>
          <w:rFonts w:asciiTheme="majorHAnsi" w:hAnsiTheme="majorHAnsi"/>
          <w:color w:val="808080" w:themeColor="background1" w:themeShade="80"/>
        </w:rPr>
        <w:t xml:space="preserve">. United Nations Development Programme in Guatemala (UNDP) (2016), </w:t>
      </w:r>
      <w:r w:rsidRPr="001944CF">
        <w:rPr>
          <w:rFonts w:asciiTheme="majorHAnsi" w:hAnsiTheme="majorHAnsi"/>
          <w:i/>
          <w:iCs/>
          <w:color w:val="808080" w:themeColor="background1" w:themeShade="80"/>
        </w:rPr>
        <w:t>Más allá del conflicto, luchas por el bienestar</w:t>
      </w:r>
      <w:r w:rsidRPr="001944CF">
        <w:rPr>
          <w:rFonts w:asciiTheme="majorHAnsi" w:hAnsiTheme="majorHAnsi"/>
          <w:color w:val="808080" w:themeColor="background1" w:themeShade="80"/>
        </w:rPr>
        <w:t>. National Human Development Report 2015/2016, p. 81.</w:t>
      </w:r>
    </w:p>
  </w:footnote>
  <w:footnote w:id="46">
    <w:p w14:paraId="2CBA150C" w14:textId="73658267"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UNICEF-Guatemala, </w:t>
      </w:r>
      <w:hyperlink r:id="rId23" w:history="1">
        <w:r w:rsidRPr="001944CF">
          <w:rPr>
            <w:rStyle w:val="Hyperlink"/>
            <w:rFonts w:asciiTheme="majorHAnsi" w:hAnsiTheme="majorHAnsi"/>
            <w:color w:val="808080" w:themeColor="background1" w:themeShade="80"/>
            <w:sz w:val="16"/>
            <w:szCs w:val="16"/>
          </w:rPr>
          <w:t>Desnutrición</w:t>
        </w:r>
      </w:hyperlink>
      <w:r w:rsidRPr="001944CF">
        <w:rPr>
          <w:rFonts w:asciiTheme="majorHAnsi" w:hAnsiTheme="majorHAnsi"/>
          <w:color w:val="808080" w:themeColor="background1" w:themeShade="80"/>
          <w:sz w:val="16"/>
          <w:szCs w:val="16"/>
        </w:rPr>
        <w:t>.</w:t>
      </w:r>
    </w:p>
  </w:footnote>
  <w:footnote w:id="47">
    <w:p w14:paraId="79C64639" w14:textId="1848A8E0"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Style w:val="FootnoteReference"/>
          <w:rFonts w:asciiTheme="majorHAnsi" w:hAnsiTheme="majorHAnsi"/>
          <w:color w:val="808080" w:themeColor="background1" w:themeShade="80"/>
          <w:sz w:val="16"/>
          <w:szCs w:val="16"/>
        </w:rPr>
        <w:tab/>
      </w:r>
      <w:r w:rsidRPr="001944CF">
        <w:rPr>
          <w:rFonts w:asciiTheme="majorHAnsi" w:hAnsiTheme="majorHAnsi"/>
          <w:color w:val="808080" w:themeColor="background1" w:themeShade="80"/>
          <w:sz w:val="16"/>
          <w:szCs w:val="16"/>
        </w:rPr>
        <w:t>Information provided by the State of Guatemala at the 154th regular session of the IACHR.</w:t>
      </w:r>
    </w:p>
  </w:footnote>
  <w:footnote w:id="48">
    <w:p w14:paraId="4680E2E1" w14:textId="36834BC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Human Rights Office of the Archdiocese of Guatemala (ODHAG), </w:t>
      </w:r>
      <w:r w:rsidRPr="001944CF">
        <w:rPr>
          <w:rFonts w:asciiTheme="majorHAnsi" w:hAnsiTheme="majorHAnsi"/>
          <w:i/>
          <w:iCs/>
          <w:color w:val="808080" w:themeColor="background1" w:themeShade="80"/>
          <w:lang w:val="es-ES"/>
        </w:rPr>
        <w:t>Informe sobre los derechos de la niñez y adolescencia en Guatem</w:t>
      </w:r>
      <w:r w:rsidRPr="001944CF">
        <w:rPr>
          <w:rFonts w:asciiTheme="majorHAnsi" w:hAnsiTheme="majorHAnsi"/>
          <w:i/>
          <w:iCs/>
          <w:color w:val="808080" w:themeColor="background1" w:themeShade="80"/>
          <w:lang w:val="es-MX"/>
        </w:rPr>
        <w:t>ala</w:t>
      </w:r>
      <w:r w:rsidRPr="001944CF">
        <w:rPr>
          <w:rFonts w:asciiTheme="majorHAnsi" w:hAnsiTheme="majorHAnsi"/>
          <w:color w:val="808080" w:themeColor="background1" w:themeShade="80"/>
          <w:lang w:val="es-MX"/>
        </w:rPr>
        <w:t xml:space="preserve">, 2016.  </w:t>
      </w:r>
      <w:r w:rsidRPr="001944CF">
        <w:rPr>
          <w:rFonts w:asciiTheme="majorHAnsi" w:hAnsiTheme="majorHAnsi"/>
          <w:color w:val="808080" w:themeColor="background1" w:themeShade="80"/>
        </w:rPr>
        <w:t xml:space="preserve">Child Fund, Annual Report 2016. Available online: </w:t>
      </w:r>
      <w:hyperlink r:id="rId24" w:history="1">
        <w:r w:rsidRPr="001944CF">
          <w:rPr>
            <w:rStyle w:val="Hyperlink"/>
            <w:rFonts w:asciiTheme="majorHAnsi" w:hAnsiTheme="majorHAnsi"/>
            <w:color w:val="808080" w:themeColor="background1" w:themeShade="80"/>
          </w:rPr>
          <w:t>http://childfundannualguatemala.org/</w:t>
        </w:r>
      </w:hyperlink>
      <w:r w:rsidRPr="001944CF">
        <w:rPr>
          <w:rFonts w:asciiTheme="majorHAnsi" w:hAnsiTheme="majorHAnsi"/>
          <w:color w:val="808080" w:themeColor="background1" w:themeShade="80"/>
        </w:rPr>
        <w:t xml:space="preserve">. </w:t>
      </w:r>
    </w:p>
  </w:footnote>
  <w:footnote w:id="49">
    <w:p w14:paraId="598CBA69" w14:textId="65FFDAA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Report on the overall situation of children, adolescents, and young people in Guatemala, in the framework of the on-site visit of the Inter-American Commission on Human Rights to Guatemala from July 31 to August 4, 2017, prepared by the national and international organizations El Refugio de la Niñez, Coordinadora Institucional de Promoción por los Derechos de la Niñez, CIPRODENI, Red Niña Niño, Asociación Civil Paz Joven Guatemala, World Vision, Save the Children, and Plan International Guatemala. In the IACHR archive.</w:t>
      </w:r>
    </w:p>
  </w:footnote>
  <w:footnote w:id="50">
    <w:p w14:paraId="06D844D6" w14:textId="23750B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National Living Standards Survey (ENCOVI) 2014, National Statistics Institute. Available online: </w:t>
      </w:r>
      <w:hyperlink r:id="rId25" w:history="1">
        <w:r w:rsidRPr="001944CF">
          <w:rPr>
            <w:rStyle w:val="Hyperlink"/>
            <w:rFonts w:asciiTheme="majorHAnsi" w:hAnsiTheme="majorHAnsi" w:cs="Arial"/>
            <w:color w:val="808080" w:themeColor="background1" w:themeShade="80"/>
          </w:rPr>
          <w:t>https://www.ine.gob.gt/sistema/uploads/2015/12/11/vjNVdb4IZswOj0ZtuivPIcaAXet8LZqZ.pdf</w:t>
        </w:r>
      </w:hyperlink>
      <w:r w:rsidRPr="001944CF">
        <w:rPr>
          <w:rFonts w:asciiTheme="majorHAnsi" w:hAnsiTheme="majorHAnsi"/>
          <w:color w:val="808080" w:themeColor="background1" w:themeShade="80"/>
        </w:rPr>
        <w:t>. Report on the overall situation of children, adolescents, and young people in Guatemala, in the framework of the on-site visit of the Inter-American Commission on Human Rights to Guatemala from July 31 to August 4, 2017, prepared by national and international organizations. In the IACHR archive.</w:t>
      </w:r>
    </w:p>
  </w:footnote>
  <w:footnote w:id="51">
    <w:p w14:paraId="31D56E6E" w14:textId="5C49A905"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Style w:val="FootnoteReference"/>
          <w:rFonts w:asciiTheme="majorHAnsi" w:hAnsiTheme="majorHAnsi"/>
          <w:color w:val="808080" w:themeColor="background1" w:themeShade="80"/>
          <w:sz w:val="16"/>
          <w:szCs w:val="16"/>
        </w:rPr>
        <w:tab/>
      </w:r>
      <w:r w:rsidRPr="001944CF">
        <w:rPr>
          <w:rFonts w:asciiTheme="majorHAnsi" w:hAnsiTheme="majorHAnsi"/>
          <w:color w:val="808080" w:themeColor="background1" w:themeShade="80"/>
          <w:sz w:val="16"/>
          <w:szCs w:val="16"/>
        </w:rPr>
        <w:t xml:space="preserve">UNDP-Guatemala, </w:t>
      </w:r>
      <w:hyperlink r:id="rId26" w:history="1">
        <w:r w:rsidRPr="001944CF">
          <w:rPr>
            <w:rStyle w:val="Hyperlink"/>
            <w:rFonts w:asciiTheme="majorHAnsi" w:hAnsiTheme="majorHAnsi"/>
            <w:color w:val="808080" w:themeColor="background1" w:themeShade="80"/>
            <w:sz w:val="16"/>
            <w:szCs w:val="16"/>
          </w:rPr>
          <w:t>The Millennium Development Goals</w:t>
        </w:r>
      </w:hyperlink>
      <w:r w:rsidRPr="001944CF">
        <w:rPr>
          <w:rFonts w:asciiTheme="majorHAnsi" w:hAnsiTheme="majorHAnsi"/>
          <w:color w:val="808080" w:themeColor="background1" w:themeShade="80"/>
          <w:sz w:val="16"/>
          <w:szCs w:val="16"/>
        </w:rPr>
        <w:t>.</w:t>
      </w:r>
    </w:p>
  </w:footnote>
  <w:footnote w:id="52">
    <w:p w14:paraId="63FA3DA3" w14:textId="10E5FB8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53">
    <w:p w14:paraId="121B8197" w14:textId="61EE8A2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OHCHR, Meeting with civil society organizations in Alta Verapaz.</w:t>
      </w:r>
    </w:p>
  </w:footnote>
  <w:footnote w:id="54">
    <w:p w14:paraId="44473C7F" w14:textId="1736276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Arial"/>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National Living Standards Survey (ENCOVI) 2014, National Statistics Institute. Available online: </w:t>
      </w:r>
      <w:hyperlink r:id="rId27" w:history="1">
        <w:r w:rsidRPr="001944CF">
          <w:rPr>
            <w:rStyle w:val="Hyperlink"/>
            <w:rFonts w:asciiTheme="majorHAnsi" w:hAnsiTheme="majorHAnsi" w:cs="Arial"/>
            <w:color w:val="808080" w:themeColor="background1" w:themeShade="80"/>
          </w:rPr>
          <w:t>https://www.ine.gob.gt/sistema/uploads/2015/12/11/vjNVdb4IZswOj0ZtuivPIcaAXet8LZqZ.pdf</w:t>
        </w:r>
      </w:hyperlink>
      <w:r w:rsidRPr="001944CF">
        <w:rPr>
          <w:rFonts w:asciiTheme="majorHAnsi" w:hAnsiTheme="majorHAnsi"/>
          <w:color w:val="808080" w:themeColor="background1" w:themeShade="80"/>
        </w:rPr>
        <w:t>.</w:t>
      </w:r>
    </w:p>
  </w:footnote>
  <w:footnote w:id="55">
    <w:p w14:paraId="7BE8A847" w14:textId="13914C5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press release, </w:t>
      </w:r>
      <w:r w:rsidRPr="001944CF">
        <w:rPr>
          <w:rFonts w:asciiTheme="majorHAnsi" w:hAnsiTheme="majorHAnsi"/>
          <w:i/>
          <w:iCs/>
          <w:color w:val="808080" w:themeColor="background1" w:themeShade="80"/>
        </w:rPr>
        <w:t>Día Mundial del Agua</w:t>
      </w:r>
      <w:r w:rsidRPr="001944CF">
        <w:rPr>
          <w:rFonts w:asciiTheme="majorHAnsi" w:hAnsiTheme="majorHAnsi"/>
          <w:color w:val="808080" w:themeColor="background1" w:themeShade="80"/>
        </w:rPr>
        <w:t xml:space="preserve">, March 22, 2017. Available online: </w:t>
      </w:r>
      <w:hyperlink r:id="rId28" w:history="1">
        <w:r w:rsidRPr="001944CF">
          <w:rPr>
            <w:rStyle w:val="Hyperlink"/>
            <w:rFonts w:asciiTheme="majorHAnsi" w:hAnsiTheme="majorHAnsi"/>
            <w:color w:val="808080" w:themeColor="background1" w:themeShade="80"/>
          </w:rPr>
          <w:t>https://www.pdh.org.gt/biblioteca/sala-de-prensa/category/16-comunicados.html?start=60</w:t>
        </w:r>
      </w:hyperlink>
      <w:r w:rsidRPr="001944CF">
        <w:rPr>
          <w:rFonts w:asciiTheme="majorHAnsi" w:hAnsiTheme="majorHAnsi"/>
          <w:color w:val="808080" w:themeColor="background1" w:themeShade="80"/>
        </w:rPr>
        <w:t xml:space="preserve">. </w:t>
      </w:r>
    </w:p>
  </w:footnote>
  <w:footnote w:id="56">
    <w:p w14:paraId="278CAB53" w14:textId="482B785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press release, Día Mundial del Agua, March 22, 2017.</w:t>
      </w:r>
    </w:p>
  </w:footnote>
  <w:footnote w:id="57">
    <w:p w14:paraId="5A95489F" w14:textId="46B51C7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PDH, for its parts, considers it "urgent to enact a law that prioritizes water for personal and domestic use, food production, and disease prevention, and that it should also recognize the principles of equality, equity, inclusion, access to information, social participation, accountability, and justice, as well as ensuring sustainability.” </w:t>
      </w:r>
      <w:r w:rsidRPr="001944CF">
        <w:rPr>
          <w:rFonts w:asciiTheme="majorHAnsi" w:hAnsiTheme="majorHAnsi"/>
          <w:color w:val="808080" w:themeColor="background1" w:themeShade="80"/>
          <w:lang w:val="es-ES"/>
        </w:rPr>
        <w:t xml:space="preserve">Human Rights Ombudsman, press release, Día Mundial del Agua, March 22, 2017. See also, UNDP Guatemala, </w:t>
      </w:r>
      <w:r w:rsidRPr="001944CF">
        <w:rPr>
          <w:rFonts w:asciiTheme="majorHAnsi" w:hAnsiTheme="majorHAnsi"/>
          <w:i/>
          <w:iCs/>
          <w:color w:val="808080" w:themeColor="background1" w:themeShade="80"/>
          <w:lang w:val="es-ES"/>
        </w:rPr>
        <w:t>Acceso al agua, indispen</w:t>
      </w:r>
      <w:r w:rsidRPr="001944CF">
        <w:rPr>
          <w:rFonts w:asciiTheme="majorHAnsi" w:hAnsiTheme="majorHAnsi"/>
          <w:i/>
          <w:iCs/>
          <w:color w:val="808080" w:themeColor="background1" w:themeShade="80"/>
          <w:lang w:val="es-MX"/>
        </w:rPr>
        <w:t>sable para el bienestar</w:t>
      </w:r>
      <w:r w:rsidRPr="001944CF">
        <w:rPr>
          <w:rFonts w:asciiTheme="majorHAnsi" w:hAnsiTheme="majorHAnsi"/>
          <w:color w:val="808080" w:themeColor="background1" w:themeShade="80"/>
          <w:lang w:val="es-MX"/>
        </w:rPr>
        <w:t xml:space="preserve">, March 22, 2017. Available online: </w:t>
      </w:r>
      <w:hyperlink r:id="rId29" w:history="1">
        <w:r w:rsidRPr="001944CF">
          <w:rPr>
            <w:rStyle w:val="Hyperlink"/>
            <w:rFonts w:asciiTheme="majorHAnsi" w:hAnsiTheme="majorHAnsi"/>
            <w:color w:val="808080" w:themeColor="background1" w:themeShade="80"/>
            <w:lang w:val="es-MX"/>
          </w:rPr>
          <w:t>http://www.gt.undp.org/content/guatemala/es/home/ourperspective/ourperspectivearticles/2017/03/22/acceso-al-agua-indispensable-para-el-bienestar.html</w:t>
        </w:r>
      </w:hyperlink>
      <w:r w:rsidRPr="001944CF">
        <w:rPr>
          <w:rFonts w:asciiTheme="majorHAnsi" w:hAnsiTheme="majorHAnsi"/>
          <w:color w:val="808080" w:themeColor="background1" w:themeShade="80"/>
          <w:lang w:val="es-MX"/>
        </w:rPr>
        <w:t xml:space="preserve">. </w:t>
      </w:r>
    </w:p>
  </w:footnote>
  <w:footnote w:id="58">
    <w:p w14:paraId="2C0FE1D1" w14:textId="2D11E02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from civil society organizations, August 2017. In the IACHR archive.</w:t>
      </w:r>
    </w:p>
  </w:footnote>
  <w:footnote w:id="59">
    <w:p w14:paraId="7856D189" w14:textId="21D18A6B"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Guatemala: </w:t>
      </w:r>
      <w:r w:rsidRPr="001944CF">
        <w:rPr>
          <w:rFonts w:asciiTheme="majorHAnsi" w:hAnsiTheme="majorHAnsi"/>
          <w:i/>
          <w:iCs/>
          <w:color w:val="808080" w:themeColor="background1" w:themeShade="80"/>
        </w:rPr>
        <w:t>Diversity, Inequality and Exclusion</w:t>
      </w:r>
      <w:r w:rsidRPr="001944CF">
        <w:rPr>
          <w:rFonts w:asciiTheme="majorHAnsi" w:hAnsiTheme="majorHAnsi"/>
          <w:color w:val="808080" w:themeColor="background1" w:themeShade="80"/>
        </w:rPr>
        <w:t xml:space="preserve">, OEA/Ser.L/V/II.Doc. 43/15, December 30, 2015, para. </w:t>
      </w:r>
      <w:r w:rsidRPr="001944CF">
        <w:rPr>
          <w:rFonts w:asciiTheme="majorHAnsi" w:hAnsiTheme="majorHAnsi"/>
          <w:color w:val="808080" w:themeColor="background1" w:themeShade="80"/>
          <w:lang w:val="es-ES"/>
        </w:rPr>
        <w:t>33.</w:t>
      </w:r>
    </w:p>
  </w:footnote>
  <w:footnote w:id="60">
    <w:p w14:paraId="35B160F8" w14:textId="5874EC6A"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t xml:space="preserve">Informe Alternativo al III Informe Periódico del Estado de Guatemala sobre la Aplicación del Pidesc, March 21, 2014, p. 75-76. </w:t>
      </w:r>
    </w:p>
  </w:footnote>
  <w:footnote w:id="61">
    <w:p w14:paraId="70E1C8A8" w14:textId="5E9BEDA5" w:rsidR="001D7FF7" w:rsidRPr="001944CF" w:rsidRDefault="001D7FF7" w:rsidP="00B70540">
      <w:pPr>
        <w:spacing w:after="40" w:line="240" w:lineRule="auto"/>
        <w:ind w:left="547" w:hanging="547"/>
        <w:jc w:val="both"/>
        <w:rPr>
          <w:rFonts w:asciiTheme="majorHAnsi" w:hAnsiTheme="majorHAnsi" w:cs="Arial"/>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Report of the State of Guatemala regarding the “Draft General Report on Human Rights in Guatemala and the communication of August 14, 2015 of the IACHR,” October 6, 2015.</w:t>
      </w:r>
    </w:p>
  </w:footnote>
  <w:footnote w:id="62">
    <w:p w14:paraId="20DBC893" w14:textId="1EF8C775"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Ministry of Labor, </w:t>
      </w:r>
      <w:r w:rsidRPr="001944CF">
        <w:rPr>
          <w:rFonts w:asciiTheme="majorHAnsi" w:hAnsiTheme="majorHAnsi"/>
          <w:i/>
          <w:iCs/>
          <w:color w:val="808080" w:themeColor="background1" w:themeShade="80"/>
          <w:lang w:val="es-MX"/>
        </w:rPr>
        <w:t>Ferias del trabajo reducen tasa de desempleo e informalidad en Guatemala</w:t>
      </w:r>
      <w:r w:rsidRPr="001944CF">
        <w:rPr>
          <w:rFonts w:asciiTheme="majorHAnsi" w:hAnsiTheme="majorHAnsi"/>
          <w:color w:val="808080" w:themeColor="background1" w:themeShade="80"/>
          <w:lang w:val="es-MX"/>
        </w:rPr>
        <w:t xml:space="preserve">, April 2017. Available online: </w:t>
      </w:r>
      <w:hyperlink r:id="rId30" w:history="1">
        <w:r w:rsidRPr="001944CF">
          <w:rPr>
            <w:rStyle w:val="Hyperlink"/>
            <w:rFonts w:asciiTheme="majorHAnsi" w:hAnsiTheme="majorHAnsi"/>
            <w:color w:val="808080" w:themeColor="background1" w:themeShade="80"/>
            <w:lang w:val="es-MX"/>
          </w:rPr>
          <w:t>http://www.mintrabajo.gob.gt/index.php/nota-principal/6085-ferias-del-trabajo-reducen-tasa-de-desempleo-e-informalidad-en-guatemala.html</w:t>
        </w:r>
      </w:hyperlink>
      <w:r w:rsidRPr="001944CF">
        <w:rPr>
          <w:rFonts w:asciiTheme="majorHAnsi" w:hAnsiTheme="majorHAnsi"/>
          <w:color w:val="808080" w:themeColor="background1" w:themeShade="80"/>
          <w:lang w:val="es-MX"/>
        </w:rPr>
        <w:t xml:space="preserve">. See also newspaper article in La Prensa, </w:t>
      </w:r>
      <w:r w:rsidRPr="001944CF">
        <w:rPr>
          <w:rFonts w:asciiTheme="majorHAnsi" w:hAnsiTheme="majorHAnsi"/>
          <w:i/>
          <w:iCs/>
          <w:color w:val="808080" w:themeColor="background1" w:themeShade="80"/>
          <w:lang w:val="es-MX"/>
        </w:rPr>
        <w:t>Empleo informal sube a 69.9 por ciento en 2016</w:t>
      </w:r>
      <w:r w:rsidRPr="001944CF">
        <w:rPr>
          <w:rFonts w:asciiTheme="majorHAnsi" w:hAnsiTheme="majorHAnsi"/>
          <w:color w:val="808080" w:themeColor="background1" w:themeShade="80"/>
          <w:lang w:val="es-MX"/>
        </w:rPr>
        <w:t xml:space="preserve">, November 15, 2016. Available online: </w:t>
      </w:r>
      <w:hyperlink r:id="rId31" w:history="1">
        <w:r w:rsidRPr="001944CF">
          <w:rPr>
            <w:rStyle w:val="Hyperlink"/>
            <w:rFonts w:asciiTheme="majorHAnsi" w:hAnsiTheme="majorHAnsi"/>
            <w:color w:val="808080" w:themeColor="background1" w:themeShade="80"/>
            <w:lang w:val="es-MX"/>
          </w:rPr>
          <w:t>http://www.prensalibre.com/guatemala/politica/empleo-informal-sube-a-699-en-el-2016</w:t>
        </w:r>
      </w:hyperlink>
      <w:r w:rsidRPr="001944CF">
        <w:rPr>
          <w:rFonts w:asciiTheme="majorHAnsi" w:hAnsiTheme="majorHAnsi"/>
          <w:color w:val="808080" w:themeColor="background1" w:themeShade="80"/>
          <w:lang w:val="es-MX"/>
        </w:rPr>
        <w:t>.</w:t>
      </w:r>
    </w:p>
  </w:footnote>
  <w:footnote w:id="63">
    <w:p w14:paraId="2AAA667A" w14:textId="4908984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Newspaper article in La Prensa, </w:t>
      </w:r>
      <w:r w:rsidRPr="001944CF">
        <w:rPr>
          <w:rFonts w:asciiTheme="majorHAnsi" w:hAnsiTheme="majorHAnsi"/>
          <w:i/>
          <w:iCs/>
          <w:color w:val="808080" w:themeColor="background1" w:themeShade="80"/>
          <w:lang w:val="es-MX"/>
        </w:rPr>
        <w:t>Empleo informal sube a 69.9 por ciento en 2016</w:t>
      </w:r>
      <w:r w:rsidRPr="001944CF">
        <w:rPr>
          <w:rFonts w:asciiTheme="majorHAnsi" w:hAnsiTheme="majorHAnsi"/>
          <w:color w:val="808080" w:themeColor="background1" w:themeShade="80"/>
          <w:lang w:val="es-MX"/>
        </w:rPr>
        <w:t>, November 15, 2016.</w:t>
      </w:r>
    </w:p>
  </w:footnote>
  <w:footnote w:id="64">
    <w:p w14:paraId="662A1D33" w14:textId="69C71EF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Ministry of Labor, Ferias del trabajo reducen tasa de desempleo e informalidad en Guatemala, April 2017.</w:t>
      </w:r>
    </w:p>
  </w:footnote>
  <w:footnote w:id="65">
    <w:p w14:paraId="78AF2748" w14:textId="16FC63B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organization </w:t>
      </w:r>
      <w:r w:rsidRPr="001944CF">
        <w:rPr>
          <w:rFonts w:asciiTheme="majorHAnsi" w:hAnsiTheme="majorHAnsi"/>
          <w:i/>
          <w:iCs/>
          <w:color w:val="808080" w:themeColor="background1" w:themeShade="80"/>
        </w:rPr>
        <w:t>Programa Educativo del Niño, Niña y Adolescente Trabajador</w:t>
      </w:r>
      <w:r w:rsidRPr="001944CF">
        <w:rPr>
          <w:rFonts w:asciiTheme="majorHAnsi" w:hAnsiTheme="majorHAnsi"/>
          <w:color w:val="808080" w:themeColor="background1" w:themeShade="80"/>
        </w:rPr>
        <w:t xml:space="preserve"> (PENNAT) puts the number of children and adolescents in productive activities at 1 million and warns of underreporting in this area.</w:t>
      </w:r>
    </w:p>
  </w:footnote>
  <w:footnote w:id="66">
    <w:p w14:paraId="7282FBBA" w14:textId="6B89555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By sectors, most child workers are employed in farming (58.8 percent), followed by commerce, hospitality and catering (24 percent), and manufacturing (9.3 percent). </w:t>
      </w:r>
      <w:r w:rsidRPr="001944CF">
        <w:rPr>
          <w:rFonts w:asciiTheme="majorHAnsi" w:hAnsiTheme="majorHAnsi"/>
          <w:color w:val="808080" w:themeColor="background1" w:themeShade="80"/>
          <w:lang w:val="es-MX"/>
        </w:rPr>
        <w:t xml:space="preserve">El País, </w:t>
      </w:r>
      <w:hyperlink r:id="rId32" w:history="1">
        <w:r w:rsidRPr="001944CF">
          <w:rPr>
            <w:rStyle w:val="Hyperlink"/>
            <w:rFonts w:asciiTheme="majorHAnsi" w:hAnsiTheme="majorHAnsi"/>
            <w:i/>
            <w:iCs/>
            <w:color w:val="808080" w:themeColor="background1" w:themeShade="80"/>
            <w:lang w:val="es-MX"/>
          </w:rPr>
          <w:t>La pobreza arrebata la niñez a un millón de menores trabajadores en Guatemala</w:t>
        </w:r>
      </w:hyperlink>
      <w:r w:rsidRPr="001944CF">
        <w:rPr>
          <w:rFonts w:asciiTheme="majorHAnsi" w:hAnsiTheme="majorHAnsi"/>
          <w:color w:val="808080" w:themeColor="background1" w:themeShade="80"/>
          <w:lang w:val="es-MX"/>
        </w:rPr>
        <w:t>, June 19, 2017.</w:t>
      </w:r>
    </w:p>
  </w:footnote>
  <w:footnote w:id="67">
    <w:p w14:paraId="25FFF11A" w14:textId="0E9BD4D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HIV Law (Decree 27-2000) requires the Ministry of Public Health and Social Assistance to provide health care services to people living with HIV/AIDS.</w:t>
      </w:r>
    </w:p>
  </w:footnote>
  <w:footnote w:id="68">
    <w:p w14:paraId="66D146E3" w14:textId="0B419EC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from civil society organizations during the on-site visit from July 31 to August 4, 2017.</w:t>
      </w:r>
    </w:p>
  </w:footnote>
  <w:footnote w:id="69">
    <w:p w14:paraId="05996782" w14:textId="3C51EC1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70">
    <w:p w14:paraId="69248F0F" w14:textId="22B7F3D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2016 Annual Report, Chapter V, Follow-up of the Recommendations Issued by the IACHR in Its Country or Thematic Reports, Follow-Up on the Recommendations Formulated by the IACHR in </w:t>
      </w:r>
      <w:r w:rsidRPr="001944CF">
        <w:rPr>
          <w:rFonts w:asciiTheme="majorHAnsi" w:hAnsiTheme="majorHAnsi"/>
          <w:i/>
          <w:iCs/>
          <w:color w:val="808080" w:themeColor="background1" w:themeShade="80"/>
        </w:rPr>
        <w:t>Report on the Situation of Human Rights in Guatemala:</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Diversity, Inequality and Exclusion.</w:t>
      </w:r>
    </w:p>
  </w:footnote>
  <w:footnote w:id="71">
    <w:p w14:paraId="3A91326D" w14:textId="0611E57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i/>
          <w:iCs/>
          <w:color w:val="808080" w:themeColor="background1" w:themeShade="80"/>
        </w:rPr>
        <w:t>,</w:t>
      </w:r>
      <w:r w:rsidRPr="001944CF">
        <w:rPr>
          <w:rFonts w:asciiTheme="majorHAnsi" w:hAnsiTheme="majorHAnsi"/>
          <w:color w:val="808080" w:themeColor="background1" w:themeShade="80"/>
        </w:rPr>
        <w:t xml:space="preserve"> para. 96. CICIG defines impunity as the failure to report, investigation, arrest, try, find positive solutions for the victims and/or convict those responsible for crimes classified as such in Guatemalan law and focuses its report on the subject of judgments of conviction. CICIG, Press release 091,  </w:t>
      </w:r>
      <w:hyperlink r:id="rId33" w:history="1">
        <w:r w:rsidRPr="001944CF">
          <w:rPr>
            <w:rStyle w:val="Hyperlink"/>
            <w:rFonts w:asciiTheme="majorHAnsi" w:hAnsiTheme="majorHAnsi"/>
            <w:color w:val="808080" w:themeColor="background1" w:themeShade="80"/>
          </w:rPr>
          <w:t>Sistema de Medición de Impunidad en Guatemala</w:t>
        </w:r>
      </w:hyperlink>
      <w:r w:rsidRPr="001944CF">
        <w:rPr>
          <w:rFonts w:asciiTheme="majorHAnsi" w:hAnsiTheme="majorHAnsi"/>
          <w:color w:val="808080" w:themeColor="background1" w:themeShade="80"/>
        </w:rPr>
        <w:t xml:space="preserve"> [System to Measure Impunity in Guatemala], November 27, 2015.</w:t>
      </w:r>
    </w:p>
  </w:footnote>
  <w:footnote w:id="72">
    <w:p w14:paraId="6F4862BA" w14:textId="779C04F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Guatemala: </w:t>
      </w:r>
      <w:r w:rsidRPr="001944CF">
        <w:rPr>
          <w:rFonts w:asciiTheme="majorHAnsi" w:hAnsiTheme="majorHAnsi"/>
          <w:i/>
          <w:iCs/>
          <w:color w:val="808080" w:themeColor="background1" w:themeShade="80"/>
        </w:rPr>
        <w:t>Diversity, Inequality and Exclusion</w:t>
      </w:r>
      <w:r w:rsidRPr="001944CF">
        <w:rPr>
          <w:rFonts w:asciiTheme="majorHAnsi" w:hAnsiTheme="majorHAnsi"/>
          <w:color w:val="808080" w:themeColor="background1" w:themeShade="80"/>
        </w:rPr>
        <w:t>, OEA/Ser.L/V/II.Doc. 43/15, December 30, 2015, para. 392.</w:t>
      </w:r>
    </w:p>
  </w:footnote>
  <w:footnote w:id="73">
    <w:p w14:paraId="47005F53" w14:textId="37766E6D" w:rsidR="001D7FF7" w:rsidRPr="001944CF" w:rsidRDefault="001D7FF7" w:rsidP="006F17D4">
      <w:pPr>
        <w:pStyle w:val="FootnoteText"/>
        <w:rPr>
          <w:rFonts w:asciiTheme="majorHAnsi" w:hAnsiTheme="majorHAnsi"/>
          <w:color w:val="808080" w:themeColor="background1" w:themeShade="80"/>
        </w:rPr>
      </w:pPr>
      <w:r w:rsidRPr="001944CF">
        <w:rPr>
          <w:rFonts w:asciiTheme="majorHAnsi" w:hAnsiTheme="majorHAnsi"/>
          <w:color w:val="808080" w:themeColor="background1" w:themeShade="80"/>
        </w:rPr>
        <w:t xml:space="preserve"> </w:t>
      </w: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Public Prosecution Service, Memoria de Labores 2016-2017 [Report on Activities 2016-2017], p. 43. Available online: </w:t>
      </w:r>
      <w:hyperlink r:id="rId34" w:history="1">
        <w:r w:rsidRPr="001944CF">
          <w:rPr>
            <w:rStyle w:val="Hyperlink"/>
            <w:rFonts w:asciiTheme="majorHAnsi" w:hAnsiTheme="majorHAnsi"/>
            <w:color w:val="808080" w:themeColor="background1" w:themeShade="80"/>
          </w:rPr>
          <w:t>https://www.mp.gob.gt/noticias/memoria-administracion-mayo-2016-2017/</w:t>
        </w:r>
      </w:hyperlink>
      <w:r w:rsidRPr="001944CF">
        <w:rPr>
          <w:rFonts w:asciiTheme="majorHAnsi" w:hAnsiTheme="majorHAnsi"/>
          <w:color w:val="808080" w:themeColor="background1" w:themeShade="80"/>
        </w:rPr>
        <w:t xml:space="preserve">. According to the Public Prosecution Service the government backlog was reduced by 52 percent from 2014 to 2017. According to the same report, "government backlog is institutionally defined as the delay completing investigations and/or criminal prosecutions that should have been carried out in a specific case, within a reasonable time, which starts to be counted from the date on which the suspect is apprehended.” </w:t>
      </w:r>
      <w:r w:rsidRPr="001944CF">
        <w:rPr>
          <w:rFonts w:asciiTheme="majorHAnsi" w:hAnsiTheme="majorHAnsi"/>
          <w:i/>
          <w:iCs/>
          <w:color w:val="808080" w:themeColor="background1" w:themeShade="80"/>
        </w:rPr>
        <w:t>Ibid</w:t>
      </w:r>
      <w:r w:rsidRPr="001944CF">
        <w:rPr>
          <w:rFonts w:asciiTheme="majorHAnsi" w:hAnsiTheme="majorHAnsi"/>
          <w:color w:val="808080" w:themeColor="background1" w:themeShade="80"/>
        </w:rPr>
        <w:t>.</w:t>
      </w:r>
    </w:p>
  </w:footnote>
  <w:footnote w:id="74">
    <w:p w14:paraId="7455C067" w14:textId="557717C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Second Report on the Situation of Human Rights in Peru (2000), Chapter II. See also IACHR, Third Report on the Situation of Human Rights in Paraguay, OEA/Ser./L/VII.110. Doc. 52, March 9, 2001, Chapter III. </w:t>
      </w:r>
    </w:p>
  </w:footnote>
  <w:footnote w:id="75">
    <w:p w14:paraId="18C313AD" w14:textId="54D8E2E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H.R., </w:t>
      </w:r>
      <w:r w:rsidRPr="001944CF">
        <w:rPr>
          <w:rFonts w:asciiTheme="majorHAnsi" w:hAnsiTheme="majorHAnsi"/>
          <w:i/>
          <w:iCs/>
          <w:color w:val="808080" w:themeColor="background1" w:themeShade="80"/>
        </w:rPr>
        <w:t>Case of Human Rights Defender et al.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Preliminary Objections, Merits, Reparations and Costs, Judgment of August 28, 2014, Series C No. 283; </w:t>
      </w:r>
      <w:r w:rsidRPr="001944CF">
        <w:rPr>
          <w:rFonts w:asciiTheme="majorHAnsi" w:hAnsiTheme="majorHAnsi"/>
          <w:i/>
          <w:iCs/>
          <w:color w:val="808080" w:themeColor="background1" w:themeShade="80"/>
        </w:rPr>
        <w:t>Case of Veliz Franco et al.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Preliminary Objections, Merits, Reparations and Costs, Judgment of May 19, 2014, Series C No. 277; </w:t>
      </w:r>
      <w:r w:rsidRPr="001944CF">
        <w:rPr>
          <w:rFonts w:asciiTheme="majorHAnsi" w:hAnsiTheme="majorHAnsi"/>
          <w:i/>
          <w:iCs/>
          <w:color w:val="808080" w:themeColor="background1" w:themeShade="80"/>
        </w:rPr>
        <w:t>Case of García and family members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Merits, Reparations and Costs, Judgment of November 29, 2012, Series C No. </w:t>
      </w:r>
      <w:r w:rsidRPr="001944CF">
        <w:rPr>
          <w:rFonts w:asciiTheme="majorHAnsi" w:hAnsiTheme="majorHAnsi"/>
          <w:i/>
          <w:iCs/>
          <w:color w:val="808080" w:themeColor="background1" w:themeShade="80"/>
        </w:rPr>
        <w:t>258; Case of Gudiel Álvarez et al. ("Diario Militar")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Merits, Reparations and Costs, Judgment of November 20, 2012, Series C No. 253; </w:t>
      </w:r>
      <w:r w:rsidRPr="001944CF">
        <w:rPr>
          <w:rFonts w:asciiTheme="majorHAnsi" w:hAnsiTheme="majorHAnsi"/>
          <w:i/>
          <w:iCs/>
          <w:color w:val="808080" w:themeColor="background1" w:themeShade="80"/>
        </w:rPr>
        <w:t>Case of the Río Negro Massacres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Preliminary Objection, Merits, Reparations and Costs, Judgment of September 4, 2012, Series C No. 250; </w:t>
      </w:r>
      <w:r w:rsidRPr="001944CF">
        <w:rPr>
          <w:rFonts w:asciiTheme="majorHAnsi" w:hAnsiTheme="majorHAnsi"/>
          <w:i/>
          <w:iCs/>
          <w:color w:val="808080" w:themeColor="background1" w:themeShade="80"/>
        </w:rPr>
        <w:t>Case of Chitay Nech et al.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Preliminary Objections, Merits, Reparations and Costs, Judgment of May 25, 2010, Series C No. 212; </w:t>
      </w:r>
      <w:r w:rsidRPr="001944CF">
        <w:rPr>
          <w:rFonts w:asciiTheme="majorHAnsi" w:hAnsiTheme="majorHAnsi"/>
          <w:i/>
          <w:iCs/>
          <w:color w:val="808080" w:themeColor="background1" w:themeShade="80"/>
        </w:rPr>
        <w:t>Case of the “Las Dos Erres” Massacre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Preliminary Objection, Merits, Reparations and Costs, Judgment of November 24, 2009. Series C No. 211.</w:t>
      </w:r>
    </w:p>
  </w:footnote>
  <w:footnote w:id="76">
    <w:p w14:paraId="0ED688D3" w14:textId="1F8559B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CICIG is an independent international organ that was set up in 2006 under an agreement between the United Nations and the Government of Guatemala to combat the impunity generated by illegal security groups and clandestine security organizations in the country that seriously undermine human rights. CICIG’s mandate comprises a number of key objectives set down in its establishing agreement: determine the existence of illegal security groups and clandestine security organizations, their structure and possible relation to State entities or agents and other sectors that threaten civil and political rights in Guatemala; collaborate with the State in the dismantling of illegal security groups and clandestine security organizations and promote the investigation, criminal prosecution and punishment of those crimes committed by their members; recommend to the State the adoption of public policies for eradicating clandestine security organizations and illegal security groups and preventing their reemergence, including the legal and institutional reforms necessary to achieve this goal. Agreement between the United Nations and the State of Guatemala on the Establishment of an International Commission against Impunity in Guatemala (CICIG), December 12, 2006. The term of the CICIG has been extended until September 4, 2019.</w:t>
      </w:r>
    </w:p>
  </w:footnote>
  <w:footnote w:id="77">
    <w:p w14:paraId="574BCA3D" w14:textId="59CF71E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 criminal organization was identified that was planning murders and other attacks against journalists in the Department of Mazatenango. In 2016, in a bid to identify the masterminds behind that criminal organization, the case was transferred to the Office of the Special Prosecutor against Impunity, which, together with CICIG, is continuing the investigation. </w:t>
      </w:r>
    </w:p>
  </w:footnote>
  <w:footnote w:id="78">
    <w:p w14:paraId="119A59DC" w14:textId="0650D1F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Ninth Report of Activities of the International Commission against Impunity in Guatemala (CICIG), p. 13. Available online (in Spanish): </w:t>
      </w:r>
      <w:hyperlink r:id="rId35" w:history="1">
        <w:r w:rsidRPr="001944CF">
          <w:rPr>
            <w:rStyle w:val="Hyperlink"/>
            <w:rFonts w:asciiTheme="majorHAnsi" w:hAnsiTheme="majorHAnsi"/>
            <w:color w:val="808080" w:themeColor="background1" w:themeShade="80"/>
          </w:rPr>
          <w:t>http://www.cicig.org/uploads/img/2016/others/COM_087_20161124_INFORME_ANUAL_2016.pdf</w:t>
        </w:r>
      </w:hyperlink>
      <w:r w:rsidRPr="001944CF">
        <w:rPr>
          <w:rStyle w:val="Hyperlink"/>
          <w:rFonts w:asciiTheme="majorHAnsi" w:hAnsiTheme="majorHAnsi"/>
          <w:color w:val="808080" w:themeColor="background1" w:themeShade="80"/>
        </w:rPr>
        <w:t>.</w:t>
      </w:r>
      <w:r w:rsidRPr="001944CF">
        <w:rPr>
          <w:rStyle w:val="Hyperlink"/>
          <w:rFonts w:asciiTheme="majorHAnsi" w:hAnsiTheme="majorHAnsi"/>
          <w:color w:val="808080" w:themeColor="background1" w:themeShade="80"/>
          <w:u w:val="none"/>
        </w:rPr>
        <w:t xml:space="preserve"> </w:t>
      </w:r>
      <w:r w:rsidRPr="001944CF">
        <w:rPr>
          <w:rFonts w:asciiTheme="majorHAnsi" w:hAnsiTheme="majorHAnsi"/>
          <w:color w:val="808080" w:themeColor="background1" w:themeShade="80"/>
        </w:rPr>
        <w:t xml:space="preserve">Other high-profile cases instigated by CICIG include that of Judge Martha Sierra/Bufete de la Impunidad, concerning a bribery network linked to the investigation in the La Línea case; Judge Erick Santiago de León, relating to a bribery scheme involving the judge; a passport counterfeiters network; corruption in the prison system; fraud in the National Civil Police; Deputy Muadi, involving the granting of phantom jobs in the legislature; cases involving illicit acts against the mayors of the municipalities of La Antigua, Chinautla; as well as a series of investigations and preliminary proceedings involving illicit election campaign funding. </w:t>
      </w:r>
      <w:r w:rsidRPr="001944CF">
        <w:rPr>
          <w:rFonts w:asciiTheme="majorHAnsi" w:hAnsiTheme="majorHAnsi"/>
          <w:i/>
          <w:iCs/>
          <w:color w:val="808080" w:themeColor="background1" w:themeShade="80"/>
        </w:rPr>
        <w:t>Ibid</w:t>
      </w:r>
      <w:r w:rsidRPr="001944CF">
        <w:rPr>
          <w:rFonts w:asciiTheme="majorHAnsi" w:hAnsiTheme="majorHAnsi"/>
          <w:color w:val="808080" w:themeColor="background1" w:themeShade="80"/>
        </w:rPr>
        <w:t>.</w:t>
      </w:r>
    </w:p>
  </w:footnote>
  <w:footnote w:id="79">
    <w:p w14:paraId="6975FC46" w14:textId="65944CB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pp. 10-21. </w:t>
      </w:r>
    </w:p>
  </w:footnote>
  <w:footnote w:id="80">
    <w:p w14:paraId="6E5C01D6" w14:textId="0550141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Statement by the spokesperson for the UN High Commissioner for Human Rights, Liz Throsell, “Support for CICIG and the Office of the Attorney General,” August 25, 2070 25 de agosto de 2017. </w:t>
      </w:r>
    </w:p>
  </w:footnote>
  <w:footnote w:id="81">
    <w:p w14:paraId="5ABF6AF9" w14:textId="6C1EDF9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Resolution 1/17</w:t>
      </w:r>
      <w:hyperlink r:id="rId36" w:history="1">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Human Rights and the Fight against Impunity and Corruption</w:t>
        </w:r>
      </w:hyperlink>
      <w:r w:rsidRPr="001944CF">
        <w:rPr>
          <w:rFonts w:asciiTheme="majorHAnsi" w:hAnsiTheme="majorHAnsi"/>
          <w:color w:val="808080" w:themeColor="background1" w:themeShade="80"/>
        </w:rPr>
        <w:t>, September 12, 2017.   IACHR, Resolution 1/17</w:t>
      </w:r>
      <w:hyperlink r:id="rId37" w:history="1">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Human Rights and the Fight against Impunity and Corruption</w:t>
        </w:r>
      </w:hyperlink>
      <w:r w:rsidRPr="001944CF">
        <w:rPr>
          <w:rFonts w:asciiTheme="majorHAnsi" w:hAnsiTheme="majorHAnsi"/>
          <w:color w:val="808080" w:themeColor="background1" w:themeShade="80"/>
        </w:rPr>
        <w:t>, September 12, 2017.</w:t>
      </w:r>
    </w:p>
  </w:footnote>
  <w:footnote w:id="82">
    <w:p w14:paraId="7C77B296" w14:textId="777470A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Resolution 1/17</w:t>
      </w:r>
      <w:hyperlink r:id="rId38" w:history="1">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Human Rights and the Fight against Impunity and Corruption</w:t>
        </w:r>
      </w:hyperlink>
      <w:r w:rsidRPr="001944CF">
        <w:rPr>
          <w:rFonts w:asciiTheme="majorHAnsi" w:hAnsiTheme="majorHAnsi"/>
          <w:color w:val="808080" w:themeColor="background1" w:themeShade="80"/>
        </w:rPr>
        <w:t>, September 12, 2017.</w:t>
      </w:r>
    </w:p>
  </w:footnote>
  <w:footnote w:id="83">
    <w:p w14:paraId="170B266C" w14:textId="4912BDE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Ibid. In a separate video published later on August 27, 2017, the president said that "no domestic tribunal has the constitutional authority to interfere in the decisions of the president.” The video was published on the Guatemalan Government's official YouTube page and can be viewed at </w:t>
      </w:r>
      <w:hyperlink r:id="rId39" w:history="1">
        <w:r w:rsidRPr="001944CF">
          <w:rPr>
            <w:rStyle w:val="Hyperlink"/>
            <w:rFonts w:asciiTheme="majorHAnsi" w:hAnsiTheme="majorHAnsi"/>
            <w:color w:val="808080" w:themeColor="background1" w:themeShade="80"/>
          </w:rPr>
          <w:t>https://www.youtube.com/watch?v=RQwJro8iZw0&amp;feature=youtu.be</w:t>
        </w:r>
      </w:hyperlink>
      <w:r w:rsidRPr="001944CF">
        <w:rPr>
          <w:rStyle w:val="Hyperlink"/>
          <w:rFonts w:asciiTheme="majorHAnsi" w:hAnsiTheme="majorHAnsi"/>
          <w:color w:val="808080" w:themeColor="background1" w:themeShade="80"/>
        </w:rPr>
        <w:t>.</w:t>
      </w:r>
    </w:p>
  </w:footnote>
  <w:footnote w:id="84">
    <w:p w14:paraId="21CDAF83" w14:textId="6F0C8E9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Statement attributable to the Spokesman for the Secretary-General on Guatemala, August 27, 2017. Available online: </w:t>
      </w:r>
      <w:hyperlink r:id="rId40" w:history="1">
        <w:r w:rsidRPr="001944CF">
          <w:rPr>
            <w:rStyle w:val="Hyperlink"/>
            <w:rFonts w:asciiTheme="majorHAnsi" w:hAnsiTheme="majorHAnsi"/>
            <w:color w:val="808080" w:themeColor="background1" w:themeShade="80"/>
          </w:rPr>
          <w:t>https://www.un.org/sg/en/content/sg/statement/2017-08-27/statement-attributable-spokesman-secretary-general-guatemala-scroll</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On August 28, 2017, the International Commission of Jurists issued a press release in support of Commissioner Velasquez in which it said, among other things, that "President Morales decided to declare Commissioner Velasquez persona non grata to obstruct justice and create more impunity ...”</w:t>
      </w:r>
    </w:p>
  </w:footnote>
  <w:footnote w:id="85">
    <w:p w14:paraId="6AD309DB" w14:textId="4FC7868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Constitutional Court, Case 4182-2017, August 29, 2017.</w:t>
      </w:r>
    </w:p>
  </w:footnote>
  <w:footnote w:id="86">
    <w:p w14:paraId="3D2E0B86" w14:textId="3481E2E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Newspaper article in Prensa Libre, </w:t>
      </w:r>
      <w:r w:rsidRPr="001944CF">
        <w:rPr>
          <w:rFonts w:asciiTheme="majorHAnsi" w:hAnsiTheme="majorHAnsi"/>
          <w:i/>
          <w:iCs/>
          <w:color w:val="808080" w:themeColor="background1" w:themeShade="80"/>
        </w:rPr>
        <w:t>El Congreso vuelve a proteger a Jimmy Morales</w:t>
      </w:r>
      <w:r w:rsidRPr="001944CF">
        <w:rPr>
          <w:rFonts w:asciiTheme="majorHAnsi" w:hAnsiTheme="majorHAnsi"/>
          <w:color w:val="808080" w:themeColor="background1" w:themeShade="80"/>
        </w:rPr>
        <w:t xml:space="preserve">, September 21, 2017. Available online: </w:t>
      </w:r>
      <w:hyperlink r:id="rId41" w:history="1">
        <w:r w:rsidRPr="001944CF">
          <w:rPr>
            <w:rStyle w:val="Hyperlink"/>
            <w:rFonts w:asciiTheme="majorHAnsi" w:hAnsiTheme="majorHAnsi"/>
            <w:color w:val="808080" w:themeColor="background1" w:themeShade="80"/>
          </w:rPr>
          <w:t>http://www.prensalibre.com/guatemala/politica/congreso-protege-por-segunda-vez-la-inmunidad-de-jimmy-morales</w:t>
        </w:r>
      </w:hyperlink>
      <w:r w:rsidRPr="001944CF">
        <w:rPr>
          <w:rFonts w:asciiTheme="majorHAnsi" w:hAnsiTheme="majorHAnsi"/>
          <w:color w:val="808080" w:themeColor="background1" w:themeShade="80"/>
        </w:rPr>
        <w:t xml:space="preserve">. </w:t>
      </w:r>
    </w:p>
  </w:footnote>
  <w:footnote w:id="87">
    <w:p w14:paraId="2A7CDBFD" w14:textId="75EAB8A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a joint press release, the ministers of labor and social security, the interior, and public finance said that their departure was due to the fact that the "opportunities for implementing [their] work programs have closed rapidly” as a result of the political crisis in the country. </w:t>
      </w:r>
      <w:r w:rsidRPr="001944CF">
        <w:rPr>
          <w:rFonts w:asciiTheme="majorHAnsi" w:hAnsiTheme="majorHAnsi"/>
          <w:color w:val="808080" w:themeColor="background1" w:themeShade="80"/>
          <w:lang w:val="es-MX"/>
        </w:rPr>
        <w:t xml:space="preserve">Newspaper article in Prensa Libre, </w:t>
      </w:r>
      <w:r w:rsidRPr="001944CF">
        <w:rPr>
          <w:rFonts w:asciiTheme="majorHAnsi" w:hAnsiTheme="majorHAnsi"/>
          <w:i/>
          <w:iCs/>
          <w:color w:val="808080" w:themeColor="background1" w:themeShade="80"/>
          <w:lang w:val="es-MX"/>
        </w:rPr>
        <w:t>Renuncian ministros Francisco Rivas, Julio Héctor Estrada y Leticia Teleguario</w:t>
      </w:r>
      <w:r w:rsidRPr="001944CF">
        <w:rPr>
          <w:rFonts w:asciiTheme="majorHAnsi" w:hAnsiTheme="majorHAnsi"/>
          <w:color w:val="808080" w:themeColor="background1" w:themeShade="80"/>
          <w:lang w:val="es-MX"/>
        </w:rPr>
        <w:t xml:space="preserve">, September 19, 2017. </w:t>
      </w:r>
      <w:r w:rsidRPr="001944CF">
        <w:rPr>
          <w:rFonts w:asciiTheme="majorHAnsi" w:hAnsiTheme="majorHAnsi"/>
          <w:color w:val="808080" w:themeColor="background1" w:themeShade="80"/>
        </w:rPr>
        <w:t xml:space="preserve">Available online: </w:t>
      </w:r>
      <w:hyperlink r:id="rId42" w:history="1">
        <w:r w:rsidRPr="001944CF">
          <w:rPr>
            <w:rStyle w:val="Hyperlink"/>
            <w:rFonts w:asciiTheme="majorHAnsi" w:hAnsiTheme="majorHAnsi"/>
            <w:color w:val="808080" w:themeColor="background1" w:themeShade="80"/>
          </w:rPr>
          <w:t>http://www.prensalibre.com/guatemala/politica/renuncian-ministros-de-finanzas-gobernacion-y-de-trabajo</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The joint press release is available at </w:t>
      </w:r>
      <w:hyperlink r:id="rId43" w:history="1">
        <w:r w:rsidRPr="001944CF">
          <w:rPr>
            <w:rStyle w:val="Hyperlink"/>
            <w:rFonts w:asciiTheme="majorHAnsi" w:hAnsiTheme="majorHAnsi"/>
            <w:color w:val="808080" w:themeColor="background1" w:themeShade="80"/>
          </w:rPr>
          <w:t>https://twitter.com/julioHestrada/status/910293086781231105</w:t>
        </w:r>
      </w:hyperlink>
      <w:r w:rsidRPr="001944CF">
        <w:rPr>
          <w:rFonts w:asciiTheme="majorHAnsi" w:hAnsiTheme="majorHAnsi"/>
          <w:color w:val="808080" w:themeColor="background1" w:themeShade="80"/>
        </w:rPr>
        <w:t xml:space="preserve">. </w:t>
      </w:r>
    </w:p>
  </w:footnote>
  <w:footnote w:id="88">
    <w:p w14:paraId="13103741" w14:textId="48BA6E0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minister of health resigned on August 27, 2017. The chair of COPREDEH quit on August 28. The ministers of the interior, public finance, and labor and social security stood down on September 19, 2017. </w:t>
      </w:r>
    </w:p>
  </w:footnote>
  <w:footnote w:id="89">
    <w:p w14:paraId="702470E2" w14:textId="331BE586"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w:t>
      </w:r>
      <w:hyperlink r:id="rId44" w:history="1">
        <w:r w:rsidRPr="001944CF">
          <w:rPr>
            <w:rStyle w:val="Hyperlink"/>
            <w:rFonts w:asciiTheme="majorHAnsi" w:hAnsiTheme="majorHAnsi"/>
            <w:color w:val="808080" w:themeColor="background1" w:themeShade="80"/>
            <w:lang w:val="es-MX"/>
          </w:rPr>
          <w:t>Jimmy Morales no acepta la renuncia de ministros de Gobernación, Trabajo y Finanzas</w:t>
        </w:r>
      </w:hyperlink>
      <w:r w:rsidRPr="001944CF">
        <w:rPr>
          <w:rFonts w:asciiTheme="majorHAnsi" w:hAnsiTheme="majorHAnsi"/>
          <w:color w:val="808080" w:themeColor="background1" w:themeShade="80"/>
          <w:lang w:val="es-MX"/>
        </w:rPr>
        <w:t>, October 9, 2017.</w:t>
      </w:r>
    </w:p>
  </w:footnote>
  <w:footnote w:id="90">
    <w:p w14:paraId="410B77C0" w14:textId="50411D7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PM 431/17, Gloria Patricia Porras Escobar and Family, Guatemala, August 29, 2017. Available online (in Spanish): </w:t>
      </w:r>
      <w:hyperlink r:id="rId45" w:history="1">
        <w:r w:rsidRPr="001944CF">
          <w:rPr>
            <w:rStyle w:val="Hyperlink"/>
            <w:rFonts w:asciiTheme="majorHAnsi" w:hAnsiTheme="majorHAnsi"/>
            <w:color w:val="808080" w:themeColor="background1" w:themeShade="80"/>
          </w:rPr>
          <w:t>http://www.oas.org/es/cidh/decisiones/pdf/2017/34-17MC431-17-GU.pdf</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See also para. </w:t>
      </w:r>
      <w:r w:rsidRPr="001944CF">
        <w:rPr>
          <w:rFonts w:asciiTheme="majorHAnsi" w:hAnsiTheme="majorHAnsi"/>
          <w:color w:val="808080" w:themeColor="background1" w:themeShade="80"/>
        </w:rPr>
        <w:fldChar w:fldCharType="begin"/>
      </w:r>
      <w:r w:rsidRPr="001944CF">
        <w:rPr>
          <w:rFonts w:asciiTheme="majorHAnsi" w:hAnsiTheme="majorHAnsi"/>
          <w:color w:val="808080" w:themeColor="background1" w:themeShade="80"/>
        </w:rPr>
        <w:instrText xml:space="preserve"> REF _Ref367541974 \r \h  \* MERGEFORMAT </w:instrText>
      </w:r>
      <w:r w:rsidRPr="001944CF">
        <w:rPr>
          <w:rFonts w:asciiTheme="majorHAnsi" w:hAnsiTheme="majorHAnsi"/>
          <w:color w:val="808080" w:themeColor="background1" w:themeShade="80"/>
        </w:rPr>
      </w:r>
      <w:r w:rsidRPr="001944CF">
        <w:rPr>
          <w:rFonts w:asciiTheme="majorHAnsi" w:hAnsiTheme="majorHAnsi"/>
          <w:color w:val="808080" w:themeColor="background1" w:themeShade="80"/>
        </w:rPr>
        <w:fldChar w:fldCharType="separate"/>
      </w:r>
      <w:r w:rsidRPr="001944CF">
        <w:rPr>
          <w:rFonts w:asciiTheme="majorHAnsi" w:hAnsiTheme="majorHAnsi"/>
          <w:color w:val="808080" w:themeColor="background1" w:themeShade="80"/>
        </w:rPr>
        <w:t>71</w:t>
      </w:r>
      <w:r w:rsidRPr="001944CF">
        <w:rPr>
          <w:rFonts w:asciiTheme="majorHAnsi" w:hAnsiTheme="majorHAnsi"/>
          <w:color w:val="808080" w:themeColor="background1" w:themeShade="80"/>
        </w:rPr>
        <w:fldChar w:fldCharType="end"/>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infra</w:t>
      </w:r>
      <w:r w:rsidRPr="001944CF">
        <w:rPr>
          <w:rFonts w:asciiTheme="majorHAnsi" w:hAnsiTheme="majorHAnsi"/>
          <w:color w:val="808080" w:themeColor="background1" w:themeShade="80"/>
        </w:rPr>
        <w:t>.</w:t>
      </w:r>
    </w:p>
  </w:footnote>
  <w:footnote w:id="91">
    <w:p w14:paraId="6FFDDF15" w14:textId="6D15667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On August 29, 2017, Fundación Myrna Mack filed a motion for impeachment against President Jimmy Morales for the crime of disobedience. That same day, Fundación contra el Terrorismo filed a motion for impeachment against three justices of the Constitutional Court who voted in favor of the </w:t>
      </w:r>
      <w:r w:rsidRPr="001944CF">
        <w:rPr>
          <w:rFonts w:asciiTheme="majorHAnsi" w:hAnsiTheme="majorHAnsi"/>
          <w:i/>
          <w:iCs/>
          <w:color w:val="808080" w:themeColor="background1" w:themeShade="80"/>
        </w:rPr>
        <w:t xml:space="preserve">amparo </w:t>
      </w:r>
      <w:r w:rsidRPr="001944CF">
        <w:rPr>
          <w:rFonts w:asciiTheme="majorHAnsi" w:hAnsiTheme="majorHAnsi"/>
          <w:color w:val="808080" w:themeColor="background1" w:themeShade="80"/>
        </w:rPr>
        <w:t>application for Velásquez.</w:t>
      </w:r>
    </w:p>
  </w:footnote>
  <w:footnote w:id="92">
    <w:p w14:paraId="79641CC4" w14:textId="6909524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Resolution 1/17, </w:t>
      </w:r>
      <w:hyperlink r:id="rId46" w:history="1">
        <w:r w:rsidRPr="001944CF">
          <w:rPr>
            <w:rStyle w:val="Hyperlink"/>
            <w:rFonts w:asciiTheme="majorHAnsi" w:hAnsiTheme="majorHAnsi"/>
            <w:color w:val="808080" w:themeColor="background1" w:themeShade="80"/>
          </w:rPr>
          <w:t>Human Rights and the Fight against Impunity and Corruption</w:t>
        </w:r>
      </w:hyperlink>
      <w:r w:rsidRPr="001944CF">
        <w:rPr>
          <w:rFonts w:asciiTheme="majorHAnsi" w:hAnsiTheme="majorHAnsi"/>
          <w:color w:val="808080" w:themeColor="background1" w:themeShade="80"/>
        </w:rPr>
        <w:t>, September 12, 2017.</w:t>
      </w:r>
    </w:p>
  </w:footnote>
  <w:footnote w:id="93">
    <w:p w14:paraId="10B07A06" w14:textId="25A54BB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r w:rsidRPr="001944CF">
        <w:rPr>
          <w:rFonts w:asciiTheme="majorHAnsi" w:hAnsiTheme="majorHAnsi"/>
          <w:i/>
          <w:color w:val="808080" w:themeColor="background1" w:themeShade="80"/>
          <w:lang w:val="es-MX"/>
        </w:rPr>
        <w:t>Ibid</w:t>
      </w:r>
      <w:r w:rsidRPr="001944CF">
        <w:rPr>
          <w:rFonts w:asciiTheme="majorHAnsi" w:hAnsiTheme="majorHAnsi"/>
          <w:color w:val="808080" w:themeColor="background1" w:themeShade="80"/>
          <w:lang w:val="es-MX"/>
        </w:rPr>
        <w:t>.</w:t>
      </w:r>
    </w:p>
  </w:footnote>
  <w:footnote w:id="94">
    <w:p w14:paraId="5D460488" w14:textId="5156D651"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See newspaper article in Prensa Libre, </w:t>
      </w:r>
      <w:r w:rsidRPr="001944CF">
        <w:rPr>
          <w:rFonts w:asciiTheme="majorHAnsi" w:hAnsiTheme="majorHAnsi"/>
          <w:i/>
          <w:iCs/>
          <w:color w:val="808080" w:themeColor="background1" w:themeShade="80"/>
          <w:lang w:val="es-MX"/>
        </w:rPr>
        <w:t>Otras reformas buscan debilitar MP y justicia</w:t>
      </w:r>
      <w:r w:rsidRPr="001944CF">
        <w:rPr>
          <w:rFonts w:asciiTheme="majorHAnsi" w:hAnsiTheme="majorHAnsi"/>
          <w:color w:val="808080" w:themeColor="background1" w:themeShade="80"/>
          <w:lang w:val="es-MX"/>
        </w:rPr>
        <w:t xml:space="preserve">, September 14, 2017. Available online: </w:t>
      </w:r>
      <w:hyperlink r:id="rId47" w:history="1">
        <w:r w:rsidRPr="001944CF">
          <w:rPr>
            <w:rStyle w:val="Hyperlink"/>
            <w:rFonts w:asciiTheme="majorHAnsi" w:hAnsiTheme="majorHAnsi"/>
            <w:color w:val="808080" w:themeColor="background1" w:themeShade="80"/>
            <w:lang w:val="es-MX"/>
          </w:rPr>
          <w:t>http://www.prensalibre.com/guatemala/justicia/otras-reformas-buscan-debilitar-al-mp-y-justicia</w:t>
        </w:r>
      </w:hyperlink>
      <w:r w:rsidRPr="001944CF">
        <w:rPr>
          <w:rFonts w:asciiTheme="majorHAnsi" w:hAnsiTheme="majorHAnsi"/>
          <w:color w:val="808080" w:themeColor="background1" w:themeShade="80"/>
          <w:u w:val="single"/>
          <w:lang w:val="es-MX"/>
        </w:rPr>
        <w:t>.</w:t>
      </w:r>
      <w:r w:rsidRPr="001944CF">
        <w:rPr>
          <w:rFonts w:asciiTheme="majorHAnsi" w:hAnsiTheme="majorHAnsi"/>
          <w:color w:val="808080" w:themeColor="background1" w:themeShade="80"/>
          <w:lang w:val="es-MX"/>
        </w:rPr>
        <w:t xml:space="preserve">  </w:t>
      </w:r>
    </w:p>
  </w:footnote>
  <w:footnote w:id="95">
    <w:p w14:paraId="6228B2C4" w14:textId="0B68C0A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Press report, Guatevisión, </w:t>
      </w:r>
      <w:r w:rsidRPr="001944CF">
        <w:rPr>
          <w:rFonts w:asciiTheme="majorHAnsi" w:hAnsiTheme="majorHAnsi"/>
          <w:i/>
          <w:iCs/>
          <w:color w:val="808080" w:themeColor="background1" w:themeShade="80"/>
          <w:lang w:val="es-MX"/>
        </w:rPr>
        <w:t>Jimmy Morales “devolvió” los Q450 mil que le dio Ejército</w:t>
      </w:r>
      <w:r w:rsidRPr="001944CF">
        <w:rPr>
          <w:rFonts w:asciiTheme="majorHAnsi" w:hAnsiTheme="majorHAnsi"/>
          <w:color w:val="808080" w:themeColor="background1" w:themeShade="80"/>
          <w:lang w:val="es-MX"/>
        </w:rPr>
        <w:t xml:space="preserve">, September 14, 2017. Available online: </w:t>
      </w:r>
      <w:hyperlink r:id="rId48" w:history="1">
        <w:r w:rsidRPr="001944CF">
          <w:rPr>
            <w:rStyle w:val="Hyperlink"/>
            <w:rFonts w:asciiTheme="majorHAnsi" w:hAnsiTheme="majorHAnsi"/>
            <w:color w:val="808080" w:themeColor="background1" w:themeShade="80"/>
            <w:lang w:val="es-MX"/>
          </w:rPr>
          <w:t>http://www.guatevision.com/2017/09/14/jimmy-morales-devolvio-los-q450-mil-que-le-dio-el-ejercito/</w:t>
        </w:r>
      </w:hyperlink>
      <w:r w:rsidRPr="001944CF">
        <w:rPr>
          <w:rStyle w:val="Hyperlink"/>
          <w:rFonts w:asciiTheme="majorHAnsi" w:hAnsiTheme="majorHAnsi"/>
          <w:color w:val="808080" w:themeColor="background1" w:themeShade="80"/>
          <w:lang w:val="es-MX"/>
        </w:rPr>
        <w:t>.</w:t>
      </w:r>
      <w:r w:rsidRPr="001944CF">
        <w:rPr>
          <w:rStyle w:val="Hyperlink"/>
          <w:rFonts w:asciiTheme="majorHAnsi" w:hAnsiTheme="majorHAnsi"/>
          <w:color w:val="808080" w:themeColor="background1" w:themeShade="80"/>
          <w:u w:val="none"/>
          <w:lang w:val="es-MX"/>
        </w:rPr>
        <w:t xml:space="preserve"> </w:t>
      </w:r>
    </w:p>
  </w:footnote>
  <w:footnote w:id="96">
    <w:p w14:paraId="4E5EEF7B" w14:textId="4CB3E81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Newspaper article in El Nuevo Herald, Guatemala, </w:t>
      </w:r>
      <w:r w:rsidRPr="001944CF">
        <w:rPr>
          <w:rFonts w:asciiTheme="majorHAnsi" w:hAnsiTheme="majorHAnsi"/>
          <w:i/>
          <w:iCs/>
          <w:color w:val="808080" w:themeColor="background1" w:themeShade="80"/>
          <w:lang w:val="es-MX"/>
        </w:rPr>
        <w:t>Corte detiene reforma que favorece a políticos</w:t>
      </w:r>
      <w:r w:rsidRPr="001944CF">
        <w:rPr>
          <w:rFonts w:asciiTheme="majorHAnsi" w:hAnsiTheme="majorHAnsi"/>
          <w:color w:val="808080" w:themeColor="background1" w:themeShade="80"/>
          <w:lang w:val="es-MX"/>
        </w:rPr>
        <w:t xml:space="preserve">, September 14, 2017. Available online: </w:t>
      </w:r>
      <w:hyperlink r:id="rId49" w:history="1">
        <w:r w:rsidRPr="001944CF">
          <w:rPr>
            <w:rStyle w:val="Hyperlink"/>
            <w:rFonts w:asciiTheme="majorHAnsi" w:hAnsiTheme="majorHAnsi"/>
            <w:color w:val="808080" w:themeColor="background1" w:themeShade="80"/>
            <w:lang w:val="es-MX"/>
          </w:rPr>
          <w:t>http://www.elnuevoherald.com/noticias/mundo/article173297241.html</w:t>
        </w:r>
      </w:hyperlink>
      <w:r w:rsidRPr="001944CF">
        <w:rPr>
          <w:rFonts w:asciiTheme="majorHAnsi" w:hAnsiTheme="majorHAnsi"/>
          <w:color w:val="808080" w:themeColor="background1" w:themeShade="80"/>
          <w:u w:val="single"/>
          <w:lang w:val="es-MX"/>
        </w:rPr>
        <w:t>.</w:t>
      </w:r>
      <w:r w:rsidRPr="001944CF">
        <w:rPr>
          <w:rFonts w:asciiTheme="majorHAnsi" w:hAnsiTheme="majorHAnsi"/>
          <w:color w:val="808080" w:themeColor="background1" w:themeShade="80"/>
          <w:lang w:val="es-MX"/>
        </w:rPr>
        <w:t xml:space="preserve"> </w:t>
      </w:r>
    </w:p>
  </w:footnote>
  <w:footnote w:id="97">
    <w:p w14:paraId="2B161934" w14:textId="2CDA9165"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Newspaper article in Prensa Libre, </w:t>
      </w:r>
      <w:r w:rsidRPr="001944CF">
        <w:rPr>
          <w:rFonts w:asciiTheme="majorHAnsi" w:hAnsiTheme="majorHAnsi"/>
          <w:i/>
          <w:iCs/>
          <w:color w:val="808080" w:themeColor="background1" w:themeShade="80"/>
          <w:lang w:val="es-MX"/>
        </w:rPr>
        <w:t>La otra perspectiva cívica del Paro Nacional que quizá no vio</w:t>
      </w:r>
      <w:r w:rsidRPr="001944CF">
        <w:rPr>
          <w:rFonts w:asciiTheme="majorHAnsi" w:hAnsiTheme="majorHAnsi"/>
          <w:color w:val="808080" w:themeColor="background1" w:themeShade="80"/>
          <w:lang w:val="es-MX"/>
        </w:rPr>
        <w:t xml:space="preserve">, September 20, 2017. Available online: </w:t>
      </w:r>
      <w:hyperlink r:id="rId50" w:history="1">
        <w:r w:rsidRPr="001944CF">
          <w:rPr>
            <w:rStyle w:val="Hyperlink"/>
            <w:rFonts w:asciiTheme="majorHAnsi" w:hAnsiTheme="majorHAnsi"/>
            <w:color w:val="808080" w:themeColor="background1" w:themeShade="80"/>
            <w:lang w:val="es-MX"/>
          </w:rPr>
          <w:t>http://www.prensalibre.com/guatemala/politica/paro-nacional-el-color-de-la-manifestacion-del-20-de-septiembre</w:t>
        </w:r>
      </w:hyperlink>
      <w:r w:rsidRPr="001944CF">
        <w:rPr>
          <w:rFonts w:asciiTheme="majorHAnsi" w:hAnsiTheme="majorHAnsi"/>
          <w:color w:val="808080" w:themeColor="background1" w:themeShade="80"/>
          <w:u w:val="single"/>
          <w:lang w:val="es-MX"/>
        </w:rPr>
        <w:t>.</w:t>
      </w:r>
      <w:r w:rsidRPr="001944CF">
        <w:rPr>
          <w:rFonts w:asciiTheme="majorHAnsi" w:hAnsiTheme="majorHAnsi"/>
          <w:color w:val="808080" w:themeColor="background1" w:themeShade="80"/>
          <w:lang w:val="es-MX"/>
        </w:rPr>
        <w:t xml:space="preserve"> </w:t>
      </w:r>
    </w:p>
  </w:footnote>
  <w:footnote w:id="98">
    <w:p w14:paraId="09D1995D" w14:textId="5808928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Guatevisión, </w:t>
      </w:r>
      <w:hyperlink r:id="rId51" w:history="1">
        <w:r w:rsidRPr="001944CF">
          <w:rPr>
            <w:rStyle w:val="Hyperlink"/>
            <w:rFonts w:asciiTheme="majorHAnsi" w:hAnsiTheme="majorHAnsi"/>
            <w:color w:val="808080" w:themeColor="background1" w:themeShade="80"/>
            <w:lang w:val="es-MX"/>
          </w:rPr>
          <w:t>Video:</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lang w:val="es-MX"/>
          </w:rPr>
          <w:t>ONU responde por visa revocada de Iván Velásquez</w:t>
        </w:r>
      </w:hyperlink>
      <w:r w:rsidRPr="001944CF">
        <w:rPr>
          <w:rFonts w:asciiTheme="majorHAnsi" w:hAnsiTheme="majorHAnsi"/>
          <w:color w:val="808080" w:themeColor="background1" w:themeShade="80"/>
          <w:lang w:val="es-MX"/>
        </w:rPr>
        <w:t>, October 12, 2017.</w:t>
      </w:r>
    </w:p>
  </w:footnote>
  <w:footnote w:id="99">
    <w:p w14:paraId="48F54479" w14:textId="5BEA1FC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2" w:history="1">
        <w:r w:rsidRPr="001944CF">
          <w:rPr>
            <w:rStyle w:val="Hyperlink"/>
            <w:rFonts w:asciiTheme="majorHAnsi" w:hAnsiTheme="majorHAnsi"/>
            <w:color w:val="808080" w:themeColor="background1" w:themeShade="80"/>
          </w:rPr>
          <w:t>IACHR Grants Precautionary Measure for Human Rights Ombudsman of Guatemala</w:t>
        </w:r>
      </w:hyperlink>
      <w:r w:rsidRPr="001944CF">
        <w:rPr>
          <w:rFonts w:asciiTheme="majorHAnsi" w:hAnsiTheme="majorHAnsi"/>
          <w:color w:val="808080" w:themeColor="background1" w:themeShade="80"/>
        </w:rPr>
        <w:t>, November 3, 2017.</w:t>
      </w:r>
    </w:p>
  </w:footnote>
  <w:footnote w:id="100">
    <w:p w14:paraId="0450BEEF" w14:textId="3FD2143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3" w:history="1">
        <w:r w:rsidRPr="001944CF">
          <w:rPr>
            <w:rStyle w:val="Hyperlink"/>
            <w:rFonts w:asciiTheme="majorHAnsi" w:hAnsiTheme="majorHAnsi"/>
            <w:color w:val="808080" w:themeColor="background1" w:themeShade="80"/>
          </w:rPr>
          <w:t>Report on Citizen Security and Human Rights</w:t>
        </w:r>
      </w:hyperlink>
      <w:r w:rsidRPr="001944CF">
        <w:rPr>
          <w:rFonts w:asciiTheme="majorHAnsi" w:hAnsiTheme="majorHAnsi"/>
          <w:color w:val="808080" w:themeColor="background1" w:themeShade="80"/>
        </w:rPr>
        <w:t>, OEA/Ser.L/V/II. Doc. Doc. 57, December 31, 2009, para. 167.</w:t>
      </w:r>
    </w:p>
  </w:footnote>
  <w:footnote w:id="101">
    <w:p w14:paraId="28B99CA9" w14:textId="795E9D0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Inter-American Democratic Charter, Articles 3 and 4. </w:t>
      </w:r>
    </w:p>
  </w:footnote>
  <w:footnote w:id="102">
    <w:p w14:paraId="73BBBDF5" w14:textId="3DBA287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 Court H.R., Case of Gudiel Álvarez et al. ("Diario Militar") v. Guatemala, Merits, Reparations and Costs, Judgment of November 20, 2012, para. 330.</w:t>
      </w:r>
    </w:p>
  </w:footnote>
  <w:footnote w:id="103">
    <w:p w14:paraId="0473538C" w14:textId="29AE8BA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Status of signatures, ratifications, and accessions to the International Covenant on Civil and Political Rights: </w:t>
      </w:r>
      <w:hyperlink r:id="rId54" w:history="1">
        <w:r w:rsidRPr="001944CF">
          <w:rPr>
            <w:rStyle w:val="Hyperlink"/>
            <w:rFonts w:asciiTheme="majorHAnsi" w:hAnsiTheme="majorHAnsi"/>
            <w:color w:val="808080" w:themeColor="background1" w:themeShade="80"/>
          </w:rPr>
          <w:t>https://treaties.un.org/Pages/ViewDetails.aspx?src=TREATY&amp;mtdsg_no=IV-4&amp;chapter=4&amp;clang=_en</w:t>
        </w:r>
      </w:hyperlink>
      <w:r w:rsidRPr="001944CF">
        <w:rPr>
          <w:rFonts w:asciiTheme="majorHAnsi" w:hAnsiTheme="majorHAnsi"/>
          <w:color w:val="808080" w:themeColor="background1" w:themeShade="80"/>
        </w:rPr>
        <w:t xml:space="preserve">. </w:t>
      </w:r>
    </w:p>
  </w:footnote>
  <w:footnote w:id="104">
    <w:p w14:paraId="5758D8EE" w14:textId="282FA71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Status of signatures, ratifications, and accessions to the Optional Protocol to the International Covenant on Civil and Political Rights: </w:t>
      </w:r>
      <w:hyperlink r:id="rId55" w:history="1">
        <w:r w:rsidRPr="001944CF">
          <w:rPr>
            <w:rStyle w:val="Hyperlink"/>
            <w:rFonts w:asciiTheme="majorHAnsi" w:hAnsiTheme="majorHAnsi"/>
            <w:color w:val="808080" w:themeColor="background1" w:themeShade="80"/>
          </w:rPr>
          <w:t>https://treaties.un.org/Pages/ViewDetails.aspx?src=TREATY&amp;mtdsg_no=IV-5&amp;chapter=4&amp;clang=_en</w:t>
        </w:r>
      </w:hyperlink>
      <w:r w:rsidRPr="001944CF">
        <w:rPr>
          <w:rFonts w:asciiTheme="majorHAnsi" w:hAnsiTheme="majorHAnsi"/>
          <w:color w:val="808080" w:themeColor="background1" w:themeShade="80"/>
        </w:rPr>
        <w:t xml:space="preserve">. </w:t>
      </w:r>
    </w:p>
  </w:footnote>
  <w:footnote w:id="105">
    <w:p w14:paraId="06870FB6" w14:textId="472AAE2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106">
    <w:p w14:paraId="06726627" w14:textId="4B688F0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IACHR expressed that recognition in its country report, its follow-up on its recommendations, as well as its preliminary observations at the conclusion of the on-site visit</w:t>
      </w:r>
      <w:r w:rsidRPr="001944CF">
        <w:rPr>
          <w:rFonts w:asciiTheme="majorHAnsi" w:hAnsiTheme="majorHAnsi"/>
          <w:i/>
          <w:iCs/>
          <w:color w:val="808080" w:themeColor="background1" w:themeShade="80"/>
        </w:rPr>
        <w:t>.</w:t>
      </w:r>
      <w:r w:rsidRPr="001944CF">
        <w:rPr>
          <w:rFonts w:asciiTheme="majorHAnsi" w:hAnsiTheme="majorHAnsi"/>
          <w:color w:val="808080" w:themeColor="background1" w:themeShade="80"/>
        </w:rPr>
        <w:t xml:space="preserve"> Press Release 114/17, IACHR Wraps up On-Site Visit to Guatemala, August 4, 2017.</w:t>
      </w:r>
    </w:p>
  </w:footnote>
  <w:footnote w:id="107">
    <w:p w14:paraId="6DC5A003" w14:textId="0543A62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Resolution 1/17, </w:t>
      </w:r>
      <w:hyperlink r:id="rId56" w:history="1">
        <w:r w:rsidRPr="001944CF">
          <w:rPr>
            <w:rStyle w:val="Hyperlink"/>
            <w:rFonts w:asciiTheme="majorHAnsi" w:hAnsiTheme="majorHAnsi"/>
            <w:color w:val="808080" w:themeColor="background1" w:themeShade="80"/>
          </w:rPr>
          <w:t>Human Rights and the Fight against Impunity and Corruption</w:t>
        </w:r>
      </w:hyperlink>
      <w:r w:rsidRPr="001944CF">
        <w:rPr>
          <w:rFonts w:asciiTheme="majorHAnsi" w:hAnsiTheme="majorHAnsi"/>
          <w:color w:val="808080" w:themeColor="background1" w:themeShade="80"/>
        </w:rPr>
        <w:t>, September 12, 2017.</w:t>
      </w:r>
    </w:p>
  </w:footnote>
  <w:footnote w:id="108">
    <w:p w14:paraId="5198759F" w14:textId="0F492EBC" w:rsidR="001D7FF7" w:rsidRPr="001944CF" w:rsidRDefault="001D7FF7" w:rsidP="006F17D4">
      <w:pPr>
        <w:pStyle w:val="FootnoteText"/>
        <w:rPr>
          <w:rFonts w:asciiTheme="majorHAnsi" w:hAnsiTheme="majorHAnsi"/>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Commission learned that the former chair of COPREDEH, Víctor Hugo Godoy, resigned the position on August 28, 2017, amid the institutional crisis in the country. On September 22, 2017, Jorge Luis Borrayo became the new COPREDEH chair. </w:t>
      </w:r>
      <w:r w:rsidRPr="001944CF">
        <w:rPr>
          <w:rFonts w:asciiTheme="majorHAnsi" w:hAnsiTheme="majorHAnsi"/>
          <w:color w:val="808080" w:themeColor="background1" w:themeShade="80"/>
          <w:lang w:val="es-MX"/>
        </w:rPr>
        <w:t xml:space="preserve">COPREDEH, </w:t>
      </w:r>
      <w:r w:rsidRPr="001944CF">
        <w:rPr>
          <w:rFonts w:asciiTheme="majorHAnsi" w:hAnsiTheme="majorHAnsi"/>
          <w:i/>
          <w:iCs/>
          <w:color w:val="808080" w:themeColor="background1" w:themeShade="80"/>
          <w:lang w:val="es-MX"/>
        </w:rPr>
        <w:t>Asume nuevo presidente de Comisión Presidencial de Derechos Humanos en Guatemala</w:t>
      </w:r>
      <w:r w:rsidRPr="001944CF">
        <w:rPr>
          <w:rFonts w:asciiTheme="majorHAnsi" w:hAnsiTheme="majorHAnsi"/>
          <w:color w:val="808080" w:themeColor="background1" w:themeShade="80"/>
          <w:lang w:val="es-MX"/>
        </w:rPr>
        <w:t xml:space="preserve">, September 22, 2017. </w:t>
      </w:r>
      <w:r w:rsidRPr="001944CF">
        <w:rPr>
          <w:rFonts w:asciiTheme="majorHAnsi" w:hAnsiTheme="majorHAnsi"/>
          <w:color w:val="808080" w:themeColor="background1" w:themeShade="80"/>
        </w:rPr>
        <w:t xml:space="preserve">Available online: </w:t>
      </w:r>
      <w:hyperlink r:id="rId57" w:history="1">
        <w:r w:rsidRPr="001944CF">
          <w:rPr>
            <w:rStyle w:val="Hyperlink"/>
            <w:rFonts w:asciiTheme="majorHAnsi" w:hAnsiTheme="majorHAnsi"/>
            <w:color w:val="808080" w:themeColor="background1" w:themeShade="80"/>
          </w:rPr>
          <w:t>http://copredeh.gob.gt/4879-2/</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w:t>
      </w:r>
    </w:p>
  </w:footnote>
  <w:footnote w:id="109">
    <w:p w14:paraId="60E52934" w14:textId="0592A79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Note Ref. P-952-2017/VHG/LWC/nj, July 10, 2017, p. 4. Those judgments were issued in the following cases: Dos Erres (201 victims), Plan de Sánchez (256 victims), Pedro Arredondo (1 victim), Student Edgar Leonel Paredes (3 victims), Efraín Ríos Montt, Student Fernando García (1 victim), Embassy of Spain (41 victims), and Sepur Zarco (14 victims identificadas).</w:t>
      </w:r>
    </w:p>
  </w:footnote>
  <w:footnote w:id="110">
    <w:p w14:paraId="526AA4EE" w14:textId="6634BFD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Presse Release 001, </w:t>
      </w:r>
      <w:r w:rsidRPr="001944CF">
        <w:rPr>
          <w:rFonts w:asciiTheme="majorHAnsi" w:hAnsiTheme="majorHAnsi"/>
          <w:i/>
          <w:iCs/>
          <w:color w:val="808080" w:themeColor="background1" w:themeShade="80"/>
        </w:rPr>
        <w:t>IACHR Welcomes Arrest of Individuals Accused of Forced Disappearance and Crimes against Humanity in Guatemala,</w:t>
      </w:r>
      <w:r w:rsidRPr="001944CF">
        <w:rPr>
          <w:rFonts w:asciiTheme="majorHAnsi" w:hAnsiTheme="majorHAnsi"/>
          <w:color w:val="808080" w:themeColor="background1" w:themeShade="80"/>
        </w:rPr>
        <w:t xml:space="preserve"> January 13, 2015. Available online: </w:t>
      </w:r>
      <w:hyperlink r:id="rId58" w:history="1">
        <w:r w:rsidRPr="001944CF">
          <w:rPr>
            <w:rStyle w:val="Hyperlink"/>
            <w:rFonts w:asciiTheme="majorHAnsi" w:hAnsiTheme="majorHAnsi"/>
            <w:color w:val="808080" w:themeColor="background1" w:themeShade="80"/>
          </w:rPr>
          <w:t>http://www.oas.org/en/iachr/media_center/PReleases/2016/001.asp</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w:t>
      </w:r>
    </w:p>
  </w:footnote>
  <w:footnote w:id="111">
    <w:p w14:paraId="60460DA9" w14:textId="10AFC55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Justice Monitor, CREOMPAZ Hearings Conclude; Tribunal to Determine if Case Goes to trial, June 7, 2016. Available online: </w:t>
      </w:r>
      <w:hyperlink r:id="rId59" w:history="1">
        <w:r w:rsidRPr="001944CF">
          <w:rPr>
            <w:rStyle w:val="Hyperlink"/>
            <w:rFonts w:asciiTheme="majorHAnsi" w:hAnsiTheme="majorHAnsi"/>
            <w:color w:val="808080" w:themeColor="background1" w:themeShade="80"/>
          </w:rPr>
          <w:t>https://www.ijmonitor.org/2016/06/creompaz-hearings-conclude-tribunal-to-determine-if-case-goes-to-trial/</w:t>
        </w:r>
      </w:hyperlink>
      <w:r w:rsidRPr="001944CF">
        <w:rPr>
          <w:rFonts w:asciiTheme="majorHAnsi" w:hAnsiTheme="majorHAnsi"/>
          <w:color w:val="808080" w:themeColor="background1" w:themeShade="80"/>
        </w:rPr>
        <w:t xml:space="preserve">; NISGUA, </w:t>
      </w:r>
      <w:r w:rsidRPr="001944CF">
        <w:rPr>
          <w:rFonts w:asciiTheme="majorHAnsi" w:hAnsiTheme="majorHAnsi"/>
          <w:i/>
          <w:iCs/>
          <w:color w:val="808080" w:themeColor="background1" w:themeShade="80"/>
        </w:rPr>
        <w:t>CREOMPAZ:</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Eleven retired military officers indicted on charges of crimes against humanity</w:t>
      </w:r>
      <w:r w:rsidRPr="001944CF">
        <w:rPr>
          <w:rFonts w:asciiTheme="majorHAnsi" w:hAnsiTheme="majorHAnsi"/>
          <w:color w:val="808080" w:themeColor="background1" w:themeShade="80"/>
        </w:rPr>
        <w:t xml:space="preserve">, January 19, 2016. Available online: </w:t>
      </w:r>
      <w:hyperlink r:id="rId60" w:history="1">
        <w:r w:rsidRPr="001944CF">
          <w:rPr>
            <w:rStyle w:val="Hyperlink"/>
            <w:rFonts w:asciiTheme="majorHAnsi" w:hAnsiTheme="majorHAnsi"/>
            <w:color w:val="808080" w:themeColor="background1" w:themeShade="80"/>
          </w:rPr>
          <w:t>http://nisgua.org/creompaz-eleven-retired-military-officers-indicted-on-charges-of-crimes-against-humanity/</w:t>
        </w:r>
      </w:hyperlink>
      <w:r w:rsidRPr="001944CF">
        <w:rPr>
          <w:rFonts w:asciiTheme="majorHAnsi" w:hAnsiTheme="majorHAnsi"/>
          <w:color w:val="808080" w:themeColor="background1" w:themeShade="80"/>
        </w:rPr>
        <w:t>.</w:t>
      </w:r>
    </w:p>
  </w:footnote>
  <w:footnote w:id="112">
    <w:p w14:paraId="7A86E601" w14:textId="423168B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Mexico, OEA/Ser.L/V/II. Doc. 44/15, December 31, 2015, para. 184; I/A Court H.R., </w:t>
      </w:r>
      <w:r w:rsidRPr="001944CF">
        <w:rPr>
          <w:rFonts w:asciiTheme="majorHAnsi" w:hAnsiTheme="majorHAnsi"/>
          <w:i/>
          <w:iCs/>
          <w:color w:val="808080" w:themeColor="background1" w:themeShade="80"/>
        </w:rPr>
        <w:t>González et al case (“Cotton Field”)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Mexico,</w:t>
      </w:r>
      <w:r w:rsidRPr="001944CF">
        <w:rPr>
          <w:rFonts w:asciiTheme="majorHAnsi" w:hAnsiTheme="majorHAnsi"/>
          <w:color w:val="808080" w:themeColor="background1" w:themeShade="80"/>
        </w:rPr>
        <w:t xml:space="preserve"> Preliminary Objection, Merits, Reparations and Costs, Judgment of November 16, 2009, Series C No. 205, para. 283. </w:t>
      </w:r>
    </w:p>
  </w:footnote>
  <w:footnote w:id="113">
    <w:p w14:paraId="2432BDDC" w14:textId="7C8B792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61" w:history="1">
        <w:r w:rsidRPr="001944CF">
          <w:rPr>
            <w:rStyle w:val="Hyperlink"/>
            <w:rFonts w:asciiTheme="majorHAnsi" w:hAnsiTheme="majorHAnsi"/>
            <w:i/>
            <w:iCs/>
            <w:color w:val="808080" w:themeColor="background1" w:themeShade="80"/>
            <w:u w:val="none"/>
          </w:rPr>
          <w:t>Guarantees for the Independence of Justice Operators:</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i/>
            <w:iCs/>
            <w:color w:val="808080" w:themeColor="background1" w:themeShade="80"/>
            <w:u w:val="none"/>
          </w:rPr>
          <w:t>Towards Strengthening Access to Justice and the Rule of Law in the Americas</w:t>
        </w:r>
      </w:hyperlink>
      <w:r w:rsidRPr="001944CF">
        <w:rPr>
          <w:rFonts w:asciiTheme="majorHAnsi" w:hAnsiTheme="majorHAnsi"/>
          <w:color w:val="808080" w:themeColor="background1" w:themeShade="80"/>
        </w:rPr>
        <w:t>, OEA/Ser.L/V/II. Doc. 44, adopted on December 5, 2013.</w:t>
      </w:r>
    </w:p>
  </w:footnote>
  <w:footnote w:id="114">
    <w:p w14:paraId="49AA6063" w14:textId="0DB4390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eastAsia="Times New Roman"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press release 41/14,</w:t>
      </w:r>
      <w:r w:rsidRPr="001944CF">
        <w:rPr>
          <w:rFonts w:asciiTheme="majorHAnsi" w:eastAsia="Times New Roman" w:hAnsiTheme="majorHAnsi"/>
          <w:color w:val="808080" w:themeColor="background1" w:themeShade="80"/>
        </w:rPr>
        <w:t xml:space="preserve"> </w:t>
      </w:r>
      <w:hyperlink r:id="rId62" w:history="1">
        <w:r w:rsidRPr="001944CF">
          <w:rPr>
            <w:rStyle w:val="Hyperlink"/>
            <w:rFonts w:asciiTheme="majorHAnsi" w:hAnsiTheme="majorHAnsi"/>
            <w:color w:val="808080" w:themeColor="background1" w:themeShade="80"/>
          </w:rPr>
          <w:t>IACHR Urges Guatemala to Ensure Transparency and Meet Minimum Standards in the Appointment of Justice Operators</w:t>
        </w:r>
        <w:r w:rsidRPr="001944CF">
          <w:rPr>
            <w:rStyle w:val="Hyperlink"/>
            <w:rFonts w:asciiTheme="majorHAnsi" w:hAnsiTheme="majorHAnsi"/>
            <w:color w:val="808080" w:themeColor="background1" w:themeShade="80"/>
            <w:u w:val="none"/>
          </w:rPr>
          <w:t xml:space="preserve">. </w:t>
        </w:r>
      </w:hyperlink>
      <w:r w:rsidRPr="001944CF">
        <w:rPr>
          <w:rFonts w:asciiTheme="majorHAnsi" w:hAnsiTheme="majorHAnsi"/>
          <w:color w:val="808080" w:themeColor="background1" w:themeShade="80"/>
        </w:rPr>
        <w:t xml:space="preserve">Washington, D.C., April 21, 2014. Press release 108/14, </w:t>
      </w:r>
      <w:hyperlink r:id="rId63" w:history="1">
        <w:r w:rsidRPr="001944CF">
          <w:rPr>
            <w:rStyle w:val="Hyperlink"/>
            <w:rFonts w:asciiTheme="majorHAnsi" w:hAnsiTheme="majorHAnsi"/>
            <w:color w:val="808080" w:themeColor="background1" w:themeShade="80"/>
          </w:rPr>
          <w:t>IACHR Reiterates its Concern about the Processes to Select and Appoint Judges to Guatemala’s Appeals Court and Supreme Court</w:t>
        </w:r>
        <w:r w:rsidRPr="001944CF">
          <w:rPr>
            <w:rStyle w:val="Hyperlink"/>
            <w:rFonts w:asciiTheme="majorHAnsi" w:hAnsiTheme="majorHAnsi"/>
            <w:color w:val="808080" w:themeColor="background1" w:themeShade="80"/>
            <w:u w:val="none"/>
          </w:rPr>
          <w:t>.</w:t>
        </w:r>
      </w:hyperlink>
      <w:r w:rsidRPr="001944CF">
        <w:rPr>
          <w:rFonts w:asciiTheme="majorHAnsi" w:hAnsiTheme="majorHAnsi"/>
          <w:color w:val="808080" w:themeColor="background1" w:themeShade="80"/>
        </w:rPr>
        <w:t xml:space="preserve"> Washington, D.C., September 27, 2014.</w:t>
      </w:r>
    </w:p>
  </w:footnote>
  <w:footnote w:id="115">
    <w:p w14:paraId="28408A09" w14:textId="55FD2D57"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Style w:val="FootnoteReference"/>
          <w:rFonts w:asciiTheme="majorHAnsi" w:hAnsiTheme="majorHAnsi"/>
          <w:color w:val="808080" w:themeColor="background1" w:themeShade="80"/>
          <w:sz w:val="16"/>
          <w:szCs w:val="16"/>
        </w:rPr>
        <w:tab/>
      </w:r>
      <w:r w:rsidRPr="001944CF">
        <w:rPr>
          <w:rFonts w:asciiTheme="majorHAnsi" w:hAnsiTheme="majorHAnsi"/>
          <w:color w:val="808080" w:themeColor="background1" w:themeShade="80"/>
          <w:sz w:val="16"/>
          <w:szCs w:val="16"/>
        </w:rPr>
        <w:t xml:space="preserve">IACHR, </w:t>
      </w:r>
      <w:hyperlink r:id="rId64" w:history="1">
        <w:r w:rsidRPr="001944CF">
          <w:rPr>
            <w:rStyle w:val="Hyperlink"/>
            <w:rFonts w:asciiTheme="majorHAnsi" w:hAnsiTheme="majorHAnsi"/>
            <w:i/>
            <w:iCs/>
            <w:color w:val="808080" w:themeColor="background1" w:themeShade="80"/>
            <w:sz w:val="16"/>
            <w:szCs w:val="16"/>
            <w:u w:val="none"/>
          </w:rPr>
          <w:t>Guarantees for the Independence of Justice Operators:</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i/>
            <w:iCs/>
            <w:color w:val="808080" w:themeColor="background1" w:themeShade="80"/>
            <w:sz w:val="16"/>
            <w:szCs w:val="16"/>
            <w:u w:val="none"/>
          </w:rPr>
          <w:t>Towards Strengthening Access to Justice and the Rule of Law in the Americas</w:t>
        </w:r>
      </w:hyperlink>
      <w:r w:rsidRPr="001944CF">
        <w:rPr>
          <w:rFonts w:asciiTheme="majorHAnsi" w:hAnsiTheme="majorHAnsi"/>
          <w:color w:val="808080" w:themeColor="background1" w:themeShade="80"/>
          <w:sz w:val="16"/>
          <w:szCs w:val="16"/>
        </w:rPr>
        <w:t>, OEA/Ser.L/V/II. Doc. 44, adopted on December 5, 2013, para. 34.</w:t>
      </w:r>
    </w:p>
  </w:footnote>
  <w:footnote w:id="116">
    <w:p w14:paraId="4EFC4D77" w14:textId="6CC1545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Guatemala: </w:t>
      </w:r>
      <w:r w:rsidRPr="001944CF">
        <w:rPr>
          <w:rFonts w:asciiTheme="majorHAnsi" w:hAnsiTheme="majorHAnsi"/>
          <w:i/>
          <w:iCs/>
          <w:color w:val="808080" w:themeColor="background1" w:themeShade="80"/>
        </w:rPr>
        <w:t>Diversity, Inequality and Exclusion</w:t>
      </w:r>
      <w:r w:rsidRPr="001944CF">
        <w:rPr>
          <w:rFonts w:asciiTheme="majorHAnsi" w:hAnsiTheme="majorHAnsi"/>
          <w:color w:val="808080" w:themeColor="background1" w:themeShade="80"/>
        </w:rPr>
        <w:t>, OEA/Ser.L/V/II.Doc. 43/15, December 30, 2015, para. 372. IACHR, Hearing on the "Situation of Judicial Independence in Guatemala”,  153rd regular session; IACHR, Hearing on the "Process for Appointing Justice Operators in Guatemala, 150th regular session. IACHR, 164th regular session.</w:t>
      </w:r>
    </w:p>
  </w:footnote>
  <w:footnote w:id="117">
    <w:p w14:paraId="4034B209" w14:textId="4FCDA9D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Nominations Committees are governed by the Political Constitution of the Republic of Guatemala and the Nominating Commissions Law (Legislative Decree No. 19-2009).  IACHR, </w:t>
      </w:r>
      <w:r w:rsidRPr="001944CF">
        <w:rPr>
          <w:rFonts w:asciiTheme="majorHAnsi" w:hAnsiTheme="majorHAnsi"/>
          <w:i/>
          <w:iCs/>
          <w:color w:val="808080" w:themeColor="background1" w:themeShade="80"/>
        </w:rPr>
        <w:t>Situation of Human Rights in Guatemala:</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Diversity, Inequality and Exclusion</w:t>
      </w:r>
      <w:r w:rsidRPr="001944CF">
        <w:rPr>
          <w:rFonts w:asciiTheme="majorHAnsi" w:hAnsiTheme="majorHAnsi"/>
          <w:color w:val="808080" w:themeColor="background1" w:themeShade="80"/>
        </w:rPr>
        <w:t>, OEA/Ser.L/V/II.Doc. 43/15, December 30, 2015, para. 372.</w:t>
      </w:r>
    </w:p>
  </w:footnote>
  <w:footnote w:id="118">
    <w:p w14:paraId="409EDB03" w14:textId="1FF91F9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Legislative Decree No. 19-2009, Nominating Commissions Law, Art. 1. Nominating commissions also put forward lists of candidates for the appointment of members of the Supreme Electoral Tribunal, the Director of the Public Criminal Defender Institute, the Superintendent of Tax Administration, the Superintendent of Banks, and others.</w:t>
      </w:r>
    </w:p>
  </w:footnote>
  <w:footnote w:id="119">
    <w:p w14:paraId="2944D077" w14:textId="333D4A6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Art. 2.</w:t>
      </w:r>
    </w:p>
  </w:footnote>
  <w:footnote w:id="120">
    <w:p w14:paraId="4FFE3EEB" w14:textId="515B4E5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121">
    <w:p w14:paraId="67C0A778" w14:textId="36DA51E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civil society and other organizations.</w:t>
      </w:r>
    </w:p>
  </w:footnote>
  <w:footnote w:id="122">
    <w:p w14:paraId="64E58839" w14:textId="7084D80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123">
    <w:p w14:paraId="54A7E68C" w14:textId="33600E23"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eastAsia="Times New Roman" w:hAnsiTheme="majorHAnsi"/>
          <w:color w:val="808080" w:themeColor="background1" w:themeShade="80"/>
          <w:sz w:val="16"/>
          <w:szCs w:val="16"/>
        </w:rPr>
        <w:footnoteRef/>
      </w:r>
      <w:r w:rsidRPr="001944CF">
        <w:rPr>
          <w:rFonts w:asciiTheme="majorHAnsi" w:eastAsia="Times New Roman" w:hAnsiTheme="majorHAnsi"/>
          <w:color w:val="808080" w:themeColor="background1" w:themeShade="80"/>
          <w:sz w:val="16"/>
          <w:szCs w:val="16"/>
        </w:rPr>
        <w:t xml:space="preserve"> </w:t>
      </w:r>
      <w:r w:rsidRPr="001944CF">
        <w:rPr>
          <w:rFonts w:asciiTheme="majorHAnsi" w:eastAsia="Times New Roman" w:hAnsiTheme="majorHAnsi"/>
          <w:color w:val="808080" w:themeColor="background1" w:themeShade="80"/>
          <w:sz w:val="16"/>
          <w:szCs w:val="16"/>
        </w:rPr>
        <w:tab/>
        <w:t xml:space="preserve">The IACHR first expressed concern about the selection and appointment procedures for judges and other justice operators in Guatemala early in 2014. The IACHR underscored that the goal of any process to select and appoint justice operators must be to select candidates based on personal merit and professional qualifications, as well as on the particular and specific nature of the functions that they would perform.  IACHR, Press release 41/14, </w:t>
      </w:r>
      <w:hyperlink r:id="rId65" w:history="1">
        <w:r w:rsidRPr="001944CF">
          <w:rPr>
            <w:rStyle w:val="Hyperlink"/>
            <w:rFonts w:asciiTheme="majorHAnsi" w:eastAsia="Times New Roman" w:hAnsiTheme="majorHAnsi"/>
            <w:color w:val="808080" w:themeColor="background1" w:themeShade="80"/>
            <w:sz w:val="16"/>
            <w:szCs w:val="16"/>
          </w:rPr>
          <w:t>IACHR Urges Guatemala to Ensure Transparency and Meet Minimum Standards in the Appointment of Justice Operators</w:t>
        </w:r>
        <w:r w:rsidRPr="001944CF">
          <w:rPr>
            <w:rStyle w:val="Hyperlink"/>
            <w:rFonts w:asciiTheme="majorHAnsi" w:eastAsia="Times New Roman" w:hAnsiTheme="majorHAnsi"/>
            <w:color w:val="808080" w:themeColor="background1" w:themeShade="80"/>
            <w:sz w:val="16"/>
            <w:szCs w:val="16"/>
            <w:u w:val="none"/>
          </w:rPr>
          <w:t xml:space="preserve">. </w:t>
        </w:r>
      </w:hyperlink>
      <w:r w:rsidRPr="001944CF">
        <w:rPr>
          <w:rFonts w:asciiTheme="majorHAnsi" w:eastAsia="Times New Roman" w:hAnsiTheme="majorHAnsi"/>
          <w:color w:val="808080" w:themeColor="background1" w:themeShade="80"/>
          <w:sz w:val="16"/>
          <w:szCs w:val="16"/>
        </w:rPr>
        <w:t xml:space="preserve">Washington, D.C., April 21, 2014. To that end, it is essential to put in place objective predetermined criteria for assessing and grading candidates in order to minimize discretionary decisions on the part of individuals or bodies involved in the selection process. The State should also introduce safeguards to prevent selection processes being conducted on the basis of private or partisan interests that could erode the independence of the judiciary. IACHR, </w:t>
      </w:r>
      <w:hyperlink r:id="rId66" w:history="1">
        <w:r w:rsidRPr="001944CF">
          <w:rPr>
            <w:rStyle w:val="Hyperlink"/>
            <w:rFonts w:asciiTheme="majorHAnsi" w:eastAsia="Times New Roman" w:hAnsiTheme="majorHAnsi"/>
            <w:i/>
            <w:iCs/>
            <w:color w:val="808080" w:themeColor="background1" w:themeShade="80"/>
            <w:sz w:val="16"/>
            <w:szCs w:val="16"/>
            <w:u w:val="none"/>
          </w:rPr>
          <w:t>Guarantees for the Independence of Justice Operators:</w:t>
        </w:r>
        <w:r w:rsidRPr="001944CF">
          <w:rPr>
            <w:rStyle w:val="Hyperlink"/>
            <w:rFonts w:asciiTheme="majorHAnsi" w:eastAsia="Times New Roman" w:hAnsiTheme="majorHAnsi"/>
            <w:color w:val="808080" w:themeColor="background1" w:themeShade="80"/>
            <w:sz w:val="16"/>
            <w:szCs w:val="16"/>
            <w:u w:val="none"/>
          </w:rPr>
          <w:t xml:space="preserve"> </w:t>
        </w:r>
        <w:r w:rsidRPr="001944CF">
          <w:rPr>
            <w:rStyle w:val="Hyperlink"/>
            <w:rFonts w:asciiTheme="majorHAnsi" w:eastAsia="Times New Roman" w:hAnsiTheme="majorHAnsi"/>
            <w:i/>
            <w:iCs/>
            <w:color w:val="808080" w:themeColor="background1" w:themeShade="80"/>
            <w:sz w:val="16"/>
            <w:szCs w:val="16"/>
            <w:u w:val="none"/>
          </w:rPr>
          <w:t>Towards Strengthening Access to Justice and the Rule of Law in the Americas</w:t>
        </w:r>
      </w:hyperlink>
      <w:r w:rsidRPr="001944CF">
        <w:rPr>
          <w:rFonts w:asciiTheme="majorHAnsi" w:eastAsia="Times New Roman" w:hAnsiTheme="majorHAnsi"/>
          <w:color w:val="808080" w:themeColor="background1" w:themeShade="80"/>
          <w:sz w:val="16"/>
          <w:szCs w:val="16"/>
        </w:rPr>
        <w:t>, OEA/Ser.L/V/II. Doc. 44, adopted on December 5, 2013.</w:t>
      </w:r>
    </w:p>
  </w:footnote>
  <w:footnote w:id="124">
    <w:p w14:paraId="48445BA8" w14:textId="070B11C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Fundación Myrna Mack, </w:t>
      </w:r>
      <w:r w:rsidRPr="001944CF">
        <w:rPr>
          <w:rFonts w:asciiTheme="majorHAnsi" w:hAnsiTheme="majorHAnsi"/>
          <w:i/>
          <w:iCs/>
          <w:color w:val="808080" w:themeColor="background1" w:themeShade="80"/>
          <w:lang w:val="es-MX"/>
        </w:rPr>
        <w:t>Convergencia por los Derechos Humanos.</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Alternative Report for the Third Cycle of the Universal Periodic Review, March 29, 2017.</w:t>
      </w:r>
    </w:p>
  </w:footnote>
  <w:footnote w:id="125">
    <w:p w14:paraId="017D0ADC" w14:textId="4EB600E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 Release No. 030/16, </w:t>
      </w:r>
      <w:hyperlink r:id="rId67" w:history="1">
        <w:r w:rsidRPr="001944CF">
          <w:rPr>
            <w:rStyle w:val="Hyperlink"/>
            <w:rFonts w:asciiTheme="majorHAnsi" w:hAnsiTheme="majorHAnsi"/>
            <w:color w:val="808080" w:themeColor="background1" w:themeShade="80"/>
          </w:rPr>
          <w:t>IACHR Calls on States in the Region to Strengthen Judicial Independence</w:t>
        </w:r>
      </w:hyperlink>
      <w:r w:rsidRPr="001944CF">
        <w:rPr>
          <w:rFonts w:asciiTheme="majorHAnsi" w:hAnsiTheme="majorHAnsi"/>
          <w:color w:val="808080" w:themeColor="background1" w:themeShade="80"/>
        </w:rPr>
        <w:t xml:space="preserve">, March 7, 2016. </w:t>
      </w:r>
    </w:p>
  </w:footnote>
  <w:footnote w:id="126">
    <w:p w14:paraId="351650B2" w14:textId="374E1A5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United Nations High Commissioner for Human Rights, </w:t>
      </w:r>
      <w:hyperlink r:id="rId68" w:history="1">
        <w:r w:rsidRPr="001944CF">
          <w:rPr>
            <w:rStyle w:val="Hyperlink"/>
            <w:rFonts w:asciiTheme="majorHAnsi" w:hAnsiTheme="majorHAnsi"/>
            <w:color w:val="808080" w:themeColor="background1" w:themeShade="80"/>
            <w:u w:val="none"/>
            <w:lang w:val="es-MX"/>
          </w:rPr>
          <w:t xml:space="preserve">Guatemala: </w:t>
        </w:r>
        <w:r w:rsidRPr="001944CF">
          <w:rPr>
            <w:rStyle w:val="Hyperlink"/>
            <w:rFonts w:asciiTheme="majorHAnsi" w:hAnsiTheme="majorHAnsi"/>
            <w:i/>
            <w:iCs/>
            <w:color w:val="808080" w:themeColor="background1" w:themeShade="80"/>
            <w:lang w:val="es-MX"/>
          </w:rPr>
          <w:t>“Me preocupa el proceso de elección de magistrados”, advierte experta de la ONU</w:t>
        </w:r>
      </w:hyperlink>
      <w:r w:rsidRPr="001944CF">
        <w:rPr>
          <w:rFonts w:asciiTheme="majorHAnsi" w:hAnsiTheme="majorHAnsi"/>
          <w:color w:val="808080" w:themeColor="background1" w:themeShade="80"/>
          <w:lang w:val="es-MX"/>
        </w:rPr>
        <w:t xml:space="preserve">, March 14, 2016. </w:t>
      </w:r>
    </w:p>
  </w:footnote>
  <w:footnote w:id="127">
    <w:p w14:paraId="34228E0A" w14:textId="4A55C68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Political Constitution of the Republic of Guatemala, Art. 113 (Right to Apply for Public Employment or Office. Guatemalans have the right to apply for public employment or office and, in being so granted, to have only their capacity, suitability, and honesty taken into account.).</w:t>
      </w:r>
    </w:p>
  </w:footnote>
  <w:footnote w:id="128">
    <w:p w14:paraId="2CAFDEA7" w14:textId="57AD64E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civil society and other organizations.</w:t>
      </w:r>
    </w:p>
  </w:footnote>
  <w:footnote w:id="129">
    <w:p w14:paraId="71FD73A9" w14:textId="3205FA6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Ninth Report of Activities of the International Commission against Impunity in Guatemala (CICIG), p. 29. Available online (in Spanish): </w:t>
      </w:r>
      <w:hyperlink r:id="rId69" w:history="1">
        <w:r w:rsidRPr="001944CF">
          <w:rPr>
            <w:rStyle w:val="Hyperlink"/>
            <w:rFonts w:asciiTheme="majorHAnsi" w:hAnsiTheme="majorHAnsi"/>
            <w:color w:val="808080" w:themeColor="background1" w:themeShade="80"/>
          </w:rPr>
          <w:t>http://www.cicig.org/uploads/img/2016/others/COM_087_20161124_INFORME_ANUAL_2016.pdf</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w:t>
      </w:r>
    </w:p>
  </w:footnote>
  <w:footnote w:id="130">
    <w:p w14:paraId="234B0B6D" w14:textId="2A63B8C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Judicial Branch, </w:t>
      </w:r>
      <w:r w:rsidRPr="001944CF">
        <w:rPr>
          <w:rFonts w:asciiTheme="majorHAnsi" w:hAnsiTheme="majorHAnsi"/>
          <w:i/>
          <w:iCs/>
          <w:color w:val="808080" w:themeColor="background1" w:themeShade="80"/>
          <w:lang w:val="es-MX"/>
        </w:rPr>
        <w:t>Presentan propuesta de reforma constitucional en materia de justicia</w:t>
      </w:r>
      <w:r w:rsidRPr="001944CF">
        <w:rPr>
          <w:rFonts w:asciiTheme="majorHAnsi" w:hAnsiTheme="majorHAnsi"/>
          <w:color w:val="808080" w:themeColor="background1" w:themeShade="80"/>
          <w:lang w:val="es-MX"/>
        </w:rPr>
        <w:t xml:space="preserve">, October 6, 2016. </w:t>
      </w:r>
      <w:r w:rsidRPr="001944CF">
        <w:rPr>
          <w:rFonts w:asciiTheme="majorHAnsi" w:hAnsiTheme="majorHAnsi"/>
          <w:color w:val="808080" w:themeColor="background1" w:themeShade="80"/>
        </w:rPr>
        <w:t xml:space="preserve">Available online (in Spanish): </w:t>
      </w:r>
      <w:hyperlink r:id="rId70" w:history="1">
        <w:r w:rsidRPr="001944CF">
          <w:rPr>
            <w:rStyle w:val="Hyperlink"/>
            <w:rFonts w:asciiTheme="majorHAnsi" w:hAnsiTheme="majorHAnsi"/>
            <w:color w:val="808080" w:themeColor="background1" w:themeShade="80"/>
          </w:rPr>
          <w:t>http://www.oj.gob.gt/index.php/publicaciones-oj/419-presentan-propuesta-de-reforma-constitucional-en-materia-de-justicia</w:t>
        </w:r>
      </w:hyperlink>
      <w:r w:rsidRPr="001944CF">
        <w:rPr>
          <w:rFonts w:asciiTheme="majorHAnsi" w:hAnsiTheme="majorHAnsi"/>
          <w:color w:val="808080" w:themeColor="background1" w:themeShade="80"/>
          <w:u w:val="single"/>
        </w:rPr>
        <w:t>.</w:t>
      </w:r>
      <w:r w:rsidRPr="001944CF">
        <w:rPr>
          <w:rFonts w:asciiTheme="majorHAnsi" w:hAnsiTheme="majorHAnsi"/>
          <w:color w:val="808080" w:themeColor="background1" w:themeShade="80"/>
        </w:rPr>
        <w:t xml:space="preserve">  </w:t>
      </w:r>
    </w:p>
  </w:footnote>
  <w:footnote w:id="131">
    <w:p w14:paraId="11021B8F" w14:textId="4EB56E9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civil society and other organizations.</w:t>
      </w:r>
    </w:p>
  </w:footnote>
  <w:footnote w:id="132">
    <w:p w14:paraId="18E7F0F4" w14:textId="2160295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terms of office of the Attorney General and Head of the Public Prosecution Service and the Comptroller General end in 2018.</w:t>
      </w:r>
    </w:p>
  </w:footnote>
  <w:footnote w:id="133">
    <w:p w14:paraId="1513765E" w14:textId="011FA97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of Guatemala, </w:t>
      </w:r>
      <w:hyperlink r:id="rId71" w:history="1">
        <w:r w:rsidRPr="001944CF">
          <w:rPr>
            <w:rStyle w:val="Hyperlink"/>
            <w:rFonts w:asciiTheme="majorHAnsi" w:hAnsiTheme="majorHAnsi"/>
            <w:i/>
            <w:iCs/>
            <w:color w:val="808080" w:themeColor="background1" w:themeShade="80"/>
          </w:rPr>
          <w:t>Informe Anual Circunstanciado 2016</w:t>
        </w:r>
      </w:hyperlink>
      <w:r w:rsidRPr="001944CF">
        <w:rPr>
          <w:rFonts w:asciiTheme="majorHAnsi" w:hAnsiTheme="majorHAnsi"/>
          <w:color w:val="808080" w:themeColor="background1" w:themeShade="80"/>
        </w:rPr>
        <w:t>, p. 37.</w:t>
      </w:r>
    </w:p>
  </w:footnote>
  <w:footnote w:id="134">
    <w:p w14:paraId="26B0B0B1" w14:textId="36B4AAB9"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United Nations, Public Prosecution Service of Guatemala, </w:t>
      </w:r>
      <w:hyperlink r:id="rId72" w:history="1">
        <w:r w:rsidRPr="001944CF">
          <w:rPr>
            <w:rStyle w:val="Hyperlink"/>
            <w:rFonts w:asciiTheme="majorHAnsi" w:hAnsiTheme="majorHAnsi"/>
            <w:i/>
            <w:iCs/>
            <w:color w:val="808080" w:themeColor="background1" w:themeShade="80"/>
            <w:lang w:val="es-MX"/>
          </w:rPr>
          <w:t>MP, CICIG Y OACNUDH saludan aprobación de nueva ley de carrera judicial</w:t>
        </w:r>
      </w:hyperlink>
      <w:r w:rsidRPr="001944CF">
        <w:rPr>
          <w:rFonts w:asciiTheme="majorHAnsi" w:hAnsiTheme="majorHAnsi"/>
          <w:color w:val="808080" w:themeColor="background1" w:themeShade="80"/>
          <w:lang w:val="es-MX"/>
        </w:rPr>
        <w:t xml:space="preserve">, June 29, 2016. </w:t>
      </w:r>
    </w:p>
  </w:footnote>
  <w:footnote w:id="135">
    <w:p w14:paraId="63774726" w14:textId="4C063E0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Office of the High Commissioner also welcomed the introduction in the Congress of Guatemala of the bill for the constitutional reform of the justice system. Office of the United Nations High Commissioner for Human Rights, Statement of the Spokesperson for the UN High Commissioner for Human Rights, Constitutional reform bill in Guatemala and threats to the Attorney General, October 7, 2016. The reform would be in line with what the High Commissioner has recommended to the State of Guatemala in different annual reports, since it would strengthen the institution and its investigations by developing a professional career system based on the principles of suitability, objectivity, transparency, and nondiscrimination, and by establishing objective criteria for the removal of the Attorney General, among other aspects. </w:t>
      </w:r>
      <w:r w:rsidRPr="001944CF">
        <w:rPr>
          <w:rFonts w:asciiTheme="majorHAnsi" w:hAnsiTheme="majorHAnsi"/>
          <w:color w:val="808080" w:themeColor="background1" w:themeShade="80"/>
          <w:lang w:val="es-MX"/>
        </w:rPr>
        <w:t xml:space="preserve">United Nations, </w:t>
      </w:r>
      <w:hyperlink r:id="rId73" w:history="1">
        <w:r w:rsidRPr="001944CF">
          <w:rPr>
            <w:rStyle w:val="Hyperlink"/>
            <w:rFonts w:asciiTheme="majorHAnsi" w:hAnsiTheme="majorHAnsi"/>
            <w:color w:val="808080" w:themeColor="background1" w:themeShade="80"/>
            <w:lang w:val="es-MX"/>
          </w:rPr>
          <w:t>CICIG Y OACNUDH saludan aprobación de reforma a ley orgánica del MP</w:t>
        </w:r>
      </w:hyperlink>
      <w:r w:rsidRPr="001944CF">
        <w:rPr>
          <w:rFonts w:asciiTheme="majorHAnsi" w:hAnsiTheme="majorHAnsi"/>
          <w:color w:val="808080" w:themeColor="background1" w:themeShade="80"/>
          <w:lang w:val="es-MX"/>
        </w:rPr>
        <w:t>, February 23, 2016.</w:t>
      </w:r>
    </w:p>
  </w:footnote>
  <w:footnote w:id="136">
    <w:p w14:paraId="71F15644" w14:textId="2687123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Meetings with the Public Criminal Defendant Institute during the on-site visit, July 31 to August 4, 2017.</w:t>
      </w:r>
    </w:p>
  </w:footnote>
  <w:footnote w:id="137">
    <w:p w14:paraId="52876A42" w14:textId="42C73E2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Situation of Human Rights in Guatemala: Diversity, Inequality and Exclusion, OEA/Ser.L/V/II.Doc. 43/15, December 30, 2015, para. 409.</w:t>
      </w:r>
    </w:p>
  </w:footnote>
  <w:footnote w:id="138">
    <w:p w14:paraId="3004540C" w14:textId="70A950D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for example, I/A Court H.R., </w:t>
      </w:r>
      <w:r w:rsidRPr="001944CF">
        <w:rPr>
          <w:rFonts w:asciiTheme="majorHAnsi" w:hAnsiTheme="majorHAnsi"/>
          <w:i/>
          <w:iCs/>
          <w:color w:val="808080" w:themeColor="background1" w:themeShade="80"/>
        </w:rPr>
        <w:t>Case of Molina Theissen v.</w:t>
      </w:r>
      <w:r w:rsidRPr="001944CF">
        <w:rPr>
          <w:rFonts w:asciiTheme="majorHAnsi" w:hAnsiTheme="majorHAnsi"/>
          <w:color w:val="808080" w:themeColor="background1" w:themeShade="80"/>
        </w:rPr>
        <w:t xml:space="preserve"> Guatemala, Supervision of compliance with judgment. Order of the Inter-American Court of Human Rights, November 16, 2009. I/A Court H.R., </w:t>
      </w:r>
      <w:r w:rsidRPr="001944CF">
        <w:rPr>
          <w:rFonts w:asciiTheme="majorHAnsi" w:hAnsiTheme="majorHAnsi"/>
          <w:i/>
          <w:iCs/>
          <w:color w:val="808080" w:themeColor="background1" w:themeShade="80"/>
        </w:rPr>
        <w:t>Case of Bámaca Velásquez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Supervision of compliance with judgment. Order of the Inter-American Court of Human Rights, November 27, 2009.</w:t>
      </w:r>
    </w:p>
  </w:footnote>
  <w:footnote w:id="139">
    <w:p w14:paraId="311923AE" w14:textId="2A8F11B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vertAlign w:val="superscript"/>
          <w:lang w:val="es-MX"/>
        </w:rPr>
        <w:t xml:space="preserve"> </w:t>
      </w:r>
      <w:r w:rsidRPr="001944CF">
        <w:rPr>
          <w:rFonts w:asciiTheme="majorHAnsi" w:hAnsiTheme="majorHAnsi"/>
          <w:color w:val="808080" w:themeColor="background1" w:themeShade="80"/>
          <w:vertAlign w:val="superscript"/>
          <w:lang w:val="es-MX"/>
        </w:rPr>
        <w:tab/>
      </w:r>
      <w:r w:rsidRPr="001944CF">
        <w:rPr>
          <w:rFonts w:asciiTheme="majorHAnsi" w:hAnsiTheme="majorHAnsi"/>
          <w:color w:val="808080" w:themeColor="background1" w:themeShade="80"/>
          <w:lang w:val="es-MX"/>
        </w:rPr>
        <w:t xml:space="preserve">UN Women, </w:t>
      </w:r>
      <w:hyperlink r:id="rId74" w:history="1">
        <w:r w:rsidRPr="001944CF">
          <w:rPr>
            <w:rStyle w:val="Hyperlink"/>
            <w:rFonts w:asciiTheme="majorHAnsi" w:hAnsiTheme="majorHAnsi"/>
            <w:i/>
            <w:iCs/>
            <w:color w:val="808080" w:themeColor="background1" w:themeShade="80"/>
            <w:lang w:val="es-MX"/>
          </w:rPr>
          <w:t>Estudio de Caso de Guatemala:</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i/>
            <w:iCs/>
            <w:color w:val="808080" w:themeColor="background1" w:themeShade="80"/>
            <w:lang w:val="es-MX"/>
          </w:rPr>
          <w:t>Avances y Retos de la Justicia Especializada</w:t>
        </w:r>
      </w:hyperlink>
      <w:r w:rsidRPr="001944CF">
        <w:rPr>
          <w:rFonts w:asciiTheme="majorHAnsi" w:hAnsiTheme="majorHAnsi"/>
          <w:color w:val="808080" w:themeColor="background1" w:themeShade="80"/>
          <w:lang w:val="es-MX"/>
        </w:rPr>
        <w:t>, 2015.</w:t>
      </w:r>
    </w:p>
  </w:footnote>
  <w:footnote w:id="140">
    <w:p w14:paraId="2C7AA374" w14:textId="4DA64EA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Congress of the Republic of Guatemala, </w:t>
      </w:r>
      <w:hyperlink r:id="rId75" w:history="1">
        <w:r w:rsidRPr="001944CF">
          <w:rPr>
            <w:rStyle w:val="Hyperlink"/>
            <w:rFonts w:asciiTheme="majorHAnsi" w:hAnsiTheme="majorHAnsi"/>
            <w:color w:val="808080" w:themeColor="background1" w:themeShade="80"/>
          </w:rPr>
          <w:t>Decree 97/1996:</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Law to Prevent, Punish and Eradicate Intrafamily Violence</w:t>
        </w:r>
      </w:hyperlink>
      <w:r w:rsidRPr="001944CF">
        <w:rPr>
          <w:rFonts w:asciiTheme="majorHAnsi" w:hAnsiTheme="majorHAnsi"/>
          <w:color w:val="808080" w:themeColor="background1" w:themeShade="80"/>
        </w:rPr>
        <w:t>, 1996.</w:t>
      </w:r>
    </w:p>
  </w:footnote>
  <w:footnote w:id="141">
    <w:p w14:paraId="77DD596D" w14:textId="00241B9D" w:rsidR="001D7FF7" w:rsidRPr="001944CF" w:rsidRDefault="001D7FF7" w:rsidP="006F17D4">
      <w:pPr>
        <w:pStyle w:val="FootnoteText"/>
        <w:rPr>
          <w:rFonts w:asciiTheme="majorHAnsi" w:hAnsiTheme="majorHAnsi"/>
          <w:color w:val="808080" w:themeColor="background1" w:themeShade="80"/>
        </w:rPr>
      </w:pPr>
      <w:r w:rsidRPr="001944CF">
        <w:rPr>
          <w:rFonts w:asciiTheme="majorHAnsi" w:hAnsiTheme="majorHAnsi"/>
          <w:color w:val="808080" w:themeColor="background1" w:themeShade="80"/>
          <w:vertAlign w:val="superscript"/>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Congress of the Republic of Guatemala, </w:t>
      </w:r>
      <w:hyperlink r:id="rId76" w:history="1">
        <w:r w:rsidRPr="001944CF">
          <w:rPr>
            <w:rStyle w:val="Hyperlink"/>
            <w:rFonts w:asciiTheme="majorHAnsi" w:hAnsiTheme="majorHAnsi"/>
            <w:color w:val="808080" w:themeColor="background1" w:themeShade="80"/>
          </w:rPr>
          <w:t>Decree 22/2008, Law against Femicide and Other Forms of Violence against Women</w:t>
        </w:r>
      </w:hyperlink>
      <w:r w:rsidRPr="001944CF">
        <w:rPr>
          <w:rFonts w:asciiTheme="majorHAnsi" w:hAnsiTheme="majorHAnsi"/>
          <w:color w:val="808080" w:themeColor="background1" w:themeShade="80"/>
        </w:rPr>
        <w:t xml:space="preserve">, 2008.  </w:t>
      </w:r>
    </w:p>
  </w:footnote>
  <w:footnote w:id="142">
    <w:p w14:paraId="01BCA4F6" w14:textId="0443F95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vertAlign w:val="superscript"/>
        </w:rPr>
        <w:t xml:space="preserve"> </w:t>
      </w:r>
      <w:r w:rsidRPr="001944CF">
        <w:rPr>
          <w:rFonts w:asciiTheme="majorHAnsi" w:hAnsiTheme="majorHAnsi"/>
          <w:color w:val="808080" w:themeColor="background1" w:themeShade="80"/>
          <w:vertAlign w:val="superscript"/>
        </w:rPr>
        <w:tab/>
      </w:r>
      <w:r w:rsidRPr="001944CF">
        <w:rPr>
          <w:rFonts w:asciiTheme="majorHAnsi" w:hAnsiTheme="majorHAnsi"/>
          <w:color w:val="808080" w:themeColor="background1" w:themeShade="80"/>
        </w:rPr>
        <w:t xml:space="preserve">Congress of the Republic of Guatemala, </w:t>
      </w:r>
      <w:hyperlink r:id="rId77" w:history="1">
        <w:r w:rsidRPr="001944CF">
          <w:rPr>
            <w:rStyle w:val="Hyperlink"/>
            <w:rFonts w:asciiTheme="majorHAnsi" w:hAnsiTheme="majorHAnsi"/>
            <w:color w:val="808080" w:themeColor="background1" w:themeShade="80"/>
          </w:rPr>
          <w:t>Decree 9/20009, Law against Sexual Violence, Exploitation, and Trafficking in Persons</w:t>
        </w:r>
      </w:hyperlink>
      <w:r w:rsidRPr="001944CF">
        <w:rPr>
          <w:rFonts w:asciiTheme="majorHAnsi" w:hAnsiTheme="majorHAnsi"/>
          <w:color w:val="808080" w:themeColor="background1" w:themeShade="80"/>
        </w:rPr>
        <w:t>, 2009.</w:t>
      </w:r>
    </w:p>
  </w:footnote>
  <w:footnote w:id="143">
    <w:p w14:paraId="3D11164F" w14:textId="3EC0D433" w:rsidR="001D7FF7" w:rsidRPr="001944CF" w:rsidRDefault="001D7FF7" w:rsidP="006F17D4">
      <w:pPr>
        <w:pStyle w:val="FootnoteText"/>
        <w:rPr>
          <w:rFonts w:asciiTheme="majorHAnsi" w:hAnsiTheme="majorHAnsi" w:cs="Arial-BoldMT"/>
          <w:bCs/>
          <w:color w:val="808080" w:themeColor="background1" w:themeShade="80"/>
        </w:rPr>
      </w:pPr>
      <w:r w:rsidRPr="001944CF">
        <w:rPr>
          <w:rStyle w:val="FootnoteReference"/>
          <w:rFonts w:asciiTheme="majorHAnsi" w:hAnsiTheme="majorHAnsi" w:cs="Arial-BoldMT"/>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Congress of the Republic of Guatemala,</w:t>
      </w:r>
      <w:r w:rsidRPr="001944CF">
        <w:rPr>
          <w:rFonts w:asciiTheme="majorHAnsi" w:hAnsiTheme="majorHAnsi" w:cs="Arial-BoldMT"/>
          <w:color w:val="808080" w:themeColor="background1" w:themeShade="80"/>
        </w:rPr>
        <w:t xml:space="preserve"> </w:t>
      </w:r>
      <w:hyperlink r:id="rId78" w:history="1">
        <w:r w:rsidRPr="001944CF">
          <w:rPr>
            <w:rStyle w:val="Hyperlink"/>
            <w:rFonts w:asciiTheme="majorHAnsi" w:hAnsiTheme="majorHAnsi" w:cs="Arial-BoldMT"/>
            <w:color w:val="808080" w:themeColor="background1" w:themeShade="80"/>
          </w:rPr>
          <w:t>Decree 9/2016, Law on the Immediate Search for Missing Women</w:t>
        </w:r>
      </w:hyperlink>
      <w:r w:rsidRPr="001944CF">
        <w:rPr>
          <w:rFonts w:asciiTheme="majorHAnsi" w:hAnsiTheme="majorHAnsi" w:cs="Arial-BoldMT"/>
          <w:color w:val="808080" w:themeColor="background1" w:themeShade="80"/>
        </w:rPr>
        <w:t>, 2016.</w:t>
      </w:r>
    </w:p>
  </w:footnote>
  <w:footnote w:id="144">
    <w:p w14:paraId="53919D3B" w14:textId="069971B9" w:rsidR="001D7FF7" w:rsidRPr="001944CF" w:rsidRDefault="001D7FF7" w:rsidP="00B70540">
      <w:pPr>
        <w:spacing w:after="40" w:line="240" w:lineRule="auto"/>
        <w:ind w:left="547" w:hanging="547"/>
        <w:jc w:val="both"/>
        <w:rPr>
          <w:rFonts w:asciiTheme="majorHAnsi" w:eastAsia="MS Mincho" w:hAnsiTheme="majorHAnsi"/>
          <w:color w:val="808080" w:themeColor="background1" w:themeShade="80"/>
          <w:sz w:val="16"/>
          <w:szCs w:val="16"/>
        </w:rPr>
      </w:pPr>
      <w:r w:rsidRPr="001944CF">
        <w:rPr>
          <w:rStyle w:val="FootnoteReference"/>
          <w:rFonts w:asciiTheme="majorHAnsi" w:eastAsia="MS Mincho" w:hAnsiTheme="majorHAnsi"/>
          <w:color w:val="808080" w:themeColor="background1" w:themeShade="80"/>
          <w:sz w:val="16"/>
          <w:szCs w:val="16"/>
        </w:rPr>
        <w:footnoteRef/>
      </w:r>
      <w:r w:rsidRPr="001944CF">
        <w:rPr>
          <w:rFonts w:asciiTheme="majorHAnsi" w:eastAsia="MS Mincho" w:hAnsiTheme="majorHAnsi"/>
          <w:color w:val="808080" w:themeColor="background1" w:themeShade="80"/>
          <w:sz w:val="16"/>
          <w:szCs w:val="16"/>
        </w:rPr>
        <w:t xml:space="preserve"> </w:t>
      </w:r>
      <w:r w:rsidRPr="001944CF">
        <w:rPr>
          <w:rFonts w:asciiTheme="majorHAnsi" w:eastAsia="MS Mincho" w:hAnsiTheme="majorHAnsi"/>
          <w:color w:val="808080" w:themeColor="background1" w:themeShade="80"/>
          <w:sz w:val="16"/>
          <w:szCs w:val="16"/>
        </w:rPr>
        <w:tab/>
        <w:t>Between 2013 and 2017, the Office of the Ombudsperson for Indigenous Women has handled around 58,000 cases nationwide. However, at present the institution’s only extends to 13 of the country's regions (in addition to its headquarters in Guatemala City) and it apparently does not have the resources to encompass every linguistic community in the country owing to budgetary constraints. For example, there are nine linguistic communities in Huehuetenango but only the Mam community is covered. By the same token, in Alta Verapaz, where there are high rates of violence, malnutrition, and poverty specifically affecting indigenous women, it only covers the Q’chi area and lacks the capacity to attend to the P’plchi area. Information received during the on-site visit of the IACHR from July 31 to August 4, 2017, at a meeting with institutions on indigenous women's rights held on August 3, 2017.</w:t>
      </w:r>
    </w:p>
  </w:footnote>
  <w:footnote w:id="145">
    <w:p w14:paraId="1449CAAF" w14:textId="47AC7496"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Communication from the Guatemalan State, Comments of the State of Guatemala on the Preliminary Observations of the IACHR on its on-site visit, August 29, 2017.</w:t>
      </w:r>
    </w:p>
  </w:footnote>
  <w:footnote w:id="146">
    <w:p w14:paraId="6DF164C7" w14:textId="3E01890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147">
    <w:p w14:paraId="60B411E3" w14:textId="5BF329B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Movimiento de Mujeres Indígenas, </w:t>
      </w:r>
      <w:r w:rsidRPr="001944CF">
        <w:rPr>
          <w:rFonts w:asciiTheme="majorHAnsi" w:hAnsiTheme="majorHAnsi"/>
          <w:i/>
          <w:iCs/>
          <w:color w:val="808080" w:themeColor="background1" w:themeShade="80"/>
          <w:lang w:val="es-MX"/>
        </w:rPr>
        <w:t>Situación y Condición de las Mujeres y niñas indígenas en el acceso a la justicia en Guatemala.</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Information received during the on-site visit of the IACHR from July 31 to August 4, 2017.</w:t>
      </w:r>
    </w:p>
  </w:footnote>
  <w:footnote w:id="148">
    <w:p w14:paraId="771F2B5F" w14:textId="1A94063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79" w:history="1">
        <w:r w:rsidRPr="001944CF">
          <w:rPr>
            <w:rStyle w:val="Hyperlink"/>
            <w:rFonts w:asciiTheme="majorHAnsi" w:hAnsiTheme="majorHAnsi"/>
            <w:i/>
            <w:iCs/>
            <w:color w:val="808080" w:themeColor="background1" w:themeShade="80"/>
          </w:rPr>
          <w:t>Situation of Human Rights in Guatemala: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i/>
            <w:iCs/>
            <w:color w:val="808080" w:themeColor="background1" w:themeShade="80"/>
          </w:rPr>
          <w:t>Diversity, Inequality and Exclusion</w:t>
        </w:r>
      </w:hyperlink>
      <w:r w:rsidRPr="001944CF">
        <w:rPr>
          <w:rFonts w:asciiTheme="majorHAnsi" w:hAnsiTheme="majorHAnsi"/>
          <w:color w:val="808080" w:themeColor="background1" w:themeShade="80"/>
        </w:rPr>
        <w:t>, OEA/Ser.L/V/II.Doc. 43/15, 2015, para. 99.</w:t>
      </w:r>
    </w:p>
  </w:footnote>
  <w:footnote w:id="149">
    <w:p w14:paraId="01CFC9A9" w14:textId="3BBFDA7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Executive Decree 442-2007 granted DEMI an independent structure, including a coordination board in charge of choosing the Ombudsperson for Indigenous Women. For that purpose, there was a mechanism by which all indigenous women's organizations at the local and national level were publicly invited to propose to the President of the Republic three suitable candidates whom they considered appropriate in keeping with their worldview, principles, and values. The process afforded broad participation to indigenous women. However, the mechanism was modified by Executive Decree 38-2013, which eliminated the Coordination Board's function of selecting a shortlist of three candidates for the position of Ombudsperson for Indigenous Women, leaving the decision entirely up to the President of the Republic. </w:t>
      </w:r>
      <w:r w:rsidRPr="001944CF">
        <w:rPr>
          <w:rFonts w:asciiTheme="majorHAnsi" w:hAnsiTheme="majorHAnsi"/>
          <w:color w:val="808080" w:themeColor="background1" w:themeShade="80"/>
          <w:lang w:val="es-MX"/>
        </w:rPr>
        <w:t xml:space="preserve">Majawil Q’Ij Nuevo Amanecer, </w:t>
      </w:r>
      <w:r w:rsidRPr="001944CF">
        <w:rPr>
          <w:rFonts w:asciiTheme="majorHAnsi" w:hAnsiTheme="majorHAnsi"/>
          <w:i/>
          <w:iCs/>
          <w:color w:val="808080" w:themeColor="background1" w:themeShade="80"/>
          <w:lang w:val="es-MX"/>
        </w:rPr>
        <w:t>“Violación al Derecho a la participación de las mujeres indígenas en la dirección de asuntos públicos por medio de representantes libremente elegidos y de tener acceso en condiciones de igualdad a las funciones públicas del Estado de Guatemala”.</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Information received during the on-site visit of the IACHR from July 31 to August 4, 2017.</w:t>
      </w:r>
    </w:p>
  </w:footnote>
  <w:footnote w:id="150">
    <w:p w14:paraId="1B780C79" w14:textId="4A2D5A6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Majawil Q’Ij Nuevo Amanecer, “Violación al Derecho a la participación de las mujeres indígenas en la dirección de asuntos públicos por medio de representantes libremente elegidos y de tener acceso en condiciones de igualdad a las funciones públicas del Estado de Guatemala”. </w:t>
      </w:r>
      <w:r w:rsidRPr="001944CF">
        <w:rPr>
          <w:rFonts w:asciiTheme="majorHAnsi" w:hAnsiTheme="majorHAnsi"/>
          <w:color w:val="808080" w:themeColor="background1" w:themeShade="80"/>
        </w:rPr>
        <w:t>Information received during the on-site visit of the IACHR from July 31 to August 4, 2017.</w:t>
      </w:r>
    </w:p>
  </w:footnote>
  <w:footnote w:id="151">
    <w:p w14:paraId="67833AA6" w14:textId="48F10FD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152">
    <w:p w14:paraId="306DE818" w14:textId="62F93AF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Ibid.</w:t>
      </w:r>
    </w:p>
  </w:footnote>
  <w:footnote w:id="153">
    <w:p w14:paraId="036DA8E1" w14:textId="0E58E93C" w:rsidR="001D7FF7" w:rsidRPr="001944CF" w:rsidRDefault="001D7FF7" w:rsidP="00B70540">
      <w:pPr>
        <w:spacing w:after="40" w:line="240" w:lineRule="auto"/>
        <w:ind w:left="547" w:hanging="547"/>
        <w:jc w:val="both"/>
        <w:rPr>
          <w:rFonts w:asciiTheme="majorHAnsi" w:eastAsia="MS Mincho" w:hAnsiTheme="majorHAnsi"/>
          <w:color w:val="808080" w:themeColor="background1" w:themeShade="80"/>
          <w:sz w:val="16"/>
          <w:szCs w:val="16"/>
        </w:rPr>
      </w:pPr>
      <w:r w:rsidRPr="001944CF">
        <w:rPr>
          <w:rStyle w:val="FootnoteReference"/>
          <w:rFonts w:asciiTheme="majorHAnsi" w:eastAsia="MS Mincho" w:hAnsiTheme="majorHAnsi"/>
          <w:color w:val="808080" w:themeColor="background1" w:themeShade="80"/>
          <w:sz w:val="16"/>
          <w:szCs w:val="16"/>
        </w:rPr>
        <w:footnoteRef/>
      </w:r>
      <w:r w:rsidRPr="001944CF">
        <w:rPr>
          <w:rFonts w:asciiTheme="majorHAnsi" w:eastAsia="MS Mincho" w:hAnsiTheme="majorHAnsi"/>
          <w:color w:val="808080" w:themeColor="background1" w:themeShade="80"/>
          <w:sz w:val="16"/>
          <w:szCs w:val="16"/>
        </w:rPr>
        <w:t xml:space="preserve"> </w:t>
      </w:r>
      <w:r w:rsidRPr="001944CF">
        <w:rPr>
          <w:rFonts w:asciiTheme="majorHAnsi" w:eastAsia="MS Mincho" w:hAnsiTheme="majorHAnsi"/>
          <w:color w:val="808080" w:themeColor="background1" w:themeShade="80"/>
          <w:sz w:val="16"/>
          <w:szCs w:val="16"/>
        </w:rPr>
        <w:tab/>
        <w:t>Information received during the on-site visit of the IACHR from July 31 to August 4, 2017, at a meeting with women from indigenous communities in Alta Verapaz during the visit to Cobán on August 1, 2017.</w:t>
      </w:r>
    </w:p>
  </w:footnote>
  <w:footnote w:id="154">
    <w:p w14:paraId="20F47025" w14:textId="03F856C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Situation of Q’eqchí’, Poqomchí and Achí women in the north of the country. Information received during the on-site visit of the IACHR from July 31 to August 4, 2017.  </w:t>
      </w:r>
    </w:p>
  </w:footnote>
  <w:footnote w:id="155">
    <w:p w14:paraId="5C7EFBF4" w14:textId="6926AC3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Movimiento de Mujeres Indígenas,</w:t>
      </w:r>
      <w:r w:rsidRPr="001944CF">
        <w:rPr>
          <w:rFonts w:asciiTheme="majorHAnsi" w:hAnsiTheme="majorHAnsi"/>
          <w:i/>
          <w:iCs/>
          <w:color w:val="808080" w:themeColor="background1" w:themeShade="80"/>
          <w:lang w:val="es-MX"/>
        </w:rPr>
        <w:t xml:space="preserve"> Situación y Condición de las Mujeres y niñas indígenas en el acceso a la justicia en Guatemala.</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Information received during the on-site visit of the IACHR from July 31 to August 4, 2017.</w:t>
      </w:r>
    </w:p>
  </w:footnote>
  <w:footnote w:id="156">
    <w:p w14:paraId="0E94A88B" w14:textId="0BA8DD1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during the on-site visit of the IACHR from July 31 to August 4, 2017, at a meeting with institutions on indigenous women's rights held on August 3, 2017. </w:t>
      </w:r>
    </w:p>
  </w:footnote>
  <w:footnote w:id="157">
    <w:p w14:paraId="78129B5C" w14:textId="6835CC6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158">
    <w:p w14:paraId="7CDF0178" w14:textId="72EECB6D" w:rsidR="001D7FF7" w:rsidRPr="001944CF" w:rsidRDefault="001D7FF7" w:rsidP="00B70540">
      <w:pPr>
        <w:pStyle w:val="Citalarga"/>
        <w:spacing w:after="40"/>
        <w:ind w:left="547" w:right="0" w:hanging="547"/>
        <w:rPr>
          <w:color w:val="808080" w:themeColor="background1" w:themeShade="80"/>
          <w:sz w:val="16"/>
          <w:szCs w:val="16"/>
        </w:rPr>
      </w:pPr>
      <w:r w:rsidRPr="001944CF">
        <w:rPr>
          <w:rStyle w:val="FootnoteTextChar"/>
          <w:rFonts w:asciiTheme="majorHAnsi" w:hAnsiTheme="majorHAnsi"/>
          <w:color w:val="808080" w:themeColor="background1" w:themeShade="80"/>
        </w:rPr>
        <w:footnoteRef/>
      </w:r>
      <w:r w:rsidRPr="001944CF">
        <w:rPr>
          <w:color w:val="808080" w:themeColor="background1" w:themeShade="80"/>
          <w:sz w:val="16"/>
          <w:szCs w:val="16"/>
        </w:rPr>
        <w:t xml:space="preserve"> </w:t>
      </w:r>
      <w:r w:rsidRPr="001944CF">
        <w:rPr>
          <w:color w:val="808080" w:themeColor="background1" w:themeShade="80"/>
          <w:sz w:val="16"/>
          <w:szCs w:val="16"/>
        </w:rPr>
        <w:tab/>
      </w:r>
      <w:r w:rsidRPr="001944CF">
        <w:rPr>
          <w:i/>
          <w:color w:val="808080" w:themeColor="background1" w:themeShade="80"/>
          <w:sz w:val="16"/>
          <w:szCs w:val="16"/>
        </w:rPr>
        <w:t>Ibid</w:t>
      </w:r>
      <w:r w:rsidRPr="001944CF">
        <w:rPr>
          <w:color w:val="808080" w:themeColor="background1" w:themeShade="80"/>
          <w:sz w:val="16"/>
          <w:szCs w:val="16"/>
        </w:rPr>
        <w:t>.</w:t>
      </w:r>
    </w:p>
  </w:footnote>
  <w:footnote w:id="159">
    <w:p w14:paraId="12484BE9" w14:textId="4DFF102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Asociación Femenina para el Desarrollo de Santiago Sacatepéquez (AFEDE), </w:t>
      </w:r>
      <w:r w:rsidRPr="001944CF">
        <w:rPr>
          <w:rFonts w:asciiTheme="majorHAnsi" w:hAnsiTheme="majorHAnsi"/>
          <w:i/>
          <w:iCs/>
          <w:color w:val="808080" w:themeColor="background1" w:themeShade="80"/>
          <w:lang w:val="es-MX"/>
        </w:rPr>
        <w:t>“Violación a los Derechos Culturales de Mujeres Indígenas y Violación al Principio e Igualdad y No Discriminación”.</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Information received during the on-site visit of the IACHR from July 31 to August 4, 2017.</w:t>
      </w:r>
    </w:p>
  </w:footnote>
  <w:footnote w:id="160">
    <w:p w14:paraId="7A94F219" w14:textId="4D1B963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during the on-site visit of the IACHR from July 31 to August 4, 2017. </w:t>
      </w:r>
    </w:p>
  </w:footnote>
  <w:footnote w:id="161">
    <w:p w14:paraId="3F189BB9" w14:textId="365F757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USAID, </w:t>
      </w:r>
      <w:hyperlink r:id="rId80" w:history="1">
        <w:r w:rsidRPr="001944CF">
          <w:rPr>
            <w:rStyle w:val="Hyperlink"/>
            <w:rFonts w:asciiTheme="majorHAnsi" w:hAnsiTheme="majorHAnsi"/>
            <w:color w:val="808080" w:themeColor="background1" w:themeShade="80"/>
          </w:rPr>
          <w:t>Guatemala’s 24-Hour Courts:</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Changing the Way Women Access Justice</w:t>
        </w:r>
      </w:hyperlink>
      <w:r w:rsidRPr="001944CF">
        <w:rPr>
          <w:rFonts w:asciiTheme="majorHAnsi" w:hAnsiTheme="majorHAnsi"/>
          <w:color w:val="808080" w:themeColor="background1" w:themeShade="80"/>
        </w:rPr>
        <w:t xml:space="preserve">, 2012. </w:t>
      </w:r>
    </w:p>
  </w:footnote>
  <w:footnote w:id="162">
    <w:p w14:paraId="2E1ADEC0" w14:textId="072AC8ED" w:rsidR="001D7FF7" w:rsidRPr="001944CF" w:rsidRDefault="001D7FF7" w:rsidP="006F17D4">
      <w:pPr>
        <w:pStyle w:val="FootnoteText"/>
        <w:rPr>
          <w:rStyle w:val="FootnoteReference"/>
          <w:rFonts w:asciiTheme="majorHAnsi" w:hAnsiTheme="majorHAnsi" w:cs="Times New Roman"/>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Style w:val="FootnoteReference"/>
          <w:rFonts w:asciiTheme="majorHAnsi" w:hAnsiTheme="majorHAnsi"/>
          <w:color w:val="808080" w:themeColor="background1" w:themeShade="80"/>
          <w:sz w:val="16"/>
          <w:szCs w:val="16"/>
        </w:rPr>
        <w:tab/>
      </w:r>
      <w:r w:rsidRPr="001944CF">
        <w:rPr>
          <w:rStyle w:val="FootnoteReference"/>
          <w:rFonts w:asciiTheme="majorHAnsi" w:hAnsiTheme="majorHAnsi"/>
          <w:color w:val="808080" w:themeColor="background1" w:themeShade="80"/>
          <w:sz w:val="16"/>
          <w:szCs w:val="16"/>
          <w:vertAlign w:val="baseline"/>
        </w:rPr>
        <w:t xml:space="preserve">Ministry of the Interior, </w:t>
      </w:r>
      <w:hyperlink r:id="rId81" w:history="1">
        <w:r w:rsidRPr="001944CF">
          <w:rPr>
            <w:rStyle w:val="FootnoteReference"/>
            <w:rFonts w:asciiTheme="majorHAnsi" w:hAnsiTheme="majorHAnsi"/>
            <w:i/>
            <w:iCs/>
            <w:color w:val="808080" w:themeColor="background1" w:themeShade="80"/>
            <w:sz w:val="16"/>
            <w:szCs w:val="16"/>
            <w:vertAlign w:val="baseline"/>
          </w:rPr>
          <w:t>Inauguran Fiscalía de delitos contra el Femicidio</w:t>
        </w:r>
      </w:hyperlink>
      <w:r w:rsidRPr="001944CF">
        <w:rPr>
          <w:rStyle w:val="FootnoteReference"/>
          <w:rFonts w:asciiTheme="majorHAnsi" w:hAnsiTheme="majorHAnsi"/>
          <w:color w:val="808080" w:themeColor="background1" w:themeShade="80"/>
          <w:sz w:val="16"/>
          <w:szCs w:val="16"/>
          <w:vertAlign w:val="baseline"/>
        </w:rPr>
        <w:t xml:space="preserve">, November 23, 2016. </w:t>
      </w:r>
    </w:p>
  </w:footnote>
  <w:footnote w:id="163">
    <w:p w14:paraId="57E03DB8" w14:textId="7F6CB1C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Impunity Watch, </w:t>
      </w:r>
      <w:hyperlink r:id="rId82" w:history="1">
        <w:r w:rsidRPr="001944CF">
          <w:rPr>
            <w:rStyle w:val="Hyperlink"/>
            <w:rFonts w:asciiTheme="majorHAnsi" w:hAnsiTheme="majorHAnsi"/>
            <w:i/>
            <w:iCs/>
            <w:color w:val="808080" w:themeColor="background1" w:themeShade="80"/>
            <w:lang w:val="es-MX"/>
          </w:rPr>
          <w:t>¿Dónde está la justicia?</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i/>
            <w:iCs/>
            <w:color w:val="808080" w:themeColor="background1" w:themeShade="80"/>
            <w:lang w:val="es-MX"/>
          </w:rPr>
          <w:t>El continuum de la violencia contra las mujeres</w:t>
        </w:r>
      </w:hyperlink>
      <w:r w:rsidRPr="001944CF">
        <w:rPr>
          <w:rFonts w:asciiTheme="majorHAnsi" w:hAnsiTheme="majorHAnsi"/>
          <w:color w:val="808080" w:themeColor="background1" w:themeShade="80"/>
          <w:lang w:val="es-MX"/>
        </w:rPr>
        <w:t>, 2015.</w:t>
      </w:r>
    </w:p>
  </w:footnote>
  <w:footnote w:id="164">
    <w:p w14:paraId="50ACB11B" w14:textId="39795989"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t xml:space="preserve">IACHR, </w:t>
      </w:r>
      <w:r w:rsidRPr="001944CF">
        <w:rPr>
          <w:rFonts w:asciiTheme="majorHAnsi" w:hAnsiTheme="majorHAnsi"/>
          <w:i/>
          <w:iCs/>
          <w:color w:val="808080" w:themeColor="background1" w:themeShade="80"/>
          <w:sz w:val="16"/>
          <w:szCs w:val="16"/>
          <w:lang w:val="es-MX"/>
        </w:rPr>
        <w:t>Situation of Human Rights in Guatemala:</w:t>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i/>
          <w:iCs/>
          <w:color w:val="808080" w:themeColor="background1" w:themeShade="80"/>
          <w:sz w:val="16"/>
          <w:szCs w:val="16"/>
          <w:lang w:val="es-MX"/>
        </w:rPr>
        <w:t>Diversity, Inequality and Exclusion</w:t>
      </w:r>
      <w:r w:rsidRPr="001944CF">
        <w:rPr>
          <w:rFonts w:asciiTheme="majorHAnsi" w:hAnsiTheme="majorHAnsi"/>
          <w:color w:val="808080" w:themeColor="background1" w:themeShade="80"/>
          <w:sz w:val="16"/>
          <w:szCs w:val="16"/>
          <w:lang w:val="es-MX"/>
        </w:rPr>
        <w:t xml:space="preserve">, OEA/Ser.L/V/II.Doc. 43/15, December 30, 2015, para. </w:t>
      </w:r>
      <w:r w:rsidRPr="001944CF">
        <w:rPr>
          <w:rFonts w:asciiTheme="majorHAnsi" w:hAnsiTheme="majorHAnsi"/>
          <w:color w:val="808080" w:themeColor="background1" w:themeShade="80"/>
          <w:sz w:val="16"/>
          <w:szCs w:val="16"/>
        </w:rPr>
        <w:t xml:space="preserve">70. </w:t>
      </w:r>
      <w:r w:rsidRPr="001944CF">
        <w:rPr>
          <w:rFonts w:asciiTheme="majorHAnsi" w:hAnsiTheme="majorHAnsi"/>
          <w:i/>
          <w:iCs/>
          <w:color w:val="808080" w:themeColor="background1" w:themeShade="80"/>
          <w:sz w:val="16"/>
          <w:szCs w:val="16"/>
        </w:rPr>
        <w:t>Fifth Report on the Situation of Human Rights in Guatemala (2001),</w:t>
      </w:r>
      <w:r w:rsidRPr="001944CF">
        <w:rPr>
          <w:rFonts w:asciiTheme="majorHAnsi" w:hAnsiTheme="majorHAnsi"/>
          <w:color w:val="808080" w:themeColor="background1" w:themeShade="80"/>
          <w:sz w:val="16"/>
          <w:szCs w:val="16"/>
        </w:rPr>
        <w:t xml:space="preserve"> Chapter XI. The Rights of Indigenous Peoples, Introduction, para. 4; and </w:t>
      </w:r>
      <w:r w:rsidRPr="001944CF">
        <w:rPr>
          <w:rFonts w:asciiTheme="majorHAnsi" w:hAnsiTheme="majorHAnsi"/>
          <w:i/>
          <w:iCs/>
          <w:color w:val="808080" w:themeColor="background1" w:themeShade="80"/>
          <w:sz w:val="16"/>
          <w:szCs w:val="16"/>
        </w:rPr>
        <w:t>Justice and Social Inclusion:</w:t>
      </w:r>
      <w:r w:rsidRPr="001944CF">
        <w:rPr>
          <w:rFonts w:asciiTheme="majorHAnsi" w:hAnsiTheme="majorHAnsi"/>
          <w:color w:val="808080" w:themeColor="background1" w:themeShade="80"/>
          <w:sz w:val="16"/>
          <w:szCs w:val="16"/>
        </w:rPr>
        <w:t xml:space="preserve"> </w:t>
      </w:r>
      <w:r w:rsidRPr="001944CF">
        <w:rPr>
          <w:rFonts w:asciiTheme="majorHAnsi" w:hAnsiTheme="majorHAnsi"/>
          <w:i/>
          <w:iCs/>
          <w:color w:val="808080" w:themeColor="background1" w:themeShade="80"/>
          <w:sz w:val="16"/>
          <w:szCs w:val="16"/>
        </w:rPr>
        <w:t>The Challenges of Democracy in Guatemala</w:t>
      </w:r>
      <w:r w:rsidRPr="001944CF">
        <w:rPr>
          <w:rFonts w:asciiTheme="majorHAnsi" w:hAnsiTheme="majorHAnsi"/>
          <w:color w:val="808080" w:themeColor="background1" w:themeShade="80"/>
          <w:sz w:val="16"/>
          <w:szCs w:val="16"/>
        </w:rPr>
        <w:t xml:space="preserve"> (2003), Chapter IV. The Situation of the Indigenous Peoples, A. Introduction, para. 210. </w:t>
      </w:r>
    </w:p>
  </w:footnote>
  <w:footnote w:id="165">
    <w:p w14:paraId="0C133CEB" w14:textId="67E4395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civil society organizations in Alta Verapaz.</w:t>
      </w:r>
    </w:p>
  </w:footnote>
  <w:footnote w:id="166">
    <w:p w14:paraId="5914AA42" w14:textId="591DD0E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Communication from the State of Guatemala, “Submission of the State of Guatemala to Include in the Draft Report on the Human Rights Situtation in Guatemala,” December 22, 2017, p. 27. </w:t>
      </w:r>
    </w:p>
  </w:footnote>
  <w:footnote w:id="167">
    <w:p w14:paraId="08D48A3C" w14:textId="47E5E20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civil society and other organizations.</w:t>
      </w:r>
    </w:p>
  </w:footnote>
  <w:footnote w:id="168">
    <w:p w14:paraId="5CC7D49F" w14:textId="47C411A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w:t>
      </w:r>
      <w:r w:rsidRPr="001944CF">
        <w:rPr>
          <w:rFonts w:asciiTheme="majorHAnsi" w:hAnsiTheme="majorHAnsi"/>
          <w:i/>
          <w:color w:val="808080" w:themeColor="background1" w:themeShade="80"/>
        </w:rPr>
        <w:t>bid.</w:t>
      </w:r>
    </w:p>
  </w:footnote>
  <w:footnote w:id="169">
    <w:p w14:paraId="7934B3C5" w14:textId="422CB261"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IACHR, </w:t>
      </w:r>
      <w:r w:rsidRPr="001944CF">
        <w:rPr>
          <w:rFonts w:asciiTheme="majorHAnsi" w:hAnsiTheme="majorHAnsi"/>
          <w:i/>
          <w:iCs/>
          <w:color w:val="808080" w:themeColor="background1" w:themeShade="80"/>
          <w:sz w:val="16"/>
          <w:szCs w:val="16"/>
        </w:rPr>
        <w:t>Situation of Human Rights in Guatemala:</w:t>
      </w:r>
      <w:r w:rsidRPr="001944CF">
        <w:rPr>
          <w:rFonts w:asciiTheme="majorHAnsi" w:hAnsiTheme="majorHAnsi"/>
          <w:color w:val="808080" w:themeColor="background1" w:themeShade="80"/>
          <w:sz w:val="16"/>
          <w:szCs w:val="16"/>
        </w:rPr>
        <w:t xml:space="preserve"> </w:t>
      </w:r>
      <w:r w:rsidRPr="001944CF">
        <w:rPr>
          <w:rFonts w:asciiTheme="majorHAnsi" w:hAnsiTheme="majorHAnsi"/>
          <w:i/>
          <w:iCs/>
          <w:color w:val="808080" w:themeColor="background1" w:themeShade="80"/>
          <w:sz w:val="16"/>
          <w:szCs w:val="16"/>
        </w:rPr>
        <w:t>Diversity, Inequality and Exclusion</w:t>
      </w:r>
      <w:r w:rsidRPr="001944CF">
        <w:rPr>
          <w:rFonts w:asciiTheme="majorHAnsi" w:hAnsiTheme="majorHAnsi"/>
          <w:color w:val="808080" w:themeColor="background1" w:themeShade="80"/>
          <w:sz w:val="16"/>
          <w:szCs w:val="16"/>
        </w:rPr>
        <w:t>, OEA/Ser.L/V/II.Doc. 43/15, December 30, 2015, para. 104. IACHR</w:t>
      </w:r>
      <w:r w:rsidRPr="001944CF">
        <w:rPr>
          <w:rFonts w:asciiTheme="majorHAnsi" w:hAnsiTheme="majorHAnsi"/>
          <w:i/>
          <w:iCs/>
          <w:color w:val="808080" w:themeColor="background1" w:themeShade="80"/>
          <w:sz w:val="16"/>
          <w:szCs w:val="16"/>
        </w:rPr>
        <w:t>, Justice and Social Inclusion:</w:t>
      </w:r>
      <w:r w:rsidRPr="001944CF">
        <w:rPr>
          <w:rFonts w:asciiTheme="majorHAnsi" w:hAnsiTheme="majorHAnsi"/>
          <w:color w:val="808080" w:themeColor="background1" w:themeShade="80"/>
          <w:sz w:val="16"/>
          <w:szCs w:val="16"/>
        </w:rPr>
        <w:t xml:space="preserve"> </w:t>
      </w:r>
      <w:r w:rsidRPr="001944CF">
        <w:rPr>
          <w:rFonts w:asciiTheme="majorHAnsi" w:hAnsiTheme="majorHAnsi"/>
          <w:i/>
          <w:iCs/>
          <w:color w:val="808080" w:themeColor="background1" w:themeShade="80"/>
          <w:sz w:val="16"/>
          <w:szCs w:val="16"/>
        </w:rPr>
        <w:t>The Challenges of Democracy in Guatemala</w:t>
      </w:r>
      <w:r w:rsidRPr="001944CF">
        <w:rPr>
          <w:rFonts w:asciiTheme="majorHAnsi" w:hAnsiTheme="majorHAnsi"/>
          <w:color w:val="808080" w:themeColor="background1" w:themeShade="80"/>
          <w:sz w:val="16"/>
          <w:szCs w:val="16"/>
        </w:rPr>
        <w:t xml:space="preserve"> (2003), Chapter IV, pars. 234 and 434.</w:t>
      </w:r>
    </w:p>
  </w:footnote>
  <w:footnote w:id="170">
    <w:p w14:paraId="75E18EDD" w14:textId="588D5CC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Constitutional Court, Joined cases 90-2017, 91-2017, and 92-2017, Case of Oxec and Oxec II, May 26, 2017. In reference to Convention 169 on Indigenous and Tribal Peoples in Independent Countries, which Guatemala ratified in 1996.</w:t>
      </w:r>
    </w:p>
  </w:footnote>
  <w:footnote w:id="171">
    <w:p w14:paraId="6932AFB1" w14:textId="225601B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p>
  </w:footnote>
  <w:footnote w:id="172">
    <w:p w14:paraId="588AF96F" w14:textId="3BA77591"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t xml:space="preserve"> </w:t>
      </w: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ab/>
      </w:r>
      <w:r w:rsidRPr="001944CF">
        <w:rPr>
          <w:rFonts w:asciiTheme="majorHAnsi" w:hAnsiTheme="majorHAnsi" w:cs="Calibri"/>
          <w:color w:val="808080" w:themeColor="background1" w:themeShade="80"/>
          <w:sz w:val="16"/>
          <w:szCs w:val="16"/>
        </w:rPr>
        <w:t xml:space="preserve">I/A Court H.R., </w:t>
      </w:r>
      <w:r w:rsidRPr="001944CF">
        <w:rPr>
          <w:rFonts w:asciiTheme="majorHAnsi" w:hAnsiTheme="majorHAnsi" w:cs="Calibri"/>
          <w:i/>
          <w:iCs/>
          <w:color w:val="808080" w:themeColor="background1" w:themeShade="80"/>
          <w:sz w:val="16"/>
          <w:szCs w:val="16"/>
        </w:rPr>
        <w:t>Case of the Kichwa Indigenous People of Sarayaku v.</w:t>
      </w:r>
      <w:r w:rsidRPr="001944CF">
        <w:rPr>
          <w:rFonts w:asciiTheme="majorHAnsi" w:hAnsiTheme="majorHAnsi" w:cs="Calibri"/>
          <w:color w:val="808080" w:themeColor="background1" w:themeShade="80"/>
          <w:sz w:val="16"/>
          <w:szCs w:val="16"/>
        </w:rPr>
        <w:t xml:space="preserve"> </w:t>
      </w:r>
      <w:r w:rsidRPr="001944CF">
        <w:rPr>
          <w:rFonts w:asciiTheme="majorHAnsi" w:hAnsiTheme="majorHAnsi" w:cs="Calibri"/>
          <w:i/>
          <w:iCs/>
          <w:color w:val="808080" w:themeColor="background1" w:themeShade="80"/>
          <w:sz w:val="16"/>
          <w:szCs w:val="16"/>
        </w:rPr>
        <w:t>Ecuador,</w:t>
      </w:r>
      <w:r w:rsidRPr="001944CF">
        <w:rPr>
          <w:rFonts w:asciiTheme="majorHAnsi" w:hAnsiTheme="majorHAnsi" w:cs="Calibri"/>
          <w:color w:val="808080" w:themeColor="background1" w:themeShade="80"/>
          <w:sz w:val="16"/>
          <w:szCs w:val="16"/>
        </w:rPr>
        <w:t xml:space="preserve"> Merits and reparations, Judgment of June 27, 2012, Series C No. 245, para. 187. See also United Nations, </w:t>
      </w:r>
      <w:r w:rsidRPr="001944CF">
        <w:rPr>
          <w:rFonts w:asciiTheme="majorHAnsi" w:hAnsiTheme="majorHAnsi" w:cs="Calibri"/>
          <w:i/>
          <w:iCs/>
          <w:color w:val="808080" w:themeColor="background1" w:themeShade="80"/>
          <w:sz w:val="16"/>
          <w:szCs w:val="16"/>
        </w:rPr>
        <w:t>Report of the Special Rapporteur on the situation of the human rights and fundamental freedoms of indigenous peoples,</w:t>
      </w:r>
      <w:r w:rsidRPr="001944CF">
        <w:rPr>
          <w:rFonts w:asciiTheme="majorHAnsi" w:hAnsiTheme="majorHAnsi" w:cs="Calibri"/>
          <w:color w:val="808080" w:themeColor="background1" w:themeShade="80"/>
          <w:sz w:val="16"/>
          <w:szCs w:val="16"/>
        </w:rPr>
        <w:t xml:space="preserve"> James Anaya, A/HRC/12/34, July 15, 2009, paras. 53 to 55.</w:t>
      </w:r>
    </w:p>
  </w:footnote>
  <w:footnote w:id="173">
    <w:p w14:paraId="668FF2E2" w14:textId="0E7BBA51"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t xml:space="preserve"> </w:t>
      </w: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ab/>
      </w:r>
      <w:r w:rsidRPr="001944CF">
        <w:rPr>
          <w:rFonts w:asciiTheme="majorHAnsi" w:hAnsiTheme="majorHAnsi" w:cs="Calibri"/>
          <w:color w:val="808080" w:themeColor="background1" w:themeShade="80"/>
          <w:sz w:val="16"/>
          <w:szCs w:val="16"/>
        </w:rPr>
        <w:t xml:space="preserve">I/A Court H.R., </w:t>
      </w:r>
      <w:r w:rsidRPr="001944CF">
        <w:rPr>
          <w:rFonts w:asciiTheme="majorHAnsi" w:hAnsiTheme="majorHAnsi" w:cs="Calibri"/>
          <w:i/>
          <w:iCs/>
          <w:color w:val="808080" w:themeColor="background1" w:themeShade="80"/>
          <w:sz w:val="16"/>
          <w:szCs w:val="16"/>
        </w:rPr>
        <w:t>Case of the Kichwa Indigenous People of Sarayaku v.</w:t>
      </w:r>
      <w:r w:rsidRPr="001944CF">
        <w:rPr>
          <w:rFonts w:asciiTheme="majorHAnsi" w:hAnsiTheme="majorHAnsi" w:cs="Calibri"/>
          <w:color w:val="808080" w:themeColor="background1" w:themeShade="80"/>
          <w:sz w:val="16"/>
          <w:szCs w:val="16"/>
        </w:rPr>
        <w:t xml:space="preserve"> </w:t>
      </w:r>
      <w:r w:rsidRPr="001944CF">
        <w:rPr>
          <w:rFonts w:asciiTheme="majorHAnsi" w:hAnsiTheme="majorHAnsi" w:cs="Calibri"/>
          <w:i/>
          <w:iCs/>
          <w:color w:val="808080" w:themeColor="background1" w:themeShade="80"/>
          <w:sz w:val="16"/>
          <w:szCs w:val="16"/>
        </w:rPr>
        <w:t>Ecuador,</w:t>
      </w:r>
      <w:r w:rsidRPr="001944CF">
        <w:rPr>
          <w:rFonts w:asciiTheme="majorHAnsi" w:hAnsiTheme="majorHAnsi" w:cs="Calibri"/>
          <w:color w:val="808080" w:themeColor="background1" w:themeShade="80"/>
          <w:sz w:val="16"/>
          <w:szCs w:val="16"/>
        </w:rPr>
        <w:t xml:space="preserve"> Merits and reparations, Judgment of June 27, 2012, Series C No. 245, para. 181 (emphasis added).</w:t>
      </w:r>
    </w:p>
  </w:footnote>
  <w:footnote w:id="174">
    <w:p w14:paraId="3B65C6F5" w14:textId="65C9EC5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civil society and other organizations. Meeting with the Minister of Labor and Social Security, Aura Leticia Teleguario, and the Permanent Representative of Guatemala to the OAS, Ambassador Gabriel Aguilera, Washington, D.C., August 11, 2017.</w:t>
      </w:r>
    </w:p>
  </w:footnote>
  <w:footnote w:id="175">
    <w:p w14:paraId="4A8E6C56" w14:textId="7046C39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On-site visit to Guatemala, July 31 to August 4, 2017, meetings with indigenous organizations and elders. See also, government of the Republic of Guatemala, </w:t>
      </w:r>
      <w:r w:rsidRPr="001944CF">
        <w:rPr>
          <w:rFonts w:asciiTheme="majorHAnsi" w:hAnsiTheme="majorHAnsi"/>
          <w:i/>
          <w:iCs/>
          <w:color w:val="808080" w:themeColor="background1" w:themeShade="80"/>
        </w:rPr>
        <w:t xml:space="preserve">Guía Operativa para la implementación de la consulta a pueblos indígenas </w:t>
      </w:r>
      <w:r w:rsidRPr="001944CF">
        <w:rPr>
          <w:rFonts w:asciiTheme="majorHAnsi" w:hAnsiTheme="majorHAnsi"/>
          <w:color w:val="808080" w:themeColor="background1" w:themeShade="80"/>
        </w:rPr>
        <w:t xml:space="preserve">[Operating Guidelines on Consultation of Indigenous Peoples], pp. 3-7, which mentions ILO Conv will ention No. 169, rulings of the Constitutional Court, and the International Convention on the Elimination of all Forms of Racial Discrimination; however, it does not mention the binding decisions of the Inter-American Court of Human Rights as the "constitutional framework of rights, or as standards.” </w:t>
      </w:r>
    </w:p>
  </w:footnote>
  <w:footnote w:id="176">
    <w:p w14:paraId="54DEF615" w14:textId="6128AB7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Meeting with indigenous organizations and elders. Information submitted to the IACHR by several indigenous organizations on August 4, 2017.</w:t>
      </w:r>
    </w:p>
  </w:footnote>
  <w:footnote w:id="177">
    <w:p w14:paraId="0893717A" w14:textId="7822912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H.R., </w:t>
      </w:r>
      <w:r w:rsidRPr="001944CF">
        <w:rPr>
          <w:rFonts w:asciiTheme="majorHAnsi" w:hAnsiTheme="majorHAnsi"/>
          <w:i/>
          <w:iCs/>
          <w:color w:val="808080" w:themeColor="background1" w:themeShade="80"/>
        </w:rPr>
        <w:t>Case of the Kichwa Indigenous People of Sarayaku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Ecuador,</w:t>
      </w:r>
      <w:r w:rsidRPr="001944CF">
        <w:rPr>
          <w:rFonts w:asciiTheme="majorHAnsi" w:hAnsiTheme="majorHAnsi"/>
          <w:color w:val="808080" w:themeColor="background1" w:themeShade="80"/>
        </w:rPr>
        <w:t xml:space="preserve"> Merits and Reparations, Judgment of June 27, 2012, Series C No. 245, para. 181.</w:t>
      </w:r>
    </w:p>
  </w:footnote>
  <w:footnote w:id="178">
    <w:p w14:paraId="1B7513BD" w14:textId="5120F34C"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t xml:space="preserve"> </w:t>
      </w: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 xml:space="preserve"> </w:t>
      </w:r>
      <w:r w:rsidRPr="001944CF">
        <w:rPr>
          <w:rStyle w:val="FootnoteReference"/>
          <w:rFonts w:asciiTheme="majorHAnsi" w:hAnsiTheme="majorHAnsi" w:cs="Calibri"/>
          <w:color w:val="808080" w:themeColor="background1" w:themeShade="80"/>
          <w:sz w:val="16"/>
          <w:szCs w:val="16"/>
        </w:rPr>
        <w:tab/>
      </w:r>
      <w:r w:rsidRPr="001944CF">
        <w:rPr>
          <w:rFonts w:asciiTheme="majorHAnsi" w:hAnsiTheme="majorHAnsi" w:cs="Calibri"/>
          <w:i/>
          <w:color w:val="808080" w:themeColor="background1" w:themeShade="80"/>
          <w:sz w:val="16"/>
          <w:szCs w:val="16"/>
        </w:rPr>
        <w:t>Ibid</w:t>
      </w:r>
      <w:r w:rsidRPr="001944CF">
        <w:rPr>
          <w:rFonts w:asciiTheme="majorHAnsi" w:hAnsiTheme="majorHAnsi" w:cs="Calibri"/>
          <w:color w:val="808080" w:themeColor="background1" w:themeShade="80"/>
          <w:sz w:val="16"/>
          <w:szCs w:val="16"/>
        </w:rPr>
        <w:t>.</w:t>
      </w:r>
    </w:p>
  </w:footnote>
  <w:footnote w:id="179">
    <w:p w14:paraId="7582F8E6" w14:textId="3CC0F26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Guatemala: </w:t>
      </w:r>
      <w:r w:rsidRPr="001944CF">
        <w:rPr>
          <w:rFonts w:asciiTheme="majorHAnsi" w:hAnsiTheme="majorHAnsi"/>
          <w:i/>
          <w:iCs/>
          <w:color w:val="808080" w:themeColor="background1" w:themeShade="80"/>
        </w:rPr>
        <w:t>Diversity, Inequality and Exclusion</w:t>
      </w:r>
      <w:r w:rsidRPr="001944CF">
        <w:rPr>
          <w:rFonts w:asciiTheme="majorHAnsi" w:hAnsiTheme="majorHAnsi"/>
          <w:color w:val="808080" w:themeColor="background1" w:themeShade="80"/>
        </w:rPr>
        <w:t>, OEA/Ser.L/V/II.Doc. 43/15, December 30, 2015, para. 495.</w:t>
      </w:r>
    </w:p>
  </w:footnote>
  <w:footnote w:id="180">
    <w:p w14:paraId="3C937515" w14:textId="06E2902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Guatemala City, the IACHR met with indigenous authorities. In Alta Verapaz, the Commission met with indigenous women’s organizations and with community-level indigenous peoples’ rights defense organizations. In San Marcos, the Commission met with indigenous peoples’ rights defenders. </w:t>
      </w:r>
    </w:p>
  </w:footnote>
  <w:footnote w:id="181">
    <w:p w14:paraId="7FFF8542" w14:textId="45025E2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Case of the Saramaka People v. Suriname. Preliminary Objections, Merits, Reparations and Costs. Judgment of November 28, 2007. Series C No. 172, para. 133 to 137. IA Court of HR, Case of the Saramaka People v. Suriname. Interpretation of Judgment of Preliminary Objections, Merits, Reparations and Costs. Judgment of August 12, 2008, Series C No. 185, para. 17. </w:t>
      </w:r>
    </w:p>
  </w:footnote>
  <w:footnote w:id="182">
    <w:p w14:paraId="08A844FE" w14:textId="143EB71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Indigenous peoples in voluntary isolation and initial contact in the Americas: recommendations for full respect for their human rights. OEA/Ser.L/V/II, Doc. 47/13, December 30, 2013, para. 21-22. The Commission previously wrote: “the right to self-determination is directly and profoundly related to the rights [of indigenous peoples] to their lands, territories and natural resources.” Ibid. para. 22. IACHR, Indigenous and Tribal Peoples’ Rights over their Ancestral Lands and Natural Resources.  Norms and Jurisprudence of the Inter-American Human Rights System. OEA/Ser.L/V/II, December 30, 2009, para. 165.  United Nations Declaration on the Rights of Indigenous Peoples, 61/295. A/61/L.67 and Add.1, September 13, 2007, Art. 3, “Indigenous peoples have to the right to self-determination. By virtue of that right they freely determine their political status and freely pursue their economic, social and cultural development.” Also see IACHR, Pleadings before the Inter-American Court of Human Rights in the case of Yakye Axa v. Paraguay. Cited in: IA Court of HR, Case of the Yakye Axa Indigenous Community v. Paraguay. Judgment of June 17, 2005. Series C No. 125, para. 157(c). IA Court of HR, Case of the Xákmok Kásek Indigenous Community v. Paraguay. Merits, Reparations and Costs. Judgment of August 24, 2010, Series C No. 214, pars. 171-182. In the case of the Kichwa Indigenous People of Sarayaku v. Ecuador, the Inter-American Court wrote that “the right to cultural identity is a fundamental right – and one of collective nature – of the indigenous communities, which should be respected in a multicultural pluralistic and democratic society.“ IA Court of HR. Case of the Kichwa Indigenous People of Sarayaku v. Ecuador. Merits and reparations. Judgment of June 27, 2012. Series C No. 245, para. 217. </w:t>
      </w:r>
    </w:p>
  </w:footnote>
  <w:footnote w:id="183">
    <w:p w14:paraId="3A6B7C3F" w14:textId="7FF9264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Case of the Kichwa Indigenous People of Sarayaku v. Ecuador. Merits and Reparations. Judgment of June 27, 2012. Series C No. 245, para. 181. IA Court of HR, Case of the Saramaka People v. Suriname. Preliminary Objections, Merits, Reparations and Costs. Judgment of November 28, 2007. Series C No. 172, pars. 133 to 137. IA Court of HR, Case of the Saramaka People v. Suriname. Interpretation of Judgment of Preliminary Objections, Merits, Reparations and Costs. Judgment of August 12, 2008, Series C No. 185, para. 17.  </w:t>
      </w:r>
    </w:p>
  </w:footnote>
  <w:footnote w:id="184">
    <w:p w14:paraId="488A4AA9" w14:textId="045D079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 p. 28.</w:t>
      </w:r>
    </w:p>
  </w:footnote>
  <w:footnote w:id="185">
    <w:p w14:paraId="7C5F240F" w14:textId="39801C7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Ibid. </w:t>
      </w:r>
    </w:p>
  </w:footnote>
  <w:footnote w:id="186">
    <w:p w14:paraId="68F75E84" w14:textId="02D06FC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on-site visit to Guatemala, July 31 to August 4, 2017, meetings with civil society organizations and international agencies. </w:t>
      </w:r>
    </w:p>
  </w:footnote>
  <w:footnote w:id="187">
    <w:p w14:paraId="74F1CC96" w14:textId="115CCC6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e.g., </w:t>
      </w:r>
      <w:hyperlink r:id="rId83" w:history="1">
        <w:r w:rsidRPr="001944CF">
          <w:rPr>
            <w:rStyle w:val="Hyperlink"/>
            <w:rFonts w:asciiTheme="majorHAnsi" w:hAnsiTheme="majorHAnsi"/>
            <w:color w:val="808080" w:themeColor="background1" w:themeShade="80"/>
          </w:rPr>
          <w:t>http://www.albedrio.org/htm/otrosdocs/comunicados/GAM-SituacionViolenciaNinezAdolescencia 2016.pdf</w:t>
        </w:r>
      </w:hyperlink>
      <w:r w:rsidRPr="001944CF">
        <w:rPr>
          <w:rFonts w:asciiTheme="majorHAnsi" w:hAnsiTheme="majorHAnsi"/>
          <w:color w:val="808080" w:themeColor="background1" w:themeShade="80"/>
        </w:rPr>
        <w:t xml:space="preserve">. </w:t>
      </w:r>
    </w:p>
  </w:footnote>
  <w:footnote w:id="188">
    <w:p w14:paraId="7B428023" w14:textId="301A849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State, Ref. P-859-2017/VHGM/LWC/nj, June 16, 2017, pg. 11. IACHR, on-site visit to Guatemala, July 31 to August 4, 2017, meetings with civil society and other organizations. </w:t>
      </w:r>
    </w:p>
  </w:footnote>
  <w:footnote w:id="189">
    <w:p w14:paraId="413AC36A" w14:textId="07EE58A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State noted that this policy “unifies the priorities and approaches of the State in order to realize the rights of children and adolescents, promote greater coordination, organization, coherence and comprehensiveness in the actions undertaken by government institutions, non-governmental organizations and international cooperation, in order to promote in the context of execution and monitoring of the Public Policy and Plan of Action—at the national and municipal level—sustainability of actions to fulfill the human rights of children and adolescents.” Information provided by the State. Ref. P-859-2017/VHGM/LWC/nj, June 16, 2017, pg. 11, and Annex 5.</w:t>
      </w:r>
    </w:p>
  </w:footnote>
  <w:footnote w:id="190">
    <w:p w14:paraId="0667875D" w14:textId="4B92D96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Violence, Children and Organized Crime, OEA/Ser.L/V/II. Doc. 40/15, November 11, 2015, para. 398.  </w:t>
      </w:r>
    </w:p>
  </w:footnote>
  <w:footnote w:id="191">
    <w:p w14:paraId="4CC0A3B2" w14:textId="5BAB939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on-site visit to Guatemala, July 31 to August 4, 2017, meetings with civil society organizations and international agencies. </w:t>
      </w:r>
    </w:p>
  </w:footnote>
  <w:footnote w:id="192">
    <w:p w14:paraId="1554C440" w14:textId="604A111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193">
    <w:p w14:paraId="6FF983E5" w14:textId="147FC97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P-859-2017/VHGM/LWC/nj, June 16, 2017, pg. 11.</w:t>
      </w:r>
    </w:p>
  </w:footnote>
  <w:footnote w:id="194">
    <w:p w14:paraId="5245CE51" w14:textId="0561006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from the Oversight Court for Execution of Measures for Adolescents in Conflict with Criminal Law, August 2, 2017 (in the IACHR archive).</w:t>
      </w:r>
    </w:p>
  </w:footnote>
  <w:footnote w:id="195">
    <w:p w14:paraId="5B08E971" w14:textId="755A046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MC 161-17, </w:t>
      </w:r>
      <w:hyperlink r:id="rId84" w:history="1">
        <w:r w:rsidRPr="001944CF">
          <w:rPr>
            <w:rStyle w:val="Hyperlink"/>
            <w:rFonts w:asciiTheme="majorHAnsi" w:hAnsiTheme="majorHAnsi"/>
            <w:color w:val="808080" w:themeColor="background1" w:themeShade="80"/>
          </w:rPr>
          <w:t>Centros Juveniles de Privación de Libertad, Guatemala</w:t>
        </w:r>
      </w:hyperlink>
      <w:r w:rsidRPr="001944CF">
        <w:rPr>
          <w:rFonts w:asciiTheme="majorHAnsi" w:hAnsiTheme="majorHAnsi"/>
          <w:color w:val="808080" w:themeColor="background1" w:themeShade="80"/>
        </w:rPr>
        <w:t>, [‘Juvenile Deprivation of Liberty Facilities, Guatemala’], June 12, 2017.</w:t>
      </w:r>
    </w:p>
  </w:footnote>
  <w:footnote w:id="196">
    <w:p w14:paraId="7FF08317" w14:textId="1968B79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The Resolution identified the following risk factors: deficient infrastructure, overcrowding and inadequate security measures. </w:t>
      </w:r>
    </w:p>
  </w:footnote>
  <w:footnote w:id="197">
    <w:p w14:paraId="48E210E7" w14:textId="61580E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from the Oversight Court for Execution of Measures for Adolescents in Conflict with Criminal Law, August 2, 2017 (in the IACHR archive). </w:t>
      </w:r>
    </w:p>
  </w:footnote>
  <w:footnote w:id="198">
    <w:p w14:paraId="23AF3806" w14:textId="0A33D467"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This turnover on the team of the Secretariat stemmed from the dismissal and subsequent indictment of the former heads, after a fire broke out at the residential care facility the Hogar Virgen de la Asunción on March 8, 2017, in which 41 little girls and adolescents burned to death. </w:t>
      </w:r>
      <w:r w:rsidRPr="001944CF">
        <w:rPr>
          <w:rFonts w:asciiTheme="majorHAnsi" w:hAnsiTheme="majorHAnsi"/>
          <w:color w:val="808080" w:themeColor="background1" w:themeShade="80"/>
          <w:lang w:val="es-ES"/>
        </w:rPr>
        <w:t xml:space="preserve">See Section VII.B, </w:t>
      </w:r>
      <w:r w:rsidRPr="001944CF">
        <w:rPr>
          <w:rFonts w:asciiTheme="majorHAnsi" w:hAnsiTheme="majorHAnsi"/>
          <w:i/>
          <w:iCs/>
          <w:color w:val="808080" w:themeColor="background1" w:themeShade="80"/>
          <w:lang w:val="es-ES"/>
        </w:rPr>
        <w:t>infra</w:t>
      </w:r>
      <w:r w:rsidRPr="001944CF">
        <w:rPr>
          <w:rFonts w:asciiTheme="majorHAnsi" w:hAnsiTheme="majorHAnsi"/>
          <w:color w:val="808080" w:themeColor="background1" w:themeShade="80"/>
          <w:lang w:val="es-ES"/>
        </w:rPr>
        <w:t>.</w:t>
      </w:r>
    </w:p>
  </w:footnote>
  <w:footnote w:id="199">
    <w:p w14:paraId="14050A4F" w14:textId="01683356"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Redlactrans, </w:t>
      </w:r>
      <w:hyperlink r:id="rId85" w:history="1">
        <w:r w:rsidRPr="001944CF">
          <w:rPr>
            <w:rStyle w:val="Hyperlink"/>
            <w:rFonts w:asciiTheme="majorHAnsi" w:hAnsiTheme="majorHAnsi"/>
            <w:color w:val="808080" w:themeColor="background1" w:themeShade="80"/>
            <w:lang w:val="es-ES"/>
          </w:rPr>
          <w:t>Violaciones a los Derechos Humanos de Mujeres Trans en Costa Rica, El Salvador, Guatemala, Honduras y Panamá</w:t>
        </w:r>
      </w:hyperlink>
      <w:r w:rsidRPr="001944CF">
        <w:rPr>
          <w:rFonts w:asciiTheme="majorHAnsi" w:hAnsiTheme="majorHAnsi"/>
          <w:color w:val="808080" w:themeColor="background1" w:themeShade="80"/>
          <w:lang w:val="es-ES"/>
        </w:rPr>
        <w:t xml:space="preserve">, [‘Violations of the Human Rights of Trans Women in Costa Rica, El Salvador, Guatemala, Honduras and Panama’], January 2016, para. </w:t>
      </w:r>
      <w:r w:rsidRPr="001944CF">
        <w:rPr>
          <w:rFonts w:asciiTheme="majorHAnsi" w:hAnsiTheme="majorHAnsi"/>
          <w:color w:val="808080" w:themeColor="background1" w:themeShade="80"/>
        </w:rPr>
        <w:t xml:space="preserve">141, p. 37; Human Rights Committee, Final observations of the Human Rights Committee: Guatemala, CCPR/C/GTM/CO/3, April 19, 2012, para. </w:t>
      </w:r>
      <w:r w:rsidRPr="001944CF">
        <w:rPr>
          <w:rFonts w:asciiTheme="majorHAnsi" w:hAnsiTheme="majorHAnsi"/>
          <w:color w:val="808080" w:themeColor="background1" w:themeShade="80"/>
          <w:lang w:val="es-ES"/>
        </w:rPr>
        <w:t>11.</w:t>
      </w:r>
    </w:p>
  </w:footnote>
  <w:footnote w:id="200">
    <w:p w14:paraId="20694128" w14:textId="15861B6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Redlactrans, </w:t>
      </w:r>
      <w:hyperlink r:id="rId86" w:history="1">
        <w:r w:rsidRPr="001944CF">
          <w:rPr>
            <w:rStyle w:val="Hyperlink"/>
            <w:rFonts w:asciiTheme="majorHAnsi" w:hAnsiTheme="majorHAnsi"/>
            <w:color w:val="808080" w:themeColor="background1" w:themeShade="80"/>
            <w:lang w:val="es-MX"/>
          </w:rPr>
          <w:t>Violaciones a los Derechos Humanos de Mujeres Trans en Costa Rica, El Salvador, Guatemala, Honduras y Panamá</w:t>
        </w:r>
      </w:hyperlink>
      <w:r w:rsidRPr="001944CF">
        <w:rPr>
          <w:rFonts w:asciiTheme="majorHAnsi" w:hAnsiTheme="majorHAnsi"/>
          <w:color w:val="808080" w:themeColor="background1" w:themeShade="80"/>
          <w:lang w:val="es-MX"/>
        </w:rPr>
        <w:t xml:space="preserve">, [‘Violations of the Human Rights of Trans Women in Costa Rica, El Salvador, Guatemala, Honduras and Panama’], January 2016, para. </w:t>
      </w:r>
      <w:r w:rsidRPr="001944CF">
        <w:rPr>
          <w:rFonts w:asciiTheme="majorHAnsi" w:hAnsiTheme="majorHAnsi"/>
          <w:color w:val="808080" w:themeColor="background1" w:themeShade="80"/>
        </w:rPr>
        <w:t>141, p. 37.</w:t>
      </w:r>
    </w:p>
  </w:footnote>
  <w:footnote w:id="201">
    <w:p w14:paraId="00F567D0" w14:textId="54D5D18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Human Rights Council, </w:t>
      </w:r>
      <w:hyperlink r:id="rId87" w:history="1">
        <w:r w:rsidRPr="001944CF">
          <w:rPr>
            <w:rStyle w:val="Hyperlink"/>
            <w:rFonts w:asciiTheme="majorHAnsi" w:hAnsiTheme="majorHAnsi"/>
            <w:color w:val="808080" w:themeColor="background1" w:themeShade="80"/>
          </w:rPr>
          <w:t>Informe anual del Alto Comisionado de las Naciones Unidas para los Derechos Humanos sobre las actividades de su oficina en Guatemala A/HRC/34/4/Add.1</w:t>
        </w:r>
      </w:hyperlink>
      <w:r w:rsidRPr="001944CF">
        <w:rPr>
          <w:rFonts w:asciiTheme="majorHAnsi" w:hAnsiTheme="majorHAnsi"/>
          <w:color w:val="808080" w:themeColor="background1" w:themeShade="80"/>
        </w:rPr>
        <w:t>, [‘Annual Report of the United Nations High Commissioner for Human Rights on the activities of his Office in Guatemala’], January 11, 2017, para. 61, p. 18.</w:t>
      </w:r>
    </w:p>
  </w:footnote>
  <w:footnote w:id="202">
    <w:p w14:paraId="619C4697" w14:textId="29D3F33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203">
    <w:p w14:paraId="434CF941" w14:textId="4327161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Ibid.</w:t>
      </w:r>
    </w:p>
  </w:footnote>
  <w:footnote w:id="204">
    <w:p w14:paraId="7B031537" w14:textId="4D8773A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Style w:val="FootnoteReference"/>
          <w:rFonts w:asciiTheme="majorHAnsi" w:hAnsiTheme="majorHAnsi"/>
          <w:color w:val="808080" w:themeColor="background1" w:themeShade="80"/>
          <w:sz w:val="16"/>
          <w:szCs w:val="16"/>
        </w:rPr>
        <w:tab/>
      </w:r>
      <w:r w:rsidRPr="001944CF">
        <w:rPr>
          <w:rFonts w:asciiTheme="majorHAnsi" w:hAnsiTheme="majorHAnsi"/>
          <w:color w:val="808080" w:themeColor="background1" w:themeShade="80"/>
        </w:rPr>
        <w:t xml:space="preserve">Congress of the Republic of </w:t>
      </w:r>
      <w:r w:rsidRPr="001944CF">
        <w:rPr>
          <w:rStyle w:val="FootnoteReference"/>
          <w:rFonts w:asciiTheme="majorHAnsi" w:hAnsiTheme="majorHAnsi"/>
          <w:color w:val="808080" w:themeColor="background1" w:themeShade="80"/>
          <w:sz w:val="16"/>
          <w:szCs w:val="16"/>
          <w:vertAlign w:val="baseline"/>
        </w:rPr>
        <w:t>Guatemala</w:t>
      </w:r>
      <w:r w:rsidRPr="001944CF">
        <w:rPr>
          <w:rFonts w:asciiTheme="majorHAnsi" w:hAnsiTheme="majorHAnsi"/>
          <w:color w:val="808080" w:themeColor="background1" w:themeShade="80"/>
        </w:rPr>
        <w:t>,</w:t>
      </w:r>
      <w:r w:rsidRPr="001944CF">
        <w:rPr>
          <w:rStyle w:val="FootnoteReference"/>
          <w:rFonts w:asciiTheme="majorHAnsi" w:hAnsiTheme="majorHAnsi"/>
          <w:color w:val="808080" w:themeColor="background1" w:themeShade="80"/>
          <w:sz w:val="16"/>
          <w:szCs w:val="16"/>
        </w:rPr>
        <w:t xml:space="preserve"> </w:t>
      </w:r>
      <w:hyperlink r:id="rId88" w:history="1">
        <w:r w:rsidRPr="001944CF">
          <w:rPr>
            <w:rStyle w:val="Hyperlink"/>
            <w:rFonts w:asciiTheme="majorHAnsi" w:hAnsiTheme="majorHAnsi"/>
            <w:color w:val="808080" w:themeColor="background1" w:themeShade="80"/>
          </w:rPr>
          <w:t>Iniciativa que dispone aprobar Ley para la Protección de la Vida y la Familia</w:t>
        </w:r>
      </w:hyperlink>
      <w:r w:rsidRPr="001944CF">
        <w:rPr>
          <w:rStyle w:val="FootnoteReference"/>
          <w:rFonts w:asciiTheme="majorHAnsi" w:hAnsiTheme="majorHAnsi"/>
          <w:color w:val="808080" w:themeColor="background1" w:themeShade="80"/>
          <w:sz w:val="16"/>
          <w:szCs w:val="16"/>
          <w:vertAlign w:val="baseline"/>
        </w:rPr>
        <w:t xml:space="preserve">, </w:t>
      </w:r>
      <w:r w:rsidRPr="001944CF">
        <w:rPr>
          <w:rFonts w:asciiTheme="majorHAnsi" w:hAnsiTheme="majorHAnsi"/>
          <w:color w:val="808080" w:themeColor="background1" w:themeShade="80"/>
        </w:rPr>
        <w:t xml:space="preserve">[‘Legislative bill to approve the Law for the Protection of Life and Family’], July </w:t>
      </w:r>
      <w:r w:rsidRPr="001944CF">
        <w:rPr>
          <w:rStyle w:val="FootnoteReference"/>
          <w:rFonts w:asciiTheme="majorHAnsi" w:hAnsiTheme="majorHAnsi"/>
          <w:color w:val="808080" w:themeColor="background1" w:themeShade="80"/>
          <w:sz w:val="16"/>
          <w:szCs w:val="16"/>
          <w:vertAlign w:val="baseline"/>
        </w:rPr>
        <w:t>24, 2017.</w:t>
      </w:r>
    </w:p>
  </w:footnote>
  <w:footnote w:id="205">
    <w:p w14:paraId="4051E0AF" w14:textId="606BCA5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Otrans Reinas de la Noche, </w:t>
      </w:r>
      <w:hyperlink r:id="rId89" w:history="1">
        <w:r w:rsidRPr="001944CF">
          <w:rPr>
            <w:rStyle w:val="Hyperlink"/>
            <w:rFonts w:asciiTheme="majorHAnsi" w:hAnsiTheme="majorHAnsi"/>
            <w:color w:val="808080" w:themeColor="background1" w:themeShade="80"/>
            <w:lang w:val="es-ES"/>
          </w:rPr>
          <w:t>Pronunciamiento pú</w:t>
        </w:r>
        <w:r w:rsidRPr="001944CF">
          <w:rPr>
            <w:rStyle w:val="Hyperlink"/>
            <w:rFonts w:asciiTheme="majorHAnsi" w:hAnsiTheme="majorHAnsi"/>
            <w:color w:val="808080" w:themeColor="background1" w:themeShade="80"/>
            <w:lang w:val="es-MX"/>
          </w:rPr>
          <w:t>blico</w:t>
        </w:r>
      </w:hyperlink>
      <w:r w:rsidRPr="001944CF">
        <w:rPr>
          <w:rFonts w:asciiTheme="majorHAnsi" w:hAnsiTheme="majorHAnsi"/>
          <w:color w:val="808080" w:themeColor="background1" w:themeShade="80"/>
          <w:lang w:val="es-MX"/>
        </w:rPr>
        <w:t xml:space="preserve">, [‘Public Statement’], April 28, 2017. Also see: </w:t>
      </w:r>
      <w:hyperlink r:id="rId90" w:history="1">
        <w:r w:rsidRPr="001944CF">
          <w:rPr>
            <w:rStyle w:val="Hyperlink"/>
            <w:rFonts w:asciiTheme="majorHAnsi" w:hAnsiTheme="majorHAnsi"/>
            <w:color w:val="808080" w:themeColor="background1" w:themeShade="80"/>
            <w:lang w:val="es-MX"/>
          </w:rPr>
          <w:t>Coalición de Organizaciones LGBTTTI de Incidencia en las Américas</w:t>
        </w:r>
      </w:hyperlink>
      <w:r w:rsidRPr="001944CF">
        <w:rPr>
          <w:rFonts w:asciiTheme="majorHAnsi" w:hAnsiTheme="majorHAnsi"/>
          <w:color w:val="808080" w:themeColor="background1" w:themeShade="80"/>
          <w:lang w:val="es-MX"/>
        </w:rPr>
        <w:t xml:space="preserve">,  </w:t>
      </w:r>
      <w:hyperlink r:id="rId91" w:history="1">
        <w:r w:rsidRPr="001944CF">
          <w:rPr>
            <w:rStyle w:val="Hyperlink"/>
            <w:rFonts w:asciiTheme="majorHAnsi" w:hAnsiTheme="majorHAnsi"/>
            <w:color w:val="808080" w:themeColor="background1" w:themeShade="80"/>
            <w:lang w:val="es-MX"/>
          </w:rPr>
          <w:t>Red Latinoamericana y del Caribe de personas trans  (Redlactrans)</w:t>
        </w:r>
      </w:hyperlink>
      <w:r w:rsidRPr="001944CF">
        <w:rPr>
          <w:rFonts w:asciiTheme="majorHAnsi" w:hAnsiTheme="majorHAnsi"/>
          <w:color w:val="808080" w:themeColor="background1" w:themeShade="80"/>
          <w:lang w:val="es-MX"/>
        </w:rPr>
        <w:t xml:space="preserve">, </w:t>
      </w:r>
      <w:hyperlink r:id="rId92" w:history="1">
        <w:r w:rsidRPr="001944CF">
          <w:rPr>
            <w:rStyle w:val="Hyperlink"/>
            <w:rFonts w:asciiTheme="majorHAnsi" w:hAnsiTheme="majorHAnsi"/>
            <w:color w:val="808080" w:themeColor="background1" w:themeShade="80"/>
            <w:lang w:val="es-MX"/>
          </w:rPr>
          <w:t>Convención Interamericana de Derechos Sexuales y Derechos Reproductivos</w:t>
        </w:r>
      </w:hyperlink>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[‘Coalition of LGBTTTI Advocacy Organizations of the Americas, Latin American and Caribbean Network of Trans Persons (Redlactrans), Inter-American Convention on Sexual and Reproductive Rights’].</w:t>
      </w:r>
    </w:p>
  </w:footnote>
  <w:footnote w:id="206">
    <w:p w14:paraId="20255D3D" w14:textId="223D75A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Congress of the Republic of Guatemala, </w:t>
      </w:r>
      <w:hyperlink r:id="rId93" w:history="1">
        <w:r w:rsidRPr="001944CF">
          <w:rPr>
            <w:rStyle w:val="Hyperlink"/>
            <w:rFonts w:asciiTheme="majorHAnsi" w:hAnsiTheme="majorHAnsi"/>
            <w:color w:val="808080" w:themeColor="background1" w:themeShade="80"/>
          </w:rPr>
          <w:t>Diputados reciben proyecto de ley de coordinadora evangélica nacional</w:t>
        </w:r>
      </w:hyperlink>
      <w:r w:rsidRPr="001944CF">
        <w:rPr>
          <w:rFonts w:asciiTheme="majorHAnsi" w:hAnsiTheme="majorHAnsi"/>
          <w:color w:val="808080" w:themeColor="background1" w:themeShade="80"/>
        </w:rPr>
        <w:t>, [‘Deputies receive legislative bill from the national evangelical coordinator’], February 17, 2017.</w:t>
      </w:r>
    </w:p>
  </w:footnote>
  <w:footnote w:id="207">
    <w:p w14:paraId="5476A176" w14:textId="7777777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IACHR, </w:t>
      </w:r>
      <w:hyperlink r:id="rId94" w:history="1">
        <w:r w:rsidRPr="001944CF">
          <w:rPr>
            <w:rStyle w:val="Hyperlink"/>
            <w:rFonts w:asciiTheme="majorHAnsi" w:hAnsiTheme="majorHAnsi"/>
            <w:color w:val="808080" w:themeColor="background1" w:themeShade="80"/>
          </w:rPr>
          <w:t>Violencia contra Personas Lesbianas, Gay, Bisexuales, Trans e Intersex en América</w:t>
        </w:r>
      </w:hyperlink>
      <w:r w:rsidRPr="001944CF">
        <w:rPr>
          <w:rFonts w:asciiTheme="majorHAnsi" w:hAnsiTheme="majorHAnsi"/>
          <w:color w:val="808080" w:themeColor="background1" w:themeShade="80"/>
        </w:rPr>
        <w:t>, [‘Violence against Lesbian, Gay, Bisexual, Trans and Intersex Persons in the Americas’], OEA/Ser.L/V/II. Rev.2.Doc. 36, approved on November 12, 2015, para. 423. IACHR, The Situation of People of African Descent in the Americas, 2011, para. 194.</w:t>
      </w:r>
    </w:p>
  </w:footnote>
  <w:footnote w:id="208">
    <w:p w14:paraId="661CFD76" w14:textId="7777777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IACHR, on-site visit, July 31 to August 4, 2017. Meetings with civil society organizations.</w:t>
      </w:r>
    </w:p>
  </w:footnote>
  <w:footnote w:id="209">
    <w:p w14:paraId="013490A8" w14:textId="7777777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FADEP, Familia Desarrollo Población. </w:t>
      </w:r>
      <w:hyperlink r:id="rId95" w:history="1">
        <w:r w:rsidRPr="001944CF">
          <w:rPr>
            <w:rStyle w:val="Hyperlink"/>
            <w:rFonts w:asciiTheme="majorHAnsi" w:hAnsiTheme="majorHAnsi"/>
            <w:color w:val="808080" w:themeColor="background1" w:themeShade="80"/>
            <w:lang w:val="es-MX"/>
          </w:rPr>
          <w:t>Guatemala:</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lang w:val="es-MX"/>
          </w:rPr>
          <w:t>INE anuncia censo de población para el 2017</w:t>
        </w:r>
      </w:hyperlink>
      <w:r w:rsidRPr="001944CF">
        <w:rPr>
          <w:rFonts w:asciiTheme="majorHAnsi" w:hAnsiTheme="majorHAnsi"/>
          <w:color w:val="808080" w:themeColor="background1" w:themeShade="80"/>
          <w:lang w:val="es-MX"/>
        </w:rPr>
        <w:t>, [‘Guatemala: INE Announces 2017 population census’], June 7, 2017.</w:t>
      </w:r>
    </w:p>
  </w:footnote>
  <w:footnote w:id="210">
    <w:p w14:paraId="589E2903" w14:textId="7777777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IACHR, on-site visit, July 31 to August 4, 2017. Meetings with civil society organizations.</w:t>
      </w:r>
    </w:p>
  </w:footnote>
  <w:footnote w:id="211">
    <w:p w14:paraId="469849D5" w14:textId="59A978F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CERD. Final observations on the 13</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and 14</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periodic reports of Guatemala. CERD/C/GTM/CO/14-15, June 12, 2015, p. 2.</w:t>
      </w:r>
    </w:p>
  </w:footnote>
  <w:footnote w:id="212">
    <w:p w14:paraId="5B554B57" w14:textId="559392D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Declaration of the First Congress of Afro-Guatemalan Women, July 22, 2017.</w:t>
      </w:r>
    </w:p>
  </w:footnote>
  <w:footnote w:id="213">
    <w:p w14:paraId="72383613" w14:textId="1974675F"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Situation of Human Rights in Guatemala: Diversity, Inequality and Exclusion, OEA/Ser.L/V/II.Doc. 43/15, December 30, 2015, para. </w:t>
      </w:r>
      <w:r w:rsidRPr="001944CF">
        <w:rPr>
          <w:rFonts w:asciiTheme="majorHAnsi" w:hAnsiTheme="majorHAnsi"/>
          <w:color w:val="808080" w:themeColor="background1" w:themeShade="80"/>
          <w:lang w:val="es-ES"/>
        </w:rPr>
        <w:t>422.</w:t>
      </w:r>
    </w:p>
  </w:footnote>
  <w:footnote w:id="214">
    <w:p w14:paraId="717F5F33" w14:textId="21AE5C4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UN WOMEN, </w:t>
      </w:r>
      <w:r w:rsidRPr="001944CF">
        <w:rPr>
          <w:rFonts w:asciiTheme="majorHAnsi" w:hAnsiTheme="majorHAnsi"/>
          <w:i/>
          <w:iCs/>
          <w:color w:val="808080" w:themeColor="background1" w:themeShade="80"/>
          <w:lang w:val="es-MX"/>
        </w:rPr>
        <w:t>Resolución histórica en Guatemala, una victoria contra la violencia sexual en los conflictos armados</w:t>
      </w:r>
      <w:r w:rsidRPr="001944CF">
        <w:rPr>
          <w:rFonts w:asciiTheme="majorHAnsi" w:hAnsiTheme="majorHAnsi"/>
          <w:color w:val="808080" w:themeColor="background1" w:themeShade="80"/>
          <w:lang w:val="es-MX"/>
        </w:rPr>
        <w:t xml:space="preserve">, [‘Historic resolution in Guatemala, a victory against sexual violence in armed conflicts’], March 3, 2016. It can be viewed at </w:t>
      </w:r>
      <w:hyperlink r:id="rId96" w:history="1">
        <w:r w:rsidRPr="001944CF">
          <w:rPr>
            <w:rStyle w:val="Hyperlink"/>
            <w:rFonts w:asciiTheme="majorHAnsi" w:hAnsiTheme="majorHAnsi"/>
            <w:color w:val="808080" w:themeColor="background1" w:themeShade="80"/>
            <w:lang w:val="es-MX"/>
          </w:rPr>
          <w:t>http://www.unwomen.org/es/news/stories/2016/3/guatemala-victory-against-sexual-violence-in-armed-conflict</w:t>
        </w:r>
      </w:hyperlink>
      <w:r w:rsidRPr="001944CF">
        <w:rPr>
          <w:rFonts w:asciiTheme="majorHAnsi" w:hAnsiTheme="majorHAnsi"/>
          <w:color w:val="808080" w:themeColor="background1" w:themeShade="80"/>
          <w:lang w:val="es-MX"/>
        </w:rPr>
        <w:t xml:space="preserve">; UNDP, </w:t>
      </w:r>
      <w:r w:rsidRPr="001944CF">
        <w:rPr>
          <w:rFonts w:asciiTheme="majorHAnsi" w:hAnsiTheme="majorHAnsi"/>
          <w:i/>
          <w:iCs/>
          <w:color w:val="808080" w:themeColor="background1" w:themeShade="80"/>
          <w:lang w:val="es-MX"/>
        </w:rPr>
        <w:t>Mujeres Maya Q’eqchí de Sepur Zarco marcan hito histórico contra la esclavitud sexual como acto de guerra</w:t>
      </w:r>
      <w:r w:rsidRPr="001944CF">
        <w:rPr>
          <w:rFonts w:asciiTheme="majorHAnsi" w:hAnsiTheme="majorHAnsi"/>
          <w:color w:val="808080" w:themeColor="background1" w:themeShade="80"/>
          <w:lang w:val="es-MX"/>
        </w:rPr>
        <w:t>, [‘</w:t>
      </w:r>
      <w:r w:rsidRPr="001944CF">
        <w:rPr>
          <w:rFonts w:asciiTheme="majorHAnsi" w:hAnsiTheme="majorHAnsi"/>
          <w:i/>
          <w:iCs/>
          <w:color w:val="808080" w:themeColor="background1" w:themeShade="80"/>
          <w:lang w:val="es-MX"/>
        </w:rPr>
        <w:t xml:space="preserve">Q’eqchí Mayan Women from Sepur Zarco set historical milestone against sexual slavery as act of war’],  </w:t>
      </w:r>
      <w:r w:rsidRPr="001944CF">
        <w:rPr>
          <w:rFonts w:asciiTheme="majorHAnsi" w:hAnsiTheme="majorHAnsi"/>
          <w:color w:val="808080" w:themeColor="background1" w:themeShade="80"/>
          <w:lang w:val="es-MX"/>
        </w:rPr>
        <w:t xml:space="preserve"> 2016. </w:t>
      </w:r>
      <w:r w:rsidRPr="001944CF">
        <w:rPr>
          <w:rFonts w:asciiTheme="majorHAnsi" w:hAnsiTheme="majorHAnsi"/>
          <w:color w:val="808080" w:themeColor="background1" w:themeShade="80"/>
        </w:rPr>
        <w:t xml:space="preserve">It can be viewed at </w:t>
      </w:r>
      <w:hyperlink r:id="rId97" w:history="1">
        <w:r w:rsidRPr="001944CF">
          <w:rPr>
            <w:rStyle w:val="Hyperlink"/>
            <w:rFonts w:asciiTheme="majorHAnsi" w:hAnsiTheme="majorHAnsi"/>
            <w:color w:val="808080" w:themeColor="background1" w:themeShade="80"/>
          </w:rPr>
          <w:t>http://www.gt.undp.org/content/guatemala/es/home/ourwork/crisispreventionandrecovery/successstories/ Sepur_Zarco.html</w:t>
        </w:r>
      </w:hyperlink>
    </w:p>
  </w:footnote>
  <w:footnote w:id="215">
    <w:p w14:paraId="3E7421BC" w14:textId="39164B6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Justice Monitor, </w:t>
      </w:r>
      <w:r w:rsidRPr="001944CF">
        <w:rPr>
          <w:rFonts w:asciiTheme="majorHAnsi" w:hAnsiTheme="majorHAnsi"/>
          <w:i/>
          <w:iCs/>
          <w:color w:val="808080" w:themeColor="background1" w:themeShade="80"/>
        </w:rPr>
        <w:t>CREOMPAZ Hearings Conclude; Tribunal to Determine if Case Goes to trial</w:t>
      </w:r>
      <w:r w:rsidRPr="001944CF">
        <w:rPr>
          <w:rFonts w:asciiTheme="majorHAnsi" w:hAnsiTheme="majorHAnsi"/>
          <w:color w:val="808080" w:themeColor="background1" w:themeShade="80"/>
        </w:rPr>
        <w:t xml:space="preserve">, June 7, 2016. It can be viewed at </w:t>
      </w:r>
      <w:hyperlink r:id="rId98" w:history="1">
        <w:r w:rsidRPr="001944CF">
          <w:rPr>
            <w:rStyle w:val="Hyperlink"/>
            <w:rFonts w:asciiTheme="majorHAnsi" w:hAnsiTheme="majorHAnsi"/>
            <w:color w:val="808080" w:themeColor="background1" w:themeShade="80"/>
          </w:rPr>
          <w:t>https://www.ijmonitor.org/2016/06/creompaz-hearings-conclude-tribunal-to-determine-if-case-goes-to-trial/</w:t>
        </w:r>
      </w:hyperlink>
      <w:r w:rsidRPr="001944CF">
        <w:rPr>
          <w:rFonts w:asciiTheme="majorHAnsi" w:hAnsiTheme="majorHAnsi"/>
          <w:color w:val="808080" w:themeColor="background1" w:themeShade="80"/>
        </w:rPr>
        <w:t xml:space="preserve">; NISGUA, </w:t>
      </w:r>
      <w:r w:rsidRPr="001944CF">
        <w:rPr>
          <w:rFonts w:asciiTheme="majorHAnsi" w:hAnsiTheme="majorHAnsi"/>
          <w:i/>
          <w:iCs/>
          <w:color w:val="808080" w:themeColor="background1" w:themeShade="80"/>
        </w:rPr>
        <w:t>CREOMPAZ:</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Eleven retired military officers indicted on charges of crimes against humanity</w:t>
      </w:r>
      <w:r w:rsidRPr="001944CF">
        <w:rPr>
          <w:rFonts w:asciiTheme="majorHAnsi" w:hAnsiTheme="majorHAnsi"/>
          <w:color w:val="808080" w:themeColor="background1" w:themeShade="80"/>
        </w:rPr>
        <w:t xml:space="preserve">, January 19, 2016. It can be viewed at </w:t>
      </w:r>
      <w:hyperlink r:id="rId99" w:history="1">
        <w:r w:rsidRPr="001944CF">
          <w:rPr>
            <w:rStyle w:val="Hyperlink"/>
            <w:rFonts w:asciiTheme="majorHAnsi" w:hAnsiTheme="majorHAnsi"/>
            <w:color w:val="808080" w:themeColor="background1" w:themeShade="80"/>
          </w:rPr>
          <w:t>http://nisgua.org/creompaz-eleven-retired-military-officers-indicted-on-charges-of-crimes-against-humanity/</w:t>
        </w:r>
      </w:hyperlink>
      <w:r w:rsidRPr="001944CF">
        <w:rPr>
          <w:rFonts w:asciiTheme="majorHAnsi" w:hAnsiTheme="majorHAnsi"/>
          <w:color w:val="808080" w:themeColor="background1" w:themeShade="80"/>
        </w:rPr>
        <w:t>.</w:t>
      </w:r>
    </w:p>
  </w:footnote>
  <w:footnote w:id="216">
    <w:p w14:paraId="083F0D08" w14:textId="2756CEA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 Release 001, </w:t>
      </w:r>
      <w:r w:rsidRPr="001944CF">
        <w:rPr>
          <w:rFonts w:asciiTheme="majorHAnsi" w:hAnsiTheme="majorHAnsi"/>
          <w:i/>
          <w:color w:val="808080" w:themeColor="background1" w:themeShade="80"/>
        </w:rPr>
        <w:t xml:space="preserve">CIDH saluda detención de imputados por delitos de desaparición forzada y lesa humanidad en Guatemala </w:t>
      </w:r>
      <w:r w:rsidRPr="001944CF">
        <w:rPr>
          <w:rFonts w:asciiTheme="majorHAnsi" w:hAnsiTheme="majorHAnsi"/>
          <w:color w:val="808080" w:themeColor="background1" w:themeShade="80"/>
        </w:rPr>
        <w:t xml:space="preserve">[‘IACHR Welcomes Arrest of Individuals Accused of Forced Disappearance and Crimes against Humanity in Guatemala’], January 13, 2016. It can be viewed at: </w:t>
      </w:r>
      <w:hyperlink r:id="rId100" w:history="1">
        <w:r w:rsidRPr="001944CF">
          <w:rPr>
            <w:rStyle w:val="Hyperlink"/>
            <w:rFonts w:asciiTheme="majorHAnsi" w:hAnsiTheme="majorHAnsi"/>
            <w:color w:val="808080" w:themeColor="background1" w:themeShade="80"/>
          </w:rPr>
          <w:t>http://www.oas.org/es/cidh/prensa/comunicados/2016/001.asp</w:t>
        </w:r>
      </w:hyperlink>
      <w:r w:rsidRPr="001944CF">
        <w:rPr>
          <w:rStyle w:val="Hyperlink"/>
          <w:rFonts w:asciiTheme="majorHAnsi" w:hAnsiTheme="majorHAnsi"/>
          <w:color w:val="808080" w:themeColor="background1" w:themeShade="80"/>
        </w:rPr>
        <w:t>.</w:t>
      </w:r>
    </w:p>
  </w:footnote>
  <w:footnote w:id="217">
    <w:p w14:paraId="75E39650" w14:textId="1C97B81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w:t>
      </w:r>
      <w:r w:rsidRPr="001944CF">
        <w:rPr>
          <w:rFonts w:asciiTheme="majorHAnsi" w:hAnsiTheme="majorHAnsi"/>
          <w:i/>
          <w:iCs/>
          <w:color w:val="808080" w:themeColor="background1" w:themeShade="80"/>
        </w:rPr>
        <w:t>Case of Molina Theissen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w:t>
      </w:r>
      <w:r w:rsidRPr="001944CF">
        <w:rPr>
          <w:rFonts w:asciiTheme="majorHAnsi" w:hAnsiTheme="majorHAnsi"/>
          <w:i/>
          <w:color w:val="808080" w:themeColor="background1" w:themeShade="80"/>
        </w:rPr>
        <w:t xml:space="preserve">Merits, </w:t>
      </w:r>
      <w:r w:rsidRPr="001944CF">
        <w:rPr>
          <w:rFonts w:asciiTheme="majorHAnsi" w:hAnsiTheme="majorHAnsi"/>
          <w:color w:val="808080" w:themeColor="background1" w:themeShade="80"/>
        </w:rPr>
        <w:t>Judgment of May 4, 2004. Series C No. 106.</w:t>
      </w:r>
    </w:p>
  </w:footnote>
  <w:footnote w:id="218">
    <w:p w14:paraId="370A73EC" w14:textId="037E8E4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Centro de Medios Independientes, </w:t>
      </w:r>
      <w:r w:rsidRPr="001944CF">
        <w:rPr>
          <w:rFonts w:asciiTheme="majorHAnsi" w:hAnsiTheme="majorHAnsi"/>
          <w:i/>
          <w:iCs/>
          <w:color w:val="808080" w:themeColor="background1" w:themeShade="80"/>
        </w:rPr>
        <w:t>El Caso Molina Theissen está listo para ir a juicio</w:t>
      </w:r>
      <w:r w:rsidRPr="001944CF">
        <w:rPr>
          <w:rFonts w:asciiTheme="majorHAnsi" w:hAnsiTheme="majorHAnsi"/>
          <w:color w:val="808080" w:themeColor="background1" w:themeShade="80"/>
        </w:rPr>
        <w:t xml:space="preserve"> [‘Case of Molina Theissen is ready to go to trial’], August 6, 2017. It can be viewed at: </w:t>
      </w:r>
      <w:hyperlink r:id="rId101" w:history="1">
        <w:r w:rsidRPr="001944CF">
          <w:rPr>
            <w:rStyle w:val="Hyperlink"/>
            <w:rFonts w:asciiTheme="majorHAnsi" w:hAnsiTheme="majorHAnsi"/>
            <w:color w:val="808080" w:themeColor="background1" w:themeShade="80"/>
          </w:rPr>
          <w:t>https://cmiguate.org/el-caso-molina-theissen-esta-listo-para-ir-a-juicio/</w:t>
        </w:r>
      </w:hyperlink>
      <w:r w:rsidRPr="001944CF">
        <w:rPr>
          <w:rFonts w:asciiTheme="majorHAnsi" w:hAnsiTheme="majorHAnsi"/>
          <w:color w:val="808080" w:themeColor="background1" w:themeShade="80"/>
        </w:rPr>
        <w:t xml:space="preserve">. International Justice Monitor, </w:t>
      </w:r>
      <w:r w:rsidRPr="001944CF">
        <w:rPr>
          <w:rFonts w:asciiTheme="majorHAnsi" w:hAnsiTheme="majorHAnsi"/>
          <w:i/>
          <w:iCs/>
          <w:color w:val="808080" w:themeColor="background1" w:themeShade="80"/>
        </w:rPr>
        <w:t>Judge Sends Five High-Ranking Military Officers to Trial in Molina Theissen Case</w:t>
      </w:r>
      <w:r w:rsidRPr="001944CF">
        <w:rPr>
          <w:rFonts w:asciiTheme="majorHAnsi" w:hAnsiTheme="majorHAnsi"/>
          <w:color w:val="808080" w:themeColor="background1" w:themeShade="80"/>
        </w:rPr>
        <w:t xml:space="preserve">, March 6, 2017. It can be found at: </w:t>
      </w:r>
      <w:hyperlink r:id="rId102" w:history="1">
        <w:r w:rsidRPr="001944CF">
          <w:rPr>
            <w:rStyle w:val="Hyperlink"/>
            <w:rFonts w:asciiTheme="majorHAnsi" w:hAnsiTheme="majorHAnsi"/>
            <w:color w:val="808080" w:themeColor="background1" w:themeShade="80"/>
          </w:rPr>
          <w:t>https://www.ijmonitor.org/2017/03/judge-sends-five-high-ranking-military-officers-to-trial-in-molina-theissen-case/</w:t>
        </w:r>
      </w:hyperlink>
      <w:r w:rsidRPr="001944CF">
        <w:rPr>
          <w:rFonts w:asciiTheme="majorHAnsi" w:hAnsiTheme="majorHAnsi"/>
          <w:color w:val="808080" w:themeColor="background1" w:themeShade="80"/>
        </w:rPr>
        <w:t xml:space="preserve">.  </w:t>
      </w:r>
    </w:p>
  </w:footnote>
  <w:footnote w:id="219">
    <w:p w14:paraId="270DFE20" w14:textId="2925ACB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Office of the Public Prosecutor, “Caso Sepur Zarco: sala de apelaciones confirma sentencia condenatoria obtenida por la Fiscalía de Derechos Humanos” [‘Case of Sepur Zarco: appeals chamber upholds conviction obtained by the Prosecutor for Human Rights’], July 19, 2017. It can be viewed at: </w:t>
      </w:r>
      <w:hyperlink r:id="rId103" w:history="1">
        <w:r w:rsidRPr="001944CF">
          <w:rPr>
            <w:rStyle w:val="Hyperlink"/>
            <w:rFonts w:asciiTheme="majorHAnsi" w:hAnsiTheme="majorHAnsi"/>
            <w:color w:val="808080" w:themeColor="background1" w:themeShade="80"/>
          </w:rPr>
          <w:t>https://www.mp.gob.gt/noticias/2017/07/19/caso-sepur-zarco-sala-de-apelaciones-confirma-sentencia-condenatoria-obtenida-por-la-fiscalia-de-derechos-humanos/</w:t>
        </w:r>
      </w:hyperlink>
      <w:r w:rsidRPr="001944CF">
        <w:rPr>
          <w:rFonts w:asciiTheme="majorHAnsi" w:hAnsiTheme="majorHAnsi"/>
          <w:color w:val="808080" w:themeColor="background1" w:themeShade="80"/>
        </w:rPr>
        <w:t xml:space="preserve">. </w:t>
      </w:r>
    </w:p>
  </w:footnote>
  <w:footnote w:id="220">
    <w:p w14:paraId="5EDADFD9" w14:textId="255F9750" w:rsidR="001D7FF7" w:rsidRPr="001944CF" w:rsidRDefault="001D7FF7" w:rsidP="006F17D4">
      <w:pPr>
        <w:pStyle w:val="FootnoteText"/>
        <w:rPr>
          <w:rFonts w:asciiTheme="majorHAnsi" w:hAnsiTheme="majorHAnsi" w:cs="Arial"/>
          <w:color w:val="808080" w:themeColor="background1" w:themeShade="80"/>
          <w:lang w:val="es-MX"/>
        </w:rPr>
      </w:pPr>
      <w:r w:rsidRPr="001944CF">
        <w:rPr>
          <w:rFonts w:asciiTheme="majorHAnsi" w:hAnsiTheme="majorHAnsi" w:cs="Arial"/>
          <w:color w:val="808080" w:themeColor="background1" w:themeShade="80"/>
          <w:vertAlign w:val="superscript"/>
        </w:rPr>
        <w:footnoteRef/>
      </w:r>
      <w:r w:rsidRPr="001944CF">
        <w:rPr>
          <w:rFonts w:asciiTheme="majorHAnsi" w:hAnsiTheme="majorHAnsi" w:cs="Arial"/>
          <w:color w:val="808080" w:themeColor="background1" w:themeShade="80"/>
          <w:vertAlign w:val="superscript"/>
          <w:lang w:val="es-MX"/>
        </w:rPr>
        <w:t xml:space="preserve"> </w:t>
      </w:r>
      <w:r w:rsidRPr="001944CF">
        <w:rPr>
          <w:rFonts w:asciiTheme="majorHAnsi" w:hAnsiTheme="majorHAnsi" w:cs="Arial"/>
          <w:color w:val="808080" w:themeColor="background1" w:themeShade="80"/>
          <w:vertAlign w:val="superscript"/>
          <w:lang w:val="es-MX"/>
        </w:rPr>
        <w:tab/>
      </w:r>
      <w:r w:rsidRPr="001944CF">
        <w:rPr>
          <w:rFonts w:asciiTheme="majorHAnsi" w:hAnsiTheme="majorHAnsi" w:cs="Arial"/>
          <w:color w:val="808080" w:themeColor="background1" w:themeShade="80"/>
          <w:lang w:val="es-MX"/>
        </w:rPr>
        <w:t xml:space="preserve">UNAMG, </w:t>
      </w:r>
      <w:hyperlink r:id="rId104" w:history="1">
        <w:r w:rsidRPr="001944CF">
          <w:rPr>
            <w:rStyle w:val="Hyperlink"/>
            <w:rFonts w:asciiTheme="majorHAnsi" w:hAnsiTheme="majorHAnsi" w:cs="Arial"/>
            <w:color w:val="808080" w:themeColor="background1" w:themeShade="80"/>
            <w:lang w:val="es-MX"/>
          </w:rPr>
          <w:t>Sepur Zarco, el camino de las mujeres hacia la justicia</w:t>
        </w:r>
      </w:hyperlink>
      <w:r w:rsidRPr="001944CF">
        <w:rPr>
          <w:rFonts w:asciiTheme="majorHAnsi" w:hAnsiTheme="majorHAnsi" w:cs="Arial"/>
          <w:color w:val="808080" w:themeColor="background1" w:themeShade="80"/>
          <w:lang w:val="es-MX"/>
        </w:rPr>
        <w:t>, [‘Sepur Zarco, the women’s path to justice’], 2016.</w:t>
      </w:r>
    </w:p>
  </w:footnote>
  <w:footnote w:id="221">
    <w:p w14:paraId="0DCA79F4" w14:textId="5F3C9FB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Mujeres Transformando el Mundo, </w:t>
      </w:r>
      <w:r w:rsidRPr="001944CF">
        <w:rPr>
          <w:rFonts w:asciiTheme="majorHAnsi" w:hAnsiTheme="majorHAnsi"/>
          <w:i/>
          <w:iCs/>
          <w:color w:val="808080" w:themeColor="background1" w:themeShade="80"/>
          <w:lang w:val="es-MX"/>
        </w:rPr>
        <w:t>Estudio de la Sentencia del Caso Sepur Zarco</w:t>
      </w:r>
      <w:r w:rsidRPr="001944CF">
        <w:rPr>
          <w:rFonts w:asciiTheme="majorHAnsi" w:hAnsiTheme="majorHAnsi"/>
          <w:color w:val="808080" w:themeColor="background1" w:themeShade="80"/>
          <w:lang w:val="es-MX"/>
        </w:rPr>
        <w:t xml:space="preserve">, [‘Study of the Judgment of the Sepur Zarco case’] July 2017. </w:t>
      </w:r>
      <w:r w:rsidRPr="001944CF">
        <w:rPr>
          <w:rFonts w:asciiTheme="majorHAnsi" w:hAnsiTheme="majorHAnsi"/>
          <w:color w:val="808080" w:themeColor="background1" w:themeShade="80"/>
        </w:rPr>
        <w:t>Document submitted during the on-site visit of the IACHR, from July 31 to August 4, 2017, at a meeting with women from the indigenous communities of Alta Verapaz, visit to Cobán conducted on August 1, 2017.</w:t>
      </w:r>
    </w:p>
  </w:footnote>
  <w:footnote w:id="222">
    <w:p w14:paraId="2BB52B42" w14:textId="33C73C0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of Guatemala, </w:t>
      </w:r>
      <w:hyperlink r:id="rId105" w:history="1">
        <w:r w:rsidRPr="001944CF">
          <w:rPr>
            <w:rStyle w:val="Hyperlink"/>
            <w:rFonts w:asciiTheme="majorHAnsi" w:hAnsiTheme="majorHAnsi"/>
            <w:i/>
            <w:iCs/>
            <w:color w:val="808080" w:themeColor="background1" w:themeShade="80"/>
          </w:rPr>
          <w:t>Informe Anual Circunstanciado 2016</w:t>
        </w:r>
      </w:hyperlink>
      <w:r w:rsidRPr="001944CF">
        <w:rPr>
          <w:rFonts w:asciiTheme="majorHAnsi" w:hAnsiTheme="majorHAnsi"/>
          <w:color w:val="808080" w:themeColor="background1" w:themeShade="80"/>
        </w:rPr>
        <w:t xml:space="preserve">, [‘2016 Annual Status Report’], January 31, 2017, p.72; CEJIL, “Observaciones al Informe sobre la situación de derechos humanos en Guatemala” [‘Observations to the Report on the Situation of Human Rights in Guatemala’], October 14, 2016; IACHR, Annual Report 2016, </w:t>
      </w:r>
      <w:hyperlink r:id="rId106" w:history="1">
        <w:r w:rsidRPr="001944CF">
          <w:rPr>
            <w:rStyle w:val="Hyperlink"/>
            <w:rFonts w:asciiTheme="majorHAnsi" w:hAnsiTheme="majorHAnsi"/>
            <w:i/>
            <w:iCs/>
            <w:color w:val="808080" w:themeColor="background1" w:themeShade="80"/>
          </w:rPr>
          <w:t>Capítulo V:</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i/>
            <w:iCs/>
            <w:color w:val="808080" w:themeColor="background1" w:themeShade="80"/>
          </w:rPr>
          <w:t>Seguimiento de recomendaciones formuladas por la CIDH en sus informes de país o temáticos</w:t>
        </w:r>
      </w:hyperlink>
      <w:r w:rsidRPr="001944CF">
        <w:rPr>
          <w:rFonts w:asciiTheme="majorHAnsi" w:hAnsiTheme="majorHAnsi"/>
          <w:color w:val="808080" w:themeColor="background1" w:themeShade="80"/>
        </w:rPr>
        <w:t>, [‘Chapter V: Follow-up of recommendations made by the IACHR in its country or thematic reports’] para. 121.</w:t>
      </w:r>
    </w:p>
  </w:footnote>
  <w:footnote w:id="223">
    <w:p w14:paraId="60493D7E" w14:textId="7D5642C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By way of example, civil society organizations made reference to the arrest in January 2016 of 18 former members of the military forces, who in 1978 and 1989 were allegedly involved in committing gross human rights violations, including forced disappearances, extrajudicial executions, torture, violence and sexual violence. The persons standing accused include Edgar Ovalle, retired coronel and deputy until May 2017, and one of the founders of the political party in power FCN-Nación. Ovalle is currently a fugitive from justice and Interpol issued a Red Alert for his arrest, charged with forced disappearance and crimes against humanity relating to the bone remains discovered at CREOMPAZ. Interpol, Red Alert for Edgar Justino Ovalle Maldonado, June 18, 2017. It can be viewed at: </w:t>
      </w:r>
      <w:hyperlink r:id="rId107" w:history="1">
        <w:r w:rsidRPr="001944CF">
          <w:rPr>
            <w:rStyle w:val="Hyperlink"/>
            <w:rFonts w:asciiTheme="majorHAnsi" w:hAnsiTheme="majorHAnsi"/>
            <w:color w:val="808080" w:themeColor="background1" w:themeShade="80"/>
          </w:rPr>
          <w:t>https://www.interpol.int/es/notice/search/wanted/2017-16771</w:t>
        </w:r>
      </w:hyperlink>
      <w:r w:rsidRPr="001944CF">
        <w:rPr>
          <w:rFonts w:asciiTheme="majorHAnsi" w:hAnsiTheme="majorHAnsi"/>
          <w:color w:val="808080" w:themeColor="background1" w:themeShade="80"/>
        </w:rPr>
        <w:t>.</w:t>
      </w:r>
    </w:p>
  </w:footnote>
  <w:footnote w:id="224">
    <w:p w14:paraId="74C905A7" w14:textId="714E0BD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See, by way of example, CEJIL, “Observaciones al Informe sobre la situación de derechos humanos en Guatemala” [‘Observations to the Report on the Situation of Human Rights in Guatemala’], October 14, 2016, p. 7.</w:t>
      </w:r>
    </w:p>
  </w:footnote>
  <w:footnote w:id="225">
    <w:p w14:paraId="5EEAD3AC" w14:textId="5A290EB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El Diario, “Ríos Montt declarado incapaz para afrontar un juicio por genocidio en Guatemala” [‘Rios Montt found incompetent to stand trial for genocide in Guatemala’], November 16, 2016. </w:t>
      </w:r>
      <w:r w:rsidRPr="001944CF">
        <w:rPr>
          <w:rFonts w:asciiTheme="majorHAnsi" w:hAnsiTheme="majorHAnsi"/>
          <w:color w:val="808080" w:themeColor="background1" w:themeShade="80"/>
        </w:rPr>
        <w:t xml:space="preserve">It can be found at:  </w:t>
      </w:r>
      <w:hyperlink r:id="rId108" w:history="1">
        <w:r w:rsidRPr="001944CF">
          <w:rPr>
            <w:rStyle w:val="Hyperlink"/>
            <w:rFonts w:asciiTheme="majorHAnsi" w:hAnsiTheme="majorHAnsi"/>
            <w:color w:val="808080" w:themeColor="background1" w:themeShade="80"/>
          </w:rPr>
          <w:t>http://www.eldiario.es/politica/Rios-Montt-declarado-genocidio-Guatemala_0_580943079.html</w:t>
        </w:r>
      </w:hyperlink>
      <w:r w:rsidRPr="001944CF">
        <w:rPr>
          <w:rFonts w:asciiTheme="majorHAnsi" w:hAnsiTheme="majorHAnsi"/>
          <w:color w:val="808080" w:themeColor="background1" w:themeShade="80"/>
        </w:rPr>
        <w:t xml:space="preserve">.  </w:t>
      </w:r>
    </w:p>
  </w:footnote>
  <w:footnote w:id="226">
    <w:p w14:paraId="71C75EFF" w14:textId="537436B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09" w:history="1">
        <w:r w:rsidRPr="001944CF">
          <w:rPr>
            <w:rStyle w:val="Hyperlink"/>
            <w:rFonts w:asciiTheme="majorHAnsi" w:hAnsiTheme="majorHAnsi"/>
            <w:color w:val="808080" w:themeColor="background1" w:themeShade="80"/>
            <w:lang w:val="es-MX"/>
          </w:rPr>
          <w:t>CIDH concluye visita de trabajo a Guatemala, 12 de junio  de 2009</w:t>
        </w:r>
      </w:hyperlink>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 xml:space="preserve">[‘IACHR concludes working visit to Guatemala, June 12, 2009’]. </w:t>
      </w:r>
    </w:p>
  </w:footnote>
  <w:footnote w:id="227">
    <w:p w14:paraId="089463F6" w14:textId="2C652EA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Bufete Jurídico de Derechos Humanos, CALDH, Grupo de Apoyo Mutuo GAM, and FAMDEGUA, Report on the Situation of Memory, Truth and Justice, July 2017. In the archives of the Commission. </w:t>
      </w:r>
    </w:p>
  </w:footnote>
  <w:footnote w:id="228">
    <w:p w14:paraId="3FCB89A4" w14:textId="40BC954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159</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Public Hearing “Right to full reparation for victims of the armed conflict in Guatemala,” Panamá, December 6, 2016. IACHR, 156</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Public Hearing, “Human rights and transitional justice in Guatemala,” October 22, 2015. IACHR, 153</w:t>
      </w:r>
      <w:r w:rsidRPr="001944CF">
        <w:rPr>
          <w:rFonts w:asciiTheme="majorHAnsi" w:hAnsiTheme="majorHAnsi"/>
          <w:color w:val="808080" w:themeColor="background1" w:themeShade="80"/>
          <w:vertAlign w:val="superscript"/>
        </w:rPr>
        <w:t>rd</w:t>
      </w:r>
      <w:r w:rsidRPr="001944CF">
        <w:rPr>
          <w:rFonts w:asciiTheme="majorHAnsi" w:hAnsiTheme="majorHAnsi"/>
          <w:color w:val="808080" w:themeColor="background1" w:themeShade="80"/>
        </w:rPr>
        <w:t xml:space="preserve"> Session, Public Hearing “Access to justice and legacy of the internal armed conflict in Guatemala,” October 28, 2014. IACHR, 150</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Public Hearing “National Reparation Program in Guatemala,” March 25, 2014. IACHR, 144</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Public Hearing, “Situation of women victims of human rights violations during the internal armed conflict in Guatemala,” March 27, 2012. IACHR, 138</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Public Hearing “Public policy on reparations in Guatemala,” March 19, 2010.</w:t>
      </w:r>
    </w:p>
  </w:footnote>
  <w:footnote w:id="229">
    <w:p w14:paraId="7E6C3809" w14:textId="1DB7133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CEJIL, “Observaciones al Informe sobre la situación de derechos humanos en Guatemala” [‘Observations to the Report on the Situation of Human Rights in Guatemala’], October 14, 2016.</w:t>
      </w:r>
    </w:p>
  </w:footnote>
  <w:footnote w:id="230">
    <w:p w14:paraId="18AE9AD9" w14:textId="13680F3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Public Hearing “Right to full reparation for victims of the armed conflict in Guatemala,” Panama, December 6, 2016; information submitted by civil society organizations to request a thematic hearing on “Reparation in Guatemala,” October 10, 2016.</w:t>
      </w:r>
    </w:p>
  </w:footnote>
  <w:footnote w:id="231">
    <w:p w14:paraId="7D7727C2" w14:textId="1A1BED8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Republic of Guatemala, Report of the State of Guatemala on draft Chapter V on follow-up to the recommendations of the IV Country Report of the IACHR: Diversity, Inequality and Exclusion (2015). Nota P-943a-2016/VHGM/MJOS/HM/af-wr, received on October 10, 2016, pg. 81. Information provided by the State, Ref. P-859-2017/VHGM/LWC/nj, June 16, 2017, Annex 21.</w:t>
      </w:r>
    </w:p>
  </w:footnote>
  <w:footnote w:id="232">
    <w:p w14:paraId="5F3D2EC4" w14:textId="3C74DB6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Public Hearing “Right to full reparation for the victims of the armed conflict in Guatemala,” Panama, December 6, 2016. </w:t>
      </w:r>
    </w:p>
  </w:footnote>
  <w:footnote w:id="233">
    <w:p w14:paraId="4938079E" w14:textId="6A125D4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Status report on the situation of the Public Reparations Policy in Guatemala, submitted by 22 communities of Nebaj and Cotzal, Quiché, July 31, 2017. In the archives of the IACHR. </w:t>
      </w:r>
    </w:p>
  </w:footnote>
  <w:footnote w:id="234">
    <w:p w14:paraId="05892041" w14:textId="5D90681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235">
    <w:p w14:paraId="78A707A5" w14:textId="07F646A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Ibid.</w:t>
      </w:r>
    </w:p>
  </w:footnote>
  <w:footnote w:id="236">
    <w:p w14:paraId="3ADD4153" w14:textId="0E001CC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National Widows Coordinator of Guatemala (CONAVIGUA), Asociación Campesina de Desarrollo Nebajense (ASOCDENEB), Coordinadora de Víctimas de Alta Verapaz (CODEVI), Centro de Análisis Forense de Ciencias Aplicadas (CAFCA), Thematic hearing “Situation of women victims of human rights violations during the internal armed conflict in Guatemala,” held during the 144</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of the iACHR in Washington D.C., on March 27, 2012. CEJIL, Observations to the Report on the Situation of Human Rights in Guatemala, October 14, 2016.</w:t>
      </w:r>
    </w:p>
  </w:footnote>
  <w:footnote w:id="237">
    <w:p w14:paraId="551FD4B5" w14:textId="355DB28D" w:rsidR="001D7FF7" w:rsidRPr="001944CF" w:rsidRDefault="001D7FF7" w:rsidP="006F17D4">
      <w:pPr>
        <w:pStyle w:val="FootnoteText"/>
        <w:rPr>
          <w:rFonts w:asciiTheme="majorHAnsi" w:hAnsiTheme="majorHAnsi" w:cs="Arial"/>
          <w:color w:val="808080" w:themeColor="background1" w:themeShade="80"/>
        </w:rPr>
      </w:pPr>
      <w:r w:rsidRPr="001944CF">
        <w:rPr>
          <w:rFonts w:asciiTheme="majorHAnsi" w:hAnsiTheme="majorHAnsi"/>
          <w:color w:val="808080" w:themeColor="background1" w:themeShade="80"/>
          <w:vertAlign w:val="superscript"/>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Rape was used as an instrument of war and as a tool to generate terror and subdue the population. </w:t>
      </w:r>
      <w:r w:rsidRPr="001944CF">
        <w:rPr>
          <w:rFonts w:asciiTheme="majorHAnsi" w:hAnsiTheme="majorHAnsi" w:cs="Arial"/>
          <w:color w:val="808080" w:themeColor="background1" w:themeShade="80"/>
        </w:rPr>
        <w:t xml:space="preserve">CICIG, </w:t>
      </w:r>
      <w:hyperlink r:id="rId110" w:history="1">
        <w:r w:rsidRPr="001944CF">
          <w:rPr>
            <w:rStyle w:val="Hyperlink"/>
            <w:rFonts w:asciiTheme="majorHAnsi" w:hAnsiTheme="majorHAnsi" w:cs="Arial"/>
            <w:color w:val="808080" w:themeColor="background1" w:themeShade="80"/>
          </w:rPr>
          <w:t>Tribunal de Conciencia contra la Violencia Sexual hacia las Mujeres</w:t>
        </w:r>
      </w:hyperlink>
      <w:r w:rsidRPr="001944CF">
        <w:rPr>
          <w:rFonts w:asciiTheme="majorHAnsi" w:hAnsiTheme="majorHAnsi" w:cs="Arial"/>
          <w:color w:val="808080" w:themeColor="background1" w:themeShade="80"/>
        </w:rPr>
        <w:t xml:space="preserve">, [‘Court of Conscience against sexual violence toward women’], Press release, March 5, 2010. The Commission for Historical Clarification (CEH) determined that sexual violence against women was a prevalent practice during the three decades of conflict and cautioned that sexual violence statistics have been underestimated: of the 42,275 human rights violations reported, only 2.38% are for sexual violence. Of the 1,465 cases reported, the CEH was only able to document 285 cases. UN WOMEN, </w:t>
      </w:r>
      <w:hyperlink r:id="rId111" w:history="1">
        <w:r w:rsidRPr="001944CF">
          <w:rPr>
            <w:rStyle w:val="Hyperlink"/>
            <w:rFonts w:asciiTheme="majorHAnsi" w:hAnsiTheme="majorHAnsi" w:cs="Arial"/>
            <w:color w:val="808080" w:themeColor="background1" w:themeShade="80"/>
          </w:rPr>
          <w:t>Guatemala Country Background</w:t>
        </w:r>
      </w:hyperlink>
      <w:r w:rsidRPr="001944CF">
        <w:rPr>
          <w:rFonts w:asciiTheme="majorHAnsi" w:hAnsiTheme="majorHAnsi" w:cs="Arial"/>
          <w:color w:val="808080" w:themeColor="background1" w:themeShade="80"/>
        </w:rPr>
        <w:t>, 2017.</w:t>
      </w:r>
    </w:p>
  </w:footnote>
  <w:footnote w:id="238">
    <w:p w14:paraId="41300F80" w14:textId="6697890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Network of Social and Victims’ Organizations, </w:t>
      </w:r>
      <w:hyperlink r:id="rId112" w:history="1">
        <w:r w:rsidRPr="001944CF">
          <w:rPr>
            <w:rStyle w:val="Hyperlink"/>
            <w:rFonts w:asciiTheme="majorHAnsi" w:hAnsiTheme="majorHAnsi"/>
            <w:color w:val="808080" w:themeColor="background1" w:themeShade="80"/>
          </w:rPr>
          <w:t>Informe Auditoría social a la política de reparación del Estado de Guatemala</w:t>
        </w:r>
      </w:hyperlink>
      <w:r w:rsidRPr="001944CF">
        <w:rPr>
          <w:rFonts w:asciiTheme="majorHAnsi" w:hAnsiTheme="majorHAnsi"/>
          <w:color w:val="808080" w:themeColor="background1" w:themeShade="80"/>
        </w:rPr>
        <w:t>, [‘Social audit report on the reparation policy of the State of Guatemala’], January 2015, p. 35.</w:t>
      </w:r>
    </w:p>
  </w:footnote>
  <w:footnote w:id="239">
    <w:p w14:paraId="6BCF82FB" w14:textId="5E7118D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during the IACHR’s on-site visit, from July 31 to August 4, 2017. Information provided by the organization Estrella Polar of Guatemala at the public meeting held on July 31, 2017 in Guatemala City.</w:t>
      </w:r>
    </w:p>
  </w:footnote>
  <w:footnote w:id="240">
    <w:p w14:paraId="12E0BD17" w14:textId="33D3435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241">
    <w:p w14:paraId="52C2D007" w14:textId="4ACAC91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P-859-2017/VHGM/LWC/nj, June 16, 2017, Annex 21, pp. 9-16.</w:t>
      </w:r>
    </w:p>
  </w:footnote>
  <w:footnote w:id="242">
    <w:p w14:paraId="16B390FC" w14:textId="6090DCC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Annex 21, p. 24.</w:t>
      </w:r>
    </w:p>
  </w:footnote>
  <w:footnote w:id="243">
    <w:p w14:paraId="01CDD15E" w14:textId="3071C5C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Status report on the situation of the Public Reparations Policy in Guatemala, submitted by 22 communities of Nebaj and Cotzal, Quiché, July 31, 2017. In archive of the IACHR.</w:t>
      </w:r>
    </w:p>
  </w:footnote>
  <w:footnote w:id="244">
    <w:p w14:paraId="4FE5B101" w14:textId="17BE6D0B"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IACHR, </w:t>
      </w:r>
      <w:r w:rsidRPr="001944CF">
        <w:rPr>
          <w:rFonts w:asciiTheme="majorHAnsi" w:hAnsiTheme="majorHAnsi"/>
          <w:i/>
          <w:color w:val="808080" w:themeColor="background1" w:themeShade="80"/>
          <w:sz w:val="16"/>
          <w:szCs w:val="16"/>
        </w:rPr>
        <w:t xml:space="preserve">Situation of Human Rights in </w:t>
      </w:r>
      <w:r w:rsidRPr="001944CF">
        <w:rPr>
          <w:rFonts w:asciiTheme="majorHAnsi" w:hAnsiTheme="majorHAnsi"/>
          <w:i/>
          <w:iCs/>
          <w:color w:val="808080" w:themeColor="background1" w:themeShade="80"/>
          <w:sz w:val="16"/>
          <w:szCs w:val="16"/>
        </w:rPr>
        <w:t>Guatemala:</w:t>
      </w:r>
      <w:r w:rsidRPr="001944CF">
        <w:rPr>
          <w:rFonts w:asciiTheme="majorHAnsi" w:hAnsiTheme="majorHAnsi"/>
          <w:color w:val="808080" w:themeColor="background1" w:themeShade="80"/>
          <w:sz w:val="16"/>
          <w:szCs w:val="16"/>
        </w:rPr>
        <w:t xml:space="preserve"> </w:t>
      </w:r>
      <w:r w:rsidRPr="001944CF">
        <w:rPr>
          <w:rFonts w:asciiTheme="majorHAnsi" w:hAnsiTheme="majorHAnsi"/>
          <w:i/>
          <w:color w:val="808080" w:themeColor="background1" w:themeShade="80"/>
          <w:sz w:val="16"/>
          <w:szCs w:val="16"/>
        </w:rPr>
        <w:t xml:space="preserve">Diversity, Inequality and Exclusion, </w:t>
      </w:r>
      <w:r w:rsidRPr="001944CF">
        <w:rPr>
          <w:rFonts w:asciiTheme="majorHAnsi" w:hAnsiTheme="majorHAnsi"/>
          <w:color w:val="808080" w:themeColor="background1" w:themeShade="80"/>
          <w:sz w:val="16"/>
          <w:szCs w:val="16"/>
        </w:rPr>
        <w:t xml:space="preserve">OEA/Ser.L/V/II.Doc. 43/15, December 30, 2015, para. 127. </w:t>
      </w:r>
    </w:p>
  </w:footnote>
  <w:footnote w:id="245">
    <w:p w14:paraId="39C45380" w14:textId="7F6A067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w:t>
      </w:r>
      <w:r w:rsidRPr="001944CF">
        <w:rPr>
          <w:rFonts w:asciiTheme="majorHAnsi" w:hAnsiTheme="majorHAnsi"/>
          <w:i/>
          <w:iCs/>
          <w:color w:val="808080" w:themeColor="background1" w:themeShade="80"/>
        </w:rPr>
        <w:t>Case of Bámaca Velásquez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xml:space="preserve">. Judgment of November 25, 2000, Merits. Series C No. 70, para. 212. IA Court of HR, </w:t>
      </w:r>
      <w:r w:rsidRPr="001944CF">
        <w:rPr>
          <w:rFonts w:asciiTheme="majorHAnsi" w:hAnsiTheme="majorHAnsi"/>
          <w:i/>
          <w:iCs/>
          <w:color w:val="808080" w:themeColor="background1" w:themeShade="80"/>
        </w:rPr>
        <w:t>Case of Bámaca Velásquez v.</w:t>
      </w:r>
      <w:r w:rsidRPr="001944CF">
        <w:rPr>
          <w:rFonts w:asciiTheme="majorHAnsi" w:hAnsiTheme="majorHAnsi"/>
          <w:color w:val="808080" w:themeColor="background1" w:themeShade="80"/>
        </w:rPr>
        <w:t xml:space="preserve"> </w:t>
      </w:r>
      <w:r w:rsidRPr="001944CF">
        <w:rPr>
          <w:rFonts w:asciiTheme="majorHAnsi" w:hAnsiTheme="majorHAnsi"/>
          <w:i/>
          <w:iCs/>
          <w:color w:val="808080" w:themeColor="background1" w:themeShade="80"/>
        </w:rPr>
        <w:t>Guatemala</w:t>
      </w:r>
      <w:r w:rsidRPr="001944CF">
        <w:rPr>
          <w:rFonts w:asciiTheme="majorHAnsi" w:hAnsiTheme="majorHAnsi"/>
          <w:color w:val="808080" w:themeColor="background1" w:themeShade="80"/>
        </w:rPr>
        <w:t>. Resolution of January 27, 2009, pars. 28-30.</w:t>
      </w:r>
    </w:p>
  </w:footnote>
  <w:footnote w:id="246">
    <w:p w14:paraId="3BC421B4" w14:textId="66AE0D87"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IACHR, Situation of Human Rights in </w:t>
      </w:r>
      <w:r w:rsidRPr="001944CF">
        <w:rPr>
          <w:rFonts w:asciiTheme="majorHAnsi" w:hAnsiTheme="majorHAnsi"/>
          <w:iCs/>
          <w:color w:val="808080" w:themeColor="background1" w:themeShade="80"/>
        </w:rPr>
        <w:t>Guatemala:</w:t>
      </w:r>
      <w:r w:rsidRPr="001944CF">
        <w:rPr>
          <w:rFonts w:asciiTheme="majorHAnsi" w:hAnsiTheme="majorHAnsi"/>
          <w:color w:val="808080" w:themeColor="background1" w:themeShade="80"/>
        </w:rPr>
        <w:t xml:space="preserve"> Diversity, Inequality and Exclusion, OEA/Ser.L/V/II.Doc. 43/15, December 30, 2015, paras. </w:t>
      </w:r>
      <w:r w:rsidRPr="001944CF">
        <w:rPr>
          <w:rFonts w:asciiTheme="majorHAnsi" w:hAnsiTheme="majorHAnsi"/>
          <w:color w:val="808080" w:themeColor="background1" w:themeShade="80"/>
          <w:lang w:val="es-ES"/>
        </w:rPr>
        <w:t>445-451.</w:t>
      </w:r>
    </w:p>
  </w:footnote>
  <w:footnote w:id="247">
    <w:p w14:paraId="6E4DC5D0" w14:textId="53E3764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UDEFEGUA, </w:t>
      </w:r>
      <w:hyperlink r:id="rId113" w:history="1">
        <w:r w:rsidRPr="001944CF">
          <w:rPr>
            <w:rStyle w:val="Hyperlink"/>
            <w:rFonts w:asciiTheme="majorHAnsi" w:hAnsiTheme="majorHAnsi"/>
            <w:color w:val="808080" w:themeColor="background1" w:themeShade="80"/>
            <w:lang w:val="es-MX"/>
          </w:rPr>
          <w:t>Informe sobre Situación de Defensoras y Defensores de Derechos Humanos en Guatemala.</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lang w:val="es-MX"/>
          </w:rPr>
          <w:t>Un Reflejo del Deterioro de los Derechos Humanos en el País.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rPr>
          <w:t>Enero a Junio de 2017</w:t>
        </w:r>
      </w:hyperlink>
      <w:r w:rsidRPr="001944CF">
        <w:rPr>
          <w:rFonts w:asciiTheme="majorHAnsi" w:hAnsiTheme="majorHAnsi"/>
          <w:color w:val="808080" w:themeColor="background1" w:themeShade="80"/>
        </w:rPr>
        <w:t xml:space="preserve">, [‘Report on the Situation of Human Rights Defenders in Guatemala. A Reflection on the Deterioration of Human Rights in the Country January to June 2017’], August 2017, p. 6. </w:t>
      </w:r>
    </w:p>
  </w:footnote>
  <w:footnote w:id="248">
    <w:p w14:paraId="38AAAB15" w14:textId="583CFA8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 8.</w:t>
      </w:r>
    </w:p>
  </w:footnote>
  <w:footnote w:id="249">
    <w:p w14:paraId="06721B7A" w14:textId="3663CF2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 Release No. 088/17, </w:t>
      </w:r>
      <w:hyperlink r:id="rId114" w:history="1">
        <w:r w:rsidRPr="001944CF">
          <w:rPr>
            <w:rStyle w:val="Hyperlink"/>
            <w:rFonts w:asciiTheme="majorHAnsi" w:hAnsiTheme="majorHAnsi"/>
            <w:color w:val="808080" w:themeColor="background1" w:themeShade="80"/>
          </w:rPr>
          <w:t>Expertos condenan ataques y asesinatos de defensoras y defensores del medioambiente en Guatemala</w:t>
        </w:r>
      </w:hyperlink>
      <w:r w:rsidRPr="001944CF">
        <w:rPr>
          <w:rFonts w:asciiTheme="majorHAnsi" w:hAnsiTheme="majorHAnsi"/>
          <w:color w:val="808080" w:themeColor="background1" w:themeShade="80"/>
        </w:rPr>
        <w:t xml:space="preserve">, [‘Experts condemn attacks and murders of defenders of the environment in Guatemala’], June 30, 2017. </w:t>
      </w:r>
    </w:p>
  </w:footnote>
  <w:footnote w:id="250">
    <w:p w14:paraId="6294B870" w14:textId="2E0E06C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UDEFEGUA, </w:t>
      </w:r>
      <w:hyperlink r:id="rId115" w:history="1">
        <w:r w:rsidRPr="001944CF">
          <w:rPr>
            <w:rStyle w:val="Hyperlink"/>
            <w:rFonts w:asciiTheme="majorHAnsi" w:hAnsiTheme="majorHAnsi"/>
            <w:color w:val="808080" w:themeColor="background1" w:themeShade="80"/>
            <w:lang w:val="es-ES"/>
          </w:rPr>
          <w:t xml:space="preserve">Informe sobre </w:t>
        </w:r>
        <w:r w:rsidRPr="001944CF">
          <w:rPr>
            <w:rStyle w:val="Hyperlink"/>
            <w:rFonts w:asciiTheme="majorHAnsi" w:hAnsiTheme="majorHAnsi"/>
            <w:color w:val="808080" w:themeColor="background1" w:themeShade="80"/>
            <w:lang w:val="es-MX"/>
          </w:rPr>
          <w:t>Situación de Defensoras y Defensores de Derechos Humanos en Guatemala.</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lang w:val="es-MX"/>
          </w:rPr>
          <w:t>Un Reflejo del Deterioro de los Derechos Humanos en el País.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rPr>
          <w:t>Enero a Junio de 2017</w:t>
        </w:r>
      </w:hyperlink>
      <w:r w:rsidRPr="001944CF">
        <w:rPr>
          <w:rFonts w:asciiTheme="majorHAnsi" w:hAnsiTheme="majorHAnsi"/>
          <w:color w:val="808080" w:themeColor="background1" w:themeShade="80"/>
        </w:rPr>
        <w:t>, [‘Report on the Situation of Human Rights Defenders in Guatemala. A Reflection on the Deterioration of Human Rights in the Country January to June 2017’], August 2017, pp. 9-10.</w:t>
      </w:r>
    </w:p>
  </w:footnote>
  <w:footnote w:id="251">
    <w:p w14:paraId="7E748576" w14:textId="6B268EF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Meeting with criminalized defenders in the Municipality of San Pablo, San Marcos, in the context of the on-site visit, in the City of Guatemala, on August 1, 2017; Civil Society, Situation of Human Rights in the Northern Region of Guatemala, August 1, 2017, p. 1. </w:t>
      </w:r>
    </w:p>
  </w:footnote>
  <w:footnote w:id="252">
    <w:p w14:paraId="57310BD5" w14:textId="6A488A4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Contribution of the Human Rights Ombudsman Third Cycle for Guatemala Universal Periodic Review, March 2017, p. 3.</w:t>
      </w:r>
    </w:p>
  </w:footnote>
  <w:footnote w:id="253">
    <w:p w14:paraId="0F9FCFE9" w14:textId="7BED128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eastAsia="Calibr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Ibid., pg. 3. See IA Court of HR. </w:t>
      </w:r>
      <w:hyperlink r:id="rId116" w:history="1">
        <w:r w:rsidRPr="001944CF">
          <w:rPr>
            <w:rFonts w:asciiTheme="majorHAnsi" w:hAnsiTheme="majorHAnsi"/>
            <w:color w:val="808080" w:themeColor="background1" w:themeShade="80"/>
            <w:u w:val="single"/>
            <w:lang w:val="es-MX"/>
          </w:rPr>
          <w:t>Caso Defensor de Derechos Humanos y otros Vs.</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u w:val="single"/>
            <w:lang w:val="es-MX"/>
          </w:rPr>
          <w:t>Guatemala.</w:t>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u w:val="single"/>
            <w:lang w:val="es-MX"/>
          </w:rPr>
          <w:t>Excepciones Preliminares, Fondo, Reparaciones y Costas</w:t>
        </w:r>
      </w:hyperlink>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[‘Case of Human Rights Defender et al v. Guatemala. Preliminary Objections, Merits, Reparations and Costs’], Judgment of August 28, 2014. Series C No. 283.</w:t>
      </w:r>
    </w:p>
  </w:footnote>
  <w:footnote w:id="254">
    <w:p w14:paraId="00F7D5D8" w14:textId="50ED2F0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By way of example, on December 2, 2016, the IACHR condemned the murder of human rights defender Evelyn Zulma, trans leader and activist of the organization OTRANS Reinas de la Noche, who was the beneficiary of precautionary measures granted by the IACHR on February 3, 2006. According to reports, the body was found with all her teeth knocked out and her hair pulled out. The National Forensic Science Institute of Guatemala (INACIF) reported to the family that Evelyn Zulma Alegría Robles’s throat was cut and based on the toxicological tests, she presented residue of high toxicity that were consistent with the administration of poison. </w:t>
      </w:r>
      <w:r w:rsidRPr="001944CF">
        <w:rPr>
          <w:rFonts w:asciiTheme="majorHAnsi" w:hAnsiTheme="majorHAnsi"/>
          <w:color w:val="808080" w:themeColor="background1" w:themeShade="80"/>
          <w:lang w:val="es-MX"/>
        </w:rPr>
        <w:t xml:space="preserve">IACHR, Press Release No. 181/16, </w:t>
      </w:r>
      <w:hyperlink r:id="rId117" w:history="1">
        <w:r w:rsidRPr="001944CF">
          <w:rPr>
            <w:rStyle w:val="Hyperlink"/>
            <w:rFonts w:asciiTheme="majorHAnsi" w:hAnsiTheme="majorHAnsi"/>
            <w:color w:val="808080" w:themeColor="background1" w:themeShade="80"/>
            <w:lang w:val="es-MX"/>
          </w:rPr>
          <w:t>CIDH repudia asesinato de defensora de derechos humanos de personas trans en Guatemala</w:t>
        </w:r>
      </w:hyperlink>
      <w:r w:rsidRPr="001944CF">
        <w:rPr>
          <w:rFonts w:asciiTheme="majorHAnsi" w:hAnsiTheme="majorHAnsi"/>
          <w:color w:val="808080" w:themeColor="background1" w:themeShade="80"/>
          <w:lang w:val="es-MX"/>
        </w:rPr>
        <w:t xml:space="preserve">, [‘IACHR repudiates murder of trans rights defender in Guatemala’], December 2, 2016; UDEFEGUA, </w:t>
      </w:r>
      <w:hyperlink r:id="rId118" w:history="1">
        <w:r w:rsidRPr="001944CF">
          <w:rPr>
            <w:rStyle w:val="Hyperlink"/>
            <w:rFonts w:asciiTheme="majorHAnsi" w:hAnsiTheme="majorHAnsi"/>
            <w:color w:val="808080" w:themeColor="background1" w:themeShade="80"/>
            <w:lang w:val="es-MX"/>
          </w:rPr>
          <w:t>Informe sobre situación de Defensoras y Defensores de Derechos Humanos</w:t>
        </w:r>
      </w:hyperlink>
      <w:r w:rsidRPr="001944CF">
        <w:rPr>
          <w:rFonts w:asciiTheme="majorHAnsi" w:hAnsiTheme="majorHAnsi"/>
          <w:color w:val="808080" w:themeColor="background1" w:themeShade="80"/>
          <w:lang w:val="es-MX"/>
        </w:rPr>
        <w:t xml:space="preserve">, [‘Report on the situation of human rights defenders’], January 2017, pg. 9. </w:t>
      </w:r>
      <w:r w:rsidRPr="001944CF">
        <w:rPr>
          <w:rFonts w:asciiTheme="majorHAnsi" w:hAnsiTheme="majorHAnsi"/>
          <w:color w:val="808080" w:themeColor="background1" w:themeShade="80"/>
        </w:rPr>
        <w:t xml:space="preserve">Separately, the OUNHCHR condemned several cases of murder of human rights defenders perpetrated in 2016, citing that in the past two years, murders of human rights defenders have been on the rise. For example, on March 18, 2016, it condemned the murder of human rights defender Walter Manfredo Méndez, President of Cooperativa La Lucha del municipio Las Cruces, Petén, and member of Frente Petenero contra las Represas. United Nations, UNESCO and the OUNHCHR condemn murders of journalist and human rights defender, March 18, 2016. The High Commissioner also spoke out about the case of Daniel Choc, murdered in June 2016 in the context of the San Juan Tres Rios of Alta Verapaz indigenous community’s land claim, supported by the organization Comité de Campesinos del Altiplano (CCDA). United Nations, </w:t>
      </w:r>
      <w:hyperlink r:id="rId119" w:history="1">
        <w:r w:rsidRPr="001944CF">
          <w:rPr>
            <w:rStyle w:val="Hyperlink"/>
            <w:rFonts w:asciiTheme="majorHAnsi" w:hAnsiTheme="majorHAnsi"/>
            <w:color w:val="808080" w:themeColor="background1" w:themeShade="80"/>
          </w:rPr>
          <w:t>Informe del Alto Comisionado de las Naciones Unidas para los Derechos Humanos sobre las actividades de su Oficina en Guatemala 2016</w:t>
        </w:r>
      </w:hyperlink>
      <w:r w:rsidRPr="001944CF">
        <w:rPr>
          <w:rFonts w:asciiTheme="majorHAnsi" w:hAnsiTheme="majorHAnsi"/>
          <w:color w:val="808080" w:themeColor="background1" w:themeShade="80"/>
        </w:rPr>
        <w:t>, [‘Report of the United Nations High Commissioner for Human Rights on the activities of his Office in Guatemala 2016’], A/HRC/34/3/Add.1, January 11, 2017, para. 36. Likewise, it condemned the murder on June 19 of Brenda Marleni Estrada Tambito, legal counsel of the Unión Sindical de Trabajadores de Guatemala (UNSITRAGUA HISTÓRICA), who was dedicated to the strengthening of the exercise of the right to collective bargaining and to worker organization. United Nations High Commissioner for Human Rights, OACNUDH rechaza recientes asesinatos de defensoras y defensores de derechos humanos, [‘OUNHCHR rejects recent murders of human rights defenders’], June 21, 2016.</w:t>
      </w:r>
    </w:p>
  </w:footnote>
  <w:footnote w:id="255">
    <w:p w14:paraId="3ED37BC9" w14:textId="36329D0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On June 5, 2017, in the context of World Environment Day, the IACHR noted its concern over the murder of Sebastián Alonso Juan, defender of indigenous rights and of native territory of Yulchen, on January 17, 2017, while he was taking part in a protest rally against a hydroelectric dam project in Ixquisis, in the Department of Huehuetenango. IACHR, Press Release No. 072/17, </w:t>
      </w:r>
      <w:hyperlink r:id="rId120" w:history="1">
        <w:r w:rsidRPr="001944CF">
          <w:rPr>
            <w:rStyle w:val="Hyperlink"/>
            <w:rFonts w:asciiTheme="majorHAnsi" w:hAnsiTheme="majorHAnsi"/>
            <w:color w:val="808080" w:themeColor="background1" w:themeShade="80"/>
          </w:rPr>
          <w:t>CIDH urge a proteger a defensoras y defensores de la tierra y el medio ambiente</w:t>
        </w:r>
      </w:hyperlink>
      <w:r w:rsidRPr="001944CF">
        <w:rPr>
          <w:rFonts w:asciiTheme="majorHAnsi" w:hAnsiTheme="majorHAnsi"/>
          <w:color w:val="808080" w:themeColor="background1" w:themeShade="80"/>
        </w:rPr>
        <w:t>, [‘IACHR Issues Call for OAS States to Protect Defenders of the Land and Environment’], June 5, 2017. During the on-site visit to the hamlet of Ixquisis, the IACHR met with the family members of Sebastián Alonso Juan, who claimed that after being shot, workers of the hydroelectric project proceeded to beat him on one side of his face and neck when he was in the throes of death. Civil society organizations further contended that because of the blockade that workers and persons attached to the hydroelectric company PDHSA were maintaining in the major points of access to the village of Ixquisis, it took several hours to transfer Mr. Alonso Juan to provide him with medical assistance when he was wounded, and given the seriousness of his injuries, he passed away before he could be treated.</w:t>
      </w:r>
    </w:p>
    <w:p w14:paraId="5240B053" w14:textId="4EBEDBD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During the meeting with the family members, they reported to the IACHR delegation that persons connected to the hydroelectric company disturbed the resting place where the remains of Sebastián Alonso Juan were buried and that the case was reported to the Unit for Crimes Committed against Activists of the Office of the Prosecutor for Human Rights and registered under Case File No. MP 001-2017-5897. Meeting with community leaders in Ixquisis, Department of Huehuetenango, in the context of the on-site visit, on August 2, 2017; UDEFEGUA, </w:t>
      </w:r>
      <w:hyperlink r:id="rId121" w:history="1">
        <w:r w:rsidRPr="001944CF">
          <w:rPr>
            <w:rStyle w:val="Hyperlink"/>
            <w:rFonts w:asciiTheme="majorHAnsi" w:hAnsiTheme="majorHAnsi"/>
            <w:color w:val="808080" w:themeColor="background1" w:themeShade="80"/>
          </w:rPr>
          <w:t>Informe sobre situación de Defensoras y Defensores de Derechos Humanos</w:t>
        </w:r>
      </w:hyperlink>
      <w:r w:rsidRPr="001944CF">
        <w:rPr>
          <w:rFonts w:asciiTheme="majorHAnsi" w:hAnsiTheme="majorHAnsi"/>
          <w:color w:val="808080" w:themeColor="background1" w:themeShade="80"/>
        </w:rPr>
        <w:t>, [‘Report on the situation of human rights defenders’], January 2017, p. 6.</w:t>
      </w:r>
    </w:p>
  </w:footnote>
  <w:footnote w:id="256">
    <w:p w14:paraId="16B95172" w14:textId="0B04160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UDEFEGUA, </w:t>
      </w:r>
      <w:hyperlink r:id="rId122" w:history="1">
        <w:r w:rsidRPr="001944CF">
          <w:rPr>
            <w:rStyle w:val="Hyperlink"/>
            <w:rFonts w:asciiTheme="majorHAnsi" w:hAnsiTheme="majorHAnsi"/>
            <w:color w:val="808080" w:themeColor="background1" w:themeShade="80"/>
          </w:rPr>
          <w:t>Informe sobre situación de Defensoras y Defensores de Derechos Humanos</w:t>
        </w:r>
      </w:hyperlink>
      <w:r w:rsidRPr="001944CF">
        <w:rPr>
          <w:rFonts w:asciiTheme="majorHAnsi" w:hAnsiTheme="majorHAnsi"/>
          <w:color w:val="808080" w:themeColor="background1" w:themeShade="80"/>
        </w:rPr>
        <w:t>, [‘Report on the situation of human rights defenders’], January 2017, p. 8.</w:t>
      </w:r>
    </w:p>
  </w:footnote>
  <w:footnote w:id="257">
    <w:p w14:paraId="5E764E77" w14:textId="36CDE55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p. 7, table 3. </w:t>
      </w:r>
    </w:p>
  </w:footnote>
  <w:footnote w:id="258">
    <w:p w14:paraId="7BAD1314" w14:textId="13E4B39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FIDH, </w:t>
      </w:r>
      <w:hyperlink r:id="rId123" w:history="1">
        <w:r w:rsidRPr="001944CF">
          <w:rPr>
            <w:rStyle w:val="Hyperlink"/>
            <w:rFonts w:asciiTheme="majorHAnsi" w:hAnsiTheme="majorHAnsi"/>
            <w:color w:val="808080" w:themeColor="background1" w:themeShade="80"/>
          </w:rPr>
          <w:t>Guatemala: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Campaña de estigmatización, difamación y amenazas de muerte contra personal de CALAS</w:t>
        </w:r>
      </w:hyperlink>
      <w:r w:rsidRPr="001944CF">
        <w:rPr>
          <w:rFonts w:asciiTheme="majorHAnsi" w:hAnsiTheme="majorHAnsi"/>
          <w:color w:val="808080" w:themeColor="background1" w:themeShade="80"/>
        </w:rPr>
        <w:t xml:space="preserve">, [‘Guatemala: Campaign of stigmatization, slander and death threats against CALAS staff’], July 7, 2017. </w:t>
      </w:r>
    </w:p>
  </w:footnote>
  <w:footnote w:id="259">
    <w:p w14:paraId="39C1DD07" w14:textId="4245542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of Guatemala, </w:t>
      </w:r>
      <w:hyperlink r:id="rId124"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p. 198.</w:t>
      </w:r>
    </w:p>
  </w:footnote>
  <w:footnote w:id="260">
    <w:p w14:paraId="5D492BA2" w14:textId="78BA208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Amnesty International, </w:t>
      </w:r>
      <w:hyperlink r:id="rId125" w:history="1">
        <w:r w:rsidRPr="001944CF">
          <w:rPr>
            <w:rStyle w:val="Hyperlink"/>
            <w:rFonts w:asciiTheme="majorHAnsi" w:hAnsiTheme="majorHAnsi"/>
            <w:color w:val="808080" w:themeColor="background1" w:themeShade="80"/>
          </w:rPr>
          <w:t>Defendemos la tierra con nuestra sangre: personas defensoras de la tierra, el territorio y el medio ambiente en Honduras y Guatemala</w:t>
        </w:r>
      </w:hyperlink>
      <w:r w:rsidRPr="001944CF">
        <w:rPr>
          <w:rFonts w:asciiTheme="majorHAnsi" w:hAnsiTheme="majorHAnsi"/>
          <w:color w:val="808080" w:themeColor="background1" w:themeShade="80"/>
        </w:rPr>
        <w:t>, [‘Let us defend the land with our blood: defenders of land, territory and the environment in Honduras and Guatemala’], September 2016, p. 45.</w:t>
      </w:r>
    </w:p>
  </w:footnote>
  <w:footnote w:id="261">
    <w:p w14:paraId="5B1BDABD" w14:textId="177DC18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262">
    <w:p w14:paraId="56A36C49" w14:textId="4E75B7E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26"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[‘Preliminary observations from the IACHR’s on-site visit to Guatemala’], August 4, 2017.</w:t>
      </w:r>
    </w:p>
  </w:footnote>
  <w:footnote w:id="263">
    <w:p w14:paraId="567E0E60" w14:textId="151CCF5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of Guatemala, </w:t>
      </w:r>
      <w:hyperlink r:id="rId127"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p. 197.</w:t>
      </w:r>
    </w:p>
  </w:footnote>
  <w:footnote w:id="264">
    <w:p w14:paraId="3CFA5B42" w14:textId="0D4A2B5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High Commissioner for Human Rights, OACNUDH rechaza mensajes que incitan a la violencia, [‘OUNHCHR rejects messages that incite violence’], July 1, 2016. </w:t>
      </w:r>
    </w:p>
  </w:footnote>
  <w:footnote w:id="265">
    <w:p w14:paraId="6B8BB968" w14:textId="57EA5A5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Most the complaints filed are related to print and digital postings disseminated by the Fundación contra el Terrorismo and its president, where charges are leveled against several human rights defenders as financiers of terrorism groups and fosterers of social conflict in the country, among other allegedly criminal or unlawful conduct. Information received in the context of the visit; UDEFEGUA, Report on transitional justice and human rights defenders, July 31, 2017, p. 2.</w:t>
      </w:r>
    </w:p>
  </w:footnote>
  <w:footnote w:id="266">
    <w:p w14:paraId="6A54C117" w14:textId="5498F10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in the context of the visit; Civil society, Situation of human rights in the northern region of Guatemala, August 1, 2017, p. 17.</w:t>
      </w:r>
    </w:p>
  </w:footnote>
  <w:footnote w:id="267">
    <w:p w14:paraId="5080885D" w14:textId="75260E9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FIDH, </w:t>
      </w:r>
      <w:hyperlink r:id="rId128" w:history="1">
        <w:r w:rsidRPr="001944CF">
          <w:rPr>
            <w:rStyle w:val="Hyperlink"/>
            <w:rFonts w:asciiTheme="majorHAnsi" w:hAnsiTheme="majorHAnsi"/>
            <w:color w:val="808080" w:themeColor="background1" w:themeShade="80"/>
          </w:rPr>
          <w:t>Guatemala: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Campaña de estigmatización, difamación y amenazas de muerte contra personal de CALAS</w:t>
        </w:r>
      </w:hyperlink>
      <w:r w:rsidRPr="001944CF">
        <w:rPr>
          <w:rFonts w:asciiTheme="majorHAnsi" w:hAnsiTheme="majorHAnsi"/>
          <w:color w:val="808080" w:themeColor="background1" w:themeShade="80"/>
        </w:rPr>
        <w:t>, [‘Guatemala: Campaign of stigmatization, smearing and death threats against CALAS staff’], July 7, 2017.</w:t>
      </w:r>
    </w:p>
  </w:footnote>
  <w:footnote w:id="268">
    <w:p w14:paraId="6DFC3F09" w14:textId="500B3BAE"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In particular, they were denigrated with several epithets that “denote disrespect and contempt, delegitimize the work of human rights defense, equating it to illegal, unlawful and harmful actions that the respondent calls “terrorism,” and because its content urges and invokes hatred and intolerance, as opposed to a culture of respect for liberties and fundamental rights in order to achieve peace.” Human Rights Ombudsman of Guatemala, </w:t>
      </w:r>
      <w:hyperlink r:id="rId129" w:history="1">
        <w:r w:rsidRPr="001944CF">
          <w:rPr>
            <w:rStyle w:val="Hyperlink"/>
            <w:rFonts w:asciiTheme="majorHAnsi" w:hAnsiTheme="majorHAnsi"/>
            <w:color w:val="808080" w:themeColor="background1" w:themeShade="80"/>
            <w:sz w:val="16"/>
            <w:szCs w:val="16"/>
          </w:rPr>
          <w:t>Resolución REF.</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EXP.</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ORD.</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GUA.</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8184-2012/DCP Acumulados:</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REF.</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EXP.</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ORD.</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GUA.</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8926-2012/A REF.</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EXP.</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ORD.</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GUA.</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2061-2013/DCP REF.</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EXP.</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ORD.</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GUA.</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2433-2013/DCP REF.</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EXP.</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ORD.</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GUA.</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3554-2013/DCP REF.</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EXP.</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ORD.</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GUA.</w:t>
        </w:r>
        <w:r w:rsidRPr="001944CF">
          <w:rPr>
            <w:rStyle w:val="Hyperlink"/>
            <w:rFonts w:asciiTheme="majorHAnsi" w:hAnsiTheme="majorHAnsi"/>
            <w:color w:val="808080" w:themeColor="background1" w:themeShade="80"/>
            <w:sz w:val="16"/>
            <w:szCs w:val="16"/>
            <w:u w:val="none"/>
          </w:rPr>
          <w:t xml:space="preserve"> </w:t>
        </w:r>
        <w:r w:rsidRPr="001944CF">
          <w:rPr>
            <w:rStyle w:val="Hyperlink"/>
            <w:rFonts w:asciiTheme="majorHAnsi" w:hAnsiTheme="majorHAnsi"/>
            <w:color w:val="808080" w:themeColor="background1" w:themeShade="80"/>
            <w:sz w:val="16"/>
            <w:szCs w:val="16"/>
          </w:rPr>
          <w:t>3632-2013/DCP</w:t>
        </w:r>
      </w:hyperlink>
      <w:r w:rsidRPr="001944CF">
        <w:rPr>
          <w:rFonts w:asciiTheme="majorHAnsi" w:hAnsiTheme="majorHAnsi"/>
          <w:color w:val="808080" w:themeColor="background1" w:themeShade="80"/>
          <w:sz w:val="16"/>
          <w:szCs w:val="16"/>
        </w:rPr>
        <w:t>, Resolution, December 27, 2013, p. 8 et seq.</w:t>
      </w:r>
    </w:p>
  </w:footnote>
  <w:footnote w:id="269">
    <w:p w14:paraId="010B21A7" w14:textId="59FD674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PDH recommended to the Ministry of the Interior to promote a mass outreach campaign on the importance of the work of human rights defenders, legislation protecting said work and the international obligations that the State of Guatemala is required to fulfill with respect to defenders. This resolution was finalized on January 19, 2016 after several appeals filed against it were denied. Human Rights Ombudsman of Guatemala, </w:t>
      </w:r>
      <w:hyperlink r:id="rId130" w:history="1">
        <w:r w:rsidRPr="001944CF">
          <w:rPr>
            <w:rStyle w:val="Hyperlink"/>
            <w:rFonts w:asciiTheme="majorHAnsi" w:hAnsiTheme="majorHAnsi"/>
            <w:color w:val="808080" w:themeColor="background1" w:themeShade="80"/>
          </w:rPr>
          <w:t>Resolución REF.</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EXP.</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ORD.</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GUA.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8184-2012/DCP Acumulados:</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REF.</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EXP.</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ORD.</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GUA.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8926-2012/A REF.</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EXP.</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ORD.</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GUA.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2061-2013/DCP REF.</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EXP.</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ORD.</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GUA.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2433-2013/DCP REF.</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EXP.</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ORD.</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GUA.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3554-2013/DCP REF.</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EXP.</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ORD.</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GUA.</w:t>
        </w:r>
        <w:r w:rsidRPr="001944CF">
          <w:rPr>
            <w:rStyle w:val="Hyperlink"/>
            <w:rFonts w:asciiTheme="majorHAnsi" w:hAnsiTheme="majorHAnsi"/>
            <w:color w:val="808080" w:themeColor="background1" w:themeShade="80"/>
            <w:u w:val="none"/>
          </w:rPr>
          <w:t xml:space="preserve"> </w:t>
        </w:r>
        <w:r w:rsidRPr="001944CF">
          <w:rPr>
            <w:rStyle w:val="Hyperlink"/>
            <w:rFonts w:asciiTheme="majorHAnsi" w:hAnsiTheme="majorHAnsi"/>
            <w:color w:val="808080" w:themeColor="background1" w:themeShade="80"/>
          </w:rPr>
          <w:t>3632-2013/DCP</w:t>
        </w:r>
      </w:hyperlink>
      <w:r w:rsidRPr="001944CF">
        <w:rPr>
          <w:rFonts w:asciiTheme="majorHAnsi" w:hAnsiTheme="majorHAnsi"/>
          <w:color w:val="808080" w:themeColor="background1" w:themeShade="80"/>
        </w:rPr>
        <w:t xml:space="preserve">, December 27, 2013, pgs. 8 et seq. </w:t>
      </w:r>
      <w:r w:rsidRPr="001944CF">
        <w:rPr>
          <w:rFonts w:asciiTheme="majorHAnsi" w:hAnsiTheme="majorHAnsi"/>
          <w:color w:val="808080" w:themeColor="background1" w:themeShade="80"/>
          <w:lang w:val="es-MX"/>
        </w:rPr>
        <w:t xml:space="preserve">Prensa Libre, </w:t>
      </w:r>
      <w:hyperlink r:id="rId131" w:history="1">
        <w:r w:rsidRPr="001944CF">
          <w:rPr>
            <w:rStyle w:val="Hyperlink"/>
            <w:rFonts w:asciiTheme="majorHAnsi" w:hAnsiTheme="majorHAnsi"/>
            <w:color w:val="808080" w:themeColor="background1" w:themeShade="80"/>
            <w:lang w:val="es-MX"/>
          </w:rPr>
          <w:t>CC rechaza amparo de Méndez Ruiz contra la PDH</w:t>
        </w:r>
      </w:hyperlink>
      <w:r w:rsidRPr="001944CF">
        <w:rPr>
          <w:rFonts w:asciiTheme="majorHAnsi" w:hAnsiTheme="majorHAnsi"/>
          <w:color w:val="808080" w:themeColor="background1" w:themeShade="80"/>
          <w:lang w:val="es-MX"/>
        </w:rPr>
        <w:t>, January 27, 2016.</w:t>
      </w:r>
    </w:p>
  </w:footnote>
  <w:footnote w:id="270">
    <w:p w14:paraId="2316AE01" w14:textId="69705CF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Metting in Santa Eulialia with civil society orgnizations; Situation of Human Rights in the Northern Region of Guatemala, August 1, 2017, pg. 3. Amnesty International, </w:t>
      </w:r>
      <w:hyperlink r:id="rId132" w:history="1">
        <w:r w:rsidRPr="001944CF">
          <w:rPr>
            <w:rStyle w:val="Hyperlink"/>
            <w:rFonts w:asciiTheme="majorHAnsi" w:hAnsiTheme="majorHAnsi"/>
            <w:color w:val="808080" w:themeColor="background1" w:themeShade="80"/>
          </w:rPr>
          <w:t>Defendemos la tierra con nuestra sangre: personas defensoras de la tierra, el territorio y el medio ambiente en Honduras y Guatemala</w:t>
        </w:r>
      </w:hyperlink>
      <w:r w:rsidRPr="001944CF">
        <w:rPr>
          <w:rFonts w:asciiTheme="majorHAnsi" w:hAnsiTheme="majorHAnsi"/>
          <w:color w:val="808080" w:themeColor="background1" w:themeShade="80"/>
        </w:rPr>
        <w:t>, [‘Let us defend the land with our blood: defenders of land, territory and the environment in Honduras and Guatemala’], September 2016, pp. 48-49.</w:t>
      </w:r>
    </w:p>
  </w:footnote>
  <w:footnote w:id="271">
    <w:p w14:paraId="381E27E5" w14:textId="16AC77A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UDEFEGUA, </w:t>
      </w:r>
      <w:hyperlink r:id="rId133" w:history="1">
        <w:r w:rsidRPr="001944CF">
          <w:rPr>
            <w:rStyle w:val="Hyperlink"/>
            <w:rFonts w:asciiTheme="majorHAnsi" w:hAnsiTheme="majorHAnsi"/>
            <w:color w:val="808080" w:themeColor="background1" w:themeShade="80"/>
          </w:rPr>
          <w:t>Informe sobre situación de Defensoras y Defensores de Derechos Humanos</w:t>
        </w:r>
      </w:hyperlink>
      <w:r w:rsidRPr="001944CF">
        <w:rPr>
          <w:rFonts w:asciiTheme="majorHAnsi" w:hAnsiTheme="majorHAnsi"/>
          <w:color w:val="808080" w:themeColor="background1" w:themeShade="80"/>
        </w:rPr>
        <w:t>, [‘Report on the situation of human rights defenders’], January 2017, p. 18.</w:t>
      </w:r>
    </w:p>
  </w:footnote>
  <w:footnote w:id="272">
    <w:p w14:paraId="77ED3EC3" w14:textId="71782E44"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34" w:history="1">
        <w:r w:rsidRPr="001944CF">
          <w:rPr>
            <w:rStyle w:val="Hyperlink"/>
            <w:rFonts w:asciiTheme="majorHAnsi" w:hAnsiTheme="majorHAnsi"/>
            <w:color w:val="808080" w:themeColor="background1" w:themeShade="80"/>
            <w:lang w:val="es-MX"/>
          </w:rPr>
          <w:t>Segundo Informe sobre la Situación de las Defensoras y Defensores de Derechos Humanos en las Américas</w:t>
        </w:r>
      </w:hyperlink>
      <w:r w:rsidRPr="001944CF">
        <w:rPr>
          <w:rFonts w:asciiTheme="majorHAnsi" w:hAnsiTheme="majorHAnsi"/>
          <w:color w:val="808080" w:themeColor="background1" w:themeShade="80"/>
          <w:lang w:val="es-MX"/>
        </w:rPr>
        <w:t xml:space="preserve">,[‘Second Report on the Situation of Human Rights Defenders in the Americas’], OEA/Ser.L/V/II. Doc. 66 December 31, 2011, para. 283. </w:t>
      </w:r>
    </w:p>
  </w:footnote>
  <w:footnote w:id="273">
    <w:p w14:paraId="638DBAC5" w14:textId="2A93E1A9"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35" w:history="1">
        <w:r w:rsidRPr="001944CF">
          <w:rPr>
            <w:rStyle w:val="Hyperlink"/>
            <w:rFonts w:asciiTheme="majorHAnsi" w:hAnsiTheme="majorHAnsi"/>
            <w:color w:val="808080" w:themeColor="background1" w:themeShade="80"/>
            <w:lang w:val="es-MX"/>
          </w:rPr>
          <w:t>Medida Cautelar 231-05</w:t>
        </w:r>
      </w:hyperlink>
      <w:r w:rsidRPr="001944CF">
        <w:rPr>
          <w:rFonts w:asciiTheme="majorHAnsi" w:hAnsiTheme="majorHAnsi"/>
          <w:color w:val="808080" w:themeColor="background1" w:themeShade="80"/>
          <w:lang w:val="es-MX"/>
        </w:rPr>
        <w:t xml:space="preserve">, [‘Precautionary Measure 231-05’], November 7, 2005. </w:t>
      </w:r>
    </w:p>
  </w:footnote>
  <w:footnote w:id="274">
    <w:p w14:paraId="4F430230" w14:textId="0644ED16"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Amnesty International, </w:t>
      </w:r>
      <w:hyperlink r:id="rId136" w:history="1">
        <w:r w:rsidRPr="001944CF">
          <w:rPr>
            <w:rStyle w:val="Hyperlink"/>
            <w:rFonts w:asciiTheme="majorHAnsi" w:hAnsiTheme="majorHAnsi"/>
            <w:color w:val="808080" w:themeColor="background1" w:themeShade="80"/>
            <w:lang w:val="es-MX"/>
          </w:rPr>
          <w:t>Defendemos la tierra con nuestra sangre: personas defensoras de la tierra, el territorio y el medio ambiente en Honduras y Guatemala</w:t>
        </w:r>
      </w:hyperlink>
      <w:r w:rsidRPr="001944CF">
        <w:rPr>
          <w:rFonts w:asciiTheme="majorHAnsi" w:hAnsiTheme="majorHAnsi"/>
          <w:color w:val="808080" w:themeColor="background1" w:themeShade="80"/>
          <w:lang w:val="es-MX"/>
        </w:rPr>
        <w:t xml:space="preserve">, [‘We Are Defending the Land with our Blood: Defenders of the Land, Territory and Environment in Honduras and Guatemala’], September 2016, p. 47. </w:t>
      </w:r>
    </w:p>
  </w:footnote>
  <w:footnote w:id="275">
    <w:p w14:paraId="58B7D77C" w14:textId="1D480C8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 48.</w:t>
      </w:r>
    </w:p>
  </w:footnote>
  <w:footnote w:id="276">
    <w:p w14:paraId="1FD2870A" w14:textId="701679D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Ministry of Public Prosecution, Office of the Prosecutor for Administrative Crimes, (AUX) Auxiliaries, (AGS) Agency Five, (UL) Litigation Unit, Testimony MP001-2015-59084.</w:t>
      </w:r>
    </w:p>
  </w:footnote>
  <w:footnote w:id="277">
    <w:p w14:paraId="6A93600C" w14:textId="7A35A5B3"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ES"/>
        </w:rPr>
        <w:t xml:space="preserve"> </w:t>
      </w:r>
      <w:r w:rsidRPr="001944CF">
        <w:rPr>
          <w:rFonts w:asciiTheme="majorHAnsi" w:hAnsiTheme="majorHAnsi"/>
          <w:color w:val="808080" w:themeColor="background1" w:themeShade="80"/>
          <w:sz w:val="16"/>
          <w:szCs w:val="16"/>
          <w:lang w:val="es-ES"/>
        </w:rPr>
        <w:tab/>
        <w:t xml:space="preserve">IACHR, </w:t>
      </w:r>
      <w:hyperlink r:id="rId137" w:history="1">
        <w:r w:rsidRPr="001944CF">
          <w:rPr>
            <w:rFonts w:asciiTheme="majorHAnsi" w:hAnsiTheme="majorHAnsi"/>
            <w:color w:val="808080" w:themeColor="background1" w:themeShade="80"/>
            <w:sz w:val="16"/>
            <w:szCs w:val="16"/>
            <w:u w:val="single"/>
            <w:lang w:val="es-ES"/>
          </w:rPr>
          <w:t>Criminalización de la labor de las de</w:t>
        </w:r>
        <w:r w:rsidRPr="001944CF">
          <w:rPr>
            <w:rFonts w:asciiTheme="majorHAnsi" w:hAnsiTheme="majorHAnsi"/>
            <w:color w:val="808080" w:themeColor="background1" w:themeShade="80"/>
            <w:sz w:val="16"/>
            <w:szCs w:val="16"/>
            <w:u w:val="single"/>
            <w:lang w:val="es-MX"/>
          </w:rPr>
          <w:t>fensoras y los defensores de derechos humanos</w:t>
        </w:r>
      </w:hyperlink>
      <w:r w:rsidRPr="001944CF">
        <w:rPr>
          <w:rFonts w:asciiTheme="majorHAnsi" w:hAnsiTheme="majorHAnsi"/>
          <w:color w:val="808080" w:themeColor="background1" w:themeShade="80"/>
          <w:sz w:val="16"/>
          <w:szCs w:val="16"/>
          <w:lang w:val="es-MX"/>
        </w:rPr>
        <w:t>, [‘Criminalization of the work of human rights defenders’], OEA/Ser.L/V/II, Doc. 49/15, December 31, 2015, paras. 84-85.</w:t>
      </w:r>
    </w:p>
  </w:footnote>
  <w:footnote w:id="278">
    <w:p w14:paraId="32D8AF43" w14:textId="7722CCF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38" w:history="1">
        <w:r w:rsidRPr="001944CF">
          <w:rPr>
            <w:rStyle w:val="Hyperlink"/>
            <w:rFonts w:asciiTheme="majorHAnsi" w:hAnsiTheme="majorHAnsi"/>
            <w:color w:val="808080" w:themeColor="background1" w:themeShade="80"/>
            <w:lang w:val="es-MX"/>
          </w:rPr>
          <w:t>Observaciones Preliminares de la Visita in loco de la CIDH a Guatemala</w:t>
        </w:r>
      </w:hyperlink>
      <w:r w:rsidRPr="001944CF">
        <w:rPr>
          <w:rFonts w:asciiTheme="majorHAnsi" w:hAnsiTheme="majorHAnsi"/>
          <w:color w:val="808080" w:themeColor="background1" w:themeShade="80"/>
          <w:lang w:val="es-MX"/>
        </w:rPr>
        <w:t xml:space="preserve">, [‘Preliminary observations to the IACHR’s on-site visit to Guatemala’], August 4, 2017. </w:t>
      </w:r>
      <w:r w:rsidRPr="001944CF">
        <w:rPr>
          <w:rFonts w:asciiTheme="majorHAnsi" w:hAnsiTheme="majorHAnsi"/>
          <w:color w:val="808080" w:themeColor="background1" w:themeShade="80"/>
        </w:rPr>
        <w:t>Meeting with the organizations in Coban, Alta Verapaz, August 1, 2017, and meeting with organizations in Huehuetenango, August 2, 2017.</w:t>
      </w:r>
    </w:p>
  </w:footnote>
  <w:footnote w:id="279">
    <w:p w14:paraId="3DC85D54" w14:textId="0D1F2DF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UDEFEGUA, </w:t>
      </w:r>
      <w:hyperlink r:id="rId139" w:history="1">
        <w:r w:rsidRPr="001944CF">
          <w:rPr>
            <w:rStyle w:val="Hyperlink"/>
            <w:rFonts w:asciiTheme="majorHAnsi" w:hAnsiTheme="majorHAnsi"/>
            <w:color w:val="808080" w:themeColor="background1" w:themeShade="80"/>
            <w:lang w:val="es-MX"/>
          </w:rPr>
          <w:t>Informe sobre Situación de Defensoras y Defensores de Derechos Humanos en Guatemala.</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lang w:val="es-MX"/>
          </w:rPr>
          <w:t>Un Reflejo del Deterioro de los Derechos Humanos en el País.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rPr>
          <w:t>Enero a Junio de 2017</w:t>
        </w:r>
      </w:hyperlink>
      <w:r w:rsidRPr="001944CF">
        <w:rPr>
          <w:rFonts w:asciiTheme="majorHAnsi" w:hAnsiTheme="majorHAnsi"/>
          <w:color w:val="808080" w:themeColor="background1" w:themeShade="80"/>
        </w:rPr>
        <w:t>, [‘Report on the Situation of Human Rights Defenders in Guatemala. A Reflection on the Deterioration of Human Rights in the Country. January to June 2017’], August 2017, p. 7.</w:t>
      </w:r>
    </w:p>
  </w:footnote>
  <w:footnote w:id="280">
    <w:p w14:paraId="4AB13E00" w14:textId="0033937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40"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[‘Preliminary observations from the IACHR’s on-site visit to Guatemala’], August 4, 2017; Meeting with community leaders in Ixquisis, Department of Huehuetenango, in the context of the on-site visit, August 2, 2017.</w:t>
      </w:r>
    </w:p>
  </w:footnote>
  <w:footnote w:id="281">
    <w:p w14:paraId="0CA461B7" w14:textId="55ADB05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Meeting with criminalized defenders in the Municipality of San Pablo, San Marcos, in the context of the on-site visit, Guatemala City, August 1, 2017; Civil Society, Situation of Human Rights in the Northern Region of Guatemala, August 1, 2017, pg. 2.</w:t>
      </w:r>
    </w:p>
  </w:footnote>
  <w:footnote w:id="282">
    <w:p w14:paraId="1945698C" w14:textId="035317E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This custody orders are reportedly in force for several members of the communities without any basis or sufficient justification, without the affected individual even being properly informed of the crimes for which he or she is charged and without regard to what allegedly criminal acts he or she commited.  Meeting with community leaders in Ixquisis, Department of Huehuetenango, in the context of the on-site visit, August 2, 2017. </w:t>
      </w:r>
    </w:p>
  </w:footnote>
  <w:footnote w:id="283">
    <w:p w14:paraId="16EEDEF4" w14:textId="25C9E64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41"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[‘Preliminary observations from the IACHR’s on-site visit to Guatemala’], August 4, 2017.</w:t>
      </w:r>
    </w:p>
  </w:footnote>
  <w:footnote w:id="284">
    <w:p w14:paraId="64EBE7DE" w14:textId="4D93B29E"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42" w:history="1">
        <w:r w:rsidRPr="001944CF">
          <w:rPr>
            <w:rStyle w:val="Hyperlink"/>
            <w:rFonts w:asciiTheme="majorHAnsi" w:hAnsiTheme="majorHAnsi"/>
            <w:color w:val="808080" w:themeColor="background1" w:themeShade="80"/>
            <w:lang w:val="es-MX"/>
          </w:rPr>
          <w:t>Informe sobre Criminalización de Defensoras y Defensores de Derechos Humanos</w:t>
        </w:r>
      </w:hyperlink>
      <w:r w:rsidRPr="001944CF">
        <w:rPr>
          <w:rFonts w:asciiTheme="majorHAnsi" w:hAnsiTheme="majorHAnsi"/>
          <w:color w:val="808080" w:themeColor="background1" w:themeShade="80"/>
          <w:lang w:val="es-MX"/>
        </w:rPr>
        <w:t>, [‘Report on Criminalization of Human Rights Defenders’], OEA/Ser.L/V/II. Doc. 49/15, December 31, 2015, para. 185.</w:t>
      </w:r>
    </w:p>
  </w:footnote>
  <w:footnote w:id="285">
    <w:p w14:paraId="492B1673" w14:textId="3638482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Amnesty International, </w:t>
      </w:r>
      <w:hyperlink r:id="rId143" w:history="1">
        <w:r w:rsidRPr="001944CF">
          <w:rPr>
            <w:rStyle w:val="Hyperlink"/>
            <w:rFonts w:asciiTheme="majorHAnsi" w:hAnsiTheme="majorHAnsi"/>
            <w:color w:val="808080" w:themeColor="background1" w:themeShade="80"/>
            <w:lang w:val="es-MX"/>
          </w:rPr>
          <w:t>Defendemos la tierra con nuestra sangre: personas defensoras de la tierra, el territorio y el medio ambiente en Honduras y Guatemala</w:t>
        </w:r>
      </w:hyperlink>
      <w:r w:rsidRPr="001944CF">
        <w:rPr>
          <w:rFonts w:asciiTheme="majorHAnsi" w:hAnsiTheme="majorHAnsi"/>
          <w:color w:val="808080" w:themeColor="background1" w:themeShade="80"/>
          <w:lang w:val="es-MX"/>
        </w:rPr>
        <w:t>, [‘We Are Defending the Land with our Blood: Defenders of the Land, Territory and Environment in Honduras and Guatemala’], September 2016, p. 56.</w:t>
      </w:r>
    </w:p>
  </w:footnote>
  <w:footnote w:id="286">
    <w:p w14:paraId="15091BB6" w14:textId="28355B4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Meeting with criminalized human rights defenders in Santa Eulalia in the context of the on-site visit, August 2, 2017. </w:t>
      </w:r>
    </w:p>
  </w:footnote>
  <w:footnote w:id="287">
    <w:p w14:paraId="1978D81B" w14:textId="21FAD15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Amnesty International, </w:t>
      </w:r>
      <w:hyperlink r:id="rId144" w:history="1">
        <w:r w:rsidRPr="001944CF">
          <w:rPr>
            <w:rStyle w:val="Hyperlink"/>
            <w:rFonts w:asciiTheme="majorHAnsi" w:hAnsiTheme="majorHAnsi"/>
            <w:color w:val="808080" w:themeColor="background1" w:themeShade="80"/>
          </w:rPr>
          <w:t>Defendemos la tierra con nuestra sangre: personas defensoras de la tierra, el territorio y el medio ambiente en Honduras y Guatemala</w:t>
        </w:r>
      </w:hyperlink>
      <w:r w:rsidRPr="001944CF">
        <w:rPr>
          <w:rFonts w:asciiTheme="majorHAnsi" w:hAnsiTheme="majorHAnsi"/>
          <w:color w:val="808080" w:themeColor="background1" w:themeShade="80"/>
        </w:rPr>
        <w:t>, [‘We Are Defending the Land with our Blood: Defenders of the Land, Territory and Environment in Honduras and Guatemala’], September 2016, p. 53.</w:t>
      </w:r>
    </w:p>
  </w:footnote>
  <w:footnote w:id="288">
    <w:p w14:paraId="4C07461F" w14:textId="2E3CB7D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p. 21. </w:t>
      </w:r>
    </w:p>
  </w:footnote>
  <w:footnote w:id="289">
    <w:p w14:paraId="4E19E396" w14:textId="6A657B6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Lawyers without Borders, Study on the situation of gender-based violence in Guatemala and of women’s access to justice, p.51. </w:t>
      </w:r>
    </w:p>
  </w:footnote>
  <w:footnote w:id="290">
    <w:p w14:paraId="523CC08A" w14:textId="523C4FD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Bufete Jurídico de Derechos Humanos and CALDH, Report on Criminalization of Social Demands, to the Inter-American Commission on Human Rights in Guatemala, July 2017. In the archives of the Commission. </w:t>
      </w:r>
    </w:p>
  </w:footnote>
  <w:footnote w:id="291">
    <w:p w14:paraId="7FB3602C" w14:textId="6ED0167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w:t>
      </w:r>
      <w:hyperlink r:id="rId145" w:history="1">
        <w:r w:rsidRPr="001944CF">
          <w:rPr>
            <w:rStyle w:val="Hyperlink"/>
            <w:rFonts w:asciiTheme="majorHAnsi" w:hAnsiTheme="majorHAnsi"/>
            <w:color w:val="808080" w:themeColor="background1" w:themeShade="80"/>
          </w:rPr>
          <w:t>Informe del Alto Comisionado de las Naciones Unidas para los Derechos Humanos sobre las actividades de su Oficina en Guatemala 2016</w:t>
        </w:r>
      </w:hyperlink>
      <w:r w:rsidRPr="001944CF">
        <w:rPr>
          <w:rFonts w:asciiTheme="majorHAnsi" w:hAnsiTheme="majorHAnsi"/>
          <w:color w:val="808080" w:themeColor="background1" w:themeShade="80"/>
        </w:rPr>
        <w:t>, [‘Report of the United Nations High Commission for Human Rights on the activities of his Office in Guatemala 2016’], A/HRC/34/3/Add.1, January 11, 2017, paras. 41-42.</w:t>
      </w:r>
    </w:p>
  </w:footnote>
  <w:footnote w:id="292">
    <w:p w14:paraId="1F7D635C" w14:textId="3FFABCE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Meeting with criminalized human rights defenders in the Municipality of San Pablo, San Marcos, in the context of the on-site visit, in Guatemala City, August 1, 2017.</w:t>
      </w:r>
    </w:p>
  </w:footnote>
  <w:footnote w:id="293">
    <w:p w14:paraId="28597F23" w14:textId="112CE1E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294">
    <w:p w14:paraId="0C6F3CD5" w14:textId="01E400F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Meeting with criminalized human rights defenders in the Municipality of San Pablo, San Marcos, in the context of the on-site visit, in Guatemala City, August 1, 2017; Prensa Libre, </w:t>
      </w:r>
      <w:hyperlink r:id="rId146" w:history="1">
        <w:r w:rsidRPr="001944CF">
          <w:rPr>
            <w:rStyle w:val="Hyperlink"/>
            <w:rFonts w:asciiTheme="majorHAnsi" w:hAnsiTheme="majorHAnsi"/>
            <w:color w:val="808080" w:themeColor="background1" w:themeShade="80"/>
          </w:rPr>
          <w:t>Líder comunitario queda en  libertad</w:t>
        </w:r>
      </w:hyperlink>
      <w:r w:rsidRPr="001944CF">
        <w:rPr>
          <w:rFonts w:asciiTheme="majorHAnsi" w:hAnsiTheme="majorHAnsi"/>
          <w:color w:val="808080" w:themeColor="background1" w:themeShade="80"/>
        </w:rPr>
        <w:t xml:space="preserve">, [‘Community Leader released’], March 15, 2017. </w:t>
      </w:r>
    </w:p>
  </w:footnote>
  <w:footnote w:id="295">
    <w:p w14:paraId="227D6610" w14:textId="100CA2E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Prensa Libre, </w:t>
      </w:r>
      <w:hyperlink r:id="rId147" w:history="1">
        <w:r w:rsidRPr="001944CF">
          <w:rPr>
            <w:rStyle w:val="Hyperlink"/>
            <w:rFonts w:asciiTheme="majorHAnsi" w:hAnsiTheme="majorHAnsi"/>
            <w:color w:val="808080" w:themeColor="background1" w:themeShade="80"/>
            <w:lang w:val="es-ES"/>
          </w:rPr>
          <w:t>Líder com</w:t>
        </w:r>
        <w:r w:rsidRPr="001944CF">
          <w:rPr>
            <w:rStyle w:val="Hyperlink"/>
            <w:rFonts w:asciiTheme="majorHAnsi" w:hAnsiTheme="majorHAnsi"/>
            <w:color w:val="808080" w:themeColor="background1" w:themeShade="80"/>
            <w:lang w:val="es-MX"/>
          </w:rPr>
          <w:t>unitario queda en  libertad</w:t>
        </w:r>
      </w:hyperlink>
      <w:r w:rsidRPr="001944CF">
        <w:rPr>
          <w:rFonts w:asciiTheme="majorHAnsi" w:hAnsiTheme="majorHAnsi"/>
          <w:color w:val="808080" w:themeColor="background1" w:themeShade="80"/>
          <w:lang w:val="es-MX"/>
        </w:rPr>
        <w:t>, [‘Community Leader released’], March 15, 2017.</w:t>
      </w:r>
    </w:p>
  </w:footnote>
  <w:footnote w:id="296">
    <w:p w14:paraId="3FC12D82" w14:textId="4FD367E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 Court of HR, </w:t>
      </w:r>
      <w:hyperlink r:id="rId148" w:tgtFrame="_blank" w:history="1">
        <w:r w:rsidRPr="001944CF">
          <w:rPr>
            <w:rStyle w:val="Hyperlink"/>
            <w:rFonts w:asciiTheme="majorHAnsi" w:hAnsiTheme="majorHAnsi"/>
            <w:i/>
            <w:iCs/>
            <w:color w:val="808080" w:themeColor="background1" w:themeShade="80"/>
            <w:lang w:val="es-MX"/>
          </w:rPr>
          <w:t>Caso Defensor de Derechos Humanos y otros Vs.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i/>
            <w:iCs/>
            <w:color w:val="808080" w:themeColor="background1" w:themeShade="80"/>
          </w:rPr>
          <w:t>Guatemala</w:t>
        </w:r>
      </w:hyperlink>
      <w:r w:rsidRPr="001944CF">
        <w:rPr>
          <w:rFonts w:asciiTheme="majorHAnsi" w:hAnsiTheme="majorHAnsi"/>
          <w:i/>
          <w:iCs/>
          <w:color w:val="808080" w:themeColor="background1" w:themeShade="80"/>
        </w:rPr>
        <w:t>.</w:t>
      </w:r>
      <w:r w:rsidRPr="001944CF">
        <w:rPr>
          <w:rFonts w:asciiTheme="majorHAnsi" w:hAnsiTheme="majorHAnsi"/>
          <w:color w:val="808080" w:themeColor="background1" w:themeShade="80"/>
        </w:rPr>
        <w:t xml:space="preserve"> [‘Case of Human Rights Defender et al v. Guatemala’]. Preliminary objections, Merits, Reparations and Costs. Judgment of August 28, 2014. Series C No. 283, para. 263, which established that the State must implement, within a reasonable time, a public policy for the protection of human rights defenders, taking into account, at least the following requirements: a) the participation of human rights defenders, civil society organizations and experts in the formulation of standards for the regulation of a program for the protection of the group in question; b) the protection program should adopt a comprehensive and inter-institutional approach to this problem, based on the risk posed by each situation and adopt immediate measures to address complaints by defenders; c) the creation of a risk analysis model to adequately determine the risk and the protection needs of each defender or group; d) the creation of an information management system on the status of the prevention and protection of human rights defenders; e) the design of protection plans in response to specific risks faced by each defender and to the nature of his/her work; f) the promotion of a culture of legitimization and protection of the work of human rights defenders, and g) the provision of sufficient human and financial resources to respond to the real needs for protection of human rights defenders. </w:t>
      </w:r>
    </w:p>
  </w:footnote>
  <w:footnote w:id="297">
    <w:p w14:paraId="70FBA8D1" w14:textId="7C4571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298">
    <w:p w14:paraId="01885CE8" w14:textId="0299552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Tahoma"/>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164</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Session. Hearing Denunciation of attacks on human rights defenders by extractive companies in Guatemala. September 7, 2017. Available for viewing at:  </w:t>
      </w:r>
      <w:hyperlink r:id="rId149" w:history="1">
        <w:r w:rsidRPr="001944CF">
          <w:rPr>
            <w:rStyle w:val="Hyperlink"/>
            <w:rFonts w:asciiTheme="majorHAnsi" w:hAnsiTheme="majorHAnsi" w:cs="Tahoma"/>
            <w:color w:val="808080" w:themeColor="background1" w:themeShade="80"/>
          </w:rPr>
          <w:t>https://www.youtube.com/watch?v=yuVmLG9gkmE&amp;t=5s</w:t>
        </w:r>
      </w:hyperlink>
      <w:r w:rsidRPr="001944CF">
        <w:rPr>
          <w:rFonts w:asciiTheme="majorHAnsi" w:hAnsiTheme="majorHAnsi"/>
          <w:color w:val="808080" w:themeColor="background1" w:themeShade="80"/>
        </w:rPr>
        <w:t xml:space="preserve"> </w:t>
      </w:r>
    </w:p>
  </w:footnote>
  <w:footnote w:id="299">
    <w:p w14:paraId="6760D0DF" w14:textId="4F63D5A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CIDH, </w:t>
      </w:r>
      <w:hyperlink r:id="rId150" w:history="1">
        <w:r w:rsidRPr="001944CF">
          <w:rPr>
            <w:rStyle w:val="Hyperlink"/>
            <w:rFonts w:asciiTheme="majorHAnsi" w:hAnsiTheme="majorHAnsi"/>
            <w:color w:val="808080" w:themeColor="background1" w:themeShade="80"/>
            <w:lang w:val="es-MX"/>
          </w:rPr>
          <w:t>Informe sobre Criminalización de Defensoras y Defensores de Derechos Humanos</w:t>
        </w:r>
      </w:hyperlink>
      <w:r w:rsidRPr="001944CF">
        <w:rPr>
          <w:rFonts w:asciiTheme="majorHAnsi" w:hAnsiTheme="majorHAnsi"/>
          <w:color w:val="808080" w:themeColor="background1" w:themeShade="80"/>
          <w:lang w:val="es-MX"/>
        </w:rPr>
        <w:t xml:space="preserve">, [‘Report on Criminalization of Human Rights Defenders’], OEA/Ser.L/V/II. Doc. 49/15, December 31, 2015, para. </w:t>
      </w:r>
      <w:r w:rsidRPr="001944CF">
        <w:rPr>
          <w:rFonts w:asciiTheme="majorHAnsi" w:hAnsiTheme="majorHAnsi"/>
          <w:color w:val="808080" w:themeColor="background1" w:themeShade="80"/>
        </w:rPr>
        <w:t xml:space="preserve">181. </w:t>
      </w:r>
    </w:p>
  </w:footnote>
  <w:footnote w:id="300">
    <w:p w14:paraId="0839FBBE" w14:textId="4408AC3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182.</w:t>
      </w:r>
    </w:p>
  </w:footnote>
  <w:footnote w:id="301">
    <w:p w14:paraId="337B6936" w14:textId="1BC348B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of Guatemala, Contribution of the Human Rights Ombudsman Third Cycle for Guatemala Universal Periodic Review, March 2017, p. 3.</w:t>
      </w:r>
    </w:p>
  </w:footnote>
  <w:footnote w:id="302">
    <w:p w14:paraId="20801782" w14:textId="2DCA728C"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Amnesty International, </w:t>
      </w:r>
      <w:hyperlink r:id="rId151" w:history="1">
        <w:r w:rsidRPr="001944CF">
          <w:rPr>
            <w:rStyle w:val="Hyperlink"/>
            <w:rFonts w:asciiTheme="majorHAnsi" w:hAnsiTheme="majorHAnsi"/>
            <w:color w:val="808080" w:themeColor="background1" w:themeShade="80"/>
            <w:lang w:val="es-MX"/>
          </w:rPr>
          <w:t>América: situación de los mecanismos de protección para los defensores y defensoras de los derechos humanos</w:t>
        </w:r>
      </w:hyperlink>
      <w:r w:rsidRPr="001944CF">
        <w:rPr>
          <w:rFonts w:asciiTheme="majorHAnsi" w:hAnsiTheme="majorHAnsi"/>
          <w:color w:val="808080" w:themeColor="background1" w:themeShade="80"/>
          <w:lang w:val="es-MX"/>
        </w:rPr>
        <w:t xml:space="preserve">, [‘Americas: State Protection Mechanisms for Human Rights Defenders’], May 17, 2017, p. 5. </w:t>
      </w:r>
    </w:p>
  </w:footnote>
  <w:footnote w:id="303">
    <w:p w14:paraId="6D12965D" w14:textId="4A99305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Government of the Republic of Guatemala, Ministry of the Interior, General Directorate of the National Civilian Police, Official Letter No. 1251-2017 Ref. DG/NARR/Juárez, Reg 4842, August 21, 2017, p. 8. </w:t>
      </w:r>
    </w:p>
  </w:footnote>
  <w:footnote w:id="304">
    <w:p w14:paraId="7D1F5A34" w14:textId="71DF438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Fundación Myrna Mack, Convergencia para Derechos Humanos, Alternative Report for the Third Cycle of the Universal Periodic Review, Situation of Human Rights Defenders, Justice, Security and Combating Impunity in Guatemala, March 29, 2017, pars. 7-9.</w:t>
      </w:r>
    </w:p>
  </w:footnote>
  <w:footnote w:id="305">
    <w:p w14:paraId="36D476CD" w14:textId="1D2E836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‘unit’ (</w:t>
      </w:r>
      <w:r w:rsidRPr="001944CF">
        <w:rPr>
          <w:rFonts w:asciiTheme="majorHAnsi" w:hAnsiTheme="majorHAnsi"/>
          <w:i/>
          <w:color w:val="808080" w:themeColor="background1" w:themeShade="80"/>
        </w:rPr>
        <w:t>Intancia</w:t>
      </w:r>
      <w:r w:rsidRPr="001944CF">
        <w:rPr>
          <w:rFonts w:asciiTheme="majorHAnsi" w:hAnsiTheme="majorHAnsi"/>
          <w:color w:val="808080" w:themeColor="background1" w:themeShade="80"/>
        </w:rPr>
        <w:t xml:space="preserve">) is a body made up of a representative of the Ministry of the Interior, who is the coordinator, one representative of the General Directorate of Civilian Intelligence (DIGICI), one representative of the Human Rights Unit of the Division of Criminal Investigation (DINC) of the National Civilian Police, one representative of the Public Prosecutor’s Office, specifically from the Office of the Prosecutor for Human Rights Section, two representatives of national human rights organizations, and one representative of international human rights organizations. </w:t>
      </w:r>
    </w:p>
  </w:footnote>
  <w:footnote w:id="306">
    <w:p w14:paraId="0FDE5E55" w14:textId="1C74263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Meeting with authorities of the Unit for the Analysis of Patterns of Attacks on Human Rights Defenders of the Ministry of the Interior in the context of the IACHR’s country visit, August 3, 2017.</w:t>
      </w:r>
    </w:p>
  </w:footnote>
  <w:footnote w:id="307">
    <w:p w14:paraId="60D59DC5" w14:textId="2EEBDCDC"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Amnesty International, </w:t>
      </w:r>
      <w:hyperlink r:id="rId152" w:history="1">
        <w:r w:rsidRPr="001944CF">
          <w:rPr>
            <w:rStyle w:val="Hyperlink"/>
            <w:rFonts w:asciiTheme="majorHAnsi" w:hAnsiTheme="majorHAnsi"/>
            <w:color w:val="808080" w:themeColor="background1" w:themeShade="80"/>
            <w:lang w:val="es-MX"/>
          </w:rPr>
          <w:t>América: situación de los mecanismos de protección para los defensores y defensoras de los derechos humanos</w:t>
        </w:r>
      </w:hyperlink>
      <w:r w:rsidRPr="001944CF">
        <w:rPr>
          <w:rFonts w:asciiTheme="majorHAnsi" w:hAnsiTheme="majorHAnsi"/>
          <w:color w:val="808080" w:themeColor="background1" w:themeShade="80"/>
          <w:lang w:val="es-MX"/>
        </w:rPr>
        <w:t>, [‘Americas: State Protection Mechanisms for Human Rights Defenders’], May 17, 2017, p. 5.</w:t>
      </w:r>
    </w:p>
  </w:footnote>
  <w:footnote w:id="308">
    <w:p w14:paraId="7E1285EC" w14:textId="2984B09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Amnesty International, </w:t>
      </w:r>
      <w:hyperlink r:id="rId153" w:history="1">
        <w:r w:rsidRPr="001944CF">
          <w:rPr>
            <w:rStyle w:val="Hyperlink"/>
            <w:rFonts w:asciiTheme="majorHAnsi" w:hAnsiTheme="majorHAnsi"/>
            <w:color w:val="808080" w:themeColor="background1" w:themeShade="80"/>
            <w:lang w:val="es-MX"/>
          </w:rPr>
          <w:t>América: situación de los mecanismos de protección para los defensores y defensoras de los derechos humanos</w:t>
        </w:r>
      </w:hyperlink>
      <w:r w:rsidRPr="001944CF">
        <w:rPr>
          <w:rFonts w:asciiTheme="majorHAnsi" w:hAnsiTheme="majorHAnsi"/>
          <w:color w:val="808080" w:themeColor="background1" w:themeShade="80"/>
          <w:lang w:val="es-MX"/>
        </w:rPr>
        <w:t xml:space="preserve">, [‘Americas: State Protection Mechanisms for Human Rights Defenders’], May 17, 2017, pg. 5; United Nations, </w:t>
      </w:r>
      <w:hyperlink r:id="rId154" w:history="1">
        <w:r w:rsidRPr="001944CF">
          <w:rPr>
            <w:rStyle w:val="Hyperlink"/>
            <w:rFonts w:asciiTheme="majorHAnsi" w:hAnsiTheme="majorHAnsi"/>
            <w:color w:val="808080" w:themeColor="background1" w:themeShade="80"/>
            <w:lang w:val="es-MX"/>
          </w:rPr>
          <w:t>Informe del Alto Comisionado de las Naciones Unidas para los Derechos Humanos sobre las actividades de su Oficina en Guatemala 2016</w:t>
        </w:r>
      </w:hyperlink>
      <w:r w:rsidRPr="001944CF">
        <w:rPr>
          <w:rFonts w:asciiTheme="majorHAnsi" w:hAnsiTheme="majorHAnsi"/>
          <w:color w:val="808080" w:themeColor="background1" w:themeShade="80"/>
          <w:lang w:val="es-MX"/>
        </w:rPr>
        <w:t>, [United Nations High Commissioner for Human Rights on the activities of its Office in Guatemala 2016’], A/HRC/34/3/Add.1, January 11, 2017, paras. 38-39.</w:t>
      </w:r>
    </w:p>
  </w:footnote>
  <w:footnote w:id="309">
    <w:p w14:paraId="27A8BC80" w14:textId="6276CA4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United Nations, </w:t>
      </w:r>
      <w:hyperlink r:id="rId155" w:history="1">
        <w:r w:rsidRPr="001944CF">
          <w:rPr>
            <w:rStyle w:val="Hyperlink"/>
            <w:rFonts w:asciiTheme="majorHAnsi" w:hAnsiTheme="majorHAnsi"/>
            <w:color w:val="808080" w:themeColor="background1" w:themeShade="80"/>
            <w:lang w:val="es-MX"/>
          </w:rPr>
          <w:t>Informe del Alto Comisionado de las Naciones Unidas para los Derechos Humanos sobre las actividades de su Oficina en Guatemala 2016</w:t>
        </w:r>
      </w:hyperlink>
      <w:r w:rsidRPr="001944CF">
        <w:rPr>
          <w:rFonts w:asciiTheme="majorHAnsi" w:hAnsiTheme="majorHAnsi"/>
          <w:color w:val="808080" w:themeColor="background1" w:themeShade="80"/>
          <w:lang w:val="es-MX"/>
        </w:rPr>
        <w:t xml:space="preserve">, [United Nations High Commissioner for Human Rights on the activities of its Office in Guatemala 2016’], A/HRC/34/3/Add.1, January 11, 2017, paras. </w:t>
      </w:r>
      <w:r w:rsidRPr="001944CF">
        <w:rPr>
          <w:rFonts w:asciiTheme="majorHAnsi" w:hAnsiTheme="majorHAnsi"/>
          <w:color w:val="808080" w:themeColor="background1" w:themeShade="80"/>
        </w:rPr>
        <w:t>37-38.</w:t>
      </w:r>
    </w:p>
  </w:footnote>
  <w:footnote w:id="310">
    <w:p w14:paraId="0F544774" w14:textId="023AB53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Fundación Myrna Mack, Convergencia para Derechos Humanos, Alternative Report for the Third Cycle of the Universal Periodic Review, Situation of Human Rights Defenders, Justice, Security and Combating Impunity in Guatemala, March 29, 2017, para. 5.</w:t>
      </w:r>
    </w:p>
  </w:footnote>
  <w:footnote w:id="311">
    <w:p w14:paraId="2F45F586" w14:textId="214724B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CIDH, </w:t>
      </w:r>
      <w:hyperlink r:id="rId156"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[‘Preliminary observations to the IACHR’s on-site visit to Guatemala’] August 4, 2017.</w:t>
      </w:r>
    </w:p>
  </w:footnote>
  <w:footnote w:id="312">
    <w:p w14:paraId="29E8DAFD" w14:textId="41589EF5"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 Court of HR, </w:t>
      </w:r>
      <w:hyperlink r:id="rId157" w:history="1">
        <w:r w:rsidRPr="001944CF">
          <w:rPr>
            <w:rStyle w:val="Hyperlink"/>
            <w:rFonts w:asciiTheme="majorHAnsi" w:hAnsiTheme="majorHAnsi"/>
            <w:i/>
            <w:iCs/>
            <w:color w:val="808080" w:themeColor="background1" w:themeShade="80"/>
            <w:lang w:val="es-MX"/>
          </w:rPr>
          <w:t>Caso Defensor de Derechos Humanos y otros Vs.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i/>
            <w:iCs/>
            <w:color w:val="808080" w:themeColor="background1" w:themeShade="80"/>
          </w:rPr>
          <w:t>Guatemala</w:t>
        </w:r>
      </w:hyperlink>
      <w:r w:rsidRPr="001944CF">
        <w:rPr>
          <w:rFonts w:asciiTheme="majorHAnsi" w:hAnsiTheme="majorHAnsi"/>
          <w:i/>
          <w:iCs/>
          <w:color w:val="808080" w:themeColor="background1" w:themeShade="80"/>
        </w:rPr>
        <w:t>.</w:t>
      </w:r>
      <w:r w:rsidRPr="001944CF">
        <w:rPr>
          <w:rFonts w:asciiTheme="majorHAnsi" w:hAnsiTheme="majorHAnsi"/>
          <w:color w:val="808080" w:themeColor="background1" w:themeShade="80"/>
        </w:rPr>
        <w:t xml:space="preserve"> [‘Case of Human Rights Defender et al v. Guatemala’]. Preliminary objections, Merits, Reparations and Costs. Judgment of August 28, 2014. Series C No. 283, para. </w:t>
      </w:r>
      <w:r w:rsidRPr="001944CF">
        <w:rPr>
          <w:rFonts w:asciiTheme="majorHAnsi" w:hAnsiTheme="majorHAnsi"/>
          <w:color w:val="808080" w:themeColor="background1" w:themeShade="80"/>
          <w:lang w:val="es-ES"/>
        </w:rPr>
        <w:t xml:space="preserve">263. </w:t>
      </w:r>
    </w:p>
  </w:footnote>
  <w:footnote w:id="313">
    <w:p w14:paraId="6525F66C" w14:textId="7FD6EDF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European Parliament, </w:t>
      </w:r>
      <w:hyperlink r:id="rId158" w:history="1">
        <w:r w:rsidRPr="001944CF">
          <w:rPr>
            <w:rStyle w:val="Hyperlink"/>
            <w:rFonts w:asciiTheme="majorHAnsi" w:hAnsiTheme="majorHAnsi"/>
            <w:color w:val="808080" w:themeColor="background1" w:themeShade="80"/>
            <w:lang w:val="es-MX"/>
          </w:rPr>
          <w:t>Resolución del Parlamento Europeo, de 16 de febrero de 2017, sobre Guatemala, en particular la situación de los defensores de los derechos humanos (2017/2565(RSP)), P8_TA(2017)0045</w:t>
        </w:r>
      </w:hyperlink>
      <w:r w:rsidRPr="001944CF">
        <w:rPr>
          <w:rFonts w:asciiTheme="majorHAnsi" w:hAnsiTheme="majorHAnsi"/>
          <w:color w:val="808080" w:themeColor="background1" w:themeShade="80"/>
          <w:lang w:val="es-MX"/>
        </w:rPr>
        <w:t>, [‘Resolution of the European Parliament, February 16, 2017, regarding Guatemala, in particular the situation of human rights defenders’], February 16, 2017, para. M.(2) and (4).</w:t>
      </w:r>
    </w:p>
  </w:footnote>
  <w:footnote w:id="314">
    <w:p w14:paraId="7C6B7741" w14:textId="73755D66"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United Nations, </w:t>
      </w:r>
      <w:hyperlink r:id="rId159" w:history="1">
        <w:r w:rsidRPr="001944CF">
          <w:rPr>
            <w:rStyle w:val="Hyperlink"/>
            <w:rFonts w:asciiTheme="majorHAnsi" w:hAnsiTheme="majorHAnsi"/>
            <w:color w:val="808080" w:themeColor="background1" w:themeShade="80"/>
            <w:lang w:val="es-MX"/>
          </w:rPr>
          <w:t>Informe del Alto Comisionado de las Naciones Unidas para los Derechos Humanos sobre las actividades de su Oficina en Guatemala 2016</w:t>
        </w:r>
      </w:hyperlink>
      <w:r w:rsidRPr="001944CF">
        <w:rPr>
          <w:rFonts w:asciiTheme="majorHAnsi" w:hAnsiTheme="majorHAnsi"/>
          <w:color w:val="808080" w:themeColor="background1" w:themeShade="80"/>
          <w:lang w:val="es-MX"/>
        </w:rPr>
        <w:t>, [‘Report of the United Nations High Commissioner for Human Rights regarding the activities of his Office in Guatemala 2016’], A/HRC/34/3/Add.1, January 11, 2017, paras. 38-39.</w:t>
      </w:r>
    </w:p>
  </w:footnote>
  <w:footnote w:id="315">
    <w:p w14:paraId="41CAF9A4" w14:textId="7504577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60" w:history="1">
        <w:r w:rsidRPr="001944CF">
          <w:rPr>
            <w:rStyle w:val="Hyperlink"/>
            <w:rFonts w:asciiTheme="majorHAnsi" w:hAnsiTheme="majorHAnsi"/>
            <w:color w:val="808080" w:themeColor="background1" w:themeShade="80"/>
            <w:lang w:val="es-MX"/>
          </w:rPr>
          <w:t>Observaciones Preliminares de la Visita in loco de la CIDH a Guatemala</w:t>
        </w:r>
      </w:hyperlink>
      <w:r w:rsidRPr="001944CF">
        <w:rPr>
          <w:rFonts w:asciiTheme="majorHAnsi" w:hAnsiTheme="majorHAnsi"/>
          <w:color w:val="808080" w:themeColor="background1" w:themeShade="80"/>
          <w:lang w:val="es-MX"/>
        </w:rPr>
        <w:t xml:space="preserve">, [‘Preliminary observations from the IACHR’s on-site visit to Guatemala’], August 4, 2017. Also see IA Court of HR, </w:t>
      </w:r>
      <w:hyperlink r:id="rId161" w:history="1">
        <w:r w:rsidRPr="001944CF">
          <w:rPr>
            <w:rStyle w:val="Hyperlink"/>
            <w:rFonts w:asciiTheme="majorHAnsi" w:hAnsiTheme="majorHAnsi"/>
            <w:i/>
            <w:iCs/>
            <w:color w:val="808080" w:themeColor="background1" w:themeShade="80"/>
            <w:lang w:val="es-MX"/>
          </w:rPr>
          <w:t>Caso Defensor de Derechos Humanos y otros Vs.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i/>
            <w:iCs/>
            <w:color w:val="808080" w:themeColor="background1" w:themeShade="80"/>
          </w:rPr>
          <w:t>Guatemala</w:t>
        </w:r>
      </w:hyperlink>
      <w:r w:rsidRPr="001944CF">
        <w:rPr>
          <w:rFonts w:asciiTheme="majorHAnsi" w:hAnsiTheme="majorHAnsi"/>
          <w:i/>
          <w:iCs/>
          <w:color w:val="808080" w:themeColor="background1" w:themeShade="80"/>
        </w:rPr>
        <w:t>.</w:t>
      </w:r>
      <w:r w:rsidRPr="001944CF">
        <w:rPr>
          <w:rFonts w:asciiTheme="majorHAnsi" w:hAnsiTheme="majorHAnsi"/>
          <w:color w:val="808080" w:themeColor="background1" w:themeShade="80"/>
        </w:rPr>
        <w:t xml:space="preserve"> [‘Case of Human Rights Defender et al v. Guatemala’]. Preliminary objections, Merits, Reparations and Costs. Judgment of August 28, 2014. Series C No. 283, para. 263.</w:t>
      </w:r>
    </w:p>
  </w:footnote>
  <w:footnote w:id="316">
    <w:p w14:paraId="22D7DA54" w14:textId="429B8DC6"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62"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xml:space="preserve">, [‘Preliminary observations from the IACHR’s on-site visit to Guatemala’], August 4, 2017. </w:t>
      </w:r>
      <w:r w:rsidRPr="001944CF">
        <w:rPr>
          <w:rFonts w:asciiTheme="majorHAnsi" w:hAnsiTheme="majorHAnsi"/>
          <w:color w:val="808080" w:themeColor="background1" w:themeShade="80"/>
          <w:lang w:val="es-MX"/>
        </w:rPr>
        <w:t xml:space="preserve">Also see IA Court of HR, </w:t>
      </w:r>
      <w:hyperlink r:id="rId163" w:history="1">
        <w:r w:rsidRPr="001944CF">
          <w:rPr>
            <w:rStyle w:val="Hyperlink"/>
            <w:rFonts w:asciiTheme="majorHAnsi" w:hAnsiTheme="majorHAnsi"/>
            <w:i/>
            <w:iCs/>
            <w:color w:val="808080" w:themeColor="background1" w:themeShade="80"/>
            <w:lang w:val="es-MX"/>
          </w:rPr>
          <w:t>Caso Defensor de Derechos Humanos y otros Vs.</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i/>
            <w:iCs/>
            <w:color w:val="808080" w:themeColor="background1" w:themeShade="80"/>
          </w:rPr>
          <w:t>Guatemala</w:t>
        </w:r>
      </w:hyperlink>
      <w:r w:rsidRPr="001944CF">
        <w:rPr>
          <w:rFonts w:asciiTheme="majorHAnsi" w:hAnsiTheme="majorHAnsi"/>
          <w:i/>
          <w:iCs/>
          <w:color w:val="808080" w:themeColor="background1" w:themeShade="80"/>
        </w:rPr>
        <w:t>.</w:t>
      </w:r>
      <w:r w:rsidRPr="001944CF">
        <w:rPr>
          <w:rFonts w:asciiTheme="majorHAnsi" w:hAnsiTheme="majorHAnsi"/>
          <w:color w:val="808080" w:themeColor="background1" w:themeShade="80"/>
        </w:rPr>
        <w:t xml:space="preserve"> [‘Case of Human Rights Defender et al v. Guatemala’]. Preliminary Objections, Merits, Reparations and Costs. Judgment of August 28, 2014. Series C No. 283, para. </w:t>
      </w:r>
      <w:r w:rsidRPr="001944CF">
        <w:rPr>
          <w:rFonts w:asciiTheme="majorHAnsi" w:hAnsiTheme="majorHAnsi"/>
          <w:color w:val="808080" w:themeColor="background1" w:themeShade="80"/>
          <w:lang w:val="es-ES"/>
        </w:rPr>
        <w:t>263.</w:t>
      </w:r>
    </w:p>
  </w:footnote>
  <w:footnote w:id="317">
    <w:p w14:paraId="4DDF8282" w14:textId="649ACB34"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Amnesty International, </w:t>
      </w:r>
      <w:hyperlink r:id="rId164" w:history="1">
        <w:r w:rsidRPr="001944CF">
          <w:rPr>
            <w:rStyle w:val="Hyperlink"/>
            <w:rFonts w:asciiTheme="majorHAnsi" w:hAnsiTheme="majorHAnsi"/>
            <w:color w:val="808080" w:themeColor="background1" w:themeShade="80"/>
            <w:lang w:val="es-MX"/>
          </w:rPr>
          <w:t>América: situación de los mecanismos de protección para los defensores y defensoras de los derechos humanos</w:t>
        </w:r>
      </w:hyperlink>
      <w:r w:rsidRPr="001944CF">
        <w:rPr>
          <w:rFonts w:asciiTheme="majorHAnsi" w:hAnsiTheme="majorHAnsi"/>
          <w:color w:val="808080" w:themeColor="background1" w:themeShade="80"/>
          <w:lang w:val="es-MX"/>
        </w:rPr>
        <w:t>, [‘Americas: State Protection Mechanisms for Human Rights Defenders’], May 17, 2017, p. 6.</w:t>
      </w:r>
    </w:p>
  </w:footnote>
  <w:footnote w:id="318">
    <w:p w14:paraId="129EA5B2" w14:textId="217287C6"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Fundación Myrna Mack, Convergencia para los Derechos Humanos, Alternative Report for the Third Cycle of the Universal Periodic Review, Situation of Human Rights Defenders, Justice, Security and Combating Impunity in Guatemala, March 29, 2017, para. </w:t>
      </w:r>
      <w:r w:rsidRPr="001944CF">
        <w:rPr>
          <w:rFonts w:asciiTheme="majorHAnsi" w:hAnsiTheme="majorHAnsi"/>
          <w:color w:val="808080" w:themeColor="background1" w:themeShade="80"/>
          <w:lang w:val="es-ES"/>
        </w:rPr>
        <w:t>6.</w:t>
      </w:r>
    </w:p>
  </w:footnote>
  <w:footnote w:id="319">
    <w:p w14:paraId="6B4769CA" w14:textId="41CF7066"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t xml:space="preserve">IACHR, </w:t>
      </w:r>
      <w:hyperlink r:id="rId165" w:history="1">
        <w:r w:rsidRPr="001944CF">
          <w:rPr>
            <w:rFonts w:asciiTheme="majorHAnsi" w:hAnsiTheme="majorHAnsi"/>
            <w:color w:val="808080" w:themeColor="background1" w:themeShade="80"/>
            <w:sz w:val="16"/>
            <w:szCs w:val="16"/>
            <w:u w:val="single"/>
            <w:lang w:val="es-MX"/>
          </w:rPr>
          <w:t>Segundo informe sobre la situación de las defensoras y los defensores de derechos humanos en las Américas</w:t>
        </w:r>
      </w:hyperlink>
      <w:r w:rsidRPr="001944CF">
        <w:rPr>
          <w:rFonts w:asciiTheme="majorHAnsi" w:hAnsiTheme="majorHAnsi"/>
          <w:color w:val="808080" w:themeColor="background1" w:themeShade="80"/>
          <w:sz w:val="16"/>
          <w:szCs w:val="16"/>
          <w:lang w:val="es-MX"/>
        </w:rPr>
        <w:t>, [‘Second Report on the Situation of Human Rights Defenders in the Americas’], OEA/Ser.L/V/II. Doc. 66, December 31, 2011, para. 231.</w:t>
      </w:r>
    </w:p>
  </w:footnote>
  <w:footnote w:id="320">
    <w:p w14:paraId="2DB25934" w14:textId="4E17DF1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r w:rsidRPr="001944CF">
        <w:rPr>
          <w:rFonts w:asciiTheme="majorHAnsi" w:hAnsiTheme="majorHAnsi"/>
          <w:i/>
          <w:color w:val="808080" w:themeColor="background1" w:themeShade="80"/>
          <w:lang w:val="es-MX"/>
        </w:rPr>
        <w:t>Id.</w:t>
      </w:r>
      <w:r w:rsidRPr="001944CF">
        <w:rPr>
          <w:rFonts w:asciiTheme="majorHAnsi" w:hAnsiTheme="majorHAnsi"/>
          <w:color w:val="808080" w:themeColor="background1" w:themeShade="80"/>
          <w:lang w:val="es-MX"/>
        </w:rPr>
        <w:t>, para. 541(22).</w:t>
      </w:r>
    </w:p>
  </w:footnote>
  <w:footnote w:id="321">
    <w:p w14:paraId="2E14EC3E" w14:textId="2768CAF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166" w:history="1">
        <w:r w:rsidRPr="001944CF">
          <w:rPr>
            <w:rStyle w:val="Hyperlink"/>
            <w:rFonts w:asciiTheme="majorHAnsi" w:hAnsiTheme="majorHAnsi"/>
            <w:color w:val="808080" w:themeColor="background1" w:themeShade="80"/>
            <w:lang w:val="es-MX"/>
          </w:rPr>
          <w:t>, Garantías para la independencia de las y los operadores de justicia :</w:t>
        </w:r>
        <w:r w:rsidRPr="001944CF">
          <w:rPr>
            <w:rStyle w:val="Hyperlink"/>
            <w:rFonts w:asciiTheme="majorHAnsi" w:hAnsiTheme="majorHAnsi"/>
            <w:color w:val="808080" w:themeColor="background1" w:themeShade="80"/>
            <w:u w:val="none"/>
            <w:lang w:val="es-MX"/>
          </w:rPr>
          <w:t xml:space="preserve"> </w:t>
        </w:r>
        <w:r w:rsidRPr="001944CF">
          <w:rPr>
            <w:rStyle w:val="Hyperlink"/>
            <w:rFonts w:asciiTheme="majorHAnsi" w:hAnsiTheme="majorHAnsi"/>
            <w:color w:val="808080" w:themeColor="background1" w:themeShade="80"/>
            <w:lang w:val="es-MX"/>
          </w:rPr>
          <w:t>Hacia el fortalecimiento del acceso a la justicia y el estado de derecho en las Américas</w:t>
        </w:r>
      </w:hyperlink>
      <w:r w:rsidRPr="001944CF">
        <w:rPr>
          <w:rFonts w:asciiTheme="majorHAnsi" w:hAnsiTheme="majorHAnsi"/>
          <w:color w:val="808080" w:themeColor="background1" w:themeShade="80"/>
          <w:lang w:val="es-MX"/>
        </w:rPr>
        <w:t xml:space="preserve">, [‘Guarantees for the Independence of Justice Operators: Toward strengthening access to justice and the rule of law in the Americas’], OEA/Ser.L/V/II. Doc. 44 December 5, 2013, paras. </w:t>
      </w:r>
      <w:r w:rsidRPr="001944CF">
        <w:rPr>
          <w:rFonts w:asciiTheme="majorHAnsi" w:hAnsiTheme="majorHAnsi"/>
          <w:color w:val="808080" w:themeColor="background1" w:themeShade="80"/>
        </w:rPr>
        <w:t xml:space="preserve">16-18. </w:t>
      </w:r>
    </w:p>
  </w:footnote>
  <w:footnote w:id="322">
    <w:p w14:paraId="73B7E3E2" w14:textId="7A3EECF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Meeting with justice operators in the context of the country visit, August 2, 2017, Guatemala City. </w:t>
      </w:r>
    </w:p>
  </w:footnote>
  <w:footnote w:id="323">
    <w:p w14:paraId="70AE3B60" w14:textId="5B16E43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of Jurists (ICJ), </w:t>
      </w:r>
      <w:hyperlink r:id="rId167" w:history="1">
        <w:r w:rsidRPr="001944CF">
          <w:rPr>
            <w:rStyle w:val="Hyperlink"/>
            <w:rFonts w:asciiTheme="majorHAnsi" w:hAnsiTheme="majorHAnsi"/>
            <w:color w:val="808080" w:themeColor="background1" w:themeShade="80"/>
          </w:rPr>
          <w:t>Pronunciamiento de la Comisión Internacional de Juristas en ocasión de finalizar su visita a Guatemala</w:t>
        </w:r>
      </w:hyperlink>
      <w:r w:rsidRPr="001944CF">
        <w:rPr>
          <w:rFonts w:asciiTheme="majorHAnsi" w:hAnsiTheme="majorHAnsi"/>
          <w:color w:val="808080" w:themeColor="background1" w:themeShade="80"/>
        </w:rPr>
        <w:t>, [‘Statement of the International Commission of Jurists on the occasion of concluding its visit to Guatemala’] February 24, 2017, p. 5.</w:t>
      </w:r>
    </w:p>
  </w:footnote>
  <w:footnote w:id="324">
    <w:p w14:paraId="6728CFD4" w14:textId="183E6D0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of Jurists (ICJ), </w:t>
      </w:r>
      <w:hyperlink r:id="rId168" w:history="1">
        <w:r w:rsidRPr="001944CF">
          <w:rPr>
            <w:rStyle w:val="Hyperlink"/>
            <w:rFonts w:asciiTheme="majorHAnsi" w:hAnsiTheme="majorHAnsi"/>
            <w:color w:val="808080" w:themeColor="background1" w:themeShade="80"/>
          </w:rPr>
          <w:t>Pronunciamiento de la Comisión Internacional de Juristas en ocasión de finalizar su visita a Guatemala</w:t>
        </w:r>
      </w:hyperlink>
      <w:r w:rsidRPr="001944CF">
        <w:rPr>
          <w:rFonts w:asciiTheme="majorHAnsi" w:hAnsiTheme="majorHAnsi"/>
          <w:color w:val="808080" w:themeColor="background1" w:themeShade="80"/>
        </w:rPr>
        <w:t>, [‘Statement of the International Commission of Jurists on the occasion of concluding its visit to Guatemala’] February 24, 2017, p. 6.</w:t>
      </w:r>
    </w:p>
  </w:footnote>
  <w:footnote w:id="325">
    <w:p w14:paraId="23B9DEE5" w14:textId="2DE84A0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Section III.B, on Requirements for independence and impartiality: Public Prosecutor’s Office and reforms to the Judiciary. </w:t>
      </w:r>
    </w:p>
  </w:footnote>
  <w:footnote w:id="326">
    <w:p w14:paraId="2CA8B9BB" w14:textId="436BDA4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MC 497/16, </w:t>
      </w:r>
      <w:hyperlink r:id="rId169" w:history="1">
        <w:r w:rsidRPr="001944CF">
          <w:rPr>
            <w:rStyle w:val="Hyperlink"/>
            <w:rFonts w:asciiTheme="majorHAnsi" w:hAnsiTheme="majorHAnsi"/>
            <w:color w:val="808080" w:themeColor="background1" w:themeShade="80"/>
          </w:rPr>
          <w:t>Thelma Esperanza Aldana Hernández y familia, respecto de Guatemala</w:t>
        </w:r>
      </w:hyperlink>
      <w:r w:rsidRPr="001944CF">
        <w:rPr>
          <w:rFonts w:asciiTheme="majorHAnsi" w:hAnsiTheme="majorHAnsi"/>
          <w:color w:val="808080" w:themeColor="background1" w:themeShade="80"/>
        </w:rPr>
        <w:t>, [‘Thelma Esperanza Aldana Hernandez and family, with respect to Guatemala’], July 22, 2016.</w:t>
      </w:r>
    </w:p>
  </w:footnote>
  <w:footnote w:id="327">
    <w:p w14:paraId="5FE9F9CC" w14:textId="1BA10446"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MC 125/13, </w:t>
      </w:r>
      <w:hyperlink r:id="rId170" w:history="1">
        <w:r w:rsidRPr="001944CF">
          <w:rPr>
            <w:rStyle w:val="Hyperlink"/>
            <w:rFonts w:asciiTheme="majorHAnsi" w:hAnsiTheme="majorHAnsi"/>
            <w:color w:val="808080" w:themeColor="background1" w:themeShade="80"/>
            <w:lang w:val="es-MX"/>
          </w:rPr>
          <w:t>Iris Yassmín Barrios Aguilar y otros, respecto de Guatemala</w:t>
        </w:r>
      </w:hyperlink>
      <w:r w:rsidRPr="001944CF">
        <w:rPr>
          <w:rFonts w:asciiTheme="majorHAnsi" w:hAnsiTheme="majorHAnsi"/>
          <w:color w:val="808080" w:themeColor="background1" w:themeShade="80"/>
          <w:lang w:val="es-MX"/>
        </w:rPr>
        <w:t xml:space="preserve">, [Iris Yassmin Barrios Aguilar et al, with respect to Guatemala’], June 28, 2013. </w:t>
      </w:r>
    </w:p>
  </w:footnote>
  <w:footnote w:id="328">
    <w:p w14:paraId="2E20F029" w14:textId="0B2DB34C"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MC 351/16 and 366/16, </w:t>
      </w:r>
      <w:hyperlink r:id="rId171" w:history="1">
        <w:r w:rsidRPr="001944CF">
          <w:rPr>
            <w:rStyle w:val="Hyperlink"/>
            <w:rFonts w:asciiTheme="majorHAnsi" w:hAnsiTheme="majorHAnsi"/>
            <w:color w:val="808080" w:themeColor="background1" w:themeShade="80"/>
            <w:lang w:val="es-MX"/>
          </w:rPr>
          <w:t>Miguel Ángel Gálvez y familia, respecto de Guatemala</w:t>
        </w:r>
      </w:hyperlink>
      <w:r w:rsidRPr="001944CF">
        <w:rPr>
          <w:rFonts w:asciiTheme="majorHAnsi" w:hAnsiTheme="majorHAnsi"/>
          <w:color w:val="808080" w:themeColor="background1" w:themeShade="80"/>
          <w:lang w:val="es-MX"/>
        </w:rPr>
        <w:t xml:space="preserve">, [‘Miguel Angel Galvez and family, with respect to Guatemala’], August 21, 2016. </w:t>
      </w:r>
    </w:p>
  </w:footnote>
  <w:footnote w:id="329">
    <w:p w14:paraId="40AA21B2" w14:textId="7344111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Resolution 34/17, Precautionary Measure No. 431-17, </w:t>
      </w:r>
      <w:hyperlink r:id="rId172" w:history="1">
        <w:r w:rsidRPr="001944CF">
          <w:rPr>
            <w:rStyle w:val="Hyperlink"/>
            <w:rFonts w:asciiTheme="majorHAnsi" w:hAnsiTheme="majorHAnsi"/>
            <w:color w:val="808080" w:themeColor="background1" w:themeShade="80"/>
            <w:lang w:val="es-MX"/>
          </w:rPr>
          <w:t>Gloria Patricia Porras Escobar y familia respecto de Guatemala</w:t>
        </w:r>
      </w:hyperlink>
      <w:r w:rsidRPr="001944CF">
        <w:rPr>
          <w:rFonts w:asciiTheme="majorHAnsi" w:hAnsiTheme="majorHAnsi"/>
          <w:color w:val="808080" w:themeColor="background1" w:themeShade="80"/>
          <w:lang w:val="es-MX"/>
        </w:rPr>
        <w:t>, [‘Gloria Patricia Porras Escobar and family with respect to Guatemala’], August 29, 2017.</w:t>
      </w:r>
    </w:p>
  </w:footnote>
  <w:footnote w:id="330">
    <w:p w14:paraId="59DB8A78" w14:textId="1551BA0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Rules of Procedure of the Inter-American Commission on Human Rights, Article 25.</w:t>
      </w:r>
    </w:p>
  </w:footnote>
  <w:footnote w:id="331">
    <w:p w14:paraId="565C1182" w14:textId="7B5ADB2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request alleged that several hearings were held on the removal of immunity to stand trial against Justice Porras based on the performance of her duties, as well as that she had been the target of intimidation and harassment and surveillance on her and her husband. IACHR, MC 431/17, Gloria Patricia Porras Escobar and family, with respect to Guatemala, August 29, 2017. Resolution 34/17 it can be viewed at: </w:t>
      </w:r>
      <w:hyperlink r:id="rId173" w:history="1">
        <w:r w:rsidRPr="001944CF">
          <w:rPr>
            <w:rStyle w:val="Hyperlink"/>
            <w:rFonts w:asciiTheme="majorHAnsi" w:hAnsiTheme="majorHAnsi"/>
            <w:color w:val="808080" w:themeColor="background1" w:themeShade="80"/>
          </w:rPr>
          <w:t>http://www.oas.org/es/cidh/decisiones/pdf/2017/34-17MC431-17-GU.pdf</w:t>
        </w:r>
      </w:hyperlink>
      <w:r w:rsidRPr="001944CF">
        <w:rPr>
          <w:rFonts w:asciiTheme="majorHAnsi" w:hAnsiTheme="majorHAnsi"/>
          <w:color w:val="808080" w:themeColor="background1" w:themeShade="80"/>
        </w:rPr>
        <w:t xml:space="preserve"> </w:t>
      </w:r>
    </w:p>
  </w:footnote>
  <w:footnote w:id="332">
    <w:p w14:paraId="251881FE" w14:textId="6795AED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MC 431/17, Gloria Patricia Porras Escobar and family, with respect to Guatemala, August 29, 2017.</w:t>
      </w:r>
    </w:p>
  </w:footnote>
  <w:footnote w:id="333">
    <w:p w14:paraId="383FB7FA" w14:textId="746097B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74"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xml:space="preserve"> [‘Preliminary observations from the IACHR’s on-site visit to Guatemala’], August 4, 2017.</w:t>
      </w:r>
    </w:p>
  </w:footnote>
  <w:footnote w:id="334">
    <w:p w14:paraId="7F81CF54" w14:textId="38A910C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164</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Special Session, </w:t>
      </w:r>
      <w:hyperlink r:id="rId175" w:history="1">
        <w:r w:rsidRPr="001944CF">
          <w:rPr>
            <w:rStyle w:val="Hyperlink"/>
            <w:rFonts w:asciiTheme="majorHAnsi" w:hAnsiTheme="majorHAnsi"/>
            <w:color w:val="808080" w:themeColor="background1" w:themeShade="80"/>
          </w:rPr>
          <w:t>Denuncias sobre amenazas a la independencia judicial en Guatemala</w:t>
        </w:r>
      </w:hyperlink>
      <w:r w:rsidRPr="001944CF">
        <w:rPr>
          <w:rFonts w:asciiTheme="majorHAnsi" w:hAnsiTheme="majorHAnsi"/>
          <w:color w:val="808080" w:themeColor="background1" w:themeShade="80"/>
        </w:rPr>
        <w:t>, [‘Denunciations of threats to judicial independence in Guatemala’], September 7, 2017, Mexico City.</w:t>
      </w:r>
    </w:p>
  </w:footnote>
  <w:footnote w:id="335">
    <w:p w14:paraId="31FBBDBB" w14:textId="48F4D50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336">
    <w:p w14:paraId="21AA7E49" w14:textId="739DD66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Impunity Watch, Report on threats and retaliation against tenured judges and magistrates of Guatemala, July 2017, p. 4. </w:t>
      </w:r>
    </w:p>
  </w:footnote>
  <w:footnote w:id="337">
    <w:p w14:paraId="24BB77B6" w14:textId="0937B565"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IA Court of HR. </w:t>
      </w:r>
      <w:hyperlink r:id="rId176" w:history="1">
        <w:r w:rsidRPr="001944CF">
          <w:rPr>
            <w:rStyle w:val="Hyperlink"/>
            <w:rFonts w:asciiTheme="majorHAnsi" w:hAnsiTheme="majorHAnsi"/>
            <w:color w:val="808080" w:themeColor="background1" w:themeShade="80"/>
            <w:lang w:val="es-ES"/>
          </w:rPr>
          <w:t>Caso de la Masacre de la Rochela Vs.</w:t>
        </w:r>
        <w:r w:rsidRPr="001944CF">
          <w:rPr>
            <w:rStyle w:val="Hyperlink"/>
            <w:rFonts w:asciiTheme="majorHAnsi" w:hAnsiTheme="majorHAnsi"/>
            <w:color w:val="808080" w:themeColor="background1" w:themeShade="80"/>
            <w:u w:val="none"/>
            <w:lang w:val="es-ES"/>
          </w:rPr>
          <w:t xml:space="preserve"> </w:t>
        </w:r>
        <w:r w:rsidRPr="001944CF">
          <w:rPr>
            <w:rStyle w:val="Hyperlink"/>
            <w:rFonts w:asciiTheme="majorHAnsi" w:hAnsiTheme="majorHAnsi"/>
            <w:color w:val="808080" w:themeColor="background1" w:themeShade="80"/>
            <w:lang w:val="es-ES"/>
          </w:rPr>
          <w:t>Colombia</w:t>
        </w:r>
      </w:hyperlink>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rPr>
        <w:t xml:space="preserve">[‘Case of the Massacre of La Rochela v. Colombia’]. Merits, Reparations and Costs. </w:t>
      </w:r>
      <w:r w:rsidRPr="001944CF">
        <w:rPr>
          <w:rFonts w:asciiTheme="majorHAnsi" w:hAnsiTheme="majorHAnsi"/>
          <w:color w:val="808080" w:themeColor="background1" w:themeShade="80"/>
          <w:lang w:val="es-ES"/>
        </w:rPr>
        <w:t>Judgment of May 11, 2007. Series C No. 163, para. 297.</w:t>
      </w:r>
    </w:p>
  </w:footnote>
  <w:footnote w:id="338">
    <w:p w14:paraId="46EC35A4" w14:textId="3936942C"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t xml:space="preserve">IACHR, </w:t>
      </w:r>
      <w:hyperlink r:id="rId177" w:history="1">
        <w:r w:rsidRPr="001944CF">
          <w:rPr>
            <w:rFonts w:asciiTheme="majorHAnsi" w:hAnsiTheme="majorHAnsi"/>
            <w:color w:val="808080" w:themeColor="background1" w:themeShade="80"/>
            <w:sz w:val="16"/>
            <w:szCs w:val="16"/>
            <w:u w:val="single"/>
            <w:lang w:val="es-MX"/>
          </w:rPr>
          <w:t>Garantías para la independencia de las y los operadores de justicia.</w:t>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u w:val="single"/>
            <w:lang w:val="es-MX"/>
          </w:rPr>
          <w:t>Hacia el fortalecimiento del acceso a la justicia y el estado de derecho en las Américas</w:t>
        </w:r>
      </w:hyperlink>
      <w:r w:rsidRPr="001944CF">
        <w:rPr>
          <w:rFonts w:asciiTheme="majorHAnsi" w:hAnsiTheme="majorHAnsi"/>
          <w:color w:val="808080" w:themeColor="background1" w:themeShade="80"/>
          <w:sz w:val="16"/>
          <w:szCs w:val="16"/>
          <w:lang w:val="es-MX"/>
        </w:rPr>
        <w:t>, [‘Guarantees for the Independence of Justice Operators: Toward strengthening access to justice and the rule of law in the Americas’], OEA/Ser.L/V/II. Doc. 44 December 5, 2013, para. 147.</w:t>
      </w:r>
    </w:p>
  </w:footnote>
  <w:footnote w:id="339">
    <w:p w14:paraId="6ED2BB14" w14:textId="7DDF2376"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r w:rsidRPr="001944CF">
        <w:rPr>
          <w:rFonts w:asciiTheme="majorHAnsi" w:hAnsiTheme="majorHAnsi"/>
          <w:i/>
          <w:iCs/>
          <w:color w:val="808080" w:themeColor="background1" w:themeShade="80"/>
          <w:lang w:val="es-MX"/>
        </w:rPr>
        <w:t>Justicia e inclusión social:</w:t>
      </w:r>
      <w:r w:rsidRPr="001944CF">
        <w:rPr>
          <w:rFonts w:asciiTheme="majorHAnsi" w:hAnsiTheme="majorHAnsi"/>
          <w:color w:val="808080" w:themeColor="background1" w:themeShade="80"/>
          <w:lang w:val="es-MX"/>
        </w:rPr>
        <w:t xml:space="preserve"> </w:t>
      </w:r>
      <w:r w:rsidRPr="001944CF">
        <w:rPr>
          <w:rFonts w:asciiTheme="majorHAnsi" w:hAnsiTheme="majorHAnsi"/>
          <w:i/>
          <w:iCs/>
          <w:color w:val="808080" w:themeColor="background1" w:themeShade="80"/>
          <w:lang w:val="es-MX"/>
        </w:rPr>
        <w:t>Los desafíos de la democracia en Guatemala</w:t>
      </w:r>
      <w:r w:rsidRPr="001944CF">
        <w:rPr>
          <w:rFonts w:asciiTheme="majorHAnsi" w:hAnsiTheme="majorHAnsi"/>
          <w:color w:val="808080" w:themeColor="background1" w:themeShade="80"/>
          <w:lang w:val="es-MX"/>
        </w:rPr>
        <w:t xml:space="preserve">, [‘Justice and Social Inclusion: The Challenges of Democracy in Guatemala’], OEA/Ser.L/V/II.118. </w:t>
      </w:r>
      <w:r w:rsidRPr="001944CF">
        <w:rPr>
          <w:rFonts w:asciiTheme="majorHAnsi" w:hAnsiTheme="majorHAnsi"/>
          <w:color w:val="808080" w:themeColor="background1" w:themeShade="80"/>
          <w:lang w:val="es-ES"/>
        </w:rPr>
        <w:t>Doc. 5 rev. 1, December 29, 2003, Chapt. III, para. 201.</w:t>
      </w:r>
    </w:p>
  </w:footnote>
  <w:footnote w:id="340">
    <w:p w14:paraId="255FDAB0" w14:textId="74607102"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t xml:space="preserve">IACHR, </w:t>
      </w:r>
      <w:hyperlink r:id="rId178" w:history="1">
        <w:r w:rsidRPr="001944CF">
          <w:rPr>
            <w:rFonts w:asciiTheme="majorHAnsi" w:hAnsiTheme="majorHAnsi"/>
            <w:color w:val="808080" w:themeColor="background1" w:themeShade="80"/>
            <w:sz w:val="16"/>
            <w:szCs w:val="16"/>
            <w:u w:val="single"/>
            <w:lang w:val="es-MX"/>
          </w:rPr>
          <w:t>Garantías para la independencia de las y los operadores de justicia.</w:t>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u w:val="single"/>
            <w:lang w:val="es-MX"/>
          </w:rPr>
          <w:t>Hacia el fortalecimiento del acceso a la justicia y el estado de derecho en las Américas</w:t>
        </w:r>
      </w:hyperlink>
      <w:r w:rsidRPr="001944CF">
        <w:rPr>
          <w:rFonts w:asciiTheme="majorHAnsi" w:hAnsiTheme="majorHAnsi"/>
          <w:color w:val="808080" w:themeColor="background1" w:themeShade="80"/>
          <w:sz w:val="16"/>
          <w:szCs w:val="16"/>
          <w:lang w:val="es-MX"/>
        </w:rPr>
        <w:t>, [‘Guarantees for the Independence of Justice Operators: Toward strengthening sccess to justice and the rule of law in the Americas’], OEA/Ser.L/V/II. Doc. 44 December 5, 2013, para. 55.</w:t>
      </w:r>
    </w:p>
  </w:footnote>
  <w:footnote w:id="341">
    <w:p w14:paraId="6955657B" w14:textId="18AE768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IOM, </w:t>
      </w:r>
      <w:hyperlink r:id="rId179" w:history="1">
        <w:r w:rsidRPr="001944CF">
          <w:rPr>
            <w:rStyle w:val="Hyperlink"/>
            <w:rFonts w:asciiTheme="majorHAnsi" w:hAnsiTheme="majorHAnsi"/>
            <w:i/>
            <w:color w:val="808080" w:themeColor="background1" w:themeShade="80"/>
            <w:lang w:val="es-MX"/>
          </w:rPr>
          <w:t>Perfil Migratorio de Guatemala 2012</w:t>
        </w:r>
      </w:hyperlink>
      <w:r w:rsidRPr="001944CF">
        <w:rPr>
          <w:rFonts w:asciiTheme="majorHAnsi" w:hAnsiTheme="majorHAnsi"/>
          <w:color w:val="808080" w:themeColor="background1" w:themeShade="80"/>
          <w:lang w:val="es-MX"/>
        </w:rPr>
        <w:t xml:space="preserve">, [Migration Profile for Guatemala 2012, Spanish only], p. 22. </w:t>
      </w:r>
    </w:p>
  </w:footnote>
  <w:footnote w:id="342">
    <w:p w14:paraId="0C230DD5" w14:textId="780651BD"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hyperlink r:id="rId180" w:history="1">
        <w:r w:rsidRPr="001944CF">
          <w:rPr>
            <w:rStyle w:val="Hyperlink"/>
            <w:rFonts w:asciiTheme="majorHAnsi" w:hAnsiTheme="majorHAnsi"/>
            <w:color w:val="808080" w:themeColor="background1" w:themeShade="80"/>
            <w:lang w:val="es-MX"/>
          </w:rPr>
          <w:t>Ley del Registro de Información Catastral</w:t>
        </w:r>
      </w:hyperlink>
      <w:r w:rsidRPr="001944CF">
        <w:rPr>
          <w:rFonts w:asciiTheme="majorHAnsi" w:hAnsiTheme="majorHAnsi"/>
          <w:color w:val="808080" w:themeColor="background1" w:themeShade="80"/>
          <w:lang w:val="es-MX"/>
        </w:rPr>
        <w:t>, [‘Law of Registration of Cadastral Information’] Decree Number 41-2005, Article 91.</w:t>
      </w:r>
    </w:p>
  </w:footnote>
  <w:footnote w:id="343">
    <w:p w14:paraId="37D6584E" w14:textId="056690F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Constitutional Court, </w:t>
      </w:r>
      <w:hyperlink r:id="rId181" w:history="1">
        <w:r w:rsidRPr="001944CF">
          <w:rPr>
            <w:rStyle w:val="Hyperlink"/>
            <w:rFonts w:asciiTheme="majorHAnsi" w:hAnsiTheme="majorHAnsi"/>
            <w:color w:val="808080" w:themeColor="background1" w:themeShade="80"/>
          </w:rPr>
          <w:t>Expediente 2265-2006</w:t>
        </w:r>
      </w:hyperlink>
      <w:r w:rsidRPr="001944CF">
        <w:rPr>
          <w:rFonts w:asciiTheme="majorHAnsi" w:hAnsiTheme="majorHAnsi"/>
          <w:color w:val="808080" w:themeColor="background1" w:themeShade="80"/>
        </w:rPr>
        <w:t xml:space="preserve">, [‘Case File 2265-2006], September 4, 2006. </w:t>
      </w:r>
    </w:p>
  </w:footnote>
  <w:footnote w:id="344">
    <w:p w14:paraId="35067D75" w14:textId="4AD503F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Internal Displacement Monitoring Centre, </w:t>
      </w:r>
      <w:hyperlink r:id="rId182" w:history="1">
        <w:r w:rsidRPr="001944CF">
          <w:rPr>
            <w:rStyle w:val="Hyperlink"/>
            <w:rFonts w:asciiTheme="majorHAnsi" w:hAnsiTheme="majorHAnsi"/>
            <w:i/>
            <w:color w:val="808080" w:themeColor="background1" w:themeShade="80"/>
          </w:rPr>
          <w:t>Global Report on Internal Displacement</w:t>
        </w:r>
      </w:hyperlink>
      <w:r w:rsidRPr="001944CF">
        <w:rPr>
          <w:rFonts w:asciiTheme="majorHAnsi" w:hAnsiTheme="majorHAnsi"/>
          <w:i/>
          <w:color w:val="808080" w:themeColor="background1" w:themeShade="80"/>
        </w:rPr>
        <w:t>, 2017,</w:t>
      </w:r>
      <w:r w:rsidRPr="001944CF">
        <w:rPr>
          <w:rFonts w:asciiTheme="majorHAnsi" w:hAnsiTheme="majorHAnsi"/>
          <w:color w:val="808080" w:themeColor="background1" w:themeShade="80"/>
        </w:rPr>
        <w:t xml:space="preserve"> p.114. </w:t>
      </w:r>
    </w:p>
  </w:footnote>
  <w:footnote w:id="345">
    <w:p w14:paraId="5507B22B" w14:textId="690510B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UNHCR International Centre for the Rights of Migrants, </w:t>
      </w:r>
      <w:hyperlink r:id="rId183" w:history="1">
        <w:r w:rsidRPr="001944CF">
          <w:rPr>
            <w:rStyle w:val="Hyperlink"/>
            <w:rFonts w:asciiTheme="majorHAnsi" w:hAnsiTheme="majorHAnsi"/>
            <w:color w:val="808080" w:themeColor="background1" w:themeShade="80"/>
          </w:rPr>
          <w:t>Diagnóstico “Desplazamiento Forzado y Necesidades de Protección, generados por nuevas formas de Violencia y Criminalidad en Centroamérica</w:t>
        </w:r>
      </w:hyperlink>
      <w:r w:rsidRPr="001944CF">
        <w:rPr>
          <w:rFonts w:asciiTheme="majorHAnsi" w:hAnsiTheme="majorHAnsi"/>
          <w:color w:val="808080" w:themeColor="background1" w:themeShade="80"/>
        </w:rPr>
        <w:t>” [Study ‘Forced Displacement and Protection Needs produced by new forms of Violence and Criminality in Central America’] May 2012, p. 11.</w:t>
      </w:r>
    </w:p>
  </w:footnote>
  <w:footnote w:id="346">
    <w:p w14:paraId="234AEC19" w14:textId="025ED1FD"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Instituto de Investigación y Proyección sobre Dinámicas Globales y Territoriales de la Universidad Rafael Landívar, </w:t>
      </w:r>
      <w:r w:rsidRPr="001944CF">
        <w:rPr>
          <w:rFonts w:asciiTheme="majorHAnsi" w:hAnsiTheme="majorHAnsi"/>
          <w:i/>
          <w:color w:val="808080" w:themeColor="background1" w:themeShade="80"/>
          <w:lang w:val="es-MX"/>
        </w:rPr>
        <w:t>Documento síntesis del Diagnóstico de desplazamiento interno en Guatemala (2010-2016)</w:t>
      </w:r>
      <w:r w:rsidRPr="001944CF">
        <w:rPr>
          <w:rFonts w:asciiTheme="majorHAnsi" w:hAnsiTheme="majorHAnsi"/>
          <w:color w:val="808080" w:themeColor="background1" w:themeShade="80"/>
          <w:lang w:val="es-MX"/>
        </w:rPr>
        <w:t xml:space="preserve"> [‘Summary of Study on Internal Displacement in Guatemala 2010-2016’], (awaiting publication), p. 1. </w:t>
      </w:r>
    </w:p>
  </w:footnote>
  <w:footnote w:id="347">
    <w:p w14:paraId="0C5031B5" w14:textId="0AAA8F6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48">
    <w:p w14:paraId="7B8FB030" w14:textId="4C4C60F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49">
    <w:p w14:paraId="52670D8F" w14:textId="2931194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50">
    <w:p w14:paraId="568004FC" w14:textId="5BA3616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p. 2. </w:t>
      </w:r>
    </w:p>
  </w:footnote>
  <w:footnote w:id="351">
    <w:p w14:paraId="084C0FD1" w14:textId="25DC977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Testimony of displaced person to IACHR Rapporteur on the Rights of Migrants, August 1, 2017.</w:t>
      </w:r>
    </w:p>
  </w:footnote>
  <w:footnote w:id="352">
    <w:p w14:paraId="6907775A" w14:textId="1AAC85E8"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Instituto de Investigación y </w:t>
      </w:r>
      <w:r w:rsidRPr="001944CF">
        <w:rPr>
          <w:rFonts w:asciiTheme="majorHAnsi" w:hAnsiTheme="majorHAnsi"/>
          <w:color w:val="808080" w:themeColor="background1" w:themeShade="80"/>
          <w:lang w:val="es-MX"/>
        </w:rPr>
        <w:t xml:space="preserve">Proyección sobre Dinámicas Globales y Territoriales de la Universidad Rafael Landívar, </w:t>
      </w:r>
      <w:r w:rsidRPr="001944CF">
        <w:rPr>
          <w:rFonts w:asciiTheme="majorHAnsi" w:hAnsiTheme="majorHAnsi"/>
          <w:i/>
          <w:color w:val="808080" w:themeColor="background1" w:themeShade="80"/>
          <w:lang w:val="es-MX"/>
        </w:rPr>
        <w:t>Documento síntesis del Diagnóstico de desplazamiento interno en Guatemala (2010-2016)</w:t>
      </w:r>
      <w:r w:rsidRPr="001944CF">
        <w:rPr>
          <w:rFonts w:asciiTheme="majorHAnsi" w:hAnsiTheme="majorHAnsi"/>
          <w:color w:val="808080" w:themeColor="background1" w:themeShade="80"/>
          <w:lang w:val="es-MX"/>
        </w:rPr>
        <w:t xml:space="preserve"> [‘Summary of Study on Internal Displacement in Guatemala 2010-2016’] (awaiting publication), p. 3. </w:t>
      </w:r>
    </w:p>
  </w:footnote>
  <w:footnote w:id="353">
    <w:p w14:paraId="5E7A9AE6" w14:textId="6799D38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54">
    <w:p w14:paraId="20955647" w14:textId="1355798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55">
    <w:p w14:paraId="1C1BAAC7" w14:textId="7860683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Internal Displacement Monitoring Centre, </w:t>
      </w:r>
      <w:hyperlink r:id="rId184" w:history="1">
        <w:r w:rsidRPr="001944CF">
          <w:rPr>
            <w:rStyle w:val="Hyperlink"/>
            <w:rFonts w:asciiTheme="majorHAnsi" w:hAnsiTheme="majorHAnsi"/>
            <w:i/>
            <w:color w:val="808080" w:themeColor="background1" w:themeShade="80"/>
          </w:rPr>
          <w:t>Global Report on Internal Displacement 2017</w:t>
        </w:r>
      </w:hyperlink>
      <w:r w:rsidRPr="001944CF">
        <w:rPr>
          <w:rFonts w:asciiTheme="majorHAnsi" w:hAnsiTheme="majorHAnsi"/>
          <w:color w:val="808080" w:themeColor="background1" w:themeShade="80"/>
        </w:rPr>
        <w:t>, p. 114.</w:t>
      </w:r>
    </w:p>
  </w:footnote>
  <w:footnote w:id="356">
    <w:p w14:paraId="6C73449F" w14:textId="258AEB36"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Instituto de Investigación y Proyección sobre Dinámicas Globales y Territoriales de la Universidad Rafael Landívar, </w:t>
      </w:r>
      <w:r w:rsidRPr="001944CF">
        <w:rPr>
          <w:rFonts w:asciiTheme="majorHAnsi" w:hAnsiTheme="majorHAnsi"/>
          <w:i/>
          <w:color w:val="808080" w:themeColor="background1" w:themeShade="80"/>
          <w:lang w:val="es-ES"/>
        </w:rPr>
        <w:t>Documento síntesis del Diagnóstico de desplazamiento interno en Guatemala (2010-2016)</w:t>
      </w:r>
      <w:r w:rsidRPr="001944CF">
        <w:rPr>
          <w:rFonts w:asciiTheme="majorHAnsi" w:hAnsiTheme="majorHAnsi"/>
          <w:color w:val="808080" w:themeColor="background1" w:themeShade="80"/>
          <w:lang w:val="es-ES"/>
        </w:rPr>
        <w:t xml:space="preserve"> [‘Summary of Study on Internal Displacement in Guatemala 2010-2016’] (awaiting publishing), p. 3. </w:t>
      </w:r>
    </w:p>
  </w:footnote>
  <w:footnote w:id="357">
    <w:p w14:paraId="1D1C67AC" w14:textId="5D6E3960"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See: International Commission of Jurists, </w:t>
      </w:r>
      <w:hyperlink r:id="rId185" w:history="1">
        <w:r w:rsidRPr="001944CF">
          <w:rPr>
            <w:rStyle w:val="Hyperlink"/>
            <w:rFonts w:asciiTheme="majorHAnsi" w:hAnsiTheme="majorHAnsi"/>
            <w:i/>
            <w:color w:val="808080" w:themeColor="background1" w:themeShade="80"/>
            <w:lang w:val="es-ES"/>
          </w:rPr>
          <w:t>Acceso a la Justicia: El Caso de las Comunidades de los municipios de San Andrés y La Libertad</w:t>
        </w:r>
      </w:hyperlink>
      <w:r w:rsidRPr="001944CF">
        <w:rPr>
          <w:rFonts w:asciiTheme="majorHAnsi" w:hAnsiTheme="majorHAnsi"/>
          <w:i/>
          <w:color w:val="808080" w:themeColor="background1" w:themeShade="80"/>
          <w:lang w:val="es-ES"/>
        </w:rPr>
        <w:t xml:space="preserve">, </w:t>
      </w:r>
      <w:r w:rsidRPr="001944CF">
        <w:rPr>
          <w:rStyle w:val="Hyperlink"/>
          <w:rFonts w:asciiTheme="majorHAnsi" w:hAnsiTheme="majorHAnsi"/>
          <w:i/>
          <w:color w:val="808080" w:themeColor="background1" w:themeShade="80"/>
          <w:lang w:val="es-ES"/>
        </w:rPr>
        <w:t>departamento del Petén Guatemala</w:t>
      </w:r>
      <w:r w:rsidRPr="001944CF">
        <w:rPr>
          <w:rFonts w:asciiTheme="majorHAnsi" w:hAnsiTheme="majorHAnsi"/>
          <w:color w:val="808080" w:themeColor="background1" w:themeShade="80"/>
          <w:lang w:val="es-ES"/>
        </w:rPr>
        <w:t xml:space="preserve">, [‘Access to Justice: </w:t>
      </w:r>
      <w:r w:rsidRPr="001944CF">
        <w:rPr>
          <w:rFonts w:asciiTheme="majorHAnsi" w:hAnsiTheme="majorHAnsi"/>
          <w:i/>
          <w:color w:val="808080" w:themeColor="background1" w:themeShade="80"/>
          <w:lang w:val="es-ES"/>
        </w:rPr>
        <w:t xml:space="preserve">The Case of the Communities of the Municipalities of San Andrés and La Libertad, Department of Petén </w:t>
      </w:r>
      <w:r w:rsidRPr="001944CF">
        <w:rPr>
          <w:rFonts w:asciiTheme="majorHAnsi" w:hAnsiTheme="majorHAnsi"/>
          <w:color w:val="808080" w:themeColor="background1" w:themeShade="80"/>
          <w:lang w:val="es-ES"/>
        </w:rPr>
        <w:t xml:space="preserve">Guatemala’], November 15, 2012, p. 7. </w:t>
      </w:r>
    </w:p>
  </w:footnote>
  <w:footnote w:id="358">
    <w:p w14:paraId="65C1F824" w14:textId="689C120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of the Special Rapporteur on adequate housing, as component of the right to an adequate standard of living, </w:t>
      </w:r>
      <w:hyperlink r:id="rId186" w:history="1">
        <w:r w:rsidRPr="001944CF">
          <w:rPr>
            <w:rStyle w:val="Hyperlink"/>
            <w:rFonts w:asciiTheme="majorHAnsi" w:hAnsiTheme="majorHAnsi"/>
            <w:i/>
            <w:color w:val="808080" w:themeColor="background1" w:themeShade="80"/>
          </w:rPr>
          <w:t>Principios Básicos y Directrices sobre los Desalojos y el Desplazamiento generados por el Desarrollo</w:t>
        </w:r>
      </w:hyperlink>
      <w:r w:rsidRPr="001944CF">
        <w:rPr>
          <w:rFonts w:asciiTheme="majorHAnsi" w:hAnsiTheme="majorHAnsi"/>
          <w:i/>
          <w:color w:val="808080" w:themeColor="background1" w:themeShade="80"/>
        </w:rPr>
        <w:t>,</w:t>
      </w:r>
      <w:r w:rsidRPr="001944CF">
        <w:rPr>
          <w:rFonts w:asciiTheme="majorHAnsi" w:hAnsiTheme="majorHAnsi"/>
          <w:color w:val="808080" w:themeColor="background1" w:themeShade="80"/>
        </w:rPr>
        <w:t xml:space="preserve"> [‘Basic Principles and Guidelines for Development-Based Evictions and Displacement’], para. 8.</w:t>
      </w:r>
    </w:p>
  </w:footnote>
  <w:footnote w:id="359">
    <w:p w14:paraId="5D5961EE" w14:textId="466BB36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5</w:t>
      </w:r>
    </w:p>
  </w:footnote>
  <w:footnote w:id="360">
    <w:p w14:paraId="490ED408" w14:textId="2CCEB76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of Jurists, </w:t>
      </w:r>
      <w:hyperlink r:id="rId187" w:history="1">
        <w:r w:rsidRPr="001944CF">
          <w:rPr>
            <w:rStyle w:val="Hyperlink"/>
            <w:rFonts w:asciiTheme="majorHAnsi" w:hAnsiTheme="majorHAnsi"/>
            <w:i/>
            <w:color w:val="808080" w:themeColor="background1" w:themeShade="80"/>
          </w:rPr>
          <w:t>Pronunciamiento de la Comisión Internacional de Justicia (CIJ) en ocasión de finaliza la Misión de Alto Nivel al Departamento de Petén Guatemala</w:t>
        </w:r>
        <w:r w:rsidRPr="001944CF">
          <w:rPr>
            <w:rStyle w:val="Hyperlink"/>
            <w:rFonts w:asciiTheme="majorHAnsi" w:hAnsiTheme="majorHAnsi"/>
            <w:color w:val="808080" w:themeColor="background1" w:themeShade="80"/>
          </w:rPr>
          <w:t>,</w:t>
        </w:r>
      </w:hyperlink>
      <w:r w:rsidRPr="001944CF">
        <w:rPr>
          <w:rFonts w:asciiTheme="majorHAnsi" w:hAnsiTheme="majorHAnsi"/>
          <w:color w:val="808080" w:themeColor="background1" w:themeShade="80"/>
        </w:rPr>
        <w:t xml:space="preserve"> [‘Statement of the International Commission of Justice on the occasion of finalizing the High Level Mission to the Department of Peten, Guatemala’], August 9, 2012, p. 2.</w:t>
      </w:r>
    </w:p>
  </w:footnote>
  <w:footnote w:id="361">
    <w:p w14:paraId="58E91850" w14:textId="115FF3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of Jurists, </w:t>
      </w:r>
      <w:hyperlink r:id="rId188" w:history="1">
        <w:r w:rsidRPr="001944CF">
          <w:rPr>
            <w:rStyle w:val="Hyperlink"/>
            <w:rFonts w:asciiTheme="majorHAnsi" w:hAnsiTheme="majorHAnsi"/>
            <w:i/>
            <w:color w:val="808080" w:themeColor="background1" w:themeShade="80"/>
          </w:rPr>
          <w:t>Acceso a la Justicia: El Caso de las Comunidades de los municipios de San Andrés y La Libertad</w:t>
        </w:r>
      </w:hyperlink>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departamento del Petén Guatemala</w:t>
      </w:r>
      <w:r w:rsidRPr="001944CF">
        <w:rPr>
          <w:rFonts w:asciiTheme="majorHAnsi" w:hAnsiTheme="majorHAnsi"/>
          <w:color w:val="808080" w:themeColor="background1" w:themeShade="80"/>
        </w:rPr>
        <w:t xml:space="preserve">, [‘Access to Justice: the Case of the Communities of the Municipalities of San Andres and La Libertad, Department of Peten Guatemala’], November 15, 2012,  p. 4. </w:t>
      </w:r>
    </w:p>
  </w:footnote>
  <w:footnote w:id="362">
    <w:p w14:paraId="01569400" w14:textId="290FDE2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of Jurists, </w:t>
      </w:r>
      <w:hyperlink r:id="rId189" w:history="1">
        <w:r w:rsidRPr="001944CF">
          <w:rPr>
            <w:rStyle w:val="Hyperlink"/>
            <w:rFonts w:asciiTheme="majorHAnsi" w:hAnsiTheme="majorHAnsi"/>
            <w:i/>
            <w:color w:val="808080" w:themeColor="background1" w:themeShade="80"/>
          </w:rPr>
          <w:t>Pronunciamiento de la Comisión Internacional de Justicia (CIJ) en ocasión de finaliza la Misión de Alto Nivel al Departamento de Petén Guatemala</w:t>
        </w:r>
        <w:r w:rsidRPr="001944CF">
          <w:rPr>
            <w:rStyle w:val="Hyperlink"/>
            <w:rFonts w:asciiTheme="majorHAnsi" w:hAnsiTheme="majorHAnsi"/>
            <w:color w:val="808080" w:themeColor="background1" w:themeShade="80"/>
          </w:rPr>
          <w:t>,</w:t>
        </w:r>
      </w:hyperlink>
      <w:r w:rsidRPr="001944CF">
        <w:rPr>
          <w:rFonts w:asciiTheme="majorHAnsi" w:hAnsiTheme="majorHAnsi"/>
          <w:color w:val="808080" w:themeColor="background1" w:themeShade="80"/>
        </w:rPr>
        <w:t xml:space="preserve"> [‘Statement of the International Commission of Justice on the occasion of finalizing the High Level Mission to the Department of Peten, Guatemala’], August 9, 2012, p. 2.</w:t>
      </w:r>
    </w:p>
  </w:footnote>
  <w:footnote w:id="363">
    <w:p w14:paraId="71787CCB" w14:textId="60C9C41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 2.</w:t>
      </w:r>
    </w:p>
  </w:footnote>
  <w:footnote w:id="364">
    <w:p w14:paraId="36586BD0" w14:textId="3774D5B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International Commission of Jurists, La Comisión Internacional de Juristas hondamente preocupada por la detención arbitraria del defensor de derechos humanos Jovel Tobar en Guatemala, [‘The International Commission of Jurists deeply concerned over the arbitrary detention of human rights defender Jovel Tobar in Guatemala’], July 18, 2017.</w:t>
      </w:r>
    </w:p>
  </w:footnote>
  <w:footnote w:id="365">
    <w:p w14:paraId="792CD783" w14:textId="18369C4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of Jurists, </w:t>
      </w:r>
      <w:hyperlink r:id="rId190" w:history="1">
        <w:r w:rsidRPr="001944CF">
          <w:rPr>
            <w:rStyle w:val="Hyperlink"/>
            <w:rFonts w:asciiTheme="majorHAnsi" w:hAnsiTheme="majorHAnsi"/>
            <w:color w:val="808080" w:themeColor="background1" w:themeShade="80"/>
          </w:rPr>
          <w:t>Acceso a la Justicia: El Caso de las Comunidades de los municipios de San Andrés y La Libertad</w:t>
        </w:r>
      </w:hyperlink>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departamento del Petén Guatemala</w:t>
      </w:r>
      <w:r w:rsidRPr="001944CF">
        <w:rPr>
          <w:rFonts w:asciiTheme="majorHAnsi" w:hAnsiTheme="majorHAnsi"/>
          <w:color w:val="808080" w:themeColor="background1" w:themeShade="80"/>
        </w:rPr>
        <w:t>, [‘Access to Justice: The Case of the Communities of the Municipalities of San Andrés and La Libertad, Department of Peten Guatemala’], November 15, 2012, p. 18.</w:t>
      </w:r>
    </w:p>
  </w:footnote>
  <w:footnote w:id="366">
    <w:p w14:paraId="4854AB55" w14:textId="0216136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Report: 37 Communities of Laguna del Tigre and Sierra de Lacandón National Park of Peten Guatemala, 2017, para. 3</w:t>
      </w:r>
    </w:p>
  </w:footnote>
  <w:footnote w:id="367">
    <w:p w14:paraId="733DC7B3" w14:textId="23F243E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91"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xml:space="preserve">, [‘Preliminary observations from the </w:t>
      </w:r>
      <w:r w:rsidRPr="001944CF">
        <w:rPr>
          <w:rFonts w:asciiTheme="majorHAnsi" w:hAnsiTheme="majorHAnsi"/>
          <w:i/>
          <w:color w:val="808080" w:themeColor="background1" w:themeShade="80"/>
        </w:rPr>
        <w:t xml:space="preserve">in situ </w:t>
      </w:r>
      <w:r w:rsidRPr="001944CF">
        <w:rPr>
          <w:rFonts w:asciiTheme="majorHAnsi" w:hAnsiTheme="majorHAnsi"/>
          <w:color w:val="808080" w:themeColor="background1" w:themeShade="80"/>
        </w:rPr>
        <w:t xml:space="preserve">visit of the IACHR to Guatemala’], August 4, 2017; IACHR, </w:t>
      </w:r>
      <w:r w:rsidRPr="001944CF">
        <w:rPr>
          <w:rFonts w:asciiTheme="majorHAnsi" w:hAnsiTheme="majorHAnsi"/>
          <w:i/>
          <w:color w:val="808080" w:themeColor="background1" w:themeShade="80"/>
        </w:rPr>
        <w:t xml:space="preserve">Precautionary measure No. 412-17, Settlers evicted and displaced from the Community of Laguna Larga, Guatemala, </w:t>
      </w:r>
      <w:r w:rsidRPr="001944CF">
        <w:rPr>
          <w:rFonts w:asciiTheme="majorHAnsi" w:hAnsiTheme="majorHAnsi"/>
          <w:color w:val="808080" w:themeColor="background1" w:themeShade="80"/>
        </w:rPr>
        <w:t>September 8,</w:t>
      </w:r>
      <w:r w:rsidRPr="001944CF">
        <w:rPr>
          <w:rFonts w:asciiTheme="majorHAnsi" w:hAnsiTheme="majorHAnsi"/>
          <w:i/>
          <w:color w:val="808080" w:themeColor="background1" w:themeShade="80"/>
        </w:rPr>
        <w:t xml:space="preserve"> </w:t>
      </w:r>
      <w:r w:rsidRPr="001944CF">
        <w:rPr>
          <w:rFonts w:asciiTheme="majorHAnsi" w:hAnsiTheme="majorHAnsi"/>
          <w:color w:val="808080" w:themeColor="background1" w:themeShade="80"/>
        </w:rPr>
        <w:t>2017.</w:t>
      </w:r>
      <w:r w:rsidRPr="001944CF">
        <w:rPr>
          <w:rFonts w:asciiTheme="majorHAnsi" w:hAnsiTheme="majorHAnsi"/>
          <w:color w:val="808080" w:themeColor="background1" w:themeShade="80"/>
        </w:rPr>
        <w:tab/>
      </w:r>
    </w:p>
  </w:footnote>
  <w:footnote w:id="368">
    <w:p w14:paraId="2423067B" w14:textId="446BF97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Testimony of a lady belonging to Laguna Larga, Petén to the IACHR Rapporteur on the Rights of Migrants, August 1, 2017. </w:t>
      </w:r>
    </w:p>
  </w:footnote>
  <w:footnote w:id="369">
    <w:p w14:paraId="6EBC5840" w14:textId="7D4D3DD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192"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xml:space="preserve">, [‘Preliminary observations from the </w:t>
      </w:r>
      <w:r w:rsidRPr="001944CF">
        <w:rPr>
          <w:rFonts w:asciiTheme="majorHAnsi" w:hAnsiTheme="majorHAnsi"/>
          <w:i/>
          <w:color w:val="808080" w:themeColor="background1" w:themeShade="80"/>
        </w:rPr>
        <w:t xml:space="preserve">in situ </w:t>
      </w:r>
      <w:r w:rsidRPr="001944CF">
        <w:rPr>
          <w:rFonts w:asciiTheme="majorHAnsi" w:hAnsiTheme="majorHAnsi"/>
          <w:color w:val="808080" w:themeColor="background1" w:themeShade="80"/>
        </w:rPr>
        <w:t xml:space="preserve">visit of the IACHR to Guatemala’], August 4, 2017; IACHR, </w:t>
      </w:r>
      <w:r w:rsidRPr="001944CF">
        <w:rPr>
          <w:rFonts w:asciiTheme="majorHAnsi" w:hAnsiTheme="majorHAnsi"/>
          <w:i/>
          <w:color w:val="808080" w:themeColor="background1" w:themeShade="80"/>
        </w:rPr>
        <w:t xml:space="preserve">Precautionary measure No. 412-17, Settlers evicted and displaced from the Community of Laguna Larga, Guatemala, </w:t>
      </w:r>
      <w:r w:rsidRPr="001944CF">
        <w:rPr>
          <w:rFonts w:asciiTheme="majorHAnsi" w:hAnsiTheme="majorHAnsi"/>
          <w:color w:val="808080" w:themeColor="background1" w:themeShade="80"/>
        </w:rPr>
        <w:t>September 8,</w:t>
      </w:r>
      <w:r w:rsidRPr="001944CF">
        <w:rPr>
          <w:rFonts w:asciiTheme="majorHAnsi" w:hAnsiTheme="majorHAnsi"/>
          <w:i/>
          <w:color w:val="808080" w:themeColor="background1" w:themeShade="80"/>
        </w:rPr>
        <w:t xml:space="preserve"> </w:t>
      </w:r>
      <w:r w:rsidRPr="001944CF">
        <w:rPr>
          <w:rFonts w:asciiTheme="majorHAnsi" w:hAnsiTheme="majorHAnsi"/>
          <w:color w:val="808080" w:themeColor="background1" w:themeShade="80"/>
        </w:rPr>
        <w:t>2017.</w:t>
      </w:r>
      <w:r w:rsidRPr="001944CF">
        <w:rPr>
          <w:rFonts w:asciiTheme="majorHAnsi" w:hAnsiTheme="majorHAnsi"/>
          <w:color w:val="808080" w:themeColor="background1" w:themeShade="80"/>
        </w:rPr>
        <w:tab/>
      </w:r>
    </w:p>
  </w:footnote>
  <w:footnote w:id="370">
    <w:p w14:paraId="4A927899" w14:textId="174945A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CIDH, </w:t>
      </w:r>
      <w:hyperlink r:id="rId193"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xml:space="preserve">, [‘Preliminary observations from the </w:t>
      </w:r>
      <w:r w:rsidRPr="001944CF">
        <w:rPr>
          <w:rFonts w:asciiTheme="majorHAnsi" w:hAnsiTheme="majorHAnsi"/>
          <w:i/>
          <w:color w:val="808080" w:themeColor="background1" w:themeShade="80"/>
        </w:rPr>
        <w:t xml:space="preserve">in situ </w:t>
      </w:r>
      <w:r w:rsidRPr="001944CF">
        <w:rPr>
          <w:rFonts w:asciiTheme="majorHAnsi" w:hAnsiTheme="majorHAnsi"/>
          <w:color w:val="808080" w:themeColor="background1" w:themeShade="80"/>
        </w:rPr>
        <w:t xml:space="preserve">visit of the IACHR to Guatemala’], August 4, 2017; IACHR, </w:t>
      </w:r>
      <w:r w:rsidRPr="001944CF">
        <w:rPr>
          <w:rFonts w:asciiTheme="majorHAnsi" w:hAnsiTheme="majorHAnsi"/>
          <w:i/>
          <w:color w:val="808080" w:themeColor="background1" w:themeShade="80"/>
        </w:rPr>
        <w:t xml:space="preserve">Precautionary measure No. 412-17, Settlers evicted and displaced from the Community of Laguna Larga, Guatemala, </w:t>
      </w:r>
      <w:r w:rsidRPr="001944CF">
        <w:rPr>
          <w:rFonts w:asciiTheme="majorHAnsi" w:hAnsiTheme="majorHAnsi"/>
          <w:color w:val="808080" w:themeColor="background1" w:themeShade="80"/>
        </w:rPr>
        <w:t>September 8,</w:t>
      </w:r>
      <w:r w:rsidRPr="001944CF">
        <w:rPr>
          <w:rFonts w:asciiTheme="majorHAnsi" w:hAnsiTheme="majorHAnsi"/>
          <w:i/>
          <w:color w:val="808080" w:themeColor="background1" w:themeShade="80"/>
        </w:rPr>
        <w:t xml:space="preserve"> </w:t>
      </w:r>
      <w:r w:rsidRPr="001944CF">
        <w:rPr>
          <w:rFonts w:asciiTheme="majorHAnsi" w:hAnsiTheme="majorHAnsi"/>
          <w:color w:val="808080" w:themeColor="background1" w:themeShade="80"/>
        </w:rPr>
        <w:t>2017.</w:t>
      </w:r>
      <w:r w:rsidRPr="001944CF">
        <w:rPr>
          <w:rFonts w:asciiTheme="majorHAnsi" w:hAnsiTheme="majorHAnsi"/>
          <w:color w:val="808080" w:themeColor="background1" w:themeShade="80"/>
        </w:rPr>
        <w:tab/>
      </w:r>
    </w:p>
  </w:footnote>
  <w:footnote w:id="371">
    <w:p w14:paraId="70296E67" w14:textId="71010F1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Precautionary Measure No. 412-17, Settlers evicted and displaced from the Laguna Larga Community, Guatemala, September 8, 2017. </w:t>
      </w:r>
    </w:p>
  </w:footnote>
  <w:footnote w:id="372">
    <w:p w14:paraId="007D6A0C" w14:textId="6AD2EB2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373">
    <w:p w14:paraId="6659EEF4" w14:textId="6AB6331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374">
    <w:p w14:paraId="2330E102" w14:textId="3894CD7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375">
    <w:p w14:paraId="2534CAEB" w14:textId="2AE4AC7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376">
    <w:p w14:paraId="75594DE5" w14:textId="21B90E9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COPREDEH, Report of the State of Guatemala to the Illustrious Inter-American Commission on Human Rights. Precautionary Measures 412-17 benefiting Settlers evicted and displaced from the Community of Laguna Larga, Peten, Guatemala, October 18, 2017. </w:t>
      </w:r>
    </w:p>
  </w:footnote>
  <w:footnote w:id="377">
    <w:p w14:paraId="7E0E30B1" w14:textId="5371D45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Open letter to the International Commission against Impunity in Guatemala (CICIG) and the Intern-American Commission on Human Rights (IACHR) in response to the humanitarian crisis and forced displacements caused by the Guatemalan State and Government in Chaab´ilch´o´ch, Livingston, Izabal; La Cumbre Sacuxha, Tactic, Alta Verapaz  and Chaqchila Trece Aguas Community, Senahu, Alta Verapaz, Guatemala, November 6, 2017.</w:t>
      </w:r>
    </w:p>
  </w:footnote>
  <w:footnote w:id="378">
    <w:p w14:paraId="016EE2BA" w14:textId="50EC798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requested by Chamber of Deputies member Locadio Juracan Salome of Bancada Convergencia, Memorandum October 31, 2017, COPREDEH, Izabal.  </w:t>
      </w:r>
    </w:p>
  </w:footnote>
  <w:footnote w:id="379">
    <w:p w14:paraId="15FCA6C1" w14:textId="1B0015E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Open letter to the International Commission against Impunity in Guatemala (CICIG) and the Intern-American Commission on Human Rights (IACHR) in response to the humanitarian crisis and forced displacements caused by the Guatemalan State and Government in Chaab´ilch´o´ch, Livingston, Izabal; La Cumbre Sacuxha, Tactic, Alta Verapaz  and Chaqchila Trece Aguas Community, Senahu, Alta Verapaz, Guatemala, November 6, 2017. </w:t>
      </w:r>
    </w:p>
  </w:footnote>
  <w:footnote w:id="380">
    <w:p w14:paraId="189601E6" w14:textId="6D55062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requested by Chamber of Deputies member Locadio Juracan Salome of Bancada Convergencia, Memorandum October 31, 2017, COPREDEH, Izabal. </w:t>
      </w:r>
    </w:p>
  </w:footnote>
  <w:footnote w:id="381">
    <w:p w14:paraId="4DD393FB" w14:textId="71DABC3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requested by Chamber of Deputies member Locadio Juracan Salome of Bancada Convergencia, Memorandum November 7, 2017, COPREDEH, Case of Finca Trece Aguas, Senahú, Alta Verapaz.  </w:t>
      </w:r>
    </w:p>
  </w:footnote>
  <w:footnote w:id="382">
    <w:p w14:paraId="48E0E7F3" w14:textId="6F73A24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383">
    <w:p w14:paraId="772F3CAD" w14:textId="4226952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requested by Chamber of Deputies member Locadio Juracan Salome of Bancada Convergencia, Memorandum November 7, 2017, COPREDEH, Aldea la Cumbre Chamche.  </w:t>
      </w:r>
    </w:p>
  </w:footnote>
  <w:footnote w:id="384">
    <w:p w14:paraId="6A37AC29" w14:textId="5D35CF8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Open letter to the International Commission against Impunity in Guatemala (CICIG) and the Intern-American Commission on Human Rights (IACHR) in response to the humanitarian crisis and forced displacements caused by the Guatemalan State and Government in Chaab´ilch´o´ch, Livingston, Izabal; La Cumbre Sacuxha, Tactic, Alta Verapaz  and Chaqchila Trece Aguas Community, Senahu, Alta Verapaz, Guatemala, November 6, 2017. </w:t>
      </w:r>
    </w:p>
  </w:footnote>
  <w:footnote w:id="385">
    <w:p w14:paraId="74D48FB6" w14:textId="7466D19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386">
    <w:p w14:paraId="199A2BC3" w14:textId="2782A6F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this regard, see, Open letter to the International Commission against Impunity in Guatemala (CICIG) and the Intern-American Commission on Human Rights (IACHR) in response to the humanitarian crisis and forced displacements caused by the Guatemalan State and Government in Chaab´ilch´o´ch, Livingston, Izabal; La Cumbre Sacuxha, Tactic, Alta Verapaz  and Chaqchila Trece Aguas Community, Senahu, Alta Verapaz, Guatemala, November 6, 2017. </w:t>
      </w:r>
    </w:p>
  </w:footnote>
  <w:footnote w:id="387">
    <w:p w14:paraId="4A8D8805" w14:textId="5A4CB60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See: United Nations, </w:t>
      </w:r>
      <w:hyperlink r:id="rId194" w:history="1">
        <w:r w:rsidRPr="001944CF">
          <w:rPr>
            <w:rStyle w:val="Hyperlink"/>
            <w:rFonts w:asciiTheme="majorHAnsi" w:hAnsiTheme="majorHAnsi"/>
            <w:color w:val="808080" w:themeColor="background1" w:themeShade="80"/>
            <w:lang w:val="es-ES"/>
          </w:rPr>
          <w:t>Principios Básicos y Dir</w:t>
        </w:r>
        <w:r w:rsidRPr="001944CF">
          <w:rPr>
            <w:rStyle w:val="Hyperlink"/>
            <w:rFonts w:asciiTheme="majorHAnsi" w:hAnsiTheme="majorHAnsi"/>
            <w:color w:val="808080" w:themeColor="background1" w:themeShade="80"/>
            <w:lang w:val="es-MX"/>
          </w:rPr>
          <w:t>ectrices sobre los Desalojos y el Desplazamiento generado por el Desarrollo, Anexo I del Informe del Relator Especial sobre una vivienda adecuada, como parte del derecho a un nivel de vida adecuado</w:t>
        </w:r>
      </w:hyperlink>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 xml:space="preserve">[‘Basic Principles and Guidelines for Development-Based Evictions and Displacement, Annex I of the Report of the Special Rapporteur on adequate housing, as a component of the right to an adequate standard of living’] A/HRC/4/18, y </w:t>
      </w:r>
      <w:hyperlink r:id="rId195" w:history="1">
        <w:r w:rsidRPr="001944CF">
          <w:rPr>
            <w:rStyle w:val="Hyperlink"/>
            <w:rFonts w:asciiTheme="majorHAnsi" w:hAnsiTheme="majorHAnsi"/>
            <w:color w:val="808080" w:themeColor="background1" w:themeShade="80"/>
          </w:rPr>
          <w:t>Principios Rectores de los Desplazamientos Internos</w:t>
        </w:r>
      </w:hyperlink>
      <w:r w:rsidRPr="001944CF">
        <w:rPr>
          <w:rFonts w:asciiTheme="majorHAnsi" w:hAnsiTheme="majorHAnsi"/>
          <w:color w:val="808080" w:themeColor="background1" w:themeShade="80"/>
        </w:rPr>
        <w:t xml:space="preserve">, [‘Guiding Principles on Internal Displacement’] E/CN.4/1998/53/Add.2. </w:t>
      </w:r>
    </w:p>
  </w:footnote>
  <w:footnote w:id="388">
    <w:p w14:paraId="32A7F9CA" w14:textId="4BF062B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89">
    <w:p w14:paraId="71268948" w14:textId="47CA184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Bornschein, Dirk, </w:t>
      </w:r>
      <w:hyperlink r:id="rId196" w:history="1">
        <w:r w:rsidRPr="001944CF">
          <w:rPr>
            <w:rStyle w:val="Hyperlink"/>
            <w:rFonts w:asciiTheme="majorHAnsi" w:hAnsiTheme="majorHAnsi"/>
            <w:color w:val="808080" w:themeColor="background1" w:themeShade="80"/>
          </w:rPr>
          <w:t>Antecedentes: el caso de las migraciones en Guatemala, causas y cifras</w:t>
        </w:r>
      </w:hyperlink>
      <w:r w:rsidRPr="001944CF">
        <w:rPr>
          <w:rFonts w:asciiTheme="majorHAnsi" w:hAnsiTheme="majorHAnsi"/>
          <w:color w:val="808080" w:themeColor="background1" w:themeShade="80"/>
        </w:rPr>
        <w:t xml:space="preserve">, [‘Background: the case of migration in Guatemala, causes and figures’], March 24, 2017. </w:t>
      </w:r>
    </w:p>
  </w:footnote>
  <w:footnote w:id="390">
    <w:p w14:paraId="6E6D7342" w14:textId="2F1235A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91">
    <w:p w14:paraId="77EB9E96" w14:textId="68A0598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UNHCR, Global Trends (2012, 2013, 2014, 2015, 2016 and 2017). </w:t>
      </w:r>
    </w:p>
  </w:footnote>
  <w:footnote w:id="392">
    <w:p w14:paraId="252FEB30" w14:textId="6A97431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393">
    <w:p w14:paraId="3A5E4C4E" w14:textId="47F4D7C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Scalabrini International Migration Network (SIMN) Missionaries of Saint Charles Scalabrinians. </w:t>
      </w:r>
    </w:p>
  </w:footnote>
  <w:footnote w:id="394">
    <w:p w14:paraId="4EA22B32" w14:textId="170645F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Testimony provided to the Rapporteur on the Rights of Migrants on his visit to Guatemala, July 31, 2017.  </w:t>
      </w:r>
    </w:p>
  </w:footnote>
  <w:footnote w:id="395">
    <w:p w14:paraId="3E5FF55B" w14:textId="66B693F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Foundation for Justice and Democratic Rule of Law and Community Studies and Psychosocial Action Team, Report addressed to the IACHR on the occasion of its country visit to Guatemala of July 31 to August 4, 2017, Disappeared migrants, a Guatemalan reality: Search, identification and access to justice for their families, p. 9.</w:t>
      </w:r>
    </w:p>
  </w:footnote>
  <w:footnote w:id="396">
    <w:p w14:paraId="025475E2" w14:textId="0557E51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Independent Report of the Human Rights Ombudsman of Guatemala to the Committee on the Protection of the Rights of All Migrant Workers and Members of their Families, p. 11.</w:t>
      </w:r>
    </w:p>
  </w:footnote>
  <w:footnote w:id="397">
    <w:p w14:paraId="7D3B2010" w14:textId="17FB91B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Code of Migration, Chapter V: Procedure for assistance to the families of the persons reported as disappeared as a consequence of migration. </w:t>
      </w:r>
    </w:p>
  </w:footnote>
  <w:footnote w:id="398">
    <w:p w14:paraId="6049F229" w14:textId="29112F4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Code of Migration, Article 1.</w:t>
      </w:r>
    </w:p>
  </w:footnote>
  <w:footnote w:id="399">
    <w:p w14:paraId="0FDBF27A" w14:textId="1350B4C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Article 43.</w:t>
      </w:r>
    </w:p>
  </w:footnote>
  <w:footnote w:id="400">
    <w:p w14:paraId="03F1F529" w14:textId="1A34104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Article 44.</w:t>
      </w:r>
    </w:p>
  </w:footnote>
  <w:footnote w:id="401">
    <w:p w14:paraId="7456DA44" w14:textId="5A6179C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Article 68. </w:t>
      </w:r>
    </w:p>
  </w:footnote>
  <w:footnote w:id="402">
    <w:p w14:paraId="430061A2" w14:textId="6889255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Article 46.</w:t>
      </w:r>
    </w:p>
  </w:footnote>
  <w:footnote w:id="403">
    <w:p w14:paraId="00AE524E" w14:textId="706ABCA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04">
    <w:p w14:paraId="3A9834A1" w14:textId="04D84FB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National Migration Institute, </w:t>
      </w:r>
      <w:hyperlink r:id="rId197" w:history="1">
        <w:r w:rsidRPr="001944CF">
          <w:rPr>
            <w:rStyle w:val="Hyperlink"/>
            <w:rFonts w:asciiTheme="majorHAnsi" w:hAnsiTheme="majorHAnsi"/>
            <w:i/>
            <w:color w:val="808080" w:themeColor="background1" w:themeShade="80"/>
          </w:rPr>
          <w:t>Boletines Estadísticos – Extranjeros presentados y devueltos</w:t>
        </w:r>
      </w:hyperlink>
      <w:r w:rsidRPr="001944CF">
        <w:rPr>
          <w:rFonts w:asciiTheme="majorHAnsi" w:hAnsiTheme="majorHAnsi"/>
          <w:i/>
          <w:color w:val="808080" w:themeColor="background1" w:themeShade="80"/>
        </w:rPr>
        <w:t xml:space="preserve">, </w:t>
      </w:r>
      <w:r w:rsidRPr="001944CF">
        <w:rPr>
          <w:rFonts w:asciiTheme="majorHAnsi" w:hAnsiTheme="majorHAnsi"/>
          <w:color w:val="808080" w:themeColor="background1" w:themeShade="80"/>
        </w:rPr>
        <w:t>[‘Statistics Bulletin – Foreigners presented and returned’], 2012 – 2016.</w:t>
      </w:r>
    </w:p>
  </w:footnote>
  <w:footnote w:id="405">
    <w:p w14:paraId="7C27EA77" w14:textId="7978041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Expansion, Guatemala opens a lounge in its airport to receive migrant children, May 31, 2017. Available at: </w:t>
      </w:r>
      <w:hyperlink r:id="rId198" w:history="1">
        <w:r w:rsidRPr="001944CF">
          <w:rPr>
            <w:rStyle w:val="Hyperlink"/>
            <w:rFonts w:asciiTheme="majorHAnsi" w:hAnsiTheme="majorHAnsi"/>
            <w:color w:val="808080" w:themeColor="background1" w:themeShade="80"/>
          </w:rPr>
          <w:t>http://expansion.mx/mundo/2017/05/31/guatemala-abre-sale-en-su-aeropuerto-para-recibir-a-ninos-inmigrantes</w:t>
        </w:r>
      </w:hyperlink>
    </w:p>
  </w:footnote>
  <w:footnote w:id="406">
    <w:p w14:paraId="225AC4B4" w14:textId="0C40C41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Code of Migration, Article 16. </w:t>
      </w:r>
    </w:p>
  </w:footnote>
  <w:footnote w:id="407">
    <w:p w14:paraId="0F38EF68" w14:textId="5C197C0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08">
    <w:p w14:paraId="16451D3C" w14:textId="249FA56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Guatemala, Report of the State on Trafficking in Persons, 2016, 2017, p. 66.</w:t>
      </w:r>
    </w:p>
  </w:footnote>
  <w:footnote w:id="409">
    <w:p w14:paraId="747F3FF7" w14:textId="1B98614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Office to Monitor and Combat Trafficking in Persons, US Department of State, </w:t>
      </w:r>
      <w:hyperlink r:id="rId199" w:history="1">
        <w:r w:rsidRPr="001944CF">
          <w:rPr>
            <w:rStyle w:val="Hyperlink"/>
            <w:rFonts w:asciiTheme="majorHAnsi" w:hAnsiTheme="majorHAnsi"/>
            <w:i/>
            <w:color w:val="808080" w:themeColor="background1" w:themeShade="80"/>
          </w:rPr>
          <w:t>2016 Trafficking in Persons Report</w:t>
        </w:r>
      </w:hyperlink>
      <w:r w:rsidRPr="001944CF">
        <w:rPr>
          <w:rFonts w:asciiTheme="majorHAnsi" w:hAnsiTheme="majorHAnsi"/>
          <w:i/>
          <w:color w:val="808080" w:themeColor="background1" w:themeShade="80"/>
        </w:rPr>
        <w:t>, Guatemala,</w:t>
      </w:r>
      <w:r w:rsidRPr="001944CF">
        <w:rPr>
          <w:rFonts w:asciiTheme="majorHAnsi" w:hAnsiTheme="majorHAnsi"/>
          <w:color w:val="808080" w:themeColor="background1" w:themeShade="80"/>
        </w:rPr>
        <w:t xml:space="preserve"> 2016. Available at: </w:t>
      </w:r>
      <w:hyperlink r:id="rId200" w:history="1">
        <w:r w:rsidRPr="001944CF">
          <w:rPr>
            <w:rStyle w:val="Hyperlink"/>
            <w:rFonts w:asciiTheme="majorHAnsi" w:hAnsiTheme="majorHAnsi"/>
            <w:color w:val="808080" w:themeColor="background1" w:themeShade="80"/>
          </w:rPr>
          <w:t>https://www.state.gov/j/tip/rls/tiprpt/countries/2016/258775.htm</w:t>
        </w:r>
      </w:hyperlink>
    </w:p>
  </w:footnote>
  <w:footnote w:id="410">
    <w:p w14:paraId="50C5D746" w14:textId="4D07A23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UNODC, </w:t>
      </w:r>
      <w:hyperlink r:id="rId201" w:history="1">
        <w:r w:rsidRPr="001944CF">
          <w:rPr>
            <w:rStyle w:val="Hyperlink"/>
            <w:rFonts w:asciiTheme="majorHAnsi" w:hAnsiTheme="majorHAnsi"/>
            <w:i/>
            <w:color w:val="808080" w:themeColor="background1" w:themeShade="80"/>
          </w:rPr>
          <w:t>Global Report on Trafficking in Persons</w:t>
        </w:r>
      </w:hyperlink>
      <w:r w:rsidRPr="001944CF">
        <w:rPr>
          <w:rFonts w:asciiTheme="majorHAnsi" w:hAnsiTheme="majorHAnsi"/>
          <w:i/>
          <w:color w:val="808080" w:themeColor="background1" w:themeShade="80"/>
        </w:rPr>
        <w:t xml:space="preserve"> 2016</w:t>
      </w:r>
      <w:r w:rsidRPr="001944CF">
        <w:rPr>
          <w:rFonts w:asciiTheme="majorHAnsi" w:hAnsiTheme="majorHAnsi"/>
          <w:color w:val="808080" w:themeColor="background1" w:themeShade="80"/>
        </w:rPr>
        <w:t>, p. 93.</w:t>
      </w:r>
    </w:p>
  </w:footnote>
  <w:footnote w:id="411">
    <w:p w14:paraId="50E06BAD" w14:textId="38E7696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Guatemala, Report of the State on Trafficking in Persons 2016, 2017, p. 66.</w:t>
      </w:r>
    </w:p>
  </w:footnote>
  <w:footnote w:id="412">
    <w:p w14:paraId="4C8F9E1E" w14:textId="20C3888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13">
    <w:p w14:paraId="3CB1CFAC" w14:textId="085A9E4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Guatemala, Report of the State on Trafficking in Persons 2016, 2017, pp. 70, 71.</w:t>
      </w:r>
    </w:p>
  </w:footnote>
  <w:footnote w:id="414">
    <w:p w14:paraId="0C78CD1C" w14:textId="1776085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 69.</w:t>
      </w:r>
    </w:p>
  </w:footnote>
  <w:footnote w:id="415">
    <w:p w14:paraId="11615390" w14:textId="2629EA1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16">
    <w:p w14:paraId="5DCF6B1E" w14:textId="31052B1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Guatemala, Report of the State on Trafficking in Persons 2016, 2017, pp. 74 and 75.</w:t>
      </w:r>
    </w:p>
  </w:footnote>
  <w:footnote w:id="417">
    <w:p w14:paraId="794D3363" w14:textId="2E533C4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18">
    <w:p w14:paraId="21B966D6" w14:textId="6486BD73"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Prensa Libre. February 8, 2017. </w:t>
      </w:r>
      <w:hyperlink r:id="rId202" w:history="1">
        <w:r w:rsidRPr="001944CF">
          <w:rPr>
            <w:rStyle w:val="Hyperlink"/>
            <w:rFonts w:asciiTheme="majorHAnsi" w:hAnsiTheme="majorHAnsi"/>
            <w:i/>
            <w:iCs/>
            <w:color w:val="808080" w:themeColor="background1" w:themeShade="80"/>
            <w:lang w:val="es-ES"/>
          </w:rPr>
          <w:t>PDH pide protección a periodistas</w:t>
        </w:r>
      </w:hyperlink>
      <w:r w:rsidRPr="001944CF">
        <w:rPr>
          <w:rFonts w:asciiTheme="majorHAnsi" w:hAnsiTheme="majorHAnsi"/>
          <w:color w:val="808080" w:themeColor="background1" w:themeShade="80"/>
          <w:lang w:val="es-ES"/>
        </w:rPr>
        <w:t xml:space="preserve">; República. February 6, 2017. </w:t>
      </w:r>
      <w:hyperlink r:id="rId203" w:history="1">
        <w:r w:rsidRPr="001944CF">
          <w:rPr>
            <w:rStyle w:val="Hyperlink"/>
            <w:rFonts w:asciiTheme="majorHAnsi" w:hAnsiTheme="majorHAnsi"/>
            <w:i/>
            <w:iCs/>
            <w:color w:val="808080" w:themeColor="background1" w:themeShade="80"/>
            <w:lang w:val="es-ES"/>
          </w:rPr>
          <w:t>PDH pide implementar programa de protección a periodistas</w:t>
        </w:r>
      </w:hyperlink>
      <w:r w:rsidRPr="001944CF">
        <w:rPr>
          <w:rFonts w:asciiTheme="majorHAnsi" w:hAnsiTheme="majorHAnsi"/>
          <w:color w:val="808080" w:themeColor="background1" w:themeShade="80"/>
          <w:lang w:val="es-ES"/>
        </w:rPr>
        <w:t>.</w:t>
      </w:r>
    </w:p>
  </w:footnote>
  <w:footnote w:id="419">
    <w:p w14:paraId="60AADB9C" w14:textId="201ED43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w:t>
      </w:r>
      <w:hyperlink r:id="rId204" w:history="1">
        <w:r w:rsidRPr="001944CF">
          <w:rPr>
            <w:rStyle w:val="Hyperlink"/>
            <w:rFonts w:asciiTheme="majorHAnsi" w:hAnsiTheme="majorHAnsi"/>
            <w:color w:val="808080" w:themeColor="background1" w:themeShade="80"/>
            <w:lang w:val="es-ES"/>
          </w:rPr>
          <w:t>Estado de la Situación de la Libertad de Expresión en Guatemala – Primer Trimestre 2017</w:t>
        </w:r>
      </w:hyperlink>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rPr>
        <w:t>May 2, 2017</w:t>
      </w:r>
    </w:p>
  </w:footnote>
  <w:footnote w:id="420">
    <w:p w14:paraId="15B7CE89" w14:textId="59BF5FD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205" w:tgtFrame="_blank" w:history="1">
        <w:r w:rsidRPr="001944CF">
          <w:rPr>
            <w:rStyle w:val="Hyperlink"/>
            <w:rFonts w:asciiTheme="majorHAnsi" w:hAnsiTheme="majorHAnsi"/>
            <w:color w:val="808080" w:themeColor="background1" w:themeShade="80"/>
          </w:rPr>
          <w:t>Situation of Human Rights in Guatemala: Diversity, Inequality and Exclusion</w:t>
        </w:r>
      </w:hyperlink>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es-MX"/>
        </w:rPr>
        <w:t>OEA/Ser.L/V/II. Doc. 43/15. December 31, 2015. Para. 281.</w:t>
      </w:r>
    </w:p>
  </w:footnote>
  <w:footnote w:id="421">
    <w:p w14:paraId="477B0F99" w14:textId="1DCBFD71"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r w:rsidRPr="001944CF">
        <w:rPr>
          <w:rFonts w:asciiTheme="majorHAnsi" w:hAnsiTheme="majorHAnsi"/>
          <w:i/>
          <w:color w:val="808080" w:themeColor="background1" w:themeShade="80"/>
          <w:lang w:val="es-MX"/>
        </w:rPr>
        <w:t>Ibid</w:t>
      </w:r>
      <w:r w:rsidRPr="001944CF">
        <w:rPr>
          <w:rFonts w:asciiTheme="majorHAnsi" w:hAnsiTheme="majorHAnsi"/>
          <w:color w:val="808080" w:themeColor="background1" w:themeShade="80"/>
          <w:lang w:val="es-MX"/>
        </w:rPr>
        <w:t>.</w:t>
      </w:r>
    </w:p>
  </w:footnote>
  <w:footnote w:id="422">
    <w:p w14:paraId="57123267" w14:textId="58382714"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MX"/>
        </w:rPr>
        <w:t xml:space="preserve">Prensa Libre. September 2, 2017. </w:t>
      </w:r>
      <w:hyperlink r:id="rId206" w:history="1">
        <w:r w:rsidRPr="001944CF">
          <w:rPr>
            <w:rStyle w:val="Hyperlink"/>
            <w:rFonts w:asciiTheme="majorHAnsi" w:hAnsiTheme="majorHAnsi"/>
            <w:i/>
            <w:iCs/>
            <w:color w:val="808080" w:themeColor="background1" w:themeShade="80"/>
            <w:lang w:val="es-MX"/>
          </w:rPr>
          <w:t>PDH abre expediente para investigar campaña de desprestigio contra la prensa independiente</w:t>
        </w:r>
      </w:hyperlink>
      <w:r w:rsidRPr="001944CF">
        <w:rPr>
          <w:rFonts w:asciiTheme="majorHAnsi" w:hAnsiTheme="majorHAnsi"/>
          <w:iCs/>
          <w:color w:val="808080" w:themeColor="background1" w:themeShade="80"/>
          <w:lang w:val="es-MX"/>
        </w:rPr>
        <w:t>;</w:t>
      </w:r>
      <w:r w:rsidRPr="001944CF">
        <w:rPr>
          <w:rFonts w:asciiTheme="majorHAnsi" w:hAnsiTheme="majorHAnsi"/>
          <w:i/>
          <w:iCs/>
          <w:color w:val="808080" w:themeColor="background1" w:themeShade="80"/>
          <w:lang w:val="es-MX"/>
        </w:rPr>
        <w:t xml:space="preserve"> </w:t>
      </w:r>
      <w:r w:rsidRPr="001944CF">
        <w:rPr>
          <w:rFonts w:asciiTheme="majorHAnsi" w:hAnsiTheme="majorHAnsi"/>
          <w:color w:val="808080" w:themeColor="background1" w:themeShade="80"/>
          <w:lang w:val="es-MX"/>
        </w:rPr>
        <w:t xml:space="preserve">Procurador de los Derechos Humanos (PDH). September 4, 2017. </w:t>
      </w:r>
      <w:hyperlink r:id="rId207" w:history="1">
        <w:r w:rsidRPr="001944CF">
          <w:rPr>
            <w:rStyle w:val="Hyperlink"/>
            <w:rFonts w:asciiTheme="majorHAnsi" w:hAnsiTheme="majorHAnsi"/>
            <w:i/>
            <w:iCs/>
            <w:color w:val="808080" w:themeColor="background1" w:themeShade="80"/>
            <w:lang w:val="es-MX"/>
          </w:rPr>
          <w:t>PDH abre expediente por campaña para desacreditar a periodistas y medios de información</w:t>
        </w:r>
      </w:hyperlink>
      <w:r w:rsidRPr="001944CF">
        <w:rPr>
          <w:rFonts w:asciiTheme="majorHAnsi" w:hAnsiTheme="majorHAnsi"/>
          <w:i/>
          <w:iCs/>
          <w:color w:val="808080" w:themeColor="background1" w:themeShade="80"/>
          <w:lang w:val="es-MX"/>
        </w:rPr>
        <w:t>.</w:t>
      </w:r>
    </w:p>
  </w:footnote>
  <w:footnote w:id="423">
    <w:p w14:paraId="702480BE" w14:textId="486254C4" w:rsidR="001D7FF7" w:rsidRPr="001944CF" w:rsidRDefault="001D7FF7" w:rsidP="006F17D4">
      <w:pPr>
        <w:pStyle w:val="FootnoteText"/>
        <w:rPr>
          <w:rFonts w:asciiTheme="majorHAnsi" w:hAnsiTheme="majorHAnsi"/>
          <w:color w:val="808080" w:themeColor="background1" w:themeShade="80"/>
          <w:lang w:val="pt-BR"/>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208" w:history="1">
        <w:r w:rsidRPr="001944CF">
          <w:rPr>
            <w:rStyle w:val="Hyperlink"/>
            <w:rFonts w:asciiTheme="majorHAnsi" w:hAnsiTheme="majorHAnsi"/>
            <w:color w:val="808080" w:themeColor="background1" w:themeShade="80"/>
          </w:rPr>
          <w:t>Annual Report 2013. Annual Report of the Office of the Special Rapporteur for Freedom of Expression</w:t>
        </w:r>
      </w:hyperlink>
      <w:hyperlink r:id="rId209" w:history="1"/>
      <w:r w:rsidRPr="001944CF">
        <w:rPr>
          <w:rFonts w:asciiTheme="majorHAnsi" w:hAnsiTheme="majorHAnsi"/>
          <w:color w:val="808080" w:themeColor="background1" w:themeShade="80"/>
          <w:lang w:val="uz-Cyrl-UZ"/>
        </w:rPr>
        <w:t>.</w:t>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uz-Cyrl-UZ"/>
        </w:rPr>
        <w:t>Chapter</w:t>
      </w:r>
      <w:r w:rsidRPr="001944CF">
        <w:rPr>
          <w:rFonts w:asciiTheme="majorHAnsi" w:hAnsiTheme="majorHAnsi"/>
          <w:color w:val="808080" w:themeColor="background1" w:themeShade="80"/>
        </w:rPr>
        <w:t xml:space="preserve"> III (Violence Against Journalists and Media Workers: Inter-American Standards and National Practices on Prevention, Protection and Prosecution of Perpetrators). </w:t>
      </w:r>
      <w:r w:rsidRPr="001944CF">
        <w:rPr>
          <w:rFonts w:asciiTheme="majorHAnsi" w:hAnsiTheme="majorHAnsi"/>
          <w:color w:val="808080" w:themeColor="background1" w:themeShade="80"/>
          <w:lang w:val="pt-BR"/>
        </w:rPr>
        <w:t>OEA/Ser.L/V/II.149. Doc. 50. December 31, 2013, para. 31.</w:t>
      </w:r>
    </w:p>
  </w:footnote>
  <w:footnote w:id="424">
    <w:p w14:paraId="436BE55F" w14:textId="7F5ABF70" w:rsidR="001D7FF7" w:rsidRPr="001944CF" w:rsidRDefault="001D7FF7" w:rsidP="006F17D4">
      <w:pPr>
        <w:pStyle w:val="FootnoteText"/>
        <w:rPr>
          <w:rFonts w:asciiTheme="majorHAnsi" w:hAnsiTheme="majorHAnsi"/>
          <w:color w:val="808080" w:themeColor="background1" w:themeShade="80"/>
          <w:lang w:val="pt-BR"/>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t xml:space="preserve">IACHR. </w:t>
      </w:r>
      <w:hyperlink r:id="rId210" w:history="1">
        <w:r w:rsidRPr="001944CF">
          <w:rPr>
            <w:rStyle w:val="Hyperlink"/>
            <w:rFonts w:asciiTheme="majorHAnsi" w:hAnsiTheme="majorHAnsi"/>
            <w:color w:val="808080" w:themeColor="background1" w:themeShade="80"/>
            <w:lang w:val="pt-BR"/>
          </w:rPr>
          <w:t xml:space="preserve">Anual Report 2016. </w:t>
        </w:r>
        <w:r w:rsidRPr="001944CF">
          <w:rPr>
            <w:rStyle w:val="Hyperlink"/>
            <w:rFonts w:asciiTheme="majorHAnsi" w:hAnsiTheme="majorHAnsi"/>
            <w:color w:val="808080" w:themeColor="background1" w:themeShade="80"/>
          </w:rPr>
          <w:t>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w:t>
      </w:r>
      <w:r w:rsidRPr="001944CF">
        <w:rPr>
          <w:rFonts w:asciiTheme="majorHAnsi" w:hAnsiTheme="majorHAnsi"/>
          <w:color w:val="808080" w:themeColor="background1" w:themeShade="80"/>
          <w:lang w:val="pt-BR"/>
        </w:rPr>
        <w:t xml:space="preserve">OEA/Ser.L/V/II. Doc. 22/17, March 15, 2017, paras. 641-644.  </w:t>
      </w:r>
    </w:p>
  </w:footnote>
  <w:footnote w:id="425">
    <w:p w14:paraId="1D4B3A2A" w14:textId="576F1C8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r>
      <w:r w:rsidRPr="001944CF">
        <w:rPr>
          <w:rFonts w:asciiTheme="majorHAnsi" w:hAnsiTheme="majorHAnsi"/>
          <w:i/>
          <w:color w:val="808080" w:themeColor="background1" w:themeShade="80"/>
          <w:lang w:val="pt-BR"/>
        </w:rPr>
        <w:t>Idem</w:t>
      </w:r>
      <w:r w:rsidRPr="001944CF">
        <w:rPr>
          <w:rFonts w:asciiTheme="majorHAnsi" w:hAnsiTheme="majorHAnsi"/>
          <w:color w:val="808080" w:themeColor="background1" w:themeShade="80"/>
          <w:lang w:val="pt-BR"/>
        </w:rPr>
        <w:t xml:space="preserve">, para. </w:t>
      </w:r>
      <w:r w:rsidRPr="001944CF">
        <w:rPr>
          <w:rFonts w:asciiTheme="majorHAnsi" w:hAnsiTheme="majorHAnsi"/>
          <w:color w:val="808080" w:themeColor="background1" w:themeShade="80"/>
        </w:rPr>
        <w:t>645.</w:t>
      </w:r>
    </w:p>
  </w:footnote>
  <w:footnote w:id="426">
    <w:p w14:paraId="6A033020" w14:textId="5CA6560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 American Press Association (IAPA). </w:t>
      </w:r>
      <w:r w:rsidRPr="001944CF">
        <w:rPr>
          <w:rFonts w:asciiTheme="majorHAnsi" w:hAnsiTheme="majorHAnsi"/>
          <w:color w:val="808080" w:themeColor="background1" w:themeShade="80"/>
          <w:lang w:val="es-MX"/>
        </w:rPr>
        <w:t xml:space="preserve">January 25, 2017. </w:t>
      </w:r>
      <w:hyperlink r:id="rId211" w:history="1">
        <w:r w:rsidRPr="001944CF">
          <w:rPr>
            <w:rStyle w:val="Hyperlink"/>
            <w:rFonts w:asciiTheme="majorHAnsi" w:hAnsiTheme="majorHAnsi"/>
            <w:i/>
            <w:color w:val="808080" w:themeColor="background1" w:themeShade="80"/>
            <w:lang w:val="es-ES"/>
          </w:rPr>
          <w:t>La SIP condena asesinato de periodista en Guatemala</w:t>
        </w:r>
      </w:hyperlink>
      <w:r w:rsidRPr="001944CF">
        <w:rPr>
          <w:rFonts w:asciiTheme="majorHAnsi" w:hAnsiTheme="majorHAnsi"/>
          <w:color w:val="808080" w:themeColor="background1" w:themeShade="80"/>
          <w:lang w:val="es-MX"/>
        </w:rPr>
        <w:t xml:space="preserve">; Prensa Libre. February 2, 2017. </w:t>
      </w:r>
      <w:hyperlink r:id="rId212" w:history="1">
        <w:r w:rsidRPr="001944CF">
          <w:rPr>
            <w:rStyle w:val="Hyperlink"/>
            <w:rFonts w:asciiTheme="majorHAnsi" w:hAnsiTheme="majorHAnsi"/>
            <w:i/>
            <w:color w:val="808080" w:themeColor="background1" w:themeShade="80"/>
            <w:lang w:val="es-ES"/>
          </w:rPr>
          <w:t>Unesco pide esclarecer asesinato de periodista en Zacapa</w:t>
        </w:r>
      </w:hyperlink>
      <w:r w:rsidRPr="001944CF">
        <w:rPr>
          <w:rFonts w:asciiTheme="majorHAnsi" w:hAnsiTheme="majorHAnsi"/>
          <w:color w:val="808080" w:themeColor="background1" w:themeShade="80"/>
          <w:lang w:val="es-MX"/>
        </w:rPr>
        <w:t xml:space="preserve">; La Opción de Chihuahua. February 7, 2017. </w:t>
      </w:r>
      <w:hyperlink r:id="rId213" w:history="1">
        <w:r w:rsidRPr="001944CF">
          <w:rPr>
            <w:rStyle w:val="Hyperlink"/>
            <w:rFonts w:asciiTheme="majorHAnsi" w:hAnsiTheme="majorHAnsi"/>
            <w:i/>
            <w:color w:val="808080" w:themeColor="background1" w:themeShade="80"/>
            <w:lang w:val="es-ES"/>
          </w:rPr>
          <w:t>Asesinan en Guatemala a comunicadora Vilma Gabriela Barrios</w:t>
        </w:r>
      </w:hyperlink>
      <w:r w:rsidRPr="001944CF">
        <w:rPr>
          <w:rFonts w:asciiTheme="majorHAnsi" w:hAnsiTheme="majorHAnsi"/>
          <w:color w:val="808080" w:themeColor="background1" w:themeShade="80"/>
          <w:lang w:val="es-MX"/>
        </w:rPr>
        <w:t xml:space="preserve">; Centro de Reportes Informativos sobre Guatemala (Cerigua). February 6, 2017. </w:t>
      </w:r>
      <w:hyperlink r:id="rId214" w:history="1">
        <w:r w:rsidRPr="001944CF">
          <w:rPr>
            <w:rStyle w:val="Hyperlink"/>
            <w:rFonts w:asciiTheme="majorHAnsi" w:hAnsiTheme="majorHAnsi"/>
            <w:i/>
            <w:color w:val="808080" w:themeColor="background1" w:themeShade="80"/>
            <w:lang w:val="es-MX"/>
          </w:rPr>
          <w:t>Joven locutora asesinada en Quetzaltenango</w:t>
        </w:r>
      </w:hyperlink>
      <w:r w:rsidRPr="001944CF">
        <w:rPr>
          <w:rFonts w:asciiTheme="majorHAnsi" w:hAnsiTheme="majorHAnsi"/>
          <w:color w:val="808080" w:themeColor="background1" w:themeShade="80"/>
          <w:lang w:val="es-MX"/>
        </w:rPr>
        <w:t xml:space="preserve">; Centro de Reportes Informativos sobre Guatemala (Cerigua). July 8, 2017. </w:t>
      </w:r>
      <w:hyperlink r:id="rId215" w:history="1">
        <w:r w:rsidRPr="001944CF">
          <w:rPr>
            <w:rStyle w:val="Hyperlink"/>
            <w:rFonts w:asciiTheme="majorHAnsi" w:hAnsiTheme="majorHAnsi"/>
            <w:i/>
            <w:color w:val="808080" w:themeColor="background1" w:themeShade="80"/>
            <w:lang w:val="es-ES"/>
          </w:rPr>
          <w:t>CERIGUA condena el vil asesinato de comunicador en Petén</w:t>
        </w:r>
      </w:hyperlink>
      <w:r w:rsidRPr="001944CF">
        <w:rPr>
          <w:rFonts w:asciiTheme="majorHAnsi" w:hAnsiTheme="majorHAnsi"/>
          <w:color w:val="808080" w:themeColor="background1" w:themeShade="80"/>
          <w:lang w:val="es-MX"/>
        </w:rPr>
        <w:t xml:space="preserve">; elPeriódico. </w:t>
      </w:r>
      <w:r w:rsidRPr="001944CF">
        <w:rPr>
          <w:rFonts w:asciiTheme="majorHAnsi" w:hAnsiTheme="majorHAnsi"/>
          <w:color w:val="808080" w:themeColor="background1" w:themeShade="80"/>
        </w:rPr>
        <w:t xml:space="preserve">July 12, 2017. </w:t>
      </w:r>
      <w:hyperlink r:id="rId216" w:history="1">
        <w:r w:rsidRPr="001944CF">
          <w:rPr>
            <w:rStyle w:val="Hyperlink"/>
            <w:rFonts w:asciiTheme="majorHAnsi" w:hAnsiTheme="majorHAnsi"/>
            <w:i/>
            <w:color w:val="808080" w:themeColor="background1" w:themeShade="80"/>
          </w:rPr>
          <w:t>Otro comunicador asesinado</w:t>
        </w:r>
      </w:hyperlink>
      <w:r w:rsidRPr="001944CF">
        <w:rPr>
          <w:rFonts w:asciiTheme="majorHAnsi" w:hAnsiTheme="majorHAnsi"/>
          <w:i/>
          <w:color w:val="808080" w:themeColor="background1" w:themeShade="80"/>
        </w:rPr>
        <w:t>.</w:t>
      </w:r>
      <w:r w:rsidRPr="001944CF">
        <w:rPr>
          <w:rFonts w:asciiTheme="majorHAnsi" w:hAnsiTheme="majorHAnsi"/>
          <w:color w:val="808080" w:themeColor="background1" w:themeShade="80"/>
        </w:rPr>
        <w:t xml:space="preserve"> </w:t>
      </w:r>
    </w:p>
  </w:footnote>
  <w:footnote w:id="427">
    <w:p w14:paraId="175A37C9" w14:textId="743E8B4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28">
    <w:p w14:paraId="7B1ACCAB" w14:textId="1E72FD7D"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Periodistas en Español. January 20, 2017. </w:t>
      </w:r>
      <w:hyperlink r:id="rId217" w:history="1">
        <w:r w:rsidRPr="001944CF">
          <w:rPr>
            <w:rStyle w:val="Hyperlink"/>
            <w:rFonts w:asciiTheme="majorHAnsi" w:hAnsiTheme="majorHAnsi"/>
            <w:i/>
            <w:color w:val="808080" w:themeColor="background1" w:themeShade="80"/>
            <w:lang w:val="es-MX"/>
          </w:rPr>
          <w:t>Periodistas asesinados en Guatemala: Manuel Salvador Villagrán</w:t>
        </w:r>
      </w:hyperlink>
      <w:r w:rsidRPr="001944CF">
        <w:rPr>
          <w:rFonts w:asciiTheme="majorHAnsi" w:hAnsiTheme="majorHAnsi"/>
          <w:i/>
          <w:color w:val="808080" w:themeColor="background1" w:themeShade="80"/>
          <w:lang w:val="es-MX"/>
        </w:rPr>
        <w:t>;</w:t>
      </w:r>
      <w:r w:rsidRPr="001944CF">
        <w:rPr>
          <w:rFonts w:asciiTheme="majorHAnsi" w:hAnsiTheme="majorHAnsi"/>
          <w:color w:val="808080" w:themeColor="background1" w:themeShade="80"/>
          <w:lang w:val="es-MX"/>
        </w:rPr>
        <w:t xml:space="preserve"> Radio ONU.  February 3, 2017. </w:t>
      </w:r>
      <w:hyperlink r:id="rId218" w:history="1">
        <w:r w:rsidRPr="001944CF">
          <w:rPr>
            <w:rStyle w:val="Hyperlink"/>
            <w:rFonts w:asciiTheme="majorHAnsi" w:hAnsiTheme="majorHAnsi"/>
            <w:i/>
            <w:color w:val="808080" w:themeColor="background1" w:themeShade="80"/>
            <w:lang w:val="es-MX"/>
          </w:rPr>
          <w:t>Condena por el asesinato del periodista Manuel Salvador Villagrán en Guatemala</w:t>
        </w:r>
      </w:hyperlink>
      <w:r w:rsidRPr="001944CF">
        <w:rPr>
          <w:rFonts w:asciiTheme="majorHAnsi" w:hAnsiTheme="majorHAnsi"/>
          <w:color w:val="808080" w:themeColor="background1" w:themeShade="80"/>
          <w:lang w:val="es-MX"/>
        </w:rPr>
        <w:t xml:space="preserve">; Notas Periodísticas. January 24, 2017. </w:t>
      </w:r>
      <w:hyperlink r:id="rId219" w:history="1">
        <w:r w:rsidRPr="001944CF">
          <w:rPr>
            <w:rStyle w:val="Hyperlink"/>
            <w:rFonts w:asciiTheme="majorHAnsi" w:hAnsiTheme="majorHAnsi"/>
            <w:i/>
            <w:color w:val="808080" w:themeColor="background1" w:themeShade="80"/>
            <w:lang w:val="es-MX"/>
          </w:rPr>
          <w:t>Cámara Guatemalteca de Periodismo pide al MP pronta investigación de asesinato</w:t>
        </w:r>
      </w:hyperlink>
      <w:r w:rsidRPr="001944CF">
        <w:rPr>
          <w:rFonts w:asciiTheme="majorHAnsi" w:hAnsiTheme="majorHAnsi"/>
          <w:color w:val="808080" w:themeColor="background1" w:themeShade="80"/>
          <w:lang w:val="es-MX"/>
        </w:rPr>
        <w:t xml:space="preserve">. </w:t>
      </w:r>
    </w:p>
  </w:footnote>
  <w:footnote w:id="429">
    <w:p w14:paraId="4E2AB43B" w14:textId="3C736945"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CNN en Español. May 4, 2017. </w:t>
      </w:r>
      <w:hyperlink r:id="rId220" w:history="1">
        <w:r w:rsidRPr="001944CF">
          <w:rPr>
            <w:rStyle w:val="Hyperlink"/>
            <w:rFonts w:asciiTheme="majorHAnsi" w:hAnsiTheme="majorHAnsi"/>
            <w:i/>
            <w:color w:val="808080" w:themeColor="background1" w:themeShade="80"/>
            <w:lang w:val="es-ES"/>
          </w:rPr>
          <w:t>Once periodistas fueron asesinados en quince meses en Guatemala</w:t>
        </w:r>
      </w:hyperlink>
      <w:r w:rsidRPr="001944CF">
        <w:rPr>
          <w:rFonts w:asciiTheme="majorHAnsi" w:hAnsiTheme="majorHAnsi"/>
          <w:color w:val="808080" w:themeColor="background1" w:themeShade="80"/>
          <w:lang w:val="es-ES"/>
        </w:rPr>
        <w:t xml:space="preserve">. </w:t>
      </w:r>
    </w:p>
  </w:footnote>
  <w:footnote w:id="430">
    <w:p w14:paraId="57511BDD" w14:textId="329A5322"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Centro de Reportes Informativos sobre Guatemala (Cerigua). July 8, 2017. </w:t>
      </w:r>
      <w:hyperlink r:id="rId221" w:history="1">
        <w:r w:rsidRPr="001944CF">
          <w:rPr>
            <w:rStyle w:val="Hyperlink"/>
            <w:rFonts w:asciiTheme="majorHAnsi" w:hAnsiTheme="majorHAnsi"/>
            <w:i/>
            <w:color w:val="808080" w:themeColor="background1" w:themeShade="80"/>
            <w:lang w:val="es-ES"/>
          </w:rPr>
          <w:t>CERIGUA condena el vil asesinato de comunicador en Petén</w:t>
        </w:r>
      </w:hyperlink>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shd w:val="clear" w:color="auto" w:fill="FFFFFF"/>
          <w:lang w:val="es-ES"/>
        </w:rPr>
        <w:t>elPeriódico</w:t>
      </w:r>
      <w:r w:rsidRPr="001944CF">
        <w:rPr>
          <w:rFonts w:asciiTheme="majorHAnsi" w:hAnsiTheme="majorHAnsi"/>
          <w:color w:val="808080" w:themeColor="background1" w:themeShade="80"/>
          <w:lang w:val="es-ES"/>
        </w:rPr>
        <w:t xml:space="preserve">. July 12, 2017. </w:t>
      </w:r>
      <w:hyperlink r:id="rId222" w:history="1">
        <w:r w:rsidRPr="001944CF">
          <w:rPr>
            <w:rStyle w:val="Hyperlink"/>
            <w:rFonts w:asciiTheme="majorHAnsi" w:hAnsiTheme="majorHAnsi"/>
            <w:i/>
            <w:color w:val="808080" w:themeColor="background1" w:themeShade="80"/>
            <w:lang w:val="es-ES"/>
          </w:rPr>
          <w:t>Otro comunicador asesinado</w:t>
        </w:r>
      </w:hyperlink>
      <w:r w:rsidRPr="001944CF">
        <w:rPr>
          <w:rFonts w:asciiTheme="majorHAnsi" w:hAnsiTheme="majorHAnsi"/>
          <w:i/>
          <w:color w:val="808080" w:themeColor="background1" w:themeShade="80"/>
          <w:lang w:val="es-ES"/>
        </w:rPr>
        <w:t>.</w:t>
      </w:r>
    </w:p>
  </w:footnote>
  <w:footnote w:id="431">
    <w:p w14:paraId="5DA6E4B8" w14:textId="65741BB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Committee to Protect Journalists (CPJ). December 19, 2016. </w:t>
      </w:r>
      <w:hyperlink r:id="rId223" w:history="1">
        <w:r w:rsidRPr="001944CF">
          <w:rPr>
            <w:rStyle w:val="Hyperlink"/>
            <w:rFonts w:asciiTheme="majorHAnsi" w:hAnsiTheme="majorHAnsi"/>
            <w:i/>
            <w:color w:val="808080" w:themeColor="background1" w:themeShade="80"/>
          </w:rPr>
          <w:t>Searching for answers in murder cases amid violence and corruption in Guatemala</w:t>
        </w:r>
      </w:hyperlink>
      <w:r w:rsidRPr="001944CF">
        <w:rPr>
          <w:rFonts w:asciiTheme="majorHAnsi" w:hAnsiTheme="majorHAnsi"/>
          <w:color w:val="808080" w:themeColor="background1" w:themeShade="80"/>
        </w:rPr>
        <w:t xml:space="preserve">.  </w:t>
      </w:r>
    </w:p>
  </w:footnote>
  <w:footnote w:id="432">
    <w:p w14:paraId="66A15536" w14:textId="3258FA1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xml:space="preserve">.  </w:t>
      </w:r>
    </w:p>
  </w:footnote>
  <w:footnote w:id="433">
    <w:p w14:paraId="564EE7CF" w14:textId="1A7E91A2"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against Impunity in Guatemala (CICIG). </w:t>
      </w:r>
      <w:r w:rsidRPr="001944CF">
        <w:rPr>
          <w:rFonts w:asciiTheme="majorHAnsi" w:hAnsiTheme="majorHAnsi"/>
          <w:color w:val="808080" w:themeColor="background1" w:themeShade="80"/>
          <w:lang w:val="es-ES"/>
        </w:rPr>
        <w:t xml:space="preserve">January 26, 2017. </w:t>
      </w:r>
      <w:hyperlink r:id="rId224" w:history="1">
        <w:r w:rsidRPr="001944CF">
          <w:rPr>
            <w:rStyle w:val="Hyperlink"/>
            <w:rFonts w:asciiTheme="majorHAnsi" w:hAnsiTheme="majorHAnsi"/>
            <w:i/>
            <w:color w:val="808080" w:themeColor="background1" w:themeShade="80"/>
            <w:lang w:val="es-ES"/>
          </w:rPr>
          <w:t>Antejuicio contra diputado y capturas en caso asesinato de periodistas</w:t>
        </w:r>
      </w:hyperlink>
      <w:r w:rsidRPr="001944CF">
        <w:rPr>
          <w:rFonts w:asciiTheme="majorHAnsi" w:hAnsiTheme="majorHAnsi"/>
          <w:color w:val="808080" w:themeColor="background1" w:themeShade="80"/>
          <w:lang w:val="es-MX"/>
        </w:rPr>
        <w:t xml:space="preserve">; Prensa Libre. January 26, 2017. </w:t>
      </w:r>
      <w:hyperlink r:id="rId225" w:history="1">
        <w:r w:rsidRPr="001944CF">
          <w:rPr>
            <w:rStyle w:val="Hyperlink"/>
            <w:rFonts w:asciiTheme="majorHAnsi" w:hAnsiTheme="majorHAnsi"/>
            <w:i/>
            <w:color w:val="808080" w:themeColor="background1" w:themeShade="80"/>
            <w:lang w:val="es-ES"/>
          </w:rPr>
          <w:t>Diputado Julio Juárez habría ordenado el asesinato de periodista Danilo López</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Ministerio Público (MP). February 1, 2017. </w:t>
      </w:r>
      <w:hyperlink r:id="rId226" w:history="1">
        <w:r w:rsidRPr="001944CF">
          <w:rPr>
            <w:rStyle w:val="Hyperlink"/>
            <w:rFonts w:asciiTheme="majorHAnsi" w:hAnsiTheme="majorHAnsi"/>
            <w:i/>
            <w:color w:val="808080" w:themeColor="background1" w:themeShade="80"/>
            <w:lang w:val="es-ES"/>
          </w:rPr>
          <w:t>Sindicados en crimen de Periodistas son ligados a proceso penal</w:t>
        </w:r>
      </w:hyperlink>
      <w:r w:rsidRPr="001944CF">
        <w:rPr>
          <w:rFonts w:asciiTheme="majorHAnsi" w:hAnsiTheme="majorHAnsi"/>
          <w:i/>
          <w:color w:val="808080" w:themeColor="background1" w:themeShade="80"/>
          <w:lang w:val="es-MX"/>
        </w:rPr>
        <w:t>.</w:t>
      </w:r>
    </w:p>
  </w:footnote>
  <w:footnote w:id="434">
    <w:p w14:paraId="2C1FDF52" w14:textId="04A5A875"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Público (MP). February 1, 2017. </w:t>
      </w:r>
      <w:hyperlink r:id="rId227" w:history="1">
        <w:r w:rsidRPr="001944CF">
          <w:rPr>
            <w:rStyle w:val="Hyperlink"/>
            <w:rFonts w:asciiTheme="majorHAnsi" w:hAnsiTheme="majorHAnsi"/>
            <w:i/>
            <w:color w:val="808080" w:themeColor="background1" w:themeShade="80"/>
            <w:lang w:val="es-ES"/>
          </w:rPr>
          <w:t>Sindicados en crimen de Periodistas son ligados a proceso penal</w:t>
        </w:r>
      </w:hyperlink>
      <w:r w:rsidRPr="001944CF">
        <w:rPr>
          <w:rFonts w:asciiTheme="majorHAnsi" w:hAnsiTheme="majorHAnsi"/>
          <w:color w:val="808080" w:themeColor="background1" w:themeShade="80"/>
          <w:lang w:val="es-MX"/>
        </w:rPr>
        <w:t xml:space="preserve">; International Commission against Impunity in Guatemala (CICIG). January 26, 2017. </w:t>
      </w:r>
      <w:hyperlink r:id="rId228" w:history="1">
        <w:r w:rsidRPr="001944CF">
          <w:rPr>
            <w:rStyle w:val="Hyperlink"/>
            <w:rFonts w:asciiTheme="majorHAnsi" w:hAnsiTheme="majorHAnsi"/>
            <w:i/>
            <w:color w:val="808080" w:themeColor="background1" w:themeShade="80"/>
            <w:lang w:val="es-ES"/>
          </w:rPr>
          <w:t>Antejuicio contra diputado y capturas en caso asesinato de periodistas</w:t>
        </w:r>
      </w:hyperlink>
      <w:r w:rsidRPr="001944CF">
        <w:rPr>
          <w:rStyle w:val="Hyperlink"/>
          <w:rFonts w:asciiTheme="majorHAnsi" w:hAnsiTheme="majorHAnsi"/>
          <w:i/>
          <w:color w:val="808080" w:themeColor="background1" w:themeShade="80"/>
          <w:lang w:val="es-ES"/>
        </w:rPr>
        <w:t>.</w:t>
      </w:r>
    </w:p>
  </w:footnote>
  <w:footnote w:id="435">
    <w:p w14:paraId="5DC70E93" w14:textId="623C313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February 9, 2017. </w:t>
      </w:r>
      <w:hyperlink r:id="rId229" w:history="1">
        <w:r w:rsidRPr="001944CF">
          <w:rPr>
            <w:rStyle w:val="Hyperlink"/>
            <w:rFonts w:asciiTheme="majorHAnsi" w:hAnsiTheme="majorHAnsi"/>
            <w:i/>
            <w:color w:val="808080" w:themeColor="background1" w:themeShade="80"/>
            <w:lang w:val="es-ES"/>
          </w:rPr>
          <w:t>Empieza antejuicio contra diputado Julio Juárez Ramírez</w:t>
        </w:r>
      </w:hyperlink>
      <w:r w:rsidRPr="001944CF">
        <w:rPr>
          <w:rFonts w:asciiTheme="majorHAnsi" w:hAnsiTheme="majorHAnsi"/>
          <w:color w:val="808080" w:themeColor="background1" w:themeShade="80"/>
          <w:lang w:val="es-MX"/>
        </w:rPr>
        <w:t xml:space="preserve">; Guatevisión. February 8, 2017. </w:t>
      </w:r>
      <w:hyperlink r:id="rId230" w:history="1">
        <w:r w:rsidRPr="001944CF">
          <w:rPr>
            <w:rStyle w:val="Hyperlink"/>
            <w:rFonts w:asciiTheme="majorHAnsi" w:hAnsiTheme="majorHAnsi"/>
            <w:i/>
            <w:color w:val="808080" w:themeColor="background1" w:themeShade="80"/>
            <w:lang w:val="es-ES"/>
          </w:rPr>
          <w:t>CSJ da trámite a antejuicio contra diputado de FCN Julio Juárez</w:t>
        </w:r>
      </w:hyperlink>
      <w:r w:rsidRPr="001944CF">
        <w:rPr>
          <w:rFonts w:asciiTheme="majorHAnsi" w:hAnsiTheme="majorHAnsi"/>
          <w:color w:val="808080" w:themeColor="background1" w:themeShade="80"/>
          <w:lang w:val="es-MX"/>
        </w:rPr>
        <w:t xml:space="preserve">.   </w:t>
      </w:r>
    </w:p>
  </w:footnote>
  <w:footnote w:id="436">
    <w:p w14:paraId="388709AD" w14:textId="3A3A2630"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November 6, 2017. </w:t>
      </w:r>
      <w:hyperlink r:id="rId231" w:history="1">
        <w:r w:rsidRPr="001944CF">
          <w:rPr>
            <w:rStyle w:val="Hyperlink"/>
            <w:rFonts w:asciiTheme="majorHAnsi" w:hAnsiTheme="majorHAnsi"/>
            <w:i/>
            <w:color w:val="808080" w:themeColor="background1" w:themeShade="80"/>
            <w:lang w:val="es-MX"/>
          </w:rPr>
          <w:t>Jueza Pesquisidora recomienda retirar inmunidad a diputado Juárez por asesinato de periodista</w:t>
        </w:r>
      </w:hyperlink>
      <w:r w:rsidRPr="001944CF">
        <w:rPr>
          <w:rFonts w:asciiTheme="majorHAnsi" w:hAnsiTheme="majorHAnsi"/>
          <w:color w:val="808080" w:themeColor="background1" w:themeShade="80"/>
          <w:lang w:val="es-MX"/>
        </w:rPr>
        <w:t xml:space="preserve">; CRN Noticias. November 7, 2017. </w:t>
      </w:r>
      <w:hyperlink r:id="rId232" w:history="1">
        <w:r w:rsidRPr="001944CF">
          <w:rPr>
            <w:rStyle w:val="Hyperlink"/>
            <w:rFonts w:asciiTheme="majorHAnsi" w:hAnsiTheme="majorHAnsi"/>
            <w:i/>
            <w:color w:val="808080" w:themeColor="background1" w:themeShade="80"/>
            <w:lang w:val="es-ES"/>
          </w:rPr>
          <w:t>Juez recomienda retirar inmunidad al diputado Julio Juárez por asesinato de periodistas</w:t>
        </w:r>
      </w:hyperlink>
      <w:r w:rsidRPr="001944CF">
        <w:rPr>
          <w:rFonts w:asciiTheme="majorHAnsi" w:hAnsiTheme="majorHAnsi"/>
          <w:color w:val="808080" w:themeColor="background1" w:themeShade="80"/>
          <w:lang w:val="es-ES"/>
        </w:rPr>
        <w:t xml:space="preserve">; elPeriódico.  November 6, 2017. </w:t>
      </w:r>
      <w:hyperlink r:id="rId233" w:history="1">
        <w:r w:rsidRPr="001944CF">
          <w:rPr>
            <w:rStyle w:val="Hyperlink"/>
            <w:rFonts w:asciiTheme="majorHAnsi" w:hAnsiTheme="majorHAnsi"/>
            <w:i/>
            <w:color w:val="808080" w:themeColor="background1" w:themeShade="80"/>
            <w:lang w:val="es-ES"/>
          </w:rPr>
          <w:t>Recomiendan retirar inmunidad a diputado señalado por muerte de dos periodistas</w:t>
        </w:r>
      </w:hyperlink>
      <w:r w:rsidRPr="001944CF">
        <w:rPr>
          <w:rFonts w:asciiTheme="majorHAnsi" w:hAnsiTheme="majorHAnsi"/>
          <w:color w:val="808080" w:themeColor="background1" w:themeShade="80"/>
          <w:lang w:val="es-ES"/>
        </w:rPr>
        <w:t xml:space="preserve">; Soy502. No date. </w:t>
      </w:r>
      <w:hyperlink r:id="rId234" w:history="1">
        <w:r w:rsidRPr="001944CF">
          <w:rPr>
            <w:rStyle w:val="Hyperlink"/>
            <w:rFonts w:asciiTheme="majorHAnsi" w:hAnsiTheme="majorHAnsi"/>
            <w:i/>
            <w:color w:val="808080" w:themeColor="background1" w:themeShade="80"/>
            <w:lang w:val="es-ES"/>
          </w:rPr>
          <w:t>Recomiendan quitar inmunidad a diputado de FCN implicado en asesinato</w:t>
        </w:r>
      </w:hyperlink>
      <w:r w:rsidRPr="001944CF">
        <w:rPr>
          <w:rFonts w:asciiTheme="majorHAnsi" w:hAnsiTheme="majorHAnsi"/>
          <w:color w:val="808080" w:themeColor="background1" w:themeShade="80"/>
          <w:lang w:val="es-ES"/>
        </w:rPr>
        <w:t xml:space="preserve">; Guatevisión. November 6, 2017. </w:t>
      </w:r>
      <w:hyperlink r:id="rId235" w:history="1">
        <w:r w:rsidRPr="001944CF">
          <w:rPr>
            <w:rStyle w:val="Hyperlink"/>
            <w:rFonts w:asciiTheme="majorHAnsi" w:hAnsiTheme="majorHAnsi"/>
            <w:i/>
            <w:color w:val="808080" w:themeColor="background1" w:themeShade="80"/>
            <w:lang w:val="es-ES"/>
          </w:rPr>
          <w:t>Diputado de FCN contra las cuerdas: Recomiendan retirar inmunidad a Julio Juárez</w:t>
        </w:r>
      </w:hyperlink>
      <w:r w:rsidRPr="001944CF">
        <w:rPr>
          <w:rFonts w:asciiTheme="majorHAnsi" w:hAnsiTheme="majorHAnsi"/>
          <w:color w:val="808080" w:themeColor="background1" w:themeShade="80"/>
          <w:lang w:val="es-ES"/>
        </w:rPr>
        <w:t xml:space="preserve">. </w:t>
      </w:r>
    </w:p>
  </w:footnote>
  <w:footnote w:id="437">
    <w:p w14:paraId="2F8AF762" w14:textId="63D7D348"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Ministerio Público (MP). June 15, 2017. </w:t>
      </w:r>
      <w:hyperlink r:id="rId236" w:history="1">
        <w:r w:rsidRPr="001944CF">
          <w:rPr>
            <w:rStyle w:val="Hyperlink"/>
            <w:rFonts w:asciiTheme="majorHAnsi" w:hAnsiTheme="majorHAnsi"/>
            <w:i/>
            <w:color w:val="808080" w:themeColor="background1" w:themeShade="80"/>
            <w:lang w:val="es-ES"/>
          </w:rPr>
          <w:t>Un total de 81 medios de prueba serán utilizados en juicio contra implicados en muerte de periodistas</w:t>
        </w:r>
      </w:hyperlink>
      <w:r w:rsidRPr="001944CF">
        <w:rPr>
          <w:rFonts w:asciiTheme="majorHAnsi" w:hAnsiTheme="majorHAnsi"/>
          <w:color w:val="808080" w:themeColor="background1" w:themeShade="80"/>
          <w:lang w:val="es-ES"/>
        </w:rPr>
        <w:t xml:space="preserve">. </w:t>
      </w:r>
    </w:p>
  </w:footnote>
  <w:footnote w:id="438">
    <w:p w14:paraId="014133A9" w14:textId="78CCE577"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AR"/>
        </w:rPr>
        <w:t xml:space="preserve">Ministerio Público (MP). </w:t>
      </w:r>
      <w:r w:rsidRPr="001944CF">
        <w:rPr>
          <w:rFonts w:asciiTheme="majorHAnsi" w:hAnsiTheme="majorHAnsi"/>
          <w:color w:val="808080" w:themeColor="background1" w:themeShade="80"/>
          <w:lang w:val="es-ES"/>
        </w:rPr>
        <w:t xml:space="preserve">May 30, 2017. </w:t>
      </w:r>
      <w:hyperlink r:id="rId237" w:history="1">
        <w:r w:rsidRPr="001944CF">
          <w:rPr>
            <w:rStyle w:val="Hyperlink"/>
            <w:rFonts w:asciiTheme="majorHAnsi" w:hAnsiTheme="majorHAnsi"/>
            <w:i/>
            <w:color w:val="808080" w:themeColor="background1" w:themeShade="80"/>
            <w:lang w:val="es-ES"/>
          </w:rPr>
          <w:t>Un hombre fue condenado a 40 años de prisión por muerte de periodista</w:t>
        </w:r>
      </w:hyperlink>
      <w:r w:rsidRPr="001944CF">
        <w:rPr>
          <w:rFonts w:asciiTheme="majorHAnsi" w:hAnsiTheme="majorHAnsi"/>
          <w:color w:val="808080" w:themeColor="background1" w:themeShade="80"/>
          <w:lang w:val="es-ES"/>
        </w:rPr>
        <w:t>; Centro de Reportes Informativos sobre Guatemala (Cerigua). May 30, 2017.</w:t>
      </w:r>
      <w:r w:rsidRPr="001944CF">
        <w:rPr>
          <w:rFonts w:asciiTheme="majorHAnsi" w:hAnsiTheme="majorHAnsi"/>
          <w:i/>
          <w:color w:val="808080" w:themeColor="background1" w:themeShade="80"/>
          <w:lang w:val="es-ES"/>
        </w:rPr>
        <w:t xml:space="preserve"> </w:t>
      </w:r>
      <w:hyperlink r:id="rId238" w:history="1">
        <w:r w:rsidRPr="001944CF">
          <w:rPr>
            <w:rStyle w:val="Hyperlink"/>
            <w:rFonts w:asciiTheme="majorHAnsi" w:hAnsiTheme="majorHAnsi"/>
            <w:i/>
            <w:color w:val="808080" w:themeColor="background1" w:themeShade="80"/>
            <w:lang w:val="es-ES"/>
          </w:rPr>
          <w:t>Asesino de periodista condenado a 40 años de prisión inconmutables</w:t>
        </w:r>
      </w:hyperlink>
      <w:r w:rsidRPr="001944CF">
        <w:rPr>
          <w:rFonts w:asciiTheme="majorHAnsi" w:hAnsiTheme="majorHAnsi"/>
          <w:color w:val="808080" w:themeColor="background1" w:themeShade="80"/>
          <w:lang w:val="es-ES"/>
        </w:rPr>
        <w:t xml:space="preserve">; Centro de Reportes Informativos sobre Guatemala (Cerigua). June 2, 2017. </w:t>
      </w:r>
      <w:hyperlink r:id="rId239" w:history="1">
        <w:r w:rsidRPr="001944CF">
          <w:rPr>
            <w:rStyle w:val="Hyperlink"/>
            <w:rFonts w:asciiTheme="majorHAnsi" w:hAnsiTheme="majorHAnsi"/>
            <w:i/>
            <w:color w:val="808080" w:themeColor="background1" w:themeShade="80"/>
            <w:lang w:val="es-ES"/>
          </w:rPr>
          <w:t>MP logra nueva condena por crimen contra periodista</w:t>
        </w:r>
      </w:hyperlink>
      <w:r w:rsidRPr="001944CF">
        <w:rPr>
          <w:rFonts w:asciiTheme="majorHAnsi" w:hAnsiTheme="majorHAnsi"/>
          <w:color w:val="808080" w:themeColor="background1" w:themeShade="80"/>
          <w:lang w:val="es-ES"/>
        </w:rPr>
        <w:t xml:space="preserve">; Ministerio Público (MP). June 2, 2017. </w:t>
      </w:r>
      <w:hyperlink r:id="rId240" w:history="1">
        <w:r w:rsidRPr="001944CF">
          <w:rPr>
            <w:rStyle w:val="Hyperlink"/>
            <w:rFonts w:asciiTheme="majorHAnsi" w:hAnsiTheme="majorHAnsi"/>
            <w:i/>
            <w:color w:val="808080" w:themeColor="background1" w:themeShade="80"/>
            <w:lang w:val="es-ES"/>
          </w:rPr>
          <w:t>Un hombre fue condenado a 23 años de prisión por muerte de periodista</w:t>
        </w:r>
      </w:hyperlink>
      <w:r w:rsidRPr="001944CF">
        <w:rPr>
          <w:rFonts w:asciiTheme="majorHAnsi" w:hAnsiTheme="majorHAnsi"/>
          <w:color w:val="808080" w:themeColor="background1" w:themeShade="80"/>
          <w:lang w:val="es-ES"/>
        </w:rPr>
        <w:t xml:space="preserve">;  El Nacional. June 2, 2017. </w:t>
      </w:r>
      <w:hyperlink r:id="rId241" w:history="1">
        <w:r w:rsidRPr="001944CF">
          <w:rPr>
            <w:rStyle w:val="Hyperlink"/>
            <w:rFonts w:asciiTheme="majorHAnsi" w:hAnsiTheme="majorHAnsi"/>
            <w:i/>
            <w:color w:val="808080" w:themeColor="background1" w:themeShade="80"/>
            <w:lang w:val="es-ES"/>
          </w:rPr>
          <w:t>Guatemala: asesino de periodista recibe 23 años de cárcel</w:t>
        </w:r>
      </w:hyperlink>
      <w:r w:rsidRPr="001944CF">
        <w:rPr>
          <w:rFonts w:asciiTheme="majorHAnsi" w:hAnsiTheme="majorHAnsi"/>
          <w:color w:val="808080" w:themeColor="background1" w:themeShade="80"/>
          <w:lang w:val="es-ES"/>
        </w:rPr>
        <w:t xml:space="preserve">; Clases de Periodismo. June 3, 2017. </w:t>
      </w:r>
      <w:hyperlink r:id="rId242" w:history="1">
        <w:r w:rsidRPr="001944CF">
          <w:rPr>
            <w:rStyle w:val="Hyperlink"/>
            <w:rFonts w:asciiTheme="majorHAnsi" w:hAnsiTheme="majorHAnsi"/>
            <w:i/>
            <w:color w:val="808080" w:themeColor="background1" w:themeShade="80"/>
            <w:lang w:val="es-ES"/>
          </w:rPr>
          <w:t>Guatemala: asesino de periodista recibe 23 años de cárcel</w:t>
        </w:r>
      </w:hyperlink>
      <w:r w:rsidRPr="001944CF">
        <w:rPr>
          <w:rFonts w:asciiTheme="majorHAnsi" w:hAnsiTheme="majorHAnsi"/>
          <w:color w:val="808080" w:themeColor="background1" w:themeShade="80"/>
          <w:lang w:val="es-ES"/>
        </w:rPr>
        <w:t>.</w:t>
      </w:r>
    </w:p>
  </w:footnote>
  <w:footnote w:id="439">
    <w:p w14:paraId="3D6791B1" w14:textId="678BF875"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El Periódico. May 9, 2017. </w:t>
      </w:r>
      <w:hyperlink r:id="rId243" w:history="1">
        <w:r w:rsidRPr="001944CF">
          <w:rPr>
            <w:rStyle w:val="Hyperlink"/>
            <w:rFonts w:asciiTheme="majorHAnsi" w:hAnsiTheme="majorHAnsi"/>
            <w:i/>
            <w:color w:val="808080" w:themeColor="background1" w:themeShade="80"/>
            <w:lang w:val="es-ES"/>
          </w:rPr>
          <w:t>Inauguran fiscalías en Quetzaltenango</w:t>
        </w:r>
      </w:hyperlink>
      <w:r w:rsidRPr="001944CF">
        <w:rPr>
          <w:rFonts w:asciiTheme="majorHAnsi" w:hAnsiTheme="majorHAnsi"/>
          <w:color w:val="808080" w:themeColor="background1" w:themeShade="80"/>
          <w:lang w:val="es-MX"/>
        </w:rPr>
        <w:t xml:space="preserve">; Centro de Reportes Informativos sobre Guatemala (Cerigua). May 9, 2017. </w:t>
      </w:r>
      <w:hyperlink r:id="rId244" w:history="1">
        <w:r w:rsidRPr="001944CF">
          <w:rPr>
            <w:rStyle w:val="Hyperlink"/>
            <w:rFonts w:asciiTheme="majorHAnsi" w:hAnsiTheme="majorHAnsi"/>
            <w:i/>
            <w:color w:val="808080" w:themeColor="background1" w:themeShade="80"/>
            <w:lang w:val="es-MX"/>
          </w:rPr>
          <w:t>Thelma Aldana inauguró Agencia Fiscal de Delitos contra Periodistas en Quetzaltenango</w:t>
        </w:r>
      </w:hyperlink>
      <w:r w:rsidRPr="001944CF">
        <w:rPr>
          <w:rFonts w:asciiTheme="majorHAnsi" w:hAnsiTheme="majorHAnsi"/>
          <w:color w:val="808080" w:themeColor="background1" w:themeShade="80"/>
          <w:lang w:val="es-MX"/>
        </w:rPr>
        <w:t xml:space="preserve">. </w:t>
      </w:r>
    </w:p>
  </w:footnote>
  <w:footnote w:id="440">
    <w:p w14:paraId="494D0F17" w14:textId="7FC78A1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República de Guatemala. Communication from the State of Guatemala regarding the request for information from the Office of the Special Rapporteur for Freedom of Expression of the IACHR. Ref. P-1021-2017/VHG/LWC/nj. July 24, 2017. Available at: Archive of the Office of the Special Rapporteur for Freedom of Expression.</w:t>
      </w:r>
    </w:p>
  </w:footnote>
  <w:footnote w:id="441">
    <w:p w14:paraId="2C48B7DA" w14:textId="2508F87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442">
    <w:p w14:paraId="7CC1FF82" w14:textId="6431710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245" w:tgtFrame="_blank" w:history="1">
        <w:r w:rsidRPr="001944CF">
          <w:rPr>
            <w:rStyle w:val="Hyperlink"/>
            <w:rFonts w:asciiTheme="majorHAnsi" w:hAnsiTheme="majorHAnsi"/>
            <w:color w:val="808080" w:themeColor="background1" w:themeShade="80"/>
          </w:rPr>
          <w:t>Situation of Human Rights in Guatemala: Diversity, Inequality and Exclusion</w:t>
        </w:r>
      </w:hyperlink>
      <w:r w:rsidRPr="001944CF">
        <w:rPr>
          <w:rFonts w:asciiTheme="majorHAnsi" w:hAnsiTheme="majorHAnsi"/>
          <w:color w:val="808080" w:themeColor="background1" w:themeShade="80"/>
        </w:rPr>
        <w:t xml:space="preserve">. </w:t>
      </w:r>
      <w:r w:rsidRPr="001944CF">
        <w:rPr>
          <w:rFonts w:asciiTheme="majorHAnsi" w:hAnsiTheme="majorHAnsi" w:cs="Cambria"/>
          <w:color w:val="808080" w:themeColor="background1" w:themeShade="80"/>
        </w:rPr>
        <w:t>OEA/Ser.L/V/II. Doc. 43/15. December 31, 2015, para. 295.</w:t>
      </w:r>
    </w:p>
  </w:footnote>
  <w:footnote w:id="443">
    <w:p w14:paraId="39740BD9" w14:textId="5B59440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República de Guatemala. Communication from the State of Guatemala regarding the request for information from the Office of the Special Rapporteur for Freedom of Expression of the IACHR. Ref. P-1021-2017/VHG/LWC/nj. July 24, 2017. Available at: Archive of the Office of the Special Rapporteur for Freedom of Expression.</w:t>
      </w:r>
    </w:p>
  </w:footnote>
  <w:footnote w:id="444">
    <w:p w14:paraId="33F753C8" w14:textId="57C929E6" w:rsidR="001D7FF7" w:rsidRPr="001944CF" w:rsidRDefault="001D7FF7" w:rsidP="006F17D4">
      <w:pPr>
        <w:pStyle w:val="FootnoteText"/>
        <w:rPr>
          <w:rFonts w:asciiTheme="majorHAnsi" w:hAnsiTheme="majorHAnsi"/>
          <w:color w:val="808080" w:themeColor="background1" w:themeShade="80"/>
          <w:lang w:val="pt-BR"/>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Office of the Special Rapporteur for Freedom of Expression.</w:t>
      </w:r>
      <w:hyperlink r:id="rId246"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Special Study on the Status of Investigations into the Murders of Journalists during the 1995-2005 Period for Reasons that may be Related to their Work in Journalism</w:t>
        </w:r>
      </w:hyperlink>
      <w:r w:rsidRPr="001944CF">
        <w:rPr>
          <w:rFonts w:asciiTheme="majorHAnsi" w:hAnsiTheme="majorHAnsi"/>
          <w:color w:val="808080" w:themeColor="background1" w:themeShade="80"/>
        </w:rPr>
        <w:t xml:space="preserve">. </w:t>
      </w:r>
      <w:hyperlink r:id="rId247" w:history="1"/>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pt-BR"/>
        </w:rPr>
        <w:t>OEA/Ser.L/V/II.131. Doc. 35, March 8, 2008, para. 116.</w:t>
      </w:r>
    </w:p>
  </w:footnote>
  <w:footnote w:id="445">
    <w:p w14:paraId="3255F23A" w14:textId="0A93BAD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t xml:space="preserve">Idem, Para. 125-126; IACHR. </w:t>
      </w:r>
      <w:r w:rsidRPr="001944CF">
        <w:rPr>
          <w:rFonts w:asciiTheme="majorHAnsi" w:hAnsiTheme="majorHAnsi"/>
          <w:color w:val="808080" w:themeColor="background1" w:themeShade="80"/>
        </w:rPr>
        <w:t xml:space="preserve">Office of the Special Rapporteur for Freedom of Expression. </w:t>
      </w:r>
      <w:hyperlink r:id="rId248" w:history="1">
        <w:r w:rsidRPr="001944CF">
          <w:rPr>
            <w:rStyle w:val="Hyperlink"/>
            <w:rFonts w:asciiTheme="majorHAnsi" w:hAnsiTheme="majorHAnsi"/>
            <w:color w:val="808080" w:themeColor="background1" w:themeShade="80"/>
          </w:rPr>
          <w:t>Impunity, self-censorship and armed internal conflict : an analysis of the state of freedom of expression in Colombia</w:t>
        </w:r>
      </w:hyperlink>
      <w:r w:rsidRPr="001944CF">
        <w:rPr>
          <w:rFonts w:asciiTheme="majorHAnsi" w:hAnsiTheme="majorHAnsi"/>
          <w:color w:val="808080" w:themeColor="background1" w:themeShade="80"/>
        </w:rPr>
        <w:t>. OEA/Ser.L/V/II Doc.51. August 31, 2005. paras. 65-66.</w:t>
      </w:r>
    </w:p>
  </w:footnote>
  <w:footnote w:id="446">
    <w:p w14:paraId="263A7B5B" w14:textId="60731B4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United Nations (UN) Special Rapporteur on the Protection and Promotion of the Right to Freedom of Opinion and Expression and Special Rapporteur for Freedom of Expression of the OAS Inter-American Commission on Human Rights. September 13, 2013.</w:t>
      </w:r>
      <w:hyperlink r:id="rId249" w:history="1">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Joint declaration on violence against journalists and media workers in the context of protests</w:t>
        </w:r>
      </w:hyperlink>
      <w:r w:rsidRPr="001944CF">
        <w:rPr>
          <w:rFonts w:asciiTheme="majorHAnsi" w:hAnsiTheme="majorHAnsi"/>
          <w:color w:val="808080" w:themeColor="background1" w:themeShade="80"/>
        </w:rPr>
        <w:t>.</w:t>
      </w:r>
      <w:hyperlink r:id="rId250" w:history="1"/>
      <w:r w:rsidRPr="001944CF">
        <w:rPr>
          <w:rFonts w:asciiTheme="majorHAnsi" w:hAnsiTheme="majorHAnsi"/>
          <w:color w:val="808080" w:themeColor="background1" w:themeShade="80"/>
        </w:rPr>
        <w:t xml:space="preserve"> </w:t>
      </w:r>
    </w:p>
  </w:footnote>
  <w:footnote w:id="447">
    <w:p w14:paraId="2C9B1532" w14:textId="3AEA387A" w:rsidR="001D7FF7" w:rsidRPr="001944CF" w:rsidRDefault="001D7FF7" w:rsidP="00B70540">
      <w:pPr>
        <w:autoSpaceDE w:val="0"/>
        <w:autoSpaceDN w:val="0"/>
        <w:adjustRightInd w:val="0"/>
        <w:spacing w:after="40" w:line="240" w:lineRule="auto"/>
        <w:ind w:left="547" w:hanging="547"/>
        <w:jc w:val="both"/>
        <w:rPr>
          <w:rFonts w:asciiTheme="majorHAnsi" w:hAnsiTheme="majorHAnsi" w:cs="Cambria"/>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pt-BR"/>
        </w:rPr>
        <w:t xml:space="preserve"> </w:t>
      </w:r>
      <w:r w:rsidRPr="001944CF">
        <w:rPr>
          <w:rFonts w:asciiTheme="majorHAnsi" w:hAnsiTheme="majorHAnsi"/>
          <w:color w:val="808080" w:themeColor="background1" w:themeShade="80"/>
          <w:sz w:val="16"/>
          <w:szCs w:val="16"/>
          <w:lang w:val="pt-BR"/>
        </w:rPr>
        <w:tab/>
        <w:t xml:space="preserve">IACHR. </w:t>
      </w:r>
      <w:hyperlink r:id="rId251" w:history="1">
        <w:hyperlink r:id="rId252" w:tgtFrame="_blank" w:history="1">
          <w:r w:rsidRPr="001944CF">
            <w:rPr>
              <w:rStyle w:val="Hyperlink"/>
              <w:rFonts w:asciiTheme="majorHAnsi" w:hAnsiTheme="majorHAnsi"/>
              <w:color w:val="808080" w:themeColor="background1" w:themeShade="80"/>
              <w:sz w:val="16"/>
              <w:szCs w:val="16"/>
              <w:lang w:val="pt-BR"/>
            </w:rPr>
            <w:t>Situation of Human Rights in Guatemala: Diversity, Inequality and Exclusion</w:t>
          </w:r>
        </w:hyperlink>
      </w:hyperlink>
      <w:r w:rsidRPr="001944CF">
        <w:rPr>
          <w:rFonts w:asciiTheme="majorHAnsi" w:hAnsiTheme="majorHAnsi"/>
          <w:color w:val="808080" w:themeColor="background1" w:themeShade="80"/>
          <w:sz w:val="16"/>
          <w:szCs w:val="16"/>
          <w:lang w:val="pt-BR"/>
        </w:rPr>
        <w:t xml:space="preserve">. </w:t>
      </w:r>
      <w:r w:rsidRPr="001944CF">
        <w:rPr>
          <w:rFonts w:asciiTheme="majorHAnsi" w:hAnsiTheme="majorHAnsi" w:cs="Cambria"/>
          <w:color w:val="808080" w:themeColor="background1" w:themeShade="80"/>
          <w:sz w:val="16"/>
          <w:szCs w:val="16"/>
          <w:lang w:val="pt-BR"/>
        </w:rPr>
        <w:t xml:space="preserve">OEA/Ser.L/V/II. Doc. 43/15. </w:t>
      </w:r>
      <w:r w:rsidRPr="001944CF">
        <w:rPr>
          <w:rFonts w:asciiTheme="majorHAnsi" w:hAnsiTheme="majorHAnsi" w:cs="Cambria"/>
          <w:color w:val="808080" w:themeColor="background1" w:themeShade="80"/>
          <w:sz w:val="16"/>
          <w:szCs w:val="16"/>
        </w:rPr>
        <w:t xml:space="preserve">December 31, 2015, para. 289. </w:t>
      </w:r>
    </w:p>
  </w:footnote>
  <w:footnote w:id="448">
    <w:p w14:paraId="5488EF69" w14:textId="4685775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during the on-site visit to Guatemala between July 30 and August 4, 2017. Data from the Unidad Fiscal de Delitos contra Periodistas. Available at: Archive of the Office of the Special Rapporteur for Freedom of Expression. </w:t>
      </w:r>
    </w:p>
  </w:footnote>
  <w:footnote w:id="449">
    <w:p w14:paraId="24557D97" w14:textId="093F0D7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República de Guatemala. Communication from the State of Guatemala regarding the request for information from the Office of the Special Rapporteur for Freedom of Expression of the IACHR. Ref. P-1021-2017/VHG/LWC/nj. July 24, 2017. Available at: Archive of the Office of the Special Rapporteur for Freedom of Expression.</w:t>
      </w:r>
    </w:p>
  </w:footnote>
  <w:footnote w:id="450">
    <w:p w14:paraId="7EBFD9A7" w14:textId="02F3110A"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 American Press Association (IAPA). </w:t>
      </w:r>
      <w:hyperlink r:id="rId253" w:history="1">
        <w:r w:rsidRPr="001944CF">
          <w:rPr>
            <w:rStyle w:val="Hyperlink"/>
            <w:rFonts w:asciiTheme="majorHAnsi" w:hAnsiTheme="majorHAnsi"/>
            <w:color w:val="808080" w:themeColor="background1" w:themeShade="80"/>
            <w:lang w:val="es-ES"/>
          </w:rPr>
          <w:t>Guatemala</w:t>
        </w:r>
      </w:hyperlink>
      <w:r w:rsidRPr="001944CF">
        <w:rPr>
          <w:rFonts w:asciiTheme="majorHAnsi" w:hAnsiTheme="majorHAnsi"/>
          <w:color w:val="808080" w:themeColor="background1" w:themeShade="80"/>
          <w:lang w:val="es-ES"/>
        </w:rPr>
        <w:t xml:space="preserve">. March 27, 2017; elPeriódico. April 2, 2017. </w:t>
      </w:r>
      <w:hyperlink r:id="rId254" w:history="1">
        <w:r w:rsidRPr="001944CF">
          <w:rPr>
            <w:rStyle w:val="Hyperlink"/>
            <w:rFonts w:asciiTheme="majorHAnsi" w:hAnsiTheme="majorHAnsi"/>
            <w:i/>
            <w:color w:val="808080" w:themeColor="background1" w:themeShade="80"/>
            <w:lang w:val="es-ES"/>
          </w:rPr>
          <w:t>La prensa de Guatemala recurre al silencio por miedo a políticos y criminales</w:t>
        </w:r>
      </w:hyperlink>
      <w:r w:rsidRPr="001944CF">
        <w:rPr>
          <w:rFonts w:asciiTheme="majorHAnsi" w:hAnsiTheme="majorHAnsi"/>
          <w:color w:val="808080" w:themeColor="background1" w:themeShade="80"/>
          <w:lang w:val="es-ES"/>
        </w:rPr>
        <w:t xml:space="preserve">; Cámara Guatemalteca de Periodismo. March 1, 2017. </w:t>
      </w:r>
      <w:hyperlink r:id="rId255" w:history="1">
        <w:r w:rsidRPr="001944CF">
          <w:rPr>
            <w:rStyle w:val="Hyperlink"/>
            <w:rFonts w:asciiTheme="majorHAnsi" w:hAnsiTheme="majorHAnsi"/>
            <w:i/>
            <w:color w:val="808080" w:themeColor="background1" w:themeShade="80"/>
            <w:lang w:val="es-ES"/>
          </w:rPr>
          <w:t>Asaltan a fotoperiodista de Diario ElPeriódico</w:t>
        </w:r>
      </w:hyperlink>
      <w:r w:rsidRPr="001944CF">
        <w:rPr>
          <w:rFonts w:asciiTheme="majorHAnsi" w:hAnsiTheme="majorHAnsi"/>
          <w:color w:val="808080" w:themeColor="background1" w:themeShade="80"/>
          <w:lang w:val="es-ES"/>
        </w:rPr>
        <w:t xml:space="preserve">.   </w:t>
      </w:r>
    </w:p>
  </w:footnote>
  <w:footnote w:id="451">
    <w:p w14:paraId="210DC6AB" w14:textId="41E16A6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Cimacnoticias. June 28, 2017. </w:t>
      </w:r>
      <w:hyperlink r:id="rId256" w:history="1">
        <w:r w:rsidRPr="001944CF">
          <w:rPr>
            <w:rStyle w:val="Hyperlink"/>
            <w:rFonts w:asciiTheme="majorHAnsi" w:hAnsiTheme="majorHAnsi"/>
            <w:i/>
            <w:color w:val="808080" w:themeColor="background1" w:themeShade="80"/>
            <w:lang w:val="es-ES"/>
          </w:rPr>
          <w:t>Guatemala: amenazas contra periodista Marielos Monzón</w:t>
        </w:r>
      </w:hyperlink>
      <w:r w:rsidRPr="001944CF">
        <w:rPr>
          <w:rFonts w:asciiTheme="majorHAnsi" w:hAnsiTheme="majorHAnsi"/>
          <w:color w:val="808080" w:themeColor="background1" w:themeShade="80"/>
          <w:lang w:val="es-ES"/>
        </w:rPr>
        <w:t xml:space="preserve">; Inter American Press Association (IAPA). </w:t>
      </w:r>
      <w:r w:rsidRPr="001944CF">
        <w:rPr>
          <w:rFonts w:asciiTheme="majorHAnsi" w:hAnsiTheme="majorHAnsi"/>
          <w:color w:val="808080" w:themeColor="background1" w:themeShade="80"/>
          <w:lang w:val="es-MX"/>
        </w:rPr>
        <w:t xml:space="preserve">July 6, 2017. </w:t>
      </w:r>
      <w:hyperlink r:id="rId257" w:history="1">
        <w:r w:rsidRPr="001944CF">
          <w:rPr>
            <w:rStyle w:val="Hyperlink"/>
            <w:rFonts w:asciiTheme="majorHAnsi" w:hAnsiTheme="majorHAnsi"/>
            <w:i/>
            <w:color w:val="808080" w:themeColor="background1" w:themeShade="80"/>
            <w:lang w:val="es-ES"/>
          </w:rPr>
          <w:t>Guatemala: Denuncian amenaza e intimidación contra periodista</w:t>
        </w:r>
      </w:hyperlink>
      <w:r w:rsidRPr="001944CF">
        <w:rPr>
          <w:rFonts w:asciiTheme="majorHAnsi" w:hAnsiTheme="majorHAnsi"/>
          <w:color w:val="808080" w:themeColor="background1" w:themeShade="80"/>
          <w:lang w:val="es-MX"/>
        </w:rPr>
        <w:t xml:space="preserve">; Centro de Reportes Informativos sobre Guatemala (Cerigua). July 4, 2017. </w:t>
      </w:r>
      <w:hyperlink r:id="rId258" w:history="1">
        <w:r w:rsidRPr="001944CF">
          <w:rPr>
            <w:rStyle w:val="Hyperlink"/>
            <w:rFonts w:asciiTheme="majorHAnsi" w:hAnsiTheme="majorHAnsi"/>
            <w:i/>
            <w:color w:val="808080" w:themeColor="background1" w:themeShade="80"/>
            <w:lang w:val="es-ES"/>
          </w:rPr>
          <w:t>Centro PEN Guatemala se solidariza con Marielos Monzón</w:t>
        </w:r>
      </w:hyperlink>
      <w:r w:rsidRPr="001944CF">
        <w:rPr>
          <w:rFonts w:asciiTheme="majorHAnsi" w:hAnsiTheme="majorHAnsi"/>
          <w:color w:val="808080" w:themeColor="background1" w:themeShade="80"/>
          <w:lang w:val="es-MX"/>
        </w:rPr>
        <w:t xml:space="preserve">; Centro Pen Guatemala. </w:t>
      </w:r>
      <w:r w:rsidRPr="001944CF">
        <w:rPr>
          <w:rFonts w:asciiTheme="majorHAnsi" w:hAnsiTheme="majorHAnsi"/>
          <w:color w:val="808080" w:themeColor="background1" w:themeShade="80"/>
        </w:rPr>
        <w:t xml:space="preserve">Press release, June 28, 2017. Available at: </w:t>
      </w:r>
      <w:hyperlink r:id="rId259" w:history="1">
        <w:r w:rsidRPr="001944CF">
          <w:rPr>
            <w:rStyle w:val="Hyperlink"/>
            <w:rFonts w:asciiTheme="majorHAnsi" w:hAnsiTheme="majorHAnsi"/>
            <w:color w:val="808080" w:themeColor="background1" w:themeShade="80"/>
          </w:rPr>
          <w:t>http://centropenguatemala.blogspot.com/</w:t>
        </w:r>
      </w:hyperlink>
      <w:r w:rsidRPr="001944CF">
        <w:rPr>
          <w:rFonts w:asciiTheme="majorHAnsi" w:hAnsiTheme="majorHAnsi"/>
          <w:color w:val="808080" w:themeColor="background1" w:themeShade="80"/>
        </w:rPr>
        <w:t xml:space="preserve">; Guatevisión. </w:t>
      </w:r>
      <w:r w:rsidRPr="001944CF">
        <w:rPr>
          <w:rFonts w:asciiTheme="majorHAnsi" w:hAnsiTheme="majorHAnsi"/>
          <w:color w:val="808080" w:themeColor="background1" w:themeShade="80"/>
          <w:lang w:val="es-MX"/>
        </w:rPr>
        <w:t xml:space="preserve">June 26, 2017. </w:t>
      </w:r>
      <w:hyperlink r:id="rId260" w:history="1">
        <w:r w:rsidRPr="001944CF">
          <w:rPr>
            <w:rStyle w:val="Hyperlink"/>
            <w:rFonts w:asciiTheme="majorHAnsi" w:hAnsiTheme="majorHAnsi"/>
            <w:i/>
            <w:color w:val="808080" w:themeColor="background1" w:themeShade="80"/>
            <w:lang w:val="es-ES"/>
          </w:rPr>
          <w:t>Lista en poder de narcos señala a una periodista</w:t>
        </w:r>
      </w:hyperlink>
      <w:r w:rsidRPr="001944CF">
        <w:rPr>
          <w:rFonts w:asciiTheme="majorHAnsi" w:hAnsiTheme="majorHAnsi"/>
          <w:i/>
          <w:color w:val="808080" w:themeColor="background1" w:themeShade="80"/>
          <w:lang w:val="es-MX"/>
        </w:rPr>
        <w:t>.</w:t>
      </w:r>
      <w:r w:rsidRPr="001944CF">
        <w:rPr>
          <w:rFonts w:asciiTheme="majorHAnsi" w:hAnsiTheme="majorHAnsi"/>
          <w:color w:val="808080" w:themeColor="background1" w:themeShade="80"/>
          <w:lang w:val="es-MX"/>
        </w:rPr>
        <w:t xml:space="preserve"> </w:t>
      </w:r>
    </w:p>
  </w:footnote>
  <w:footnote w:id="452">
    <w:p w14:paraId="288B5049" w14:textId="7FBAB22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La Hora. May 23, 2017</w:t>
      </w:r>
      <w:r w:rsidRPr="001944CF">
        <w:rPr>
          <w:rFonts w:asciiTheme="majorHAnsi" w:hAnsiTheme="majorHAnsi"/>
          <w:i/>
          <w:color w:val="808080" w:themeColor="background1" w:themeShade="80"/>
          <w:lang w:val="es-MX"/>
        </w:rPr>
        <w:t xml:space="preserve">. </w:t>
      </w:r>
      <w:hyperlink r:id="rId261" w:history="1">
        <w:r w:rsidRPr="001944CF">
          <w:rPr>
            <w:rStyle w:val="Hyperlink"/>
            <w:rFonts w:asciiTheme="majorHAnsi" w:hAnsiTheme="majorHAnsi"/>
            <w:i/>
            <w:color w:val="808080" w:themeColor="background1" w:themeShade="80"/>
            <w:lang w:val="es-ES"/>
          </w:rPr>
          <w:t>Junta de Honor cita a coronel por publicación del libro “Desde el cuartel”</w:t>
        </w:r>
      </w:hyperlink>
      <w:r w:rsidRPr="001944CF">
        <w:rPr>
          <w:rFonts w:asciiTheme="majorHAnsi" w:hAnsiTheme="majorHAnsi"/>
          <w:color w:val="808080" w:themeColor="background1" w:themeShade="80"/>
          <w:lang w:val="es-MX"/>
        </w:rPr>
        <w:t xml:space="preserve">; Prensa Comunitaria. May 31, 2017. </w:t>
      </w:r>
      <w:hyperlink r:id="rId262" w:history="1">
        <w:r w:rsidRPr="001944CF">
          <w:rPr>
            <w:rStyle w:val="Hyperlink"/>
            <w:rFonts w:asciiTheme="majorHAnsi" w:hAnsiTheme="majorHAnsi"/>
            <w:i/>
            <w:color w:val="808080" w:themeColor="background1" w:themeShade="80"/>
            <w:lang w:val="es-ES"/>
          </w:rPr>
          <w:t>Ministro de la Defensa y Jefe del Estado Mayor podrían enfrentar denuncias formales por violar la Constitución</w:t>
        </w:r>
      </w:hyperlink>
      <w:r w:rsidRPr="001944CF">
        <w:rPr>
          <w:rFonts w:asciiTheme="majorHAnsi" w:hAnsiTheme="majorHAnsi"/>
          <w:color w:val="808080" w:themeColor="background1" w:themeShade="80"/>
          <w:lang w:val="es-MX"/>
        </w:rPr>
        <w:t xml:space="preserve">; elPeriódico. May 25, 2017. </w:t>
      </w:r>
      <w:hyperlink r:id="rId263" w:history="1">
        <w:r w:rsidRPr="001944CF">
          <w:rPr>
            <w:rStyle w:val="Hyperlink"/>
            <w:rFonts w:asciiTheme="majorHAnsi" w:hAnsiTheme="majorHAnsi"/>
            <w:i/>
            <w:color w:val="808080" w:themeColor="background1" w:themeShade="80"/>
            <w:lang w:val="es-ES"/>
          </w:rPr>
          <w:t>Ejército exige a coronel que pruebe que la institución armada violó derechos humanos</w:t>
        </w:r>
      </w:hyperlink>
      <w:r w:rsidRPr="001944CF">
        <w:rPr>
          <w:rFonts w:asciiTheme="majorHAnsi" w:hAnsiTheme="majorHAnsi"/>
          <w:color w:val="808080" w:themeColor="background1" w:themeShade="80"/>
          <w:lang w:val="es-MX"/>
        </w:rPr>
        <w:t xml:space="preserve">.   </w:t>
      </w:r>
    </w:p>
  </w:footnote>
  <w:footnote w:id="453">
    <w:p w14:paraId="0393C2E9" w14:textId="385070E2"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Pen International. July 28, 2017. </w:t>
      </w:r>
      <w:hyperlink r:id="rId264" w:history="1">
        <w:r w:rsidRPr="001944CF">
          <w:rPr>
            <w:rStyle w:val="Hyperlink"/>
            <w:rFonts w:asciiTheme="majorHAnsi" w:hAnsiTheme="majorHAnsi"/>
            <w:i/>
            <w:color w:val="808080" w:themeColor="background1" w:themeShade="80"/>
            <w:lang w:val="es-ES"/>
          </w:rPr>
          <w:t>PEN Guatemala denuncia las recientes agresiones en contra periodistas</w:t>
        </w:r>
      </w:hyperlink>
      <w:r w:rsidRPr="001944CF">
        <w:rPr>
          <w:rFonts w:asciiTheme="majorHAnsi" w:hAnsiTheme="majorHAnsi"/>
          <w:color w:val="808080" w:themeColor="background1" w:themeShade="80"/>
          <w:lang w:val="es-ES"/>
        </w:rPr>
        <w:t xml:space="preserve">. </w:t>
      </w:r>
    </w:p>
  </w:footnote>
  <w:footnote w:id="454">
    <w:p w14:paraId="56A91592" w14:textId="0107604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t xml:space="preserve">Centro de Reportes Informativos sobre Guatemala (Cerigua). September 8, 2017. </w:t>
      </w:r>
      <w:hyperlink r:id="rId265" w:history="1">
        <w:r w:rsidRPr="001944CF">
          <w:rPr>
            <w:rStyle w:val="Hyperlink"/>
            <w:rFonts w:asciiTheme="majorHAnsi" w:hAnsiTheme="majorHAnsi"/>
            <w:i/>
            <w:color w:val="808080" w:themeColor="background1" w:themeShade="80"/>
          </w:rPr>
          <w:t>Santa Rosa: Periodista fue agredido por “tuctuqueros”</w:t>
        </w:r>
      </w:hyperlink>
      <w:r w:rsidRPr="001944CF">
        <w:rPr>
          <w:rFonts w:asciiTheme="majorHAnsi" w:hAnsiTheme="majorHAnsi"/>
          <w:color w:val="808080" w:themeColor="background1" w:themeShade="80"/>
        </w:rPr>
        <w:t xml:space="preserve">; Pen International. September 13, 2017. </w:t>
      </w:r>
      <w:hyperlink r:id="rId266" w:history="1">
        <w:r w:rsidRPr="001944CF">
          <w:rPr>
            <w:rStyle w:val="Hyperlink"/>
            <w:rFonts w:asciiTheme="majorHAnsi" w:hAnsiTheme="majorHAnsi"/>
            <w:i/>
            <w:color w:val="808080" w:themeColor="background1" w:themeShade="80"/>
          </w:rPr>
          <w:t>Pen Guatemala denounces attack against journalist</w:t>
        </w:r>
      </w:hyperlink>
      <w:r w:rsidRPr="001944CF">
        <w:rPr>
          <w:rFonts w:asciiTheme="majorHAnsi" w:hAnsiTheme="majorHAnsi"/>
          <w:color w:val="808080" w:themeColor="background1" w:themeShade="80"/>
        </w:rPr>
        <w:t xml:space="preserve">. </w:t>
      </w:r>
    </w:p>
  </w:footnote>
  <w:footnote w:id="455">
    <w:p w14:paraId="2FAD7355" w14:textId="1306276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Prensa Libre. March 1, 2017. </w:t>
      </w:r>
      <w:hyperlink r:id="rId267" w:history="1">
        <w:r w:rsidRPr="001944CF">
          <w:rPr>
            <w:rStyle w:val="Hyperlink"/>
            <w:rFonts w:asciiTheme="majorHAnsi" w:hAnsiTheme="majorHAnsi"/>
            <w:i/>
            <w:color w:val="808080" w:themeColor="background1" w:themeShade="80"/>
          </w:rPr>
          <w:t>Jimmy Morales se contradice</w:t>
        </w:r>
      </w:hyperlink>
      <w:r w:rsidRPr="001944CF">
        <w:rPr>
          <w:rFonts w:asciiTheme="majorHAnsi" w:hAnsiTheme="majorHAnsi"/>
          <w:color w:val="808080" w:themeColor="background1" w:themeShade="80"/>
        </w:rPr>
        <w:t xml:space="preserve">; Guatevisión. March 1, 2017. </w:t>
      </w:r>
      <w:hyperlink r:id="rId268" w:history="1">
        <w:r w:rsidRPr="001944CF">
          <w:rPr>
            <w:rStyle w:val="Hyperlink"/>
            <w:rFonts w:asciiTheme="majorHAnsi" w:hAnsiTheme="majorHAnsi"/>
            <w:i/>
            <w:color w:val="808080" w:themeColor="background1" w:themeShade="80"/>
          </w:rPr>
          <w:t>[VÍDEO] Jimmy revela más detalles de supuesto golpe de Estado</w:t>
        </w:r>
      </w:hyperlink>
      <w:r w:rsidRPr="001944CF">
        <w:rPr>
          <w:rFonts w:asciiTheme="majorHAnsi" w:hAnsiTheme="majorHAnsi"/>
          <w:color w:val="808080" w:themeColor="background1" w:themeShade="80"/>
        </w:rPr>
        <w:t xml:space="preserve">; Inter American Press Association (IAPA). </w:t>
      </w:r>
      <w:hyperlink r:id="rId269" w:history="1">
        <w:r w:rsidRPr="001944CF">
          <w:rPr>
            <w:rStyle w:val="Hyperlink"/>
            <w:rFonts w:asciiTheme="majorHAnsi" w:hAnsiTheme="majorHAnsi"/>
            <w:color w:val="808080" w:themeColor="background1" w:themeShade="80"/>
          </w:rPr>
          <w:t>Guatemala</w:t>
        </w:r>
      </w:hyperlink>
      <w:r w:rsidRPr="001944CF">
        <w:rPr>
          <w:rFonts w:asciiTheme="majorHAnsi" w:hAnsiTheme="majorHAnsi"/>
          <w:color w:val="808080" w:themeColor="background1" w:themeShade="80"/>
        </w:rPr>
        <w:t xml:space="preserve">. March 27, 2017.    </w:t>
      </w:r>
    </w:p>
  </w:footnote>
  <w:footnote w:id="456">
    <w:p w14:paraId="2C2E4FEF" w14:textId="6E22E53F"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HispanTV. February 17, 2017. </w:t>
      </w:r>
      <w:hyperlink r:id="rId270" w:history="1">
        <w:r w:rsidRPr="001944CF">
          <w:rPr>
            <w:rStyle w:val="Hyperlink"/>
            <w:rFonts w:asciiTheme="majorHAnsi" w:hAnsiTheme="majorHAnsi"/>
            <w:i/>
            <w:color w:val="808080" w:themeColor="background1" w:themeShade="80"/>
            <w:lang w:val="es-ES"/>
          </w:rPr>
          <w:t>Presidente guatemalteco advierte de un golpe de Estado en el país</w:t>
        </w:r>
      </w:hyperlink>
      <w:r w:rsidRPr="001944CF">
        <w:rPr>
          <w:rFonts w:asciiTheme="majorHAnsi" w:hAnsiTheme="majorHAnsi"/>
          <w:color w:val="808080" w:themeColor="background1" w:themeShade="80"/>
          <w:lang w:val="es-ES"/>
        </w:rPr>
        <w:t xml:space="preserve">; República. February 16, 2017. </w:t>
      </w:r>
      <w:hyperlink r:id="rId271" w:history="1">
        <w:r w:rsidRPr="001944CF">
          <w:rPr>
            <w:rStyle w:val="Hyperlink"/>
            <w:rFonts w:asciiTheme="majorHAnsi" w:hAnsiTheme="majorHAnsi"/>
            <w:i/>
            <w:color w:val="808080" w:themeColor="background1" w:themeShade="80"/>
            <w:lang w:val="es-ES"/>
          </w:rPr>
          <w:t>Jimmy Morales: “hay rumores de golpe de estado”</w:t>
        </w:r>
      </w:hyperlink>
      <w:r w:rsidRPr="001944CF">
        <w:rPr>
          <w:rFonts w:asciiTheme="majorHAnsi" w:hAnsiTheme="majorHAnsi"/>
          <w:color w:val="808080" w:themeColor="background1" w:themeShade="80"/>
          <w:lang w:val="es-ES"/>
        </w:rPr>
        <w:t xml:space="preserve">.   </w:t>
      </w:r>
    </w:p>
  </w:footnote>
  <w:footnote w:id="457">
    <w:p w14:paraId="07BD4551" w14:textId="4BC1A22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August 29, 2017. </w:t>
      </w:r>
      <w:hyperlink r:id="rId272" w:history="1">
        <w:r w:rsidRPr="001944CF">
          <w:rPr>
            <w:rStyle w:val="Hyperlink"/>
            <w:rFonts w:asciiTheme="majorHAnsi" w:hAnsiTheme="majorHAnsi"/>
            <w:i/>
            <w:color w:val="808080" w:themeColor="background1" w:themeShade="80"/>
            <w:lang w:val="es-MX"/>
          </w:rPr>
          <w:t>Guatevisión denuncia bloqueo y campaña en su contra por recientes coberturas</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Aquitodito. August 30, 2017. </w:t>
      </w:r>
      <w:hyperlink r:id="rId273" w:history="1">
        <w:r w:rsidRPr="001944CF">
          <w:rPr>
            <w:rStyle w:val="Hyperlink"/>
            <w:rFonts w:asciiTheme="majorHAnsi" w:hAnsiTheme="majorHAnsi"/>
            <w:i/>
            <w:color w:val="808080" w:themeColor="background1" w:themeShade="80"/>
            <w:lang w:val="es-MX"/>
          </w:rPr>
          <w:t>Denuncian ataque e insultos contra Guatevisión</w:t>
        </w:r>
      </w:hyperlink>
      <w:r w:rsidRPr="001944CF">
        <w:rPr>
          <w:rFonts w:asciiTheme="majorHAnsi" w:hAnsiTheme="majorHAnsi"/>
          <w:color w:val="808080" w:themeColor="background1" w:themeShade="80"/>
          <w:lang w:val="es-MX"/>
        </w:rPr>
        <w:t xml:space="preserve">. </w:t>
      </w:r>
    </w:p>
  </w:footnote>
  <w:footnote w:id="458">
    <w:p w14:paraId="0318DE77" w14:textId="5E758E0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September 2, 2017. </w:t>
      </w:r>
      <w:hyperlink r:id="rId274" w:history="1">
        <w:r w:rsidRPr="001944CF">
          <w:rPr>
            <w:rStyle w:val="Hyperlink"/>
            <w:rFonts w:asciiTheme="majorHAnsi" w:hAnsiTheme="majorHAnsi"/>
            <w:i/>
            <w:color w:val="808080" w:themeColor="background1" w:themeShade="80"/>
            <w:lang w:val="es-MX"/>
          </w:rPr>
          <w:t>PDH abre expediente para investigar campaña de desprestigio contra la prensa independiente</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Procurador de los Derechos Humanos (PDH). September 4, 2017. </w:t>
      </w:r>
      <w:hyperlink r:id="rId275" w:history="1">
        <w:r w:rsidRPr="001944CF">
          <w:rPr>
            <w:rStyle w:val="Hyperlink"/>
            <w:rFonts w:asciiTheme="majorHAnsi" w:hAnsiTheme="majorHAnsi"/>
            <w:i/>
            <w:color w:val="808080" w:themeColor="background1" w:themeShade="80"/>
            <w:lang w:val="es-MX"/>
          </w:rPr>
          <w:t>PDH abre expediente por campaña para desacreditar a periodistas y medios de información</w:t>
        </w:r>
      </w:hyperlink>
      <w:r w:rsidRPr="001944CF">
        <w:rPr>
          <w:rFonts w:asciiTheme="majorHAnsi" w:hAnsiTheme="majorHAnsi"/>
          <w:i/>
          <w:color w:val="808080" w:themeColor="background1" w:themeShade="80"/>
          <w:lang w:val="es-MX"/>
        </w:rPr>
        <w:t>.</w:t>
      </w:r>
    </w:p>
  </w:footnote>
  <w:footnote w:id="459">
    <w:p w14:paraId="6C1B2AE2" w14:textId="5ED570D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Publinews. August 29, 2017. </w:t>
      </w:r>
      <w:hyperlink r:id="rId276" w:history="1">
        <w:r w:rsidRPr="001944CF">
          <w:rPr>
            <w:rStyle w:val="Hyperlink"/>
            <w:rFonts w:asciiTheme="majorHAnsi" w:hAnsiTheme="majorHAnsi"/>
            <w:i/>
            <w:color w:val="808080" w:themeColor="background1" w:themeShade="80"/>
            <w:lang w:val="es-MX"/>
          </w:rPr>
          <w:t>Se registra altercado entre periodistas y SAAS en actividad donde participó Jimmy Morales</w:t>
        </w:r>
      </w:hyperlink>
      <w:r w:rsidRPr="001944CF">
        <w:rPr>
          <w:rFonts w:asciiTheme="majorHAnsi" w:hAnsiTheme="majorHAnsi"/>
          <w:i/>
          <w:color w:val="808080" w:themeColor="background1" w:themeShade="80"/>
          <w:lang w:val="es-MX"/>
        </w:rPr>
        <w:t>;</w:t>
      </w:r>
      <w:r w:rsidRPr="001944CF">
        <w:rPr>
          <w:rFonts w:asciiTheme="majorHAnsi" w:hAnsiTheme="majorHAnsi"/>
          <w:color w:val="808080" w:themeColor="background1" w:themeShade="80"/>
          <w:lang w:val="es-MX"/>
        </w:rPr>
        <w:t xml:space="preserve"> Cámara Guatemalteca de Periodismo.</w:t>
      </w:r>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rPr>
        <w:t>August 29, 2017</w:t>
      </w:r>
      <w:r w:rsidRPr="001944CF">
        <w:rPr>
          <w:rFonts w:asciiTheme="majorHAnsi" w:hAnsiTheme="majorHAnsi"/>
          <w:i/>
          <w:color w:val="808080" w:themeColor="background1" w:themeShade="80"/>
        </w:rPr>
        <w:t xml:space="preserve">. </w:t>
      </w:r>
      <w:hyperlink r:id="rId277" w:history="1">
        <w:r w:rsidRPr="001944CF">
          <w:rPr>
            <w:rStyle w:val="Hyperlink"/>
            <w:rFonts w:asciiTheme="majorHAnsi" w:hAnsiTheme="majorHAnsi"/>
            <w:i/>
            <w:color w:val="808080" w:themeColor="background1" w:themeShade="80"/>
          </w:rPr>
          <w:t>Periodistas denuncian agresiones de miembros de la SAAS</w:t>
        </w:r>
      </w:hyperlink>
      <w:r w:rsidRPr="001944CF">
        <w:rPr>
          <w:rFonts w:asciiTheme="majorHAnsi" w:hAnsiTheme="majorHAnsi"/>
          <w:color w:val="808080" w:themeColor="background1" w:themeShade="80"/>
        </w:rPr>
        <w:t>.</w:t>
      </w:r>
    </w:p>
  </w:footnote>
  <w:footnote w:id="460">
    <w:p w14:paraId="69490E06" w14:textId="3D55BB1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May 4, 2015.</w:t>
      </w:r>
      <w:hyperlink r:id="rId278" w:history="1">
        <w:r w:rsidRPr="001944CF">
          <w:rPr>
            <w:rFonts w:asciiTheme="majorHAnsi" w:hAnsiTheme="majorHAnsi"/>
            <w:color w:val="808080" w:themeColor="background1" w:themeShade="80"/>
          </w:rPr>
          <w:t xml:space="preserve"> </w:t>
        </w:r>
        <w:r w:rsidRPr="001944CF">
          <w:rPr>
            <w:rStyle w:val="Hyperlink"/>
            <w:rFonts w:asciiTheme="majorHAnsi" w:hAnsiTheme="majorHAnsi"/>
            <w:i/>
            <w:color w:val="808080" w:themeColor="background1" w:themeShade="80"/>
          </w:rPr>
          <w:t>Joint declaration on freedom of expression and responses to conflict situations</w:t>
        </w:r>
      </w:hyperlink>
      <w:hyperlink r:id="rId279" w:history="1"/>
      <w:r w:rsidRPr="001944CF">
        <w:rPr>
          <w:rFonts w:asciiTheme="majorHAnsi" w:hAnsiTheme="majorHAnsi"/>
          <w:color w:val="808080" w:themeColor="background1" w:themeShade="80"/>
        </w:rPr>
        <w:t xml:space="preserve">. </w:t>
      </w:r>
    </w:p>
  </w:footnote>
  <w:footnote w:id="461">
    <w:p w14:paraId="32ABD891" w14:textId="1CF7784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w:t>
      </w:r>
      <w:hyperlink r:id="rId280" w:history="1">
        <w:r w:rsidRPr="001944CF">
          <w:rPr>
            <w:rStyle w:val="Hyperlink"/>
            <w:rFonts w:asciiTheme="majorHAnsi" w:hAnsiTheme="majorHAnsi"/>
            <w:color w:val="808080" w:themeColor="background1" w:themeShade="80"/>
            <w:lang w:val="es-ES"/>
          </w:rPr>
          <w:t>Estado de la Situación de la Libertad de Expresión en Guatemala – Primer Trimestre 2017</w:t>
        </w:r>
      </w:hyperlink>
      <w:r w:rsidRPr="001944CF">
        <w:rPr>
          <w:rFonts w:asciiTheme="majorHAnsi" w:hAnsiTheme="majorHAnsi"/>
          <w:color w:val="808080" w:themeColor="background1" w:themeShade="80"/>
          <w:lang w:val="es-MX"/>
        </w:rPr>
        <w:t xml:space="preserve">. May 2, 2017; Iniciativa Mesoamericana de Mujeres Defensoras de Derechos Humanos. March 3, 2017. </w:t>
      </w:r>
      <w:hyperlink r:id="rId281" w:history="1">
        <w:r w:rsidRPr="001944CF">
          <w:rPr>
            <w:rStyle w:val="Hyperlink"/>
            <w:rFonts w:asciiTheme="majorHAnsi" w:hAnsiTheme="majorHAnsi"/>
            <w:i/>
            <w:color w:val="808080" w:themeColor="background1" w:themeShade="80"/>
            <w:lang w:val="es-ES"/>
          </w:rPr>
          <w:t>#AlertaDefensoras GUATEMALA / Censuran artículo sobre la campaña de desprestigio que enfrenta el CICIG</w:t>
        </w:r>
      </w:hyperlink>
      <w:r w:rsidRPr="001944CF">
        <w:rPr>
          <w:rFonts w:asciiTheme="majorHAnsi" w:hAnsiTheme="majorHAnsi"/>
          <w:color w:val="808080" w:themeColor="background1" w:themeShade="80"/>
          <w:lang w:val="es-MX"/>
        </w:rPr>
        <w:t>; Pedrovisión Noticias. March 4, 2017.</w:t>
      </w:r>
      <w:r w:rsidRPr="001944CF">
        <w:rPr>
          <w:rFonts w:asciiTheme="majorHAnsi" w:hAnsiTheme="majorHAnsi"/>
          <w:i/>
          <w:color w:val="808080" w:themeColor="background1" w:themeShade="80"/>
          <w:lang w:val="es-MX"/>
        </w:rPr>
        <w:t xml:space="preserve"> </w:t>
      </w:r>
      <w:hyperlink r:id="rId282" w:history="1">
        <w:r w:rsidRPr="001944CF">
          <w:rPr>
            <w:rStyle w:val="Hyperlink"/>
            <w:rFonts w:asciiTheme="majorHAnsi" w:hAnsiTheme="majorHAnsi"/>
            <w:i/>
            <w:color w:val="808080" w:themeColor="background1" w:themeShade="80"/>
            <w:lang w:val="es-ES"/>
          </w:rPr>
          <w:t>LA NOTA CHAPINA: La historia de la nota censurada sobre Iván Velásquez en “Contrapoder</w:t>
        </w:r>
      </w:hyperlink>
      <w:r w:rsidRPr="001944CF">
        <w:rPr>
          <w:rFonts w:asciiTheme="majorHAnsi" w:hAnsiTheme="majorHAnsi"/>
          <w:color w:val="808080" w:themeColor="background1" w:themeShade="80"/>
          <w:lang w:val="es-MX"/>
        </w:rPr>
        <w:t xml:space="preserve">.  </w:t>
      </w:r>
    </w:p>
  </w:footnote>
  <w:footnote w:id="462">
    <w:p w14:paraId="05A00B18" w14:textId="5CCD756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w:t>
      </w:r>
      <w:hyperlink r:id="rId283" w:history="1">
        <w:r w:rsidRPr="001944CF">
          <w:rPr>
            <w:rStyle w:val="Hyperlink"/>
            <w:rFonts w:asciiTheme="majorHAnsi" w:hAnsiTheme="majorHAnsi"/>
            <w:color w:val="808080" w:themeColor="background1" w:themeShade="80"/>
            <w:lang w:val="es-ES"/>
          </w:rPr>
          <w:t>Estado de la Situación de la Libertad de Expresión en Guatemala – Primer Trimestre 2017</w:t>
        </w:r>
      </w:hyperlink>
      <w:r w:rsidRPr="001944CF">
        <w:rPr>
          <w:rFonts w:asciiTheme="majorHAnsi" w:hAnsiTheme="majorHAnsi"/>
          <w:color w:val="808080" w:themeColor="background1" w:themeShade="80"/>
          <w:lang w:val="es-MX"/>
        </w:rPr>
        <w:t xml:space="preserve">. May 2, 2017; Iniciativa Mesoamericana de Mujeres Defensoras de Derechos Humanos. March 3, 2017. </w:t>
      </w:r>
      <w:hyperlink r:id="rId284" w:history="1">
        <w:r w:rsidRPr="001944CF">
          <w:rPr>
            <w:rStyle w:val="Hyperlink"/>
            <w:rFonts w:asciiTheme="majorHAnsi" w:hAnsiTheme="majorHAnsi"/>
            <w:i/>
            <w:color w:val="808080" w:themeColor="background1" w:themeShade="80"/>
            <w:lang w:val="es-ES"/>
          </w:rPr>
          <w:t>#AlertaDefensoras GUATEMALA / Censuran artículo sobre la campaña de desprestigio que enfrenta el CICIG</w:t>
        </w:r>
      </w:hyperlink>
      <w:r w:rsidRPr="001944CF">
        <w:rPr>
          <w:rFonts w:asciiTheme="majorHAnsi" w:hAnsiTheme="majorHAnsi"/>
          <w:color w:val="808080" w:themeColor="background1" w:themeShade="80"/>
          <w:lang w:val="es-MX"/>
        </w:rPr>
        <w:t>; Pedrovisión Noticias. March 4, 2017.</w:t>
      </w:r>
      <w:r w:rsidRPr="001944CF">
        <w:rPr>
          <w:rFonts w:asciiTheme="majorHAnsi" w:hAnsiTheme="majorHAnsi"/>
          <w:i/>
          <w:color w:val="808080" w:themeColor="background1" w:themeShade="80"/>
          <w:lang w:val="es-MX"/>
        </w:rPr>
        <w:t xml:space="preserve"> </w:t>
      </w:r>
      <w:hyperlink r:id="rId285" w:history="1">
        <w:r w:rsidRPr="001944CF">
          <w:rPr>
            <w:rStyle w:val="Hyperlink"/>
            <w:rFonts w:asciiTheme="majorHAnsi" w:hAnsiTheme="majorHAnsi"/>
            <w:i/>
            <w:color w:val="808080" w:themeColor="background1" w:themeShade="80"/>
            <w:lang w:val="es-ES"/>
          </w:rPr>
          <w:t>LA NOTA CHAPINA: La historia de la nota censurada sobre Iván Velásquez en “Contrapoder</w:t>
        </w:r>
      </w:hyperlink>
      <w:r w:rsidRPr="001944CF">
        <w:rPr>
          <w:rFonts w:asciiTheme="majorHAnsi" w:hAnsiTheme="majorHAnsi"/>
          <w:color w:val="808080" w:themeColor="background1" w:themeShade="80"/>
          <w:lang w:val="es-MX"/>
        </w:rPr>
        <w:t xml:space="preserve">.   </w:t>
      </w:r>
    </w:p>
  </w:footnote>
  <w:footnote w:id="463">
    <w:p w14:paraId="67D65814" w14:textId="511F0E05"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MX"/>
        </w:rPr>
        <w:t xml:space="preserve">Prensa Libre. August 29, 2017. </w:t>
      </w:r>
      <w:hyperlink r:id="rId286" w:history="1">
        <w:r w:rsidRPr="001944CF">
          <w:rPr>
            <w:rStyle w:val="Hyperlink"/>
            <w:rFonts w:asciiTheme="majorHAnsi" w:hAnsiTheme="majorHAnsi"/>
            <w:i/>
            <w:color w:val="808080" w:themeColor="background1" w:themeShade="80"/>
            <w:lang w:val="es-MX"/>
          </w:rPr>
          <w:t>Guatevisión denuncia bloqueo y campaña en su contra por recientes coberturas</w:t>
        </w:r>
      </w:hyperlink>
      <w:r w:rsidRPr="001944CF">
        <w:rPr>
          <w:rFonts w:asciiTheme="majorHAnsi" w:hAnsiTheme="majorHAnsi"/>
          <w:color w:val="808080" w:themeColor="background1" w:themeShade="80"/>
          <w:lang w:val="es-MX"/>
        </w:rPr>
        <w:t xml:space="preserve">; Centro de Reportes Informativos sobre Guatemala (Cerigua). August 31, 2017. </w:t>
      </w:r>
      <w:hyperlink r:id="rId287" w:history="1">
        <w:r w:rsidRPr="001944CF">
          <w:rPr>
            <w:rStyle w:val="Hyperlink"/>
            <w:rFonts w:asciiTheme="majorHAnsi" w:hAnsiTheme="majorHAnsi"/>
            <w:i/>
            <w:color w:val="808080" w:themeColor="background1" w:themeShade="80"/>
            <w:lang w:val="es-MX"/>
          </w:rPr>
          <w:t>APG denuncia que Guatevisión ha sido objeto de censura</w:t>
        </w:r>
      </w:hyperlink>
      <w:r w:rsidRPr="001944CF">
        <w:rPr>
          <w:rFonts w:asciiTheme="majorHAnsi" w:hAnsiTheme="majorHAnsi"/>
          <w:i/>
          <w:color w:val="808080" w:themeColor="background1" w:themeShade="80"/>
          <w:lang w:val="es-MX"/>
        </w:rPr>
        <w:t>.</w:t>
      </w:r>
    </w:p>
  </w:footnote>
  <w:footnote w:id="464">
    <w:p w14:paraId="24FDF898" w14:textId="2F69C8D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commitment was co-signed by the Vice President, the Minister of the Interior, the Chairman of the Comisión Presidencial Coordinadora de la Política del Ejecutivo en materia de Derechos Humanos (COPREDEH), with representatives of the Human Rights Ombudsman Institution, the Office of the Attorney General; and as witnesses of honor, the Resident Coordinator of the United Nations and the Representative of the United Nations Educational, Scientific and Cultural Organization – UNESCO.</w:t>
      </w:r>
    </w:p>
  </w:footnote>
  <w:footnote w:id="465">
    <w:p w14:paraId="3E36A653" w14:textId="084A6641" w:rsidR="001D7FF7" w:rsidRPr="001944CF" w:rsidRDefault="001D7FF7" w:rsidP="006F17D4">
      <w:pPr>
        <w:pStyle w:val="FootnoteText"/>
        <w:rPr>
          <w:rFonts w:asciiTheme="majorHAnsi" w:hAnsiTheme="majorHAnsi"/>
          <w:color w:val="808080" w:themeColor="background1" w:themeShade="80"/>
          <w:lang w:val="pt-BR"/>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Annual Report 2014.</w:t>
      </w:r>
      <w:hyperlink r:id="rId288"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of the Office of the Special Rapporteur for Freedom of Expression Chapter II: Evaluation of the State of Freedom of Expression in the Hemisphere</w:t>
        </w:r>
      </w:hyperlink>
      <w:hyperlink r:id="rId289" w:history="1"/>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pt-BR"/>
        </w:rPr>
        <w:t>OEA/Ser.L/V/II Doc. 13. March 9, 2015, paras. 557-560.</w:t>
      </w:r>
    </w:p>
  </w:footnote>
  <w:footnote w:id="466">
    <w:p w14:paraId="5197A674" w14:textId="67DE36D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r>
      <w:r w:rsidRPr="001944CF">
        <w:rPr>
          <w:rFonts w:asciiTheme="majorHAnsi" w:hAnsiTheme="majorHAnsi"/>
          <w:i/>
          <w:color w:val="808080" w:themeColor="background1" w:themeShade="80"/>
          <w:lang w:val="pt-BR"/>
        </w:rPr>
        <w:t>Idem</w:t>
      </w:r>
      <w:r w:rsidRPr="001944CF">
        <w:rPr>
          <w:rFonts w:asciiTheme="majorHAnsi" w:hAnsiTheme="majorHAnsi"/>
          <w:color w:val="808080" w:themeColor="background1" w:themeShade="80"/>
          <w:lang w:val="pt-BR"/>
        </w:rPr>
        <w:t xml:space="preserve">, paras. </w:t>
      </w:r>
      <w:r w:rsidRPr="001944CF">
        <w:rPr>
          <w:rFonts w:asciiTheme="majorHAnsi" w:hAnsiTheme="majorHAnsi"/>
          <w:color w:val="808080" w:themeColor="background1" w:themeShade="80"/>
        </w:rPr>
        <w:t>683-694.</w:t>
      </w:r>
    </w:p>
  </w:footnote>
  <w:footnote w:id="467">
    <w:p w14:paraId="41D983FC" w14:textId="52EB6771"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290" w:history="1">
        <w:r w:rsidRPr="001944CF">
          <w:rPr>
            <w:rStyle w:val="Hyperlink"/>
            <w:rFonts w:asciiTheme="majorHAnsi" w:hAnsiTheme="majorHAnsi"/>
            <w:color w:val="808080" w:themeColor="background1" w:themeShade="80"/>
          </w:rPr>
          <w:t>Anual Report 2016.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w:t>
      </w:r>
      <w:r w:rsidRPr="001944CF">
        <w:rPr>
          <w:rFonts w:asciiTheme="majorHAnsi" w:hAnsiTheme="majorHAnsi"/>
          <w:color w:val="808080" w:themeColor="background1" w:themeShade="80"/>
          <w:lang w:val="es-MX"/>
        </w:rPr>
        <w:t>OEA/Ser.L/V/II. Doc. 22/17 March 15, 2017, para. 657. </w:t>
      </w:r>
    </w:p>
  </w:footnote>
  <w:footnote w:id="468">
    <w:p w14:paraId="50A93E33" w14:textId="2BEC4BDE"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February 7, 2017. </w:t>
      </w:r>
      <w:hyperlink r:id="rId291" w:history="1">
        <w:r w:rsidRPr="001944CF">
          <w:rPr>
            <w:rStyle w:val="Hyperlink"/>
            <w:rFonts w:asciiTheme="majorHAnsi" w:hAnsiTheme="majorHAnsi"/>
            <w:i/>
            <w:color w:val="808080" w:themeColor="background1" w:themeShade="80"/>
            <w:lang w:val="es-ES"/>
          </w:rPr>
          <w:t>PDH insta al gobierno a la pronta implementación del Programa de Protección a Periodistas</w:t>
        </w:r>
      </w:hyperlink>
      <w:r w:rsidRPr="001944CF">
        <w:rPr>
          <w:rFonts w:asciiTheme="majorHAnsi" w:hAnsiTheme="majorHAnsi"/>
          <w:color w:val="808080" w:themeColor="background1" w:themeShade="80"/>
          <w:lang w:val="es-MX"/>
        </w:rPr>
        <w:t xml:space="preserve">; Prensa Libre. February 8, 2017. </w:t>
      </w:r>
      <w:hyperlink r:id="rId292" w:history="1">
        <w:r w:rsidRPr="001944CF">
          <w:rPr>
            <w:rStyle w:val="Hyperlink"/>
            <w:rFonts w:asciiTheme="majorHAnsi" w:hAnsiTheme="majorHAnsi"/>
            <w:i/>
            <w:color w:val="808080" w:themeColor="background1" w:themeShade="80"/>
            <w:lang w:val="es-ES"/>
          </w:rPr>
          <w:t>PDH pide protección a periodistas</w:t>
        </w:r>
      </w:hyperlink>
      <w:r w:rsidRPr="001944CF">
        <w:rPr>
          <w:rFonts w:asciiTheme="majorHAnsi" w:hAnsiTheme="majorHAnsi"/>
          <w:color w:val="808080" w:themeColor="background1" w:themeShade="80"/>
          <w:lang w:val="es-MX"/>
        </w:rPr>
        <w:t xml:space="preserve">; La Conexiónusa.com/EFE. February 7, 2017. </w:t>
      </w:r>
      <w:hyperlink r:id="rId293" w:history="1">
        <w:r w:rsidRPr="001944CF">
          <w:rPr>
            <w:rStyle w:val="Hyperlink"/>
            <w:rFonts w:asciiTheme="majorHAnsi" w:hAnsiTheme="majorHAnsi"/>
            <w:i/>
            <w:color w:val="808080" w:themeColor="background1" w:themeShade="80"/>
            <w:lang w:val="es-ES"/>
          </w:rPr>
          <w:t>Ombudsman pide a Guatemala implementar un plan de protección para periodistas</w:t>
        </w:r>
      </w:hyperlink>
      <w:r w:rsidRPr="001944CF">
        <w:rPr>
          <w:rFonts w:asciiTheme="majorHAnsi" w:hAnsiTheme="majorHAnsi"/>
          <w:color w:val="808080" w:themeColor="background1" w:themeShade="80"/>
          <w:lang w:val="es-MX"/>
        </w:rPr>
        <w:t xml:space="preserve">.  </w:t>
      </w:r>
    </w:p>
  </w:footnote>
  <w:footnote w:id="469">
    <w:p w14:paraId="07C41AB3" w14:textId="23275A1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May 3, 2017. </w:t>
      </w:r>
      <w:hyperlink r:id="rId294" w:history="1">
        <w:r w:rsidRPr="001944CF">
          <w:rPr>
            <w:rStyle w:val="Hyperlink"/>
            <w:rFonts w:asciiTheme="majorHAnsi" w:hAnsiTheme="majorHAnsi"/>
            <w:i/>
            <w:color w:val="808080" w:themeColor="background1" w:themeShade="80"/>
            <w:lang w:val="es-ES"/>
          </w:rPr>
          <w:t>PDH reitera necesidad de establecer Programa de Protección a Periodistas</w:t>
        </w:r>
      </w:hyperlink>
      <w:r w:rsidRPr="001944CF">
        <w:rPr>
          <w:rFonts w:asciiTheme="majorHAnsi" w:hAnsiTheme="majorHAnsi"/>
          <w:color w:val="808080" w:themeColor="background1" w:themeShade="80"/>
          <w:lang w:val="es-MX"/>
        </w:rPr>
        <w:t xml:space="preserve">; Procurador de los Derechos Humanos. May 3, 2017. Comunicado PDH – Día Mundial de la Libertad de Prensa. </w:t>
      </w:r>
      <w:r w:rsidRPr="001944CF">
        <w:rPr>
          <w:rFonts w:asciiTheme="majorHAnsi" w:hAnsiTheme="majorHAnsi"/>
          <w:color w:val="808080" w:themeColor="background1" w:themeShade="80"/>
        </w:rPr>
        <w:t xml:space="preserve">Available at: </w:t>
      </w:r>
      <w:hyperlink r:id="rId295" w:history="1">
        <w:r w:rsidRPr="001944CF">
          <w:rPr>
            <w:rStyle w:val="Hyperlink"/>
            <w:rFonts w:asciiTheme="majorHAnsi" w:hAnsiTheme="majorHAnsi"/>
            <w:color w:val="808080" w:themeColor="background1" w:themeShade="80"/>
          </w:rPr>
          <w:t>http://pdh.org.gt/biblioteca/sala-de-prensa/category/16-comunicados.html?start=10</w:t>
        </w:r>
      </w:hyperlink>
      <w:r w:rsidRPr="001944CF">
        <w:rPr>
          <w:rFonts w:asciiTheme="majorHAnsi" w:hAnsiTheme="majorHAnsi"/>
          <w:color w:val="808080" w:themeColor="background1" w:themeShade="80"/>
        </w:rPr>
        <w:t xml:space="preserve"> </w:t>
      </w:r>
    </w:p>
  </w:footnote>
  <w:footnote w:id="470">
    <w:p w14:paraId="0940F549" w14:textId="1763FAD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Centro de Reportes Informativos sobre Guatemala (Cerigua). February 24, 2017. </w:t>
      </w:r>
      <w:hyperlink r:id="rId296" w:history="1">
        <w:r w:rsidRPr="001944CF">
          <w:rPr>
            <w:rStyle w:val="Hyperlink"/>
            <w:rFonts w:asciiTheme="majorHAnsi" w:hAnsiTheme="majorHAnsi"/>
            <w:i/>
            <w:color w:val="808080" w:themeColor="background1" w:themeShade="80"/>
          </w:rPr>
          <w:t>Alianza de Entidades de Prensa denuncia al Estado por incumplimiento de promesas</w:t>
        </w:r>
      </w:hyperlink>
      <w:r w:rsidRPr="001944CF">
        <w:rPr>
          <w:rFonts w:asciiTheme="majorHAnsi" w:hAnsiTheme="majorHAnsi"/>
          <w:color w:val="808080" w:themeColor="background1" w:themeShade="80"/>
        </w:rPr>
        <w:t xml:space="preserve">; El Clarín. </w:t>
      </w:r>
      <w:r w:rsidRPr="001944CF">
        <w:rPr>
          <w:rFonts w:asciiTheme="majorHAnsi" w:hAnsiTheme="majorHAnsi"/>
          <w:color w:val="808080" w:themeColor="background1" w:themeShade="80"/>
          <w:lang w:val="es-MX"/>
        </w:rPr>
        <w:t xml:space="preserve">February 24, 2017. </w:t>
      </w:r>
      <w:hyperlink r:id="rId297" w:history="1">
        <w:r w:rsidRPr="001944CF">
          <w:rPr>
            <w:rStyle w:val="Hyperlink"/>
            <w:rFonts w:asciiTheme="majorHAnsi" w:hAnsiTheme="majorHAnsi"/>
            <w:i/>
            <w:color w:val="808080" w:themeColor="background1" w:themeShade="80"/>
            <w:lang w:val="es-ES"/>
          </w:rPr>
          <w:t>Alianza de Entidades de Prensa de Guatemala en comunicado conjunto denuncia incumplimiento del gobierno</w:t>
        </w:r>
      </w:hyperlink>
      <w:r w:rsidRPr="001944CF">
        <w:rPr>
          <w:rFonts w:asciiTheme="majorHAnsi" w:hAnsiTheme="majorHAnsi"/>
          <w:color w:val="808080" w:themeColor="background1" w:themeShade="80"/>
          <w:lang w:val="es-MX"/>
        </w:rPr>
        <w:t xml:space="preserve">; Inter American Press Association (IAPA). </w:t>
      </w:r>
      <w:hyperlink r:id="rId298" w:history="1">
        <w:r w:rsidRPr="001944CF">
          <w:rPr>
            <w:rStyle w:val="Hyperlink"/>
            <w:rFonts w:asciiTheme="majorHAnsi" w:hAnsiTheme="majorHAnsi"/>
            <w:color w:val="808080" w:themeColor="background1" w:themeShade="80"/>
          </w:rPr>
          <w:t>Guatemala</w:t>
        </w:r>
      </w:hyperlink>
      <w:r w:rsidRPr="001944CF">
        <w:rPr>
          <w:rFonts w:asciiTheme="majorHAnsi" w:hAnsiTheme="majorHAnsi"/>
          <w:color w:val="808080" w:themeColor="background1" w:themeShade="80"/>
        </w:rPr>
        <w:t>. March 27, 2017.</w:t>
      </w:r>
    </w:p>
  </w:footnote>
  <w:footnote w:id="471">
    <w:p w14:paraId="1C0EA419" w14:textId="719AC419"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Notas Periodísticas. June 2, 2017. </w:t>
      </w:r>
      <w:hyperlink r:id="rId299" w:history="1">
        <w:r w:rsidRPr="001944CF">
          <w:rPr>
            <w:rStyle w:val="Hyperlink"/>
            <w:rFonts w:asciiTheme="majorHAnsi" w:hAnsiTheme="majorHAnsi"/>
            <w:i/>
            <w:color w:val="808080" w:themeColor="background1" w:themeShade="80"/>
          </w:rPr>
          <w:t>Alianza de Entidades de Prensa refuta fingido proyecto de Ley a favor del gremio</w:t>
        </w:r>
      </w:hyperlink>
      <w:r w:rsidRPr="001944CF">
        <w:rPr>
          <w:rFonts w:asciiTheme="majorHAnsi" w:hAnsiTheme="majorHAnsi"/>
          <w:color w:val="808080" w:themeColor="background1" w:themeShade="80"/>
        </w:rPr>
        <w:t xml:space="preserve">; elPeriódico. </w:t>
      </w:r>
      <w:r w:rsidRPr="001944CF">
        <w:rPr>
          <w:rFonts w:asciiTheme="majorHAnsi" w:hAnsiTheme="majorHAnsi"/>
          <w:color w:val="808080" w:themeColor="background1" w:themeShade="80"/>
          <w:lang w:val="es-ES"/>
        </w:rPr>
        <w:t xml:space="preserve">June 2, 2017. </w:t>
      </w:r>
      <w:hyperlink r:id="rId300" w:history="1">
        <w:r w:rsidRPr="001944CF">
          <w:rPr>
            <w:rStyle w:val="Hyperlink"/>
            <w:rFonts w:asciiTheme="majorHAnsi" w:hAnsiTheme="majorHAnsi"/>
            <w:i/>
            <w:color w:val="808080" w:themeColor="background1" w:themeShade="80"/>
            <w:lang w:val="es-ES"/>
          </w:rPr>
          <w:t>Entidades de Prensa rechazan propuesta de diputada</w:t>
        </w:r>
      </w:hyperlink>
      <w:r w:rsidRPr="001944CF">
        <w:rPr>
          <w:rFonts w:asciiTheme="majorHAnsi" w:hAnsiTheme="majorHAnsi"/>
          <w:color w:val="808080" w:themeColor="background1" w:themeShade="80"/>
          <w:lang w:val="es-ES"/>
        </w:rPr>
        <w:t xml:space="preserve">; Centro de Reportes Informativos sobre Guatemala (Cerigua). June 1, 2017. </w:t>
      </w:r>
      <w:hyperlink r:id="rId301" w:history="1">
        <w:r w:rsidRPr="001944CF">
          <w:rPr>
            <w:rStyle w:val="Hyperlink"/>
            <w:rFonts w:asciiTheme="majorHAnsi" w:hAnsiTheme="majorHAnsi"/>
            <w:i/>
            <w:color w:val="808080" w:themeColor="background1" w:themeShade="80"/>
            <w:lang w:val="es-ES"/>
          </w:rPr>
          <w:t>Entidades de Prensa se oponen a intención de diputados de crear espacios de protección a periodistas</w:t>
        </w:r>
      </w:hyperlink>
      <w:r w:rsidRPr="001944CF">
        <w:rPr>
          <w:rFonts w:asciiTheme="majorHAnsi" w:hAnsiTheme="majorHAnsi"/>
          <w:color w:val="808080" w:themeColor="background1" w:themeShade="80"/>
          <w:lang w:val="es-ES"/>
        </w:rPr>
        <w:t xml:space="preserve">.    </w:t>
      </w:r>
    </w:p>
  </w:footnote>
  <w:footnote w:id="472">
    <w:p w14:paraId="78BA1DDB" w14:textId="5961E38C"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Centro de Reportes Informativos sobre Guatemala (Cerigua). May 2, 2017. </w:t>
      </w:r>
      <w:hyperlink r:id="rId302" w:history="1">
        <w:r w:rsidRPr="001944CF">
          <w:rPr>
            <w:rStyle w:val="Hyperlink"/>
            <w:rFonts w:asciiTheme="majorHAnsi" w:hAnsiTheme="majorHAnsi"/>
            <w:i/>
            <w:color w:val="808080" w:themeColor="background1" w:themeShade="80"/>
            <w:lang w:val="es-ES"/>
          </w:rPr>
          <w:t>Vicepresidente escucha propuesta de Programa de Protección a Periodistas</w:t>
        </w:r>
      </w:hyperlink>
      <w:r w:rsidRPr="001944CF">
        <w:rPr>
          <w:rFonts w:asciiTheme="majorHAnsi" w:hAnsiTheme="majorHAnsi"/>
          <w:color w:val="808080" w:themeColor="background1" w:themeShade="80"/>
          <w:lang w:val="es-ES"/>
        </w:rPr>
        <w:t xml:space="preserve">. </w:t>
      </w:r>
    </w:p>
  </w:footnote>
  <w:footnote w:id="473">
    <w:p w14:paraId="17186567" w14:textId="1B63646D"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Style w:val="Strong"/>
          <w:rFonts w:asciiTheme="majorHAnsi" w:hAnsiTheme="majorHAnsi" w:cs="Arial"/>
          <w:b w:val="0"/>
          <w:color w:val="808080" w:themeColor="background1" w:themeShade="80"/>
          <w:bdr w:val="none" w:sz="0" w:space="0" w:color="auto" w:frame="1"/>
          <w:lang w:val="es-ES"/>
        </w:rPr>
        <w:t>Asociación de Periodistas de Guatemala (APG), Cámara Guatemalteca de Periodismo (CGP), Centro de Reportes Informáticos de Guatemala (Cerigua), Cámara de Locutores Profesionales de Guatemala, Cronistas Deportivos Guatemaltecos, Asociación de Periodistas Marquenses, Asociación de Prensa de Huehuetenango, Asociación de Periodistas Comunitarios de Verapaz (APCV).</w:t>
      </w:r>
      <w:r w:rsidRPr="001944CF">
        <w:rPr>
          <w:rFonts w:asciiTheme="majorHAnsi" w:hAnsiTheme="majorHAnsi"/>
          <w:b/>
          <w:color w:val="808080" w:themeColor="background1" w:themeShade="80"/>
          <w:lang w:val="es-ES"/>
        </w:rPr>
        <w:t xml:space="preserve"> </w:t>
      </w:r>
      <w:r w:rsidRPr="001944CF">
        <w:rPr>
          <w:rStyle w:val="Strong"/>
          <w:rFonts w:asciiTheme="majorHAnsi" w:hAnsiTheme="majorHAnsi" w:cs="Arial"/>
          <w:b w:val="0"/>
          <w:color w:val="808080" w:themeColor="background1" w:themeShade="80"/>
          <w:bdr w:val="none" w:sz="0" w:space="0" w:color="auto" w:frame="1"/>
          <w:lang w:val="es-ES"/>
        </w:rPr>
        <w:t>Asociación de Periodistas y Comunicadores Sociales de Alta Verapaz (APC-AV), Asociación de Periodistas de Jutiapa (APJ), Red de Comunicadores Sociales de Chiquimula (RCS), Asociación de Comunicadores de Santa Rosa, Asociación de Prensa Jalapaneca (Aprej), Asociación de Comunicadores “Omar Aguirre” Huehuetenango, Asociación de Periodistas y Comunicadores Sociales de Sololá, Asociación de Prensa Quetzalteca (APQ).</w:t>
      </w:r>
    </w:p>
  </w:footnote>
  <w:footnote w:id="474">
    <w:p w14:paraId="1DF6EA3A" w14:textId="4F10790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Communication delivered to the Special Rapporteur for Freedom of Expression, Edison Lanza, by a group of journalists during the on-site visit to Guatemala. Available at: Archive of the Office of the Special Rapporteur for Freedom of Expression. </w:t>
      </w:r>
    </w:p>
  </w:footnote>
  <w:footnote w:id="475">
    <w:p w14:paraId="24846353" w14:textId="45FFA35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República de Guatemala. Brief from the State of Guatemala regarding the request for information prior to the on-site visit of the IACHR. </w:t>
      </w:r>
      <w:r w:rsidRPr="001944CF">
        <w:rPr>
          <w:rFonts w:asciiTheme="majorHAnsi" w:hAnsiTheme="majorHAnsi"/>
          <w:color w:val="808080" w:themeColor="background1" w:themeShade="80"/>
          <w:lang w:val="es-MX"/>
        </w:rPr>
        <w:t xml:space="preserve">Comisión Presidencial Coordinadora de la Política del Ejecutivo en materia de Derechos Humanos (COPREDEH). </w:t>
      </w:r>
      <w:r w:rsidRPr="001944CF">
        <w:rPr>
          <w:rFonts w:asciiTheme="majorHAnsi" w:hAnsiTheme="majorHAnsi"/>
          <w:color w:val="808080" w:themeColor="background1" w:themeShade="80"/>
        </w:rPr>
        <w:t xml:space="preserve">Ref. P-859-2017/VHGM/LWC/nj. June 16, 2017. Available at: Archive of the Office of the Special Rapporteur for Freedom of Expression.  </w:t>
      </w:r>
    </w:p>
  </w:footnote>
  <w:footnote w:id="476">
    <w:p w14:paraId="05E34019" w14:textId="7B29F102"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t xml:space="preserve">Centro de Reportes Informativos sobre Guatemala (Cerigua). September 22, 2017. </w:t>
      </w:r>
      <w:hyperlink r:id="rId303" w:history="1">
        <w:r w:rsidRPr="001944CF">
          <w:rPr>
            <w:rStyle w:val="Hyperlink"/>
            <w:rFonts w:asciiTheme="majorHAnsi" w:hAnsiTheme="majorHAnsi"/>
            <w:i/>
            <w:iCs/>
            <w:color w:val="808080" w:themeColor="background1" w:themeShade="80"/>
            <w:lang w:val="es-MX"/>
          </w:rPr>
          <w:t>Ileana Alamilla hace lobby en Ginebra por el Programa de Protección a Periodistas</w:t>
        </w:r>
      </w:hyperlink>
      <w:r w:rsidRPr="001944CF">
        <w:rPr>
          <w:rFonts w:asciiTheme="majorHAnsi" w:hAnsiTheme="majorHAnsi"/>
          <w:i/>
          <w:iCs/>
          <w:color w:val="808080" w:themeColor="background1" w:themeShade="80"/>
          <w:lang w:val="es-MX"/>
        </w:rPr>
        <w:t>.</w:t>
      </w:r>
    </w:p>
  </w:footnote>
  <w:footnote w:id="477">
    <w:p w14:paraId="7A1EA37E" w14:textId="130FC09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478">
    <w:p w14:paraId="0473239F" w14:textId="5E5CBCE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304" w:history="1">
        <w:r w:rsidRPr="001944CF">
          <w:rPr>
            <w:rStyle w:val="Hyperlink"/>
            <w:rFonts w:asciiTheme="majorHAnsi" w:hAnsiTheme="majorHAnsi"/>
            <w:color w:val="808080" w:themeColor="background1" w:themeShade="80"/>
          </w:rPr>
          <w:t>Annual Report 2013. Annual Report of the Office of the Special Rapporteur for Freedom of Expression</w:t>
        </w:r>
      </w:hyperlink>
      <w:hyperlink r:id="rId305" w:history="1"/>
      <w:r w:rsidRPr="001944CF">
        <w:rPr>
          <w:rFonts w:asciiTheme="majorHAnsi" w:hAnsiTheme="majorHAnsi"/>
          <w:color w:val="808080" w:themeColor="background1" w:themeShade="80"/>
          <w:lang w:val="uz-Cyrl-UZ"/>
        </w:rPr>
        <w:t>.</w:t>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uz-Cyrl-UZ"/>
        </w:rPr>
        <w:t>Chapter</w:t>
      </w:r>
      <w:r w:rsidRPr="001944CF">
        <w:rPr>
          <w:rFonts w:asciiTheme="majorHAnsi" w:hAnsiTheme="majorHAnsi"/>
          <w:color w:val="808080" w:themeColor="background1" w:themeShade="80"/>
        </w:rPr>
        <w:t xml:space="preserve"> III (Violence Against Journalists and Media Workers: Inter-American Standards and National Practices on Prevention, Protection and Prosecution of Perpetrators). December 31, 2013, paras. 81-84; IACHR.</w:t>
      </w:r>
      <w:hyperlink r:id="rId306"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Second Report on the Situation of Human Rights Defenders in the Americas</w:t>
        </w:r>
      </w:hyperlink>
      <w:r w:rsidRPr="001944CF">
        <w:rPr>
          <w:rFonts w:asciiTheme="majorHAnsi" w:hAnsiTheme="majorHAnsi"/>
          <w:color w:val="808080" w:themeColor="background1" w:themeShade="80"/>
        </w:rPr>
        <w:t>. December 31, 2011, paras. 487-531.</w:t>
      </w:r>
    </w:p>
  </w:footnote>
  <w:footnote w:id="479">
    <w:p w14:paraId="502A2E34" w14:textId="26C86F92"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307" w:history="1">
        <w:r w:rsidRPr="001944CF">
          <w:rPr>
            <w:rStyle w:val="Hyperlink"/>
            <w:rFonts w:asciiTheme="majorHAnsi" w:hAnsiTheme="majorHAnsi"/>
            <w:color w:val="808080" w:themeColor="background1" w:themeShade="80"/>
          </w:rPr>
          <w:t>Anual Report 2016.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w:t>
      </w:r>
      <w:r w:rsidRPr="001944CF">
        <w:rPr>
          <w:rFonts w:asciiTheme="majorHAnsi" w:hAnsiTheme="majorHAnsi"/>
          <w:color w:val="808080" w:themeColor="background1" w:themeShade="80"/>
          <w:lang w:val="es-MX"/>
        </w:rPr>
        <w:t xml:space="preserve">OEA/Ser.L/V/II. Doc. 22/17 March 15, 2017, para. 673. </w:t>
      </w:r>
    </w:p>
  </w:footnote>
  <w:footnote w:id="480">
    <w:p w14:paraId="7D3B5781" w14:textId="726CF29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Communication by the Asociación de Abogados y Notarios Mayas de Guatemala. </w:t>
      </w:r>
      <w:r w:rsidRPr="001944CF">
        <w:rPr>
          <w:rFonts w:asciiTheme="majorHAnsi" w:hAnsiTheme="majorHAnsi"/>
          <w:color w:val="808080" w:themeColor="background1" w:themeShade="80"/>
        </w:rPr>
        <w:t xml:space="preserve">August 4, 2016 [sic]. Available at: Archive of the Office of the Special Rapporteur for Freedom of Expression. </w:t>
      </w:r>
    </w:p>
  </w:footnote>
  <w:footnote w:id="481">
    <w:p w14:paraId="6898EF2A" w14:textId="58A3F17C"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Centro de Reportes Informativos sobre Guatemala (Cerigua). July 5, 2017. </w:t>
      </w:r>
      <w:hyperlink r:id="rId308" w:history="1">
        <w:r w:rsidRPr="001944CF">
          <w:rPr>
            <w:rStyle w:val="Hyperlink"/>
            <w:rFonts w:asciiTheme="majorHAnsi" w:hAnsiTheme="majorHAnsi"/>
            <w:i/>
            <w:iCs/>
            <w:color w:val="808080" w:themeColor="background1" w:themeShade="80"/>
            <w:lang w:val="es-MX"/>
          </w:rPr>
          <w:t>Las radios comunitarias en Guatemala, además de no ser reconocidas sufren persecución y criminalización</w:t>
        </w:r>
      </w:hyperlink>
      <w:r w:rsidRPr="001944CF">
        <w:rPr>
          <w:rFonts w:asciiTheme="majorHAnsi" w:hAnsiTheme="majorHAnsi"/>
          <w:color w:val="808080" w:themeColor="background1" w:themeShade="80"/>
          <w:lang w:val="es-MX"/>
        </w:rPr>
        <w:t xml:space="preserve">; Federación Guatemalteca de Escuelas Radiofónicas. July 11, 2017. </w:t>
      </w:r>
      <w:hyperlink r:id="rId309" w:history="1">
        <w:r w:rsidRPr="001944CF">
          <w:rPr>
            <w:rStyle w:val="Hyperlink"/>
            <w:rFonts w:asciiTheme="majorHAnsi" w:hAnsiTheme="majorHAnsi"/>
            <w:i/>
            <w:iCs/>
            <w:color w:val="808080" w:themeColor="background1" w:themeShade="80"/>
            <w:lang w:val="es-MX"/>
          </w:rPr>
          <w:t>Sigue criminalización de la radio comunitaria</w:t>
        </w:r>
      </w:hyperlink>
      <w:r w:rsidRPr="001944CF">
        <w:rPr>
          <w:rFonts w:asciiTheme="majorHAnsi" w:hAnsiTheme="majorHAnsi"/>
          <w:i/>
          <w:iCs/>
          <w:color w:val="808080" w:themeColor="background1" w:themeShade="80"/>
          <w:lang w:val="es-MX"/>
        </w:rPr>
        <w:t>.</w:t>
      </w:r>
    </w:p>
  </w:footnote>
  <w:footnote w:id="482">
    <w:p w14:paraId="4E1C0F79" w14:textId="2473FF5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República de Guatemala. </w:t>
      </w:r>
      <w:r w:rsidRPr="001944CF">
        <w:rPr>
          <w:rFonts w:asciiTheme="majorHAnsi" w:hAnsiTheme="majorHAnsi"/>
          <w:color w:val="808080" w:themeColor="background1" w:themeShade="80"/>
        </w:rPr>
        <w:t>Communication from the State of Guatemala regarding the request for information from the Office of the Special Rapporteur for Freedom of Expression of the IACHR. Ref. P-1021-2017/VHG/LWC/nj. July 24, 2017. Available at: Archive of the Office of the Special Rapporteur for Freedom of Expression.</w:t>
      </w:r>
    </w:p>
  </w:footnote>
  <w:footnote w:id="483">
    <w:p w14:paraId="258A8068" w14:textId="11173F31"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de Gobernación de Guatemala. February 15, 2017. </w:t>
      </w:r>
      <w:hyperlink r:id="rId310" w:history="1">
        <w:r w:rsidRPr="001944CF">
          <w:rPr>
            <w:rStyle w:val="Hyperlink"/>
            <w:rFonts w:asciiTheme="majorHAnsi" w:hAnsiTheme="majorHAnsi"/>
            <w:i/>
            <w:iCs/>
            <w:color w:val="808080" w:themeColor="background1" w:themeShade="80"/>
            <w:lang w:val="es-MX"/>
          </w:rPr>
          <w:t>Localizan radio pirata en allanamiento</w:t>
        </w:r>
      </w:hyperlink>
      <w:r w:rsidRPr="001944CF">
        <w:rPr>
          <w:rFonts w:asciiTheme="majorHAnsi" w:hAnsiTheme="majorHAnsi"/>
          <w:i/>
          <w:iCs/>
          <w:color w:val="808080" w:themeColor="background1" w:themeShade="80"/>
          <w:lang w:val="es-MX"/>
        </w:rPr>
        <w:t>.</w:t>
      </w:r>
    </w:p>
  </w:footnote>
  <w:footnote w:id="484">
    <w:p w14:paraId="4D6CDB64" w14:textId="43DFF01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de Gobernación de Guatemala. February 22, 2017. </w:t>
      </w:r>
      <w:hyperlink r:id="rId311" w:history="1">
        <w:r w:rsidRPr="001944CF">
          <w:rPr>
            <w:rStyle w:val="Hyperlink"/>
            <w:rFonts w:asciiTheme="majorHAnsi" w:hAnsiTheme="majorHAnsi"/>
            <w:i/>
            <w:iCs/>
            <w:color w:val="808080" w:themeColor="background1" w:themeShade="80"/>
            <w:lang w:val="es-MX"/>
          </w:rPr>
          <w:t>Otra radio pirata desarticulada</w:t>
        </w:r>
      </w:hyperlink>
      <w:r w:rsidRPr="001944CF">
        <w:rPr>
          <w:rFonts w:asciiTheme="majorHAnsi" w:hAnsiTheme="majorHAnsi"/>
          <w:color w:val="808080" w:themeColor="background1" w:themeShade="80"/>
          <w:lang w:val="es-MX"/>
        </w:rPr>
        <w:t>. </w:t>
      </w:r>
    </w:p>
  </w:footnote>
  <w:footnote w:id="485">
    <w:p w14:paraId="64295B5A" w14:textId="0109E85D"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Público (MP). March 9, 2017. </w:t>
      </w:r>
      <w:hyperlink r:id="rId312" w:history="1">
        <w:r w:rsidRPr="001944CF">
          <w:rPr>
            <w:rStyle w:val="Hyperlink"/>
            <w:rFonts w:asciiTheme="majorHAnsi" w:hAnsiTheme="majorHAnsi"/>
            <w:i/>
            <w:iCs/>
            <w:color w:val="808080" w:themeColor="background1" w:themeShade="80"/>
            <w:lang w:val="es-MX"/>
          </w:rPr>
          <w:t>Agencia que investiga delitos relacionados a frecuencias ilegales coordinó diligencia en Escuintla</w:t>
        </w:r>
      </w:hyperlink>
      <w:r w:rsidRPr="001944CF">
        <w:rPr>
          <w:rFonts w:asciiTheme="majorHAnsi" w:hAnsiTheme="majorHAnsi"/>
          <w:i/>
          <w:iCs/>
          <w:color w:val="808080" w:themeColor="background1" w:themeShade="80"/>
          <w:lang w:val="es-MX"/>
        </w:rPr>
        <w:t>.</w:t>
      </w:r>
    </w:p>
  </w:footnote>
  <w:footnote w:id="486">
    <w:p w14:paraId="21A2653D" w14:textId="7423FAFE"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MX"/>
        </w:rPr>
        <w:t xml:space="preserve">Ministerio Público (MP). March 8, 2017. </w:t>
      </w:r>
      <w:hyperlink r:id="rId313" w:history="1">
        <w:r w:rsidRPr="001944CF">
          <w:rPr>
            <w:rStyle w:val="Hyperlink"/>
            <w:rFonts w:asciiTheme="majorHAnsi" w:hAnsiTheme="majorHAnsi"/>
            <w:i/>
            <w:iCs/>
            <w:color w:val="808080" w:themeColor="background1" w:themeShade="80"/>
            <w:lang w:val="es-MX"/>
          </w:rPr>
          <w:t>MP coordina allanamientos por utilización de frecuencias ilegales en Alta Verapaz</w:t>
        </w:r>
      </w:hyperlink>
      <w:r w:rsidRPr="001944CF">
        <w:rPr>
          <w:rFonts w:asciiTheme="majorHAnsi" w:hAnsiTheme="majorHAnsi"/>
          <w:i/>
          <w:iCs/>
          <w:color w:val="808080" w:themeColor="background1" w:themeShade="80"/>
          <w:lang w:val="es-MX"/>
        </w:rPr>
        <w:t>.</w:t>
      </w:r>
    </w:p>
  </w:footnote>
  <w:footnote w:id="487">
    <w:p w14:paraId="6E128AF5" w14:textId="2360DFD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Público (MP). March 9, 2017. </w:t>
      </w:r>
      <w:hyperlink r:id="rId314" w:history="1">
        <w:r w:rsidRPr="001944CF">
          <w:rPr>
            <w:rStyle w:val="Hyperlink"/>
            <w:rFonts w:asciiTheme="majorHAnsi" w:hAnsiTheme="majorHAnsi"/>
            <w:i/>
            <w:iCs/>
            <w:color w:val="808080" w:themeColor="background1" w:themeShade="80"/>
            <w:lang w:val="es-MX"/>
          </w:rPr>
          <w:t>Agencia que investiga delitos relacionados a frecuencias ilegales coordinó diligencia en Escuintla</w:t>
        </w:r>
      </w:hyperlink>
      <w:r w:rsidRPr="001944CF">
        <w:rPr>
          <w:rFonts w:asciiTheme="majorHAnsi" w:hAnsiTheme="majorHAnsi"/>
          <w:i/>
          <w:iCs/>
          <w:color w:val="808080" w:themeColor="background1" w:themeShade="80"/>
          <w:lang w:val="es-MX"/>
        </w:rPr>
        <w:t>.</w:t>
      </w:r>
    </w:p>
  </w:footnote>
  <w:footnote w:id="488">
    <w:p w14:paraId="5869C2E0" w14:textId="5678A40E"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CRN Noticias. March 15, 2017. </w:t>
      </w:r>
      <w:hyperlink r:id="rId315" w:history="1">
        <w:r w:rsidRPr="001944CF">
          <w:rPr>
            <w:rStyle w:val="Hyperlink"/>
            <w:rFonts w:asciiTheme="majorHAnsi" w:hAnsiTheme="majorHAnsi"/>
            <w:i/>
            <w:iCs/>
            <w:color w:val="808080" w:themeColor="background1" w:themeShade="80"/>
            <w:lang w:val="es-MX"/>
          </w:rPr>
          <w:t>MP logra el cierre de tres radios que operaban de manera ilegal en Alta Verapaz</w:t>
        </w:r>
      </w:hyperlink>
      <w:r w:rsidRPr="001944CF">
        <w:rPr>
          <w:rFonts w:asciiTheme="majorHAnsi" w:hAnsiTheme="majorHAnsi"/>
          <w:color w:val="808080" w:themeColor="background1" w:themeShade="80"/>
          <w:lang w:val="es-MX"/>
        </w:rPr>
        <w:t xml:space="preserve">; Ministerio Público (MP). March 16, 2017. </w:t>
      </w:r>
      <w:hyperlink r:id="rId316" w:history="1">
        <w:r w:rsidRPr="001944CF">
          <w:rPr>
            <w:rStyle w:val="Hyperlink"/>
            <w:rFonts w:asciiTheme="majorHAnsi" w:hAnsiTheme="majorHAnsi"/>
            <w:i/>
            <w:iCs/>
            <w:color w:val="808080" w:themeColor="background1" w:themeShade="80"/>
            <w:lang w:val="es-MX"/>
          </w:rPr>
          <w:t>Agencia de Delitos Cometidos por el Uso Ilegal de Frecuencia Radioeléctricas coordina allanamientos en Alta Verapaz</w:t>
        </w:r>
      </w:hyperlink>
      <w:r w:rsidRPr="001944CF">
        <w:rPr>
          <w:rFonts w:asciiTheme="majorHAnsi" w:hAnsiTheme="majorHAnsi"/>
          <w:i/>
          <w:iCs/>
          <w:color w:val="808080" w:themeColor="background1" w:themeShade="80"/>
          <w:lang w:val="es-MX"/>
        </w:rPr>
        <w:t>.</w:t>
      </w:r>
    </w:p>
  </w:footnote>
  <w:footnote w:id="489">
    <w:p w14:paraId="6C65FE8A" w14:textId="6D3AA292"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Ministerio Público (MP). June 15, 2017. </w:t>
      </w:r>
      <w:hyperlink r:id="rId317" w:history="1">
        <w:r w:rsidRPr="001944CF">
          <w:rPr>
            <w:rStyle w:val="Hyperlink"/>
            <w:rFonts w:asciiTheme="majorHAnsi" w:hAnsiTheme="majorHAnsi"/>
            <w:i/>
            <w:iCs/>
            <w:color w:val="808080" w:themeColor="background1" w:themeShade="80"/>
            <w:lang w:val="es-ES"/>
          </w:rPr>
          <w:t>Agencia que investiga delitos relacionados a frecuencias ilegales coordina diligencia en Chimaltenango</w:t>
        </w:r>
      </w:hyperlink>
      <w:r w:rsidRPr="001944CF">
        <w:rPr>
          <w:rFonts w:asciiTheme="majorHAnsi" w:hAnsiTheme="majorHAnsi"/>
          <w:i/>
          <w:iCs/>
          <w:color w:val="808080" w:themeColor="background1" w:themeShade="80"/>
          <w:lang w:val="es-ES"/>
        </w:rPr>
        <w:t>.</w:t>
      </w:r>
    </w:p>
  </w:footnote>
  <w:footnote w:id="490">
    <w:p w14:paraId="1FE2D4F1" w14:textId="7D7BB40B"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ChapinTV.com. July 25, 2017. </w:t>
      </w:r>
      <w:hyperlink r:id="rId318" w:history="1">
        <w:r w:rsidRPr="001944CF">
          <w:rPr>
            <w:rStyle w:val="Hyperlink"/>
            <w:rFonts w:asciiTheme="majorHAnsi" w:hAnsiTheme="majorHAnsi"/>
            <w:i/>
            <w:iCs/>
            <w:color w:val="808080" w:themeColor="background1" w:themeShade="80"/>
            <w:lang w:val="es-MX"/>
          </w:rPr>
          <w:t>Realizan allanamiento en Baja Verapaz por radio pirata</w:t>
        </w:r>
      </w:hyperlink>
      <w:r w:rsidRPr="001944CF">
        <w:rPr>
          <w:rFonts w:asciiTheme="majorHAnsi" w:hAnsiTheme="majorHAnsi"/>
          <w:color w:val="808080" w:themeColor="background1" w:themeShade="80"/>
          <w:lang w:val="es-MX"/>
        </w:rPr>
        <w:t xml:space="preserve">; Ministerio Público (MP). July 26, 2017. </w:t>
      </w:r>
      <w:hyperlink r:id="rId319" w:history="1">
        <w:r w:rsidRPr="001944CF">
          <w:rPr>
            <w:rStyle w:val="Hyperlink"/>
            <w:rFonts w:asciiTheme="majorHAnsi" w:hAnsiTheme="majorHAnsi"/>
            <w:i/>
            <w:iCs/>
            <w:color w:val="808080" w:themeColor="background1" w:themeShade="80"/>
            <w:lang w:val="es-MX"/>
          </w:rPr>
          <w:t>Baja Verapaz: Ministerio Público coordina allanamiento y secuestro de equipo en radio ilegal</w:t>
        </w:r>
      </w:hyperlink>
      <w:r w:rsidRPr="001944CF">
        <w:rPr>
          <w:rFonts w:asciiTheme="majorHAnsi" w:hAnsiTheme="majorHAnsi"/>
          <w:i/>
          <w:iCs/>
          <w:color w:val="808080" w:themeColor="background1" w:themeShade="80"/>
          <w:lang w:val="es-MX"/>
        </w:rPr>
        <w:t>.</w:t>
      </w:r>
    </w:p>
  </w:footnote>
  <w:footnote w:id="491">
    <w:p w14:paraId="5C0FEF1A" w14:textId="0DB717B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MX"/>
        </w:rPr>
        <w:t xml:space="preserve">Ministerio Público (MP). September 1, 2017. </w:t>
      </w:r>
      <w:hyperlink r:id="rId320" w:history="1">
        <w:r w:rsidRPr="001944CF">
          <w:rPr>
            <w:rStyle w:val="Hyperlink"/>
            <w:rFonts w:asciiTheme="majorHAnsi" w:hAnsiTheme="majorHAnsi"/>
            <w:i/>
            <w:iCs/>
            <w:color w:val="808080" w:themeColor="background1" w:themeShade="80"/>
            <w:lang w:val="es-MX"/>
          </w:rPr>
          <w:t>MP incauta equipo utilizado en frecuencia ilegal en Alta Verapaz</w:t>
        </w:r>
      </w:hyperlink>
      <w:r w:rsidRPr="001944CF">
        <w:rPr>
          <w:rFonts w:asciiTheme="majorHAnsi" w:hAnsiTheme="majorHAnsi"/>
          <w:i/>
          <w:iCs/>
          <w:color w:val="808080" w:themeColor="background1" w:themeShade="80"/>
          <w:lang w:val="es-MX"/>
        </w:rPr>
        <w:t>.</w:t>
      </w:r>
    </w:p>
  </w:footnote>
  <w:footnote w:id="492">
    <w:p w14:paraId="6A549235" w14:textId="441480FF"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Km 169 Prensa Comunitaria. November 30, 2016. </w:t>
      </w:r>
      <w:hyperlink r:id="rId321" w:history="1">
        <w:r w:rsidRPr="001944CF">
          <w:rPr>
            <w:rStyle w:val="Hyperlink"/>
            <w:rFonts w:asciiTheme="majorHAnsi" w:hAnsiTheme="majorHAnsi"/>
            <w:i/>
            <w:color w:val="808080" w:themeColor="background1" w:themeShade="80"/>
            <w:lang w:val="es-MX"/>
          </w:rPr>
          <w:t>Después De Más De Un Año Censurada Por Fin La Radio Comunitaria Snuq´ Jolom Konob´Logra Reabrirse</w:t>
        </w:r>
      </w:hyperlink>
      <w:r w:rsidRPr="001944CF">
        <w:rPr>
          <w:rFonts w:asciiTheme="majorHAnsi" w:hAnsiTheme="majorHAnsi"/>
          <w:color w:val="808080" w:themeColor="background1" w:themeShade="80"/>
          <w:lang w:val="es-MX"/>
        </w:rPr>
        <w:t xml:space="preserve">; Radio Comunitaria Snuq’ Jolom Konob’/Facebook. December 2, 2016. </w:t>
      </w:r>
      <w:hyperlink r:id="rId322" w:history="1">
        <w:r w:rsidRPr="001944CF">
          <w:rPr>
            <w:rStyle w:val="Hyperlink"/>
            <w:rFonts w:asciiTheme="majorHAnsi" w:hAnsiTheme="majorHAnsi"/>
            <w:i/>
            <w:color w:val="808080" w:themeColor="background1" w:themeShade="80"/>
            <w:lang w:val="es-MX"/>
          </w:rPr>
          <w:t>Celebración Reapertura de la comunitaria de Santa Eulalia</w:t>
        </w:r>
      </w:hyperlink>
      <w:r w:rsidRPr="001944CF">
        <w:rPr>
          <w:rFonts w:asciiTheme="majorHAnsi" w:hAnsiTheme="majorHAnsi"/>
          <w:color w:val="808080" w:themeColor="background1" w:themeShade="80"/>
          <w:lang w:val="es-ES"/>
        </w:rPr>
        <w:t>.</w:t>
      </w:r>
      <w:r w:rsidRPr="001944CF">
        <w:rPr>
          <w:rFonts w:asciiTheme="majorHAnsi" w:hAnsiTheme="majorHAnsi"/>
          <w:color w:val="808080" w:themeColor="background1" w:themeShade="80"/>
          <w:lang w:val="es-MX"/>
        </w:rPr>
        <w:t xml:space="preserve"> </w:t>
      </w:r>
    </w:p>
  </w:footnote>
  <w:footnote w:id="493">
    <w:p w14:paraId="4979EC52" w14:textId="61A58A1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IACHR.</w:t>
      </w:r>
      <w:hyperlink r:id="rId323" w:history="1">
        <w:r w:rsidRPr="001944CF">
          <w:rPr>
            <w:rFonts w:asciiTheme="majorHAnsi" w:hAnsiTheme="majorHAnsi"/>
            <w:color w:val="808080" w:themeColor="background1" w:themeShade="80"/>
            <w:lang w:val="es-ES"/>
          </w:rPr>
          <w:t xml:space="preserve"> </w:t>
        </w:r>
        <w:r w:rsidRPr="001944CF">
          <w:rPr>
            <w:rStyle w:val="Hyperlink"/>
            <w:rFonts w:asciiTheme="majorHAnsi" w:hAnsiTheme="majorHAnsi"/>
            <w:color w:val="808080" w:themeColor="background1" w:themeShade="80"/>
          </w:rPr>
          <w:t>Annual Report 2015.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 Doc.  48/15. December 31, 2015. Para. 716</w:t>
      </w:r>
    </w:p>
  </w:footnote>
  <w:footnote w:id="494">
    <w:p w14:paraId="656BE34C" w14:textId="26B014FD" w:rsidR="001D7FF7" w:rsidRPr="001944CF" w:rsidRDefault="001D7FF7" w:rsidP="006F17D4">
      <w:pPr>
        <w:pStyle w:val="FootnoteText"/>
        <w:rPr>
          <w:rFonts w:asciiTheme="majorHAnsi" w:hAnsiTheme="majorHAnsi"/>
          <w:color w:val="808080" w:themeColor="background1" w:themeShade="80"/>
        </w:rPr>
      </w:pPr>
      <w:r w:rsidRPr="001944CF">
        <w:rPr>
          <w:rStyle w:val="Caracteresdenotaalpie"/>
          <w:rFonts w:asciiTheme="majorHAnsi" w:hAnsiTheme="majorHAnsi"/>
          <w:color w:val="808080" w:themeColor="background1" w:themeShade="80"/>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Office of the Special Rapporteur for Freedom of Expression. April 18, 2000.</w:t>
      </w:r>
      <w:hyperlink r:id="rId324"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Press Release 24/00. Preliminary evaluation of freedom of expression in Guatemala</w:t>
        </w:r>
      </w:hyperlink>
      <w:hyperlink r:id="rId325" w:history="1"/>
      <w:r w:rsidRPr="001944CF">
        <w:rPr>
          <w:rFonts w:asciiTheme="majorHAnsi" w:hAnsiTheme="majorHAnsi"/>
          <w:color w:val="808080" w:themeColor="background1" w:themeShade="80"/>
        </w:rPr>
        <w:t xml:space="preserve">; IACHR. </w:t>
      </w:r>
      <w:hyperlink r:id="rId326"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2001.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OEA/Ser./L/V/II.114. Doc. 5 rev. April 16, 2002, paras. 114-117; IACHR. </w:t>
      </w:r>
      <w:hyperlink r:id="rId327" w:history="1">
        <w:r w:rsidRPr="001944CF">
          <w:rPr>
            <w:rStyle w:val="Hyperlink"/>
            <w:rFonts w:asciiTheme="majorHAnsi" w:hAnsiTheme="majorHAnsi"/>
            <w:color w:val="808080" w:themeColor="background1" w:themeShade="80"/>
          </w:rPr>
          <w:t>Annual Report 2002.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OEA/Ser.L/V/II.117. Doc. 1 rev. 1. March 7, 2003, para 139 – 141; IACHR. March 29, 2003. </w:t>
      </w:r>
      <w:hyperlink r:id="rId328" w:history="1">
        <w:r w:rsidRPr="001944CF">
          <w:rPr>
            <w:rStyle w:val="Hyperlink"/>
            <w:rFonts w:asciiTheme="majorHAnsi" w:hAnsiTheme="majorHAnsi"/>
            <w:color w:val="808080" w:themeColor="background1" w:themeShade="80"/>
          </w:rPr>
          <w:t>Press release of the Inter-American Commission on Human Rights 08-03</w:t>
        </w:r>
      </w:hyperlink>
      <w:hyperlink r:id="rId329" w:history="1"/>
      <w:r w:rsidRPr="001944CF">
        <w:rPr>
          <w:rFonts w:asciiTheme="majorHAnsi" w:hAnsiTheme="majorHAnsi"/>
          <w:color w:val="808080" w:themeColor="background1" w:themeShade="80"/>
        </w:rPr>
        <w:t>;</w:t>
      </w:r>
      <w:r w:rsidRPr="001944CF">
        <w:rPr>
          <w:rFonts w:asciiTheme="majorHAnsi" w:eastAsia="Batang" w:hAnsiTheme="majorHAnsi"/>
          <w:color w:val="808080" w:themeColor="background1" w:themeShade="80"/>
        </w:rPr>
        <w:t xml:space="preserve"> </w:t>
      </w:r>
      <w:r w:rsidRPr="001944CF">
        <w:rPr>
          <w:rFonts w:asciiTheme="majorHAnsi" w:hAnsiTheme="majorHAnsi"/>
          <w:color w:val="808080" w:themeColor="background1" w:themeShade="80"/>
        </w:rPr>
        <w:t>IACHR.</w:t>
      </w:r>
      <w:hyperlink r:id="rId330" w:history="1">
        <w:r w:rsidRPr="001944CF">
          <w:rPr>
            <w:rFonts w:asciiTheme="majorHAnsi" w:hAnsiTheme="majorHAnsi"/>
            <w:color w:val="808080" w:themeColor="background1" w:themeShade="80"/>
          </w:rPr>
          <w:t xml:space="preserve"> </w:t>
        </w:r>
        <w:r w:rsidRPr="001944CF">
          <w:rPr>
            <w:rStyle w:val="Hyperlink"/>
            <w:rFonts w:asciiTheme="majorHAnsi" w:eastAsia="Times New Roman" w:hAnsiTheme="majorHAnsi"/>
            <w:bCs/>
            <w:color w:val="808080" w:themeColor="background1" w:themeShade="80"/>
          </w:rPr>
          <w:t>Justice and Social Inclusion: The Challenges of Democracy in Guatemala</w:t>
        </w:r>
      </w:hyperlink>
      <w:r w:rsidRPr="001944CF">
        <w:rPr>
          <w:rFonts w:asciiTheme="majorHAnsi" w:hAnsiTheme="majorHAnsi"/>
          <w:color w:val="808080" w:themeColor="background1" w:themeShade="80"/>
        </w:rPr>
        <w:t>. Chapter VII (The Situation of Freedom of Expression). OEA/Ser.L/V/II.118. Doc. 5 rev. 1. December 29, 2003, paras. 412 – 414; IACHR.</w:t>
      </w:r>
      <w:hyperlink r:id="rId331"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2005.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OEA/Ser.L/V/II.124. Doc. 7. February 27, 2006, para. 91; IACHR.</w:t>
      </w:r>
      <w:hyperlink r:id="rId332"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2007.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OEA/Ser.L/V/II.131 Doc. 34 rev. 1. March 8, 2008, para. 152; IACHR.</w:t>
      </w:r>
      <w:hyperlink r:id="rId333"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2008.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OEA/Ser.L/V/II.134 Doc. 5 rev. 1. February 25, 2009, paras. 133 - 134; IACHR.</w:t>
      </w:r>
      <w:hyperlink r:id="rId334"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2009.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 Doc. 51. December 30, 2009, paras. 237 - 238; IACHR.</w:t>
      </w:r>
      <w:hyperlink r:id="rId335"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2010.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 Doc. 5. March 7, 2011, paras. 281 – 285; IACHR. </w:t>
      </w:r>
      <w:hyperlink r:id="rId336"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2011.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 Doc. 69. December 30, 2011, paras. 281 – 283; IACHR.</w:t>
      </w:r>
      <w:hyperlink r:id="rId337"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2012.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OEA/Ser.L/V/II.147. Doc. 1. March 5, 2013. paras. 275 – 281; IACHR.</w:t>
      </w:r>
      <w:hyperlink r:id="rId338"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2013.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OEA/Ser.L/V/II.149. Doc. 50. December 31, 2013, para. 483; IACHR.</w:t>
      </w:r>
      <w:hyperlink r:id="rId339"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2014.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 Doc. 13. March 9, 2015, para. 577. </w:t>
      </w:r>
    </w:p>
  </w:footnote>
  <w:footnote w:id="495">
    <w:p w14:paraId="76FBCED2" w14:textId="4C21E5F5" w:rsidR="001D7FF7" w:rsidRPr="001944CF" w:rsidRDefault="001D7FF7" w:rsidP="006F17D4">
      <w:pPr>
        <w:pStyle w:val="FootnoteText"/>
        <w:rPr>
          <w:rFonts w:asciiTheme="majorHAnsi" w:hAnsiTheme="majorHAnsi"/>
          <w:color w:val="808080" w:themeColor="background1" w:themeShade="80"/>
        </w:rPr>
      </w:pPr>
      <w:r w:rsidRPr="001944CF">
        <w:rPr>
          <w:rStyle w:val="Caracteresdenotaalpie"/>
          <w:rFonts w:asciiTheme="majorHAnsi" w:hAnsiTheme="majorHAnsi"/>
          <w:color w:val="808080" w:themeColor="background1" w:themeShade="80"/>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340"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2013. Annual Report of the Office of the Special Rapporteur for Freedom of Expression</w:t>
        </w:r>
      </w:hyperlink>
      <w:r w:rsidRPr="001944CF">
        <w:rPr>
          <w:rFonts w:asciiTheme="majorHAnsi" w:hAnsiTheme="majorHAnsi"/>
          <w:color w:val="808080" w:themeColor="background1" w:themeShade="80"/>
        </w:rPr>
        <w:t xml:space="preserve">. Chapter II (Evaluation of the State of Freedom of Expression in the Hemisphere).. OEA/Ser.L/V/II.149. Doc. 50. December 31, 2013, para. 129; IACHR. </w:t>
      </w:r>
      <w:hyperlink r:id="rId341"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2011. Annual Report of the Office of the Special Rapporteur for Freedom of Expression</w:t>
        </w:r>
      </w:hyperlink>
      <w:r w:rsidRPr="001944CF">
        <w:rPr>
          <w:rFonts w:asciiTheme="majorHAnsi" w:hAnsiTheme="majorHAnsi"/>
          <w:color w:val="808080" w:themeColor="background1" w:themeShade="80"/>
        </w:rPr>
        <w:t>.  Chapter II (Evaluation of the State of Freedom of Expression in the Hemisphere). OEA/Ser.L/V/II. Doc. 69. December 30, 2011, para. 467.</w:t>
      </w:r>
    </w:p>
  </w:footnote>
  <w:footnote w:id="496">
    <w:p w14:paraId="353A43ED" w14:textId="4B7FBCBF"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w:t>
      </w:r>
      <w:hyperlink r:id="rId342"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2009. Annual Report of the Office of the Special Rapporteur for Freedom of Expression</w:t>
        </w:r>
      </w:hyperlink>
      <w:r w:rsidRPr="001944CF">
        <w:rPr>
          <w:rFonts w:asciiTheme="majorHAnsi" w:hAnsiTheme="majorHAnsi"/>
          <w:color w:val="808080" w:themeColor="background1" w:themeShade="80"/>
        </w:rPr>
        <w:t xml:space="preserve">. Chapter VI (Freedom of Expression and Broadcasting). OEA/Ser.L/V/II. Doc. 51. </w:t>
      </w:r>
      <w:r w:rsidRPr="001944CF">
        <w:rPr>
          <w:rFonts w:asciiTheme="majorHAnsi" w:hAnsiTheme="majorHAnsi"/>
          <w:color w:val="808080" w:themeColor="background1" w:themeShade="80"/>
          <w:lang w:val="es-MX"/>
        </w:rPr>
        <w:t>December 30, 2009, p</w:t>
      </w:r>
      <w:r w:rsidRPr="001944CF">
        <w:rPr>
          <w:rFonts w:asciiTheme="majorHAnsi" w:hAnsiTheme="majorHAnsi"/>
          <w:color w:val="808080" w:themeColor="background1" w:themeShade="80"/>
          <w:lang w:val="es-ES"/>
        </w:rPr>
        <w:t>ara. 11.</w:t>
      </w:r>
    </w:p>
  </w:footnote>
  <w:footnote w:id="497">
    <w:p w14:paraId="174CBBD5" w14:textId="7E78D5EE"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Congreso de la República de Guatemala. </w:t>
      </w:r>
      <w:hyperlink r:id="rId343" w:history="1">
        <w:r w:rsidRPr="001944CF">
          <w:rPr>
            <w:rStyle w:val="Hyperlink"/>
            <w:rFonts w:asciiTheme="majorHAnsi" w:hAnsiTheme="majorHAnsi"/>
            <w:color w:val="808080" w:themeColor="background1" w:themeShade="80"/>
            <w:lang w:val="es-MX"/>
          </w:rPr>
          <w:t>Decreto 34-2012</w:t>
        </w:r>
      </w:hyperlink>
      <w:r w:rsidRPr="001944CF">
        <w:rPr>
          <w:rFonts w:asciiTheme="majorHAnsi" w:hAnsiTheme="majorHAnsi"/>
          <w:color w:val="808080" w:themeColor="background1" w:themeShade="80"/>
          <w:lang w:val="es-MX"/>
        </w:rPr>
        <w:t xml:space="preserve">. November 20, 2012. </w:t>
      </w:r>
    </w:p>
  </w:footnote>
  <w:footnote w:id="498">
    <w:p w14:paraId="75CEA0F5" w14:textId="7CB416E6"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5725AE">
        <w:rPr>
          <w:rFonts w:asciiTheme="majorHAnsi" w:hAnsiTheme="majorHAnsi"/>
          <w:color w:val="808080" w:themeColor="background1" w:themeShade="80"/>
          <w:lang w:val="es-ES"/>
        </w:rPr>
        <w:t xml:space="preserve"> </w:t>
      </w:r>
      <w:r w:rsidRPr="005725AE">
        <w:rPr>
          <w:rFonts w:asciiTheme="majorHAnsi" w:hAnsiTheme="majorHAnsi"/>
          <w:color w:val="808080" w:themeColor="background1" w:themeShade="80"/>
          <w:lang w:val="es-ES"/>
        </w:rPr>
        <w:tab/>
        <w:t xml:space="preserve">International Commission against Impunity in Guatemala (CICIG). </w:t>
      </w:r>
      <w:hyperlink r:id="rId344" w:history="1">
        <w:r w:rsidRPr="001944CF">
          <w:rPr>
            <w:rStyle w:val="Hyperlink"/>
            <w:rFonts w:asciiTheme="majorHAnsi" w:hAnsiTheme="majorHAnsi"/>
            <w:color w:val="808080" w:themeColor="background1" w:themeShade="80"/>
            <w:lang w:val="es-MX"/>
          </w:rPr>
          <w:t>Financiamiento de la política en Guatemala</w:t>
        </w:r>
      </w:hyperlink>
      <w:r w:rsidRPr="001944CF">
        <w:rPr>
          <w:rFonts w:asciiTheme="majorHAnsi" w:hAnsiTheme="majorHAnsi"/>
          <w:color w:val="808080" w:themeColor="background1" w:themeShade="80"/>
          <w:lang w:val="es-MX"/>
        </w:rPr>
        <w:t xml:space="preserve">. July 16, 2015. </w:t>
      </w:r>
    </w:p>
  </w:footnote>
  <w:footnote w:id="499">
    <w:p w14:paraId="1301DB41" w14:textId="23DF771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República de Guatemala. Superintendencia de Telecomunicaciones de Guatemala (SIT). OFI-SIT-DSI-1010-2017. </w:t>
      </w:r>
      <w:r w:rsidRPr="001944CF">
        <w:rPr>
          <w:rFonts w:asciiTheme="majorHAnsi" w:hAnsiTheme="majorHAnsi"/>
          <w:color w:val="808080" w:themeColor="background1" w:themeShade="80"/>
        </w:rPr>
        <w:t>August 17, 2017. Available at: Archive of the Office of the Special Rapporteur for Freedom of Expression.</w:t>
      </w:r>
    </w:p>
  </w:footnote>
  <w:footnote w:id="500">
    <w:p w14:paraId="49451704" w14:textId="4EE922E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Congreso de la República de Guatemala. </w:t>
      </w:r>
      <w:hyperlink r:id="rId345" w:history="1">
        <w:r w:rsidRPr="001944CF">
          <w:rPr>
            <w:rStyle w:val="Hyperlink"/>
            <w:rFonts w:asciiTheme="majorHAnsi" w:hAnsiTheme="majorHAnsi"/>
            <w:color w:val="808080" w:themeColor="background1" w:themeShade="80"/>
          </w:rPr>
          <w:t>Ley General de Telecomunicaciones</w:t>
        </w:r>
      </w:hyperlink>
      <w:r w:rsidRPr="001944CF">
        <w:rPr>
          <w:rFonts w:asciiTheme="majorHAnsi" w:hAnsiTheme="majorHAnsi"/>
          <w:color w:val="808080" w:themeColor="background1" w:themeShade="80"/>
        </w:rPr>
        <w:t>. Decree No. 94-96 reformed according to decree number 115-97 of the Congress of the Republic. Article 62. November 14, 1996.</w:t>
      </w:r>
    </w:p>
  </w:footnote>
  <w:footnote w:id="501">
    <w:p w14:paraId="7A90DC73" w14:textId="60EC8E1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346"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2009. Annual Report of the Office of the Special Rapporteur for Freedom of Expression</w:t>
        </w:r>
      </w:hyperlink>
      <w:r w:rsidRPr="001944CF">
        <w:rPr>
          <w:rFonts w:asciiTheme="majorHAnsi" w:hAnsiTheme="majorHAnsi"/>
          <w:color w:val="808080" w:themeColor="background1" w:themeShade="80"/>
        </w:rPr>
        <w:t>. Chapter VI (Freedom of Expression and Broadcasting) OEA/Ser.L/V/II. Doc. 51. December 30, 2009. para. 65.</w:t>
      </w:r>
    </w:p>
  </w:footnote>
  <w:footnote w:id="502">
    <w:p w14:paraId="22662C7A" w14:textId="6E1425E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República de Guatemala. Superintendencia de Telecomunicaciones de Guatemala (SIT). OFI-SIT-DSI-1010-2017. August 17, 2017. Available at: Archive of the Office of the Special Rapporteur for Freedom of Expression. </w:t>
      </w:r>
    </w:p>
  </w:footnote>
  <w:footnote w:id="503">
    <w:p w14:paraId="44C5122C" w14:textId="15FFF4E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H. R. Compulsory Membership in an Association Prescribed by Law for the Practice of Journalism (Arts. 13 and 29, American Convention On Human Rights). Advisory Opinion OC-5/85 of November 13, 1985. Serie A No. 5. Para. 33-34; IACHR. </w:t>
      </w:r>
      <w:hyperlink r:id="rId347"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Annual Report 2009. Annual Report of the Office of the Special Rapporteur for Freedom of Expression</w:t>
        </w:r>
      </w:hyperlink>
      <w:r w:rsidRPr="001944CF">
        <w:rPr>
          <w:rFonts w:asciiTheme="majorHAnsi" w:hAnsiTheme="majorHAnsi"/>
          <w:color w:val="808080" w:themeColor="background1" w:themeShade="80"/>
        </w:rPr>
        <w:t>. Chapter VI (Freedom of Expression and Broadcasting). OEA/Ser.L/V/II. Doc. 51. December 30, 2009, para. 117.</w:t>
      </w:r>
    </w:p>
  </w:footnote>
  <w:footnote w:id="504">
    <w:p w14:paraId="5756F142" w14:textId="1763FD4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w:t>
      </w:r>
      <w:hyperlink r:id="rId348" w:history="1">
        <w:r w:rsidRPr="001944CF">
          <w:rPr>
            <w:rFonts w:asciiTheme="majorHAnsi" w:hAnsiTheme="majorHAnsi"/>
            <w:color w:val="808080" w:themeColor="background1" w:themeShade="80"/>
          </w:rPr>
          <w:t xml:space="preserve"> </w:t>
        </w:r>
        <w:r w:rsidRPr="001944CF">
          <w:rPr>
            <w:rStyle w:val="Hyperlink"/>
            <w:rFonts w:asciiTheme="majorHAnsi" w:eastAsia="Times New Roman" w:hAnsiTheme="majorHAnsi"/>
            <w:bCs/>
            <w:color w:val="808080" w:themeColor="background1" w:themeShade="80"/>
          </w:rPr>
          <w:t>Justice and Social Inclusion: The Challenges of Democracy in Guatemala</w:t>
        </w:r>
      </w:hyperlink>
      <w:r w:rsidRPr="001944CF">
        <w:rPr>
          <w:rFonts w:asciiTheme="majorHAnsi" w:hAnsiTheme="majorHAnsi"/>
          <w:color w:val="808080" w:themeColor="background1" w:themeShade="80"/>
        </w:rPr>
        <w:t>. Chapter VII (The Situation of Freedom of Expression), para. 419.</w:t>
      </w:r>
    </w:p>
  </w:footnote>
  <w:footnote w:id="505">
    <w:p w14:paraId="3D72518F" w14:textId="71F8EDE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May 4, 2015.</w:t>
      </w:r>
      <w:hyperlink r:id="rId349" w:history="1">
        <w:r w:rsidRPr="001944CF">
          <w:rPr>
            <w:rFonts w:asciiTheme="majorHAnsi" w:hAnsiTheme="majorHAnsi"/>
            <w:color w:val="808080" w:themeColor="background1" w:themeShade="80"/>
          </w:rPr>
          <w:t xml:space="preserve"> </w:t>
        </w:r>
        <w:r w:rsidRPr="001944CF">
          <w:rPr>
            <w:rStyle w:val="Hyperlink"/>
            <w:rFonts w:asciiTheme="majorHAnsi" w:hAnsiTheme="majorHAnsi"/>
            <w:i/>
            <w:color w:val="808080" w:themeColor="background1" w:themeShade="80"/>
          </w:rPr>
          <w:t>Joint declaration on freedom of expression and responses to conflict situations</w:t>
        </w:r>
      </w:hyperlink>
      <w:r w:rsidRPr="001944CF">
        <w:rPr>
          <w:rStyle w:val="Hyperlink"/>
          <w:rFonts w:asciiTheme="majorHAnsi" w:hAnsiTheme="majorHAnsi"/>
          <w:iCs/>
          <w:color w:val="808080" w:themeColor="background1" w:themeShade="80"/>
        </w:rPr>
        <w:t>.</w:t>
      </w:r>
    </w:p>
  </w:footnote>
  <w:footnote w:id="506">
    <w:p w14:paraId="65AFB9F5" w14:textId="75CA9D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350" w:history="1">
        <w:r w:rsidRPr="001944CF">
          <w:rPr>
            <w:rStyle w:val="Hyperlink"/>
            <w:rFonts w:asciiTheme="majorHAnsi" w:hAnsiTheme="majorHAnsi"/>
            <w:color w:val="808080" w:themeColor="background1" w:themeShade="80"/>
          </w:rPr>
          <w:t>Annual Report 2009. Annual Report of the Office of the Special Rapporteur for Freedom of Expression</w:t>
        </w:r>
      </w:hyperlink>
      <w:r w:rsidRPr="001944CF">
        <w:rPr>
          <w:rFonts w:asciiTheme="majorHAnsi" w:hAnsiTheme="majorHAnsi"/>
          <w:color w:val="808080" w:themeColor="background1" w:themeShade="80"/>
        </w:rPr>
        <w:t>. Chapter VI (Freedom of Expression and Broadcasting). OEA/Ser.L/V/II. Doc. 51. December 30, 2009, para. 80.</w:t>
      </w:r>
    </w:p>
  </w:footnote>
  <w:footnote w:id="507">
    <w:p w14:paraId="217DD222" w14:textId="78F958CA"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against Impunity in Guatemala (CICIG). June 2, 2016. </w:t>
      </w:r>
      <w:hyperlink r:id="rId351" w:history="1">
        <w:r w:rsidRPr="001944CF">
          <w:rPr>
            <w:rStyle w:val="Hyperlink"/>
            <w:rFonts w:asciiTheme="majorHAnsi" w:hAnsiTheme="majorHAnsi"/>
            <w:i/>
            <w:iCs/>
            <w:color w:val="808080" w:themeColor="background1" w:themeShade="80"/>
            <w:lang w:val="es-AR"/>
          </w:rPr>
          <w:t>Comunicado de prensa 047. Caso Cooptación del Estado de Guatemala</w:t>
        </w:r>
      </w:hyperlink>
      <w:r w:rsidRPr="001944CF">
        <w:rPr>
          <w:rFonts w:asciiTheme="majorHAnsi" w:hAnsiTheme="majorHAnsi"/>
          <w:color w:val="808080" w:themeColor="background1" w:themeShade="80"/>
          <w:lang w:val="es-AR"/>
        </w:rPr>
        <w:t xml:space="preserve">; elPeriódico. July 25, 2016. </w:t>
      </w:r>
      <w:hyperlink r:id="rId352" w:history="1">
        <w:r w:rsidRPr="001944CF">
          <w:rPr>
            <w:rStyle w:val="Hyperlink"/>
            <w:rFonts w:asciiTheme="majorHAnsi" w:hAnsiTheme="majorHAnsi"/>
            <w:i/>
            <w:iCs/>
            <w:color w:val="808080" w:themeColor="background1" w:themeShade="80"/>
            <w:lang w:val="es-AR"/>
          </w:rPr>
          <w:t>Angel González: el encantador de presidente está molesto</w:t>
        </w:r>
      </w:hyperlink>
      <w:r w:rsidRPr="001944CF">
        <w:rPr>
          <w:rFonts w:asciiTheme="majorHAnsi" w:hAnsiTheme="majorHAnsi"/>
          <w:color w:val="808080" w:themeColor="background1" w:themeShade="80"/>
          <w:lang w:val="es-AR"/>
        </w:rPr>
        <w:t xml:space="preserve">; Observacom. July 28, 2016. </w:t>
      </w:r>
      <w:hyperlink r:id="rId353" w:history="1">
        <w:r w:rsidRPr="001944CF">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1944CF">
        <w:rPr>
          <w:rFonts w:asciiTheme="majorHAnsi" w:hAnsiTheme="majorHAnsi"/>
          <w:color w:val="808080" w:themeColor="background1" w:themeShade="80"/>
          <w:lang w:val="es-AR"/>
        </w:rPr>
        <w:t xml:space="preserve">; Proceso. June 6, 2016. </w:t>
      </w:r>
      <w:hyperlink r:id="rId354" w:history="1">
        <w:r w:rsidRPr="001944CF">
          <w:rPr>
            <w:rStyle w:val="Hyperlink"/>
            <w:rFonts w:asciiTheme="majorHAnsi" w:hAnsiTheme="majorHAnsi"/>
            <w:i/>
            <w:iCs/>
            <w:color w:val="808080" w:themeColor="background1" w:themeShade="80"/>
            <w:lang w:val="es-AR"/>
          </w:rPr>
          <w:t>Magnate mexicano de medios es vinculado con red de corrupción en Guatemala</w:t>
        </w:r>
      </w:hyperlink>
      <w:r w:rsidRPr="001944CF">
        <w:rPr>
          <w:rFonts w:asciiTheme="majorHAnsi" w:hAnsiTheme="majorHAnsi"/>
          <w:color w:val="808080" w:themeColor="background1" w:themeShade="80"/>
          <w:lang w:val="es-AR"/>
        </w:rPr>
        <w:t xml:space="preserve">; Observacom. June 14, 2016. </w:t>
      </w:r>
      <w:hyperlink r:id="rId355" w:history="1">
        <w:r w:rsidRPr="001944CF">
          <w:rPr>
            <w:rStyle w:val="Hyperlink"/>
            <w:rFonts w:asciiTheme="majorHAnsi" w:hAnsiTheme="majorHAnsi"/>
            <w:i/>
            <w:iCs/>
            <w:color w:val="808080" w:themeColor="background1" w:themeShade="80"/>
            <w:lang w:val="es-AR"/>
          </w:rPr>
          <w:t>Ángel González recibió US$ 27 millones de publicidad oficial tras financiar ilícitamente campaña presidencial de Otto Pérez Molina en Guatemala</w:t>
        </w:r>
      </w:hyperlink>
      <w:r w:rsidRPr="001944CF">
        <w:rPr>
          <w:rFonts w:asciiTheme="majorHAnsi" w:hAnsiTheme="majorHAnsi"/>
          <w:color w:val="808080" w:themeColor="background1" w:themeShade="80"/>
          <w:lang w:val="es-AR"/>
        </w:rPr>
        <w:t>.   </w:t>
      </w:r>
    </w:p>
  </w:footnote>
  <w:footnote w:id="508">
    <w:p w14:paraId="72F32BEE" w14:textId="10D02AB5"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against Impunity in Guatemala (CICIG). </w:t>
      </w:r>
      <w:r w:rsidRPr="001944CF">
        <w:rPr>
          <w:rFonts w:asciiTheme="majorHAnsi" w:hAnsiTheme="majorHAnsi"/>
          <w:color w:val="808080" w:themeColor="background1" w:themeShade="80"/>
          <w:lang w:val="es-AR"/>
        </w:rPr>
        <w:t xml:space="preserve">June 2, 2016. </w:t>
      </w:r>
      <w:hyperlink r:id="rId356" w:history="1">
        <w:r w:rsidRPr="001944CF">
          <w:rPr>
            <w:rStyle w:val="Hyperlink"/>
            <w:rFonts w:asciiTheme="majorHAnsi" w:hAnsiTheme="majorHAnsi"/>
            <w:i/>
            <w:iCs/>
            <w:color w:val="808080" w:themeColor="background1" w:themeShade="80"/>
            <w:lang w:val="es-AR"/>
          </w:rPr>
          <w:t>Comunicado de prensa 047. Caso Cooptación del Estado de Guatemala</w:t>
        </w:r>
      </w:hyperlink>
      <w:r w:rsidRPr="001944CF">
        <w:rPr>
          <w:rFonts w:asciiTheme="majorHAnsi" w:hAnsiTheme="majorHAnsi"/>
          <w:color w:val="808080" w:themeColor="background1" w:themeShade="80"/>
          <w:lang w:val="es-AR"/>
        </w:rPr>
        <w:t xml:space="preserve">; elPeriódico. July 25, 2016. </w:t>
      </w:r>
      <w:hyperlink r:id="rId357" w:history="1">
        <w:r w:rsidRPr="001944CF">
          <w:rPr>
            <w:rStyle w:val="Hyperlink"/>
            <w:rFonts w:asciiTheme="majorHAnsi" w:hAnsiTheme="majorHAnsi"/>
            <w:i/>
            <w:iCs/>
            <w:color w:val="808080" w:themeColor="background1" w:themeShade="80"/>
            <w:lang w:val="es-AR"/>
          </w:rPr>
          <w:t>Angel González: el encantador de presidente está molesto</w:t>
        </w:r>
      </w:hyperlink>
      <w:r w:rsidRPr="001944CF">
        <w:rPr>
          <w:rFonts w:asciiTheme="majorHAnsi" w:hAnsiTheme="majorHAnsi"/>
          <w:color w:val="808080" w:themeColor="background1" w:themeShade="80"/>
          <w:lang w:val="es-AR"/>
        </w:rPr>
        <w:t xml:space="preserve">; Observacom. July 28, 2016. </w:t>
      </w:r>
      <w:hyperlink r:id="rId358" w:history="1">
        <w:r w:rsidRPr="001944CF">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1944CF">
        <w:rPr>
          <w:rFonts w:asciiTheme="majorHAnsi" w:hAnsiTheme="majorHAnsi"/>
          <w:color w:val="808080" w:themeColor="background1" w:themeShade="80"/>
          <w:lang w:val="es-AR"/>
        </w:rPr>
        <w:t xml:space="preserve">; Proceso. June 6, 2016. </w:t>
      </w:r>
      <w:hyperlink r:id="rId359" w:history="1">
        <w:r w:rsidRPr="001944CF">
          <w:rPr>
            <w:rStyle w:val="Hyperlink"/>
            <w:rFonts w:asciiTheme="majorHAnsi" w:hAnsiTheme="majorHAnsi"/>
            <w:i/>
            <w:iCs/>
            <w:color w:val="808080" w:themeColor="background1" w:themeShade="80"/>
            <w:lang w:val="es-AR"/>
          </w:rPr>
          <w:t>Magnate mexicano de medios es vinculado con red de corrupción en Guatemala</w:t>
        </w:r>
      </w:hyperlink>
      <w:r w:rsidRPr="001944CF">
        <w:rPr>
          <w:rFonts w:asciiTheme="majorHAnsi" w:hAnsiTheme="majorHAnsi"/>
          <w:color w:val="808080" w:themeColor="background1" w:themeShade="80"/>
          <w:lang w:val="es-AR"/>
        </w:rPr>
        <w:t xml:space="preserve">; Observacom. June 14, 2016. </w:t>
      </w:r>
      <w:hyperlink r:id="rId360" w:history="1">
        <w:r w:rsidRPr="001944CF">
          <w:rPr>
            <w:rStyle w:val="Hyperlink"/>
            <w:rFonts w:asciiTheme="majorHAnsi" w:hAnsiTheme="majorHAnsi"/>
            <w:i/>
            <w:iCs/>
            <w:color w:val="808080" w:themeColor="background1" w:themeShade="80"/>
            <w:lang w:val="es-AR"/>
          </w:rPr>
          <w:t>Ángel González recibió US$ 27 millones de publicidad oficial tras financiar ilícitamente campaña presidencial de Otto Pérez Molina en Guatemala</w:t>
        </w:r>
      </w:hyperlink>
      <w:r w:rsidRPr="001944CF">
        <w:rPr>
          <w:rFonts w:asciiTheme="majorHAnsi" w:hAnsiTheme="majorHAnsi"/>
          <w:color w:val="808080" w:themeColor="background1" w:themeShade="80"/>
          <w:lang w:val="es-AR"/>
        </w:rPr>
        <w:t>.   </w:t>
      </w:r>
    </w:p>
  </w:footnote>
  <w:footnote w:id="509">
    <w:p w14:paraId="75E93189" w14:textId="1D0315D5"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International Commission against Impunity in Guatemala (CICIG). </w:t>
      </w:r>
      <w:r w:rsidRPr="001944CF">
        <w:rPr>
          <w:rFonts w:asciiTheme="majorHAnsi" w:hAnsiTheme="majorHAnsi"/>
          <w:color w:val="808080" w:themeColor="background1" w:themeShade="80"/>
          <w:lang w:val="es-AR"/>
        </w:rPr>
        <w:t xml:space="preserve">June 2, 2016. </w:t>
      </w:r>
      <w:hyperlink r:id="rId361" w:history="1">
        <w:r w:rsidRPr="001944CF">
          <w:rPr>
            <w:rStyle w:val="Hyperlink"/>
            <w:rFonts w:asciiTheme="majorHAnsi" w:hAnsiTheme="majorHAnsi"/>
            <w:i/>
            <w:iCs/>
            <w:color w:val="808080" w:themeColor="background1" w:themeShade="80"/>
            <w:lang w:val="es-AR"/>
          </w:rPr>
          <w:t>Comunicado de prensa 047. Caso Cooptación del Estado de Guatemala</w:t>
        </w:r>
      </w:hyperlink>
      <w:r w:rsidRPr="001944CF">
        <w:rPr>
          <w:rFonts w:asciiTheme="majorHAnsi" w:hAnsiTheme="majorHAnsi"/>
          <w:color w:val="808080" w:themeColor="background1" w:themeShade="80"/>
          <w:lang w:val="es-AR"/>
        </w:rPr>
        <w:t xml:space="preserve">; Prensa Libre. June 2, 2016. </w:t>
      </w:r>
      <w:hyperlink r:id="rId362" w:history="1">
        <w:r w:rsidRPr="001944CF">
          <w:rPr>
            <w:rStyle w:val="Hyperlink"/>
            <w:rFonts w:asciiTheme="majorHAnsi" w:hAnsiTheme="majorHAnsi"/>
            <w:i/>
            <w:iCs/>
            <w:color w:val="808080" w:themeColor="background1" w:themeShade="80"/>
            <w:lang w:val="es-AR"/>
          </w:rPr>
          <w:t>Esposa de magnate de la TV y banqueros, con orden de captura</w:t>
        </w:r>
      </w:hyperlink>
      <w:r w:rsidRPr="001944CF">
        <w:rPr>
          <w:rFonts w:asciiTheme="majorHAnsi" w:hAnsiTheme="majorHAnsi"/>
          <w:color w:val="808080" w:themeColor="background1" w:themeShade="80"/>
          <w:lang w:val="es-AR"/>
        </w:rPr>
        <w:t xml:space="preserve">; Observacom. July 28, 2016. </w:t>
      </w:r>
      <w:hyperlink r:id="rId363" w:history="1">
        <w:r w:rsidRPr="001944CF">
          <w:rPr>
            <w:rStyle w:val="Hyperlink"/>
            <w:rFonts w:asciiTheme="majorHAnsi" w:hAnsiTheme="majorHAnsi"/>
            <w:i/>
            <w:iCs/>
            <w:color w:val="808080" w:themeColor="background1" w:themeShade="80"/>
            <w:lang w:val="es-AR"/>
          </w:rPr>
          <w:t>“El Fantasma” González rodeado por la Justicia: pedido de captura internacional para su esposa por caso “Cooptación del Estado” en Guatemala</w:t>
        </w:r>
      </w:hyperlink>
      <w:r w:rsidRPr="001944CF">
        <w:rPr>
          <w:rFonts w:asciiTheme="majorHAnsi" w:hAnsiTheme="majorHAnsi"/>
          <w:i/>
          <w:iCs/>
          <w:color w:val="808080" w:themeColor="background1" w:themeShade="80"/>
          <w:lang w:val="es-AR"/>
        </w:rPr>
        <w:t xml:space="preserve">; </w:t>
      </w:r>
      <w:r w:rsidRPr="001944CF">
        <w:rPr>
          <w:rFonts w:asciiTheme="majorHAnsi" w:hAnsiTheme="majorHAnsi"/>
          <w:iCs/>
          <w:color w:val="808080" w:themeColor="background1" w:themeShade="80"/>
          <w:lang w:val="es-AR"/>
        </w:rPr>
        <w:t xml:space="preserve">Diario Extra. June 4, 2016. </w:t>
      </w:r>
      <w:hyperlink r:id="rId364" w:history="1">
        <w:r w:rsidRPr="001944CF">
          <w:rPr>
            <w:rStyle w:val="Hyperlink"/>
            <w:rFonts w:asciiTheme="majorHAnsi" w:hAnsiTheme="majorHAnsi"/>
            <w:i/>
            <w:iCs/>
            <w:color w:val="808080" w:themeColor="background1" w:themeShade="80"/>
            <w:lang w:val="es-AR"/>
          </w:rPr>
          <w:t>Orden de captura por Interpol a esposa de dueño de Repretel</w:t>
        </w:r>
      </w:hyperlink>
      <w:r w:rsidRPr="001944CF">
        <w:rPr>
          <w:rFonts w:asciiTheme="majorHAnsi" w:hAnsiTheme="majorHAnsi"/>
          <w:iCs/>
          <w:color w:val="808080" w:themeColor="background1" w:themeShade="80"/>
          <w:lang w:val="es-AR"/>
        </w:rPr>
        <w:t xml:space="preserve">; Estrategia y Negocios. September 8, 2016. </w:t>
      </w:r>
      <w:hyperlink r:id="rId365" w:history="1">
        <w:r w:rsidRPr="001944CF">
          <w:rPr>
            <w:rStyle w:val="Hyperlink"/>
            <w:rFonts w:asciiTheme="majorHAnsi" w:hAnsiTheme="majorHAnsi"/>
            <w:i/>
            <w:iCs/>
            <w:color w:val="808080" w:themeColor="background1" w:themeShade="80"/>
            <w:lang w:val="es-AR"/>
          </w:rPr>
          <w:t>Guatemala: Interpol emite alerta roja contra la esposa del magnate televisivo Ángel González</w:t>
        </w:r>
      </w:hyperlink>
      <w:r w:rsidRPr="001944CF">
        <w:rPr>
          <w:rFonts w:asciiTheme="majorHAnsi" w:hAnsiTheme="majorHAnsi"/>
          <w:iCs/>
          <w:color w:val="808080" w:themeColor="background1" w:themeShade="80"/>
          <w:lang w:val="es-AR"/>
        </w:rPr>
        <w:t xml:space="preserve">; Prensa Libre. September 9, 2016. </w:t>
      </w:r>
      <w:hyperlink r:id="rId366" w:history="1">
        <w:r w:rsidRPr="001944CF">
          <w:rPr>
            <w:rStyle w:val="Hyperlink"/>
            <w:rFonts w:asciiTheme="majorHAnsi" w:hAnsiTheme="majorHAnsi"/>
            <w:i/>
            <w:iCs/>
            <w:color w:val="808080" w:themeColor="background1" w:themeShade="80"/>
            <w:lang w:val="es-AR"/>
          </w:rPr>
          <w:t>Interpol publica orden de captura de Alba Lorenzana</w:t>
        </w:r>
      </w:hyperlink>
      <w:r w:rsidRPr="001944CF">
        <w:rPr>
          <w:rFonts w:asciiTheme="majorHAnsi" w:hAnsiTheme="majorHAnsi"/>
          <w:iCs/>
          <w:color w:val="808080" w:themeColor="background1" w:themeShade="80"/>
          <w:lang w:val="es-AR"/>
        </w:rPr>
        <w:t xml:space="preserve">.   </w:t>
      </w:r>
    </w:p>
  </w:footnote>
  <w:footnote w:id="510">
    <w:p w14:paraId="0E1E3A27" w14:textId="1A69491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elPeriódico. February 8, 2017. </w:t>
      </w:r>
      <w:hyperlink r:id="rId367" w:history="1">
        <w:r w:rsidRPr="001944CF">
          <w:rPr>
            <w:rStyle w:val="Hyperlink"/>
            <w:rFonts w:asciiTheme="majorHAnsi" w:hAnsiTheme="majorHAnsi"/>
            <w:i/>
            <w:iCs/>
            <w:color w:val="808080" w:themeColor="background1" w:themeShade="80"/>
            <w:lang w:val="es-ES"/>
          </w:rPr>
          <w:t>Denunciarán a la SIT por falta de información sobre usufructos</w:t>
        </w:r>
      </w:hyperlink>
      <w:r w:rsidRPr="001944CF">
        <w:rPr>
          <w:rFonts w:asciiTheme="majorHAnsi" w:hAnsiTheme="majorHAnsi"/>
          <w:color w:val="808080" w:themeColor="background1" w:themeShade="80"/>
          <w:lang w:val="es-MX"/>
        </w:rPr>
        <w:t xml:space="preserve">; La Hora. March 30, 2017. </w:t>
      </w:r>
      <w:hyperlink r:id="rId368" w:history="1">
        <w:r w:rsidRPr="001944CF">
          <w:rPr>
            <w:rStyle w:val="Hyperlink"/>
            <w:rFonts w:asciiTheme="majorHAnsi" w:hAnsiTheme="majorHAnsi"/>
            <w:i/>
            <w:iCs/>
            <w:color w:val="808080" w:themeColor="background1" w:themeShade="80"/>
            <w:lang w:val="es-ES"/>
          </w:rPr>
          <w:t>PGN denunció a la SIT por contratos de la TV abierta</w:t>
        </w:r>
      </w:hyperlink>
      <w:r w:rsidRPr="001944CF">
        <w:rPr>
          <w:rFonts w:asciiTheme="majorHAnsi" w:hAnsiTheme="majorHAnsi"/>
          <w:color w:val="808080" w:themeColor="background1" w:themeShade="80"/>
          <w:lang w:val="es-MX"/>
        </w:rPr>
        <w:t xml:space="preserve">; elPeriódico. March 30, 2017. </w:t>
      </w:r>
      <w:hyperlink r:id="rId369" w:history="1">
        <w:r w:rsidRPr="001944CF">
          <w:rPr>
            <w:rStyle w:val="Hyperlink"/>
            <w:rFonts w:asciiTheme="majorHAnsi" w:hAnsiTheme="majorHAnsi"/>
            <w:i/>
            <w:iCs/>
            <w:color w:val="808080" w:themeColor="background1" w:themeShade="80"/>
            <w:lang w:val="es-ES"/>
          </w:rPr>
          <w:t>PGN denuncia en MP a Superintendencia de Telecomunicaciones por negarle información de usufructos para TV abierta</w:t>
        </w:r>
      </w:hyperlink>
      <w:r w:rsidRPr="001944CF">
        <w:rPr>
          <w:rFonts w:asciiTheme="majorHAnsi" w:hAnsiTheme="majorHAnsi"/>
          <w:color w:val="808080" w:themeColor="background1" w:themeShade="80"/>
          <w:lang w:val="es-MX"/>
        </w:rPr>
        <w:t xml:space="preserve">; Guatevisión. March 30, 2017. </w:t>
      </w:r>
      <w:hyperlink r:id="rId370" w:history="1">
        <w:r w:rsidRPr="001944CF">
          <w:rPr>
            <w:rStyle w:val="Hyperlink"/>
            <w:rFonts w:asciiTheme="majorHAnsi" w:hAnsiTheme="majorHAnsi"/>
            <w:i/>
            <w:iCs/>
            <w:color w:val="808080" w:themeColor="background1" w:themeShade="80"/>
            <w:lang w:val="es-ES"/>
          </w:rPr>
          <w:t>PGN denuncia a la SIT por proteger a monopolio de la TV</w:t>
        </w:r>
      </w:hyperlink>
      <w:r w:rsidRPr="001944CF">
        <w:rPr>
          <w:rFonts w:asciiTheme="majorHAnsi" w:hAnsiTheme="majorHAnsi"/>
          <w:color w:val="808080" w:themeColor="background1" w:themeShade="80"/>
          <w:lang w:val="es-MX"/>
        </w:rPr>
        <w:t>.   </w:t>
      </w:r>
    </w:p>
  </w:footnote>
  <w:footnote w:id="511">
    <w:p w14:paraId="38A99481" w14:textId="54251653"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Agencia EFE. March 7, 2017. </w:t>
      </w:r>
      <w:hyperlink r:id="rId371" w:history="1">
        <w:r w:rsidRPr="001944CF">
          <w:rPr>
            <w:rStyle w:val="Hyperlink"/>
            <w:rFonts w:asciiTheme="majorHAnsi" w:hAnsiTheme="majorHAnsi"/>
            <w:i/>
            <w:iCs/>
            <w:color w:val="808080" w:themeColor="background1" w:themeShade="80"/>
            <w:lang w:val="es-ES"/>
          </w:rPr>
          <w:t>La Fiscalía de Guatemala presenta una acusación por el caso "Cooptación del Estado"</w:t>
        </w:r>
      </w:hyperlink>
      <w:r w:rsidRPr="001944CF">
        <w:rPr>
          <w:rFonts w:asciiTheme="majorHAnsi" w:hAnsiTheme="majorHAnsi"/>
          <w:color w:val="808080" w:themeColor="background1" w:themeShade="80"/>
          <w:lang w:val="es-ES"/>
        </w:rPr>
        <w:t xml:space="preserve">; Prensa Libre. March 7, 2017. </w:t>
      </w:r>
      <w:hyperlink r:id="rId372" w:history="1">
        <w:r w:rsidRPr="001944CF">
          <w:rPr>
            <w:rStyle w:val="Hyperlink"/>
            <w:rFonts w:asciiTheme="majorHAnsi" w:hAnsiTheme="majorHAnsi"/>
            <w:i/>
            <w:iCs/>
            <w:color w:val="808080" w:themeColor="background1" w:themeShade="80"/>
            <w:lang w:val="es-ES"/>
          </w:rPr>
          <w:t>Tres acusados en caso Cooptación piden juicio abreviado</w:t>
        </w:r>
      </w:hyperlink>
      <w:r w:rsidRPr="001944CF">
        <w:rPr>
          <w:rFonts w:asciiTheme="majorHAnsi" w:hAnsiTheme="majorHAnsi"/>
          <w:color w:val="808080" w:themeColor="background1" w:themeShade="80"/>
          <w:lang w:val="es-ES"/>
        </w:rPr>
        <w:t xml:space="preserve">; Fundamedios. March 6, 2017. </w:t>
      </w:r>
      <w:hyperlink r:id="rId373" w:history="1">
        <w:r w:rsidRPr="001944CF">
          <w:rPr>
            <w:rStyle w:val="Hyperlink"/>
            <w:rFonts w:asciiTheme="majorHAnsi" w:hAnsiTheme="majorHAnsi"/>
            <w:i/>
            <w:iCs/>
            <w:color w:val="808080" w:themeColor="background1" w:themeShade="80"/>
            <w:lang w:val="es-ES"/>
          </w:rPr>
          <w:t>Así consiguió el Fantasma González contratos con el Estado en Guatemala</w:t>
        </w:r>
      </w:hyperlink>
      <w:r w:rsidRPr="001944CF">
        <w:rPr>
          <w:rFonts w:asciiTheme="majorHAnsi" w:hAnsiTheme="majorHAnsi"/>
          <w:color w:val="808080" w:themeColor="background1" w:themeShade="80"/>
          <w:lang w:val="es-ES"/>
        </w:rPr>
        <w:t>.  </w:t>
      </w:r>
    </w:p>
  </w:footnote>
  <w:footnote w:id="512">
    <w:p w14:paraId="5CB2E464" w14:textId="2DD63F60"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Centro de Investigación de Crimen Organizado. June 5, 2017. </w:t>
      </w:r>
      <w:hyperlink r:id="rId374" w:history="1">
        <w:r w:rsidRPr="001944CF">
          <w:rPr>
            <w:rStyle w:val="Hyperlink"/>
            <w:rFonts w:asciiTheme="majorHAnsi" w:hAnsiTheme="majorHAnsi"/>
            <w:i/>
            <w:iCs/>
            <w:color w:val="808080" w:themeColor="background1" w:themeShade="80"/>
            <w:lang w:val="es-ES"/>
          </w:rPr>
          <w:t>Exvicepresidenta de Guatemala controlaba e influenciaba los medios de comunicación: Testigo</w:t>
        </w:r>
      </w:hyperlink>
      <w:r w:rsidRPr="001944CF">
        <w:rPr>
          <w:rFonts w:asciiTheme="majorHAnsi" w:hAnsiTheme="majorHAnsi"/>
          <w:color w:val="808080" w:themeColor="background1" w:themeShade="80"/>
          <w:lang w:val="es-ES"/>
        </w:rPr>
        <w:t xml:space="preserve">; Prensa Libre. June 1, 2017. </w:t>
      </w:r>
      <w:hyperlink r:id="rId375" w:history="1">
        <w:r w:rsidRPr="001944CF">
          <w:rPr>
            <w:rStyle w:val="Hyperlink"/>
            <w:rFonts w:asciiTheme="majorHAnsi" w:hAnsiTheme="majorHAnsi"/>
            <w:i/>
            <w:iCs/>
            <w:color w:val="808080" w:themeColor="background1" w:themeShade="80"/>
            <w:lang w:val="es-ES"/>
          </w:rPr>
          <w:t>Fortuna de Roxana Baldetti surge de ocho empresas</w:t>
        </w:r>
      </w:hyperlink>
      <w:r w:rsidRPr="001944CF">
        <w:rPr>
          <w:rFonts w:asciiTheme="majorHAnsi" w:hAnsiTheme="majorHAnsi"/>
          <w:color w:val="808080" w:themeColor="background1" w:themeShade="80"/>
          <w:lang w:val="es-ES"/>
        </w:rPr>
        <w:t>. </w:t>
      </w:r>
    </w:p>
  </w:footnote>
  <w:footnote w:id="513">
    <w:p w14:paraId="55F0ADC3" w14:textId="0F4A1BD2" w:rsidR="001D7FF7" w:rsidRPr="001944CF" w:rsidRDefault="001D7FF7" w:rsidP="006F17D4">
      <w:pPr>
        <w:pStyle w:val="FootnoteText"/>
        <w:rPr>
          <w:rFonts w:asciiTheme="majorHAnsi" w:hAnsiTheme="majorHAnsi"/>
          <w:b/>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t xml:space="preserve">Resumen Latino Americano. No date. </w:t>
      </w:r>
      <w:hyperlink r:id="rId376" w:history="1">
        <w:r w:rsidRPr="001944CF">
          <w:rPr>
            <w:rStyle w:val="Hyperlink"/>
            <w:rFonts w:asciiTheme="majorHAnsi" w:hAnsiTheme="majorHAnsi"/>
            <w:i/>
            <w:color w:val="808080" w:themeColor="background1" w:themeShade="80"/>
            <w:lang w:val="es-ES"/>
          </w:rPr>
          <w:t>Guatemala: Un campesino asesinado por policías y paramilitares en una manifestación contra Hidroeléctrica</w:t>
        </w:r>
      </w:hyperlink>
      <w:r w:rsidRPr="001944CF">
        <w:rPr>
          <w:rFonts w:asciiTheme="majorHAnsi" w:hAnsiTheme="majorHAnsi"/>
          <w:color w:val="808080" w:themeColor="background1" w:themeShade="80"/>
          <w:lang w:val="es-ES"/>
        </w:rPr>
        <w:t xml:space="preserve">; Consejo de Pueblos Wuxhtaj. January 18, 2017. </w:t>
      </w:r>
      <w:hyperlink r:id="rId377" w:history="1">
        <w:r w:rsidRPr="001944CF">
          <w:rPr>
            <w:rStyle w:val="Hyperlink"/>
            <w:rFonts w:asciiTheme="majorHAnsi" w:hAnsiTheme="majorHAnsi"/>
            <w:i/>
            <w:color w:val="808080" w:themeColor="background1" w:themeShade="80"/>
            <w:lang w:val="es-ES"/>
          </w:rPr>
          <w:t>Asesinan a Sebastien Alonso, líder opositor al proyecto hidroeléctrico Pojom 1</w:t>
        </w:r>
      </w:hyperlink>
      <w:r w:rsidRPr="001944CF">
        <w:rPr>
          <w:rFonts w:asciiTheme="majorHAnsi" w:hAnsiTheme="majorHAnsi"/>
          <w:color w:val="808080" w:themeColor="background1" w:themeShade="80"/>
          <w:lang w:val="es-ES"/>
        </w:rPr>
        <w:t xml:space="preserve">; Prensa Comunitaria. January 17, 2017. </w:t>
      </w:r>
      <w:hyperlink r:id="rId378" w:history="1">
        <w:r w:rsidRPr="001944CF">
          <w:rPr>
            <w:rStyle w:val="Hyperlink"/>
            <w:rFonts w:asciiTheme="majorHAnsi" w:hAnsiTheme="majorHAnsi"/>
            <w:i/>
            <w:color w:val="808080" w:themeColor="background1" w:themeShade="80"/>
            <w:lang w:val="es-ES"/>
          </w:rPr>
          <w:t>Disparos Contra Manifestantes En Yichkisis En San Mateo Ixtatán</w:t>
        </w:r>
      </w:hyperlink>
      <w:r w:rsidRPr="001944CF">
        <w:rPr>
          <w:rFonts w:asciiTheme="majorHAnsi" w:hAnsiTheme="majorHAnsi"/>
          <w:color w:val="808080" w:themeColor="background1" w:themeShade="80"/>
          <w:lang w:val="es-ES"/>
        </w:rPr>
        <w:t xml:space="preserve">; European Parliament. </w:t>
      </w:r>
      <w:r w:rsidRPr="001944CF">
        <w:rPr>
          <w:rFonts w:asciiTheme="majorHAnsi" w:hAnsiTheme="majorHAnsi"/>
          <w:color w:val="808080" w:themeColor="background1" w:themeShade="80"/>
        </w:rPr>
        <w:t>February 16, 2017</w:t>
      </w:r>
      <w:r w:rsidRPr="001944CF">
        <w:rPr>
          <w:rFonts w:asciiTheme="majorHAnsi" w:hAnsiTheme="majorHAnsi"/>
          <w:i/>
          <w:color w:val="808080" w:themeColor="background1" w:themeShade="80"/>
        </w:rPr>
        <w:t xml:space="preserve">. </w:t>
      </w:r>
      <w:hyperlink r:id="rId379" w:history="1">
        <w:r w:rsidRPr="001944CF">
          <w:rPr>
            <w:rStyle w:val="Hyperlink"/>
            <w:rFonts w:asciiTheme="majorHAnsi" w:hAnsiTheme="majorHAnsi"/>
            <w:i/>
            <w:color w:val="808080" w:themeColor="background1" w:themeShade="80"/>
          </w:rPr>
          <w:t>Human rights: Nicaragua, executions in Kuwait and Bahrain, and Guatemala</w:t>
        </w:r>
      </w:hyperlink>
      <w:hyperlink r:id="rId380" w:history="1"/>
      <w:r w:rsidRPr="001944CF">
        <w:rPr>
          <w:rFonts w:asciiTheme="majorHAnsi" w:hAnsiTheme="majorHAnsi"/>
          <w:color w:val="808080" w:themeColor="background1" w:themeShade="80"/>
        </w:rPr>
        <w:t xml:space="preserve">; International Federation for Human Rights (FIDH). </w:t>
      </w:r>
      <w:r w:rsidRPr="001944CF">
        <w:rPr>
          <w:rFonts w:asciiTheme="majorHAnsi" w:hAnsiTheme="majorHAnsi"/>
          <w:color w:val="808080" w:themeColor="background1" w:themeShade="80"/>
          <w:lang w:val="es-ES"/>
        </w:rPr>
        <w:t xml:space="preserve">February 7, 2017. </w:t>
      </w:r>
      <w:hyperlink r:id="rId381" w:history="1">
        <w:r w:rsidRPr="001944CF">
          <w:rPr>
            <w:rStyle w:val="Hyperlink"/>
            <w:rFonts w:asciiTheme="majorHAnsi" w:hAnsiTheme="majorHAnsi"/>
            <w:i/>
            <w:color w:val="808080" w:themeColor="background1" w:themeShade="80"/>
            <w:lang w:val="es-ES"/>
          </w:rPr>
          <w:t>Guatemala: Asesinato de Sebastián Alonzo Juan y actos de intimidación y amenazas de muerte contra una caravana que buscaba verificar los hechos</w:t>
        </w:r>
      </w:hyperlink>
      <w:r w:rsidRPr="001944CF">
        <w:rPr>
          <w:rFonts w:asciiTheme="majorHAnsi" w:hAnsiTheme="majorHAnsi"/>
          <w:color w:val="808080" w:themeColor="background1" w:themeShade="80"/>
          <w:lang w:val="es-ES"/>
        </w:rPr>
        <w:t xml:space="preserve">; IACHR. </w:t>
      </w:r>
      <w:r w:rsidRPr="001944CF">
        <w:rPr>
          <w:rFonts w:asciiTheme="majorHAnsi" w:hAnsiTheme="majorHAnsi"/>
          <w:color w:val="808080" w:themeColor="background1" w:themeShade="80"/>
        </w:rPr>
        <w:t xml:space="preserve">February 7, 2017. </w:t>
      </w:r>
      <w:hyperlink r:id="rId382" w:history="1">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Press Release 011/017 IACHR Condemns Murders of Human Rights Defenders in the Region</w:t>
        </w:r>
      </w:hyperlink>
      <w:hyperlink r:id="rId383" w:history="1"/>
      <w:r w:rsidRPr="001944CF">
        <w:rPr>
          <w:rFonts w:asciiTheme="majorHAnsi" w:hAnsiTheme="majorHAnsi"/>
          <w:color w:val="808080" w:themeColor="background1" w:themeShade="80"/>
        </w:rPr>
        <w:t>; IACHR. June 5, 2017.</w:t>
      </w:r>
      <w:hyperlink r:id="rId384" w:history="1">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Press Release 072/17. IACHR issues call for OAS States to Protect Defenders of the Land and Environment</w:t>
        </w:r>
      </w:hyperlink>
      <w:r w:rsidRPr="001944CF">
        <w:rPr>
          <w:rFonts w:asciiTheme="majorHAnsi" w:hAnsiTheme="majorHAnsi"/>
          <w:color w:val="808080" w:themeColor="background1" w:themeShade="80"/>
        </w:rPr>
        <w:t xml:space="preserve">. </w:t>
      </w:r>
      <w:hyperlink r:id="rId385" w:history="1"/>
      <w:r w:rsidRPr="001944CF">
        <w:rPr>
          <w:rFonts w:asciiTheme="majorHAnsi" w:hAnsiTheme="majorHAnsi"/>
          <w:color w:val="808080" w:themeColor="background1" w:themeShade="80"/>
        </w:rPr>
        <w:t xml:space="preserve"> </w:t>
      </w:r>
      <w:r w:rsidRPr="001944CF">
        <w:rPr>
          <w:rFonts w:asciiTheme="majorHAnsi" w:hAnsiTheme="majorHAnsi"/>
          <w:i/>
          <w:color w:val="808080" w:themeColor="background1" w:themeShade="80"/>
        </w:rPr>
        <w:t xml:space="preserve">  </w:t>
      </w:r>
      <w:r w:rsidRPr="001944CF">
        <w:rPr>
          <w:rFonts w:asciiTheme="majorHAnsi" w:hAnsiTheme="majorHAnsi"/>
          <w:color w:val="808080" w:themeColor="background1" w:themeShade="80"/>
        </w:rPr>
        <w:t xml:space="preserve"> </w:t>
      </w:r>
    </w:p>
  </w:footnote>
  <w:footnote w:id="514">
    <w:p w14:paraId="0D46FF17" w14:textId="291A07E1" w:rsidR="001D7FF7" w:rsidRPr="001944CF" w:rsidRDefault="001D7FF7" w:rsidP="006F17D4">
      <w:pPr>
        <w:pStyle w:val="FootnoteText"/>
        <w:rPr>
          <w:rFonts w:asciiTheme="majorHAnsi" w:hAnsiTheme="majorHAnsi"/>
          <w:b/>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March 22, 2017.</w:t>
      </w:r>
      <w:hyperlink r:id="rId386" w:history="1">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Press Release 035A/17 Report on the 161st Session of the IACHR</w:t>
        </w:r>
      </w:hyperlink>
      <w:r w:rsidRPr="001944CF">
        <w:rPr>
          <w:rFonts w:asciiTheme="majorHAnsi" w:hAnsiTheme="majorHAnsi"/>
          <w:color w:val="808080" w:themeColor="background1" w:themeShade="80"/>
        </w:rPr>
        <w:t>; IACHR. 161st Period of Sessions, Public Hearing - Criminalization of human rights defenders who oppose hydroelectric projects in Guatemala</w:t>
      </w:r>
      <w:r w:rsidRPr="001944CF">
        <w:rPr>
          <w:rFonts w:asciiTheme="majorHAnsi" w:hAnsiTheme="majorHAnsi" w:cs="Tahoma"/>
          <w:color w:val="808080" w:themeColor="background1" w:themeShade="80"/>
        </w:rPr>
        <w:t xml:space="preserve">. March 20, 2017. Available at: </w:t>
      </w:r>
      <w:hyperlink r:id="rId387" w:history="1">
        <w:r w:rsidRPr="001944CF">
          <w:rPr>
            <w:rStyle w:val="Hyperlink"/>
            <w:rFonts w:asciiTheme="majorHAnsi" w:hAnsiTheme="majorHAnsi" w:cs="Tahoma"/>
            <w:color w:val="808080" w:themeColor="background1" w:themeShade="80"/>
          </w:rPr>
          <w:t>https://www.youtube.com/watch?v=3TW9U6qI-fA</w:t>
        </w:r>
      </w:hyperlink>
      <w:r w:rsidRPr="001944CF">
        <w:rPr>
          <w:rFonts w:asciiTheme="majorHAnsi" w:hAnsiTheme="majorHAnsi" w:cs="Tahoma"/>
          <w:color w:val="808080" w:themeColor="background1" w:themeShade="80"/>
        </w:rPr>
        <w:t xml:space="preserve"> </w:t>
      </w:r>
    </w:p>
  </w:footnote>
  <w:footnote w:id="515">
    <w:p w14:paraId="77B4C262" w14:textId="66AD0C3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164 Period of Sessions. Public Hearing - Reports of attacks on human rights defenders by extractive companies in Guatemala. September 7, 2017. Available at:  </w:t>
      </w:r>
      <w:hyperlink r:id="rId388" w:history="1">
        <w:r w:rsidRPr="001944CF">
          <w:rPr>
            <w:rStyle w:val="Hyperlink"/>
            <w:rFonts w:asciiTheme="majorHAnsi" w:hAnsiTheme="majorHAnsi"/>
            <w:color w:val="808080" w:themeColor="background1" w:themeShade="80"/>
          </w:rPr>
          <w:t>https://www.youtube.com/watch?v=yuVmLG9gkmE&amp;t=5s</w:t>
        </w:r>
      </w:hyperlink>
      <w:r w:rsidRPr="001944CF">
        <w:rPr>
          <w:rFonts w:asciiTheme="majorHAnsi" w:hAnsiTheme="majorHAnsi"/>
          <w:color w:val="808080" w:themeColor="background1" w:themeShade="80"/>
        </w:rPr>
        <w:t>.</w:t>
      </w:r>
    </w:p>
  </w:footnote>
  <w:footnote w:id="516">
    <w:p w14:paraId="6C92302C" w14:textId="17BB87A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Km 169 Prensa comunitaria. May 30, 2017. </w:t>
      </w:r>
      <w:hyperlink r:id="rId389" w:history="1">
        <w:r w:rsidRPr="001944CF">
          <w:rPr>
            <w:rStyle w:val="Hyperlink"/>
            <w:rFonts w:asciiTheme="majorHAnsi" w:hAnsiTheme="majorHAnsi"/>
            <w:i/>
            <w:color w:val="808080" w:themeColor="background1" w:themeShade="80"/>
            <w:lang w:val="es-MX"/>
          </w:rPr>
          <w:t>El Estor: Pueblo Q’eqchi Enterró A Pescador Carlos Maaz, Asesinato Negado Por El Gobierno</w:t>
        </w:r>
      </w:hyperlink>
      <w:r w:rsidRPr="001944CF">
        <w:rPr>
          <w:rFonts w:asciiTheme="majorHAnsi" w:hAnsiTheme="majorHAnsi"/>
          <w:color w:val="808080" w:themeColor="background1" w:themeShade="80"/>
          <w:lang w:val="es-MX"/>
        </w:rPr>
        <w:t xml:space="preserve">; Front Line Defenders. </w:t>
      </w:r>
      <w:r w:rsidRPr="001944CF">
        <w:rPr>
          <w:rFonts w:asciiTheme="majorHAnsi" w:hAnsiTheme="majorHAnsi"/>
          <w:color w:val="808080" w:themeColor="background1" w:themeShade="80"/>
        </w:rPr>
        <w:t>May 31, 2017.</w:t>
      </w:r>
      <w:hyperlink r:id="rId390" w:history="1">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Carlos Maaz Coc Killed While Participating in Peaceful Demonstration</w:t>
        </w:r>
      </w:hyperlink>
      <w:hyperlink r:id="rId391" w:history="1"/>
      <w:r w:rsidRPr="001944CF">
        <w:rPr>
          <w:rFonts w:asciiTheme="majorHAnsi" w:hAnsiTheme="majorHAnsi"/>
          <w:i/>
          <w:color w:val="808080" w:themeColor="background1" w:themeShade="80"/>
        </w:rPr>
        <w:t>.</w:t>
      </w:r>
      <w:r w:rsidRPr="001944CF">
        <w:rPr>
          <w:rFonts w:asciiTheme="majorHAnsi" w:hAnsiTheme="majorHAnsi"/>
          <w:color w:val="808080" w:themeColor="background1" w:themeShade="80"/>
        </w:rPr>
        <w:t xml:space="preserve"> </w:t>
      </w:r>
    </w:p>
  </w:footnote>
  <w:footnote w:id="517">
    <w:p w14:paraId="3F4EEA84" w14:textId="104F14E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de la Gobernación. May 27, 2017. </w:t>
      </w:r>
      <w:hyperlink r:id="rId392" w:history="1">
        <w:r w:rsidRPr="001944CF">
          <w:rPr>
            <w:rStyle w:val="Hyperlink"/>
            <w:rFonts w:asciiTheme="majorHAnsi" w:hAnsiTheme="majorHAnsi"/>
            <w:i/>
            <w:color w:val="808080" w:themeColor="background1" w:themeShade="80"/>
            <w:lang w:val="es-MX"/>
          </w:rPr>
          <w:t>Urgente: Cuatro PNC heridos en bloqueo en El Estor Izabal</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Ministerio de la Gobernación. May 28, 2017. </w:t>
      </w:r>
      <w:hyperlink r:id="rId393" w:history="1">
        <w:r w:rsidRPr="001944CF">
          <w:rPr>
            <w:rStyle w:val="Hyperlink"/>
            <w:rFonts w:asciiTheme="majorHAnsi" w:hAnsiTheme="majorHAnsi"/>
            <w:i/>
            <w:color w:val="808080" w:themeColor="background1" w:themeShade="80"/>
            <w:lang w:val="es-MX"/>
          </w:rPr>
          <w:t>PNC y autoridades se reúnen en Izabal</w:t>
        </w:r>
      </w:hyperlink>
      <w:r w:rsidRPr="001944CF">
        <w:rPr>
          <w:rFonts w:asciiTheme="majorHAnsi" w:hAnsiTheme="majorHAnsi"/>
          <w:i/>
          <w:color w:val="808080" w:themeColor="background1" w:themeShade="80"/>
          <w:lang w:val="es-MX"/>
        </w:rPr>
        <w:t>.</w:t>
      </w:r>
    </w:p>
  </w:footnote>
  <w:footnote w:id="518">
    <w:p w14:paraId="51879E66" w14:textId="44E21E4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June 22, 2017. </w:t>
      </w:r>
      <w:hyperlink r:id="rId394" w:history="1">
        <w:r w:rsidRPr="001944CF">
          <w:rPr>
            <w:rStyle w:val="Hyperlink"/>
            <w:rFonts w:asciiTheme="majorHAnsi" w:hAnsiTheme="majorHAnsi"/>
            <w:i/>
            <w:color w:val="808080" w:themeColor="background1" w:themeShade="80"/>
            <w:lang w:val="es-MX"/>
          </w:rPr>
          <w:t>Disturbios en Casillas dejan 11 intoxicados y cuatro capturados</w:t>
        </w:r>
      </w:hyperlink>
      <w:r w:rsidRPr="001944CF">
        <w:rPr>
          <w:rFonts w:asciiTheme="majorHAnsi" w:hAnsiTheme="majorHAnsi"/>
          <w:color w:val="808080" w:themeColor="background1" w:themeShade="80"/>
          <w:lang w:val="es-MX"/>
        </w:rPr>
        <w:t xml:space="preserve">; Info impacto/You tube. June 22, 2017. </w:t>
      </w:r>
      <w:hyperlink r:id="rId395" w:history="1">
        <w:r w:rsidRPr="001944CF">
          <w:rPr>
            <w:rStyle w:val="Hyperlink"/>
            <w:rFonts w:asciiTheme="majorHAnsi" w:hAnsiTheme="majorHAnsi"/>
            <w:i/>
            <w:color w:val="808080" w:themeColor="background1" w:themeShade="80"/>
            <w:lang w:val="es-MX"/>
          </w:rPr>
          <w:t>Manifestantes agreden a la policía en Casillas</w:t>
        </w:r>
      </w:hyperlink>
      <w:r w:rsidRPr="001944CF">
        <w:rPr>
          <w:rFonts w:asciiTheme="majorHAnsi" w:hAnsiTheme="majorHAnsi"/>
          <w:i/>
          <w:color w:val="808080" w:themeColor="background1" w:themeShade="80"/>
          <w:lang w:val="es-MX"/>
        </w:rPr>
        <w:t>.</w:t>
      </w:r>
      <w:r w:rsidRPr="001944CF">
        <w:rPr>
          <w:rFonts w:asciiTheme="majorHAnsi" w:hAnsiTheme="majorHAnsi"/>
          <w:color w:val="808080" w:themeColor="background1" w:themeShade="80"/>
          <w:lang w:val="es-MX"/>
        </w:rPr>
        <w:t xml:space="preserve"> </w:t>
      </w:r>
    </w:p>
  </w:footnote>
  <w:footnote w:id="519">
    <w:p w14:paraId="5AD47DBA" w14:textId="31B0C916"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July 5, 2017. </w:t>
      </w:r>
      <w:hyperlink r:id="rId396" w:history="1">
        <w:r w:rsidRPr="001944CF">
          <w:rPr>
            <w:rStyle w:val="Hyperlink"/>
            <w:rFonts w:asciiTheme="majorHAnsi" w:hAnsiTheme="majorHAnsi"/>
            <w:i/>
            <w:color w:val="808080" w:themeColor="background1" w:themeShade="80"/>
            <w:lang w:val="es-MX"/>
          </w:rPr>
          <w:t>CSJ suspende licencias de operación de minera San Rafael</w:t>
        </w:r>
      </w:hyperlink>
      <w:r w:rsidRPr="001944CF">
        <w:rPr>
          <w:rFonts w:asciiTheme="majorHAnsi" w:hAnsiTheme="majorHAnsi"/>
          <w:color w:val="808080" w:themeColor="background1" w:themeShade="80"/>
          <w:lang w:val="es-MX"/>
        </w:rPr>
        <w:t xml:space="preserve">; elPeriódico. July 6, 2017. </w:t>
      </w:r>
      <w:hyperlink r:id="rId397" w:history="1">
        <w:r w:rsidRPr="001944CF">
          <w:rPr>
            <w:rStyle w:val="Hyperlink"/>
            <w:rFonts w:asciiTheme="majorHAnsi" w:hAnsiTheme="majorHAnsi"/>
            <w:i/>
            <w:color w:val="808080" w:themeColor="background1" w:themeShade="80"/>
            <w:lang w:val="es-MX"/>
          </w:rPr>
          <w:t>CSJ suspende licencias de explotación minera a empresa Minera San Rafael S.A.</w:t>
        </w:r>
      </w:hyperlink>
      <w:r w:rsidRPr="001944CF">
        <w:rPr>
          <w:rFonts w:asciiTheme="majorHAnsi" w:hAnsiTheme="majorHAnsi"/>
          <w:i/>
          <w:color w:val="808080" w:themeColor="background1" w:themeShade="80"/>
          <w:lang w:val="es-MX"/>
        </w:rPr>
        <w:t>.</w:t>
      </w:r>
    </w:p>
  </w:footnote>
  <w:footnote w:id="520">
    <w:p w14:paraId="24E83E23" w14:textId="661F206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July 21, 2017. </w:t>
      </w:r>
      <w:hyperlink r:id="rId398" w:history="1">
        <w:r w:rsidRPr="001944CF">
          <w:rPr>
            <w:rStyle w:val="Hyperlink"/>
            <w:rFonts w:asciiTheme="majorHAnsi" w:hAnsiTheme="majorHAnsi"/>
            <w:i/>
            <w:color w:val="808080" w:themeColor="background1" w:themeShade="80"/>
            <w:lang w:val="es-MX"/>
          </w:rPr>
          <w:t>Enfrentamiento entre pobladores y PNC deja varios intoxicados</w:t>
        </w:r>
      </w:hyperlink>
      <w:r w:rsidRPr="001944CF">
        <w:rPr>
          <w:rFonts w:asciiTheme="majorHAnsi" w:hAnsiTheme="majorHAnsi"/>
          <w:color w:val="808080" w:themeColor="background1" w:themeShade="80"/>
          <w:lang w:val="es-MX"/>
        </w:rPr>
        <w:t xml:space="preserve">; Publinews. July 21, 2017. </w:t>
      </w:r>
      <w:hyperlink r:id="rId399" w:history="1">
        <w:r w:rsidRPr="001944CF">
          <w:rPr>
            <w:rStyle w:val="Hyperlink"/>
            <w:rFonts w:asciiTheme="majorHAnsi" w:hAnsiTheme="majorHAnsi"/>
            <w:i/>
            <w:color w:val="808080" w:themeColor="background1" w:themeShade="80"/>
            <w:lang w:val="es-MX"/>
          </w:rPr>
          <w:t>Varias personas intoxicadas por gas lacrimógeno durante disturbios en Santa Rosa</w:t>
        </w:r>
      </w:hyperlink>
      <w:r w:rsidRPr="001944CF">
        <w:rPr>
          <w:rFonts w:asciiTheme="majorHAnsi" w:hAnsiTheme="majorHAnsi"/>
          <w:color w:val="808080" w:themeColor="background1" w:themeShade="80"/>
          <w:lang w:val="es-MX"/>
        </w:rPr>
        <w:t xml:space="preserve">. </w:t>
      </w:r>
    </w:p>
  </w:footnote>
  <w:footnote w:id="521">
    <w:p w14:paraId="7CA477F6" w14:textId="532B710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August 24, 2017. </w:t>
      </w:r>
      <w:hyperlink r:id="rId400" w:history="1">
        <w:r w:rsidRPr="001944CF">
          <w:rPr>
            <w:rStyle w:val="Hyperlink"/>
            <w:rFonts w:asciiTheme="majorHAnsi" w:hAnsiTheme="majorHAnsi"/>
            <w:i/>
            <w:color w:val="808080" w:themeColor="background1" w:themeShade="80"/>
            <w:lang w:val="es-MX"/>
          </w:rPr>
          <w:t>Disturbios, maestros detenidos y policías heridos en jornada de protestas</w:t>
        </w:r>
      </w:hyperlink>
      <w:r w:rsidRPr="001944CF">
        <w:rPr>
          <w:rFonts w:asciiTheme="majorHAnsi" w:hAnsiTheme="majorHAnsi"/>
          <w:color w:val="808080" w:themeColor="background1" w:themeShade="80"/>
          <w:lang w:val="es-MX"/>
        </w:rPr>
        <w:t xml:space="preserve">; El Orbe. August 27, 2017. </w:t>
      </w:r>
      <w:hyperlink r:id="rId401" w:history="1">
        <w:r w:rsidRPr="001944CF">
          <w:rPr>
            <w:rStyle w:val="Hyperlink"/>
            <w:rFonts w:asciiTheme="majorHAnsi" w:hAnsiTheme="majorHAnsi"/>
            <w:i/>
            <w:color w:val="808080" w:themeColor="background1" w:themeShade="80"/>
            <w:lang w:val="es-MX"/>
          </w:rPr>
          <w:t>Caos en la Frontera Por Bloqueos y Protestas de Maestros en Guatemala</w:t>
        </w:r>
      </w:hyperlink>
      <w:r w:rsidRPr="001944CF">
        <w:rPr>
          <w:rFonts w:asciiTheme="majorHAnsi" w:hAnsiTheme="majorHAnsi"/>
          <w:i/>
          <w:color w:val="808080" w:themeColor="background1" w:themeShade="80"/>
          <w:lang w:val="es-MX"/>
        </w:rPr>
        <w:t>.</w:t>
      </w:r>
    </w:p>
  </w:footnote>
  <w:footnote w:id="522">
    <w:p w14:paraId="4C9B21DC" w14:textId="449BF04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August 24, 2017. </w:t>
      </w:r>
      <w:hyperlink r:id="rId402" w:history="1">
        <w:r w:rsidRPr="001944CF">
          <w:rPr>
            <w:rStyle w:val="Hyperlink"/>
            <w:rFonts w:asciiTheme="majorHAnsi" w:hAnsiTheme="majorHAnsi"/>
            <w:i/>
            <w:color w:val="808080" w:themeColor="background1" w:themeShade="80"/>
            <w:lang w:val="es-MX"/>
          </w:rPr>
          <w:t>Disturbios, maestros detenidos y policías heridos en jornada de protestas</w:t>
        </w:r>
      </w:hyperlink>
      <w:r w:rsidRPr="001944CF">
        <w:rPr>
          <w:rFonts w:asciiTheme="majorHAnsi" w:hAnsiTheme="majorHAnsi"/>
          <w:color w:val="808080" w:themeColor="background1" w:themeShade="80"/>
          <w:lang w:val="es-MX"/>
        </w:rPr>
        <w:t xml:space="preserve">; Guatevisión. </w:t>
      </w:r>
      <w:r w:rsidRPr="001944CF">
        <w:rPr>
          <w:rFonts w:asciiTheme="majorHAnsi" w:hAnsiTheme="majorHAnsi"/>
          <w:color w:val="808080" w:themeColor="background1" w:themeShade="80"/>
        </w:rPr>
        <w:t xml:space="preserve">August 24, 2017. </w:t>
      </w:r>
      <w:hyperlink r:id="rId403" w:history="1">
        <w:r w:rsidRPr="001944CF">
          <w:rPr>
            <w:rStyle w:val="Hyperlink"/>
            <w:rFonts w:asciiTheme="majorHAnsi" w:hAnsiTheme="majorHAnsi"/>
            <w:i/>
            <w:color w:val="808080" w:themeColor="background1" w:themeShade="80"/>
          </w:rPr>
          <w:t>Capturan a maestros por bloquear carreteras</w:t>
        </w:r>
      </w:hyperlink>
      <w:r w:rsidRPr="001944CF">
        <w:rPr>
          <w:rFonts w:asciiTheme="majorHAnsi" w:hAnsiTheme="majorHAnsi"/>
          <w:i/>
          <w:color w:val="808080" w:themeColor="background1" w:themeShade="80"/>
        </w:rPr>
        <w:t xml:space="preserve">. </w:t>
      </w:r>
    </w:p>
  </w:footnote>
  <w:footnote w:id="523">
    <w:p w14:paraId="766EDABF" w14:textId="2D5EED94"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September 12, 2017. </w:t>
      </w:r>
      <w:hyperlink r:id="rId404" w:history="1">
        <w:r w:rsidRPr="001944CF">
          <w:rPr>
            <w:rStyle w:val="Hyperlink"/>
            <w:rFonts w:asciiTheme="majorHAnsi" w:hAnsiTheme="majorHAnsi"/>
            <w:i/>
            <w:color w:val="808080" w:themeColor="background1" w:themeShade="80"/>
          </w:rPr>
          <w:t>Press Release 140/17. IACHR Publishes Resolution on Human Rights and the Fight Against Impunity and Corruption</w:t>
        </w:r>
      </w:hyperlink>
      <w:hyperlink r:id="rId405" w:history="1"/>
      <w:r w:rsidRPr="001944CF">
        <w:rPr>
          <w:rFonts w:asciiTheme="majorHAnsi" w:hAnsiTheme="majorHAnsi"/>
          <w:color w:val="808080" w:themeColor="background1" w:themeShade="80"/>
        </w:rPr>
        <w:t>;</w:t>
      </w:r>
      <w:r w:rsidRPr="001944CF">
        <w:rPr>
          <w:rFonts w:asciiTheme="majorHAnsi" w:hAnsiTheme="majorHAnsi"/>
          <w:i/>
          <w:color w:val="808080" w:themeColor="background1" w:themeShade="80"/>
        </w:rPr>
        <w:t xml:space="preserve"> </w:t>
      </w:r>
      <w:r w:rsidRPr="001944CF">
        <w:rPr>
          <w:rFonts w:asciiTheme="majorHAnsi" w:hAnsiTheme="majorHAnsi"/>
          <w:color w:val="808080" w:themeColor="background1" w:themeShade="80"/>
        </w:rPr>
        <w:t>IACHR.</w:t>
      </w:r>
      <w:hyperlink r:id="rId406"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Resolution 1/17 Human Rights and the Fight against Impunity and Corruption</w:t>
        </w:r>
      </w:hyperlink>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es-MX"/>
        </w:rPr>
        <w:t xml:space="preserve">September 12, 2017. </w:t>
      </w:r>
    </w:p>
  </w:footnote>
  <w:footnote w:id="524">
    <w:p w14:paraId="15CACBD3" w14:textId="2DCD094E"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September 14, 2017. </w:t>
      </w:r>
      <w:hyperlink r:id="rId407" w:history="1">
        <w:r w:rsidRPr="001944CF">
          <w:rPr>
            <w:rStyle w:val="Hyperlink"/>
            <w:rFonts w:asciiTheme="majorHAnsi" w:hAnsiTheme="majorHAnsi"/>
            <w:i/>
            <w:color w:val="808080" w:themeColor="background1" w:themeShade="80"/>
            <w:lang w:val="es-MX"/>
          </w:rPr>
          <w:t>Ciudadanos protestan en la Plaza de la Constitución contra Morales y diputados</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20 minutos. September 14, 2017. </w:t>
      </w:r>
      <w:hyperlink r:id="rId408" w:history="1">
        <w:r w:rsidRPr="001944CF">
          <w:rPr>
            <w:rStyle w:val="Hyperlink"/>
            <w:rFonts w:asciiTheme="majorHAnsi" w:hAnsiTheme="majorHAnsi"/>
            <w:i/>
            <w:color w:val="808080" w:themeColor="background1" w:themeShade="80"/>
            <w:lang w:val="es-MX"/>
          </w:rPr>
          <w:t>Por protestas contra presidente, Guatemala suspende desfile patrio</w:t>
        </w:r>
      </w:hyperlink>
      <w:r w:rsidRPr="001944CF">
        <w:rPr>
          <w:rFonts w:asciiTheme="majorHAnsi" w:hAnsiTheme="majorHAnsi"/>
          <w:color w:val="808080" w:themeColor="background1" w:themeShade="80"/>
          <w:lang w:val="es-MX"/>
        </w:rPr>
        <w:t xml:space="preserve">.  </w:t>
      </w:r>
    </w:p>
  </w:footnote>
  <w:footnote w:id="525">
    <w:p w14:paraId="1FFA09A3" w14:textId="2DEAB434"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MX"/>
        </w:rPr>
        <w:t xml:space="preserve">AGN. September 14, 2107. </w:t>
      </w:r>
      <w:hyperlink r:id="rId409" w:history="1">
        <w:r w:rsidRPr="001944CF">
          <w:rPr>
            <w:rStyle w:val="Hyperlink"/>
            <w:rFonts w:asciiTheme="majorHAnsi" w:hAnsiTheme="majorHAnsi"/>
            <w:i/>
            <w:color w:val="808080" w:themeColor="background1" w:themeShade="80"/>
            <w:lang w:val="es-MX"/>
          </w:rPr>
          <w:t>Presidente Morales condena actos de violencia y atropello a celebración a la patria</w:t>
        </w:r>
      </w:hyperlink>
      <w:r w:rsidRPr="001944CF">
        <w:rPr>
          <w:rFonts w:asciiTheme="majorHAnsi" w:hAnsiTheme="majorHAnsi"/>
          <w:color w:val="808080" w:themeColor="background1" w:themeShade="80"/>
          <w:lang w:val="es-MX"/>
        </w:rPr>
        <w:t xml:space="preserve">; Guatevisión. September 14, 2017. </w:t>
      </w:r>
      <w:hyperlink r:id="rId410" w:history="1">
        <w:r w:rsidRPr="001944CF">
          <w:rPr>
            <w:rStyle w:val="Hyperlink"/>
            <w:rFonts w:asciiTheme="majorHAnsi" w:hAnsiTheme="majorHAnsi"/>
            <w:i/>
            <w:color w:val="808080" w:themeColor="background1" w:themeShade="80"/>
            <w:lang w:val="es-MX"/>
          </w:rPr>
          <w:t>#URGENTE Jimmy Morales arremete contra manifestantes</w:t>
        </w:r>
      </w:hyperlink>
      <w:r w:rsidRPr="001944CF">
        <w:rPr>
          <w:rFonts w:asciiTheme="majorHAnsi" w:hAnsiTheme="majorHAnsi"/>
          <w:i/>
          <w:color w:val="808080" w:themeColor="background1" w:themeShade="80"/>
          <w:lang w:val="es-MX"/>
        </w:rPr>
        <w:t>.</w:t>
      </w:r>
    </w:p>
  </w:footnote>
  <w:footnote w:id="526">
    <w:p w14:paraId="56507D97" w14:textId="200FF194"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w:t>
      </w:r>
      <w:r w:rsidRPr="001944CF">
        <w:rPr>
          <w:rFonts w:asciiTheme="majorHAnsi" w:hAnsiTheme="majorHAnsi"/>
          <w:color w:val="808080" w:themeColor="background1" w:themeShade="80"/>
          <w:lang w:val="es-ES"/>
        </w:rPr>
        <w:tab/>
      </w:r>
      <w:r w:rsidRPr="001944CF">
        <w:rPr>
          <w:rFonts w:asciiTheme="majorHAnsi" w:hAnsiTheme="majorHAnsi"/>
          <w:color w:val="808080" w:themeColor="background1" w:themeShade="80"/>
          <w:lang w:val="es-MX"/>
        </w:rPr>
        <w:t xml:space="preserve">Guatevisión. September 16, 2017. </w:t>
      </w:r>
      <w:hyperlink r:id="rId411" w:history="1">
        <w:r w:rsidRPr="001944CF">
          <w:rPr>
            <w:rStyle w:val="Hyperlink"/>
            <w:rFonts w:asciiTheme="majorHAnsi" w:hAnsiTheme="majorHAnsi"/>
            <w:i/>
            <w:color w:val="808080" w:themeColor="background1" w:themeShade="80"/>
            <w:lang w:val="es-MX"/>
          </w:rPr>
          <w:t>Festejos de independencia fueron marcados por manifestaciones anticorrupción</w:t>
        </w:r>
      </w:hyperlink>
      <w:r w:rsidRPr="001944CF">
        <w:rPr>
          <w:rFonts w:asciiTheme="majorHAnsi" w:hAnsiTheme="majorHAnsi"/>
          <w:color w:val="808080" w:themeColor="background1" w:themeShade="80"/>
          <w:lang w:val="es-MX"/>
        </w:rPr>
        <w:t xml:space="preserve">; Prensa Libre. September 16, 2017. </w:t>
      </w:r>
      <w:hyperlink r:id="rId412" w:history="1">
        <w:r w:rsidRPr="001944CF">
          <w:rPr>
            <w:rStyle w:val="Hyperlink"/>
            <w:rFonts w:asciiTheme="majorHAnsi" w:hAnsiTheme="majorHAnsi"/>
            <w:i/>
            <w:color w:val="808080" w:themeColor="background1" w:themeShade="80"/>
            <w:lang w:val="es-MX"/>
          </w:rPr>
          <w:t>CC ordena garantizar los derechos de los manifestantes</w:t>
        </w:r>
      </w:hyperlink>
      <w:r w:rsidRPr="001944CF">
        <w:rPr>
          <w:rFonts w:asciiTheme="majorHAnsi" w:hAnsiTheme="majorHAnsi"/>
          <w:color w:val="808080" w:themeColor="background1" w:themeShade="80"/>
          <w:lang w:val="es-MX"/>
        </w:rPr>
        <w:t xml:space="preserve">. </w:t>
      </w:r>
    </w:p>
  </w:footnote>
  <w:footnote w:id="527">
    <w:p w14:paraId="68EEFFB7" w14:textId="59489C09"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September 16, 2017. </w:t>
      </w:r>
      <w:hyperlink r:id="rId413" w:history="1">
        <w:r w:rsidRPr="001944CF">
          <w:rPr>
            <w:rStyle w:val="Hyperlink"/>
            <w:rFonts w:asciiTheme="majorHAnsi" w:hAnsiTheme="majorHAnsi"/>
            <w:i/>
            <w:color w:val="808080" w:themeColor="background1" w:themeShade="80"/>
            <w:lang w:val="es-MX"/>
          </w:rPr>
          <w:t>El diputado Estuardo Galdámez calificó de terroristas a manifestantes</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Elsalvador.com. September 16, 2017. </w:t>
      </w:r>
      <w:hyperlink r:id="rId414" w:history="1">
        <w:r w:rsidRPr="001944CF">
          <w:rPr>
            <w:rStyle w:val="Hyperlink"/>
            <w:rFonts w:asciiTheme="majorHAnsi" w:hAnsiTheme="majorHAnsi"/>
            <w:i/>
            <w:color w:val="808080" w:themeColor="background1" w:themeShade="80"/>
            <w:lang w:val="es-MX"/>
          </w:rPr>
          <w:t>Diputados guatemaltecos quedan encerrados siete horas en el Congreso</w:t>
        </w:r>
      </w:hyperlink>
      <w:r w:rsidRPr="001944CF">
        <w:rPr>
          <w:rFonts w:asciiTheme="majorHAnsi" w:hAnsiTheme="majorHAnsi"/>
          <w:i/>
          <w:color w:val="808080" w:themeColor="background1" w:themeShade="80"/>
          <w:lang w:val="es-MX"/>
        </w:rPr>
        <w:t xml:space="preserve">. </w:t>
      </w:r>
    </w:p>
  </w:footnote>
  <w:footnote w:id="528">
    <w:p w14:paraId="33D504F8" w14:textId="5196E2C7" w:rsidR="001D7FF7" w:rsidRPr="001944CF" w:rsidRDefault="001D7FF7" w:rsidP="00B70540">
      <w:pPr>
        <w:pStyle w:val="Heading1"/>
        <w:spacing w:before="0" w:after="40"/>
        <w:ind w:left="547" w:hanging="547"/>
        <w:rPr>
          <w:rFonts w:asciiTheme="majorHAnsi" w:hAnsiTheme="majorHAnsi"/>
          <w:color w:val="808080" w:themeColor="background1" w:themeShade="80"/>
          <w:sz w:val="16"/>
          <w:szCs w:val="16"/>
        </w:rPr>
      </w:pPr>
      <w:r w:rsidRPr="001944CF">
        <w:rPr>
          <w:rStyle w:val="FootnoteReference"/>
          <w:rFonts w:asciiTheme="majorHAnsi" w:hAnsiTheme="majorHAnsi"/>
          <w:b w:val="0"/>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r>
      <w:r w:rsidRPr="001944CF">
        <w:rPr>
          <w:rFonts w:asciiTheme="majorHAnsi" w:hAnsiTheme="majorHAnsi"/>
          <w:b w:val="0"/>
          <w:color w:val="808080" w:themeColor="background1" w:themeShade="80"/>
          <w:sz w:val="16"/>
          <w:szCs w:val="16"/>
        </w:rPr>
        <w:t>Noticiero Guatevisión/You tube. September 16, 2017</w:t>
      </w:r>
      <w:r w:rsidRPr="001944CF">
        <w:rPr>
          <w:rFonts w:asciiTheme="majorHAnsi" w:hAnsiTheme="majorHAnsi"/>
          <w:color w:val="808080" w:themeColor="background1" w:themeShade="80"/>
          <w:sz w:val="16"/>
          <w:szCs w:val="16"/>
        </w:rPr>
        <w:t xml:space="preserve">. </w:t>
      </w:r>
      <w:hyperlink r:id="rId415" w:history="1">
        <w:r w:rsidRPr="001944CF">
          <w:rPr>
            <w:rStyle w:val="Hyperlink"/>
            <w:rFonts w:asciiTheme="majorHAnsi" w:hAnsiTheme="majorHAnsi" w:cs="Arial"/>
            <w:b w:val="0"/>
            <w:bCs w:val="0"/>
            <w:i/>
            <w:color w:val="808080" w:themeColor="background1" w:themeShade="80"/>
            <w:sz w:val="16"/>
            <w:szCs w:val="16"/>
          </w:rPr>
          <w:t>“Diputados dentro de buses insultan a los guatemaltecos con señas soeces”</w:t>
        </w:r>
      </w:hyperlink>
      <w:r w:rsidRPr="001944CF">
        <w:rPr>
          <w:rFonts w:asciiTheme="majorHAnsi" w:hAnsiTheme="majorHAnsi"/>
          <w:b w:val="0"/>
          <w:i/>
          <w:color w:val="808080" w:themeColor="background1" w:themeShade="80"/>
          <w:sz w:val="16"/>
          <w:szCs w:val="16"/>
        </w:rPr>
        <w:t>;</w:t>
      </w:r>
      <w:r w:rsidRPr="001944CF">
        <w:rPr>
          <w:rFonts w:asciiTheme="majorHAnsi" w:hAnsiTheme="majorHAnsi"/>
          <w:b w:val="0"/>
          <w:color w:val="808080" w:themeColor="background1" w:themeShade="80"/>
          <w:sz w:val="16"/>
          <w:szCs w:val="16"/>
        </w:rPr>
        <w:t xml:space="preserve"> Guatevisión. September 16, 2017.</w:t>
      </w:r>
      <w:r w:rsidRPr="001944CF">
        <w:rPr>
          <w:rFonts w:asciiTheme="majorHAnsi" w:hAnsiTheme="majorHAnsi"/>
          <w:color w:val="808080" w:themeColor="background1" w:themeShade="80"/>
          <w:sz w:val="16"/>
          <w:szCs w:val="16"/>
        </w:rPr>
        <w:t xml:space="preserve"> </w:t>
      </w:r>
      <w:hyperlink r:id="rId416" w:history="1">
        <w:r w:rsidRPr="001944CF">
          <w:rPr>
            <w:rStyle w:val="Hyperlink"/>
            <w:rFonts w:asciiTheme="majorHAnsi" w:hAnsiTheme="majorHAnsi"/>
            <w:b w:val="0"/>
            <w:i/>
            <w:color w:val="808080" w:themeColor="background1" w:themeShade="80"/>
            <w:sz w:val="16"/>
            <w:szCs w:val="16"/>
          </w:rPr>
          <w:t>VIDEO: Diputados dentro de buses insultan a los guatemaltecos con señas soeces</w:t>
        </w:r>
      </w:hyperlink>
      <w:r w:rsidRPr="001944CF">
        <w:rPr>
          <w:rFonts w:asciiTheme="majorHAnsi" w:hAnsiTheme="majorHAnsi"/>
          <w:i/>
          <w:color w:val="808080" w:themeColor="background1" w:themeShade="80"/>
          <w:sz w:val="16"/>
          <w:szCs w:val="16"/>
        </w:rPr>
        <w:t xml:space="preserve">. </w:t>
      </w:r>
    </w:p>
  </w:footnote>
  <w:footnote w:id="529">
    <w:p w14:paraId="0E2C70BE" w14:textId="2486E082"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Prensa Libre. September 16, 2017.</w:t>
      </w:r>
      <w:r w:rsidRPr="001944CF">
        <w:rPr>
          <w:rFonts w:asciiTheme="majorHAnsi" w:hAnsiTheme="majorHAnsi"/>
          <w:i/>
          <w:color w:val="808080" w:themeColor="background1" w:themeShade="80"/>
          <w:lang w:val="es-MX"/>
        </w:rPr>
        <w:t xml:space="preserve"> </w:t>
      </w:r>
      <w:hyperlink r:id="rId417" w:history="1">
        <w:r w:rsidRPr="001944CF">
          <w:rPr>
            <w:rStyle w:val="Hyperlink"/>
            <w:rFonts w:asciiTheme="majorHAnsi" w:hAnsiTheme="majorHAnsi"/>
            <w:i/>
            <w:color w:val="808080" w:themeColor="background1" w:themeShade="80"/>
            <w:lang w:val="es-MX"/>
          </w:rPr>
          <w:t>Jordán Rodas dice que la PNC hizo uso excesivo de la fuerza contra manifestantes</w:t>
        </w:r>
      </w:hyperlink>
      <w:r w:rsidRPr="001944CF">
        <w:rPr>
          <w:rFonts w:asciiTheme="majorHAnsi" w:hAnsiTheme="majorHAnsi"/>
          <w:color w:val="808080" w:themeColor="background1" w:themeShade="80"/>
          <w:lang w:val="es-MX"/>
        </w:rPr>
        <w:t xml:space="preserve">; Soy  502. September 16, 2017.  </w:t>
      </w:r>
      <w:hyperlink r:id="rId418" w:history="1">
        <w:r w:rsidRPr="001944CF">
          <w:rPr>
            <w:rStyle w:val="Hyperlink"/>
            <w:rFonts w:asciiTheme="majorHAnsi" w:hAnsiTheme="majorHAnsi"/>
            <w:i/>
            <w:color w:val="808080" w:themeColor="background1" w:themeShade="80"/>
            <w:lang w:val="es-MX"/>
          </w:rPr>
          <w:t>Guardias armados de algunos diputados estaban infiltrados en protestas</w:t>
        </w:r>
      </w:hyperlink>
      <w:r w:rsidRPr="001944CF">
        <w:rPr>
          <w:rFonts w:asciiTheme="majorHAnsi" w:hAnsiTheme="majorHAnsi"/>
          <w:i/>
          <w:color w:val="808080" w:themeColor="background1" w:themeShade="80"/>
          <w:lang w:val="es-MX"/>
        </w:rPr>
        <w:t>.</w:t>
      </w:r>
      <w:r w:rsidRPr="001944CF">
        <w:rPr>
          <w:rFonts w:asciiTheme="majorHAnsi" w:hAnsiTheme="majorHAnsi"/>
          <w:color w:val="808080" w:themeColor="background1" w:themeShade="80"/>
          <w:lang w:val="es-MX"/>
        </w:rPr>
        <w:t xml:space="preserve"> </w:t>
      </w:r>
    </w:p>
  </w:footnote>
  <w:footnote w:id="530">
    <w:p w14:paraId="59EDE9E9" w14:textId="655FAA8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Agencia EFE. September 16, 2017. </w:t>
      </w:r>
      <w:hyperlink r:id="rId419" w:history="1">
        <w:r w:rsidRPr="001944CF">
          <w:rPr>
            <w:rStyle w:val="Hyperlink"/>
            <w:rFonts w:asciiTheme="majorHAnsi" w:hAnsiTheme="majorHAnsi"/>
            <w:i/>
            <w:color w:val="808080" w:themeColor="background1" w:themeShade="80"/>
            <w:lang w:val="es-MX"/>
          </w:rPr>
          <w:t>Constitucional ordena respetar los derechos de los manifestantes en Guatemala</w:t>
        </w:r>
      </w:hyperlink>
      <w:r w:rsidRPr="001944CF">
        <w:rPr>
          <w:rFonts w:asciiTheme="majorHAnsi" w:hAnsiTheme="majorHAnsi"/>
          <w:color w:val="808080" w:themeColor="background1" w:themeShade="80"/>
          <w:lang w:val="es-MX"/>
        </w:rPr>
        <w:t xml:space="preserve">. Prensa Libre. September 16, 2017. </w:t>
      </w:r>
      <w:hyperlink r:id="rId420" w:history="1">
        <w:r w:rsidRPr="001944CF">
          <w:rPr>
            <w:rStyle w:val="Hyperlink"/>
            <w:rFonts w:asciiTheme="majorHAnsi" w:hAnsiTheme="majorHAnsi"/>
            <w:i/>
            <w:color w:val="808080" w:themeColor="background1" w:themeShade="80"/>
            <w:lang w:val="es-MX"/>
          </w:rPr>
          <w:t>CC ordena garantizar los derechos de los manifestantes</w:t>
        </w:r>
      </w:hyperlink>
      <w:r w:rsidRPr="001944CF">
        <w:rPr>
          <w:rFonts w:asciiTheme="majorHAnsi" w:hAnsiTheme="majorHAnsi"/>
          <w:color w:val="808080" w:themeColor="background1" w:themeShade="80"/>
          <w:lang w:val="es-MX"/>
        </w:rPr>
        <w:t xml:space="preserve">.   </w:t>
      </w:r>
    </w:p>
  </w:footnote>
  <w:footnote w:id="531">
    <w:p w14:paraId="17337506" w14:textId="221CD1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hd w:val="clear" w:color="auto" w:fill="FFFFFF"/>
          <w:lang w:val="es-MX"/>
        </w:rPr>
        <w:t xml:space="preserve"> </w:t>
      </w:r>
      <w:r w:rsidRPr="001944CF">
        <w:rPr>
          <w:rFonts w:asciiTheme="majorHAnsi" w:hAnsiTheme="majorHAnsi"/>
          <w:color w:val="808080" w:themeColor="background1" w:themeShade="80"/>
          <w:shd w:val="clear" w:color="auto" w:fill="FFFFFF"/>
          <w:lang w:val="es-MX"/>
        </w:rPr>
        <w:tab/>
        <w:t xml:space="preserve">“El presidente </w:t>
      </w:r>
      <w:hyperlink r:id="rId421" w:history="1">
        <w:r w:rsidRPr="001944CF">
          <w:rPr>
            <w:rStyle w:val="Hyperlink"/>
            <w:rFonts w:asciiTheme="majorHAnsi" w:hAnsiTheme="majorHAnsi"/>
            <w:color w:val="808080" w:themeColor="background1" w:themeShade="80"/>
            <w:lang w:val="es-MX"/>
          </w:rPr>
          <w:t>@jimmymoralesgt</w:t>
        </w:r>
      </w:hyperlink>
      <w:r w:rsidRPr="001944CF">
        <w:rPr>
          <w:rFonts w:asciiTheme="majorHAnsi" w:hAnsiTheme="majorHAnsi"/>
          <w:color w:val="808080" w:themeColor="background1" w:themeShade="80"/>
          <w:shd w:val="clear" w:color="auto" w:fill="FFFFFF"/>
          <w:lang w:val="es-MX"/>
        </w:rPr>
        <w:t xml:space="preserve"> en atención a la resolución emitida hoy por la honorable Corte de Constitucionalidad (CC)”. </w:t>
      </w:r>
      <w:r w:rsidRPr="001944CF">
        <w:rPr>
          <w:rFonts w:asciiTheme="majorHAnsi" w:hAnsiTheme="majorHAnsi"/>
          <w:color w:val="808080" w:themeColor="background1" w:themeShade="80"/>
          <w:shd w:val="clear" w:color="auto" w:fill="FFFFFF"/>
        </w:rPr>
        <w:t xml:space="preserve">Official Twitter account of the Government of Guatemala @GuatemalaGob. </w:t>
      </w:r>
      <w:hyperlink r:id="rId422" w:history="1">
        <w:r w:rsidRPr="001944CF">
          <w:rPr>
            <w:rStyle w:val="Hyperlink"/>
            <w:rFonts w:asciiTheme="majorHAnsi" w:hAnsiTheme="majorHAnsi" w:cs="Segoe UI"/>
            <w:color w:val="808080" w:themeColor="background1" w:themeShade="80"/>
            <w:spacing w:val="4"/>
            <w:shd w:val="clear" w:color="auto" w:fill="FFFFFF"/>
          </w:rPr>
          <w:t>September 16, 2017</w:t>
        </w:r>
      </w:hyperlink>
      <w:r w:rsidRPr="001944CF">
        <w:rPr>
          <w:rFonts w:asciiTheme="majorHAnsi" w:hAnsiTheme="majorHAnsi"/>
          <w:i/>
          <w:color w:val="808080" w:themeColor="background1" w:themeShade="80"/>
          <w:shd w:val="clear" w:color="auto" w:fill="FFFFFF"/>
        </w:rPr>
        <w:t xml:space="preserve">. </w:t>
      </w:r>
    </w:p>
  </w:footnote>
  <w:footnote w:id="532">
    <w:p w14:paraId="2C1D37CE" w14:textId="77777777"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ES"/>
        </w:rPr>
        <w:t xml:space="preserve"> Gobierno de Guatemala. September 24, 2017. </w:t>
      </w:r>
      <w:hyperlink r:id="rId423" w:history="1">
        <w:r w:rsidRPr="001944CF">
          <w:rPr>
            <w:rStyle w:val="Hyperlink"/>
            <w:rFonts w:asciiTheme="majorHAnsi" w:hAnsiTheme="majorHAnsi"/>
            <w:i/>
            <w:iCs/>
            <w:color w:val="808080" w:themeColor="background1" w:themeShade="80"/>
            <w:lang w:val="es-ES"/>
          </w:rPr>
          <w:t>Presidente Jimmy Morales se reúne con representantes del sector ganadero del país</w:t>
        </w:r>
        <w:r w:rsidRPr="001944CF">
          <w:rPr>
            <w:rStyle w:val="Hyperlink"/>
            <w:rFonts w:asciiTheme="majorHAnsi" w:hAnsiTheme="majorHAnsi"/>
            <w:color w:val="808080" w:themeColor="background1" w:themeShade="80"/>
            <w:lang w:val="es-ES"/>
          </w:rPr>
          <w:t>;</w:t>
        </w:r>
      </w:hyperlink>
      <w:r w:rsidRPr="001944CF">
        <w:rPr>
          <w:rFonts w:asciiTheme="majorHAnsi" w:hAnsiTheme="majorHAnsi"/>
          <w:color w:val="808080" w:themeColor="background1" w:themeShade="80"/>
          <w:lang w:val="es-ES"/>
        </w:rPr>
        <w:t xml:space="preserve"> Prensa Libre TV/ You tube. September 24, 2017. </w:t>
      </w:r>
      <w:hyperlink r:id="rId424" w:history="1">
        <w:r w:rsidRPr="001944CF">
          <w:rPr>
            <w:rStyle w:val="Hyperlink"/>
            <w:rFonts w:asciiTheme="majorHAnsi" w:hAnsiTheme="majorHAnsi"/>
            <w:i/>
            <w:iCs/>
            <w:color w:val="808080" w:themeColor="background1" w:themeShade="80"/>
            <w:lang w:val="es-ES"/>
          </w:rPr>
          <w:t>Duras críticas contra protestas ciudadanas en apoyo a Jimmy Morales | Prensa Libre</w:t>
        </w:r>
      </w:hyperlink>
      <w:r w:rsidRPr="001944CF">
        <w:rPr>
          <w:rFonts w:asciiTheme="majorHAnsi" w:hAnsiTheme="majorHAnsi"/>
          <w:i/>
          <w:iCs/>
          <w:color w:val="808080" w:themeColor="background1" w:themeShade="80"/>
          <w:lang w:val="es-ES"/>
        </w:rPr>
        <w:t>.</w:t>
      </w:r>
    </w:p>
  </w:footnote>
  <w:footnote w:id="533">
    <w:p w14:paraId="77F29E64" w14:textId="5C891031" w:rsidR="001D7FF7" w:rsidRPr="001944CF" w:rsidRDefault="001D7FF7" w:rsidP="006F17D4">
      <w:pPr>
        <w:pStyle w:val="FootnoteText"/>
        <w:rPr>
          <w:rFonts w:asciiTheme="majorHAnsi" w:hAnsiTheme="majorHAnsi"/>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IACHR. </w:t>
      </w:r>
      <w:hyperlink r:id="rId425" w:history="1">
        <w:r w:rsidRPr="001944CF">
          <w:rPr>
            <w:rStyle w:val="Hyperlink"/>
            <w:rFonts w:asciiTheme="majorHAnsi" w:hAnsiTheme="majorHAnsi"/>
            <w:color w:val="808080" w:themeColor="background1" w:themeShade="80"/>
          </w:rPr>
          <w:t>Report on Citizen Security and Human Rights</w:t>
        </w:r>
      </w:hyperlink>
      <w:hyperlink r:id="rId426" w:history="1"/>
      <w:r w:rsidRPr="001944CF">
        <w:rPr>
          <w:rFonts w:asciiTheme="majorHAnsi" w:hAnsiTheme="majorHAnsi"/>
          <w:color w:val="808080" w:themeColor="background1" w:themeShade="80"/>
        </w:rPr>
        <w:t>. OEA/Ser.L/V/II.Doc. 57. December 31, 2009, para. 197.</w:t>
      </w:r>
    </w:p>
  </w:footnote>
  <w:footnote w:id="534">
    <w:p w14:paraId="31B36A40" w14:textId="3973BF26" w:rsidR="001D7FF7" w:rsidRPr="001944CF" w:rsidRDefault="001D7FF7" w:rsidP="006F17D4">
      <w:pPr>
        <w:pStyle w:val="FootnoteText"/>
        <w:rPr>
          <w:rFonts w:asciiTheme="majorHAnsi" w:hAnsiTheme="majorHAnsi"/>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IACHR. </w:t>
      </w:r>
      <w:hyperlink r:id="rId427"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Second Report on the Situation of Human Rights Defenders in the Americas</w:t>
        </w:r>
      </w:hyperlink>
      <w:r w:rsidRPr="001944CF">
        <w:rPr>
          <w:rFonts w:asciiTheme="majorHAnsi" w:hAnsiTheme="majorHAnsi"/>
          <w:color w:val="808080" w:themeColor="background1" w:themeShade="80"/>
        </w:rPr>
        <w:t>. OEA/Ser.L/V/II. Doc. 66. December 31, 2011, para. 139.</w:t>
      </w:r>
    </w:p>
  </w:footnote>
  <w:footnote w:id="535">
    <w:p w14:paraId="4AFFDFE8" w14:textId="77777777" w:rsidR="001D7FF7" w:rsidRPr="001944CF" w:rsidRDefault="001D7FF7" w:rsidP="006F17D4">
      <w:pPr>
        <w:pStyle w:val="FootnoteText"/>
        <w:rPr>
          <w:rFonts w:asciiTheme="majorHAnsi" w:hAnsiTheme="majorHAnsi"/>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vertAlign w:val="superscript"/>
        </w:rPr>
        <w:t xml:space="preserve"> </w:t>
      </w:r>
      <w:r w:rsidRPr="001944CF">
        <w:rPr>
          <w:rFonts w:asciiTheme="majorHAnsi" w:hAnsiTheme="majorHAnsi"/>
          <w:color w:val="808080" w:themeColor="background1" w:themeShade="80"/>
        </w:rPr>
        <w:t>United Nations (UN) Special Rapporteur on the Protection and Promotion of the Right to Freedom of Opinion and Expression and Special Rapporteur for Freedom of Expression of the OAS Inter-American Commission on Human Rights. September 13, 2013.</w:t>
      </w:r>
      <w:hyperlink r:id="rId428" w:history="1">
        <w:r w:rsidRPr="001944CF">
          <w:rPr>
            <w:rFonts w:asciiTheme="majorHAnsi" w:hAnsiTheme="majorHAnsi"/>
            <w:i/>
            <w:color w:val="808080" w:themeColor="background1" w:themeShade="80"/>
          </w:rPr>
          <w:t xml:space="preserve"> </w:t>
        </w:r>
        <w:r w:rsidRPr="001944CF">
          <w:rPr>
            <w:rStyle w:val="Hyperlink"/>
            <w:rFonts w:asciiTheme="majorHAnsi" w:hAnsiTheme="majorHAnsi"/>
            <w:i/>
            <w:color w:val="808080" w:themeColor="background1" w:themeShade="80"/>
          </w:rPr>
          <w:t>Joint declaration on violence against journalists and media workers in the context of protests</w:t>
        </w:r>
      </w:hyperlink>
      <w:r w:rsidRPr="001944CF">
        <w:rPr>
          <w:rFonts w:asciiTheme="majorHAnsi" w:hAnsiTheme="majorHAnsi"/>
          <w:color w:val="808080" w:themeColor="background1" w:themeShade="80"/>
        </w:rPr>
        <w:t>.</w:t>
      </w:r>
      <w:hyperlink r:id="rId429" w:history="1"/>
    </w:p>
  </w:footnote>
  <w:footnote w:id="536">
    <w:p w14:paraId="553DAC22" w14:textId="3F03E8AC" w:rsidR="001D7FF7" w:rsidRPr="001944CF" w:rsidRDefault="001D7FF7" w:rsidP="006F17D4">
      <w:pPr>
        <w:pStyle w:val="FootnoteText"/>
        <w:rPr>
          <w:rFonts w:asciiTheme="majorHAnsi" w:hAnsiTheme="majorHAnsi"/>
          <w:bCs/>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rPr>
        <w:t xml:space="preserve">IACHR. </w:t>
      </w:r>
      <w:hyperlink r:id="rId430"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rPr>
          <w:t>Second Report on the Situation of Human Rights Defenders in the Americas</w:t>
        </w:r>
      </w:hyperlink>
      <w:r w:rsidRPr="001944CF">
        <w:rPr>
          <w:rFonts w:asciiTheme="majorHAnsi" w:hAnsiTheme="majorHAnsi"/>
          <w:color w:val="808080" w:themeColor="background1" w:themeShade="80"/>
        </w:rPr>
        <w:t xml:space="preserve">. OEA/Ser.L/V/II. Doc. 66. December 31, 2011, para. 58. </w:t>
      </w:r>
    </w:p>
  </w:footnote>
  <w:footnote w:id="537">
    <w:p w14:paraId="3A0180EC" w14:textId="77777777" w:rsidR="001D7FF7" w:rsidRPr="001944CF" w:rsidRDefault="001D7FF7" w:rsidP="006F17D4">
      <w:pPr>
        <w:pStyle w:val="FootnoteText"/>
        <w:rPr>
          <w:rFonts w:asciiTheme="majorHAnsi" w:hAnsiTheme="majorHAnsi"/>
          <w:bCs/>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IACHR.  Annual Report 2015. Annual Report of the Office of the Special Rapporteur for Freedom of Expression.</w:t>
      </w:r>
      <w:hyperlink r:id="rId431" w:history="1">
        <w:r w:rsidRPr="001944CF">
          <w:rPr>
            <w:rFonts w:asciiTheme="majorHAnsi" w:hAnsiTheme="majorHAnsi"/>
            <w:color w:val="808080" w:themeColor="background1" w:themeShade="80"/>
          </w:rPr>
          <w:t xml:space="preserve"> </w:t>
        </w:r>
        <w:r w:rsidRPr="001944CF">
          <w:rPr>
            <w:rStyle w:val="Hyperlink"/>
            <w:rFonts w:asciiTheme="majorHAnsi" w:hAnsiTheme="majorHAnsi"/>
            <w:color w:val="808080" w:themeColor="background1" w:themeShade="80"/>
            <w:lang w:val="es-MX"/>
          </w:rPr>
          <w:t xml:space="preserve">Chapter IV. (The Use of Force). </w:t>
        </w:r>
      </w:hyperlink>
      <w:r w:rsidRPr="001944CF">
        <w:rPr>
          <w:rFonts w:asciiTheme="majorHAnsi" w:hAnsiTheme="majorHAnsi"/>
          <w:color w:val="808080" w:themeColor="background1" w:themeShade="80"/>
          <w:lang w:val="es-MX"/>
        </w:rPr>
        <w:t xml:space="preserve"> </w:t>
      </w:r>
    </w:p>
  </w:footnote>
  <w:footnote w:id="538">
    <w:p w14:paraId="66BBBF24" w14:textId="468DF1A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Procurador de los Derechos Humanos (PDH). Informe Anual de la situación del derecho a la información pública 2016. </w:t>
      </w:r>
      <w:r w:rsidRPr="001944CF">
        <w:rPr>
          <w:rFonts w:asciiTheme="majorHAnsi" w:hAnsiTheme="majorHAnsi"/>
          <w:color w:val="808080" w:themeColor="background1" w:themeShade="80"/>
        </w:rPr>
        <w:t xml:space="preserve">No date. Available at: </w:t>
      </w:r>
      <w:hyperlink r:id="rId432" w:history="1">
        <w:r w:rsidRPr="001944CF">
          <w:rPr>
            <w:rStyle w:val="Hyperlink"/>
            <w:rFonts w:asciiTheme="majorHAnsi" w:hAnsiTheme="majorHAnsi"/>
            <w:color w:val="808080" w:themeColor="background1" w:themeShade="80"/>
          </w:rPr>
          <w:t>http://www.pdh.org.gt/biblioteca/category/90-informes-anuales.html</w:t>
        </w:r>
      </w:hyperlink>
      <w:r w:rsidRPr="001944CF">
        <w:rPr>
          <w:rFonts w:asciiTheme="majorHAnsi" w:hAnsiTheme="majorHAnsi"/>
          <w:color w:val="808080" w:themeColor="background1" w:themeShade="80"/>
        </w:rPr>
        <w:t xml:space="preserve"> </w:t>
      </w:r>
    </w:p>
  </w:footnote>
  <w:footnote w:id="539">
    <w:p w14:paraId="4BA0A703" w14:textId="4E7BE05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Procuraduría de Derechos Humanos (PDH). Informe Implementación Ley de Acceso a la Información Pública. </w:t>
      </w:r>
      <w:r w:rsidRPr="001944CF">
        <w:rPr>
          <w:rFonts w:asciiTheme="majorHAnsi" w:hAnsiTheme="majorHAnsi"/>
          <w:color w:val="808080" w:themeColor="background1" w:themeShade="80"/>
        </w:rPr>
        <w:t>Conclusiones del Informe Anual 2016. No date. Available at: Archive of the Office of the Special Rapporteur for Freedom of Expression.</w:t>
      </w:r>
    </w:p>
  </w:footnote>
  <w:footnote w:id="540">
    <w:p w14:paraId="6D33FD3F" w14:textId="015A598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Procurador de los Derechos Humanos (PDH). Informe Anual de la situación del derecho a la información pública 2016. </w:t>
      </w:r>
      <w:r w:rsidRPr="001944CF">
        <w:rPr>
          <w:rFonts w:asciiTheme="majorHAnsi" w:hAnsiTheme="majorHAnsi"/>
          <w:color w:val="808080" w:themeColor="background1" w:themeShade="80"/>
        </w:rPr>
        <w:t xml:space="preserve">No date. Available at: </w:t>
      </w:r>
      <w:hyperlink r:id="rId433" w:history="1">
        <w:r w:rsidRPr="001944CF">
          <w:rPr>
            <w:rStyle w:val="Hyperlink"/>
            <w:rFonts w:asciiTheme="majorHAnsi" w:hAnsiTheme="majorHAnsi"/>
            <w:color w:val="808080" w:themeColor="background1" w:themeShade="80"/>
          </w:rPr>
          <w:t>http://www.pdh.org.gt/biblioteca/category/90-informes-anuales.html</w:t>
        </w:r>
      </w:hyperlink>
      <w:r w:rsidRPr="001944CF">
        <w:rPr>
          <w:rFonts w:asciiTheme="majorHAnsi" w:hAnsiTheme="majorHAnsi"/>
          <w:color w:val="808080" w:themeColor="background1" w:themeShade="80"/>
        </w:rPr>
        <w:t>. Regarding gender, between 2014 and 2016, 39% of requests were made by women while 61% were made by men. In terms of geographical concentration, 85% of the requests made between 2016 and January 31, 2017 came from the department of Guatemala. On this matter, the PDH included among its challenges the need to empower the population of the rest of the country in order for them to know and demand their right to access public information. This is precisely because the PDH identified that in 2016, apart from the department of Guatemala, no other department reached 2% of requests for public information. In 2016, 45% of obligated individuals had not made any request.</w:t>
      </w:r>
    </w:p>
  </w:footnote>
  <w:footnote w:id="541">
    <w:p w14:paraId="7E874DF2" w14:textId="022A37F0"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elPeriódico. </w:t>
      </w:r>
      <w:r w:rsidRPr="001944CF">
        <w:rPr>
          <w:rFonts w:asciiTheme="majorHAnsi" w:hAnsiTheme="majorHAnsi"/>
          <w:color w:val="808080" w:themeColor="background1" w:themeShade="80"/>
          <w:lang w:val="es-ES"/>
        </w:rPr>
        <w:t xml:space="preserve">July 21, 2017. </w:t>
      </w:r>
      <w:hyperlink r:id="rId434" w:history="1">
        <w:r w:rsidRPr="001944CF">
          <w:rPr>
            <w:rStyle w:val="Hyperlink"/>
            <w:rFonts w:asciiTheme="majorHAnsi" w:hAnsiTheme="majorHAnsi"/>
            <w:i/>
            <w:iCs/>
            <w:color w:val="808080" w:themeColor="background1" w:themeShade="80"/>
            <w:lang w:val="es-ES"/>
          </w:rPr>
          <w:t>PDH y MP fortalecerán Ley de Acceso a la Información</w:t>
        </w:r>
      </w:hyperlink>
      <w:r w:rsidRPr="001944CF">
        <w:rPr>
          <w:rFonts w:asciiTheme="majorHAnsi" w:hAnsiTheme="majorHAnsi"/>
          <w:color w:val="808080" w:themeColor="background1" w:themeShade="80"/>
          <w:lang w:val="es-ES"/>
        </w:rPr>
        <w:t xml:space="preserve">; Emisoras Unidas. No date. </w:t>
      </w:r>
      <w:hyperlink r:id="rId435" w:history="1">
        <w:r w:rsidRPr="001944CF">
          <w:rPr>
            <w:rStyle w:val="Hyperlink"/>
            <w:rFonts w:asciiTheme="majorHAnsi" w:hAnsiTheme="majorHAnsi"/>
            <w:i/>
            <w:iCs/>
            <w:color w:val="808080" w:themeColor="background1" w:themeShade="80"/>
            <w:lang w:val="es-ES"/>
          </w:rPr>
          <w:t>MP y PDH ratifican cooperación en el cumplimiento a la Ley de Acceso a la Información</w:t>
        </w:r>
      </w:hyperlink>
      <w:r w:rsidRPr="001944CF">
        <w:rPr>
          <w:rFonts w:asciiTheme="majorHAnsi" w:hAnsiTheme="majorHAnsi"/>
          <w:color w:val="808080" w:themeColor="background1" w:themeShade="80"/>
          <w:lang w:val="es-ES"/>
        </w:rPr>
        <w:t xml:space="preserve">; Ministerio Público (MP). July 20, 2017. </w:t>
      </w:r>
      <w:hyperlink r:id="rId436" w:history="1">
        <w:r w:rsidRPr="001944CF">
          <w:rPr>
            <w:rStyle w:val="Hyperlink"/>
            <w:rFonts w:asciiTheme="majorHAnsi" w:hAnsiTheme="majorHAnsi"/>
            <w:i/>
            <w:iCs/>
            <w:color w:val="808080" w:themeColor="background1" w:themeShade="80"/>
            <w:lang w:val="es-ES"/>
          </w:rPr>
          <w:t>MP y PDH firman Convenio de Cooperación Interinstitucional para fortalecimiento de la Ley de Acceso a la Información Pública</w:t>
        </w:r>
      </w:hyperlink>
      <w:r w:rsidRPr="001944CF">
        <w:rPr>
          <w:rFonts w:asciiTheme="majorHAnsi" w:hAnsiTheme="majorHAnsi"/>
          <w:color w:val="808080" w:themeColor="background1" w:themeShade="80"/>
          <w:lang w:val="es-ES"/>
        </w:rPr>
        <w:t>. </w:t>
      </w:r>
    </w:p>
  </w:footnote>
  <w:footnote w:id="542">
    <w:p w14:paraId="27C64B0E" w14:textId="28B0B12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Ministerio Público (MP). August 21, 2017. </w:t>
      </w:r>
      <w:hyperlink r:id="rId437" w:history="1">
        <w:r w:rsidRPr="001944CF">
          <w:rPr>
            <w:rStyle w:val="Hyperlink"/>
            <w:rFonts w:asciiTheme="majorHAnsi" w:hAnsiTheme="majorHAnsi"/>
            <w:i/>
            <w:iCs/>
            <w:color w:val="808080" w:themeColor="background1" w:themeShade="80"/>
            <w:lang w:val="es-ES"/>
          </w:rPr>
          <w:t>Fiscal General recibe visita del Procurador de los Derechos Humanos</w:t>
        </w:r>
      </w:hyperlink>
      <w:r w:rsidRPr="001944CF">
        <w:rPr>
          <w:rFonts w:asciiTheme="majorHAnsi" w:hAnsiTheme="majorHAnsi"/>
          <w:color w:val="808080" w:themeColor="background1" w:themeShade="80"/>
          <w:lang w:val="es-ES"/>
        </w:rPr>
        <w:t xml:space="preserve">; elPeriódico. August 21, 2017. </w:t>
      </w:r>
      <w:hyperlink r:id="rId438" w:history="1">
        <w:r w:rsidRPr="001944CF">
          <w:rPr>
            <w:rStyle w:val="Hyperlink"/>
            <w:rFonts w:asciiTheme="majorHAnsi" w:hAnsiTheme="majorHAnsi"/>
            <w:i/>
            <w:iCs/>
            <w:color w:val="808080" w:themeColor="background1" w:themeShade="80"/>
            <w:lang w:val="es-ES"/>
          </w:rPr>
          <w:t>Presidente Morales y fiscal Aldana, los primeros contactados por el nuevo procurador Jordan Rodas Andrade</w:t>
        </w:r>
      </w:hyperlink>
      <w:r w:rsidRPr="001944CF">
        <w:rPr>
          <w:rFonts w:asciiTheme="majorHAnsi" w:hAnsiTheme="majorHAnsi"/>
          <w:color w:val="808080" w:themeColor="background1" w:themeShade="80"/>
          <w:lang w:val="es-ES"/>
        </w:rPr>
        <w:t>. </w:t>
      </w:r>
      <w:r w:rsidRPr="001944CF">
        <w:rPr>
          <w:rFonts w:asciiTheme="majorHAnsi" w:hAnsiTheme="majorHAnsi"/>
          <w:color w:val="808080" w:themeColor="background1" w:themeShade="80"/>
        </w:rPr>
        <w:t>In this regard, the Human Rights Ombudsman (Procurador de los Derechos Humanos) stated that the agreement should continue "because with more transparency in compliance with the Law of Access to Public Information, logically we are going to decrease corruption that is a scourge that hurts our society”.</w:t>
      </w:r>
    </w:p>
  </w:footnote>
  <w:footnote w:id="543">
    <w:p w14:paraId="7D3A2196" w14:textId="5196CD2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39" w:history="1">
        <w:r w:rsidRPr="001944CF">
          <w:rPr>
            <w:rStyle w:val="Hyperlink"/>
            <w:rFonts w:asciiTheme="majorHAnsi" w:hAnsiTheme="majorHAnsi"/>
            <w:i/>
            <w:color w:val="808080" w:themeColor="background1" w:themeShade="80"/>
          </w:rPr>
          <w:t>Informe sobre seguridad ciudadana y derechos humanos (2009)</w:t>
        </w:r>
      </w:hyperlink>
      <w:r w:rsidRPr="001944CF">
        <w:rPr>
          <w:rFonts w:asciiTheme="majorHAnsi" w:hAnsiTheme="majorHAnsi"/>
          <w:color w:val="808080" w:themeColor="background1" w:themeShade="80"/>
        </w:rPr>
        <w:t>, [Report on Citizen Security and Human Rights (2009)’], OEA/Ser.L/V/II. Doc. 57, December 31, 2009, para. 221.</w:t>
      </w:r>
    </w:p>
  </w:footnote>
  <w:footnote w:id="544">
    <w:p w14:paraId="3A277EF7" w14:textId="214827E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Situation of Human Rights in Guatemala: Diversity, Inequality and Exclusion, OEA/Ser.L/V/II.Doc. 43/15, December 30, 2015, para. 117.</w:t>
      </w:r>
    </w:p>
  </w:footnote>
  <w:footnote w:id="545">
    <w:p w14:paraId="183E8CCB" w14:textId="682FBC9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P-859-2017/VHGM/LWC/nj, June 16, 2017, pg. 23, Annex 14.</w:t>
      </w:r>
    </w:p>
  </w:footnote>
  <w:footnote w:id="546">
    <w:p w14:paraId="32AC1107" w14:textId="0A63718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Ministry of the Interior, “Bajan homicidios en primer semestre de 2017” [‘Homicides are down in the first half of 2017’], August 2, 2017. Can be viewed at: </w:t>
      </w:r>
      <w:hyperlink r:id="rId440" w:history="1">
        <w:r w:rsidRPr="001944CF">
          <w:rPr>
            <w:rStyle w:val="Hyperlink"/>
            <w:rFonts w:asciiTheme="majorHAnsi" w:hAnsiTheme="majorHAnsi"/>
            <w:color w:val="808080" w:themeColor="background1" w:themeShade="80"/>
          </w:rPr>
          <w:t>http://mingob.gob.gt/bajan-homicidios-en-primer-semestre-de-2017/</w:t>
        </w:r>
      </w:hyperlink>
      <w:r w:rsidRPr="001944CF">
        <w:rPr>
          <w:rFonts w:asciiTheme="majorHAnsi" w:hAnsiTheme="majorHAnsi"/>
          <w:color w:val="808080" w:themeColor="background1" w:themeShade="80"/>
        </w:rPr>
        <w:t xml:space="preserve">. According to the INACIF itself, in the first half of 2016, 2,754 autopsies for violent deaths were recorded. </w:t>
      </w:r>
    </w:p>
  </w:footnote>
  <w:footnote w:id="547">
    <w:p w14:paraId="0E1605C0" w14:textId="2407457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P-859-2017/VHGM/LWC/nj, June 16, 2017, pg. 23, Annexes 14, 15.</w:t>
      </w:r>
    </w:p>
  </w:footnote>
  <w:footnote w:id="548">
    <w:p w14:paraId="7DE73FCF" w14:textId="46010F5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Annex 13.</w:t>
      </w:r>
    </w:p>
  </w:footnote>
  <w:footnote w:id="549">
    <w:p w14:paraId="2B87D6B8" w14:textId="31B67B6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Annex 15(a) and 15(b).</w:t>
      </w:r>
    </w:p>
  </w:footnote>
  <w:footnote w:id="550">
    <w:p w14:paraId="154527B0" w14:textId="40A8455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Annex 13. </w:t>
      </w:r>
    </w:p>
  </w:footnote>
  <w:footnote w:id="551">
    <w:p w14:paraId="1910526C" w14:textId="1278827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Annex 15(a) and 15(b). </w:t>
      </w:r>
    </w:p>
  </w:footnote>
  <w:footnote w:id="552">
    <w:p w14:paraId="2236B7A7" w14:textId="34326FC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Annexes 13 and 14.</w:t>
      </w:r>
    </w:p>
  </w:footnote>
  <w:footnote w:id="553">
    <w:p w14:paraId="283040E9" w14:textId="0DF780B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Annex 15(a) and 15(b). Information also available on the INACIF website, at: </w:t>
      </w:r>
      <w:hyperlink r:id="rId441" w:history="1">
        <w:r w:rsidRPr="001944CF">
          <w:rPr>
            <w:rStyle w:val="Hyperlink"/>
            <w:rFonts w:asciiTheme="majorHAnsi" w:hAnsiTheme="majorHAnsi"/>
            <w:color w:val="808080" w:themeColor="background1" w:themeShade="80"/>
          </w:rPr>
          <w:t>http://www.inacif.gob.gt/index.php?option=com_content&amp;view=article&amp;id=96&amp;Itemid=2</w:t>
        </w:r>
      </w:hyperlink>
      <w:r w:rsidRPr="001944CF">
        <w:rPr>
          <w:rFonts w:asciiTheme="majorHAnsi" w:hAnsiTheme="majorHAnsi"/>
          <w:color w:val="808080" w:themeColor="background1" w:themeShade="80"/>
        </w:rPr>
        <w:t xml:space="preserve">. </w:t>
      </w:r>
    </w:p>
  </w:footnote>
  <w:footnote w:id="554">
    <w:p w14:paraId="5E36E9CF" w14:textId="6B108D6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State, Ref. P-859-2017/VHGM/LWC/nj, June 16, 2017, Annex 13. </w:t>
      </w:r>
    </w:p>
  </w:footnote>
  <w:footnote w:id="555">
    <w:p w14:paraId="7BB488C1" w14:textId="1253C78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i/>
          <w:color w:val="808080" w:themeColor="background1" w:themeShade="80"/>
        </w:rPr>
        <w:t xml:space="preserve"> </w:t>
      </w:r>
      <w:r w:rsidRPr="001944CF">
        <w:rPr>
          <w:rFonts w:asciiTheme="majorHAnsi" w:hAnsiTheme="majorHAnsi"/>
          <w:i/>
          <w:color w:val="808080" w:themeColor="background1" w:themeShade="80"/>
        </w:rPr>
        <w:tab/>
        <w:t>Id.</w:t>
      </w:r>
      <w:r w:rsidRPr="001944CF">
        <w:rPr>
          <w:rFonts w:asciiTheme="majorHAnsi" w:hAnsiTheme="majorHAnsi"/>
          <w:color w:val="808080" w:themeColor="background1" w:themeShade="80"/>
        </w:rPr>
        <w:t xml:space="preserve">, Annex 13 and 15(a). INACIF figures can be found at: </w:t>
      </w:r>
      <w:hyperlink r:id="rId442" w:history="1">
        <w:r w:rsidRPr="001944CF">
          <w:rPr>
            <w:rStyle w:val="Hyperlink"/>
            <w:rFonts w:asciiTheme="majorHAnsi" w:hAnsiTheme="majorHAnsi"/>
            <w:color w:val="808080" w:themeColor="background1" w:themeShade="80"/>
          </w:rPr>
          <w:t>http://www.inacif.gob.gt/docs/estadisticas/anual/AnualM2016.pdf</w:t>
        </w:r>
      </w:hyperlink>
      <w:r w:rsidRPr="001944CF">
        <w:rPr>
          <w:rFonts w:asciiTheme="majorHAnsi" w:hAnsiTheme="majorHAnsi"/>
          <w:color w:val="808080" w:themeColor="background1" w:themeShade="80"/>
        </w:rPr>
        <w:t xml:space="preserve">. </w:t>
      </w:r>
    </w:p>
  </w:footnote>
  <w:footnote w:id="556">
    <w:p w14:paraId="57EF5D28" w14:textId="3319D17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P-859-2017/VHGM/LWC/nj, August 29, 2017, Annex 14, p. 3.</w:t>
      </w:r>
    </w:p>
  </w:footnote>
  <w:footnote w:id="557">
    <w:p w14:paraId="14D5A9EA" w14:textId="0084C8A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INACIF website can be found at: </w:t>
      </w:r>
      <w:hyperlink r:id="rId443" w:history="1">
        <w:r w:rsidRPr="001944CF">
          <w:rPr>
            <w:rStyle w:val="Hyperlink"/>
            <w:rFonts w:asciiTheme="majorHAnsi" w:hAnsiTheme="majorHAnsi"/>
            <w:color w:val="808080" w:themeColor="background1" w:themeShade="80"/>
          </w:rPr>
          <w:t>http://www.inacif.gob.gt/index.php?option=com_content&amp;view=article&amp;id=96&amp;Itemid=2</w:t>
        </w:r>
      </w:hyperlink>
      <w:r w:rsidRPr="001944CF">
        <w:rPr>
          <w:rStyle w:val="Hyperlink"/>
          <w:rFonts w:asciiTheme="majorHAnsi" w:hAnsiTheme="majorHAnsi"/>
          <w:color w:val="808080" w:themeColor="background1" w:themeShade="80"/>
        </w:rPr>
        <w:t xml:space="preserve">. </w:t>
      </w:r>
    </w:p>
  </w:footnote>
  <w:footnote w:id="558">
    <w:p w14:paraId="63E43C70" w14:textId="01115D2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P-859-2017/VHGM/LWC/nj, August 29, 2017, Annex 14, p. 3.</w:t>
      </w:r>
    </w:p>
  </w:footnote>
  <w:footnote w:id="559">
    <w:p w14:paraId="45EF8B00" w14:textId="1230198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Ministry of the Interior, “Bajan homicidios en primer semestre de 2017” [‘Homicides are down in the first half of 2017’], August 2, 2017. </w:t>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560">
    <w:p w14:paraId="11B45193" w14:textId="5A51473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44" w:history="1">
        <w:r w:rsidRPr="001944CF">
          <w:rPr>
            <w:rStyle w:val="Hyperlink"/>
            <w:rFonts w:asciiTheme="majorHAnsi" w:hAnsiTheme="majorHAnsi"/>
            <w:color w:val="808080" w:themeColor="background1" w:themeShade="80"/>
          </w:rPr>
          <w:t>CIDH publica informe sobre la situación de derechos humanos en Guatemala</w:t>
        </w:r>
      </w:hyperlink>
      <w:r w:rsidRPr="001944CF">
        <w:rPr>
          <w:rFonts w:asciiTheme="majorHAnsi" w:hAnsiTheme="majorHAnsi"/>
          <w:color w:val="808080" w:themeColor="background1" w:themeShade="80"/>
        </w:rPr>
        <w:t>, [‘IACHR publishes report on the situation of human rights in Guatemala’], OEA/Ser.L/V/II. December 31, 2015, para. 136.</w:t>
      </w:r>
    </w:p>
  </w:footnote>
  <w:footnote w:id="561">
    <w:p w14:paraId="4DAA2E52" w14:textId="7B27013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Portal of the General Directorate of Private Security Services (DIGESSP). </w:t>
      </w:r>
      <w:hyperlink r:id="rId445" w:history="1">
        <w:r w:rsidRPr="001944CF">
          <w:rPr>
            <w:rStyle w:val="Hyperlink"/>
            <w:rFonts w:asciiTheme="majorHAnsi" w:hAnsiTheme="majorHAnsi"/>
            <w:color w:val="808080" w:themeColor="background1" w:themeShade="80"/>
          </w:rPr>
          <w:t>Resolución para escoltas privados</w:t>
        </w:r>
      </w:hyperlink>
      <w:r w:rsidRPr="001944CF">
        <w:rPr>
          <w:rFonts w:asciiTheme="majorHAnsi" w:hAnsiTheme="majorHAnsi"/>
          <w:color w:val="808080" w:themeColor="background1" w:themeShade="80"/>
        </w:rPr>
        <w:t xml:space="preserve">, [‘Resolution on private escorts’], September 21, 2016. </w:t>
      </w:r>
    </w:p>
  </w:footnote>
  <w:footnote w:id="562">
    <w:p w14:paraId="14BFE94B" w14:textId="226725A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According to the </w:t>
      </w:r>
      <w:hyperlink r:id="rId446" w:history="1">
        <w:r w:rsidRPr="001944CF">
          <w:rPr>
            <w:rStyle w:val="Hyperlink"/>
            <w:rFonts w:asciiTheme="majorHAnsi" w:hAnsiTheme="majorHAnsi"/>
            <w:color w:val="808080" w:themeColor="background1" w:themeShade="80"/>
          </w:rPr>
          <w:t>Dirección General de Servicios de Seguridad Privada</w:t>
        </w:r>
      </w:hyperlink>
      <w:r w:rsidRPr="001944CF">
        <w:rPr>
          <w:rFonts w:asciiTheme="majorHAnsi" w:hAnsiTheme="majorHAnsi"/>
          <w:color w:val="808080" w:themeColor="background1" w:themeShade="80"/>
        </w:rPr>
        <w:t xml:space="preserve">, [‘General Directorate of Private Security Services’], as of January 5, 2017 there are 119 licensed companies, 49 companies licensed under ministerial [prosecutor’s office] authorization and 13 companies under government authorization. </w:t>
      </w:r>
    </w:p>
  </w:footnote>
  <w:footnote w:id="563">
    <w:p w14:paraId="21658C22" w14:textId="6A1C3CD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Country visit to Guatemala, July 31 to August 4, 2017, meetings with civil society organizations, international agencies and others. </w:t>
      </w:r>
    </w:p>
  </w:footnote>
  <w:footnote w:id="564">
    <w:p w14:paraId="4FBDBC6F" w14:textId="58565D9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International Peace Brigades, Monthly Guatemala Information Packet, No. 164, May 2017, p. 2.</w:t>
      </w:r>
    </w:p>
  </w:footnote>
  <w:footnote w:id="565">
    <w:p w14:paraId="3CF2BE20" w14:textId="04515C2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47" w:history="1">
        <w:r w:rsidRPr="001944CF">
          <w:rPr>
            <w:rStyle w:val="Hyperlink"/>
            <w:rFonts w:asciiTheme="majorHAnsi" w:hAnsiTheme="majorHAnsi"/>
            <w:color w:val="808080" w:themeColor="background1" w:themeShade="80"/>
          </w:rPr>
          <w:t>CIDH publica informe sobre la situación de derechos humanos en Guatemala</w:t>
        </w:r>
      </w:hyperlink>
      <w:r w:rsidRPr="001944CF">
        <w:rPr>
          <w:rFonts w:asciiTheme="majorHAnsi" w:hAnsiTheme="majorHAnsi"/>
          <w:color w:val="808080" w:themeColor="background1" w:themeShade="80"/>
        </w:rPr>
        <w:t>, [‘IACHR publishes report on the situation of human rights in Guatemala’], OEA/Ser.L/V/II, December 31, 2015, para. 160.</w:t>
      </w:r>
    </w:p>
  </w:footnote>
  <w:footnote w:id="566">
    <w:p w14:paraId="47749642" w14:textId="4047EB2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Report on the Situation of Human Rights in Guatemala: Diversity, Inequality and Exclusion, OEA/Ser.L/V/II.Doc. 43/15, December 30, 2015, para. 132.</w:t>
      </w:r>
    </w:p>
  </w:footnote>
  <w:footnote w:id="567">
    <w:p w14:paraId="5EB54A80" w14:textId="2215F5F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132-133.</w:t>
      </w:r>
    </w:p>
  </w:footnote>
  <w:footnote w:id="568">
    <w:p w14:paraId="6BF7F93F" w14:textId="3F8AC02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Office of the Human Rights Ombudsman in the context of the country visit, July 31 to August 4, 2017.</w:t>
      </w:r>
    </w:p>
  </w:footnote>
  <w:footnote w:id="569">
    <w:p w14:paraId="2321E38B" w14:textId="48FB734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Report on the Situation of Human Rights in Guatemala: Diversity, Inequality and Exclusion, OEA/Ser.L/V/II.Doc. 43/15, December 30, 2015, para. 134.</w:t>
      </w:r>
    </w:p>
  </w:footnote>
  <w:footnote w:id="570">
    <w:p w14:paraId="6623167F" w14:textId="71838C4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of the Human Rights Ombudsman, PDH, on lynchings, 2017, citing United Nations Special Rapporteur on Extrajudicial Executions and the United Nations Mission in Guatemala, MINUGUA. In the archive of the Commission. </w:t>
      </w:r>
    </w:p>
  </w:footnote>
  <w:footnote w:id="571">
    <w:p w14:paraId="6B22FF85" w14:textId="5EA9F6F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Report on the Situation of Human Rights in Guatemala: Diversity, Inequality and Exclusion, OEA/Ser.L/V/II.Doc. 43/15, December 30, 2015, paras. 132-135.</w:t>
      </w:r>
    </w:p>
  </w:footnote>
  <w:footnote w:id="572">
    <w:p w14:paraId="38B1750C" w14:textId="3974DE0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135.</w:t>
      </w:r>
    </w:p>
  </w:footnote>
  <w:footnote w:id="573">
    <w:p w14:paraId="0AE41E36" w14:textId="5376095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As it noted in its report, in order to achieve it, “there must be a rapprochement between the State and the communities, and the Government must have a prevention policy, and the political will to enforce it.  There must also be collaboration with municipal authorities, traditional indigenous authorities, and the Human Rights Ombudsman’s Office.” IACHR, </w:t>
      </w:r>
      <w:r w:rsidRPr="001944CF">
        <w:rPr>
          <w:rFonts w:asciiTheme="majorHAnsi" w:hAnsiTheme="majorHAnsi"/>
          <w:i/>
          <w:color w:val="808080" w:themeColor="background1" w:themeShade="80"/>
        </w:rPr>
        <w:t>Report on the Situation of Human Rights in Guatemala: Diversity, Inequality and Exclusion</w:t>
      </w:r>
      <w:r w:rsidRPr="001944CF">
        <w:rPr>
          <w:rFonts w:asciiTheme="majorHAnsi" w:hAnsiTheme="majorHAnsi"/>
          <w:color w:val="808080" w:themeColor="background1" w:themeShade="80"/>
        </w:rPr>
        <w:t xml:space="preserve">, OEA/Ser.L/V/II.Doc. 43/15, December 30, 2015, para. 135. </w:t>
      </w:r>
    </w:p>
  </w:footnote>
  <w:footnote w:id="574">
    <w:p w14:paraId="6C67B0B7" w14:textId="7250DF7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Note P-943a-2016/VHGM/MJOS/HM/af-wr, received on October 10, 2016, p. 18.</w:t>
      </w:r>
    </w:p>
  </w:footnote>
  <w:footnote w:id="575">
    <w:p w14:paraId="60F35809" w14:textId="2399AD0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These policies include the 2008-2023 National Policy for the Promotion and Comprehensive Development of Women (Government Decision 302-2009), the Public Policy for Peaceful Coexistence and the Elimination of Racism and Racial Discrimination (Government Decision 143-2014), the Public Policy against Trafficking in Persons and Comprehensive Victim Protection la Política (Government Decision 306-2014), the Public Policy for the Comprehensive Protection of Children and Adolescents (Government Decision 281-2014), the 2012-2017 National Youth Policy (Government Decision 173-2012), the National Policy against Addictions and Illicit Drug Trafficking, the National Defense Policy, the National Security Policy and the National Prison Reform Policy. Republic of Guatemala, Report of the State of Guatemala in response to draft Chapter V on follow up to the recommendations of the IACHR IV Country Report: Diversity, Inequality and Exclusion (2015). Nota P-943a-2016/VHGM/MJOS/HM/af-wr, received on October 10, 2016, pg. 19. Republic of Guatemala, Report of the State of Guatemala in response to draft Chapter V on follow up to the recommendations of the IV IACHR Country Report: Diversity, Inequality and Exclusion (2015). Nota P-943a-2016/VHGM/MJOS/HM/af-wr, received on October 10, 2016, p. 18.</w:t>
      </w:r>
    </w:p>
  </w:footnote>
  <w:footnote w:id="576">
    <w:p w14:paraId="72853F56" w14:textId="599096E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press article, Prensa Libre, Guatemala abre una fiscalía dedicada a menores [‘Guatemala opens a prosecutor’s office devoted to juveniles’, October 26, 2016, at: </w:t>
      </w:r>
      <w:hyperlink r:id="rId448" w:history="1">
        <w:r w:rsidRPr="001944CF">
          <w:rPr>
            <w:rStyle w:val="Hyperlink"/>
            <w:rFonts w:asciiTheme="majorHAnsi" w:hAnsiTheme="majorHAnsi"/>
            <w:color w:val="808080" w:themeColor="background1" w:themeShade="80"/>
          </w:rPr>
          <w:t>http://www.prensalibre.com/guatemala/justicia/guatemala-abre-una-fiscalia-dedicada-a-menores</w:t>
        </w:r>
      </w:hyperlink>
      <w:r w:rsidRPr="001944CF">
        <w:rPr>
          <w:rFonts w:asciiTheme="majorHAnsi" w:hAnsiTheme="majorHAnsi"/>
          <w:color w:val="808080" w:themeColor="background1" w:themeShade="80"/>
        </w:rPr>
        <w:t xml:space="preserve">.  </w:t>
      </w:r>
    </w:p>
  </w:footnote>
  <w:footnote w:id="577">
    <w:p w14:paraId="7CDBBFEC" w14:textId="1AF8F05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Government Decision No. 281-2014 of August 20, 2014.</w:t>
      </w:r>
    </w:p>
  </w:footnote>
  <w:footnote w:id="578">
    <w:p w14:paraId="155EC057" w14:textId="5B28C85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Nota Ref. P-859-2017/VHGM/LWC/nj, June 16, 2017.</w:t>
      </w:r>
    </w:p>
  </w:footnote>
  <w:footnote w:id="579">
    <w:p w14:paraId="6F0589F7" w14:textId="469B8FA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Report on the Situation of Human Rights in Guatemala: Diversity, Inequality and Exclusion, OEA/Ser.L/V/II.Doc. 43/15, December 30, 2015, para. 153, 174, para. 178.</w:t>
      </w:r>
    </w:p>
  </w:footnote>
  <w:footnote w:id="580">
    <w:p w14:paraId="428ACA0F" w14:textId="58E384F0"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rPr>
        <w:t xml:space="preserve"> </w:t>
      </w:r>
      <w:r w:rsidRPr="001944CF">
        <w:rPr>
          <w:rStyle w:val="FootnoteReference"/>
          <w:rFonts w:asciiTheme="majorHAnsi" w:hAnsiTheme="majorHAnsi"/>
          <w:color w:val="808080" w:themeColor="background1" w:themeShade="80"/>
          <w:sz w:val="16"/>
          <w:szCs w:val="16"/>
        </w:rPr>
        <w:tab/>
      </w:r>
      <w:r w:rsidRPr="001944CF">
        <w:rPr>
          <w:rFonts w:asciiTheme="majorHAnsi" w:hAnsiTheme="majorHAnsi"/>
          <w:i/>
          <w:color w:val="808080" w:themeColor="background1" w:themeShade="80"/>
          <w:sz w:val="16"/>
          <w:szCs w:val="16"/>
        </w:rPr>
        <w:t>Id.</w:t>
      </w:r>
      <w:r w:rsidRPr="001944CF">
        <w:rPr>
          <w:rFonts w:asciiTheme="majorHAnsi" w:hAnsiTheme="majorHAnsi"/>
          <w:color w:val="808080" w:themeColor="background1" w:themeShade="80"/>
          <w:sz w:val="16"/>
          <w:szCs w:val="16"/>
        </w:rPr>
        <w:t xml:space="preserve">, para. 153. Submission of the PDH to the IACHR report on the Situation of Human Rights in Guatemala, September </w:t>
      </w:r>
      <w:r w:rsidRPr="001944CF">
        <w:rPr>
          <w:rFonts w:asciiTheme="majorHAnsi" w:hAnsiTheme="majorHAnsi" w:cs="Arial"/>
          <w:color w:val="808080" w:themeColor="background1" w:themeShade="80"/>
          <w:sz w:val="16"/>
          <w:szCs w:val="16"/>
        </w:rPr>
        <w:t>2015.</w:t>
      </w:r>
    </w:p>
  </w:footnote>
  <w:footnote w:id="581">
    <w:p w14:paraId="617668B4" w14:textId="2B6FC1A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by the State, Ref. P-1261-2017/WHGM/LWC/nj, August 29, 2017, Annex 14, p. 7.</w:t>
      </w:r>
    </w:p>
  </w:footnote>
  <w:footnote w:id="582">
    <w:p w14:paraId="169BB7A1" w14:textId="7965150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 Communication of the State of Guatemala, Comments of the State of Guatemala on the “Draft: Chapter V Follow Up to Recommendations made by the IACHR in the Report on the Situation of Human Rights in Guatemala: Diversity, Inequality and Exclusion,” January 23, 2017.</w:t>
      </w:r>
    </w:p>
  </w:footnote>
  <w:footnote w:id="583">
    <w:p w14:paraId="6EE06717" w14:textId="35E4CD4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State, Ref. P-1261-2017/WHGM/LWC/nj, August 29, 2017, Annex 14, p. 7. </w:t>
      </w:r>
    </w:p>
  </w:footnote>
  <w:footnote w:id="584">
    <w:p w14:paraId="31DFC1C3" w14:textId="25A4739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State, Ref. P-1261-2017/WHGM/LWC/nj, August 29, 2017, Annex 14, p. 7; Communication of the State of Guatemala, Comments of the State of Guatemala on the “Draft: Chapter V Follow Up to Recommendations made by the IACHR in the Report on the Situation of Human Rights in Guatemala: Diversity, Inequality and Exclusion,” January 23, 2017. </w:t>
      </w:r>
    </w:p>
  </w:footnote>
  <w:footnote w:id="585">
    <w:p w14:paraId="70191899" w14:textId="30F41EC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Republic of Guatemala, Report of the State of Guatemala on draft Chapter V regarding follow-up to the recommendations of the 4</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Country Report of the IACHR: Diversity, Inequality and Exclusion (2015). Nota P-943a-2016/VHGM/MJOS/HM/af-wr, received on October 10, 2016, p. 52.</w:t>
      </w:r>
    </w:p>
  </w:footnote>
  <w:footnote w:id="586">
    <w:p w14:paraId="0DD19FB8" w14:textId="204EBDB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Communication of the State of Guatemala, Comments of the State of Guatemala on the “Draft: Chapter V Follow Up to Recommendations made by the IACHR in the Report on the Situation of Human Rights in Guatemala: Diversity, Inequality and Exclusion,” January 23, 2017. </w:t>
      </w:r>
    </w:p>
  </w:footnote>
  <w:footnote w:id="587">
    <w:p w14:paraId="3DE90C51" w14:textId="07D02EF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Press article, Siglo 21, </w:t>
      </w:r>
      <w:r w:rsidRPr="001944CF">
        <w:rPr>
          <w:rFonts w:asciiTheme="majorHAnsi" w:hAnsiTheme="majorHAnsi"/>
          <w:i/>
          <w:color w:val="808080" w:themeColor="background1" w:themeShade="80"/>
        </w:rPr>
        <w:t>Histórico operativo en contra de extorsionistas</w:t>
      </w:r>
      <w:r w:rsidRPr="001944CF">
        <w:rPr>
          <w:rFonts w:asciiTheme="majorHAnsi" w:hAnsiTheme="majorHAnsi"/>
          <w:color w:val="808080" w:themeColor="background1" w:themeShade="80"/>
        </w:rPr>
        <w:t xml:space="preserve"> [‘Historic operation against extortionists’], May 3, 2016. It can be found at: </w:t>
      </w:r>
      <w:hyperlink r:id="rId449" w:history="1">
        <w:r w:rsidRPr="001944CF">
          <w:rPr>
            <w:rStyle w:val="Hyperlink"/>
            <w:rFonts w:asciiTheme="majorHAnsi" w:hAnsiTheme="majorHAnsi"/>
            <w:color w:val="808080" w:themeColor="background1" w:themeShade="80"/>
          </w:rPr>
          <w:t>http://s21.gt/2016/05/03/historico-operativo-en-contra-extorsionistas/</w:t>
        </w:r>
      </w:hyperlink>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lang w:val="es-MX"/>
        </w:rPr>
        <w:t xml:space="preserve">Also see Ministry of the Interior, </w:t>
      </w:r>
      <w:r w:rsidRPr="001944CF">
        <w:rPr>
          <w:rFonts w:asciiTheme="majorHAnsi" w:hAnsiTheme="majorHAnsi"/>
          <w:i/>
          <w:color w:val="808080" w:themeColor="background1" w:themeShade="80"/>
          <w:lang w:val="es-MX"/>
        </w:rPr>
        <w:t>Presuntos extorsionistas de la clica Solo para locos de la mara 18 capturados</w:t>
      </w:r>
      <w:r w:rsidRPr="001944CF">
        <w:rPr>
          <w:rFonts w:asciiTheme="majorHAnsi" w:hAnsiTheme="majorHAnsi"/>
          <w:color w:val="808080" w:themeColor="background1" w:themeShade="80"/>
          <w:lang w:val="es-MX"/>
        </w:rPr>
        <w:t xml:space="preserve"> [‘Alleged extortionists of the Solo para locos clique of mara 18 captured’], April 26, 2017.  </w:t>
      </w:r>
      <w:r w:rsidRPr="001944CF">
        <w:rPr>
          <w:rFonts w:asciiTheme="majorHAnsi" w:hAnsiTheme="majorHAnsi"/>
          <w:color w:val="808080" w:themeColor="background1" w:themeShade="80"/>
        </w:rPr>
        <w:t xml:space="preserve">It can be viewed at: </w:t>
      </w:r>
      <w:hyperlink r:id="rId450" w:history="1">
        <w:r w:rsidRPr="001944CF">
          <w:rPr>
            <w:rStyle w:val="Hyperlink"/>
            <w:rFonts w:asciiTheme="majorHAnsi" w:hAnsiTheme="majorHAnsi"/>
            <w:color w:val="808080" w:themeColor="background1" w:themeShade="80"/>
          </w:rPr>
          <w:t>http://mingob.gob.gt/presuntos-extorsionistas-de-la-clica-solo-para-locos-de-la-mara-18-capturados/</w:t>
        </w:r>
      </w:hyperlink>
      <w:r w:rsidRPr="001944CF">
        <w:rPr>
          <w:rFonts w:asciiTheme="majorHAnsi" w:hAnsiTheme="majorHAnsi"/>
          <w:color w:val="808080" w:themeColor="background1" w:themeShade="80"/>
        </w:rPr>
        <w:t>.</w:t>
      </w:r>
    </w:p>
  </w:footnote>
  <w:footnote w:id="588">
    <w:p w14:paraId="308A5B4A" w14:textId="58A71A7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Press article, Siglo 21, </w:t>
      </w:r>
      <w:r w:rsidRPr="001944CF">
        <w:rPr>
          <w:rFonts w:asciiTheme="majorHAnsi" w:hAnsiTheme="majorHAnsi"/>
          <w:i/>
          <w:color w:val="808080" w:themeColor="background1" w:themeShade="80"/>
        </w:rPr>
        <w:t>Histórico operativo en contra de extorsionistas</w:t>
      </w:r>
      <w:r w:rsidRPr="001944CF">
        <w:rPr>
          <w:rFonts w:asciiTheme="majorHAnsi" w:hAnsiTheme="majorHAnsi"/>
          <w:color w:val="808080" w:themeColor="background1" w:themeShade="80"/>
        </w:rPr>
        <w:t xml:space="preserve"> [‘Historic operation against extortionists’], May 3, 2016. It can be found at: </w:t>
      </w:r>
      <w:hyperlink r:id="rId451" w:history="1">
        <w:r w:rsidRPr="001944CF">
          <w:rPr>
            <w:rStyle w:val="Hyperlink"/>
            <w:rFonts w:asciiTheme="majorHAnsi" w:hAnsiTheme="majorHAnsi"/>
            <w:color w:val="808080" w:themeColor="background1" w:themeShade="80"/>
          </w:rPr>
          <w:t>http://s21.gt/2016/05/03/historico-operativo-en-contra-extorsionistas/</w:t>
        </w:r>
      </w:hyperlink>
      <w:r w:rsidRPr="001944CF">
        <w:rPr>
          <w:rFonts w:asciiTheme="majorHAnsi" w:hAnsiTheme="majorHAnsi"/>
          <w:color w:val="808080" w:themeColor="background1" w:themeShade="80"/>
        </w:rPr>
        <w:t>.</w:t>
      </w:r>
    </w:p>
  </w:footnote>
  <w:footnote w:id="589">
    <w:p w14:paraId="46DCF3E2" w14:textId="1DAE30E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590">
    <w:p w14:paraId="25850250" w14:textId="3E97BFB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Press article, PubliNews, </w:t>
      </w:r>
      <w:r w:rsidRPr="001944CF">
        <w:rPr>
          <w:rFonts w:asciiTheme="majorHAnsi" w:hAnsiTheme="majorHAnsi"/>
          <w:i/>
          <w:color w:val="808080" w:themeColor="background1" w:themeShade="80"/>
        </w:rPr>
        <w:t>Más de 100 capturados en megaoperativo contra extorsiones</w:t>
      </w:r>
      <w:r w:rsidRPr="001944CF">
        <w:rPr>
          <w:rFonts w:asciiTheme="majorHAnsi" w:hAnsiTheme="majorHAnsi"/>
          <w:color w:val="808080" w:themeColor="background1" w:themeShade="80"/>
        </w:rPr>
        <w:t xml:space="preserve"> [‘More than 100 arrested in megaoperation against extortionists’], September 11, 2017. View at: </w:t>
      </w:r>
      <w:hyperlink r:id="rId452" w:history="1">
        <w:r w:rsidRPr="001944CF">
          <w:rPr>
            <w:rStyle w:val="Hyperlink"/>
            <w:rFonts w:asciiTheme="majorHAnsi" w:hAnsiTheme="majorHAnsi"/>
            <w:color w:val="808080" w:themeColor="background1" w:themeShade="80"/>
          </w:rPr>
          <w:t>https://www.publinews.gt/gt/noticias/2017/09/11/megaoperativo-pnc-las-extorsiones-realizan-357-allanamientos.html</w:t>
        </w:r>
      </w:hyperlink>
      <w:r w:rsidRPr="001944CF">
        <w:rPr>
          <w:rFonts w:asciiTheme="majorHAnsi" w:hAnsiTheme="majorHAnsi"/>
          <w:color w:val="808080" w:themeColor="background1" w:themeShade="80"/>
        </w:rPr>
        <w:t xml:space="preserve">. </w:t>
      </w:r>
    </w:p>
  </w:footnote>
  <w:footnote w:id="591">
    <w:p w14:paraId="7AB68F66" w14:textId="77777777" w:rsidR="001D7FF7" w:rsidRPr="001944CF" w:rsidRDefault="001D7FF7" w:rsidP="00B70540">
      <w:pPr>
        <w:spacing w:after="40" w:line="240" w:lineRule="auto"/>
        <w:ind w:left="547" w:hanging="547"/>
        <w:jc w:val="both"/>
        <w:rPr>
          <w:rFonts w:asciiTheme="majorHAnsi" w:eastAsia="Times New Roman" w:hAnsiTheme="majorHAnsi"/>
          <w:color w:val="808080" w:themeColor="background1" w:themeShade="80"/>
          <w:sz w:val="16"/>
          <w:szCs w:val="16"/>
          <w:shd w:val="clear" w:color="auto" w:fill="E6ECF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i/>
          <w:color w:val="808080" w:themeColor="background1" w:themeShade="80"/>
          <w:sz w:val="16"/>
          <w:szCs w:val="16"/>
        </w:rPr>
        <w:t>Ibid</w:t>
      </w:r>
      <w:r w:rsidRPr="001944CF">
        <w:rPr>
          <w:rFonts w:asciiTheme="majorHAnsi" w:hAnsiTheme="majorHAnsi"/>
          <w:color w:val="808080" w:themeColor="background1" w:themeShade="80"/>
          <w:sz w:val="16"/>
          <w:szCs w:val="16"/>
        </w:rPr>
        <w:t xml:space="preserve">. Also see, Office of Public Prosecutor, September 11, 2017, </w:t>
      </w:r>
      <w:hyperlink r:id="rId453" w:history="1">
        <w:r w:rsidRPr="001944CF">
          <w:rPr>
            <w:rStyle w:val="Hyperlink"/>
            <w:rFonts w:asciiTheme="majorHAnsi" w:hAnsiTheme="majorHAnsi"/>
            <w:color w:val="808080" w:themeColor="background1" w:themeShade="80"/>
            <w:sz w:val="16"/>
            <w:szCs w:val="16"/>
          </w:rPr>
          <w:t>https://twitter.com/MPguatemala/status/907254387692765184</w:t>
        </w:r>
      </w:hyperlink>
      <w:r w:rsidRPr="001944CF">
        <w:rPr>
          <w:rFonts w:asciiTheme="majorHAnsi" w:hAnsiTheme="majorHAnsi"/>
          <w:color w:val="808080" w:themeColor="background1" w:themeShade="80"/>
          <w:sz w:val="16"/>
          <w:szCs w:val="16"/>
        </w:rPr>
        <w:t xml:space="preserve">. Ministry of the Interior, September 11, 2017, </w:t>
      </w:r>
      <w:hyperlink r:id="rId454" w:history="1">
        <w:r w:rsidRPr="001944CF">
          <w:rPr>
            <w:rStyle w:val="Hyperlink"/>
            <w:rFonts w:asciiTheme="majorHAnsi" w:hAnsiTheme="majorHAnsi"/>
            <w:color w:val="808080" w:themeColor="background1" w:themeShade="80"/>
            <w:sz w:val="16"/>
            <w:szCs w:val="16"/>
          </w:rPr>
          <w:t>https://twitter.com/mingobguate/status/907227046044200960</w:t>
        </w:r>
      </w:hyperlink>
      <w:r w:rsidRPr="001944CF">
        <w:rPr>
          <w:rFonts w:asciiTheme="majorHAnsi" w:hAnsiTheme="majorHAnsi"/>
          <w:color w:val="808080" w:themeColor="background1" w:themeShade="80"/>
          <w:sz w:val="16"/>
          <w:szCs w:val="16"/>
        </w:rPr>
        <w:t>.</w:t>
      </w:r>
    </w:p>
  </w:footnote>
  <w:footnote w:id="592">
    <w:p w14:paraId="48A8422D" w14:textId="5EA21A6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455" w:history="1">
        <w:r w:rsidRPr="001944CF">
          <w:rPr>
            <w:rStyle w:val="Hyperlink"/>
            <w:rFonts w:asciiTheme="majorHAnsi" w:hAnsiTheme="majorHAnsi"/>
            <w:i/>
            <w:color w:val="808080" w:themeColor="background1" w:themeShade="80"/>
            <w:lang w:val="es-MX"/>
          </w:rPr>
          <w:t>Situación de los derechos humanos en Guatemala: Diversidad, desigualdad y exclusión</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[Situation of human rights in Guatemala: Diversity, Inequality and Exclusion’], OEA/Ser.L/V/II.Doc. 43/15, 2015, para. </w:t>
      </w:r>
      <w:r w:rsidRPr="001944CF">
        <w:rPr>
          <w:rFonts w:asciiTheme="majorHAnsi" w:hAnsiTheme="majorHAnsi"/>
          <w:color w:val="808080" w:themeColor="background1" w:themeShade="80"/>
        </w:rPr>
        <w:t>238.</w:t>
      </w:r>
    </w:p>
  </w:footnote>
  <w:footnote w:id="593">
    <w:p w14:paraId="79FF9794" w14:textId="0BDCD71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during IACHR country visit, from July 31 to August 4, 2017. Information submitted by the Office of the United Nations High Commissioner for Human Rights (UNHCHR) in Guatemala during the meeting held on July 29, 2017 in Guatemala City. </w:t>
      </w:r>
    </w:p>
  </w:footnote>
  <w:footnote w:id="594">
    <w:p w14:paraId="5D6703CC" w14:textId="32343AC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United Nations, Report of the United Nations High Commissioner for Human Rights on the activities of its Guatemala Office 2016</w:t>
      </w:r>
      <w:r w:rsidRPr="001944CF">
        <w:rPr>
          <w:rFonts w:asciiTheme="majorHAnsi" w:eastAsiaTheme="minorHAnsi" w:hAnsiTheme="majorHAnsi"/>
          <w:color w:val="808080" w:themeColor="background1" w:themeShade="80"/>
        </w:rPr>
        <w:t xml:space="preserve">, </w:t>
      </w:r>
      <w:r w:rsidRPr="001944CF">
        <w:rPr>
          <w:rFonts w:asciiTheme="majorHAnsi" w:hAnsiTheme="majorHAnsi"/>
          <w:color w:val="808080" w:themeColor="background1" w:themeShade="80"/>
        </w:rPr>
        <w:t xml:space="preserve">A/HRC/34/3/Add.1, 2017. In response to the Draft Report on the Situation of Human Rights in Guatemala, </w:t>
      </w:r>
      <w:r w:rsidRPr="001944CF">
        <w:rPr>
          <w:rFonts w:asciiTheme="majorHAnsi" w:hAnsiTheme="majorHAnsi" w:cs="CastleT-Book-SC700"/>
          <w:color w:val="808080" w:themeColor="background1" w:themeShade="80"/>
        </w:rPr>
        <w:t>2017.</w:t>
      </w:r>
    </w:p>
  </w:footnote>
  <w:footnote w:id="595">
    <w:p w14:paraId="54098CD7" w14:textId="18BF278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596">
    <w:p w14:paraId="0D6CE4E2" w14:textId="785C33F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UN Women</w:t>
      </w:r>
      <w:r w:rsidRPr="001944CF">
        <w:rPr>
          <w:rFonts w:asciiTheme="majorHAnsi" w:hAnsiTheme="majorHAnsi" w:cs="Arial"/>
          <w:color w:val="808080" w:themeColor="background1" w:themeShade="80"/>
        </w:rPr>
        <w:t xml:space="preserve">, </w:t>
      </w:r>
      <w:hyperlink r:id="rId456" w:history="1">
        <w:r w:rsidRPr="001944CF">
          <w:rPr>
            <w:rStyle w:val="Hyperlink"/>
            <w:rFonts w:asciiTheme="majorHAnsi" w:hAnsiTheme="majorHAnsi" w:cs="Arial"/>
            <w:color w:val="808080" w:themeColor="background1" w:themeShade="80"/>
          </w:rPr>
          <w:t>Guatemala Country Background</w:t>
        </w:r>
      </w:hyperlink>
      <w:r w:rsidRPr="001944CF">
        <w:rPr>
          <w:rFonts w:asciiTheme="majorHAnsi" w:hAnsiTheme="majorHAnsi" w:cs="Arial"/>
          <w:color w:val="808080" w:themeColor="background1" w:themeShade="80"/>
        </w:rPr>
        <w:t>, 2017.</w:t>
      </w:r>
    </w:p>
  </w:footnote>
  <w:footnote w:id="597">
    <w:p w14:paraId="25955E3C" w14:textId="0442875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INACIF, </w:t>
      </w:r>
      <w:hyperlink r:id="rId457" w:history="1">
        <w:r w:rsidRPr="001944CF">
          <w:rPr>
            <w:rStyle w:val="Hyperlink"/>
            <w:rFonts w:asciiTheme="majorHAnsi" w:hAnsiTheme="majorHAnsi"/>
            <w:color w:val="808080" w:themeColor="background1" w:themeShade="80"/>
          </w:rPr>
          <w:t>Datos Consolidados Anuales y Mensuales</w:t>
        </w:r>
      </w:hyperlink>
      <w:r w:rsidRPr="001944CF">
        <w:rPr>
          <w:rFonts w:asciiTheme="majorHAnsi" w:hAnsiTheme="majorHAnsi"/>
          <w:color w:val="808080" w:themeColor="background1" w:themeShade="80"/>
        </w:rPr>
        <w:t xml:space="preserve"> – ‘Consolidated Annual and Monthly Data, viewed on August 4, 2017.</w:t>
      </w:r>
    </w:p>
  </w:footnote>
  <w:footnote w:id="598">
    <w:p w14:paraId="6E4CFD1C" w14:textId="074ECAC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Submission of the Human Rights Ombudsman, Third Cycle of Universal Periodic Review Guatemala, March 2017. </w:t>
      </w:r>
    </w:p>
  </w:footnote>
  <w:footnote w:id="599">
    <w:p w14:paraId="1A9708CB" w14:textId="74C61AA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Guatemalan Women’s Group (GGM), No Violence against Women Network (REDNOVI, Women’s right to a violence free life in Guatemala as follow up to the hearing held at the 157</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Regular Session of the IACHR, July 31, 2017. Information received during the IACHR country visit, from July 31 to August 4, 2017</w:t>
      </w:r>
    </w:p>
  </w:footnote>
  <w:footnote w:id="600">
    <w:p w14:paraId="2F3923B2" w14:textId="6EF90A6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Secretariat against Sexual Violence, Exploitation and Trafficking in Persons (SVET), </w:t>
      </w:r>
      <w:hyperlink r:id="rId458" w:history="1">
        <w:r w:rsidRPr="001944CF">
          <w:rPr>
            <w:rStyle w:val="Hyperlink"/>
            <w:rFonts w:asciiTheme="majorHAnsi" w:hAnsiTheme="majorHAnsi"/>
            <w:color w:val="808080" w:themeColor="background1" w:themeShade="80"/>
          </w:rPr>
          <w:t>Datos estadísticos</w:t>
        </w:r>
      </w:hyperlink>
      <w:r w:rsidRPr="001944CF">
        <w:rPr>
          <w:rFonts w:asciiTheme="majorHAnsi" w:hAnsiTheme="majorHAnsi"/>
          <w:color w:val="808080" w:themeColor="background1" w:themeShade="80"/>
        </w:rPr>
        <w:t xml:space="preserve"> [statistical data]– viewed on August 4, 2017.</w:t>
      </w:r>
    </w:p>
  </w:footnote>
  <w:footnote w:id="601">
    <w:p w14:paraId="3E1B363C" w14:textId="6311D36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Annual Status Report, 2016. State’s Response, comments on the Draft Report on the Situation of Human Rights in Guatemala, 2017. Human Rights Ombudsman, Statistics on sexual crimes from 2012 to 2017, May 2017. Information received during IACHR country visit, from July 31 to August 4, 2017. </w:t>
      </w:r>
    </w:p>
  </w:footnote>
  <w:footnote w:id="602">
    <w:p w14:paraId="34FC7C15" w14:textId="3DE7441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603">
    <w:p w14:paraId="5530F4C4" w14:textId="6C2B4ED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Congress of the Republic, </w:t>
      </w:r>
      <w:hyperlink r:id="rId459" w:history="1">
        <w:r w:rsidRPr="001944CF">
          <w:rPr>
            <w:rStyle w:val="Hyperlink"/>
            <w:rFonts w:asciiTheme="majorHAnsi" w:hAnsiTheme="majorHAnsi"/>
            <w:color w:val="808080" w:themeColor="background1" w:themeShade="80"/>
          </w:rPr>
          <w:t>Iniciativa Que Dispone Aprobar Ley Del Registro Nacional De Agresores Sexuales Y Banco De Datos Genético,</w:t>
        </w:r>
      </w:hyperlink>
      <w:r w:rsidRPr="001944CF">
        <w:rPr>
          <w:rFonts w:asciiTheme="majorHAnsi" w:hAnsiTheme="majorHAnsi"/>
          <w:color w:val="808080" w:themeColor="background1" w:themeShade="80"/>
        </w:rPr>
        <w:t xml:space="preserve"> [‘Legislative bill to approve the National Registry of Sexual Offenders and Genetic Database’] Iniciativa 5178-23, 2016.</w:t>
      </w:r>
    </w:p>
  </w:footnote>
  <w:footnote w:id="604">
    <w:p w14:paraId="522AD373" w14:textId="547C61F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605">
    <w:p w14:paraId="4FFED139" w14:textId="42C68B02"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460" w:history="1">
        <w:r w:rsidRPr="001944CF">
          <w:rPr>
            <w:rStyle w:val="Hyperlink"/>
            <w:rFonts w:asciiTheme="majorHAnsi" w:hAnsiTheme="majorHAnsi"/>
            <w:i/>
            <w:color w:val="808080" w:themeColor="background1" w:themeShade="80"/>
            <w:lang w:val="es-MX"/>
          </w:rPr>
          <w:t>Situación de los derechos humanos en Guatemala: Diversidad, desigualdad y exclusión</w:t>
        </w:r>
      </w:hyperlink>
      <w:r w:rsidRPr="001944CF">
        <w:rPr>
          <w:rFonts w:asciiTheme="majorHAnsi" w:hAnsiTheme="majorHAnsi"/>
          <w:i/>
          <w:color w:val="808080" w:themeColor="background1" w:themeShade="80"/>
          <w:lang w:val="es-MX"/>
        </w:rPr>
        <w:t xml:space="preserve">, </w:t>
      </w:r>
      <w:r w:rsidRPr="001944CF">
        <w:rPr>
          <w:rFonts w:asciiTheme="majorHAnsi" w:hAnsiTheme="majorHAnsi"/>
          <w:color w:val="808080" w:themeColor="background1" w:themeShade="80"/>
          <w:lang w:val="es-MX"/>
        </w:rPr>
        <w:t xml:space="preserve">[‘Situation of Human Rights in Guatemala: Diversity, Inequality and Exclusion’], OEA/Ser. </w:t>
      </w:r>
      <w:r w:rsidRPr="001944CF">
        <w:rPr>
          <w:rFonts w:asciiTheme="majorHAnsi" w:hAnsiTheme="majorHAnsi"/>
          <w:color w:val="808080" w:themeColor="background1" w:themeShade="80"/>
          <w:lang w:val="es-ES"/>
        </w:rPr>
        <w:t>L/V/II.Doc. 43/15, 2015, para. 114 and following.</w:t>
      </w:r>
    </w:p>
  </w:footnote>
  <w:footnote w:id="606">
    <w:p w14:paraId="7DAD4781" w14:textId="55CF9C80" w:rsidR="001D7FF7" w:rsidRPr="001944CF" w:rsidRDefault="001D7FF7" w:rsidP="00B70540">
      <w:pPr>
        <w:autoSpaceDE w:val="0"/>
        <w:autoSpaceDN w:val="0"/>
        <w:adjustRightInd w:val="0"/>
        <w:spacing w:after="40" w:line="240" w:lineRule="auto"/>
        <w:ind w:left="547" w:hanging="547"/>
        <w:jc w:val="both"/>
        <w:rPr>
          <w:rFonts w:asciiTheme="majorHAnsi" w:eastAsia="MinionPro-Regular" w:hAnsiTheme="majorHAnsi" w:cs="MinionPro-Regular"/>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r>
      <w:r w:rsidRPr="001944CF">
        <w:rPr>
          <w:rFonts w:asciiTheme="majorHAnsi" w:eastAsia="MinionPro-Regular" w:hAnsiTheme="majorHAnsi" w:cs="MinionPro-Regular"/>
          <w:color w:val="808080" w:themeColor="background1" w:themeShade="80"/>
          <w:sz w:val="16"/>
          <w:szCs w:val="16"/>
          <w:lang w:val="es-MX"/>
        </w:rPr>
        <w:t xml:space="preserve">YAGENOVA, SIMONA V, </w:t>
      </w:r>
      <w:hyperlink r:id="rId461" w:history="1">
        <w:r w:rsidRPr="001944CF">
          <w:rPr>
            <w:rStyle w:val="Hyperlink"/>
            <w:rFonts w:asciiTheme="majorHAnsi" w:eastAsia="MinionPro-Regular" w:hAnsiTheme="majorHAnsi" w:cs="MinionPro-Regular"/>
            <w:i/>
            <w:color w:val="808080" w:themeColor="background1" w:themeShade="80"/>
            <w:sz w:val="16"/>
            <w:szCs w:val="16"/>
            <w:lang w:val="es-MX"/>
          </w:rPr>
          <w:t>La violencia contra las mujeres como problema de seguridad ciudadana y las políticas de seguridad. El caso de Guatemala, El Salvador, Honduras y Nicaragua</w:t>
        </w:r>
      </w:hyperlink>
      <w:r w:rsidRPr="001944CF">
        <w:rPr>
          <w:rFonts w:asciiTheme="majorHAnsi" w:eastAsia="MinionPro-Regular" w:hAnsiTheme="majorHAnsi" w:cs="MinionPro-Regular"/>
          <w:color w:val="808080" w:themeColor="background1" w:themeShade="80"/>
          <w:sz w:val="16"/>
          <w:szCs w:val="16"/>
          <w:lang w:val="es-MX"/>
        </w:rPr>
        <w:t>, [‘Violence against women as a citizen security problem and security policies. The case of Guatemala, El Salvador, Honduras and Nicaragua’], European Union, Diakonia, FLACSO, 2013.</w:t>
      </w:r>
    </w:p>
  </w:footnote>
  <w:footnote w:id="607">
    <w:p w14:paraId="7B9D0ADC" w14:textId="18B3AD00" w:rsidR="001D7FF7" w:rsidRPr="001944CF" w:rsidRDefault="001D7FF7" w:rsidP="00B70540">
      <w:pPr>
        <w:autoSpaceDE w:val="0"/>
        <w:autoSpaceDN w:val="0"/>
        <w:adjustRightInd w:val="0"/>
        <w:spacing w:after="40" w:line="240" w:lineRule="auto"/>
        <w:ind w:left="547" w:hanging="547"/>
        <w:jc w:val="both"/>
        <w:rPr>
          <w:rFonts w:asciiTheme="majorHAnsi" w:eastAsia="MinionPro-Regular" w:hAnsiTheme="majorHAnsi" w:cs="MinionPro-Regular"/>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sz w:val="16"/>
          <w:szCs w:val="16"/>
          <w:lang w:val="es-MX"/>
        </w:rPr>
        <w:tab/>
      </w:r>
      <w:r w:rsidRPr="001944CF">
        <w:rPr>
          <w:rFonts w:asciiTheme="majorHAnsi" w:eastAsia="MinionPro-Regular" w:hAnsiTheme="majorHAnsi" w:cs="MinionPro-Regular"/>
          <w:color w:val="808080" w:themeColor="background1" w:themeShade="80"/>
          <w:sz w:val="16"/>
          <w:szCs w:val="16"/>
          <w:lang w:val="es-MX"/>
        </w:rPr>
        <w:t xml:space="preserve">YAGENOVA, SIMONA V, </w:t>
      </w:r>
      <w:hyperlink r:id="rId462" w:history="1">
        <w:r w:rsidRPr="001944CF">
          <w:rPr>
            <w:rStyle w:val="Hyperlink"/>
            <w:rFonts w:asciiTheme="majorHAnsi" w:eastAsia="MinionPro-Regular" w:hAnsiTheme="majorHAnsi" w:cs="MinionPro-Regular"/>
            <w:i/>
            <w:color w:val="808080" w:themeColor="background1" w:themeShade="80"/>
            <w:sz w:val="16"/>
            <w:szCs w:val="16"/>
            <w:lang w:val="es-MX"/>
          </w:rPr>
          <w:t>La violencia contra las mujeres como problema de seguridad ciudadana y las políticas de seguridad. El caso de Guatemala, El Salvador, Honduras y Nicaragua</w:t>
        </w:r>
      </w:hyperlink>
      <w:r w:rsidRPr="001944CF">
        <w:rPr>
          <w:rFonts w:asciiTheme="majorHAnsi" w:eastAsia="MinionPro-Regular" w:hAnsiTheme="majorHAnsi" w:cs="MinionPro-Regular"/>
          <w:color w:val="808080" w:themeColor="background1" w:themeShade="80"/>
          <w:sz w:val="16"/>
          <w:szCs w:val="16"/>
          <w:lang w:val="es-MX"/>
        </w:rPr>
        <w:t xml:space="preserve">, [‘Violence against women as a citizen security problem and security policies. The case of Guatemala, El Salvador, Honduras and Nicaragua’], European Union, Diakonia, FLACSO, 2013. </w:t>
      </w:r>
    </w:p>
  </w:footnote>
  <w:footnote w:id="608">
    <w:p w14:paraId="52B68272" w14:textId="40008BF4"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Press Release No. 114A/17, </w:t>
      </w:r>
      <w:hyperlink r:id="rId463" w:history="1">
        <w:r w:rsidRPr="001944CF">
          <w:rPr>
            <w:rStyle w:val="Hyperlink"/>
            <w:rFonts w:asciiTheme="majorHAnsi" w:hAnsiTheme="majorHAnsi"/>
            <w:color w:val="808080" w:themeColor="background1" w:themeShade="80"/>
            <w:lang w:val="es-MX"/>
          </w:rPr>
          <w:t>Observaciones Preliminares de la Visita in loco de la CIDH a Guatemala</w:t>
        </w:r>
      </w:hyperlink>
      <w:r w:rsidRPr="001944CF">
        <w:rPr>
          <w:rFonts w:asciiTheme="majorHAnsi" w:hAnsiTheme="majorHAnsi"/>
          <w:color w:val="808080" w:themeColor="background1" w:themeShade="80"/>
          <w:lang w:val="es-MX"/>
        </w:rPr>
        <w:t>, [‘Preliminary Observations to the IACHR’s On-Site Visit to Guatemala’], August 4, 2017.</w:t>
      </w:r>
    </w:p>
  </w:footnote>
  <w:footnote w:id="609">
    <w:p w14:paraId="3EB7383D" w14:textId="7005D6E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Institutional Statement of the National Civilian Police of Guatemala to the IACHR, Official Letter No. 1251-2017, Ref. DG/NARR/Juárez, Reg. 4842, August 21, 2017. Communication of the State of Guatemala, Observations of the State of Guatemala to the IACHR’s preliminary observations regarding its On-site Visit, August 29, 2017. </w:t>
      </w:r>
    </w:p>
  </w:footnote>
  <w:footnote w:id="610">
    <w:p w14:paraId="15F55A6C" w14:textId="2B12056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r w:rsidRPr="001944CF">
        <w:rPr>
          <w:rFonts w:asciiTheme="majorHAnsi" w:hAnsiTheme="majorHAnsi"/>
          <w:i/>
          <w:color w:val="808080" w:themeColor="background1" w:themeShade="80"/>
        </w:rPr>
        <w:t xml:space="preserve">Situation of Human Rights in Guatemala: </w:t>
      </w:r>
      <w:r w:rsidRPr="001944CF">
        <w:rPr>
          <w:rFonts w:asciiTheme="majorHAnsi" w:hAnsiTheme="majorHAnsi"/>
          <w:color w:val="808080" w:themeColor="background1" w:themeShade="80"/>
        </w:rPr>
        <w:t>Diversity, Inequality and Exclusion, CIDH, OEA/Ser.L/V/II.Doc. 43/15, December 30, 2015.</w:t>
      </w:r>
    </w:p>
  </w:footnote>
  <w:footnote w:id="611">
    <w:p w14:paraId="009AA80C" w14:textId="6D671890" w:rsidR="001D7FF7" w:rsidRPr="001944CF" w:rsidRDefault="001D7FF7" w:rsidP="006F17D4">
      <w:pPr>
        <w:pStyle w:val="FootnoteText"/>
        <w:rPr>
          <w:rStyle w:val="Hyperlink"/>
          <w:rFonts w:asciiTheme="majorHAnsi" w:hAnsiTheme="majorHAnsi" w:cs="Times New Roman"/>
          <w:color w:val="808080" w:themeColor="background1" w:themeShade="80"/>
          <w:u w:color="A6A6A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UNICEF, </w:t>
      </w:r>
      <w:hyperlink r:id="rId464" w:history="1">
        <w:r w:rsidRPr="001944CF">
          <w:rPr>
            <w:rStyle w:val="Hyperlink"/>
            <w:rFonts w:asciiTheme="majorHAnsi" w:hAnsiTheme="majorHAnsi"/>
            <w:color w:val="808080" w:themeColor="background1" w:themeShade="80"/>
            <w:u w:color="A6A6A6"/>
          </w:rPr>
          <w:t>Hidden in Plain Sight: A statistical analysis of violence against children</w:t>
        </w:r>
      </w:hyperlink>
      <w:r w:rsidRPr="001944CF">
        <w:rPr>
          <w:rFonts w:asciiTheme="majorHAnsi" w:hAnsiTheme="majorHAnsi"/>
          <w:color w:val="808080" w:themeColor="background1" w:themeShade="80"/>
        </w:rPr>
        <w:t>, 2014, pg. 38 and 40, para.59.</w:t>
      </w:r>
    </w:p>
  </w:footnote>
  <w:footnote w:id="612">
    <w:p w14:paraId="482D7A6C" w14:textId="272630B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65" w:history="1">
        <w:r w:rsidRPr="001944CF">
          <w:rPr>
            <w:rStyle w:val="Hyperlink"/>
            <w:rFonts w:asciiTheme="majorHAnsi" w:hAnsiTheme="majorHAnsi"/>
            <w:i/>
            <w:color w:val="808080" w:themeColor="background1" w:themeShade="80"/>
          </w:rPr>
          <w:t>Violencia, niñez y crimen organizado</w:t>
        </w:r>
      </w:hyperlink>
      <w:r w:rsidRPr="001944CF">
        <w:rPr>
          <w:rFonts w:asciiTheme="majorHAnsi" w:hAnsiTheme="majorHAnsi"/>
          <w:color w:val="808080" w:themeColor="background1" w:themeShade="80"/>
        </w:rPr>
        <w:t>, [‘Violence, Children and Organized Crime’], OEA/Ser.L/V/II. Doc. 40/15, November 11, 2015, para. 154 to 179.</w:t>
      </w:r>
    </w:p>
  </w:footnote>
  <w:footnote w:id="613">
    <w:p w14:paraId="13BE6591" w14:textId="7F27C59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By way of example, the Office of the Public Prosecutor reported that in 2013, 451 violent deaths of children took place, but in 60% of the cases, no information was recorded about the hypothesis of the crime or any other information that would aid in defining the victims’ profile. No information was recorded either to make it possible to characterize the circumstances related to their deaths and thus help to design more effective public prevention and response policies and tailor them to protection needs, in addition to help to detect potential patterns of discrimination against particular social groups. Response to the questionnaire submitted by the State in preparation for the report </w:t>
      </w:r>
      <w:hyperlink r:id="rId466" w:history="1">
        <w:r w:rsidRPr="001944CF">
          <w:rPr>
            <w:rStyle w:val="Hyperlink"/>
            <w:rFonts w:asciiTheme="majorHAnsi" w:hAnsiTheme="majorHAnsi"/>
            <w:i/>
            <w:color w:val="808080" w:themeColor="background1" w:themeShade="80"/>
          </w:rPr>
          <w:t>Violencia, niñez y crimen organizado</w:t>
        </w:r>
      </w:hyperlink>
      <w:r w:rsidRPr="001944CF">
        <w:rPr>
          <w:rFonts w:asciiTheme="majorHAnsi" w:hAnsiTheme="majorHAnsi"/>
          <w:color w:val="808080" w:themeColor="background1" w:themeShade="80"/>
        </w:rPr>
        <w:t xml:space="preserve">, [Children and Organized Crime], p. 6. </w:t>
      </w:r>
    </w:p>
  </w:footnote>
  <w:footnote w:id="614">
    <w:p w14:paraId="0A4B32F0" w14:textId="33D49F1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of Guatemala, Annual Status Report 2016, p. 33.</w:t>
      </w:r>
    </w:p>
  </w:footnote>
  <w:footnote w:id="615">
    <w:p w14:paraId="01EDCAB4" w14:textId="7EE79EF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r w:rsidRPr="001944CF">
        <w:rPr>
          <w:rFonts w:asciiTheme="majorHAnsi" w:hAnsiTheme="majorHAnsi"/>
          <w:i/>
          <w:color w:val="808080" w:themeColor="background1" w:themeShade="80"/>
          <w:lang w:val="es-MX"/>
        </w:rPr>
        <w:t>Id</w:t>
      </w:r>
      <w:r w:rsidRPr="001944CF">
        <w:rPr>
          <w:rFonts w:asciiTheme="majorHAnsi" w:hAnsiTheme="majorHAnsi"/>
          <w:color w:val="808080" w:themeColor="background1" w:themeShade="80"/>
          <w:lang w:val="es-MX"/>
        </w:rPr>
        <w:t xml:space="preserve">. Prensa Libre, </w:t>
      </w:r>
      <w:hyperlink r:id="rId467" w:history="1">
        <w:r w:rsidRPr="001944CF">
          <w:rPr>
            <w:rStyle w:val="Hyperlink"/>
            <w:rFonts w:asciiTheme="majorHAnsi" w:hAnsiTheme="majorHAnsi"/>
            <w:color w:val="808080" w:themeColor="background1" w:themeShade="80"/>
            <w:lang w:val="es-MX"/>
          </w:rPr>
          <w:t>Guatemala registra hasta 22 violaciones sexuales al día</w:t>
        </w:r>
      </w:hyperlink>
      <w:r w:rsidRPr="001944CF">
        <w:rPr>
          <w:rFonts w:asciiTheme="majorHAnsi" w:hAnsiTheme="majorHAnsi"/>
          <w:color w:val="808080" w:themeColor="background1" w:themeShade="80"/>
          <w:lang w:val="es-MX"/>
        </w:rPr>
        <w:t>, [‘Guatemala reports up to 22 rapes per day’], June 30, 2017.</w:t>
      </w:r>
    </w:p>
  </w:footnote>
  <w:footnote w:id="616">
    <w:p w14:paraId="1A8600A2" w14:textId="16C9C4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of Guatemala, Annual Status Report 2016.</w:t>
      </w:r>
    </w:p>
  </w:footnote>
  <w:footnote w:id="617">
    <w:p w14:paraId="21D304E6" w14:textId="5586C4E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Prensa Libre, </w:t>
      </w:r>
      <w:hyperlink r:id="rId468" w:history="1">
        <w:r w:rsidRPr="001944CF">
          <w:rPr>
            <w:rStyle w:val="Hyperlink"/>
            <w:rFonts w:asciiTheme="majorHAnsi" w:hAnsiTheme="majorHAnsi"/>
            <w:color w:val="808080" w:themeColor="background1" w:themeShade="80"/>
            <w:lang w:val="es-MX"/>
          </w:rPr>
          <w:t>Guatemala registra hasta 22 violaciones sexuales al día</w:t>
        </w:r>
      </w:hyperlink>
      <w:r w:rsidRPr="001944CF">
        <w:rPr>
          <w:rFonts w:asciiTheme="majorHAnsi" w:hAnsiTheme="majorHAnsi"/>
          <w:color w:val="808080" w:themeColor="background1" w:themeShade="80"/>
          <w:lang w:val="es-MX"/>
        </w:rPr>
        <w:t>, [‘Guatemala reports up to 22 rapes per day’], June 30, 2017.</w:t>
      </w:r>
    </w:p>
  </w:footnote>
  <w:footnote w:id="618">
    <w:p w14:paraId="376F9EF5" w14:textId="2E3D47D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Human Rights Ombudsman of Guatemala, Annual Status Report 2016. Additionally, the departments where the most victims were reported were: Guatemala (32%), Alta Verapaz, Escuintla and Quiché (5% each); Huehuetenango, Quet</w:t>
      </w:r>
      <w:r w:rsidRPr="001944CF">
        <w:rPr>
          <w:rFonts w:asciiTheme="majorHAnsi" w:hAnsiTheme="majorHAnsi"/>
          <w:color w:val="808080" w:themeColor="background1" w:themeShade="80"/>
        </w:rPr>
        <w:softHyphen/>
        <w:t>zaltenango, Petén and Suchitepéquez (4% each); Chimaltenango and San Marcos (3% each).</w:t>
      </w:r>
    </w:p>
  </w:footnote>
  <w:footnote w:id="619">
    <w:p w14:paraId="5031E7B5" w14:textId="7FF995C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Report on the general situation of children and adolescents in Guatemala, in the context of the country visit of the Inter-American Commission on Human Rights to Guatemala from July 31 to August 4, 2017, National and international organizations. In the IACHR archives. </w:t>
      </w:r>
    </w:p>
  </w:footnote>
  <w:footnote w:id="620">
    <w:p w14:paraId="2592E844" w14:textId="24F33C7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621">
    <w:p w14:paraId="0FE5468F" w14:textId="2262BCC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622">
    <w:p w14:paraId="69D084DC" w14:textId="40EFFBB3" w:rsidR="001D7FF7" w:rsidRPr="005725AE"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5725AE">
        <w:rPr>
          <w:rFonts w:asciiTheme="majorHAnsi" w:hAnsiTheme="majorHAnsi"/>
          <w:color w:val="808080" w:themeColor="background1" w:themeShade="80"/>
        </w:rPr>
        <w:t xml:space="preserve"> </w:t>
      </w:r>
      <w:r w:rsidRPr="005725AE">
        <w:rPr>
          <w:rFonts w:asciiTheme="majorHAnsi" w:hAnsiTheme="majorHAnsi"/>
          <w:color w:val="808080" w:themeColor="background1" w:themeShade="80"/>
        </w:rPr>
        <w:tab/>
      </w:r>
      <w:r w:rsidRPr="005725AE">
        <w:rPr>
          <w:rFonts w:asciiTheme="majorHAnsi" w:hAnsiTheme="majorHAnsi"/>
          <w:i/>
          <w:color w:val="808080" w:themeColor="background1" w:themeShade="80"/>
        </w:rPr>
        <w:t>Ibid</w:t>
      </w:r>
      <w:r w:rsidRPr="005725AE">
        <w:rPr>
          <w:rFonts w:asciiTheme="majorHAnsi" w:hAnsiTheme="majorHAnsi"/>
          <w:color w:val="808080" w:themeColor="background1" w:themeShade="80"/>
        </w:rPr>
        <w:t>.</w:t>
      </w:r>
    </w:p>
  </w:footnote>
  <w:footnote w:id="623">
    <w:p w14:paraId="7F85CC80" w14:textId="75397FDC" w:rsidR="001D7FF7" w:rsidRPr="005725AE"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5725AE">
        <w:rPr>
          <w:rFonts w:asciiTheme="majorHAnsi" w:hAnsiTheme="majorHAnsi"/>
          <w:color w:val="808080" w:themeColor="background1" w:themeShade="80"/>
        </w:rPr>
        <w:t xml:space="preserve"> </w:t>
      </w:r>
      <w:r w:rsidRPr="005725AE">
        <w:rPr>
          <w:rFonts w:asciiTheme="majorHAnsi" w:hAnsiTheme="majorHAnsi"/>
          <w:color w:val="808080" w:themeColor="background1" w:themeShade="80"/>
        </w:rPr>
        <w:tab/>
      </w:r>
      <w:r w:rsidRPr="005725AE">
        <w:rPr>
          <w:rFonts w:asciiTheme="majorHAnsi" w:hAnsiTheme="majorHAnsi"/>
          <w:i/>
          <w:color w:val="808080" w:themeColor="background1" w:themeShade="80"/>
        </w:rPr>
        <w:t>Ibid</w:t>
      </w:r>
      <w:r w:rsidRPr="005725AE">
        <w:rPr>
          <w:rFonts w:asciiTheme="majorHAnsi" w:hAnsiTheme="majorHAnsi"/>
          <w:color w:val="808080" w:themeColor="background1" w:themeShade="80"/>
        </w:rPr>
        <w:t>.</w:t>
      </w:r>
    </w:p>
  </w:footnote>
  <w:footnote w:id="624">
    <w:p w14:paraId="4B034FDF" w14:textId="39EB154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5725AE">
        <w:rPr>
          <w:rFonts w:asciiTheme="majorHAnsi" w:hAnsiTheme="majorHAnsi"/>
          <w:color w:val="808080" w:themeColor="background1" w:themeShade="80"/>
        </w:rPr>
        <w:t xml:space="preserve"> </w:t>
      </w:r>
      <w:r w:rsidRPr="005725AE">
        <w:rPr>
          <w:rFonts w:asciiTheme="majorHAnsi" w:hAnsiTheme="majorHAnsi"/>
          <w:color w:val="808080" w:themeColor="background1" w:themeShade="80"/>
        </w:rPr>
        <w:tab/>
        <w:t xml:space="preserve">Press article, Prensa Libre, Congreso prohíbe matrimonio de menores de edad sin excepciones [‘Congress prohibits marriage of minors without exception’], August 17, 2017. </w:t>
      </w:r>
      <w:r w:rsidRPr="001944CF">
        <w:rPr>
          <w:rFonts w:asciiTheme="majorHAnsi" w:hAnsiTheme="majorHAnsi"/>
          <w:color w:val="808080" w:themeColor="background1" w:themeShade="80"/>
        </w:rPr>
        <w:t xml:space="preserve">Can be viewed at: </w:t>
      </w:r>
      <w:hyperlink r:id="rId469" w:history="1">
        <w:r w:rsidRPr="001944CF">
          <w:rPr>
            <w:rStyle w:val="Hyperlink"/>
            <w:rFonts w:asciiTheme="majorHAnsi" w:hAnsiTheme="majorHAnsi"/>
            <w:color w:val="808080" w:themeColor="background1" w:themeShade="80"/>
          </w:rPr>
          <w:t>http://www.prensalibre.com/guatemala/politica/congreso-prohibe-matrimonio-entre-menores-de-edad-sin-excepciones</w:t>
        </w:r>
      </w:hyperlink>
      <w:r w:rsidRPr="001944CF">
        <w:rPr>
          <w:rFonts w:asciiTheme="majorHAnsi" w:hAnsiTheme="majorHAnsi"/>
          <w:color w:val="808080" w:themeColor="background1" w:themeShade="80"/>
        </w:rPr>
        <w:t xml:space="preserve">. </w:t>
      </w:r>
    </w:p>
  </w:footnote>
  <w:footnote w:id="625">
    <w:p w14:paraId="591C0423" w14:textId="0A9C3676" w:rsidR="001D7FF7" w:rsidRPr="001944CF" w:rsidRDefault="001D7FF7" w:rsidP="00B70540">
      <w:pPr>
        <w:suppressAutoHyphens/>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footnoteRef/>
      </w:r>
      <w:r w:rsidRPr="001944CF">
        <w:rPr>
          <w:rFonts w:asciiTheme="majorHAnsi" w:hAnsiTheme="majorHAnsi" w:cs="Calibri"/>
          <w:color w:val="808080" w:themeColor="background1" w:themeShade="80"/>
          <w:sz w:val="16"/>
          <w:szCs w:val="16"/>
        </w:rPr>
        <w:t xml:space="preserve"> </w:t>
      </w:r>
      <w:r w:rsidRPr="001944CF">
        <w:rPr>
          <w:rFonts w:asciiTheme="majorHAnsi" w:hAnsiTheme="majorHAnsi" w:cs="Calibri"/>
          <w:color w:val="808080" w:themeColor="background1" w:themeShade="80"/>
          <w:sz w:val="16"/>
          <w:szCs w:val="16"/>
        </w:rPr>
        <w:tab/>
      </w:r>
      <w:hyperlink r:id="rId470" w:history="1">
        <w:r w:rsidRPr="001944CF">
          <w:rPr>
            <w:rStyle w:val="Hyperlink"/>
            <w:rFonts w:asciiTheme="majorHAnsi" w:hAnsiTheme="majorHAnsi" w:cs="Calibri"/>
            <w:color w:val="808080" w:themeColor="background1" w:themeShade="80"/>
            <w:sz w:val="16"/>
            <w:szCs w:val="16"/>
            <w:u w:color="A6A6A6"/>
          </w:rPr>
          <w:t>Informe del Alto Comisionado de las Naciones Unidas para los Derechos Humanos sobre las actividades de sus Oficina en Guatemala 2014</w:t>
        </w:r>
      </w:hyperlink>
      <w:r w:rsidRPr="001944CF">
        <w:rPr>
          <w:rFonts w:asciiTheme="majorHAnsi" w:hAnsiTheme="majorHAnsi" w:cs="Calibri"/>
          <w:color w:val="808080" w:themeColor="background1" w:themeShade="80"/>
          <w:sz w:val="16"/>
          <w:szCs w:val="16"/>
        </w:rPr>
        <w:t xml:space="preserve">, [‘Report of the United Nations High Commissioner for Human Rights on the activities of his Office in Guatemala 2014’], para. </w:t>
      </w:r>
      <w:r w:rsidRPr="001944CF">
        <w:rPr>
          <w:rFonts w:asciiTheme="majorHAnsi" w:hAnsiTheme="majorHAnsi" w:cs="Calibri"/>
          <w:color w:val="808080" w:themeColor="background1" w:themeShade="80"/>
          <w:sz w:val="16"/>
          <w:szCs w:val="16"/>
          <w:shd w:val="clear" w:color="auto" w:fill="FFFFFF"/>
        </w:rPr>
        <w:t>41.</w:t>
      </w:r>
    </w:p>
  </w:footnote>
  <w:footnote w:id="626">
    <w:p w14:paraId="22D7A2A9" w14:textId="25E2156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 Release </w:t>
      </w:r>
      <w:hyperlink r:id="rId471" w:history="1">
        <w:r w:rsidRPr="001944CF">
          <w:rPr>
            <w:rStyle w:val="Hyperlink"/>
            <w:rFonts w:asciiTheme="majorHAnsi" w:hAnsiTheme="majorHAnsi"/>
            <w:color w:val="808080" w:themeColor="background1" w:themeShade="80"/>
          </w:rPr>
          <w:t>114A/17 - Observaciones Preliminares de la Visita in Loco de la CIDH a Guatemala</w:t>
        </w:r>
      </w:hyperlink>
      <w:r w:rsidRPr="001944CF">
        <w:rPr>
          <w:rFonts w:asciiTheme="majorHAnsi" w:hAnsiTheme="majorHAnsi"/>
          <w:color w:val="808080" w:themeColor="background1" w:themeShade="80"/>
        </w:rPr>
        <w:t xml:space="preserve"> [‘Preliminary Observations to the IACHR’s On-Site Visit to Guatemala’], August 4, 2017.</w:t>
      </w:r>
    </w:p>
  </w:footnote>
  <w:footnote w:id="627">
    <w:p w14:paraId="4587EF1B" w14:textId="6D5BBD4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Communication of the Guatemalan State, Observations of the State of Guatemala to the </w:t>
      </w:r>
      <w:r w:rsidRPr="001944CF">
        <w:rPr>
          <w:rFonts w:asciiTheme="majorHAnsi" w:hAnsiTheme="majorHAnsi"/>
          <w:i/>
          <w:color w:val="808080" w:themeColor="background1" w:themeShade="80"/>
        </w:rPr>
        <w:t>Preliminary Observations of the IACHR regarding its On-Site visit,</w:t>
      </w:r>
      <w:r w:rsidRPr="001944CF">
        <w:rPr>
          <w:rFonts w:asciiTheme="majorHAnsi" w:hAnsiTheme="majorHAnsi"/>
          <w:color w:val="808080" w:themeColor="background1" w:themeShade="80"/>
        </w:rPr>
        <w:t xml:space="preserve"> Annex 10, Communiqué of the Ministry of National Defense, August 29, 2017</w:t>
      </w:r>
    </w:p>
  </w:footnote>
  <w:footnote w:id="628">
    <w:p w14:paraId="0AECC41D" w14:textId="737A053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72" w:history="1">
        <w:r w:rsidRPr="001944CF">
          <w:rPr>
            <w:rStyle w:val="Hyperlink"/>
            <w:rFonts w:asciiTheme="majorHAnsi" w:hAnsiTheme="majorHAnsi"/>
            <w:i/>
            <w:color w:val="808080" w:themeColor="background1" w:themeShade="80"/>
          </w:rPr>
          <w:t>Violencia, niñez y crimen organizado</w:t>
        </w:r>
      </w:hyperlink>
      <w:r w:rsidRPr="001944CF">
        <w:rPr>
          <w:rFonts w:asciiTheme="majorHAnsi" w:hAnsiTheme="majorHAnsi"/>
          <w:color w:val="808080" w:themeColor="background1" w:themeShade="80"/>
        </w:rPr>
        <w:t xml:space="preserve"> [‘Violence, Children and Organized Crime’], OEA/Ser.L/V/II. Doc. 40/15, November 11, 2015, para. 533.</w:t>
      </w:r>
    </w:p>
  </w:footnote>
  <w:footnote w:id="629">
    <w:p w14:paraId="382C5631" w14:textId="2B28064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2016 Annual Report, </w:t>
      </w:r>
      <w:hyperlink r:id="rId473" w:history="1">
        <w:r w:rsidRPr="001944CF">
          <w:rPr>
            <w:rStyle w:val="Hyperlink"/>
            <w:rFonts w:asciiTheme="majorHAnsi" w:hAnsiTheme="majorHAnsi"/>
            <w:i/>
            <w:color w:val="808080" w:themeColor="background1" w:themeShade="80"/>
          </w:rPr>
          <w:t>Capítulo V: Seguimiento de recomendaciones formuladas por la CIDH en sus informes de país o temáticos</w:t>
        </w:r>
      </w:hyperlink>
      <w:r w:rsidRPr="001944CF">
        <w:rPr>
          <w:rFonts w:asciiTheme="majorHAnsi" w:hAnsiTheme="majorHAnsi"/>
          <w:color w:val="808080" w:themeColor="background1" w:themeShade="80"/>
        </w:rPr>
        <w:t xml:space="preserve"> [‘Chapter V: Follow-Up of Recommendations Issued by the IACHR in its Country or Thematic Reports’] para. 121.</w:t>
      </w:r>
    </w:p>
  </w:footnote>
  <w:footnote w:id="630">
    <w:p w14:paraId="17F35E7C" w14:textId="3986654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from civil society organizations and indigenous authorities during the country visit, July 31 to August 4, 2017. </w:t>
      </w:r>
    </w:p>
  </w:footnote>
  <w:footnote w:id="631">
    <w:p w14:paraId="6E7C75DD" w14:textId="73E9370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International Peace Brigades, Monthly Information Packet of Guatemala, No. 164, May 2017, p. 3.</w:t>
      </w:r>
    </w:p>
  </w:footnote>
  <w:footnote w:id="632">
    <w:p w14:paraId="37C28FAE" w14:textId="54F1E62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International Peace Brigades, Monthly Information Packet of Guatemala, No. 164, May 2017, p. 3.</w:t>
      </w:r>
    </w:p>
  </w:footnote>
  <w:footnote w:id="633">
    <w:p w14:paraId="3E0ECB5F" w14:textId="5F167C4B"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 xml:space="preserve"> </w:t>
      </w:r>
      <w:r w:rsidRPr="001944CF">
        <w:rPr>
          <w:rFonts w:asciiTheme="majorHAnsi" w:hAnsiTheme="majorHAnsi" w:cs="Calibri"/>
          <w:color w:val="808080" w:themeColor="background1" w:themeShade="80"/>
          <w:sz w:val="16"/>
          <w:szCs w:val="16"/>
        </w:rPr>
        <w:tab/>
        <w:t xml:space="preserve">IACHR, </w:t>
      </w:r>
      <w:r w:rsidRPr="001944CF">
        <w:rPr>
          <w:rFonts w:asciiTheme="majorHAnsi" w:hAnsiTheme="majorHAnsi" w:cs="Calibri"/>
          <w:i/>
          <w:color w:val="808080" w:themeColor="background1" w:themeShade="80"/>
          <w:sz w:val="16"/>
          <w:szCs w:val="16"/>
        </w:rPr>
        <w:t xml:space="preserve">Justice and Social Inclusion: Challenges of Democracy in Guatemala (2003). </w:t>
      </w:r>
      <w:r w:rsidRPr="001944CF">
        <w:rPr>
          <w:rFonts w:asciiTheme="majorHAnsi" w:hAnsiTheme="majorHAnsi" w:cs="Calibri"/>
          <w:color w:val="808080" w:themeColor="background1" w:themeShade="80"/>
          <w:sz w:val="16"/>
          <w:szCs w:val="16"/>
        </w:rPr>
        <w:t>General Conclusions, para. 434; and UNHCHR. Report on the activities of his office in Guatemala. January 30, 2012. A/HRC/19/21/Add.1.</w:t>
      </w:r>
    </w:p>
  </w:footnote>
  <w:footnote w:id="634">
    <w:p w14:paraId="589CC816" w14:textId="7CAB3032" w:rsidR="001D7FF7" w:rsidRPr="001944CF" w:rsidRDefault="001D7FF7" w:rsidP="00B70540">
      <w:pPr>
        <w:spacing w:after="40" w:line="240" w:lineRule="auto"/>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footnoteRef/>
      </w:r>
      <w:r w:rsidRPr="001944CF">
        <w:rPr>
          <w:rStyle w:val="FootnoteReference"/>
          <w:rFonts w:asciiTheme="majorHAnsi" w:hAnsiTheme="majorHAnsi" w:cs="Calibri"/>
          <w:color w:val="808080" w:themeColor="background1" w:themeShade="80"/>
          <w:sz w:val="16"/>
          <w:szCs w:val="16"/>
        </w:rPr>
        <w:t xml:space="preserve"> </w:t>
      </w:r>
      <w:r w:rsidRPr="001944CF">
        <w:rPr>
          <w:rFonts w:asciiTheme="majorHAnsi" w:hAnsiTheme="majorHAnsi" w:cs="Calibri"/>
          <w:color w:val="808080" w:themeColor="background1" w:themeShade="80"/>
          <w:sz w:val="16"/>
          <w:szCs w:val="16"/>
        </w:rPr>
        <w:tab/>
        <w:t>SEPAZ, Memoria de labores de 2012. Guatemala, 2012, pg. 9. Also see SEPAZ, Memoria de labores de 2016. Guatemala, 2016.</w:t>
      </w:r>
    </w:p>
  </w:footnote>
  <w:footnote w:id="635">
    <w:p w14:paraId="11B4E643" w14:textId="4E64DE0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International Peace Brigades, Monthly Information Packet of Guatemala, No. 164, May 2017, p. 4.</w:t>
      </w:r>
    </w:p>
  </w:footnote>
  <w:footnote w:id="636">
    <w:p w14:paraId="63F24BE3" w14:textId="0EA6BA17"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Section III.C, para. </w:t>
      </w:r>
      <w:r w:rsidRPr="001944CF">
        <w:rPr>
          <w:rFonts w:asciiTheme="majorHAnsi" w:hAnsiTheme="majorHAnsi"/>
          <w:color w:val="808080" w:themeColor="background1" w:themeShade="80"/>
        </w:rPr>
        <w:fldChar w:fldCharType="begin"/>
      </w:r>
      <w:r w:rsidRPr="001944CF">
        <w:rPr>
          <w:rFonts w:asciiTheme="majorHAnsi" w:hAnsiTheme="majorHAnsi"/>
          <w:color w:val="808080" w:themeColor="background1" w:themeShade="80"/>
        </w:rPr>
        <w:instrText xml:space="preserve"> REF _Ref367897195 \r \h  \* MERGEFORMAT </w:instrText>
      </w:r>
      <w:r w:rsidRPr="001944CF">
        <w:rPr>
          <w:rFonts w:asciiTheme="majorHAnsi" w:hAnsiTheme="majorHAnsi"/>
          <w:color w:val="808080" w:themeColor="background1" w:themeShade="80"/>
        </w:rPr>
      </w:r>
      <w:r w:rsidRPr="001944CF">
        <w:rPr>
          <w:rFonts w:asciiTheme="majorHAnsi" w:hAnsiTheme="majorHAnsi"/>
          <w:color w:val="808080" w:themeColor="background1" w:themeShade="80"/>
        </w:rPr>
        <w:fldChar w:fldCharType="separate"/>
      </w:r>
      <w:r w:rsidRPr="001944CF">
        <w:rPr>
          <w:rFonts w:asciiTheme="majorHAnsi" w:hAnsiTheme="majorHAnsi"/>
          <w:color w:val="808080" w:themeColor="background1" w:themeShade="80"/>
          <w:lang w:val="es-ES"/>
        </w:rPr>
        <w:t>109</w:t>
      </w:r>
      <w:r w:rsidRPr="001944CF">
        <w:rPr>
          <w:rFonts w:asciiTheme="majorHAnsi" w:hAnsiTheme="majorHAnsi"/>
          <w:color w:val="808080" w:themeColor="background1" w:themeShade="80"/>
        </w:rPr>
        <w:fldChar w:fldCharType="end"/>
      </w:r>
      <w:r w:rsidRPr="001944CF">
        <w:rPr>
          <w:rFonts w:asciiTheme="majorHAnsi" w:hAnsiTheme="majorHAnsi"/>
          <w:color w:val="808080" w:themeColor="background1" w:themeShade="80"/>
          <w:lang w:val="es-ES"/>
        </w:rPr>
        <w:t xml:space="preserve">, </w:t>
      </w:r>
      <w:r w:rsidRPr="001944CF">
        <w:rPr>
          <w:rFonts w:asciiTheme="majorHAnsi" w:hAnsiTheme="majorHAnsi"/>
          <w:i/>
          <w:color w:val="808080" w:themeColor="background1" w:themeShade="80"/>
          <w:lang w:val="es-ES"/>
        </w:rPr>
        <w:t>supra</w:t>
      </w:r>
      <w:r w:rsidRPr="001944CF">
        <w:rPr>
          <w:rFonts w:asciiTheme="majorHAnsi" w:hAnsiTheme="majorHAnsi"/>
          <w:color w:val="808080" w:themeColor="background1" w:themeShade="80"/>
          <w:lang w:val="es-ES"/>
        </w:rPr>
        <w:t>.</w:t>
      </w:r>
    </w:p>
  </w:footnote>
  <w:footnote w:id="637">
    <w:p w14:paraId="61564277" w14:textId="2D3DCE63"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Redlactrans, </w:t>
      </w:r>
      <w:hyperlink r:id="rId474" w:history="1">
        <w:r w:rsidRPr="001944CF">
          <w:rPr>
            <w:rStyle w:val="Hyperlink"/>
            <w:rFonts w:asciiTheme="majorHAnsi" w:hAnsiTheme="majorHAnsi"/>
            <w:color w:val="808080" w:themeColor="background1" w:themeShade="80"/>
            <w:lang w:val="es-MX"/>
          </w:rPr>
          <w:t>Violaciones a los Derechos Humanos de Mujeres Trans en Costa Rica, El Salvador, Guatemala, Honduras y Panamá</w:t>
        </w:r>
      </w:hyperlink>
      <w:r w:rsidRPr="001944CF">
        <w:rPr>
          <w:rFonts w:asciiTheme="majorHAnsi" w:hAnsiTheme="majorHAnsi"/>
          <w:color w:val="808080" w:themeColor="background1" w:themeShade="80"/>
          <w:lang w:val="es-MX"/>
        </w:rPr>
        <w:t xml:space="preserve"> [‘Violations of the Human Rights of Trans Women in Costa Rica, El Salvador, Guatemala, Honduras and Panama’], January 2016, para. 121, p. 33.</w:t>
      </w:r>
    </w:p>
  </w:footnote>
  <w:footnote w:id="638">
    <w:p w14:paraId="4540CADD" w14:textId="37237120" w:rsidR="001D7FF7" w:rsidRPr="001944CF" w:rsidRDefault="001D7FF7" w:rsidP="006F17D4">
      <w:pPr>
        <w:pStyle w:val="FootnoteText"/>
        <w:rPr>
          <w:rStyle w:val="FootnoteTextCha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Style w:val="FootnoteTextChar"/>
          <w:rFonts w:asciiTheme="majorHAnsi" w:hAnsiTheme="majorHAnsi"/>
          <w:color w:val="808080" w:themeColor="background1" w:themeShade="80"/>
          <w:lang w:val="es-MX"/>
        </w:rPr>
        <w:t xml:space="preserve"> </w:t>
      </w:r>
      <w:r w:rsidRPr="001944CF">
        <w:rPr>
          <w:rStyle w:val="FootnoteTextChar"/>
          <w:rFonts w:asciiTheme="majorHAnsi" w:hAnsiTheme="majorHAnsi"/>
          <w:color w:val="808080" w:themeColor="background1" w:themeShade="80"/>
          <w:lang w:val="es-MX"/>
        </w:rPr>
        <w:tab/>
        <w:t xml:space="preserve">Redlactrans, </w:t>
      </w:r>
      <w:hyperlink r:id="rId475" w:history="1">
        <w:r w:rsidRPr="001944CF">
          <w:rPr>
            <w:rStyle w:val="FootnoteTextChar"/>
            <w:rFonts w:asciiTheme="majorHAnsi" w:hAnsiTheme="majorHAnsi"/>
            <w:i/>
            <w:color w:val="808080" w:themeColor="background1" w:themeShade="80"/>
            <w:lang w:val="es-MX"/>
          </w:rPr>
          <w:t>Violaciones a los Derechos Humanos de Mujeres Trans en Costa Rica</w:t>
        </w:r>
        <w:r w:rsidRPr="001944CF">
          <w:rPr>
            <w:rStyle w:val="FootnoteTextChar"/>
            <w:rFonts w:asciiTheme="majorHAnsi" w:hAnsiTheme="majorHAnsi"/>
            <w:color w:val="808080" w:themeColor="background1" w:themeShade="80"/>
            <w:lang w:val="es-MX"/>
          </w:rPr>
          <w:t>, El Salvador, Guatemala, Honduras y Panamá</w:t>
        </w:r>
      </w:hyperlink>
      <w:r w:rsidRPr="001944CF">
        <w:rPr>
          <w:rStyle w:val="FootnoteTextCha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 xml:space="preserve">[‘Violations of the Human Rights of Trans Women in Costa Rica, El Salvador, Guatemala, Honduras and Panama’], January 2016, pars. </w:t>
      </w:r>
      <w:r w:rsidRPr="001944CF">
        <w:rPr>
          <w:rStyle w:val="FootnoteTextChar"/>
          <w:rFonts w:asciiTheme="majorHAnsi" w:hAnsiTheme="majorHAnsi"/>
          <w:color w:val="808080" w:themeColor="background1" w:themeShade="80"/>
          <w:lang w:val="es-MX"/>
        </w:rPr>
        <w:t xml:space="preserve">132-134, p. 36 </w:t>
      </w:r>
    </w:p>
  </w:footnote>
  <w:footnote w:id="639">
    <w:p w14:paraId="61B34EE2" w14:textId="65B7A533" w:rsidR="001D7FF7" w:rsidRPr="001944CF" w:rsidRDefault="001D7FF7" w:rsidP="006F17D4">
      <w:pPr>
        <w:pStyle w:val="FootnoteText"/>
        <w:rPr>
          <w:rStyle w:val="FootnoteTextCha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r w:rsidRPr="001944CF">
        <w:rPr>
          <w:rStyle w:val="FootnoteTextChar"/>
          <w:rFonts w:asciiTheme="majorHAnsi" w:hAnsiTheme="majorHAnsi"/>
          <w:color w:val="808080" w:themeColor="background1" w:themeShade="80"/>
          <w:lang w:val="es-MX"/>
        </w:rPr>
        <w:t xml:space="preserve">Redlactrans, </w:t>
      </w:r>
      <w:hyperlink r:id="rId476" w:history="1">
        <w:r w:rsidRPr="001944CF">
          <w:rPr>
            <w:rStyle w:val="FootnoteTextChar"/>
            <w:rFonts w:asciiTheme="majorHAnsi" w:hAnsiTheme="majorHAnsi"/>
            <w:i/>
            <w:color w:val="808080" w:themeColor="background1" w:themeShade="80"/>
            <w:lang w:val="es-MX"/>
          </w:rPr>
          <w:t>Violaciones a los Derechos Humanos de Mujeres Trans en Costa Rica, El Salvador, Guatemala, Honduras y Panamá</w:t>
        </w:r>
      </w:hyperlink>
      <w:r w:rsidRPr="001944CF">
        <w:rPr>
          <w:rStyle w:val="FootnoteTextCha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 xml:space="preserve">[‘Violations of the Human Rights of Trans Women in Costa Rica, El Salvador, Guatemala, Honduras and Panama’], January 2016, para. </w:t>
      </w:r>
      <w:r w:rsidRPr="001944CF">
        <w:rPr>
          <w:rStyle w:val="FootnoteTextChar"/>
          <w:rFonts w:asciiTheme="majorHAnsi" w:hAnsiTheme="majorHAnsi"/>
          <w:color w:val="808080" w:themeColor="background1" w:themeShade="80"/>
          <w:lang w:val="es-MX"/>
        </w:rPr>
        <w:t>139, p. 38.</w:t>
      </w:r>
    </w:p>
  </w:footnote>
  <w:footnote w:id="640">
    <w:p w14:paraId="36E622B2" w14:textId="514987CB" w:rsidR="001D7FF7" w:rsidRPr="001944CF" w:rsidRDefault="001D7FF7" w:rsidP="006F17D4">
      <w:pPr>
        <w:pStyle w:val="FootnoteText"/>
        <w:rPr>
          <w:rStyle w:val="FootnoteTextCha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r>
      <w:r w:rsidRPr="001944CF">
        <w:rPr>
          <w:rStyle w:val="FootnoteTextChar"/>
          <w:rFonts w:asciiTheme="majorHAnsi" w:hAnsiTheme="majorHAnsi"/>
          <w:color w:val="808080" w:themeColor="background1" w:themeShade="80"/>
          <w:lang w:val="es-MX"/>
        </w:rPr>
        <w:t xml:space="preserve">Redlactrans, </w:t>
      </w:r>
      <w:hyperlink r:id="rId477" w:history="1">
        <w:r w:rsidRPr="001944CF">
          <w:rPr>
            <w:rStyle w:val="FootnoteTextChar"/>
            <w:rFonts w:asciiTheme="majorHAnsi" w:hAnsiTheme="majorHAnsi"/>
            <w:i/>
            <w:color w:val="808080" w:themeColor="background1" w:themeShade="80"/>
            <w:lang w:val="es-MX"/>
          </w:rPr>
          <w:t>Violaciones a los Derechos Humanos de Mujeres Trans en Costa Rica, El Salvador, Guatemala, Honduras y Panamá</w:t>
        </w:r>
      </w:hyperlink>
      <w:r w:rsidRPr="001944CF">
        <w:rPr>
          <w:rStyle w:val="FootnoteTextCha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 xml:space="preserve">[‘Violations of the Human Rights of Trans Women in Costa Rica, El Salvador, Guatemala, Honduras and Panama’], January 2016, para. </w:t>
      </w:r>
      <w:r w:rsidRPr="001944CF">
        <w:rPr>
          <w:rStyle w:val="FootnoteTextChar"/>
          <w:rFonts w:asciiTheme="majorHAnsi" w:hAnsiTheme="majorHAnsi"/>
          <w:color w:val="808080" w:themeColor="background1" w:themeShade="80"/>
          <w:lang w:val="es-MX"/>
        </w:rPr>
        <w:t>141, p. 38.</w:t>
      </w:r>
    </w:p>
  </w:footnote>
  <w:footnote w:id="641">
    <w:p w14:paraId="35CDE466" w14:textId="0CEB50AA"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478" w:history="1">
        <w:r w:rsidRPr="001944CF">
          <w:rPr>
            <w:rStyle w:val="Hyperlink"/>
            <w:rFonts w:asciiTheme="majorHAnsi" w:hAnsiTheme="majorHAnsi"/>
            <w:color w:val="808080" w:themeColor="background1" w:themeShade="80"/>
            <w:lang w:val="es-MX"/>
          </w:rPr>
          <w:t>MC 3-06 - Kevin Josué Alegría Robles y miembros de OASIS, Guatemala</w:t>
        </w:r>
      </w:hyperlink>
      <w:r w:rsidRPr="001944CF">
        <w:rPr>
          <w:rFonts w:asciiTheme="majorHAnsi" w:hAnsiTheme="majorHAnsi"/>
          <w:color w:val="808080" w:themeColor="background1" w:themeShade="80"/>
          <w:lang w:val="es-MX"/>
        </w:rPr>
        <w:t>, February 3, 2006.</w:t>
      </w:r>
    </w:p>
  </w:footnote>
  <w:footnote w:id="642">
    <w:p w14:paraId="36BFFFD0" w14:textId="3A823C09" w:rsidR="001D7FF7" w:rsidRPr="001944CF" w:rsidRDefault="001D7FF7" w:rsidP="006F17D4">
      <w:pPr>
        <w:pStyle w:val="FootnoteText"/>
        <w:rPr>
          <w:rStyle w:val="FootnoteReference"/>
          <w:rFonts w:asciiTheme="majorHAnsi" w:hAnsiTheme="majorHAnsi" w:cs="Times New Roman"/>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479" w:history="1">
        <w:r w:rsidRPr="001944CF">
          <w:rPr>
            <w:rStyle w:val="Hyperlink"/>
            <w:rFonts w:asciiTheme="majorHAnsi" w:hAnsiTheme="majorHAnsi"/>
            <w:color w:val="808080" w:themeColor="background1" w:themeShade="80"/>
            <w:lang w:val="es-MX"/>
          </w:rPr>
          <w:t>Comunicado de Prensa 181/2016, CIDH repudia asesinato de defensora de derechos humanos de personas trans en Guatemala</w:t>
        </w:r>
      </w:hyperlink>
      <w:r w:rsidRPr="001944CF">
        <w:rPr>
          <w:rStyle w:val="FootnoteReference"/>
          <w:rFonts w:asciiTheme="majorHAnsi" w:hAnsiTheme="majorHAnsi"/>
          <w:color w:val="808080" w:themeColor="background1" w:themeShade="80"/>
          <w:sz w:val="16"/>
          <w:szCs w:val="16"/>
          <w:lang w:val="es-MX"/>
        </w:rPr>
        <w:t>,</w:t>
      </w:r>
      <w:r w:rsidRPr="001944CF">
        <w:rPr>
          <w:rFonts w:asciiTheme="majorHAnsi" w:hAnsiTheme="majorHAnsi"/>
          <w:color w:val="808080" w:themeColor="background1" w:themeShade="80"/>
          <w:lang w:val="es-MX"/>
        </w:rPr>
        <w:t xml:space="preserve"> [Press Release 181/2016, IACHR repudiates murder of defender of trans rights in Guatemala’], December 2, 2016. </w:t>
      </w:r>
      <w:r w:rsidRPr="001944CF">
        <w:rPr>
          <w:rStyle w:val="FootnoteReference"/>
          <w:rFonts w:asciiTheme="majorHAnsi" w:hAnsiTheme="majorHAnsi"/>
          <w:color w:val="808080" w:themeColor="background1" w:themeShade="80"/>
          <w:sz w:val="16"/>
          <w:szCs w:val="16"/>
          <w:lang w:val="es-MX"/>
        </w:rPr>
        <w:t xml:space="preserve"> </w:t>
      </w:r>
    </w:p>
  </w:footnote>
  <w:footnote w:id="643">
    <w:p w14:paraId="7EC59178" w14:textId="3145FA8A" w:rsidR="001D7FF7" w:rsidRPr="001944CF" w:rsidRDefault="001D7FF7" w:rsidP="006F17D4">
      <w:pPr>
        <w:pStyle w:val="FootnoteText"/>
        <w:rPr>
          <w:rStyle w:val="FootnoteReference"/>
          <w:rFonts w:asciiTheme="majorHAnsi" w:hAnsiTheme="majorHAnsi" w:cs="Times New Roman"/>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Style w:val="FootnoteReference"/>
          <w:rFonts w:asciiTheme="majorHAnsi" w:hAnsiTheme="majorHAnsi"/>
          <w:color w:val="808080" w:themeColor="background1" w:themeShade="80"/>
          <w:sz w:val="16"/>
          <w:szCs w:val="16"/>
          <w:lang w:val="es-MX"/>
        </w:rPr>
        <w:t xml:space="preserve"> </w:t>
      </w:r>
      <w:r w:rsidRPr="001944CF">
        <w:rPr>
          <w:rStyle w:val="FootnoteReference"/>
          <w:rFonts w:asciiTheme="majorHAnsi" w:hAnsiTheme="majorHAnsi"/>
          <w:color w:val="808080" w:themeColor="background1" w:themeShade="80"/>
          <w:sz w:val="16"/>
          <w:szCs w:val="16"/>
          <w:lang w:val="es-MX"/>
        </w:rPr>
        <w:tab/>
      </w:r>
      <w:r w:rsidRPr="001944CF">
        <w:rPr>
          <w:rFonts w:asciiTheme="majorHAnsi" w:hAnsiTheme="majorHAnsi"/>
          <w:color w:val="808080" w:themeColor="background1" w:themeShade="80"/>
          <w:lang w:val="es-MX"/>
        </w:rPr>
        <w:t>PD</w:t>
      </w:r>
      <w:r w:rsidRPr="001944CF">
        <w:rPr>
          <w:rStyle w:val="FootnoteReference"/>
          <w:rFonts w:asciiTheme="majorHAnsi" w:hAnsiTheme="majorHAnsi"/>
          <w:color w:val="808080" w:themeColor="background1" w:themeShade="80"/>
          <w:sz w:val="16"/>
          <w:szCs w:val="16"/>
          <w:vertAlign w:val="baseline"/>
          <w:lang w:val="es-MX"/>
        </w:rPr>
        <w:t xml:space="preserve">H and OUNHCHR </w:t>
      </w:r>
      <w:r w:rsidRPr="001944CF">
        <w:rPr>
          <w:rStyle w:val="Hyperlink"/>
          <w:rFonts w:asciiTheme="majorHAnsi" w:hAnsiTheme="majorHAnsi"/>
          <w:color w:val="808080" w:themeColor="background1" w:themeShade="80"/>
          <w:lang w:val="es-MX"/>
        </w:rPr>
        <w:t>Preocupan graves hechos de violencia contra mujeres trans</w:t>
      </w:r>
      <w:r w:rsidRPr="001944CF">
        <w:rPr>
          <w:rStyle w:val="FootnoteReference"/>
          <w:rFonts w:asciiTheme="majorHAnsi" w:hAnsiTheme="majorHAnsi"/>
          <w:color w:val="808080" w:themeColor="background1" w:themeShade="80"/>
          <w:sz w:val="16"/>
          <w:szCs w:val="16"/>
          <w:lang w:val="es-MX"/>
        </w:rPr>
        <w:t xml:space="preserve">, </w:t>
      </w:r>
      <w:r w:rsidRPr="001944CF">
        <w:rPr>
          <w:rFonts w:asciiTheme="majorHAnsi" w:hAnsiTheme="majorHAnsi"/>
          <w:color w:val="808080" w:themeColor="background1" w:themeShade="80"/>
          <w:lang w:val="es-MX"/>
        </w:rPr>
        <w:t xml:space="preserve">[‘Concern over serious acts of violence against trans women’], December </w:t>
      </w:r>
      <w:r w:rsidRPr="001944CF">
        <w:rPr>
          <w:rStyle w:val="FootnoteReference"/>
          <w:rFonts w:asciiTheme="majorHAnsi" w:hAnsiTheme="majorHAnsi"/>
          <w:color w:val="808080" w:themeColor="background1" w:themeShade="80"/>
          <w:sz w:val="16"/>
          <w:szCs w:val="16"/>
          <w:vertAlign w:val="baseline"/>
          <w:lang w:val="es-MX"/>
        </w:rPr>
        <w:t>8, 2016.</w:t>
      </w:r>
    </w:p>
  </w:footnote>
  <w:footnote w:id="644">
    <w:p w14:paraId="7C6AB0A9" w14:textId="64A94EBB"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El Periódico, </w:t>
      </w:r>
      <w:hyperlink r:id="rId480" w:history="1">
        <w:r w:rsidRPr="001944CF">
          <w:rPr>
            <w:rStyle w:val="Hyperlink"/>
            <w:rFonts w:asciiTheme="majorHAnsi" w:hAnsiTheme="majorHAnsi"/>
            <w:color w:val="808080" w:themeColor="background1" w:themeShade="80"/>
            <w:lang w:val="es-MX"/>
          </w:rPr>
          <w:t>Complicadas normas administrativas afectan a pacientes con VIH/sida</w:t>
        </w:r>
      </w:hyperlink>
      <w:r w:rsidRPr="001944CF">
        <w:rPr>
          <w:rFonts w:asciiTheme="majorHAnsi" w:hAnsiTheme="majorHAnsi"/>
          <w:color w:val="808080" w:themeColor="background1" w:themeShade="80"/>
          <w:lang w:val="es-MX"/>
        </w:rPr>
        <w:t xml:space="preserve"> [‘Complicated administrative rules affect HIV/AIDS patients’], November 7, 2017.</w:t>
      </w:r>
    </w:p>
  </w:footnote>
  <w:footnote w:id="645">
    <w:p w14:paraId="24083E34" w14:textId="4E3E4A8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El Periódico, </w:t>
      </w:r>
      <w:hyperlink r:id="rId481" w:history="1">
        <w:r w:rsidRPr="001944CF">
          <w:rPr>
            <w:rStyle w:val="Hyperlink"/>
            <w:rFonts w:asciiTheme="majorHAnsi" w:hAnsiTheme="majorHAnsi"/>
            <w:color w:val="808080" w:themeColor="background1" w:themeShade="80"/>
            <w:lang w:val="es-MX"/>
          </w:rPr>
          <w:t>Más de 16 mil pacientes en riesgo por falta de medicamentos</w:t>
        </w:r>
      </w:hyperlink>
      <w:r w:rsidRPr="001944CF">
        <w:rPr>
          <w:rFonts w:asciiTheme="majorHAnsi" w:hAnsiTheme="majorHAnsi"/>
          <w:color w:val="808080" w:themeColor="background1" w:themeShade="80"/>
          <w:lang w:val="es-MX"/>
        </w:rPr>
        <w:t xml:space="preserve"> [‘More than 16 thousand patients at risk because of lack of medications’], November 7, 2017.</w:t>
      </w:r>
    </w:p>
  </w:footnote>
  <w:footnote w:id="646">
    <w:p w14:paraId="6B471FA3" w14:textId="46BDFAC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UNAIDS, </w:t>
      </w:r>
      <w:hyperlink r:id="rId482" w:history="1">
        <w:r w:rsidRPr="001944CF">
          <w:rPr>
            <w:rStyle w:val="Hyperlink"/>
            <w:rFonts w:asciiTheme="majorHAnsi" w:hAnsiTheme="majorHAnsi"/>
            <w:color w:val="808080" w:themeColor="background1" w:themeShade="80"/>
          </w:rPr>
          <w:t>Guatemala</w:t>
        </w:r>
      </w:hyperlink>
      <w:r w:rsidRPr="001944CF">
        <w:rPr>
          <w:rFonts w:asciiTheme="majorHAnsi" w:hAnsiTheme="majorHAnsi"/>
          <w:color w:val="808080" w:themeColor="background1" w:themeShade="80"/>
        </w:rPr>
        <w:t>, in 2016.</w:t>
      </w:r>
    </w:p>
  </w:footnote>
  <w:footnote w:id="647">
    <w:p w14:paraId="2295ACBF" w14:textId="014A870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Human Rights Ombudsman of Guatemala, </w:t>
      </w:r>
      <w:hyperlink r:id="rId483"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January 31, 2017, p. 62.</w:t>
      </w:r>
    </w:p>
  </w:footnote>
  <w:footnote w:id="648">
    <w:p w14:paraId="6310F107" w14:textId="232BC0A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649">
    <w:p w14:paraId="1BFB8AFD" w14:textId="6089E88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650">
    <w:p w14:paraId="1C0FBF8A" w14:textId="25AB95E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651">
    <w:p w14:paraId="2333CA61" w14:textId="42A24F8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Ibid</w:t>
      </w:r>
      <w:r w:rsidRPr="001944CF">
        <w:rPr>
          <w:rFonts w:asciiTheme="majorHAnsi" w:hAnsiTheme="majorHAnsi"/>
          <w:color w:val="808080" w:themeColor="background1" w:themeShade="80"/>
        </w:rPr>
        <w:t>.</w:t>
      </w:r>
    </w:p>
  </w:footnote>
  <w:footnote w:id="652">
    <w:p w14:paraId="14E7BC63" w14:textId="67D2BA7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On-Site Visit to Guatemala, July 31 to August 4, 2017, meetings with civil society organizations and others. </w:t>
      </w:r>
    </w:p>
  </w:footnote>
  <w:footnote w:id="653">
    <w:p w14:paraId="1932F0F1" w14:textId="1A49980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 addition to Guatemala, the death penalty is still in force in Antigua and Barbuda, Bahamas, Barbados, Belize, Cuba, Dominica, United States, Granada, Guyana, Jamaica, Saint Kits and Neves, Santa Lucia, Saint Vicent and the Grenadines, and Trinidad and Tobago.</w:t>
      </w:r>
    </w:p>
  </w:footnote>
  <w:footnote w:id="654">
    <w:p w14:paraId="52521242" w14:textId="1459B14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instances in which the death penalty may not be imposed are: “a. On the grounds of presumptions; b. On women; c. On persons older than 60 years of age; d. On convicts of political crimes and common crimes connected to political crimes; and e. On convicts whose extradition has been granted under that status.” </w:t>
      </w:r>
    </w:p>
  </w:footnote>
  <w:footnote w:id="655">
    <w:p w14:paraId="31935D79" w14:textId="4FF323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for example, Press article, “Guatemala analiza volver a aplicar la pena de muerte para combatir a las maras” [‘Guatemala examines bringing back application of the death penalty to combat maras’], August 26, 2017. Can be viewed at: </w:t>
      </w:r>
      <w:hyperlink r:id="rId484" w:history="1">
        <w:r w:rsidRPr="001944CF">
          <w:rPr>
            <w:rStyle w:val="Hyperlink"/>
            <w:rFonts w:asciiTheme="majorHAnsi" w:hAnsiTheme="majorHAnsi"/>
            <w:color w:val="808080" w:themeColor="background1" w:themeShade="80"/>
          </w:rPr>
          <w:t>https://actualidad.rt.com/actualidad/248128-guatemala-analiza-volver-aplicar-pena-muerte</w:t>
        </w:r>
      </w:hyperlink>
      <w:r w:rsidRPr="001944CF">
        <w:rPr>
          <w:rFonts w:asciiTheme="majorHAnsi" w:hAnsiTheme="majorHAnsi"/>
          <w:color w:val="808080" w:themeColor="background1" w:themeShade="80"/>
        </w:rPr>
        <w:t xml:space="preserve">. </w:t>
      </w:r>
    </w:p>
  </w:footnote>
  <w:footnote w:id="656">
    <w:p w14:paraId="7D75A938" w14:textId="3DA8810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On-site visit to Guatemala, July 31 to August 4, 2017, meetings with State officials.</w:t>
      </w:r>
    </w:p>
  </w:footnote>
  <w:footnote w:id="657">
    <w:p w14:paraId="25E9C760" w14:textId="046A3C4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w:t>
      </w:r>
      <w:r w:rsidRPr="001944CF">
        <w:rPr>
          <w:rFonts w:asciiTheme="majorHAnsi" w:hAnsiTheme="majorHAnsi"/>
          <w:i/>
          <w:color w:val="808080" w:themeColor="background1" w:themeShade="80"/>
        </w:rPr>
        <w:t>Case of Raxcacó Reyes v. Guatemala</w:t>
      </w:r>
      <w:r w:rsidRPr="001944CF">
        <w:rPr>
          <w:rFonts w:asciiTheme="majorHAnsi" w:hAnsiTheme="majorHAnsi"/>
          <w:color w:val="808080" w:themeColor="background1" w:themeShade="80"/>
        </w:rPr>
        <w:t>, Judgment of September 15, 2005. Merits, Reparations and Costs. Series C, No. 133, para. 88.</w:t>
      </w:r>
    </w:p>
  </w:footnote>
  <w:footnote w:id="658">
    <w:p w14:paraId="1492756F" w14:textId="7A97A17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 Court of HR, 2016 Annual Report of the Inter-American Court of Human Rights, pg. 83.</w:t>
      </w:r>
    </w:p>
  </w:footnote>
  <w:footnote w:id="659">
    <w:p w14:paraId="51AFE8B5" w14:textId="261985F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Case file 5986-2016, which found unconstitutional paragraphs of Articles 131, 132 Bis, 201, 201 Ter and 383 of the Criminal Code and of the Law against Narcoactivity. Press article, Agencia EFE, La Corte de Constitucionalidad de Guatemala anula la pena de muerte de cinco delitos [‘Guatemala’s Court of Constitutionality nullifies death penalty for five criminal offenses’], October  27, 2017. Can be viewed at: </w:t>
      </w:r>
      <w:hyperlink r:id="rId485" w:history="1">
        <w:r w:rsidRPr="001944CF">
          <w:rPr>
            <w:rStyle w:val="Hyperlink"/>
            <w:rFonts w:asciiTheme="majorHAnsi" w:hAnsiTheme="majorHAnsi"/>
            <w:color w:val="808080" w:themeColor="background1" w:themeShade="80"/>
          </w:rPr>
          <w:t>https://www.efe.com/efe/america/sociedad/la-corte-de-constitucionalidad-guatemala-anula-pena-muerte-cinco-delitos/20000013-3420629</w:t>
        </w:r>
      </w:hyperlink>
      <w:r w:rsidRPr="001944CF">
        <w:rPr>
          <w:rFonts w:asciiTheme="majorHAnsi" w:hAnsiTheme="majorHAnsi"/>
          <w:color w:val="808080" w:themeColor="background1" w:themeShade="80"/>
        </w:rPr>
        <w:t xml:space="preserve">. </w:t>
      </w:r>
    </w:p>
  </w:footnote>
  <w:footnote w:id="660">
    <w:p w14:paraId="647F493C" w14:textId="3C34BEE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American Convention on Human Rights, Article 4.2: “2.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w:t>
      </w:r>
    </w:p>
  </w:footnote>
  <w:footnote w:id="661">
    <w:p w14:paraId="022968B4" w14:textId="4E8D696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After the issuance of this ruling, the death penalty still exists in the Military Code (Decree 2014). </w:t>
      </w:r>
    </w:p>
  </w:footnote>
  <w:footnote w:id="662">
    <w:p w14:paraId="09A27612" w14:textId="2211966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Press Release 27/15, </w:t>
      </w:r>
      <w:hyperlink r:id="rId486" w:history="1">
        <w:r w:rsidRPr="001944CF">
          <w:rPr>
            <w:rStyle w:val="Hyperlink"/>
            <w:rFonts w:asciiTheme="majorHAnsi" w:hAnsiTheme="majorHAnsi"/>
            <w:color w:val="808080" w:themeColor="background1" w:themeShade="80"/>
          </w:rPr>
          <w:t>La CIDH celebra la aplicación de la pena de muerte en Suriname</w:t>
        </w:r>
      </w:hyperlink>
      <w:r w:rsidRPr="001944CF">
        <w:rPr>
          <w:rFonts w:asciiTheme="majorHAnsi" w:hAnsiTheme="majorHAnsi"/>
          <w:color w:val="808080" w:themeColor="background1" w:themeShade="80"/>
        </w:rPr>
        <w:t>, [‘IACHR Welcomes Abolition of the Death Penalty in Surinam’], March 12, 2015.</w:t>
      </w:r>
    </w:p>
  </w:footnote>
  <w:footnote w:id="663">
    <w:p w14:paraId="38983841" w14:textId="17C4665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particular, Guatemala has 22 prison facilities, but currently only 21 are in operation, because the Centro Penal del Progreso, Guastatoya, is not holding any people deprived of liberty. PDH-Guatemala. Information submitted to the IACHR on July 27, 2017, in the context of the on-site visit. </w:t>
      </w:r>
    </w:p>
  </w:footnote>
  <w:footnote w:id="664">
    <w:p w14:paraId="42B2EA6C" w14:textId="64968E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PDH, Guatemala, Information provided to the IACHR on July 25, 2017.</w:t>
      </w:r>
    </w:p>
  </w:footnote>
  <w:footnote w:id="665">
    <w:p w14:paraId="64D81377" w14:textId="7ED5DF92"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PDH-Guatemala. Information provided to the IACHR on July 25, 2017, in the context of country visit.</w:t>
      </w:r>
    </w:p>
  </w:footnote>
  <w:footnote w:id="666">
    <w:p w14:paraId="506F9B17" w14:textId="6DEECE5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specific percentage is 4.95%. This statistic is based on the latest available figures from the States of the Americas –which encompass from 2012 to 2017– except for Cuba, which does not have the respective statistics. Institute for Criminal Policy Research and Birkbeck University, World Prison Brief data. IACHR, </w:t>
      </w:r>
      <w:hyperlink r:id="rId487"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[‘Report on Measures Aimed at Reducing the Use of Pre-trial Detention in the Americas’], OEA/Ser.L/V/II.163. Doc. 105, July 3, 2017, para. 200.</w:t>
      </w:r>
    </w:p>
  </w:footnote>
  <w:footnote w:id="667">
    <w:p w14:paraId="649D998B" w14:textId="7D6F9608"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On this score, the OUNHCHR has spoken out about the “urgent need” to address structural problems of the Prison System, such as “chronic overcrowding.” Annual Report of the OUNHCHR on the activities of its office in Guatemala, A/HRC/34/3/Add.1, January 11, 2017, para. 31. </w:t>
      </w:r>
    </w:p>
  </w:footnote>
  <w:footnote w:id="668">
    <w:p w14:paraId="0D1861AF" w14:textId="3CDB9F6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particular, in 2010, it was reported that 10,512 persons were deprived of liberty. </w:t>
      </w:r>
      <w:r w:rsidRPr="001944CF">
        <w:rPr>
          <w:rFonts w:asciiTheme="majorHAnsi" w:hAnsiTheme="majorHAnsi"/>
          <w:color w:val="808080" w:themeColor="background1" w:themeShade="80"/>
          <w:lang w:eastAsia="es-CO"/>
        </w:rPr>
        <w:t xml:space="preserve">PDH-Guatemala, </w:t>
      </w:r>
      <w:hyperlink r:id="rId488" w:history="1">
        <w:r w:rsidRPr="001944CF">
          <w:rPr>
            <w:rStyle w:val="Hyperlink"/>
            <w:rFonts w:asciiTheme="majorHAnsi" w:hAnsiTheme="majorHAnsi"/>
            <w:color w:val="808080" w:themeColor="background1" w:themeShade="80"/>
          </w:rPr>
          <w:t>Contribuciones del Procurador de los Derechos Humanos para la adopción, en el 54° período de sesiones del Comité contra la Tortura, de la lista de cuestiones previas a la presentación del séptimo informe periódico por parte del Estado de Guatemala</w:t>
        </w:r>
      </w:hyperlink>
      <w:r w:rsidRPr="001944CF">
        <w:rPr>
          <w:rFonts w:asciiTheme="majorHAnsi" w:hAnsiTheme="majorHAnsi"/>
          <w:color w:val="808080" w:themeColor="background1" w:themeShade="80"/>
          <w:lang w:eastAsia="es-CO"/>
        </w:rPr>
        <w:t>, [‘Contributions of the Human Rights Ombudsman for approval, at the 54</w:t>
      </w:r>
      <w:r w:rsidRPr="001944CF">
        <w:rPr>
          <w:rFonts w:asciiTheme="majorHAnsi" w:hAnsiTheme="majorHAnsi"/>
          <w:color w:val="808080" w:themeColor="background1" w:themeShade="80"/>
          <w:vertAlign w:val="superscript"/>
          <w:lang w:eastAsia="es-CO"/>
        </w:rPr>
        <w:t>th</w:t>
      </w:r>
      <w:r w:rsidRPr="001944CF">
        <w:rPr>
          <w:rFonts w:asciiTheme="majorHAnsi" w:hAnsiTheme="majorHAnsi"/>
          <w:color w:val="808080" w:themeColor="background1" w:themeShade="80"/>
          <w:lang w:eastAsia="es-CO"/>
        </w:rPr>
        <w:t xml:space="preserve"> session of the Committee against Torture, of the list of questions prior to the submission of the 7</w:t>
      </w:r>
      <w:r w:rsidRPr="001944CF">
        <w:rPr>
          <w:rFonts w:asciiTheme="majorHAnsi" w:hAnsiTheme="majorHAnsi"/>
          <w:color w:val="808080" w:themeColor="background1" w:themeShade="80"/>
          <w:vertAlign w:val="superscript"/>
          <w:lang w:eastAsia="es-CO"/>
        </w:rPr>
        <w:t>th</w:t>
      </w:r>
      <w:r w:rsidRPr="001944CF">
        <w:rPr>
          <w:rFonts w:asciiTheme="majorHAnsi" w:hAnsiTheme="majorHAnsi"/>
          <w:color w:val="808080" w:themeColor="background1" w:themeShade="80"/>
          <w:lang w:eastAsia="es-CO"/>
        </w:rPr>
        <w:t xml:space="preserve"> periodic report by the State of Guatemala’], February 5, 2015, para. 91. Also see, IACHR</w:t>
      </w:r>
      <w:r w:rsidRPr="001944CF">
        <w:rPr>
          <w:rFonts w:asciiTheme="majorHAnsi" w:hAnsiTheme="majorHAnsi"/>
          <w:color w:val="808080" w:themeColor="background1" w:themeShade="80"/>
        </w:rPr>
        <w:t xml:space="preserve">, </w:t>
      </w:r>
      <w:hyperlink r:id="rId489" w:history="1">
        <w:r w:rsidRPr="001944CF">
          <w:rPr>
            <w:rStyle w:val="Hyperlink"/>
            <w:rFonts w:asciiTheme="majorHAnsi" w:hAnsiTheme="majorHAnsi"/>
            <w:i/>
            <w:color w:val="808080" w:themeColor="background1" w:themeShade="80"/>
          </w:rPr>
          <w:t>Situación de derechos humanos en Guatemala</w:t>
        </w:r>
      </w:hyperlink>
      <w:r w:rsidRPr="001944CF">
        <w:rPr>
          <w:rFonts w:asciiTheme="majorHAnsi" w:hAnsiTheme="majorHAnsi"/>
          <w:color w:val="808080" w:themeColor="background1" w:themeShade="80"/>
        </w:rPr>
        <w:t>, [‘Situation of Human Rights in Guatemala’], OEA/Ser.L/V/II, Doc. 43/15, December 31, 2015, para. 354.</w:t>
      </w:r>
    </w:p>
    <w:p w14:paraId="7B683789" w14:textId="77777777" w:rsidR="001D7FF7" w:rsidRPr="001944CF" w:rsidRDefault="001D7FF7" w:rsidP="005B7767">
      <w:pPr>
        <w:spacing w:after="40" w:line="240" w:lineRule="auto"/>
        <w:ind w:left="547"/>
        <w:jc w:val="both"/>
        <w:rPr>
          <w:rFonts w:asciiTheme="majorHAnsi" w:hAnsiTheme="majorHAnsi"/>
          <w:color w:val="808080" w:themeColor="background1" w:themeShade="80"/>
          <w:sz w:val="16"/>
          <w:szCs w:val="16"/>
        </w:rPr>
      </w:pPr>
      <w:r w:rsidRPr="001944CF">
        <w:rPr>
          <w:rFonts w:asciiTheme="majorHAnsi" w:hAnsiTheme="majorHAnsi"/>
          <w:color w:val="808080" w:themeColor="background1" w:themeShade="80"/>
          <w:sz w:val="16"/>
          <w:szCs w:val="16"/>
        </w:rPr>
        <w:t xml:space="preserve">It must also be noted that the rate of deprivation of liberty per 100,000 inhabitants has notably increased year after year. For example, while in 2010 this rate was 84 persons deprived of liberty, in 2016, the rated increased to 127. PDH, Guatemala, </w:t>
      </w:r>
      <w:hyperlink r:id="rId490" w:history="1">
        <w:r w:rsidRPr="001944CF">
          <w:rPr>
            <w:rStyle w:val="Hyperlink"/>
            <w:rFonts w:asciiTheme="majorHAnsi" w:hAnsiTheme="majorHAnsi"/>
            <w:color w:val="808080" w:themeColor="background1" w:themeShade="80"/>
            <w:sz w:val="16"/>
            <w:szCs w:val="16"/>
          </w:rPr>
          <w:t>Informe Anual Circunstanciado 2016</w:t>
        </w:r>
      </w:hyperlink>
      <w:r w:rsidRPr="001944CF">
        <w:rPr>
          <w:rFonts w:asciiTheme="majorHAnsi" w:hAnsiTheme="majorHAnsi"/>
          <w:color w:val="808080" w:themeColor="background1" w:themeShade="80"/>
          <w:sz w:val="16"/>
          <w:szCs w:val="16"/>
        </w:rPr>
        <w:t>, [‘Annual Status Report’], p. 176.</w:t>
      </w:r>
    </w:p>
  </w:footnote>
  <w:footnote w:id="669">
    <w:p w14:paraId="68276F1D" w14:textId="507FEF7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This initiative, completed in 2016, designed in the context of the Democratic Crime Policy of Guatemala, involved the efforts of the three branches of government, and adopts “a comprehensive strategy to deal with violence and crime, through 4 strategic action prongs, which are: prevention, investigation, punishment and reintegration.” State of Guatemala, Submission of the State of Guatemala in response to request for information prior to the on-site visit of the IACHR, Ref. P-859-2017/VHGM/LWC/nj, June 16, 2017, </w:t>
      </w:r>
      <w:r w:rsidRPr="001944CF">
        <w:rPr>
          <w:rFonts w:asciiTheme="majorHAnsi" w:hAnsiTheme="majorHAnsi" w:cs="Cambria"/>
          <w:color w:val="808080" w:themeColor="background1" w:themeShade="80"/>
        </w:rPr>
        <w:t xml:space="preserve">pars. 87-89, 92,93, and 95-97. </w:t>
      </w:r>
    </w:p>
  </w:footnote>
  <w:footnote w:id="670">
    <w:p w14:paraId="4BDE9E8D" w14:textId="5711898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progressive regime consists of several activities aimed at the social readaptation of convicted persons and is divided into four phases. The last phase is conditional release. For further information on how it works, see </w:t>
      </w:r>
      <w:hyperlink r:id="rId491" w:history="1">
        <w:r w:rsidRPr="001944CF">
          <w:rPr>
            <w:rStyle w:val="Hyperlink"/>
            <w:rFonts w:asciiTheme="majorHAnsi" w:hAnsiTheme="majorHAnsi"/>
            <w:color w:val="808080" w:themeColor="background1" w:themeShade="80"/>
          </w:rPr>
          <w:t>Ley del Régimen Penitenciario</w:t>
        </w:r>
      </w:hyperlink>
      <w:r w:rsidRPr="001944CF">
        <w:rPr>
          <w:rFonts w:asciiTheme="majorHAnsi" w:hAnsiTheme="majorHAnsi"/>
          <w:color w:val="808080" w:themeColor="background1" w:themeShade="80"/>
        </w:rPr>
        <w:t>, [‘Law of Prison Regime’], Decree No. 33-2006, Guatemala, in force as of September 2012, Articles 56 to 69.</w:t>
      </w:r>
    </w:p>
    <w:p w14:paraId="36755A18" w14:textId="77777777" w:rsidR="001D7FF7" w:rsidRPr="001944CF" w:rsidRDefault="001D7FF7" w:rsidP="006F17D4">
      <w:pPr>
        <w:pStyle w:val="FootnoteText"/>
        <w:rPr>
          <w:rFonts w:asciiTheme="majorHAnsi" w:hAnsiTheme="majorHAnsi"/>
          <w:color w:val="808080" w:themeColor="background1" w:themeShade="80"/>
        </w:rPr>
      </w:pPr>
      <w:r w:rsidRPr="001944CF">
        <w:rPr>
          <w:rFonts w:asciiTheme="majorHAnsi" w:hAnsiTheme="majorHAnsi"/>
          <w:color w:val="808080" w:themeColor="background1" w:themeShade="80"/>
        </w:rPr>
        <w:t xml:space="preserve">Redemption of the sentence is a measure based on “education and useful and/or productive work,” which allows for redeeming punishments of deprivation of liberty. For further information on how it works, see </w:t>
      </w:r>
      <w:hyperlink r:id="rId492" w:history="1">
        <w:r w:rsidRPr="001944CF">
          <w:rPr>
            <w:rStyle w:val="Hyperlink"/>
            <w:rFonts w:asciiTheme="majorHAnsi" w:hAnsiTheme="majorHAnsi"/>
            <w:color w:val="808080" w:themeColor="background1" w:themeShade="80"/>
          </w:rPr>
          <w:t>Ley del Régimen Penitenciario</w:t>
        </w:r>
      </w:hyperlink>
      <w:r w:rsidRPr="001944CF">
        <w:rPr>
          <w:rFonts w:asciiTheme="majorHAnsi" w:hAnsiTheme="majorHAnsi"/>
          <w:color w:val="808080" w:themeColor="background1" w:themeShade="80"/>
        </w:rPr>
        <w:t>, [‘Law of Prison Regime’], Decree No. 33-2006, Guatemala, in force as of September 2012, 70 to 74.</w:t>
      </w:r>
    </w:p>
  </w:footnote>
  <w:footnote w:id="671">
    <w:p w14:paraId="5456A955" w14:textId="56D60B2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672">
    <w:p w14:paraId="4F0E2083" w14:textId="6C77EFA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On this subject, the IACHR has held that overcrowding increases levels of violence between inmates; hampers access to basic services; contributes to the spread of diseases; creates deplorable conditions of sanitation and hygiene; in and of itself poses a risk factor for an emergency situation; restricts inmates access to productive activities and fosters corruption. </w:t>
      </w:r>
      <w:r w:rsidRPr="001944CF">
        <w:rPr>
          <w:rFonts w:asciiTheme="majorHAnsi" w:hAnsiTheme="majorHAnsi"/>
          <w:color w:val="808080" w:themeColor="background1" w:themeShade="80"/>
          <w:lang w:val="es-MX"/>
        </w:rPr>
        <w:t xml:space="preserve">IACHR, </w:t>
      </w:r>
      <w:hyperlink r:id="rId493" w:history="1">
        <w:r w:rsidRPr="001944CF">
          <w:rPr>
            <w:rStyle w:val="Hyperlink"/>
            <w:rFonts w:asciiTheme="majorHAnsi" w:hAnsiTheme="majorHAnsi"/>
            <w:i/>
            <w:color w:val="808080" w:themeColor="background1" w:themeShade="80"/>
            <w:lang w:val="es-MX"/>
          </w:rPr>
          <w:t>Informe sobre el uso de la prisión preventiva en las Américas</w:t>
        </w:r>
      </w:hyperlink>
      <w:r w:rsidRPr="001944CF">
        <w:rPr>
          <w:rFonts w:asciiTheme="majorHAnsi" w:hAnsiTheme="majorHAnsi"/>
          <w:color w:val="808080" w:themeColor="background1" w:themeShade="80"/>
          <w:lang w:val="es-MX"/>
        </w:rPr>
        <w:t xml:space="preserve">, [Report on the Use of Pretrial Detention in the Americas], OEA/Ser.L/V/II., Doc. 46/13, December 30, 2013, para. </w:t>
      </w:r>
      <w:r w:rsidRPr="001944CF">
        <w:rPr>
          <w:rFonts w:asciiTheme="majorHAnsi" w:hAnsiTheme="majorHAnsi"/>
          <w:color w:val="808080" w:themeColor="background1" w:themeShade="80"/>
        </w:rPr>
        <w:t>288.</w:t>
      </w:r>
    </w:p>
  </w:footnote>
  <w:footnote w:id="673">
    <w:p w14:paraId="6C021A9A" w14:textId="5032A560"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Of the total number of persons in pretrial detention, 10,038 are males and 1,210, mujeres. PDH-Guatemala. Information submitted to the IACHR on July 27, 2017, in the context of the on-site visit. The PDH and the OUNHCHR-Guatemala further report that the use of pretrial detention significantly varies from one department to another, with highest rates recorded in 2016: Santa Rosa (33%); Guatemala (37%); Jalapa (40%); Zacapa (42%), and Retalhuleu (50%). Said regime was used less frequently in these departments: San Marcos (9%), Alta Verapaz (15%) y Sololá (15%). OUNHCHR and PDH, “The use of pretrial detention in Guatemala: a human rights problem,” 2016, para. 18.</w:t>
      </w:r>
    </w:p>
  </w:footnote>
  <w:footnote w:id="674">
    <w:p w14:paraId="27C37E0F" w14:textId="41FF328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94"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xml:space="preserve">, [Report on Measures Aimed at Reducing the Use of Pretrial Detention in the Americas], OEA/Ser.L/V/II.163. Doc. 105, July 3, 2017, pars. 2 and 20, and </w:t>
      </w:r>
      <w:hyperlink r:id="rId495" w:history="1">
        <w:r w:rsidRPr="001944CF">
          <w:rPr>
            <w:rStyle w:val="Hyperlink"/>
            <w:rFonts w:asciiTheme="majorHAnsi" w:hAnsiTheme="majorHAnsi"/>
            <w:i/>
            <w:color w:val="808080" w:themeColor="background1" w:themeShade="80"/>
          </w:rPr>
          <w:t>Informe sobre el Uso de la Prisión Preventiva en las Américas</w:t>
        </w:r>
      </w:hyperlink>
      <w:r w:rsidRPr="001944CF">
        <w:rPr>
          <w:rFonts w:asciiTheme="majorHAnsi" w:hAnsiTheme="majorHAnsi"/>
          <w:color w:val="808080" w:themeColor="background1" w:themeShade="80"/>
        </w:rPr>
        <w:t>, [Report on the Use of Pretrial Detention in the Americas], OEA/Ser.L/V/II., Doc. 46/13, 30 December 30, 2013, para. 317.</w:t>
      </w:r>
    </w:p>
  </w:footnote>
  <w:footnote w:id="675">
    <w:p w14:paraId="11C7BF86" w14:textId="76418ED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496"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xml:space="preserve">, [Report on Measures Aimed at Reducing the Use of Pretrial Detention in the Americas], OEA/Ser.L/V/II.163. Doc. 105, July 3, 2017, para. 231. Recommendation A “General Measures Related to State Policy.” For more information on specific measures to reduce the use of pretrial detention, see IACHR, </w:t>
      </w:r>
      <w:hyperlink r:id="rId497" w:history="1">
        <w:r w:rsidRPr="001944CF">
          <w:rPr>
            <w:rStyle w:val="Hyperlink"/>
            <w:rFonts w:asciiTheme="majorHAnsi" w:hAnsiTheme="majorHAnsi"/>
            <w:color w:val="808080" w:themeColor="background1" w:themeShade="80"/>
          </w:rPr>
          <w:t>Guía práctica para reducir la prisión preventiva</w:t>
        </w:r>
      </w:hyperlink>
      <w:r w:rsidRPr="001944CF">
        <w:rPr>
          <w:rFonts w:asciiTheme="majorHAnsi" w:hAnsiTheme="majorHAnsi"/>
          <w:color w:val="808080" w:themeColor="background1" w:themeShade="80"/>
        </w:rPr>
        <w:t xml:space="preserve">, [‘Practical Guide to Reducing Pretrial Detention’], OEA/Ser.L/V/II.163 Doc. 107, July 2017. </w:t>
      </w:r>
    </w:p>
  </w:footnote>
  <w:footnote w:id="676">
    <w:p w14:paraId="370B2264" w14:textId="4C13058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PDH, Guatemala, </w:t>
      </w:r>
      <w:hyperlink r:id="rId498"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p. 44. Also see, Annual Report of the OUNHCHR on the activities of its office in Guatemala, A/HRC/34/3/Add.1, January 11, 2017, para. 31.</w:t>
      </w:r>
    </w:p>
  </w:footnote>
  <w:footnote w:id="677">
    <w:p w14:paraId="41331E56" w14:textId="10C9253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particular, Article 264 of the Code of Criminal Procedure establishes that no alternative measure [to incarceration] shall be granted for the following crimes: “homicide with malice of forethought, murder, parricide, aggravated rape, rape resulting in death, statutory rape [rape of a minor under 12 years of age], abduction or kidnapping in all of its forms, sabotage, aggravated robbery, possession or carrying of a firearm. Code of Criminal Procedure, </w:t>
      </w:r>
      <w:hyperlink r:id="rId499" w:history="1">
        <w:r w:rsidRPr="001944CF">
          <w:rPr>
            <w:rStyle w:val="Hyperlink"/>
            <w:rFonts w:asciiTheme="majorHAnsi" w:hAnsiTheme="majorHAnsi"/>
            <w:color w:val="808080" w:themeColor="background1" w:themeShade="80"/>
          </w:rPr>
          <w:t>Decreto No. 6-2013 por el que se reforma el artículo 264</w:t>
        </w:r>
      </w:hyperlink>
      <w:r w:rsidRPr="001944CF">
        <w:rPr>
          <w:rFonts w:asciiTheme="majorHAnsi" w:hAnsiTheme="majorHAnsi"/>
          <w:color w:val="808080" w:themeColor="background1" w:themeShade="80"/>
        </w:rPr>
        <w:t>, [‘Decree No. 6-2013 amending Article 264’], Guatemala, in force as of September 13, 2013, Article 264.</w:t>
      </w:r>
    </w:p>
  </w:footnote>
  <w:footnote w:id="678">
    <w:p w14:paraId="611F9212" w14:textId="0FA5F99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Code of Criminal Procedure, </w:t>
      </w:r>
      <w:hyperlink r:id="rId500" w:history="1">
        <w:r w:rsidRPr="001944CF">
          <w:rPr>
            <w:rStyle w:val="Hyperlink"/>
            <w:rFonts w:asciiTheme="majorHAnsi" w:hAnsiTheme="majorHAnsi"/>
            <w:color w:val="808080" w:themeColor="background1" w:themeShade="80"/>
          </w:rPr>
          <w:t>Decreto No. 6-2014 por el que se reforma el artículo 264</w:t>
        </w:r>
      </w:hyperlink>
      <w:r w:rsidRPr="001944CF">
        <w:rPr>
          <w:rFonts w:asciiTheme="majorHAnsi" w:hAnsiTheme="majorHAnsi"/>
          <w:color w:val="808080" w:themeColor="background1" w:themeShade="80"/>
        </w:rPr>
        <w:t>, [‘Decree No. 6-2013 amending Article 264’], Guatemala, in force as of September 13, 2013, Article 264.</w:t>
      </w:r>
    </w:p>
  </w:footnote>
  <w:footnote w:id="679">
    <w:p w14:paraId="1333ABA9" w14:textId="6D64CF5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01" w:history="1">
        <w:r w:rsidRPr="001944CF">
          <w:rPr>
            <w:rStyle w:val="Hyperlink"/>
            <w:rFonts w:asciiTheme="majorHAnsi" w:hAnsiTheme="majorHAnsi"/>
            <w:color w:val="808080" w:themeColor="background1" w:themeShade="80"/>
          </w:rPr>
          <w:t>Ley contra el Feminicidio y otras Formas de Violencia contra la Mujer</w:t>
        </w:r>
      </w:hyperlink>
      <w:r w:rsidRPr="001944CF">
        <w:rPr>
          <w:rFonts w:asciiTheme="majorHAnsi" w:hAnsiTheme="majorHAnsi"/>
          <w:color w:val="808080" w:themeColor="background1" w:themeShade="80"/>
        </w:rPr>
        <w:t xml:space="preserve">, [‘Law against Femicide and other Forms of Violence against Women’], Decree No. 22-2008, Guatemala, in force as of April 2008, Article 6. </w:t>
      </w:r>
    </w:p>
  </w:footnote>
  <w:footnote w:id="680">
    <w:p w14:paraId="404D342F" w14:textId="4F728934" w:rsidR="001D7FF7" w:rsidRPr="001944CF" w:rsidRDefault="001D7FF7" w:rsidP="00B70540">
      <w:pPr>
        <w:pStyle w:val="NormalWeb"/>
        <w:shd w:val="clear" w:color="auto" w:fill="FFFFFF"/>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In particular, the Law to Strengthen Criminal Prosecution (</w:t>
      </w:r>
      <w:r w:rsidRPr="001944CF">
        <w:rPr>
          <w:rFonts w:asciiTheme="majorHAnsi" w:hAnsiTheme="majorHAnsi"/>
          <w:i/>
          <w:color w:val="808080" w:themeColor="background1" w:themeShade="80"/>
          <w:sz w:val="16"/>
          <w:szCs w:val="16"/>
        </w:rPr>
        <w:t>Ley de Fortalecimiento de la Persecución Penal</w:t>
      </w:r>
      <w:r w:rsidRPr="001944CF">
        <w:rPr>
          <w:rFonts w:asciiTheme="majorHAnsi" w:hAnsiTheme="majorHAnsi"/>
          <w:color w:val="808080" w:themeColor="background1" w:themeShade="80"/>
          <w:sz w:val="16"/>
          <w:szCs w:val="16"/>
        </w:rPr>
        <w:t xml:space="preserve">) (which amends the Law against Organized Crime) establishes that the “conditional suspension of criminal prosecution” shall not be granted for the crimes set forth in Article 25 of this last law, consisting of crimes against life; abduction and kidnapping; torture; serious or very serious specific bodily harm; crimes of rape and sexual abuse. </w:t>
      </w:r>
      <w:hyperlink r:id="rId502" w:history="1">
        <w:r w:rsidRPr="001944CF">
          <w:rPr>
            <w:rStyle w:val="Hyperlink"/>
            <w:rFonts w:asciiTheme="majorHAnsi" w:hAnsiTheme="majorHAnsi"/>
            <w:color w:val="808080" w:themeColor="background1" w:themeShade="80"/>
            <w:sz w:val="16"/>
            <w:szCs w:val="16"/>
          </w:rPr>
          <w:t>Ley de Fortalecimiento de la Persecución Penal</w:t>
        </w:r>
      </w:hyperlink>
      <w:r w:rsidRPr="001944CF">
        <w:rPr>
          <w:rFonts w:asciiTheme="majorHAnsi" w:hAnsiTheme="majorHAnsi"/>
          <w:color w:val="808080" w:themeColor="background1" w:themeShade="80"/>
          <w:sz w:val="16"/>
          <w:szCs w:val="16"/>
        </w:rPr>
        <w:t xml:space="preserve">, [‘Law to Strengthen Criminal Prosecution’], Decree No. 17-2009, Guatemala, in force as of May 2009, Article 3. </w:t>
      </w:r>
    </w:p>
  </w:footnote>
  <w:footnote w:id="681">
    <w:p w14:paraId="6CD7B4FB" w14:textId="780678D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03"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xml:space="preserve">, [Report on Measures Aimed at Reducing the Use of Pretrial Detention in the Americas], OEA/Ser.L/V/II.163. Doc. 105, July 3, 2017, paras. 86 and 90. </w:t>
      </w:r>
    </w:p>
  </w:footnote>
  <w:footnote w:id="682">
    <w:p w14:paraId="2A46ED15" w14:textId="2B57A27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231. Recommendation B “Eradicating Pretrial Detention as Anticipated Punishment.”</w:t>
      </w:r>
    </w:p>
  </w:footnote>
  <w:footnote w:id="683">
    <w:p w14:paraId="7E0207AE" w14:textId="5C012D9C" w:rsidR="001D7FF7" w:rsidRPr="001944CF" w:rsidRDefault="001D7FF7" w:rsidP="00B70540">
      <w:pPr>
        <w:spacing w:after="40" w:line="240" w:lineRule="auto"/>
        <w:ind w:left="547" w:hanging="547"/>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IACHR, Report </w:t>
      </w:r>
      <w:r w:rsidRPr="001944CF">
        <w:rPr>
          <w:rFonts w:asciiTheme="majorHAnsi" w:hAnsiTheme="majorHAnsi" w:cs="Calibri"/>
          <w:color w:val="808080" w:themeColor="background1" w:themeShade="80"/>
          <w:sz w:val="16"/>
          <w:szCs w:val="16"/>
        </w:rPr>
        <w:t>No.  53/16, Case 12.056. Merits. Gabriel Oscar Jenkins. Argentina. December 6, 2016, p</w:t>
      </w:r>
      <w:r w:rsidRPr="001944CF">
        <w:rPr>
          <w:rFonts w:asciiTheme="majorHAnsi" w:hAnsiTheme="majorHAnsi"/>
          <w:color w:val="808080" w:themeColor="background1" w:themeShade="80"/>
          <w:sz w:val="16"/>
          <w:szCs w:val="16"/>
        </w:rPr>
        <w:t xml:space="preserve">aras. 147-149. </w:t>
      </w:r>
    </w:p>
  </w:footnote>
  <w:footnote w:id="684">
    <w:p w14:paraId="2EEDA23C" w14:textId="343FAD3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04"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[Report on Measures Aimed at Reducing the Use of Pretrial Detention in the Americas], OEA/Ser.L/V/II.163. Doc. 105, July 3, 2017, para. 85.</w:t>
      </w:r>
    </w:p>
  </w:footnote>
  <w:footnote w:id="685">
    <w:p w14:paraId="6D75B3BB" w14:textId="09E4CDE8"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For a more detailed analysis about this type of policies region wide, see: IACHR, </w:t>
      </w:r>
      <w:hyperlink r:id="rId505" w:history="1">
        <w:r w:rsidRPr="001944CF">
          <w:rPr>
            <w:rStyle w:val="Hyperlink"/>
            <w:rFonts w:asciiTheme="majorHAnsi" w:hAnsiTheme="majorHAnsi"/>
            <w:i/>
            <w:color w:val="808080" w:themeColor="background1" w:themeShade="80"/>
            <w:sz w:val="16"/>
            <w:szCs w:val="16"/>
          </w:rPr>
          <w:t>Informe sobre medidas dirigidas a reducir el uso de la prisión preventiva en las Américas</w:t>
        </w:r>
      </w:hyperlink>
      <w:r w:rsidRPr="001944CF">
        <w:rPr>
          <w:rFonts w:asciiTheme="majorHAnsi" w:hAnsiTheme="majorHAnsi"/>
          <w:color w:val="808080" w:themeColor="background1" w:themeShade="80"/>
          <w:sz w:val="16"/>
          <w:szCs w:val="16"/>
        </w:rPr>
        <w:t xml:space="preserve">, [Report on Measures Aimed at Reducing the Use of Pretrial Detention in the Americas], OEA/Ser.L/V/II.163. </w:t>
      </w:r>
      <w:r w:rsidRPr="001944CF">
        <w:rPr>
          <w:rFonts w:asciiTheme="majorHAnsi" w:hAnsiTheme="majorHAnsi"/>
          <w:color w:val="808080" w:themeColor="background1" w:themeShade="80"/>
          <w:sz w:val="16"/>
          <w:szCs w:val="16"/>
          <w:lang w:val="es-MX"/>
        </w:rPr>
        <w:t xml:space="preserve">Doc. 105, July 3, 2017, pars. 85 y 90. Also see: WOLA, IDPC, Dejusticia, CIM and OAS, </w:t>
      </w:r>
      <w:hyperlink r:id="rId506" w:history="1">
        <w:r w:rsidRPr="001944CF">
          <w:rPr>
            <w:rStyle w:val="Hyperlink"/>
            <w:rFonts w:asciiTheme="majorHAnsi" w:hAnsiTheme="majorHAnsi"/>
            <w:color w:val="808080" w:themeColor="background1" w:themeShade="80"/>
            <w:sz w:val="16"/>
            <w:szCs w:val="16"/>
            <w:lang w:val="es-MX"/>
          </w:rPr>
          <w:t>Mujeres, políticas de drogas, Una guía para la reforma de políticas en América Latina</w:t>
        </w:r>
      </w:hyperlink>
      <w:r w:rsidRPr="001944CF">
        <w:rPr>
          <w:rFonts w:asciiTheme="majorHAnsi" w:hAnsiTheme="majorHAnsi"/>
          <w:color w:val="808080" w:themeColor="background1" w:themeShade="80"/>
          <w:sz w:val="16"/>
          <w:szCs w:val="16"/>
          <w:lang w:val="es-MX"/>
        </w:rPr>
        <w:t>, [‘Women, Drug Policies and Incarceration: A Guide to Policy Reform in Latin America’] 2016, pgs. 20</w:t>
      </w:r>
      <w:r w:rsidRPr="001944CF">
        <w:rPr>
          <w:rFonts w:asciiTheme="majorHAnsi" w:hAnsiTheme="majorHAnsi" w:cs="ArnoPro-Regular"/>
          <w:color w:val="808080" w:themeColor="background1" w:themeShade="80"/>
          <w:sz w:val="16"/>
          <w:szCs w:val="16"/>
          <w:lang w:val="es-MX"/>
        </w:rPr>
        <w:t xml:space="preserve"> and 22; IACHR</w:t>
      </w:r>
      <w:r w:rsidRPr="001944CF">
        <w:rPr>
          <w:rFonts w:asciiTheme="majorHAnsi" w:hAnsiTheme="majorHAnsi"/>
          <w:color w:val="808080" w:themeColor="background1" w:themeShade="80"/>
          <w:sz w:val="16"/>
          <w:szCs w:val="16"/>
          <w:lang w:val="es-MX"/>
        </w:rPr>
        <w:t xml:space="preserve">, </w:t>
      </w:r>
      <w:hyperlink r:id="rId507" w:history="1">
        <w:r w:rsidRPr="001944CF">
          <w:rPr>
            <w:rStyle w:val="Hyperlink"/>
            <w:rFonts w:asciiTheme="majorHAnsi" w:hAnsiTheme="majorHAnsi"/>
            <w:color w:val="808080" w:themeColor="background1" w:themeShade="80"/>
            <w:sz w:val="16"/>
            <w:szCs w:val="16"/>
            <w:lang w:val="es-MX"/>
          </w:rPr>
          <w:t>Audiencia pública “Medidas para reducir la prisión preventiva en América</w:t>
        </w:r>
      </w:hyperlink>
      <w:r w:rsidRPr="001944CF">
        <w:rPr>
          <w:rFonts w:asciiTheme="majorHAnsi" w:hAnsiTheme="majorHAnsi"/>
          <w:color w:val="808080" w:themeColor="background1" w:themeShade="80"/>
          <w:sz w:val="16"/>
          <w:szCs w:val="16"/>
          <w:lang w:val="es-MX"/>
        </w:rPr>
        <w:t>” [‘Public Hearing “Measures to reduce pretrial detention in the Americas’], 157</w:t>
      </w:r>
      <w:r w:rsidRPr="001944CF">
        <w:rPr>
          <w:rFonts w:asciiTheme="majorHAnsi" w:hAnsiTheme="majorHAnsi"/>
          <w:color w:val="808080" w:themeColor="background1" w:themeShade="80"/>
          <w:sz w:val="16"/>
          <w:szCs w:val="16"/>
          <w:vertAlign w:val="superscript"/>
          <w:lang w:val="es-MX"/>
        </w:rPr>
        <w:t>th</w:t>
      </w:r>
      <w:r w:rsidRPr="001944CF">
        <w:rPr>
          <w:rFonts w:asciiTheme="majorHAnsi" w:hAnsiTheme="majorHAnsi"/>
          <w:color w:val="808080" w:themeColor="background1" w:themeShade="80"/>
          <w:sz w:val="16"/>
          <w:szCs w:val="16"/>
          <w:lang w:val="es-MX"/>
        </w:rPr>
        <w:t xml:space="preserve"> regular session, April 5, 2016; </w:t>
      </w:r>
      <w:r w:rsidRPr="001944CF">
        <w:rPr>
          <w:rFonts w:asciiTheme="majorHAnsi" w:hAnsiTheme="majorHAnsi" w:cs="Akzidenz-Grotesk Next Bold"/>
          <w:bCs/>
          <w:color w:val="808080" w:themeColor="background1" w:themeShade="80"/>
          <w:sz w:val="16"/>
          <w:szCs w:val="16"/>
          <w:lang w:val="es-MX"/>
        </w:rPr>
        <w:t xml:space="preserve">Giacomello, Corina, </w:t>
      </w:r>
      <w:hyperlink r:id="rId508" w:history="1">
        <w:r w:rsidRPr="001944CF">
          <w:rPr>
            <w:rStyle w:val="Hyperlink"/>
            <w:rFonts w:asciiTheme="majorHAnsi" w:hAnsiTheme="majorHAnsi" w:cs="Akzidenz-Grotesk Next Bold"/>
            <w:bCs/>
            <w:color w:val="808080" w:themeColor="background1" w:themeShade="80"/>
            <w:sz w:val="16"/>
            <w:szCs w:val="16"/>
            <w:lang w:val="es-MX"/>
          </w:rPr>
          <w:t>Documento Informativo “Propuestas de alternativas a la persecución penal y al encarcelamiento por delitos de drogas en América Latina</w:t>
        </w:r>
      </w:hyperlink>
      <w:r w:rsidRPr="001944CF">
        <w:rPr>
          <w:rStyle w:val="Hyperlink"/>
          <w:rFonts w:asciiTheme="majorHAnsi" w:hAnsiTheme="majorHAnsi" w:cs="Akzidenz-Grotesk Next Bold"/>
          <w:bCs/>
          <w:color w:val="808080" w:themeColor="background1" w:themeShade="80"/>
          <w:sz w:val="16"/>
          <w:szCs w:val="16"/>
          <w:lang w:val="es-MX"/>
        </w:rPr>
        <w:t>”</w:t>
      </w:r>
      <w:r w:rsidRPr="001944CF">
        <w:rPr>
          <w:rFonts w:asciiTheme="majorHAnsi" w:hAnsiTheme="majorHAnsi" w:cs="Akzidenz-Grotesk Next Bold"/>
          <w:bCs/>
          <w:color w:val="808080" w:themeColor="background1" w:themeShade="80"/>
          <w:sz w:val="16"/>
          <w:szCs w:val="16"/>
          <w:lang w:val="es-MX"/>
        </w:rPr>
        <w:t>, [‘Informational document: Proposals for alternatives to criminal prosecution and incarceration for drug crimes in Latin America’], International Drug Policy Consortium June 2014. Also see Consorcio Internacional sobre Políticas de Drogas</w:t>
      </w:r>
      <w:r w:rsidRPr="001944CF">
        <w:rPr>
          <w:rFonts w:asciiTheme="majorHAnsi" w:hAnsiTheme="majorHAnsi"/>
          <w:color w:val="808080" w:themeColor="background1" w:themeShade="80"/>
          <w:sz w:val="16"/>
          <w:szCs w:val="16"/>
          <w:lang w:val="es-MX"/>
        </w:rPr>
        <w:t xml:space="preserve">, </w:t>
      </w:r>
      <w:hyperlink r:id="rId509" w:history="1">
        <w:r w:rsidRPr="001944CF">
          <w:rPr>
            <w:rStyle w:val="Hyperlink"/>
            <w:rFonts w:asciiTheme="majorHAnsi" w:hAnsiTheme="majorHAnsi"/>
            <w:color w:val="808080" w:themeColor="background1" w:themeShade="80"/>
            <w:sz w:val="16"/>
            <w:szCs w:val="16"/>
            <w:lang w:val="es-MX"/>
          </w:rPr>
          <w:t>Las Cortes de Drogas. Los alcances y retos de una alternativa a la prisión preventiva</w:t>
        </w:r>
      </w:hyperlink>
      <w:r w:rsidRPr="001944CF">
        <w:rPr>
          <w:rFonts w:asciiTheme="majorHAnsi" w:hAnsiTheme="majorHAnsi"/>
          <w:color w:val="808080" w:themeColor="background1" w:themeShade="80"/>
          <w:sz w:val="16"/>
          <w:szCs w:val="16"/>
          <w:lang w:val="es-MX"/>
        </w:rPr>
        <w:t xml:space="preserve">”, [‘Drug Courts. </w:t>
      </w:r>
      <w:r w:rsidRPr="001944CF">
        <w:rPr>
          <w:rFonts w:asciiTheme="majorHAnsi" w:hAnsiTheme="majorHAnsi"/>
          <w:color w:val="808080" w:themeColor="background1" w:themeShade="80"/>
          <w:sz w:val="16"/>
          <w:szCs w:val="16"/>
        </w:rPr>
        <w:t xml:space="preserve">Suggestions and Challenges of alternatives to pretrial detention’], May 2012, pg. 2. For example, in the area of legislation, the National Code of Criminal Procedures of Mexico allows for the automatic use of pretrial detention for the crimes against health listed under Articles 194 and 195 of the Federal Criminal Code [section titled] ‘About the production, possession, trafficking, proselytism and other acts in the area of drugs. </w:t>
      </w:r>
      <w:hyperlink r:id="rId510" w:history="1">
        <w:r w:rsidRPr="001944CF">
          <w:rPr>
            <w:rStyle w:val="Hyperlink"/>
            <w:rFonts w:asciiTheme="majorHAnsi" w:hAnsiTheme="majorHAnsi"/>
            <w:color w:val="808080" w:themeColor="background1" w:themeShade="80"/>
            <w:sz w:val="16"/>
            <w:szCs w:val="16"/>
          </w:rPr>
          <w:t>Código Nacional de Procedimientos Penales</w:t>
        </w:r>
      </w:hyperlink>
      <w:r w:rsidRPr="001944CF">
        <w:rPr>
          <w:rFonts w:asciiTheme="majorHAnsi" w:hAnsiTheme="majorHAnsi"/>
          <w:color w:val="808080" w:themeColor="background1" w:themeShade="80"/>
          <w:sz w:val="16"/>
          <w:szCs w:val="16"/>
        </w:rPr>
        <w:t>, [‘National Code of Criminal Procedures’], Mexico, published on March 5, 2014, in force as of June 18, 2016, Article 167.</w:t>
      </w:r>
    </w:p>
  </w:footnote>
  <w:footnote w:id="686">
    <w:p w14:paraId="577D0844" w14:textId="29BBF63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11" w:history="1">
        <w:r w:rsidRPr="001944CF">
          <w:rPr>
            <w:rStyle w:val="Hyperlink"/>
            <w:rFonts w:asciiTheme="majorHAnsi" w:hAnsiTheme="majorHAnsi"/>
            <w:color w:val="808080" w:themeColor="background1" w:themeShade="80"/>
          </w:rPr>
          <w:t>Ley contra la Narcoactividad</w:t>
        </w:r>
      </w:hyperlink>
      <w:r w:rsidRPr="001944CF">
        <w:rPr>
          <w:rFonts w:asciiTheme="majorHAnsi" w:hAnsiTheme="majorHAnsi"/>
          <w:color w:val="808080" w:themeColor="background1" w:themeShade="80"/>
        </w:rPr>
        <w:t xml:space="preserve">, [‘Law against Narcoactivity’], Guatemala, in effect as of October 1992, Article 61. </w:t>
      </w:r>
    </w:p>
  </w:footnote>
  <w:footnote w:id="687">
    <w:p w14:paraId="72B2F1F1" w14:textId="2AE1EAB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12"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[Report on Measures Aimed at Reducing the Use of Pretrial Detention in the Americas], OEA/Ser.L/V/II.163. Doc. 105, July 3, 2017, para. 90.</w:t>
      </w:r>
    </w:p>
  </w:footnote>
  <w:footnote w:id="688">
    <w:p w14:paraId="55F89134" w14:textId="37F6013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State of Guatemala, Submission on preliminary observations to the on-site visit of the IACHR, Ref. P-1261-2017/VHGM/LWC/nj, August 29, 2017. Annex 3, Response of the Commission to Addiction and Illicit Drug Trafficking, August 17, 2017. </w:t>
      </w:r>
    </w:p>
  </w:footnote>
  <w:footnote w:id="689">
    <w:p w14:paraId="3BE74C09" w14:textId="73995E3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OUNHCHR and PDH, “Use of pretrial detention in Guatemala: A human rights problem,’ 2016, para. 19.</w:t>
      </w:r>
    </w:p>
  </w:footnote>
  <w:footnote w:id="690">
    <w:p w14:paraId="335CCE6F" w14:textId="5DBF550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National Mechanism Office of Prevention of Torture, Guatemala. Response to the consultation questionnaire for the Report on Measures aimed at Reducing the Use of Pretrial Detention in the Americas, submitted to the IACHR on May 16, 2016. </w:t>
      </w:r>
    </w:p>
  </w:footnote>
  <w:footnote w:id="691">
    <w:p w14:paraId="0A685803" w14:textId="102D64C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13"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[Report on Measures Aimed at Reducing the Use of Pretrial Detention in the Americas], OEA/Ser.L/V/II.163. Doc. 105, July 3, 2017, para. 231 Recommendation D “Independence of Judicial Officers.”</w:t>
      </w:r>
    </w:p>
  </w:footnote>
  <w:footnote w:id="692">
    <w:p w14:paraId="60051CD7" w14:textId="387FF678" w:rsidR="001D7FF7" w:rsidRPr="001944CF" w:rsidRDefault="001D7FF7" w:rsidP="00B70540">
      <w:pPr>
        <w:spacing w:after="40" w:line="240" w:lineRule="auto"/>
        <w:ind w:left="547" w:hanging="547"/>
        <w:jc w:val="both"/>
        <w:rPr>
          <w:rFonts w:asciiTheme="majorHAnsi" w:hAnsiTheme="majorHAnsi" w:cs="Arial"/>
          <w:bCs/>
          <w:color w:val="808080" w:themeColor="background1" w:themeShade="80"/>
          <w:sz w:val="16"/>
          <w:szCs w:val="16"/>
          <w:shd w:val="clear" w:color="auto" w:fill="FFFFFF"/>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In this regard, IACHR, </w:t>
      </w:r>
      <w:hyperlink r:id="rId514" w:history="1">
        <w:r w:rsidRPr="001944CF">
          <w:rPr>
            <w:rStyle w:val="Hyperlink"/>
            <w:rFonts w:asciiTheme="majorHAnsi" w:hAnsiTheme="majorHAnsi"/>
            <w:color w:val="808080" w:themeColor="background1" w:themeShade="80"/>
            <w:sz w:val="16"/>
            <w:szCs w:val="16"/>
          </w:rPr>
          <w:t>Audiencia pública “Medidas para reducir la prisión preventiva en América</w:t>
        </w:r>
      </w:hyperlink>
      <w:r w:rsidRPr="001944CF">
        <w:rPr>
          <w:rFonts w:asciiTheme="majorHAnsi" w:hAnsiTheme="majorHAnsi"/>
          <w:color w:val="808080" w:themeColor="background1" w:themeShade="80"/>
          <w:sz w:val="16"/>
          <w:szCs w:val="16"/>
        </w:rPr>
        <w:t>” [‘Public Hearing “Measure to reduce pretrial detention in the Americas’], 157</w:t>
      </w:r>
      <w:r w:rsidRPr="001944CF">
        <w:rPr>
          <w:rFonts w:asciiTheme="majorHAnsi" w:hAnsiTheme="majorHAnsi"/>
          <w:color w:val="808080" w:themeColor="background1" w:themeShade="80"/>
          <w:sz w:val="16"/>
          <w:szCs w:val="16"/>
          <w:vertAlign w:val="superscript"/>
        </w:rPr>
        <w:t>th</w:t>
      </w:r>
      <w:r w:rsidRPr="001944CF">
        <w:rPr>
          <w:rFonts w:asciiTheme="majorHAnsi" w:hAnsiTheme="majorHAnsi"/>
          <w:color w:val="808080" w:themeColor="background1" w:themeShade="80"/>
          <w:sz w:val="16"/>
          <w:szCs w:val="16"/>
        </w:rPr>
        <w:t xml:space="preserve"> regular session, April 5, 2016. Information provided by the Institute of Comparative Studies in Penal Sciences of Guatemala (</w:t>
      </w:r>
      <w:r w:rsidRPr="001944CF">
        <w:rPr>
          <w:rStyle w:val="Emphasis"/>
          <w:rFonts w:asciiTheme="majorHAnsi" w:hAnsiTheme="majorHAnsi" w:cs="Arial"/>
          <w:color w:val="808080" w:themeColor="background1" w:themeShade="80"/>
          <w:sz w:val="16"/>
          <w:szCs w:val="16"/>
        </w:rPr>
        <w:t xml:space="preserve">ICCPG). </w:t>
      </w:r>
      <w:r w:rsidRPr="001944CF">
        <w:rPr>
          <w:rStyle w:val="Emphasis"/>
          <w:rFonts w:asciiTheme="majorHAnsi" w:hAnsiTheme="majorHAnsi" w:cs="Arial"/>
          <w:color w:val="808080" w:themeColor="background1" w:themeShade="80"/>
          <w:sz w:val="16"/>
          <w:szCs w:val="16"/>
          <w:lang w:val="es-ES"/>
        </w:rPr>
        <w:t xml:space="preserve">Also see: </w:t>
      </w:r>
      <w:r w:rsidRPr="001944CF">
        <w:rPr>
          <w:rStyle w:val="Emphasis"/>
          <w:rFonts w:asciiTheme="majorHAnsi" w:hAnsiTheme="majorHAnsi" w:cs="Arial"/>
          <w:i w:val="0"/>
          <w:color w:val="808080" w:themeColor="background1" w:themeShade="80"/>
          <w:sz w:val="16"/>
          <w:szCs w:val="16"/>
          <w:lang w:val="es-ES"/>
        </w:rPr>
        <w:t xml:space="preserve">OUNHCHR and </w:t>
      </w:r>
      <w:r w:rsidRPr="001944CF">
        <w:rPr>
          <w:rFonts w:asciiTheme="majorHAnsi" w:hAnsiTheme="majorHAnsi"/>
          <w:color w:val="808080" w:themeColor="background1" w:themeShade="80"/>
          <w:sz w:val="16"/>
          <w:szCs w:val="16"/>
          <w:lang w:val="es-ES"/>
        </w:rPr>
        <w:t xml:space="preserve">PDH, “La aplicación de la prisión preventiva en Guatemala: un problema de derechos humanos” [‘The use of pretrial prevention in Guatemala: a human rights problem’], 2016, para. 67, and PDH, Guatemala, </w:t>
      </w:r>
      <w:hyperlink r:id="rId515" w:history="1">
        <w:r w:rsidRPr="001944CF">
          <w:rPr>
            <w:rStyle w:val="Hyperlink"/>
            <w:rFonts w:asciiTheme="majorHAnsi" w:hAnsiTheme="majorHAnsi"/>
            <w:color w:val="808080" w:themeColor="background1" w:themeShade="80"/>
            <w:sz w:val="16"/>
            <w:szCs w:val="16"/>
            <w:lang w:val="es-ES"/>
          </w:rPr>
          <w:t>Informe Anual Circunstanciado 2016</w:t>
        </w:r>
      </w:hyperlink>
      <w:r w:rsidRPr="001944CF">
        <w:rPr>
          <w:rFonts w:asciiTheme="majorHAnsi" w:hAnsiTheme="majorHAnsi"/>
          <w:color w:val="808080" w:themeColor="background1" w:themeShade="80"/>
          <w:sz w:val="16"/>
          <w:szCs w:val="16"/>
          <w:lang w:val="es-ES"/>
        </w:rPr>
        <w:t xml:space="preserve"> [‘2016 Annual Status Report’] pgs. 45 and 179, and </w:t>
      </w:r>
      <w:hyperlink r:id="rId516" w:history="1">
        <w:r w:rsidRPr="001944CF">
          <w:rPr>
            <w:rStyle w:val="Hyperlink"/>
            <w:rFonts w:asciiTheme="majorHAnsi" w:hAnsiTheme="majorHAnsi" w:cs="Arial"/>
            <w:bCs/>
            <w:color w:val="808080" w:themeColor="background1" w:themeShade="80"/>
            <w:sz w:val="16"/>
            <w:szCs w:val="16"/>
            <w:shd w:val="clear" w:color="auto" w:fill="FFFFFF"/>
            <w:lang w:val="es-ES"/>
          </w:rPr>
          <w:t>Informe Anual Circunstanciado, Situación de los Derechos Humanos y Memoria de Labores 2015</w:t>
        </w:r>
      </w:hyperlink>
      <w:r w:rsidRPr="001944CF">
        <w:rPr>
          <w:rFonts w:asciiTheme="majorHAnsi" w:hAnsiTheme="majorHAnsi" w:cs="Arial"/>
          <w:bCs/>
          <w:color w:val="808080" w:themeColor="background1" w:themeShade="80"/>
          <w:sz w:val="16"/>
          <w:szCs w:val="16"/>
          <w:shd w:val="clear" w:color="auto" w:fill="FFFFFF"/>
          <w:lang w:val="es-ES"/>
        </w:rPr>
        <w:t xml:space="preserve"> [‘2015 Annual Status Report, Situation of Human Rights and Record of Activities’], September 10, 2016, pg. </w:t>
      </w:r>
      <w:r w:rsidRPr="001944CF">
        <w:rPr>
          <w:rFonts w:asciiTheme="majorHAnsi" w:hAnsiTheme="majorHAnsi"/>
          <w:color w:val="808080" w:themeColor="background1" w:themeShade="80"/>
          <w:sz w:val="16"/>
          <w:szCs w:val="16"/>
          <w:lang w:val="es-ES"/>
        </w:rPr>
        <w:t>205.</w:t>
      </w:r>
    </w:p>
  </w:footnote>
  <w:footnote w:id="693">
    <w:p w14:paraId="3F305553" w14:textId="201F1AB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 Court of HR.</w:t>
      </w:r>
      <w:r w:rsidRPr="001944CF">
        <w:rPr>
          <w:rStyle w:val="Strong"/>
          <w:rFonts w:asciiTheme="majorHAnsi" w:hAnsiTheme="majorHAnsi"/>
          <w:b w:val="0"/>
          <w:color w:val="808080" w:themeColor="background1" w:themeShade="80"/>
        </w:rPr>
        <w:t xml:space="preserve"> </w:t>
      </w:r>
      <w:r w:rsidRPr="001944CF">
        <w:rPr>
          <w:rStyle w:val="Strong"/>
          <w:rFonts w:asciiTheme="majorHAnsi" w:hAnsiTheme="majorHAnsi"/>
          <w:b w:val="0"/>
          <w:i/>
          <w:color w:val="808080" w:themeColor="background1" w:themeShade="80"/>
        </w:rPr>
        <w:t>Case of Ruano Torres et al v. El Salvador</w:t>
      </w:r>
      <w:r w:rsidRPr="001944CF">
        <w:rPr>
          <w:rStyle w:val="Strong"/>
          <w:rFonts w:asciiTheme="majorHAnsi" w:hAnsiTheme="majorHAnsi"/>
          <w:b w:val="0"/>
          <w:color w:val="808080" w:themeColor="background1" w:themeShade="80"/>
        </w:rPr>
        <w:t>. Merits, Reparations and Costs. Judgment of October 5, 2015. Series C No. 303, para. 156.</w:t>
      </w:r>
    </w:p>
  </w:footnote>
  <w:footnote w:id="694">
    <w:p w14:paraId="3C46163D" w14:textId="645065A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17"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xml:space="preserve">, [Report on Measures Aimed at Reducing the Use of Pretrial Detention in the Americas], OEA/Ser.L/V/II.163. Doc. 105, July 3, 2017, para. 231 Recommendation C “Public Defense.” IACHR, </w:t>
      </w:r>
      <w:hyperlink r:id="rId518" w:history="1">
        <w:r w:rsidRPr="001944CF">
          <w:rPr>
            <w:rStyle w:val="Hyperlink"/>
            <w:rFonts w:asciiTheme="majorHAnsi" w:hAnsiTheme="majorHAnsi"/>
            <w:i/>
            <w:color w:val="808080" w:themeColor="background1" w:themeShade="80"/>
          </w:rPr>
          <w:t>Informe sobre el Uso de la Prisión Preventiva en las Américas</w:t>
        </w:r>
      </w:hyperlink>
      <w:r w:rsidRPr="001944CF">
        <w:rPr>
          <w:rFonts w:asciiTheme="majorHAnsi" w:hAnsiTheme="majorHAnsi"/>
          <w:color w:val="808080" w:themeColor="background1" w:themeShade="80"/>
        </w:rPr>
        <w:t xml:space="preserve"> [‘Report on the use of pretrial detention in the Americas’], OEA/Ser.L/V/II., Doc. 46/13, December 30, 2013, para. 326. Recommendation E “Legal Defense.” About most detailed standards in the area of public defense, see IA Court of HR. </w:t>
      </w:r>
      <w:r w:rsidRPr="001944CF">
        <w:rPr>
          <w:rStyle w:val="Strong"/>
          <w:rFonts w:asciiTheme="majorHAnsi" w:hAnsiTheme="majorHAnsi"/>
          <w:b w:val="0"/>
          <w:i/>
          <w:color w:val="808080" w:themeColor="background1" w:themeShade="80"/>
        </w:rPr>
        <w:t>Case of Ruano Torres et al v. El Salvador</w:t>
      </w:r>
      <w:r w:rsidRPr="001944CF">
        <w:rPr>
          <w:rStyle w:val="Strong"/>
          <w:rFonts w:asciiTheme="majorHAnsi" w:hAnsiTheme="majorHAnsi"/>
          <w:b w:val="0"/>
          <w:color w:val="808080" w:themeColor="background1" w:themeShade="80"/>
        </w:rPr>
        <w:t xml:space="preserve">. Merits, Reparations and Costs. Judgment of October 5, 2015. Series C No. 303. </w:t>
      </w:r>
    </w:p>
  </w:footnote>
  <w:footnote w:id="695">
    <w:p w14:paraId="67CFE7C4" w14:textId="7B59621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PDH, Guatemala, </w:t>
      </w:r>
      <w:hyperlink r:id="rId519"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xml:space="preserve">, [‘2016 Annual Status Report’] pgs. 45 and 176, and </w:t>
      </w:r>
      <w:hyperlink r:id="rId520" w:history="1">
        <w:r w:rsidRPr="001944CF">
          <w:rPr>
            <w:rStyle w:val="Hyperlink"/>
            <w:rFonts w:asciiTheme="majorHAnsi" w:hAnsiTheme="majorHAnsi" w:cs="Arial"/>
            <w:bCs/>
            <w:color w:val="808080" w:themeColor="background1" w:themeShade="80"/>
            <w:shd w:val="clear" w:color="auto" w:fill="FFFFFF"/>
          </w:rPr>
          <w:t>Informe Anual Circunstanciado, Situación de los Derechos Humanos y Memoria de Labores 2015</w:t>
        </w:r>
      </w:hyperlink>
      <w:r w:rsidRPr="001944CF">
        <w:rPr>
          <w:rFonts w:asciiTheme="majorHAnsi" w:hAnsiTheme="majorHAnsi" w:cs="Arial"/>
          <w:bCs/>
          <w:color w:val="808080" w:themeColor="background1" w:themeShade="80"/>
          <w:shd w:val="clear" w:color="auto" w:fill="FFFFFF"/>
        </w:rPr>
        <w:t xml:space="preserve">, [‘2015 Annual Status Report, Situation of Human Rights and Record of Activities’], September 10, 2016, pg. </w:t>
      </w:r>
      <w:r w:rsidRPr="001944CF">
        <w:rPr>
          <w:rFonts w:asciiTheme="majorHAnsi" w:hAnsiTheme="majorHAnsi"/>
          <w:color w:val="808080" w:themeColor="background1" w:themeShade="80"/>
        </w:rPr>
        <w:t xml:space="preserve">205. </w:t>
      </w:r>
      <w:r w:rsidRPr="001944CF">
        <w:rPr>
          <w:rFonts w:asciiTheme="majorHAnsi" w:hAnsiTheme="majorHAnsi" w:cs="Arial"/>
          <w:bCs/>
          <w:color w:val="808080" w:themeColor="background1" w:themeShade="80"/>
          <w:shd w:val="clear" w:color="auto" w:fill="FFFFFF"/>
        </w:rPr>
        <w:t xml:space="preserve">With respect to the situation of pretrial detention, see OUNHCHR and PDH, </w:t>
      </w:r>
      <w:r w:rsidRPr="001944CF">
        <w:rPr>
          <w:rFonts w:asciiTheme="majorHAnsi" w:hAnsiTheme="majorHAnsi"/>
          <w:color w:val="808080" w:themeColor="background1" w:themeShade="80"/>
        </w:rPr>
        <w:t xml:space="preserve">[‘The use of pretrial prevention in Guatemala: a human rights problem’], 2016, para. 66. </w:t>
      </w:r>
    </w:p>
  </w:footnote>
  <w:footnote w:id="696">
    <w:p w14:paraId="2DFB4097" w14:textId="2F1591D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this regard, IACHR, </w:t>
      </w:r>
      <w:hyperlink r:id="rId521" w:history="1">
        <w:r w:rsidRPr="001944CF">
          <w:rPr>
            <w:rStyle w:val="Hyperlink"/>
            <w:rFonts w:asciiTheme="majorHAnsi" w:hAnsiTheme="majorHAnsi"/>
            <w:i/>
            <w:color w:val="808080" w:themeColor="background1" w:themeShade="80"/>
          </w:rPr>
          <w:t>Informe sobre los derechos humanos de las personas privadas de libertad en las Américas</w:t>
        </w:r>
      </w:hyperlink>
      <w:r w:rsidRPr="001944CF">
        <w:rPr>
          <w:rFonts w:asciiTheme="majorHAnsi" w:hAnsiTheme="majorHAnsi"/>
          <w:color w:val="808080" w:themeColor="background1" w:themeShade="80"/>
        </w:rPr>
        <w:t xml:space="preserve"> [‘Report on the human rights of persons deprived of liberty in the Americas’], OEA/Ser.L/V/II. Doc. 64, December 31, 2011, para. 158.</w:t>
      </w:r>
    </w:p>
  </w:footnote>
  <w:footnote w:id="697">
    <w:p w14:paraId="1AE9BA66" w14:textId="6989558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this regard, </w:t>
      </w:r>
      <w:r w:rsidRPr="001944CF">
        <w:rPr>
          <w:rFonts w:asciiTheme="majorHAnsi" w:hAnsiTheme="majorHAnsi" w:cs="Arial"/>
          <w:bCs/>
          <w:color w:val="808080" w:themeColor="background1" w:themeShade="80"/>
          <w:shd w:val="clear" w:color="auto" w:fill="FFFFFF"/>
        </w:rPr>
        <w:t xml:space="preserve">OUNHCHR and PDH, </w:t>
      </w:r>
      <w:r w:rsidRPr="001944CF">
        <w:rPr>
          <w:rFonts w:asciiTheme="majorHAnsi" w:hAnsiTheme="majorHAnsi"/>
          <w:color w:val="808080" w:themeColor="background1" w:themeShade="80"/>
        </w:rPr>
        <w:t>[‘The use of pretrial prevention in Guatemala: a human rights problem’], 2016, para. 39.</w:t>
      </w:r>
    </w:p>
  </w:footnote>
  <w:footnote w:id="698">
    <w:p w14:paraId="13A090DB" w14:textId="7777777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State of Guatemala, Submission on preliminary observations to the on-site visit of the IACHR, Ref. P-1261-2017/VHGM/LWC/nj, August 29, 2017.  Annex 13, Response of the Judiciary, August 18, 2017. </w:t>
      </w:r>
    </w:p>
  </w:footnote>
  <w:footnote w:id="699">
    <w:p w14:paraId="11E1E512" w14:textId="0302CD7C"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For more information on implementation of hearings in jail facilities, see IACHR, </w:t>
      </w:r>
      <w:hyperlink r:id="rId522" w:history="1">
        <w:r w:rsidRPr="001944CF">
          <w:rPr>
            <w:rStyle w:val="Hyperlink"/>
            <w:rFonts w:asciiTheme="majorHAnsi" w:hAnsiTheme="majorHAnsi"/>
            <w:i/>
            <w:color w:val="808080" w:themeColor="background1" w:themeShade="80"/>
          </w:rPr>
          <w:t xml:space="preserve">Informe sobre medidas dirigidas a reducir el uso de la prisión preventiva en las </w:t>
        </w:r>
        <w:r w:rsidRPr="001944CF">
          <w:rPr>
            <w:rStyle w:val="Hyperlink"/>
            <w:rFonts w:asciiTheme="majorHAnsi" w:hAnsiTheme="majorHAnsi"/>
            <w:color w:val="808080" w:themeColor="background1" w:themeShade="80"/>
          </w:rPr>
          <w:t>Américas</w:t>
        </w:r>
      </w:hyperlink>
      <w:r w:rsidRPr="001944CF">
        <w:rPr>
          <w:rFonts w:asciiTheme="majorHAnsi" w:hAnsiTheme="majorHAnsi"/>
          <w:color w:val="808080" w:themeColor="background1" w:themeShade="80"/>
        </w:rPr>
        <w:t xml:space="preserve"> [Report on Measures Aimed at Reducing the Use of Pretrial Detention in the Americas], OEA/Ser.L/V/II.163. Doc. 105, July 3, 2017, para. 231 Recommendation I “Measures Related to Speedy Process and Correcting the Procedural Delay”, section 4. </w:t>
      </w:r>
      <w:r w:rsidRPr="001944CF">
        <w:rPr>
          <w:rFonts w:asciiTheme="majorHAnsi" w:hAnsiTheme="majorHAnsi"/>
          <w:color w:val="808080" w:themeColor="background1" w:themeShade="80"/>
          <w:lang w:val="es-MX"/>
        </w:rPr>
        <w:t xml:space="preserve">Also see: IACHR, </w:t>
      </w:r>
      <w:hyperlink r:id="rId523" w:history="1">
        <w:r w:rsidRPr="001944CF">
          <w:rPr>
            <w:rStyle w:val="Hyperlink"/>
            <w:rFonts w:asciiTheme="majorHAnsi" w:hAnsiTheme="majorHAnsi"/>
            <w:i/>
            <w:color w:val="808080" w:themeColor="background1" w:themeShade="80"/>
            <w:lang w:val="es-MX"/>
          </w:rPr>
          <w:t>Guía práctica para reducir la prisión preventiva</w:t>
        </w:r>
      </w:hyperlink>
      <w:r w:rsidRPr="001944CF">
        <w:rPr>
          <w:rFonts w:asciiTheme="majorHAnsi" w:hAnsiTheme="majorHAnsi"/>
          <w:color w:val="808080" w:themeColor="background1" w:themeShade="80"/>
          <w:lang w:val="es-MX"/>
        </w:rPr>
        <w:t xml:space="preserve">, [‘Practical guide to reduce pretrial detention’], OEA/Ser.L/V/II.163 Doc. 107, pp. 36 and 36. </w:t>
      </w:r>
    </w:p>
  </w:footnote>
  <w:footnote w:id="700">
    <w:p w14:paraId="221DB045" w14:textId="54A3D7A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524" w:history="1">
        <w:r w:rsidRPr="001944CF">
          <w:rPr>
            <w:rStyle w:val="Hyperlink"/>
            <w:rFonts w:asciiTheme="majorHAnsi" w:hAnsiTheme="majorHAnsi"/>
            <w:i/>
            <w:color w:val="808080" w:themeColor="background1" w:themeShade="80"/>
            <w:lang w:val="es-MX"/>
          </w:rPr>
          <w:t>Informe sobre medidas dirigidas a reducir el uso de la prisión preventiva en las Américas</w:t>
        </w:r>
      </w:hyperlink>
      <w:r w:rsidRPr="001944CF">
        <w:rPr>
          <w:rFonts w:asciiTheme="majorHAnsi" w:hAnsiTheme="majorHAnsi"/>
          <w:color w:val="808080" w:themeColor="background1" w:themeShade="80"/>
          <w:lang w:val="es-MX"/>
        </w:rPr>
        <w:t xml:space="preserve">, [Report on Measures Aimed at Reducing the Use of Pretrial Detention in the Americas], OEA/Ser.L/V/II.163. </w:t>
      </w:r>
      <w:r w:rsidRPr="001944CF">
        <w:rPr>
          <w:rFonts w:asciiTheme="majorHAnsi" w:hAnsiTheme="majorHAnsi"/>
          <w:color w:val="808080" w:themeColor="background1" w:themeShade="80"/>
        </w:rPr>
        <w:t>Doc. 105, July 3, 2017, para. 175.</w:t>
      </w:r>
    </w:p>
  </w:footnote>
  <w:footnote w:id="701">
    <w:p w14:paraId="67FFFA8A" w14:textId="2C948B1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25" w:history="1">
        <w:r w:rsidRPr="001944CF">
          <w:rPr>
            <w:rStyle w:val="Hyperlink"/>
            <w:rFonts w:asciiTheme="majorHAnsi" w:hAnsiTheme="majorHAnsi"/>
            <w:color w:val="808080" w:themeColor="background1" w:themeShade="80"/>
          </w:rPr>
          <w:t>Código Procesal Penal</w:t>
        </w:r>
      </w:hyperlink>
      <w:r w:rsidRPr="001944CF">
        <w:rPr>
          <w:rFonts w:asciiTheme="majorHAnsi" w:hAnsiTheme="majorHAnsi"/>
          <w:color w:val="808080" w:themeColor="background1" w:themeShade="80"/>
        </w:rPr>
        <w:t xml:space="preserve">, [Code of Criminal Procedure], Decree No. 51-92, Guatemala, in force as of December 1993, Article 264. </w:t>
      </w:r>
    </w:p>
  </w:footnote>
  <w:footnote w:id="702">
    <w:p w14:paraId="623B782B" w14:textId="59A9BDE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26" w:history="1">
        <w:r w:rsidRPr="001944CF">
          <w:rPr>
            <w:rStyle w:val="Hyperlink"/>
            <w:rFonts w:asciiTheme="majorHAnsi" w:hAnsiTheme="majorHAnsi"/>
            <w:color w:val="808080" w:themeColor="background1" w:themeShade="80"/>
          </w:rPr>
          <w:t>Ley de Implementación del Control Telemático en el Proceso Penal (Decreto 49-2016)</w:t>
        </w:r>
      </w:hyperlink>
      <w:r w:rsidRPr="001944CF">
        <w:rPr>
          <w:rFonts w:asciiTheme="majorHAnsi" w:hAnsiTheme="majorHAnsi"/>
          <w:color w:val="808080" w:themeColor="background1" w:themeShade="80"/>
        </w:rPr>
        <w:t xml:space="preserve"> [‘Law of Implementation of Telecommunication and Information Technology in Criminal Proceedings’], Guatemala, in force as of December 22, 2016, Article 7</w:t>
      </w:r>
    </w:p>
  </w:footnote>
  <w:footnote w:id="703">
    <w:p w14:paraId="1E7DE303" w14:textId="461E3EB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State of Guatemala, Submission on preliminary observations to the on-site visit of the IACHR, Ref. P-1261-2017/VHGM/LWC/nj, August 29, 2017.  Annex 13, Response of the Judiciary, August 18, 2017.  </w:t>
      </w:r>
    </w:p>
  </w:footnote>
  <w:footnote w:id="704">
    <w:p w14:paraId="24FDC72E" w14:textId="0DFD3671" w:rsidR="001D7FF7" w:rsidRPr="001944CF" w:rsidRDefault="001D7FF7" w:rsidP="006F17D4">
      <w:pPr>
        <w:pStyle w:val="FootnoteText"/>
        <w:rPr>
          <w:rFonts w:asciiTheme="majorHAnsi" w:hAnsiTheme="majorHAnsi"/>
          <w:color w:val="808080" w:themeColor="background1" w:themeShade="80"/>
        </w:rPr>
      </w:pPr>
      <w:r w:rsidRPr="001944CF">
        <w:rPr>
          <w:rFonts w:asciiTheme="majorHAnsi" w:hAnsiTheme="majorHAnsi"/>
          <w:color w:val="808080" w:themeColor="background1" w:themeShade="80"/>
          <w:vertAlign w:val="superscript"/>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27" w:history="1">
        <w:r w:rsidRPr="001944CF">
          <w:rPr>
            <w:rStyle w:val="Hyperlink"/>
            <w:rFonts w:asciiTheme="majorHAnsi" w:hAnsiTheme="majorHAnsi"/>
            <w:color w:val="808080" w:themeColor="background1" w:themeShade="80"/>
          </w:rPr>
          <w:t>Ley de Implementación del Control Telemático en el Proceso Penal (Decreto 49-2016)</w:t>
        </w:r>
      </w:hyperlink>
      <w:r w:rsidRPr="001944CF">
        <w:rPr>
          <w:rFonts w:asciiTheme="majorHAnsi" w:hAnsiTheme="majorHAnsi"/>
          <w:color w:val="808080" w:themeColor="background1" w:themeShade="80"/>
        </w:rPr>
        <w:t xml:space="preserve">, [‘Law of Implementation of Telecommunication and Information Technology in Criminal Proceedings’], Guatemala, in force as of December 22, 2016, Article 7. </w:t>
      </w:r>
    </w:p>
  </w:footnote>
  <w:footnote w:id="705">
    <w:p w14:paraId="36CEFBB0" w14:textId="2A5EB2C7"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PDH, Guatemala, </w:t>
      </w:r>
      <w:hyperlink r:id="rId528" w:history="1">
        <w:r w:rsidRPr="001944CF">
          <w:rPr>
            <w:rStyle w:val="Hyperlink"/>
            <w:rFonts w:asciiTheme="majorHAnsi" w:hAnsiTheme="majorHAnsi"/>
            <w:color w:val="808080" w:themeColor="background1" w:themeShade="80"/>
            <w:lang w:val="es-MX"/>
          </w:rPr>
          <w:t>Informe Anual Circunstanciado 2016</w:t>
        </w:r>
      </w:hyperlink>
      <w:r w:rsidRPr="001944CF">
        <w:rPr>
          <w:rFonts w:asciiTheme="majorHAnsi" w:hAnsiTheme="majorHAnsi"/>
          <w:color w:val="808080" w:themeColor="background1" w:themeShade="80"/>
          <w:lang w:val="es-MX"/>
        </w:rPr>
        <w:t xml:space="preserve">, [‘2016 Annual Status Report’], p. 179. </w:t>
      </w:r>
    </w:p>
  </w:footnote>
  <w:footnote w:id="706">
    <w:p w14:paraId="3D9A6FD2" w14:textId="2B1A489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w:t>
      </w:r>
      <w:hyperlink r:id="rId529" w:history="1">
        <w:r w:rsidRPr="001944CF">
          <w:rPr>
            <w:rStyle w:val="Hyperlink"/>
            <w:rFonts w:asciiTheme="majorHAnsi" w:hAnsiTheme="majorHAnsi"/>
            <w:i/>
            <w:color w:val="808080" w:themeColor="background1" w:themeShade="80"/>
            <w:lang w:val="es-MX"/>
          </w:rPr>
          <w:t>Informe sobre el uso de la prisión preventiva en las Américas</w:t>
        </w:r>
      </w:hyperlink>
      <w:r w:rsidRPr="001944CF">
        <w:rPr>
          <w:rFonts w:asciiTheme="majorHAnsi" w:hAnsiTheme="majorHAnsi"/>
          <w:color w:val="808080" w:themeColor="background1" w:themeShade="80"/>
          <w:lang w:val="es-MX"/>
        </w:rPr>
        <w:t xml:space="preserve">, [‘Report on the use of pretrial detention in the Americas’], para. </w:t>
      </w:r>
      <w:r w:rsidRPr="001944CF">
        <w:rPr>
          <w:rFonts w:asciiTheme="majorHAnsi" w:hAnsiTheme="majorHAnsi"/>
          <w:color w:val="808080" w:themeColor="background1" w:themeShade="80"/>
        </w:rPr>
        <w:t>326. Recommendation B “Use of precautionary measures other than pretrial detention.”</w:t>
      </w:r>
    </w:p>
  </w:footnote>
  <w:footnote w:id="707">
    <w:p w14:paraId="68C09FCE" w14:textId="327AC66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30"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[Report on Measures Aimed at Reducing the Use of Pretrial Detention in the Americas], OEA/Ser.L/V/II.163. Doc. 105, July 3, 2017, para. 134.</w:t>
      </w:r>
    </w:p>
  </w:footnote>
  <w:footnote w:id="708">
    <w:p w14:paraId="40BF9DD8" w14:textId="166AF11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Regulation for the Control of Impositions and Instructions Issued within the Probationary Regime of Conditional Suspension of Criminal Prosecution, approved under Resolution </w:t>
      </w:r>
      <w:r w:rsidRPr="001944CF">
        <w:rPr>
          <w:rFonts w:asciiTheme="majorHAnsi" w:eastAsia="UNZOVZ+Arial, Bold" w:hAnsiTheme="majorHAnsi" w:cs="Liberation Serif"/>
          <w:color w:val="808080" w:themeColor="background1" w:themeShade="80"/>
        </w:rPr>
        <w:t xml:space="preserve">4-2013 of the Supreme Court of Justice of Guatemala, published on August 6, 2013. </w:t>
      </w:r>
    </w:p>
  </w:footnote>
  <w:footnote w:id="709">
    <w:p w14:paraId="1217328D" w14:textId="1FAFB33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Article 4, section d).</w:t>
      </w:r>
    </w:p>
  </w:footnote>
  <w:footnote w:id="710">
    <w:p w14:paraId="1EFAFEDA" w14:textId="4F29ECB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r w:rsidRPr="001944CF">
        <w:rPr>
          <w:rFonts w:asciiTheme="majorHAnsi" w:eastAsia="UNZOVZ+Arial, Bold" w:hAnsiTheme="majorHAnsi" w:cs="Liberation Serif"/>
          <w:color w:val="808080" w:themeColor="background1" w:themeShade="80"/>
        </w:rPr>
        <w:t>A</w:t>
      </w:r>
      <w:r w:rsidRPr="001944CF">
        <w:rPr>
          <w:rFonts w:asciiTheme="majorHAnsi" w:hAnsiTheme="majorHAnsi"/>
          <w:color w:val="808080" w:themeColor="background1" w:themeShade="80"/>
        </w:rPr>
        <w:t>rticle 12;  IACHR, Hearing “Measures to reduce pretrial detention in the Americas,” 157</w:t>
      </w:r>
      <w:r w:rsidRPr="001944CF">
        <w:rPr>
          <w:rFonts w:asciiTheme="majorHAnsi" w:hAnsiTheme="majorHAnsi"/>
          <w:color w:val="808080" w:themeColor="background1" w:themeShade="80"/>
          <w:vertAlign w:val="superscript"/>
        </w:rPr>
        <w:t>th</w:t>
      </w:r>
      <w:r w:rsidRPr="001944CF">
        <w:rPr>
          <w:rFonts w:asciiTheme="majorHAnsi" w:hAnsiTheme="majorHAnsi"/>
          <w:color w:val="808080" w:themeColor="background1" w:themeShade="80"/>
        </w:rPr>
        <w:t xml:space="preserve"> regular session, April 5, 2016. Information provided by the </w:t>
      </w:r>
      <w:r w:rsidRPr="001944CF">
        <w:rPr>
          <w:rStyle w:val="Emphasis"/>
          <w:rFonts w:asciiTheme="majorHAnsi" w:hAnsiTheme="majorHAnsi" w:cs="Arial"/>
          <w:color w:val="808080" w:themeColor="background1" w:themeShade="80"/>
        </w:rPr>
        <w:t>IECCPG (</w:t>
      </w:r>
      <w:r w:rsidRPr="001944CF">
        <w:rPr>
          <w:rStyle w:val="Emphasis"/>
          <w:rFonts w:asciiTheme="majorHAnsi" w:hAnsiTheme="majorHAnsi" w:cs="Arial"/>
          <w:i w:val="0"/>
          <w:color w:val="808080" w:themeColor="background1" w:themeShade="80"/>
        </w:rPr>
        <w:t>Institute for Comparative Studies in Penal Sciences of Guatemala</w:t>
      </w:r>
      <w:r w:rsidRPr="001944CF">
        <w:rPr>
          <w:rStyle w:val="Emphasis"/>
          <w:rFonts w:asciiTheme="majorHAnsi" w:hAnsiTheme="majorHAnsi" w:cs="Arial"/>
          <w:color w:val="808080" w:themeColor="background1" w:themeShade="80"/>
        </w:rPr>
        <w:t>).</w:t>
      </w:r>
    </w:p>
  </w:footnote>
  <w:footnote w:id="711">
    <w:p w14:paraId="1E0FAA71" w14:textId="6E019E7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State of Guatemala, Submission on preliminary observations to the on-site visit of the IACHR, Ref. P-1261-2017/VHGM/LWC/nj, August 29, 2017.  Annex 3, Response of the Commission on Addiction and Illicit Drug Trafficking. August 17, 2017. </w:t>
      </w:r>
    </w:p>
  </w:footnote>
  <w:footnote w:id="712">
    <w:p w14:paraId="5A0A8232" w14:textId="2CFC818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31" w:history="1">
        <w:r w:rsidRPr="001944CF">
          <w:rPr>
            <w:rStyle w:val="Hyperlink"/>
            <w:rFonts w:asciiTheme="majorHAnsi" w:hAnsiTheme="majorHAnsi"/>
            <w:i/>
            <w:color w:val="808080" w:themeColor="background1" w:themeShade="80"/>
          </w:rPr>
          <w:t>Informe sobre medidas dirigidas a reducir el uso de la prisión preventiva en las Américas</w:t>
        </w:r>
      </w:hyperlink>
      <w:r w:rsidRPr="001944CF">
        <w:rPr>
          <w:rFonts w:asciiTheme="majorHAnsi" w:hAnsiTheme="majorHAnsi"/>
          <w:color w:val="808080" w:themeColor="background1" w:themeShade="80"/>
        </w:rPr>
        <w:t>, [Report on Measures Aimed at Reducing the Use of Pretrial Detention in the Americas], OEA/Ser.L/V/II.163. Doc. 105, July 3, 2017, pars. 148 to 151.</w:t>
      </w:r>
    </w:p>
  </w:footnote>
  <w:footnote w:id="713">
    <w:p w14:paraId="6031AD80" w14:textId="1751823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para. 153. </w:t>
      </w:r>
    </w:p>
  </w:footnote>
  <w:footnote w:id="714">
    <w:p w14:paraId="6CD9F292" w14:textId="6CD7367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data relating to where said facilities are currently housed was obtained during the IACHR’s visit to the institution in the context of the country visit, August 1 and 2, 2017. </w:t>
      </w:r>
    </w:p>
  </w:footnote>
  <w:footnote w:id="715">
    <w:p w14:paraId="003BBA89" w14:textId="1D44A0B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716">
    <w:p w14:paraId="0E6FD80A" w14:textId="3EECCB6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For more information about medical care at prison facilities, see PDH, Guatemala, </w:t>
      </w:r>
      <w:hyperlink r:id="rId532"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p. 210.</w:t>
      </w:r>
    </w:p>
  </w:footnote>
  <w:footnote w:id="717">
    <w:p w14:paraId="73BFA8EF" w14:textId="27AD504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Annual Report of the OUNHCHR on the activities of its office in Guatemala, A/HRC/34/3/Add.1, January 11, 2017, para. 31.</w:t>
      </w:r>
    </w:p>
  </w:footnote>
  <w:footnote w:id="718">
    <w:p w14:paraId="1AC0D4F7" w14:textId="49283CB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PDH, Guatemala, </w:t>
      </w:r>
      <w:hyperlink r:id="rId533"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xml:space="preserve">, [‘2016 Annual Status Report], p. 210. </w:t>
      </w:r>
    </w:p>
  </w:footnote>
  <w:footnote w:id="719">
    <w:p w14:paraId="72B6C23F" w14:textId="01F9045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w:t>
      </w:r>
    </w:p>
  </w:footnote>
  <w:footnote w:id="720">
    <w:p w14:paraId="6846E5C4" w14:textId="2A93C4F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34" w:history="1">
        <w:r w:rsidRPr="001944CF">
          <w:rPr>
            <w:rStyle w:val="Hyperlink"/>
            <w:rFonts w:asciiTheme="majorHAnsi" w:hAnsiTheme="majorHAnsi"/>
            <w:color w:val="808080" w:themeColor="background1" w:themeShade="80"/>
          </w:rPr>
          <w:t>Principios y Buenas Prácticas sobre la Protección de las Personas Privadas de  Libertad en las Américas</w:t>
        </w:r>
      </w:hyperlink>
      <w:r w:rsidRPr="001944CF">
        <w:rPr>
          <w:rFonts w:asciiTheme="majorHAnsi" w:hAnsiTheme="majorHAnsi"/>
          <w:color w:val="808080" w:themeColor="background1" w:themeShade="80"/>
        </w:rPr>
        <w:t xml:space="preserve"> [Principles and Best Practices on the Protection of Persons Deprived of Liberty in the Americas’], OEA/Ser/L/V/II.131, Document approved by the Commission at its 131</w:t>
      </w:r>
      <w:r w:rsidRPr="001944CF">
        <w:rPr>
          <w:rFonts w:asciiTheme="majorHAnsi" w:hAnsiTheme="majorHAnsi"/>
          <w:color w:val="808080" w:themeColor="background1" w:themeShade="80"/>
          <w:vertAlign w:val="superscript"/>
        </w:rPr>
        <w:t>st</w:t>
      </w:r>
      <w:r w:rsidRPr="001944CF">
        <w:rPr>
          <w:rFonts w:asciiTheme="majorHAnsi" w:hAnsiTheme="majorHAnsi"/>
          <w:color w:val="808080" w:themeColor="background1" w:themeShade="80"/>
        </w:rPr>
        <w:t xml:space="preserve"> Regular Session held from March 3 to 14, 2008, Principle XXII.3; and United Nations, </w:t>
      </w:r>
      <w:hyperlink r:id="rId535" w:history="1">
        <w:r w:rsidRPr="001944CF">
          <w:rPr>
            <w:rStyle w:val="Hyperlink"/>
            <w:rFonts w:asciiTheme="majorHAnsi" w:hAnsiTheme="majorHAnsi"/>
            <w:color w:val="808080" w:themeColor="background1" w:themeShade="80"/>
          </w:rPr>
          <w:t>Reglas Mínimas de las Naciones Unidas para el Tratamiento de los Reclusos (Reglas Nelson Mandela)</w:t>
        </w:r>
      </w:hyperlink>
      <w:r w:rsidRPr="001944CF">
        <w:rPr>
          <w:rFonts w:asciiTheme="majorHAnsi" w:hAnsiTheme="majorHAnsi"/>
          <w:color w:val="808080" w:themeColor="background1" w:themeShade="80"/>
        </w:rPr>
        <w:t>, [‘United Nations Standard Minimum Rules for the Treatment of  Prisoners (Nelson Mandela Rules)’], A/RES/70/175, Resolution approved by the General Assembly, December 17, 2015, Rule 43.</w:t>
      </w:r>
    </w:p>
  </w:footnote>
  <w:footnote w:id="721">
    <w:p w14:paraId="02E98C37" w14:textId="5FE68BF3"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IACHR, </w:t>
      </w:r>
      <w:hyperlink r:id="rId536" w:history="1">
        <w:r w:rsidRPr="001944CF">
          <w:rPr>
            <w:rStyle w:val="Hyperlink"/>
            <w:rFonts w:asciiTheme="majorHAnsi" w:hAnsiTheme="majorHAnsi"/>
            <w:iCs/>
            <w:color w:val="808080" w:themeColor="background1" w:themeShade="80"/>
            <w:sz w:val="16"/>
            <w:szCs w:val="16"/>
          </w:rPr>
          <w:t>Informe sobre los derechos humanos de las personas privadas de libertad en las Américas</w:t>
        </w:r>
      </w:hyperlink>
      <w:r w:rsidRPr="001944CF">
        <w:rPr>
          <w:rFonts w:asciiTheme="majorHAnsi" w:hAnsiTheme="majorHAnsi"/>
          <w:iCs/>
          <w:color w:val="808080" w:themeColor="background1" w:themeShade="80"/>
          <w:sz w:val="16"/>
          <w:szCs w:val="16"/>
        </w:rPr>
        <w:t xml:space="preserve">, [‘Report on the human rights of persons deprived of liberty in the Americas’], December 31, 2011, para. 411; IACHR, </w:t>
      </w:r>
      <w:hyperlink r:id="rId537" w:history="1">
        <w:r w:rsidRPr="001944CF">
          <w:rPr>
            <w:rStyle w:val="Hyperlink"/>
            <w:rFonts w:asciiTheme="majorHAnsi" w:hAnsiTheme="majorHAnsi"/>
            <w:color w:val="808080" w:themeColor="background1" w:themeShade="80"/>
            <w:sz w:val="16"/>
            <w:szCs w:val="16"/>
          </w:rPr>
          <w:t>Principios y Buenas Prácticas sobre la Protección de las Personas Privadas de  Libertad en las Américas</w:t>
        </w:r>
      </w:hyperlink>
      <w:r w:rsidRPr="001944CF">
        <w:rPr>
          <w:rFonts w:asciiTheme="majorHAnsi" w:hAnsiTheme="majorHAnsi"/>
          <w:color w:val="808080" w:themeColor="background1" w:themeShade="80"/>
          <w:sz w:val="16"/>
          <w:szCs w:val="16"/>
        </w:rPr>
        <w:t>, [Principles and Best Practices on the Protection of Persons Deprived of Liberty in the Americas’], OEA/Ser/L/V/II.131, Document approved by the Commission at its 131</w:t>
      </w:r>
      <w:r w:rsidRPr="001944CF">
        <w:rPr>
          <w:rFonts w:asciiTheme="majorHAnsi" w:hAnsiTheme="majorHAnsi"/>
          <w:color w:val="808080" w:themeColor="background1" w:themeShade="80"/>
          <w:sz w:val="16"/>
          <w:szCs w:val="16"/>
          <w:vertAlign w:val="superscript"/>
        </w:rPr>
        <w:t>st</w:t>
      </w:r>
      <w:r w:rsidRPr="001944CF">
        <w:rPr>
          <w:rFonts w:asciiTheme="majorHAnsi" w:hAnsiTheme="majorHAnsi"/>
          <w:color w:val="808080" w:themeColor="background1" w:themeShade="80"/>
          <w:sz w:val="16"/>
          <w:szCs w:val="16"/>
        </w:rPr>
        <w:t xml:space="preserve"> Regular Session held from March 3 to 14, 2008, Principle XXII.3; and United Nations, </w:t>
      </w:r>
      <w:hyperlink r:id="rId538" w:history="1">
        <w:r w:rsidRPr="001944CF">
          <w:rPr>
            <w:rStyle w:val="Hyperlink"/>
            <w:rFonts w:asciiTheme="majorHAnsi" w:hAnsiTheme="majorHAnsi"/>
            <w:color w:val="808080" w:themeColor="background1" w:themeShade="80"/>
            <w:sz w:val="16"/>
            <w:szCs w:val="16"/>
          </w:rPr>
          <w:t>Reglas Mínimas de las Naciones Unidas para el Tratamiento de los Reclusos (Reglas Nelson Mandela)</w:t>
        </w:r>
      </w:hyperlink>
      <w:r w:rsidRPr="001944CF">
        <w:rPr>
          <w:rFonts w:asciiTheme="majorHAnsi" w:hAnsiTheme="majorHAnsi"/>
          <w:color w:val="808080" w:themeColor="background1" w:themeShade="80"/>
          <w:sz w:val="16"/>
          <w:szCs w:val="16"/>
        </w:rPr>
        <w:t>, [‘United Nations Standard Minimum Rules for the Treatment of  Prisoners (Nelson Mandela Rules)’], A/RES/70/175, Resolution approved by the General Assembly, December 17, 2015, Rule 45.</w:t>
      </w:r>
    </w:p>
  </w:footnote>
  <w:footnote w:id="722">
    <w:p w14:paraId="54B4BEB2" w14:textId="11594FD2"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IACHR, </w:t>
      </w:r>
      <w:hyperlink r:id="rId539" w:history="1">
        <w:r w:rsidRPr="001944CF">
          <w:rPr>
            <w:rStyle w:val="Hyperlink"/>
            <w:rFonts w:asciiTheme="majorHAnsi" w:hAnsiTheme="majorHAnsi"/>
            <w:color w:val="808080" w:themeColor="background1" w:themeShade="80"/>
            <w:sz w:val="16"/>
            <w:szCs w:val="16"/>
          </w:rPr>
          <w:t>Principios y Buenas Prácticas sobre la Protección de las Personas Privadas de  Libertad en las Américas</w:t>
        </w:r>
      </w:hyperlink>
      <w:r w:rsidRPr="001944CF">
        <w:rPr>
          <w:rFonts w:asciiTheme="majorHAnsi" w:hAnsiTheme="majorHAnsi"/>
          <w:color w:val="808080" w:themeColor="background1" w:themeShade="80"/>
          <w:sz w:val="16"/>
          <w:szCs w:val="16"/>
        </w:rPr>
        <w:t>, [Principles and Best Practices on the Protection of Persons Deprived of Liberty in the Americas’], OEA/Ser/L/V/II.131, Document approved by the Commission at its 131</w:t>
      </w:r>
      <w:r w:rsidRPr="001944CF">
        <w:rPr>
          <w:rFonts w:asciiTheme="majorHAnsi" w:hAnsiTheme="majorHAnsi"/>
          <w:color w:val="808080" w:themeColor="background1" w:themeShade="80"/>
          <w:sz w:val="16"/>
          <w:szCs w:val="16"/>
          <w:vertAlign w:val="superscript"/>
        </w:rPr>
        <w:t>st</w:t>
      </w:r>
      <w:r w:rsidRPr="001944CF">
        <w:rPr>
          <w:rFonts w:asciiTheme="majorHAnsi" w:hAnsiTheme="majorHAnsi"/>
          <w:color w:val="808080" w:themeColor="background1" w:themeShade="80"/>
          <w:sz w:val="16"/>
          <w:szCs w:val="16"/>
        </w:rPr>
        <w:t xml:space="preserve"> Regular Session held from March 3 to 14, 2008, Principle XXII.3.</w:t>
      </w:r>
    </w:p>
  </w:footnote>
  <w:footnote w:id="723">
    <w:p w14:paraId="35048CA8" w14:textId="2A57F47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United Nations, </w:t>
      </w:r>
      <w:hyperlink r:id="rId540" w:history="1">
        <w:r w:rsidRPr="001944CF">
          <w:rPr>
            <w:rStyle w:val="Hyperlink"/>
            <w:rFonts w:asciiTheme="majorHAnsi" w:hAnsiTheme="majorHAnsi"/>
            <w:color w:val="808080" w:themeColor="background1" w:themeShade="80"/>
          </w:rPr>
          <w:t>Reglas Mínimas de las Naciones Unidas para el Tratamiento de los Reclusos (Reglas Nelson Mandela)</w:t>
        </w:r>
      </w:hyperlink>
      <w:r w:rsidRPr="001944CF">
        <w:rPr>
          <w:rFonts w:asciiTheme="majorHAnsi" w:hAnsiTheme="majorHAnsi"/>
          <w:color w:val="808080" w:themeColor="background1" w:themeShade="80"/>
        </w:rPr>
        <w:t xml:space="preserve">, [‘United Nations Standard Minimum Rules for the Treatment of  Prisoners (Nelson Mandela Rules)’], A/RES/70/175, Resolution approved by the General Assembly, December 17, 2015, Rule 45. </w:t>
      </w:r>
    </w:p>
  </w:footnote>
  <w:footnote w:id="724">
    <w:p w14:paraId="0A94D948" w14:textId="0B4B716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pt-BR"/>
        </w:rPr>
        <w:t xml:space="preserve"> </w:t>
      </w:r>
      <w:r w:rsidRPr="001944CF">
        <w:rPr>
          <w:rFonts w:asciiTheme="majorHAnsi" w:hAnsiTheme="majorHAnsi"/>
          <w:color w:val="808080" w:themeColor="background1" w:themeShade="80"/>
          <w:lang w:val="pt-BR"/>
        </w:rPr>
        <w:tab/>
        <w:t xml:space="preserve">DGSP-113907-2016 REF/JURÍDICO/VCM/oa-cp/D.HUMANOS. Guatemala, November 24, 2016. </w:t>
      </w:r>
      <w:r w:rsidRPr="001944CF">
        <w:rPr>
          <w:rFonts w:asciiTheme="majorHAnsi" w:hAnsiTheme="majorHAnsi"/>
          <w:color w:val="808080" w:themeColor="background1" w:themeShade="80"/>
        </w:rPr>
        <w:t xml:space="preserve">Cited in PDH, Guatemala, </w:t>
      </w:r>
      <w:hyperlink r:id="rId541"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p. 182.</w:t>
      </w:r>
    </w:p>
  </w:footnote>
  <w:footnote w:id="725">
    <w:p w14:paraId="0B60673E" w14:textId="68491D0E"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This number is for data from January to November 2016. PDH, Guatemala, </w:t>
      </w:r>
      <w:hyperlink r:id="rId542" w:history="1">
        <w:r w:rsidRPr="001944CF">
          <w:rPr>
            <w:rStyle w:val="Hyperlink"/>
            <w:rFonts w:asciiTheme="majorHAnsi" w:hAnsiTheme="majorHAnsi"/>
            <w:color w:val="808080" w:themeColor="background1" w:themeShade="80"/>
            <w:sz w:val="16"/>
            <w:szCs w:val="16"/>
          </w:rPr>
          <w:t>Informe Anual Circunstanciado 2016</w:t>
        </w:r>
      </w:hyperlink>
      <w:r w:rsidRPr="001944CF">
        <w:rPr>
          <w:rFonts w:asciiTheme="majorHAnsi" w:hAnsiTheme="majorHAnsi"/>
          <w:color w:val="808080" w:themeColor="background1" w:themeShade="80"/>
          <w:sz w:val="16"/>
          <w:szCs w:val="16"/>
        </w:rPr>
        <w:t xml:space="preserve">, [‘2016 Annual Status Report’], p. 182. </w:t>
      </w:r>
    </w:p>
  </w:footnote>
  <w:footnote w:id="726">
    <w:p w14:paraId="0C655EF6" w14:textId="57EC903B"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Among those who lost their lives in the incidents was Byron Lima, serving prison time for the murder of Bishop </w:t>
      </w:r>
      <w:r w:rsidRPr="001944CF">
        <w:rPr>
          <w:rFonts w:asciiTheme="majorHAnsi" w:hAnsiTheme="majorHAnsi" w:cs="Tahoma"/>
          <w:color w:val="808080" w:themeColor="background1" w:themeShade="80"/>
          <w:sz w:val="16"/>
          <w:szCs w:val="16"/>
        </w:rPr>
        <w:t xml:space="preserve">Juan Gerardi in 1998, and Johanna Birriel, a 24-year-old Argentine woman, who was visiting the prison facility. </w:t>
      </w:r>
      <w:r w:rsidRPr="001944CF">
        <w:rPr>
          <w:rFonts w:asciiTheme="majorHAnsi" w:hAnsiTheme="majorHAnsi" w:cs="Tahoma"/>
          <w:color w:val="808080" w:themeColor="background1" w:themeShade="80"/>
          <w:sz w:val="16"/>
          <w:szCs w:val="16"/>
          <w:lang w:val="es-MX"/>
        </w:rPr>
        <w:t>IACHR, Press Release</w:t>
      </w:r>
      <w:r w:rsidRPr="001944CF">
        <w:rPr>
          <w:rFonts w:asciiTheme="majorHAnsi" w:hAnsiTheme="majorHAnsi"/>
          <w:color w:val="808080" w:themeColor="background1" w:themeShade="80"/>
          <w:sz w:val="16"/>
          <w:szCs w:val="16"/>
          <w:lang w:val="es-MX"/>
        </w:rPr>
        <w:t xml:space="preserve"> 109/16-</w:t>
      </w:r>
      <w:hyperlink r:id="rId543" w:history="1">
        <w:r w:rsidRPr="001944CF">
          <w:rPr>
            <w:rStyle w:val="Hyperlink"/>
            <w:rFonts w:asciiTheme="majorHAnsi" w:hAnsiTheme="majorHAnsi"/>
            <w:color w:val="808080" w:themeColor="background1" w:themeShade="80"/>
            <w:sz w:val="16"/>
            <w:szCs w:val="16"/>
            <w:lang w:val="es-MX"/>
          </w:rPr>
          <w:t>“CIDH condena violencia en cárcel de Guatemala”</w:t>
        </w:r>
      </w:hyperlink>
      <w:r w:rsidRPr="001944CF">
        <w:rPr>
          <w:rStyle w:val="Hyperlink"/>
          <w:rFonts w:asciiTheme="majorHAnsi" w:hAnsiTheme="majorHAnsi"/>
          <w:color w:val="808080" w:themeColor="background1" w:themeShade="80"/>
          <w:sz w:val="16"/>
          <w:szCs w:val="16"/>
          <w:lang w:val="es-MX"/>
        </w:rPr>
        <w:t>.</w:t>
      </w:r>
      <w:r w:rsidRPr="001944CF">
        <w:rPr>
          <w:rFonts w:asciiTheme="majorHAnsi" w:hAnsiTheme="majorHAnsi"/>
          <w:color w:val="808080" w:themeColor="background1" w:themeShade="80"/>
          <w:sz w:val="16"/>
          <w:szCs w:val="16"/>
          <w:lang w:val="es-MX"/>
        </w:rPr>
        <w:t xml:space="preserve"> [‘IACHR condemns violence in Guatemalan prison’], Washington DC, August 3, 2016. </w:t>
      </w:r>
    </w:p>
  </w:footnote>
  <w:footnote w:id="727">
    <w:p w14:paraId="27F8C801" w14:textId="296601B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IACHR, Press Release 1/16 </w:t>
      </w:r>
      <w:hyperlink r:id="rId544" w:history="1">
        <w:r w:rsidRPr="001944CF">
          <w:rPr>
            <w:rStyle w:val="Hyperlink"/>
            <w:rFonts w:asciiTheme="majorHAnsi" w:hAnsiTheme="majorHAnsi" w:cs="Tahoma"/>
            <w:bCs/>
            <w:color w:val="808080" w:themeColor="background1" w:themeShade="80"/>
            <w:kern w:val="36"/>
            <w:lang w:val="es-MX"/>
          </w:rPr>
          <w:t>- CIDH lamenta violencia en cárcel de Guatemala</w:t>
        </w:r>
        <w:r w:rsidRPr="001944CF">
          <w:rPr>
            <w:rFonts w:asciiTheme="majorHAnsi" w:hAnsiTheme="majorHAnsi"/>
            <w:color w:val="808080" w:themeColor="background1" w:themeShade="80"/>
            <w:lang w:val="es-MX"/>
          </w:rPr>
          <w:t>.</w:t>
        </w:r>
      </w:hyperlink>
      <w:r w:rsidRPr="001944CF">
        <w:rPr>
          <w:rFonts w:asciiTheme="majorHAnsi" w:hAnsiTheme="majorHAnsi"/>
          <w:color w:val="808080" w:themeColor="background1" w:themeShade="80"/>
          <w:lang w:val="es-MX"/>
        </w:rPr>
        <w:t xml:space="preserve"> [‘IACHR regrets violence in Guatemalan Prison’], Washington, D.C., January 19, 2016, and IACHR, Press Release 144/15 - </w:t>
      </w:r>
      <w:hyperlink r:id="rId545" w:history="1">
        <w:r w:rsidRPr="001944CF">
          <w:rPr>
            <w:rStyle w:val="Hyperlink"/>
            <w:rFonts w:asciiTheme="majorHAnsi" w:hAnsiTheme="majorHAnsi" w:cs="Tahoma"/>
            <w:bCs/>
            <w:color w:val="808080" w:themeColor="background1" w:themeShade="80"/>
            <w:kern w:val="36"/>
            <w:lang w:val="es-MX"/>
          </w:rPr>
          <w:t>CIDH expresa preocupación por muertes violentas en cárcel de Guatemala</w:t>
        </w:r>
      </w:hyperlink>
      <w:r w:rsidRPr="001944CF">
        <w:rPr>
          <w:rFonts w:asciiTheme="majorHAnsi" w:hAnsiTheme="majorHAnsi" w:cs="Tahoma"/>
          <w:bCs/>
          <w:color w:val="808080" w:themeColor="background1" w:themeShade="80"/>
          <w:kern w:val="36"/>
          <w:lang w:val="es-MX"/>
        </w:rPr>
        <w:t xml:space="preserve"> [‘IACHR expresses concern regarding violent deaths in Guatemalan Prison’], </w:t>
      </w:r>
      <w:r w:rsidRPr="001944CF">
        <w:rPr>
          <w:rFonts w:asciiTheme="majorHAnsi" w:hAnsiTheme="majorHAnsi"/>
          <w:color w:val="808080" w:themeColor="background1" w:themeShade="80"/>
          <w:lang w:val="es-MX"/>
        </w:rPr>
        <w:t xml:space="preserve">Washington DC, December 7, 2015. </w:t>
      </w:r>
      <w:r w:rsidRPr="001944CF">
        <w:rPr>
          <w:rFonts w:asciiTheme="majorHAnsi" w:hAnsiTheme="majorHAnsi"/>
          <w:color w:val="808080" w:themeColor="background1" w:themeShade="80"/>
        </w:rPr>
        <w:t xml:space="preserve">Additionally, the IACHR spoke out in its 2016 Annual Report about the Granja Penal Canadá prison riot. IACHR, </w:t>
      </w:r>
      <w:hyperlink r:id="rId546" w:history="1">
        <w:r w:rsidRPr="001944CF">
          <w:rPr>
            <w:rStyle w:val="Hyperlink"/>
            <w:rFonts w:asciiTheme="majorHAnsi" w:hAnsiTheme="majorHAnsi"/>
            <w:i/>
            <w:color w:val="808080" w:themeColor="background1" w:themeShade="80"/>
          </w:rPr>
          <w:t>Situación de derechos humanos en Guatemala</w:t>
        </w:r>
      </w:hyperlink>
      <w:r w:rsidRPr="001944CF">
        <w:rPr>
          <w:rFonts w:asciiTheme="majorHAnsi" w:hAnsiTheme="majorHAnsi"/>
          <w:color w:val="808080" w:themeColor="background1" w:themeShade="80"/>
        </w:rPr>
        <w:t xml:space="preserve"> [‘Situation of Human Rights in Guatemala’], OEA/Ser.L/V/II, Doc. 43/15, December 31, 2015, para. 363.</w:t>
      </w:r>
    </w:p>
  </w:footnote>
  <w:footnote w:id="728">
    <w:p w14:paraId="0E1D9087" w14:textId="495CEB5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47" w:history="1">
        <w:r w:rsidRPr="001944CF">
          <w:rPr>
            <w:rStyle w:val="Hyperlink"/>
            <w:rFonts w:asciiTheme="majorHAnsi" w:hAnsiTheme="majorHAnsi"/>
            <w:i/>
            <w:color w:val="808080" w:themeColor="background1" w:themeShade="80"/>
          </w:rPr>
          <w:t>Situación de derechos humanos en Guatemala</w:t>
        </w:r>
      </w:hyperlink>
      <w:r w:rsidRPr="001944CF">
        <w:rPr>
          <w:rFonts w:asciiTheme="majorHAnsi" w:hAnsiTheme="majorHAnsi"/>
          <w:color w:val="808080" w:themeColor="background1" w:themeShade="80"/>
        </w:rPr>
        <w:t xml:space="preserve">, [‘Situation of Human Rights in Guatemala’], OEA/Ser.L/V/II, Doc. 43/15, December 31, 2015, para. 362. Also see: IACHR, Press Release 106/16 - </w:t>
      </w:r>
      <w:hyperlink r:id="rId548" w:history="1">
        <w:r w:rsidRPr="001944CF">
          <w:rPr>
            <w:rStyle w:val="Hyperlink"/>
            <w:rFonts w:asciiTheme="majorHAnsi" w:hAnsiTheme="majorHAnsi"/>
            <w:color w:val="808080" w:themeColor="background1" w:themeShade="80"/>
          </w:rPr>
          <w:t>“CIDH condena violencia en cárcel de Guatemala”</w:t>
        </w:r>
      </w:hyperlink>
      <w:r w:rsidRPr="001944CF">
        <w:rPr>
          <w:rFonts w:asciiTheme="majorHAnsi" w:hAnsiTheme="majorHAnsi"/>
          <w:color w:val="808080" w:themeColor="background1" w:themeShade="80"/>
        </w:rPr>
        <w:t>, [‘IACHR Condemns Violence in Guatemalan Prison’]August 3, 2016.</w:t>
      </w:r>
    </w:p>
  </w:footnote>
  <w:footnote w:id="729">
    <w:p w14:paraId="1F3E4D6F" w14:textId="0CBCB62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 Release 106/16 - </w:t>
      </w:r>
      <w:hyperlink r:id="rId549" w:history="1">
        <w:r w:rsidRPr="001944CF">
          <w:rPr>
            <w:rStyle w:val="Hyperlink"/>
            <w:rFonts w:asciiTheme="majorHAnsi" w:hAnsiTheme="majorHAnsi"/>
            <w:color w:val="808080" w:themeColor="background1" w:themeShade="80"/>
          </w:rPr>
          <w:t>“CIDH condena violencia en cárcel de Guatemala”</w:t>
        </w:r>
      </w:hyperlink>
      <w:r w:rsidRPr="001944CF">
        <w:rPr>
          <w:rFonts w:asciiTheme="majorHAnsi" w:hAnsiTheme="majorHAnsi"/>
          <w:color w:val="808080" w:themeColor="background1" w:themeShade="80"/>
        </w:rPr>
        <w:t xml:space="preserve"> [‘IACHR Condemns Violence in Guatemalan Prison’], August 3, 2016.</w:t>
      </w:r>
    </w:p>
  </w:footnote>
  <w:footnote w:id="730">
    <w:p w14:paraId="342D4C41" w14:textId="3EA5D32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PDH, Guatemala, </w:t>
      </w:r>
      <w:hyperlink r:id="rId550" w:history="1">
        <w:r w:rsidRPr="001944CF">
          <w:rPr>
            <w:rStyle w:val="Hyperlink"/>
            <w:rFonts w:asciiTheme="majorHAnsi" w:hAnsiTheme="majorHAnsi"/>
            <w:color w:val="808080" w:themeColor="background1" w:themeShade="80"/>
          </w:rPr>
          <w:t>Informe Anual Circunstanciado 2016</w:t>
        </w:r>
      </w:hyperlink>
      <w:r w:rsidRPr="001944CF">
        <w:rPr>
          <w:rFonts w:asciiTheme="majorHAnsi" w:hAnsiTheme="majorHAnsi"/>
          <w:color w:val="808080" w:themeColor="background1" w:themeShade="80"/>
        </w:rPr>
        <w:t>, [‘2016 Annual Status Report’] p. 53.</w:t>
      </w:r>
    </w:p>
  </w:footnote>
  <w:footnote w:id="731">
    <w:p w14:paraId="48D3248B" w14:textId="7AA38F0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5725AE">
        <w:rPr>
          <w:rFonts w:asciiTheme="majorHAnsi" w:hAnsiTheme="majorHAnsi"/>
          <w:color w:val="808080" w:themeColor="background1" w:themeShade="80"/>
        </w:rPr>
        <w:t xml:space="preserve"> </w:t>
      </w:r>
      <w:r w:rsidRPr="005725AE">
        <w:rPr>
          <w:rFonts w:asciiTheme="majorHAnsi" w:hAnsiTheme="majorHAnsi"/>
          <w:color w:val="808080" w:themeColor="background1" w:themeShade="80"/>
        </w:rPr>
        <w:tab/>
        <w:t xml:space="preserve">IACHR, Press Release 151/16 </w:t>
      </w:r>
      <w:hyperlink r:id="rId551" w:history="1">
        <w:r w:rsidRPr="005725AE">
          <w:rPr>
            <w:rStyle w:val="Hyperlink"/>
            <w:rFonts w:asciiTheme="majorHAnsi" w:hAnsiTheme="majorHAnsi"/>
            <w:color w:val="808080" w:themeColor="background1" w:themeShade="80"/>
          </w:rPr>
          <w:t>- Relatoría sobre los Derechos de Personas Privadas de Libertad realiza visita a Argentina</w:t>
        </w:r>
      </w:hyperlink>
      <w:r w:rsidRPr="005725AE">
        <w:rPr>
          <w:rFonts w:asciiTheme="majorHAnsi" w:hAnsiTheme="majorHAnsi" w:cs="Tahoma"/>
          <w:color w:val="808080" w:themeColor="background1" w:themeShade="80"/>
        </w:rPr>
        <w:t xml:space="preserve">. </w:t>
      </w:r>
      <w:r w:rsidRPr="001944CF">
        <w:rPr>
          <w:rFonts w:asciiTheme="majorHAnsi" w:hAnsiTheme="majorHAnsi" w:cs="Tahoma"/>
          <w:color w:val="808080" w:themeColor="background1" w:themeShade="80"/>
        </w:rPr>
        <w:t>[‘Rapporteurship on the Rights of Persons Deprived of Liberty Visits Argentina’], Washington, D.C., October 19, 2016.</w:t>
      </w:r>
    </w:p>
  </w:footnote>
  <w:footnote w:id="732">
    <w:p w14:paraId="672DB48C" w14:textId="6FB41C3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Previously, this military facility’s maximum housing capacity was 16 persons. </w:t>
      </w:r>
    </w:p>
  </w:footnote>
  <w:footnote w:id="733">
    <w:p w14:paraId="5F7446B5" w14:textId="6BAC890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Press article, Prensa Libre, “</w:t>
      </w:r>
      <w:hyperlink r:id="rId552" w:history="1">
        <w:r w:rsidRPr="001944CF">
          <w:rPr>
            <w:rStyle w:val="Hyperlink"/>
            <w:rFonts w:asciiTheme="majorHAnsi" w:hAnsiTheme="majorHAnsi"/>
            <w:color w:val="808080" w:themeColor="background1" w:themeShade="80"/>
          </w:rPr>
          <w:t>CICIG advierte sobre riesgo al funcionar cárceles en las instalaciones militares</w:t>
        </w:r>
      </w:hyperlink>
      <w:r w:rsidRPr="001944CF">
        <w:rPr>
          <w:rFonts w:asciiTheme="majorHAnsi" w:hAnsiTheme="majorHAnsi"/>
          <w:color w:val="808080" w:themeColor="background1" w:themeShade="80"/>
        </w:rPr>
        <w:t>”, [‘International Commission against Impunity in Guatemala warns about the risk of operating jails at military facilities’], July 21, 2017.</w:t>
      </w:r>
    </w:p>
  </w:footnote>
  <w:footnote w:id="734">
    <w:p w14:paraId="0AC98485" w14:textId="5510EFC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53" w:history="1">
        <w:r w:rsidRPr="001944CF">
          <w:rPr>
            <w:rStyle w:val="Hyperlink"/>
            <w:rFonts w:asciiTheme="majorHAnsi" w:hAnsiTheme="majorHAnsi"/>
            <w:color w:val="808080" w:themeColor="background1" w:themeShade="80"/>
          </w:rPr>
          <w:t>Constitución Política de la República de Guatemala</w:t>
        </w:r>
      </w:hyperlink>
      <w:r w:rsidRPr="001944CF">
        <w:rPr>
          <w:rFonts w:asciiTheme="majorHAnsi" w:hAnsiTheme="majorHAnsi"/>
          <w:color w:val="808080" w:themeColor="background1" w:themeShade="80"/>
        </w:rPr>
        <w:t>, [‘Political Constitution of the Republic of Guatemala’], amended under Legislative Decision No. 18-93, November 17, 1993, article 19 b).</w:t>
      </w:r>
    </w:p>
  </w:footnote>
  <w:footnote w:id="735">
    <w:p w14:paraId="6FED91F8" w14:textId="05CAE42F"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In this same vein, the European Prison Rules provide that prisons shall be under the responsibility of public authorities and will be segregated from military, police or judicial services; they also stipulate that one of the objectives of the duties of prison personnel is to facilitate the social reintegration of the persons deprived of liberty. Committee of Ministers of Europe, </w:t>
      </w:r>
      <w:hyperlink r:id="rId554" w:history="1">
        <w:r w:rsidRPr="001944CF">
          <w:rPr>
            <w:rStyle w:val="Hyperlink"/>
            <w:rFonts w:asciiTheme="majorHAnsi" w:hAnsiTheme="majorHAnsi"/>
            <w:color w:val="808080" w:themeColor="background1" w:themeShade="80"/>
            <w:sz w:val="16"/>
            <w:szCs w:val="16"/>
          </w:rPr>
          <w:t>Recomendación Rec(2006)2 a los Estados miembros sobre las Reglas Penitenciarias Europeas</w:t>
        </w:r>
      </w:hyperlink>
      <w:r w:rsidRPr="001944CF">
        <w:rPr>
          <w:rFonts w:asciiTheme="majorHAnsi" w:hAnsiTheme="majorHAnsi"/>
          <w:color w:val="808080" w:themeColor="background1" w:themeShade="80"/>
          <w:sz w:val="16"/>
          <w:szCs w:val="16"/>
        </w:rPr>
        <w:t xml:space="preserve">, [‘Recommendation Rec(2006)2 to the member State on the European Prison Rules’], adopted by the Committee of Ministers on January 11, 2006, Rules 71 and 72.3. Furthermore, according to the OUNHCHR, the administration of the prison system must be in “civilian hands” and not be part of the military structure. OUNHCHR, </w:t>
      </w:r>
      <w:hyperlink r:id="rId555" w:history="1">
        <w:r w:rsidRPr="001944CF">
          <w:rPr>
            <w:rStyle w:val="Hyperlink"/>
            <w:rFonts w:asciiTheme="majorHAnsi" w:hAnsiTheme="majorHAnsi"/>
            <w:color w:val="808080" w:themeColor="background1" w:themeShade="80"/>
            <w:sz w:val="16"/>
            <w:szCs w:val="16"/>
          </w:rPr>
          <w:t>"Los Derechos Humanos y las Prisiones: Manual de capacitación en derechos humanos para funcionarios de prisiones"</w:t>
        </w:r>
      </w:hyperlink>
      <w:r w:rsidRPr="001944CF">
        <w:rPr>
          <w:rFonts w:asciiTheme="majorHAnsi" w:hAnsiTheme="majorHAnsi"/>
          <w:color w:val="808080" w:themeColor="background1" w:themeShade="80"/>
          <w:sz w:val="16"/>
          <w:szCs w:val="16"/>
        </w:rPr>
        <w:t xml:space="preserve">, [‘Human Rights and Prisons: Training manual on human rights for prison officials’], Professional training series Nº 11, New York and Geneva, 2004, p. 230. </w:t>
      </w:r>
    </w:p>
    <w:p w14:paraId="0805C504" w14:textId="77777777" w:rsidR="001D7FF7" w:rsidRPr="001944CF" w:rsidRDefault="001D7FF7" w:rsidP="005B7767">
      <w:pPr>
        <w:shd w:val="clear" w:color="auto" w:fill="FFFFFF"/>
        <w:spacing w:after="40" w:line="240" w:lineRule="auto"/>
        <w:ind w:left="547"/>
        <w:jc w:val="both"/>
        <w:rPr>
          <w:rFonts w:asciiTheme="majorHAnsi" w:hAnsiTheme="majorHAnsi"/>
          <w:color w:val="808080" w:themeColor="background1" w:themeShade="80"/>
          <w:sz w:val="16"/>
          <w:szCs w:val="16"/>
        </w:rPr>
      </w:pPr>
      <w:r w:rsidRPr="001944CF">
        <w:rPr>
          <w:rFonts w:asciiTheme="majorHAnsi" w:hAnsiTheme="majorHAnsi"/>
          <w:color w:val="808080" w:themeColor="background1" w:themeShade="80"/>
          <w:sz w:val="16"/>
          <w:szCs w:val="16"/>
        </w:rPr>
        <w:t xml:space="preserve">The Principles and Best Practices on the Protection of Persons Deprived of Liberty in the Americas establish that prison officials must be civilians, and ensure that the employees making up the staff are preferably civilians. IACHR, </w:t>
      </w:r>
      <w:hyperlink r:id="rId556" w:history="1">
        <w:r w:rsidRPr="001944CF">
          <w:rPr>
            <w:rStyle w:val="Hyperlink"/>
            <w:rFonts w:asciiTheme="majorHAnsi" w:hAnsiTheme="majorHAnsi"/>
            <w:color w:val="808080" w:themeColor="background1" w:themeShade="80"/>
            <w:sz w:val="16"/>
            <w:szCs w:val="16"/>
          </w:rPr>
          <w:t>Principios y Buenas Prácticas sobre la Protección de las Personas Privadas de Libertad en las Américas</w:t>
        </w:r>
      </w:hyperlink>
      <w:r w:rsidRPr="001944CF">
        <w:rPr>
          <w:rFonts w:asciiTheme="majorHAnsi" w:hAnsiTheme="majorHAnsi"/>
          <w:color w:val="808080" w:themeColor="background1" w:themeShade="80"/>
          <w:sz w:val="16"/>
          <w:szCs w:val="16"/>
        </w:rPr>
        <w:t>, [‘Principles and Best Practices on the Protection of Persons Deprived of Liberty in the Americas’], approved by the IACHR under Resolution 1/08 at its 131</w:t>
      </w:r>
      <w:r w:rsidRPr="001944CF">
        <w:rPr>
          <w:rFonts w:asciiTheme="majorHAnsi" w:hAnsiTheme="majorHAnsi"/>
          <w:color w:val="808080" w:themeColor="background1" w:themeShade="80"/>
          <w:sz w:val="16"/>
          <w:szCs w:val="16"/>
          <w:vertAlign w:val="superscript"/>
        </w:rPr>
        <w:t>st</w:t>
      </w:r>
      <w:r w:rsidRPr="001944CF">
        <w:rPr>
          <w:rFonts w:asciiTheme="majorHAnsi" w:hAnsiTheme="majorHAnsi"/>
          <w:color w:val="808080" w:themeColor="background1" w:themeShade="80"/>
          <w:sz w:val="16"/>
          <w:szCs w:val="16"/>
        </w:rPr>
        <w:t xml:space="preserve"> regular session, held from March 3 to 14, 2008, Principle XX “Personnel of places of deprivation of liberty.” </w:t>
      </w:r>
    </w:p>
  </w:footnote>
  <w:footnote w:id="736">
    <w:p w14:paraId="6063EFE9" w14:textId="53A0987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hyperlink r:id="rId557" w:history="1">
        <w:r w:rsidRPr="001944CF">
          <w:rPr>
            <w:rStyle w:val="Hyperlink"/>
            <w:rFonts w:asciiTheme="majorHAnsi" w:hAnsiTheme="majorHAnsi"/>
            <w:color w:val="808080" w:themeColor="background1" w:themeShade="80"/>
          </w:rPr>
          <w:t>Ley contra el Lavado de Dinero y Otros Activos</w:t>
        </w:r>
      </w:hyperlink>
      <w:r w:rsidRPr="001944CF">
        <w:rPr>
          <w:rFonts w:asciiTheme="majorHAnsi" w:hAnsiTheme="majorHAnsi"/>
          <w:color w:val="808080" w:themeColor="background1" w:themeShade="80"/>
        </w:rPr>
        <w:t xml:space="preserve">, [‘Law against Money and other Asset Laundering’], Decree No. 67-2001, Guatemala, in force as of December 17, 2001, Article 4. </w:t>
      </w:r>
    </w:p>
  </w:footnote>
  <w:footnote w:id="737">
    <w:p w14:paraId="74F7A617" w14:textId="530612A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Criminal Code, </w:t>
      </w:r>
      <w:hyperlink r:id="rId558" w:history="1">
        <w:r w:rsidRPr="001944CF">
          <w:rPr>
            <w:rStyle w:val="Hyperlink"/>
            <w:rFonts w:asciiTheme="majorHAnsi" w:hAnsiTheme="majorHAnsi"/>
            <w:color w:val="808080" w:themeColor="background1" w:themeShade="80"/>
          </w:rPr>
          <w:t>Decreto No. 17-73</w:t>
        </w:r>
      </w:hyperlink>
      <w:r w:rsidRPr="001944CF">
        <w:rPr>
          <w:rFonts w:asciiTheme="majorHAnsi" w:hAnsiTheme="majorHAnsi"/>
          <w:color w:val="808080" w:themeColor="background1" w:themeShade="80"/>
        </w:rPr>
        <w:t>, [‘Decree No. 17-73’], Guatemala, in force as of September 15, 1973, Article 55.</w:t>
      </w:r>
    </w:p>
  </w:footnote>
  <w:footnote w:id="738">
    <w:p w14:paraId="5BABC880" w14:textId="2B0763F2"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PDH, Information provided to the IACHR at the meeting of August 2, 2017. </w:t>
      </w:r>
    </w:p>
  </w:footnote>
  <w:footnote w:id="739">
    <w:p w14:paraId="6837B1FC" w14:textId="5592005F"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First Deputy Minister of the Interior, Information provided to the IACHR at the meeting of August 2, 2017; Letter of a person deprived of liberty, Pretrial Detention Center for Men of Zone 18, submitted through the National Mechanism Office on Prevention of Torture to the IACHR, July 28, 2017. Letter from persons deprived of liberty, Fraijanes, submitted through their legal representative to the IACHR, August 2, 2017. </w:t>
      </w:r>
    </w:p>
  </w:footnote>
  <w:footnote w:id="740">
    <w:p w14:paraId="3BB4086F" w14:textId="5D2524F6"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PDH, Legal Opinion, September 6, 2016. Information submitted to the IACHR  on September 22, 2017.</w:t>
      </w:r>
    </w:p>
  </w:footnote>
  <w:footnote w:id="741">
    <w:p w14:paraId="04B455C8" w14:textId="7507D32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w:t>
      </w:r>
      <w:r w:rsidRPr="001944CF">
        <w:rPr>
          <w:rFonts w:asciiTheme="majorHAnsi" w:hAnsiTheme="majorHAnsi"/>
          <w:i/>
          <w:color w:val="808080" w:themeColor="background1" w:themeShade="80"/>
        </w:rPr>
        <w:t>Case of Mendoza et al v. Argentina</w:t>
      </w:r>
      <w:r w:rsidRPr="001944CF">
        <w:rPr>
          <w:rFonts w:asciiTheme="majorHAnsi" w:hAnsiTheme="majorHAnsi"/>
          <w:color w:val="808080" w:themeColor="background1" w:themeShade="80"/>
        </w:rPr>
        <w:t xml:space="preserve">. Preliminary Objections, Merits and Reparations. Judgment of May 14, 2013 Series C No. 260, para. 174.  </w:t>
      </w:r>
    </w:p>
  </w:footnote>
  <w:footnote w:id="742">
    <w:p w14:paraId="154B89C3" w14:textId="483C3438"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r>
      <w:r w:rsidRPr="001944CF">
        <w:rPr>
          <w:rFonts w:asciiTheme="majorHAnsi" w:hAnsiTheme="majorHAnsi"/>
          <w:i/>
          <w:color w:val="808080" w:themeColor="background1" w:themeShade="80"/>
          <w:sz w:val="16"/>
          <w:szCs w:val="16"/>
        </w:rPr>
        <w:t>Ibid</w:t>
      </w:r>
      <w:r w:rsidRPr="001944CF">
        <w:rPr>
          <w:rFonts w:asciiTheme="majorHAnsi" w:hAnsiTheme="majorHAnsi"/>
          <w:color w:val="808080" w:themeColor="background1" w:themeShade="80"/>
          <w:sz w:val="16"/>
          <w:szCs w:val="16"/>
        </w:rPr>
        <w:t xml:space="preserve">.  </w:t>
      </w:r>
    </w:p>
  </w:footnote>
  <w:footnote w:id="743">
    <w:p w14:paraId="0DF0C8D9" w14:textId="48AC12E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National Institute of Statistics, INE. Rough figures for 2015, the most recent year for which these figures are available.</w:t>
      </w:r>
    </w:p>
  </w:footnote>
  <w:footnote w:id="744">
    <w:p w14:paraId="6955D97D" w14:textId="0C5DD12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r w:rsidRPr="001944CF">
        <w:rPr>
          <w:rFonts w:asciiTheme="majorHAnsi" w:hAnsiTheme="majorHAnsi"/>
          <w:i/>
          <w:color w:val="808080" w:themeColor="background1" w:themeShade="80"/>
        </w:rPr>
        <w:t>Situation of Human Rights in Guatemala: Diversity, Inequality and Exclusion,</w:t>
      </w:r>
      <w:r w:rsidRPr="001944CF">
        <w:rPr>
          <w:rFonts w:asciiTheme="majorHAnsi" w:hAnsiTheme="majorHAnsi"/>
          <w:color w:val="808080" w:themeColor="background1" w:themeShade="80"/>
        </w:rPr>
        <w:t xml:space="preserve"> OEA/Ser.L/V/II.Doc. 43/15, December 30, 2015, para. </w:t>
      </w:r>
      <w:r w:rsidRPr="001944CF">
        <w:rPr>
          <w:rFonts w:asciiTheme="majorHAnsi" w:hAnsiTheme="majorHAnsi"/>
          <w:color w:val="808080" w:themeColor="background1" w:themeShade="80"/>
          <w:lang w:val="es-ES"/>
        </w:rPr>
        <w:t xml:space="preserve">271. </w:t>
      </w:r>
      <w:r w:rsidRPr="001944CF">
        <w:rPr>
          <w:rFonts w:asciiTheme="majorHAnsi" w:hAnsiTheme="majorHAnsi"/>
          <w:color w:val="808080" w:themeColor="background1" w:themeShade="80"/>
          <w:lang w:val="es-MX"/>
        </w:rPr>
        <w:t xml:space="preserve">Also see press article, La hora, 4.215 niños están institucionalizados, ¿quién vela por su bienestar? </w:t>
      </w:r>
      <w:r w:rsidRPr="001944CF">
        <w:rPr>
          <w:rFonts w:asciiTheme="majorHAnsi" w:hAnsiTheme="majorHAnsi"/>
          <w:color w:val="808080" w:themeColor="background1" w:themeShade="80"/>
        </w:rPr>
        <w:t xml:space="preserve">[‘4,215 children are institutionalized, who watches over their wellbeing?’], November 23, 2016. It can be found at: </w:t>
      </w:r>
      <w:hyperlink r:id="rId559" w:history="1">
        <w:r w:rsidRPr="001944CF">
          <w:rPr>
            <w:rStyle w:val="Hyperlink"/>
            <w:rFonts w:asciiTheme="majorHAnsi" w:hAnsiTheme="majorHAnsi"/>
            <w:color w:val="808080" w:themeColor="background1" w:themeShade="80"/>
          </w:rPr>
          <w:t>http://lahora.gt/4-mil-215-ninos-ninas-estan-institucionalizados-quien-vela-bienestar/</w:t>
        </w:r>
      </w:hyperlink>
      <w:r w:rsidRPr="001944CF">
        <w:rPr>
          <w:rFonts w:asciiTheme="majorHAnsi" w:hAnsiTheme="majorHAnsi"/>
          <w:color w:val="808080" w:themeColor="background1" w:themeShade="80"/>
        </w:rPr>
        <w:t xml:space="preserve">. </w:t>
      </w:r>
    </w:p>
  </w:footnote>
  <w:footnote w:id="745">
    <w:p w14:paraId="1D857424" w14:textId="062CB5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r w:rsidRPr="001944CF">
        <w:rPr>
          <w:rFonts w:asciiTheme="majorHAnsi" w:hAnsiTheme="majorHAnsi"/>
          <w:i/>
          <w:color w:val="808080" w:themeColor="background1" w:themeShade="80"/>
        </w:rPr>
        <w:t>Situation of Human Rights in Guatemala: Diversity, Inequality and Exclusion,</w:t>
      </w:r>
      <w:r w:rsidRPr="001944CF">
        <w:rPr>
          <w:rFonts w:asciiTheme="majorHAnsi" w:hAnsiTheme="majorHAnsi"/>
          <w:color w:val="808080" w:themeColor="background1" w:themeShade="80"/>
        </w:rPr>
        <w:t xml:space="preserve"> OEA/Ser.L/V/II.Doc. 43/15, December 30, 2015, para. 271. </w:t>
      </w:r>
      <w:hyperlink r:id="rId560" w:history="1">
        <w:r w:rsidRPr="001944CF">
          <w:rPr>
            <w:rStyle w:val="Hyperlink"/>
            <w:rFonts w:asciiTheme="majorHAnsi" w:hAnsiTheme="majorHAnsi"/>
            <w:color w:val="808080" w:themeColor="background1" w:themeShade="80"/>
          </w:rPr>
          <w:t>UNODC, Homicide Statistics</w:t>
        </w:r>
      </w:hyperlink>
      <w:r w:rsidRPr="001944CF">
        <w:rPr>
          <w:rFonts w:asciiTheme="majorHAnsi" w:hAnsiTheme="majorHAnsi"/>
          <w:color w:val="808080" w:themeColor="background1" w:themeShade="80"/>
        </w:rPr>
        <w:t>, 2013.</w:t>
      </w:r>
    </w:p>
  </w:footnote>
  <w:footnote w:id="746">
    <w:p w14:paraId="23C559DA" w14:textId="7C2BB52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during the country visit at meetings with civil society organizations specialized in the rights of children and adolescents, July 31 to August 4, 2017. </w:t>
      </w:r>
    </w:p>
  </w:footnote>
  <w:footnote w:id="747">
    <w:p w14:paraId="6514D2B0" w14:textId="33D180C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Meeting with national and international children’s rights protection organizations, August 2, 2017.</w:t>
      </w:r>
    </w:p>
  </w:footnote>
  <w:footnote w:id="748">
    <w:p w14:paraId="6AE3A99D" w14:textId="0746CDA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the Right of Boys and Girls to a Family. Alternative care. Ending Institutionalization in the Americas, OEA/Ser.L/V/II. Doc. 54/13, October 17, 2013.</w:t>
      </w:r>
    </w:p>
  </w:footnote>
  <w:footnote w:id="749">
    <w:p w14:paraId="3AEED9A8" w14:textId="424D4F3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the Right of Boys and Girls to a Family. Alternative care. Ending Institutionalization in the Americas, OEA/Ser.L/V/II. Doc. 54/13, October 17, 2013. para. 215.</w:t>
      </w:r>
    </w:p>
  </w:footnote>
  <w:footnote w:id="750">
    <w:p w14:paraId="7820D1FA" w14:textId="2AE419D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Situation of Human Rights in Guatemala: Diversity, Inequality and Exclusion, OEA/Ser.L/V/II.Doc. 43/15, December 30, 2015, paras. 271-275.</w:t>
      </w:r>
    </w:p>
  </w:footnote>
  <w:footnote w:id="751">
    <w:p w14:paraId="1E245CC2" w14:textId="0BC01D6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Also see, United Nations Committee on the Rights of Persons with Disabilities, General Comment #5, August 27, 2017, para. 37. It can be viewed at: </w:t>
      </w:r>
      <w:hyperlink r:id="rId561" w:history="1">
        <w:r w:rsidRPr="001944CF">
          <w:rPr>
            <w:rStyle w:val="Hyperlink"/>
            <w:rFonts w:asciiTheme="majorHAnsi" w:hAnsiTheme="majorHAnsi"/>
            <w:color w:val="808080" w:themeColor="background1" w:themeShade="80"/>
          </w:rPr>
          <w:t>http://www.ohchr.org/EN/HRBodies/Pages/GC.aspx</w:t>
        </w:r>
      </w:hyperlink>
      <w:r w:rsidRPr="001944CF">
        <w:rPr>
          <w:rFonts w:asciiTheme="majorHAnsi" w:hAnsiTheme="majorHAnsi"/>
          <w:color w:val="808080" w:themeColor="background1" w:themeShade="80"/>
        </w:rPr>
        <w:t xml:space="preserve">. </w:t>
      </w:r>
    </w:p>
  </w:footnote>
  <w:footnote w:id="752">
    <w:p w14:paraId="7407388B" w14:textId="6435D40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See, for example, IACHR, Right of Boys and Girls to a Family. Alternative Care. Ending Institutionalization in the Americas. OEA/Ser.L/V/II., Doc. 54/ October 13, 2013, para. 32. IA Court of HR, Juridical Condition and Human Rights of the Child. Advisory Opinion OC-17/02, Series A No. 17, August 28, 2002. </w:t>
      </w:r>
    </w:p>
  </w:footnote>
  <w:footnote w:id="753">
    <w:p w14:paraId="541123EE" w14:textId="001342C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IACHR, Information received during country visit, July 31 to August 4, 2017. Meetings with inmates and prison facility staff.</w:t>
      </w:r>
    </w:p>
  </w:footnote>
  <w:footnote w:id="754">
    <w:p w14:paraId="309C4FFB" w14:textId="7DF5449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755">
    <w:p w14:paraId="77B526F3" w14:textId="4554A06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SBS’s figure is from 2016. Press story, </w:t>
      </w:r>
      <w:r w:rsidRPr="001944CF">
        <w:rPr>
          <w:rFonts w:asciiTheme="majorHAnsi" w:hAnsiTheme="majorHAnsi"/>
          <w:i/>
          <w:color w:val="808080" w:themeColor="background1" w:themeShade="80"/>
        </w:rPr>
        <w:t>El 73 por ciento d elos jóvenes privadoes de libertad proviene del área metropolitan</w:t>
      </w:r>
      <w:r w:rsidRPr="001944CF">
        <w:rPr>
          <w:rFonts w:asciiTheme="majorHAnsi" w:hAnsiTheme="majorHAnsi"/>
          <w:color w:val="808080" w:themeColor="background1" w:themeShade="80"/>
        </w:rPr>
        <w:t xml:space="preserve"> [‘73% of young people deprived of liberty come from the metropolitan area’], August 18, 2016. It can be viewed at: </w:t>
      </w:r>
      <w:hyperlink r:id="rId562" w:history="1">
        <w:r w:rsidRPr="001944CF">
          <w:rPr>
            <w:rStyle w:val="Hyperlink"/>
            <w:rFonts w:asciiTheme="majorHAnsi" w:hAnsiTheme="majorHAnsi"/>
            <w:color w:val="808080" w:themeColor="background1" w:themeShade="80"/>
          </w:rPr>
          <w:t>http://lahora.gt/73-ciento-los-jovenes-privados-libertad-provienen-del-area-metropolitana/</w:t>
        </w:r>
      </w:hyperlink>
      <w:r w:rsidRPr="001944CF">
        <w:rPr>
          <w:rFonts w:asciiTheme="majorHAnsi" w:hAnsiTheme="majorHAnsi"/>
          <w:color w:val="808080" w:themeColor="background1" w:themeShade="80"/>
        </w:rPr>
        <w:t xml:space="preserve">. Also see, IACHR, </w:t>
      </w:r>
      <w:hyperlink r:id="rId563" w:history="1">
        <w:r w:rsidRPr="001944CF">
          <w:rPr>
            <w:rStyle w:val="Hyperlink"/>
            <w:rFonts w:asciiTheme="majorHAnsi" w:hAnsiTheme="majorHAnsi"/>
            <w:i/>
            <w:color w:val="808080" w:themeColor="background1" w:themeShade="80"/>
          </w:rPr>
          <w:t>Violencia, niñez y crimen organizado</w:t>
        </w:r>
      </w:hyperlink>
      <w:r w:rsidRPr="001944CF">
        <w:rPr>
          <w:rFonts w:asciiTheme="majorHAnsi" w:hAnsiTheme="majorHAnsi"/>
          <w:color w:val="808080" w:themeColor="background1" w:themeShade="80"/>
        </w:rPr>
        <w:t xml:space="preserve">, [‘Violence, Children and Organized Crime’], para. 440. State of Guatemala’s response to the IACHR questionnaire. </w:t>
      </w:r>
    </w:p>
  </w:footnote>
  <w:footnote w:id="756">
    <w:p w14:paraId="7BA41F27" w14:textId="5A9A979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These facilities are: (i) Centro Juvenil de Privación de Libertad para Varones II San José Pinula (CEJUPLIV II–“ETAPA II”); (ii) Centro Juvenil de Privación Provisional para Varones (CEJUDEP-“Gaviotas”); (iii) Centro Juvenil de Privación de Libertad para Varones Anexo II (CEJUPLIV–“Anexo”); and (iv) Centro Juvenil de Privación de Libertad para Mujeres (CEJUPLIM-“Gorriones”).</w:t>
      </w:r>
    </w:p>
  </w:footnote>
  <w:footnote w:id="757">
    <w:p w14:paraId="624C0424" w14:textId="77B54AB9"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IACHR, PM No. 161-17 (Resolution n° 17/2017), “</w:t>
      </w:r>
      <w:hyperlink r:id="rId564" w:history="1">
        <w:r w:rsidRPr="001944CF">
          <w:rPr>
            <w:rStyle w:val="Hyperlink"/>
            <w:rFonts w:asciiTheme="majorHAnsi" w:hAnsiTheme="majorHAnsi"/>
            <w:color w:val="808080" w:themeColor="background1" w:themeShade="80"/>
            <w:lang w:val="es-MX"/>
          </w:rPr>
          <w:t>Centros Juveniles de Privación de Libertad respecto de Guatemala</w:t>
        </w:r>
      </w:hyperlink>
      <w:r w:rsidRPr="001944CF">
        <w:rPr>
          <w:rFonts w:asciiTheme="majorHAnsi" w:hAnsiTheme="majorHAnsi"/>
          <w:color w:val="808080" w:themeColor="background1" w:themeShade="80"/>
          <w:lang w:val="es-MX"/>
        </w:rPr>
        <w:t xml:space="preserve">” [‘Juvenile deprivation of liberty facilities with respect to Guatemala’], June 12, 2017. Also see, </w:t>
      </w:r>
      <w:r w:rsidRPr="001944CF">
        <w:rPr>
          <w:rFonts w:asciiTheme="majorHAnsi" w:hAnsiTheme="majorHAnsi"/>
          <w:i/>
          <w:color w:val="808080" w:themeColor="background1" w:themeShade="80"/>
          <w:lang w:val="es-MX"/>
        </w:rPr>
        <w:t>InsightCrime</w:t>
      </w:r>
      <w:r w:rsidRPr="001944CF">
        <w:rPr>
          <w:rFonts w:asciiTheme="majorHAnsi" w:hAnsiTheme="majorHAnsi"/>
          <w:color w:val="808080" w:themeColor="background1" w:themeShade="80"/>
          <w:lang w:val="es-MX"/>
        </w:rPr>
        <w:t xml:space="preserve">, </w:t>
      </w:r>
      <w:hyperlink r:id="rId565" w:history="1">
        <w:r w:rsidRPr="001944CF">
          <w:rPr>
            <w:rFonts w:asciiTheme="majorHAnsi" w:hAnsiTheme="majorHAnsi"/>
            <w:color w:val="808080" w:themeColor="background1" w:themeShade="80"/>
            <w:u w:val="single"/>
            <w:lang w:val="es-MX"/>
          </w:rPr>
          <w:t>Miembros barrio 18 son arrestados tras varios ataques a la policía de Guatemala</w:t>
        </w:r>
      </w:hyperlink>
      <w:r w:rsidRPr="001944CF">
        <w:rPr>
          <w:rFonts w:asciiTheme="majorHAnsi" w:hAnsiTheme="majorHAnsi"/>
          <w:color w:val="808080" w:themeColor="background1" w:themeShade="80"/>
          <w:lang w:val="es-MX"/>
        </w:rPr>
        <w:t>, [‘Members of barrio 18 arrested after several attacks on Guatemalan police.’], March 22, 2017.</w:t>
      </w:r>
    </w:p>
  </w:footnote>
  <w:footnote w:id="758">
    <w:p w14:paraId="1947C55A" w14:textId="01008C2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facility houses young men that have reached adult age, because there are no “intermediate” facilities in Guatemala, adolescents convicted as juveniles serve their sentence at the same facility, even after reaching adult age.   </w:t>
      </w:r>
    </w:p>
  </w:footnote>
  <w:footnote w:id="759">
    <w:p w14:paraId="716AD33A" w14:textId="0D0C774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during the IACHR’s on-site visit, from July 31 to August 4, 2017.</w:t>
      </w:r>
    </w:p>
  </w:footnote>
  <w:footnote w:id="760">
    <w:p w14:paraId="2A36477E" w14:textId="3248957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761">
    <w:p w14:paraId="7F616424" w14:textId="259BD8AE"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762">
    <w:p w14:paraId="564BC232" w14:textId="66D45B7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763">
    <w:p w14:paraId="3365E197" w14:textId="7BC6F5E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With regard to the 55 girls who allegedly disappeared in September, October and November 2016 from facilities where they were living under State custody, the PDH has brought criminal complaints with the Office of the Public Prosecutor to investigate whether the disappearances may be related to human trafficking. The Secretariat of Social Welfare is coordinating a technical committee to address this issue. </w:t>
      </w:r>
      <w:hyperlink r:id="rId566" w:history="1">
        <w:r w:rsidRPr="001944CF">
          <w:rPr>
            <w:rStyle w:val="Hyperlink"/>
            <w:rFonts w:asciiTheme="majorHAnsi" w:hAnsiTheme="majorHAnsi"/>
            <w:color w:val="808080" w:themeColor="background1" w:themeShade="80"/>
          </w:rPr>
          <w:t>Informe anual del Alto Comisionado de las Naciones Unidas para los Derechos Humanos sobre las actividades de su oficina en Guatemala</w:t>
        </w:r>
      </w:hyperlink>
      <w:r w:rsidRPr="001944CF">
        <w:rPr>
          <w:rFonts w:asciiTheme="majorHAnsi" w:hAnsiTheme="majorHAnsi"/>
          <w:color w:val="808080" w:themeColor="background1" w:themeShade="80"/>
        </w:rPr>
        <w:t>, [‘Annual report of the United Nations High Commissioner for Human Rights on the activities of its office in Guatemala’], January 11, 2017, A/HRC/34/3/Add.1, para. 52.</w:t>
      </w:r>
    </w:p>
  </w:footnote>
  <w:footnote w:id="764">
    <w:p w14:paraId="668C2722" w14:textId="1AD3C01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According to information from the Office of the Counsel General of the Nation (Procuraduría General de la Nación), the five major causes for the institutionalization of these 600 children and adolescents was: violated right, 104 children and adolescents institutionalized (17.3%); abandonment, 101 (16.8%); mistreatment, 82 (13,7%); neglect, 59 (9.8%); and rebelliousness, 41 (6.8%). Some of the children confined there have been institutionalized simply because they have no family to belong to.</w:t>
      </w:r>
    </w:p>
  </w:footnote>
  <w:footnote w:id="765">
    <w:p w14:paraId="29C635EB" w14:textId="337DB67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information indicates that 55 girls were originally locked in, and one more went in later after she fell from the roof once the crisis broke out, and was put into the classroom, for a total of 56 girls. </w:t>
      </w:r>
    </w:p>
  </w:footnote>
  <w:footnote w:id="766">
    <w:p w14:paraId="340F47CC" w14:textId="008CC56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Statement given by Prosecutor Edwin Marroquín at indictment hearing, on April 7, 2017. Press conference of the Office of the Public Prosecutor, June 12, 2017.</w:t>
      </w:r>
    </w:p>
  </w:footnote>
  <w:footnote w:id="767">
    <w:p w14:paraId="49422544" w14:textId="78B9876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see press releases, </w:t>
      </w:r>
      <w:hyperlink r:id="rId567" w:history="1">
        <w:r w:rsidRPr="001944CF">
          <w:rPr>
            <w:rStyle w:val="Hyperlink"/>
            <w:rFonts w:asciiTheme="majorHAnsi" w:hAnsiTheme="majorHAnsi"/>
            <w:color w:val="808080" w:themeColor="background1" w:themeShade="80"/>
          </w:rPr>
          <w:t>CIDH otorga medidas cautelares a Guatemala y lamenta muertes por incendio en el Hogar Seguro Virgen de la Asunción</w:t>
        </w:r>
      </w:hyperlink>
      <w:r w:rsidRPr="001944CF">
        <w:rPr>
          <w:rFonts w:asciiTheme="majorHAnsi" w:hAnsiTheme="majorHAnsi"/>
          <w:color w:val="808080" w:themeColor="background1" w:themeShade="80"/>
        </w:rPr>
        <w:t xml:space="preserve">, [‘IACHR Issues Precautionary Measures to Guatemala and Laments Deaths in Fire at Children’s Residential Institution’], March 13, 2017 and </w:t>
      </w:r>
      <w:hyperlink r:id="rId568" w:history="1">
        <w:r w:rsidRPr="001944CF">
          <w:rPr>
            <w:rStyle w:val="Hyperlink"/>
            <w:rFonts w:asciiTheme="majorHAnsi" w:hAnsiTheme="majorHAnsi"/>
            <w:color w:val="808080" w:themeColor="background1" w:themeShade="80"/>
          </w:rPr>
          <w:t>Relatoría sobre los Derechos de la Niñez realiza visita a Guatemala</w:t>
        </w:r>
      </w:hyperlink>
      <w:r w:rsidRPr="001944CF">
        <w:rPr>
          <w:rFonts w:asciiTheme="majorHAnsi" w:hAnsiTheme="majorHAnsi"/>
          <w:color w:val="808080" w:themeColor="background1" w:themeShade="80"/>
        </w:rPr>
        <w:t xml:space="preserve">, [‘Rapporteur on the Rights of the Child Conducts Visit to Guatemala’], April 13, 2017. </w:t>
      </w:r>
    </w:p>
  </w:footnote>
  <w:footnote w:id="768">
    <w:p w14:paraId="099C7879" w14:textId="55E6222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Ministry of the Public Prosecutor, </w:t>
      </w:r>
      <w:r w:rsidRPr="001944CF">
        <w:rPr>
          <w:rFonts w:asciiTheme="majorHAnsi" w:hAnsiTheme="majorHAnsi"/>
          <w:i/>
          <w:color w:val="808080" w:themeColor="background1" w:themeShade="80"/>
        </w:rPr>
        <w:t>Caso Hogar Seguro: MP solicita enviar a juicio a exfuncionarios por cinco delitos</w:t>
      </w:r>
      <w:r w:rsidRPr="001944CF">
        <w:rPr>
          <w:rFonts w:asciiTheme="majorHAnsi" w:hAnsiTheme="majorHAnsi"/>
          <w:color w:val="808080" w:themeColor="background1" w:themeShade="80"/>
        </w:rPr>
        <w:t xml:space="preserve"> [‘Case of Hogar Seguro: Prosecutor’s Office request bringing former public officials to trial for five crimes’], August 11, 2017. It can be viewed at: </w:t>
      </w:r>
      <w:hyperlink r:id="rId569" w:history="1">
        <w:r w:rsidRPr="001944CF">
          <w:rPr>
            <w:rStyle w:val="Hyperlink"/>
            <w:rFonts w:asciiTheme="majorHAnsi" w:hAnsiTheme="majorHAnsi"/>
            <w:color w:val="808080" w:themeColor="background1" w:themeShade="80"/>
          </w:rPr>
          <w:t>https://www.mp.gob.gt/noticias/2017/08/11/caso-hogar-seguro-mp-solicita-enviar-a-juicio-a-exfuncionarios-por-cinco-delitos/</w:t>
        </w:r>
      </w:hyperlink>
      <w:r w:rsidRPr="001944CF">
        <w:rPr>
          <w:rFonts w:asciiTheme="majorHAnsi" w:hAnsiTheme="majorHAnsi"/>
          <w:color w:val="808080" w:themeColor="background1" w:themeShade="80"/>
        </w:rPr>
        <w:t xml:space="preserve">. </w:t>
      </w:r>
    </w:p>
  </w:footnote>
  <w:footnote w:id="769">
    <w:p w14:paraId="52C67A78" w14:textId="175FEBC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received during the on-site country visit, July 31 to August 4, 2017.</w:t>
      </w:r>
    </w:p>
  </w:footnote>
  <w:footnote w:id="770">
    <w:p w14:paraId="2355367F" w14:textId="44E4C4D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Press Release No. 114A/17, </w:t>
      </w:r>
      <w:hyperlink r:id="rId570" w:history="1">
        <w:r w:rsidRPr="001944CF">
          <w:rPr>
            <w:rStyle w:val="Hyperlink"/>
            <w:rFonts w:asciiTheme="majorHAnsi" w:hAnsiTheme="majorHAnsi"/>
            <w:color w:val="808080" w:themeColor="background1" w:themeShade="80"/>
          </w:rPr>
          <w:t>Observaciones Preliminares de la Visita in loco de la CIDH a Guatemala</w:t>
        </w:r>
      </w:hyperlink>
      <w:r w:rsidRPr="001944CF">
        <w:rPr>
          <w:rFonts w:asciiTheme="majorHAnsi" w:hAnsiTheme="majorHAnsi"/>
          <w:color w:val="808080" w:themeColor="background1" w:themeShade="80"/>
        </w:rPr>
        <w:t>, [Preliminary Observations to the IACHR’s On-Site Visit to Guatemala], August 4, 2017.</w:t>
      </w:r>
    </w:p>
  </w:footnote>
  <w:footnote w:id="771">
    <w:p w14:paraId="17186501" w14:textId="57D2968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Office of the Counsel General of the Nation in the context of the on-site visit, August 2, 2017. In the IACHR archives. </w:t>
      </w:r>
    </w:p>
  </w:footnote>
  <w:footnote w:id="772">
    <w:p w14:paraId="1DE79A0D" w14:textId="0022F30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Press story, La hora, </w:t>
      </w:r>
      <w:r w:rsidRPr="001944CF">
        <w:rPr>
          <w:rFonts w:asciiTheme="majorHAnsi" w:hAnsiTheme="majorHAnsi"/>
          <w:i/>
          <w:color w:val="808080" w:themeColor="background1" w:themeShade="80"/>
        </w:rPr>
        <w:t>Juez se excusa de seguir conociendo el Caso Hogar Seguro</w:t>
      </w:r>
      <w:r w:rsidRPr="001944CF">
        <w:rPr>
          <w:rFonts w:asciiTheme="majorHAnsi" w:hAnsiTheme="majorHAnsi"/>
          <w:color w:val="808080" w:themeColor="background1" w:themeShade="80"/>
        </w:rPr>
        <w:t xml:space="preserve"> [‘Judge recuses himself from continuing to preside over the Hogar Seguro Case’], August 25, 2017. It can be viewed at: </w:t>
      </w:r>
      <w:hyperlink r:id="rId571" w:history="1">
        <w:r w:rsidRPr="001944CF">
          <w:rPr>
            <w:rStyle w:val="Hyperlink"/>
            <w:rFonts w:asciiTheme="majorHAnsi" w:hAnsiTheme="majorHAnsi"/>
            <w:color w:val="808080" w:themeColor="background1" w:themeShade="80"/>
          </w:rPr>
          <w:t>http://lahora.gt/juez-se-excusa-seguir-conociendo-caso-hogar-seguro/</w:t>
        </w:r>
      </w:hyperlink>
      <w:r w:rsidRPr="001944CF">
        <w:rPr>
          <w:rFonts w:asciiTheme="majorHAnsi" w:hAnsiTheme="majorHAnsi"/>
          <w:color w:val="808080" w:themeColor="background1" w:themeShade="80"/>
        </w:rPr>
        <w:t>.</w:t>
      </w:r>
    </w:p>
  </w:footnote>
  <w:footnote w:id="773">
    <w:p w14:paraId="590DB186" w14:textId="34CB8E6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American Convention on Human Rights, Pact of San Jose, Article 8. The Inter-American Court has written that three points must be taken into account in determining a reasonable time within which a trial must be conducted: (i) the complexity of the matter; (ii) the judicial activity of the interested party; and (iii) the behavior of the judicial authorities. IA Court of HR, </w:t>
      </w:r>
      <w:r w:rsidRPr="001944CF">
        <w:rPr>
          <w:rFonts w:asciiTheme="majorHAnsi" w:hAnsiTheme="majorHAnsi"/>
          <w:i/>
          <w:color w:val="808080" w:themeColor="background1" w:themeShade="80"/>
        </w:rPr>
        <w:t xml:space="preserve">Case of Genie Lacayo v. Nicaragua, Merits, Reparations and Costs, </w:t>
      </w:r>
      <w:r w:rsidRPr="001944CF">
        <w:rPr>
          <w:rFonts w:asciiTheme="majorHAnsi" w:hAnsiTheme="majorHAnsi"/>
          <w:color w:val="808080" w:themeColor="background1" w:themeShade="80"/>
        </w:rPr>
        <w:t>Series C, No. 30.  Judgment of January 29, 1997.</w:t>
      </w:r>
    </w:p>
  </w:footnote>
  <w:footnote w:id="774">
    <w:p w14:paraId="7D60427C" w14:textId="640F2A0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“The Alba-Keneth Alert System involves a series of coordinated actions between public institutions to help expedite and locate and protect children or adolescents, who have been taken or have gone missing and to assist in the recovery and provide shelter for them.” Article 4, “Alba Keneth Alert System Law, Decree No. 28-2010, September 8, 2010. The Alba Keneth alert system is a rapid response system to disappearances or kidnappings of children. It was created after the disappearance of 8-year-old Alba Michelle España Días and of 4-year-old Keneth Alexis López Agustín, who were kidnapped and the search for them did not get under way immediately because of the lack of an adequate procedure. The system is designed to coordinate immediate actions by the National Civilian Police, the Office of the Public Prosecutor, the General Directorate of Migration, the Secetariat of Social Communication of the Office of the President, the Secretariat against Sexual Violence, Exploitation and Trafficking in Persons, the Ministry of Foreign Relations, and the Office of the General Counsel of the Nation (PGN); from 2012 to August 2017, the Operations Unit of the PGN has issued around 30,867 Alba-Keneth alerts, of which 23,521 were taken down because the child was successfully located, which works out to a 75% location rate. </w:t>
      </w:r>
    </w:p>
  </w:footnote>
  <w:footnote w:id="775">
    <w:p w14:paraId="70E382F5" w14:textId="1BCEB55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Office of the Counsel General of the Nation in the context of the on-site visit, August 2, 2017. In the IACHR archives. </w:t>
      </w:r>
    </w:p>
  </w:footnote>
  <w:footnote w:id="776">
    <w:p w14:paraId="6323F134" w14:textId="06AC51E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w:t>
      </w:r>
      <w:r w:rsidRPr="001944CF">
        <w:rPr>
          <w:rFonts w:asciiTheme="majorHAnsi" w:hAnsiTheme="majorHAnsi"/>
          <w:i/>
          <w:color w:val="808080" w:themeColor="background1" w:themeShade="80"/>
        </w:rPr>
        <w:t>Disability Rights International</w:t>
      </w:r>
      <w:r w:rsidRPr="001944CF">
        <w:rPr>
          <w:rFonts w:asciiTheme="majorHAnsi" w:hAnsiTheme="majorHAnsi"/>
          <w:color w:val="808080" w:themeColor="background1" w:themeShade="80"/>
        </w:rPr>
        <w:t>, October 8, 2017. In the IACHR archives.</w:t>
      </w:r>
    </w:p>
  </w:footnote>
  <w:footnote w:id="777">
    <w:p w14:paraId="74E94FFF" w14:textId="667A8E2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by the Office of the Counsel General of the Nation in the context of the on-site visit, August 2, 2017. In the IACHR archives. </w:t>
      </w:r>
    </w:p>
  </w:footnote>
  <w:footnote w:id="778">
    <w:p w14:paraId="35AEF05C" w14:textId="6972718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w:t>
      </w:r>
    </w:p>
  </w:footnote>
  <w:footnote w:id="779">
    <w:p w14:paraId="3F564EFF" w14:textId="1175A61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Communication from the State of Guatemala, “Submission of the State of Guatemala to Include in the Draft Report on the Human Rights Situtation in Guatemala,” December 22, 2017, p. 33.</w:t>
      </w:r>
    </w:p>
  </w:footnote>
  <w:footnote w:id="780">
    <w:p w14:paraId="1347C3AE" w14:textId="4C9529E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Guatemala acceded to the Convention on the Rights of the Child on June 6, 1990. </w:t>
      </w:r>
    </w:p>
  </w:footnote>
  <w:footnote w:id="781">
    <w:p w14:paraId="432A9DE9" w14:textId="14E266F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Guatemala acceded to the Convention on the Rights of Persons with Disabilities on April 7, 2009. </w:t>
      </w:r>
    </w:p>
  </w:footnote>
  <w:footnote w:id="782">
    <w:p w14:paraId="69D889BB" w14:textId="7B555D1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received during the on-site visit, July 31 to August 4, 2017. </w:t>
      </w:r>
    </w:p>
  </w:footnote>
  <w:footnote w:id="783">
    <w:p w14:paraId="3328C0A6" w14:textId="095E2245" w:rsidR="001D7FF7" w:rsidRPr="001944CF" w:rsidRDefault="001D7FF7" w:rsidP="00B70540">
      <w:pPr>
        <w:pStyle w:val="ListParagraph"/>
        <w:shd w:val="clear" w:color="auto" w:fill="FFFFFF"/>
        <w:autoSpaceDE w:val="0"/>
        <w:autoSpaceDN w:val="0"/>
        <w:adjustRightInd w:val="0"/>
        <w:spacing w:after="40"/>
        <w:ind w:left="547" w:hanging="547"/>
        <w:jc w:val="both"/>
        <w:rPr>
          <w:rFonts w:asciiTheme="majorHAnsi" w:hAnsiTheme="majorHAnsi" w:cs="Calibri"/>
          <w:color w:val="808080" w:themeColor="background1" w:themeShade="80"/>
          <w:sz w:val="16"/>
          <w:szCs w:val="16"/>
        </w:rPr>
      </w:pPr>
      <w:r w:rsidRPr="001944CF">
        <w:rPr>
          <w:rStyle w:val="FootnoteReference"/>
          <w:rFonts w:asciiTheme="majorHAnsi" w:hAnsiTheme="majorHAnsi" w:cs="Calibri"/>
          <w:color w:val="808080" w:themeColor="background1" w:themeShade="80"/>
          <w:sz w:val="16"/>
          <w:szCs w:val="16"/>
        </w:rPr>
        <w:footnoteRef/>
      </w:r>
      <w:r w:rsidRPr="001944CF">
        <w:rPr>
          <w:rFonts w:asciiTheme="majorHAnsi" w:hAnsiTheme="majorHAnsi" w:cs="Calibri"/>
          <w:color w:val="808080" w:themeColor="background1" w:themeShade="80"/>
          <w:sz w:val="16"/>
          <w:szCs w:val="16"/>
        </w:rPr>
        <w:t xml:space="preserve"> </w:t>
      </w:r>
      <w:r w:rsidRPr="001944CF">
        <w:rPr>
          <w:rFonts w:asciiTheme="majorHAnsi" w:hAnsiTheme="majorHAnsi" w:cs="Calibri"/>
          <w:color w:val="808080" w:themeColor="background1" w:themeShade="80"/>
          <w:sz w:val="16"/>
          <w:szCs w:val="16"/>
        </w:rPr>
        <w:tab/>
        <w:t>On March 30 and 31, along with members of the IACHR Secretariat, and the participation of a MESECVI expert, the Rapporteur on the Rights of the Child conducted a visit to Guatemala to follow-up on compliance with the Precautionary Measure. In Precautionary Measure No. 958/16, [</w:t>
      </w:r>
      <w:hyperlink r:id="rId572" w:tgtFrame="_blank" w:history="1">
        <w:r w:rsidRPr="001944CF">
          <w:rPr>
            <w:rFonts w:asciiTheme="majorHAnsi" w:eastAsia="Times New Roman" w:hAnsiTheme="majorHAnsi" w:cs="Calibri"/>
            <w:color w:val="808080" w:themeColor="background1" w:themeShade="80"/>
            <w:sz w:val="16"/>
            <w:szCs w:val="16"/>
            <w:u w:val="single"/>
          </w:rPr>
          <w:t>Medida Cautelar No. 958/16</w:t>
        </w:r>
      </w:hyperlink>
      <w:r w:rsidRPr="001944CF">
        <w:rPr>
          <w:rFonts w:asciiTheme="majorHAnsi" w:eastAsia="Times New Roman" w:hAnsiTheme="majorHAnsi" w:cs="Calibri"/>
          <w:color w:val="808080" w:themeColor="background1" w:themeShade="80"/>
          <w:sz w:val="16"/>
          <w:szCs w:val="16"/>
        </w:rPr>
        <w:t xml:space="preserve">], granted on March 12, 2017, the State of Guatemala was asked to take the necessary measures to protect the lives and safety of the children and adolescents, who are housed at the </w:t>
      </w:r>
      <w:r w:rsidRPr="001944CF">
        <w:rPr>
          <w:rFonts w:asciiTheme="majorHAnsi" w:hAnsiTheme="majorHAnsi" w:cs="Calibri"/>
          <w:color w:val="808080" w:themeColor="background1" w:themeShade="80"/>
          <w:sz w:val="16"/>
          <w:szCs w:val="16"/>
        </w:rPr>
        <w:t xml:space="preserve">“Hogar Seguro Virgen de Asunción,” including those who were seriously burned or otherwise affected physically or psychologically as a result of the fire; to ensure that the conditions in which the children and adolescents are living at the facility are brought into line with applicable international standards, while the State undertakes effective measures to promote reintegration with their family members, when possible and with the necessary family support; it should also identify alternatives for their care that serve to better protect them; prohibit any more children and adolescents from entering the “Hogar Seguro Virgen de la Asunción;” come to a consensus about the measures to be taken in conjunction with the beneficiaries and the requesting party; and report on the actions taken in order to investigate the alleged incidents that gave rise to the instant precautionary measure and thus avoid the repetition thereof.  </w:t>
      </w:r>
    </w:p>
  </w:footnote>
  <w:footnote w:id="784">
    <w:p w14:paraId="0E6FF9AA" w14:textId="1DC0D2A7" w:rsidR="001D7FF7" w:rsidRPr="001944CF" w:rsidRDefault="001D7FF7" w:rsidP="006F17D4">
      <w:pPr>
        <w:pStyle w:val="FootnoteText"/>
        <w:rPr>
          <w:rFonts w:asciiTheme="majorHAnsi" w:hAnsiTheme="majorHAnsi"/>
          <w:color w:val="808080" w:themeColor="background1" w:themeShade="80"/>
          <w:lang w:val="es-ES"/>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73" w:history="1">
        <w:r w:rsidRPr="001944CF">
          <w:rPr>
            <w:rStyle w:val="Hyperlink"/>
            <w:rFonts w:asciiTheme="majorHAnsi" w:hAnsiTheme="majorHAnsi"/>
            <w:i/>
            <w:color w:val="808080" w:themeColor="background1" w:themeShade="80"/>
          </w:rPr>
          <w:t>Situación de derechos humanos en Guatemala</w:t>
        </w:r>
      </w:hyperlink>
      <w:r w:rsidRPr="001944CF">
        <w:rPr>
          <w:rFonts w:asciiTheme="majorHAnsi" w:hAnsiTheme="majorHAnsi"/>
          <w:color w:val="808080" w:themeColor="background1" w:themeShade="80"/>
        </w:rPr>
        <w:t xml:space="preserve">, [‘Situation of Human Rights in Guatemala’], OEA/Ser.L/V/II, Doc. 43/15, December 31, 2015, para. </w:t>
      </w:r>
      <w:r w:rsidRPr="001944CF">
        <w:rPr>
          <w:rFonts w:asciiTheme="majorHAnsi" w:hAnsiTheme="majorHAnsi"/>
          <w:color w:val="808080" w:themeColor="background1" w:themeShade="80"/>
          <w:lang w:val="es-ES"/>
        </w:rPr>
        <w:t xml:space="preserve">350. </w:t>
      </w:r>
    </w:p>
  </w:footnote>
  <w:footnote w:id="785">
    <w:p w14:paraId="78C9AEE5" w14:textId="6FAEBE20" w:rsidR="001D7FF7" w:rsidRPr="001944CF" w:rsidRDefault="001D7FF7" w:rsidP="006F17D4">
      <w:pPr>
        <w:pStyle w:val="FootnoteText"/>
        <w:rPr>
          <w:rFonts w:asciiTheme="majorHAnsi" w:hAnsiTheme="majorHAnsi"/>
          <w:color w:val="808080" w:themeColor="background1" w:themeShade="80"/>
          <w:lang w:val="es-MX"/>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lang w:val="es-MX"/>
        </w:rPr>
        <w:t xml:space="preserve"> </w:t>
      </w:r>
      <w:r w:rsidRPr="001944CF">
        <w:rPr>
          <w:rFonts w:asciiTheme="majorHAnsi" w:hAnsiTheme="majorHAnsi"/>
          <w:color w:val="808080" w:themeColor="background1" w:themeShade="80"/>
          <w:lang w:val="es-MX"/>
        </w:rPr>
        <w:tab/>
        <w:t xml:space="preserve">National Statistics Institute, </w:t>
      </w:r>
      <w:hyperlink r:id="rId574" w:history="1">
        <w:r w:rsidRPr="001944CF">
          <w:rPr>
            <w:rStyle w:val="Hyperlink"/>
            <w:rFonts w:asciiTheme="majorHAnsi" w:hAnsiTheme="majorHAnsi"/>
            <w:color w:val="808080" w:themeColor="background1" w:themeShade="80"/>
            <w:lang w:val="es-MX"/>
          </w:rPr>
          <w:t>Características de la Población y de los Locales de Habitación Censados</w:t>
        </w:r>
      </w:hyperlink>
      <w:r w:rsidRPr="001944CF">
        <w:rPr>
          <w:rFonts w:asciiTheme="majorHAnsi" w:hAnsiTheme="majorHAnsi"/>
          <w:color w:val="808080" w:themeColor="background1" w:themeShade="80"/>
          <w:lang w:val="es-MX"/>
        </w:rPr>
        <w:t>, 2002, pgs. 12 and 13.</w:t>
      </w:r>
    </w:p>
  </w:footnote>
  <w:footnote w:id="786">
    <w:p w14:paraId="6C47739C" w14:textId="5FB64CD7"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According to request for precautionary measure MC 370-12, the three main categories of inpatients under security measures in terms of their mental health status, institutionalized at the Federico Mora Hospital are the following: (1) inpatients who were already convicted as criminally liable, and were transferred to the hospital to treat a mental illness; (2) persons who are being evaluated to determine whether or not they have a mental illness or are competent to stand trial; and (3) persons with mental disability, who have committed a crime and have already been declared incompetent to stand trial.” DRI and ODHAG, </w:t>
      </w:r>
      <w:hyperlink r:id="rId575" w:history="1">
        <w:r w:rsidRPr="001944CF">
          <w:rPr>
            <w:rStyle w:val="Hyperlink"/>
            <w:rFonts w:asciiTheme="majorHAnsi" w:hAnsiTheme="majorHAnsi"/>
            <w:color w:val="808080" w:themeColor="background1" w:themeShade="80"/>
            <w:sz w:val="16"/>
            <w:szCs w:val="16"/>
          </w:rPr>
          <w:t>Solicitud de medidas cautelares a favor de las 334 personas con discapacidad mental internadas en el Hospital Federico Mora</w:t>
        </w:r>
      </w:hyperlink>
      <w:r w:rsidRPr="001944CF">
        <w:rPr>
          <w:rFonts w:asciiTheme="majorHAnsi" w:hAnsiTheme="majorHAnsi"/>
          <w:color w:val="808080" w:themeColor="background1" w:themeShade="80"/>
          <w:sz w:val="16"/>
          <w:szCs w:val="16"/>
        </w:rPr>
        <w:t xml:space="preserve">, [‘Request for precautionary measures for 334 persons with mental disability confined at the Federico Mora Hospital’], October 2012, p.2. </w:t>
      </w:r>
    </w:p>
  </w:footnote>
  <w:footnote w:id="787">
    <w:p w14:paraId="0C2B2195" w14:textId="21077219"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Authorities of the Federico Mora Hospital. Information provided to the IACHR during the visit to the institution on August 2, 2017.  </w:t>
      </w:r>
    </w:p>
  </w:footnote>
  <w:footnote w:id="788">
    <w:p w14:paraId="6DB418FC" w14:textId="35B0EE6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 its comments to the draft of this report, the State informed that the National Council for Attention to Persons with Disabilities has urged the creation of municipal offices for people with disabilities in 10 municipalities and 21 Department Commissions for People with Disabilities, in compliance with the National Policy on Disability. Communication from the State of Guatemala, “Submission of the State of Guatemala to Include in the Draft Report on the Human Rights Situtation in Guatemala,” December 22, 2017.</w:t>
      </w:r>
    </w:p>
  </w:footnote>
  <w:footnote w:id="789">
    <w:p w14:paraId="312F5CCE" w14:textId="7914763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this regard, the IACHR was informed that patients faced the following violations: a) threats, harassment and acts of violence perpetrated by medical and guard staff, as well as by patients themselves; b) inhuman and degrading conditions; c) negligent medical care, which even led to the loss of life from diseases that are preventable and readily treated, such as pneumonia and diarrhea; d) use of protracted solitary confinement, and e) physical and sexual abuses, mainly of women and girls. </w:t>
      </w:r>
    </w:p>
  </w:footnote>
  <w:footnote w:id="790">
    <w:p w14:paraId="01081BFD" w14:textId="7B54A39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Precautionary Measures, </w:t>
      </w:r>
      <w:hyperlink r:id="rId576" w:history="1">
        <w:r w:rsidRPr="001944CF">
          <w:rPr>
            <w:rStyle w:val="Hyperlink"/>
            <w:rFonts w:asciiTheme="majorHAnsi" w:hAnsiTheme="majorHAnsi"/>
            <w:color w:val="808080" w:themeColor="background1" w:themeShade="80"/>
          </w:rPr>
          <w:t>MC 370/12, Asunto de los 334 Pacientes del Hospital Federico Mora respecto a Guatemala</w:t>
        </w:r>
      </w:hyperlink>
      <w:r w:rsidRPr="001944CF">
        <w:rPr>
          <w:rFonts w:asciiTheme="majorHAnsi" w:hAnsiTheme="majorHAnsi"/>
          <w:bCs/>
          <w:color w:val="808080" w:themeColor="background1" w:themeShade="80"/>
        </w:rPr>
        <w:t>, [‘MC 370/12, Matter of 334 Patients of the Federico Mora Hospital with respect to Guatemala’], November 2012.</w:t>
      </w:r>
    </w:p>
  </w:footnote>
  <w:footnote w:id="791">
    <w:p w14:paraId="2F266186" w14:textId="753B345C"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In this regard, see PDH, Guatemala, Recommendation EIO-GUA-106-2002/DR, “Diligencias Practicadas e Informes Recibidos” [‘Investigative steps taken and reports received’], May 13, 2002; PDH, Office of the Human Rights Ombudsman of Persons with Disabilities, Report on the Monitoring of the National Mental Health Hospital, Guatemala, 2007, p. 5, and PDH, </w:t>
      </w:r>
      <w:r w:rsidRPr="001944CF">
        <w:rPr>
          <w:rFonts w:asciiTheme="majorHAnsi" w:hAnsiTheme="majorHAnsi"/>
          <w:bCs/>
          <w:color w:val="808080" w:themeColor="background1" w:themeShade="80"/>
          <w:sz w:val="16"/>
          <w:szCs w:val="16"/>
        </w:rPr>
        <w:t>Recommendation REF.EXP.ORD.GUA “Resultados de la Investigación” [‘Results of the investigation’], 2595–2009/DE, January 27, 2012.</w:t>
      </w:r>
    </w:p>
  </w:footnote>
  <w:footnote w:id="792">
    <w:p w14:paraId="6E781663" w14:textId="652FC8E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particular, the ICDH requested Guatemala to take the following actions: a) provide adequate medical treatment to the patients, based on the particular pathologies of each individual; b) ensure segregation of children from adults, taking special measures in keeping with the principle of the best interests of the child; c) segregate patients in pretrial detention and serving sentence, who are under judicial order of deprivation of liberty, from the rest of the hospital patients, and that the custody of the latter group be provided by unarmed hospital staff; d) restrict the use of solitary confinement to the situations and under the conditions established in international standards on persons with mental disability, and e) adopt immediate measures of prevention so that all patients, particularly women and children, are not the targets of acts of physical, psychological and sexual violence by other patients, security agents or hospital employees. Additionally, the IACHR requested that agreement be reached with the beneficiaries and their representatives on the measures to be adopted, IACHR Precautionary Measures </w:t>
      </w:r>
      <w:hyperlink r:id="rId577" w:history="1">
        <w:r w:rsidRPr="001944CF">
          <w:rPr>
            <w:rStyle w:val="Hyperlink"/>
            <w:rFonts w:asciiTheme="majorHAnsi" w:hAnsiTheme="majorHAnsi"/>
            <w:color w:val="808080" w:themeColor="background1" w:themeShade="80"/>
          </w:rPr>
          <w:t>MC 370/12, Asunto de los 334 Pacientes del Hospital Federico Mora respecto a Guatemala</w:t>
        </w:r>
      </w:hyperlink>
      <w:r w:rsidRPr="001944CF">
        <w:rPr>
          <w:rFonts w:asciiTheme="majorHAnsi" w:hAnsiTheme="majorHAnsi"/>
          <w:bCs/>
          <w:color w:val="808080" w:themeColor="background1" w:themeShade="80"/>
        </w:rPr>
        <w:t xml:space="preserve">,[‘MC 370/12, Matter of the 334 Patients of the Federico Mora Hospital with respect to Guatemala’], November 2012. </w:t>
      </w:r>
    </w:p>
  </w:footnote>
  <w:footnote w:id="793">
    <w:p w14:paraId="0FFFCEF7" w14:textId="27C900C8" w:rsidR="001D7FF7" w:rsidRPr="001944CF" w:rsidRDefault="001D7FF7" w:rsidP="00B70540">
      <w:pPr>
        <w:suppressAutoHyphens/>
        <w:spacing w:after="40" w:line="240" w:lineRule="auto"/>
        <w:ind w:left="547" w:hanging="547"/>
        <w:jc w:val="both"/>
        <w:rPr>
          <w:rFonts w:asciiTheme="majorHAnsi" w:hAnsiTheme="majorHAnsi" w:cstheme="majorBidi"/>
          <w:color w:val="808080" w:themeColor="background1" w:themeShade="80"/>
          <w:sz w:val="16"/>
          <w:szCs w:val="16"/>
        </w:rPr>
      </w:pPr>
      <w:r w:rsidRPr="001944CF">
        <w:rPr>
          <w:rStyle w:val="FootnoteReference"/>
          <w:rFonts w:asciiTheme="majorHAnsi" w:hAnsiTheme="majorHAnsi" w:cs="Arial"/>
          <w:color w:val="808080" w:themeColor="background1" w:themeShade="80"/>
          <w:sz w:val="16"/>
          <w:szCs w:val="16"/>
        </w:rPr>
        <w:footnoteRef/>
      </w:r>
      <w:r w:rsidRPr="001944CF">
        <w:rPr>
          <w:rStyle w:val="FootnoteReference"/>
          <w:rFonts w:asciiTheme="majorHAnsi" w:hAnsiTheme="majorHAnsi" w:cs="Arial"/>
          <w:color w:val="808080" w:themeColor="background1" w:themeShade="80"/>
          <w:sz w:val="16"/>
          <w:szCs w:val="16"/>
        </w:rPr>
        <w:t xml:space="preserve"> </w:t>
      </w:r>
      <w:r w:rsidRPr="001944CF">
        <w:rPr>
          <w:rFonts w:asciiTheme="majorHAnsi" w:hAnsiTheme="majorHAnsi" w:cstheme="majorBidi"/>
          <w:color w:val="808080" w:themeColor="background1" w:themeShade="80"/>
          <w:sz w:val="16"/>
          <w:szCs w:val="16"/>
        </w:rPr>
        <w:t xml:space="preserve"> </w:t>
      </w:r>
      <w:r w:rsidRPr="001944CF">
        <w:rPr>
          <w:rFonts w:asciiTheme="majorHAnsi" w:hAnsiTheme="majorHAnsi" w:cstheme="majorBidi"/>
          <w:color w:val="808080" w:themeColor="background1" w:themeShade="80"/>
          <w:sz w:val="16"/>
          <w:szCs w:val="16"/>
        </w:rPr>
        <w:tab/>
        <w:t xml:space="preserve">UN Committee on the Rights of Persons with Disabilities, Final observations on the initial report of Guatemala, CRPD/C/GTM/CO/1, September 30, 2016, para. 44; OUNHCHR </w:t>
      </w:r>
      <w:r w:rsidRPr="001944CF">
        <w:rPr>
          <w:rFonts w:asciiTheme="majorHAnsi" w:hAnsiTheme="majorHAnsi"/>
          <w:bCs/>
          <w:color w:val="808080" w:themeColor="background1" w:themeShade="80"/>
          <w:sz w:val="16"/>
          <w:szCs w:val="16"/>
        </w:rPr>
        <w:t xml:space="preserve">-Guatemala, Press release, </w:t>
      </w:r>
      <w:hyperlink r:id="rId578" w:history="1">
        <w:r w:rsidRPr="001944CF">
          <w:rPr>
            <w:rStyle w:val="Hyperlink"/>
            <w:rFonts w:asciiTheme="majorHAnsi" w:hAnsiTheme="majorHAnsi" w:cs="Calibri"/>
            <w:color w:val="808080" w:themeColor="background1" w:themeShade="80"/>
            <w:sz w:val="16"/>
            <w:szCs w:val="16"/>
          </w:rPr>
          <w:t>OACNUDH llama a garantizar los derechos humanos de pacientes del Hospital Federico Mora</w:t>
        </w:r>
      </w:hyperlink>
      <w:r w:rsidRPr="001944CF">
        <w:rPr>
          <w:rStyle w:val="Hyperlink"/>
          <w:rFonts w:asciiTheme="majorHAnsi" w:hAnsiTheme="majorHAnsi" w:cs="Calibri"/>
          <w:color w:val="808080" w:themeColor="background1" w:themeShade="80"/>
          <w:sz w:val="16"/>
          <w:szCs w:val="16"/>
        </w:rPr>
        <w:t>,</w:t>
      </w:r>
      <w:r w:rsidRPr="001944CF">
        <w:rPr>
          <w:rFonts w:asciiTheme="majorHAnsi" w:hAnsiTheme="majorHAnsi"/>
          <w:bCs/>
          <w:color w:val="808080" w:themeColor="background1" w:themeShade="80"/>
          <w:sz w:val="16"/>
          <w:szCs w:val="16"/>
        </w:rPr>
        <w:t xml:space="preserve"> [‘OUNHCHR calls for ensuring the human rights of patients of the Federico Mora Hospital’], December 7, 2014; Committee against Torture </w:t>
      </w:r>
      <w:r w:rsidRPr="001944CF">
        <w:rPr>
          <w:rFonts w:asciiTheme="majorHAnsi" w:hAnsiTheme="majorHAnsi" w:cs="Calibri"/>
          <w:color w:val="808080" w:themeColor="background1" w:themeShade="80"/>
          <w:sz w:val="16"/>
          <w:szCs w:val="16"/>
        </w:rPr>
        <w:t xml:space="preserve">(CAT), </w:t>
      </w:r>
      <w:hyperlink r:id="rId579" w:history="1">
        <w:r w:rsidRPr="001944CF">
          <w:rPr>
            <w:rStyle w:val="Hyperlink"/>
            <w:rFonts w:asciiTheme="majorHAnsi" w:hAnsiTheme="majorHAnsi" w:cs="Calibri"/>
            <w:color w:val="808080" w:themeColor="background1" w:themeShade="80"/>
            <w:sz w:val="16"/>
            <w:szCs w:val="16"/>
          </w:rPr>
          <w:t>Observaciones Finales sobre los Informes Periódicos Quinto y Sexto de Guatemala</w:t>
        </w:r>
      </w:hyperlink>
      <w:r w:rsidRPr="001944CF">
        <w:rPr>
          <w:rFonts w:asciiTheme="majorHAnsi" w:hAnsiTheme="majorHAnsi" w:cs="Calibri"/>
          <w:color w:val="808080" w:themeColor="background1" w:themeShade="80"/>
          <w:sz w:val="16"/>
          <w:szCs w:val="16"/>
        </w:rPr>
        <w:t xml:space="preserve">, [‘Final observations on the Fifth and Sixth periodical reports of Guatemala’], </w:t>
      </w:r>
      <w:r w:rsidRPr="001944CF">
        <w:rPr>
          <w:rFonts w:asciiTheme="majorHAnsi" w:hAnsiTheme="majorHAnsi"/>
          <w:color w:val="808080" w:themeColor="background1" w:themeShade="80"/>
          <w:sz w:val="16"/>
          <w:szCs w:val="16"/>
        </w:rPr>
        <w:t xml:space="preserve">CAT/C/GTM/CO/5-6, June 24, 2013, </w:t>
      </w:r>
      <w:r w:rsidRPr="001944CF">
        <w:rPr>
          <w:rFonts w:asciiTheme="majorHAnsi" w:hAnsiTheme="majorHAnsi" w:cs="Calibri"/>
          <w:color w:val="808080" w:themeColor="background1" w:themeShade="80"/>
          <w:sz w:val="16"/>
          <w:szCs w:val="16"/>
        </w:rPr>
        <w:t>para. 21.</w:t>
      </w:r>
    </w:p>
  </w:footnote>
  <w:footnote w:id="794">
    <w:p w14:paraId="63B38051" w14:textId="5E636FE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BBC, </w:t>
      </w:r>
      <w:hyperlink r:id="rId580" w:history="1">
        <w:r w:rsidRPr="001944CF">
          <w:rPr>
            <w:rStyle w:val="Hyperlink"/>
            <w:rFonts w:asciiTheme="majorHAnsi" w:hAnsiTheme="majorHAnsi"/>
            <w:color w:val="808080" w:themeColor="background1" w:themeShade="80"/>
          </w:rPr>
          <w:t>“Inside the 'world's most dangerous' hospital”</w:t>
        </w:r>
      </w:hyperlink>
      <w:r w:rsidRPr="001944CF">
        <w:rPr>
          <w:rFonts w:asciiTheme="majorHAnsi" w:hAnsiTheme="majorHAnsi"/>
          <w:color w:val="808080" w:themeColor="background1" w:themeShade="80"/>
        </w:rPr>
        <w:t>, December 4, 2014.</w:t>
      </w:r>
    </w:p>
  </w:footnote>
  <w:footnote w:id="795">
    <w:p w14:paraId="784E922B" w14:textId="4774942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State of Guatemala, Written submission of the State of Guatemala regarding the request for information prior to the on-site visit of the IACHR, Ref. P-859-2017/VHGM/LWC/nj, June 16, 2017, para. 102.</w:t>
      </w:r>
    </w:p>
  </w:footnote>
  <w:footnote w:id="796">
    <w:p w14:paraId="794A674A" w14:textId="3931D2E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Authorities of the Federico Mora Hospital. Information provided to the IACHR, during the visit to the institution on August 2, 2017.</w:t>
      </w:r>
    </w:p>
  </w:footnote>
  <w:footnote w:id="797">
    <w:p w14:paraId="366982D6" w14:textId="2D8A998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State of Guatemala, Written submission of the State of Guatemala regarding the request for information prior to the on-site visit of the IACHR, Ref. P-859-2017/VHGM/LWC/nj, June 16, 2017, para. 100. </w:t>
      </w:r>
    </w:p>
  </w:footnote>
  <w:footnote w:id="798">
    <w:p w14:paraId="08CD1673" w14:textId="40CDADA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in the context of the precautionary measure, submitted to the IACHR by the petitioners, on May 5, 2017.   </w:t>
      </w:r>
    </w:p>
  </w:footnote>
  <w:footnote w:id="799">
    <w:p w14:paraId="3EE2F0ED" w14:textId="4C750856" w:rsidR="001D7FF7" w:rsidRPr="001944CF" w:rsidRDefault="001D7FF7" w:rsidP="00B70540">
      <w:pPr>
        <w:suppressAutoHyphens/>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UN Committee on the Rights of Persons with Disabilities, Final observations to the initial report of Guatemala, </w:t>
      </w:r>
      <w:r w:rsidRPr="001944CF">
        <w:rPr>
          <w:rFonts w:asciiTheme="majorHAnsi" w:hAnsiTheme="majorHAnsi" w:cstheme="majorBidi"/>
          <w:color w:val="808080" w:themeColor="background1" w:themeShade="80"/>
          <w:sz w:val="16"/>
          <w:szCs w:val="16"/>
        </w:rPr>
        <w:t>CRPD/C/GTM/CO/1, September 30, 2016, para. 43.</w:t>
      </w:r>
    </w:p>
  </w:footnote>
  <w:footnote w:id="800">
    <w:p w14:paraId="234181F3" w14:textId="650002B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in the context of the precautionary measure, submitted to the IACHR by the petitioners, on May 5, 2017.   </w:t>
      </w:r>
    </w:p>
  </w:footnote>
  <w:footnote w:id="801">
    <w:p w14:paraId="2323168E" w14:textId="6842C80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in the context of the precautionary measure, submitted to the IACHR by the State of Guatemala, on February 27, 2017.</w:t>
      </w:r>
    </w:p>
  </w:footnote>
  <w:footnote w:id="802">
    <w:p w14:paraId="1424FFCF" w14:textId="4AE5ADA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Information provided in the context of the precautionary measure, submitted to the IACHR by the petitioners, on May 5, 2017.   </w:t>
      </w:r>
    </w:p>
  </w:footnote>
  <w:footnote w:id="803">
    <w:p w14:paraId="6A7660D8" w14:textId="57008B1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State of Guatemala, Written submission of the State of Guatemala regarding the request for information prior to the IACHR’s on-site visit, Ref. P-859-2017/VHGM/LWC/nj, June 16, 2017, para. 98.</w:t>
      </w:r>
    </w:p>
  </w:footnote>
  <w:footnote w:id="804">
    <w:p w14:paraId="5A6E2498" w14:textId="5B729D1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Information provided in the context of the precautionary measure, submitted to the IACHR by the State of Guatemala, on February 27, 2017.</w:t>
      </w:r>
    </w:p>
  </w:footnote>
  <w:footnote w:id="805">
    <w:p w14:paraId="4E7ECB29" w14:textId="5A326C5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IACHR, </w:t>
      </w:r>
      <w:hyperlink r:id="rId581" w:history="1">
        <w:r w:rsidRPr="001944CF">
          <w:rPr>
            <w:rStyle w:val="Hyperlink"/>
            <w:rFonts w:asciiTheme="majorHAnsi" w:hAnsiTheme="majorHAnsi"/>
            <w:iCs/>
            <w:color w:val="808080" w:themeColor="background1" w:themeShade="80"/>
          </w:rPr>
          <w:t>Informe sobre los derechos humanos de las personas privadas de libertad en las Américas</w:t>
        </w:r>
      </w:hyperlink>
      <w:r w:rsidRPr="001944CF">
        <w:rPr>
          <w:rFonts w:asciiTheme="majorHAnsi" w:hAnsiTheme="majorHAnsi"/>
          <w:color w:val="808080" w:themeColor="background1" w:themeShade="80"/>
        </w:rPr>
        <w:t xml:space="preserve">, [‘Report on the Human Rights of Persons Deprived of Liberty in the Americas], December 31, 2011, para. 328. </w:t>
      </w:r>
    </w:p>
  </w:footnote>
  <w:footnote w:id="806">
    <w:p w14:paraId="7144CBF8" w14:textId="18B7B1F3"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w:t>
      </w:r>
      <w:r w:rsidRPr="001944CF">
        <w:rPr>
          <w:rFonts w:asciiTheme="majorHAnsi" w:hAnsiTheme="majorHAnsi"/>
          <w:i/>
          <w:color w:val="808080" w:themeColor="background1" w:themeShade="80"/>
        </w:rPr>
        <w:t>Case of Ximenes Lopes against Brazil</w:t>
      </w:r>
      <w:r w:rsidRPr="001944CF">
        <w:rPr>
          <w:rFonts w:asciiTheme="majorHAnsi" w:hAnsiTheme="majorHAnsi"/>
          <w:color w:val="808080" w:themeColor="background1" w:themeShade="80"/>
        </w:rPr>
        <w:t xml:space="preserve">. Merits, Reparations and Costs. Judgment of July 4, 2006. Series C No. 149, para. 106. </w:t>
      </w:r>
    </w:p>
  </w:footnote>
  <w:footnote w:id="807">
    <w:p w14:paraId="7751CE65" w14:textId="4D177A32"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In this regard, see </w:t>
      </w:r>
      <w:hyperlink r:id="rId582" w:history="1">
        <w:r w:rsidRPr="001944CF">
          <w:rPr>
            <w:rStyle w:val="Hyperlink"/>
            <w:rFonts w:asciiTheme="majorHAnsi" w:hAnsiTheme="majorHAnsi"/>
            <w:color w:val="808080" w:themeColor="background1" w:themeShade="80"/>
          </w:rPr>
          <w:t>Informe del Relator Especial sobre la tortura y otros tratos o penas crueles, inhumanos o degradantes</w:t>
        </w:r>
      </w:hyperlink>
      <w:r w:rsidRPr="001944CF">
        <w:rPr>
          <w:rFonts w:asciiTheme="majorHAnsi" w:hAnsiTheme="majorHAnsi"/>
          <w:color w:val="808080" w:themeColor="background1" w:themeShade="80"/>
        </w:rPr>
        <w:t>, [‘Report of the Special Rapporteur on Torture and other Cruel, Inhuman or Degrading Treatment or Punishment Juan E. Méndez, A/HRC/22/53, February 1, 2016. para. 85 c).</w:t>
      </w:r>
    </w:p>
  </w:footnote>
  <w:footnote w:id="808">
    <w:p w14:paraId="1867E8B6" w14:textId="09CE5ECC"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IA Court of HR, </w:t>
      </w:r>
      <w:r w:rsidRPr="001944CF">
        <w:rPr>
          <w:rFonts w:asciiTheme="majorHAnsi" w:hAnsiTheme="majorHAnsi"/>
          <w:i/>
          <w:color w:val="808080" w:themeColor="background1" w:themeShade="80"/>
        </w:rPr>
        <w:t>Case of Ximenes Lopes v. Brazil</w:t>
      </w:r>
      <w:r w:rsidRPr="001944CF">
        <w:rPr>
          <w:rFonts w:asciiTheme="majorHAnsi" w:hAnsiTheme="majorHAnsi"/>
          <w:color w:val="808080" w:themeColor="background1" w:themeShade="80"/>
        </w:rPr>
        <w:t>. Merits, Reparations and Costs. Judgment of July 4, 2006. Series C No. 149, para. 107.</w:t>
      </w:r>
    </w:p>
  </w:footnote>
  <w:footnote w:id="809">
    <w:p w14:paraId="655756DF" w14:textId="473CFD4D" w:rsidR="001D7FF7" w:rsidRPr="001944CF" w:rsidRDefault="001D7FF7" w:rsidP="00B70540">
      <w:pPr>
        <w:suppressAutoHyphens/>
        <w:spacing w:after="40" w:line="240" w:lineRule="auto"/>
        <w:ind w:left="547" w:hanging="547"/>
        <w:jc w:val="both"/>
        <w:rPr>
          <w:rFonts w:asciiTheme="majorHAnsi" w:hAnsiTheme="majorHAnsi" w:cstheme="majorBid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 xml:space="preserve">UN Committee on the Rights of Persons with Disabilities, Final observations on the initial report of Guatemala, </w:t>
      </w:r>
      <w:r w:rsidRPr="001944CF">
        <w:rPr>
          <w:rFonts w:asciiTheme="majorHAnsi" w:hAnsiTheme="majorHAnsi" w:cstheme="majorBidi"/>
          <w:color w:val="808080" w:themeColor="background1" w:themeShade="80"/>
          <w:sz w:val="16"/>
          <w:szCs w:val="16"/>
        </w:rPr>
        <w:t>CRPD/C/GTM/CO/1, September 30, 2016, para. 43. In this regard, in its 2016 Annual Report</w:t>
      </w:r>
      <w:r w:rsidRPr="001944CF">
        <w:rPr>
          <w:rFonts w:asciiTheme="majorHAnsi" w:hAnsiTheme="majorHAnsi"/>
          <w:color w:val="808080" w:themeColor="background1" w:themeShade="80"/>
          <w:sz w:val="16"/>
          <w:szCs w:val="16"/>
        </w:rPr>
        <w:t>, the PDH reiterated the concerns noted by the aforementioned Committee</w:t>
      </w:r>
      <w:r w:rsidRPr="001944CF">
        <w:rPr>
          <w:rFonts w:asciiTheme="majorHAnsi" w:hAnsiTheme="majorHAnsi" w:cs="CastleT"/>
          <w:color w:val="808080" w:themeColor="background1" w:themeShade="80"/>
          <w:sz w:val="16"/>
          <w:szCs w:val="16"/>
        </w:rPr>
        <w:t xml:space="preserve">. </w:t>
      </w:r>
      <w:r w:rsidRPr="001944CF">
        <w:rPr>
          <w:rFonts w:asciiTheme="majorHAnsi" w:hAnsiTheme="majorHAnsi"/>
          <w:color w:val="808080" w:themeColor="background1" w:themeShade="80"/>
          <w:sz w:val="16"/>
          <w:szCs w:val="16"/>
        </w:rPr>
        <w:t xml:space="preserve">PDH, Guatemala, </w:t>
      </w:r>
      <w:hyperlink r:id="rId583" w:history="1">
        <w:r w:rsidRPr="001944CF">
          <w:rPr>
            <w:rStyle w:val="Hyperlink"/>
            <w:rFonts w:asciiTheme="majorHAnsi" w:hAnsiTheme="majorHAnsi"/>
            <w:color w:val="808080" w:themeColor="background1" w:themeShade="80"/>
            <w:sz w:val="16"/>
            <w:szCs w:val="16"/>
          </w:rPr>
          <w:t>Informe Anual Circunstanciado 2016</w:t>
        </w:r>
      </w:hyperlink>
      <w:r w:rsidRPr="001944CF">
        <w:rPr>
          <w:rStyle w:val="Hyperlink"/>
          <w:rFonts w:asciiTheme="majorHAnsi" w:hAnsiTheme="majorHAnsi"/>
          <w:color w:val="808080" w:themeColor="background1" w:themeShade="80"/>
          <w:sz w:val="16"/>
          <w:szCs w:val="16"/>
        </w:rPr>
        <w:t>, p. 251. [‘Annual Status Report]</w:t>
      </w:r>
    </w:p>
  </w:footnote>
  <w:footnote w:id="810">
    <w:p w14:paraId="62AC9129" w14:textId="359243BA"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 Committee on the Rights of Persons with Disabilities, </w:t>
      </w:r>
      <w:r w:rsidRPr="001944CF">
        <w:rPr>
          <w:rFonts w:asciiTheme="majorHAnsi" w:hAnsiTheme="majorHAnsi"/>
          <w:i/>
          <w:color w:val="808080" w:themeColor="background1" w:themeShade="80"/>
        </w:rPr>
        <w:t>General comment on article 19: Living independently and being included in the community</w:t>
      </w:r>
      <w:r w:rsidRPr="001944CF">
        <w:rPr>
          <w:rFonts w:asciiTheme="majorHAnsi" w:hAnsiTheme="majorHAnsi"/>
          <w:color w:val="808080" w:themeColor="background1" w:themeShade="80"/>
        </w:rPr>
        <w:t>, CRPD/C/18/1, August 29, 2017, para. 16 a).</w:t>
      </w:r>
    </w:p>
  </w:footnote>
  <w:footnote w:id="811">
    <w:p w14:paraId="1149BE2B" w14:textId="29AEE4F5"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16 b) and 19.</w:t>
      </w:r>
    </w:p>
  </w:footnote>
  <w:footnote w:id="812">
    <w:p w14:paraId="55113D27" w14:textId="267D22DB"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para. 16 c).</w:t>
      </w:r>
    </w:p>
  </w:footnote>
  <w:footnote w:id="813">
    <w:p w14:paraId="1163F097" w14:textId="58ED665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theme="min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 xml:space="preserve">, para. 83; and </w:t>
      </w:r>
      <w:r w:rsidRPr="001944CF">
        <w:rPr>
          <w:rFonts w:asciiTheme="majorHAnsi" w:eastAsia="MS Mincho" w:hAnsiTheme="majorHAnsi"/>
          <w:color w:val="808080" w:themeColor="background1" w:themeShade="80"/>
        </w:rPr>
        <w:t xml:space="preserve">Guidelines on article 14 of the Convention on the Rights of Persons with Disabilities: </w:t>
      </w:r>
      <w:r w:rsidRPr="001944CF">
        <w:rPr>
          <w:rFonts w:asciiTheme="majorHAnsi" w:hAnsiTheme="majorHAnsi"/>
          <w:color w:val="808080" w:themeColor="background1" w:themeShade="80"/>
          <w:lang w:eastAsia="en-GB"/>
        </w:rPr>
        <w:t>The right to liberty and security of persons with disabilities, adopted at the 4</w:t>
      </w:r>
      <w:r w:rsidRPr="001944CF">
        <w:rPr>
          <w:rFonts w:asciiTheme="majorHAnsi" w:hAnsiTheme="majorHAnsi"/>
          <w:color w:val="808080" w:themeColor="background1" w:themeShade="80"/>
          <w:vertAlign w:val="superscript"/>
          <w:lang w:eastAsia="en-GB"/>
        </w:rPr>
        <w:t>th</w:t>
      </w:r>
      <w:r w:rsidRPr="001944CF">
        <w:rPr>
          <w:rFonts w:asciiTheme="majorHAnsi" w:hAnsiTheme="majorHAnsi"/>
          <w:color w:val="808080" w:themeColor="background1" w:themeShade="80"/>
          <w:lang w:eastAsia="en-GB"/>
        </w:rPr>
        <w:t xml:space="preserve"> Session, September </w:t>
      </w:r>
      <w:r w:rsidRPr="001944CF">
        <w:rPr>
          <w:rFonts w:asciiTheme="majorHAnsi" w:eastAsia="Times New Roman" w:hAnsiTheme="majorHAnsi"/>
          <w:color w:val="808080" w:themeColor="background1" w:themeShade="80"/>
          <w:lang w:eastAsia="en-GB"/>
        </w:rPr>
        <w:t xml:space="preserve">2015, para. 8. </w:t>
      </w:r>
    </w:p>
  </w:footnote>
  <w:footnote w:id="814">
    <w:p w14:paraId="42118827" w14:textId="6654A93D"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State of Guatemala, Written submission of the State of Guatemala regarding the request for information prior to the IACHR’s on-site visit, Ref. P-859-2017/VHGM/LWC/nj, June 16, 2017, para. </w:t>
      </w:r>
      <w:r w:rsidRPr="001944CF">
        <w:rPr>
          <w:rFonts w:asciiTheme="majorHAnsi" w:hAnsiTheme="majorHAnsi" w:cs="Cambria"/>
          <w:color w:val="808080" w:themeColor="background1" w:themeShade="80"/>
        </w:rPr>
        <w:t xml:space="preserve">103. </w:t>
      </w:r>
    </w:p>
  </w:footnote>
  <w:footnote w:id="815">
    <w:p w14:paraId="35A11BF5" w14:textId="0BA57A62" w:rsidR="001D7FF7" w:rsidRPr="001944CF" w:rsidRDefault="001D7FF7" w:rsidP="006F17D4">
      <w:pPr>
        <w:pStyle w:val="FootnoteText"/>
        <w:rPr>
          <w:rFonts w:asciiTheme="majorHAnsi" w:hAnsiTheme="majorHAnsi" w:cstheme="minorHAnsi"/>
          <w:color w:val="808080" w:themeColor="background1" w:themeShade="80"/>
        </w:rPr>
      </w:pPr>
      <w:r w:rsidRPr="001944CF">
        <w:rPr>
          <w:rStyle w:val="FootnoteReference"/>
          <w:rFonts w:asciiTheme="majorHAnsi" w:hAnsiTheme="majorHAnsi" w:cstheme="minorHAnsi"/>
          <w:color w:val="808080" w:themeColor="background1" w:themeShade="80"/>
          <w:sz w:val="16"/>
          <w:szCs w:val="16"/>
        </w:rPr>
        <w:footnoteRef/>
      </w:r>
      <w:r w:rsidRPr="001944CF">
        <w:rPr>
          <w:rFonts w:asciiTheme="majorHAnsi" w:hAnsiTheme="majorHAnsi" w:cstheme="minorHAnsi"/>
          <w:color w:val="808080" w:themeColor="background1" w:themeShade="80"/>
        </w:rPr>
        <w:t xml:space="preserve"> </w:t>
      </w:r>
      <w:r w:rsidRPr="001944CF">
        <w:rPr>
          <w:rFonts w:asciiTheme="majorHAnsi" w:hAnsiTheme="majorHAnsi" w:cstheme="minorHAnsi"/>
          <w:color w:val="808080" w:themeColor="background1" w:themeShade="80"/>
        </w:rPr>
        <w:tab/>
      </w:r>
      <w:r w:rsidRPr="001944CF">
        <w:rPr>
          <w:rFonts w:asciiTheme="majorHAnsi" w:hAnsiTheme="majorHAnsi"/>
          <w:color w:val="808080" w:themeColor="background1" w:themeShade="80"/>
        </w:rPr>
        <w:t>Information provided in the context of the precautionary measure, submitted to the IACHR by the State of Guatemala, on February 27, 2017.</w:t>
      </w:r>
    </w:p>
  </w:footnote>
  <w:footnote w:id="816">
    <w:p w14:paraId="00BA4D0A" w14:textId="20EBA855" w:rsidR="001D7FF7" w:rsidRPr="001944CF" w:rsidRDefault="001D7FF7" w:rsidP="00B70540">
      <w:pPr>
        <w:spacing w:after="40" w:line="240" w:lineRule="auto"/>
        <w:ind w:left="547" w:hanging="547"/>
        <w:jc w:val="both"/>
        <w:rPr>
          <w:rFonts w:asciiTheme="majorHAnsi" w:hAnsiTheme="majorHAnsi"/>
          <w:color w:val="808080" w:themeColor="background1" w:themeShade="80"/>
          <w:sz w:val="16"/>
          <w:szCs w:val="16"/>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sz w:val="16"/>
          <w:szCs w:val="16"/>
        </w:rPr>
        <w:t xml:space="preserve"> </w:t>
      </w:r>
      <w:r w:rsidRPr="001944CF">
        <w:rPr>
          <w:rFonts w:asciiTheme="majorHAnsi" w:hAnsiTheme="majorHAnsi"/>
          <w:color w:val="808080" w:themeColor="background1" w:themeShade="80"/>
          <w:sz w:val="16"/>
          <w:szCs w:val="16"/>
        </w:rPr>
        <w:tab/>
        <w:t>State of Guatemala, Submission regarding the preliminary observations to the IACHR’s on-site visit, Ref. P-1261-2017/VHGM/LWC/nj, August 29, 2017. Annex 5, Response of the Ministry of Public Health and Social Assistance, “Comments regarding the observations on the visit to the Federico Mora National Mental Health Hospital,” August  18, 2017.</w:t>
      </w:r>
    </w:p>
  </w:footnote>
  <w:footnote w:id="817">
    <w:p w14:paraId="062A339B" w14:textId="27A2859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Ministry of Public Health and Social Assistance. Information provided to the IACHR on August 2, 2017, at the meeting with health officials and during the visit to the institution. </w:t>
      </w:r>
    </w:p>
  </w:footnote>
  <w:footnote w:id="818">
    <w:p w14:paraId="1C0A72EA" w14:textId="17C97BE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r>
      <w:r w:rsidRPr="001944CF">
        <w:rPr>
          <w:rFonts w:asciiTheme="majorHAnsi" w:hAnsiTheme="majorHAnsi"/>
          <w:i/>
          <w:color w:val="808080" w:themeColor="background1" w:themeShade="80"/>
        </w:rPr>
        <w:t>Id</w:t>
      </w:r>
      <w:r w:rsidRPr="001944CF">
        <w:rPr>
          <w:rFonts w:asciiTheme="majorHAnsi" w:hAnsiTheme="majorHAnsi"/>
          <w:color w:val="808080" w:themeColor="background1" w:themeShade="80"/>
        </w:rPr>
        <w:t>.</w:t>
      </w:r>
    </w:p>
  </w:footnote>
  <w:footnote w:id="819">
    <w:p w14:paraId="57E7436C" w14:textId="5BF31716"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 Committee on the Rights of Persons with Disabilities, </w:t>
      </w:r>
      <w:r w:rsidRPr="001944CF">
        <w:rPr>
          <w:rFonts w:asciiTheme="majorHAnsi" w:hAnsiTheme="majorHAnsi"/>
          <w:i/>
          <w:color w:val="808080" w:themeColor="background1" w:themeShade="80"/>
        </w:rPr>
        <w:t>General comment on article 19: Living independently and being included in the community</w:t>
      </w:r>
      <w:r w:rsidRPr="001944CF">
        <w:rPr>
          <w:rFonts w:asciiTheme="majorHAnsi" w:hAnsiTheme="majorHAnsi"/>
          <w:color w:val="808080" w:themeColor="background1" w:themeShade="80"/>
        </w:rPr>
        <w:t>, CRPD/C/18/1, August 29, 2017, para. 1.</w:t>
      </w:r>
    </w:p>
  </w:footnote>
  <w:footnote w:id="820">
    <w:p w14:paraId="5E125A91" w14:textId="08A2787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stheme="min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UN Committee on the Rights of Persons with Disabilities, Final observations on the initial report of Guatemala, CRPD/C/GTM/CO/1, September 30, 2016, para. 54.</w:t>
      </w:r>
    </w:p>
  </w:footnote>
  <w:footnote w:id="821">
    <w:p w14:paraId="0129440C" w14:textId="09F149A2" w:rsidR="001D7FF7" w:rsidRPr="001944CF" w:rsidRDefault="001D7FF7" w:rsidP="006F17D4">
      <w:pPr>
        <w:pStyle w:val="FootnoteText"/>
        <w:rPr>
          <w:rFonts w:asciiTheme="majorHAnsi" w:hAnsiTheme="majorHAnsi" w:cstheme="minorHAnsi"/>
          <w:color w:val="808080" w:themeColor="background1" w:themeShade="80"/>
        </w:rPr>
      </w:pPr>
      <w:r w:rsidRPr="001944CF">
        <w:rPr>
          <w:rStyle w:val="FootnoteReference"/>
          <w:rFonts w:asciiTheme="majorHAnsi" w:hAnsiTheme="majorHAnsi" w:cstheme="minorHAnsi"/>
          <w:color w:val="808080" w:themeColor="background1" w:themeShade="80"/>
          <w:sz w:val="16"/>
          <w:szCs w:val="16"/>
        </w:rPr>
        <w:footnoteRef/>
      </w:r>
      <w:r w:rsidRPr="001944CF">
        <w:rPr>
          <w:rFonts w:asciiTheme="majorHAnsi" w:hAnsiTheme="majorHAnsi" w:cstheme="minorHAnsi"/>
          <w:color w:val="808080" w:themeColor="background1" w:themeShade="80"/>
        </w:rPr>
        <w:t xml:space="preserve"> </w:t>
      </w:r>
      <w:r w:rsidRPr="001944CF">
        <w:rPr>
          <w:rFonts w:asciiTheme="majorHAnsi" w:hAnsiTheme="majorHAnsi" w:cstheme="minorHAnsi"/>
          <w:color w:val="808080" w:themeColor="background1" w:themeShade="80"/>
        </w:rPr>
        <w:tab/>
        <w:t>DRI, “</w:t>
      </w:r>
      <w:hyperlink r:id="rId584" w:history="1">
        <w:r w:rsidRPr="001944CF">
          <w:rPr>
            <w:rStyle w:val="Hyperlink"/>
            <w:rFonts w:asciiTheme="majorHAnsi" w:hAnsiTheme="majorHAnsi" w:cstheme="minorHAnsi"/>
            <w:color w:val="808080" w:themeColor="background1" w:themeShade="80"/>
          </w:rPr>
          <w:t>Disability Rights International continues to pressure Guatemalan government to end human rights abuses at notorious psychiatric facility</w:t>
        </w:r>
      </w:hyperlink>
      <w:r w:rsidRPr="001944CF">
        <w:rPr>
          <w:rFonts w:asciiTheme="majorHAnsi" w:hAnsiTheme="majorHAnsi" w:cstheme="minorHAnsi"/>
          <w:color w:val="808080" w:themeColor="background1" w:themeShade="80"/>
        </w:rPr>
        <w:t>”,  March 15, 2013.</w:t>
      </w:r>
    </w:p>
  </w:footnote>
  <w:footnote w:id="822">
    <w:p w14:paraId="27242BE5" w14:textId="5BCFEC8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 Committee on the Rights of Persons with Disabilities, Final observations on the initial report of Guatemala, CRPD/C/GTM/CO/1, September 30, 2016, para. 54. General comment on article 19: Living independently and being included in the community, CRPD/C/18/1, August 29, 2017, para. 98 g). </w:t>
      </w:r>
    </w:p>
  </w:footnote>
  <w:footnote w:id="823">
    <w:p w14:paraId="31B4B820" w14:textId="52B0F351"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 Committee on the Rights of Persons with Disabilities, </w:t>
      </w:r>
      <w:r w:rsidRPr="001944CF">
        <w:rPr>
          <w:rFonts w:asciiTheme="majorHAnsi" w:hAnsiTheme="majorHAnsi"/>
          <w:i/>
          <w:color w:val="808080" w:themeColor="background1" w:themeShade="80"/>
        </w:rPr>
        <w:t>General comment on article 19: Living independently and being included in the community</w:t>
      </w:r>
      <w:r w:rsidRPr="001944CF">
        <w:rPr>
          <w:rFonts w:asciiTheme="majorHAnsi" w:hAnsiTheme="majorHAnsi"/>
          <w:color w:val="808080" w:themeColor="background1" w:themeShade="80"/>
        </w:rPr>
        <w:t>, CRPD/C/18/1, August 29, 2017, para. 98 i).</w:t>
      </w:r>
    </w:p>
  </w:footnote>
  <w:footnote w:id="824">
    <w:p w14:paraId="7D0870FC" w14:textId="69735E30"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 Committee on the Rights of Persons with Disabilities, Final observations on the initial report of Guatemala, CRPD/C/GTM/CO/1, September 30, 2016, para. 54. </w:t>
      </w:r>
    </w:p>
  </w:footnote>
  <w:footnote w:id="825">
    <w:p w14:paraId="47E3756F" w14:textId="23D71A94"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UN Committee on the Rights of Persons with Disabilities, </w:t>
      </w:r>
      <w:r w:rsidRPr="001944CF">
        <w:rPr>
          <w:rFonts w:asciiTheme="majorHAnsi" w:hAnsiTheme="majorHAnsi"/>
          <w:i/>
          <w:color w:val="808080" w:themeColor="background1" w:themeShade="80"/>
        </w:rPr>
        <w:t>General comment on article 19: Living independently and being included in the community</w:t>
      </w:r>
      <w:r w:rsidRPr="001944CF">
        <w:rPr>
          <w:rFonts w:asciiTheme="majorHAnsi" w:hAnsiTheme="majorHAnsi"/>
          <w:color w:val="808080" w:themeColor="background1" w:themeShade="80"/>
        </w:rPr>
        <w:t xml:space="preserve">, CRPD/C/18/1, August 29, 2017, para. 30. </w:t>
      </w:r>
    </w:p>
  </w:footnote>
  <w:footnote w:id="826">
    <w:p w14:paraId="7C1D0B8C" w14:textId="0E2363A7"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Ministry of Public Health and Social Assistance. Information provided to the IACHR on August 2, 2017, at the meeting with health officials and during the visit to the institution. Additionally, this information was conveyed to the IACHR by the psychiatric staff itself in charge of treating the patients in conflict with the law, during its visit to the institution on August 2, 2017. </w:t>
      </w:r>
    </w:p>
  </w:footnote>
  <w:footnote w:id="827">
    <w:p w14:paraId="0150ED1A" w14:textId="7EB2C6DF"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Psychiatric staff of the Federico Mora Hospital. Information provided to the IACHR during its visit to the institution on August 2, 2017. </w:t>
      </w:r>
    </w:p>
  </w:footnote>
  <w:footnote w:id="828">
    <w:p w14:paraId="18A4C003" w14:textId="2B84449C" w:rsidR="001D7FF7" w:rsidRPr="001944CF" w:rsidRDefault="001D7FF7" w:rsidP="006F17D4">
      <w:pPr>
        <w:pStyle w:val="FootnoteText"/>
        <w:rPr>
          <w:rFonts w:asciiTheme="majorHAnsi" w:hAnsiTheme="majorHAnsi" w:cstheme="minorHAnsi"/>
          <w:color w:val="808080" w:themeColor="background1" w:themeShade="80"/>
        </w:rPr>
      </w:pPr>
      <w:r w:rsidRPr="001944CF">
        <w:rPr>
          <w:rStyle w:val="FootnoteReference"/>
          <w:rFonts w:asciiTheme="majorHAnsi" w:hAnsiTheme="majorHAnsi" w:cstheme="minorHAnsi"/>
          <w:color w:val="808080" w:themeColor="background1" w:themeShade="80"/>
          <w:sz w:val="16"/>
          <w:szCs w:val="16"/>
        </w:rPr>
        <w:footnoteRef/>
      </w:r>
      <w:r w:rsidRPr="001944CF">
        <w:rPr>
          <w:rStyle w:val="FootnoteReference"/>
          <w:rFonts w:asciiTheme="majorHAnsi" w:hAnsiTheme="majorHAnsi" w:cstheme="minorHAnsi"/>
          <w:color w:val="808080" w:themeColor="background1" w:themeShade="80"/>
          <w:sz w:val="16"/>
          <w:szCs w:val="16"/>
        </w:rPr>
        <w:t xml:space="preserve"> </w:t>
      </w:r>
      <w:r w:rsidRPr="001944CF">
        <w:rPr>
          <w:rFonts w:asciiTheme="majorHAnsi" w:hAnsiTheme="majorHAnsi" w:cstheme="minorHAnsi"/>
          <w:color w:val="808080" w:themeColor="background1" w:themeShade="80"/>
        </w:rPr>
        <w:tab/>
        <w:t xml:space="preserve">IACHR, </w:t>
      </w:r>
      <w:hyperlink r:id="rId585" w:history="1">
        <w:r w:rsidRPr="001944CF">
          <w:rPr>
            <w:rStyle w:val="Hyperlink"/>
            <w:rFonts w:asciiTheme="majorHAnsi" w:hAnsiTheme="majorHAnsi"/>
            <w:i/>
            <w:color w:val="808080" w:themeColor="background1" w:themeShade="80"/>
          </w:rPr>
          <w:t>Situación de derechos humanos en Guatemala</w:t>
        </w:r>
      </w:hyperlink>
      <w:r w:rsidRPr="001944CF">
        <w:rPr>
          <w:rFonts w:asciiTheme="majorHAnsi" w:hAnsiTheme="majorHAnsi"/>
          <w:color w:val="808080" w:themeColor="background1" w:themeShade="80"/>
        </w:rPr>
        <w:t>, [Situation of Human Rights in Guatemala], OEA/Ser.L/V/II, Doc. 43/15, December 31, 2015, para. 353. Information provided in the context of the precautionary measures and in the Observations of the State of Guatemala on the “Draft General Report on the Situation of Human Rights in Guatemala and on the IACHR’s communication of August 14, 2015</w:t>
      </w:r>
      <w:r w:rsidRPr="001944CF">
        <w:rPr>
          <w:rFonts w:asciiTheme="majorHAnsi" w:hAnsiTheme="majorHAnsi" w:cstheme="minorHAnsi"/>
          <w:color w:val="808080" w:themeColor="background1" w:themeShade="80"/>
        </w:rPr>
        <w:t>,” October 6, 2015.</w:t>
      </w:r>
    </w:p>
  </w:footnote>
  <w:footnote w:id="829">
    <w:p w14:paraId="0366E419" w14:textId="0C48E838" w:rsidR="001D7FF7" w:rsidRPr="001944CF" w:rsidRDefault="001D7FF7" w:rsidP="006F17D4">
      <w:pPr>
        <w:pStyle w:val="FootnoteText"/>
        <w:rPr>
          <w:rFonts w:asciiTheme="majorHAnsi" w:hAnsiTheme="majorHAnsi"/>
          <w:color w:val="808080" w:themeColor="background1" w:themeShade="80"/>
        </w:rPr>
      </w:pPr>
      <w:r w:rsidRPr="001944CF">
        <w:rPr>
          <w:rStyle w:val="FootnoteReference"/>
          <w:rFonts w:asciiTheme="majorHAnsi" w:hAnsiTheme="majorHAnsi"/>
          <w:color w:val="808080" w:themeColor="background1" w:themeShade="80"/>
          <w:sz w:val="16"/>
          <w:szCs w:val="16"/>
        </w:rPr>
        <w:footnoteRef/>
      </w:r>
      <w:r w:rsidRPr="001944CF">
        <w:rPr>
          <w:rFonts w:asciiTheme="majorHAnsi" w:hAnsiTheme="majorHAnsi"/>
          <w:color w:val="808080" w:themeColor="background1" w:themeShade="80"/>
        </w:rPr>
        <w:t xml:space="preserve"> </w:t>
      </w:r>
      <w:r w:rsidRPr="001944CF">
        <w:rPr>
          <w:rFonts w:asciiTheme="majorHAnsi" w:hAnsiTheme="majorHAnsi"/>
          <w:color w:val="808080" w:themeColor="background1" w:themeShade="80"/>
        </w:rPr>
        <w:tab/>
        <w:t xml:space="preserve">COPREDEH. Information provided to the IACHR, during its visit to the institution on August 2,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B251" w14:textId="77777777" w:rsidR="00A57BFC" w:rsidRDefault="00A57B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68C7" w14:textId="7DFD7C72" w:rsidR="001D7FF7" w:rsidRPr="00F43601" w:rsidRDefault="001D7FF7" w:rsidP="00F436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61E0" w14:textId="475D577C" w:rsidR="001D7FF7" w:rsidRPr="00450424" w:rsidRDefault="001D7FF7" w:rsidP="00450424">
    <w:pPr>
      <w:pStyle w:val="Header"/>
      <w:tabs>
        <w:tab w:val="left" w:pos="4292"/>
        <w:tab w:val="right" w:pos="7632"/>
      </w:tabs>
      <w:spacing w:after="480"/>
      <w:jc w:val="right"/>
      <w:rPr>
        <w:rFonts w:asciiTheme="majorHAnsi" w:hAnsiTheme="majorHAnsi"/>
        <w:color w:val="4A442A" w:themeColor="background2" w:themeShade="40"/>
        <w:sz w:val="16"/>
        <w:szCs w:val="14"/>
      </w:rPr>
    </w:pPr>
    <w:r>
      <w:rPr>
        <w:rFonts w:asciiTheme="majorHAnsi" w:hAnsiTheme="majorHAnsi"/>
        <w:color w:val="4A442A" w:themeColor="background2" w:themeShade="40"/>
        <w:sz w:val="16"/>
        <w:szCs w:val="14"/>
      </w:rPr>
      <w:t xml:space="preserve">Chapter 1: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Introduction</w:t>
    </w:r>
    <w:r w:rsidRPr="00450424">
      <w:rPr>
        <w:rFonts w:asciiTheme="majorHAnsi" w:hAnsiTheme="majorHAnsi"/>
        <w:color w:val="4A442A" w:themeColor="background2" w:themeShade="40"/>
        <w:sz w:val="16"/>
        <w:szCs w:val="14"/>
      </w:rPr>
      <w:t xml:space="preserve"> | </w:t>
    </w:r>
    <w:r w:rsidRPr="00450424">
      <w:rPr>
        <w:rFonts w:asciiTheme="majorHAnsi" w:hAnsiTheme="majorHAnsi"/>
        <w:color w:val="4A442A" w:themeColor="background2" w:themeShade="40"/>
        <w:sz w:val="16"/>
        <w:szCs w:val="14"/>
      </w:rPr>
      <w:fldChar w:fldCharType="begin"/>
    </w:r>
    <w:r w:rsidRPr="00450424">
      <w:rPr>
        <w:rFonts w:asciiTheme="majorHAnsi" w:hAnsiTheme="majorHAnsi"/>
        <w:color w:val="4A442A" w:themeColor="background2" w:themeShade="40"/>
        <w:sz w:val="16"/>
        <w:szCs w:val="14"/>
      </w:rPr>
      <w:instrText xml:space="preserve"> PAGE   \* MERGEFORMAT </w:instrText>
    </w:r>
    <w:r w:rsidRPr="00450424">
      <w:rPr>
        <w:rFonts w:asciiTheme="majorHAnsi" w:hAnsiTheme="majorHAnsi"/>
        <w:color w:val="4A442A" w:themeColor="background2" w:themeShade="40"/>
        <w:sz w:val="16"/>
        <w:szCs w:val="14"/>
      </w:rPr>
      <w:fldChar w:fldCharType="separate"/>
    </w:r>
    <w:r w:rsidR="00020837">
      <w:rPr>
        <w:rFonts w:asciiTheme="majorHAnsi" w:hAnsiTheme="majorHAnsi"/>
        <w:noProof/>
        <w:color w:val="4A442A" w:themeColor="background2" w:themeShade="40"/>
        <w:sz w:val="16"/>
        <w:szCs w:val="14"/>
      </w:rPr>
      <w:t>17</w:t>
    </w:r>
    <w:r w:rsidRPr="00450424">
      <w:rPr>
        <w:rFonts w:asciiTheme="majorHAnsi" w:hAnsiTheme="majorHAnsi"/>
        <w:noProof/>
        <w:color w:val="4A442A" w:themeColor="background2" w:themeShade="40"/>
        <w:sz w:val="16"/>
        <w:szCs w:val="1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A694" w14:textId="602B5634" w:rsidR="001D7FF7" w:rsidRPr="002B3D42" w:rsidRDefault="001D7FF7" w:rsidP="002B3D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EA80" w14:textId="220130C0" w:rsidR="001D7FF7" w:rsidRPr="00450424" w:rsidRDefault="001D7FF7" w:rsidP="00450424">
    <w:pPr>
      <w:pStyle w:val="Header"/>
      <w:tabs>
        <w:tab w:val="left" w:pos="4292"/>
        <w:tab w:val="right" w:pos="7632"/>
      </w:tabs>
      <w:spacing w:after="480"/>
      <w:jc w:val="right"/>
      <w:rPr>
        <w:rFonts w:asciiTheme="majorHAnsi" w:hAnsiTheme="majorHAnsi"/>
        <w:color w:val="4A442A" w:themeColor="background2" w:themeShade="40"/>
        <w:sz w:val="16"/>
        <w:szCs w:val="14"/>
      </w:rPr>
    </w:pPr>
    <w:r>
      <w:rPr>
        <w:rFonts w:asciiTheme="majorHAnsi" w:hAnsiTheme="majorHAnsi"/>
        <w:color w:val="4A442A" w:themeColor="background2" w:themeShade="40"/>
        <w:sz w:val="16"/>
        <w:szCs w:val="14"/>
      </w:rPr>
      <w:t xml:space="preserve">Chapter 2: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Administration of Justice</w:t>
    </w:r>
    <w:r w:rsidRPr="00450424">
      <w:rPr>
        <w:rFonts w:asciiTheme="majorHAnsi" w:hAnsiTheme="majorHAnsi"/>
        <w:color w:val="4A442A" w:themeColor="background2" w:themeShade="40"/>
        <w:sz w:val="16"/>
        <w:szCs w:val="14"/>
      </w:rPr>
      <w:t xml:space="preserve"> | </w:t>
    </w:r>
    <w:r w:rsidRPr="00450424">
      <w:rPr>
        <w:rFonts w:asciiTheme="majorHAnsi" w:hAnsiTheme="majorHAnsi"/>
        <w:color w:val="4A442A" w:themeColor="background2" w:themeShade="40"/>
        <w:sz w:val="16"/>
        <w:szCs w:val="14"/>
      </w:rPr>
      <w:fldChar w:fldCharType="begin"/>
    </w:r>
    <w:r w:rsidRPr="00450424">
      <w:rPr>
        <w:rFonts w:asciiTheme="majorHAnsi" w:hAnsiTheme="majorHAnsi"/>
        <w:color w:val="4A442A" w:themeColor="background2" w:themeShade="40"/>
        <w:sz w:val="16"/>
        <w:szCs w:val="14"/>
      </w:rPr>
      <w:instrText xml:space="preserve"> PAGE   \* MERGEFORMAT </w:instrText>
    </w:r>
    <w:r w:rsidRPr="00450424">
      <w:rPr>
        <w:rFonts w:asciiTheme="majorHAnsi" w:hAnsiTheme="majorHAnsi"/>
        <w:color w:val="4A442A" w:themeColor="background2" w:themeShade="40"/>
        <w:sz w:val="16"/>
        <w:szCs w:val="14"/>
      </w:rPr>
      <w:fldChar w:fldCharType="separate"/>
    </w:r>
    <w:r w:rsidR="00020837">
      <w:rPr>
        <w:rFonts w:asciiTheme="majorHAnsi" w:hAnsiTheme="majorHAnsi"/>
        <w:noProof/>
        <w:color w:val="4A442A" w:themeColor="background2" w:themeShade="40"/>
        <w:sz w:val="16"/>
        <w:szCs w:val="14"/>
      </w:rPr>
      <w:t>77</w:t>
    </w:r>
    <w:r w:rsidRPr="00450424">
      <w:rPr>
        <w:rFonts w:asciiTheme="majorHAnsi" w:hAnsiTheme="majorHAnsi"/>
        <w:noProof/>
        <w:color w:val="4A442A" w:themeColor="background2" w:themeShade="40"/>
        <w:sz w:val="16"/>
        <w:szCs w:val="1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BB83F" w14:textId="37883D53" w:rsidR="001D7FF7" w:rsidRPr="00B40D2B" w:rsidRDefault="001D7FF7" w:rsidP="00B40D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32E6" w14:textId="543258F4" w:rsidR="001D7FF7" w:rsidRPr="00450424" w:rsidRDefault="001D7FF7" w:rsidP="00450424">
    <w:pPr>
      <w:pStyle w:val="Header"/>
      <w:tabs>
        <w:tab w:val="left" w:pos="4292"/>
        <w:tab w:val="right" w:pos="7632"/>
      </w:tabs>
      <w:spacing w:after="480"/>
      <w:jc w:val="right"/>
      <w:rPr>
        <w:rFonts w:asciiTheme="majorHAnsi" w:hAnsiTheme="majorHAnsi"/>
        <w:color w:val="4A442A" w:themeColor="background2" w:themeShade="40"/>
        <w:sz w:val="16"/>
        <w:szCs w:val="14"/>
      </w:rPr>
    </w:pPr>
    <w:r>
      <w:rPr>
        <w:rFonts w:asciiTheme="majorHAnsi" w:hAnsiTheme="majorHAnsi"/>
        <w:color w:val="4A442A" w:themeColor="background2" w:themeShade="40"/>
        <w:sz w:val="16"/>
        <w:szCs w:val="14"/>
      </w:rPr>
      <w:t xml:space="preserve">Chapter 3: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Situation o</w:t>
    </w:r>
    <w:r w:rsidRPr="00823419">
      <w:rPr>
        <w:rFonts w:asciiTheme="majorHAnsi" w:hAnsiTheme="majorHAnsi"/>
        <w:color w:val="4A442A" w:themeColor="background2" w:themeShade="40"/>
        <w:sz w:val="16"/>
        <w:szCs w:val="14"/>
      </w:rPr>
      <w:t>f Human Rights De</w:t>
    </w:r>
    <w:r>
      <w:rPr>
        <w:rFonts w:asciiTheme="majorHAnsi" w:hAnsiTheme="majorHAnsi"/>
        <w:color w:val="4A442A" w:themeColor="background2" w:themeShade="40"/>
        <w:sz w:val="16"/>
        <w:szCs w:val="14"/>
      </w:rPr>
      <w:t>fenders a</w:t>
    </w:r>
    <w:r w:rsidRPr="00823419">
      <w:rPr>
        <w:rFonts w:asciiTheme="majorHAnsi" w:hAnsiTheme="majorHAnsi"/>
        <w:color w:val="4A442A" w:themeColor="background2" w:themeShade="40"/>
        <w:sz w:val="16"/>
        <w:szCs w:val="14"/>
      </w:rPr>
      <w:t xml:space="preserve">nd Justice Operators </w:t>
    </w:r>
    <w:r w:rsidRPr="00450424">
      <w:rPr>
        <w:rFonts w:asciiTheme="majorHAnsi" w:hAnsiTheme="majorHAnsi"/>
        <w:color w:val="4A442A" w:themeColor="background2" w:themeShade="40"/>
        <w:sz w:val="16"/>
        <w:szCs w:val="14"/>
      </w:rPr>
      <w:t xml:space="preserve">| </w:t>
    </w:r>
    <w:r w:rsidRPr="00450424">
      <w:rPr>
        <w:rFonts w:asciiTheme="majorHAnsi" w:hAnsiTheme="majorHAnsi"/>
        <w:color w:val="4A442A" w:themeColor="background2" w:themeShade="40"/>
        <w:sz w:val="16"/>
        <w:szCs w:val="14"/>
      </w:rPr>
      <w:fldChar w:fldCharType="begin"/>
    </w:r>
    <w:r w:rsidRPr="00450424">
      <w:rPr>
        <w:rFonts w:asciiTheme="majorHAnsi" w:hAnsiTheme="majorHAnsi"/>
        <w:color w:val="4A442A" w:themeColor="background2" w:themeShade="40"/>
        <w:sz w:val="16"/>
        <w:szCs w:val="14"/>
      </w:rPr>
      <w:instrText xml:space="preserve"> PAGE   \* MERGEFORMAT </w:instrText>
    </w:r>
    <w:r w:rsidRPr="00450424">
      <w:rPr>
        <w:rFonts w:asciiTheme="majorHAnsi" w:hAnsiTheme="majorHAnsi"/>
        <w:color w:val="4A442A" w:themeColor="background2" w:themeShade="40"/>
        <w:sz w:val="16"/>
        <w:szCs w:val="14"/>
      </w:rPr>
      <w:fldChar w:fldCharType="separate"/>
    </w:r>
    <w:r w:rsidR="00020837">
      <w:rPr>
        <w:rFonts w:asciiTheme="majorHAnsi" w:hAnsiTheme="majorHAnsi"/>
        <w:noProof/>
        <w:color w:val="4A442A" w:themeColor="background2" w:themeShade="40"/>
        <w:sz w:val="16"/>
        <w:szCs w:val="14"/>
      </w:rPr>
      <w:t>105</w:t>
    </w:r>
    <w:r w:rsidRPr="00450424">
      <w:rPr>
        <w:rFonts w:asciiTheme="majorHAnsi" w:hAnsiTheme="majorHAnsi"/>
        <w:noProof/>
        <w:color w:val="4A442A" w:themeColor="background2" w:themeShade="40"/>
        <w:sz w:val="16"/>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5D90" w14:textId="049758A6" w:rsidR="001D7FF7" w:rsidRPr="0004096F" w:rsidRDefault="001D7FF7" w:rsidP="0004096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tblGrid>
    <w:tr w:rsidR="001D7FF7" w14:paraId="231F0052" w14:textId="77777777" w:rsidTr="00B70540">
      <w:tc>
        <w:tcPr>
          <w:tcW w:w="7128" w:type="dxa"/>
        </w:tcPr>
        <w:p w14:paraId="3687F003" w14:textId="4EA04AFE" w:rsidR="001D7FF7" w:rsidRPr="0004096F" w:rsidRDefault="001D7FF7" w:rsidP="002C41EC">
          <w:pPr>
            <w:pStyle w:val="Header"/>
            <w:pBdr>
              <w:top w:val="nil"/>
            </w:pBdr>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4"/>
            </w:rPr>
            <w:t xml:space="preserve">Chapter 4: </w:t>
          </w:r>
          <w:r w:rsidRPr="00450424">
            <w:rPr>
              <w:rFonts w:asciiTheme="majorHAnsi" w:hAnsiTheme="majorHAnsi"/>
              <w:color w:val="4A442A" w:themeColor="background2" w:themeShade="40"/>
              <w:sz w:val="16"/>
              <w:szCs w:val="14"/>
            </w:rPr>
            <w:t xml:space="preserve"> </w:t>
          </w:r>
          <w:r w:rsidRPr="0004096F">
            <w:rPr>
              <w:rFonts w:asciiTheme="majorHAnsi" w:hAnsiTheme="majorHAnsi"/>
              <w:color w:val="4A442A" w:themeColor="background2" w:themeShade="40"/>
              <w:sz w:val="16"/>
              <w:szCs w:val="14"/>
            </w:rPr>
            <w:t xml:space="preserve">Internally Displaced Persons, Migrants, Asylum-Seekers, Refugees, </w:t>
          </w:r>
          <w:r>
            <w:rPr>
              <w:rFonts w:asciiTheme="majorHAnsi" w:hAnsiTheme="majorHAnsi"/>
              <w:color w:val="4A442A" w:themeColor="background2" w:themeShade="40"/>
              <w:sz w:val="16"/>
              <w:szCs w:val="14"/>
            </w:rPr>
            <w:br/>
          </w:r>
          <w:r w:rsidRPr="0004096F">
            <w:rPr>
              <w:rFonts w:asciiTheme="majorHAnsi" w:hAnsiTheme="majorHAnsi"/>
              <w:color w:val="4A442A" w:themeColor="background2" w:themeShade="40"/>
              <w:sz w:val="16"/>
              <w:szCs w:val="14"/>
            </w:rPr>
            <w:t>and Victims of human</w:t>
          </w:r>
          <w:r>
            <w:rPr>
              <w:rFonts w:asciiTheme="majorHAnsi" w:hAnsiTheme="majorHAnsi"/>
              <w:color w:val="4A442A" w:themeColor="background2" w:themeShade="40"/>
              <w:sz w:val="16"/>
              <w:szCs w:val="14"/>
            </w:rPr>
            <w:t xml:space="preserve"> </w:t>
          </w:r>
          <w:r w:rsidRPr="0004096F">
            <w:rPr>
              <w:rFonts w:asciiTheme="majorHAnsi" w:hAnsiTheme="majorHAnsi"/>
              <w:color w:val="4A442A" w:themeColor="background2" w:themeShade="40"/>
              <w:sz w:val="16"/>
              <w:szCs w:val="14"/>
            </w:rPr>
            <w:t>Trafficking in Guatemala</w:t>
          </w:r>
        </w:p>
      </w:tc>
      <w:tc>
        <w:tcPr>
          <w:tcW w:w="720" w:type="dxa"/>
        </w:tcPr>
        <w:p w14:paraId="180F6EEC" w14:textId="77777777" w:rsidR="001D7FF7" w:rsidRDefault="001D7FF7" w:rsidP="00B70540">
          <w:pPr>
            <w:pStyle w:val="Header"/>
            <w:spacing w:after="420"/>
            <w:jc w:val="right"/>
            <w:rPr>
              <w:rFonts w:asciiTheme="majorHAnsi" w:hAnsiTheme="majorHAnsi"/>
              <w:color w:val="4A442A" w:themeColor="background2" w:themeShade="40"/>
              <w:sz w:val="16"/>
              <w:szCs w:val="16"/>
            </w:rPr>
          </w:pP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020837">
            <w:rPr>
              <w:rFonts w:asciiTheme="majorHAnsi" w:hAnsiTheme="majorHAnsi"/>
              <w:noProof/>
              <w:color w:val="4A442A" w:themeColor="background2" w:themeShade="40"/>
              <w:sz w:val="16"/>
              <w:szCs w:val="16"/>
            </w:rPr>
            <w:t>129</w:t>
          </w:r>
          <w:r w:rsidRPr="00CC6E15">
            <w:rPr>
              <w:rFonts w:asciiTheme="majorHAnsi" w:hAnsiTheme="majorHAnsi"/>
              <w:noProof/>
              <w:color w:val="4A442A" w:themeColor="background2" w:themeShade="40"/>
              <w:sz w:val="16"/>
              <w:szCs w:val="16"/>
            </w:rPr>
            <w:fldChar w:fldCharType="end"/>
          </w:r>
        </w:p>
      </w:tc>
    </w:tr>
  </w:tbl>
  <w:p w14:paraId="18D4CB4C"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F02F"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BEC7" w14:textId="0EF5D07B" w:rsidR="001D7FF7" w:rsidRDefault="001D7FF7" w:rsidP="00D61BE3">
    <w:pPr>
      <w:pStyle w:val="Header"/>
      <w:tabs>
        <w:tab w:val="clear" w:pos="4320"/>
        <w:tab w:val="clear" w:pos="8640"/>
        <w:tab w:val="center" w:pos="7128"/>
      </w:tabs>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4"/>
      </w:rPr>
      <w:t xml:space="preserve">Chapter 5: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Situation of Freedom of Expression</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020837">
      <w:rPr>
        <w:rFonts w:asciiTheme="majorHAnsi" w:hAnsiTheme="majorHAnsi"/>
        <w:noProof/>
        <w:color w:val="4A442A" w:themeColor="background2" w:themeShade="40"/>
        <w:sz w:val="16"/>
        <w:szCs w:val="16"/>
      </w:rPr>
      <w:t>169</w:t>
    </w:r>
    <w:r w:rsidRPr="00CC6E15">
      <w:rPr>
        <w:rFonts w:asciiTheme="majorHAnsi" w:hAnsiTheme="majorHAnsi"/>
        <w:noProof/>
        <w:color w:val="4A442A" w:themeColor="background2" w:themeShade="40"/>
        <w:sz w:val="16"/>
        <w:szCs w:val="16"/>
      </w:rPr>
      <w:fldChar w:fldCharType="end"/>
    </w:r>
  </w:p>
  <w:p w14:paraId="569392CB"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586E" w14:textId="77777777" w:rsidR="00A57BFC" w:rsidRDefault="00A57BF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58264"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35C5" w14:textId="115B55E2" w:rsidR="001D7FF7" w:rsidRDefault="001D7FF7" w:rsidP="00D61BE3">
    <w:pPr>
      <w:pStyle w:val="Header"/>
      <w:tabs>
        <w:tab w:val="clear" w:pos="4320"/>
        <w:tab w:val="clear" w:pos="8640"/>
        <w:tab w:val="center" w:pos="7128"/>
      </w:tabs>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4"/>
      </w:rPr>
      <w:t xml:space="preserve">Chapter 6: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Citizen Security</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020837">
      <w:rPr>
        <w:rFonts w:asciiTheme="majorHAnsi" w:hAnsiTheme="majorHAnsi"/>
        <w:noProof/>
        <w:color w:val="4A442A" w:themeColor="background2" w:themeShade="40"/>
        <w:sz w:val="16"/>
        <w:szCs w:val="16"/>
      </w:rPr>
      <w:t>195</w:t>
    </w:r>
    <w:r w:rsidRPr="00CC6E15">
      <w:rPr>
        <w:rFonts w:asciiTheme="majorHAnsi" w:hAnsiTheme="majorHAnsi"/>
        <w:noProof/>
        <w:color w:val="4A442A" w:themeColor="background2" w:themeShade="40"/>
        <w:sz w:val="16"/>
        <w:szCs w:val="16"/>
      </w:rPr>
      <w:fldChar w:fldCharType="end"/>
    </w:r>
  </w:p>
  <w:p w14:paraId="0257A701"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1691E"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95A8" w14:textId="032E96B3" w:rsidR="001D7FF7" w:rsidRDefault="001D7FF7" w:rsidP="00D61BE3">
    <w:pPr>
      <w:pStyle w:val="Header"/>
      <w:tabs>
        <w:tab w:val="clear" w:pos="4320"/>
        <w:tab w:val="clear" w:pos="8640"/>
        <w:tab w:val="center" w:pos="7128"/>
      </w:tabs>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4"/>
      </w:rPr>
      <w:t xml:space="preserve">Chapter 7: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Situation of Persons under State Custody</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020837">
      <w:rPr>
        <w:rFonts w:asciiTheme="majorHAnsi" w:hAnsiTheme="majorHAnsi"/>
        <w:noProof/>
        <w:color w:val="4A442A" w:themeColor="background2" w:themeShade="40"/>
        <w:sz w:val="16"/>
        <w:szCs w:val="16"/>
      </w:rPr>
      <w:t>237</w:t>
    </w:r>
    <w:r w:rsidRPr="00CC6E15">
      <w:rPr>
        <w:rFonts w:asciiTheme="majorHAnsi" w:hAnsiTheme="majorHAnsi"/>
        <w:noProof/>
        <w:color w:val="4A442A" w:themeColor="background2" w:themeShade="40"/>
        <w:sz w:val="16"/>
        <w:szCs w:val="16"/>
      </w:rPr>
      <w:fldChar w:fldCharType="end"/>
    </w:r>
  </w:p>
  <w:p w14:paraId="000A5B33"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A107"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3BB7" w14:textId="13C2C524" w:rsidR="001D7FF7" w:rsidRDefault="001D7FF7" w:rsidP="00D61BE3">
    <w:pPr>
      <w:pStyle w:val="Header"/>
      <w:tabs>
        <w:tab w:val="clear" w:pos="4320"/>
        <w:tab w:val="clear" w:pos="8640"/>
        <w:tab w:val="center" w:pos="7128"/>
      </w:tabs>
      <w:spacing w:after="420"/>
      <w:jc w:val="right"/>
      <w:rPr>
        <w:rFonts w:asciiTheme="majorHAnsi" w:hAnsiTheme="majorHAnsi"/>
        <w:color w:val="4A442A" w:themeColor="background2" w:themeShade="40"/>
        <w:sz w:val="16"/>
        <w:szCs w:val="16"/>
      </w:rPr>
    </w:pPr>
    <w:r>
      <w:rPr>
        <w:rFonts w:asciiTheme="majorHAnsi" w:hAnsiTheme="majorHAnsi"/>
        <w:color w:val="4A442A" w:themeColor="background2" w:themeShade="40"/>
        <w:sz w:val="16"/>
        <w:szCs w:val="14"/>
      </w:rPr>
      <w:t xml:space="preserve">Chapter 8: </w:t>
    </w:r>
    <w:r w:rsidRPr="00450424">
      <w:rPr>
        <w:rFonts w:asciiTheme="majorHAnsi" w:hAnsiTheme="majorHAnsi"/>
        <w:color w:val="4A442A" w:themeColor="background2" w:themeShade="40"/>
        <w:sz w:val="16"/>
        <w:szCs w:val="14"/>
      </w:rPr>
      <w:t xml:space="preserve"> </w:t>
    </w:r>
    <w:r>
      <w:rPr>
        <w:rFonts w:asciiTheme="majorHAnsi" w:hAnsiTheme="majorHAnsi"/>
        <w:color w:val="4A442A" w:themeColor="background2" w:themeShade="40"/>
        <w:sz w:val="16"/>
        <w:szCs w:val="14"/>
      </w:rPr>
      <w:t>Conclusions and Recommendations</w:t>
    </w:r>
    <w:r w:rsidRPr="00CC6E15">
      <w:rPr>
        <w:rFonts w:asciiTheme="majorHAnsi" w:hAnsiTheme="majorHAnsi"/>
        <w:color w:val="4A442A" w:themeColor="background2" w:themeShade="40"/>
        <w:sz w:val="16"/>
        <w:szCs w:val="16"/>
      </w:rPr>
      <w:t xml:space="preserve">| </w:t>
    </w:r>
    <w:r w:rsidRPr="00CC6E15">
      <w:rPr>
        <w:rFonts w:asciiTheme="majorHAnsi" w:hAnsiTheme="majorHAnsi"/>
        <w:color w:val="4A442A" w:themeColor="background2" w:themeShade="40"/>
        <w:sz w:val="16"/>
        <w:szCs w:val="16"/>
      </w:rPr>
      <w:fldChar w:fldCharType="begin"/>
    </w:r>
    <w:r w:rsidRPr="00CC6E15">
      <w:rPr>
        <w:rFonts w:asciiTheme="majorHAnsi" w:hAnsiTheme="majorHAnsi"/>
        <w:color w:val="4A442A" w:themeColor="background2" w:themeShade="40"/>
        <w:sz w:val="16"/>
        <w:szCs w:val="16"/>
      </w:rPr>
      <w:instrText xml:space="preserve"> PAGE   \* MERGEFORMAT </w:instrText>
    </w:r>
    <w:r w:rsidRPr="00CC6E15">
      <w:rPr>
        <w:rFonts w:asciiTheme="majorHAnsi" w:hAnsiTheme="majorHAnsi"/>
        <w:color w:val="4A442A" w:themeColor="background2" w:themeShade="40"/>
        <w:sz w:val="16"/>
        <w:szCs w:val="16"/>
      </w:rPr>
      <w:fldChar w:fldCharType="separate"/>
    </w:r>
    <w:r w:rsidR="00020837">
      <w:rPr>
        <w:rFonts w:asciiTheme="majorHAnsi" w:hAnsiTheme="majorHAnsi"/>
        <w:noProof/>
        <w:color w:val="4A442A" w:themeColor="background2" w:themeShade="40"/>
        <w:sz w:val="16"/>
        <w:szCs w:val="16"/>
      </w:rPr>
      <w:t>251</w:t>
    </w:r>
    <w:r w:rsidRPr="00CC6E15">
      <w:rPr>
        <w:rFonts w:asciiTheme="majorHAnsi" w:hAnsiTheme="majorHAnsi"/>
        <w:noProof/>
        <w:color w:val="4A442A" w:themeColor="background2" w:themeShade="40"/>
        <w:sz w:val="16"/>
        <w:szCs w:val="16"/>
      </w:rPr>
      <w:fldChar w:fldCharType="end"/>
    </w:r>
  </w:p>
  <w:p w14:paraId="1E83A13E" w14:textId="77777777" w:rsidR="001D7FF7" w:rsidRPr="0004096F" w:rsidRDefault="001D7FF7" w:rsidP="0004096F">
    <w:pPr>
      <w:pStyle w:val="Header"/>
      <w:tabs>
        <w:tab w:val="left" w:pos="4292"/>
        <w:tab w:val="right" w:pos="7632"/>
      </w:tabs>
      <w:jc w:val="right"/>
      <w:rPr>
        <w:rFonts w:asciiTheme="majorHAnsi" w:hAnsiTheme="majorHAnsi"/>
        <w:color w:val="4A442A" w:themeColor="background2" w:themeShade="40"/>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4F87" w14:textId="77777777" w:rsidR="00A57BFC" w:rsidRDefault="00A57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4D57" w14:textId="77777777" w:rsidR="001D7FF7" w:rsidRDefault="001D7F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94731" w14:textId="77777777" w:rsidR="001D7FF7" w:rsidRPr="00BD573B" w:rsidRDefault="001D7FF7" w:rsidP="00493B79">
    <w:pPr>
      <w:pStyle w:val="Header"/>
      <w:spacing w:after="640"/>
      <w:jc w:val="right"/>
      <w:rPr>
        <w:color w:val="4A442A"/>
        <w:sz w:val="16"/>
        <w:szCs w:val="14"/>
      </w:rPr>
    </w:pPr>
    <w:r w:rsidRPr="00BD573B">
      <w:rPr>
        <w:color w:val="4A442A"/>
        <w:sz w:val="16"/>
        <w:szCs w:val="14"/>
      </w:rPr>
      <w:t>Chapter 1:</w:t>
    </w:r>
    <w:r w:rsidRPr="00BD573B">
      <w:rPr>
        <w:sz w:val="28"/>
      </w:rPr>
      <w:t xml:space="preserve"> </w:t>
    </w:r>
    <w:r w:rsidRPr="00BD573B">
      <w:rPr>
        <w:color w:val="4A442A"/>
        <w:sz w:val="16"/>
        <w:szCs w:val="14"/>
      </w:rPr>
      <w:t xml:space="preserve">Executive Summary and Introduction | </w:t>
    </w:r>
    <w:r w:rsidRPr="00BD573B">
      <w:rPr>
        <w:color w:val="4A442A"/>
        <w:sz w:val="16"/>
        <w:szCs w:val="14"/>
      </w:rPr>
      <w:fldChar w:fldCharType="begin"/>
    </w:r>
    <w:r w:rsidRPr="00BD573B">
      <w:rPr>
        <w:color w:val="4A442A"/>
        <w:sz w:val="16"/>
        <w:szCs w:val="14"/>
      </w:rPr>
      <w:instrText xml:space="preserve"> PAGE   \* MERGEFORMAT </w:instrText>
    </w:r>
    <w:r w:rsidRPr="00BD573B">
      <w:rPr>
        <w:color w:val="4A442A"/>
        <w:sz w:val="16"/>
        <w:szCs w:val="14"/>
      </w:rPr>
      <w:fldChar w:fldCharType="separate"/>
    </w:r>
    <w:r w:rsidR="00A57BFC">
      <w:rPr>
        <w:noProof/>
        <w:color w:val="4A442A"/>
        <w:sz w:val="16"/>
        <w:szCs w:val="14"/>
      </w:rPr>
      <w:t>3</w:t>
    </w:r>
    <w:r w:rsidRPr="00BD573B">
      <w:rPr>
        <w:noProof/>
        <w:color w:val="4A442A"/>
        <w:sz w:val="16"/>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2D86" w14:textId="77777777" w:rsidR="001D7FF7" w:rsidRPr="00AE7934" w:rsidRDefault="001D7FF7" w:rsidP="00493B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3B489" w14:textId="77777777" w:rsidR="001D7FF7" w:rsidRDefault="001D7F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1425" w14:textId="1448F274" w:rsidR="001D7FF7" w:rsidRPr="00450424" w:rsidRDefault="001D7FF7" w:rsidP="00450424">
    <w:pPr>
      <w:pStyle w:val="Header"/>
      <w:spacing w:after="480"/>
      <w:ind w:left="360" w:hanging="360"/>
      <w:rPr>
        <w:noProof/>
        <w:color w:val="4A442A" w:themeColor="background2" w:themeShade="40"/>
        <w:sz w:val="16"/>
        <w:szCs w:val="14"/>
      </w:rPr>
    </w:pPr>
    <w:r w:rsidRPr="00450424">
      <w:rPr>
        <w:color w:val="4A442A" w:themeColor="background2" w:themeShade="40"/>
        <w:sz w:val="16"/>
        <w:szCs w:val="14"/>
      </w:rPr>
      <w:fldChar w:fldCharType="begin"/>
    </w:r>
    <w:r w:rsidRPr="00450424">
      <w:rPr>
        <w:color w:val="4A442A" w:themeColor="background2" w:themeShade="40"/>
        <w:sz w:val="16"/>
        <w:szCs w:val="14"/>
      </w:rPr>
      <w:instrText xml:space="preserve"> PAGE   \* MERGEFORMAT </w:instrText>
    </w:r>
    <w:r w:rsidRPr="00450424">
      <w:rPr>
        <w:color w:val="4A442A" w:themeColor="background2" w:themeShade="40"/>
        <w:sz w:val="16"/>
        <w:szCs w:val="14"/>
      </w:rPr>
      <w:fldChar w:fldCharType="separate"/>
    </w:r>
    <w:r w:rsidR="00020837">
      <w:rPr>
        <w:noProof/>
        <w:color w:val="4A442A" w:themeColor="background2" w:themeShade="40"/>
        <w:sz w:val="16"/>
        <w:szCs w:val="14"/>
      </w:rPr>
      <w:t>16</w:t>
    </w:r>
    <w:r w:rsidRPr="00450424">
      <w:rPr>
        <w:noProof/>
        <w:color w:val="4A442A" w:themeColor="background2" w:themeShade="40"/>
        <w:sz w:val="16"/>
        <w:szCs w:val="14"/>
      </w:rPr>
      <w:fldChar w:fldCharType="end"/>
    </w:r>
    <w:r w:rsidRPr="00450424">
      <w:rPr>
        <w:noProof/>
        <w:color w:val="4A442A" w:themeColor="background2" w:themeShade="40"/>
        <w:sz w:val="16"/>
        <w:szCs w:val="14"/>
      </w:rPr>
      <w:t xml:space="preserve"> | Situation of Human Righsts in Guatemala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C28F" w14:textId="77777777" w:rsidR="001D7FF7" w:rsidRPr="00450424" w:rsidRDefault="001D7FF7" w:rsidP="00450424">
    <w:pPr>
      <w:pStyle w:val="Header"/>
      <w:tabs>
        <w:tab w:val="left" w:pos="4292"/>
        <w:tab w:val="right" w:pos="7632"/>
      </w:tabs>
      <w:spacing w:after="480"/>
      <w:jc w:val="right"/>
      <w:rPr>
        <w:rFonts w:asciiTheme="majorHAnsi" w:hAnsiTheme="majorHAnsi"/>
        <w:color w:val="4A442A" w:themeColor="background2" w:themeShade="40"/>
        <w:sz w:val="16"/>
        <w:szCs w:val="14"/>
      </w:rPr>
    </w:pPr>
    <w:r w:rsidRPr="00450424">
      <w:rPr>
        <w:rFonts w:asciiTheme="majorHAnsi" w:hAnsiTheme="majorHAnsi"/>
        <w:color w:val="4A442A" w:themeColor="background2" w:themeShade="40"/>
        <w:sz w:val="16"/>
        <w:szCs w:val="14"/>
      </w:rPr>
      <w:t xml:space="preserve">Executive Summary | </w:t>
    </w:r>
    <w:r w:rsidRPr="00450424">
      <w:rPr>
        <w:rFonts w:asciiTheme="majorHAnsi" w:hAnsiTheme="majorHAnsi"/>
        <w:color w:val="4A442A" w:themeColor="background2" w:themeShade="40"/>
        <w:sz w:val="16"/>
        <w:szCs w:val="14"/>
      </w:rPr>
      <w:fldChar w:fldCharType="begin"/>
    </w:r>
    <w:r w:rsidRPr="00450424">
      <w:rPr>
        <w:rFonts w:asciiTheme="majorHAnsi" w:hAnsiTheme="majorHAnsi"/>
        <w:color w:val="4A442A" w:themeColor="background2" w:themeShade="40"/>
        <w:sz w:val="16"/>
        <w:szCs w:val="14"/>
      </w:rPr>
      <w:instrText xml:space="preserve"> PAGE   \* MERGEFORMAT </w:instrText>
    </w:r>
    <w:r w:rsidRPr="00450424">
      <w:rPr>
        <w:rFonts w:asciiTheme="majorHAnsi" w:hAnsiTheme="majorHAnsi"/>
        <w:color w:val="4A442A" w:themeColor="background2" w:themeShade="40"/>
        <w:sz w:val="16"/>
        <w:szCs w:val="14"/>
      </w:rPr>
      <w:fldChar w:fldCharType="separate"/>
    </w:r>
    <w:r w:rsidR="00020837">
      <w:rPr>
        <w:rFonts w:asciiTheme="majorHAnsi" w:hAnsiTheme="majorHAnsi"/>
        <w:noProof/>
        <w:color w:val="4A442A" w:themeColor="background2" w:themeShade="40"/>
        <w:sz w:val="16"/>
        <w:szCs w:val="14"/>
      </w:rPr>
      <w:t>13</w:t>
    </w:r>
    <w:r w:rsidRPr="00450424">
      <w:rPr>
        <w:rFonts w:asciiTheme="majorHAnsi" w:hAnsiTheme="majorHAnsi"/>
        <w:noProof/>
        <w:color w:val="4A442A" w:themeColor="background2" w:themeShade="40"/>
        <w:sz w:val="16"/>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0C"/>
    <w:multiLevelType w:val="hybridMultilevel"/>
    <w:tmpl w:val="FE189344"/>
    <w:lvl w:ilvl="0" w:tplc="0D7EDFEC">
      <w:start w:val="1"/>
      <w:numFmt w:val="upperLetter"/>
      <w:pStyle w:val="Heading2"/>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549CE"/>
    <w:multiLevelType w:val="hybridMultilevel"/>
    <w:tmpl w:val="4704EE9C"/>
    <w:lvl w:ilvl="0" w:tplc="4F18D6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0124A"/>
    <w:multiLevelType w:val="hybridMultilevel"/>
    <w:tmpl w:val="B79A22F0"/>
    <w:lvl w:ilvl="0" w:tplc="9252F1AC">
      <w:start w:val="1"/>
      <w:numFmt w:val="decimal"/>
      <w:pStyle w:val="Heading3"/>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nsid w:val="291B2820"/>
    <w:multiLevelType w:val="hybridMultilevel"/>
    <w:tmpl w:val="B0D8D386"/>
    <w:lvl w:ilvl="0" w:tplc="4F18D696">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804DF6"/>
    <w:multiLevelType w:val="hybridMultilevel"/>
    <w:tmpl w:val="1F2C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C3263"/>
    <w:multiLevelType w:val="hybridMultilevel"/>
    <w:tmpl w:val="3FDAEAD0"/>
    <w:lvl w:ilvl="0" w:tplc="CE1A3964">
      <w:start w:val="1"/>
      <w:numFmt w:val="decimal"/>
      <w:pStyle w:val="Numberedparagraphs"/>
      <w:lvlText w:val="%1."/>
      <w:lvlJc w:val="left"/>
      <w:pPr>
        <w:ind w:left="360" w:hanging="360"/>
      </w:pPr>
      <w:rPr>
        <w:rFonts w:ascii="Cambria" w:hAnsi="Cambria" w:hint="default"/>
        <w:b w:val="0"/>
        <w:i w:val="0"/>
        <w:color w:val="808080" w:themeColor="background1" w:themeShade="80"/>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A6C72"/>
    <w:multiLevelType w:val="hybridMultilevel"/>
    <w:tmpl w:val="E6B65FCA"/>
    <w:lvl w:ilvl="0" w:tplc="4AF8772C">
      <w:start w:val="1"/>
      <w:numFmt w:val="lowerRoman"/>
      <w:pStyle w:val="Style5"/>
      <w:lvlText w:val="%1."/>
      <w:lvlJc w:val="left"/>
      <w:pPr>
        <w:ind w:left="20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06D4825"/>
    <w:multiLevelType w:val="hybridMultilevel"/>
    <w:tmpl w:val="4DCAD4A2"/>
    <w:lvl w:ilvl="0" w:tplc="F7E6EDF6">
      <w:start w:val="1"/>
      <w:numFmt w:val="lowerLetter"/>
      <w:pStyle w:val="Heading4"/>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5"/>
  </w:num>
  <w:num w:numId="3">
    <w:abstractNumId w:val="0"/>
  </w:num>
  <w:num w:numId="4">
    <w:abstractNumId w:val="6"/>
  </w:num>
  <w:num w:numId="5">
    <w:abstractNumId w:val="7"/>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0"/>
    <w:lvlOverride w:ilvl="0">
      <w:startOverride w:val="1"/>
    </w:lvlOverride>
  </w:num>
  <w:num w:numId="15">
    <w:abstractNumId w:val="2"/>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0"/>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0"/>
    <w:lvlOverride w:ilvl="0">
      <w:startOverride w:val="1"/>
    </w:lvlOverride>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doNotTrackMoves/>
  <w:defaultTabStop w:val="720"/>
  <w:evenAndOddHeaders/>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20"/>
    <w:rsid w:val="00000DEB"/>
    <w:rsid w:val="000016B9"/>
    <w:rsid w:val="000017AD"/>
    <w:rsid w:val="00001CFE"/>
    <w:rsid w:val="00001D26"/>
    <w:rsid w:val="00002155"/>
    <w:rsid w:val="000026F5"/>
    <w:rsid w:val="00002913"/>
    <w:rsid w:val="00002985"/>
    <w:rsid w:val="000033F6"/>
    <w:rsid w:val="00004BC3"/>
    <w:rsid w:val="000051CB"/>
    <w:rsid w:val="0000563E"/>
    <w:rsid w:val="00005980"/>
    <w:rsid w:val="000063AE"/>
    <w:rsid w:val="00007E7C"/>
    <w:rsid w:val="000108FD"/>
    <w:rsid w:val="00010D0F"/>
    <w:rsid w:val="00011B3B"/>
    <w:rsid w:val="00012923"/>
    <w:rsid w:val="000130DB"/>
    <w:rsid w:val="000143FD"/>
    <w:rsid w:val="00014541"/>
    <w:rsid w:val="00014D19"/>
    <w:rsid w:val="000150B5"/>
    <w:rsid w:val="000150F5"/>
    <w:rsid w:val="000154CF"/>
    <w:rsid w:val="00015CD4"/>
    <w:rsid w:val="000174E9"/>
    <w:rsid w:val="00017535"/>
    <w:rsid w:val="0001759F"/>
    <w:rsid w:val="00017CBF"/>
    <w:rsid w:val="00020837"/>
    <w:rsid w:val="000218E8"/>
    <w:rsid w:val="000224EC"/>
    <w:rsid w:val="00023407"/>
    <w:rsid w:val="00023A3F"/>
    <w:rsid w:val="000240C7"/>
    <w:rsid w:val="0002449C"/>
    <w:rsid w:val="000245DD"/>
    <w:rsid w:val="0002512C"/>
    <w:rsid w:val="000264E2"/>
    <w:rsid w:val="00026A2D"/>
    <w:rsid w:val="00026B67"/>
    <w:rsid w:val="00027992"/>
    <w:rsid w:val="00027F0D"/>
    <w:rsid w:val="000304C1"/>
    <w:rsid w:val="00030557"/>
    <w:rsid w:val="00030A81"/>
    <w:rsid w:val="00030CBD"/>
    <w:rsid w:val="00031D15"/>
    <w:rsid w:val="000321C0"/>
    <w:rsid w:val="000323F9"/>
    <w:rsid w:val="0003297C"/>
    <w:rsid w:val="000334CF"/>
    <w:rsid w:val="00033BA5"/>
    <w:rsid w:val="00034627"/>
    <w:rsid w:val="00034962"/>
    <w:rsid w:val="00035651"/>
    <w:rsid w:val="000357A8"/>
    <w:rsid w:val="00035F0B"/>
    <w:rsid w:val="0003618F"/>
    <w:rsid w:val="00036803"/>
    <w:rsid w:val="000374EB"/>
    <w:rsid w:val="0003793C"/>
    <w:rsid w:val="000401C3"/>
    <w:rsid w:val="0004096F"/>
    <w:rsid w:val="0004112C"/>
    <w:rsid w:val="0004138A"/>
    <w:rsid w:val="00041435"/>
    <w:rsid w:val="00041540"/>
    <w:rsid w:val="00042198"/>
    <w:rsid w:val="000423EC"/>
    <w:rsid w:val="00042861"/>
    <w:rsid w:val="000431D2"/>
    <w:rsid w:val="00043418"/>
    <w:rsid w:val="00046185"/>
    <w:rsid w:val="00046383"/>
    <w:rsid w:val="0004659F"/>
    <w:rsid w:val="00046E3A"/>
    <w:rsid w:val="00047503"/>
    <w:rsid w:val="00047E6C"/>
    <w:rsid w:val="00050101"/>
    <w:rsid w:val="00050560"/>
    <w:rsid w:val="000506DF"/>
    <w:rsid w:val="0005183C"/>
    <w:rsid w:val="00052C82"/>
    <w:rsid w:val="0005328F"/>
    <w:rsid w:val="000532AD"/>
    <w:rsid w:val="000533B0"/>
    <w:rsid w:val="000541FD"/>
    <w:rsid w:val="000550D9"/>
    <w:rsid w:val="0005537F"/>
    <w:rsid w:val="00055464"/>
    <w:rsid w:val="000559B4"/>
    <w:rsid w:val="000568DC"/>
    <w:rsid w:val="00057051"/>
    <w:rsid w:val="0005787D"/>
    <w:rsid w:val="00060301"/>
    <w:rsid w:val="000603A3"/>
    <w:rsid w:val="00061265"/>
    <w:rsid w:val="00061CD8"/>
    <w:rsid w:val="0006202F"/>
    <w:rsid w:val="00062031"/>
    <w:rsid w:val="00062063"/>
    <w:rsid w:val="00062764"/>
    <w:rsid w:val="000627B2"/>
    <w:rsid w:val="000627D1"/>
    <w:rsid w:val="00062C39"/>
    <w:rsid w:val="000630AB"/>
    <w:rsid w:val="00063223"/>
    <w:rsid w:val="0006376D"/>
    <w:rsid w:val="000639AE"/>
    <w:rsid w:val="00063AA3"/>
    <w:rsid w:val="00064143"/>
    <w:rsid w:val="000643B6"/>
    <w:rsid w:val="00064D3D"/>
    <w:rsid w:val="0006543D"/>
    <w:rsid w:val="000658F3"/>
    <w:rsid w:val="00065DDD"/>
    <w:rsid w:val="00066119"/>
    <w:rsid w:val="0006612C"/>
    <w:rsid w:val="00066578"/>
    <w:rsid w:val="000670CB"/>
    <w:rsid w:val="000671EB"/>
    <w:rsid w:val="00067202"/>
    <w:rsid w:val="000677E6"/>
    <w:rsid w:val="00067BF0"/>
    <w:rsid w:val="00073A0E"/>
    <w:rsid w:val="00073C59"/>
    <w:rsid w:val="000748B9"/>
    <w:rsid w:val="000756BF"/>
    <w:rsid w:val="00075A81"/>
    <w:rsid w:val="00076170"/>
    <w:rsid w:val="0007756B"/>
    <w:rsid w:val="000776E5"/>
    <w:rsid w:val="00077D95"/>
    <w:rsid w:val="00081722"/>
    <w:rsid w:val="000827D1"/>
    <w:rsid w:val="00082A3D"/>
    <w:rsid w:val="0008337D"/>
    <w:rsid w:val="00083D0D"/>
    <w:rsid w:val="00083F4B"/>
    <w:rsid w:val="00083FB3"/>
    <w:rsid w:val="00084127"/>
    <w:rsid w:val="00084153"/>
    <w:rsid w:val="000846E4"/>
    <w:rsid w:val="000850F1"/>
    <w:rsid w:val="0008561B"/>
    <w:rsid w:val="0008566B"/>
    <w:rsid w:val="000858A0"/>
    <w:rsid w:val="00085E7C"/>
    <w:rsid w:val="000860A9"/>
    <w:rsid w:val="000869ED"/>
    <w:rsid w:val="00087049"/>
    <w:rsid w:val="000877BE"/>
    <w:rsid w:val="00087AA2"/>
    <w:rsid w:val="00087B50"/>
    <w:rsid w:val="00087C8A"/>
    <w:rsid w:val="000904A4"/>
    <w:rsid w:val="00090B5E"/>
    <w:rsid w:val="00090C7F"/>
    <w:rsid w:val="0009192D"/>
    <w:rsid w:val="00091DE4"/>
    <w:rsid w:val="00092EDD"/>
    <w:rsid w:val="00093012"/>
    <w:rsid w:val="000936E7"/>
    <w:rsid w:val="0009383C"/>
    <w:rsid w:val="000940F4"/>
    <w:rsid w:val="00094529"/>
    <w:rsid w:val="00094CE0"/>
    <w:rsid w:val="00094E75"/>
    <w:rsid w:val="000953C0"/>
    <w:rsid w:val="00096252"/>
    <w:rsid w:val="000962D9"/>
    <w:rsid w:val="0009775B"/>
    <w:rsid w:val="00097F0E"/>
    <w:rsid w:val="000A0373"/>
    <w:rsid w:val="000A0F5D"/>
    <w:rsid w:val="000A17D5"/>
    <w:rsid w:val="000A28A8"/>
    <w:rsid w:val="000A300C"/>
    <w:rsid w:val="000A3BC4"/>
    <w:rsid w:val="000A4321"/>
    <w:rsid w:val="000A4455"/>
    <w:rsid w:val="000A4589"/>
    <w:rsid w:val="000A566E"/>
    <w:rsid w:val="000A5B16"/>
    <w:rsid w:val="000A7CAE"/>
    <w:rsid w:val="000A7F9B"/>
    <w:rsid w:val="000B0389"/>
    <w:rsid w:val="000B129F"/>
    <w:rsid w:val="000B14EC"/>
    <w:rsid w:val="000B1796"/>
    <w:rsid w:val="000B1BEE"/>
    <w:rsid w:val="000B22B4"/>
    <w:rsid w:val="000B4368"/>
    <w:rsid w:val="000B4584"/>
    <w:rsid w:val="000B46A7"/>
    <w:rsid w:val="000B4FCA"/>
    <w:rsid w:val="000B53C9"/>
    <w:rsid w:val="000B5674"/>
    <w:rsid w:val="000B5AB0"/>
    <w:rsid w:val="000B5C1F"/>
    <w:rsid w:val="000B5CB9"/>
    <w:rsid w:val="000B6281"/>
    <w:rsid w:val="000B6462"/>
    <w:rsid w:val="000B648A"/>
    <w:rsid w:val="000B64CD"/>
    <w:rsid w:val="000B71F5"/>
    <w:rsid w:val="000B757D"/>
    <w:rsid w:val="000B774F"/>
    <w:rsid w:val="000C03CC"/>
    <w:rsid w:val="000C1CBD"/>
    <w:rsid w:val="000C1D44"/>
    <w:rsid w:val="000C2A77"/>
    <w:rsid w:val="000C3426"/>
    <w:rsid w:val="000C35C0"/>
    <w:rsid w:val="000C3AEB"/>
    <w:rsid w:val="000C4BD7"/>
    <w:rsid w:val="000C5130"/>
    <w:rsid w:val="000C5158"/>
    <w:rsid w:val="000C562B"/>
    <w:rsid w:val="000C5AF0"/>
    <w:rsid w:val="000C6087"/>
    <w:rsid w:val="000C621B"/>
    <w:rsid w:val="000C641A"/>
    <w:rsid w:val="000C70B2"/>
    <w:rsid w:val="000C74C6"/>
    <w:rsid w:val="000C777C"/>
    <w:rsid w:val="000D06E6"/>
    <w:rsid w:val="000D0A46"/>
    <w:rsid w:val="000D0D7D"/>
    <w:rsid w:val="000D0DD3"/>
    <w:rsid w:val="000D10BE"/>
    <w:rsid w:val="000D1586"/>
    <w:rsid w:val="000D1F07"/>
    <w:rsid w:val="000D2218"/>
    <w:rsid w:val="000D2281"/>
    <w:rsid w:val="000D244E"/>
    <w:rsid w:val="000D257E"/>
    <w:rsid w:val="000D2A69"/>
    <w:rsid w:val="000D54BA"/>
    <w:rsid w:val="000D5639"/>
    <w:rsid w:val="000D6AF0"/>
    <w:rsid w:val="000D6CE6"/>
    <w:rsid w:val="000D6DD4"/>
    <w:rsid w:val="000D74BB"/>
    <w:rsid w:val="000D7E27"/>
    <w:rsid w:val="000E053E"/>
    <w:rsid w:val="000E06E7"/>
    <w:rsid w:val="000E07D0"/>
    <w:rsid w:val="000E0D2E"/>
    <w:rsid w:val="000E1000"/>
    <w:rsid w:val="000E14B2"/>
    <w:rsid w:val="000E17FD"/>
    <w:rsid w:val="000E244E"/>
    <w:rsid w:val="000E2B30"/>
    <w:rsid w:val="000E2D53"/>
    <w:rsid w:val="000E3312"/>
    <w:rsid w:val="000E39B2"/>
    <w:rsid w:val="000E3ACE"/>
    <w:rsid w:val="000E3B67"/>
    <w:rsid w:val="000E44CD"/>
    <w:rsid w:val="000E5DA7"/>
    <w:rsid w:val="000E67EB"/>
    <w:rsid w:val="000E6E97"/>
    <w:rsid w:val="000E7595"/>
    <w:rsid w:val="000E7B74"/>
    <w:rsid w:val="000E7C86"/>
    <w:rsid w:val="000F00DE"/>
    <w:rsid w:val="000F0214"/>
    <w:rsid w:val="000F0633"/>
    <w:rsid w:val="000F0BF9"/>
    <w:rsid w:val="000F1FED"/>
    <w:rsid w:val="000F2201"/>
    <w:rsid w:val="000F269D"/>
    <w:rsid w:val="000F27FA"/>
    <w:rsid w:val="000F2D99"/>
    <w:rsid w:val="000F3877"/>
    <w:rsid w:val="000F3DC7"/>
    <w:rsid w:val="000F3FB9"/>
    <w:rsid w:val="000F46EA"/>
    <w:rsid w:val="000F4830"/>
    <w:rsid w:val="000F491E"/>
    <w:rsid w:val="000F4B75"/>
    <w:rsid w:val="000F4BAA"/>
    <w:rsid w:val="000F513D"/>
    <w:rsid w:val="000F5459"/>
    <w:rsid w:val="000F5572"/>
    <w:rsid w:val="000F5911"/>
    <w:rsid w:val="000F5AE3"/>
    <w:rsid w:val="000F5B74"/>
    <w:rsid w:val="000F5EEC"/>
    <w:rsid w:val="000F609F"/>
    <w:rsid w:val="000F6F73"/>
    <w:rsid w:val="000F71A7"/>
    <w:rsid w:val="000F7B23"/>
    <w:rsid w:val="00100551"/>
    <w:rsid w:val="0010075F"/>
    <w:rsid w:val="00100F68"/>
    <w:rsid w:val="00101D24"/>
    <w:rsid w:val="00101F9F"/>
    <w:rsid w:val="0010213A"/>
    <w:rsid w:val="001025C8"/>
    <w:rsid w:val="00102B29"/>
    <w:rsid w:val="00103567"/>
    <w:rsid w:val="00104F4B"/>
    <w:rsid w:val="0010710F"/>
    <w:rsid w:val="00107457"/>
    <w:rsid w:val="00107BEC"/>
    <w:rsid w:val="00107EF1"/>
    <w:rsid w:val="00110578"/>
    <w:rsid w:val="00110FF6"/>
    <w:rsid w:val="001113E6"/>
    <w:rsid w:val="0011274B"/>
    <w:rsid w:val="00112B9A"/>
    <w:rsid w:val="00112BC3"/>
    <w:rsid w:val="00112D02"/>
    <w:rsid w:val="00112EB3"/>
    <w:rsid w:val="001130B5"/>
    <w:rsid w:val="0011314B"/>
    <w:rsid w:val="0011327B"/>
    <w:rsid w:val="001133FF"/>
    <w:rsid w:val="00113DDF"/>
    <w:rsid w:val="00114C3A"/>
    <w:rsid w:val="00114F30"/>
    <w:rsid w:val="00114FA4"/>
    <w:rsid w:val="0011528D"/>
    <w:rsid w:val="00115EEB"/>
    <w:rsid w:val="00115FBA"/>
    <w:rsid w:val="00116394"/>
    <w:rsid w:val="00116429"/>
    <w:rsid w:val="00116B44"/>
    <w:rsid w:val="001178DC"/>
    <w:rsid w:val="00117D22"/>
    <w:rsid w:val="00120EE8"/>
    <w:rsid w:val="001216A5"/>
    <w:rsid w:val="0012175C"/>
    <w:rsid w:val="00122311"/>
    <w:rsid w:val="00122BBF"/>
    <w:rsid w:val="00122CE4"/>
    <w:rsid w:val="00123CEF"/>
    <w:rsid w:val="00123EA2"/>
    <w:rsid w:val="00124AC0"/>
    <w:rsid w:val="00125986"/>
    <w:rsid w:val="00125ADB"/>
    <w:rsid w:val="00125C90"/>
    <w:rsid w:val="00125CD5"/>
    <w:rsid w:val="00125E99"/>
    <w:rsid w:val="0012665C"/>
    <w:rsid w:val="00126EC8"/>
    <w:rsid w:val="00126F44"/>
    <w:rsid w:val="0012735E"/>
    <w:rsid w:val="0013006D"/>
    <w:rsid w:val="00132523"/>
    <w:rsid w:val="001326D2"/>
    <w:rsid w:val="001340F6"/>
    <w:rsid w:val="001343B1"/>
    <w:rsid w:val="001346A3"/>
    <w:rsid w:val="001353A5"/>
    <w:rsid w:val="001356F1"/>
    <w:rsid w:val="00135848"/>
    <w:rsid w:val="00135910"/>
    <w:rsid w:val="00135D49"/>
    <w:rsid w:val="00135EDD"/>
    <w:rsid w:val="00135F61"/>
    <w:rsid w:val="00136390"/>
    <w:rsid w:val="001367DB"/>
    <w:rsid w:val="001400AE"/>
    <w:rsid w:val="00140CAA"/>
    <w:rsid w:val="00140D10"/>
    <w:rsid w:val="001410D4"/>
    <w:rsid w:val="001412EB"/>
    <w:rsid w:val="0014145D"/>
    <w:rsid w:val="00143233"/>
    <w:rsid w:val="001441B1"/>
    <w:rsid w:val="00144210"/>
    <w:rsid w:val="00145257"/>
    <w:rsid w:val="001453EE"/>
    <w:rsid w:val="001454C5"/>
    <w:rsid w:val="00145789"/>
    <w:rsid w:val="0014599C"/>
    <w:rsid w:val="00145DCC"/>
    <w:rsid w:val="00145F76"/>
    <w:rsid w:val="001461AA"/>
    <w:rsid w:val="00146458"/>
    <w:rsid w:val="00146589"/>
    <w:rsid w:val="001467B4"/>
    <w:rsid w:val="00146C24"/>
    <w:rsid w:val="001470F8"/>
    <w:rsid w:val="00147791"/>
    <w:rsid w:val="00147D4C"/>
    <w:rsid w:val="00150220"/>
    <w:rsid w:val="00150BA7"/>
    <w:rsid w:val="00150DBF"/>
    <w:rsid w:val="00150FE5"/>
    <w:rsid w:val="00151166"/>
    <w:rsid w:val="001533B0"/>
    <w:rsid w:val="00153566"/>
    <w:rsid w:val="001538A9"/>
    <w:rsid w:val="001539D1"/>
    <w:rsid w:val="001541A6"/>
    <w:rsid w:val="0015496E"/>
    <w:rsid w:val="00154DA0"/>
    <w:rsid w:val="00154DA8"/>
    <w:rsid w:val="00154DCA"/>
    <w:rsid w:val="00155974"/>
    <w:rsid w:val="00155ADD"/>
    <w:rsid w:val="001563CD"/>
    <w:rsid w:val="00156564"/>
    <w:rsid w:val="001566BD"/>
    <w:rsid w:val="00156940"/>
    <w:rsid w:val="00157B4C"/>
    <w:rsid w:val="001612B2"/>
    <w:rsid w:val="00161572"/>
    <w:rsid w:val="00161BD0"/>
    <w:rsid w:val="0016253C"/>
    <w:rsid w:val="00162A1D"/>
    <w:rsid w:val="0016307C"/>
    <w:rsid w:val="0016317D"/>
    <w:rsid w:val="00163872"/>
    <w:rsid w:val="001639F3"/>
    <w:rsid w:val="00163DF1"/>
    <w:rsid w:val="00164DB1"/>
    <w:rsid w:val="00165EB4"/>
    <w:rsid w:val="001663FB"/>
    <w:rsid w:val="00166662"/>
    <w:rsid w:val="00166DDC"/>
    <w:rsid w:val="00166FCA"/>
    <w:rsid w:val="00167233"/>
    <w:rsid w:val="00167314"/>
    <w:rsid w:val="0016744E"/>
    <w:rsid w:val="001702A9"/>
    <w:rsid w:val="00170866"/>
    <w:rsid w:val="001717BA"/>
    <w:rsid w:val="00171AD9"/>
    <w:rsid w:val="001720F4"/>
    <w:rsid w:val="00172986"/>
    <w:rsid w:val="00172C2C"/>
    <w:rsid w:val="00173C93"/>
    <w:rsid w:val="00173DEB"/>
    <w:rsid w:val="00174594"/>
    <w:rsid w:val="0017465B"/>
    <w:rsid w:val="001748F5"/>
    <w:rsid w:val="00174C67"/>
    <w:rsid w:val="00175041"/>
    <w:rsid w:val="001750E3"/>
    <w:rsid w:val="00175456"/>
    <w:rsid w:val="00175C00"/>
    <w:rsid w:val="00175D20"/>
    <w:rsid w:val="00176291"/>
    <w:rsid w:val="00176484"/>
    <w:rsid w:val="0017667F"/>
    <w:rsid w:val="00176ACE"/>
    <w:rsid w:val="001803C0"/>
    <w:rsid w:val="001804FB"/>
    <w:rsid w:val="00180DEC"/>
    <w:rsid w:val="0018212D"/>
    <w:rsid w:val="0018327A"/>
    <w:rsid w:val="001838A3"/>
    <w:rsid w:val="00183BA6"/>
    <w:rsid w:val="00185213"/>
    <w:rsid w:val="0018557D"/>
    <w:rsid w:val="00185B32"/>
    <w:rsid w:val="00185E12"/>
    <w:rsid w:val="00186425"/>
    <w:rsid w:val="001867F0"/>
    <w:rsid w:val="00186AD7"/>
    <w:rsid w:val="00186C9E"/>
    <w:rsid w:val="0019002F"/>
    <w:rsid w:val="0019013E"/>
    <w:rsid w:val="001904F4"/>
    <w:rsid w:val="001907DC"/>
    <w:rsid w:val="0019170F"/>
    <w:rsid w:val="00191885"/>
    <w:rsid w:val="001918A8"/>
    <w:rsid w:val="00193386"/>
    <w:rsid w:val="00193447"/>
    <w:rsid w:val="00193C68"/>
    <w:rsid w:val="00193D4E"/>
    <w:rsid w:val="001944CF"/>
    <w:rsid w:val="00194CA1"/>
    <w:rsid w:val="001958BC"/>
    <w:rsid w:val="00195D94"/>
    <w:rsid w:val="00196884"/>
    <w:rsid w:val="001973DA"/>
    <w:rsid w:val="0019770F"/>
    <w:rsid w:val="001A00BC"/>
    <w:rsid w:val="001A099D"/>
    <w:rsid w:val="001A1293"/>
    <w:rsid w:val="001A15A7"/>
    <w:rsid w:val="001A1BF9"/>
    <w:rsid w:val="001A2B12"/>
    <w:rsid w:val="001A2F4D"/>
    <w:rsid w:val="001A2FA7"/>
    <w:rsid w:val="001A301B"/>
    <w:rsid w:val="001A422A"/>
    <w:rsid w:val="001A44D6"/>
    <w:rsid w:val="001A4CF7"/>
    <w:rsid w:val="001A531E"/>
    <w:rsid w:val="001A5E2D"/>
    <w:rsid w:val="001A5F9F"/>
    <w:rsid w:val="001A66BA"/>
    <w:rsid w:val="001A7042"/>
    <w:rsid w:val="001A76DD"/>
    <w:rsid w:val="001A7F91"/>
    <w:rsid w:val="001B019A"/>
    <w:rsid w:val="001B0278"/>
    <w:rsid w:val="001B0501"/>
    <w:rsid w:val="001B0948"/>
    <w:rsid w:val="001B0EB0"/>
    <w:rsid w:val="001B0ED6"/>
    <w:rsid w:val="001B17EB"/>
    <w:rsid w:val="001B2957"/>
    <w:rsid w:val="001B3560"/>
    <w:rsid w:val="001B3BFB"/>
    <w:rsid w:val="001B4136"/>
    <w:rsid w:val="001B42CE"/>
    <w:rsid w:val="001B4723"/>
    <w:rsid w:val="001B4955"/>
    <w:rsid w:val="001B4CE2"/>
    <w:rsid w:val="001B5C4E"/>
    <w:rsid w:val="001B67B3"/>
    <w:rsid w:val="001B701F"/>
    <w:rsid w:val="001B71DA"/>
    <w:rsid w:val="001B764F"/>
    <w:rsid w:val="001B79DE"/>
    <w:rsid w:val="001B7B81"/>
    <w:rsid w:val="001C0684"/>
    <w:rsid w:val="001C0703"/>
    <w:rsid w:val="001C076F"/>
    <w:rsid w:val="001C1CA9"/>
    <w:rsid w:val="001C34C3"/>
    <w:rsid w:val="001C36EA"/>
    <w:rsid w:val="001C394F"/>
    <w:rsid w:val="001C5A16"/>
    <w:rsid w:val="001C5EEC"/>
    <w:rsid w:val="001C6B38"/>
    <w:rsid w:val="001D0EF0"/>
    <w:rsid w:val="001D149D"/>
    <w:rsid w:val="001D167E"/>
    <w:rsid w:val="001D189F"/>
    <w:rsid w:val="001D1C02"/>
    <w:rsid w:val="001D2776"/>
    <w:rsid w:val="001D2A16"/>
    <w:rsid w:val="001D2E01"/>
    <w:rsid w:val="001D315B"/>
    <w:rsid w:val="001D3160"/>
    <w:rsid w:val="001D36BC"/>
    <w:rsid w:val="001D4284"/>
    <w:rsid w:val="001D586A"/>
    <w:rsid w:val="001D5EFE"/>
    <w:rsid w:val="001D5F3B"/>
    <w:rsid w:val="001D696D"/>
    <w:rsid w:val="001D6AE0"/>
    <w:rsid w:val="001D71E4"/>
    <w:rsid w:val="001D7411"/>
    <w:rsid w:val="001D7FAB"/>
    <w:rsid w:val="001D7FF7"/>
    <w:rsid w:val="001E04E3"/>
    <w:rsid w:val="001E06AE"/>
    <w:rsid w:val="001E0A67"/>
    <w:rsid w:val="001E123F"/>
    <w:rsid w:val="001E1BE9"/>
    <w:rsid w:val="001E21AB"/>
    <w:rsid w:val="001E29CD"/>
    <w:rsid w:val="001E2DAC"/>
    <w:rsid w:val="001E3079"/>
    <w:rsid w:val="001E3099"/>
    <w:rsid w:val="001E3103"/>
    <w:rsid w:val="001E37F7"/>
    <w:rsid w:val="001E3BE0"/>
    <w:rsid w:val="001E3EF6"/>
    <w:rsid w:val="001E41EC"/>
    <w:rsid w:val="001E43A8"/>
    <w:rsid w:val="001E527F"/>
    <w:rsid w:val="001E55EE"/>
    <w:rsid w:val="001E5BFA"/>
    <w:rsid w:val="001E5C2D"/>
    <w:rsid w:val="001E637F"/>
    <w:rsid w:val="001E650A"/>
    <w:rsid w:val="001E667A"/>
    <w:rsid w:val="001E6C44"/>
    <w:rsid w:val="001E7641"/>
    <w:rsid w:val="001F0F3B"/>
    <w:rsid w:val="001F135E"/>
    <w:rsid w:val="001F1D14"/>
    <w:rsid w:val="001F22EE"/>
    <w:rsid w:val="001F23D2"/>
    <w:rsid w:val="001F26B2"/>
    <w:rsid w:val="001F4213"/>
    <w:rsid w:val="001F4253"/>
    <w:rsid w:val="001F45EF"/>
    <w:rsid w:val="001F4760"/>
    <w:rsid w:val="001F500F"/>
    <w:rsid w:val="001F516D"/>
    <w:rsid w:val="001F56AF"/>
    <w:rsid w:val="001F575C"/>
    <w:rsid w:val="001F5909"/>
    <w:rsid w:val="001F5C5F"/>
    <w:rsid w:val="001F662A"/>
    <w:rsid w:val="001F6B09"/>
    <w:rsid w:val="001F744A"/>
    <w:rsid w:val="001F7F81"/>
    <w:rsid w:val="00200409"/>
    <w:rsid w:val="002004AD"/>
    <w:rsid w:val="00200814"/>
    <w:rsid w:val="00200BE9"/>
    <w:rsid w:val="00200F02"/>
    <w:rsid w:val="00201564"/>
    <w:rsid w:val="00201CA1"/>
    <w:rsid w:val="00201D4C"/>
    <w:rsid w:val="00201E62"/>
    <w:rsid w:val="00202596"/>
    <w:rsid w:val="002025F8"/>
    <w:rsid w:val="00203804"/>
    <w:rsid w:val="00203C41"/>
    <w:rsid w:val="00203DEC"/>
    <w:rsid w:val="00203EA3"/>
    <w:rsid w:val="00204096"/>
    <w:rsid w:val="002044CC"/>
    <w:rsid w:val="00205536"/>
    <w:rsid w:val="00205882"/>
    <w:rsid w:val="00205A15"/>
    <w:rsid w:val="00206388"/>
    <w:rsid w:val="002069F7"/>
    <w:rsid w:val="00206A82"/>
    <w:rsid w:val="00207E88"/>
    <w:rsid w:val="002102C5"/>
    <w:rsid w:val="002114F6"/>
    <w:rsid w:val="00212625"/>
    <w:rsid w:val="00212992"/>
    <w:rsid w:val="00212B2C"/>
    <w:rsid w:val="00213066"/>
    <w:rsid w:val="002155A8"/>
    <w:rsid w:val="002159C1"/>
    <w:rsid w:val="00215A6A"/>
    <w:rsid w:val="0021646A"/>
    <w:rsid w:val="00220043"/>
    <w:rsid w:val="00220491"/>
    <w:rsid w:val="002205A6"/>
    <w:rsid w:val="002208A4"/>
    <w:rsid w:val="0022148E"/>
    <w:rsid w:val="00221946"/>
    <w:rsid w:val="00221981"/>
    <w:rsid w:val="00222499"/>
    <w:rsid w:val="002224F6"/>
    <w:rsid w:val="0022259F"/>
    <w:rsid w:val="00223D49"/>
    <w:rsid w:val="0022539B"/>
    <w:rsid w:val="00225718"/>
    <w:rsid w:val="0022572C"/>
    <w:rsid w:val="002266AC"/>
    <w:rsid w:val="00226D50"/>
    <w:rsid w:val="00227303"/>
    <w:rsid w:val="00227947"/>
    <w:rsid w:val="002308E7"/>
    <w:rsid w:val="00232846"/>
    <w:rsid w:val="002330E6"/>
    <w:rsid w:val="00233BD1"/>
    <w:rsid w:val="00233DE7"/>
    <w:rsid w:val="00234540"/>
    <w:rsid w:val="002357A5"/>
    <w:rsid w:val="00236642"/>
    <w:rsid w:val="002366B3"/>
    <w:rsid w:val="00236F80"/>
    <w:rsid w:val="00237BEB"/>
    <w:rsid w:val="00237C3B"/>
    <w:rsid w:val="002405EC"/>
    <w:rsid w:val="0024094E"/>
    <w:rsid w:val="00241178"/>
    <w:rsid w:val="0024133E"/>
    <w:rsid w:val="00241D7B"/>
    <w:rsid w:val="00241E21"/>
    <w:rsid w:val="002426C0"/>
    <w:rsid w:val="0024297E"/>
    <w:rsid w:val="002429AF"/>
    <w:rsid w:val="0024319E"/>
    <w:rsid w:val="0024352B"/>
    <w:rsid w:val="00243682"/>
    <w:rsid w:val="002439B5"/>
    <w:rsid w:val="00243AFE"/>
    <w:rsid w:val="002448E3"/>
    <w:rsid w:val="002452DE"/>
    <w:rsid w:val="00245CF4"/>
    <w:rsid w:val="002462CC"/>
    <w:rsid w:val="002501A3"/>
    <w:rsid w:val="002502BB"/>
    <w:rsid w:val="002503C4"/>
    <w:rsid w:val="002505EB"/>
    <w:rsid w:val="00250B9B"/>
    <w:rsid w:val="00250BC9"/>
    <w:rsid w:val="00251A46"/>
    <w:rsid w:val="00252AB8"/>
    <w:rsid w:val="002539E6"/>
    <w:rsid w:val="00253A31"/>
    <w:rsid w:val="00253BC9"/>
    <w:rsid w:val="00253C7D"/>
    <w:rsid w:val="00253F3C"/>
    <w:rsid w:val="002540D2"/>
    <w:rsid w:val="00254742"/>
    <w:rsid w:val="00255687"/>
    <w:rsid w:val="00255A26"/>
    <w:rsid w:val="0025618E"/>
    <w:rsid w:val="00256B99"/>
    <w:rsid w:val="00256DDF"/>
    <w:rsid w:val="0025736B"/>
    <w:rsid w:val="002573CB"/>
    <w:rsid w:val="00257895"/>
    <w:rsid w:val="002579A1"/>
    <w:rsid w:val="00257EAE"/>
    <w:rsid w:val="00261281"/>
    <w:rsid w:val="00261781"/>
    <w:rsid w:val="00262296"/>
    <w:rsid w:val="00263582"/>
    <w:rsid w:val="00263977"/>
    <w:rsid w:val="00263D66"/>
    <w:rsid w:val="00264399"/>
    <w:rsid w:val="00264F37"/>
    <w:rsid w:val="00265891"/>
    <w:rsid w:val="00266024"/>
    <w:rsid w:val="00266BAB"/>
    <w:rsid w:val="00266E55"/>
    <w:rsid w:val="0026716D"/>
    <w:rsid w:val="002671E2"/>
    <w:rsid w:val="00267345"/>
    <w:rsid w:val="00270822"/>
    <w:rsid w:val="0027107D"/>
    <w:rsid w:val="00271748"/>
    <w:rsid w:val="00271C2D"/>
    <w:rsid w:val="00271D18"/>
    <w:rsid w:val="00271FE9"/>
    <w:rsid w:val="00272271"/>
    <w:rsid w:val="00272BB9"/>
    <w:rsid w:val="00272D8B"/>
    <w:rsid w:val="00273D42"/>
    <w:rsid w:val="0027407F"/>
    <w:rsid w:val="0027451E"/>
    <w:rsid w:val="002748FC"/>
    <w:rsid w:val="00275036"/>
    <w:rsid w:val="00275D4A"/>
    <w:rsid w:val="00276086"/>
    <w:rsid w:val="002762D9"/>
    <w:rsid w:val="002776BD"/>
    <w:rsid w:val="002808C8"/>
    <w:rsid w:val="00281263"/>
    <w:rsid w:val="00281431"/>
    <w:rsid w:val="00281567"/>
    <w:rsid w:val="002817B9"/>
    <w:rsid w:val="002823BE"/>
    <w:rsid w:val="0028250F"/>
    <w:rsid w:val="00282CF4"/>
    <w:rsid w:val="0028317F"/>
    <w:rsid w:val="0028340D"/>
    <w:rsid w:val="0028356F"/>
    <w:rsid w:val="00283732"/>
    <w:rsid w:val="0028374C"/>
    <w:rsid w:val="002838D7"/>
    <w:rsid w:val="00283E34"/>
    <w:rsid w:val="00284F47"/>
    <w:rsid w:val="0028543B"/>
    <w:rsid w:val="00285856"/>
    <w:rsid w:val="0028633E"/>
    <w:rsid w:val="00286612"/>
    <w:rsid w:val="0028663B"/>
    <w:rsid w:val="00286D8A"/>
    <w:rsid w:val="00286EEF"/>
    <w:rsid w:val="002871BF"/>
    <w:rsid w:val="00287292"/>
    <w:rsid w:val="0028799B"/>
    <w:rsid w:val="00287E1F"/>
    <w:rsid w:val="00290F97"/>
    <w:rsid w:val="00291379"/>
    <w:rsid w:val="00291A8E"/>
    <w:rsid w:val="00291E41"/>
    <w:rsid w:val="00292097"/>
    <w:rsid w:val="00292761"/>
    <w:rsid w:val="002927EF"/>
    <w:rsid w:val="00292D05"/>
    <w:rsid w:val="00293D1A"/>
    <w:rsid w:val="00293F3E"/>
    <w:rsid w:val="00294612"/>
    <w:rsid w:val="00295202"/>
    <w:rsid w:val="0029681F"/>
    <w:rsid w:val="00296AEA"/>
    <w:rsid w:val="00296B3D"/>
    <w:rsid w:val="00296D53"/>
    <w:rsid w:val="00297049"/>
    <w:rsid w:val="0029718C"/>
    <w:rsid w:val="00297234"/>
    <w:rsid w:val="002A0259"/>
    <w:rsid w:val="002A0339"/>
    <w:rsid w:val="002A06EC"/>
    <w:rsid w:val="002A11C2"/>
    <w:rsid w:val="002A1536"/>
    <w:rsid w:val="002A17FF"/>
    <w:rsid w:val="002A3147"/>
    <w:rsid w:val="002A332B"/>
    <w:rsid w:val="002A3C7A"/>
    <w:rsid w:val="002A3DAB"/>
    <w:rsid w:val="002A4494"/>
    <w:rsid w:val="002A454F"/>
    <w:rsid w:val="002A4626"/>
    <w:rsid w:val="002A4721"/>
    <w:rsid w:val="002A4D85"/>
    <w:rsid w:val="002A50A0"/>
    <w:rsid w:val="002A5315"/>
    <w:rsid w:val="002A5323"/>
    <w:rsid w:val="002A548C"/>
    <w:rsid w:val="002A5C1C"/>
    <w:rsid w:val="002A5E75"/>
    <w:rsid w:val="002A6799"/>
    <w:rsid w:val="002A6992"/>
    <w:rsid w:val="002A72E2"/>
    <w:rsid w:val="002A7300"/>
    <w:rsid w:val="002A7E49"/>
    <w:rsid w:val="002B009D"/>
    <w:rsid w:val="002B071D"/>
    <w:rsid w:val="002B08F2"/>
    <w:rsid w:val="002B0B44"/>
    <w:rsid w:val="002B1F28"/>
    <w:rsid w:val="002B2A40"/>
    <w:rsid w:val="002B31D7"/>
    <w:rsid w:val="002B3D42"/>
    <w:rsid w:val="002B41FE"/>
    <w:rsid w:val="002B499F"/>
    <w:rsid w:val="002B5073"/>
    <w:rsid w:val="002B5C48"/>
    <w:rsid w:val="002B5D16"/>
    <w:rsid w:val="002B5F2A"/>
    <w:rsid w:val="002B6802"/>
    <w:rsid w:val="002B7E18"/>
    <w:rsid w:val="002C0AE3"/>
    <w:rsid w:val="002C2090"/>
    <w:rsid w:val="002C2A31"/>
    <w:rsid w:val="002C318C"/>
    <w:rsid w:val="002C41EC"/>
    <w:rsid w:val="002C51FF"/>
    <w:rsid w:val="002C5962"/>
    <w:rsid w:val="002C59AF"/>
    <w:rsid w:val="002C5D0D"/>
    <w:rsid w:val="002C70AE"/>
    <w:rsid w:val="002C71BE"/>
    <w:rsid w:val="002C7BDD"/>
    <w:rsid w:val="002D0118"/>
    <w:rsid w:val="002D04EF"/>
    <w:rsid w:val="002D09C6"/>
    <w:rsid w:val="002D1467"/>
    <w:rsid w:val="002D1EB8"/>
    <w:rsid w:val="002D4120"/>
    <w:rsid w:val="002D53E4"/>
    <w:rsid w:val="002D5598"/>
    <w:rsid w:val="002D5B76"/>
    <w:rsid w:val="002D5EDA"/>
    <w:rsid w:val="002D72DC"/>
    <w:rsid w:val="002E05FB"/>
    <w:rsid w:val="002E064C"/>
    <w:rsid w:val="002E0CD7"/>
    <w:rsid w:val="002E18AB"/>
    <w:rsid w:val="002E19DC"/>
    <w:rsid w:val="002E1DC3"/>
    <w:rsid w:val="002E20B4"/>
    <w:rsid w:val="002E229F"/>
    <w:rsid w:val="002E290C"/>
    <w:rsid w:val="002E3177"/>
    <w:rsid w:val="002E3CDB"/>
    <w:rsid w:val="002E4085"/>
    <w:rsid w:val="002E4B2A"/>
    <w:rsid w:val="002E4D8E"/>
    <w:rsid w:val="002E63E8"/>
    <w:rsid w:val="002E6854"/>
    <w:rsid w:val="002E6F42"/>
    <w:rsid w:val="002E705E"/>
    <w:rsid w:val="002E7257"/>
    <w:rsid w:val="002E7580"/>
    <w:rsid w:val="002E7682"/>
    <w:rsid w:val="002E78E9"/>
    <w:rsid w:val="002F0048"/>
    <w:rsid w:val="002F1083"/>
    <w:rsid w:val="002F1102"/>
    <w:rsid w:val="002F1B1F"/>
    <w:rsid w:val="002F1C96"/>
    <w:rsid w:val="002F1D40"/>
    <w:rsid w:val="002F29F6"/>
    <w:rsid w:val="002F2C1F"/>
    <w:rsid w:val="002F3F46"/>
    <w:rsid w:val="002F405E"/>
    <w:rsid w:val="002F4B9F"/>
    <w:rsid w:val="002F4DC7"/>
    <w:rsid w:val="002F52CC"/>
    <w:rsid w:val="002F56B3"/>
    <w:rsid w:val="002F6175"/>
    <w:rsid w:val="002F67B9"/>
    <w:rsid w:val="002F7075"/>
    <w:rsid w:val="002F74C0"/>
    <w:rsid w:val="002F7890"/>
    <w:rsid w:val="002F7C42"/>
    <w:rsid w:val="002F7EB4"/>
    <w:rsid w:val="002F7F93"/>
    <w:rsid w:val="00300E15"/>
    <w:rsid w:val="0030108E"/>
    <w:rsid w:val="00301ED4"/>
    <w:rsid w:val="00302720"/>
    <w:rsid w:val="003032EB"/>
    <w:rsid w:val="003032F4"/>
    <w:rsid w:val="00303912"/>
    <w:rsid w:val="00303BCB"/>
    <w:rsid w:val="0030432D"/>
    <w:rsid w:val="003047A2"/>
    <w:rsid w:val="00304AB4"/>
    <w:rsid w:val="00304C2C"/>
    <w:rsid w:val="00304C58"/>
    <w:rsid w:val="00304FE5"/>
    <w:rsid w:val="003057BE"/>
    <w:rsid w:val="00305C08"/>
    <w:rsid w:val="00305FFD"/>
    <w:rsid w:val="00306612"/>
    <w:rsid w:val="003067A1"/>
    <w:rsid w:val="00306EEB"/>
    <w:rsid w:val="0030785D"/>
    <w:rsid w:val="00307A91"/>
    <w:rsid w:val="00307C21"/>
    <w:rsid w:val="003103F0"/>
    <w:rsid w:val="0031158B"/>
    <w:rsid w:val="003116F9"/>
    <w:rsid w:val="003119F8"/>
    <w:rsid w:val="00311DB7"/>
    <w:rsid w:val="00314CFC"/>
    <w:rsid w:val="00315DAF"/>
    <w:rsid w:val="00315E41"/>
    <w:rsid w:val="00315F04"/>
    <w:rsid w:val="003168F2"/>
    <w:rsid w:val="00321602"/>
    <w:rsid w:val="00321680"/>
    <w:rsid w:val="00321CFE"/>
    <w:rsid w:val="00321D0C"/>
    <w:rsid w:val="00321F38"/>
    <w:rsid w:val="003222AF"/>
    <w:rsid w:val="00322433"/>
    <w:rsid w:val="0032256D"/>
    <w:rsid w:val="003227F0"/>
    <w:rsid w:val="00322974"/>
    <w:rsid w:val="003233A5"/>
    <w:rsid w:val="0032594C"/>
    <w:rsid w:val="00325E11"/>
    <w:rsid w:val="0032628D"/>
    <w:rsid w:val="00327199"/>
    <w:rsid w:val="003277C5"/>
    <w:rsid w:val="00327881"/>
    <w:rsid w:val="003304A8"/>
    <w:rsid w:val="00330ECC"/>
    <w:rsid w:val="00331140"/>
    <w:rsid w:val="00331C2A"/>
    <w:rsid w:val="00331DED"/>
    <w:rsid w:val="00332351"/>
    <w:rsid w:val="003326DD"/>
    <w:rsid w:val="00333581"/>
    <w:rsid w:val="00333E1B"/>
    <w:rsid w:val="0033462A"/>
    <w:rsid w:val="00334818"/>
    <w:rsid w:val="00334F31"/>
    <w:rsid w:val="003359B2"/>
    <w:rsid w:val="003362AD"/>
    <w:rsid w:val="00336734"/>
    <w:rsid w:val="003370AB"/>
    <w:rsid w:val="00337814"/>
    <w:rsid w:val="00337960"/>
    <w:rsid w:val="003419D7"/>
    <w:rsid w:val="003422F8"/>
    <w:rsid w:val="00342789"/>
    <w:rsid w:val="0034289B"/>
    <w:rsid w:val="00342E8E"/>
    <w:rsid w:val="00342F12"/>
    <w:rsid w:val="00343435"/>
    <w:rsid w:val="003437CE"/>
    <w:rsid w:val="00343982"/>
    <w:rsid w:val="0034424C"/>
    <w:rsid w:val="00344342"/>
    <w:rsid w:val="0034509E"/>
    <w:rsid w:val="00345259"/>
    <w:rsid w:val="00345AB2"/>
    <w:rsid w:val="00345FBE"/>
    <w:rsid w:val="003466C9"/>
    <w:rsid w:val="003474C4"/>
    <w:rsid w:val="00347BB4"/>
    <w:rsid w:val="00350332"/>
    <w:rsid w:val="003505CE"/>
    <w:rsid w:val="00350A16"/>
    <w:rsid w:val="00350D1C"/>
    <w:rsid w:val="00351671"/>
    <w:rsid w:val="003520B3"/>
    <w:rsid w:val="0035277E"/>
    <w:rsid w:val="003529C7"/>
    <w:rsid w:val="003531DF"/>
    <w:rsid w:val="00353F5A"/>
    <w:rsid w:val="00354D5D"/>
    <w:rsid w:val="00355094"/>
    <w:rsid w:val="003553CC"/>
    <w:rsid w:val="00355F19"/>
    <w:rsid w:val="00356D4E"/>
    <w:rsid w:val="00357BFC"/>
    <w:rsid w:val="00357E30"/>
    <w:rsid w:val="00361912"/>
    <w:rsid w:val="0036199B"/>
    <w:rsid w:val="00361BED"/>
    <w:rsid w:val="00362240"/>
    <w:rsid w:val="00364D79"/>
    <w:rsid w:val="003651AA"/>
    <w:rsid w:val="00365345"/>
    <w:rsid w:val="00365397"/>
    <w:rsid w:val="0036587E"/>
    <w:rsid w:val="00366680"/>
    <w:rsid w:val="00367D7D"/>
    <w:rsid w:val="00367EF4"/>
    <w:rsid w:val="00370D64"/>
    <w:rsid w:val="00371275"/>
    <w:rsid w:val="00371F40"/>
    <w:rsid w:val="00372602"/>
    <w:rsid w:val="00372A2C"/>
    <w:rsid w:val="00372EFC"/>
    <w:rsid w:val="00374B48"/>
    <w:rsid w:val="00374BA2"/>
    <w:rsid w:val="00374CD5"/>
    <w:rsid w:val="00374D4C"/>
    <w:rsid w:val="00374EA8"/>
    <w:rsid w:val="00375A6A"/>
    <w:rsid w:val="00376266"/>
    <w:rsid w:val="00376AC1"/>
    <w:rsid w:val="00376CA8"/>
    <w:rsid w:val="00377267"/>
    <w:rsid w:val="003774B8"/>
    <w:rsid w:val="003802EB"/>
    <w:rsid w:val="00380559"/>
    <w:rsid w:val="003806FF"/>
    <w:rsid w:val="003810C3"/>
    <w:rsid w:val="00381CF6"/>
    <w:rsid w:val="00382982"/>
    <w:rsid w:val="00382B3E"/>
    <w:rsid w:val="00382CD5"/>
    <w:rsid w:val="00382D70"/>
    <w:rsid w:val="00383068"/>
    <w:rsid w:val="00383658"/>
    <w:rsid w:val="00383D7E"/>
    <w:rsid w:val="00384128"/>
    <w:rsid w:val="003843BD"/>
    <w:rsid w:val="00385180"/>
    <w:rsid w:val="00385558"/>
    <w:rsid w:val="00385C9E"/>
    <w:rsid w:val="00385E76"/>
    <w:rsid w:val="003860CA"/>
    <w:rsid w:val="003875C0"/>
    <w:rsid w:val="00390956"/>
    <w:rsid w:val="00390C6E"/>
    <w:rsid w:val="0039104C"/>
    <w:rsid w:val="00391119"/>
    <w:rsid w:val="003915E9"/>
    <w:rsid w:val="003919F4"/>
    <w:rsid w:val="00391D48"/>
    <w:rsid w:val="00391E4B"/>
    <w:rsid w:val="00392060"/>
    <w:rsid w:val="003931EA"/>
    <w:rsid w:val="00394218"/>
    <w:rsid w:val="00394681"/>
    <w:rsid w:val="0039513E"/>
    <w:rsid w:val="003951C8"/>
    <w:rsid w:val="0039569D"/>
    <w:rsid w:val="003959EC"/>
    <w:rsid w:val="00395F96"/>
    <w:rsid w:val="003966B5"/>
    <w:rsid w:val="00396FEA"/>
    <w:rsid w:val="003976F1"/>
    <w:rsid w:val="003A142E"/>
    <w:rsid w:val="003A1EB0"/>
    <w:rsid w:val="003A3D22"/>
    <w:rsid w:val="003A4015"/>
    <w:rsid w:val="003A4DF6"/>
    <w:rsid w:val="003A5E1A"/>
    <w:rsid w:val="003A5E75"/>
    <w:rsid w:val="003A5E80"/>
    <w:rsid w:val="003A6526"/>
    <w:rsid w:val="003A6F64"/>
    <w:rsid w:val="003A7155"/>
    <w:rsid w:val="003A7167"/>
    <w:rsid w:val="003A72B1"/>
    <w:rsid w:val="003A788C"/>
    <w:rsid w:val="003A7E71"/>
    <w:rsid w:val="003B031E"/>
    <w:rsid w:val="003B071E"/>
    <w:rsid w:val="003B0C75"/>
    <w:rsid w:val="003B0DD5"/>
    <w:rsid w:val="003B1373"/>
    <w:rsid w:val="003B1A18"/>
    <w:rsid w:val="003B1BCD"/>
    <w:rsid w:val="003B1F5B"/>
    <w:rsid w:val="003B207C"/>
    <w:rsid w:val="003B27D9"/>
    <w:rsid w:val="003B2BA2"/>
    <w:rsid w:val="003B2C1C"/>
    <w:rsid w:val="003B2FD4"/>
    <w:rsid w:val="003B3DB7"/>
    <w:rsid w:val="003B3E52"/>
    <w:rsid w:val="003B4496"/>
    <w:rsid w:val="003B47E0"/>
    <w:rsid w:val="003B49D5"/>
    <w:rsid w:val="003B5DA2"/>
    <w:rsid w:val="003B63C9"/>
    <w:rsid w:val="003B6E7E"/>
    <w:rsid w:val="003B6F85"/>
    <w:rsid w:val="003B7704"/>
    <w:rsid w:val="003B7B3B"/>
    <w:rsid w:val="003C1614"/>
    <w:rsid w:val="003C2764"/>
    <w:rsid w:val="003C29CD"/>
    <w:rsid w:val="003C301F"/>
    <w:rsid w:val="003C3B42"/>
    <w:rsid w:val="003C3C20"/>
    <w:rsid w:val="003C5139"/>
    <w:rsid w:val="003C5AD2"/>
    <w:rsid w:val="003C62C3"/>
    <w:rsid w:val="003C6FA2"/>
    <w:rsid w:val="003C7AEC"/>
    <w:rsid w:val="003D02A6"/>
    <w:rsid w:val="003D051D"/>
    <w:rsid w:val="003D0F71"/>
    <w:rsid w:val="003D1549"/>
    <w:rsid w:val="003D17BA"/>
    <w:rsid w:val="003D1947"/>
    <w:rsid w:val="003D1D77"/>
    <w:rsid w:val="003D2D89"/>
    <w:rsid w:val="003D314F"/>
    <w:rsid w:val="003D3346"/>
    <w:rsid w:val="003D370A"/>
    <w:rsid w:val="003D3898"/>
    <w:rsid w:val="003D44D8"/>
    <w:rsid w:val="003D4675"/>
    <w:rsid w:val="003D4A95"/>
    <w:rsid w:val="003D4F91"/>
    <w:rsid w:val="003D50B3"/>
    <w:rsid w:val="003D54B1"/>
    <w:rsid w:val="003D6298"/>
    <w:rsid w:val="003D62BC"/>
    <w:rsid w:val="003D77A3"/>
    <w:rsid w:val="003E02C2"/>
    <w:rsid w:val="003E0442"/>
    <w:rsid w:val="003E18E4"/>
    <w:rsid w:val="003E1B62"/>
    <w:rsid w:val="003E2E2D"/>
    <w:rsid w:val="003E2E6F"/>
    <w:rsid w:val="003E35C6"/>
    <w:rsid w:val="003E37CF"/>
    <w:rsid w:val="003E3F08"/>
    <w:rsid w:val="003E4456"/>
    <w:rsid w:val="003E46EE"/>
    <w:rsid w:val="003E4A74"/>
    <w:rsid w:val="003E5A50"/>
    <w:rsid w:val="003E6A81"/>
    <w:rsid w:val="003F0F0E"/>
    <w:rsid w:val="003F1680"/>
    <w:rsid w:val="003F1A19"/>
    <w:rsid w:val="003F1CED"/>
    <w:rsid w:val="003F26B3"/>
    <w:rsid w:val="003F26CB"/>
    <w:rsid w:val="003F3894"/>
    <w:rsid w:val="003F3A89"/>
    <w:rsid w:val="003F41E2"/>
    <w:rsid w:val="003F59EE"/>
    <w:rsid w:val="003F5F42"/>
    <w:rsid w:val="003F6A56"/>
    <w:rsid w:val="003F71EA"/>
    <w:rsid w:val="003F7D3F"/>
    <w:rsid w:val="003F7EFF"/>
    <w:rsid w:val="00400A36"/>
    <w:rsid w:val="00400B6B"/>
    <w:rsid w:val="00400CE1"/>
    <w:rsid w:val="0040182D"/>
    <w:rsid w:val="00401874"/>
    <w:rsid w:val="00402420"/>
    <w:rsid w:val="0040263B"/>
    <w:rsid w:val="004029FF"/>
    <w:rsid w:val="00402C48"/>
    <w:rsid w:val="00402DFA"/>
    <w:rsid w:val="00402F78"/>
    <w:rsid w:val="00403A59"/>
    <w:rsid w:val="00403B47"/>
    <w:rsid w:val="004040F6"/>
    <w:rsid w:val="004041E3"/>
    <w:rsid w:val="00405603"/>
    <w:rsid w:val="00405959"/>
    <w:rsid w:val="004060A9"/>
    <w:rsid w:val="00406157"/>
    <w:rsid w:val="0040651D"/>
    <w:rsid w:val="00406584"/>
    <w:rsid w:val="00407470"/>
    <w:rsid w:val="004075AD"/>
    <w:rsid w:val="00410EA4"/>
    <w:rsid w:val="0041113C"/>
    <w:rsid w:val="004118DA"/>
    <w:rsid w:val="00411FBA"/>
    <w:rsid w:val="004123FF"/>
    <w:rsid w:val="00412852"/>
    <w:rsid w:val="004142D5"/>
    <w:rsid w:val="00414334"/>
    <w:rsid w:val="004148C7"/>
    <w:rsid w:val="00415019"/>
    <w:rsid w:val="00415D33"/>
    <w:rsid w:val="00416525"/>
    <w:rsid w:val="0041678D"/>
    <w:rsid w:val="00416AB1"/>
    <w:rsid w:val="0041756C"/>
    <w:rsid w:val="00417AEA"/>
    <w:rsid w:val="00417D31"/>
    <w:rsid w:val="00420F75"/>
    <w:rsid w:val="00423F10"/>
    <w:rsid w:val="00424CCC"/>
    <w:rsid w:val="00425049"/>
    <w:rsid w:val="004255C7"/>
    <w:rsid w:val="00425806"/>
    <w:rsid w:val="00425B24"/>
    <w:rsid w:val="00425D35"/>
    <w:rsid w:val="00425F6E"/>
    <w:rsid w:val="00426A93"/>
    <w:rsid w:val="004300F4"/>
    <w:rsid w:val="004301AB"/>
    <w:rsid w:val="004301EC"/>
    <w:rsid w:val="004302DC"/>
    <w:rsid w:val="00430E8A"/>
    <w:rsid w:val="00430EE8"/>
    <w:rsid w:val="00431917"/>
    <w:rsid w:val="0043219C"/>
    <w:rsid w:val="004321C5"/>
    <w:rsid w:val="00432388"/>
    <w:rsid w:val="00432796"/>
    <w:rsid w:val="00433B25"/>
    <w:rsid w:val="00433C69"/>
    <w:rsid w:val="004340E9"/>
    <w:rsid w:val="00434597"/>
    <w:rsid w:val="004346E7"/>
    <w:rsid w:val="00434F82"/>
    <w:rsid w:val="00435400"/>
    <w:rsid w:val="004360CF"/>
    <w:rsid w:val="0043763A"/>
    <w:rsid w:val="00437EE5"/>
    <w:rsid w:val="00440271"/>
    <w:rsid w:val="0044042E"/>
    <w:rsid w:val="00440A65"/>
    <w:rsid w:val="0044151F"/>
    <w:rsid w:val="0044162F"/>
    <w:rsid w:val="00441702"/>
    <w:rsid w:val="00441CEA"/>
    <w:rsid w:val="00442518"/>
    <w:rsid w:val="00442727"/>
    <w:rsid w:val="0044292E"/>
    <w:rsid w:val="004430D2"/>
    <w:rsid w:val="00443900"/>
    <w:rsid w:val="00443909"/>
    <w:rsid w:val="00443FB0"/>
    <w:rsid w:val="004448D6"/>
    <w:rsid w:val="00445270"/>
    <w:rsid w:val="0044530B"/>
    <w:rsid w:val="00445388"/>
    <w:rsid w:val="004453E4"/>
    <w:rsid w:val="004454CF"/>
    <w:rsid w:val="004455D3"/>
    <w:rsid w:val="004458BE"/>
    <w:rsid w:val="00445B93"/>
    <w:rsid w:val="00446520"/>
    <w:rsid w:val="00446964"/>
    <w:rsid w:val="00446E31"/>
    <w:rsid w:val="00450424"/>
    <w:rsid w:val="00450A64"/>
    <w:rsid w:val="004512CF"/>
    <w:rsid w:val="00451981"/>
    <w:rsid w:val="00452006"/>
    <w:rsid w:val="0045205F"/>
    <w:rsid w:val="00452805"/>
    <w:rsid w:val="00452F06"/>
    <w:rsid w:val="00453E40"/>
    <w:rsid w:val="0045491D"/>
    <w:rsid w:val="00455098"/>
    <w:rsid w:val="00456300"/>
    <w:rsid w:val="004565F7"/>
    <w:rsid w:val="00456980"/>
    <w:rsid w:val="00456E28"/>
    <w:rsid w:val="00456E3F"/>
    <w:rsid w:val="004574E1"/>
    <w:rsid w:val="004576A7"/>
    <w:rsid w:val="004602A6"/>
    <w:rsid w:val="00460447"/>
    <w:rsid w:val="00460497"/>
    <w:rsid w:val="00460EE3"/>
    <w:rsid w:val="00461DC7"/>
    <w:rsid w:val="00462935"/>
    <w:rsid w:val="00462BCA"/>
    <w:rsid w:val="00462C29"/>
    <w:rsid w:val="00462C4B"/>
    <w:rsid w:val="00463A0D"/>
    <w:rsid w:val="0046442B"/>
    <w:rsid w:val="004656BA"/>
    <w:rsid w:val="00465A1A"/>
    <w:rsid w:val="004663F2"/>
    <w:rsid w:val="00466789"/>
    <w:rsid w:val="00466FED"/>
    <w:rsid w:val="0046709B"/>
    <w:rsid w:val="0046789F"/>
    <w:rsid w:val="00467BA9"/>
    <w:rsid w:val="00467E37"/>
    <w:rsid w:val="004703CD"/>
    <w:rsid w:val="00470F96"/>
    <w:rsid w:val="00471DE3"/>
    <w:rsid w:val="004723EB"/>
    <w:rsid w:val="00474C4A"/>
    <w:rsid w:val="00474F2D"/>
    <w:rsid w:val="00475138"/>
    <w:rsid w:val="00475A99"/>
    <w:rsid w:val="00475B18"/>
    <w:rsid w:val="00475C24"/>
    <w:rsid w:val="00475D8B"/>
    <w:rsid w:val="004763A2"/>
    <w:rsid w:val="0047662C"/>
    <w:rsid w:val="004771F5"/>
    <w:rsid w:val="0048007C"/>
    <w:rsid w:val="004809C2"/>
    <w:rsid w:val="00480C69"/>
    <w:rsid w:val="0048168A"/>
    <w:rsid w:val="00481AD3"/>
    <w:rsid w:val="00481E3F"/>
    <w:rsid w:val="00482806"/>
    <w:rsid w:val="00483A1C"/>
    <w:rsid w:val="00484675"/>
    <w:rsid w:val="00484A25"/>
    <w:rsid w:val="00484F6D"/>
    <w:rsid w:val="0048507B"/>
    <w:rsid w:val="00485F1C"/>
    <w:rsid w:val="00486F5E"/>
    <w:rsid w:val="004870D7"/>
    <w:rsid w:val="00487570"/>
    <w:rsid w:val="00490484"/>
    <w:rsid w:val="00490512"/>
    <w:rsid w:val="00490EB3"/>
    <w:rsid w:val="004915EE"/>
    <w:rsid w:val="00491ADD"/>
    <w:rsid w:val="00491E15"/>
    <w:rsid w:val="0049228E"/>
    <w:rsid w:val="00492765"/>
    <w:rsid w:val="00493066"/>
    <w:rsid w:val="0049353A"/>
    <w:rsid w:val="004935FF"/>
    <w:rsid w:val="00493816"/>
    <w:rsid w:val="00493B79"/>
    <w:rsid w:val="00493E70"/>
    <w:rsid w:val="004950F6"/>
    <w:rsid w:val="004951F6"/>
    <w:rsid w:val="00495E04"/>
    <w:rsid w:val="00495E77"/>
    <w:rsid w:val="004960DA"/>
    <w:rsid w:val="00496798"/>
    <w:rsid w:val="00497469"/>
    <w:rsid w:val="00497DAE"/>
    <w:rsid w:val="004A0061"/>
    <w:rsid w:val="004A01B2"/>
    <w:rsid w:val="004A0F61"/>
    <w:rsid w:val="004A1632"/>
    <w:rsid w:val="004A2376"/>
    <w:rsid w:val="004A25D5"/>
    <w:rsid w:val="004A2605"/>
    <w:rsid w:val="004A3BD9"/>
    <w:rsid w:val="004A3E0B"/>
    <w:rsid w:val="004A4D43"/>
    <w:rsid w:val="004A55F6"/>
    <w:rsid w:val="004A5B19"/>
    <w:rsid w:val="004A5ED3"/>
    <w:rsid w:val="004A5F56"/>
    <w:rsid w:val="004A6020"/>
    <w:rsid w:val="004A638D"/>
    <w:rsid w:val="004A6664"/>
    <w:rsid w:val="004A732D"/>
    <w:rsid w:val="004B03E3"/>
    <w:rsid w:val="004B19B9"/>
    <w:rsid w:val="004B1A12"/>
    <w:rsid w:val="004B32BF"/>
    <w:rsid w:val="004B354D"/>
    <w:rsid w:val="004B3FBB"/>
    <w:rsid w:val="004B4E06"/>
    <w:rsid w:val="004B576A"/>
    <w:rsid w:val="004B621A"/>
    <w:rsid w:val="004B679E"/>
    <w:rsid w:val="004B718D"/>
    <w:rsid w:val="004B7284"/>
    <w:rsid w:val="004B7316"/>
    <w:rsid w:val="004B7671"/>
    <w:rsid w:val="004B77AD"/>
    <w:rsid w:val="004C09D8"/>
    <w:rsid w:val="004C13F0"/>
    <w:rsid w:val="004C1408"/>
    <w:rsid w:val="004C14C9"/>
    <w:rsid w:val="004C1B39"/>
    <w:rsid w:val="004C21FE"/>
    <w:rsid w:val="004C35B6"/>
    <w:rsid w:val="004C3F09"/>
    <w:rsid w:val="004C4039"/>
    <w:rsid w:val="004C4C40"/>
    <w:rsid w:val="004C4DC1"/>
    <w:rsid w:val="004C4FCE"/>
    <w:rsid w:val="004C52A1"/>
    <w:rsid w:val="004C6070"/>
    <w:rsid w:val="004C6126"/>
    <w:rsid w:val="004C6979"/>
    <w:rsid w:val="004C7ABE"/>
    <w:rsid w:val="004C7BDE"/>
    <w:rsid w:val="004D13D4"/>
    <w:rsid w:val="004D164E"/>
    <w:rsid w:val="004D206F"/>
    <w:rsid w:val="004D21E6"/>
    <w:rsid w:val="004D259F"/>
    <w:rsid w:val="004D25D2"/>
    <w:rsid w:val="004D2F69"/>
    <w:rsid w:val="004D3196"/>
    <w:rsid w:val="004D3962"/>
    <w:rsid w:val="004D4EA0"/>
    <w:rsid w:val="004D4EBC"/>
    <w:rsid w:val="004D4EE5"/>
    <w:rsid w:val="004D5041"/>
    <w:rsid w:val="004D53ED"/>
    <w:rsid w:val="004D5672"/>
    <w:rsid w:val="004D5C9C"/>
    <w:rsid w:val="004D66DB"/>
    <w:rsid w:val="004D7433"/>
    <w:rsid w:val="004D7AEA"/>
    <w:rsid w:val="004E0812"/>
    <w:rsid w:val="004E0AF7"/>
    <w:rsid w:val="004E124D"/>
    <w:rsid w:val="004E15B8"/>
    <w:rsid w:val="004E2349"/>
    <w:rsid w:val="004E24B3"/>
    <w:rsid w:val="004E2B2C"/>
    <w:rsid w:val="004E2D7D"/>
    <w:rsid w:val="004E30F2"/>
    <w:rsid w:val="004E36A7"/>
    <w:rsid w:val="004E36CC"/>
    <w:rsid w:val="004E54BC"/>
    <w:rsid w:val="004E5912"/>
    <w:rsid w:val="004E5C38"/>
    <w:rsid w:val="004E65D8"/>
    <w:rsid w:val="004E689B"/>
    <w:rsid w:val="004E6D55"/>
    <w:rsid w:val="004E735A"/>
    <w:rsid w:val="004F0A5E"/>
    <w:rsid w:val="004F1D64"/>
    <w:rsid w:val="004F262B"/>
    <w:rsid w:val="004F26B1"/>
    <w:rsid w:val="004F2B8B"/>
    <w:rsid w:val="004F2F96"/>
    <w:rsid w:val="004F31FC"/>
    <w:rsid w:val="004F3D83"/>
    <w:rsid w:val="004F3D88"/>
    <w:rsid w:val="004F64E1"/>
    <w:rsid w:val="004F688F"/>
    <w:rsid w:val="004F6960"/>
    <w:rsid w:val="004F6E45"/>
    <w:rsid w:val="004F7D24"/>
    <w:rsid w:val="004F7EBF"/>
    <w:rsid w:val="005008BE"/>
    <w:rsid w:val="00501067"/>
    <w:rsid w:val="005013F8"/>
    <w:rsid w:val="005027F4"/>
    <w:rsid w:val="00502B22"/>
    <w:rsid w:val="00502D5B"/>
    <w:rsid w:val="00502E4F"/>
    <w:rsid w:val="00502EBB"/>
    <w:rsid w:val="00502FD2"/>
    <w:rsid w:val="00503301"/>
    <w:rsid w:val="0050549B"/>
    <w:rsid w:val="00505849"/>
    <w:rsid w:val="00506216"/>
    <w:rsid w:val="00506357"/>
    <w:rsid w:val="0050658C"/>
    <w:rsid w:val="0050676D"/>
    <w:rsid w:val="00506DF8"/>
    <w:rsid w:val="00507782"/>
    <w:rsid w:val="00507910"/>
    <w:rsid w:val="00507ED3"/>
    <w:rsid w:val="005107AC"/>
    <w:rsid w:val="00511277"/>
    <w:rsid w:val="00512179"/>
    <w:rsid w:val="0051257D"/>
    <w:rsid w:val="00512C42"/>
    <w:rsid w:val="00513022"/>
    <w:rsid w:val="00514A81"/>
    <w:rsid w:val="00514C94"/>
    <w:rsid w:val="00514EE0"/>
    <w:rsid w:val="00515660"/>
    <w:rsid w:val="005157D7"/>
    <w:rsid w:val="005157ED"/>
    <w:rsid w:val="00515877"/>
    <w:rsid w:val="00515C19"/>
    <w:rsid w:val="005164D8"/>
    <w:rsid w:val="00516A01"/>
    <w:rsid w:val="00517D7D"/>
    <w:rsid w:val="0052012A"/>
    <w:rsid w:val="00520A3F"/>
    <w:rsid w:val="005210FF"/>
    <w:rsid w:val="00521752"/>
    <w:rsid w:val="005228E2"/>
    <w:rsid w:val="00522DE2"/>
    <w:rsid w:val="0052329E"/>
    <w:rsid w:val="0052448C"/>
    <w:rsid w:val="00524558"/>
    <w:rsid w:val="005249E0"/>
    <w:rsid w:val="00525A74"/>
    <w:rsid w:val="00525B55"/>
    <w:rsid w:val="00525BEB"/>
    <w:rsid w:val="005273AD"/>
    <w:rsid w:val="00527737"/>
    <w:rsid w:val="00527F8D"/>
    <w:rsid w:val="005307F5"/>
    <w:rsid w:val="00531B16"/>
    <w:rsid w:val="00533205"/>
    <w:rsid w:val="00533218"/>
    <w:rsid w:val="00534036"/>
    <w:rsid w:val="00534536"/>
    <w:rsid w:val="00534688"/>
    <w:rsid w:val="00534841"/>
    <w:rsid w:val="00534FC3"/>
    <w:rsid w:val="00535696"/>
    <w:rsid w:val="00536C0B"/>
    <w:rsid w:val="005371DB"/>
    <w:rsid w:val="0054050A"/>
    <w:rsid w:val="005409E9"/>
    <w:rsid w:val="00540A9C"/>
    <w:rsid w:val="00541555"/>
    <w:rsid w:val="00541CDE"/>
    <w:rsid w:val="0054213E"/>
    <w:rsid w:val="00543868"/>
    <w:rsid w:val="00543ECD"/>
    <w:rsid w:val="00544648"/>
    <w:rsid w:val="005447F5"/>
    <w:rsid w:val="005449C9"/>
    <w:rsid w:val="00545135"/>
    <w:rsid w:val="005451D2"/>
    <w:rsid w:val="005452B7"/>
    <w:rsid w:val="005459E2"/>
    <w:rsid w:val="005466C1"/>
    <w:rsid w:val="0054670A"/>
    <w:rsid w:val="00546C1B"/>
    <w:rsid w:val="00546C91"/>
    <w:rsid w:val="00546CFB"/>
    <w:rsid w:val="0054703D"/>
    <w:rsid w:val="00547EFC"/>
    <w:rsid w:val="00550A62"/>
    <w:rsid w:val="00550B4F"/>
    <w:rsid w:val="00550E79"/>
    <w:rsid w:val="0055134F"/>
    <w:rsid w:val="00552C8F"/>
    <w:rsid w:val="00553D83"/>
    <w:rsid w:val="00553F87"/>
    <w:rsid w:val="00554399"/>
    <w:rsid w:val="0055457B"/>
    <w:rsid w:val="00554638"/>
    <w:rsid w:val="0055597F"/>
    <w:rsid w:val="005561F8"/>
    <w:rsid w:val="00557409"/>
    <w:rsid w:val="0055788B"/>
    <w:rsid w:val="005578B2"/>
    <w:rsid w:val="00560C31"/>
    <w:rsid w:val="00561364"/>
    <w:rsid w:val="005616E5"/>
    <w:rsid w:val="00561A98"/>
    <w:rsid w:val="00561B04"/>
    <w:rsid w:val="0056238F"/>
    <w:rsid w:val="00562CE1"/>
    <w:rsid w:val="0056332B"/>
    <w:rsid w:val="00563C41"/>
    <w:rsid w:val="00564293"/>
    <w:rsid w:val="0056433A"/>
    <w:rsid w:val="00564688"/>
    <w:rsid w:val="005646C5"/>
    <w:rsid w:val="00564B42"/>
    <w:rsid w:val="00566511"/>
    <w:rsid w:val="005671E1"/>
    <w:rsid w:val="0056748D"/>
    <w:rsid w:val="00567573"/>
    <w:rsid w:val="0056787D"/>
    <w:rsid w:val="00567A8E"/>
    <w:rsid w:val="0057060C"/>
    <w:rsid w:val="00570767"/>
    <w:rsid w:val="00570BDC"/>
    <w:rsid w:val="00571427"/>
    <w:rsid w:val="005715B7"/>
    <w:rsid w:val="005715F6"/>
    <w:rsid w:val="00571835"/>
    <w:rsid w:val="0057187C"/>
    <w:rsid w:val="00571E07"/>
    <w:rsid w:val="00572117"/>
    <w:rsid w:val="00572439"/>
    <w:rsid w:val="0057253E"/>
    <w:rsid w:val="005725AE"/>
    <w:rsid w:val="00572C2A"/>
    <w:rsid w:val="00573169"/>
    <w:rsid w:val="00573478"/>
    <w:rsid w:val="00574364"/>
    <w:rsid w:val="005746A1"/>
    <w:rsid w:val="00574AB1"/>
    <w:rsid w:val="00574C81"/>
    <w:rsid w:val="00574C8E"/>
    <w:rsid w:val="0057505A"/>
    <w:rsid w:val="0057533B"/>
    <w:rsid w:val="005772F4"/>
    <w:rsid w:val="00577F1B"/>
    <w:rsid w:val="00580380"/>
    <w:rsid w:val="00580441"/>
    <w:rsid w:val="00580C25"/>
    <w:rsid w:val="0058158B"/>
    <w:rsid w:val="005817F6"/>
    <w:rsid w:val="00581AD3"/>
    <w:rsid w:val="00582677"/>
    <w:rsid w:val="00582A6D"/>
    <w:rsid w:val="00582EEC"/>
    <w:rsid w:val="00583656"/>
    <w:rsid w:val="00583AD0"/>
    <w:rsid w:val="00583CF6"/>
    <w:rsid w:val="00583DC9"/>
    <w:rsid w:val="0058400C"/>
    <w:rsid w:val="0058437A"/>
    <w:rsid w:val="0058447B"/>
    <w:rsid w:val="005845AF"/>
    <w:rsid w:val="00584EBB"/>
    <w:rsid w:val="005852F6"/>
    <w:rsid w:val="0058541F"/>
    <w:rsid w:val="00586E23"/>
    <w:rsid w:val="00587393"/>
    <w:rsid w:val="00587DB1"/>
    <w:rsid w:val="0059019C"/>
    <w:rsid w:val="00590296"/>
    <w:rsid w:val="00590BC8"/>
    <w:rsid w:val="00590D5E"/>
    <w:rsid w:val="00590D71"/>
    <w:rsid w:val="00590F6F"/>
    <w:rsid w:val="005923A0"/>
    <w:rsid w:val="0059381E"/>
    <w:rsid w:val="0059397A"/>
    <w:rsid w:val="00594256"/>
    <w:rsid w:val="005942AC"/>
    <w:rsid w:val="00594BA8"/>
    <w:rsid w:val="005956A4"/>
    <w:rsid w:val="005956AB"/>
    <w:rsid w:val="0059672F"/>
    <w:rsid w:val="00596A83"/>
    <w:rsid w:val="00597125"/>
    <w:rsid w:val="00597B90"/>
    <w:rsid w:val="00597C86"/>
    <w:rsid w:val="005A05AD"/>
    <w:rsid w:val="005A07CC"/>
    <w:rsid w:val="005A0E3D"/>
    <w:rsid w:val="005A0EEF"/>
    <w:rsid w:val="005A0F92"/>
    <w:rsid w:val="005A17A2"/>
    <w:rsid w:val="005A1A1E"/>
    <w:rsid w:val="005A22B9"/>
    <w:rsid w:val="005A2F89"/>
    <w:rsid w:val="005A30B7"/>
    <w:rsid w:val="005A4D4D"/>
    <w:rsid w:val="005A704E"/>
    <w:rsid w:val="005A708B"/>
    <w:rsid w:val="005A7F1C"/>
    <w:rsid w:val="005B038A"/>
    <w:rsid w:val="005B0595"/>
    <w:rsid w:val="005B0680"/>
    <w:rsid w:val="005B0B9E"/>
    <w:rsid w:val="005B10B4"/>
    <w:rsid w:val="005B21B8"/>
    <w:rsid w:val="005B2CB7"/>
    <w:rsid w:val="005B2E15"/>
    <w:rsid w:val="005B2EE3"/>
    <w:rsid w:val="005B3433"/>
    <w:rsid w:val="005B3BEA"/>
    <w:rsid w:val="005B46A4"/>
    <w:rsid w:val="005B65FD"/>
    <w:rsid w:val="005B6B95"/>
    <w:rsid w:val="005B6BEB"/>
    <w:rsid w:val="005B6CAA"/>
    <w:rsid w:val="005B6EF4"/>
    <w:rsid w:val="005B75ED"/>
    <w:rsid w:val="005B7767"/>
    <w:rsid w:val="005C0324"/>
    <w:rsid w:val="005C06DB"/>
    <w:rsid w:val="005C0A27"/>
    <w:rsid w:val="005C0F86"/>
    <w:rsid w:val="005C1782"/>
    <w:rsid w:val="005C18E7"/>
    <w:rsid w:val="005C1DB2"/>
    <w:rsid w:val="005C1EC3"/>
    <w:rsid w:val="005C2E73"/>
    <w:rsid w:val="005C3941"/>
    <w:rsid w:val="005C3AB9"/>
    <w:rsid w:val="005C3AC1"/>
    <w:rsid w:val="005C4614"/>
    <w:rsid w:val="005C5E65"/>
    <w:rsid w:val="005C6356"/>
    <w:rsid w:val="005C67E0"/>
    <w:rsid w:val="005C73BA"/>
    <w:rsid w:val="005C756E"/>
    <w:rsid w:val="005C7572"/>
    <w:rsid w:val="005C7D4A"/>
    <w:rsid w:val="005D013A"/>
    <w:rsid w:val="005D0162"/>
    <w:rsid w:val="005D09E0"/>
    <w:rsid w:val="005D1023"/>
    <w:rsid w:val="005D11C2"/>
    <w:rsid w:val="005D1373"/>
    <w:rsid w:val="005D17E9"/>
    <w:rsid w:val="005D19E4"/>
    <w:rsid w:val="005D1D7E"/>
    <w:rsid w:val="005D2ADD"/>
    <w:rsid w:val="005D2C88"/>
    <w:rsid w:val="005D2FA1"/>
    <w:rsid w:val="005D3C95"/>
    <w:rsid w:val="005D3FE9"/>
    <w:rsid w:val="005D4158"/>
    <w:rsid w:val="005D4B70"/>
    <w:rsid w:val="005D4C16"/>
    <w:rsid w:val="005D4E9A"/>
    <w:rsid w:val="005D5198"/>
    <w:rsid w:val="005D5250"/>
    <w:rsid w:val="005D53DC"/>
    <w:rsid w:val="005D5E0F"/>
    <w:rsid w:val="005D6174"/>
    <w:rsid w:val="005D6993"/>
    <w:rsid w:val="005D6EBA"/>
    <w:rsid w:val="005D70AF"/>
    <w:rsid w:val="005D76C7"/>
    <w:rsid w:val="005D7E81"/>
    <w:rsid w:val="005E1727"/>
    <w:rsid w:val="005E24A4"/>
    <w:rsid w:val="005E42C3"/>
    <w:rsid w:val="005E4350"/>
    <w:rsid w:val="005E5DC9"/>
    <w:rsid w:val="005E72FD"/>
    <w:rsid w:val="005E7645"/>
    <w:rsid w:val="005E7775"/>
    <w:rsid w:val="005E7A17"/>
    <w:rsid w:val="005F094F"/>
    <w:rsid w:val="005F0ACE"/>
    <w:rsid w:val="005F2115"/>
    <w:rsid w:val="005F2232"/>
    <w:rsid w:val="005F22B6"/>
    <w:rsid w:val="005F2965"/>
    <w:rsid w:val="005F3837"/>
    <w:rsid w:val="005F3D44"/>
    <w:rsid w:val="005F4263"/>
    <w:rsid w:val="005F45A0"/>
    <w:rsid w:val="005F4D5A"/>
    <w:rsid w:val="005F4E9C"/>
    <w:rsid w:val="005F5229"/>
    <w:rsid w:val="005F5707"/>
    <w:rsid w:val="005F5B27"/>
    <w:rsid w:val="005F5CE2"/>
    <w:rsid w:val="005F5DF0"/>
    <w:rsid w:val="005F628E"/>
    <w:rsid w:val="005F6331"/>
    <w:rsid w:val="005F693A"/>
    <w:rsid w:val="005F7945"/>
    <w:rsid w:val="00600414"/>
    <w:rsid w:val="00600CB2"/>
    <w:rsid w:val="0060102C"/>
    <w:rsid w:val="00601321"/>
    <w:rsid w:val="00601EFD"/>
    <w:rsid w:val="0060204B"/>
    <w:rsid w:val="006025E4"/>
    <w:rsid w:val="006025F4"/>
    <w:rsid w:val="0060291C"/>
    <w:rsid w:val="00603570"/>
    <w:rsid w:val="00604301"/>
    <w:rsid w:val="00604592"/>
    <w:rsid w:val="00604E09"/>
    <w:rsid w:val="00604FFC"/>
    <w:rsid w:val="00606295"/>
    <w:rsid w:val="0060673B"/>
    <w:rsid w:val="006067F4"/>
    <w:rsid w:val="006068CD"/>
    <w:rsid w:val="00606B95"/>
    <w:rsid w:val="00607192"/>
    <w:rsid w:val="00607596"/>
    <w:rsid w:val="00607D6B"/>
    <w:rsid w:val="006103A9"/>
    <w:rsid w:val="006107CA"/>
    <w:rsid w:val="0061154D"/>
    <w:rsid w:val="0061156E"/>
    <w:rsid w:val="0061156F"/>
    <w:rsid w:val="006115DC"/>
    <w:rsid w:val="006117D3"/>
    <w:rsid w:val="00611839"/>
    <w:rsid w:val="00611970"/>
    <w:rsid w:val="0061334D"/>
    <w:rsid w:val="00614322"/>
    <w:rsid w:val="00614E53"/>
    <w:rsid w:val="00615D59"/>
    <w:rsid w:val="0061697D"/>
    <w:rsid w:val="00616B73"/>
    <w:rsid w:val="00617070"/>
    <w:rsid w:val="006173B1"/>
    <w:rsid w:val="00617BF5"/>
    <w:rsid w:val="006207E9"/>
    <w:rsid w:val="00620CEA"/>
    <w:rsid w:val="00621051"/>
    <w:rsid w:val="00621158"/>
    <w:rsid w:val="00621419"/>
    <w:rsid w:val="00621A44"/>
    <w:rsid w:val="00622196"/>
    <w:rsid w:val="00623093"/>
    <w:rsid w:val="00623383"/>
    <w:rsid w:val="006237BF"/>
    <w:rsid w:val="006243A1"/>
    <w:rsid w:val="0062473E"/>
    <w:rsid w:val="00624E8D"/>
    <w:rsid w:val="006250BB"/>
    <w:rsid w:val="006253BA"/>
    <w:rsid w:val="00625439"/>
    <w:rsid w:val="006254B1"/>
    <w:rsid w:val="0062568A"/>
    <w:rsid w:val="00625714"/>
    <w:rsid w:val="00625B0A"/>
    <w:rsid w:val="00625D31"/>
    <w:rsid w:val="006264EA"/>
    <w:rsid w:val="00626E28"/>
    <w:rsid w:val="006309A0"/>
    <w:rsid w:val="00631067"/>
    <w:rsid w:val="00631171"/>
    <w:rsid w:val="00631AD3"/>
    <w:rsid w:val="00631B04"/>
    <w:rsid w:val="00631B94"/>
    <w:rsid w:val="0063207E"/>
    <w:rsid w:val="006326CD"/>
    <w:rsid w:val="00632DC0"/>
    <w:rsid w:val="00633DDF"/>
    <w:rsid w:val="00633F48"/>
    <w:rsid w:val="006340F2"/>
    <w:rsid w:val="006343CC"/>
    <w:rsid w:val="006349FC"/>
    <w:rsid w:val="00634A63"/>
    <w:rsid w:val="00635F81"/>
    <w:rsid w:val="006360D4"/>
    <w:rsid w:val="00636A7B"/>
    <w:rsid w:val="00637224"/>
    <w:rsid w:val="006376C7"/>
    <w:rsid w:val="00640369"/>
    <w:rsid w:val="00640D53"/>
    <w:rsid w:val="00642329"/>
    <w:rsid w:val="00642612"/>
    <w:rsid w:val="00642619"/>
    <w:rsid w:val="0064277C"/>
    <w:rsid w:val="00642F4C"/>
    <w:rsid w:val="006437A7"/>
    <w:rsid w:val="0064388A"/>
    <w:rsid w:val="00643FFB"/>
    <w:rsid w:val="0064443F"/>
    <w:rsid w:val="0064503B"/>
    <w:rsid w:val="00645184"/>
    <w:rsid w:val="0064530A"/>
    <w:rsid w:val="00645329"/>
    <w:rsid w:val="00645A7D"/>
    <w:rsid w:val="0064672A"/>
    <w:rsid w:val="006477B0"/>
    <w:rsid w:val="006506F1"/>
    <w:rsid w:val="00650D57"/>
    <w:rsid w:val="0065201E"/>
    <w:rsid w:val="006526E0"/>
    <w:rsid w:val="0065322D"/>
    <w:rsid w:val="00653424"/>
    <w:rsid w:val="0065355D"/>
    <w:rsid w:val="006536CE"/>
    <w:rsid w:val="006537DC"/>
    <w:rsid w:val="00654B3B"/>
    <w:rsid w:val="00654F1A"/>
    <w:rsid w:val="00655516"/>
    <w:rsid w:val="006566BC"/>
    <w:rsid w:val="00657851"/>
    <w:rsid w:val="006605DE"/>
    <w:rsid w:val="0066096D"/>
    <w:rsid w:val="00660FC6"/>
    <w:rsid w:val="00661E05"/>
    <w:rsid w:val="00662136"/>
    <w:rsid w:val="006622F9"/>
    <w:rsid w:val="0066310F"/>
    <w:rsid w:val="0066317C"/>
    <w:rsid w:val="00663206"/>
    <w:rsid w:val="006633E3"/>
    <w:rsid w:val="006634BA"/>
    <w:rsid w:val="00663671"/>
    <w:rsid w:val="006641DD"/>
    <w:rsid w:val="006646EE"/>
    <w:rsid w:val="00664960"/>
    <w:rsid w:val="00664F61"/>
    <w:rsid w:val="00664FBF"/>
    <w:rsid w:val="00665466"/>
    <w:rsid w:val="00665708"/>
    <w:rsid w:val="006658A1"/>
    <w:rsid w:val="006666B8"/>
    <w:rsid w:val="00667BEB"/>
    <w:rsid w:val="006702E9"/>
    <w:rsid w:val="006709F3"/>
    <w:rsid w:val="00670A88"/>
    <w:rsid w:val="00670D44"/>
    <w:rsid w:val="00670FDF"/>
    <w:rsid w:val="00671179"/>
    <w:rsid w:val="006715F9"/>
    <w:rsid w:val="00671B53"/>
    <w:rsid w:val="006721C8"/>
    <w:rsid w:val="00672726"/>
    <w:rsid w:val="006728CD"/>
    <w:rsid w:val="00673625"/>
    <w:rsid w:val="00673F85"/>
    <w:rsid w:val="00674069"/>
    <w:rsid w:val="00674A26"/>
    <w:rsid w:val="00674A9E"/>
    <w:rsid w:val="00674D41"/>
    <w:rsid w:val="00675537"/>
    <w:rsid w:val="006756D7"/>
    <w:rsid w:val="006763D5"/>
    <w:rsid w:val="00676AAD"/>
    <w:rsid w:val="00676B01"/>
    <w:rsid w:val="00676C83"/>
    <w:rsid w:val="00676CD0"/>
    <w:rsid w:val="00676EE2"/>
    <w:rsid w:val="006778BD"/>
    <w:rsid w:val="00677D2C"/>
    <w:rsid w:val="00680ACA"/>
    <w:rsid w:val="00681BB3"/>
    <w:rsid w:val="0068205B"/>
    <w:rsid w:val="006823E6"/>
    <w:rsid w:val="00682CB4"/>
    <w:rsid w:val="00682DD8"/>
    <w:rsid w:val="006832EC"/>
    <w:rsid w:val="00683319"/>
    <w:rsid w:val="0068373B"/>
    <w:rsid w:val="00683BB5"/>
    <w:rsid w:val="00684C90"/>
    <w:rsid w:val="00685222"/>
    <w:rsid w:val="006852EA"/>
    <w:rsid w:val="006857A7"/>
    <w:rsid w:val="0068645E"/>
    <w:rsid w:val="00691145"/>
    <w:rsid w:val="0069186C"/>
    <w:rsid w:val="00692299"/>
    <w:rsid w:val="00692DF1"/>
    <w:rsid w:val="00693533"/>
    <w:rsid w:val="00693726"/>
    <w:rsid w:val="00693F4E"/>
    <w:rsid w:val="00694744"/>
    <w:rsid w:val="00694B78"/>
    <w:rsid w:val="00694D46"/>
    <w:rsid w:val="006950C1"/>
    <w:rsid w:val="00695A5A"/>
    <w:rsid w:val="006960B8"/>
    <w:rsid w:val="00696261"/>
    <w:rsid w:val="00696A8A"/>
    <w:rsid w:val="00696F45"/>
    <w:rsid w:val="00697C3E"/>
    <w:rsid w:val="006A06B4"/>
    <w:rsid w:val="006A111D"/>
    <w:rsid w:val="006A1A19"/>
    <w:rsid w:val="006A29CF"/>
    <w:rsid w:val="006A3097"/>
    <w:rsid w:val="006A386D"/>
    <w:rsid w:val="006A4F93"/>
    <w:rsid w:val="006A51CC"/>
    <w:rsid w:val="006A51F8"/>
    <w:rsid w:val="006A55C2"/>
    <w:rsid w:val="006A5B00"/>
    <w:rsid w:val="006A6583"/>
    <w:rsid w:val="006A790D"/>
    <w:rsid w:val="006A79E4"/>
    <w:rsid w:val="006A7C1E"/>
    <w:rsid w:val="006A7CA2"/>
    <w:rsid w:val="006B076E"/>
    <w:rsid w:val="006B15EC"/>
    <w:rsid w:val="006B1E5B"/>
    <w:rsid w:val="006B2643"/>
    <w:rsid w:val="006B26CF"/>
    <w:rsid w:val="006B29BE"/>
    <w:rsid w:val="006B2AF0"/>
    <w:rsid w:val="006B2E59"/>
    <w:rsid w:val="006B3737"/>
    <w:rsid w:val="006B4058"/>
    <w:rsid w:val="006B46B3"/>
    <w:rsid w:val="006B4BA8"/>
    <w:rsid w:val="006B4CD3"/>
    <w:rsid w:val="006B4F02"/>
    <w:rsid w:val="006B4FCF"/>
    <w:rsid w:val="006B5029"/>
    <w:rsid w:val="006B55F8"/>
    <w:rsid w:val="006B6920"/>
    <w:rsid w:val="006B6FEC"/>
    <w:rsid w:val="006B797E"/>
    <w:rsid w:val="006B7CAD"/>
    <w:rsid w:val="006C073A"/>
    <w:rsid w:val="006C132E"/>
    <w:rsid w:val="006C13B9"/>
    <w:rsid w:val="006C1852"/>
    <w:rsid w:val="006C24BE"/>
    <w:rsid w:val="006C496C"/>
    <w:rsid w:val="006C4C3A"/>
    <w:rsid w:val="006C4F02"/>
    <w:rsid w:val="006C5028"/>
    <w:rsid w:val="006C5479"/>
    <w:rsid w:val="006C5AD9"/>
    <w:rsid w:val="006C5B7B"/>
    <w:rsid w:val="006C5E84"/>
    <w:rsid w:val="006C602C"/>
    <w:rsid w:val="006C6732"/>
    <w:rsid w:val="006C6B72"/>
    <w:rsid w:val="006C7023"/>
    <w:rsid w:val="006C7F8C"/>
    <w:rsid w:val="006D07BB"/>
    <w:rsid w:val="006D1FB7"/>
    <w:rsid w:val="006D243F"/>
    <w:rsid w:val="006D24FD"/>
    <w:rsid w:val="006D2991"/>
    <w:rsid w:val="006D34F5"/>
    <w:rsid w:val="006D3881"/>
    <w:rsid w:val="006D46CB"/>
    <w:rsid w:val="006D47A5"/>
    <w:rsid w:val="006D5FE8"/>
    <w:rsid w:val="006D6120"/>
    <w:rsid w:val="006D71A2"/>
    <w:rsid w:val="006E02F1"/>
    <w:rsid w:val="006E1315"/>
    <w:rsid w:val="006E1DE1"/>
    <w:rsid w:val="006E2328"/>
    <w:rsid w:val="006E2A9F"/>
    <w:rsid w:val="006E2C87"/>
    <w:rsid w:val="006E2D8F"/>
    <w:rsid w:val="006E35FF"/>
    <w:rsid w:val="006E3EE9"/>
    <w:rsid w:val="006E4212"/>
    <w:rsid w:val="006E44BA"/>
    <w:rsid w:val="006E4D4E"/>
    <w:rsid w:val="006E4D6F"/>
    <w:rsid w:val="006E561F"/>
    <w:rsid w:val="006E5DDA"/>
    <w:rsid w:val="006E60C2"/>
    <w:rsid w:val="006E66C8"/>
    <w:rsid w:val="006E6EBA"/>
    <w:rsid w:val="006E7F09"/>
    <w:rsid w:val="006F0DE5"/>
    <w:rsid w:val="006F13F9"/>
    <w:rsid w:val="006F17D4"/>
    <w:rsid w:val="006F2193"/>
    <w:rsid w:val="006F2B08"/>
    <w:rsid w:val="006F3961"/>
    <w:rsid w:val="006F3CC5"/>
    <w:rsid w:val="006F4717"/>
    <w:rsid w:val="006F4B72"/>
    <w:rsid w:val="006F52B4"/>
    <w:rsid w:val="006F7133"/>
    <w:rsid w:val="006F768E"/>
    <w:rsid w:val="006F7C76"/>
    <w:rsid w:val="00700E82"/>
    <w:rsid w:val="00700FDE"/>
    <w:rsid w:val="00701397"/>
    <w:rsid w:val="00701809"/>
    <w:rsid w:val="007020E1"/>
    <w:rsid w:val="00702523"/>
    <w:rsid w:val="00702868"/>
    <w:rsid w:val="00703202"/>
    <w:rsid w:val="007033CF"/>
    <w:rsid w:val="00703F68"/>
    <w:rsid w:val="00704199"/>
    <w:rsid w:val="00704313"/>
    <w:rsid w:val="00704872"/>
    <w:rsid w:val="00704A6B"/>
    <w:rsid w:val="00705456"/>
    <w:rsid w:val="00706CD4"/>
    <w:rsid w:val="007071F9"/>
    <w:rsid w:val="007075AD"/>
    <w:rsid w:val="007076F8"/>
    <w:rsid w:val="007078D3"/>
    <w:rsid w:val="007079E9"/>
    <w:rsid w:val="00707ACD"/>
    <w:rsid w:val="00707E60"/>
    <w:rsid w:val="007100FE"/>
    <w:rsid w:val="007107D9"/>
    <w:rsid w:val="00710EE0"/>
    <w:rsid w:val="007117B0"/>
    <w:rsid w:val="00711854"/>
    <w:rsid w:val="00711911"/>
    <w:rsid w:val="00711CB7"/>
    <w:rsid w:val="00711F58"/>
    <w:rsid w:val="00712162"/>
    <w:rsid w:val="007124C4"/>
    <w:rsid w:val="007125C2"/>
    <w:rsid w:val="00712658"/>
    <w:rsid w:val="00713088"/>
    <w:rsid w:val="00713EEC"/>
    <w:rsid w:val="0071430F"/>
    <w:rsid w:val="007145CF"/>
    <w:rsid w:val="00714B31"/>
    <w:rsid w:val="00714FAA"/>
    <w:rsid w:val="0071691A"/>
    <w:rsid w:val="00716EAE"/>
    <w:rsid w:val="00716EC4"/>
    <w:rsid w:val="00717142"/>
    <w:rsid w:val="007172B0"/>
    <w:rsid w:val="007172C8"/>
    <w:rsid w:val="007174EB"/>
    <w:rsid w:val="007205D5"/>
    <w:rsid w:val="00720D5A"/>
    <w:rsid w:val="00721778"/>
    <w:rsid w:val="00721B44"/>
    <w:rsid w:val="00722E43"/>
    <w:rsid w:val="00723691"/>
    <w:rsid w:val="00723930"/>
    <w:rsid w:val="0072414F"/>
    <w:rsid w:val="007249EB"/>
    <w:rsid w:val="00724B55"/>
    <w:rsid w:val="00724E48"/>
    <w:rsid w:val="00725F54"/>
    <w:rsid w:val="0072648B"/>
    <w:rsid w:val="00726786"/>
    <w:rsid w:val="00726C57"/>
    <w:rsid w:val="00726ED0"/>
    <w:rsid w:val="00730032"/>
    <w:rsid w:val="00730BEA"/>
    <w:rsid w:val="00730CAD"/>
    <w:rsid w:val="00730E57"/>
    <w:rsid w:val="0073170A"/>
    <w:rsid w:val="00732296"/>
    <w:rsid w:val="00732550"/>
    <w:rsid w:val="00732C7A"/>
    <w:rsid w:val="00733382"/>
    <w:rsid w:val="00733AC1"/>
    <w:rsid w:val="00735732"/>
    <w:rsid w:val="00735D4C"/>
    <w:rsid w:val="007360C8"/>
    <w:rsid w:val="00736AAE"/>
    <w:rsid w:val="0073789C"/>
    <w:rsid w:val="00737D97"/>
    <w:rsid w:val="007404AE"/>
    <w:rsid w:val="007406EE"/>
    <w:rsid w:val="0074094D"/>
    <w:rsid w:val="00741E56"/>
    <w:rsid w:val="00741FC2"/>
    <w:rsid w:val="0074225C"/>
    <w:rsid w:val="00742468"/>
    <w:rsid w:val="007426E5"/>
    <w:rsid w:val="00742D0A"/>
    <w:rsid w:val="0074368D"/>
    <w:rsid w:val="007439BF"/>
    <w:rsid w:val="00743E00"/>
    <w:rsid w:val="00744032"/>
    <w:rsid w:val="00744349"/>
    <w:rsid w:val="007447A4"/>
    <w:rsid w:val="0074584C"/>
    <w:rsid w:val="0074584F"/>
    <w:rsid w:val="00745A04"/>
    <w:rsid w:val="0074603F"/>
    <w:rsid w:val="00746421"/>
    <w:rsid w:val="0074677A"/>
    <w:rsid w:val="00746ADA"/>
    <w:rsid w:val="00746AF6"/>
    <w:rsid w:val="00746FB3"/>
    <w:rsid w:val="0074718D"/>
    <w:rsid w:val="007478DD"/>
    <w:rsid w:val="00750B70"/>
    <w:rsid w:val="0075194A"/>
    <w:rsid w:val="00751A00"/>
    <w:rsid w:val="00751BD5"/>
    <w:rsid w:val="00751E3D"/>
    <w:rsid w:val="00751FC5"/>
    <w:rsid w:val="00752564"/>
    <w:rsid w:val="00752B41"/>
    <w:rsid w:val="00752B5F"/>
    <w:rsid w:val="00752B7F"/>
    <w:rsid w:val="0075313E"/>
    <w:rsid w:val="00753792"/>
    <w:rsid w:val="00753900"/>
    <w:rsid w:val="0075392D"/>
    <w:rsid w:val="00753DFF"/>
    <w:rsid w:val="00754163"/>
    <w:rsid w:val="00754503"/>
    <w:rsid w:val="0075473B"/>
    <w:rsid w:val="007547C6"/>
    <w:rsid w:val="00755C67"/>
    <w:rsid w:val="00755D82"/>
    <w:rsid w:val="007567D4"/>
    <w:rsid w:val="00756FEB"/>
    <w:rsid w:val="007618F3"/>
    <w:rsid w:val="007624F0"/>
    <w:rsid w:val="007634FA"/>
    <w:rsid w:val="0076397B"/>
    <w:rsid w:val="007639F6"/>
    <w:rsid w:val="00764105"/>
    <w:rsid w:val="00764523"/>
    <w:rsid w:val="0076493C"/>
    <w:rsid w:val="00764DE4"/>
    <w:rsid w:val="007654CF"/>
    <w:rsid w:val="007659E5"/>
    <w:rsid w:val="00765B63"/>
    <w:rsid w:val="0076623E"/>
    <w:rsid w:val="007662C7"/>
    <w:rsid w:val="007664C9"/>
    <w:rsid w:val="00767033"/>
    <w:rsid w:val="00767244"/>
    <w:rsid w:val="00770628"/>
    <w:rsid w:val="00770B42"/>
    <w:rsid w:val="0077126C"/>
    <w:rsid w:val="0077166C"/>
    <w:rsid w:val="00771927"/>
    <w:rsid w:val="0077217C"/>
    <w:rsid w:val="00772645"/>
    <w:rsid w:val="007730DC"/>
    <w:rsid w:val="00773923"/>
    <w:rsid w:val="00773D9B"/>
    <w:rsid w:val="00773E7A"/>
    <w:rsid w:val="007740FA"/>
    <w:rsid w:val="00774205"/>
    <w:rsid w:val="00775132"/>
    <w:rsid w:val="007759A3"/>
    <w:rsid w:val="00775AB0"/>
    <w:rsid w:val="00775B55"/>
    <w:rsid w:val="00775F50"/>
    <w:rsid w:val="007763F3"/>
    <w:rsid w:val="0077652D"/>
    <w:rsid w:val="00776DCE"/>
    <w:rsid w:val="00776E69"/>
    <w:rsid w:val="00776E8D"/>
    <w:rsid w:val="007774B3"/>
    <w:rsid w:val="007775DE"/>
    <w:rsid w:val="00777D22"/>
    <w:rsid w:val="007800EF"/>
    <w:rsid w:val="0078084F"/>
    <w:rsid w:val="007812F4"/>
    <w:rsid w:val="00782374"/>
    <w:rsid w:val="00782A42"/>
    <w:rsid w:val="00783BA5"/>
    <w:rsid w:val="00783CD1"/>
    <w:rsid w:val="00784736"/>
    <w:rsid w:val="00784E6F"/>
    <w:rsid w:val="007860DA"/>
    <w:rsid w:val="0078648A"/>
    <w:rsid w:val="00787D5D"/>
    <w:rsid w:val="007913CB"/>
    <w:rsid w:val="00791EFC"/>
    <w:rsid w:val="0079237A"/>
    <w:rsid w:val="00792470"/>
    <w:rsid w:val="00792D6D"/>
    <w:rsid w:val="00792F62"/>
    <w:rsid w:val="0079372B"/>
    <w:rsid w:val="00794717"/>
    <w:rsid w:val="00794D66"/>
    <w:rsid w:val="00795088"/>
    <w:rsid w:val="00795290"/>
    <w:rsid w:val="00797D4F"/>
    <w:rsid w:val="00797E5A"/>
    <w:rsid w:val="007A0335"/>
    <w:rsid w:val="007A0678"/>
    <w:rsid w:val="007A0E38"/>
    <w:rsid w:val="007A10FB"/>
    <w:rsid w:val="007A13D8"/>
    <w:rsid w:val="007A15F5"/>
    <w:rsid w:val="007A18F1"/>
    <w:rsid w:val="007A3B03"/>
    <w:rsid w:val="007A3B4F"/>
    <w:rsid w:val="007A45DD"/>
    <w:rsid w:val="007A4816"/>
    <w:rsid w:val="007A52AD"/>
    <w:rsid w:val="007A5B7B"/>
    <w:rsid w:val="007A5DED"/>
    <w:rsid w:val="007A627A"/>
    <w:rsid w:val="007A782C"/>
    <w:rsid w:val="007A7A58"/>
    <w:rsid w:val="007B00E4"/>
    <w:rsid w:val="007B0A12"/>
    <w:rsid w:val="007B0C4C"/>
    <w:rsid w:val="007B1436"/>
    <w:rsid w:val="007B1C4A"/>
    <w:rsid w:val="007B22F6"/>
    <w:rsid w:val="007B25BD"/>
    <w:rsid w:val="007B274B"/>
    <w:rsid w:val="007B2BE2"/>
    <w:rsid w:val="007B2C0E"/>
    <w:rsid w:val="007B30A5"/>
    <w:rsid w:val="007B342D"/>
    <w:rsid w:val="007B35A5"/>
    <w:rsid w:val="007B3B6D"/>
    <w:rsid w:val="007B40A7"/>
    <w:rsid w:val="007B4B51"/>
    <w:rsid w:val="007B4DCA"/>
    <w:rsid w:val="007B56EE"/>
    <w:rsid w:val="007B5EE9"/>
    <w:rsid w:val="007B7144"/>
    <w:rsid w:val="007B72F2"/>
    <w:rsid w:val="007B7AC4"/>
    <w:rsid w:val="007C0614"/>
    <w:rsid w:val="007C0DD2"/>
    <w:rsid w:val="007C193E"/>
    <w:rsid w:val="007C2315"/>
    <w:rsid w:val="007C272D"/>
    <w:rsid w:val="007C281D"/>
    <w:rsid w:val="007C2D6E"/>
    <w:rsid w:val="007C3212"/>
    <w:rsid w:val="007C3DB2"/>
    <w:rsid w:val="007C4188"/>
    <w:rsid w:val="007C42E0"/>
    <w:rsid w:val="007C4861"/>
    <w:rsid w:val="007C49EC"/>
    <w:rsid w:val="007C5214"/>
    <w:rsid w:val="007C5A90"/>
    <w:rsid w:val="007C7905"/>
    <w:rsid w:val="007C7E16"/>
    <w:rsid w:val="007D026F"/>
    <w:rsid w:val="007D037F"/>
    <w:rsid w:val="007D03EA"/>
    <w:rsid w:val="007D1504"/>
    <w:rsid w:val="007D178F"/>
    <w:rsid w:val="007D1B65"/>
    <w:rsid w:val="007D277D"/>
    <w:rsid w:val="007D3199"/>
    <w:rsid w:val="007D38D7"/>
    <w:rsid w:val="007D3ACE"/>
    <w:rsid w:val="007D42E3"/>
    <w:rsid w:val="007D4CB9"/>
    <w:rsid w:val="007D541B"/>
    <w:rsid w:val="007D5664"/>
    <w:rsid w:val="007D609A"/>
    <w:rsid w:val="007D709A"/>
    <w:rsid w:val="007D72C6"/>
    <w:rsid w:val="007E0439"/>
    <w:rsid w:val="007E0981"/>
    <w:rsid w:val="007E1222"/>
    <w:rsid w:val="007E1F84"/>
    <w:rsid w:val="007E250E"/>
    <w:rsid w:val="007E2912"/>
    <w:rsid w:val="007E2C0F"/>
    <w:rsid w:val="007E2CCF"/>
    <w:rsid w:val="007E2D4B"/>
    <w:rsid w:val="007E2E78"/>
    <w:rsid w:val="007E3162"/>
    <w:rsid w:val="007E4CE2"/>
    <w:rsid w:val="007E5E89"/>
    <w:rsid w:val="007E681B"/>
    <w:rsid w:val="007E6892"/>
    <w:rsid w:val="007E6A7A"/>
    <w:rsid w:val="007E7A57"/>
    <w:rsid w:val="007F00FF"/>
    <w:rsid w:val="007F0564"/>
    <w:rsid w:val="007F13BF"/>
    <w:rsid w:val="007F1F2C"/>
    <w:rsid w:val="007F2978"/>
    <w:rsid w:val="007F2D08"/>
    <w:rsid w:val="007F2DB2"/>
    <w:rsid w:val="007F32BE"/>
    <w:rsid w:val="007F3F56"/>
    <w:rsid w:val="007F4AA5"/>
    <w:rsid w:val="007F504C"/>
    <w:rsid w:val="007F5060"/>
    <w:rsid w:val="007F54BB"/>
    <w:rsid w:val="007F6A4B"/>
    <w:rsid w:val="007F6B91"/>
    <w:rsid w:val="007F714A"/>
    <w:rsid w:val="007F787A"/>
    <w:rsid w:val="007F7A4E"/>
    <w:rsid w:val="008014B0"/>
    <w:rsid w:val="008017D0"/>
    <w:rsid w:val="00803093"/>
    <w:rsid w:val="00803275"/>
    <w:rsid w:val="00803A55"/>
    <w:rsid w:val="00804465"/>
    <w:rsid w:val="0080454E"/>
    <w:rsid w:val="00805064"/>
    <w:rsid w:val="00805CDC"/>
    <w:rsid w:val="00806378"/>
    <w:rsid w:val="00806CBD"/>
    <w:rsid w:val="0080701C"/>
    <w:rsid w:val="008070B5"/>
    <w:rsid w:val="00807B27"/>
    <w:rsid w:val="00807F5A"/>
    <w:rsid w:val="0081021B"/>
    <w:rsid w:val="0081055F"/>
    <w:rsid w:val="00811541"/>
    <w:rsid w:val="0081162A"/>
    <w:rsid w:val="00811F9E"/>
    <w:rsid w:val="008120BE"/>
    <w:rsid w:val="00813D89"/>
    <w:rsid w:val="0081400B"/>
    <w:rsid w:val="008149BE"/>
    <w:rsid w:val="0081509B"/>
    <w:rsid w:val="0081533E"/>
    <w:rsid w:val="00815954"/>
    <w:rsid w:val="00815CC5"/>
    <w:rsid w:val="00815EAD"/>
    <w:rsid w:val="00816352"/>
    <w:rsid w:val="00816894"/>
    <w:rsid w:val="00817857"/>
    <w:rsid w:val="00820E86"/>
    <w:rsid w:val="0082130C"/>
    <w:rsid w:val="00822353"/>
    <w:rsid w:val="00822A34"/>
    <w:rsid w:val="00822E57"/>
    <w:rsid w:val="00823419"/>
    <w:rsid w:val="00823994"/>
    <w:rsid w:val="00824560"/>
    <w:rsid w:val="0082571D"/>
    <w:rsid w:val="00825CF8"/>
    <w:rsid w:val="00826387"/>
    <w:rsid w:val="008266AE"/>
    <w:rsid w:val="00826D0E"/>
    <w:rsid w:val="0082797F"/>
    <w:rsid w:val="00827B1E"/>
    <w:rsid w:val="00827C46"/>
    <w:rsid w:val="00830215"/>
    <w:rsid w:val="00830BF2"/>
    <w:rsid w:val="008310C4"/>
    <w:rsid w:val="00831143"/>
    <w:rsid w:val="00831844"/>
    <w:rsid w:val="00831E04"/>
    <w:rsid w:val="00832528"/>
    <w:rsid w:val="00832BE4"/>
    <w:rsid w:val="00832FD3"/>
    <w:rsid w:val="00833828"/>
    <w:rsid w:val="00833BE4"/>
    <w:rsid w:val="00833C20"/>
    <w:rsid w:val="0083402E"/>
    <w:rsid w:val="00834124"/>
    <w:rsid w:val="00834912"/>
    <w:rsid w:val="008356C3"/>
    <w:rsid w:val="00835827"/>
    <w:rsid w:val="008364E7"/>
    <w:rsid w:val="00836851"/>
    <w:rsid w:val="00836E04"/>
    <w:rsid w:val="008370E1"/>
    <w:rsid w:val="00837F14"/>
    <w:rsid w:val="00840BFC"/>
    <w:rsid w:val="00840D53"/>
    <w:rsid w:val="008411CC"/>
    <w:rsid w:val="00841697"/>
    <w:rsid w:val="00841A4B"/>
    <w:rsid w:val="00841FDB"/>
    <w:rsid w:val="0084334E"/>
    <w:rsid w:val="008436E3"/>
    <w:rsid w:val="00843DA7"/>
    <w:rsid w:val="00843F54"/>
    <w:rsid w:val="008440F8"/>
    <w:rsid w:val="0084438F"/>
    <w:rsid w:val="008454D6"/>
    <w:rsid w:val="008457C7"/>
    <w:rsid w:val="0084599D"/>
    <w:rsid w:val="008463B0"/>
    <w:rsid w:val="00846644"/>
    <w:rsid w:val="00846B50"/>
    <w:rsid w:val="0084777D"/>
    <w:rsid w:val="00847847"/>
    <w:rsid w:val="00850DB9"/>
    <w:rsid w:val="00850E67"/>
    <w:rsid w:val="00851E30"/>
    <w:rsid w:val="008526F4"/>
    <w:rsid w:val="0085275E"/>
    <w:rsid w:val="00852A26"/>
    <w:rsid w:val="00852B25"/>
    <w:rsid w:val="00852E02"/>
    <w:rsid w:val="008533E8"/>
    <w:rsid w:val="0085355D"/>
    <w:rsid w:val="00853A5F"/>
    <w:rsid w:val="0085420A"/>
    <w:rsid w:val="0085423A"/>
    <w:rsid w:val="00854674"/>
    <w:rsid w:val="008548D9"/>
    <w:rsid w:val="00855F8E"/>
    <w:rsid w:val="0085619C"/>
    <w:rsid w:val="0085631C"/>
    <w:rsid w:val="0085650E"/>
    <w:rsid w:val="00856597"/>
    <w:rsid w:val="00857027"/>
    <w:rsid w:val="008574ED"/>
    <w:rsid w:val="0085755A"/>
    <w:rsid w:val="00857B70"/>
    <w:rsid w:val="00860419"/>
    <w:rsid w:val="008616D7"/>
    <w:rsid w:val="008619FF"/>
    <w:rsid w:val="00861B27"/>
    <w:rsid w:val="00862E84"/>
    <w:rsid w:val="00863709"/>
    <w:rsid w:val="008646BE"/>
    <w:rsid w:val="00864B5F"/>
    <w:rsid w:val="00864DEA"/>
    <w:rsid w:val="008653E9"/>
    <w:rsid w:val="00865F2A"/>
    <w:rsid w:val="00865FAB"/>
    <w:rsid w:val="00866334"/>
    <w:rsid w:val="008667FD"/>
    <w:rsid w:val="00866AA0"/>
    <w:rsid w:val="00867B5D"/>
    <w:rsid w:val="00867DD3"/>
    <w:rsid w:val="008707CC"/>
    <w:rsid w:val="00870E9D"/>
    <w:rsid w:val="00871411"/>
    <w:rsid w:val="008732BB"/>
    <w:rsid w:val="0087339C"/>
    <w:rsid w:val="0087357C"/>
    <w:rsid w:val="008735EC"/>
    <w:rsid w:val="00873971"/>
    <w:rsid w:val="00873D5B"/>
    <w:rsid w:val="00874265"/>
    <w:rsid w:val="00874DDF"/>
    <w:rsid w:val="00874E87"/>
    <w:rsid w:val="00874F66"/>
    <w:rsid w:val="008750A1"/>
    <w:rsid w:val="008758AD"/>
    <w:rsid w:val="00875CE2"/>
    <w:rsid w:val="00875FB7"/>
    <w:rsid w:val="0087615E"/>
    <w:rsid w:val="008766C8"/>
    <w:rsid w:val="00876857"/>
    <w:rsid w:val="00876D40"/>
    <w:rsid w:val="008772A8"/>
    <w:rsid w:val="008774F7"/>
    <w:rsid w:val="00877E38"/>
    <w:rsid w:val="00880296"/>
    <w:rsid w:val="0088108A"/>
    <w:rsid w:val="00881F22"/>
    <w:rsid w:val="00881F86"/>
    <w:rsid w:val="00882048"/>
    <w:rsid w:val="00882BE3"/>
    <w:rsid w:val="0088301E"/>
    <w:rsid w:val="008830B7"/>
    <w:rsid w:val="00883882"/>
    <w:rsid w:val="008838EC"/>
    <w:rsid w:val="00883E50"/>
    <w:rsid w:val="00883FC1"/>
    <w:rsid w:val="0088412F"/>
    <w:rsid w:val="00884318"/>
    <w:rsid w:val="00885A81"/>
    <w:rsid w:val="00886DA5"/>
    <w:rsid w:val="00886F51"/>
    <w:rsid w:val="0088723E"/>
    <w:rsid w:val="00887987"/>
    <w:rsid w:val="00887F8D"/>
    <w:rsid w:val="008904C4"/>
    <w:rsid w:val="00892C1B"/>
    <w:rsid w:val="008932B2"/>
    <w:rsid w:val="0089436D"/>
    <w:rsid w:val="00894ACC"/>
    <w:rsid w:val="008951D2"/>
    <w:rsid w:val="00895709"/>
    <w:rsid w:val="00895742"/>
    <w:rsid w:val="008958D9"/>
    <w:rsid w:val="00896F5A"/>
    <w:rsid w:val="00897014"/>
    <w:rsid w:val="00897875"/>
    <w:rsid w:val="008A024C"/>
    <w:rsid w:val="008A0618"/>
    <w:rsid w:val="008A0F59"/>
    <w:rsid w:val="008A145B"/>
    <w:rsid w:val="008A20A8"/>
    <w:rsid w:val="008A251A"/>
    <w:rsid w:val="008A28AC"/>
    <w:rsid w:val="008A3071"/>
    <w:rsid w:val="008A33C1"/>
    <w:rsid w:val="008A3964"/>
    <w:rsid w:val="008A3D34"/>
    <w:rsid w:val="008A40A0"/>
    <w:rsid w:val="008A4A9E"/>
    <w:rsid w:val="008A4B23"/>
    <w:rsid w:val="008A4D80"/>
    <w:rsid w:val="008A509E"/>
    <w:rsid w:val="008A526A"/>
    <w:rsid w:val="008A5341"/>
    <w:rsid w:val="008A53D7"/>
    <w:rsid w:val="008A5ABF"/>
    <w:rsid w:val="008A620F"/>
    <w:rsid w:val="008A64C6"/>
    <w:rsid w:val="008A6714"/>
    <w:rsid w:val="008A7F33"/>
    <w:rsid w:val="008A7FA5"/>
    <w:rsid w:val="008B08F1"/>
    <w:rsid w:val="008B0A7A"/>
    <w:rsid w:val="008B10D0"/>
    <w:rsid w:val="008B13DC"/>
    <w:rsid w:val="008B1A47"/>
    <w:rsid w:val="008B1CA3"/>
    <w:rsid w:val="008B24C4"/>
    <w:rsid w:val="008B2B85"/>
    <w:rsid w:val="008B363C"/>
    <w:rsid w:val="008B3932"/>
    <w:rsid w:val="008B4A97"/>
    <w:rsid w:val="008B4BF8"/>
    <w:rsid w:val="008B53AB"/>
    <w:rsid w:val="008B63DD"/>
    <w:rsid w:val="008B6BDA"/>
    <w:rsid w:val="008B6E40"/>
    <w:rsid w:val="008B6E5B"/>
    <w:rsid w:val="008B6E78"/>
    <w:rsid w:val="008B6FA1"/>
    <w:rsid w:val="008B7346"/>
    <w:rsid w:val="008B7562"/>
    <w:rsid w:val="008B7652"/>
    <w:rsid w:val="008B7785"/>
    <w:rsid w:val="008B7A6D"/>
    <w:rsid w:val="008B7F85"/>
    <w:rsid w:val="008C0131"/>
    <w:rsid w:val="008C0422"/>
    <w:rsid w:val="008C1C24"/>
    <w:rsid w:val="008C1D09"/>
    <w:rsid w:val="008C306F"/>
    <w:rsid w:val="008C395A"/>
    <w:rsid w:val="008C3CE5"/>
    <w:rsid w:val="008C41D2"/>
    <w:rsid w:val="008C4456"/>
    <w:rsid w:val="008C4C90"/>
    <w:rsid w:val="008C518B"/>
    <w:rsid w:val="008C58E8"/>
    <w:rsid w:val="008C5CFA"/>
    <w:rsid w:val="008C6351"/>
    <w:rsid w:val="008C67E0"/>
    <w:rsid w:val="008C6899"/>
    <w:rsid w:val="008C712B"/>
    <w:rsid w:val="008C7710"/>
    <w:rsid w:val="008C7D6B"/>
    <w:rsid w:val="008C7E42"/>
    <w:rsid w:val="008D01CA"/>
    <w:rsid w:val="008D110C"/>
    <w:rsid w:val="008D1CB6"/>
    <w:rsid w:val="008D251F"/>
    <w:rsid w:val="008D2F49"/>
    <w:rsid w:val="008D3350"/>
    <w:rsid w:val="008D3DA3"/>
    <w:rsid w:val="008D43E6"/>
    <w:rsid w:val="008D4579"/>
    <w:rsid w:val="008D5AC3"/>
    <w:rsid w:val="008D5DC5"/>
    <w:rsid w:val="008D604A"/>
    <w:rsid w:val="008D6328"/>
    <w:rsid w:val="008D6B1D"/>
    <w:rsid w:val="008D6C36"/>
    <w:rsid w:val="008D6D92"/>
    <w:rsid w:val="008D7090"/>
    <w:rsid w:val="008D77D7"/>
    <w:rsid w:val="008D79E2"/>
    <w:rsid w:val="008D7B3B"/>
    <w:rsid w:val="008D7BC7"/>
    <w:rsid w:val="008D7D82"/>
    <w:rsid w:val="008D7F03"/>
    <w:rsid w:val="008E01F7"/>
    <w:rsid w:val="008E126F"/>
    <w:rsid w:val="008E1316"/>
    <w:rsid w:val="008E1486"/>
    <w:rsid w:val="008E1E89"/>
    <w:rsid w:val="008E26A8"/>
    <w:rsid w:val="008E2C9D"/>
    <w:rsid w:val="008E39C7"/>
    <w:rsid w:val="008E3A19"/>
    <w:rsid w:val="008E3CBD"/>
    <w:rsid w:val="008E40C2"/>
    <w:rsid w:val="008E4348"/>
    <w:rsid w:val="008E4C5D"/>
    <w:rsid w:val="008E4F82"/>
    <w:rsid w:val="008E50DA"/>
    <w:rsid w:val="008E5224"/>
    <w:rsid w:val="008E54ED"/>
    <w:rsid w:val="008E5F9C"/>
    <w:rsid w:val="008E6AD9"/>
    <w:rsid w:val="008E7EF8"/>
    <w:rsid w:val="008F07E4"/>
    <w:rsid w:val="008F0C0D"/>
    <w:rsid w:val="008F0CB7"/>
    <w:rsid w:val="008F18E8"/>
    <w:rsid w:val="008F209D"/>
    <w:rsid w:val="008F2105"/>
    <w:rsid w:val="008F2288"/>
    <w:rsid w:val="008F2396"/>
    <w:rsid w:val="008F298C"/>
    <w:rsid w:val="008F29B2"/>
    <w:rsid w:val="008F2B1A"/>
    <w:rsid w:val="008F2FBD"/>
    <w:rsid w:val="008F3331"/>
    <w:rsid w:val="008F3C43"/>
    <w:rsid w:val="008F42D0"/>
    <w:rsid w:val="008F47A0"/>
    <w:rsid w:val="008F6071"/>
    <w:rsid w:val="008F67E5"/>
    <w:rsid w:val="008F6FF8"/>
    <w:rsid w:val="008F765A"/>
    <w:rsid w:val="008F7CFC"/>
    <w:rsid w:val="00900296"/>
    <w:rsid w:val="00900412"/>
    <w:rsid w:val="00900F38"/>
    <w:rsid w:val="009011E5"/>
    <w:rsid w:val="009015B2"/>
    <w:rsid w:val="00901601"/>
    <w:rsid w:val="009019BC"/>
    <w:rsid w:val="00901A46"/>
    <w:rsid w:val="0090200E"/>
    <w:rsid w:val="009020B2"/>
    <w:rsid w:val="00902667"/>
    <w:rsid w:val="00903BAA"/>
    <w:rsid w:val="009044BD"/>
    <w:rsid w:val="00904DBB"/>
    <w:rsid w:val="0090501F"/>
    <w:rsid w:val="0090529B"/>
    <w:rsid w:val="009061A0"/>
    <w:rsid w:val="00907C9F"/>
    <w:rsid w:val="00907D33"/>
    <w:rsid w:val="00907E07"/>
    <w:rsid w:val="009101A1"/>
    <w:rsid w:val="0091050B"/>
    <w:rsid w:val="00910548"/>
    <w:rsid w:val="00911E14"/>
    <w:rsid w:val="0091332F"/>
    <w:rsid w:val="00913A0F"/>
    <w:rsid w:val="00914B30"/>
    <w:rsid w:val="00914D33"/>
    <w:rsid w:val="0091514B"/>
    <w:rsid w:val="0091521C"/>
    <w:rsid w:val="009158BA"/>
    <w:rsid w:val="009159D7"/>
    <w:rsid w:val="00915B9E"/>
    <w:rsid w:val="009166F6"/>
    <w:rsid w:val="009171D4"/>
    <w:rsid w:val="00917398"/>
    <w:rsid w:val="00920276"/>
    <w:rsid w:val="00920945"/>
    <w:rsid w:val="00920EC5"/>
    <w:rsid w:val="009211A8"/>
    <w:rsid w:val="00921791"/>
    <w:rsid w:val="00921D35"/>
    <w:rsid w:val="00922734"/>
    <w:rsid w:val="009238CC"/>
    <w:rsid w:val="00923EBE"/>
    <w:rsid w:val="00924243"/>
    <w:rsid w:val="009244E5"/>
    <w:rsid w:val="009244F9"/>
    <w:rsid w:val="00924891"/>
    <w:rsid w:val="00924A60"/>
    <w:rsid w:val="00925630"/>
    <w:rsid w:val="009265DD"/>
    <w:rsid w:val="00926C72"/>
    <w:rsid w:val="00927124"/>
    <w:rsid w:val="009276FB"/>
    <w:rsid w:val="00927840"/>
    <w:rsid w:val="0093040C"/>
    <w:rsid w:val="00931BA7"/>
    <w:rsid w:val="00931ECE"/>
    <w:rsid w:val="00932C2F"/>
    <w:rsid w:val="00933A81"/>
    <w:rsid w:val="00936099"/>
    <w:rsid w:val="0093647C"/>
    <w:rsid w:val="00936AD0"/>
    <w:rsid w:val="0093728E"/>
    <w:rsid w:val="009409DC"/>
    <w:rsid w:val="00940ECC"/>
    <w:rsid w:val="0094151B"/>
    <w:rsid w:val="009417F3"/>
    <w:rsid w:val="00941FD4"/>
    <w:rsid w:val="00942319"/>
    <w:rsid w:val="009429C6"/>
    <w:rsid w:val="00942A2B"/>
    <w:rsid w:val="0094367E"/>
    <w:rsid w:val="0094397C"/>
    <w:rsid w:val="00943A3A"/>
    <w:rsid w:val="00943C60"/>
    <w:rsid w:val="00944BB8"/>
    <w:rsid w:val="00944C2E"/>
    <w:rsid w:val="00944C31"/>
    <w:rsid w:val="0094612D"/>
    <w:rsid w:val="00946578"/>
    <w:rsid w:val="00946618"/>
    <w:rsid w:val="00946A0A"/>
    <w:rsid w:val="00946F4A"/>
    <w:rsid w:val="009476CC"/>
    <w:rsid w:val="00947FE7"/>
    <w:rsid w:val="0095001A"/>
    <w:rsid w:val="00951947"/>
    <w:rsid w:val="0095247D"/>
    <w:rsid w:val="00952743"/>
    <w:rsid w:val="00954042"/>
    <w:rsid w:val="00954071"/>
    <w:rsid w:val="00954150"/>
    <w:rsid w:val="009549BE"/>
    <w:rsid w:val="00954AB8"/>
    <w:rsid w:val="0095566D"/>
    <w:rsid w:val="00955E05"/>
    <w:rsid w:val="00955E76"/>
    <w:rsid w:val="009563E0"/>
    <w:rsid w:val="009566E2"/>
    <w:rsid w:val="009568D2"/>
    <w:rsid w:val="00956BD1"/>
    <w:rsid w:val="00956E88"/>
    <w:rsid w:val="00957F42"/>
    <w:rsid w:val="0096055E"/>
    <w:rsid w:val="00960B0B"/>
    <w:rsid w:val="0096143F"/>
    <w:rsid w:val="009627D8"/>
    <w:rsid w:val="00963FEB"/>
    <w:rsid w:val="00964DDD"/>
    <w:rsid w:val="0096545F"/>
    <w:rsid w:val="00965AB2"/>
    <w:rsid w:val="00965F19"/>
    <w:rsid w:val="00966431"/>
    <w:rsid w:val="00966EB9"/>
    <w:rsid w:val="00967149"/>
    <w:rsid w:val="0096756B"/>
    <w:rsid w:val="00967968"/>
    <w:rsid w:val="00970086"/>
    <w:rsid w:val="009710E4"/>
    <w:rsid w:val="00972129"/>
    <w:rsid w:val="0097243D"/>
    <w:rsid w:val="00972DA5"/>
    <w:rsid w:val="00972DFC"/>
    <w:rsid w:val="0097316B"/>
    <w:rsid w:val="0097316E"/>
    <w:rsid w:val="00973209"/>
    <w:rsid w:val="00973581"/>
    <w:rsid w:val="00974263"/>
    <w:rsid w:val="00974E7F"/>
    <w:rsid w:val="00975C39"/>
    <w:rsid w:val="009764E5"/>
    <w:rsid w:val="009767B6"/>
    <w:rsid w:val="00976EC8"/>
    <w:rsid w:val="00977629"/>
    <w:rsid w:val="00977F06"/>
    <w:rsid w:val="00981B66"/>
    <w:rsid w:val="00982822"/>
    <w:rsid w:val="00983285"/>
    <w:rsid w:val="0098355F"/>
    <w:rsid w:val="00983762"/>
    <w:rsid w:val="009840C0"/>
    <w:rsid w:val="0098576B"/>
    <w:rsid w:val="009866CC"/>
    <w:rsid w:val="0098677D"/>
    <w:rsid w:val="00986E9D"/>
    <w:rsid w:val="00986FF1"/>
    <w:rsid w:val="00987255"/>
    <w:rsid w:val="0098796E"/>
    <w:rsid w:val="00987A55"/>
    <w:rsid w:val="00987C08"/>
    <w:rsid w:val="00987E47"/>
    <w:rsid w:val="00987F00"/>
    <w:rsid w:val="009902C0"/>
    <w:rsid w:val="009902C5"/>
    <w:rsid w:val="00990B16"/>
    <w:rsid w:val="00990C05"/>
    <w:rsid w:val="00990D97"/>
    <w:rsid w:val="00991E79"/>
    <w:rsid w:val="00992594"/>
    <w:rsid w:val="0099316B"/>
    <w:rsid w:val="0099330F"/>
    <w:rsid w:val="0099382C"/>
    <w:rsid w:val="00993A86"/>
    <w:rsid w:val="00993F00"/>
    <w:rsid w:val="00994C71"/>
    <w:rsid w:val="00994ECE"/>
    <w:rsid w:val="00995314"/>
    <w:rsid w:val="0099595C"/>
    <w:rsid w:val="00995AC3"/>
    <w:rsid w:val="00995DF0"/>
    <w:rsid w:val="00997452"/>
    <w:rsid w:val="00997D39"/>
    <w:rsid w:val="00997DEC"/>
    <w:rsid w:val="00997E03"/>
    <w:rsid w:val="00997E7B"/>
    <w:rsid w:val="00997F60"/>
    <w:rsid w:val="009A08D1"/>
    <w:rsid w:val="009A0B00"/>
    <w:rsid w:val="009A13E5"/>
    <w:rsid w:val="009A149E"/>
    <w:rsid w:val="009A1EE6"/>
    <w:rsid w:val="009A1EFC"/>
    <w:rsid w:val="009A22C9"/>
    <w:rsid w:val="009A261F"/>
    <w:rsid w:val="009A2745"/>
    <w:rsid w:val="009A4402"/>
    <w:rsid w:val="009A4B0F"/>
    <w:rsid w:val="009A4C8A"/>
    <w:rsid w:val="009A532F"/>
    <w:rsid w:val="009A547C"/>
    <w:rsid w:val="009A58BE"/>
    <w:rsid w:val="009A6BB4"/>
    <w:rsid w:val="009A6D4C"/>
    <w:rsid w:val="009A6DE7"/>
    <w:rsid w:val="009A70C4"/>
    <w:rsid w:val="009A79A2"/>
    <w:rsid w:val="009A7A9E"/>
    <w:rsid w:val="009B02CA"/>
    <w:rsid w:val="009B072A"/>
    <w:rsid w:val="009B0A6B"/>
    <w:rsid w:val="009B13EB"/>
    <w:rsid w:val="009B1580"/>
    <w:rsid w:val="009B1917"/>
    <w:rsid w:val="009B19AA"/>
    <w:rsid w:val="009B2470"/>
    <w:rsid w:val="009B2516"/>
    <w:rsid w:val="009B25AF"/>
    <w:rsid w:val="009B29C0"/>
    <w:rsid w:val="009B356C"/>
    <w:rsid w:val="009B3BCC"/>
    <w:rsid w:val="009B49C2"/>
    <w:rsid w:val="009B536D"/>
    <w:rsid w:val="009B55F5"/>
    <w:rsid w:val="009B5606"/>
    <w:rsid w:val="009B6078"/>
    <w:rsid w:val="009B6683"/>
    <w:rsid w:val="009B6E0C"/>
    <w:rsid w:val="009B7694"/>
    <w:rsid w:val="009C000C"/>
    <w:rsid w:val="009C1039"/>
    <w:rsid w:val="009C1385"/>
    <w:rsid w:val="009C1C62"/>
    <w:rsid w:val="009C224B"/>
    <w:rsid w:val="009C2941"/>
    <w:rsid w:val="009C3874"/>
    <w:rsid w:val="009C3A9E"/>
    <w:rsid w:val="009C3B16"/>
    <w:rsid w:val="009C5867"/>
    <w:rsid w:val="009C652F"/>
    <w:rsid w:val="009C6BAA"/>
    <w:rsid w:val="009C6E71"/>
    <w:rsid w:val="009C70A9"/>
    <w:rsid w:val="009C7508"/>
    <w:rsid w:val="009C7701"/>
    <w:rsid w:val="009C7796"/>
    <w:rsid w:val="009D01AE"/>
    <w:rsid w:val="009D0617"/>
    <w:rsid w:val="009D0885"/>
    <w:rsid w:val="009D10EA"/>
    <w:rsid w:val="009D1863"/>
    <w:rsid w:val="009D1C30"/>
    <w:rsid w:val="009D2295"/>
    <w:rsid w:val="009D2ACD"/>
    <w:rsid w:val="009D2BCE"/>
    <w:rsid w:val="009D2FD3"/>
    <w:rsid w:val="009D368F"/>
    <w:rsid w:val="009D3B5B"/>
    <w:rsid w:val="009D3DEC"/>
    <w:rsid w:val="009D4381"/>
    <w:rsid w:val="009D5351"/>
    <w:rsid w:val="009D7FDE"/>
    <w:rsid w:val="009E0CC0"/>
    <w:rsid w:val="009E0E8F"/>
    <w:rsid w:val="009E121C"/>
    <w:rsid w:val="009E12C7"/>
    <w:rsid w:val="009E17FE"/>
    <w:rsid w:val="009E1A0D"/>
    <w:rsid w:val="009E2E56"/>
    <w:rsid w:val="009E4831"/>
    <w:rsid w:val="009E5001"/>
    <w:rsid w:val="009E5167"/>
    <w:rsid w:val="009E5DBB"/>
    <w:rsid w:val="009E6C33"/>
    <w:rsid w:val="009E6D71"/>
    <w:rsid w:val="009E7883"/>
    <w:rsid w:val="009F001C"/>
    <w:rsid w:val="009F0E9C"/>
    <w:rsid w:val="009F1422"/>
    <w:rsid w:val="009F14B0"/>
    <w:rsid w:val="009F160F"/>
    <w:rsid w:val="009F219E"/>
    <w:rsid w:val="009F26B1"/>
    <w:rsid w:val="009F32C1"/>
    <w:rsid w:val="009F34FE"/>
    <w:rsid w:val="009F3716"/>
    <w:rsid w:val="009F3A9F"/>
    <w:rsid w:val="009F3F38"/>
    <w:rsid w:val="009F46CE"/>
    <w:rsid w:val="009F4AEB"/>
    <w:rsid w:val="009F5359"/>
    <w:rsid w:val="009F55F3"/>
    <w:rsid w:val="009F5A6A"/>
    <w:rsid w:val="009F5DCA"/>
    <w:rsid w:val="009F7066"/>
    <w:rsid w:val="009F70A5"/>
    <w:rsid w:val="009F70C7"/>
    <w:rsid w:val="009F72E2"/>
    <w:rsid w:val="009F75FD"/>
    <w:rsid w:val="009F7EC9"/>
    <w:rsid w:val="00A0015D"/>
    <w:rsid w:val="00A00835"/>
    <w:rsid w:val="00A00989"/>
    <w:rsid w:val="00A0115D"/>
    <w:rsid w:val="00A01469"/>
    <w:rsid w:val="00A01CDF"/>
    <w:rsid w:val="00A01D26"/>
    <w:rsid w:val="00A02623"/>
    <w:rsid w:val="00A02E8F"/>
    <w:rsid w:val="00A03279"/>
    <w:rsid w:val="00A047E0"/>
    <w:rsid w:val="00A04B52"/>
    <w:rsid w:val="00A05683"/>
    <w:rsid w:val="00A06611"/>
    <w:rsid w:val="00A06C06"/>
    <w:rsid w:val="00A074F7"/>
    <w:rsid w:val="00A07DC7"/>
    <w:rsid w:val="00A104FD"/>
    <w:rsid w:val="00A1196B"/>
    <w:rsid w:val="00A11AAA"/>
    <w:rsid w:val="00A126FF"/>
    <w:rsid w:val="00A12FB3"/>
    <w:rsid w:val="00A138C4"/>
    <w:rsid w:val="00A13BA7"/>
    <w:rsid w:val="00A14040"/>
    <w:rsid w:val="00A1502D"/>
    <w:rsid w:val="00A155C5"/>
    <w:rsid w:val="00A159A8"/>
    <w:rsid w:val="00A15E80"/>
    <w:rsid w:val="00A1689A"/>
    <w:rsid w:val="00A16F43"/>
    <w:rsid w:val="00A17609"/>
    <w:rsid w:val="00A208E6"/>
    <w:rsid w:val="00A20D46"/>
    <w:rsid w:val="00A20DE4"/>
    <w:rsid w:val="00A214E8"/>
    <w:rsid w:val="00A21BFE"/>
    <w:rsid w:val="00A227A1"/>
    <w:rsid w:val="00A2284D"/>
    <w:rsid w:val="00A239FB"/>
    <w:rsid w:val="00A24320"/>
    <w:rsid w:val="00A2442A"/>
    <w:rsid w:val="00A2449A"/>
    <w:rsid w:val="00A24F51"/>
    <w:rsid w:val="00A25622"/>
    <w:rsid w:val="00A25B88"/>
    <w:rsid w:val="00A25C14"/>
    <w:rsid w:val="00A25FA5"/>
    <w:rsid w:val="00A26174"/>
    <w:rsid w:val="00A267D7"/>
    <w:rsid w:val="00A278C2"/>
    <w:rsid w:val="00A3057E"/>
    <w:rsid w:val="00A30979"/>
    <w:rsid w:val="00A30D8B"/>
    <w:rsid w:val="00A31644"/>
    <w:rsid w:val="00A317B6"/>
    <w:rsid w:val="00A317C7"/>
    <w:rsid w:val="00A32ABC"/>
    <w:rsid w:val="00A331F2"/>
    <w:rsid w:val="00A33695"/>
    <w:rsid w:val="00A34FEB"/>
    <w:rsid w:val="00A351D7"/>
    <w:rsid w:val="00A3582F"/>
    <w:rsid w:val="00A362CD"/>
    <w:rsid w:val="00A36544"/>
    <w:rsid w:val="00A37048"/>
    <w:rsid w:val="00A3789F"/>
    <w:rsid w:val="00A40DE6"/>
    <w:rsid w:val="00A419EA"/>
    <w:rsid w:val="00A422FE"/>
    <w:rsid w:val="00A425A5"/>
    <w:rsid w:val="00A429B0"/>
    <w:rsid w:val="00A4472C"/>
    <w:rsid w:val="00A44B72"/>
    <w:rsid w:val="00A4509E"/>
    <w:rsid w:val="00A451A9"/>
    <w:rsid w:val="00A4527D"/>
    <w:rsid w:val="00A45694"/>
    <w:rsid w:val="00A4584C"/>
    <w:rsid w:val="00A45A08"/>
    <w:rsid w:val="00A4612D"/>
    <w:rsid w:val="00A46473"/>
    <w:rsid w:val="00A46506"/>
    <w:rsid w:val="00A4751B"/>
    <w:rsid w:val="00A5051D"/>
    <w:rsid w:val="00A50626"/>
    <w:rsid w:val="00A50B64"/>
    <w:rsid w:val="00A512B3"/>
    <w:rsid w:val="00A514D8"/>
    <w:rsid w:val="00A51F17"/>
    <w:rsid w:val="00A52279"/>
    <w:rsid w:val="00A52AD7"/>
    <w:rsid w:val="00A52EEB"/>
    <w:rsid w:val="00A533E8"/>
    <w:rsid w:val="00A5343F"/>
    <w:rsid w:val="00A5381F"/>
    <w:rsid w:val="00A538B9"/>
    <w:rsid w:val="00A539EF"/>
    <w:rsid w:val="00A53E70"/>
    <w:rsid w:val="00A557B3"/>
    <w:rsid w:val="00A5654A"/>
    <w:rsid w:val="00A56740"/>
    <w:rsid w:val="00A568B5"/>
    <w:rsid w:val="00A5716A"/>
    <w:rsid w:val="00A577A2"/>
    <w:rsid w:val="00A57885"/>
    <w:rsid w:val="00A57BFC"/>
    <w:rsid w:val="00A57D99"/>
    <w:rsid w:val="00A57F00"/>
    <w:rsid w:val="00A6048C"/>
    <w:rsid w:val="00A612F0"/>
    <w:rsid w:val="00A61316"/>
    <w:rsid w:val="00A61858"/>
    <w:rsid w:val="00A61AE9"/>
    <w:rsid w:val="00A62386"/>
    <w:rsid w:val="00A62576"/>
    <w:rsid w:val="00A63029"/>
    <w:rsid w:val="00A63BC9"/>
    <w:rsid w:val="00A6429C"/>
    <w:rsid w:val="00A65373"/>
    <w:rsid w:val="00A657A1"/>
    <w:rsid w:val="00A659A7"/>
    <w:rsid w:val="00A66D91"/>
    <w:rsid w:val="00A67641"/>
    <w:rsid w:val="00A67BFD"/>
    <w:rsid w:val="00A67C57"/>
    <w:rsid w:val="00A71C6F"/>
    <w:rsid w:val="00A71E9D"/>
    <w:rsid w:val="00A723D1"/>
    <w:rsid w:val="00A7297F"/>
    <w:rsid w:val="00A72CD4"/>
    <w:rsid w:val="00A7411B"/>
    <w:rsid w:val="00A743F2"/>
    <w:rsid w:val="00A75385"/>
    <w:rsid w:val="00A758BE"/>
    <w:rsid w:val="00A75F5F"/>
    <w:rsid w:val="00A7602E"/>
    <w:rsid w:val="00A77A0F"/>
    <w:rsid w:val="00A77E7B"/>
    <w:rsid w:val="00A8014A"/>
    <w:rsid w:val="00A826AA"/>
    <w:rsid w:val="00A82941"/>
    <w:rsid w:val="00A8411F"/>
    <w:rsid w:val="00A8465D"/>
    <w:rsid w:val="00A8552C"/>
    <w:rsid w:val="00A8558C"/>
    <w:rsid w:val="00A85FF9"/>
    <w:rsid w:val="00A86438"/>
    <w:rsid w:val="00A8651B"/>
    <w:rsid w:val="00A86817"/>
    <w:rsid w:val="00A8737C"/>
    <w:rsid w:val="00A87577"/>
    <w:rsid w:val="00A87D05"/>
    <w:rsid w:val="00A90119"/>
    <w:rsid w:val="00A90A4B"/>
    <w:rsid w:val="00A90DBA"/>
    <w:rsid w:val="00A91C4B"/>
    <w:rsid w:val="00A9238D"/>
    <w:rsid w:val="00A926A1"/>
    <w:rsid w:val="00A9270C"/>
    <w:rsid w:val="00A93501"/>
    <w:rsid w:val="00A937D5"/>
    <w:rsid w:val="00A94238"/>
    <w:rsid w:val="00A95A70"/>
    <w:rsid w:val="00A960EB"/>
    <w:rsid w:val="00A9619A"/>
    <w:rsid w:val="00A9632E"/>
    <w:rsid w:val="00A96477"/>
    <w:rsid w:val="00A96CCB"/>
    <w:rsid w:val="00A96EDC"/>
    <w:rsid w:val="00A976C3"/>
    <w:rsid w:val="00A97EFD"/>
    <w:rsid w:val="00A97F2B"/>
    <w:rsid w:val="00AA0447"/>
    <w:rsid w:val="00AA0863"/>
    <w:rsid w:val="00AA09C9"/>
    <w:rsid w:val="00AA1362"/>
    <w:rsid w:val="00AA16D3"/>
    <w:rsid w:val="00AA19E8"/>
    <w:rsid w:val="00AA2340"/>
    <w:rsid w:val="00AA2640"/>
    <w:rsid w:val="00AA296E"/>
    <w:rsid w:val="00AA2AB7"/>
    <w:rsid w:val="00AA3667"/>
    <w:rsid w:val="00AA3E00"/>
    <w:rsid w:val="00AA4135"/>
    <w:rsid w:val="00AA42F6"/>
    <w:rsid w:val="00AA5374"/>
    <w:rsid w:val="00AA591A"/>
    <w:rsid w:val="00AA7E97"/>
    <w:rsid w:val="00AB00D3"/>
    <w:rsid w:val="00AB0CE0"/>
    <w:rsid w:val="00AB124F"/>
    <w:rsid w:val="00AB1921"/>
    <w:rsid w:val="00AB216D"/>
    <w:rsid w:val="00AB2C51"/>
    <w:rsid w:val="00AB2E84"/>
    <w:rsid w:val="00AB341A"/>
    <w:rsid w:val="00AB3690"/>
    <w:rsid w:val="00AB37D5"/>
    <w:rsid w:val="00AB3D8A"/>
    <w:rsid w:val="00AB3E39"/>
    <w:rsid w:val="00AB48F3"/>
    <w:rsid w:val="00AB4B8C"/>
    <w:rsid w:val="00AB4CAF"/>
    <w:rsid w:val="00AB4CE5"/>
    <w:rsid w:val="00AB509E"/>
    <w:rsid w:val="00AB5858"/>
    <w:rsid w:val="00AB7A19"/>
    <w:rsid w:val="00AB7B74"/>
    <w:rsid w:val="00AB7FF2"/>
    <w:rsid w:val="00AC04C1"/>
    <w:rsid w:val="00AC082C"/>
    <w:rsid w:val="00AC0AA2"/>
    <w:rsid w:val="00AC14D5"/>
    <w:rsid w:val="00AC2DCC"/>
    <w:rsid w:val="00AC2ECD"/>
    <w:rsid w:val="00AC3827"/>
    <w:rsid w:val="00AC4115"/>
    <w:rsid w:val="00AC4F2D"/>
    <w:rsid w:val="00AC5062"/>
    <w:rsid w:val="00AC6E93"/>
    <w:rsid w:val="00AC70CC"/>
    <w:rsid w:val="00AC77C0"/>
    <w:rsid w:val="00AC7FBB"/>
    <w:rsid w:val="00AD09C4"/>
    <w:rsid w:val="00AD0AA0"/>
    <w:rsid w:val="00AD0D3F"/>
    <w:rsid w:val="00AD1577"/>
    <w:rsid w:val="00AD15B1"/>
    <w:rsid w:val="00AD1DB8"/>
    <w:rsid w:val="00AD2410"/>
    <w:rsid w:val="00AD2454"/>
    <w:rsid w:val="00AD3C77"/>
    <w:rsid w:val="00AD46DE"/>
    <w:rsid w:val="00AD5305"/>
    <w:rsid w:val="00AD5708"/>
    <w:rsid w:val="00AD68D8"/>
    <w:rsid w:val="00AD6AFB"/>
    <w:rsid w:val="00AD76DE"/>
    <w:rsid w:val="00AE1167"/>
    <w:rsid w:val="00AE176C"/>
    <w:rsid w:val="00AE1AD2"/>
    <w:rsid w:val="00AE1E1C"/>
    <w:rsid w:val="00AE21C1"/>
    <w:rsid w:val="00AE23E2"/>
    <w:rsid w:val="00AE29A1"/>
    <w:rsid w:val="00AE29E5"/>
    <w:rsid w:val="00AE3258"/>
    <w:rsid w:val="00AE3268"/>
    <w:rsid w:val="00AE3408"/>
    <w:rsid w:val="00AE3921"/>
    <w:rsid w:val="00AE4451"/>
    <w:rsid w:val="00AE48B4"/>
    <w:rsid w:val="00AE54D1"/>
    <w:rsid w:val="00AE5B0D"/>
    <w:rsid w:val="00AE611C"/>
    <w:rsid w:val="00AE6124"/>
    <w:rsid w:val="00AE651E"/>
    <w:rsid w:val="00AF030E"/>
    <w:rsid w:val="00AF07BC"/>
    <w:rsid w:val="00AF09E6"/>
    <w:rsid w:val="00AF1244"/>
    <w:rsid w:val="00AF1736"/>
    <w:rsid w:val="00AF17CA"/>
    <w:rsid w:val="00AF2385"/>
    <w:rsid w:val="00AF23E3"/>
    <w:rsid w:val="00AF2B57"/>
    <w:rsid w:val="00AF35D8"/>
    <w:rsid w:val="00AF3676"/>
    <w:rsid w:val="00AF4478"/>
    <w:rsid w:val="00AF4713"/>
    <w:rsid w:val="00AF5C68"/>
    <w:rsid w:val="00AF6301"/>
    <w:rsid w:val="00AF6307"/>
    <w:rsid w:val="00AF6308"/>
    <w:rsid w:val="00AF63C9"/>
    <w:rsid w:val="00AF65E0"/>
    <w:rsid w:val="00AF6FA8"/>
    <w:rsid w:val="00AF70DC"/>
    <w:rsid w:val="00AF78F8"/>
    <w:rsid w:val="00AF7A8D"/>
    <w:rsid w:val="00AF7B65"/>
    <w:rsid w:val="00AF7DE8"/>
    <w:rsid w:val="00B008EF"/>
    <w:rsid w:val="00B02B67"/>
    <w:rsid w:val="00B0325E"/>
    <w:rsid w:val="00B03832"/>
    <w:rsid w:val="00B03961"/>
    <w:rsid w:val="00B03B38"/>
    <w:rsid w:val="00B03F24"/>
    <w:rsid w:val="00B049AD"/>
    <w:rsid w:val="00B0503E"/>
    <w:rsid w:val="00B07D94"/>
    <w:rsid w:val="00B113F8"/>
    <w:rsid w:val="00B1161F"/>
    <w:rsid w:val="00B11A5D"/>
    <w:rsid w:val="00B11B3E"/>
    <w:rsid w:val="00B122D8"/>
    <w:rsid w:val="00B132CE"/>
    <w:rsid w:val="00B137DD"/>
    <w:rsid w:val="00B13CE0"/>
    <w:rsid w:val="00B13D81"/>
    <w:rsid w:val="00B1465A"/>
    <w:rsid w:val="00B14705"/>
    <w:rsid w:val="00B149A0"/>
    <w:rsid w:val="00B14A59"/>
    <w:rsid w:val="00B15373"/>
    <w:rsid w:val="00B1568C"/>
    <w:rsid w:val="00B15FD6"/>
    <w:rsid w:val="00B171E5"/>
    <w:rsid w:val="00B1734B"/>
    <w:rsid w:val="00B17CFA"/>
    <w:rsid w:val="00B20477"/>
    <w:rsid w:val="00B20D25"/>
    <w:rsid w:val="00B210BD"/>
    <w:rsid w:val="00B216D9"/>
    <w:rsid w:val="00B21CA3"/>
    <w:rsid w:val="00B21D80"/>
    <w:rsid w:val="00B22288"/>
    <w:rsid w:val="00B2279C"/>
    <w:rsid w:val="00B2356C"/>
    <w:rsid w:val="00B23570"/>
    <w:rsid w:val="00B2391B"/>
    <w:rsid w:val="00B23A1A"/>
    <w:rsid w:val="00B23BD5"/>
    <w:rsid w:val="00B24814"/>
    <w:rsid w:val="00B25104"/>
    <w:rsid w:val="00B25428"/>
    <w:rsid w:val="00B25D20"/>
    <w:rsid w:val="00B2620E"/>
    <w:rsid w:val="00B26FBC"/>
    <w:rsid w:val="00B3084D"/>
    <w:rsid w:val="00B30D9A"/>
    <w:rsid w:val="00B312B1"/>
    <w:rsid w:val="00B317DF"/>
    <w:rsid w:val="00B32923"/>
    <w:rsid w:val="00B329AF"/>
    <w:rsid w:val="00B32D4C"/>
    <w:rsid w:val="00B33106"/>
    <w:rsid w:val="00B331FA"/>
    <w:rsid w:val="00B33295"/>
    <w:rsid w:val="00B3335D"/>
    <w:rsid w:val="00B339B4"/>
    <w:rsid w:val="00B3418E"/>
    <w:rsid w:val="00B34301"/>
    <w:rsid w:val="00B34339"/>
    <w:rsid w:val="00B34745"/>
    <w:rsid w:val="00B3499E"/>
    <w:rsid w:val="00B35704"/>
    <w:rsid w:val="00B35F45"/>
    <w:rsid w:val="00B370DA"/>
    <w:rsid w:val="00B371A8"/>
    <w:rsid w:val="00B37243"/>
    <w:rsid w:val="00B40187"/>
    <w:rsid w:val="00B40881"/>
    <w:rsid w:val="00B40D2B"/>
    <w:rsid w:val="00B41239"/>
    <w:rsid w:val="00B418BC"/>
    <w:rsid w:val="00B423AF"/>
    <w:rsid w:val="00B4261E"/>
    <w:rsid w:val="00B42B07"/>
    <w:rsid w:val="00B42DD7"/>
    <w:rsid w:val="00B43543"/>
    <w:rsid w:val="00B441AB"/>
    <w:rsid w:val="00B4439E"/>
    <w:rsid w:val="00B443B0"/>
    <w:rsid w:val="00B451DB"/>
    <w:rsid w:val="00B45341"/>
    <w:rsid w:val="00B46CB1"/>
    <w:rsid w:val="00B4761A"/>
    <w:rsid w:val="00B47E6B"/>
    <w:rsid w:val="00B50675"/>
    <w:rsid w:val="00B512C3"/>
    <w:rsid w:val="00B51D34"/>
    <w:rsid w:val="00B52332"/>
    <w:rsid w:val="00B53526"/>
    <w:rsid w:val="00B53581"/>
    <w:rsid w:val="00B5358F"/>
    <w:rsid w:val="00B535D6"/>
    <w:rsid w:val="00B54A78"/>
    <w:rsid w:val="00B54D73"/>
    <w:rsid w:val="00B55C3A"/>
    <w:rsid w:val="00B5607F"/>
    <w:rsid w:val="00B566D4"/>
    <w:rsid w:val="00B57B18"/>
    <w:rsid w:val="00B57CFB"/>
    <w:rsid w:val="00B57D01"/>
    <w:rsid w:val="00B602B8"/>
    <w:rsid w:val="00B6055D"/>
    <w:rsid w:val="00B614AB"/>
    <w:rsid w:val="00B615CB"/>
    <w:rsid w:val="00B61981"/>
    <w:rsid w:val="00B61B1A"/>
    <w:rsid w:val="00B61D52"/>
    <w:rsid w:val="00B61FE3"/>
    <w:rsid w:val="00B62A04"/>
    <w:rsid w:val="00B63DCA"/>
    <w:rsid w:val="00B63F8A"/>
    <w:rsid w:val="00B64255"/>
    <w:rsid w:val="00B647D6"/>
    <w:rsid w:val="00B64856"/>
    <w:rsid w:val="00B64EF6"/>
    <w:rsid w:val="00B65B65"/>
    <w:rsid w:val="00B65C6D"/>
    <w:rsid w:val="00B662D1"/>
    <w:rsid w:val="00B663EA"/>
    <w:rsid w:val="00B67C97"/>
    <w:rsid w:val="00B67E56"/>
    <w:rsid w:val="00B70540"/>
    <w:rsid w:val="00B705A4"/>
    <w:rsid w:val="00B70A98"/>
    <w:rsid w:val="00B713D1"/>
    <w:rsid w:val="00B71880"/>
    <w:rsid w:val="00B720F0"/>
    <w:rsid w:val="00B728FA"/>
    <w:rsid w:val="00B72DEA"/>
    <w:rsid w:val="00B74AFF"/>
    <w:rsid w:val="00B752E4"/>
    <w:rsid w:val="00B75838"/>
    <w:rsid w:val="00B75C0A"/>
    <w:rsid w:val="00B7660C"/>
    <w:rsid w:val="00B76F27"/>
    <w:rsid w:val="00B772C2"/>
    <w:rsid w:val="00B778BD"/>
    <w:rsid w:val="00B77946"/>
    <w:rsid w:val="00B77C0C"/>
    <w:rsid w:val="00B77EB3"/>
    <w:rsid w:val="00B77F9D"/>
    <w:rsid w:val="00B80043"/>
    <w:rsid w:val="00B804D9"/>
    <w:rsid w:val="00B80A12"/>
    <w:rsid w:val="00B8150A"/>
    <w:rsid w:val="00B817CF"/>
    <w:rsid w:val="00B81B84"/>
    <w:rsid w:val="00B81F63"/>
    <w:rsid w:val="00B8260C"/>
    <w:rsid w:val="00B83030"/>
    <w:rsid w:val="00B83032"/>
    <w:rsid w:val="00B845F4"/>
    <w:rsid w:val="00B8483B"/>
    <w:rsid w:val="00B84875"/>
    <w:rsid w:val="00B85580"/>
    <w:rsid w:val="00B855BE"/>
    <w:rsid w:val="00B860E6"/>
    <w:rsid w:val="00B86148"/>
    <w:rsid w:val="00B865DC"/>
    <w:rsid w:val="00B872D3"/>
    <w:rsid w:val="00B87543"/>
    <w:rsid w:val="00B901FE"/>
    <w:rsid w:val="00B90432"/>
    <w:rsid w:val="00B904B3"/>
    <w:rsid w:val="00B91753"/>
    <w:rsid w:val="00B91A6F"/>
    <w:rsid w:val="00B91BBA"/>
    <w:rsid w:val="00B91E4F"/>
    <w:rsid w:val="00B93482"/>
    <w:rsid w:val="00B9406D"/>
    <w:rsid w:val="00B944A9"/>
    <w:rsid w:val="00B948C0"/>
    <w:rsid w:val="00B94AAF"/>
    <w:rsid w:val="00B94C45"/>
    <w:rsid w:val="00B951CE"/>
    <w:rsid w:val="00B955CB"/>
    <w:rsid w:val="00B95BEC"/>
    <w:rsid w:val="00B96424"/>
    <w:rsid w:val="00B96707"/>
    <w:rsid w:val="00B96D9E"/>
    <w:rsid w:val="00BA0E88"/>
    <w:rsid w:val="00BA12A6"/>
    <w:rsid w:val="00BA290D"/>
    <w:rsid w:val="00BA29A9"/>
    <w:rsid w:val="00BA2BEF"/>
    <w:rsid w:val="00BA2CB6"/>
    <w:rsid w:val="00BA3231"/>
    <w:rsid w:val="00BA4099"/>
    <w:rsid w:val="00BA4121"/>
    <w:rsid w:val="00BA4599"/>
    <w:rsid w:val="00BA4BC4"/>
    <w:rsid w:val="00BA4BD4"/>
    <w:rsid w:val="00BA50C0"/>
    <w:rsid w:val="00BA5D73"/>
    <w:rsid w:val="00BA5DE7"/>
    <w:rsid w:val="00BA6369"/>
    <w:rsid w:val="00BA6400"/>
    <w:rsid w:val="00BA646C"/>
    <w:rsid w:val="00BA6D65"/>
    <w:rsid w:val="00BA7419"/>
    <w:rsid w:val="00BA7C68"/>
    <w:rsid w:val="00BB0104"/>
    <w:rsid w:val="00BB039B"/>
    <w:rsid w:val="00BB0AB6"/>
    <w:rsid w:val="00BB1D40"/>
    <w:rsid w:val="00BB1E7A"/>
    <w:rsid w:val="00BB2197"/>
    <w:rsid w:val="00BB273D"/>
    <w:rsid w:val="00BB2863"/>
    <w:rsid w:val="00BB2B03"/>
    <w:rsid w:val="00BB2E7B"/>
    <w:rsid w:val="00BB3ACF"/>
    <w:rsid w:val="00BB4241"/>
    <w:rsid w:val="00BB45AB"/>
    <w:rsid w:val="00BB4D01"/>
    <w:rsid w:val="00BB4E18"/>
    <w:rsid w:val="00BB5046"/>
    <w:rsid w:val="00BB5A3B"/>
    <w:rsid w:val="00BB61F6"/>
    <w:rsid w:val="00BB65A4"/>
    <w:rsid w:val="00BB6684"/>
    <w:rsid w:val="00BB6A4E"/>
    <w:rsid w:val="00BB70CD"/>
    <w:rsid w:val="00BB71DB"/>
    <w:rsid w:val="00BB75AE"/>
    <w:rsid w:val="00BB7772"/>
    <w:rsid w:val="00BB7B8D"/>
    <w:rsid w:val="00BC0E69"/>
    <w:rsid w:val="00BC15FD"/>
    <w:rsid w:val="00BC20B2"/>
    <w:rsid w:val="00BC2BA4"/>
    <w:rsid w:val="00BC3135"/>
    <w:rsid w:val="00BC376C"/>
    <w:rsid w:val="00BC3DB1"/>
    <w:rsid w:val="00BC4F3A"/>
    <w:rsid w:val="00BC4FF4"/>
    <w:rsid w:val="00BC5325"/>
    <w:rsid w:val="00BC5810"/>
    <w:rsid w:val="00BC5E97"/>
    <w:rsid w:val="00BC6785"/>
    <w:rsid w:val="00BC72E4"/>
    <w:rsid w:val="00BC74CF"/>
    <w:rsid w:val="00BC7A98"/>
    <w:rsid w:val="00BD0217"/>
    <w:rsid w:val="00BD04D5"/>
    <w:rsid w:val="00BD1698"/>
    <w:rsid w:val="00BD186B"/>
    <w:rsid w:val="00BD19C9"/>
    <w:rsid w:val="00BD1E73"/>
    <w:rsid w:val="00BD2693"/>
    <w:rsid w:val="00BD2970"/>
    <w:rsid w:val="00BD329E"/>
    <w:rsid w:val="00BD409E"/>
    <w:rsid w:val="00BD40A6"/>
    <w:rsid w:val="00BD49CE"/>
    <w:rsid w:val="00BD4D37"/>
    <w:rsid w:val="00BD4FDE"/>
    <w:rsid w:val="00BD5358"/>
    <w:rsid w:val="00BD59BA"/>
    <w:rsid w:val="00BD5D9B"/>
    <w:rsid w:val="00BD5E96"/>
    <w:rsid w:val="00BD704C"/>
    <w:rsid w:val="00BD705C"/>
    <w:rsid w:val="00BD7896"/>
    <w:rsid w:val="00BD7DF9"/>
    <w:rsid w:val="00BE0009"/>
    <w:rsid w:val="00BE05A9"/>
    <w:rsid w:val="00BE062F"/>
    <w:rsid w:val="00BE0B95"/>
    <w:rsid w:val="00BE2952"/>
    <w:rsid w:val="00BE2E40"/>
    <w:rsid w:val="00BE36EC"/>
    <w:rsid w:val="00BE39E9"/>
    <w:rsid w:val="00BE4DC6"/>
    <w:rsid w:val="00BE58C9"/>
    <w:rsid w:val="00BE60E6"/>
    <w:rsid w:val="00BE6E32"/>
    <w:rsid w:val="00BE721D"/>
    <w:rsid w:val="00BE7D9B"/>
    <w:rsid w:val="00BE7EE1"/>
    <w:rsid w:val="00BF0D02"/>
    <w:rsid w:val="00BF16DD"/>
    <w:rsid w:val="00BF1BCE"/>
    <w:rsid w:val="00BF29DE"/>
    <w:rsid w:val="00BF34B0"/>
    <w:rsid w:val="00BF3DBF"/>
    <w:rsid w:val="00BF47DC"/>
    <w:rsid w:val="00BF48F3"/>
    <w:rsid w:val="00BF4D90"/>
    <w:rsid w:val="00BF55C2"/>
    <w:rsid w:val="00BF5BE1"/>
    <w:rsid w:val="00BF6242"/>
    <w:rsid w:val="00BF657C"/>
    <w:rsid w:val="00BF659D"/>
    <w:rsid w:val="00BF66A7"/>
    <w:rsid w:val="00BF7188"/>
    <w:rsid w:val="00BF787E"/>
    <w:rsid w:val="00BF7A35"/>
    <w:rsid w:val="00BF7A4A"/>
    <w:rsid w:val="00BF7EAB"/>
    <w:rsid w:val="00C006C1"/>
    <w:rsid w:val="00C00DBC"/>
    <w:rsid w:val="00C01EED"/>
    <w:rsid w:val="00C0232F"/>
    <w:rsid w:val="00C02CDE"/>
    <w:rsid w:val="00C0321E"/>
    <w:rsid w:val="00C04BAD"/>
    <w:rsid w:val="00C05472"/>
    <w:rsid w:val="00C05C5A"/>
    <w:rsid w:val="00C05CAB"/>
    <w:rsid w:val="00C0603F"/>
    <w:rsid w:val="00C065B5"/>
    <w:rsid w:val="00C0741B"/>
    <w:rsid w:val="00C07789"/>
    <w:rsid w:val="00C10A94"/>
    <w:rsid w:val="00C10D46"/>
    <w:rsid w:val="00C10E3D"/>
    <w:rsid w:val="00C111D1"/>
    <w:rsid w:val="00C11C28"/>
    <w:rsid w:val="00C12341"/>
    <w:rsid w:val="00C1237D"/>
    <w:rsid w:val="00C12EBC"/>
    <w:rsid w:val="00C12F53"/>
    <w:rsid w:val="00C12FFE"/>
    <w:rsid w:val="00C14CA6"/>
    <w:rsid w:val="00C1500F"/>
    <w:rsid w:val="00C155B1"/>
    <w:rsid w:val="00C159EB"/>
    <w:rsid w:val="00C15ABC"/>
    <w:rsid w:val="00C15BF7"/>
    <w:rsid w:val="00C16E6D"/>
    <w:rsid w:val="00C16EEA"/>
    <w:rsid w:val="00C17375"/>
    <w:rsid w:val="00C17E4B"/>
    <w:rsid w:val="00C17EB3"/>
    <w:rsid w:val="00C20113"/>
    <w:rsid w:val="00C2033C"/>
    <w:rsid w:val="00C20806"/>
    <w:rsid w:val="00C20C28"/>
    <w:rsid w:val="00C20E2E"/>
    <w:rsid w:val="00C21738"/>
    <w:rsid w:val="00C21868"/>
    <w:rsid w:val="00C21BE3"/>
    <w:rsid w:val="00C21E37"/>
    <w:rsid w:val="00C22254"/>
    <w:rsid w:val="00C225E2"/>
    <w:rsid w:val="00C245FA"/>
    <w:rsid w:val="00C248D1"/>
    <w:rsid w:val="00C24D88"/>
    <w:rsid w:val="00C2572F"/>
    <w:rsid w:val="00C26E72"/>
    <w:rsid w:val="00C27566"/>
    <w:rsid w:val="00C311CC"/>
    <w:rsid w:val="00C32436"/>
    <w:rsid w:val="00C32849"/>
    <w:rsid w:val="00C32AF5"/>
    <w:rsid w:val="00C330A6"/>
    <w:rsid w:val="00C3325F"/>
    <w:rsid w:val="00C33893"/>
    <w:rsid w:val="00C33968"/>
    <w:rsid w:val="00C34764"/>
    <w:rsid w:val="00C34810"/>
    <w:rsid w:val="00C34CC0"/>
    <w:rsid w:val="00C34E3B"/>
    <w:rsid w:val="00C34F4F"/>
    <w:rsid w:val="00C352C4"/>
    <w:rsid w:val="00C35D90"/>
    <w:rsid w:val="00C36011"/>
    <w:rsid w:val="00C3746F"/>
    <w:rsid w:val="00C40836"/>
    <w:rsid w:val="00C40922"/>
    <w:rsid w:val="00C4108F"/>
    <w:rsid w:val="00C4162C"/>
    <w:rsid w:val="00C41A6D"/>
    <w:rsid w:val="00C41AE5"/>
    <w:rsid w:val="00C41D34"/>
    <w:rsid w:val="00C41FD6"/>
    <w:rsid w:val="00C441B9"/>
    <w:rsid w:val="00C44CBA"/>
    <w:rsid w:val="00C45877"/>
    <w:rsid w:val="00C45BD4"/>
    <w:rsid w:val="00C46FEF"/>
    <w:rsid w:val="00C47118"/>
    <w:rsid w:val="00C501C8"/>
    <w:rsid w:val="00C5041E"/>
    <w:rsid w:val="00C5086B"/>
    <w:rsid w:val="00C50B93"/>
    <w:rsid w:val="00C50D5B"/>
    <w:rsid w:val="00C517A5"/>
    <w:rsid w:val="00C51EAC"/>
    <w:rsid w:val="00C521E0"/>
    <w:rsid w:val="00C533B9"/>
    <w:rsid w:val="00C53BEC"/>
    <w:rsid w:val="00C53CDF"/>
    <w:rsid w:val="00C544FA"/>
    <w:rsid w:val="00C54584"/>
    <w:rsid w:val="00C55095"/>
    <w:rsid w:val="00C55480"/>
    <w:rsid w:val="00C5554E"/>
    <w:rsid w:val="00C556A8"/>
    <w:rsid w:val="00C5596E"/>
    <w:rsid w:val="00C561D7"/>
    <w:rsid w:val="00C562D7"/>
    <w:rsid w:val="00C56907"/>
    <w:rsid w:val="00C56E07"/>
    <w:rsid w:val="00C60069"/>
    <w:rsid w:val="00C6042B"/>
    <w:rsid w:val="00C60A9A"/>
    <w:rsid w:val="00C616E3"/>
    <w:rsid w:val="00C6229B"/>
    <w:rsid w:val="00C63312"/>
    <w:rsid w:val="00C636A2"/>
    <w:rsid w:val="00C64AE5"/>
    <w:rsid w:val="00C64FCA"/>
    <w:rsid w:val="00C6552D"/>
    <w:rsid w:val="00C65C99"/>
    <w:rsid w:val="00C667DC"/>
    <w:rsid w:val="00C66905"/>
    <w:rsid w:val="00C6730C"/>
    <w:rsid w:val="00C67514"/>
    <w:rsid w:val="00C678A9"/>
    <w:rsid w:val="00C702C2"/>
    <w:rsid w:val="00C70827"/>
    <w:rsid w:val="00C710CD"/>
    <w:rsid w:val="00C71584"/>
    <w:rsid w:val="00C715DF"/>
    <w:rsid w:val="00C721B6"/>
    <w:rsid w:val="00C72882"/>
    <w:rsid w:val="00C7324C"/>
    <w:rsid w:val="00C73991"/>
    <w:rsid w:val="00C74A5D"/>
    <w:rsid w:val="00C74ED0"/>
    <w:rsid w:val="00C7682B"/>
    <w:rsid w:val="00C8039E"/>
    <w:rsid w:val="00C803C5"/>
    <w:rsid w:val="00C80AF3"/>
    <w:rsid w:val="00C80ED2"/>
    <w:rsid w:val="00C815AF"/>
    <w:rsid w:val="00C816CE"/>
    <w:rsid w:val="00C81A70"/>
    <w:rsid w:val="00C82105"/>
    <w:rsid w:val="00C824EB"/>
    <w:rsid w:val="00C82864"/>
    <w:rsid w:val="00C835B1"/>
    <w:rsid w:val="00C83974"/>
    <w:rsid w:val="00C83FBC"/>
    <w:rsid w:val="00C84719"/>
    <w:rsid w:val="00C84B51"/>
    <w:rsid w:val="00C85957"/>
    <w:rsid w:val="00C85FDE"/>
    <w:rsid w:val="00C8602F"/>
    <w:rsid w:val="00C867AD"/>
    <w:rsid w:val="00C86DE1"/>
    <w:rsid w:val="00C86EAD"/>
    <w:rsid w:val="00C87CEF"/>
    <w:rsid w:val="00C90204"/>
    <w:rsid w:val="00C905B4"/>
    <w:rsid w:val="00C924E6"/>
    <w:rsid w:val="00C92872"/>
    <w:rsid w:val="00C928AE"/>
    <w:rsid w:val="00C92D5E"/>
    <w:rsid w:val="00C93EB2"/>
    <w:rsid w:val="00C93F41"/>
    <w:rsid w:val="00C94DE6"/>
    <w:rsid w:val="00C95156"/>
    <w:rsid w:val="00C95308"/>
    <w:rsid w:val="00C95509"/>
    <w:rsid w:val="00C957A3"/>
    <w:rsid w:val="00C95DA2"/>
    <w:rsid w:val="00C95EA9"/>
    <w:rsid w:val="00C962D6"/>
    <w:rsid w:val="00C96FCB"/>
    <w:rsid w:val="00C97144"/>
    <w:rsid w:val="00C97393"/>
    <w:rsid w:val="00C978E5"/>
    <w:rsid w:val="00C979E4"/>
    <w:rsid w:val="00C97F05"/>
    <w:rsid w:val="00CA12CD"/>
    <w:rsid w:val="00CA262A"/>
    <w:rsid w:val="00CA2BA0"/>
    <w:rsid w:val="00CA2FF0"/>
    <w:rsid w:val="00CA394D"/>
    <w:rsid w:val="00CA3C14"/>
    <w:rsid w:val="00CA4689"/>
    <w:rsid w:val="00CA477F"/>
    <w:rsid w:val="00CA487D"/>
    <w:rsid w:val="00CA4C3F"/>
    <w:rsid w:val="00CA4E40"/>
    <w:rsid w:val="00CA4E6F"/>
    <w:rsid w:val="00CA54FB"/>
    <w:rsid w:val="00CA61BA"/>
    <w:rsid w:val="00CA6C38"/>
    <w:rsid w:val="00CA6D6A"/>
    <w:rsid w:val="00CB1136"/>
    <w:rsid w:val="00CB13AC"/>
    <w:rsid w:val="00CB1573"/>
    <w:rsid w:val="00CB15D1"/>
    <w:rsid w:val="00CB1CB9"/>
    <w:rsid w:val="00CB22AB"/>
    <w:rsid w:val="00CB3273"/>
    <w:rsid w:val="00CB3B51"/>
    <w:rsid w:val="00CB42AD"/>
    <w:rsid w:val="00CB4EE3"/>
    <w:rsid w:val="00CB5616"/>
    <w:rsid w:val="00CB5D07"/>
    <w:rsid w:val="00CB61DA"/>
    <w:rsid w:val="00CB67B5"/>
    <w:rsid w:val="00CB7751"/>
    <w:rsid w:val="00CB7771"/>
    <w:rsid w:val="00CC0729"/>
    <w:rsid w:val="00CC1516"/>
    <w:rsid w:val="00CC16D5"/>
    <w:rsid w:val="00CC1DC1"/>
    <w:rsid w:val="00CC1F0D"/>
    <w:rsid w:val="00CC1FB3"/>
    <w:rsid w:val="00CC211E"/>
    <w:rsid w:val="00CC298A"/>
    <w:rsid w:val="00CC2A20"/>
    <w:rsid w:val="00CC38B6"/>
    <w:rsid w:val="00CC3FB9"/>
    <w:rsid w:val="00CC435B"/>
    <w:rsid w:val="00CC4D51"/>
    <w:rsid w:val="00CC521D"/>
    <w:rsid w:val="00CC54C8"/>
    <w:rsid w:val="00CC5613"/>
    <w:rsid w:val="00CC5897"/>
    <w:rsid w:val="00CC60C8"/>
    <w:rsid w:val="00CC69D6"/>
    <w:rsid w:val="00CC707A"/>
    <w:rsid w:val="00CC72EE"/>
    <w:rsid w:val="00CC79AC"/>
    <w:rsid w:val="00CD0E32"/>
    <w:rsid w:val="00CD12B5"/>
    <w:rsid w:val="00CD16D6"/>
    <w:rsid w:val="00CD16E3"/>
    <w:rsid w:val="00CD3175"/>
    <w:rsid w:val="00CD3301"/>
    <w:rsid w:val="00CD3527"/>
    <w:rsid w:val="00CD35A6"/>
    <w:rsid w:val="00CD3B12"/>
    <w:rsid w:val="00CD3C3A"/>
    <w:rsid w:val="00CD3C90"/>
    <w:rsid w:val="00CD3CFF"/>
    <w:rsid w:val="00CD5068"/>
    <w:rsid w:val="00CD5A2E"/>
    <w:rsid w:val="00CD5D9D"/>
    <w:rsid w:val="00CD664B"/>
    <w:rsid w:val="00CD73FE"/>
    <w:rsid w:val="00CE09A0"/>
    <w:rsid w:val="00CE1134"/>
    <w:rsid w:val="00CE1526"/>
    <w:rsid w:val="00CE16C7"/>
    <w:rsid w:val="00CE18D6"/>
    <w:rsid w:val="00CE2CAB"/>
    <w:rsid w:val="00CE2CF5"/>
    <w:rsid w:val="00CE3571"/>
    <w:rsid w:val="00CE4E19"/>
    <w:rsid w:val="00CE5122"/>
    <w:rsid w:val="00CE5207"/>
    <w:rsid w:val="00CE5222"/>
    <w:rsid w:val="00CE5A16"/>
    <w:rsid w:val="00CE66A3"/>
    <w:rsid w:val="00CE68A2"/>
    <w:rsid w:val="00CF0287"/>
    <w:rsid w:val="00CF07B1"/>
    <w:rsid w:val="00CF0E83"/>
    <w:rsid w:val="00CF144C"/>
    <w:rsid w:val="00CF16EA"/>
    <w:rsid w:val="00CF1E6C"/>
    <w:rsid w:val="00CF1FCA"/>
    <w:rsid w:val="00CF233B"/>
    <w:rsid w:val="00CF2969"/>
    <w:rsid w:val="00CF2A5A"/>
    <w:rsid w:val="00CF2C67"/>
    <w:rsid w:val="00CF3BEC"/>
    <w:rsid w:val="00CF404B"/>
    <w:rsid w:val="00CF4AD0"/>
    <w:rsid w:val="00CF4DB5"/>
    <w:rsid w:val="00CF52F3"/>
    <w:rsid w:val="00CF5661"/>
    <w:rsid w:val="00CF57BE"/>
    <w:rsid w:val="00CF65E4"/>
    <w:rsid w:val="00CF6CD8"/>
    <w:rsid w:val="00CF7615"/>
    <w:rsid w:val="00CF7DE6"/>
    <w:rsid w:val="00D000FE"/>
    <w:rsid w:val="00D0072F"/>
    <w:rsid w:val="00D00A8A"/>
    <w:rsid w:val="00D00CAF"/>
    <w:rsid w:val="00D01D74"/>
    <w:rsid w:val="00D01FA2"/>
    <w:rsid w:val="00D022B1"/>
    <w:rsid w:val="00D022B8"/>
    <w:rsid w:val="00D0231C"/>
    <w:rsid w:val="00D02922"/>
    <w:rsid w:val="00D02E7B"/>
    <w:rsid w:val="00D03004"/>
    <w:rsid w:val="00D03074"/>
    <w:rsid w:val="00D03890"/>
    <w:rsid w:val="00D03BC1"/>
    <w:rsid w:val="00D03D43"/>
    <w:rsid w:val="00D04C1F"/>
    <w:rsid w:val="00D04F7A"/>
    <w:rsid w:val="00D054E8"/>
    <w:rsid w:val="00D05B41"/>
    <w:rsid w:val="00D05C82"/>
    <w:rsid w:val="00D05FDD"/>
    <w:rsid w:val="00D06690"/>
    <w:rsid w:val="00D066FB"/>
    <w:rsid w:val="00D1018A"/>
    <w:rsid w:val="00D104D7"/>
    <w:rsid w:val="00D10875"/>
    <w:rsid w:val="00D10EB8"/>
    <w:rsid w:val="00D11143"/>
    <w:rsid w:val="00D11201"/>
    <w:rsid w:val="00D11405"/>
    <w:rsid w:val="00D1188B"/>
    <w:rsid w:val="00D1230D"/>
    <w:rsid w:val="00D12606"/>
    <w:rsid w:val="00D12E68"/>
    <w:rsid w:val="00D12F1E"/>
    <w:rsid w:val="00D1308D"/>
    <w:rsid w:val="00D1316F"/>
    <w:rsid w:val="00D134E6"/>
    <w:rsid w:val="00D136D9"/>
    <w:rsid w:val="00D136DB"/>
    <w:rsid w:val="00D1373D"/>
    <w:rsid w:val="00D14132"/>
    <w:rsid w:val="00D14733"/>
    <w:rsid w:val="00D164F7"/>
    <w:rsid w:val="00D16677"/>
    <w:rsid w:val="00D16CE9"/>
    <w:rsid w:val="00D16DF2"/>
    <w:rsid w:val="00D16F07"/>
    <w:rsid w:val="00D170AE"/>
    <w:rsid w:val="00D174C3"/>
    <w:rsid w:val="00D175EF"/>
    <w:rsid w:val="00D176A6"/>
    <w:rsid w:val="00D2095F"/>
    <w:rsid w:val="00D20ACD"/>
    <w:rsid w:val="00D21281"/>
    <w:rsid w:val="00D21BBB"/>
    <w:rsid w:val="00D22121"/>
    <w:rsid w:val="00D23975"/>
    <w:rsid w:val="00D24F24"/>
    <w:rsid w:val="00D2569A"/>
    <w:rsid w:val="00D25935"/>
    <w:rsid w:val="00D26AC2"/>
    <w:rsid w:val="00D30515"/>
    <w:rsid w:val="00D30D0D"/>
    <w:rsid w:val="00D30DD7"/>
    <w:rsid w:val="00D30EC7"/>
    <w:rsid w:val="00D312A4"/>
    <w:rsid w:val="00D32222"/>
    <w:rsid w:val="00D32346"/>
    <w:rsid w:val="00D33219"/>
    <w:rsid w:val="00D3334A"/>
    <w:rsid w:val="00D33FE1"/>
    <w:rsid w:val="00D34157"/>
    <w:rsid w:val="00D3418F"/>
    <w:rsid w:val="00D351EF"/>
    <w:rsid w:val="00D35402"/>
    <w:rsid w:val="00D3579F"/>
    <w:rsid w:val="00D35ADF"/>
    <w:rsid w:val="00D370AA"/>
    <w:rsid w:val="00D376E3"/>
    <w:rsid w:val="00D37EAF"/>
    <w:rsid w:val="00D403B0"/>
    <w:rsid w:val="00D406A4"/>
    <w:rsid w:val="00D40B8C"/>
    <w:rsid w:val="00D40E06"/>
    <w:rsid w:val="00D40F3A"/>
    <w:rsid w:val="00D41454"/>
    <w:rsid w:val="00D416E5"/>
    <w:rsid w:val="00D41FC6"/>
    <w:rsid w:val="00D4357A"/>
    <w:rsid w:val="00D43912"/>
    <w:rsid w:val="00D43A1F"/>
    <w:rsid w:val="00D43A2B"/>
    <w:rsid w:val="00D44317"/>
    <w:rsid w:val="00D44F46"/>
    <w:rsid w:val="00D463D1"/>
    <w:rsid w:val="00D47552"/>
    <w:rsid w:val="00D47797"/>
    <w:rsid w:val="00D47FB2"/>
    <w:rsid w:val="00D47FC1"/>
    <w:rsid w:val="00D505F6"/>
    <w:rsid w:val="00D506D8"/>
    <w:rsid w:val="00D50AB9"/>
    <w:rsid w:val="00D5181B"/>
    <w:rsid w:val="00D51857"/>
    <w:rsid w:val="00D523B2"/>
    <w:rsid w:val="00D52456"/>
    <w:rsid w:val="00D52B61"/>
    <w:rsid w:val="00D52E5E"/>
    <w:rsid w:val="00D53A29"/>
    <w:rsid w:val="00D53C88"/>
    <w:rsid w:val="00D54271"/>
    <w:rsid w:val="00D5544F"/>
    <w:rsid w:val="00D5577B"/>
    <w:rsid w:val="00D55A00"/>
    <w:rsid w:val="00D55BEC"/>
    <w:rsid w:val="00D562A6"/>
    <w:rsid w:val="00D578F2"/>
    <w:rsid w:val="00D6084D"/>
    <w:rsid w:val="00D60850"/>
    <w:rsid w:val="00D61BE3"/>
    <w:rsid w:val="00D61BFE"/>
    <w:rsid w:val="00D61DF8"/>
    <w:rsid w:val="00D623D7"/>
    <w:rsid w:val="00D6283C"/>
    <w:rsid w:val="00D62BE0"/>
    <w:rsid w:val="00D63F9C"/>
    <w:rsid w:val="00D6499F"/>
    <w:rsid w:val="00D64CCF"/>
    <w:rsid w:val="00D64EDF"/>
    <w:rsid w:val="00D65289"/>
    <w:rsid w:val="00D65594"/>
    <w:rsid w:val="00D65C19"/>
    <w:rsid w:val="00D65C3A"/>
    <w:rsid w:val="00D66804"/>
    <w:rsid w:val="00D66D90"/>
    <w:rsid w:val="00D66F27"/>
    <w:rsid w:val="00D677F3"/>
    <w:rsid w:val="00D6792E"/>
    <w:rsid w:val="00D67BE6"/>
    <w:rsid w:val="00D707A1"/>
    <w:rsid w:val="00D70E03"/>
    <w:rsid w:val="00D71AB4"/>
    <w:rsid w:val="00D721FA"/>
    <w:rsid w:val="00D72B63"/>
    <w:rsid w:val="00D72D21"/>
    <w:rsid w:val="00D72D23"/>
    <w:rsid w:val="00D73290"/>
    <w:rsid w:val="00D73497"/>
    <w:rsid w:val="00D735E7"/>
    <w:rsid w:val="00D73FAE"/>
    <w:rsid w:val="00D74734"/>
    <w:rsid w:val="00D74BAA"/>
    <w:rsid w:val="00D81306"/>
    <w:rsid w:val="00D8173B"/>
    <w:rsid w:val="00D81B37"/>
    <w:rsid w:val="00D82B29"/>
    <w:rsid w:val="00D830A8"/>
    <w:rsid w:val="00D8313B"/>
    <w:rsid w:val="00D83251"/>
    <w:rsid w:val="00D8333F"/>
    <w:rsid w:val="00D841C0"/>
    <w:rsid w:val="00D84539"/>
    <w:rsid w:val="00D849CD"/>
    <w:rsid w:val="00D854C7"/>
    <w:rsid w:val="00D85B0D"/>
    <w:rsid w:val="00D87ACE"/>
    <w:rsid w:val="00D87B56"/>
    <w:rsid w:val="00D87F28"/>
    <w:rsid w:val="00D90880"/>
    <w:rsid w:val="00D92D39"/>
    <w:rsid w:val="00D92E9C"/>
    <w:rsid w:val="00D9344E"/>
    <w:rsid w:val="00D9367D"/>
    <w:rsid w:val="00D93718"/>
    <w:rsid w:val="00D93738"/>
    <w:rsid w:val="00D937AE"/>
    <w:rsid w:val="00D93FB5"/>
    <w:rsid w:val="00D9518D"/>
    <w:rsid w:val="00D95338"/>
    <w:rsid w:val="00D953AF"/>
    <w:rsid w:val="00D95447"/>
    <w:rsid w:val="00D957A0"/>
    <w:rsid w:val="00D96E01"/>
    <w:rsid w:val="00DA115F"/>
    <w:rsid w:val="00DA1562"/>
    <w:rsid w:val="00DA19F7"/>
    <w:rsid w:val="00DA1CD8"/>
    <w:rsid w:val="00DA20DF"/>
    <w:rsid w:val="00DA2239"/>
    <w:rsid w:val="00DA29DB"/>
    <w:rsid w:val="00DA2ECB"/>
    <w:rsid w:val="00DA3597"/>
    <w:rsid w:val="00DA3F91"/>
    <w:rsid w:val="00DA3FA2"/>
    <w:rsid w:val="00DA4474"/>
    <w:rsid w:val="00DA48BC"/>
    <w:rsid w:val="00DA5BCA"/>
    <w:rsid w:val="00DA7621"/>
    <w:rsid w:val="00DA765B"/>
    <w:rsid w:val="00DA7750"/>
    <w:rsid w:val="00DA7B0A"/>
    <w:rsid w:val="00DB042A"/>
    <w:rsid w:val="00DB0C72"/>
    <w:rsid w:val="00DB1790"/>
    <w:rsid w:val="00DB1C3F"/>
    <w:rsid w:val="00DB2B4D"/>
    <w:rsid w:val="00DB2E60"/>
    <w:rsid w:val="00DB3298"/>
    <w:rsid w:val="00DB33EF"/>
    <w:rsid w:val="00DB3C74"/>
    <w:rsid w:val="00DB3E45"/>
    <w:rsid w:val="00DB3ECE"/>
    <w:rsid w:val="00DB3F1E"/>
    <w:rsid w:val="00DB53D8"/>
    <w:rsid w:val="00DB5798"/>
    <w:rsid w:val="00DB5DBC"/>
    <w:rsid w:val="00DB5DD9"/>
    <w:rsid w:val="00DB5E7D"/>
    <w:rsid w:val="00DB631D"/>
    <w:rsid w:val="00DB63E5"/>
    <w:rsid w:val="00DB65AA"/>
    <w:rsid w:val="00DB711F"/>
    <w:rsid w:val="00DB7674"/>
    <w:rsid w:val="00DB7A42"/>
    <w:rsid w:val="00DC0C5C"/>
    <w:rsid w:val="00DC0F0D"/>
    <w:rsid w:val="00DC0FDC"/>
    <w:rsid w:val="00DC10C4"/>
    <w:rsid w:val="00DC10CC"/>
    <w:rsid w:val="00DC1B81"/>
    <w:rsid w:val="00DC268F"/>
    <w:rsid w:val="00DC31B0"/>
    <w:rsid w:val="00DC404C"/>
    <w:rsid w:val="00DC42EA"/>
    <w:rsid w:val="00DC453B"/>
    <w:rsid w:val="00DC4930"/>
    <w:rsid w:val="00DC52DF"/>
    <w:rsid w:val="00DC531D"/>
    <w:rsid w:val="00DC5B47"/>
    <w:rsid w:val="00DC5E4E"/>
    <w:rsid w:val="00DC6773"/>
    <w:rsid w:val="00DC6B26"/>
    <w:rsid w:val="00DC6FA9"/>
    <w:rsid w:val="00DC73D0"/>
    <w:rsid w:val="00DC73D8"/>
    <w:rsid w:val="00DC74A0"/>
    <w:rsid w:val="00DC7678"/>
    <w:rsid w:val="00DC7A4A"/>
    <w:rsid w:val="00DC7E74"/>
    <w:rsid w:val="00DD0ADC"/>
    <w:rsid w:val="00DD0CB9"/>
    <w:rsid w:val="00DD141A"/>
    <w:rsid w:val="00DD1AF5"/>
    <w:rsid w:val="00DD2702"/>
    <w:rsid w:val="00DD3057"/>
    <w:rsid w:val="00DD369E"/>
    <w:rsid w:val="00DD3880"/>
    <w:rsid w:val="00DD60E5"/>
    <w:rsid w:val="00DD632B"/>
    <w:rsid w:val="00DD785B"/>
    <w:rsid w:val="00DD78F5"/>
    <w:rsid w:val="00DD7C0F"/>
    <w:rsid w:val="00DD7D1C"/>
    <w:rsid w:val="00DD7E64"/>
    <w:rsid w:val="00DE03A6"/>
    <w:rsid w:val="00DE07AD"/>
    <w:rsid w:val="00DE0A1C"/>
    <w:rsid w:val="00DE0FD2"/>
    <w:rsid w:val="00DE16C9"/>
    <w:rsid w:val="00DE17FC"/>
    <w:rsid w:val="00DE23AB"/>
    <w:rsid w:val="00DE2A05"/>
    <w:rsid w:val="00DE2B41"/>
    <w:rsid w:val="00DE2D8C"/>
    <w:rsid w:val="00DE2DA7"/>
    <w:rsid w:val="00DE2E2F"/>
    <w:rsid w:val="00DE4456"/>
    <w:rsid w:val="00DE49AF"/>
    <w:rsid w:val="00DE4B64"/>
    <w:rsid w:val="00DE515C"/>
    <w:rsid w:val="00DE55A3"/>
    <w:rsid w:val="00DE5794"/>
    <w:rsid w:val="00DE5CC5"/>
    <w:rsid w:val="00DE708B"/>
    <w:rsid w:val="00DE743D"/>
    <w:rsid w:val="00DF09D7"/>
    <w:rsid w:val="00DF0B80"/>
    <w:rsid w:val="00DF1740"/>
    <w:rsid w:val="00DF17C1"/>
    <w:rsid w:val="00DF1E33"/>
    <w:rsid w:val="00DF2385"/>
    <w:rsid w:val="00DF2791"/>
    <w:rsid w:val="00DF3536"/>
    <w:rsid w:val="00DF3726"/>
    <w:rsid w:val="00DF3860"/>
    <w:rsid w:val="00DF40E3"/>
    <w:rsid w:val="00DF454C"/>
    <w:rsid w:val="00DF5838"/>
    <w:rsid w:val="00DF5B8F"/>
    <w:rsid w:val="00DF5EA0"/>
    <w:rsid w:val="00DF6480"/>
    <w:rsid w:val="00DF7168"/>
    <w:rsid w:val="00DF71D5"/>
    <w:rsid w:val="00DF79BF"/>
    <w:rsid w:val="00E011CE"/>
    <w:rsid w:val="00E01AC9"/>
    <w:rsid w:val="00E02EA8"/>
    <w:rsid w:val="00E030AB"/>
    <w:rsid w:val="00E0371C"/>
    <w:rsid w:val="00E03BB4"/>
    <w:rsid w:val="00E0400D"/>
    <w:rsid w:val="00E05207"/>
    <w:rsid w:val="00E06092"/>
    <w:rsid w:val="00E0656B"/>
    <w:rsid w:val="00E067EA"/>
    <w:rsid w:val="00E069F8"/>
    <w:rsid w:val="00E0701C"/>
    <w:rsid w:val="00E07731"/>
    <w:rsid w:val="00E078FB"/>
    <w:rsid w:val="00E10780"/>
    <w:rsid w:val="00E10CC1"/>
    <w:rsid w:val="00E10FA9"/>
    <w:rsid w:val="00E11104"/>
    <w:rsid w:val="00E11139"/>
    <w:rsid w:val="00E11C0A"/>
    <w:rsid w:val="00E1229C"/>
    <w:rsid w:val="00E12BC5"/>
    <w:rsid w:val="00E12D45"/>
    <w:rsid w:val="00E131D9"/>
    <w:rsid w:val="00E133C4"/>
    <w:rsid w:val="00E13447"/>
    <w:rsid w:val="00E15322"/>
    <w:rsid w:val="00E15982"/>
    <w:rsid w:val="00E15AA8"/>
    <w:rsid w:val="00E15B9B"/>
    <w:rsid w:val="00E163B6"/>
    <w:rsid w:val="00E1645C"/>
    <w:rsid w:val="00E165F0"/>
    <w:rsid w:val="00E166E7"/>
    <w:rsid w:val="00E167A6"/>
    <w:rsid w:val="00E177BC"/>
    <w:rsid w:val="00E179BE"/>
    <w:rsid w:val="00E17B56"/>
    <w:rsid w:val="00E202DA"/>
    <w:rsid w:val="00E205AE"/>
    <w:rsid w:val="00E206C3"/>
    <w:rsid w:val="00E208DD"/>
    <w:rsid w:val="00E222F8"/>
    <w:rsid w:val="00E2241A"/>
    <w:rsid w:val="00E2248F"/>
    <w:rsid w:val="00E2275C"/>
    <w:rsid w:val="00E22D60"/>
    <w:rsid w:val="00E22D7A"/>
    <w:rsid w:val="00E2304D"/>
    <w:rsid w:val="00E2336E"/>
    <w:rsid w:val="00E23370"/>
    <w:rsid w:val="00E23812"/>
    <w:rsid w:val="00E238A0"/>
    <w:rsid w:val="00E23C8A"/>
    <w:rsid w:val="00E23EF2"/>
    <w:rsid w:val="00E24AD7"/>
    <w:rsid w:val="00E24BC3"/>
    <w:rsid w:val="00E24DF6"/>
    <w:rsid w:val="00E24EB6"/>
    <w:rsid w:val="00E24ECC"/>
    <w:rsid w:val="00E254A6"/>
    <w:rsid w:val="00E256FB"/>
    <w:rsid w:val="00E259F2"/>
    <w:rsid w:val="00E25C98"/>
    <w:rsid w:val="00E267DD"/>
    <w:rsid w:val="00E26B54"/>
    <w:rsid w:val="00E2711B"/>
    <w:rsid w:val="00E30B9A"/>
    <w:rsid w:val="00E30C18"/>
    <w:rsid w:val="00E315C9"/>
    <w:rsid w:val="00E315F4"/>
    <w:rsid w:val="00E32AC4"/>
    <w:rsid w:val="00E33145"/>
    <w:rsid w:val="00E337D7"/>
    <w:rsid w:val="00E34E13"/>
    <w:rsid w:val="00E363EE"/>
    <w:rsid w:val="00E364EC"/>
    <w:rsid w:val="00E3684C"/>
    <w:rsid w:val="00E36CDA"/>
    <w:rsid w:val="00E37E1B"/>
    <w:rsid w:val="00E37F0B"/>
    <w:rsid w:val="00E40B41"/>
    <w:rsid w:val="00E40B5D"/>
    <w:rsid w:val="00E41483"/>
    <w:rsid w:val="00E41AA4"/>
    <w:rsid w:val="00E42456"/>
    <w:rsid w:val="00E42727"/>
    <w:rsid w:val="00E42B30"/>
    <w:rsid w:val="00E42BBD"/>
    <w:rsid w:val="00E43132"/>
    <w:rsid w:val="00E43BC2"/>
    <w:rsid w:val="00E4422D"/>
    <w:rsid w:val="00E444B6"/>
    <w:rsid w:val="00E44942"/>
    <w:rsid w:val="00E44E42"/>
    <w:rsid w:val="00E45C27"/>
    <w:rsid w:val="00E4637F"/>
    <w:rsid w:val="00E47000"/>
    <w:rsid w:val="00E4708F"/>
    <w:rsid w:val="00E471EF"/>
    <w:rsid w:val="00E47407"/>
    <w:rsid w:val="00E478B2"/>
    <w:rsid w:val="00E47E3A"/>
    <w:rsid w:val="00E50494"/>
    <w:rsid w:val="00E508A0"/>
    <w:rsid w:val="00E50B2F"/>
    <w:rsid w:val="00E50CDC"/>
    <w:rsid w:val="00E51032"/>
    <w:rsid w:val="00E51287"/>
    <w:rsid w:val="00E518DD"/>
    <w:rsid w:val="00E5301A"/>
    <w:rsid w:val="00E531FB"/>
    <w:rsid w:val="00E5460D"/>
    <w:rsid w:val="00E55D2B"/>
    <w:rsid w:val="00E56B56"/>
    <w:rsid w:val="00E56EA6"/>
    <w:rsid w:val="00E576C0"/>
    <w:rsid w:val="00E5778D"/>
    <w:rsid w:val="00E57B73"/>
    <w:rsid w:val="00E60017"/>
    <w:rsid w:val="00E60158"/>
    <w:rsid w:val="00E60162"/>
    <w:rsid w:val="00E60403"/>
    <w:rsid w:val="00E610B5"/>
    <w:rsid w:val="00E614E1"/>
    <w:rsid w:val="00E61575"/>
    <w:rsid w:val="00E615AC"/>
    <w:rsid w:val="00E619CE"/>
    <w:rsid w:val="00E61A85"/>
    <w:rsid w:val="00E6206A"/>
    <w:rsid w:val="00E63690"/>
    <w:rsid w:val="00E6400F"/>
    <w:rsid w:val="00E641A0"/>
    <w:rsid w:val="00E641F7"/>
    <w:rsid w:val="00E6425B"/>
    <w:rsid w:val="00E644BD"/>
    <w:rsid w:val="00E644F8"/>
    <w:rsid w:val="00E649AE"/>
    <w:rsid w:val="00E64A95"/>
    <w:rsid w:val="00E6543C"/>
    <w:rsid w:val="00E65745"/>
    <w:rsid w:val="00E6589C"/>
    <w:rsid w:val="00E65EB5"/>
    <w:rsid w:val="00E6694B"/>
    <w:rsid w:val="00E66F33"/>
    <w:rsid w:val="00E671EC"/>
    <w:rsid w:val="00E673F0"/>
    <w:rsid w:val="00E6766A"/>
    <w:rsid w:val="00E676C1"/>
    <w:rsid w:val="00E677EB"/>
    <w:rsid w:val="00E700C4"/>
    <w:rsid w:val="00E704E2"/>
    <w:rsid w:val="00E70547"/>
    <w:rsid w:val="00E7074B"/>
    <w:rsid w:val="00E71525"/>
    <w:rsid w:val="00E715FB"/>
    <w:rsid w:val="00E72782"/>
    <w:rsid w:val="00E7283D"/>
    <w:rsid w:val="00E7289D"/>
    <w:rsid w:val="00E72B86"/>
    <w:rsid w:val="00E72FF8"/>
    <w:rsid w:val="00E7335A"/>
    <w:rsid w:val="00E73952"/>
    <w:rsid w:val="00E746A5"/>
    <w:rsid w:val="00E747E7"/>
    <w:rsid w:val="00E74E9E"/>
    <w:rsid w:val="00E75068"/>
    <w:rsid w:val="00E7529A"/>
    <w:rsid w:val="00E76583"/>
    <w:rsid w:val="00E767A7"/>
    <w:rsid w:val="00E76DB5"/>
    <w:rsid w:val="00E776E9"/>
    <w:rsid w:val="00E7770A"/>
    <w:rsid w:val="00E77C25"/>
    <w:rsid w:val="00E8047F"/>
    <w:rsid w:val="00E809A2"/>
    <w:rsid w:val="00E817DC"/>
    <w:rsid w:val="00E818BB"/>
    <w:rsid w:val="00E81AC5"/>
    <w:rsid w:val="00E81F4E"/>
    <w:rsid w:val="00E825AD"/>
    <w:rsid w:val="00E82CC1"/>
    <w:rsid w:val="00E82D79"/>
    <w:rsid w:val="00E82E3E"/>
    <w:rsid w:val="00E837F8"/>
    <w:rsid w:val="00E83E91"/>
    <w:rsid w:val="00E84133"/>
    <w:rsid w:val="00E84D2C"/>
    <w:rsid w:val="00E86253"/>
    <w:rsid w:val="00E8657B"/>
    <w:rsid w:val="00E867B3"/>
    <w:rsid w:val="00E874AD"/>
    <w:rsid w:val="00E874BD"/>
    <w:rsid w:val="00E87BBA"/>
    <w:rsid w:val="00E87F48"/>
    <w:rsid w:val="00E87F69"/>
    <w:rsid w:val="00E9078A"/>
    <w:rsid w:val="00E908BF"/>
    <w:rsid w:val="00E9098D"/>
    <w:rsid w:val="00E91692"/>
    <w:rsid w:val="00E918C2"/>
    <w:rsid w:val="00E91AF6"/>
    <w:rsid w:val="00E91B64"/>
    <w:rsid w:val="00E91D4B"/>
    <w:rsid w:val="00E92BEF"/>
    <w:rsid w:val="00E92C05"/>
    <w:rsid w:val="00E92D95"/>
    <w:rsid w:val="00E92F1B"/>
    <w:rsid w:val="00E9306E"/>
    <w:rsid w:val="00E93079"/>
    <w:rsid w:val="00E93296"/>
    <w:rsid w:val="00E934DD"/>
    <w:rsid w:val="00E937EA"/>
    <w:rsid w:val="00E9399F"/>
    <w:rsid w:val="00E943FD"/>
    <w:rsid w:val="00E9456D"/>
    <w:rsid w:val="00E94F6C"/>
    <w:rsid w:val="00E94F9F"/>
    <w:rsid w:val="00E9513D"/>
    <w:rsid w:val="00E952D4"/>
    <w:rsid w:val="00E952D9"/>
    <w:rsid w:val="00E9545E"/>
    <w:rsid w:val="00E962D3"/>
    <w:rsid w:val="00E967B2"/>
    <w:rsid w:val="00E975C3"/>
    <w:rsid w:val="00E97611"/>
    <w:rsid w:val="00E97BB7"/>
    <w:rsid w:val="00EA040A"/>
    <w:rsid w:val="00EA08FA"/>
    <w:rsid w:val="00EA0E56"/>
    <w:rsid w:val="00EA0FCA"/>
    <w:rsid w:val="00EA1507"/>
    <w:rsid w:val="00EA1AD7"/>
    <w:rsid w:val="00EA1D76"/>
    <w:rsid w:val="00EA1DF1"/>
    <w:rsid w:val="00EA26C6"/>
    <w:rsid w:val="00EA2869"/>
    <w:rsid w:val="00EA2CCF"/>
    <w:rsid w:val="00EA38A8"/>
    <w:rsid w:val="00EA477A"/>
    <w:rsid w:val="00EA4918"/>
    <w:rsid w:val="00EA4DB6"/>
    <w:rsid w:val="00EA5846"/>
    <w:rsid w:val="00EA588D"/>
    <w:rsid w:val="00EA58F5"/>
    <w:rsid w:val="00EA5A8F"/>
    <w:rsid w:val="00EA61D4"/>
    <w:rsid w:val="00EA7179"/>
    <w:rsid w:val="00EA75FB"/>
    <w:rsid w:val="00EA78D7"/>
    <w:rsid w:val="00EB123D"/>
    <w:rsid w:val="00EB1F4F"/>
    <w:rsid w:val="00EB2191"/>
    <w:rsid w:val="00EB2D73"/>
    <w:rsid w:val="00EB2FDF"/>
    <w:rsid w:val="00EB346E"/>
    <w:rsid w:val="00EB4429"/>
    <w:rsid w:val="00EB476E"/>
    <w:rsid w:val="00EB4876"/>
    <w:rsid w:val="00EB4EFD"/>
    <w:rsid w:val="00EB4F68"/>
    <w:rsid w:val="00EB53D1"/>
    <w:rsid w:val="00EB5966"/>
    <w:rsid w:val="00EB5BC8"/>
    <w:rsid w:val="00EB672B"/>
    <w:rsid w:val="00EB7856"/>
    <w:rsid w:val="00EB7F8D"/>
    <w:rsid w:val="00EC0224"/>
    <w:rsid w:val="00EC02FE"/>
    <w:rsid w:val="00EC434E"/>
    <w:rsid w:val="00EC4DCC"/>
    <w:rsid w:val="00EC4F75"/>
    <w:rsid w:val="00EC5019"/>
    <w:rsid w:val="00EC6046"/>
    <w:rsid w:val="00EC619D"/>
    <w:rsid w:val="00EC62E5"/>
    <w:rsid w:val="00EC654A"/>
    <w:rsid w:val="00EC6771"/>
    <w:rsid w:val="00EC6B59"/>
    <w:rsid w:val="00EC6FD6"/>
    <w:rsid w:val="00EC7897"/>
    <w:rsid w:val="00ED0C80"/>
    <w:rsid w:val="00ED104E"/>
    <w:rsid w:val="00ED300F"/>
    <w:rsid w:val="00ED3730"/>
    <w:rsid w:val="00ED3C18"/>
    <w:rsid w:val="00ED4D48"/>
    <w:rsid w:val="00ED517F"/>
    <w:rsid w:val="00ED6236"/>
    <w:rsid w:val="00ED6CD0"/>
    <w:rsid w:val="00ED7E9D"/>
    <w:rsid w:val="00EE0403"/>
    <w:rsid w:val="00EE0470"/>
    <w:rsid w:val="00EE0C8B"/>
    <w:rsid w:val="00EE1091"/>
    <w:rsid w:val="00EE1382"/>
    <w:rsid w:val="00EE15A4"/>
    <w:rsid w:val="00EE15F7"/>
    <w:rsid w:val="00EE1E1B"/>
    <w:rsid w:val="00EE25E9"/>
    <w:rsid w:val="00EE294D"/>
    <w:rsid w:val="00EE334A"/>
    <w:rsid w:val="00EE38A0"/>
    <w:rsid w:val="00EE38CF"/>
    <w:rsid w:val="00EE4830"/>
    <w:rsid w:val="00EE4CAF"/>
    <w:rsid w:val="00EE553E"/>
    <w:rsid w:val="00EE5879"/>
    <w:rsid w:val="00EE5C73"/>
    <w:rsid w:val="00EE609A"/>
    <w:rsid w:val="00EE73AB"/>
    <w:rsid w:val="00EE7F74"/>
    <w:rsid w:val="00EE7FC8"/>
    <w:rsid w:val="00EF005B"/>
    <w:rsid w:val="00EF00D7"/>
    <w:rsid w:val="00EF05E8"/>
    <w:rsid w:val="00EF06FE"/>
    <w:rsid w:val="00EF0B20"/>
    <w:rsid w:val="00EF165B"/>
    <w:rsid w:val="00EF2C08"/>
    <w:rsid w:val="00EF3E88"/>
    <w:rsid w:val="00EF4084"/>
    <w:rsid w:val="00EF49E6"/>
    <w:rsid w:val="00EF4A09"/>
    <w:rsid w:val="00EF4D47"/>
    <w:rsid w:val="00EF4FC1"/>
    <w:rsid w:val="00EF5950"/>
    <w:rsid w:val="00EF5C33"/>
    <w:rsid w:val="00EF6608"/>
    <w:rsid w:val="00EF6C0C"/>
    <w:rsid w:val="00EF7349"/>
    <w:rsid w:val="00EF76F8"/>
    <w:rsid w:val="00EF7A27"/>
    <w:rsid w:val="00EF7ECE"/>
    <w:rsid w:val="00F0015A"/>
    <w:rsid w:val="00F01044"/>
    <w:rsid w:val="00F02225"/>
    <w:rsid w:val="00F0226D"/>
    <w:rsid w:val="00F0249F"/>
    <w:rsid w:val="00F0305E"/>
    <w:rsid w:val="00F03A31"/>
    <w:rsid w:val="00F0445E"/>
    <w:rsid w:val="00F044FA"/>
    <w:rsid w:val="00F04A9E"/>
    <w:rsid w:val="00F04DC7"/>
    <w:rsid w:val="00F052D8"/>
    <w:rsid w:val="00F05E67"/>
    <w:rsid w:val="00F067D0"/>
    <w:rsid w:val="00F069DF"/>
    <w:rsid w:val="00F07006"/>
    <w:rsid w:val="00F072FE"/>
    <w:rsid w:val="00F0764C"/>
    <w:rsid w:val="00F077C4"/>
    <w:rsid w:val="00F07CC4"/>
    <w:rsid w:val="00F10296"/>
    <w:rsid w:val="00F10D81"/>
    <w:rsid w:val="00F10EAE"/>
    <w:rsid w:val="00F10F5A"/>
    <w:rsid w:val="00F113DE"/>
    <w:rsid w:val="00F12006"/>
    <w:rsid w:val="00F12337"/>
    <w:rsid w:val="00F1358C"/>
    <w:rsid w:val="00F13856"/>
    <w:rsid w:val="00F142E1"/>
    <w:rsid w:val="00F14558"/>
    <w:rsid w:val="00F14793"/>
    <w:rsid w:val="00F15A49"/>
    <w:rsid w:val="00F15CF9"/>
    <w:rsid w:val="00F15D0D"/>
    <w:rsid w:val="00F1641D"/>
    <w:rsid w:val="00F164AB"/>
    <w:rsid w:val="00F17423"/>
    <w:rsid w:val="00F1760E"/>
    <w:rsid w:val="00F17E20"/>
    <w:rsid w:val="00F21031"/>
    <w:rsid w:val="00F212C2"/>
    <w:rsid w:val="00F2143E"/>
    <w:rsid w:val="00F216E4"/>
    <w:rsid w:val="00F21C78"/>
    <w:rsid w:val="00F22211"/>
    <w:rsid w:val="00F225A4"/>
    <w:rsid w:val="00F2282B"/>
    <w:rsid w:val="00F22EF4"/>
    <w:rsid w:val="00F23004"/>
    <w:rsid w:val="00F23492"/>
    <w:rsid w:val="00F235DE"/>
    <w:rsid w:val="00F23747"/>
    <w:rsid w:val="00F23E60"/>
    <w:rsid w:val="00F244E1"/>
    <w:rsid w:val="00F2463C"/>
    <w:rsid w:val="00F24644"/>
    <w:rsid w:val="00F250D8"/>
    <w:rsid w:val="00F26827"/>
    <w:rsid w:val="00F268AE"/>
    <w:rsid w:val="00F26B75"/>
    <w:rsid w:val="00F274F1"/>
    <w:rsid w:val="00F27710"/>
    <w:rsid w:val="00F27B25"/>
    <w:rsid w:val="00F30066"/>
    <w:rsid w:val="00F31404"/>
    <w:rsid w:val="00F315DF"/>
    <w:rsid w:val="00F3323B"/>
    <w:rsid w:val="00F33764"/>
    <w:rsid w:val="00F34193"/>
    <w:rsid w:val="00F34AC2"/>
    <w:rsid w:val="00F34C51"/>
    <w:rsid w:val="00F35801"/>
    <w:rsid w:val="00F35968"/>
    <w:rsid w:val="00F35C4D"/>
    <w:rsid w:val="00F37210"/>
    <w:rsid w:val="00F37FF3"/>
    <w:rsid w:val="00F40068"/>
    <w:rsid w:val="00F41315"/>
    <w:rsid w:val="00F41361"/>
    <w:rsid w:val="00F41AFD"/>
    <w:rsid w:val="00F4260F"/>
    <w:rsid w:val="00F42891"/>
    <w:rsid w:val="00F43601"/>
    <w:rsid w:val="00F4373C"/>
    <w:rsid w:val="00F4628E"/>
    <w:rsid w:val="00F4652A"/>
    <w:rsid w:val="00F46918"/>
    <w:rsid w:val="00F4789E"/>
    <w:rsid w:val="00F4795D"/>
    <w:rsid w:val="00F47BDC"/>
    <w:rsid w:val="00F50BE0"/>
    <w:rsid w:val="00F52FAC"/>
    <w:rsid w:val="00F5364C"/>
    <w:rsid w:val="00F5379D"/>
    <w:rsid w:val="00F53876"/>
    <w:rsid w:val="00F53AE7"/>
    <w:rsid w:val="00F53F6F"/>
    <w:rsid w:val="00F56A7F"/>
    <w:rsid w:val="00F57549"/>
    <w:rsid w:val="00F57747"/>
    <w:rsid w:val="00F579DC"/>
    <w:rsid w:val="00F604C1"/>
    <w:rsid w:val="00F61695"/>
    <w:rsid w:val="00F617DE"/>
    <w:rsid w:val="00F61A54"/>
    <w:rsid w:val="00F626CB"/>
    <w:rsid w:val="00F631C2"/>
    <w:rsid w:val="00F634D5"/>
    <w:rsid w:val="00F638CB"/>
    <w:rsid w:val="00F63A1D"/>
    <w:rsid w:val="00F63EFA"/>
    <w:rsid w:val="00F6521D"/>
    <w:rsid w:val="00F65547"/>
    <w:rsid w:val="00F66007"/>
    <w:rsid w:val="00F66519"/>
    <w:rsid w:val="00F67117"/>
    <w:rsid w:val="00F67CAE"/>
    <w:rsid w:val="00F70771"/>
    <w:rsid w:val="00F713BA"/>
    <w:rsid w:val="00F71F01"/>
    <w:rsid w:val="00F72244"/>
    <w:rsid w:val="00F724ED"/>
    <w:rsid w:val="00F72D11"/>
    <w:rsid w:val="00F73948"/>
    <w:rsid w:val="00F756F9"/>
    <w:rsid w:val="00F75B6C"/>
    <w:rsid w:val="00F76158"/>
    <w:rsid w:val="00F76482"/>
    <w:rsid w:val="00F76F62"/>
    <w:rsid w:val="00F813A2"/>
    <w:rsid w:val="00F81CD2"/>
    <w:rsid w:val="00F81F07"/>
    <w:rsid w:val="00F82239"/>
    <w:rsid w:val="00F823E1"/>
    <w:rsid w:val="00F82426"/>
    <w:rsid w:val="00F8253B"/>
    <w:rsid w:val="00F828C1"/>
    <w:rsid w:val="00F82F43"/>
    <w:rsid w:val="00F83001"/>
    <w:rsid w:val="00F84082"/>
    <w:rsid w:val="00F84AFF"/>
    <w:rsid w:val="00F84C1F"/>
    <w:rsid w:val="00F84D72"/>
    <w:rsid w:val="00F84E7C"/>
    <w:rsid w:val="00F90D1F"/>
    <w:rsid w:val="00F91017"/>
    <w:rsid w:val="00F917FF"/>
    <w:rsid w:val="00F921CF"/>
    <w:rsid w:val="00F92205"/>
    <w:rsid w:val="00F9250C"/>
    <w:rsid w:val="00F926E3"/>
    <w:rsid w:val="00F92A0F"/>
    <w:rsid w:val="00F93037"/>
    <w:rsid w:val="00F935F6"/>
    <w:rsid w:val="00F939F7"/>
    <w:rsid w:val="00F93F26"/>
    <w:rsid w:val="00F94373"/>
    <w:rsid w:val="00F9479F"/>
    <w:rsid w:val="00F94A22"/>
    <w:rsid w:val="00F965D1"/>
    <w:rsid w:val="00F96B35"/>
    <w:rsid w:val="00F979BF"/>
    <w:rsid w:val="00F97C59"/>
    <w:rsid w:val="00FA0445"/>
    <w:rsid w:val="00FA107B"/>
    <w:rsid w:val="00FA1835"/>
    <w:rsid w:val="00FA198A"/>
    <w:rsid w:val="00FA1CB1"/>
    <w:rsid w:val="00FA20D4"/>
    <w:rsid w:val="00FA21D8"/>
    <w:rsid w:val="00FA2641"/>
    <w:rsid w:val="00FA26A8"/>
    <w:rsid w:val="00FA3380"/>
    <w:rsid w:val="00FA3B1F"/>
    <w:rsid w:val="00FA3F06"/>
    <w:rsid w:val="00FA4881"/>
    <w:rsid w:val="00FA6100"/>
    <w:rsid w:val="00FA6441"/>
    <w:rsid w:val="00FA65B0"/>
    <w:rsid w:val="00FA7F48"/>
    <w:rsid w:val="00FA7F89"/>
    <w:rsid w:val="00FB05C9"/>
    <w:rsid w:val="00FB05EB"/>
    <w:rsid w:val="00FB0AF0"/>
    <w:rsid w:val="00FB0C15"/>
    <w:rsid w:val="00FB16C2"/>
    <w:rsid w:val="00FB1766"/>
    <w:rsid w:val="00FB27A8"/>
    <w:rsid w:val="00FB35F4"/>
    <w:rsid w:val="00FB3A03"/>
    <w:rsid w:val="00FB3E27"/>
    <w:rsid w:val="00FB4040"/>
    <w:rsid w:val="00FB46A0"/>
    <w:rsid w:val="00FB5509"/>
    <w:rsid w:val="00FB6C87"/>
    <w:rsid w:val="00FB72CD"/>
    <w:rsid w:val="00FB7542"/>
    <w:rsid w:val="00FC2135"/>
    <w:rsid w:val="00FC2E4E"/>
    <w:rsid w:val="00FC320F"/>
    <w:rsid w:val="00FC33C2"/>
    <w:rsid w:val="00FC3484"/>
    <w:rsid w:val="00FC53DA"/>
    <w:rsid w:val="00FC5627"/>
    <w:rsid w:val="00FC5769"/>
    <w:rsid w:val="00FC75F8"/>
    <w:rsid w:val="00FC7639"/>
    <w:rsid w:val="00FC7A8B"/>
    <w:rsid w:val="00FD0DC7"/>
    <w:rsid w:val="00FD12CF"/>
    <w:rsid w:val="00FD1385"/>
    <w:rsid w:val="00FD15FF"/>
    <w:rsid w:val="00FD18FF"/>
    <w:rsid w:val="00FD1A08"/>
    <w:rsid w:val="00FD1E78"/>
    <w:rsid w:val="00FD26D1"/>
    <w:rsid w:val="00FD2954"/>
    <w:rsid w:val="00FD2A23"/>
    <w:rsid w:val="00FD2C55"/>
    <w:rsid w:val="00FD3169"/>
    <w:rsid w:val="00FD3613"/>
    <w:rsid w:val="00FD4039"/>
    <w:rsid w:val="00FD48B7"/>
    <w:rsid w:val="00FD5209"/>
    <w:rsid w:val="00FD5A38"/>
    <w:rsid w:val="00FD5A78"/>
    <w:rsid w:val="00FD67AD"/>
    <w:rsid w:val="00FD71FA"/>
    <w:rsid w:val="00FD7EE2"/>
    <w:rsid w:val="00FE003E"/>
    <w:rsid w:val="00FE04E8"/>
    <w:rsid w:val="00FE1202"/>
    <w:rsid w:val="00FE1370"/>
    <w:rsid w:val="00FE1744"/>
    <w:rsid w:val="00FE1793"/>
    <w:rsid w:val="00FE2880"/>
    <w:rsid w:val="00FE3A12"/>
    <w:rsid w:val="00FE47FF"/>
    <w:rsid w:val="00FE5788"/>
    <w:rsid w:val="00FE5989"/>
    <w:rsid w:val="00FE5E37"/>
    <w:rsid w:val="00FE68F4"/>
    <w:rsid w:val="00FE71DC"/>
    <w:rsid w:val="00FE7F56"/>
    <w:rsid w:val="00FF03CA"/>
    <w:rsid w:val="00FF0A50"/>
    <w:rsid w:val="00FF129B"/>
    <w:rsid w:val="00FF1366"/>
    <w:rsid w:val="00FF197B"/>
    <w:rsid w:val="00FF234E"/>
    <w:rsid w:val="00FF38FD"/>
    <w:rsid w:val="00FF3A59"/>
    <w:rsid w:val="00FF3E9A"/>
    <w:rsid w:val="00FF4653"/>
    <w:rsid w:val="00FF58F7"/>
    <w:rsid w:val="00FF5978"/>
    <w:rsid w:val="00FF5B50"/>
    <w:rsid w:val="00FF5E71"/>
    <w:rsid w:val="00FF65BB"/>
    <w:rsid w:val="00FF66FA"/>
    <w:rsid w:val="00FF78AE"/>
    <w:rsid w:val="00FF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5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D17BA"/>
    <w:pPr>
      <w:keepNext/>
      <w:keepLines/>
      <w:spacing w:before="960" w:after="640" w:line="240" w:lineRule="auto"/>
      <w:outlineLvl w:val="0"/>
    </w:pPr>
    <w:rPr>
      <w:rFonts w:asciiTheme="minorHAnsi" w:eastAsiaTheme="majorEastAsia" w:hAnsiTheme="minorHAnsi" w:cstheme="majorBidi"/>
      <w:b/>
      <w:bCs/>
      <w:color w:val="4A442A" w:themeColor="background2" w:themeShade="40"/>
      <w:sz w:val="32"/>
      <w:szCs w:val="32"/>
      <w:lang w:val="es-ES_tradnl"/>
    </w:rPr>
  </w:style>
  <w:style w:type="paragraph" w:styleId="Heading2">
    <w:name w:val="heading 2"/>
    <w:basedOn w:val="Normal"/>
    <w:next w:val="Normal"/>
    <w:link w:val="Heading2Char"/>
    <w:uiPriority w:val="9"/>
    <w:unhideWhenUsed/>
    <w:qFormat/>
    <w:rsid w:val="009A58BE"/>
    <w:pPr>
      <w:keepNext/>
      <w:keepLines/>
      <w:numPr>
        <w:numId w:val="3"/>
      </w:numPr>
      <w:spacing w:before="480" w:after="360" w:line="240" w:lineRule="auto"/>
      <w:ind w:left="547" w:hanging="547"/>
      <w:outlineLvl w:val="1"/>
    </w:pPr>
    <w:rPr>
      <w:rFonts w:asciiTheme="minorHAnsi" w:eastAsiaTheme="majorEastAsia" w:hAnsiTheme="minorHAnsi" w:cstheme="majorBidi"/>
      <w:b/>
      <w:bCs/>
      <w:i/>
      <w:sz w:val="28"/>
    </w:rPr>
  </w:style>
  <w:style w:type="paragraph" w:styleId="Heading3">
    <w:name w:val="heading 3"/>
    <w:basedOn w:val="Numberedparagraphs"/>
    <w:next w:val="Normal"/>
    <w:link w:val="Heading3Char"/>
    <w:uiPriority w:val="9"/>
    <w:unhideWhenUsed/>
    <w:qFormat/>
    <w:rsid w:val="003359B2"/>
    <w:pPr>
      <w:numPr>
        <w:numId w:val="10"/>
      </w:numPr>
      <w:spacing w:before="480" w:after="360"/>
      <w:ind w:left="1094" w:hanging="547"/>
      <w:outlineLvl w:val="2"/>
    </w:pPr>
    <w:rPr>
      <w:rFonts w:asciiTheme="minorHAnsi" w:hAnsiTheme="minorHAnsi"/>
      <w:b/>
      <w:sz w:val="24"/>
    </w:rPr>
  </w:style>
  <w:style w:type="paragraph" w:styleId="Heading4">
    <w:name w:val="heading 4"/>
    <w:basedOn w:val="ListParagraph"/>
    <w:next w:val="Normal"/>
    <w:link w:val="Heading4Char"/>
    <w:uiPriority w:val="9"/>
    <w:unhideWhenUsed/>
    <w:qFormat/>
    <w:rsid w:val="00DB0C72"/>
    <w:pPr>
      <w:numPr>
        <w:numId w:val="5"/>
      </w:numPr>
      <w:spacing w:before="360" w:after="240"/>
      <w:jc w:val="both"/>
      <w:outlineLvl w:val="3"/>
    </w:pPr>
    <w:rPr>
      <w:rFonts w:asciiTheme="minorHAnsi" w:hAnsiTheme="minorHAnsi"/>
      <w:b/>
      <w:szCs w:val="20"/>
      <w:lang w:val="es-ES"/>
    </w:rPr>
  </w:style>
  <w:style w:type="paragraph" w:styleId="Heading5">
    <w:name w:val="heading 5"/>
    <w:basedOn w:val="Normal"/>
    <w:next w:val="Normal"/>
    <w:link w:val="Heading5Char"/>
    <w:uiPriority w:val="9"/>
    <w:unhideWhenUsed/>
    <w:qFormat/>
    <w:rsid w:val="001A5E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uperíndice,Dot pt,No Spacing1,List Paragraph Char Char Char,Indicator Text,List Paragraph1,Numbered Para 1,4 Párrafo de lista,Figuras,DH1,4 Párrafo de l,Bullet 1,F5 List Paragraph,Bullet Points,Ha,Parragrap,Colorful List - Accent 11"/>
    <w:basedOn w:val="Normal"/>
    <w:link w:val="ListParagraphChar"/>
    <w:qFormat/>
    <w:rsid w:val="00402420"/>
    <w:pPr>
      <w:spacing w:after="0" w:line="240" w:lineRule="auto"/>
      <w:ind w:left="720"/>
    </w:pPr>
  </w:style>
  <w:style w:type="table" w:styleId="TableGrid">
    <w:name w:val="Table Grid"/>
    <w:basedOn w:val="TableNormal"/>
    <w:uiPriority w:val="59"/>
    <w:rsid w:val="00A0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F03"/>
    <w:pPr>
      <w:tabs>
        <w:tab w:val="center" w:pos="4320"/>
        <w:tab w:val="right" w:pos="8640"/>
      </w:tabs>
    </w:pPr>
  </w:style>
  <w:style w:type="character" w:customStyle="1" w:styleId="FooterChar">
    <w:name w:val="Footer Char"/>
    <w:basedOn w:val="DefaultParagraphFont"/>
    <w:link w:val="Footer"/>
    <w:uiPriority w:val="99"/>
    <w:rsid w:val="008D7F03"/>
    <w:rPr>
      <w:sz w:val="22"/>
      <w:szCs w:val="22"/>
    </w:rPr>
  </w:style>
  <w:style w:type="character" w:styleId="PageNumber">
    <w:name w:val="page number"/>
    <w:basedOn w:val="DefaultParagraphFont"/>
    <w:uiPriority w:val="99"/>
    <w:semiHidden/>
    <w:unhideWhenUsed/>
    <w:rsid w:val="008D7F03"/>
  </w:style>
  <w:style w:type="paragraph" w:styleId="NormalWeb">
    <w:name w:val="Normal (Web)"/>
    <w:basedOn w:val="Normal"/>
    <w:uiPriority w:val="99"/>
    <w:unhideWhenUsed/>
    <w:rsid w:val="00973209"/>
    <w:rPr>
      <w:rFonts w:ascii="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6F17D4"/>
    <w:pPr>
      <w:spacing w:after="40" w:line="240" w:lineRule="auto"/>
      <w:ind w:left="540" w:hanging="540"/>
      <w:jc w:val="both"/>
    </w:pPr>
    <w:rPr>
      <w:rFonts w:asciiTheme="minorHAnsi" w:hAnsiTheme="minorHAnsi" w:cs="Calibri"/>
      <w:color w:val="000000" w:themeColor="text1"/>
      <w:sz w:val="16"/>
      <w:szCs w:val="16"/>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qFormat/>
    <w:rsid w:val="006F17D4"/>
    <w:rPr>
      <w:rFonts w:asciiTheme="minorHAnsi" w:hAnsiTheme="minorHAnsi" w:cs="Calibri"/>
      <w:color w:val="000000" w:themeColor="text1"/>
      <w:sz w:val="16"/>
      <w:szCs w:val="16"/>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basedOn w:val="DefaultParagraphFont"/>
    <w:link w:val="Char2"/>
    <w:uiPriority w:val="99"/>
    <w:unhideWhenUsed/>
    <w:qFormat/>
    <w:rsid w:val="00B20D25"/>
    <w:rPr>
      <w:rFonts w:ascii="Cambria" w:hAnsi="Cambria"/>
      <w:sz w:val="20"/>
      <w:szCs w:val="20"/>
      <w:vertAlign w:val="superscript"/>
    </w:rPr>
  </w:style>
  <w:style w:type="character" w:styleId="Hyperlink">
    <w:name w:val="Hyperlink"/>
    <w:aliases w:val="http://www.fantaproject.org/sites/default/files/resources/Guatemala-municipal-brief-English-June30.pdf"/>
    <w:uiPriority w:val="99"/>
    <w:rsid w:val="009015B2"/>
    <w:rPr>
      <w:color w:val="0000FF"/>
      <w:u w:val="single"/>
    </w:rPr>
  </w:style>
  <w:style w:type="paragraph" w:customStyle="1" w:styleId="Char2">
    <w:name w:val="Char2"/>
    <w:basedOn w:val="Normal"/>
    <w:link w:val="FootnoteReference"/>
    <w:uiPriority w:val="99"/>
    <w:rsid w:val="00993F00"/>
    <w:pPr>
      <w:spacing w:after="160" w:line="240" w:lineRule="exact"/>
    </w:pPr>
    <w:rPr>
      <w:rFonts w:ascii="Cambria" w:hAnsi="Cambria"/>
      <w:sz w:val="20"/>
      <w:szCs w:val="20"/>
      <w:vertAlign w:val="superscript"/>
    </w:rPr>
  </w:style>
  <w:style w:type="paragraph" w:customStyle="1" w:styleId="Numberedparagraphs">
    <w:name w:val="Numbered paragraphs"/>
    <w:basedOn w:val="Normal"/>
    <w:qFormat/>
    <w:rsid w:val="006F4717"/>
    <w:pPr>
      <w:numPr>
        <w:numId w:val="2"/>
      </w:numPr>
      <w:spacing w:after="240" w:line="240" w:lineRule="auto"/>
      <w:ind w:left="547" w:hanging="547"/>
      <w:jc w:val="both"/>
    </w:pPr>
    <w:rPr>
      <w:rFonts w:ascii="Cambria" w:hAnsi="Cambria"/>
    </w:rPr>
  </w:style>
  <w:style w:type="paragraph" w:customStyle="1" w:styleId="Citalarga">
    <w:name w:val="Cita larga"/>
    <w:basedOn w:val="Normal"/>
    <w:qFormat/>
    <w:rsid w:val="00993F00"/>
    <w:pPr>
      <w:spacing w:after="240" w:line="240" w:lineRule="auto"/>
      <w:ind w:left="1166" w:right="619"/>
      <w:jc w:val="both"/>
    </w:pPr>
    <w:rPr>
      <w:rFonts w:asciiTheme="majorHAnsi" w:eastAsia="MS Mincho" w:hAnsiTheme="majorHAnsi" w:cs="Tahoma"/>
      <w:sz w:val="18"/>
      <w:szCs w:val="20"/>
      <w:lang w:val="es-ES"/>
    </w:rPr>
  </w:style>
  <w:style w:type="character" w:styleId="CommentReference">
    <w:name w:val="annotation reference"/>
    <w:basedOn w:val="DefaultParagraphFont"/>
    <w:uiPriority w:val="99"/>
    <w:semiHidden/>
    <w:unhideWhenUsed/>
    <w:rsid w:val="00364D79"/>
    <w:rPr>
      <w:sz w:val="18"/>
      <w:szCs w:val="18"/>
    </w:rPr>
  </w:style>
  <w:style w:type="paragraph" w:styleId="CommentText">
    <w:name w:val="annotation text"/>
    <w:basedOn w:val="Normal"/>
    <w:link w:val="CommentTextChar"/>
    <w:uiPriority w:val="99"/>
    <w:semiHidden/>
    <w:unhideWhenUsed/>
    <w:rsid w:val="00364D79"/>
    <w:pPr>
      <w:spacing w:line="240" w:lineRule="auto"/>
    </w:pPr>
    <w:rPr>
      <w:sz w:val="24"/>
      <w:szCs w:val="24"/>
    </w:rPr>
  </w:style>
  <w:style w:type="character" w:customStyle="1" w:styleId="CommentTextChar">
    <w:name w:val="Comment Text Char"/>
    <w:basedOn w:val="DefaultParagraphFont"/>
    <w:link w:val="CommentText"/>
    <w:uiPriority w:val="99"/>
    <w:semiHidden/>
    <w:rsid w:val="00364D79"/>
    <w:rPr>
      <w:sz w:val="24"/>
      <w:szCs w:val="24"/>
    </w:rPr>
  </w:style>
  <w:style w:type="paragraph" w:styleId="CommentSubject">
    <w:name w:val="annotation subject"/>
    <w:basedOn w:val="CommentText"/>
    <w:next w:val="CommentText"/>
    <w:link w:val="CommentSubjectChar"/>
    <w:uiPriority w:val="99"/>
    <w:semiHidden/>
    <w:unhideWhenUsed/>
    <w:rsid w:val="00364D79"/>
    <w:rPr>
      <w:b/>
      <w:bCs/>
      <w:sz w:val="20"/>
      <w:szCs w:val="20"/>
    </w:rPr>
  </w:style>
  <w:style w:type="character" w:customStyle="1" w:styleId="CommentSubjectChar">
    <w:name w:val="Comment Subject Char"/>
    <w:basedOn w:val="CommentTextChar"/>
    <w:link w:val="CommentSubject"/>
    <w:uiPriority w:val="99"/>
    <w:semiHidden/>
    <w:rsid w:val="00364D79"/>
    <w:rPr>
      <w:b/>
      <w:bCs/>
      <w:sz w:val="24"/>
      <w:szCs w:val="24"/>
    </w:rPr>
  </w:style>
  <w:style w:type="paragraph" w:styleId="BalloonText">
    <w:name w:val="Balloon Text"/>
    <w:basedOn w:val="Normal"/>
    <w:link w:val="BalloonTextChar"/>
    <w:uiPriority w:val="99"/>
    <w:semiHidden/>
    <w:unhideWhenUsed/>
    <w:rsid w:val="00364D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79"/>
    <w:rPr>
      <w:rFonts w:ascii="Lucida Grande" w:hAnsi="Lucida Grande" w:cs="Lucida Grande"/>
      <w:sz w:val="18"/>
      <w:szCs w:val="18"/>
    </w:rPr>
  </w:style>
  <w:style w:type="paragraph" w:styleId="EndnoteText">
    <w:name w:val="endnote text"/>
    <w:basedOn w:val="Normal"/>
    <w:link w:val="EndnoteTextChar"/>
    <w:uiPriority w:val="99"/>
    <w:unhideWhenUsed/>
    <w:rsid w:val="00DF17C1"/>
    <w:pPr>
      <w:spacing w:after="0" w:line="240" w:lineRule="auto"/>
    </w:pPr>
    <w:rPr>
      <w:sz w:val="24"/>
      <w:szCs w:val="24"/>
    </w:rPr>
  </w:style>
  <w:style w:type="character" w:customStyle="1" w:styleId="EndnoteTextChar">
    <w:name w:val="Endnote Text Char"/>
    <w:basedOn w:val="DefaultParagraphFont"/>
    <w:link w:val="EndnoteText"/>
    <w:uiPriority w:val="99"/>
    <w:rsid w:val="00DF17C1"/>
    <w:rPr>
      <w:sz w:val="24"/>
      <w:szCs w:val="24"/>
    </w:rPr>
  </w:style>
  <w:style w:type="character" w:styleId="EndnoteReference">
    <w:name w:val="endnote reference"/>
    <w:basedOn w:val="DefaultParagraphFont"/>
    <w:uiPriority w:val="99"/>
    <w:semiHidden/>
    <w:unhideWhenUsed/>
    <w:rsid w:val="00DF17C1"/>
    <w:rPr>
      <w:vertAlign w:val="superscript"/>
    </w:rPr>
  </w:style>
  <w:style w:type="character" w:styleId="FollowedHyperlink">
    <w:name w:val="FollowedHyperlink"/>
    <w:basedOn w:val="DefaultParagraphFont"/>
    <w:uiPriority w:val="99"/>
    <w:semiHidden/>
    <w:unhideWhenUsed/>
    <w:rsid w:val="001410D4"/>
    <w:rPr>
      <w:color w:val="800080" w:themeColor="followedHyperlink"/>
      <w:u w:val="single"/>
    </w:rPr>
  </w:style>
  <w:style w:type="character" w:customStyle="1" w:styleId="Heading1Char">
    <w:name w:val="Heading 1 Char"/>
    <w:basedOn w:val="DefaultParagraphFont"/>
    <w:link w:val="Heading1"/>
    <w:uiPriority w:val="9"/>
    <w:rsid w:val="003D17BA"/>
    <w:rPr>
      <w:rFonts w:asciiTheme="minorHAnsi" w:eastAsiaTheme="majorEastAsia" w:hAnsiTheme="minorHAnsi" w:cstheme="majorBidi"/>
      <w:b/>
      <w:bCs/>
      <w:color w:val="4A442A" w:themeColor="background2" w:themeShade="40"/>
      <w:sz w:val="32"/>
      <w:szCs w:val="32"/>
      <w:lang w:val="es-ES_tradnl"/>
    </w:rPr>
  </w:style>
  <w:style w:type="paragraph" w:styleId="DocumentMap">
    <w:name w:val="Document Map"/>
    <w:basedOn w:val="Normal"/>
    <w:link w:val="DocumentMapChar"/>
    <w:uiPriority w:val="99"/>
    <w:semiHidden/>
    <w:unhideWhenUsed/>
    <w:rsid w:val="00A7602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602E"/>
    <w:rPr>
      <w:rFonts w:ascii="Lucida Grande" w:hAnsi="Lucida Grande" w:cs="Lucida Grande"/>
      <w:sz w:val="24"/>
      <w:szCs w:val="24"/>
    </w:rPr>
  </w:style>
  <w:style w:type="character" w:customStyle="1" w:styleId="Heading2Char">
    <w:name w:val="Heading 2 Char"/>
    <w:basedOn w:val="DefaultParagraphFont"/>
    <w:link w:val="Heading2"/>
    <w:uiPriority w:val="9"/>
    <w:rsid w:val="009A58BE"/>
    <w:rPr>
      <w:rFonts w:asciiTheme="minorHAnsi" w:eastAsiaTheme="majorEastAsia" w:hAnsiTheme="minorHAnsi" w:cstheme="majorBidi"/>
      <w:b/>
      <w:bCs/>
      <w:i/>
      <w:sz w:val="28"/>
      <w:szCs w:val="22"/>
    </w:rPr>
  </w:style>
  <w:style w:type="paragraph" w:styleId="Header">
    <w:name w:val="header"/>
    <w:aliases w:val="encabezado"/>
    <w:basedOn w:val="Normal"/>
    <w:link w:val="HeaderChar"/>
    <w:uiPriority w:val="99"/>
    <w:unhideWhenUsed/>
    <w:rsid w:val="00F41315"/>
    <w:pPr>
      <w:tabs>
        <w:tab w:val="center" w:pos="4320"/>
        <w:tab w:val="right" w:pos="8640"/>
      </w:tabs>
      <w:spacing w:after="0" w:line="240" w:lineRule="auto"/>
    </w:pPr>
  </w:style>
  <w:style w:type="character" w:customStyle="1" w:styleId="HeaderChar">
    <w:name w:val="Header Char"/>
    <w:aliases w:val="encabezado Char"/>
    <w:basedOn w:val="DefaultParagraphFont"/>
    <w:link w:val="Header"/>
    <w:uiPriority w:val="99"/>
    <w:rsid w:val="00F41315"/>
    <w:rPr>
      <w:sz w:val="22"/>
      <w:szCs w:val="22"/>
    </w:rPr>
  </w:style>
  <w:style w:type="character" w:styleId="Strong">
    <w:name w:val="Strong"/>
    <w:uiPriority w:val="22"/>
    <w:qFormat/>
    <w:rsid w:val="00A14040"/>
    <w:rPr>
      <w:rFonts w:cs="Times New Roman"/>
      <w:b/>
    </w:rPr>
  </w:style>
  <w:style w:type="character" w:styleId="Emphasis">
    <w:name w:val="Emphasis"/>
    <w:basedOn w:val="DefaultParagraphFont"/>
    <w:uiPriority w:val="20"/>
    <w:qFormat/>
    <w:rsid w:val="001C34C3"/>
    <w:rPr>
      <w:i/>
      <w:iCs/>
    </w:rPr>
  </w:style>
  <w:style w:type="character" w:customStyle="1" w:styleId="apple-converted-space">
    <w:name w:val="apple-converted-space"/>
    <w:rsid w:val="000033F6"/>
  </w:style>
  <w:style w:type="character" w:customStyle="1" w:styleId="ListParagraphChar">
    <w:name w:val="List Paragraph Char"/>
    <w:aliases w:val="List Char,Superíndice Char,Dot pt Char,No Spacing1 Char,List Paragraph Char Char Char Char,Indicator Text Char,List Paragraph1 Char,Numbered Para 1 Char,4 Párrafo de lista Char,Figuras Char,DH1 Char,4 Párrafo de l Char,Bullet 1 Char"/>
    <w:link w:val="ListParagraph"/>
    <w:qFormat/>
    <w:locked/>
    <w:rsid w:val="007D178F"/>
    <w:rPr>
      <w:sz w:val="22"/>
      <w:szCs w:val="22"/>
    </w:rPr>
  </w:style>
  <w:style w:type="paragraph" w:styleId="Revision">
    <w:name w:val="Revision"/>
    <w:hidden/>
    <w:uiPriority w:val="71"/>
    <w:rsid w:val="00D55A00"/>
    <w:rPr>
      <w:sz w:val="22"/>
      <w:szCs w:val="22"/>
    </w:rPr>
  </w:style>
  <w:style w:type="character" w:customStyle="1" w:styleId="Heading5Char">
    <w:name w:val="Heading 5 Char"/>
    <w:basedOn w:val="DefaultParagraphFont"/>
    <w:link w:val="Heading5"/>
    <w:uiPriority w:val="9"/>
    <w:rsid w:val="001A5E2D"/>
    <w:rPr>
      <w:rFonts w:asciiTheme="majorHAnsi" w:eastAsiaTheme="majorEastAsia" w:hAnsiTheme="majorHAnsi" w:cstheme="majorBidi"/>
      <w:color w:val="243F60" w:themeColor="accent1" w:themeShade="7F"/>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A5E2D"/>
    <w:pPr>
      <w:spacing w:before="200" w:after="160" w:line="240" w:lineRule="exact"/>
    </w:pPr>
    <w:rPr>
      <w:rFonts w:asciiTheme="minorHAnsi" w:eastAsiaTheme="minorHAnsi" w:hAnsiTheme="minorHAnsi" w:cstheme="minorBidi"/>
      <w:vertAlign w:val="superscript"/>
    </w:rPr>
  </w:style>
  <w:style w:type="paragraph" w:styleId="NoSpacing">
    <w:name w:val="No Spacing"/>
    <w:uiPriority w:val="1"/>
    <w:qFormat/>
    <w:rsid w:val="001A5E2D"/>
    <w:rPr>
      <w:rFonts w:asciiTheme="minorHAnsi" w:hAnsiTheme="minorHAnsi" w:cstheme="minorBidi"/>
      <w:sz w:val="22"/>
      <w:szCs w:val="22"/>
      <w:lang w:eastAsia="zh-CN"/>
    </w:rPr>
  </w:style>
  <w:style w:type="character" w:customStyle="1" w:styleId="caps">
    <w:name w:val="caps"/>
    <w:basedOn w:val="DefaultParagraphFont"/>
    <w:rsid w:val="001A5E2D"/>
  </w:style>
  <w:style w:type="character" w:customStyle="1" w:styleId="Caracteresdenotaalpie">
    <w:name w:val="Caracteres de nota al pie"/>
    <w:rsid w:val="001A5E2D"/>
    <w:rPr>
      <w:vertAlign w:val="superscript"/>
    </w:rPr>
  </w:style>
  <w:style w:type="character" w:customStyle="1" w:styleId="WW-Refdenotaalpie">
    <w:name w:val="WW-Ref. de nota al pie"/>
    <w:rsid w:val="001A5E2D"/>
    <w:rPr>
      <w:vertAlign w:val="superscript"/>
    </w:rPr>
  </w:style>
  <w:style w:type="paragraph" w:customStyle="1" w:styleId="Prrafodelista2">
    <w:name w:val="Párrafo de lista2"/>
    <w:basedOn w:val="Normal"/>
    <w:rsid w:val="001A5E2D"/>
    <w:pPr>
      <w:suppressAutoHyphens/>
      <w:spacing w:after="0" w:line="240" w:lineRule="auto"/>
      <w:ind w:left="720"/>
    </w:pPr>
    <w:rPr>
      <w:rFonts w:eastAsia="Calibri" w:cs="Calibri"/>
      <w:lang w:eastAsia="ar-SA"/>
    </w:rPr>
  </w:style>
  <w:style w:type="character" w:customStyle="1" w:styleId="Refdenotaalpie2">
    <w:name w:val="Ref. de nota al pie2"/>
    <w:rsid w:val="001A5E2D"/>
    <w:rPr>
      <w:vertAlign w:val="superscript"/>
    </w:rPr>
  </w:style>
  <w:style w:type="paragraph" w:customStyle="1" w:styleId="Listamulticolor-nfasis11">
    <w:name w:val="Lista multicolor - Énfasis 11"/>
    <w:basedOn w:val="Normal"/>
    <w:uiPriority w:val="99"/>
    <w:rsid w:val="001A5E2D"/>
    <w:pPr>
      <w:suppressAutoHyphens/>
      <w:spacing w:after="0" w:line="240" w:lineRule="auto"/>
      <w:ind w:left="720"/>
    </w:pPr>
    <w:rPr>
      <w:rFonts w:eastAsia="Calibri" w:cs="Calibri"/>
      <w:lang w:eastAsia="ar-SA"/>
    </w:rPr>
  </w:style>
  <w:style w:type="paragraph" w:customStyle="1" w:styleId="m4624883707974554422normal">
    <w:name w:val="m4624883707974554422normal"/>
    <w:basedOn w:val="Normal"/>
    <w:rsid w:val="001A5E2D"/>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1">
    <w:name w:val="1"/>
    <w:basedOn w:val="Normal"/>
    <w:uiPriority w:val="99"/>
    <w:rsid w:val="001B4955"/>
    <w:pPr>
      <w:spacing w:after="160" w:line="240" w:lineRule="exact"/>
    </w:pPr>
    <w:rPr>
      <w:rFonts w:asciiTheme="minorHAnsi" w:eastAsiaTheme="minorHAnsi" w:hAnsiTheme="minorHAnsi" w:cstheme="minorBidi"/>
      <w:vertAlign w:val="superscript"/>
    </w:rPr>
  </w:style>
  <w:style w:type="character" w:customStyle="1" w:styleId="A0">
    <w:name w:val="A0"/>
    <w:uiPriority w:val="99"/>
    <w:rsid w:val="005D4E9A"/>
    <w:rPr>
      <w:rFonts w:cs="Geogrotesque Rg"/>
      <w:color w:val="000000"/>
      <w:sz w:val="20"/>
      <w:szCs w:val="20"/>
    </w:rPr>
  </w:style>
  <w:style w:type="paragraph" w:customStyle="1" w:styleId="Body">
    <w:name w:val="Body"/>
    <w:rsid w:val="00144210"/>
    <w:pPr>
      <w:pBdr>
        <w:top w:val="nil"/>
        <w:left w:val="nil"/>
        <w:bottom w:val="nil"/>
        <w:right w:val="nil"/>
        <w:between w:val="nil"/>
        <w:bar w:val="nil"/>
      </w:pBdr>
      <w:spacing w:after="200" w:line="276" w:lineRule="auto"/>
    </w:pPr>
    <w:rPr>
      <w:rFonts w:eastAsia="Calibri" w:cs="Calibri"/>
      <w:color w:val="000000"/>
      <w:sz w:val="22"/>
      <w:szCs w:val="22"/>
      <w:u w:color="000000"/>
      <w:bdr w:val="nil"/>
      <w:lang w:val="es-ES_tradnl"/>
    </w:rPr>
  </w:style>
  <w:style w:type="paragraph" w:styleId="PlainText">
    <w:name w:val="Plain Text"/>
    <w:link w:val="PlainTextChar"/>
    <w:rsid w:val="00144210"/>
    <w:pPr>
      <w:pBdr>
        <w:top w:val="nil"/>
        <w:left w:val="nil"/>
        <w:bottom w:val="nil"/>
        <w:right w:val="nil"/>
        <w:between w:val="nil"/>
        <w:bar w:val="nil"/>
      </w:pBdr>
    </w:pPr>
    <w:rPr>
      <w:rFonts w:eastAsia="Calibri" w:cs="Calibri"/>
      <w:color w:val="000000"/>
      <w:sz w:val="22"/>
      <w:szCs w:val="22"/>
      <w:u w:color="000000"/>
      <w:bdr w:val="nil"/>
    </w:rPr>
  </w:style>
  <w:style w:type="character" w:customStyle="1" w:styleId="PlainTextChar">
    <w:name w:val="Plain Text Char"/>
    <w:basedOn w:val="DefaultParagraphFont"/>
    <w:link w:val="PlainText"/>
    <w:rsid w:val="00144210"/>
    <w:rPr>
      <w:rFonts w:eastAsia="Calibri" w:cs="Calibri"/>
      <w:color w:val="000000"/>
      <w:sz w:val="22"/>
      <w:szCs w:val="22"/>
      <w:u w:color="000000"/>
      <w:bdr w:val="nil"/>
    </w:rPr>
  </w:style>
  <w:style w:type="character" w:customStyle="1" w:styleId="Heading3Char">
    <w:name w:val="Heading 3 Char"/>
    <w:basedOn w:val="DefaultParagraphFont"/>
    <w:link w:val="Heading3"/>
    <w:uiPriority w:val="9"/>
    <w:rsid w:val="003359B2"/>
    <w:rPr>
      <w:rFonts w:asciiTheme="minorHAnsi" w:hAnsiTheme="minorHAnsi"/>
      <w:b/>
      <w:sz w:val="24"/>
      <w:szCs w:val="22"/>
    </w:rPr>
  </w:style>
  <w:style w:type="character" w:customStyle="1" w:styleId="Heading4Char">
    <w:name w:val="Heading 4 Char"/>
    <w:basedOn w:val="DefaultParagraphFont"/>
    <w:link w:val="Heading4"/>
    <w:uiPriority w:val="9"/>
    <w:rsid w:val="00DB0C72"/>
    <w:rPr>
      <w:rFonts w:asciiTheme="minorHAnsi" w:hAnsiTheme="minorHAnsi"/>
      <w:b/>
      <w:sz w:val="22"/>
      <w:lang w:val="es-ES"/>
    </w:rPr>
  </w:style>
  <w:style w:type="paragraph" w:customStyle="1" w:styleId="Style5">
    <w:name w:val="Style 5"/>
    <w:basedOn w:val="Normal"/>
    <w:link w:val="Style5Char"/>
    <w:qFormat/>
    <w:rsid w:val="003D1549"/>
    <w:pPr>
      <w:numPr>
        <w:numId w:val="4"/>
      </w:numPr>
      <w:spacing w:before="240" w:after="240" w:line="240" w:lineRule="auto"/>
      <w:ind w:left="1440" w:hanging="720"/>
    </w:pPr>
    <w:rPr>
      <w:rFonts w:asciiTheme="minorHAnsi" w:hAnsiTheme="minorHAnsi"/>
      <w:b/>
      <w:szCs w:val="20"/>
      <w:lang w:val="es-ES_tradnl"/>
    </w:rPr>
  </w:style>
  <w:style w:type="character" w:customStyle="1" w:styleId="Style5Char">
    <w:name w:val="Style 5 Char"/>
    <w:basedOn w:val="DefaultParagraphFont"/>
    <w:link w:val="Style5"/>
    <w:rsid w:val="003D1549"/>
    <w:rPr>
      <w:rFonts w:asciiTheme="minorHAnsi" w:hAnsiTheme="minorHAnsi"/>
      <w:b/>
      <w:sz w:val="22"/>
      <w:lang w:val="es-ES_tradnl"/>
    </w:rPr>
  </w:style>
  <w:style w:type="paragraph" w:customStyle="1" w:styleId="Body1">
    <w:name w:val="Body 1"/>
    <w:link w:val="Body1Char"/>
    <w:uiPriority w:val="99"/>
    <w:rsid w:val="00B90432"/>
    <w:pPr>
      <w:outlineLvl w:val="0"/>
    </w:pPr>
    <w:rPr>
      <w:rFonts w:ascii="Times New Roman" w:eastAsia="Arial Unicode MS" w:hAnsi="Times New Roman"/>
      <w:color w:val="000000"/>
      <w:sz w:val="24"/>
      <w:u w:color="000000"/>
      <w:lang w:bidi="en-US"/>
    </w:rPr>
  </w:style>
  <w:style w:type="character" w:customStyle="1" w:styleId="Body1Char">
    <w:name w:val="Body 1 Char"/>
    <w:link w:val="Body1"/>
    <w:uiPriority w:val="99"/>
    <w:locked/>
    <w:rsid w:val="00B90432"/>
    <w:rPr>
      <w:rFonts w:ascii="Times New Roman" w:eastAsia="Arial Unicode MS" w:hAnsi="Times New Roman"/>
      <w:color w:val="000000"/>
      <w:sz w:val="24"/>
      <w:u w:color="000000"/>
      <w:lang w:bidi="en-US"/>
    </w:rPr>
  </w:style>
  <w:style w:type="paragraph" w:styleId="Title">
    <w:name w:val="Title"/>
    <w:basedOn w:val="Heading1"/>
    <w:next w:val="Normal"/>
    <w:link w:val="TitleChar"/>
    <w:uiPriority w:val="10"/>
    <w:qFormat/>
    <w:rsid w:val="0061154D"/>
    <w:pPr>
      <w:spacing w:before="0" w:after="0"/>
      <w:jc w:val="center"/>
    </w:pPr>
    <w:rPr>
      <w:b w:val="0"/>
      <w:sz w:val="52"/>
      <w:szCs w:val="52"/>
    </w:rPr>
  </w:style>
  <w:style w:type="character" w:customStyle="1" w:styleId="TitleChar">
    <w:name w:val="Title Char"/>
    <w:basedOn w:val="DefaultParagraphFont"/>
    <w:link w:val="Title"/>
    <w:uiPriority w:val="10"/>
    <w:rsid w:val="0061154D"/>
    <w:rPr>
      <w:rFonts w:asciiTheme="minorHAnsi" w:eastAsiaTheme="majorEastAsia" w:hAnsiTheme="minorHAnsi" w:cstheme="majorBidi"/>
      <w:bCs/>
      <w:color w:val="4A442A" w:themeColor="background2" w:themeShade="40"/>
      <w:sz w:val="52"/>
      <w:szCs w:val="52"/>
      <w:lang w:val="es-ES_tradnl"/>
    </w:rPr>
  </w:style>
  <w:style w:type="paragraph" w:styleId="TOC1">
    <w:name w:val="toc 1"/>
    <w:basedOn w:val="Normal"/>
    <w:next w:val="Normal"/>
    <w:autoRedefine/>
    <w:uiPriority w:val="39"/>
    <w:unhideWhenUsed/>
    <w:rsid w:val="00345AB2"/>
    <w:pPr>
      <w:pBdr>
        <w:bottom w:val="single" w:sz="4" w:space="1" w:color="auto"/>
      </w:pBdr>
      <w:tabs>
        <w:tab w:val="right" w:pos="7622"/>
      </w:tabs>
      <w:spacing w:after="120" w:line="240" w:lineRule="auto"/>
      <w:ind w:left="1166" w:hanging="1166"/>
    </w:pPr>
    <w:rPr>
      <w:rFonts w:asciiTheme="minorHAnsi" w:hAnsiTheme="minorHAnsi"/>
      <w:b/>
      <w:noProof/>
      <w:sz w:val="20"/>
      <w:szCs w:val="20"/>
    </w:rPr>
  </w:style>
  <w:style w:type="paragraph" w:styleId="TOC2">
    <w:name w:val="toc 2"/>
    <w:basedOn w:val="Normal"/>
    <w:next w:val="Normal"/>
    <w:autoRedefine/>
    <w:uiPriority w:val="39"/>
    <w:unhideWhenUsed/>
    <w:rsid w:val="00345AB2"/>
    <w:pPr>
      <w:tabs>
        <w:tab w:val="left" w:pos="660"/>
        <w:tab w:val="right" w:pos="7622"/>
      </w:tabs>
      <w:spacing w:after="120"/>
      <w:ind w:left="216" w:hanging="216"/>
    </w:pPr>
  </w:style>
  <w:style w:type="paragraph" w:styleId="TOC3">
    <w:name w:val="toc 3"/>
    <w:basedOn w:val="Normal"/>
    <w:next w:val="Normal"/>
    <w:autoRedefine/>
    <w:uiPriority w:val="39"/>
    <w:unhideWhenUsed/>
    <w:rsid w:val="009D7FDE"/>
    <w:pPr>
      <w:spacing w:after="100"/>
      <w:ind w:left="440"/>
    </w:pPr>
  </w:style>
  <w:style w:type="paragraph" w:styleId="TOC4">
    <w:name w:val="toc 4"/>
    <w:basedOn w:val="Normal"/>
    <w:next w:val="Normal"/>
    <w:autoRedefine/>
    <w:uiPriority w:val="39"/>
    <w:unhideWhenUsed/>
    <w:rsid w:val="009D7FDE"/>
    <w:pPr>
      <w:spacing w:after="100"/>
      <w:ind w:left="660"/>
    </w:pPr>
  </w:style>
  <w:style w:type="paragraph" w:styleId="TOC5">
    <w:name w:val="toc 5"/>
    <w:basedOn w:val="Normal"/>
    <w:next w:val="Normal"/>
    <w:autoRedefine/>
    <w:uiPriority w:val="39"/>
    <w:unhideWhenUsed/>
    <w:rsid w:val="009D7FDE"/>
    <w:pPr>
      <w:spacing w:after="100"/>
      <w:ind w:left="880"/>
    </w:pPr>
    <w:rPr>
      <w:rFonts w:asciiTheme="minorHAnsi" w:hAnsiTheme="minorHAnsi" w:cstheme="minorBidi"/>
    </w:rPr>
  </w:style>
  <w:style w:type="paragraph" w:styleId="TOC6">
    <w:name w:val="toc 6"/>
    <w:basedOn w:val="Normal"/>
    <w:next w:val="Normal"/>
    <w:autoRedefine/>
    <w:uiPriority w:val="39"/>
    <w:unhideWhenUsed/>
    <w:rsid w:val="009D7FDE"/>
    <w:pPr>
      <w:spacing w:after="100"/>
      <w:ind w:left="1100"/>
    </w:pPr>
    <w:rPr>
      <w:rFonts w:asciiTheme="minorHAnsi" w:hAnsiTheme="minorHAnsi" w:cstheme="minorBidi"/>
    </w:rPr>
  </w:style>
  <w:style w:type="paragraph" w:styleId="TOC7">
    <w:name w:val="toc 7"/>
    <w:basedOn w:val="Normal"/>
    <w:next w:val="Normal"/>
    <w:autoRedefine/>
    <w:uiPriority w:val="39"/>
    <w:unhideWhenUsed/>
    <w:rsid w:val="009D7FDE"/>
    <w:pPr>
      <w:spacing w:after="100"/>
      <w:ind w:left="1320"/>
    </w:pPr>
    <w:rPr>
      <w:rFonts w:asciiTheme="minorHAnsi" w:hAnsiTheme="minorHAnsi" w:cstheme="minorBidi"/>
    </w:rPr>
  </w:style>
  <w:style w:type="paragraph" w:styleId="TOC8">
    <w:name w:val="toc 8"/>
    <w:basedOn w:val="Normal"/>
    <w:next w:val="Normal"/>
    <w:autoRedefine/>
    <w:uiPriority w:val="39"/>
    <w:unhideWhenUsed/>
    <w:rsid w:val="009D7FDE"/>
    <w:pPr>
      <w:spacing w:after="100"/>
      <w:ind w:left="1540"/>
    </w:pPr>
    <w:rPr>
      <w:rFonts w:asciiTheme="minorHAnsi" w:hAnsiTheme="minorHAnsi" w:cstheme="minorBidi"/>
    </w:rPr>
  </w:style>
  <w:style w:type="paragraph" w:styleId="TOC9">
    <w:name w:val="toc 9"/>
    <w:basedOn w:val="Normal"/>
    <w:next w:val="Normal"/>
    <w:autoRedefine/>
    <w:uiPriority w:val="39"/>
    <w:unhideWhenUsed/>
    <w:rsid w:val="009D7FDE"/>
    <w:pPr>
      <w:spacing w:after="100"/>
      <w:ind w:left="1760"/>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D17BA"/>
    <w:pPr>
      <w:keepNext/>
      <w:keepLines/>
      <w:spacing w:before="960" w:after="640" w:line="240" w:lineRule="auto"/>
      <w:outlineLvl w:val="0"/>
    </w:pPr>
    <w:rPr>
      <w:rFonts w:asciiTheme="minorHAnsi" w:eastAsiaTheme="majorEastAsia" w:hAnsiTheme="minorHAnsi" w:cstheme="majorBidi"/>
      <w:b/>
      <w:bCs/>
      <w:color w:val="4A442A" w:themeColor="background2" w:themeShade="40"/>
      <w:sz w:val="32"/>
      <w:szCs w:val="32"/>
      <w:lang w:val="es-ES_tradnl"/>
    </w:rPr>
  </w:style>
  <w:style w:type="paragraph" w:styleId="Heading2">
    <w:name w:val="heading 2"/>
    <w:basedOn w:val="Normal"/>
    <w:next w:val="Normal"/>
    <w:link w:val="Heading2Char"/>
    <w:uiPriority w:val="9"/>
    <w:unhideWhenUsed/>
    <w:qFormat/>
    <w:rsid w:val="009A58BE"/>
    <w:pPr>
      <w:keepNext/>
      <w:keepLines/>
      <w:numPr>
        <w:numId w:val="3"/>
      </w:numPr>
      <w:spacing w:before="480" w:after="360" w:line="240" w:lineRule="auto"/>
      <w:ind w:left="547" w:hanging="547"/>
      <w:outlineLvl w:val="1"/>
    </w:pPr>
    <w:rPr>
      <w:rFonts w:asciiTheme="minorHAnsi" w:eastAsiaTheme="majorEastAsia" w:hAnsiTheme="minorHAnsi" w:cstheme="majorBidi"/>
      <w:b/>
      <w:bCs/>
      <w:i/>
      <w:sz w:val="28"/>
    </w:rPr>
  </w:style>
  <w:style w:type="paragraph" w:styleId="Heading3">
    <w:name w:val="heading 3"/>
    <w:basedOn w:val="Numberedparagraphs"/>
    <w:next w:val="Normal"/>
    <w:link w:val="Heading3Char"/>
    <w:uiPriority w:val="9"/>
    <w:unhideWhenUsed/>
    <w:qFormat/>
    <w:rsid w:val="003359B2"/>
    <w:pPr>
      <w:numPr>
        <w:numId w:val="10"/>
      </w:numPr>
      <w:spacing w:before="480" w:after="360"/>
      <w:ind w:left="1094" w:hanging="547"/>
      <w:outlineLvl w:val="2"/>
    </w:pPr>
    <w:rPr>
      <w:rFonts w:asciiTheme="minorHAnsi" w:hAnsiTheme="minorHAnsi"/>
      <w:b/>
      <w:sz w:val="24"/>
    </w:rPr>
  </w:style>
  <w:style w:type="paragraph" w:styleId="Heading4">
    <w:name w:val="heading 4"/>
    <w:basedOn w:val="ListParagraph"/>
    <w:next w:val="Normal"/>
    <w:link w:val="Heading4Char"/>
    <w:uiPriority w:val="9"/>
    <w:unhideWhenUsed/>
    <w:qFormat/>
    <w:rsid w:val="00DB0C72"/>
    <w:pPr>
      <w:numPr>
        <w:numId w:val="5"/>
      </w:numPr>
      <w:spacing w:before="360" w:after="240"/>
      <w:jc w:val="both"/>
      <w:outlineLvl w:val="3"/>
    </w:pPr>
    <w:rPr>
      <w:rFonts w:asciiTheme="minorHAnsi" w:hAnsiTheme="minorHAnsi"/>
      <w:b/>
      <w:szCs w:val="20"/>
      <w:lang w:val="es-ES"/>
    </w:rPr>
  </w:style>
  <w:style w:type="paragraph" w:styleId="Heading5">
    <w:name w:val="heading 5"/>
    <w:basedOn w:val="Normal"/>
    <w:next w:val="Normal"/>
    <w:link w:val="Heading5Char"/>
    <w:uiPriority w:val="9"/>
    <w:unhideWhenUsed/>
    <w:qFormat/>
    <w:rsid w:val="001A5E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uperíndice,Dot pt,No Spacing1,List Paragraph Char Char Char,Indicator Text,List Paragraph1,Numbered Para 1,4 Párrafo de lista,Figuras,DH1,4 Párrafo de l,Bullet 1,F5 List Paragraph,Bullet Points,Ha,Parragrap,Colorful List - Accent 11"/>
    <w:basedOn w:val="Normal"/>
    <w:link w:val="ListParagraphChar"/>
    <w:qFormat/>
    <w:rsid w:val="00402420"/>
    <w:pPr>
      <w:spacing w:after="0" w:line="240" w:lineRule="auto"/>
      <w:ind w:left="720"/>
    </w:pPr>
  </w:style>
  <w:style w:type="table" w:styleId="TableGrid">
    <w:name w:val="Table Grid"/>
    <w:basedOn w:val="TableNormal"/>
    <w:uiPriority w:val="59"/>
    <w:rsid w:val="00A0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F03"/>
    <w:pPr>
      <w:tabs>
        <w:tab w:val="center" w:pos="4320"/>
        <w:tab w:val="right" w:pos="8640"/>
      </w:tabs>
    </w:pPr>
  </w:style>
  <w:style w:type="character" w:customStyle="1" w:styleId="FooterChar">
    <w:name w:val="Footer Char"/>
    <w:basedOn w:val="DefaultParagraphFont"/>
    <w:link w:val="Footer"/>
    <w:uiPriority w:val="99"/>
    <w:rsid w:val="008D7F03"/>
    <w:rPr>
      <w:sz w:val="22"/>
      <w:szCs w:val="22"/>
    </w:rPr>
  </w:style>
  <w:style w:type="character" w:styleId="PageNumber">
    <w:name w:val="page number"/>
    <w:basedOn w:val="DefaultParagraphFont"/>
    <w:uiPriority w:val="99"/>
    <w:semiHidden/>
    <w:unhideWhenUsed/>
    <w:rsid w:val="008D7F03"/>
  </w:style>
  <w:style w:type="paragraph" w:styleId="NormalWeb">
    <w:name w:val="Normal (Web)"/>
    <w:basedOn w:val="Normal"/>
    <w:uiPriority w:val="99"/>
    <w:unhideWhenUsed/>
    <w:rsid w:val="00973209"/>
    <w:rPr>
      <w:rFonts w:ascii="Times New Roman" w:hAnsi="Times New Roman"/>
      <w:sz w:val="24"/>
      <w:szCs w:val="24"/>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autoRedefine/>
    <w:uiPriority w:val="99"/>
    <w:unhideWhenUsed/>
    <w:qFormat/>
    <w:rsid w:val="006F17D4"/>
    <w:pPr>
      <w:spacing w:after="40" w:line="240" w:lineRule="auto"/>
      <w:ind w:left="540" w:hanging="540"/>
      <w:jc w:val="both"/>
    </w:pPr>
    <w:rPr>
      <w:rFonts w:asciiTheme="minorHAnsi" w:hAnsiTheme="minorHAnsi" w:cs="Calibri"/>
      <w:color w:val="000000" w:themeColor="text1"/>
      <w:sz w:val="16"/>
      <w:szCs w:val="16"/>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qFormat/>
    <w:rsid w:val="006F17D4"/>
    <w:rPr>
      <w:rFonts w:asciiTheme="minorHAnsi" w:hAnsiTheme="minorHAnsi" w:cs="Calibri"/>
      <w:color w:val="000000" w:themeColor="text1"/>
      <w:sz w:val="16"/>
      <w:szCs w:val="16"/>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
    <w:basedOn w:val="DefaultParagraphFont"/>
    <w:link w:val="Char2"/>
    <w:uiPriority w:val="99"/>
    <w:unhideWhenUsed/>
    <w:qFormat/>
    <w:rsid w:val="00B20D25"/>
    <w:rPr>
      <w:rFonts w:ascii="Cambria" w:hAnsi="Cambria"/>
      <w:sz w:val="20"/>
      <w:szCs w:val="20"/>
      <w:vertAlign w:val="superscript"/>
    </w:rPr>
  </w:style>
  <w:style w:type="character" w:styleId="Hyperlink">
    <w:name w:val="Hyperlink"/>
    <w:aliases w:val="http://www.fantaproject.org/sites/default/files/resources/Guatemala-municipal-brief-English-June30.pdf"/>
    <w:uiPriority w:val="99"/>
    <w:rsid w:val="009015B2"/>
    <w:rPr>
      <w:color w:val="0000FF"/>
      <w:u w:val="single"/>
    </w:rPr>
  </w:style>
  <w:style w:type="paragraph" w:customStyle="1" w:styleId="Char2">
    <w:name w:val="Char2"/>
    <w:basedOn w:val="Normal"/>
    <w:link w:val="FootnoteReference"/>
    <w:uiPriority w:val="99"/>
    <w:rsid w:val="00993F00"/>
    <w:pPr>
      <w:spacing w:after="160" w:line="240" w:lineRule="exact"/>
    </w:pPr>
    <w:rPr>
      <w:rFonts w:ascii="Cambria" w:hAnsi="Cambria"/>
      <w:sz w:val="20"/>
      <w:szCs w:val="20"/>
      <w:vertAlign w:val="superscript"/>
    </w:rPr>
  </w:style>
  <w:style w:type="paragraph" w:customStyle="1" w:styleId="Numberedparagraphs">
    <w:name w:val="Numbered paragraphs"/>
    <w:basedOn w:val="Normal"/>
    <w:qFormat/>
    <w:rsid w:val="006F4717"/>
    <w:pPr>
      <w:numPr>
        <w:numId w:val="2"/>
      </w:numPr>
      <w:spacing w:after="240" w:line="240" w:lineRule="auto"/>
      <w:ind w:left="547" w:hanging="547"/>
      <w:jc w:val="both"/>
    </w:pPr>
    <w:rPr>
      <w:rFonts w:ascii="Cambria" w:hAnsi="Cambria"/>
    </w:rPr>
  </w:style>
  <w:style w:type="paragraph" w:customStyle="1" w:styleId="Citalarga">
    <w:name w:val="Cita larga"/>
    <w:basedOn w:val="Normal"/>
    <w:qFormat/>
    <w:rsid w:val="00993F00"/>
    <w:pPr>
      <w:spacing w:after="240" w:line="240" w:lineRule="auto"/>
      <w:ind w:left="1166" w:right="619"/>
      <w:jc w:val="both"/>
    </w:pPr>
    <w:rPr>
      <w:rFonts w:asciiTheme="majorHAnsi" w:eastAsia="MS Mincho" w:hAnsiTheme="majorHAnsi" w:cs="Tahoma"/>
      <w:sz w:val="18"/>
      <w:szCs w:val="20"/>
      <w:lang w:val="es-ES"/>
    </w:rPr>
  </w:style>
  <w:style w:type="character" w:styleId="CommentReference">
    <w:name w:val="annotation reference"/>
    <w:basedOn w:val="DefaultParagraphFont"/>
    <w:uiPriority w:val="99"/>
    <w:semiHidden/>
    <w:unhideWhenUsed/>
    <w:rsid w:val="00364D79"/>
    <w:rPr>
      <w:sz w:val="18"/>
      <w:szCs w:val="18"/>
    </w:rPr>
  </w:style>
  <w:style w:type="paragraph" w:styleId="CommentText">
    <w:name w:val="annotation text"/>
    <w:basedOn w:val="Normal"/>
    <w:link w:val="CommentTextChar"/>
    <w:uiPriority w:val="99"/>
    <w:semiHidden/>
    <w:unhideWhenUsed/>
    <w:rsid w:val="00364D79"/>
    <w:pPr>
      <w:spacing w:line="240" w:lineRule="auto"/>
    </w:pPr>
    <w:rPr>
      <w:sz w:val="24"/>
      <w:szCs w:val="24"/>
    </w:rPr>
  </w:style>
  <w:style w:type="character" w:customStyle="1" w:styleId="CommentTextChar">
    <w:name w:val="Comment Text Char"/>
    <w:basedOn w:val="DefaultParagraphFont"/>
    <w:link w:val="CommentText"/>
    <w:uiPriority w:val="99"/>
    <w:semiHidden/>
    <w:rsid w:val="00364D79"/>
    <w:rPr>
      <w:sz w:val="24"/>
      <w:szCs w:val="24"/>
    </w:rPr>
  </w:style>
  <w:style w:type="paragraph" w:styleId="CommentSubject">
    <w:name w:val="annotation subject"/>
    <w:basedOn w:val="CommentText"/>
    <w:next w:val="CommentText"/>
    <w:link w:val="CommentSubjectChar"/>
    <w:uiPriority w:val="99"/>
    <w:semiHidden/>
    <w:unhideWhenUsed/>
    <w:rsid w:val="00364D79"/>
    <w:rPr>
      <w:b/>
      <w:bCs/>
      <w:sz w:val="20"/>
      <w:szCs w:val="20"/>
    </w:rPr>
  </w:style>
  <w:style w:type="character" w:customStyle="1" w:styleId="CommentSubjectChar">
    <w:name w:val="Comment Subject Char"/>
    <w:basedOn w:val="CommentTextChar"/>
    <w:link w:val="CommentSubject"/>
    <w:uiPriority w:val="99"/>
    <w:semiHidden/>
    <w:rsid w:val="00364D79"/>
    <w:rPr>
      <w:b/>
      <w:bCs/>
      <w:sz w:val="24"/>
      <w:szCs w:val="24"/>
    </w:rPr>
  </w:style>
  <w:style w:type="paragraph" w:styleId="BalloonText">
    <w:name w:val="Balloon Text"/>
    <w:basedOn w:val="Normal"/>
    <w:link w:val="BalloonTextChar"/>
    <w:uiPriority w:val="99"/>
    <w:semiHidden/>
    <w:unhideWhenUsed/>
    <w:rsid w:val="00364D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79"/>
    <w:rPr>
      <w:rFonts w:ascii="Lucida Grande" w:hAnsi="Lucida Grande" w:cs="Lucida Grande"/>
      <w:sz w:val="18"/>
      <w:szCs w:val="18"/>
    </w:rPr>
  </w:style>
  <w:style w:type="paragraph" w:styleId="EndnoteText">
    <w:name w:val="endnote text"/>
    <w:basedOn w:val="Normal"/>
    <w:link w:val="EndnoteTextChar"/>
    <w:uiPriority w:val="99"/>
    <w:unhideWhenUsed/>
    <w:rsid w:val="00DF17C1"/>
    <w:pPr>
      <w:spacing w:after="0" w:line="240" w:lineRule="auto"/>
    </w:pPr>
    <w:rPr>
      <w:sz w:val="24"/>
      <w:szCs w:val="24"/>
    </w:rPr>
  </w:style>
  <w:style w:type="character" w:customStyle="1" w:styleId="EndnoteTextChar">
    <w:name w:val="Endnote Text Char"/>
    <w:basedOn w:val="DefaultParagraphFont"/>
    <w:link w:val="EndnoteText"/>
    <w:uiPriority w:val="99"/>
    <w:rsid w:val="00DF17C1"/>
    <w:rPr>
      <w:sz w:val="24"/>
      <w:szCs w:val="24"/>
    </w:rPr>
  </w:style>
  <w:style w:type="character" w:styleId="EndnoteReference">
    <w:name w:val="endnote reference"/>
    <w:basedOn w:val="DefaultParagraphFont"/>
    <w:uiPriority w:val="99"/>
    <w:semiHidden/>
    <w:unhideWhenUsed/>
    <w:rsid w:val="00DF17C1"/>
    <w:rPr>
      <w:vertAlign w:val="superscript"/>
    </w:rPr>
  </w:style>
  <w:style w:type="character" w:styleId="FollowedHyperlink">
    <w:name w:val="FollowedHyperlink"/>
    <w:basedOn w:val="DefaultParagraphFont"/>
    <w:uiPriority w:val="99"/>
    <w:semiHidden/>
    <w:unhideWhenUsed/>
    <w:rsid w:val="001410D4"/>
    <w:rPr>
      <w:color w:val="800080" w:themeColor="followedHyperlink"/>
      <w:u w:val="single"/>
    </w:rPr>
  </w:style>
  <w:style w:type="character" w:customStyle="1" w:styleId="Heading1Char">
    <w:name w:val="Heading 1 Char"/>
    <w:basedOn w:val="DefaultParagraphFont"/>
    <w:link w:val="Heading1"/>
    <w:uiPriority w:val="9"/>
    <w:rsid w:val="003D17BA"/>
    <w:rPr>
      <w:rFonts w:asciiTheme="minorHAnsi" w:eastAsiaTheme="majorEastAsia" w:hAnsiTheme="minorHAnsi" w:cstheme="majorBidi"/>
      <w:b/>
      <w:bCs/>
      <w:color w:val="4A442A" w:themeColor="background2" w:themeShade="40"/>
      <w:sz w:val="32"/>
      <w:szCs w:val="32"/>
      <w:lang w:val="es-ES_tradnl"/>
    </w:rPr>
  </w:style>
  <w:style w:type="paragraph" w:styleId="DocumentMap">
    <w:name w:val="Document Map"/>
    <w:basedOn w:val="Normal"/>
    <w:link w:val="DocumentMapChar"/>
    <w:uiPriority w:val="99"/>
    <w:semiHidden/>
    <w:unhideWhenUsed/>
    <w:rsid w:val="00A7602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7602E"/>
    <w:rPr>
      <w:rFonts w:ascii="Lucida Grande" w:hAnsi="Lucida Grande" w:cs="Lucida Grande"/>
      <w:sz w:val="24"/>
      <w:szCs w:val="24"/>
    </w:rPr>
  </w:style>
  <w:style w:type="character" w:customStyle="1" w:styleId="Heading2Char">
    <w:name w:val="Heading 2 Char"/>
    <w:basedOn w:val="DefaultParagraphFont"/>
    <w:link w:val="Heading2"/>
    <w:uiPriority w:val="9"/>
    <w:rsid w:val="009A58BE"/>
    <w:rPr>
      <w:rFonts w:asciiTheme="minorHAnsi" w:eastAsiaTheme="majorEastAsia" w:hAnsiTheme="minorHAnsi" w:cstheme="majorBidi"/>
      <w:b/>
      <w:bCs/>
      <w:i/>
      <w:sz w:val="28"/>
      <w:szCs w:val="22"/>
    </w:rPr>
  </w:style>
  <w:style w:type="paragraph" w:styleId="Header">
    <w:name w:val="header"/>
    <w:aliases w:val="encabezado"/>
    <w:basedOn w:val="Normal"/>
    <w:link w:val="HeaderChar"/>
    <w:uiPriority w:val="99"/>
    <w:unhideWhenUsed/>
    <w:rsid w:val="00F41315"/>
    <w:pPr>
      <w:tabs>
        <w:tab w:val="center" w:pos="4320"/>
        <w:tab w:val="right" w:pos="8640"/>
      </w:tabs>
      <w:spacing w:after="0" w:line="240" w:lineRule="auto"/>
    </w:pPr>
  </w:style>
  <w:style w:type="character" w:customStyle="1" w:styleId="HeaderChar">
    <w:name w:val="Header Char"/>
    <w:aliases w:val="encabezado Char"/>
    <w:basedOn w:val="DefaultParagraphFont"/>
    <w:link w:val="Header"/>
    <w:uiPriority w:val="99"/>
    <w:rsid w:val="00F41315"/>
    <w:rPr>
      <w:sz w:val="22"/>
      <w:szCs w:val="22"/>
    </w:rPr>
  </w:style>
  <w:style w:type="character" w:styleId="Strong">
    <w:name w:val="Strong"/>
    <w:uiPriority w:val="22"/>
    <w:qFormat/>
    <w:rsid w:val="00A14040"/>
    <w:rPr>
      <w:rFonts w:cs="Times New Roman"/>
      <w:b/>
    </w:rPr>
  </w:style>
  <w:style w:type="character" w:styleId="Emphasis">
    <w:name w:val="Emphasis"/>
    <w:basedOn w:val="DefaultParagraphFont"/>
    <w:uiPriority w:val="20"/>
    <w:qFormat/>
    <w:rsid w:val="001C34C3"/>
    <w:rPr>
      <w:i/>
      <w:iCs/>
    </w:rPr>
  </w:style>
  <w:style w:type="character" w:customStyle="1" w:styleId="apple-converted-space">
    <w:name w:val="apple-converted-space"/>
    <w:rsid w:val="000033F6"/>
  </w:style>
  <w:style w:type="character" w:customStyle="1" w:styleId="ListParagraphChar">
    <w:name w:val="List Paragraph Char"/>
    <w:aliases w:val="List Char,Superíndice Char,Dot pt Char,No Spacing1 Char,List Paragraph Char Char Char Char,Indicator Text Char,List Paragraph1 Char,Numbered Para 1 Char,4 Párrafo de lista Char,Figuras Char,DH1 Char,4 Párrafo de l Char,Bullet 1 Char"/>
    <w:link w:val="ListParagraph"/>
    <w:qFormat/>
    <w:locked/>
    <w:rsid w:val="007D178F"/>
    <w:rPr>
      <w:sz w:val="22"/>
      <w:szCs w:val="22"/>
    </w:rPr>
  </w:style>
  <w:style w:type="paragraph" w:styleId="Revision">
    <w:name w:val="Revision"/>
    <w:hidden/>
    <w:uiPriority w:val="71"/>
    <w:rsid w:val="00D55A00"/>
    <w:rPr>
      <w:sz w:val="22"/>
      <w:szCs w:val="22"/>
    </w:rPr>
  </w:style>
  <w:style w:type="character" w:customStyle="1" w:styleId="Heading5Char">
    <w:name w:val="Heading 5 Char"/>
    <w:basedOn w:val="DefaultParagraphFont"/>
    <w:link w:val="Heading5"/>
    <w:uiPriority w:val="9"/>
    <w:rsid w:val="001A5E2D"/>
    <w:rPr>
      <w:rFonts w:asciiTheme="majorHAnsi" w:eastAsiaTheme="majorEastAsia" w:hAnsiTheme="majorHAnsi" w:cstheme="majorBidi"/>
      <w:color w:val="243F60" w:themeColor="accent1" w:themeShade="7F"/>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A5E2D"/>
    <w:pPr>
      <w:spacing w:before="200" w:after="160" w:line="240" w:lineRule="exact"/>
    </w:pPr>
    <w:rPr>
      <w:rFonts w:asciiTheme="minorHAnsi" w:eastAsiaTheme="minorHAnsi" w:hAnsiTheme="minorHAnsi" w:cstheme="minorBidi"/>
      <w:vertAlign w:val="superscript"/>
    </w:rPr>
  </w:style>
  <w:style w:type="paragraph" w:styleId="NoSpacing">
    <w:name w:val="No Spacing"/>
    <w:uiPriority w:val="1"/>
    <w:qFormat/>
    <w:rsid w:val="001A5E2D"/>
    <w:rPr>
      <w:rFonts w:asciiTheme="minorHAnsi" w:hAnsiTheme="minorHAnsi" w:cstheme="minorBidi"/>
      <w:sz w:val="22"/>
      <w:szCs w:val="22"/>
      <w:lang w:eastAsia="zh-CN"/>
    </w:rPr>
  </w:style>
  <w:style w:type="character" w:customStyle="1" w:styleId="caps">
    <w:name w:val="caps"/>
    <w:basedOn w:val="DefaultParagraphFont"/>
    <w:rsid w:val="001A5E2D"/>
  </w:style>
  <w:style w:type="character" w:customStyle="1" w:styleId="Caracteresdenotaalpie">
    <w:name w:val="Caracteres de nota al pie"/>
    <w:rsid w:val="001A5E2D"/>
    <w:rPr>
      <w:vertAlign w:val="superscript"/>
    </w:rPr>
  </w:style>
  <w:style w:type="character" w:customStyle="1" w:styleId="WW-Refdenotaalpie">
    <w:name w:val="WW-Ref. de nota al pie"/>
    <w:rsid w:val="001A5E2D"/>
    <w:rPr>
      <w:vertAlign w:val="superscript"/>
    </w:rPr>
  </w:style>
  <w:style w:type="paragraph" w:customStyle="1" w:styleId="Prrafodelista2">
    <w:name w:val="Párrafo de lista2"/>
    <w:basedOn w:val="Normal"/>
    <w:rsid w:val="001A5E2D"/>
    <w:pPr>
      <w:suppressAutoHyphens/>
      <w:spacing w:after="0" w:line="240" w:lineRule="auto"/>
      <w:ind w:left="720"/>
    </w:pPr>
    <w:rPr>
      <w:rFonts w:eastAsia="Calibri" w:cs="Calibri"/>
      <w:lang w:eastAsia="ar-SA"/>
    </w:rPr>
  </w:style>
  <w:style w:type="character" w:customStyle="1" w:styleId="Refdenotaalpie2">
    <w:name w:val="Ref. de nota al pie2"/>
    <w:rsid w:val="001A5E2D"/>
    <w:rPr>
      <w:vertAlign w:val="superscript"/>
    </w:rPr>
  </w:style>
  <w:style w:type="paragraph" w:customStyle="1" w:styleId="Listamulticolor-nfasis11">
    <w:name w:val="Lista multicolor - Énfasis 11"/>
    <w:basedOn w:val="Normal"/>
    <w:uiPriority w:val="99"/>
    <w:rsid w:val="001A5E2D"/>
    <w:pPr>
      <w:suppressAutoHyphens/>
      <w:spacing w:after="0" w:line="240" w:lineRule="auto"/>
      <w:ind w:left="720"/>
    </w:pPr>
    <w:rPr>
      <w:rFonts w:eastAsia="Calibri" w:cs="Calibri"/>
      <w:lang w:eastAsia="ar-SA"/>
    </w:rPr>
  </w:style>
  <w:style w:type="paragraph" w:customStyle="1" w:styleId="m4624883707974554422normal">
    <w:name w:val="m4624883707974554422normal"/>
    <w:basedOn w:val="Normal"/>
    <w:rsid w:val="001A5E2D"/>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1">
    <w:name w:val="1"/>
    <w:basedOn w:val="Normal"/>
    <w:uiPriority w:val="99"/>
    <w:rsid w:val="001B4955"/>
    <w:pPr>
      <w:spacing w:after="160" w:line="240" w:lineRule="exact"/>
    </w:pPr>
    <w:rPr>
      <w:rFonts w:asciiTheme="minorHAnsi" w:eastAsiaTheme="minorHAnsi" w:hAnsiTheme="minorHAnsi" w:cstheme="minorBidi"/>
      <w:vertAlign w:val="superscript"/>
    </w:rPr>
  </w:style>
  <w:style w:type="character" w:customStyle="1" w:styleId="A0">
    <w:name w:val="A0"/>
    <w:uiPriority w:val="99"/>
    <w:rsid w:val="005D4E9A"/>
    <w:rPr>
      <w:rFonts w:cs="Geogrotesque Rg"/>
      <w:color w:val="000000"/>
      <w:sz w:val="20"/>
      <w:szCs w:val="20"/>
    </w:rPr>
  </w:style>
  <w:style w:type="paragraph" w:customStyle="1" w:styleId="Body">
    <w:name w:val="Body"/>
    <w:rsid w:val="00144210"/>
    <w:pPr>
      <w:pBdr>
        <w:top w:val="nil"/>
        <w:left w:val="nil"/>
        <w:bottom w:val="nil"/>
        <w:right w:val="nil"/>
        <w:between w:val="nil"/>
        <w:bar w:val="nil"/>
      </w:pBdr>
      <w:spacing w:after="200" w:line="276" w:lineRule="auto"/>
    </w:pPr>
    <w:rPr>
      <w:rFonts w:eastAsia="Calibri" w:cs="Calibri"/>
      <w:color w:val="000000"/>
      <w:sz w:val="22"/>
      <w:szCs w:val="22"/>
      <w:u w:color="000000"/>
      <w:bdr w:val="nil"/>
      <w:lang w:val="es-ES_tradnl"/>
    </w:rPr>
  </w:style>
  <w:style w:type="paragraph" w:styleId="PlainText">
    <w:name w:val="Plain Text"/>
    <w:link w:val="PlainTextChar"/>
    <w:rsid w:val="00144210"/>
    <w:pPr>
      <w:pBdr>
        <w:top w:val="nil"/>
        <w:left w:val="nil"/>
        <w:bottom w:val="nil"/>
        <w:right w:val="nil"/>
        <w:between w:val="nil"/>
        <w:bar w:val="nil"/>
      </w:pBdr>
    </w:pPr>
    <w:rPr>
      <w:rFonts w:eastAsia="Calibri" w:cs="Calibri"/>
      <w:color w:val="000000"/>
      <w:sz w:val="22"/>
      <w:szCs w:val="22"/>
      <w:u w:color="000000"/>
      <w:bdr w:val="nil"/>
    </w:rPr>
  </w:style>
  <w:style w:type="character" w:customStyle="1" w:styleId="PlainTextChar">
    <w:name w:val="Plain Text Char"/>
    <w:basedOn w:val="DefaultParagraphFont"/>
    <w:link w:val="PlainText"/>
    <w:rsid w:val="00144210"/>
    <w:rPr>
      <w:rFonts w:eastAsia="Calibri" w:cs="Calibri"/>
      <w:color w:val="000000"/>
      <w:sz w:val="22"/>
      <w:szCs w:val="22"/>
      <w:u w:color="000000"/>
      <w:bdr w:val="nil"/>
    </w:rPr>
  </w:style>
  <w:style w:type="character" w:customStyle="1" w:styleId="Heading3Char">
    <w:name w:val="Heading 3 Char"/>
    <w:basedOn w:val="DefaultParagraphFont"/>
    <w:link w:val="Heading3"/>
    <w:uiPriority w:val="9"/>
    <w:rsid w:val="003359B2"/>
    <w:rPr>
      <w:rFonts w:asciiTheme="minorHAnsi" w:hAnsiTheme="minorHAnsi"/>
      <w:b/>
      <w:sz w:val="24"/>
      <w:szCs w:val="22"/>
    </w:rPr>
  </w:style>
  <w:style w:type="character" w:customStyle="1" w:styleId="Heading4Char">
    <w:name w:val="Heading 4 Char"/>
    <w:basedOn w:val="DefaultParagraphFont"/>
    <w:link w:val="Heading4"/>
    <w:uiPriority w:val="9"/>
    <w:rsid w:val="00DB0C72"/>
    <w:rPr>
      <w:rFonts w:asciiTheme="minorHAnsi" w:hAnsiTheme="minorHAnsi"/>
      <w:b/>
      <w:sz w:val="22"/>
      <w:lang w:val="es-ES"/>
    </w:rPr>
  </w:style>
  <w:style w:type="paragraph" w:customStyle="1" w:styleId="Style5">
    <w:name w:val="Style 5"/>
    <w:basedOn w:val="Normal"/>
    <w:link w:val="Style5Char"/>
    <w:qFormat/>
    <w:rsid w:val="003D1549"/>
    <w:pPr>
      <w:numPr>
        <w:numId w:val="4"/>
      </w:numPr>
      <w:spacing w:before="240" w:after="240" w:line="240" w:lineRule="auto"/>
      <w:ind w:left="1440" w:hanging="720"/>
    </w:pPr>
    <w:rPr>
      <w:rFonts w:asciiTheme="minorHAnsi" w:hAnsiTheme="minorHAnsi"/>
      <w:b/>
      <w:szCs w:val="20"/>
      <w:lang w:val="es-ES_tradnl"/>
    </w:rPr>
  </w:style>
  <w:style w:type="character" w:customStyle="1" w:styleId="Style5Char">
    <w:name w:val="Style 5 Char"/>
    <w:basedOn w:val="DefaultParagraphFont"/>
    <w:link w:val="Style5"/>
    <w:rsid w:val="003D1549"/>
    <w:rPr>
      <w:rFonts w:asciiTheme="minorHAnsi" w:hAnsiTheme="minorHAnsi"/>
      <w:b/>
      <w:sz w:val="22"/>
      <w:lang w:val="es-ES_tradnl"/>
    </w:rPr>
  </w:style>
  <w:style w:type="paragraph" w:customStyle="1" w:styleId="Body1">
    <w:name w:val="Body 1"/>
    <w:link w:val="Body1Char"/>
    <w:uiPriority w:val="99"/>
    <w:rsid w:val="00B90432"/>
    <w:pPr>
      <w:outlineLvl w:val="0"/>
    </w:pPr>
    <w:rPr>
      <w:rFonts w:ascii="Times New Roman" w:eastAsia="Arial Unicode MS" w:hAnsi="Times New Roman"/>
      <w:color w:val="000000"/>
      <w:sz w:val="24"/>
      <w:u w:color="000000"/>
      <w:lang w:bidi="en-US"/>
    </w:rPr>
  </w:style>
  <w:style w:type="character" w:customStyle="1" w:styleId="Body1Char">
    <w:name w:val="Body 1 Char"/>
    <w:link w:val="Body1"/>
    <w:uiPriority w:val="99"/>
    <w:locked/>
    <w:rsid w:val="00B90432"/>
    <w:rPr>
      <w:rFonts w:ascii="Times New Roman" w:eastAsia="Arial Unicode MS" w:hAnsi="Times New Roman"/>
      <w:color w:val="000000"/>
      <w:sz w:val="24"/>
      <w:u w:color="000000"/>
      <w:lang w:bidi="en-US"/>
    </w:rPr>
  </w:style>
  <w:style w:type="paragraph" w:styleId="Title">
    <w:name w:val="Title"/>
    <w:basedOn w:val="Heading1"/>
    <w:next w:val="Normal"/>
    <w:link w:val="TitleChar"/>
    <w:uiPriority w:val="10"/>
    <w:qFormat/>
    <w:rsid w:val="0061154D"/>
    <w:pPr>
      <w:spacing w:before="0" w:after="0"/>
      <w:jc w:val="center"/>
    </w:pPr>
    <w:rPr>
      <w:b w:val="0"/>
      <w:sz w:val="52"/>
      <w:szCs w:val="52"/>
    </w:rPr>
  </w:style>
  <w:style w:type="character" w:customStyle="1" w:styleId="TitleChar">
    <w:name w:val="Title Char"/>
    <w:basedOn w:val="DefaultParagraphFont"/>
    <w:link w:val="Title"/>
    <w:uiPriority w:val="10"/>
    <w:rsid w:val="0061154D"/>
    <w:rPr>
      <w:rFonts w:asciiTheme="minorHAnsi" w:eastAsiaTheme="majorEastAsia" w:hAnsiTheme="minorHAnsi" w:cstheme="majorBidi"/>
      <w:bCs/>
      <w:color w:val="4A442A" w:themeColor="background2" w:themeShade="40"/>
      <w:sz w:val="52"/>
      <w:szCs w:val="52"/>
      <w:lang w:val="es-ES_tradnl"/>
    </w:rPr>
  </w:style>
  <w:style w:type="paragraph" w:styleId="TOC1">
    <w:name w:val="toc 1"/>
    <w:basedOn w:val="Normal"/>
    <w:next w:val="Normal"/>
    <w:autoRedefine/>
    <w:uiPriority w:val="39"/>
    <w:unhideWhenUsed/>
    <w:rsid w:val="00345AB2"/>
    <w:pPr>
      <w:pBdr>
        <w:bottom w:val="single" w:sz="4" w:space="1" w:color="auto"/>
      </w:pBdr>
      <w:tabs>
        <w:tab w:val="right" w:pos="7622"/>
      </w:tabs>
      <w:spacing w:after="120" w:line="240" w:lineRule="auto"/>
      <w:ind w:left="1166" w:hanging="1166"/>
    </w:pPr>
    <w:rPr>
      <w:rFonts w:asciiTheme="minorHAnsi" w:hAnsiTheme="minorHAnsi"/>
      <w:b/>
      <w:noProof/>
      <w:sz w:val="20"/>
      <w:szCs w:val="20"/>
    </w:rPr>
  </w:style>
  <w:style w:type="paragraph" w:styleId="TOC2">
    <w:name w:val="toc 2"/>
    <w:basedOn w:val="Normal"/>
    <w:next w:val="Normal"/>
    <w:autoRedefine/>
    <w:uiPriority w:val="39"/>
    <w:unhideWhenUsed/>
    <w:rsid w:val="00345AB2"/>
    <w:pPr>
      <w:tabs>
        <w:tab w:val="left" w:pos="660"/>
        <w:tab w:val="right" w:pos="7622"/>
      </w:tabs>
      <w:spacing w:after="120"/>
      <w:ind w:left="216" w:hanging="216"/>
    </w:pPr>
  </w:style>
  <w:style w:type="paragraph" w:styleId="TOC3">
    <w:name w:val="toc 3"/>
    <w:basedOn w:val="Normal"/>
    <w:next w:val="Normal"/>
    <w:autoRedefine/>
    <w:uiPriority w:val="39"/>
    <w:unhideWhenUsed/>
    <w:rsid w:val="009D7FDE"/>
    <w:pPr>
      <w:spacing w:after="100"/>
      <w:ind w:left="440"/>
    </w:pPr>
  </w:style>
  <w:style w:type="paragraph" w:styleId="TOC4">
    <w:name w:val="toc 4"/>
    <w:basedOn w:val="Normal"/>
    <w:next w:val="Normal"/>
    <w:autoRedefine/>
    <w:uiPriority w:val="39"/>
    <w:unhideWhenUsed/>
    <w:rsid w:val="009D7FDE"/>
    <w:pPr>
      <w:spacing w:after="100"/>
      <w:ind w:left="660"/>
    </w:pPr>
  </w:style>
  <w:style w:type="paragraph" w:styleId="TOC5">
    <w:name w:val="toc 5"/>
    <w:basedOn w:val="Normal"/>
    <w:next w:val="Normal"/>
    <w:autoRedefine/>
    <w:uiPriority w:val="39"/>
    <w:unhideWhenUsed/>
    <w:rsid w:val="009D7FDE"/>
    <w:pPr>
      <w:spacing w:after="100"/>
      <w:ind w:left="880"/>
    </w:pPr>
    <w:rPr>
      <w:rFonts w:asciiTheme="minorHAnsi" w:hAnsiTheme="minorHAnsi" w:cstheme="minorBidi"/>
    </w:rPr>
  </w:style>
  <w:style w:type="paragraph" w:styleId="TOC6">
    <w:name w:val="toc 6"/>
    <w:basedOn w:val="Normal"/>
    <w:next w:val="Normal"/>
    <w:autoRedefine/>
    <w:uiPriority w:val="39"/>
    <w:unhideWhenUsed/>
    <w:rsid w:val="009D7FDE"/>
    <w:pPr>
      <w:spacing w:after="100"/>
      <w:ind w:left="1100"/>
    </w:pPr>
    <w:rPr>
      <w:rFonts w:asciiTheme="minorHAnsi" w:hAnsiTheme="minorHAnsi" w:cstheme="minorBidi"/>
    </w:rPr>
  </w:style>
  <w:style w:type="paragraph" w:styleId="TOC7">
    <w:name w:val="toc 7"/>
    <w:basedOn w:val="Normal"/>
    <w:next w:val="Normal"/>
    <w:autoRedefine/>
    <w:uiPriority w:val="39"/>
    <w:unhideWhenUsed/>
    <w:rsid w:val="009D7FDE"/>
    <w:pPr>
      <w:spacing w:after="100"/>
      <w:ind w:left="1320"/>
    </w:pPr>
    <w:rPr>
      <w:rFonts w:asciiTheme="minorHAnsi" w:hAnsiTheme="minorHAnsi" w:cstheme="minorBidi"/>
    </w:rPr>
  </w:style>
  <w:style w:type="paragraph" w:styleId="TOC8">
    <w:name w:val="toc 8"/>
    <w:basedOn w:val="Normal"/>
    <w:next w:val="Normal"/>
    <w:autoRedefine/>
    <w:uiPriority w:val="39"/>
    <w:unhideWhenUsed/>
    <w:rsid w:val="009D7FDE"/>
    <w:pPr>
      <w:spacing w:after="100"/>
      <w:ind w:left="1540"/>
    </w:pPr>
    <w:rPr>
      <w:rFonts w:asciiTheme="minorHAnsi" w:hAnsiTheme="minorHAnsi" w:cstheme="minorBidi"/>
    </w:rPr>
  </w:style>
  <w:style w:type="paragraph" w:styleId="TOC9">
    <w:name w:val="toc 9"/>
    <w:basedOn w:val="Normal"/>
    <w:next w:val="Normal"/>
    <w:autoRedefine/>
    <w:uiPriority w:val="39"/>
    <w:unhideWhenUsed/>
    <w:rsid w:val="009D7FDE"/>
    <w:pPr>
      <w:spacing w:after="100"/>
      <w:ind w:left="176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16">
      <w:bodyDiv w:val="1"/>
      <w:marLeft w:val="0"/>
      <w:marRight w:val="0"/>
      <w:marTop w:val="0"/>
      <w:marBottom w:val="0"/>
      <w:divBdr>
        <w:top w:val="none" w:sz="0" w:space="0" w:color="auto"/>
        <w:left w:val="none" w:sz="0" w:space="0" w:color="auto"/>
        <w:bottom w:val="none" w:sz="0" w:space="0" w:color="auto"/>
        <w:right w:val="none" w:sz="0" w:space="0" w:color="auto"/>
      </w:divBdr>
    </w:div>
    <w:div w:id="62215730">
      <w:bodyDiv w:val="1"/>
      <w:marLeft w:val="0"/>
      <w:marRight w:val="0"/>
      <w:marTop w:val="0"/>
      <w:marBottom w:val="0"/>
      <w:divBdr>
        <w:top w:val="none" w:sz="0" w:space="0" w:color="auto"/>
        <w:left w:val="none" w:sz="0" w:space="0" w:color="auto"/>
        <w:bottom w:val="none" w:sz="0" w:space="0" w:color="auto"/>
        <w:right w:val="none" w:sz="0" w:space="0" w:color="auto"/>
      </w:divBdr>
    </w:div>
    <w:div w:id="140973955">
      <w:bodyDiv w:val="1"/>
      <w:marLeft w:val="0"/>
      <w:marRight w:val="0"/>
      <w:marTop w:val="0"/>
      <w:marBottom w:val="0"/>
      <w:divBdr>
        <w:top w:val="none" w:sz="0" w:space="0" w:color="auto"/>
        <w:left w:val="none" w:sz="0" w:space="0" w:color="auto"/>
        <w:bottom w:val="none" w:sz="0" w:space="0" w:color="auto"/>
        <w:right w:val="none" w:sz="0" w:space="0" w:color="auto"/>
      </w:divBdr>
    </w:div>
    <w:div w:id="224804071">
      <w:bodyDiv w:val="1"/>
      <w:marLeft w:val="0"/>
      <w:marRight w:val="0"/>
      <w:marTop w:val="0"/>
      <w:marBottom w:val="0"/>
      <w:divBdr>
        <w:top w:val="none" w:sz="0" w:space="0" w:color="auto"/>
        <w:left w:val="none" w:sz="0" w:space="0" w:color="auto"/>
        <w:bottom w:val="none" w:sz="0" w:space="0" w:color="auto"/>
        <w:right w:val="none" w:sz="0" w:space="0" w:color="auto"/>
      </w:divBdr>
    </w:div>
    <w:div w:id="236593721">
      <w:bodyDiv w:val="1"/>
      <w:marLeft w:val="0"/>
      <w:marRight w:val="0"/>
      <w:marTop w:val="0"/>
      <w:marBottom w:val="0"/>
      <w:divBdr>
        <w:top w:val="none" w:sz="0" w:space="0" w:color="auto"/>
        <w:left w:val="none" w:sz="0" w:space="0" w:color="auto"/>
        <w:bottom w:val="none" w:sz="0" w:space="0" w:color="auto"/>
        <w:right w:val="none" w:sz="0" w:space="0" w:color="auto"/>
      </w:divBdr>
    </w:div>
    <w:div w:id="241331907">
      <w:bodyDiv w:val="1"/>
      <w:marLeft w:val="0"/>
      <w:marRight w:val="0"/>
      <w:marTop w:val="0"/>
      <w:marBottom w:val="0"/>
      <w:divBdr>
        <w:top w:val="none" w:sz="0" w:space="0" w:color="auto"/>
        <w:left w:val="none" w:sz="0" w:space="0" w:color="auto"/>
        <w:bottom w:val="none" w:sz="0" w:space="0" w:color="auto"/>
        <w:right w:val="none" w:sz="0" w:space="0" w:color="auto"/>
      </w:divBdr>
      <w:divsChild>
        <w:div w:id="1717581441">
          <w:marLeft w:val="0"/>
          <w:marRight w:val="0"/>
          <w:marTop w:val="0"/>
          <w:marBottom w:val="0"/>
          <w:divBdr>
            <w:top w:val="none" w:sz="0" w:space="0" w:color="auto"/>
            <w:left w:val="none" w:sz="0" w:space="0" w:color="auto"/>
            <w:bottom w:val="none" w:sz="0" w:space="0" w:color="auto"/>
            <w:right w:val="none" w:sz="0" w:space="0" w:color="auto"/>
          </w:divBdr>
          <w:divsChild>
            <w:div w:id="2112703616">
              <w:marLeft w:val="0"/>
              <w:marRight w:val="0"/>
              <w:marTop w:val="0"/>
              <w:marBottom w:val="0"/>
              <w:divBdr>
                <w:top w:val="none" w:sz="0" w:space="0" w:color="auto"/>
                <w:left w:val="none" w:sz="0" w:space="0" w:color="auto"/>
                <w:bottom w:val="none" w:sz="0" w:space="0" w:color="auto"/>
                <w:right w:val="none" w:sz="0" w:space="0" w:color="auto"/>
              </w:divBdr>
              <w:divsChild>
                <w:div w:id="913858987">
                  <w:marLeft w:val="0"/>
                  <w:marRight w:val="0"/>
                  <w:marTop w:val="0"/>
                  <w:marBottom w:val="0"/>
                  <w:divBdr>
                    <w:top w:val="none" w:sz="0" w:space="0" w:color="auto"/>
                    <w:left w:val="none" w:sz="0" w:space="0" w:color="auto"/>
                    <w:bottom w:val="none" w:sz="0" w:space="0" w:color="auto"/>
                    <w:right w:val="none" w:sz="0" w:space="0" w:color="auto"/>
                  </w:divBdr>
                  <w:divsChild>
                    <w:div w:id="18735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888">
      <w:bodyDiv w:val="1"/>
      <w:marLeft w:val="0"/>
      <w:marRight w:val="0"/>
      <w:marTop w:val="0"/>
      <w:marBottom w:val="0"/>
      <w:divBdr>
        <w:top w:val="none" w:sz="0" w:space="0" w:color="auto"/>
        <w:left w:val="none" w:sz="0" w:space="0" w:color="auto"/>
        <w:bottom w:val="none" w:sz="0" w:space="0" w:color="auto"/>
        <w:right w:val="none" w:sz="0" w:space="0" w:color="auto"/>
      </w:divBdr>
    </w:div>
    <w:div w:id="270865743">
      <w:bodyDiv w:val="1"/>
      <w:marLeft w:val="0"/>
      <w:marRight w:val="0"/>
      <w:marTop w:val="0"/>
      <w:marBottom w:val="0"/>
      <w:divBdr>
        <w:top w:val="none" w:sz="0" w:space="0" w:color="auto"/>
        <w:left w:val="none" w:sz="0" w:space="0" w:color="auto"/>
        <w:bottom w:val="none" w:sz="0" w:space="0" w:color="auto"/>
        <w:right w:val="none" w:sz="0" w:space="0" w:color="auto"/>
      </w:divBdr>
    </w:div>
    <w:div w:id="273096720">
      <w:bodyDiv w:val="1"/>
      <w:marLeft w:val="0"/>
      <w:marRight w:val="0"/>
      <w:marTop w:val="0"/>
      <w:marBottom w:val="0"/>
      <w:divBdr>
        <w:top w:val="none" w:sz="0" w:space="0" w:color="auto"/>
        <w:left w:val="none" w:sz="0" w:space="0" w:color="auto"/>
        <w:bottom w:val="none" w:sz="0" w:space="0" w:color="auto"/>
        <w:right w:val="none" w:sz="0" w:space="0" w:color="auto"/>
      </w:divBdr>
      <w:divsChild>
        <w:div w:id="1228689337">
          <w:marLeft w:val="0"/>
          <w:marRight w:val="0"/>
          <w:marTop w:val="0"/>
          <w:marBottom w:val="0"/>
          <w:divBdr>
            <w:top w:val="none" w:sz="0" w:space="0" w:color="auto"/>
            <w:left w:val="none" w:sz="0" w:space="0" w:color="auto"/>
            <w:bottom w:val="none" w:sz="0" w:space="0" w:color="auto"/>
            <w:right w:val="none" w:sz="0" w:space="0" w:color="auto"/>
          </w:divBdr>
          <w:divsChild>
            <w:div w:id="1132794062">
              <w:marLeft w:val="0"/>
              <w:marRight w:val="0"/>
              <w:marTop w:val="0"/>
              <w:marBottom w:val="0"/>
              <w:divBdr>
                <w:top w:val="none" w:sz="0" w:space="0" w:color="auto"/>
                <w:left w:val="none" w:sz="0" w:space="0" w:color="auto"/>
                <w:bottom w:val="none" w:sz="0" w:space="0" w:color="auto"/>
                <w:right w:val="none" w:sz="0" w:space="0" w:color="auto"/>
              </w:divBdr>
              <w:divsChild>
                <w:div w:id="843742822">
                  <w:marLeft w:val="0"/>
                  <w:marRight w:val="0"/>
                  <w:marTop w:val="0"/>
                  <w:marBottom w:val="0"/>
                  <w:divBdr>
                    <w:top w:val="none" w:sz="0" w:space="0" w:color="auto"/>
                    <w:left w:val="none" w:sz="0" w:space="0" w:color="auto"/>
                    <w:bottom w:val="none" w:sz="0" w:space="0" w:color="auto"/>
                    <w:right w:val="none" w:sz="0" w:space="0" w:color="auto"/>
                  </w:divBdr>
                  <w:divsChild>
                    <w:div w:id="621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3447">
      <w:bodyDiv w:val="1"/>
      <w:marLeft w:val="0"/>
      <w:marRight w:val="0"/>
      <w:marTop w:val="0"/>
      <w:marBottom w:val="0"/>
      <w:divBdr>
        <w:top w:val="none" w:sz="0" w:space="0" w:color="auto"/>
        <w:left w:val="none" w:sz="0" w:space="0" w:color="auto"/>
        <w:bottom w:val="none" w:sz="0" w:space="0" w:color="auto"/>
        <w:right w:val="none" w:sz="0" w:space="0" w:color="auto"/>
      </w:divBdr>
      <w:divsChild>
        <w:div w:id="553201194">
          <w:marLeft w:val="0"/>
          <w:marRight w:val="0"/>
          <w:marTop w:val="0"/>
          <w:marBottom w:val="0"/>
          <w:divBdr>
            <w:top w:val="none" w:sz="0" w:space="0" w:color="auto"/>
            <w:left w:val="none" w:sz="0" w:space="0" w:color="auto"/>
            <w:bottom w:val="none" w:sz="0" w:space="0" w:color="auto"/>
            <w:right w:val="none" w:sz="0" w:space="0" w:color="auto"/>
          </w:divBdr>
          <w:divsChild>
            <w:div w:id="1786387929">
              <w:marLeft w:val="0"/>
              <w:marRight w:val="0"/>
              <w:marTop w:val="0"/>
              <w:marBottom w:val="0"/>
              <w:divBdr>
                <w:top w:val="none" w:sz="0" w:space="0" w:color="auto"/>
                <w:left w:val="none" w:sz="0" w:space="0" w:color="auto"/>
                <w:bottom w:val="none" w:sz="0" w:space="0" w:color="auto"/>
                <w:right w:val="none" w:sz="0" w:space="0" w:color="auto"/>
              </w:divBdr>
              <w:divsChild>
                <w:div w:id="9099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6269">
      <w:bodyDiv w:val="1"/>
      <w:marLeft w:val="0"/>
      <w:marRight w:val="0"/>
      <w:marTop w:val="0"/>
      <w:marBottom w:val="0"/>
      <w:divBdr>
        <w:top w:val="none" w:sz="0" w:space="0" w:color="auto"/>
        <w:left w:val="none" w:sz="0" w:space="0" w:color="auto"/>
        <w:bottom w:val="none" w:sz="0" w:space="0" w:color="auto"/>
        <w:right w:val="none" w:sz="0" w:space="0" w:color="auto"/>
      </w:divBdr>
    </w:div>
    <w:div w:id="333849854">
      <w:bodyDiv w:val="1"/>
      <w:marLeft w:val="0"/>
      <w:marRight w:val="0"/>
      <w:marTop w:val="0"/>
      <w:marBottom w:val="0"/>
      <w:divBdr>
        <w:top w:val="none" w:sz="0" w:space="0" w:color="auto"/>
        <w:left w:val="none" w:sz="0" w:space="0" w:color="auto"/>
        <w:bottom w:val="none" w:sz="0" w:space="0" w:color="auto"/>
        <w:right w:val="none" w:sz="0" w:space="0" w:color="auto"/>
      </w:divBdr>
      <w:divsChild>
        <w:div w:id="1067218836">
          <w:marLeft w:val="0"/>
          <w:marRight w:val="0"/>
          <w:marTop w:val="0"/>
          <w:marBottom w:val="0"/>
          <w:divBdr>
            <w:top w:val="none" w:sz="0" w:space="0" w:color="auto"/>
            <w:left w:val="none" w:sz="0" w:space="0" w:color="auto"/>
            <w:bottom w:val="none" w:sz="0" w:space="0" w:color="auto"/>
            <w:right w:val="none" w:sz="0" w:space="0" w:color="auto"/>
          </w:divBdr>
          <w:divsChild>
            <w:div w:id="57939871">
              <w:marLeft w:val="0"/>
              <w:marRight w:val="0"/>
              <w:marTop w:val="0"/>
              <w:marBottom w:val="0"/>
              <w:divBdr>
                <w:top w:val="none" w:sz="0" w:space="0" w:color="auto"/>
                <w:left w:val="none" w:sz="0" w:space="0" w:color="auto"/>
                <w:bottom w:val="none" w:sz="0" w:space="0" w:color="auto"/>
                <w:right w:val="none" w:sz="0" w:space="0" w:color="auto"/>
              </w:divBdr>
              <w:divsChild>
                <w:div w:id="1752265166">
                  <w:marLeft w:val="0"/>
                  <w:marRight w:val="0"/>
                  <w:marTop w:val="0"/>
                  <w:marBottom w:val="0"/>
                  <w:divBdr>
                    <w:top w:val="none" w:sz="0" w:space="0" w:color="auto"/>
                    <w:left w:val="none" w:sz="0" w:space="0" w:color="auto"/>
                    <w:bottom w:val="none" w:sz="0" w:space="0" w:color="auto"/>
                    <w:right w:val="none" w:sz="0" w:space="0" w:color="auto"/>
                  </w:divBdr>
                  <w:divsChild>
                    <w:div w:id="117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9368">
      <w:bodyDiv w:val="1"/>
      <w:marLeft w:val="0"/>
      <w:marRight w:val="0"/>
      <w:marTop w:val="0"/>
      <w:marBottom w:val="0"/>
      <w:divBdr>
        <w:top w:val="none" w:sz="0" w:space="0" w:color="auto"/>
        <w:left w:val="none" w:sz="0" w:space="0" w:color="auto"/>
        <w:bottom w:val="none" w:sz="0" w:space="0" w:color="auto"/>
        <w:right w:val="none" w:sz="0" w:space="0" w:color="auto"/>
      </w:divBdr>
    </w:div>
    <w:div w:id="431511339">
      <w:bodyDiv w:val="1"/>
      <w:marLeft w:val="0"/>
      <w:marRight w:val="0"/>
      <w:marTop w:val="0"/>
      <w:marBottom w:val="0"/>
      <w:divBdr>
        <w:top w:val="none" w:sz="0" w:space="0" w:color="auto"/>
        <w:left w:val="none" w:sz="0" w:space="0" w:color="auto"/>
        <w:bottom w:val="none" w:sz="0" w:space="0" w:color="auto"/>
        <w:right w:val="none" w:sz="0" w:space="0" w:color="auto"/>
      </w:divBdr>
    </w:div>
    <w:div w:id="467279715">
      <w:bodyDiv w:val="1"/>
      <w:marLeft w:val="0"/>
      <w:marRight w:val="0"/>
      <w:marTop w:val="0"/>
      <w:marBottom w:val="0"/>
      <w:divBdr>
        <w:top w:val="none" w:sz="0" w:space="0" w:color="auto"/>
        <w:left w:val="none" w:sz="0" w:space="0" w:color="auto"/>
        <w:bottom w:val="none" w:sz="0" w:space="0" w:color="auto"/>
        <w:right w:val="none" w:sz="0" w:space="0" w:color="auto"/>
      </w:divBdr>
    </w:div>
    <w:div w:id="504324168">
      <w:bodyDiv w:val="1"/>
      <w:marLeft w:val="0"/>
      <w:marRight w:val="0"/>
      <w:marTop w:val="0"/>
      <w:marBottom w:val="0"/>
      <w:divBdr>
        <w:top w:val="none" w:sz="0" w:space="0" w:color="auto"/>
        <w:left w:val="none" w:sz="0" w:space="0" w:color="auto"/>
        <w:bottom w:val="none" w:sz="0" w:space="0" w:color="auto"/>
        <w:right w:val="none" w:sz="0" w:space="0" w:color="auto"/>
      </w:divBdr>
    </w:div>
    <w:div w:id="508641388">
      <w:bodyDiv w:val="1"/>
      <w:marLeft w:val="0"/>
      <w:marRight w:val="0"/>
      <w:marTop w:val="0"/>
      <w:marBottom w:val="0"/>
      <w:divBdr>
        <w:top w:val="none" w:sz="0" w:space="0" w:color="auto"/>
        <w:left w:val="none" w:sz="0" w:space="0" w:color="auto"/>
        <w:bottom w:val="none" w:sz="0" w:space="0" w:color="auto"/>
        <w:right w:val="none" w:sz="0" w:space="0" w:color="auto"/>
      </w:divBdr>
    </w:div>
    <w:div w:id="561411784">
      <w:bodyDiv w:val="1"/>
      <w:marLeft w:val="0"/>
      <w:marRight w:val="0"/>
      <w:marTop w:val="0"/>
      <w:marBottom w:val="0"/>
      <w:divBdr>
        <w:top w:val="none" w:sz="0" w:space="0" w:color="auto"/>
        <w:left w:val="none" w:sz="0" w:space="0" w:color="auto"/>
        <w:bottom w:val="none" w:sz="0" w:space="0" w:color="auto"/>
        <w:right w:val="none" w:sz="0" w:space="0" w:color="auto"/>
      </w:divBdr>
    </w:div>
    <w:div w:id="568417186">
      <w:bodyDiv w:val="1"/>
      <w:marLeft w:val="0"/>
      <w:marRight w:val="0"/>
      <w:marTop w:val="0"/>
      <w:marBottom w:val="0"/>
      <w:divBdr>
        <w:top w:val="none" w:sz="0" w:space="0" w:color="auto"/>
        <w:left w:val="none" w:sz="0" w:space="0" w:color="auto"/>
        <w:bottom w:val="none" w:sz="0" w:space="0" w:color="auto"/>
        <w:right w:val="none" w:sz="0" w:space="0" w:color="auto"/>
      </w:divBdr>
    </w:div>
    <w:div w:id="588929024">
      <w:bodyDiv w:val="1"/>
      <w:marLeft w:val="0"/>
      <w:marRight w:val="0"/>
      <w:marTop w:val="0"/>
      <w:marBottom w:val="0"/>
      <w:divBdr>
        <w:top w:val="none" w:sz="0" w:space="0" w:color="auto"/>
        <w:left w:val="none" w:sz="0" w:space="0" w:color="auto"/>
        <w:bottom w:val="none" w:sz="0" w:space="0" w:color="auto"/>
        <w:right w:val="none" w:sz="0" w:space="0" w:color="auto"/>
      </w:divBdr>
    </w:div>
    <w:div w:id="646203907">
      <w:bodyDiv w:val="1"/>
      <w:marLeft w:val="0"/>
      <w:marRight w:val="0"/>
      <w:marTop w:val="0"/>
      <w:marBottom w:val="0"/>
      <w:divBdr>
        <w:top w:val="none" w:sz="0" w:space="0" w:color="auto"/>
        <w:left w:val="none" w:sz="0" w:space="0" w:color="auto"/>
        <w:bottom w:val="none" w:sz="0" w:space="0" w:color="auto"/>
        <w:right w:val="none" w:sz="0" w:space="0" w:color="auto"/>
      </w:divBdr>
      <w:divsChild>
        <w:div w:id="2031225317">
          <w:marLeft w:val="0"/>
          <w:marRight w:val="0"/>
          <w:marTop w:val="0"/>
          <w:marBottom w:val="0"/>
          <w:divBdr>
            <w:top w:val="none" w:sz="0" w:space="0" w:color="auto"/>
            <w:left w:val="none" w:sz="0" w:space="0" w:color="auto"/>
            <w:bottom w:val="none" w:sz="0" w:space="0" w:color="auto"/>
            <w:right w:val="none" w:sz="0" w:space="0" w:color="auto"/>
          </w:divBdr>
          <w:divsChild>
            <w:div w:id="828639980">
              <w:marLeft w:val="0"/>
              <w:marRight w:val="0"/>
              <w:marTop w:val="0"/>
              <w:marBottom w:val="0"/>
              <w:divBdr>
                <w:top w:val="none" w:sz="0" w:space="0" w:color="auto"/>
                <w:left w:val="none" w:sz="0" w:space="0" w:color="auto"/>
                <w:bottom w:val="none" w:sz="0" w:space="0" w:color="auto"/>
                <w:right w:val="none" w:sz="0" w:space="0" w:color="auto"/>
              </w:divBdr>
              <w:divsChild>
                <w:div w:id="2144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3386">
      <w:bodyDiv w:val="1"/>
      <w:marLeft w:val="0"/>
      <w:marRight w:val="0"/>
      <w:marTop w:val="0"/>
      <w:marBottom w:val="0"/>
      <w:divBdr>
        <w:top w:val="none" w:sz="0" w:space="0" w:color="auto"/>
        <w:left w:val="none" w:sz="0" w:space="0" w:color="auto"/>
        <w:bottom w:val="none" w:sz="0" w:space="0" w:color="auto"/>
        <w:right w:val="none" w:sz="0" w:space="0" w:color="auto"/>
      </w:divBdr>
      <w:divsChild>
        <w:div w:id="541863430">
          <w:marLeft w:val="0"/>
          <w:marRight w:val="0"/>
          <w:marTop w:val="0"/>
          <w:marBottom w:val="0"/>
          <w:divBdr>
            <w:top w:val="none" w:sz="0" w:space="0" w:color="auto"/>
            <w:left w:val="none" w:sz="0" w:space="0" w:color="auto"/>
            <w:bottom w:val="none" w:sz="0" w:space="0" w:color="auto"/>
            <w:right w:val="none" w:sz="0" w:space="0" w:color="auto"/>
          </w:divBdr>
          <w:divsChild>
            <w:div w:id="1668903011">
              <w:marLeft w:val="0"/>
              <w:marRight w:val="0"/>
              <w:marTop w:val="0"/>
              <w:marBottom w:val="0"/>
              <w:divBdr>
                <w:top w:val="none" w:sz="0" w:space="0" w:color="auto"/>
                <w:left w:val="none" w:sz="0" w:space="0" w:color="auto"/>
                <w:bottom w:val="none" w:sz="0" w:space="0" w:color="auto"/>
                <w:right w:val="none" w:sz="0" w:space="0" w:color="auto"/>
              </w:divBdr>
              <w:divsChild>
                <w:div w:id="10969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5360">
      <w:bodyDiv w:val="1"/>
      <w:marLeft w:val="0"/>
      <w:marRight w:val="0"/>
      <w:marTop w:val="0"/>
      <w:marBottom w:val="0"/>
      <w:divBdr>
        <w:top w:val="none" w:sz="0" w:space="0" w:color="auto"/>
        <w:left w:val="none" w:sz="0" w:space="0" w:color="auto"/>
        <w:bottom w:val="none" w:sz="0" w:space="0" w:color="auto"/>
        <w:right w:val="none" w:sz="0" w:space="0" w:color="auto"/>
      </w:divBdr>
      <w:divsChild>
        <w:div w:id="478766772">
          <w:marLeft w:val="0"/>
          <w:marRight w:val="0"/>
          <w:marTop w:val="0"/>
          <w:marBottom w:val="0"/>
          <w:divBdr>
            <w:top w:val="none" w:sz="0" w:space="0" w:color="auto"/>
            <w:left w:val="none" w:sz="0" w:space="0" w:color="auto"/>
            <w:bottom w:val="none" w:sz="0" w:space="0" w:color="auto"/>
            <w:right w:val="none" w:sz="0" w:space="0" w:color="auto"/>
          </w:divBdr>
          <w:divsChild>
            <w:div w:id="1293051278">
              <w:marLeft w:val="0"/>
              <w:marRight w:val="0"/>
              <w:marTop w:val="0"/>
              <w:marBottom w:val="0"/>
              <w:divBdr>
                <w:top w:val="none" w:sz="0" w:space="0" w:color="auto"/>
                <w:left w:val="none" w:sz="0" w:space="0" w:color="auto"/>
                <w:bottom w:val="none" w:sz="0" w:space="0" w:color="auto"/>
                <w:right w:val="none" w:sz="0" w:space="0" w:color="auto"/>
              </w:divBdr>
              <w:divsChild>
                <w:div w:id="15707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2848">
      <w:bodyDiv w:val="1"/>
      <w:marLeft w:val="0"/>
      <w:marRight w:val="0"/>
      <w:marTop w:val="0"/>
      <w:marBottom w:val="0"/>
      <w:divBdr>
        <w:top w:val="none" w:sz="0" w:space="0" w:color="auto"/>
        <w:left w:val="none" w:sz="0" w:space="0" w:color="auto"/>
        <w:bottom w:val="none" w:sz="0" w:space="0" w:color="auto"/>
        <w:right w:val="none" w:sz="0" w:space="0" w:color="auto"/>
      </w:divBdr>
    </w:div>
    <w:div w:id="736056698">
      <w:bodyDiv w:val="1"/>
      <w:marLeft w:val="0"/>
      <w:marRight w:val="0"/>
      <w:marTop w:val="0"/>
      <w:marBottom w:val="0"/>
      <w:divBdr>
        <w:top w:val="none" w:sz="0" w:space="0" w:color="auto"/>
        <w:left w:val="none" w:sz="0" w:space="0" w:color="auto"/>
        <w:bottom w:val="none" w:sz="0" w:space="0" w:color="auto"/>
        <w:right w:val="none" w:sz="0" w:space="0" w:color="auto"/>
      </w:divBdr>
    </w:div>
    <w:div w:id="819734650">
      <w:bodyDiv w:val="1"/>
      <w:marLeft w:val="0"/>
      <w:marRight w:val="0"/>
      <w:marTop w:val="0"/>
      <w:marBottom w:val="0"/>
      <w:divBdr>
        <w:top w:val="none" w:sz="0" w:space="0" w:color="auto"/>
        <w:left w:val="none" w:sz="0" w:space="0" w:color="auto"/>
        <w:bottom w:val="none" w:sz="0" w:space="0" w:color="auto"/>
        <w:right w:val="none" w:sz="0" w:space="0" w:color="auto"/>
      </w:divBdr>
    </w:div>
    <w:div w:id="820271390">
      <w:bodyDiv w:val="1"/>
      <w:marLeft w:val="0"/>
      <w:marRight w:val="0"/>
      <w:marTop w:val="0"/>
      <w:marBottom w:val="0"/>
      <w:divBdr>
        <w:top w:val="none" w:sz="0" w:space="0" w:color="auto"/>
        <w:left w:val="none" w:sz="0" w:space="0" w:color="auto"/>
        <w:bottom w:val="none" w:sz="0" w:space="0" w:color="auto"/>
        <w:right w:val="none" w:sz="0" w:space="0" w:color="auto"/>
      </w:divBdr>
      <w:divsChild>
        <w:div w:id="224683457">
          <w:marLeft w:val="0"/>
          <w:marRight w:val="0"/>
          <w:marTop w:val="0"/>
          <w:marBottom w:val="0"/>
          <w:divBdr>
            <w:top w:val="none" w:sz="0" w:space="0" w:color="auto"/>
            <w:left w:val="none" w:sz="0" w:space="0" w:color="auto"/>
            <w:bottom w:val="none" w:sz="0" w:space="0" w:color="auto"/>
            <w:right w:val="none" w:sz="0" w:space="0" w:color="auto"/>
          </w:divBdr>
          <w:divsChild>
            <w:div w:id="1298222212">
              <w:marLeft w:val="0"/>
              <w:marRight w:val="0"/>
              <w:marTop w:val="0"/>
              <w:marBottom w:val="0"/>
              <w:divBdr>
                <w:top w:val="none" w:sz="0" w:space="0" w:color="auto"/>
                <w:left w:val="none" w:sz="0" w:space="0" w:color="auto"/>
                <w:bottom w:val="none" w:sz="0" w:space="0" w:color="auto"/>
                <w:right w:val="none" w:sz="0" w:space="0" w:color="auto"/>
              </w:divBdr>
              <w:divsChild>
                <w:div w:id="1713919404">
                  <w:marLeft w:val="0"/>
                  <w:marRight w:val="0"/>
                  <w:marTop w:val="0"/>
                  <w:marBottom w:val="0"/>
                  <w:divBdr>
                    <w:top w:val="none" w:sz="0" w:space="0" w:color="auto"/>
                    <w:left w:val="none" w:sz="0" w:space="0" w:color="auto"/>
                    <w:bottom w:val="none" w:sz="0" w:space="0" w:color="auto"/>
                    <w:right w:val="none" w:sz="0" w:space="0" w:color="auto"/>
                  </w:divBdr>
                  <w:divsChild>
                    <w:div w:id="4675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7361">
      <w:bodyDiv w:val="1"/>
      <w:marLeft w:val="0"/>
      <w:marRight w:val="0"/>
      <w:marTop w:val="0"/>
      <w:marBottom w:val="0"/>
      <w:divBdr>
        <w:top w:val="none" w:sz="0" w:space="0" w:color="auto"/>
        <w:left w:val="none" w:sz="0" w:space="0" w:color="auto"/>
        <w:bottom w:val="none" w:sz="0" w:space="0" w:color="auto"/>
        <w:right w:val="none" w:sz="0" w:space="0" w:color="auto"/>
      </w:divBdr>
    </w:div>
    <w:div w:id="919018484">
      <w:bodyDiv w:val="1"/>
      <w:marLeft w:val="0"/>
      <w:marRight w:val="0"/>
      <w:marTop w:val="0"/>
      <w:marBottom w:val="0"/>
      <w:divBdr>
        <w:top w:val="none" w:sz="0" w:space="0" w:color="auto"/>
        <w:left w:val="none" w:sz="0" w:space="0" w:color="auto"/>
        <w:bottom w:val="none" w:sz="0" w:space="0" w:color="auto"/>
        <w:right w:val="none" w:sz="0" w:space="0" w:color="auto"/>
      </w:divBdr>
    </w:div>
    <w:div w:id="1005400715">
      <w:bodyDiv w:val="1"/>
      <w:marLeft w:val="0"/>
      <w:marRight w:val="0"/>
      <w:marTop w:val="0"/>
      <w:marBottom w:val="0"/>
      <w:divBdr>
        <w:top w:val="none" w:sz="0" w:space="0" w:color="auto"/>
        <w:left w:val="none" w:sz="0" w:space="0" w:color="auto"/>
        <w:bottom w:val="none" w:sz="0" w:space="0" w:color="auto"/>
        <w:right w:val="none" w:sz="0" w:space="0" w:color="auto"/>
      </w:divBdr>
      <w:divsChild>
        <w:div w:id="761074724">
          <w:marLeft w:val="0"/>
          <w:marRight w:val="0"/>
          <w:marTop w:val="0"/>
          <w:marBottom w:val="0"/>
          <w:divBdr>
            <w:top w:val="none" w:sz="0" w:space="0" w:color="auto"/>
            <w:left w:val="none" w:sz="0" w:space="0" w:color="auto"/>
            <w:bottom w:val="none" w:sz="0" w:space="0" w:color="auto"/>
            <w:right w:val="none" w:sz="0" w:space="0" w:color="auto"/>
          </w:divBdr>
          <w:divsChild>
            <w:div w:id="1713384809">
              <w:marLeft w:val="0"/>
              <w:marRight w:val="0"/>
              <w:marTop w:val="0"/>
              <w:marBottom w:val="0"/>
              <w:divBdr>
                <w:top w:val="none" w:sz="0" w:space="0" w:color="auto"/>
                <w:left w:val="none" w:sz="0" w:space="0" w:color="auto"/>
                <w:bottom w:val="none" w:sz="0" w:space="0" w:color="auto"/>
                <w:right w:val="none" w:sz="0" w:space="0" w:color="auto"/>
              </w:divBdr>
              <w:divsChild>
                <w:div w:id="163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7377">
      <w:bodyDiv w:val="1"/>
      <w:marLeft w:val="0"/>
      <w:marRight w:val="0"/>
      <w:marTop w:val="0"/>
      <w:marBottom w:val="0"/>
      <w:divBdr>
        <w:top w:val="none" w:sz="0" w:space="0" w:color="auto"/>
        <w:left w:val="none" w:sz="0" w:space="0" w:color="auto"/>
        <w:bottom w:val="none" w:sz="0" w:space="0" w:color="auto"/>
        <w:right w:val="none" w:sz="0" w:space="0" w:color="auto"/>
      </w:divBdr>
    </w:div>
    <w:div w:id="1123959852">
      <w:bodyDiv w:val="1"/>
      <w:marLeft w:val="0"/>
      <w:marRight w:val="0"/>
      <w:marTop w:val="0"/>
      <w:marBottom w:val="0"/>
      <w:divBdr>
        <w:top w:val="none" w:sz="0" w:space="0" w:color="auto"/>
        <w:left w:val="none" w:sz="0" w:space="0" w:color="auto"/>
        <w:bottom w:val="none" w:sz="0" w:space="0" w:color="auto"/>
        <w:right w:val="none" w:sz="0" w:space="0" w:color="auto"/>
      </w:divBdr>
      <w:divsChild>
        <w:div w:id="1094549057">
          <w:marLeft w:val="0"/>
          <w:marRight w:val="0"/>
          <w:marTop w:val="0"/>
          <w:marBottom w:val="0"/>
          <w:divBdr>
            <w:top w:val="none" w:sz="0" w:space="0" w:color="auto"/>
            <w:left w:val="none" w:sz="0" w:space="0" w:color="auto"/>
            <w:bottom w:val="none" w:sz="0" w:space="0" w:color="auto"/>
            <w:right w:val="none" w:sz="0" w:space="0" w:color="auto"/>
          </w:divBdr>
          <w:divsChild>
            <w:div w:id="921111895">
              <w:marLeft w:val="0"/>
              <w:marRight w:val="0"/>
              <w:marTop w:val="0"/>
              <w:marBottom w:val="0"/>
              <w:divBdr>
                <w:top w:val="none" w:sz="0" w:space="0" w:color="auto"/>
                <w:left w:val="none" w:sz="0" w:space="0" w:color="auto"/>
                <w:bottom w:val="none" w:sz="0" w:space="0" w:color="auto"/>
                <w:right w:val="none" w:sz="0" w:space="0" w:color="auto"/>
              </w:divBdr>
              <w:divsChild>
                <w:div w:id="14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9204">
      <w:bodyDiv w:val="1"/>
      <w:marLeft w:val="0"/>
      <w:marRight w:val="0"/>
      <w:marTop w:val="0"/>
      <w:marBottom w:val="0"/>
      <w:divBdr>
        <w:top w:val="none" w:sz="0" w:space="0" w:color="auto"/>
        <w:left w:val="none" w:sz="0" w:space="0" w:color="auto"/>
        <w:bottom w:val="none" w:sz="0" w:space="0" w:color="auto"/>
        <w:right w:val="none" w:sz="0" w:space="0" w:color="auto"/>
      </w:divBdr>
    </w:div>
    <w:div w:id="1219585165">
      <w:bodyDiv w:val="1"/>
      <w:marLeft w:val="0"/>
      <w:marRight w:val="0"/>
      <w:marTop w:val="0"/>
      <w:marBottom w:val="0"/>
      <w:divBdr>
        <w:top w:val="none" w:sz="0" w:space="0" w:color="auto"/>
        <w:left w:val="none" w:sz="0" w:space="0" w:color="auto"/>
        <w:bottom w:val="none" w:sz="0" w:space="0" w:color="auto"/>
        <w:right w:val="none" w:sz="0" w:space="0" w:color="auto"/>
      </w:divBdr>
      <w:divsChild>
        <w:div w:id="925266470">
          <w:marLeft w:val="0"/>
          <w:marRight w:val="0"/>
          <w:marTop w:val="0"/>
          <w:marBottom w:val="0"/>
          <w:divBdr>
            <w:top w:val="none" w:sz="0" w:space="0" w:color="auto"/>
            <w:left w:val="none" w:sz="0" w:space="0" w:color="auto"/>
            <w:bottom w:val="none" w:sz="0" w:space="0" w:color="auto"/>
            <w:right w:val="none" w:sz="0" w:space="0" w:color="auto"/>
          </w:divBdr>
          <w:divsChild>
            <w:div w:id="1631091061">
              <w:marLeft w:val="0"/>
              <w:marRight w:val="0"/>
              <w:marTop w:val="0"/>
              <w:marBottom w:val="0"/>
              <w:divBdr>
                <w:top w:val="none" w:sz="0" w:space="0" w:color="auto"/>
                <w:left w:val="none" w:sz="0" w:space="0" w:color="auto"/>
                <w:bottom w:val="none" w:sz="0" w:space="0" w:color="auto"/>
                <w:right w:val="none" w:sz="0" w:space="0" w:color="auto"/>
              </w:divBdr>
              <w:divsChild>
                <w:div w:id="13574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0478">
      <w:bodyDiv w:val="1"/>
      <w:marLeft w:val="0"/>
      <w:marRight w:val="0"/>
      <w:marTop w:val="0"/>
      <w:marBottom w:val="0"/>
      <w:divBdr>
        <w:top w:val="none" w:sz="0" w:space="0" w:color="auto"/>
        <w:left w:val="none" w:sz="0" w:space="0" w:color="auto"/>
        <w:bottom w:val="none" w:sz="0" w:space="0" w:color="auto"/>
        <w:right w:val="none" w:sz="0" w:space="0" w:color="auto"/>
      </w:divBdr>
    </w:div>
    <w:div w:id="1230723715">
      <w:bodyDiv w:val="1"/>
      <w:marLeft w:val="0"/>
      <w:marRight w:val="0"/>
      <w:marTop w:val="0"/>
      <w:marBottom w:val="0"/>
      <w:divBdr>
        <w:top w:val="none" w:sz="0" w:space="0" w:color="auto"/>
        <w:left w:val="none" w:sz="0" w:space="0" w:color="auto"/>
        <w:bottom w:val="none" w:sz="0" w:space="0" w:color="auto"/>
        <w:right w:val="none" w:sz="0" w:space="0" w:color="auto"/>
      </w:divBdr>
    </w:div>
    <w:div w:id="1241061013">
      <w:bodyDiv w:val="1"/>
      <w:marLeft w:val="0"/>
      <w:marRight w:val="0"/>
      <w:marTop w:val="0"/>
      <w:marBottom w:val="0"/>
      <w:divBdr>
        <w:top w:val="none" w:sz="0" w:space="0" w:color="auto"/>
        <w:left w:val="none" w:sz="0" w:space="0" w:color="auto"/>
        <w:bottom w:val="none" w:sz="0" w:space="0" w:color="auto"/>
        <w:right w:val="none" w:sz="0" w:space="0" w:color="auto"/>
      </w:divBdr>
      <w:divsChild>
        <w:div w:id="137186368">
          <w:marLeft w:val="0"/>
          <w:marRight w:val="0"/>
          <w:marTop w:val="0"/>
          <w:marBottom w:val="0"/>
          <w:divBdr>
            <w:top w:val="none" w:sz="0" w:space="0" w:color="auto"/>
            <w:left w:val="none" w:sz="0" w:space="0" w:color="auto"/>
            <w:bottom w:val="none" w:sz="0" w:space="0" w:color="auto"/>
            <w:right w:val="none" w:sz="0" w:space="0" w:color="auto"/>
          </w:divBdr>
          <w:divsChild>
            <w:div w:id="276916932">
              <w:marLeft w:val="0"/>
              <w:marRight w:val="0"/>
              <w:marTop w:val="0"/>
              <w:marBottom w:val="0"/>
              <w:divBdr>
                <w:top w:val="none" w:sz="0" w:space="0" w:color="auto"/>
                <w:left w:val="none" w:sz="0" w:space="0" w:color="auto"/>
                <w:bottom w:val="none" w:sz="0" w:space="0" w:color="auto"/>
                <w:right w:val="none" w:sz="0" w:space="0" w:color="auto"/>
              </w:divBdr>
              <w:divsChild>
                <w:div w:id="16108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255">
      <w:bodyDiv w:val="1"/>
      <w:marLeft w:val="0"/>
      <w:marRight w:val="0"/>
      <w:marTop w:val="0"/>
      <w:marBottom w:val="0"/>
      <w:divBdr>
        <w:top w:val="none" w:sz="0" w:space="0" w:color="auto"/>
        <w:left w:val="none" w:sz="0" w:space="0" w:color="auto"/>
        <w:bottom w:val="none" w:sz="0" w:space="0" w:color="auto"/>
        <w:right w:val="none" w:sz="0" w:space="0" w:color="auto"/>
      </w:divBdr>
      <w:divsChild>
        <w:div w:id="293341330">
          <w:marLeft w:val="0"/>
          <w:marRight w:val="0"/>
          <w:marTop w:val="0"/>
          <w:marBottom w:val="0"/>
          <w:divBdr>
            <w:top w:val="none" w:sz="0" w:space="0" w:color="auto"/>
            <w:left w:val="none" w:sz="0" w:space="0" w:color="auto"/>
            <w:bottom w:val="none" w:sz="0" w:space="0" w:color="auto"/>
            <w:right w:val="none" w:sz="0" w:space="0" w:color="auto"/>
          </w:divBdr>
          <w:divsChild>
            <w:div w:id="976834409">
              <w:marLeft w:val="0"/>
              <w:marRight w:val="0"/>
              <w:marTop w:val="0"/>
              <w:marBottom w:val="0"/>
              <w:divBdr>
                <w:top w:val="none" w:sz="0" w:space="0" w:color="auto"/>
                <w:left w:val="none" w:sz="0" w:space="0" w:color="auto"/>
                <w:bottom w:val="none" w:sz="0" w:space="0" w:color="auto"/>
                <w:right w:val="none" w:sz="0" w:space="0" w:color="auto"/>
              </w:divBdr>
              <w:divsChild>
                <w:div w:id="1049300330">
                  <w:marLeft w:val="0"/>
                  <w:marRight w:val="0"/>
                  <w:marTop w:val="0"/>
                  <w:marBottom w:val="0"/>
                  <w:divBdr>
                    <w:top w:val="none" w:sz="0" w:space="0" w:color="auto"/>
                    <w:left w:val="none" w:sz="0" w:space="0" w:color="auto"/>
                    <w:bottom w:val="none" w:sz="0" w:space="0" w:color="auto"/>
                    <w:right w:val="none" w:sz="0" w:space="0" w:color="auto"/>
                  </w:divBdr>
                  <w:divsChild>
                    <w:div w:id="17245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2115">
      <w:bodyDiv w:val="1"/>
      <w:marLeft w:val="0"/>
      <w:marRight w:val="0"/>
      <w:marTop w:val="0"/>
      <w:marBottom w:val="0"/>
      <w:divBdr>
        <w:top w:val="none" w:sz="0" w:space="0" w:color="auto"/>
        <w:left w:val="none" w:sz="0" w:space="0" w:color="auto"/>
        <w:bottom w:val="none" w:sz="0" w:space="0" w:color="auto"/>
        <w:right w:val="none" w:sz="0" w:space="0" w:color="auto"/>
      </w:divBdr>
      <w:divsChild>
        <w:div w:id="372538011">
          <w:marLeft w:val="0"/>
          <w:marRight w:val="0"/>
          <w:marTop w:val="0"/>
          <w:marBottom w:val="0"/>
          <w:divBdr>
            <w:top w:val="none" w:sz="0" w:space="0" w:color="auto"/>
            <w:left w:val="none" w:sz="0" w:space="0" w:color="auto"/>
            <w:bottom w:val="none" w:sz="0" w:space="0" w:color="auto"/>
            <w:right w:val="none" w:sz="0" w:space="0" w:color="auto"/>
          </w:divBdr>
          <w:divsChild>
            <w:div w:id="305013336">
              <w:marLeft w:val="0"/>
              <w:marRight w:val="0"/>
              <w:marTop w:val="0"/>
              <w:marBottom w:val="0"/>
              <w:divBdr>
                <w:top w:val="none" w:sz="0" w:space="0" w:color="auto"/>
                <w:left w:val="none" w:sz="0" w:space="0" w:color="auto"/>
                <w:bottom w:val="none" w:sz="0" w:space="0" w:color="auto"/>
                <w:right w:val="none" w:sz="0" w:space="0" w:color="auto"/>
              </w:divBdr>
              <w:divsChild>
                <w:div w:id="9327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0396">
      <w:bodyDiv w:val="1"/>
      <w:marLeft w:val="0"/>
      <w:marRight w:val="0"/>
      <w:marTop w:val="0"/>
      <w:marBottom w:val="0"/>
      <w:divBdr>
        <w:top w:val="none" w:sz="0" w:space="0" w:color="auto"/>
        <w:left w:val="none" w:sz="0" w:space="0" w:color="auto"/>
        <w:bottom w:val="none" w:sz="0" w:space="0" w:color="auto"/>
        <w:right w:val="none" w:sz="0" w:space="0" w:color="auto"/>
      </w:divBdr>
      <w:divsChild>
        <w:div w:id="349962702">
          <w:marLeft w:val="0"/>
          <w:marRight w:val="0"/>
          <w:marTop w:val="0"/>
          <w:marBottom w:val="0"/>
          <w:divBdr>
            <w:top w:val="none" w:sz="0" w:space="0" w:color="auto"/>
            <w:left w:val="none" w:sz="0" w:space="0" w:color="auto"/>
            <w:bottom w:val="none" w:sz="0" w:space="0" w:color="auto"/>
            <w:right w:val="none" w:sz="0" w:space="0" w:color="auto"/>
          </w:divBdr>
          <w:divsChild>
            <w:div w:id="590503119">
              <w:marLeft w:val="0"/>
              <w:marRight w:val="0"/>
              <w:marTop w:val="0"/>
              <w:marBottom w:val="0"/>
              <w:divBdr>
                <w:top w:val="none" w:sz="0" w:space="0" w:color="auto"/>
                <w:left w:val="none" w:sz="0" w:space="0" w:color="auto"/>
                <w:bottom w:val="none" w:sz="0" w:space="0" w:color="auto"/>
                <w:right w:val="none" w:sz="0" w:space="0" w:color="auto"/>
              </w:divBdr>
              <w:divsChild>
                <w:div w:id="6544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8095">
      <w:bodyDiv w:val="1"/>
      <w:marLeft w:val="0"/>
      <w:marRight w:val="0"/>
      <w:marTop w:val="0"/>
      <w:marBottom w:val="0"/>
      <w:divBdr>
        <w:top w:val="none" w:sz="0" w:space="0" w:color="auto"/>
        <w:left w:val="none" w:sz="0" w:space="0" w:color="auto"/>
        <w:bottom w:val="none" w:sz="0" w:space="0" w:color="auto"/>
        <w:right w:val="none" w:sz="0" w:space="0" w:color="auto"/>
      </w:divBdr>
      <w:divsChild>
        <w:div w:id="340084062">
          <w:marLeft w:val="0"/>
          <w:marRight w:val="0"/>
          <w:marTop w:val="0"/>
          <w:marBottom w:val="0"/>
          <w:divBdr>
            <w:top w:val="none" w:sz="0" w:space="0" w:color="auto"/>
            <w:left w:val="none" w:sz="0" w:space="0" w:color="auto"/>
            <w:bottom w:val="none" w:sz="0" w:space="0" w:color="auto"/>
            <w:right w:val="none" w:sz="0" w:space="0" w:color="auto"/>
          </w:divBdr>
          <w:divsChild>
            <w:div w:id="1333335325">
              <w:marLeft w:val="0"/>
              <w:marRight w:val="0"/>
              <w:marTop w:val="0"/>
              <w:marBottom w:val="0"/>
              <w:divBdr>
                <w:top w:val="none" w:sz="0" w:space="0" w:color="auto"/>
                <w:left w:val="none" w:sz="0" w:space="0" w:color="auto"/>
                <w:bottom w:val="none" w:sz="0" w:space="0" w:color="auto"/>
                <w:right w:val="none" w:sz="0" w:space="0" w:color="auto"/>
              </w:divBdr>
              <w:divsChild>
                <w:div w:id="1753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2410">
      <w:bodyDiv w:val="1"/>
      <w:marLeft w:val="0"/>
      <w:marRight w:val="0"/>
      <w:marTop w:val="0"/>
      <w:marBottom w:val="0"/>
      <w:divBdr>
        <w:top w:val="none" w:sz="0" w:space="0" w:color="auto"/>
        <w:left w:val="none" w:sz="0" w:space="0" w:color="auto"/>
        <w:bottom w:val="none" w:sz="0" w:space="0" w:color="auto"/>
        <w:right w:val="none" w:sz="0" w:space="0" w:color="auto"/>
      </w:divBdr>
    </w:div>
    <w:div w:id="1383485218">
      <w:bodyDiv w:val="1"/>
      <w:marLeft w:val="0"/>
      <w:marRight w:val="0"/>
      <w:marTop w:val="0"/>
      <w:marBottom w:val="0"/>
      <w:divBdr>
        <w:top w:val="none" w:sz="0" w:space="0" w:color="auto"/>
        <w:left w:val="none" w:sz="0" w:space="0" w:color="auto"/>
        <w:bottom w:val="none" w:sz="0" w:space="0" w:color="auto"/>
        <w:right w:val="none" w:sz="0" w:space="0" w:color="auto"/>
      </w:divBdr>
    </w:div>
    <w:div w:id="1394352412">
      <w:bodyDiv w:val="1"/>
      <w:marLeft w:val="0"/>
      <w:marRight w:val="0"/>
      <w:marTop w:val="0"/>
      <w:marBottom w:val="0"/>
      <w:divBdr>
        <w:top w:val="none" w:sz="0" w:space="0" w:color="auto"/>
        <w:left w:val="none" w:sz="0" w:space="0" w:color="auto"/>
        <w:bottom w:val="none" w:sz="0" w:space="0" w:color="auto"/>
        <w:right w:val="none" w:sz="0" w:space="0" w:color="auto"/>
      </w:divBdr>
      <w:divsChild>
        <w:div w:id="747727633">
          <w:marLeft w:val="0"/>
          <w:marRight w:val="0"/>
          <w:marTop w:val="0"/>
          <w:marBottom w:val="0"/>
          <w:divBdr>
            <w:top w:val="none" w:sz="0" w:space="0" w:color="auto"/>
            <w:left w:val="none" w:sz="0" w:space="0" w:color="auto"/>
            <w:bottom w:val="none" w:sz="0" w:space="0" w:color="auto"/>
            <w:right w:val="none" w:sz="0" w:space="0" w:color="auto"/>
          </w:divBdr>
        </w:div>
        <w:div w:id="91126499">
          <w:marLeft w:val="0"/>
          <w:marRight w:val="0"/>
          <w:marTop w:val="0"/>
          <w:marBottom w:val="0"/>
          <w:divBdr>
            <w:top w:val="none" w:sz="0" w:space="0" w:color="auto"/>
            <w:left w:val="none" w:sz="0" w:space="0" w:color="auto"/>
            <w:bottom w:val="none" w:sz="0" w:space="0" w:color="auto"/>
            <w:right w:val="none" w:sz="0" w:space="0" w:color="auto"/>
          </w:divBdr>
        </w:div>
        <w:div w:id="2140537888">
          <w:marLeft w:val="0"/>
          <w:marRight w:val="0"/>
          <w:marTop w:val="0"/>
          <w:marBottom w:val="0"/>
          <w:divBdr>
            <w:top w:val="none" w:sz="0" w:space="0" w:color="auto"/>
            <w:left w:val="none" w:sz="0" w:space="0" w:color="auto"/>
            <w:bottom w:val="none" w:sz="0" w:space="0" w:color="auto"/>
            <w:right w:val="none" w:sz="0" w:space="0" w:color="auto"/>
          </w:divBdr>
        </w:div>
      </w:divsChild>
    </w:div>
    <w:div w:id="1394894053">
      <w:bodyDiv w:val="1"/>
      <w:marLeft w:val="0"/>
      <w:marRight w:val="0"/>
      <w:marTop w:val="0"/>
      <w:marBottom w:val="0"/>
      <w:divBdr>
        <w:top w:val="none" w:sz="0" w:space="0" w:color="auto"/>
        <w:left w:val="none" w:sz="0" w:space="0" w:color="auto"/>
        <w:bottom w:val="none" w:sz="0" w:space="0" w:color="auto"/>
        <w:right w:val="none" w:sz="0" w:space="0" w:color="auto"/>
      </w:divBdr>
    </w:div>
    <w:div w:id="141138513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sChild>
        <w:div w:id="1352997308">
          <w:marLeft w:val="0"/>
          <w:marRight w:val="0"/>
          <w:marTop w:val="0"/>
          <w:marBottom w:val="0"/>
          <w:divBdr>
            <w:top w:val="none" w:sz="0" w:space="0" w:color="auto"/>
            <w:left w:val="none" w:sz="0" w:space="0" w:color="auto"/>
            <w:bottom w:val="none" w:sz="0" w:space="0" w:color="auto"/>
            <w:right w:val="none" w:sz="0" w:space="0" w:color="auto"/>
          </w:divBdr>
          <w:divsChild>
            <w:div w:id="858667618">
              <w:marLeft w:val="0"/>
              <w:marRight w:val="0"/>
              <w:marTop w:val="0"/>
              <w:marBottom w:val="0"/>
              <w:divBdr>
                <w:top w:val="none" w:sz="0" w:space="0" w:color="auto"/>
                <w:left w:val="none" w:sz="0" w:space="0" w:color="auto"/>
                <w:bottom w:val="none" w:sz="0" w:space="0" w:color="auto"/>
                <w:right w:val="none" w:sz="0" w:space="0" w:color="auto"/>
              </w:divBdr>
              <w:divsChild>
                <w:div w:id="1679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1250">
      <w:bodyDiv w:val="1"/>
      <w:marLeft w:val="0"/>
      <w:marRight w:val="0"/>
      <w:marTop w:val="0"/>
      <w:marBottom w:val="0"/>
      <w:divBdr>
        <w:top w:val="none" w:sz="0" w:space="0" w:color="auto"/>
        <w:left w:val="none" w:sz="0" w:space="0" w:color="auto"/>
        <w:bottom w:val="none" w:sz="0" w:space="0" w:color="auto"/>
        <w:right w:val="none" w:sz="0" w:space="0" w:color="auto"/>
      </w:divBdr>
    </w:div>
    <w:div w:id="1470199652">
      <w:bodyDiv w:val="1"/>
      <w:marLeft w:val="0"/>
      <w:marRight w:val="0"/>
      <w:marTop w:val="0"/>
      <w:marBottom w:val="0"/>
      <w:divBdr>
        <w:top w:val="none" w:sz="0" w:space="0" w:color="auto"/>
        <w:left w:val="none" w:sz="0" w:space="0" w:color="auto"/>
        <w:bottom w:val="none" w:sz="0" w:space="0" w:color="auto"/>
        <w:right w:val="none" w:sz="0" w:space="0" w:color="auto"/>
      </w:divBdr>
      <w:divsChild>
        <w:div w:id="1135365558">
          <w:marLeft w:val="0"/>
          <w:marRight w:val="0"/>
          <w:marTop w:val="0"/>
          <w:marBottom w:val="0"/>
          <w:divBdr>
            <w:top w:val="none" w:sz="0" w:space="0" w:color="auto"/>
            <w:left w:val="none" w:sz="0" w:space="0" w:color="auto"/>
            <w:bottom w:val="none" w:sz="0" w:space="0" w:color="auto"/>
            <w:right w:val="none" w:sz="0" w:space="0" w:color="auto"/>
          </w:divBdr>
          <w:divsChild>
            <w:div w:id="819004985">
              <w:marLeft w:val="0"/>
              <w:marRight w:val="0"/>
              <w:marTop w:val="0"/>
              <w:marBottom w:val="0"/>
              <w:divBdr>
                <w:top w:val="none" w:sz="0" w:space="0" w:color="auto"/>
                <w:left w:val="none" w:sz="0" w:space="0" w:color="auto"/>
                <w:bottom w:val="none" w:sz="0" w:space="0" w:color="auto"/>
                <w:right w:val="none" w:sz="0" w:space="0" w:color="auto"/>
              </w:divBdr>
              <w:divsChild>
                <w:div w:id="13008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39">
      <w:bodyDiv w:val="1"/>
      <w:marLeft w:val="0"/>
      <w:marRight w:val="0"/>
      <w:marTop w:val="0"/>
      <w:marBottom w:val="0"/>
      <w:divBdr>
        <w:top w:val="none" w:sz="0" w:space="0" w:color="auto"/>
        <w:left w:val="none" w:sz="0" w:space="0" w:color="auto"/>
        <w:bottom w:val="none" w:sz="0" w:space="0" w:color="auto"/>
        <w:right w:val="none" w:sz="0" w:space="0" w:color="auto"/>
      </w:divBdr>
    </w:div>
    <w:div w:id="1600017689">
      <w:bodyDiv w:val="1"/>
      <w:marLeft w:val="0"/>
      <w:marRight w:val="0"/>
      <w:marTop w:val="0"/>
      <w:marBottom w:val="0"/>
      <w:divBdr>
        <w:top w:val="none" w:sz="0" w:space="0" w:color="auto"/>
        <w:left w:val="none" w:sz="0" w:space="0" w:color="auto"/>
        <w:bottom w:val="none" w:sz="0" w:space="0" w:color="auto"/>
        <w:right w:val="none" w:sz="0" w:space="0" w:color="auto"/>
      </w:divBdr>
      <w:divsChild>
        <w:div w:id="555897854">
          <w:marLeft w:val="0"/>
          <w:marRight w:val="0"/>
          <w:marTop w:val="0"/>
          <w:marBottom w:val="0"/>
          <w:divBdr>
            <w:top w:val="none" w:sz="0" w:space="0" w:color="auto"/>
            <w:left w:val="none" w:sz="0" w:space="0" w:color="auto"/>
            <w:bottom w:val="none" w:sz="0" w:space="0" w:color="auto"/>
            <w:right w:val="none" w:sz="0" w:space="0" w:color="auto"/>
          </w:divBdr>
          <w:divsChild>
            <w:div w:id="477653494">
              <w:marLeft w:val="0"/>
              <w:marRight w:val="0"/>
              <w:marTop w:val="0"/>
              <w:marBottom w:val="0"/>
              <w:divBdr>
                <w:top w:val="none" w:sz="0" w:space="0" w:color="auto"/>
                <w:left w:val="none" w:sz="0" w:space="0" w:color="auto"/>
                <w:bottom w:val="none" w:sz="0" w:space="0" w:color="auto"/>
                <w:right w:val="none" w:sz="0" w:space="0" w:color="auto"/>
              </w:divBdr>
              <w:divsChild>
                <w:div w:id="21135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125">
      <w:bodyDiv w:val="1"/>
      <w:marLeft w:val="0"/>
      <w:marRight w:val="0"/>
      <w:marTop w:val="0"/>
      <w:marBottom w:val="0"/>
      <w:divBdr>
        <w:top w:val="none" w:sz="0" w:space="0" w:color="auto"/>
        <w:left w:val="none" w:sz="0" w:space="0" w:color="auto"/>
        <w:bottom w:val="none" w:sz="0" w:space="0" w:color="auto"/>
        <w:right w:val="none" w:sz="0" w:space="0" w:color="auto"/>
      </w:divBdr>
      <w:divsChild>
        <w:div w:id="968708855">
          <w:marLeft w:val="0"/>
          <w:marRight w:val="0"/>
          <w:marTop w:val="0"/>
          <w:marBottom w:val="0"/>
          <w:divBdr>
            <w:top w:val="none" w:sz="0" w:space="0" w:color="auto"/>
            <w:left w:val="none" w:sz="0" w:space="0" w:color="auto"/>
            <w:bottom w:val="none" w:sz="0" w:space="0" w:color="auto"/>
            <w:right w:val="none" w:sz="0" w:space="0" w:color="auto"/>
          </w:divBdr>
          <w:divsChild>
            <w:div w:id="1080565390">
              <w:marLeft w:val="0"/>
              <w:marRight w:val="0"/>
              <w:marTop w:val="0"/>
              <w:marBottom w:val="0"/>
              <w:divBdr>
                <w:top w:val="none" w:sz="0" w:space="0" w:color="auto"/>
                <w:left w:val="none" w:sz="0" w:space="0" w:color="auto"/>
                <w:bottom w:val="none" w:sz="0" w:space="0" w:color="auto"/>
                <w:right w:val="none" w:sz="0" w:space="0" w:color="auto"/>
              </w:divBdr>
              <w:divsChild>
                <w:div w:id="8823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690">
      <w:bodyDiv w:val="1"/>
      <w:marLeft w:val="0"/>
      <w:marRight w:val="0"/>
      <w:marTop w:val="0"/>
      <w:marBottom w:val="0"/>
      <w:divBdr>
        <w:top w:val="none" w:sz="0" w:space="0" w:color="auto"/>
        <w:left w:val="none" w:sz="0" w:space="0" w:color="auto"/>
        <w:bottom w:val="none" w:sz="0" w:space="0" w:color="auto"/>
        <w:right w:val="none" w:sz="0" w:space="0" w:color="auto"/>
      </w:divBdr>
    </w:div>
    <w:div w:id="1652783195">
      <w:bodyDiv w:val="1"/>
      <w:marLeft w:val="0"/>
      <w:marRight w:val="0"/>
      <w:marTop w:val="0"/>
      <w:marBottom w:val="0"/>
      <w:divBdr>
        <w:top w:val="none" w:sz="0" w:space="0" w:color="auto"/>
        <w:left w:val="none" w:sz="0" w:space="0" w:color="auto"/>
        <w:bottom w:val="none" w:sz="0" w:space="0" w:color="auto"/>
        <w:right w:val="none" w:sz="0" w:space="0" w:color="auto"/>
      </w:divBdr>
      <w:divsChild>
        <w:div w:id="1307776948">
          <w:marLeft w:val="0"/>
          <w:marRight w:val="0"/>
          <w:marTop w:val="0"/>
          <w:marBottom w:val="0"/>
          <w:divBdr>
            <w:top w:val="none" w:sz="0" w:space="0" w:color="auto"/>
            <w:left w:val="none" w:sz="0" w:space="0" w:color="auto"/>
            <w:bottom w:val="none" w:sz="0" w:space="0" w:color="auto"/>
            <w:right w:val="none" w:sz="0" w:space="0" w:color="auto"/>
          </w:divBdr>
          <w:divsChild>
            <w:div w:id="1453941602">
              <w:marLeft w:val="0"/>
              <w:marRight w:val="0"/>
              <w:marTop w:val="0"/>
              <w:marBottom w:val="0"/>
              <w:divBdr>
                <w:top w:val="none" w:sz="0" w:space="0" w:color="auto"/>
                <w:left w:val="none" w:sz="0" w:space="0" w:color="auto"/>
                <w:bottom w:val="none" w:sz="0" w:space="0" w:color="auto"/>
                <w:right w:val="none" w:sz="0" w:space="0" w:color="auto"/>
              </w:divBdr>
              <w:divsChild>
                <w:div w:id="1677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2309">
      <w:bodyDiv w:val="1"/>
      <w:marLeft w:val="0"/>
      <w:marRight w:val="0"/>
      <w:marTop w:val="0"/>
      <w:marBottom w:val="0"/>
      <w:divBdr>
        <w:top w:val="none" w:sz="0" w:space="0" w:color="auto"/>
        <w:left w:val="none" w:sz="0" w:space="0" w:color="auto"/>
        <w:bottom w:val="none" w:sz="0" w:space="0" w:color="auto"/>
        <w:right w:val="none" w:sz="0" w:space="0" w:color="auto"/>
      </w:divBdr>
    </w:div>
    <w:div w:id="1808428568">
      <w:bodyDiv w:val="1"/>
      <w:marLeft w:val="0"/>
      <w:marRight w:val="0"/>
      <w:marTop w:val="0"/>
      <w:marBottom w:val="0"/>
      <w:divBdr>
        <w:top w:val="none" w:sz="0" w:space="0" w:color="auto"/>
        <w:left w:val="none" w:sz="0" w:space="0" w:color="auto"/>
        <w:bottom w:val="none" w:sz="0" w:space="0" w:color="auto"/>
        <w:right w:val="none" w:sz="0" w:space="0" w:color="auto"/>
      </w:divBdr>
    </w:div>
    <w:div w:id="1811746163">
      <w:bodyDiv w:val="1"/>
      <w:marLeft w:val="0"/>
      <w:marRight w:val="0"/>
      <w:marTop w:val="0"/>
      <w:marBottom w:val="0"/>
      <w:divBdr>
        <w:top w:val="none" w:sz="0" w:space="0" w:color="auto"/>
        <w:left w:val="none" w:sz="0" w:space="0" w:color="auto"/>
        <w:bottom w:val="none" w:sz="0" w:space="0" w:color="auto"/>
        <w:right w:val="none" w:sz="0" w:space="0" w:color="auto"/>
      </w:divBdr>
    </w:div>
    <w:div w:id="1829856178">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1">
          <w:marLeft w:val="0"/>
          <w:marRight w:val="0"/>
          <w:marTop w:val="0"/>
          <w:marBottom w:val="0"/>
          <w:divBdr>
            <w:top w:val="none" w:sz="0" w:space="0" w:color="auto"/>
            <w:left w:val="none" w:sz="0" w:space="0" w:color="auto"/>
            <w:bottom w:val="none" w:sz="0" w:space="0" w:color="auto"/>
            <w:right w:val="none" w:sz="0" w:space="0" w:color="auto"/>
          </w:divBdr>
          <w:divsChild>
            <w:div w:id="1387873417">
              <w:marLeft w:val="0"/>
              <w:marRight w:val="0"/>
              <w:marTop w:val="0"/>
              <w:marBottom w:val="0"/>
              <w:divBdr>
                <w:top w:val="none" w:sz="0" w:space="0" w:color="auto"/>
                <w:left w:val="none" w:sz="0" w:space="0" w:color="auto"/>
                <w:bottom w:val="none" w:sz="0" w:space="0" w:color="auto"/>
                <w:right w:val="none" w:sz="0" w:space="0" w:color="auto"/>
              </w:divBdr>
              <w:divsChild>
                <w:div w:id="887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4452">
      <w:bodyDiv w:val="1"/>
      <w:marLeft w:val="0"/>
      <w:marRight w:val="0"/>
      <w:marTop w:val="0"/>
      <w:marBottom w:val="0"/>
      <w:divBdr>
        <w:top w:val="none" w:sz="0" w:space="0" w:color="auto"/>
        <w:left w:val="none" w:sz="0" w:space="0" w:color="auto"/>
        <w:bottom w:val="none" w:sz="0" w:space="0" w:color="auto"/>
        <w:right w:val="none" w:sz="0" w:space="0" w:color="auto"/>
      </w:divBdr>
    </w:div>
    <w:div w:id="1839540761">
      <w:bodyDiv w:val="1"/>
      <w:marLeft w:val="0"/>
      <w:marRight w:val="0"/>
      <w:marTop w:val="0"/>
      <w:marBottom w:val="0"/>
      <w:divBdr>
        <w:top w:val="none" w:sz="0" w:space="0" w:color="auto"/>
        <w:left w:val="none" w:sz="0" w:space="0" w:color="auto"/>
        <w:bottom w:val="none" w:sz="0" w:space="0" w:color="auto"/>
        <w:right w:val="none" w:sz="0" w:space="0" w:color="auto"/>
      </w:divBdr>
      <w:divsChild>
        <w:div w:id="1460102861">
          <w:marLeft w:val="0"/>
          <w:marRight w:val="0"/>
          <w:marTop w:val="0"/>
          <w:marBottom w:val="0"/>
          <w:divBdr>
            <w:top w:val="none" w:sz="0" w:space="0" w:color="auto"/>
            <w:left w:val="none" w:sz="0" w:space="0" w:color="auto"/>
            <w:bottom w:val="none" w:sz="0" w:space="0" w:color="auto"/>
            <w:right w:val="none" w:sz="0" w:space="0" w:color="auto"/>
          </w:divBdr>
          <w:divsChild>
            <w:div w:id="1320767819">
              <w:marLeft w:val="0"/>
              <w:marRight w:val="0"/>
              <w:marTop w:val="0"/>
              <w:marBottom w:val="0"/>
              <w:divBdr>
                <w:top w:val="none" w:sz="0" w:space="0" w:color="auto"/>
                <w:left w:val="none" w:sz="0" w:space="0" w:color="auto"/>
                <w:bottom w:val="none" w:sz="0" w:space="0" w:color="auto"/>
                <w:right w:val="none" w:sz="0" w:space="0" w:color="auto"/>
              </w:divBdr>
              <w:divsChild>
                <w:div w:id="6941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880">
      <w:bodyDiv w:val="1"/>
      <w:marLeft w:val="0"/>
      <w:marRight w:val="0"/>
      <w:marTop w:val="0"/>
      <w:marBottom w:val="0"/>
      <w:divBdr>
        <w:top w:val="none" w:sz="0" w:space="0" w:color="auto"/>
        <w:left w:val="none" w:sz="0" w:space="0" w:color="auto"/>
        <w:bottom w:val="none" w:sz="0" w:space="0" w:color="auto"/>
        <w:right w:val="none" w:sz="0" w:space="0" w:color="auto"/>
      </w:divBdr>
    </w:div>
    <w:div w:id="1847550892">
      <w:bodyDiv w:val="1"/>
      <w:marLeft w:val="0"/>
      <w:marRight w:val="0"/>
      <w:marTop w:val="0"/>
      <w:marBottom w:val="0"/>
      <w:divBdr>
        <w:top w:val="none" w:sz="0" w:space="0" w:color="auto"/>
        <w:left w:val="none" w:sz="0" w:space="0" w:color="auto"/>
        <w:bottom w:val="none" w:sz="0" w:space="0" w:color="auto"/>
        <w:right w:val="none" w:sz="0" w:space="0" w:color="auto"/>
      </w:divBdr>
    </w:div>
    <w:div w:id="1849559513">
      <w:bodyDiv w:val="1"/>
      <w:marLeft w:val="0"/>
      <w:marRight w:val="0"/>
      <w:marTop w:val="0"/>
      <w:marBottom w:val="0"/>
      <w:divBdr>
        <w:top w:val="none" w:sz="0" w:space="0" w:color="auto"/>
        <w:left w:val="none" w:sz="0" w:space="0" w:color="auto"/>
        <w:bottom w:val="none" w:sz="0" w:space="0" w:color="auto"/>
        <w:right w:val="none" w:sz="0" w:space="0" w:color="auto"/>
      </w:divBdr>
    </w:div>
    <w:div w:id="1860847608">
      <w:bodyDiv w:val="1"/>
      <w:marLeft w:val="0"/>
      <w:marRight w:val="0"/>
      <w:marTop w:val="0"/>
      <w:marBottom w:val="0"/>
      <w:divBdr>
        <w:top w:val="none" w:sz="0" w:space="0" w:color="auto"/>
        <w:left w:val="none" w:sz="0" w:space="0" w:color="auto"/>
        <w:bottom w:val="none" w:sz="0" w:space="0" w:color="auto"/>
        <w:right w:val="none" w:sz="0" w:space="0" w:color="auto"/>
      </w:divBdr>
    </w:div>
    <w:div w:id="1880165093">
      <w:bodyDiv w:val="1"/>
      <w:marLeft w:val="0"/>
      <w:marRight w:val="0"/>
      <w:marTop w:val="0"/>
      <w:marBottom w:val="0"/>
      <w:divBdr>
        <w:top w:val="none" w:sz="0" w:space="0" w:color="auto"/>
        <w:left w:val="none" w:sz="0" w:space="0" w:color="auto"/>
        <w:bottom w:val="none" w:sz="0" w:space="0" w:color="auto"/>
        <w:right w:val="none" w:sz="0" w:space="0" w:color="auto"/>
      </w:divBdr>
    </w:div>
    <w:div w:id="1893927447">
      <w:bodyDiv w:val="1"/>
      <w:marLeft w:val="0"/>
      <w:marRight w:val="0"/>
      <w:marTop w:val="0"/>
      <w:marBottom w:val="0"/>
      <w:divBdr>
        <w:top w:val="none" w:sz="0" w:space="0" w:color="auto"/>
        <w:left w:val="none" w:sz="0" w:space="0" w:color="auto"/>
        <w:bottom w:val="none" w:sz="0" w:space="0" w:color="auto"/>
        <w:right w:val="none" w:sz="0" w:space="0" w:color="auto"/>
      </w:divBdr>
    </w:div>
    <w:div w:id="1904488146">
      <w:bodyDiv w:val="1"/>
      <w:marLeft w:val="0"/>
      <w:marRight w:val="0"/>
      <w:marTop w:val="0"/>
      <w:marBottom w:val="0"/>
      <w:divBdr>
        <w:top w:val="none" w:sz="0" w:space="0" w:color="auto"/>
        <w:left w:val="none" w:sz="0" w:space="0" w:color="auto"/>
        <w:bottom w:val="none" w:sz="0" w:space="0" w:color="auto"/>
        <w:right w:val="none" w:sz="0" w:space="0" w:color="auto"/>
      </w:divBdr>
    </w:div>
    <w:div w:id="1928809936">
      <w:bodyDiv w:val="1"/>
      <w:marLeft w:val="0"/>
      <w:marRight w:val="0"/>
      <w:marTop w:val="0"/>
      <w:marBottom w:val="0"/>
      <w:divBdr>
        <w:top w:val="none" w:sz="0" w:space="0" w:color="auto"/>
        <w:left w:val="none" w:sz="0" w:space="0" w:color="auto"/>
        <w:bottom w:val="none" w:sz="0" w:space="0" w:color="auto"/>
        <w:right w:val="none" w:sz="0" w:space="0" w:color="auto"/>
      </w:divBdr>
    </w:div>
    <w:div w:id="1940215305">
      <w:bodyDiv w:val="1"/>
      <w:marLeft w:val="0"/>
      <w:marRight w:val="0"/>
      <w:marTop w:val="0"/>
      <w:marBottom w:val="0"/>
      <w:divBdr>
        <w:top w:val="none" w:sz="0" w:space="0" w:color="auto"/>
        <w:left w:val="none" w:sz="0" w:space="0" w:color="auto"/>
        <w:bottom w:val="none" w:sz="0" w:space="0" w:color="auto"/>
        <w:right w:val="none" w:sz="0" w:space="0" w:color="auto"/>
      </w:divBdr>
    </w:div>
    <w:div w:id="1995336233">
      <w:bodyDiv w:val="1"/>
      <w:marLeft w:val="0"/>
      <w:marRight w:val="0"/>
      <w:marTop w:val="0"/>
      <w:marBottom w:val="0"/>
      <w:divBdr>
        <w:top w:val="none" w:sz="0" w:space="0" w:color="auto"/>
        <w:left w:val="none" w:sz="0" w:space="0" w:color="auto"/>
        <w:bottom w:val="none" w:sz="0" w:space="0" w:color="auto"/>
        <w:right w:val="none" w:sz="0" w:space="0" w:color="auto"/>
      </w:divBdr>
    </w:div>
    <w:div w:id="2042901931">
      <w:bodyDiv w:val="1"/>
      <w:marLeft w:val="0"/>
      <w:marRight w:val="0"/>
      <w:marTop w:val="0"/>
      <w:marBottom w:val="0"/>
      <w:divBdr>
        <w:top w:val="none" w:sz="0" w:space="0" w:color="auto"/>
        <w:left w:val="none" w:sz="0" w:space="0" w:color="auto"/>
        <w:bottom w:val="none" w:sz="0" w:space="0" w:color="auto"/>
        <w:right w:val="none" w:sz="0" w:space="0" w:color="auto"/>
      </w:divBdr>
    </w:div>
    <w:div w:id="2051374369">
      <w:bodyDiv w:val="1"/>
      <w:marLeft w:val="0"/>
      <w:marRight w:val="0"/>
      <w:marTop w:val="0"/>
      <w:marBottom w:val="0"/>
      <w:divBdr>
        <w:top w:val="none" w:sz="0" w:space="0" w:color="auto"/>
        <w:left w:val="none" w:sz="0" w:space="0" w:color="auto"/>
        <w:bottom w:val="none" w:sz="0" w:space="0" w:color="auto"/>
        <w:right w:val="none" w:sz="0" w:space="0" w:color="auto"/>
      </w:divBdr>
      <w:divsChild>
        <w:div w:id="896671746">
          <w:marLeft w:val="0"/>
          <w:marRight w:val="0"/>
          <w:marTop w:val="0"/>
          <w:marBottom w:val="0"/>
          <w:divBdr>
            <w:top w:val="none" w:sz="0" w:space="0" w:color="auto"/>
            <w:left w:val="none" w:sz="0" w:space="0" w:color="auto"/>
            <w:bottom w:val="none" w:sz="0" w:space="0" w:color="auto"/>
            <w:right w:val="none" w:sz="0" w:space="0" w:color="auto"/>
          </w:divBdr>
          <w:divsChild>
            <w:div w:id="1150054566">
              <w:marLeft w:val="0"/>
              <w:marRight w:val="0"/>
              <w:marTop w:val="0"/>
              <w:marBottom w:val="0"/>
              <w:divBdr>
                <w:top w:val="none" w:sz="0" w:space="0" w:color="auto"/>
                <w:left w:val="none" w:sz="0" w:space="0" w:color="auto"/>
                <w:bottom w:val="none" w:sz="0" w:space="0" w:color="auto"/>
                <w:right w:val="none" w:sz="0" w:space="0" w:color="auto"/>
              </w:divBdr>
              <w:divsChild>
                <w:div w:id="97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3464">
      <w:bodyDiv w:val="1"/>
      <w:marLeft w:val="0"/>
      <w:marRight w:val="0"/>
      <w:marTop w:val="0"/>
      <w:marBottom w:val="0"/>
      <w:divBdr>
        <w:top w:val="none" w:sz="0" w:space="0" w:color="auto"/>
        <w:left w:val="none" w:sz="0" w:space="0" w:color="auto"/>
        <w:bottom w:val="none" w:sz="0" w:space="0" w:color="auto"/>
        <w:right w:val="none" w:sz="0" w:space="0" w:color="auto"/>
      </w:divBdr>
    </w:div>
    <w:div w:id="2068988389">
      <w:bodyDiv w:val="1"/>
      <w:marLeft w:val="0"/>
      <w:marRight w:val="0"/>
      <w:marTop w:val="0"/>
      <w:marBottom w:val="0"/>
      <w:divBdr>
        <w:top w:val="none" w:sz="0" w:space="0" w:color="auto"/>
        <w:left w:val="none" w:sz="0" w:space="0" w:color="auto"/>
        <w:bottom w:val="none" w:sz="0" w:space="0" w:color="auto"/>
        <w:right w:val="none" w:sz="0" w:space="0" w:color="auto"/>
      </w:divBdr>
    </w:div>
    <w:div w:id="2089036031">
      <w:bodyDiv w:val="1"/>
      <w:marLeft w:val="0"/>
      <w:marRight w:val="0"/>
      <w:marTop w:val="0"/>
      <w:marBottom w:val="0"/>
      <w:divBdr>
        <w:top w:val="none" w:sz="0" w:space="0" w:color="auto"/>
        <w:left w:val="none" w:sz="0" w:space="0" w:color="auto"/>
        <w:bottom w:val="none" w:sz="0" w:space="0" w:color="auto"/>
        <w:right w:val="none" w:sz="0" w:space="0" w:color="auto"/>
      </w:divBdr>
    </w:div>
    <w:div w:id="2127768476">
      <w:bodyDiv w:val="1"/>
      <w:marLeft w:val="0"/>
      <w:marRight w:val="0"/>
      <w:marTop w:val="0"/>
      <w:marBottom w:val="0"/>
      <w:divBdr>
        <w:top w:val="none" w:sz="0" w:space="0" w:color="auto"/>
        <w:left w:val="none" w:sz="0" w:space="0" w:color="auto"/>
        <w:bottom w:val="none" w:sz="0" w:space="0" w:color="auto"/>
        <w:right w:val="none" w:sz="0" w:space="0" w:color="auto"/>
      </w:divBdr>
    </w:div>
    <w:div w:id="21411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chart" Target="charts/chart1.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header" Target="header23.xml"/><Relationship Id="rId68" Type="http://schemas.openxmlformats.org/officeDocument/2006/relationships/footer" Target="footer2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45" Type="http://schemas.openxmlformats.org/officeDocument/2006/relationships/header" Target="header16.xml"/><Relationship Id="rId53" Type="http://schemas.openxmlformats.org/officeDocument/2006/relationships/footer" Target="footer21.xml"/><Relationship Id="rId58" Type="http://schemas.openxmlformats.org/officeDocument/2006/relationships/footer" Target="footer23.xml"/><Relationship Id="rId66"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chart" Target="charts/chart3.xml"/><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image" Target="media/image2.gif"/><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header" Target="header18.xml"/><Relationship Id="rId60" Type="http://schemas.openxmlformats.org/officeDocument/2006/relationships/footer" Target="footer24.xml"/><Relationship Id="rId65"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chart" Target="charts/chart2.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achr.org" TargetMode="Externa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14.xml"/><Relationship Id="rId54" Type="http://schemas.openxmlformats.org/officeDocument/2006/relationships/hyperlink" Target="http://www.oas.org/es/cidh/expresion/showarticle.asp?artID=26&amp;lID=2" TargetMode="External"/><Relationship Id="rId62" Type="http://schemas.openxmlformats.org/officeDocument/2006/relationships/footer" Target="footer25.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prensa/comunicados/2016/181.asp" TargetMode="External"/><Relationship Id="rId299" Type="http://schemas.openxmlformats.org/officeDocument/2006/relationships/hyperlink" Target="http://www.notasperiodisticas.com/alianza-de-entidades-de-prensa-refuta-fingido-proyecto-de-diputados-contra-gremio/" TargetMode="External"/><Relationship Id="rId21" Type="http://schemas.openxmlformats.org/officeDocument/2006/relationships/hyperlink" Target="http://www.prensalibre.com/guatemala/comunitario/fallece-mavelita-interiano-nia-que-tenia-medidas-de-proteccion" TargetMode="External"/><Relationship Id="rId63" Type="http://schemas.openxmlformats.org/officeDocument/2006/relationships/hyperlink" Target="http://www.oas.org/es/cidh/prensa/comunicados/2014/108.asp" TargetMode="External"/><Relationship Id="rId159" Type="http://schemas.openxmlformats.org/officeDocument/2006/relationships/hyperlink" Target="http://ap.ohchr.org/documents/dpage_e.aspx?si=A/HRC/34/3/Add.1" TargetMode="External"/><Relationship Id="rId324" Type="http://schemas.openxmlformats.org/officeDocument/2006/relationships/hyperlink" Target="http://www.oas.org/en/iachr/expression/showarticle.asp?artID=30&amp;lID=1" TargetMode="External"/><Relationship Id="rId366" Type="http://schemas.openxmlformats.org/officeDocument/2006/relationships/hyperlink" Target="http://www.prensalibre.com/guatemala/justicia/interpol-publica-orden-de-captura-contra-alba-lorenzana" TargetMode="External"/><Relationship Id="rId531" Type="http://schemas.openxmlformats.org/officeDocument/2006/relationships/hyperlink" Target="http://www.oas.org/es/cidh/informes/pdfs/PrisionPreventiva.pdf" TargetMode="External"/><Relationship Id="rId573" Type="http://schemas.openxmlformats.org/officeDocument/2006/relationships/hyperlink" Target="http://www.oas.org/es/cidh/informes/pdfs/guatemala2016.pdf" TargetMode="External"/><Relationship Id="rId170" Type="http://schemas.openxmlformats.org/officeDocument/2006/relationships/hyperlink" Target="http://www.oas.org/es/cidh/decisiones/cautelares.asp" TargetMode="External"/><Relationship Id="rId226" Type="http://schemas.openxmlformats.org/officeDocument/2006/relationships/hyperlink" Target="https://www.mp.gob.gt/noticias/2017/02/01/sindicados-en-crimen-de-periodistas-son-ligados-a-proceso-penal/" TargetMode="External"/><Relationship Id="rId433" Type="http://schemas.openxmlformats.org/officeDocument/2006/relationships/hyperlink" Target="http://www.pdh.org.gt/biblioteca/category/90-informes-anuales.html" TargetMode="External"/><Relationship Id="rId268" Type="http://schemas.openxmlformats.org/officeDocument/2006/relationships/hyperlink" Target="http://www.guatevision.com/2017/03/01/video-jimmy-revela-mas-detalles-de-supuesto-golpe-de-estado/" TargetMode="External"/><Relationship Id="rId475" Type="http://schemas.openxmlformats.org/officeDocument/2006/relationships/hyperlink" Target="http://redlactrans.org.ar/site/wp-content/uploads/2016/01/Informe-COMPLETO.pdf" TargetMode="External"/><Relationship Id="rId32" Type="http://schemas.openxmlformats.org/officeDocument/2006/relationships/hyperlink" Target="http://elpais.com/elpais/2017/06/15/planeta_futuro/1497536856_884868.html" TargetMode="External"/><Relationship Id="rId74" Type="http://schemas.openxmlformats.org/officeDocument/2006/relationships/hyperlink" Target="http://gate.unwomen.org/EvaluationDocument/Download?evaluationDocumentID=8964" TargetMode="External"/><Relationship Id="rId128" Type="http://schemas.openxmlformats.org/officeDocument/2006/relationships/hyperlink" Target="https://www.fidh.org/es/temas/defensores-de-derechos-humanos/guatemala-campana-de-estigmatizacion-difamacion-y-amenazas-de-muerte" TargetMode="External"/><Relationship Id="rId335" Type="http://schemas.openxmlformats.org/officeDocument/2006/relationships/hyperlink" Target="http://www.oas.org/en/iachr/expression/docs/reports/annual/Infornme%202010%20P%20ENG.pdf" TargetMode="External"/><Relationship Id="rId377" Type="http://schemas.openxmlformats.org/officeDocument/2006/relationships/hyperlink" Target="https://consejodepuebloswuxhtaj.wordpress.com/2017/01/18/asesinan-a-sebastian-alonso-lider-opositor-al-proyecto-hidroelectrico-pojom-1/" TargetMode="External"/><Relationship Id="rId500" Type="http://schemas.openxmlformats.org/officeDocument/2006/relationships/hyperlink" Target="http://www.acnur.org/t3/fileadmin/Documentos/BDL/2016/10466.pdf" TargetMode="External"/><Relationship Id="rId542" Type="http://schemas.openxmlformats.org/officeDocument/2006/relationships/hyperlink" Target="http://www.pdh.org.gt/biblioteca/informes/category/9-informes-anuales.html" TargetMode="External"/><Relationship Id="rId584" Type="http://schemas.openxmlformats.org/officeDocument/2006/relationships/hyperlink" Target="http://www.driadvocacy.org/disability-rights-international-continues-to-pressure-guatemalan-government-to-end-human-rights-abuses-at-notorious-psychiatric-facility/" TargetMode="External"/><Relationship Id="rId5" Type="http://schemas.openxmlformats.org/officeDocument/2006/relationships/hyperlink" Target="http://www.oacnudh.org/wp-content/uploads/2012/10/TOMO-1.pdf" TargetMode="External"/><Relationship Id="rId181" Type="http://schemas.openxmlformats.org/officeDocument/2006/relationships/hyperlink" Target="http://old.congreso.gob.gt/archivos/acuerdos/2006/gtsccx2265-2006.pdf" TargetMode="External"/><Relationship Id="rId237" Type="http://schemas.openxmlformats.org/officeDocument/2006/relationships/hyperlink" Target="https://www.mp.gob.gt/noticias/2017/05/30/un-hombre-fue-condenado-a-40-anos-de-prision-por-muerte-de-periodista/" TargetMode="External"/><Relationship Id="rId402" Type="http://schemas.openxmlformats.org/officeDocument/2006/relationships/hyperlink" Target="http://www.prensalibre.com/ciudades/jutiapa/disturbios-maestros-detenidos-y-policias-heridos-en-jornada-de-protestas" TargetMode="External"/><Relationship Id="rId279" Type="http://schemas.openxmlformats.org/officeDocument/2006/relationships/hyperlink" Target="http://www.oas.org/es/cidh/expresion/showarticle.asp?artID=987&amp;lID=2" TargetMode="External"/><Relationship Id="rId444" Type="http://schemas.openxmlformats.org/officeDocument/2006/relationships/hyperlink" Target="http://www.oas.org/es/cidh/informes/pdfs/Guatemala2016.pdf" TargetMode="External"/><Relationship Id="rId486" Type="http://schemas.openxmlformats.org/officeDocument/2006/relationships/hyperlink" Target="http://www.oas.org/es/cidh/prensa/comunicados/2015/027.asp" TargetMode="External"/><Relationship Id="rId43" Type="http://schemas.openxmlformats.org/officeDocument/2006/relationships/hyperlink" Target="https://twitter.com/julioHestrada/status/910293086781231105" TargetMode="External"/><Relationship Id="rId139" Type="http://schemas.openxmlformats.org/officeDocument/2006/relationships/hyperlink" Target="http://udefegua.org/wp-content/uploads/2017/09/201709-Sit-Defensores-DH-SEMESTRAL.pdf" TargetMode="External"/><Relationship Id="rId290" Type="http://schemas.openxmlformats.org/officeDocument/2006/relationships/hyperlink" Target="http://www.oas.org/en/iachr/expression/docs/reports/annual/AnnualReport2016RELE.pdf" TargetMode="External"/><Relationship Id="rId304" Type="http://schemas.openxmlformats.org/officeDocument/2006/relationships/hyperlink" Target="http://www.oas.org/en/iachr/expression/docs/reports/annual/2014_04_22_%20IA_2013_ENG%20_FINALweb.pdf" TargetMode="External"/><Relationship Id="rId346" Type="http://schemas.openxmlformats.org/officeDocument/2006/relationships/hyperlink" Target="http://www.oas.org/en/iachr/expression/docs/reports/annual/Informe%20Anual%202009%202%20ENG.pdf" TargetMode="External"/><Relationship Id="rId388" Type="http://schemas.openxmlformats.org/officeDocument/2006/relationships/hyperlink" Target="https://www.youtube.com/watch?v=yuVmLG9gkmE&amp;t=5s" TargetMode="External"/><Relationship Id="rId511" Type="http://schemas.openxmlformats.org/officeDocument/2006/relationships/hyperlink" Target="https://www.oas.org/juridico/mla/sp/gtm/sp_gtm-mla-leg-narco.pdf" TargetMode="External"/><Relationship Id="rId553" Type="http://schemas.openxmlformats.org/officeDocument/2006/relationships/hyperlink" Target="https://www.oas.org/juridico/mla/sp/gtm/sp_gtm-int-text-const.pdf" TargetMode="External"/><Relationship Id="rId85" Type="http://schemas.openxmlformats.org/officeDocument/2006/relationships/hyperlink" Target="http://redlactrans.org.ar/site/wp-content/uploads/2016/01/Informe-COMPLETO.pdf" TargetMode="External"/><Relationship Id="rId150" Type="http://schemas.openxmlformats.org/officeDocument/2006/relationships/hyperlink" Target="http://www.oas.org/es/cidh/informes/pdfs/criminalizacion2016.pdf" TargetMode="External"/><Relationship Id="rId192" Type="http://schemas.openxmlformats.org/officeDocument/2006/relationships/hyperlink" Target="http://www.oas.org/es/cidh/prensa/comunicados/2017/114A.asp" TargetMode="External"/><Relationship Id="rId206" Type="http://schemas.openxmlformats.org/officeDocument/2006/relationships/hyperlink" Target="http://www.prensalibre.com/guatemala/politica/pdh-abre-expediente-para-investigar-campaa-de-desprestigio-contra-la-prensa-independiente" TargetMode="External"/><Relationship Id="rId413" Type="http://schemas.openxmlformats.org/officeDocument/2006/relationships/hyperlink" Target="http://www.prensalibre.com/PrensaLibreTV/DetalleTV/1609910" TargetMode="External"/><Relationship Id="rId248" Type="http://schemas.openxmlformats.org/officeDocument/2006/relationships/hyperlink" Target="http://cidh.org/relatoria/ShowDocument.asp?DocumentID=153" TargetMode="External"/><Relationship Id="rId455" Type="http://schemas.openxmlformats.org/officeDocument/2006/relationships/hyperlink" Target="http://www.oas.org/es/cidh/informes/pdfs/Guatemala2016.pdf" TargetMode="External"/><Relationship Id="rId497" Type="http://schemas.openxmlformats.org/officeDocument/2006/relationships/hyperlink" Target="http://www.oas.org/es/cidh/informes/pdfs/GUIA-PrisionPreventiva.pdf" TargetMode="External"/><Relationship Id="rId12" Type="http://schemas.openxmlformats.org/officeDocument/2006/relationships/hyperlink" Target="http://www.gt.undp.org/content/guatemala/es/home/countryinfo/" TargetMode="External"/><Relationship Id="rId108" Type="http://schemas.openxmlformats.org/officeDocument/2006/relationships/hyperlink" Target="http://www.eldiario.es/politica/Rios-Montt-declarado-genocidio-Guatemala_0_580943079.html" TargetMode="External"/><Relationship Id="rId315" Type="http://schemas.openxmlformats.org/officeDocument/2006/relationships/hyperlink" Target="http://crnnoticias.com/mp-logra-el-cierre-de-tres-radios-que-operaban-de-manera-ilegal-en-alta-verapaz/" TargetMode="External"/><Relationship Id="rId357" Type="http://schemas.openxmlformats.org/officeDocument/2006/relationships/hyperlink" Target="http://elperiodico.com.gt/investigacion/2016/07/25/angel-gonzalez-el-encantador-de-presidentes-esta-molesto/" TargetMode="External"/><Relationship Id="rId522" Type="http://schemas.openxmlformats.org/officeDocument/2006/relationships/hyperlink" Target="http://www.oas.org/es/cidh/informes/pdfs/PrisionPreventiva.pdf" TargetMode="External"/><Relationship Id="rId54" Type="http://schemas.openxmlformats.org/officeDocument/2006/relationships/hyperlink" Target="https://treaties.un.org/Pages/ViewDetails.aspx?src=TREATY&amp;mtdsg_no=IV-4&amp;chapter=4&amp;clang=_en" TargetMode="External"/><Relationship Id="rId96" Type="http://schemas.openxmlformats.org/officeDocument/2006/relationships/hyperlink" Target="http://www.unwomen.org/es/news/stories/2016/3/guatemala-victory-against-sexual-violence-in-armed-conflict" TargetMode="External"/><Relationship Id="rId161" Type="http://schemas.openxmlformats.org/officeDocument/2006/relationships/hyperlink" Target="http://www.corteidh.or.cr/docs/casos/articulos/seriec_283_esp.pdf" TargetMode="External"/><Relationship Id="rId217" Type="http://schemas.openxmlformats.org/officeDocument/2006/relationships/hyperlink" Target="http://periodistas-es.com/periodistas-asesinados-en-guatemala-manuel-salvador-villagran-80800" TargetMode="External"/><Relationship Id="rId399" Type="http://schemas.openxmlformats.org/officeDocument/2006/relationships/hyperlink" Target="https://www.publinews.gt/gt/noticias/2017/07/21/varias-personas-intoxicadas-gas-lacrimogeno-disturbios-santa-rosa.html" TargetMode="External"/><Relationship Id="rId564" Type="http://schemas.openxmlformats.org/officeDocument/2006/relationships/hyperlink" Target="http://www.oas.org/es/cidh/decisiones/pdf/2017/17-17MC161-17-GU.pdf" TargetMode="External"/><Relationship Id="rId259" Type="http://schemas.openxmlformats.org/officeDocument/2006/relationships/hyperlink" Target="http://centropenguatemala.blogspot.com/" TargetMode="External"/><Relationship Id="rId424" Type="http://schemas.openxmlformats.org/officeDocument/2006/relationships/hyperlink" Target="https://www.youtube.com/watch?v=EqOo9nrqjCM" TargetMode="External"/><Relationship Id="rId466" Type="http://schemas.openxmlformats.org/officeDocument/2006/relationships/hyperlink" Target="http://www.oas.org/es/cidh/informes/pdfs/violencianinez2016.pdf" TargetMode="External"/><Relationship Id="rId23" Type="http://schemas.openxmlformats.org/officeDocument/2006/relationships/hyperlink" Target="http://www.unicef.org/guatemala/spanish/panorama_18467.htm" TargetMode="External"/><Relationship Id="rId119" Type="http://schemas.openxmlformats.org/officeDocument/2006/relationships/hyperlink" Target="http://ap.ohchr.org/documents/dpage_e.aspx?si=A/HRC/34/3/Add.1" TargetMode="External"/><Relationship Id="rId270" Type="http://schemas.openxmlformats.org/officeDocument/2006/relationships/hyperlink" Target="http://www.hispantv.com/noticias/guatemala/333464/jimmy-morales-golpe-estado-hijo-hermano-corrupcion-arresto-domicillio" TargetMode="External"/><Relationship Id="rId326" Type="http://schemas.openxmlformats.org/officeDocument/2006/relationships/hyperlink" Target="http://www.oas.org/en/iachr/expression/docs/reports/annual/2001.pdf?DocumentID=14" TargetMode="External"/><Relationship Id="rId533" Type="http://schemas.openxmlformats.org/officeDocument/2006/relationships/hyperlink" Target="http://www.pdh.org.gt/biblioteca/informes/category/9-informes-anuales.html" TargetMode="External"/><Relationship Id="rId65" Type="http://schemas.openxmlformats.org/officeDocument/2006/relationships/hyperlink" Target="http://www.oas.org/es/cidh/prensa/comunicados/2014/041.asp" TargetMode="External"/><Relationship Id="rId130" Type="http://schemas.openxmlformats.org/officeDocument/2006/relationships/hyperlink" Target="http://www.pdh.org.gt/biblioteca/category/14-resoluciones.html?download=1019:resolucion-por-denuncia-de-amenazas-a-defensores-de-derechos-humanos&amp;start=20" TargetMode="External"/><Relationship Id="rId368" Type="http://schemas.openxmlformats.org/officeDocument/2006/relationships/hyperlink" Target="http://lahora.gt/pgn-denuncio-la-sit-contratos-la-tv-abierta/" TargetMode="External"/><Relationship Id="rId575" Type="http://schemas.openxmlformats.org/officeDocument/2006/relationships/hyperlink" Target="http://www.driadvocacy.org/media-gallery/our-reports-publications/.%20Fecha%20de%20consulta:%201%20de%20noviembre%20de%202013." TargetMode="External"/><Relationship Id="rId172" Type="http://schemas.openxmlformats.org/officeDocument/2006/relationships/hyperlink" Target="http://www.oas.org/es/cidh/decisiones/pdf/2017/34-17MC431-17-GU.pdf" TargetMode="External"/><Relationship Id="rId228" Type="http://schemas.openxmlformats.org/officeDocument/2006/relationships/hyperlink" Target="http://www.cicig.org/index.php?mact=News,cntnt01,detail,0&amp;cntnt01articleid=776&amp;cntnt01returnid=67" TargetMode="External"/><Relationship Id="rId435" Type="http://schemas.openxmlformats.org/officeDocument/2006/relationships/hyperlink" Target="https://emisorasunidas.com/mp-pdh-ratifican-cooperacion-cumplimiento-la-ley-acceso-la-informacion/" TargetMode="External"/><Relationship Id="rId477" Type="http://schemas.openxmlformats.org/officeDocument/2006/relationships/hyperlink" Target="http://redlactrans.org.ar/site/wp-content/uploads/2016/01/Informe-COMPLETO.pdf" TargetMode="External"/><Relationship Id="rId281" Type="http://schemas.openxmlformats.org/officeDocument/2006/relationships/hyperlink" Target="http://im-defensoras.org/2017/03/alertadefensoras-guatemala-censuran-articulo-sobre-la-campana-de-desprestigio-que-enfrenta-el-cicig/" TargetMode="External"/><Relationship Id="rId337" Type="http://schemas.openxmlformats.org/officeDocument/2006/relationships/hyperlink" Target="http://www.oas.org/en/iachr/expression/docs/reports/annual/Annual%20Report%202012.pdf" TargetMode="External"/><Relationship Id="rId502" Type="http://schemas.openxmlformats.org/officeDocument/2006/relationships/hyperlink" Target="http://old.congreso.gob.gt/archivos/decretos/2009/gtdcx17-2009.pdf" TargetMode="External"/><Relationship Id="rId34" Type="http://schemas.openxmlformats.org/officeDocument/2006/relationships/hyperlink" Target="https://www.mp.gob.gt/noticias/memoria-administracion-mayo-2016-2017/" TargetMode="External"/><Relationship Id="rId76" Type="http://schemas.openxmlformats.org/officeDocument/2006/relationships/hyperlink" Target="https://www.oas.org/dil/esp/Ley_contra_el_Femicidio_y_otras_Formas_de_Violencia_Contra_la_Mujer_Guatemala.pdf" TargetMode="External"/><Relationship Id="rId141" Type="http://schemas.openxmlformats.org/officeDocument/2006/relationships/hyperlink" Target="http://www.oas.org/es/cidh/prensa/comunicados/2017/114A.asp" TargetMode="External"/><Relationship Id="rId379" Type="http://schemas.openxmlformats.org/officeDocument/2006/relationships/hyperlink" Target="http://www.europarl.europa.eu/news/en/press-room/20170209IPR61725/human-rights-nicaragua-executions-in-kuwait-and-bahrain-and-guatemala" TargetMode="External"/><Relationship Id="rId544" Type="http://schemas.openxmlformats.org/officeDocument/2006/relationships/hyperlink" Target="http://www.oas.org/es/cidh/prensa/comunicados/2016/002.asp" TargetMode="External"/><Relationship Id="rId7" Type="http://schemas.openxmlformats.org/officeDocument/2006/relationships/hyperlink" Target="http://www.oecd.org/tax/tax-global/Consolidated%20LAC%20country%20notes.pdf" TargetMode="External"/><Relationship Id="rId183" Type="http://schemas.openxmlformats.org/officeDocument/2006/relationships/hyperlink" Target="http://www.acnur.org/t3/fileadmin/Documentos/BDL/2012/8932.pdf" TargetMode="External"/><Relationship Id="rId239" Type="http://schemas.openxmlformats.org/officeDocument/2006/relationships/hyperlink" Target="https://cerigua.org/article/mp-logra-nueva-condena-por-crimen-contra-periodist/" TargetMode="External"/><Relationship Id="rId390" Type="http://schemas.openxmlformats.org/officeDocument/2006/relationships/hyperlink" Target="https://www.frontlinedefenders.org/en/case/carlos-maaz-coc-killed-while-participating-peaceful-demonstration" TargetMode="External"/><Relationship Id="rId404" Type="http://schemas.openxmlformats.org/officeDocument/2006/relationships/hyperlink" Target="http://www.oas.org/en/iachr/media_center/PReleases/2017/140.asp" TargetMode="External"/><Relationship Id="rId446" Type="http://schemas.openxmlformats.org/officeDocument/2006/relationships/hyperlink" Target="http://digessp.gob.gt/empresas-registradas/" TargetMode="External"/><Relationship Id="rId250" Type="http://schemas.openxmlformats.org/officeDocument/2006/relationships/hyperlink" Target="http://www.oas.org/es/cidh/expresion/showarticle.asp?artID=931&amp;lID=2" TargetMode="External"/><Relationship Id="rId292" Type="http://schemas.openxmlformats.org/officeDocument/2006/relationships/hyperlink" Target="http://www.prensalibre.com/guatemala/justicia/pdh-pide-proteccion-a-periodistas" TargetMode="External"/><Relationship Id="rId306" Type="http://schemas.openxmlformats.org/officeDocument/2006/relationships/hyperlink" Target="http://www.oas.org/en/iachr/defenders/docs/pdf/defenders2011.pdf" TargetMode="External"/><Relationship Id="rId488" Type="http://schemas.openxmlformats.org/officeDocument/2006/relationships/hyperlink" Target="http://tbinternet.ohchr.org/Treaties/CAT/Shared%20Documents/GTM/INT_CAT_ICS_GTM_19611_S.pdf" TargetMode="External"/><Relationship Id="rId45" Type="http://schemas.openxmlformats.org/officeDocument/2006/relationships/hyperlink" Target="http://www.oas.org/es/cidh/decisiones/pdf/2017/34-17MC431-17-GU.pdf" TargetMode="External"/><Relationship Id="rId87" Type="http://schemas.openxmlformats.org/officeDocument/2006/relationships/hyperlink" Target="https://documents-dds-ny.un.org/doc/UNDOC/GEN/G17/004/61/PDF/G1700461.pdf?OpenElement" TargetMode="External"/><Relationship Id="rId110" Type="http://schemas.openxmlformats.org/officeDocument/2006/relationships/hyperlink" Target="http://www.cicig.org/index.php?page=tribunal-de-conciencia-contra-la-violencia-sexual-hacia-las-mujeres" TargetMode="External"/><Relationship Id="rId348" Type="http://schemas.openxmlformats.org/officeDocument/2006/relationships/hyperlink" Target="http://www.cidh.org/countryrep/Guatemala2003eng/TOC.htm" TargetMode="External"/><Relationship Id="rId513" Type="http://schemas.openxmlformats.org/officeDocument/2006/relationships/hyperlink" Target="http://www.oas.org/es/cidh/informes/pdfs/PrisionPreventiva.pdf" TargetMode="External"/><Relationship Id="rId555" Type="http://schemas.openxmlformats.org/officeDocument/2006/relationships/hyperlink" Target="http://www.ohchr.org/Documents/Publications/training11sp.pdf" TargetMode="External"/><Relationship Id="rId152" Type="http://schemas.openxmlformats.org/officeDocument/2006/relationships/hyperlink" Target="https://www.amnesty.org/download/Documents/AMR0162112017SPANISH.pdf" TargetMode="External"/><Relationship Id="rId194" Type="http://schemas.openxmlformats.org/officeDocument/2006/relationships/hyperlink" Target="http://www.ohchr.org/Documents/Issues/Housing/Guidelines_sp.pdf" TargetMode="External"/><Relationship Id="rId208" Type="http://schemas.openxmlformats.org/officeDocument/2006/relationships/hyperlink" Target="http://www.oas.org/en/iachr/expression/docs/reports/annual/2014_04_22_%20IA_2013_ENG%20_FINALweb.pdf" TargetMode="External"/><Relationship Id="rId415" Type="http://schemas.openxmlformats.org/officeDocument/2006/relationships/hyperlink" Target="https://www.youtube.com/watch?v=ZfS939OMXeQ" TargetMode="External"/><Relationship Id="rId457" Type="http://schemas.openxmlformats.org/officeDocument/2006/relationships/hyperlink" Target="http://www.inacif.gob.gt/index.php?option=com_content&amp;view=article&amp;id=97&amp;Itemid=18" TargetMode="External"/><Relationship Id="rId261" Type="http://schemas.openxmlformats.org/officeDocument/2006/relationships/hyperlink" Target="http://lahora.gt/junta-honor-cita-coronel-publicacion-del-libro-desde-cuartel/" TargetMode="External"/><Relationship Id="rId499" Type="http://schemas.openxmlformats.org/officeDocument/2006/relationships/hyperlink" Target="http://www.acnur.org/t3/fileadmin/Documentos/BDL/2016/10466.pdf" TargetMode="External"/><Relationship Id="rId14" Type="http://schemas.openxmlformats.org/officeDocument/2006/relationships/hyperlink" Target="http://hdr.undp.org/es/content/informe-sobre-desarrollo-humano-2014" TargetMode="External"/><Relationship Id="rId56" Type="http://schemas.openxmlformats.org/officeDocument/2006/relationships/hyperlink" Target="http://www.oas.org/es/cidh/decisiones/pdf/Resolucion-1-17-es.pdf" TargetMode="External"/><Relationship Id="rId317" Type="http://schemas.openxmlformats.org/officeDocument/2006/relationships/hyperlink" Target="https://www.mp.gob.gt/noticias/2017/06/15/agencia-que-investiga-delitos-relacionados-a-frecuencias-ilegales-coordina-diligencia-en-chimaltenango/" TargetMode="External"/><Relationship Id="rId359" Type="http://schemas.openxmlformats.org/officeDocument/2006/relationships/hyperlink" Target="http://www.proceso.com.mx/443136/magnate-mexicano-medios-vinculado-red-corrupcion-en-guatemala" TargetMode="External"/><Relationship Id="rId524" Type="http://schemas.openxmlformats.org/officeDocument/2006/relationships/hyperlink" Target="http://www.oas.org/es/cidh/informes/pdfs/PrisionPreventiva.pdf" TargetMode="External"/><Relationship Id="rId566" Type="http://schemas.openxmlformats.org/officeDocument/2006/relationships/hyperlink" Target="http://www.refworld.org/cgi-bin/texis/vtx/rwmain/opendocpdf.pdf?reldoc=y&amp;docid=58ad603c4" TargetMode="External"/><Relationship Id="rId98" Type="http://schemas.openxmlformats.org/officeDocument/2006/relationships/hyperlink" Target="https://www.ijmonitor.org/2016/06/creompaz-hearings-conclude-tribunal-to-determine-if-case-goes-to-trial/" TargetMode="External"/><Relationship Id="rId121" Type="http://schemas.openxmlformats.org/officeDocument/2006/relationships/hyperlink" Target="http://udefegua.org/wp-content/uploads/2017/05/Informe-Genaral-2016-FINAL6.pdf" TargetMode="External"/><Relationship Id="rId163" Type="http://schemas.openxmlformats.org/officeDocument/2006/relationships/hyperlink" Target="http://www.corteidh.or.cr/docs/casos/articulos/seriec_283_esp.pdf" TargetMode="External"/><Relationship Id="rId219" Type="http://schemas.openxmlformats.org/officeDocument/2006/relationships/hyperlink" Target="http://www.notasperiodisticas.com/camara-guatemalteca-de-periodismo-exige-al-mp-prosiga-investigacion-de-asesinato/" TargetMode="External"/><Relationship Id="rId370" Type="http://schemas.openxmlformats.org/officeDocument/2006/relationships/hyperlink" Target="http://www.guatevision.com/lo-ultimo/pgn-denuncia-sit/" TargetMode="External"/><Relationship Id="rId426" Type="http://schemas.openxmlformats.org/officeDocument/2006/relationships/hyperlink" Target="http://www.oas.org/es/cidh/docs/pdfs/SEGURIDAD%20CIUDADANA%202009%20ESP.pdf" TargetMode="External"/><Relationship Id="rId230" Type="http://schemas.openxmlformats.org/officeDocument/2006/relationships/hyperlink" Target="http://www.guatevision.com/2017/02/08/csj-tramite-antejuicio-julio-juarez/" TargetMode="External"/><Relationship Id="rId468" Type="http://schemas.openxmlformats.org/officeDocument/2006/relationships/hyperlink" Target="http://www.prensalibre.com/guatemala/comunitario/guatemala-registra-hasta-22-violaciones-sexuales-al-dia" TargetMode="External"/><Relationship Id="rId25" Type="http://schemas.openxmlformats.org/officeDocument/2006/relationships/hyperlink" Target="https://www.ine.gob.gt/sistema/uploads/2015/12/11/vjNVdb4IZswOj0ZtuivPIcaAXet8LZqZ.pdf" TargetMode="External"/><Relationship Id="rId67" Type="http://schemas.openxmlformats.org/officeDocument/2006/relationships/hyperlink" Target="http://www.oas.org/es/cidh/prensa/comunicados/2016/030.asp" TargetMode="External"/><Relationship Id="rId272" Type="http://schemas.openxmlformats.org/officeDocument/2006/relationships/hyperlink" Target="http://www.prensalibre.com/guatemala/politica/guatevision-denuncia-bloqueo-y-campaa-en-su-contra-por-reciente-coberturas" TargetMode="External"/><Relationship Id="rId328" Type="http://schemas.openxmlformats.org/officeDocument/2006/relationships/hyperlink" Target="http://www.cidh.org/Comunicados/English/2003/8.03.htm" TargetMode="External"/><Relationship Id="rId535" Type="http://schemas.openxmlformats.org/officeDocument/2006/relationships/hyperlink" Target="http://www.un.org/es/comun/docs/?symbol=A/RES/70/175" TargetMode="External"/><Relationship Id="rId577" Type="http://schemas.openxmlformats.org/officeDocument/2006/relationships/hyperlink" Target="http://www.oas.org/es/cidh/decisiones/cautelares.asp" TargetMode="External"/><Relationship Id="rId132" Type="http://schemas.openxmlformats.org/officeDocument/2006/relationships/hyperlink" Target="https://www.amnesty.org/download/Documents/AMR0145622016SPANISH.PDF" TargetMode="External"/><Relationship Id="rId174" Type="http://schemas.openxmlformats.org/officeDocument/2006/relationships/hyperlink" Target="http://www.oas.org/es/cidh/prensa/comunicados/2017/114A.asp" TargetMode="External"/><Relationship Id="rId381" Type="http://schemas.openxmlformats.org/officeDocument/2006/relationships/hyperlink" Target="https://www.fidh.org/es/temas/defensores-de-derechos-humanos/guatemala-asesinato-de-sebastian-alonzo-juan-y-actos-de-intimidacion" TargetMode="External"/><Relationship Id="rId241" Type="http://schemas.openxmlformats.org/officeDocument/2006/relationships/hyperlink" Target="http://elnacional.com.do/guatemala-asesino-de-periodista-recibe-23-anos-de-carcel/" TargetMode="External"/><Relationship Id="rId437" Type="http://schemas.openxmlformats.org/officeDocument/2006/relationships/hyperlink" Target="https://www.mp.gob.gt/noticias/2017/08/21/fiscal-general-recibe-visita-del-procurador-de-los-derechos-humanos/" TargetMode="External"/><Relationship Id="rId479" Type="http://schemas.openxmlformats.org/officeDocument/2006/relationships/hyperlink" Target="http://www.oas.org/es/cidh/prensa/comunicados/2016/181.asp" TargetMode="External"/><Relationship Id="rId36" Type="http://schemas.openxmlformats.org/officeDocument/2006/relationships/hyperlink" Target="http://www.oas.org/es/cidh/decisiones/pdf/Resolucion-1-17-es.pdf" TargetMode="External"/><Relationship Id="rId283" Type="http://schemas.openxmlformats.org/officeDocument/2006/relationships/hyperlink" Target="https://cerigua.org/article/estado-de-situacion-de-la-libertad-de-expresion-pr/" TargetMode="External"/><Relationship Id="rId339" Type="http://schemas.openxmlformats.org/officeDocument/2006/relationships/hyperlink" Target="http://www.oas.org/en/iachr/expression/docs/reports/annual/Annual%20Report%202014.pdf" TargetMode="External"/><Relationship Id="rId490" Type="http://schemas.openxmlformats.org/officeDocument/2006/relationships/hyperlink" Target="http://www.pdh.org.gt/biblioteca/informes/category/9-informes-anuales.html" TargetMode="External"/><Relationship Id="rId504" Type="http://schemas.openxmlformats.org/officeDocument/2006/relationships/hyperlink" Target="http://www.oas.org/es/cidh/informes/pdfs/PrisionPreventiva.pdf" TargetMode="External"/><Relationship Id="rId546" Type="http://schemas.openxmlformats.org/officeDocument/2006/relationships/hyperlink" Target="http://www.oas.org/es/cidh/informes/pdfs/guatemala2016.pdf" TargetMode="External"/><Relationship Id="rId78" Type="http://schemas.openxmlformats.org/officeDocument/2006/relationships/hyperlink" Target="http://evaw-global-database.unwomen.org/-/media/files/un%20women/vaw/full%20text/americas/guat92016%20ley%20mujeres%20desaparecidas.pdf" TargetMode="External"/><Relationship Id="rId101" Type="http://schemas.openxmlformats.org/officeDocument/2006/relationships/hyperlink" Target="https://cmiguate.org/el-caso-molina-theissen-esta-listo-para-ir-a-juicio/" TargetMode="External"/><Relationship Id="rId143" Type="http://schemas.openxmlformats.org/officeDocument/2006/relationships/hyperlink" Target="https://www.amnesty.org/download/Documents/AMR0145622016SPANISH.PDF" TargetMode="External"/><Relationship Id="rId185" Type="http://schemas.openxmlformats.org/officeDocument/2006/relationships/hyperlink" Target="https://www.icj.org/wp-content/uploads/2013/06/27Informe-Acceso-a-la-Justicia_Caso-SA-y-LT-Peten.pdf" TargetMode="External"/><Relationship Id="rId350" Type="http://schemas.openxmlformats.org/officeDocument/2006/relationships/hyperlink" Target="http://www.oas.org/en/iachr/expression/docs/reports/annual/Informe%20Anual%202009%202%20ENG.pdf" TargetMode="External"/><Relationship Id="rId406" Type="http://schemas.openxmlformats.org/officeDocument/2006/relationships/hyperlink" Target="http://www.oas.org/en/iachr/decisions/pdf/Resolution-1-17-en.pdf" TargetMode="External"/><Relationship Id="rId9" Type="http://schemas.openxmlformats.org/officeDocument/2006/relationships/hyperlink" Target="http://www.gt.undp.org/content/guatemala/es/home/countryinfo/" TargetMode="External"/><Relationship Id="rId210" Type="http://schemas.openxmlformats.org/officeDocument/2006/relationships/hyperlink" Target="http://www.oas.org/en/iachr/expression/docs/reports/annual/AnnualReport2016RELE.pdf" TargetMode="External"/><Relationship Id="rId392" Type="http://schemas.openxmlformats.org/officeDocument/2006/relationships/hyperlink" Target="http://mingob.gob.gt/urgente-cuatro-pnc-heridos-en-bloqueo-en-el-estor-izabal/" TargetMode="External"/><Relationship Id="rId448" Type="http://schemas.openxmlformats.org/officeDocument/2006/relationships/hyperlink" Target="http://www.prensalibre.com/guatemala/justicia/guatemala-abre-una-fiscalia-dedicada-a-menores" TargetMode="External"/><Relationship Id="rId252" Type="http://schemas.openxmlformats.org/officeDocument/2006/relationships/hyperlink" Target="http://www.oas.org/en/iachr/reports/pdfs/Guatemala2016-en.pdf" TargetMode="External"/><Relationship Id="rId294" Type="http://schemas.openxmlformats.org/officeDocument/2006/relationships/hyperlink" Target="https://cerigua.org/article/pdh-reitera-necesidad-de-establecer-programa-de-pr/" TargetMode="External"/><Relationship Id="rId308" Type="http://schemas.openxmlformats.org/officeDocument/2006/relationships/hyperlink" Target="https://cerigua.org/article/las-radios-comunitarias-en-guatemala-ademas-de-no-/" TargetMode="External"/><Relationship Id="rId515" Type="http://schemas.openxmlformats.org/officeDocument/2006/relationships/hyperlink" Target="http://www.pdh.org.gt/biblioteca/informes/category/9-informes-anuales.html" TargetMode="External"/><Relationship Id="rId47" Type="http://schemas.openxmlformats.org/officeDocument/2006/relationships/hyperlink" Target="http://www.prensalibre.com/guatemala/justicia/otras-reformas-buscan-debilitar-al-mp-y-justicia" TargetMode="External"/><Relationship Id="rId89" Type="http://schemas.openxmlformats.org/officeDocument/2006/relationships/hyperlink" Target="http://otrans.blogspot.com/2017/05/pronunciamiento-publico.html" TargetMode="External"/><Relationship Id="rId112" Type="http://schemas.openxmlformats.org/officeDocument/2006/relationships/hyperlink" Target="http://www.cafca.gt/uploads/6/0/1/4/60143551/auditor%C3%ADa_informe_social_final_cafca_2015.pdf" TargetMode="External"/><Relationship Id="rId154" Type="http://schemas.openxmlformats.org/officeDocument/2006/relationships/hyperlink" Target="http://ap.ohchr.org/documents/dpage_e.aspx?si=A/HRC/34/3/Add.1" TargetMode="External"/><Relationship Id="rId361" Type="http://schemas.openxmlformats.org/officeDocument/2006/relationships/hyperlink" Target="http://www.cicig.org/index.php?mact=News,cntnt01,detail,0&amp;cntnt01articleid=723&amp;cntnt01returnid=68" TargetMode="External"/><Relationship Id="rId557" Type="http://schemas.openxmlformats.org/officeDocument/2006/relationships/hyperlink" Target="https://www.banguat.gob.gt/leyes/2013/ley_contra_lavado_de_dinero.pdf" TargetMode="External"/><Relationship Id="rId196" Type="http://schemas.openxmlformats.org/officeDocument/2006/relationships/hyperlink" Target="http://www.flacso.edu.gt/dialogo/?p=1826" TargetMode="External"/><Relationship Id="rId200" Type="http://schemas.openxmlformats.org/officeDocument/2006/relationships/hyperlink" Target="https://www.state.gov/j/tip/rls/tiprpt/countries/2016/258775.htm" TargetMode="External"/><Relationship Id="rId382" Type="http://schemas.openxmlformats.org/officeDocument/2006/relationships/hyperlink" Target="http://www.oas.org/en/iachr/media_center/PReleases/2017/011.asp" TargetMode="External"/><Relationship Id="rId417" Type="http://schemas.openxmlformats.org/officeDocument/2006/relationships/hyperlink" Target="http://www.prensalibre.com/guatemala/politica/jordan-rodas-amparo-manifestaciones-infiltrados-violencia" TargetMode="External"/><Relationship Id="rId438" Type="http://schemas.openxmlformats.org/officeDocument/2006/relationships/hyperlink" Target="https://elperiodico.com.gt/nacion/2017/08/21/presidente-morales-y-fiscal-aldana-los-primeros-contactados-por-el-nuevo-procurador-jordan-rodas-andrade/" TargetMode="External"/><Relationship Id="rId459" Type="http://schemas.openxmlformats.org/officeDocument/2006/relationships/hyperlink" Target="http://www.congreso.gob.gt/manager/images/7BE80FEC-1A27-4FD9-3C81-FD4866BD5BC5.pdf" TargetMode="External"/><Relationship Id="rId16" Type="http://schemas.openxmlformats.org/officeDocument/2006/relationships/hyperlink" Target="http://scalingupnutrition.org/wp-content/uploads/2013/02/Guatemala_PLANOCC_2012_2016.pdf" TargetMode="External"/><Relationship Id="rId221" Type="http://schemas.openxmlformats.org/officeDocument/2006/relationships/hyperlink" Target="https://cerigua.org/article/cerigua-condena-el-vil-asesinato-de-comunicador-en/" TargetMode="External"/><Relationship Id="rId242" Type="http://schemas.openxmlformats.org/officeDocument/2006/relationships/hyperlink" Target="http://www.clasesdeperiodismo.com/2017/06/03/guatemala-asesino-de-periodista-recibe-23-anos-de-carcel/" TargetMode="External"/><Relationship Id="rId263" Type="http://schemas.openxmlformats.org/officeDocument/2006/relationships/hyperlink" Target="https://elperiodico.com.gt/nacion/2017/05/25/ejercito-exige-a-coronel-que-pruebe-que-la-institucion-armada-violo-derechos-humanos/" TargetMode="External"/><Relationship Id="rId284" Type="http://schemas.openxmlformats.org/officeDocument/2006/relationships/hyperlink" Target="http://im-defensoras.org/2017/03/alertadefensoras-guatemala-censuran-articulo-sobre-la-campana-de-desprestigio-que-enfrenta-el-cicig/" TargetMode="External"/><Relationship Id="rId319" Type="http://schemas.openxmlformats.org/officeDocument/2006/relationships/hyperlink" Target="https://www.mp.gob.gt/noticias/2017/07/26/baja-verapaz-ministerio-publico-coordina-allanamiento-y-secuestro-de-equipo-en-radio-ilegal/" TargetMode="External"/><Relationship Id="rId470" Type="http://schemas.openxmlformats.org/officeDocument/2006/relationships/hyperlink" Target="http://www.ohchr.org.gt/informes.asp" TargetMode="External"/><Relationship Id="rId491" Type="http://schemas.openxmlformats.org/officeDocument/2006/relationships/hyperlink" Target="http://relapt.usta.edu.co/images/2006-Ley-de-Regimen-Penitenciario-Decreto-33.pdf" TargetMode="External"/><Relationship Id="rId505" Type="http://schemas.openxmlformats.org/officeDocument/2006/relationships/hyperlink" Target="http://www.oas.org/es/cidh/informes/pdfs/PrisionPreventiva.pdf" TargetMode="External"/><Relationship Id="rId526" Type="http://schemas.openxmlformats.org/officeDocument/2006/relationships/hyperlink" Target="https://www.scribd.com/document/334188604/Dto-49-2016-Ley-de-Implementacion-Del-Control-Telematico-en-El-Proceso-Penal" TargetMode="External"/><Relationship Id="rId37" Type="http://schemas.openxmlformats.org/officeDocument/2006/relationships/hyperlink" Target="http://www.oas.org/es/cidh/decisiones/pdf/Resolucion-1-17-es.pdf" TargetMode="External"/><Relationship Id="rId58" Type="http://schemas.openxmlformats.org/officeDocument/2006/relationships/hyperlink" Target="http://www.oas.org/es/cidh/prensa/comunicados/2016/001.asp" TargetMode="External"/><Relationship Id="rId79" Type="http://schemas.openxmlformats.org/officeDocument/2006/relationships/hyperlink" Target="http://www.oas.org/es/cidh/informes/pdfs/Guatemala2016.pdf" TargetMode="External"/><Relationship Id="rId102" Type="http://schemas.openxmlformats.org/officeDocument/2006/relationships/hyperlink" Target="https://www.ijmonitor.org/2017/03/judge-sends-five-high-ranking-military-officers-to-trial-in-molina-theissen-case/" TargetMode="External"/><Relationship Id="rId123" Type="http://schemas.openxmlformats.org/officeDocument/2006/relationships/hyperlink" Target="https://www.fidh.org/es/temas/defensores-de-derechos-humanos/guatemala-campana-de-estigmatizacion-difamacion-y-amenazas-de-muerte" TargetMode="External"/><Relationship Id="rId144" Type="http://schemas.openxmlformats.org/officeDocument/2006/relationships/hyperlink" Target="https://www.amnesty.org/download/Documents/AMR0145622016SPANISH.PDF" TargetMode="External"/><Relationship Id="rId330" Type="http://schemas.openxmlformats.org/officeDocument/2006/relationships/hyperlink" Target="http://www.cidh.org/countryrep/Guatemala2003eng/TOC.htm" TargetMode="External"/><Relationship Id="rId547" Type="http://schemas.openxmlformats.org/officeDocument/2006/relationships/hyperlink" Target="http://www.oas.org/es/cidh/informes/pdfs/guatemala2016.pdf" TargetMode="External"/><Relationship Id="rId568" Type="http://schemas.openxmlformats.org/officeDocument/2006/relationships/hyperlink" Target="http://www.oas.org/es/cidh/prensa/comunicados/2017/046.asp" TargetMode="External"/><Relationship Id="rId90" Type="http://schemas.openxmlformats.org/officeDocument/2006/relationships/hyperlink" Target="http://otrans.blogspot.com/2017/05/pronunciamiento-publico_2.html" TargetMode="External"/><Relationship Id="rId165" Type="http://schemas.openxmlformats.org/officeDocument/2006/relationships/hyperlink" Target="http://www.oas.org/es/cidh/defensores/docs/pdf/defensores2011.pdf" TargetMode="External"/><Relationship Id="rId186" Type="http://schemas.openxmlformats.org/officeDocument/2006/relationships/hyperlink" Target="http://www.ohchr.org/Documents/Issues/Housing/Guidelines_sp.pdf" TargetMode="External"/><Relationship Id="rId351" Type="http://schemas.openxmlformats.org/officeDocument/2006/relationships/hyperlink" Target="http://www.cicig.org/index.php?mact=News,cntnt01,detail,0&amp;cntnt01articleid=723&amp;cntnt01returnid=68" TargetMode="External"/><Relationship Id="rId372" Type="http://schemas.openxmlformats.org/officeDocument/2006/relationships/hyperlink" Target="http://www.prensalibre.com/guatemala/justicia/mp-presenta-acusacion-de-caso-cooptacion-del-estado" TargetMode="External"/><Relationship Id="rId393" Type="http://schemas.openxmlformats.org/officeDocument/2006/relationships/hyperlink" Target="http://mingob.gob.gt/pnc-y-autoridades-se-reunen-en-izabal/" TargetMode="External"/><Relationship Id="rId407" Type="http://schemas.openxmlformats.org/officeDocument/2006/relationships/hyperlink" Target="http://www.prensalibre.com/guatemala/sucesos/manifestantes-entran-en-la-plaza-de-la-constitucion-en-repudio-a-jimmy-morales-y-diputados" TargetMode="External"/><Relationship Id="rId428" Type="http://schemas.openxmlformats.org/officeDocument/2006/relationships/hyperlink" Target="http://www.oas.org/en/iachr/expression/showarticle.asp?artID=931&amp;lID=1" TargetMode="External"/><Relationship Id="rId449" Type="http://schemas.openxmlformats.org/officeDocument/2006/relationships/hyperlink" Target="http://s21.gt/2016/05/03/historico-operativo-en-contra-extorsionistas/" TargetMode="External"/><Relationship Id="rId211" Type="http://schemas.openxmlformats.org/officeDocument/2006/relationships/hyperlink" Target="http://www.sipiapa.org/notas/1211136-la-sip-condena-asesinato-periodista-guatemala" TargetMode="External"/><Relationship Id="rId232" Type="http://schemas.openxmlformats.org/officeDocument/2006/relationships/hyperlink" Target="http://crnnoticias.com/juez-recomienda-retirar-inmunidad-al-diputado-julio-juarez-por-asesinato-de-periodistas/" TargetMode="External"/><Relationship Id="rId253" Type="http://schemas.openxmlformats.org/officeDocument/2006/relationships/hyperlink" Target="http://www.sipiapa.org/notas/1211252-guatemala" TargetMode="External"/><Relationship Id="rId274" Type="http://schemas.openxmlformats.org/officeDocument/2006/relationships/hyperlink" Target="http://www.prensalibre.com/guatemala/politica/pdh-abre-expediente-para-investigar-campaa-de-desprestigio-contra-la-prensa-independiente" TargetMode="External"/><Relationship Id="rId295" Type="http://schemas.openxmlformats.org/officeDocument/2006/relationships/hyperlink" Target="http://pdh.org.gt/biblioteca/sala-de-prensa/category/16-comunicados.html?start=10" TargetMode="External"/><Relationship Id="rId309" Type="http://schemas.openxmlformats.org/officeDocument/2006/relationships/hyperlink" Target="http://fger.org/2017/07/11/sigue-criminalizacion-de-la-radio-comunitaria/" TargetMode="External"/><Relationship Id="rId460" Type="http://schemas.openxmlformats.org/officeDocument/2006/relationships/hyperlink" Target="http://www.oas.org/es/cidh/informes/pdfs/Guatemala2016.pdf" TargetMode="External"/><Relationship Id="rId481" Type="http://schemas.openxmlformats.org/officeDocument/2006/relationships/hyperlink" Target="https://elperiodico.com.gt/nacion/2017/07/14/mas-de-16-mil-pacientes-en-riesgo-por-falta-de-medicamentos/" TargetMode="External"/><Relationship Id="rId516" Type="http://schemas.openxmlformats.org/officeDocument/2006/relationships/hyperlink" Target="http://www.pdh.org.gt/biblioteca/file/805-informe-anual-circunstanciado-situacion-de-los-derechos-humanos-y-memoria-de-labores-2015.html" TargetMode="External"/><Relationship Id="rId27" Type="http://schemas.openxmlformats.org/officeDocument/2006/relationships/hyperlink" Target="https://www.ine.gob.gt/sistema/uploads/2015/12/11/vjNVdb4IZswOj0ZtuivPIcaAXet8LZqZ.pdf" TargetMode="External"/><Relationship Id="rId48" Type="http://schemas.openxmlformats.org/officeDocument/2006/relationships/hyperlink" Target="http://www.guatevision.com/2017/09/14/jimmy-morales-devolvio-los-q450-mil-que-le-dio-el-ejercito/" TargetMode="External"/><Relationship Id="rId69" Type="http://schemas.openxmlformats.org/officeDocument/2006/relationships/hyperlink" Target="http://www.cicig.org/uploads/img/2016/others/COM_087_20161124_INFORME_ANUAL_2016.pdf" TargetMode="External"/><Relationship Id="rId113" Type="http://schemas.openxmlformats.org/officeDocument/2006/relationships/hyperlink" Target="http://udefegua.org/wp-content/uploads/2017/10/201709-Sit-Defensores-DH-SEMESTRAL.FIN_.pdf" TargetMode="External"/><Relationship Id="rId134" Type="http://schemas.openxmlformats.org/officeDocument/2006/relationships/hyperlink" Target="http://www.oas.org/es/cidh/defensores/docs/pdf/defensores2011.pdf" TargetMode="External"/><Relationship Id="rId320" Type="http://schemas.openxmlformats.org/officeDocument/2006/relationships/hyperlink" Target="https://www.mp.gob.gt/noticias/2017/09/01/mp-incauta-equipo-utilizado-en-frecuencia-ilegal-en-alta-verapaz/" TargetMode="External"/><Relationship Id="rId537" Type="http://schemas.openxmlformats.org/officeDocument/2006/relationships/hyperlink" Target="http://www.cidh.oas.org/Basicos/Spanish/Principiosybuenaspracticas.htm" TargetMode="External"/><Relationship Id="rId558" Type="http://schemas.openxmlformats.org/officeDocument/2006/relationships/hyperlink" Target="http://www.un.org/depts/los/LEGISLATIONANDTREATIES/PDFFILES/GTM_codigo_penal.pdf" TargetMode="External"/><Relationship Id="rId579" Type="http://schemas.openxmlformats.org/officeDocument/2006/relationships/hyperlink" Target="http://docstore.ohchr.org/SelfServices/FilesHandler.ashx?enc=6QkG1d%2FPPRiCAqhKb7yhsiqfk8caYZRrn8MoNjn4orHkCGqxO6Nu%2FXAFc4v8YxseJsuRAp9DK4NbYNjwWByJiwtUJ7gGgcNMsEqzDozUWk9ryKPF6m2PO72hWIelmE%2F9" TargetMode="External"/><Relationship Id="rId80" Type="http://schemas.openxmlformats.org/officeDocument/2006/relationships/hyperlink" Target="https://blog.usaid.gov/2013/03/guatemalas-24-hour-courts-changing-the-way-women-access-justice/" TargetMode="External"/><Relationship Id="rId155" Type="http://schemas.openxmlformats.org/officeDocument/2006/relationships/hyperlink" Target="http://ap.ohchr.org/documents/dpage_e.aspx?si=A/HRC/34/3/Add.1" TargetMode="External"/><Relationship Id="rId176" Type="http://schemas.openxmlformats.org/officeDocument/2006/relationships/hyperlink" Target="http://www.corteidh.or.cr/docs/casos/articulos/seriec_163_esp.pdf" TargetMode="External"/><Relationship Id="rId197" Type="http://schemas.openxmlformats.org/officeDocument/2006/relationships/hyperlink" Target="http://www.politicamigratoria.gob.mx/es/SEGOB/Boletines_Estadisticos" TargetMode="External"/><Relationship Id="rId341" Type="http://schemas.openxmlformats.org/officeDocument/2006/relationships/hyperlink" Target="http://www.oas.org/en/iachr/expression/docs/reports/annual/2012%2003%2021%20Annual%20Report%20RELE%202011pirnting.pdf" TargetMode="External"/><Relationship Id="rId362" Type="http://schemas.openxmlformats.org/officeDocument/2006/relationships/hyperlink" Target="http://www.prensalibre.com/guatemala/justicia/esposa-de-angel-gonzalez-y-seis-mas-con-orden-de-captura-internacional" TargetMode="External"/><Relationship Id="rId383" Type="http://schemas.openxmlformats.org/officeDocument/2006/relationships/hyperlink" Target="http://www.oas.org/es/cidh/prensa/comunicados/2017/011.asp" TargetMode="External"/><Relationship Id="rId418" Type="http://schemas.openxmlformats.org/officeDocument/2006/relationships/hyperlink" Target="http://www.soy502.com/articulo/guardias-armados-algunos-diputados-estaban-infiltrados-protestas-930" TargetMode="External"/><Relationship Id="rId439" Type="http://schemas.openxmlformats.org/officeDocument/2006/relationships/hyperlink" Target="http://www.oas.org/es/cidh/docs/pdfs/SEGURIDAD%20CIUDADANA%202009%20ESP.pdf" TargetMode="External"/><Relationship Id="rId201" Type="http://schemas.openxmlformats.org/officeDocument/2006/relationships/hyperlink" Target="https://www.unodc.org/documents/data-and-analysis/glotip/2016_Global_Report_on_Trafficking_in_Persons.pdf" TargetMode="External"/><Relationship Id="rId222" Type="http://schemas.openxmlformats.org/officeDocument/2006/relationships/hyperlink" Target="https://elperiodico.com.gt/opinion/2017/07/12/otro-comunicador-asesinado/" TargetMode="External"/><Relationship Id="rId243" Type="http://schemas.openxmlformats.org/officeDocument/2006/relationships/hyperlink" Target="https://elperiodico.com.gt/nacion/2017/05/09/inauguran-fiscalias-en-quetzaltenango-2/" TargetMode="External"/><Relationship Id="rId264" Type="http://schemas.openxmlformats.org/officeDocument/2006/relationships/hyperlink" Target="http://www.pen-international.org/centresnews/pen-guatemala-denuncia-las-recientes-agresiones-en-contra-periodistas/" TargetMode="External"/><Relationship Id="rId285" Type="http://schemas.openxmlformats.org/officeDocument/2006/relationships/hyperlink" Target="http://pedrovision-noticias.com/2017/03/04/la-nota-chapina-la-historia-de-la-nota-censurada-sobre-ivan-velasquez-en-contrapoder/" TargetMode="External"/><Relationship Id="rId450" Type="http://schemas.openxmlformats.org/officeDocument/2006/relationships/hyperlink" Target="http://mingob.gob.gt/presuntos-extorsionistas-de-la-clica-solo-para-locos-de-la-mara-18-capturados/" TargetMode="External"/><Relationship Id="rId471" Type="http://schemas.openxmlformats.org/officeDocument/2006/relationships/hyperlink" Target="http://www.oas.org/es/cidh/prensa/comunicados/2017/114A.asp" TargetMode="External"/><Relationship Id="rId506" Type="http://schemas.openxmlformats.org/officeDocument/2006/relationships/hyperlink" Target="http://www.wola.org/sites/default/files/Guia.FINAL_.pdf" TargetMode="External"/><Relationship Id="rId17" Type="http://schemas.openxmlformats.org/officeDocument/2006/relationships/hyperlink" Target="http://www.gt.undp.org/content/guatemala/es/home/countryinfo/" TargetMode="External"/><Relationship Id="rId38" Type="http://schemas.openxmlformats.org/officeDocument/2006/relationships/hyperlink" Target="http://www.oas.org/es/cidh/decisiones/pdf/Resolucion-1-17-es.pdf" TargetMode="External"/><Relationship Id="rId59" Type="http://schemas.openxmlformats.org/officeDocument/2006/relationships/hyperlink" Target="https://www.ijmonitor.org/2016/06/creompaz-hearings-conclude-tribunal-to-determine-if-case-goes-to-trial/" TargetMode="External"/><Relationship Id="rId103" Type="http://schemas.openxmlformats.org/officeDocument/2006/relationships/hyperlink" Target="https://www.mp.gob.gt/noticias/2017/07/19/caso-sepur-zarco-sala-de-apelaciones-confirma-sentencia-condenatoria-obtenida-por-la-fiscalia-de-derechos-humanos/" TargetMode="External"/><Relationship Id="rId124" Type="http://schemas.openxmlformats.org/officeDocument/2006/relationships/hyperlink" Target="http://www.pdh.org.gt/biblioteca/file/2744-informe-anual-circunstanciado-2016.html" TargetMode="External"/><Relationship Id="rId310" Type="http://schemas.openxmlformats.org/officeDocument/2006/relationships/hyperlink" Target="http://mingob.gob.gt/localizan-radio-pirata-en-allanamiento/" TargetMode="External"/><Relationship Id="rId492" Type="http://schemas.openxmlformats.org/officeDocument/2006/relationships/hyperlink" Target="http://relapt.usta.edu.co/images/2006-Ley-de-Regimen-Penitenciario-Decreto-33.pdf" TargetMode="External"/><Relationship Id="rId527" Type="http://schemas.openxmlformats.org/officeDocument/2006/relationships/hyperlink" Target="https://www.scribd.com/document/334188604/Dto-49-2016-Ley-de-Implementacion-Del-Control-Telematico-en-El-Proceso-Penal" TargetMode="External"/><Relationship Id="rId548" Type="http://schemas.openxmlformats.org/officeDocument/2006/relationships/hyperlink" Target="http://www.oas.org/es/cidh/prensa/comunicados/2016/109.asp" TargetMode="External"/><Relationship Id="rId569" Type="http://schemas.openxmlformats.org/officeDocument/2006/relationships/hyperlink" Target="https://www.mp.gob.gt/noticias/2017/08/11/caso-hogar-seguro-mp-solicita-enviar-a-juicio-a-exfuncionarios-por-cinco-delitos/" TargetMode="External"/><Relationship Id="rId70" Type="http://schemas.openxmlformats.org/officeDocument/2006/relationships/hyperlink" Target="http://www.oj.gob.gt/index.php/publicaciones-oj/419-presentan-propuesta-de-reforma-constitucional-en-materia-de-justicia" TargetMode="External"/><Relationship Id="rId91" Type="http://schemas.openxmlformats.org/officeDocument/2006/relationships/hyperlink" Target="http://otrans.blogspot.com/2017/05/pronunciamiento-publico.html" TargetMode="External"/><Relationship Id="rId145" Type="http://schemas.openxmlformats.org/officeDocument/2006/relationships/hyperlink" Target="http://ap.ohchr.org/documents/dpage_e.aspx?si=A/HRC/34/3/Add.1" TargetMode="External"/><Relationship Id="rId166" Type="http://schemas.openxmlformats.org/officeDocument/2006/relationships/hyperlink" Target="http://www.oas.org/es/cidh/defensores/docs/pdf/Operadores-de-Justicia-2013.pdf" TargetMode="External"/><Relationship Id="rId187" Type="http://schemas.openxmlformats.org/officeDocument/2006/relationships/hyperlink" Target="https://www.icj.org/wp-content/uploads/2017/02/Guatemala-Conclusions-of-Mission-News-web-story-2017-SPA.pdf" TargetMode="External"/><Relationship Id="rId331" Type="http://schemas.openxmlformats.org/officeDocument/2006/relationships/hyperlink" Target="http://www.oas.org/en/iachr/expression/docs/reports/annual/LE2005%20ENG.pdf" TargetMode="External"/><Relationship Id="rId352" Type="http://schemas.openxmlformats.org/officeDocument/2006/relationships/hyperlink" Target="http://elperiodico.com.gt/investigacion/2016/07/25/angel-gonzalez-el-encantador-de-presidentes-esta-molesto/" TargetMode="External"/><Relationship Id="rId373" Type="http://schemas.openxmlformats.org/officeDocument/2006/relationships/hyperlink" Target="http://www.fundamedios.org/asi-consiguio-el-fantasma-gonzalez-contratos-con-el-estado-en-guatemala/" TargetMode="External"/><Relationship Id="rId394" Type="http://schemas.openxmlformats.org/officeDocument/2006/relationships/hyperlink" Target="http://www.prensalibre.com/ciudades/santa-rosa/disturbios-en-santa-rosa-de-lima-deja-11-intoxicados" TargetMode="External"/><Relationship Id="rId408" Type="http://schemas.openxmlformats.org/officeDocument/2006/relationships/hyperlink" Target="http://www.20minutos.com.mx/noticia/270259/0/por-protestas-contra-presidente-guatemala-suspende-desfile-patrio/" TargetMode="External"/><Relationship Id="rId429" Type="http://schemas.openxmlformats.org/officeDocument/2006/relationships/hyperlink" Target="http://www.oas.org/es/cidh/expresion/showarticle.asp?artID=931&amp;lID=2" TargetMode="External"/><Relationship Id="rId580" Type="http://schemas.openxmlformats.org/officeDocument/2006/relationships/hyperlink" Target="http://www.bbc.com/news/magazine-30293880" TargetMode="External"/><Relationship Id="rId1" Type="http://schemas.openxmlformats.org/officeDocument/2006/relationships/hyperlink" Target="http://shr.aaas.org/guatemala/ceh/gmds_pdf/cap1.pdf" TargetMode="External"/><Relationship Id="rId212" Type="http://schemas.openxmlformats.org/officeDocument/2006/relationships/hyperlink" Target="http://www.prensalibre.com/guatemala/justicia/unesco-pide-esclarecer-asesinato-de-periodista-en-zacapa" TargetMode="External"/><Relationship Id="rId233" Type="http://schemas.openxmlformats.org/officeDocument/2006/relationships/hyperlink" Target="https://elperiodico.com.gt/nacion/2017/11/06/recomiendan-retirar-inmunidad-a-diputado-senalado-por-muerte-de-dos-periodistas-2/" TargetMode="External"/><Relationship Id="rId254" Type="http://schemas.openxmlformats.org/officeDocument/2006/relationships/hyperlink" Target="http://www.elperiodico.com/es/sociedad/20170402/la-prensa-de-guatemala-recurre-al-silencio-por-miedo-a-politicos-y-criminales-5945561" TargetMode="External"/><Relationship Id="rId440" Type="http://schemas.openxmlformats.org/officeDocument/2006/relationships/hyperlink" Target="http://mingob.gob.gt/bajan-homicidios-en-primer-semestre-de-2017/" TargetMode="External"/><Relationship Id="rId28" Type="http://schemas.openxmlformats.org/officeDocument/2006/relationships/hyperlink" Target="https://www.pdh.org.gt/biblioteca/sala-de-prensa/category/16-comunicados.html?start=60" TargetMode="External"/><Relationship Id="rId49" Type="http://schemas.openxmlformats.org/officeDocument/2006/relationships/hyperlink" Target="http://www.elnuevoherald.com/noticias/mundo/article173297241.html" TargetMode="External"/><Relationship Id="rId114" Type="http://schemas.openxmlformats.org/officeDocument/2006/relationships/hyperlink" Target="http://www.oas.org/es/cidh/prensa/comunicados/2017/088.asp" TargetMode="External"/><Relationship Id="rId275" Type="http://schemas.openxmlformats.org/officeDocument/2006/relationships/hyperlink" Target="http://www.pdh.org.gt/noticias/noticias/pdh-abre-expediente-por-campa%C3%B1a-para-desacreditar-a-periodistas-y-medios-de-informaci%C3%B3n.html" TargetMode="External"/><Relationship Id="rId296" Type="http://schemas.openxmlformats.org/officeDocument/2006/relationships/hyperlink" Target="https://cerigua.org/article/alianza-de-entidades-de-prensa-denuncia-al-estado-/" TargetMode="External"/><Relationship Id="rId300" Type="http://schemas.openxmlformats.org/officeDocument/2006/relationships/hyperlink" Target="https://elperiodico.com.gt/nacion/2017/06/02/entidades-de-prensa-rechazan-propuesta-de-diputada/" TargetMode="External"/><Relationship Id="rId461" Type="http://schemas.openxmlformats.org/officeDocument/2006/relationships/hyperlink" Target="http://www.observatoriodeseguridadciudadanadelasmujeres.org/materiales/INFORME_VCM_C.A..pdf" TargetMode="External"/><Relationship Id="rId482" Type="http://schemas.openxmlformats.org/officeDocument/2006/relationships/hyperlink" Target="http://www.unaids.org/es/regionscountries/countries/guatemala" TargetMode="External"/><Relationship Id="rId517" Type="http://schemas.openxmlformats.org/officeDocument/2006/relationships/hyperlink" Target="http://www.oas.org/es/cidh/informes/pdfs/PrisionPreventiva.pdf" TargetMode="External"/><Relationship Id="rId538" Type="http://schemas.openxmlformats.org/officeDocument/2006/relationships/hyperlink" Target="http://www.un.org/es/comun/docs/?symbol=A/RES/70/175" TargetMode="External"/><Relationship Id="rId559" Type="http://schemas.openxmlformats.org/officeDocument/2006/relationships/hyperlink" Target="http://lahora.gt/4-mil-215-ninos-ninas-estan-institucionalizados-quien-vela-bienestar/" TargetMode="External"/><Relationship Id="rId60" Type="http://schemas.openxmlformats.org/officeDocument/2006/relationships/hyperlink" Target="http://nisgua.org/creompaz-eleven-retired-military-officers-indicted-on-charges-of-crimes-against-humanity/" TargetMode="External"/><Relationship Id="rId81" Type="http://schemas.openxmlformats.org/officeDocument/2006/relationships/hyperlink" Target="http://mingob.gob.gt/inauguran-fiscalia-de-delitos-contra-el-femicidio/" TargetMode="External"/><Relationship Id="rId135" Type="http://schemas.openxmlformats.org/officeDocument/2006/relationships/hyperlink" Target="http://www.cidh.org/medidas/2005.sp.htm" TargetMode="External"/><Relationship Id="rId156" Type="http://schemas.openxmlformats.org/officeDocument/2006/relationships/hyperlink" Target="http://www.oas.org/es/cidh/prensa/comunicados/2017/114A.asp" TargetMode="External"/><Relationship Id="rId177" Type="http://schemas.openxmlformats.org/officeDocument/2006/relationships/hyperlink" Target="https://www.oas.org/es/cidh/defensores/docs/pdf/operadores-de-justicia-2013.pdf" TargetMode="External"/><Relationship Id="rId198" Type="http://schemas.openxmlformats.org/officeDocument/2006/relationships/hyperlink" Target="http://expansion.mx/mundo/2017/05/31/guatemala-abre-sale-en-su-aeropuerto-para-recibir-a-ninos-inmigrantes" TargetMode="External"/><Relationship Id="rId321" Type="http://schemas.openxmlformats.org/officeDocument/2006/relationships/hyperlink" Target="http://www.prensacomunitaria.org/despues-de-mas-de-un-ano-censurada-por-fin-la-radio-comunitaria-snuq-jolom-konoblogra-reabrirse/" TargetMode="External"/><Relationship Id="rId342" Type="http://schemas.openxmlformats.org/officeDocument/2006/relationships/hyperlink" Target="http://www.oas.org/en/iachr/expression/docs/reports/annual/Informe%20Anual%202009%202%20ENG.pdf" TargetMode="External"/><Relationship Id="rId363" Type="http://schemas.openxmlformats.org/officeDocument/2006/relationships/hyperlink" Target="http://www.observacom.org/el-fantasma-gonzalez-rodeado-por-la-justicia-pedido-de-captura-internacional-para-su-esposa-por-caso-cooptacion-del-estado-en-guatemala-2/" TargetMode="External"/><Relationship Id="rId384" Type="http://schemas.openxmlformats.org/officeDocument/2006/relationships/hyperlink" Target="http://www.oas.org/en/iachr/media_center/PReleases/2017/072.asp" TargetMode="External"/><Relationship Id="rId419" Type="http://schemas.openxmlformats.org/officeDocument/2006/relationships/hyperlink" Target="https://www.efe.com/efe/america/politica/constitucional-ordena-respetar-los-derechos-de-manifestantes-en-guatemala/20000035-3381234" TargetMode="External"/><Relationship Id="rId570" Type="http://schemas.openxmlformats.org/officeDocument/2006/relationships/hyperlink" Target="http://www.oas.org/es/cidh/prensa/comunicados/2017/114A.asp" TargetMode="External"/><Relationship Id="rId202" Type="http://schemas.openxmlformats.org/officeDocument/2006/relationships/hyperlink" Target="http://www.prensalibre.com/guatemala/justicia/pdh-pide-proteccion-a-periodistas" TargetMode="External"/><Relationship Id="rId223" Type="http://schemas.openxmlformats.org/officeDocument/2006/relationships/hyperlink" Target="https://cpj.org/blog/2016/12/searching-for-answers-in-murder-cases-amid-violenc.php" TargetMode="External"/><Relationship Id="rId244" Type="http://schemas.openxmlformats.org/officeDocument/2006/relationships/hyperlink" Target="https://cerigua.org/article/thelma-aldana-inauguro-agencia-fiscal-de-delitos-c/" TargetMode="External"/><Relationship Id="rId430" Type="http://schemas.openxmlformats.org/officeDocument/2006/relationships/hyperlink" Target="http://www.oas.org/en/iachr/defenders/docs/pdf/defenders2011.pdf" TargetMode="External"/><Relationship Id="rId18" Type="http://schemas.openxmlformats.org/officeDocument/2006/relationships/hyperlink" Target="http://scalingupnutrition.org/wp-content/uploads/2013/02/Guatemala_PLANOCC_2012_2016.pdf" TargetMode="External"/><Relationship Id="rId39" Type="http://schemas.openxmlformats.org/officeDocument/2006/relationships/hyperlink" Target="https://www.youtube.com/watch?v=RQwJro8iZw0&amp;feature=youtu.be" TargetMode="External"/><Relationship Id="rId265" Type="http://schemas.openxmlformats.org/officeDocument/2006/relationships/hyperlink" Target="https://cerigua.org/article/santa-rosa-periodista-fue-agredido-por-tuctuqueros/" TargetMode="External"/><Relationship Id="rId286" Type="http://schemas.openxmlformats.org/officeDocument/2006/relationships/hyperlink" Target="http://www.prensalibre.com/guatemala/politica/guatevision-denuncia-bloqueo-y-campaa-en-su-contra-por-reciente-coberturas" TargetMode="External"/><Relationship Id="rId451" Type="http://schemas.openxmlformats.org/officeDocument/2006/relationships/hyperlink" Target="http://s21.gt/2016/05/03/historico-operativo-en-contra-extorsionistas/" TargetMode="External"/><Relationship Id="rId472" Type="http://schemas.openxmlformats.org/officeDocument/2006/relationships/hyperlink" Target="http://www.oas.org/es/cidh/informes/pdfs/violencianinez2016.pdf" TargetMode="External"/><Relationship Id="rId493" Type="http://schemas.openxmlformats.org/officeDocument/2006/relationships/hyperlink" Target="http://www.oas.org/es/cidh/ppl/informes/pdfs/Informe-PP-2013-es.pdf" TargetMode="External"/><Relationship Id="rId507" Type="http://schemas.openxmlformats.org/officeDocument/2006/relationships/hyperlink" Target="https://www.youtube.com/watch?v=oPFwd9NK1Js" TargetMode="External"/><Relationship Id="rId528" Type="http://schemas.openxmlformats.org/officeDocument/2006/relationships/hyperlink" Target="http://www.pdh.org.gt/biblioteca/informes/category/9-informes-anuales.html" TargetMode="External"/><Relationship Id="rId549" Type="http://schemas.openxmlformats.org/officeDocument/2006/relationships/hyperlink" Target="http://www.oas.org/es/cidh/prensa/comunicados/2016/109.asp" TargetMode="External"/><Relationship Id="rId50" Type="http://schemas.openxmlformats.org/officeDocument/2006/relationships/hyperlink" Target="http://www.prensalibre.com/guatemala/politica/paro-nacional-el-color-de-la-manifestacion-del-20-de-septiembre" TargetMode="External"/><Relationship Id="rId104" Type="http://schemas.openxmlformats.org/officeDocument/2006/relationships/hyperlink" Target="http://unamg.org/sites/default/files/publicaciones/SEPARATA%20A%20SEIS%20MESES%20DE%20DICTADA%20LA%20SENTENCIA%202_0.pdf" TargetMode="External"/><Relationship Id="rId125" Type="http://schemas.openxmlformats.org/officeDocument/2006/relationships/hyperlink" Target="https://www.amnesty.org/download/Documents/AMR0145622016SPANISH.PDF" TargetMode="External"/><Relationship Id="rId146" Type="http://schemas.openxmlformats.org/officeDocument/2006/relationships/hyperlink" Target="http://www.prensalibre.com/guatemala/san-marcos/lider-comunitario-recobra-su-libertad" TargetMode="External"/><Relationship Id="rId167" Type="http://schemas.openxmlformats.org/officeDocument/2006/relationships/hyperlink" Target="https://www.icj.org/wp-content/uploads/2017/02/Guatemala-Conclusions-of-Mission-News-web-story-2017-SPA.pdf" TargetMode="External"/><Relationship Id="rId188" Type="http://schemas.openxmlformats.org/officeDocument/2006/relationships/hyperlink" Target="https://www.icj.org/wp-content/uploads/2013/06/27Informe-Acceso-a-la-Justicia_Caso-SA-y-LT-Peten.pdf" TargetMode="External"/><Relationship Id="rId311" Type="http://schemas.openxmlformats.org/officeDocument/2006/relationships/hyperlink" Target="http://mingob.gob.gt/otra-radio-pirata-desarticulada/" TargetMode="External"/><Relationship Id="rId332" Type="http://schemas.openxmlformats.org/officeDocument/2006/relationships/hyperlink" Target="http://www.oas.org/en/iachr/expression/docs/reports/annual/Informe%20Anual%202007%202%20ENG.pdf" TargetMode="External"/><Relationship Id="rId353" Type="http://schemas.openxmlformats.org/officeDocument/2006/relationships/hyperlink" Target="http://www.observacom.org/el-fantasma-gonzalez-rodeado-por-la-justicia-pedido-de-captura-internacional-para-su-esposa-por-caso-cooptacion-del-estado-en-guatemala-2/" TargetMode="External"/><Relationship Id="rId374" Type="http://schemas.openxmlformats.org/officeDocument/2006/relationships/hyperlink" Target="http://es.insightcrime.org/noticias-del-dia/vicepresidente-guatemala-controlaba-influenciaba-medios-comunicacion-testigo" TargetMode="External"/><Relationship Id="rId395" Type="http://schemas.openxmlformats.org/officeDocument/2006/relationships/hyperlink" Target="https://www.youtube.com/watch?v=XyaB__On1kI" TargetMode="External"/><Relationship Id="rId409" Type="http://schemas.openxmlformats.org/officeDocument/2006/relationships/hyperlink" Target="https://agn.com.gt/index.php/2017/09/14/presidente-morales-condena-actos-de-violencia-y-atropello-a-celebracion-a-la-patria/" TargetMode="External"/><Relationship Id="rId560" Type="http://schemas.openxmlformats.org/officeDocument/2006/relationships/hyperlink" Target="http://www.unodc.org/gsh/en/data.html" TargetMode="External"/><Relationship Id="rId581" Type="http://schemas.openxmlformats.org/officeDocument/2006/relationships/hyperlink" Target="http://www.oas.org/es/cidh/ppl/docs/pdf/PPL2011esp.pdf" TargetMode="External"/><Relationship Id="rId71" Type="http://schemas.openxmlformats.org/officeDocument/2006/relationships/hyperlink" Target="http://www.pdh.org.gt/biblioteca/file/2744-informe-anual-circunstanciado-2016.html" TargetMode="External"/><Relationship Id="rId92" Type="http://schemas.openxmlformats.org/officeDocument/2006/relationships/hyperlink" Target="http://otrans.blogspot.com/2017/05/pronunciamiento-convencion.html" TargetMode="External"/><Relationship Id="rId213" Type="http://schemas.openxmlformats.org/officeDocument/2006/relationships/hyperlink" Target="http://laopcion.com.mx/noticia/166522" TargetMode="External"/><Relationship Id="rId234" Type="http://schemas.openxmlformats.org/officeDocument/2006/relationships/hyperlink" Target="https://www.soy502.com/articulo/proponen-retirar-inmunidad-diputado-fcn-implicado-asesinato-5313" TargetMode="External"/><Relationship Id="rId420" Type="http://schemas.openxmlformats.org/officeDocument/2006/relationships/hyperlink" Target="http://www.prensalibre.com/guatemala/justicia/cc-amparo-para-los-manifestantes-pdh-convergencia-pnc" TargetMode="External"/><Relationship Id="rId2" Type="http://schemas.openxmlformats.org/officeDocument/2006/relationships/hyperlink" Target="http://www.gt.undp.org/content/guatemala/es/home/library/crisis_prevention_and_recovery/guatemala-memoria-del-silencio.html" TargetMode="External"/><Relationship Id="rId29" Type="http://schemas.openxmlformats.org/officeDocument/2006/relationships/hyperlink" Target="http://www.gt.undp.org/content/guatemala/es/home/ourperspective/ourperspectivearticles/2017/03/22/acceso-al-agua-indispensable-para-el-bienestar.html" TargetMode="External"/><Relationship Id="rId255" Type="http://schemas.openxmlformats.org/officeDocument/2006/relationships/hyperlink" Target="http://cgp.org.gt/asaltan-a-fotoperiodista-de-diario-el-periodico/" TargetMode="External"/><Relationship Id="rId276" Type="http://schemas.openxmlformats.org/officeDocument/2006/relationships/hyperlink" Target="https://www.publinews.gt/gt/noticias/2017/08/29/restringen-acceso-la-prensa-actividad-donde-participo-jimmy-morales.html" TargetMode="External"/><Relationship Id="rId297" Type="http://schemas.openxmlformats.org/officeDocument/2006/relationships/hyperlink" Target="http://www.elclarin.cl/web/noticias/medios-y-periodismo/43-medios/21596-alianza-de-entidades-de-prensa-de-guatemala-en-comunicado-conjunto-denuncia-incumplimiento-del-gobierno.html" TargetMode="External"/><Relationship Id="rId441" Type="http://schemas.openxmlformats.org/officeDocument/2006/relationships/hyperlink" Target="http://www.inacif.gob.gt/index.php?option=com_content&amp;view=article&amp;id=96&amp;Itemid=2" TargetMode="External"/><Relationship Id="rId462" Type="http://schemas.openxmlformats.org/officeDocument/2006/relationships/hyperlink" Target="http://www.observatoriodeseguridadciudadanadelasmujeres.org/materiales/INFORME_VCM_C.A..pdf" TargetMode="External"/><Relationship Id="rId483" Type="http://schemas.openxmlformats.org/officeDocument/2006/relationships/hyperlink" Target="http://www.pdh.org.gt/biblioteca/file/2744-informe-anual-circunstanciado-2016.html" TargetMode="External"/><Relationship Id="rId518" Type="http://schemas.openxmlformats.org/officeDocument/2006/relationships/hyperlink" Target="http://www.oas.org/es/cidh/ppl/informes/pdfs/Informe-PP-2013-es.pdf" TargetMode="External"/><Relationship Id="rId539" Type="http://schemas.openxmlformats.org/officeDocument/2006/relationships/hyperlink" Target="http://www.cidh.oas.org/Basicos/Spanish/Principiosybuenaspracticas.htm" TargetMode="External"/><Relationship Id="rId40" Type="http://schemas.openxmlformats.org/officeDocument/2006/relationships/hyperlink" Target="https://www.un.org/sg/en/content/sg/statement/2017-08-27/statement-attributable-spokesman-secretary-general-guatemala-scroll" TargetMode="External"/><Relationship Id="rId115" Type="http://schemas.openxmlformats.org/officeDocument/2006/relationships/hyperlink" Target="http://udefegua.org/wp-content/uploads/2017/09/201709-Sit-Defensores-DH-SEMESTRAL.pdf" TargetMode="External"/><Relationship Id="rId136" Type="http://schemas.openxmlformats.org/officeDocument/2006/relationships/hyperlink" Target="https://www.amnesty.org/download/Documents/AMR0145622016SPANISH.PDF" TargetMode="External"/><Relationship Id="rId157" Type="http://schemas.openxmlformats.org/officeDocument/2006/relationships/hyperlink" Target="http://www.corteidh.or.cr/docs/casos/articulos/seriec_283_esp.pdf" TargetMode="External"/><Relationship Id="rId178" Type="http://schemas.openxmlformats.org/officeDocument/2006/relationships/hyperlink" Target="https://www.oas.org/es/cidh/defensores/docs/pdf/operadores-de-justicia-2013.pdf" TargetMode="External"/><Relationship Id="rId301" Type="http://schemas.openxmlformats.org/officeDocument/2006/relationships/hyperlink" Target="https://cerigua.org/article/entidades-de-prensa-se-oponen-a-intencion-de-diput/" TargetMode="External"/><Relationship Id="rId322" Type="http://schemas.openxmlformats.org/officeDocument/2006/relationships/hyperlink" Target="https://www.facebook.com/events/1644590422505072/?acontext=%7B%22source%22%3A5%2C%22page_id_source%22%3A204736783240913%2C%22action_history%22%3A%5b%7B%22surface%22%3A%22page%22%2C%22mechanism%22%3A%22main_list%22%2C%22extra_data%22%3A%22%7B%5C%22page_id%5C%22%3A204736783240913%2C%5C%22tour_id%5C%22%3Anull%7D%22%7D%5d%2C%22has_source%22%3Atrue%7D" TargetMode="External"/><Relationship Id="rId343" Type="http://schemas.openxmlformats.org/officeDocument/2006/relationships/hyperlink" Target="http://old.congreso.gob.gt/archivos/decretos/2012/CCXCV0940200010034201205122012.pdf" TargetMode="External"/><Relationship Id="rId364" Type="http://schemas.openxmlformats.org/officeDocument/2006/relationships/hyperlink" Target="http://www.diarioextra.com/Noticia/detalle/295286/orden-de-captura-por-interpol-a-esposa-de-dueno-de-repretel" TargetMode="External"/><Relationship Id="rId550" Type="http://schemas.openxmlformats.org/officeDocument/2006/relationships/hyperlink" Target="http://www.pdh.org.gt/biblioteca/informes/category/9-informes-anuales.html" TargetMode="External"/><Relationship Id="rId61" Type="http://schemas.openxmlformats.org/officeDocument/2006/relationships/hyperlink" Target="http://www.oas.org/es/cidh/defensores/docs/pdf/Operadores-de-Justicia-2013.pdfhttp:/www.oas.org/es/cidh/defensores/docs/pdf/Operadores-de-Justicia-2013.pdf" TargetMode="External"/><Relationship Id="rId82" Type="http://schemas.openxmlformats.org/officeDocument/2006/relationships/hyperlink" Target="http://www.impunitywatch.org/docs/donde_esta_la_justicia_completo-SW.pdf" TargetMode="External"/><Relationship Id="rId199" Type="http://schemas.openxmlformats.org/officeDocument/2006/relationships/hyperlink" Target="https://www.state.gov/j/tip/rls/tiprpt/countries/2016/258775.htm" TargetMode="External"/><Relationship Id="rId203" Type="http://schemas.openxmlformats.org/officeDocument/2006/relationships/hyperlink" Target="http://republica.gt/2017/02/06/pdh-pide-implementar-programa-de-proteccion-periodistas/" TargetMode="External"/><Relationship Id="rId385" Type="http://schemas.openxmlformats.org/officeDocument/2006/relationships/hyperlink" Target="http://www.oas.org/es/cidh/prensa/comunicados/2017/072.asp" TargetMode="External"/><Relationship Id="rId571" Type="http://schemas.openxmlformats.org/officeDocument/2006/relationships/hyperlink" Target="http://lahora.gt/juez-se-excusa-seguir-conociendo-caso-hogar-seguro/" TargetMode="External"/><Relationship Id="rId19" Type="http://schemas.openxmlformats.org/officeDocument/2006/relationships/hyperlink" Target="http://www.unicef.org/guatemala/spanish/panorama.html" TargetMode="External"/><Relationship Id="rId224" Type="http://schemas.openxmlformats.org/officeDocument/2006/relationships/hyperlink" Target="http://www.cicig.org/index.php?mact=News,cntnt01,detail,0&amp;cntnt01articleid=776&amp;cntnt01returnid=67" TargetMode="External"/><Relationship Id="rId245" Type="http://schemas.openxmlformats.org/officeDocument/2006/relationships/hyperlink" Target="http://www.oas.org/en/iachr/reports/pdfs/Guatemala2016-en.pdf" TargetMode="External"/><Relationship Id="rId266" Type="http://schemas.openxmlformats.org/officeDocument/2006/relationships/hyperlink" Target="http://www.pen-international.org/centresnews/pen-guatemala-denounces-attack-against-journalist/" TargetMode="External"/><Relationship Id="rId287" Type="http://schemas.openxmlformats.org/officeDocument/2006/relationships/hyperlink" Target="https://cerigua.org/article/apg-denuncia-que-guatevision-ha-sido-objeto-de-cen/" TargetMode="External"/><Relationship Id="rId410" Type="http://schemas.openxmlformats.org/officeDocument/2006/relationships/hyperlink" Target="http://www.guatevision.com/2017/09/14/urgente-jimmy-morales-arremete-contra-manifestantes/" TargetMode="External"/><Relationship Id="rId431" Type="http://schemas.openxmlformats.org/officeDocument/2006/relationships/hyperlink" Target="http://www.oas.org/en/iachr/docs/annual/2015/doc-en/informeanual2015-cap4a-fuerza-en.pdf" TargetMode="External"/><Relationship Id="rId452" Type="http://schemas.openxmlformats.org/officeDocument/2006/relationships/hyperlink" Target="https://www.publinews.gt/gt/noticias/2017/09/11/megaoperativo-pnc-las-extorsiones-realizan-357-allanamientos.html" TargetMode="External"/><Relationship Id="rId473" Type="http://schemas.openxmlformats.org/officeDocument/2006/relationships/hyperlink" Target="http://www.oas.org/es/cidh/docs/anual/2016/docs/InformeAnual2016cap.5-Guatemala-es.pdf" TargetMode="External"/><Relationship Id="rId494" Type="http://schemas.openxmlformats.org/officeDocument/2006/relationships/hyperlink" Target="http://www.oas.org/es/cidh/informes/pdfs/PrisionPreventiva.pdf" TargetMode="External"/><Relationship Id="rId508" Type="http://schemas.openxmlformats.org/officeDocument/2006/relationships/hyperlink" Target="https://www.tni.org/files/publication-downloads/idpc-briefing-paper_alternatives-to-incarceration-in-la_spanish.pdf" TargetMode="External"/><Relationship Id="rId529" Type="http://schemas.openxmlformats.org/officeDocument/2006/relationships/hyperlink" Target="http://www.oas.org/es/cidh/ppl/informes/pdfs/Informe-PP-2013-es.pdf" TargetMode="External"/><Relationship Id="rId30" Type="http://schemas.openxmlformats.org/officeDocument/2006/relationships/hyperlink" Target="http://www.mintrabajo.gob.gt/index.php/nota-principal/6085-ferias-del-trabajo-reducen-tasa-de-desempleo-e-informalidad-en-guatemala.html" TargetMode="External"/><Relationship Id="rId105" Type="http://schemas.openxmlformats.org/officeDocument/2006/relationships/hyperlink" Target="http://www.pdh.org.gt/biblioteca/file/2744-informe-anual-circunstanciado-2016.html" TargetMode="External"/><Relationship Id="rId126" Type="http://schemas.openxmlformats.org/officeDocument/2006/relationships/hyperlink" Target="http://www.oas.org/es/cidh/prensa/comunicados/2017/114A.asp" TargetMode="External"/><Relationship Id="rId147" Type="http://schemas.openxmlformats.org/officeDocument/2006/relationships/hyperlink" Target="http://www.prensalibre.com/guatemala/san-marcos/lider-comunitario-recobra-su-libertad" TargetMode="External"/><Relationship Id="rId168" Type="http://schemas.openxmlformats.org/officeDocument/2006/relationships/hyperlink" Target="https://www.icj.org/wp-content/uploads/2017/02/Guatemala-Conclusions-of-Mission-News-web-story-2017-SPA.pdf" TargetMode="External"/><Relationship Id="rId312" Type="http://schemas.openxmlformats.org/officeDocument/2006/relationships/hyperlink" Target="https://www.mp.gob.gt/noticias/2017/03/09/agencia-que-investiga-delitos-relacionados-a-frecuencias-ilegales-coordino-diligencia-en-escuintla/" TargetMode="External"/><Relationship Id="rId333" Type="http://schemas.openxmlformats.org/officeDocument/2006/relationships/hyperlink" Target="http://cidh.oas.org/annualrep/2008eng/Annual%20Report%202008-%20RELE%20-%20version%20final.pdf" TargetMode="External"/><Relationship Id="rId354" Type="http://schemas.openxmlformats.org/officeDocument/2006/relationships/hyperlink" Target="http://www.proceso.com.mx/443136/magnate-mexicano-medios-vinculado-red-corrupcion-en-guatemala" TargetMode="External"/><Relationship Id="rId540" Type="http://schemas.openxmlformats.org/officeDocument/2006/relationships/hyperlink" Target="http://www.un.org/es/comun/docs/?symbol=A/RES/70/175" TargetMode="External"/><Relationship Id="rId51" Type="http://schemas.openxmlformats.org/officeDocument/2006/relationships/hyperlink" Target="http://www.guatevision.com/2017/10/12/onu-visa-ivan-velasquez/" TargetMode="External"/><Relationship Id="rId72" Type="http://schemas.openxmlformats.org/officeDocument/2006/relationships/hyperlink" Target="http://www.cicig.org/index.php?mact=News,cntnt01,detail,0&amp;cntnt01articleid=735&amp;cntnt01returnid=67" TargetMode="External"/><Relationship Id="rId93" Type="http://schemas.openxmlformats.org/officeDocument/2006/relationships/hyperlink" Target="http://www.congreso.gob.gt/noticias.php?id=8544" TargetMode="External"/><Relationship Id="rId189" Type="http://schemas.openxmlformats.org/officeDocument/2006/relationships/hyperlink" Target="https://www.icj.org/wp-content/uploads/2017/02/Guatemala-Conclusions-of-Mission-News-web-story-2017-SPA.pdf" TargetMode="External"/><Relationship Id="rId375" Type="http://schemas.openxmlformats.org/officeDocument/2006/relationships/hyperlink" Target="http://www.prensalibre.com/guatemala/justicia/continua-declaracion-de-salvador-gonzalez-por-caso-de-cooptacion" TargetMode="External"/><Relationship Id="rId396" Type="http://schemas.openxmlformats.org/officeDocument/2006/relationships/hyperlink" Target="http://www.prensalibre.com/guatemala/justicia/csj-suspende-licencia-de-operacion-de-minera-san-rafael" TargetMode="External"/><Relationship Id="rId561" Type="http://schemas.openxmlformats.org/officeDocument/2006/relationships/hyperlink" Target="http://www.ohchr.org/EN/HRBodies/Pages/GC.aspx" TargetMode="External"/><Relationship Id="rId582" Type="http://schemas.openxmlformats.org/officeDocument/2006/relationships/hyperlink" Target="http://www.ohchr.org/Documents/HRBodies/HRCouncil/RegularSession/Session22/A-HRC-22-53_sp.pdf" TargetMode="External"/><Relationship Id="rId3" Type="http://schemas.openxmlformats.org/officeDocument/2006/relationships/hyperlink" Target="http://www.ine.gob.gt/index.php/estadisticas/caracterizacion-estadistica" TargetMode="External"/><Relationship Id="rId214" Type="http://schemas.openxmlformats.org/officeDocument/2006/relationships/hyperlink" Target="https://cerigua.org/article/joven-locutora-asesinada-en-quetzaltenango/" TargetMode="External"/><Relationship Id="rId235" Type="http://schemas.openxmlformats.org/officeDocument/2006/relationships/hyperlink" Target="http://www.guatevision.com/2017/11/06/inmunidad-julio-juarez/" TargetMode="External"/><Relationship Id="rId256" Type="http://schemas.openxmlformats.org/officeDocument/2006/relationships/hyperlink" Target="http://www.cimacnoticias.com.mx/noticia/guatemala-amenazas-contra-periodista-marielos-monz-n" TargetMode="External"/><Relationship Id="rId277" Type="http://schemas.openxmlformats.org/officeDocument/2006/relationships/hyperlink" Target="http://cgp.org.gt/periodistas-denuncian-agresiones-de-miembros-de-la-saas/" TargetMode="External"/><Relationship Id="rId298" Type="http://schemas.openxmlformats.org/officeDocument/2006/relationships/hyperlink" Target="http://www.sipiapa.org/notas/1211252-guatemala" TargetMode="External"/><Relationship Id="rId400" Type="http://schemas.openxmlformats.org/officeDocument/2006/relationships/hyperlink" Target="http://www.prensalibre.com/ciudades/jutiapa/disturbios-maestros-detenidos-y-policias-heridos-en-jornada-de-protestas" TargetMode="External"/><Relationship Id="rId421" Type="http://schemas.openxmlformats.org/officeDocument/2006/relationships/hyperlink" Target="https://twitter.com/jimmymoralesgt" TargetMode="External"/><Relationship Id="rId442" Type="http://schemas.openxmlformats.org/officeDocument/2006/relationships/hyperlink" Target="http://www.inacif.gob.gt/docs/estadisticas/anual/AnualM2016.pdf" TargetMode="External"/><Relationship Id="rId463" Type="http://schemas.openxmlformats.org/officeDocument/2006/relationships/hyperlink" Target="http://www.oas.org/es/cidh/prensa/comunicados/2017/114A.asp" TargetMode="External"/><Relationship Id="rId484" Type="http://schemas.openxmlformats.org/officeDocument/2006/relationships/hyperlink" Target="https://actualidad.rt.com/actualidad/248128-guatemala-analiza-volver-aplicar-pena-muerte" TargetMode="External"/><Relationship Id="rId519" Type="http://schemas.openxmlformats.org/officeDocument/2006/relationships/hyperlink" Target="http://www.pdh.org.gt/biblioteca/informes/category/9-informes-anuales.html" TargetMode="External"/><Relationship Id="rId116" Type="http://schemas.openxmlformats.org/officeDocument/2006/relationships/hyperlink" Target="http://www.corteidh.or.cr/docs/casos/articulos/seriec_283_esp.pdf" TargetMode="External"/><Relationship Id="rId137" Type="http://schemas.openxmlformats.org/officeDocument/2006/relationships/hyperlink" Target="http://www.oas.org/es/cidh/informes/pdfs/criminalizacion2016.pdf" TargetMode="External"/><Relationship Id="rId158" Type="http://schemas.openxmlformats.org/officeDocument/2006/relationships/hyperlink" Target="http://www.europarl.europa.eu/sides/getDoc.do?pubRef=-//EP//NONSGML+TA+P8-TA-2017-0045+0+DOC+PDF+V0//ES" TargetMode="External"/><Relationship Id="rId302" Type="http://schemas.openxmlformats.org/officeDocument/2006/relationships/hyperlink" Target="https://cerigua.org/article/vicepresidente-escucha-propuesta-de-programa-de-pr/" TargetMode="External"/><Relationship Id="rId323" Type="http://schemas.openxmlformats.org/officeDocument/2006/relationships/hyperlink" Target="http://www.oas.org/en/iachr/expression/docs/reports/annual/AnnualReport2015RELE.pdf" TargetMode="External"/><Relationship Id="rId344" Type="http://schemas.openxmlformats.org/officeDocument/2006/relationships/hyperlink" Target="http://www.cicig.org/uploads/documents/2015/informe_financiamiento_politicagt.pdf" TargetMode="External"/><Relationship Id="rId530" Type="http://schemas.openxmlformats.org/officeDocument/2006/relationships/hyperlink" Target="http://www.oas.org/es/cidh/informes/pdfs/PrisionPreventiva.pdf" TargetMode="External"/><Relationship Id="rId20" Type="http://schemas.openxmlformats.org/officeDocument/2006/relationships/hyperlink" Target="http://www.prensalibre.com/guatemala/comunitario/nios-desnutridos-suman-un-millon" TargetMode="External"/><Relationship Id="rId41" Type="http://schemas.openxmlformats.org/officeDocument/2006/relationships/hyperlink" Target="http://www.prensalibre.com/guatemala/politica/congreso-protege-por-segunda-vez-la-inmunidad-de-jimmy-morales" TargetMode="External"/><Relationship Id="rId62" Type="http://schemas.openxmlformats.org/officeDocument/2006/relationships/hyperlink" Target="http://www.oas.org/es/cidh/prensa/comunicados/2014/041.asp" TargetMode="External"/><Relationship Id="rId83" Type="http://schemas.openxmlformats.org/officeDocument/2006/relationships/hyperlink" Target="http://www.albedrio.org/htm/otrosdocs/comunicados/GAM-SituacionViolenciaNinezAdolescencia%202016.pdf" TargetMode="External"/><Relationship Id="rId179" Type="http://schemas.openxmlformats.org/officeDocument/2006/relationships/hyperlink" Target="http://publications.iom.int/system/files/pdf/mpguatemala_11july2013.pdf" TargetMode="External"/><Relationship Id="rId365" Type="http://schemas.openxmlformats.org/officeDocument/2006/relationships/hyperlink" Target="http://www.estrategiaynegocios.net/lasclavesdeldia/998185-330/guatemala-interpol-emite-alerta-roja-contra-la-esposa-del-magnate-televisivo-%C3%A1ngel" TargetMode="External"/><Relationship Id="rId386" Type="http://schemas.openxmlformats.org/officeDocument/2006/relationships/hyperlink" Target="http://www.oas.org/en/iachr/media_center/PReleases/2017/035A.asp" TargetMode="External"/><Relationship Id="rId551" Type="http://schemas.openxmlformats.org/officeDocument/2006/relationships/hyperlink" Target="http://www.oas.org/es/cidh/prensa/comunicados/2016/151.asp" TargetMode="External"/><Relationship Id="rId572" Type="http://schemas.openxmlformats.org/officeDocument/2006/relationships/hyperlink" Target="http://www.oas.org/es/cidh/decisiones/pdf/2017/8-17MC958-16-GU.pdf" TargetMode="External"/><Relationship Id="rId190" Type="http://schemas.openxmlformats.org/officeDocument/2006/relationships/hyperlink" Target="https://www.icj.org/wp-content/uploads/2013/06/27Informe-Acceso-a-la-Justicia_Caso-SA-y-LT-Peten.pdf" TargetMode="External"/><Relationship Id="rId204" Type="http://schemas.openxmlformats.org/officeDocument/2006/relationships/hyperlink" Target="https://cerigua.org/article/estado-de-situacion-de-la-libertad-de-expresion-pr/" TargetMode="External"/><Relationship Id="rId225" Type="http://schemas.openxmlformats.org/officeDocument/2006/relationships/hyperlink" Target="http://www.prensalibre.com/guatemala/justicia/diputado-julio-juarez-habria-ordenado-el-asesinato-de-periodista-danilo-lopez" TargetMode="External"/><Relationship Id="rId246" Type="http://schemas.openxmlformats.org/officeDocument/2006/relationships/hyperlink" Target="http://www.cidh.org/relatoria/section/asesinato%20de%20periodistas%20ingles.pdf" TargetMode="External"/><Relationship Id="rId267" Type="http://schemas.openxmlformats.org/officeDocument/2006/relationships/hyperlink" Target="http://www.prensalibre.com/guatemala/politica/jimmy-morales-dice-que-no-tiene-que-defender-a-la-cicig" TargetMode="External"/><Relationship Id="rId288" Type="http://schemas.openxmlformats.org/officeDocument/2006/relationships/hyperlink" Target="http://www.oas.org/en/iachr/expression/docs/reports/annual/Annual%20Report%202014.pdf" TargetMode="External"/><Relationship Id="rId411" Type="http://schemas.openxmlformats.org/officeDocument/2006/relationships/hyperlink" Target="http://www.guatevision.com/2017/09/16/festejos-independencia-marcados-manifestaciones-anticorrupcion/" TargetMode="External"/><Relationship Id="rId432" Type="http://schemas.openxmlformats.org/officeDocument/2006/relationships/hyperlink" Target="http://www.pdh.org.gt/biblioteca/category/90-informes-anuales.html" TargetMode="External"/><Relationship Id="rId453" Type="http://schemas.openxmlformats.org/officeDocument/2006/relationships/hyperlink" Target="https://twitter.com/MPguatemala/status/907254387692765184" TargetMode="External"/><Relationship Id="rId474" Type="http://schemas.openxmlformats.org/officeDocument/2006/relationships/hyperlink" Target="http://redlactrans.org.ar/site/wp-content/uploads/2016/01/Informe-COMPLETO.pdf" TargetMode="External"/><Relationship Id="rId509" Type="http://schemas.openxmlformats.org/officeDocument/2006/relationships/hyperlink" Target="http://www.drogasyderecho.org/publicaciones/pub-col/las-cortes-de-drogas.pdf" TargetMode="External"/><Relationship Id="rId106" Type="http://schemas.openxmlformats.org/officeDocument/2006/relationships/hyperlink" Target="http://www.oas.org/es/cidh/docs/anual/2016/docs/InformeAnual2016cap.5-Guatemala-es.pdf" TargetMode="External"/><Relationship Id="rId127" Type="http://schemas.openxmlformats.org/officeDocument/2006/relationships/hyperlink" Target="http://www.pdh.org.gt/biblioteca/file/2744-informe-anual-circunstanciado-2016.html" TargetMode="External"/><Relationship Id="rId313" Type="http://schemas.openxmlformats.org/officeDocument/2006/relationships/hyperlink" Target="https://www.mp.gob.gt/noticias/2016/03/08/mp-coordina-allanamientos-por-utilizacion-de-frecuencias-ilegales-en-alta-verapaz/" TargetMode="External"/><Relationship Id="rId495" Type="http://schemas.openxmlformats.org/officeDocument/2006/relationships/hyperlink" Target="http://www.oas.org/es/cidh/ppl/informes/pdfs/Informe-PP-2013-es.pdf" TargetMode="External"/><Relationship Id="rId10" Type="http://schemas.openxmlformats.org/officeDocument/2006/relationships/hyperlink" Target="http://www.ohchr.org/SP/Issues/poverty/Pages/DGPIntroduction.aspx" TargetMode="External"/><Relationship Id="rId31" Type="http://schemas.openxmlformats.org/officeDocument/2006/relationships/hyperlink" Target="http://www.prensalibre.com/guatemala/politica/empleo-informal-sube-a-699-en-el-2016" TargetMode="External"/><Relationship Id="rId52" Type="http://schemas.openxmlformats.org/officeDocument/2006/relationships/hyperlink" Target="http://www.oas.org/en/iachr/media_center/PReleases/2017/174.asp" TargetMode="External"/><Relationship Id="rId73" Type="http://schemas.openxmlformats.org/officeDocument/2006/relationships/hyperlink" Target="http://www.cicig.org/index.php?mact=News,cntnt01,detail,0&amp;cntnt01articleid=687&amp;cntnt01returnid=67" TargetMode="External"/><Relationship Id="rId94" Type="http://schemas.openxmlformats.org/officeDocument/2006/relationships/hyperlink" Target="http://www.oas.org/es/cidh/informes/pdfs/ViolenciaPersonasLGBTI.pdf" TargetMode="External"/><Relationship Id="rId148" Type="http://schemas.openxmlformats.org/officeDocument/2006/relationships/hyperlink" Target="https://mail.oas.org/owa/redir.aspx?C=62fefbc6272441afbe18962d06ceb731&amp;URL=http%3a%2f%2fwww.corteidh.or.cr%2fdocs%2fcasos%2farticulos%2fseriec_283_esp.pdf" TargetMode="External"/><Relationship Id="rId169" Type="http://schemas.openxmlformats.org/officeDocument/2006/relationships/hyperlink" Target="http://www.oas.org/es/cidh/decisiones/pdf/2016/MC497-16-ES.pdf" TargetMode="External"/><Relationship Id="rId334" Type="http://schemas.openxmlformats.org/officeDocument/2006/relationships/hyperlink" Target="http://www.oas.org/en/iachr/expression/docs/reports/annual/Informe%20Anual%202009%202%20ENG.pdf" TargetMode="External"/><Relationship Id="rId355" Type="http://schemas.openxmlformats.org/officeDocument/2006/relationships/hyperlink" Target="http://www.observacom.org/angel-gonzalez-recibio-us-27-millones-de-publicidad-oficial-tras-financiar-ilicitamente-campana-presidencial-de-otto-perez-molina-en-guatemala/" TargetMode="External"/><Relationship Id="rId376" Type="http://schemas.openxmlformats.org/officeDocument/2006/relationships/hyperlink" Target="http://www.resumenlatinoamericano.org/2017/01/18/guatemala-un-campesino-asesinado-por-policias-y-paramilitares-en-una-manifestacion-contra-hidroelectrica/" TargetMode="External"/><Relationship Id="rId397" Type="http://schemas.openxmlformats.org/officeDocument/2006/relationships/hyperlink" Target="https://elperiodico.com.gt/nacion/2017/07/06/csj-suspende-licenciasde-explotacion-minera-a-empresa-minera-san-rafael-s-a/" TargetMode="External"/><Relationship Id="rId520" Type="http://schemas.openxmlformats.org/officeDocument/2006/relationships/hyperlink" Target="http://www.pdh.org.gt/biblioteca/file/805-informe-anual-circunstanciado-situacion-de-los-derechos-humanos-y-memoria-de-labores-2015.html" TargetMode="External"/><Relationship Id="rId541" Type="http://schemas.openxmlformats.org/officeDocument/2006/relationships/hyperlink" Target="http://www.pdh.org.gt/biblioteca/informes/category/9-informes-anuales.html" TargetMode="External"/><Relationship Id="rId562" Type="http://schemas.openxmlformats.org/officeDocument/2006/relationships/hyperlink" Target="http://lahora.gt/73-ciento-los-jovenes-privados-libertad-provienen-del-area-metropolitana/" TargetMode="External"/><Relationship Id="rId583" Type="http://schemas.openxmlformats.org/officeDocument/2006/relationships/hyperlink" Target="http://www.pdh.org.gt/biblioteca/informes/category/9-informes-anuales.html" TargetMode="External"/><Relationship Id="rId4" Type="http://schemas.openxmlformats.org/officeDocument/2006/relationships/hyperlink" Target="http://www.ine.gob.gt/index.php/estadisticas/caracterizacion-estadistica" TargetMode="External"/><Relationship Id="rId180" Type="http://schemas.openxmlformats.org/officeDocument/2006/relationships/hyperlink" Target="http://theredddesk.org/sites/default/files/ric_2005.pdf" TargetMode="External"/><Relationship Id="rId215" Type="http://schemas.openxmlformats.org/officeDocument/2006/relationships/hyperlink" Target="https://cerigua.org/article/cerigua-condena-el-vil-asesinato-de-comunicador-en/" TargetMode="External"/><Relationship Id="rId236" Type="http://schemas.openxmlformats.org/officeDocument/2006/relationships/hyperlink" Target="https://www.mp.gob.gt/noticias/2017/06/15/un-total-de-81-medios-de-prueba-seran-utilizados-en-juicio-contra-implicados-en-muerte-de-periodistas/" TargetMode="External"/><Relationship Id="rId257" Type="http://schemas.openxmlformats.org/officeDocument/2006/relationships/hyperlink" Target="http://www.sipiapa.org/notas/1211557-guatemala-denuncian-amenaza-e-intimidacion-contra-periodista" TargetMode="External"/><Relationship Id="rId278" Type="http://schemas.openxmlformats.org/officeDocument/2006/relationships/hyperlink" Target="http://www.oas.org/en/iachr/expression/showarticle.asp?artID=987&amp;lID=1" TargetMode="External"/><Relationship Id="rId401" Type="http://schemas.openxmlformats.org/officeDocument/2006/relationships/hyperlink" Target="https://elorbe.com/portada/2017/08/27/caos-en-la-frontera-por-bloqueos-y-protestas-de-maestros-en-guatemala.html" TargetMode="External"/><Relationship Id="rId422" Type="http://schemas.openxmlformats.org/officeDocument/2006/relationships/hyperlink" Target="https://twitter.com/GuatemalaGob/status/909155506601779200" TargetMode="External"/><Relationship Id="rId443" Type="http://schemas.openxmlformats.org/officeDocument/2006/relationships/hyperlink" Target="http://www.inacif.gob.gt/index.php?option=com_content&amp;view=article&amp;id=96&amp;Itemid=2" TargetMode="External"/><Relationship Id="rId464" Type="http://schemas.openxmlformats.org/officeDocument/2006/relationships/hyperlink" Target="http://files.unicef.org/publications/files/Hidden_in_plain_sight_statistical_analysis_EN_3_Sept_2014.pdf" TargetMode="External"/><Relationship Id="rId303" Type="http://schemas.openxmlformats.org/officeDocument/2006/relationships/hyperlink" Target="https://cerigua.org/article/ileana-alamilla-hace-lobby-en-ginebra-por-el-progr/" TargetMode="External"/><Relationship Id="rId485" Type="http://schemas.openxmlformats.org/officeDocument/2006/relationships/hyperlink" Target="https://www.efe.com/efe/america/sociedad/la-corte-de-constitucionalidad-guatemala-anula-pena-muerte-cinco-delitos/20000013-3420629" TargetMode="External"/><Relationship Id="rId42" Type="http://schemas.openxmlformats.org/officeDocument/2006/relationships/hyperlink" Target="http://www.prensalibre.com/guatemala/politica/renuncian-ministros-de-finanzas-gobernacion-y-de-trabajo" TargetMode="External"/><Relationship Id="rId84" Type="http://schemas.openxmlformats.org/officeDocument/2006/relationships/hyperlink" Target="http://www.oas.org/es/cidh/decisiones/pdf/2017/17-17MC161-17-GU.pdf" TargetMode="External"/><Relationship Id="rId138" Type="http://schemas.openxmlformats.org/officeDocument/2006/relationships/hyperlink" Target="http://www.oas.org/es/cidh/prensa/comunicados/2017/114A.asp" TargetMode="External"/><Relationship Id="rId345" Type="http://schemas.openxmlformats.org/officeDocument/2006/relationships/hyperlink" Target="http://www.palermo.edu/cele/pdf/Regulaciones/GuatemalaLeDTelecomunicaciones(1996).pdf" TargetMode="External"/><Relationship Id="rId387" Type="http://schemas.openxmlformats.org/officeDocument/2006/relationships/hyperlink" Target="https://www.youtube.com/watch?v=3TW9U6qI-fA" TargetMode="External"/><Relationship Id="rId510" Type="http://schemas.openxmlformats.org/officeDocument/2006/relationships/hyperlink" Target="http://www.diputados.gob.mx/LeyesBiblio/declara/cnpp/CNPP_orig_05mar14.pdf." TargetMode="External"/><Relationship Id="rId552" Type="http://schemas.openxmlformats.org/officeDocument/2006/relationships/hyperlink" Target="http://www.prensalibre.com/guatemala/justicia/cicig-advierte-sobre-riesgo-al-funcionar-carceles-en-las-instalaciones-militares" TargetMode="External"/><Relationship Id="rId191" Type="http://schemas.openxmlformats.org/officeDocument/2006/relationships/hyperlink" Target="http://www.oas.org/es/cidh/prensa/comunicados/2017/114A.asp" TargetMode="External"/><Relationship Id="rId205" Type="http://schemas.openxmlformats.org/officeDocument/2006/relationships/hyperlink" Target="http://www.oas.org/en/iachr/reports/pdfs/Guatemala2016-en.pdf" TargetMode="External"/><Relationship Id="rId247" Type="http://schemas.openxmlformats.org/officeDocument/2006/relationships/hyperlink" Target="http://www.cidh.oas.org/relatoria/section/Asesinato%20de%20Periodsitas.pdf" TargetMode="External"/><Relationship Id="rId412" Type="http://schemas.openxmlformats.org/officeDocument/2006/relationships/hyperlink" Target="http://www.prensalibre.com/guatemala/justicia/cc-amparo-para-los-manifestantes-pdh-convergencia-pnc" TargetMode="External"/><Relationship Id="rId107" Type="http://schemas.openxmlformats.org/officeDocument/2006/relationships/hyperlink" Target="https://www.interpol.int/es/notice/search/wanted/2017-16771" TargetMode="External"/><Relationship Id="rId289" Type="http://schemas.openxmlformats.org/officeDocument/2006/relationships/hyperlink" Target="http://www.oas.org/es/cidh/expresion/docs/informes/anuales/Informe%20Anual%202014.pdf" TargetMode="External"/><Relationship Id="rId454" Type="http://schemas.openxmlformats.org/officeDocument/2006/relationships/hyperlink" Target="https://twitter.com/mingobguate/status/907227046044200960" TargetMode="External"/><Relationship Id="rId496" Type="http://schemas.openxmlformats.org/officeDocument/2006/relationships/hyperlink" Target="http://www.oas.org/es/cidh/informes/pdfs/PrisionPreventiva.pdf" TargetMode="External"/><Relationship Id="rId11" Type="http://schemas.openxmlformats.org/officeDocument/2006/relationships/hyperlink" Target="https://www.ine.gob.gt/sistema/uploads/2015/12/11/vjNVdb4IZswOj0ZtuivPIcaAXet8LZqZ.pdf" TargetMode="External"/><Relationship Id="rId53" Type="http://schemas.openxmlformats.org/officeDocument/2006/relationships/hyperlink" Target="http://www.oas.org/es/cidh/docs/pdfs/SEGURIDAD%20CIUDADANA%202009%20ESP.pdf" TargetMode="External"/><Relationship Id="rId149" Type="http://schemas.openxmlformats.org/officeDocument/2006/relationships/hyperlink" Target="https://www.youtube.com/watch?v=yuVmLG9gkmE&amp;t=5s" TargetMode="External"/><Relationship Id="rId314" Type="http://schemas.openxmlformats.org/officeDocument/2006/relationships/hyperlink" Target="https://www.mp.gob.gt/noticias/2017/03/09/agencia-que-investiga-delitos-relacionados-a-frecuencias-ilegales-coordino-diligencia-en-escuintla/" TargetMode="External"/><Relationship Id="rId356" Type="http://schemas.openxmlformats.org/officeDocument/2006/relationships/hyperlink" Target="http://www.cicig.org/index.php?mact=News,cntnt01,detail,0&amp;cntnt01articleid=723&amp;cntnt01returnid=68" TargetMode="External"/><Relationship Id="rId398" Type="http://schemas.openxmlformats.org/officeDocument/2006/relationships/hyperlink" Target="http://www.prensalibre.com/ciudades/santa-rosa/enfrentamiento-entre-pobladores-y-pnc-deja-varios-intoxicados" TargetMode="External"/><Relationship Id="rId521" Type="http://schemas.openxmlformats.org/officeDocument/2006/relationships/hyperlink" Target="http://www.oas.org/es/cidh/ppl/docs/pdf/PPL2011esp.pdf" TargetMode="External"/><Relationship Id="rId563" Type="http://schemas.openxmlformats.org/officeDocument/2006/relationships/hyperlink" Target="http://www.oas.org/es/cidh/informes/pdfs/violencianinez2016.pdf" TargetMode="External"/><Relationship Id="rId95" Type="http://schemas.openxmlformats.org/officeDocument/2006/relationships/hyperlink" Target="http://fadep.org/principal/guatemala-ine-anuncia-censo-de-poblacion-para-el-2017/" TargetMode="External"/><Relationship Id="rId160" Type="http://schemas.openxmlformats.org/officeDocument/2006/relationships/hyperlink" Target="http://www.oas.org/es/cidh/prensa/comunicados/2017/114A.asp" TargetMode="External"/><Relationship Id="rId216" Type="http://schemas.openxmlformats.org/officeDocument/2006/relationships/hyperlink" Target="https://elperiodico.com.gt/opinion/2017/07/12/otro-comunicador-asesinado/" TargetMode="External"/><Relationship Id="rId423" Type="http://schemas.openxmlformats.org/officeDocument/2006/relationships/hyperlink" Target="https://www.facebook.com/guatemalagob/videos/1786593791369648/" TargetMode="External"/><Relationship Id="rId258" Type="http://schemas.openxmlformats.org/officeDocument/2006/relationships/hyperlink" Target="https://cerigua.org/article/centro-pen-guatemala-se-solidariza-con-marielos-mo/" TargetMode="External"/><Relationship Id="rId465" Type="http://schemas.openxmlformats.org/officeDocument/2006/relationships/hyperlink" Target="http://www.oas.org/es/cidh/informes/pdfs/violencianinez2016.pdf" TargetMode="External"/><Relationship Id="rId22" Type="http://schemas.openxmlformats.org/officeDocument/2006/relationships/hyperlink" Target="http://childfundannualguatemala.org/es/" TargetMode="External"/><Relationship Id="rId64" Type="http://schemas.openxmlformats.org/officeDocument/2006/relationships/hyperlink" Target="http://www.oas.org/es/cidh/defensores/docs/pdf/Operadores-de-Justicia-2013.pdfhttp:/www.oas.org/es/cidh/defensores/docs/pdf/Operadores-de-Justicia-2013.pdf" TargetMode="External"/><Relationship Id="rId118" Type="http://schemas.openxmlformats.org/officeDocument/2006/relationships/hyperlink" Target="http://udefegua.org/wp-content/uploads/2017/05/Informe-Genaral-2016-FINAL6.pdf" TargetMode="External"/><Relationship Id="rId325" Type="http://schemas.openxmlformats.org/officeDocument/2006/relationships/hyperlink" Target="http://www.oas.org/es/cidh/expresion/showarticle.asp?artID=30&amp;lID=2" TargetMode="External"/><Relationship Id="rId367" Type="http://schemas.openxmlformats.org/officeDocument/2006/relationships/hyperlink" Target="https://elperiodico.com.gt/nacion/2017/02/08/nota-5-5/" TargetMode="External"/><Relationship Id="rId532" Type="http://schemas.openxmlformats.org/officeDocument/2006/relationships/hyperlink" Target="http://www.pdh.org.gt/biblioteca/informes/category/9-informes-anuales.html" TargetMode="External"/><Relationship Id="rId574" Type="http://schemas.openxmlformats.org/officeDocument/2006/relationships/hyperlink" Target="https://www.ine.gob.gt/sistema/uploads/2014/02/20/jZqeGe1H9WdUDngYXkWt3GIhUUQCukcg.pdf" TargetMode="External"/><Relationship Id="rId171" Type="http://schemas.openxmlformats.org/officeDocument/2006/relationships/hyperlink" Target="http://www.oas.org/es/cidh/decisiones/pdf/2016/MC366-16-ES.pdf" TargetMode="External"/><Relationship Id="rId227" Type="http://schemas.openxmlformats.org/officeDocument/2006/relationships/hyperlink" Target="https://www.mp.gob.gt/noticias/2017/02/01/sindicados-en-crimen-de-periodistas-son-ligados-a-proceso-penal/" TargetMode="External"/><Relationship Id="rId269" Type="http://schemas.openxmlformats.org/officeDocument/2006/relationships/hyperlink" Target="http://www.sipiapa.org/notas/1211252-guatemala" TargetMode="External"/><Relationship Id="rId434" Type="http://schemas.openxmlformats.org/officeDocument/2006/relationships/hyperlink" Target="https://elperiodico.com.gt/nacion/2017/07/21/pdh-y-mp-fortaleceran-ley-de-acceso-a-la-informacion/" TargetMode="External"/><Relationship Id="rId476" Type="http://schemas.openxmlformats.org/officeDocument/2006/relationships/hyperlink" Target="http://redlactrans.org.ar/site/wp-content/uploads/2016/01/Informe-COMPLETO.pdf" TargetMode="External"/><Relationship Id="rId33" Type="http://schemas.openxmlformats.org/officeDocument/2006/relationships/hyperlink" Target="http://www.cicig.org/index.php?mact=News,cntnt01,detail,0&amp;cntnt01articleid=668&amp;cntnt01returnid=534" TargetMode="External"/><Relationship Id="rId129" Type="http://schemas.openxmlformats.org/officeDocument/2006/relationships/hyperlink" Target="http://www.pdh.org.gt/biblioteca/category/14-resoluciones.html?download=1019:resolucion-por-denuncia-de-amenazas-a-defensores-de-derechos-humanos&amp;start=20" TargetMode="External"/><Relationship Id="rId280" Type="http://schemas.openxmlformats.org/officeDocument/2006/relationships/hyperlink" Target="https://cerigua.org/article/estado-de-situacion-de-la-libertad-de-expresion-pr/" TargetMode="External"/><Relationship Id="rId336" Type="http://schemas.openxmlformats.org/officeDocument/2006/relationships/hyperlink" Target="http://www.oas.org/en/iachr/expression/docs/reports/annual/2012%2003%2021%20Annual%20Report%20RELE%202011pirnting.pdf" TargetMode="External"/><Relationship Id="rId501" Type="http://schemas.openxmlformats.org/officeDocument/2006/relationships/hyperlink" Target="https://www.oas.org/dil/esp/Ley_contra_el_Femicidio_y_otras_Formas_de_Violencia_Contra_la_Mujer_Guatemala.pdf" TargetMode="External"/><Relationship Id="rId543" Type="http://schemas.openxmlformats.org/officeDocument/2006/relationships/hyperlink" Target="http://www.oas.org/es/cidh/prensa/comunicados/2016/109.asp" TargetMode="External"/><Relationship Id="rId75" Type="http://schemas.openxmlformats.org/officeDocument/2006/relationships/hyperlink" Target="https://www.hsph.harvard.edu/population/domesticviolence/guatemala.dv.96.pdf" TargetMode="External"/><Relationship Id="rId140" Type="http://schemas.openxmlformats.org/officeDocument/2006/relationships/hyperlink" Target="http://www.oas.org/es/cidh/prensa/comunicados/2017/114A.asp" TargetMode="External"/><Relationship Id="rId182" Type="http://schemas.openxmlformats.org/officeDocument/2006/relationships/hyperlink" Target="http://www.internal-displacement.org/assets/publications/2017/20170522-GRID.pdf" TargetMode="External"/><Relationship Id="rId378" Type="http://schemas.openxmlformats.org/officeDocument/2006/relationships/hyperlink" Target="http://www.prensacomunitaria.org/disparos-contra-manifestantes-en-yichkisis-en-san-mateo-ixtatan/" TargetMode="External"/><Relationship Id="rId403" Type="http://schemas.openxmlformats.org/officeDocument/2006/relationships/hyperlink" Target="http://www.guatevision.com/2017/08/24/capturan-maestros-bloquear-carreteras/" TargetMode="External"/><Relationship Id="rId585" Type="http://schemas.openxmlformats.org/officeDocument/2006/relationships/hyperlink" Target="http://www.oas.org/es/cidh/informes/pdfs/guatemala2016.pdf" TargetMode="External"/><Relationship Id="rId6" Type="http://schemas.openxmlformats.org/officeDocument/2006/relationships/hyperlink" Target="http://www.mineduc.gob.gt/digebi/mapaLinguistico.html" TargetMode="External"/><Relationship Id="rId238" Type="http://schemas.openxmlformats.org/officeDocument/2006/relationships/hyperlink" Target="https://cerigua.org/article/asesino-de-periodista-condenado-a-40-anos-de-prisi/" TargetMode="External"/><Relationship Id="rId445" Type="http://schemas.openxmlformats.org/officeDocument/2006/relationships/hyperlink" Target="http://digessp.gob.gt/resolucion370-2016/" TargetMode="External"/><Relationship Id="rId487" Type="http://schemas.openxmlformats.org/officeDocument/2006/relationships/hyperlink" Target="http://www.oas.org/es/cidh/informes/pdfs/PrisionPreventiva.pdf" TargetMode="External"/><Relationship Id="rId291" Type="http://schemas.openxmlformats.org/officeDocument/2006/relationships/hyperlink" Target="https://cerigua.org/article/pdh-insta-al-gobierno-a-la-pronta-implementacion-d/" TargetMode="External"/><Relationship Id="rId305" Type="http://schemas.openxmlformats.org/officeDocument/2006/relationships/hyperlink" Target="http://www.oas.org/es/cidh/expresion/docs/informes/anuales/2014_04_22_IA_2013_ESP_FINAL_WEB.pdf" TargetMode="External"/><Relationship Id="rId347" Type="http://schemas.openxmlformats.org/officeDocument/2006/relationships/hyperlink" Target="http://www.oas.org/en/iachr/expression/docs/reports/annual/Informe%20Anual%202009%202%20ENG.pdf" TargetMode="External"/><Relationship Id="rId512" Type="http://schemas.openxmlformats.org/officeDocument/2006/relationships/hyperlink" Target="http://www.oas.org/es/cidh/informes/pdfs/PrisionPreventiva.pdf" TargetMode="External"/><Relationship Id="rId44" Type="http://schemas.openxmlformats.org/officeDocument/2006/relationships/hyperlink" Target="http://www.prensalibre.com/guatemala/politica/jimmy-morales-no-acepta-renuncia-de-ministros-de-gobernacion-trabajo-y-finanzas" TargetMode="External"/><Relationship Id="rId86" Type="http://schemas.openxmlformats.org/officeDocument/2006/relationships/hyperlink" Target="http://redlactrans.org.ar/site/wp-content/uploads/2016/01/Informe-COMPLETO.pdf" TargetMode="External"/><Relationship Id="rId151" Type="http://schemas.openxmlformats.org/officeDocument/2006/relationships/hyperlink" Target="https://www.amnesty.org/download/Documents/AMR0162112017SPANISH.pdf" TargetMode="External"/><Relationship Id="rId389" Type="http://schemas.openxmlformats.org/officeDocument/2006/relationships/hyperlink" Target="http://www.prensacomunitaria.org/el-estor-pueblo-qeqchi-enterro-a-pescador-carlos-maaz-asesinato-negado-por-el-gobierno/" TargetMode="External"/><Relationship Id="rId554" Type="http://schemas.openxmlformats.org/officeDocument/2006/relationships/hyperlink" Target="http://justicia.gencat.cat/web/.content/documents/arxius/sc_5_024_10_cast.pdf" TargetMode="External"/><Relationship Id="rId193" Type="http://schemas.openxmlformats.org/officeDocument/2006/relationships/hyperlink" Target="http://www.oas.org/es/cidh/prensa/comunicados/2017/114A.asp" TargetMode="External"/><Relationship Id="rId207" Type="http://schemas.openxmlformats.org/officeDocument/2006/relationships/hyperlink" Target="http://www.pdh.org.gt/noticias/noticias/pdh-abre-expediente-por-campa%C3%B1a-para-desacreditar-a-periodistas-y-medios-de-informaci%C3%B3n.html" TargetMode="External"/><Relationship Id="rId249" Type="http://schemas.openxmlformats.org/officeDocument/2006/relationships/hyperlink" Target="http://www.oas.org/en/iachr/expression/showarticle.asp?artID=931&amp;lID=1" TargetMode="External"/><Relationship Id="rId414" Type="http://schemas.openxmlformats.org/officeDocument/2006/relationships/hyperlink" Target="http://www.elsalvador.com/noticias/internacional/398034/diputados-guatemaltecos-quedan-encerrados-siete-horas-en-el-congreso/" TargetMode="External"/><Relationship Id="rId456" Type="http://schemas.openxmlformats.org/officeDocument/2006/relationships/hyperlink" Target="http://lac.unwomen.org/en/donde-estamos/guatemala" TargetMode="External"/><Relationship Id="rId498" Type="http://schemas.openxmlformats.org/officeDocument/2006/relationships/hyperlink" Target="http://www.pdh.org.gt/biblioteca/informes/category/9-informes-anuales.html" TargetMode="External"/><Relationship Id="rId13" Type="http://schemas.openxmlformats.org/officeDocument/2006/relationships/hyperlink" Target="http://www.oas.org/es/cidh/docs/anual/2016/indice.asp" TargetMode="External"/><Relationship Id="rId109" Type="http://schemas.openxmlformats.org/officeDocument/2006/relationships/hyperlink" Target="http://www.cidh.org/Comunicados/Spanish/2009/37-09sp.htm" TargetMode="External"/><Relationship Id="rId260" Type="http://schemas.openxmlformats.org/officeDocument/2006/relationships/hyperlink" Target="http://www.guatevision.com/2017/06/26/lista-en-poder-de-narcos-senala-a-una-periodista/" TargetMode="External"/><Relationship Id="rId316" Type="http://schemas.openxmlformats.org/officeDocument/2006/relationships/hyperlink" Target="https://www.mp.gob.gt/noticias/2017/03/16/agencia-de-delitos-cometidos-por-el-uso-ilegal-de-frecuencia-radioelectricas-coordina-allanamientos-en-alta-verapaz/" TargetMode="External"/><Relationship Id="rId523" Type="http://schemas.openxmlformats.org/officeDocument/2006/relationships/hyperlink" Target="http://www.oas.org/es/cidh/informes/pdfs/GUIA-PrisionPreventiva.pdf" TargetMode="External"/><Relationship Id="rId55" Type="http://schemas.openxmlformats.org/officeDocument/2006/relationships/hyperlink" Target="https://treaties.un.org/Pages/ViewDetails.aspx?src=TREATY&amp;mtdsg_no=IV-5&amp;chapter=4&amp;clang=_en" TargetMode="External"/><Relationship Id="rId97" Type="http://schemas.openxmlformats.org/officeDocument/2006/relationships/hyperlink" Target="http://www.gt.undp.org/content/guatemala/es/home/ourwork/crisispreventionandrecovery/successstories/%20Sepur_Zarco.html" TargetMode="External"/><Relationship Id="rId120" Type="http://schemas.openxmlformats.org/officeDocument/2006/relationships/hyperlink" Target="http://www.oas.org/es/cidh/prensa/comunicados/2017/072.asp" TargetMode="External"/><Relationship Id="rId358" Type="http://schemas.openxmlformats.org/officeDocument/2006/relationships/hyperlink" Target="http://www.observacom.org/el-fantasma-gonzalez-rodeado-por-la-justicia-pedido-de-captura-internacional-para-su-esposa-por-caso-cooptacion-del-estado-en-guatemala-2/" TargetMode="External"/><Relationship Id="rId565" Type="http://schemas.openxmlformats.org/officeDocument/2006/relationships/hyperlink" Target="http://es.insightcrime.org/noticias-del-dia/miembros-barrio-18-son-arrestados-tras-varios-ataques-policia-guatemala?platform=hootsuite" TargetMode="External"/><Relationship Id="rId162" Type="http://schemas.openxmlformats.org/officeDocument/2006/relationships/hyperlink" Target="http://www.oas.org/es/cidh/prensa/comunicados/2017/114A.asp" TargetMode="External"/><Relationship Id="rId218" Type="http://schemas.openxmlformats.org/officeDocument/2006/relationships/hyperlink" Target="http://www.unmultimedia.org/radio/spanish/2017/02/condena-por-el-asesinato-del-periodista-manuel-salvador-villagran-en-guatemala/" TargetMode="External"/><Relationship Id="rId425" Type="http://schemas.openxmlformats.org/officeDocument/2006/relationships/hyperlink" Target="https://www.oas.org/en/iachr/docs/pdf/CitizenSec.pdf" TargetMode="External"/><Relationship Id="rId467" Type="http://schemas.openxmlformats.org/officeDocument/2006/relationships/hyperlink" Target="http://www.prensalibre.com/guatemala/comunitario/guatemala-registra-hasta-22-violaciones-sexuales-al-dia" TargetMode="External"/><Relationship Id="rId271" Type="http://schemas.openxmlformats.org/officeDocument/2006/relationships/hyperlink" Target="http://republica.gt/2017/02/16/jimmy-morales-hay-rumores-de-golpe-de-estado/" TargetMode="External"/><Relationship Id="rId24" Type="http://schemas.openxmlformats.org/officeDocument/2006/relationships/hyperlink" Target="http://childfundannualguatemala.org/es/" TargetMode="External"/><Relationship Id="rId66" Type="http://schemas.openxmlformats.org/officeDocument/2006/relationships/hyperlink" Target="http://www.oas.org/es/cidh/defensores/docs/pdf/Operadores-de-Justicia-2013.pdfhttp:/www.oas.org/es/cidh/defensores/docs/pdf/Operadores-de-Justicia-2013.pdf" TargetMode="External"/><Relationship Id="rId131" Type="http://schemas.openxmlformats.org/officeDocument/2006/relationships/hyperlink" Target="http://www.prensalibre.com/guatemala/justicia/cc-rechaza-amparo-de-mendezruiz-contra-la-pdh" TargetMode="External"/><Relationship Id="rId327" Type="http://schemas.openxmlformats.org/officeDocument/2006/relationships/hyperlink" Target="http://www.oas.org/en/iachr/expression/docs/reports/annual/2002.pdf?DocumentID=20" TargetMode="External"/><Relationship Id="rId369" Type="http://schemas.openxmlformats.org/officeDocument/2006/relationships/hyperlink" Target="https://elperiodico.com.gt/nacion/2017/03/30/pgn-denuncia-en-mp-a-superintendencia-de-telecomunicaciones-por-negarle-informacion-de-usufructos-para-tv-abierta/" TargetMode="External"/><Relationship Id="rId534" Type="http://schemas.openxmlformats.org/officeDocument/2006/relationships/hyperlink" Target="http://www.cidh.oas.org/Basicos/Spanish/Principiosybuenaspracticas.htm" TargetMode="External"/><Relationship Id="rId576" Type="http://schemas.openxmlformats.org/officeDocument/2006/relationships/hyperlink" Target="http://www.oas.org/es/cidh/decisiones/cautelares.asp" TargetMode="External"/><Relationship Id="rId173" Type="http://schemas.openxmlformats.org/officeDocument/2006/relationships/hyperlink" Target="http://www.oas.org/es/cidh/decisiones/pdf/2017/34-17MC431-17-GU.pdf" TargetMode="External"/><Relationship Id="rId229" Type="http://schemas.openxmlformats.org/officeDocument/2006/relationships/hyperlink" Target="http://www.prensalibre.com/guatemala/justicia/diputado-podria-perder-inmunidad-y-ser-investigado" TargetMode="External"/><Relationship Id="rId380" Type="http://schemas.openxmlformats.org/officeDocument/2006/relationships/hyperlink" Target="http://www.europarl.europa.eu/news/es/press-room/20170209IPR61725/derechos-humanos-el-pe-lamenta-situacion-de-activistas-en-nicaragua-y-guatemala" TargetMode="External"/><Relationship Id="rId436" Type="http://schemas.openxmlformats.org/officeDocument/2006/relationships/hyperlink" Target="https://www.mp.gob.gt/noticias/2017/07/20/mp-y-pdh-firman-convenio-de-cooperacion-interinstitucional-para-fortalecimiento-de-la-ley-de-acceso-a-la-informacion-publica/" TargetMode="External"/><Relationship Id="rId240" Type="http://schemas.openxmlformats.org/officeDocument/2006/relationships/hyperlink" Target="https://www.mp.gob.gt/noticias/2017/06/02/unidad-de-delitos-contra-periodistas-logra-condena-de-23-anos-de-prision-contra-homicida-en-jalapa/" TargetMode="External"/><Relationship Id="rId478" Type="http://schemas.openxmlformats.org/officeDocument/2006/relationships/hyperlink" Target="http://www.cidh.org/medidas/2006.sp.htm" TargetMode="External"/><Relationship Id="rId35" Type="http://schemas.openxmlformats.org/officeDocument/2006/relationships/hyperlink" Target="http://www.cicig.org/uploads/img/2016/others/COM_087_20161124_INFORME_ANUAL_2016.pdf" TargetMode="External"/><Relationship Id="rId77" Type="http://schemas.openxmlformats.org/officeDocument/2006/relationships/hyperlink" Target="http://www.sipi.siteal.iipe.unesco.org/sites/default/files/sipi_normativa/ley-contra-la-violencia-sexual-explotacion-y-trata-de-personas_-_decreto_9-2009_-guatemala.pdf" TargetMode="External"/><Relationship Id="rId100" Type="http://schemas.openxmlformats.org/officeDocument/2006/relationships/hyperlink" Target="http://www.oas.org/es/cidh/prensa/comunicados/2016/001.asp" TargetMode="External"/><Relationship Id="rId282" Type="http://schemas.openxmlformats.org/officeDocument/2006/relationships/hyperlink" Target="http://pedrovision-noticias.com/2017/03/04/la-nota-chapina-la-historia-de-la-nota-censurada-sobre-ivan-velasquez-en-contrapoder/" TargetMode="External"/><Relationship Id="rId338" Type="http://schemas.openxmlformats.org/officeDocument/2006/relationships/hyperlink" Target="http://www.oas.org/en/iachr/expression/docs/reports/annual/2014_04_22_%20IA_2013_ENG%20_FINALweb.pdf" TargetMode="External"/><Relationship Id="rId503" Type="http://schemas.openxmlformats.org/officeDocument/2006/relationships/hyperlink" Target="http://www.oas.org/es/cidh/informes/pdfs/PrisionPreventiva.pdf" TargetMode="External"/><Relationship Id="rId545" Type="http://schemas.openxmlformats.org/officeDocument/2006/relationships/hyperlink" Target="http://www.oas.org/es/cidh/prensa/comunicados/2015/144.asp" TargetMode="External"/><Relationship Id="rId8" Type="http://schemas.openxmlformats.org/officeDocument/2006/relationships/hyperlink" Target="http://www.prensalibre.com/economia/economia/sat-llego-a-la-meta-de-cobranza-fiscal" TargetMode="External"/><Relationship Id="rId142" Type="http://schemas.openxmlformats.org/officeDocument/2006/relationships/hyperlink" Target="http://www.oas.org/es/cidh/informes/pdfs/criminalizacion2016.pdf" TargetMode="External"/><Relationship Id="rId184" Type="http://schemas.openxmlformats.org/officeDocument/2006/relationships/hyperlink" Target="http://www.internal-displacement.org/assets/publications/2017/20170522-GRID.pdf" TargetMode="External"/><Relationship Id="rId391" Type="http://schemas.openxmlformats.org/officeDocument/2006/relationships/hyperlink" Target="https://www.frontlinedefenders.org/es/case/carlos-maaz-coc-killed-while-participating-peaceful-demonstration" TargetMode="External"/><Relationship Id="rId405" Type="http://schemas.openxmlformats.org/officeDocument/2006/relationships/hyperlink" Target="http://www.oas.org/es/cidh/prensa/comunicados/2017/140.asp" TargetMode="External"/><Relationship Id="rId447" Type="http://schemas.openxmlformats.org/officeDocument/2006/relationships/hyperlink" Target="http://www.oas.org/es/cidh/informes/pdfs/Guatemala2016.pdf" TargetMode="External"/><Relationship Id="rId251" Type="http://schemas.openxmlformats.org/officeDocument/2006/relationships/hyperlink" Target="http://www.oas.org/es/cidh/informes/pdfs/Guatemala2016.pdf" TargetMode="External"/><Relationship Id="rId489" Type="http://schemas.openxmlformats.org/officeDocument/2006/relationships/hyperlink" Target="http://www.oas.org/es/cidh/informes/pdfs/guatemala2016.pdf" TargetMode="External"/><Relationship Id="rId46" Type="http://schemas.openxmlformats.org/officeDocument/2006/relationships/hyperlink" Target="http://www.oas.org/es/cidh/decisiones/pdf/Resolucion-1-17-es.pdf" TargetMode="External"/><Relationship Id="rId293" Type="http://schemas.openxmlformats.org/officeDocument/2006/relationships/hyperlink" Target="http://www.laconexionusa.com/noticias/201702071755982_lc175598207.asp" TargetMode="External"/><Relationship Id="rId307" Type="http://schemas.openxmlformats.org/officeDocument/2006/relationships/hyperlink" Target="http://www.oas.org/en/iachr/expression/docs/reports/annual/AnnualReport2016RELE.pdf" TargetMode="External"/><Relationship Id="rId349" Type="http://schemas.openxmlformats.org/officeDocument/2006/relationships/hyperlink" Target="http://www.oas.org/en/iachr/expression/showarticle.asp?artID=987&amp;lID=1" TargetMode="External"/><Relationship Id="rId514" Type="http://schemas.openxmlformats.org/officeDocument/2006/relationships/hyperlink" Target="https://www.youtube.com/watch?v=oPFwd9NK1Js" TargetMode="External"/><Relationship Id="rId556" Type="http://schemas.openxmlformats.org/officeDocument/2006/relationships/hyperlink" Target="http://www.oas.org/es/cidh/mandato/Basicos/PrincipiosPPL.asp" TargetMode="External"/><Relationship Id="rId88" Type="http://schemas.openxmlformats.org/officeDocument/2006/relationships/hyperlink" Target="http://old.congreso.gob.gt/archivos/iniciativas/registro5272.pdf" TargetMode="External"/><Relationship Id="rId111" Type="http://schemas.openxmlformats.org/officeDocument/2006/relationships/hyperlink" Target="http://lac.unwomen.org/en/donde-estamos/guatemala" TargetMode="External"/><Relationship Id="rId153" Type="http://schemas.openxmlformats.org/officeDocument/2006/relationships/hyperlink" Target="https://www.amnesty.org/download/Documents/AMR0162112017SPANISH.pdf" TargetMode="External"/><Relationship Id="rId195" Type="http://schemas.openxmlformats.org/officeDocument/2006/relationships/hyperlink" Target="http://www.acnur.org/fileadmin/scripts/doc.php?file=fileadmin/Documentos/BDL/2001/0022" TargetMode="External"/><Relationship Id="rId209" Type="http://schemas.openxmlformats.org/officeDocument/2006/relationships/hyperlink" Target="http://www.oas.org/es/cidh/expresion/docs/informes/anuales/2014_04_22_IA_2013_ESP_FINAL_WEB.pdf" TargetMode="External"/><Relationship Id="rId360" Type="http://schemas.openxmlformats.org/officeDocument/2006/relationships/hyperlink" Target="http://www.observacom.org/angel-gonzalez-recibio-us-27-millones-de-publicidad-oficial-tras-financiar-ilicitamente-campana-presidencial-de-otto-perez-molina-en-guatemala/" TargetMode="External"/><Relationship Id="rId416" Type="http://schemas.openxmlformats.org/officeDocument/2006/relationships/hyperlink" Target="http://www.guatevision.com/2017/09/16/video-diputados-dentro-buses-insultan-los-guatemaltecos/" TargetMode="External"/><Relationship Id="rId220" Type="http://schemas.openxmlformats.org/officeDocument/2006/relationships/hyperlink" Target="http://cnnespanol.cnn.com/2017/05/04/once-periodistas-fueron-asesinados-en-quince-meses-en-guatemala/" TargetMode="External"/><Relationship Id="rId458" Type="http://schemas.openxmlformats.org/officeDocument/2006/relationships/hyperlink" Target="http://www.svet.gob.gt/estadistica" TargetMode="External"/><Relationship Id="rId15" Type="http://schemas.openxmlformats.org/officeDocument/2006/relationships/hyperlink" Target="http://www.fantaproject.org/sites/default/files/resources/Guatemala-Nutrition-Costing-Exec-Summ-Dec2015.pdf" TargetMode="External"/><Relationship Id="rId57" Type="http://schemas.openxmlformats.org/officeDocument/2006/relationships/hyperlink" Target="http://copredeh.gob.gt/4879-2/" TargetMode="External"/><Relationship Id="rId262" Type="http://schemas.openxmlformats.org/officeDocument/2006/relationships/hyperlink" Target="http://www.prensacomunitaria.org/ministro-de-la-defensa-y-jefe-del-estado-mayor-podrian-enfrentar-denuncias-formales-por-violar-la-constitucion/" TargetMode="External"/><Relationship Id="rId318" Type="http://schemas.openxmlformats.org/officeDocument/2006/relationships/hyperlink" Target="http://www.chapintv.com/actualidad/realizan-allanamiento-en-baja-verapaz-por-radio-pirata-116026" TargetMode="External"/><Relationship Id="rId525" Type="http://schemas.openxmlformats.org/officeDocument/2006/relationships/hyperlink" Target="http://www.cicad.oas.org/fortalecimiento_institucional/legislations/PDF/GT/decreto_congresional_51-92_codigo_procesal_penal.pdf" TargetMode="External"/><Relationship Id="rId567" Type="http://schemas.openxmlformats.org/officeDocument/2006/relationships/hyperlink" Target="http://www.oas.org/es/cidh/prensa/comunicados/2017/031.asp" TargetMode="External"/><Relationship Id="rId99" Type="http://schemas.openxmlformats.org/officeDocument/2006/relationships/hyperlink" Target="http://nisgua.org/creompaz-eleven-retired-military-officers-indicted-on-charges-of-crimes-against-humanity/" TargetMode="External"/><Relationship Id="rId122" Type="http://schemas.openxmlformats.org/officeDocument/2006/relationships/hyperlink" Target="http://udefegua.org/wp-content/uploads/2017/05/Informe-Genaral-2016-FINAL6.pdf" TargetMode="External"/><Relationship Id="rId164" Type="http://schemas.openxmlformats.org/officeDocument/2006/relationships/hyperlink" Target="https://www.amnesty.org/download/Documents/AMR0162112017SPANISH.pdf" TargetMode="External"/><Relationship Id="rId371" Type="http://schemas.openxmlformats.org/officeDocument/2006/relationships/hyperlink" Target="http://www.efe.com/efe/america/politica/la-fiscalia-de-guatemala-presenta-una-acusacion-por-el-caso-cooptacion-del-estado/20000035-3200718" TargetMode="External"/><Relationship Id="rId427" Type="http://schemas.openxmlformats.org/officeDocument/2006/relationships/hyperlink" Target="http://www.oas.org/en/iachr/defenders/docs/pdf/defenders2011.pdf" TargetMode="External"/><Relationship Id="rId469" Type="http://schemas.openxmlformats.org/officeDocument/2006/relationships/hyperlink" Target="http://www.prensalibre.com/guatemala/politica/congreso-prohibe-matrimonio-entre-menores-de-edad-sin-excepciones" TargetMode="External"/><Relationship Id="rId26" Type="http://schemas.openxmlformats.org/officeDocument/2006/relationships/hyperlink" Target="http://www.gt.undp.org/content/guatemala/es/home/mdgoverview/" TargetMode="External"/><Relationship Id="rId231" Type="http://schemas.openxmlformats.org/officeDocument/2006/relationships/hyperlink" Target="https://cerigua.org/article/jueza-pesquisidora-recomienda-retirar-inmunidad-a-/" TargetMode="External"/><Relationship Id="rId273" Type="http://schemas.openxmlformats.org/officeDocument/2006/relationships/hyperlink" Target="http://www.aquitodito.com/denuncian-ataque-e-insultos-guatevision.html" TargetMode="External"/><Relationship Id="rId329" Type="http://schemas.openxmlformats.org/officeDocument/2006/relationships/hyperlink" Target="http://www.cidh.org/Comunicados/Spanish/2003/8.03.htm" TargetMode="External"/><Relationship Id="rId480" Type="http://schemas.openxmlformats.org/officeDocument/2006/relationships/hyperlink" Target="https://elperiodico.com.gt/nacion/2017/06/10/complicadas-normas-administrativas-afectan-a-pacientes-con-vihsida/" TargetMode="External"/><Relationship Id="rId536" Type="http://schemas.openxmlformats.org/officeDocument/2006/relationships/hyperlink" Target="http://www.oas.org/es/cidh/ppl/docs/pdf/PPL2011esp.pdf" TargetMode="External"/><Relationship Id="rId68" Type="http://schemas.openxmlformats.org/officeDocument/2006/relationships/hyperlink" Target="http://www.ohchr.org/SP/NewsEvents/Pages/DisplayNews.aspx?NewsID=17220&amp;LangID=S" TargetMode="External"/><Relationship Id="rId133" Type="http://schemas.openxmlformats.org/officeDocument/2006/relationships/hyperlink" Target="http://udefegua.org/wp-content/uploads/2017/05/Informe-Genaral-2016-FINAL6.pdf" TargetMode="External"/><Relationship Id="rId175" Type="http://schemas.openxmlformats.org/officeDocument/2006/relationships/hyperlink" Target="https://www.youtube.com/watch?v=WcEgK6F5rvI" TargetMode="External"/><Relationship Id="rId340" Type="http://schemas.openxmlformats.org/officeDocument/2006/relationships/hyperlink" Target="http://www.oas.org/en/iachr/expression/docs/reports/annual/2014_04_22_%20IA_2013_ENG%20_FINALweb.pdf" TargetMode="External"/><Relationship Id="rId578" Type="http://schemas.openxmlformats.org/officeDocument/2006/relationships/hyperlink" Target="http://www.ohchr.org.gt/sala_prensa.as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IDHBEC12\Documents\Estad&#237;sticas%20asilo.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IDHBEC12\Documents\Estad&#237;sticas%20asilo.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Number</a:t>
            </a:r>
            <a:r>
              <a:rPr lang="en-US" sz="1400" baseline="0"/>
              <a:t> de refugees and asylum seekers from Guatemala</a:t>
            </a:r>
            <a:endParaRPr lang="en-US" sz="1400"/>
          </a:p>
        </c:rich>
      </c:tx>
      <c:overlay val="0"/>
    </c:title>
    <c:autoTitleDeleted val="0"/>
    <c:plotArea>
      <c:layout/>
      <c:lineChart>
        <c:grouping val="standard"/>
        <c:varyColors val="0"/>
        <c:ser>
          <c:idx val="0"/>
          <c:order val="0"/>
          <c:tx>
            <c:strRef>
              <c:f>Sheet4!$J$48</c:f>
              <c:strCache>
                <c:ptCount val="1"/>
                <c:pt idx="0">
                  <c:v>Personas Refugiadas</c:v>
                </c:pt>
              </c:strCache>
            </c:strRef>
          </c:tx>
          <c:marker>
            <c:symbol val="none"/>
          </c:marker>
          <c:dLbls>
            <c:dLbl>
              <c:idx val="0"/>
              <c:layout>
                <c:manualLayout>
                  <c:x val="2.1467791303535098E-3"/>
                  <c:y val="-6.0586077308518303E-2"/>
                </c:manualLayout>
              </c:layout>
              <c:spPr/>
              <c:txPr>
                <a:bodyPr/>
                <a:lstStyle/>
                <a:p>
                  <a:pPr>
                    <a:defRPr/>
                  </a:pPr>
                  <a:endParaRPr lang="en-US"/>
                </a:p>
              </c:txPr>
              <c:dLblPos val="r"/>
              <c:showLegendKey val="0"/>
              <c:showVal val="1"/>
              <c:showCatName val="0"/>
              <c:showSerName val="0"/>
              <c:showPercent val="0"/>
              <c:showBubbleSize val="0"/>
            </c:dLbl>
            <c:dLbl>
              <c:idx val="1"/>
              <c:layout>
                <c:manualLayout>
                  <c:x val="4.29414922168549E-3"/>
                  <c:y val="3.6199100754797202E-2"/>
                </c:manualLayout>
              </c:layout>
              <c:spPr/>
              <c:txPr>
                <a:bodyPr/>
                <a:lstStyle/>
                <a:p>
                  <a:pPr>
                    <a:defRPr/>
                  </a:pPr>
                  <a:endParaRPr lang="en-US"/>
                </a:p>
              </c:txPr>
              <c:dLblPos val="r"/>
              <c:showLegendKey val="0"/>
              <c:showVal val="1"/>
              <c:showCatName val="0"/>
              <c:showSerName val="0"/>
              <c:showPercent val="0"/>
              <c:showBubbleSize val="0"/>
            </c:dLbl>
            <c:dLbl>
              <c:idx val="2"/>
              <c:layout>
                <c:manualLayout>
                  <c:x val="8.5882984433709106E-3"/>
                  <c:y val="1.60884892243543E-2"/>
                </c:manualLayout>
              </c:layout>
              <c:spPr/>
              <c:txPr>
                <a:bodyPr/>
                <a:lstStyle/>
                <a:p>
                  <a:pPr>
                    <a:defRPr/>
                  </a:pPr>
                  <a:endParaRPr lang="en-US"/>
                </a:p>
              </c:txPr>
              <c:dLblPos val="r"/>
              <c:showLegendKey val="0"/>
              <c:showVal val="1"/>
              <c:showCatName val="0"/>
              <c:showSerName val="0"/>
              <c:showPercent val="0"/>
              <c:showBubbleSize val="0"/>
            </c:dLbl>
            <c:dLbl>
              <c:idx val="3"/>
              <c:layout>
                <c:manualLayout>
                  <c:x val="0"/>
                  <c:y val="2.8154856142620002E-2"/>
                </c:manualLayout>
              </c:layout>
              <c:spPr/>
              <c:txPr>
                <a:bodyPr/>
                <a:lstStyle/>
                <a:p>
                  <a:pPr>
                    <a:defRPr/>
                  </a:pPr>
                  <a:endParaRPr lang="en-US"/>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Sheet4!$I$49:$I$53</c:f>
              <c:numCache>
                <c:formatCode>General</c:formatCode>
                <c:ptCount val="5"/>
                <c:pt idx="0">
                  <c:v>2012</c:v>
                </c:pt>
                <c:pt idx="1">
                  <c:v>2013</c:v>
                </c:pt>
                <c:pt idx="2">
                  <c:v>2014</c:v>
                </c:pt>
                <c:pt idx="3">
                  <c:v>2015</c:v>
                </c:pt>
                <c:pt idx="4">
                  <c:v>2016</c:v>
                </c:pt>
              </c:numCache>
            </c:numRef>
          </c:cat>
          <c:val>
            <c:numRef>
              <c:f>Sheet4!$J$49:$J$53</c:f>
              <c:numCache>
                <c:formatCode>#,##0</c:formatCode>
                <c:ptCount val="5"/>
                <c:pt idx="0">
                  <c:v>6386</c:v>
                </c:pt>
                <c:pt idx="1">
                  <c:v>6615</c:v>
                </c:pt>
                <c:pt idx="2">
                  <c:v>7483</c:v>
                </c:pt>
                <c:pt idx="3">
                  <c:v>10284</c:v>
                </c:pt>
                <c:pt idx="4">
                  <c:v>12554</c:v>
                </c:pt>
              </c:numCache>
            </c:numRef>
          </c:val>
          <c:smooth val="0"/>
        </c:ser>
        <c:ser>
          <c:idx val="1"/>
          <c:order val="1"/>
          <c:tx>
            <c:strRef>
              <c:f>Sheet4!$K$48</c:f>
              <c:strCache>
                <c:ptCount val="1"/>
                <c:pt idx="0">
                  <c:v>Personas solicitantes de asilo</c:v>
                </c:pt>
              </c:strCache>
            </c:strRef>
          </c:tx>
          <c:marker>
            <c:symbol val="none"/>
          </c:marker>
          <c:dLbls>
            <c:dLbl>
              <c:idx val="1"/>
              <c:layout>
                <c:manualLayout>
                  <c:x val="0"/>
                  <c:y val="-1.7045454545454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Sheet4!$I$49:$I$53</c:f>
              <c:numCache>
                <c:formatCode>General</c:formatCode>
                <c:ptCount val="5"/>
                <c:pt idx="0">
                  <c:v>2012</c:v>
                </c:pt>
                <c:pt idx="1">
                  <c:v>2013</c:v>
                </c:pt>
                <c:pt idx="2">
                  <c:v>2014</c:v>
                </c:pt>
                <c:pt idx="3">
                  <c:v>2015</c:v>
                </c:pt>
                <c:pt idx="4">
                  <c:v>2016</c:v>
                </c:pt>
              </c:numCache>
            </c:numRef>
          </c:cat>
          <c:val>
            <c:numRef>
              <c:f>Sheet4!$K$49:$K$53</c:f>
              <c:numCache>
                <c:formatCode>#,##0</c:formatCode>
                <c:ptCount val="5"/>
                <c:pt idx="0">
                  <c:v>1332</c:v>
                </c:pt>
                <c:pt idx="1">
                  <c:v>8442</c:v>
                </c:pt>
                <c:pt idx="2">
                  <c:v>15805</c:v>
                </c:pt>
                <c:pt idx="3">
                  <c:v>26954</c:v>
                </c:pt>
                <c:pt idx="4">
                  <c:v>46227</c:v>
                </c:pt>
              </c:numCache>
            </c:numRef>
          </c:val>
          <c:smooth val="0"/>
        </c:ser>
        <c:dLbls>
          <c:showLegendKey val="0"/>
          <c:showVal val="0"/>
          <c:showCatName val="0"/>
          <c:showSerName val="0"/>
          <c:showPercent val="0"/>
          <c:showBubbleSize val="0"/>
        </c:dLbls>
        <c:marker val="1"/>
        <c:smooth val="0"/>
        <c:axId val="218593152"/>
        <c:axId val="218594688"/>
      </c:lineChart>
      <c:catAx>
        <c:axId val="218593152"/>
        <c:scaling>
          <c:orientation val="minMax"/>
        </c:scaling>
        <c:delete val="0"/>
        <c:axPos val="b"/>
        <c:numFmt formatCode="General" sourceLinked="1"/>
        <c:majorTickMark val="none"/>
        <c:minorTickMark val="none"/>
        <c:tickLblPos val="nextTo"/>
        <c:crossAx val="218594688"/>
        <c:crosses val="autoZero"/>
        <c:auto val="1"/>
        <c:lblAlgn val="ctr"/>
        <c:lblOffset val="100"/>
        <c:noMultiLvlLbl val="0"/>
      </c:catAx>
      <c:valAx>
        <c:axId val="218594688"/>
        <c:scaling>
          <c:orientation val="minMax"/>
        </c:scaling>
        <c:delete val="0"/>
        <c:axPos val="l"/>
        <c:majorGridlines/>
        <c:numFmt formatCode="#,##0" sourceLinked="1"/>
        <c:majorTickMark val="none"/>
        <c:minorTickMark val="none"/>
        <c:tickLblPos val="nextTo"/>
        <c:crossAx val="2185931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500"/>
              <a:t>Guatemalan persons detained and deported from Mexico 2012 - 2017</a:t>
            </a:r>
          </a:p>
        </c:rich>
      </c:tx>
      <c:overlay val="0"/>
    </c:title>
    <c:autoTitleDeleted val="0"/>
    <c:plotArea>
      <c:layout/>
      <c:barChart>
        <c:barDir val="col"/>
        <c:grouping val="clustered"/>
        <c:varyColors val="0"/>
        <c:ser>
          <c:idx val="0"/>
          <c:order val="0"/>
          <c:tx>
            <c:strRef>
              <c:f>Sheet2!$X$2</c:f>
              <c:strCache>
                <c:ptCount val="1"/>
                <c:pt idx="0">
                  <c:v>Personas detenidas</c:v>
                </c:pt>
              </c:strCache>
            </c:strRef>
          </c:tx>
          <c:invertIfNegative val="0"/>
          <c:cat>
            <c:strRef>
              <c:f>Sheet2!$W$3:$W$8</c:f>
              <c:strCache>
                <c:ptCount val="6"/>
                <c:pt idx="0">
                  <c:v>2012</c:v>
                </c:pt>
                <c:pt idx="1">
                  <c:v>2013</c:v>
                </c:pt>
                <c:pt idx="2">
                  <c:v>2014</c:v>
                </c:pt>
                <c:pt idx="3">
                  <c:v>2015</c:v>
                </c:pt>
                <c:pt idx="4">
                  <c:v>2016</c:v>
                </c:pt>
                <c:pt idx="5">
                  <c:v>2017*</c:v>
                </c:pt>
              </c:strCache>
            </c:strRef>
          </c:cat>
          <c:val>
            <c:numRef>
              <c:f>Sheet2!$X$3:$X$8</c:f>
              <c:numCache>
                <c:formatCode>#,##0</c:formatCode>
                <c:ptCount val="6"/>
                <c:pt idx="0">
                  <c:v>40060</c:v>
                </c:pt>
                <c:pt idx="1">
                  <c:v>31188</c:v>
                </c:pt>
                <c:pt idx="2">
                  <c:v>47794</c:v>
                </c:pt>
                <c:pt idx="3">
                  <c:v>83745</c:v>
                </c:pt>
                <c:pt idx="4">
                  <c:v>62278</c:v>
                </c:pt>
                <c:pt idx="5">
                  <c:v>18719</c:v>
                </c:pt>
              </c:numCache>
            </c:numRef>
          </c:val>
        </c:ser>
        <c:ser>
          <c:idx val="1"/>
          <c:order val="1"/>
          <c:tx>
            <c:strRef>
              <c:f>Sheet2!$Y$2</c:f>
              <c:strCache>
                <c:ptCount val="1"/>
                <c:pt idx="0">
                  <c:v>Personas deportadas</c:v>
                </c:pt>
              </c:strCache>
            </c:strRef>
          </c:tx>
          <c:invertIfNegative val="0"/>
          <c:cat>
            <c:strRef>
              <c:f>Sheet2!$W$3:$W$8</c:f>
              <c:strCache>
                <c:ptCount val="6"/>
                <c:pt idx="0">
                  <c:v>2012</c:v>
                </c:pt>
                <c:pt idx="1">
                  <c:v>2013</c:v>
                </c:pt>
                <c:pt idx="2">
                  <c:v>2014</c:v>
                </c:pt>
                <c:pt idx="3">
                  <c:v>2015</c:v>
                </c:pt>
                <c:pt idx="4">
                  <c:v>2016</c:v>
                </c:pt>
                <c:pt idx="5">
                  <c:v>2017*</c:v>
                </c:pt>
              </c:strCache>
            </c:strRef>
          </c:cat>
          <c:val>
            <c:numRef>
              <c:f>Sheet2!$Y$3:$Y$8</c:f>
              <c:numCache>
                <c:formatCode>#,##0</c:formatCode>
                <c:ptCount val="6"/>
                <c:pt idx="0">
                  <c:v>35137</c:v>
                </c:pt>
                <c:pt idx="1">
                  <c:v>30231</c:v>
                </c:pt>
                <c:pt idx="2">
                  <c:v>42808</c:v>
                </c:pt>
                <c:pt idx="3">
                  <c:v>82597</c:v>
                </c:pt>
                <c:pt idx="4">
                  <c:v>62299</c:v>
                </c:pt>
                <c:pt idx="5">
                  <c:v>17834</c:v>
                </c:pt>
              </c:numCache>
            </c:numRef>
          </c:val>
        </c:ser>
        <c:dLbls>
          <c:showLegendKey val="0"/>
          <c:showVal val="0"/>
          <c:showCatName val="0"/>
          <c:showSerName val="0"/>
          <c:showPercent val="0"/>
          <c:showBubbleSize val="0"/>
        </c:dLbls>
        <c:gapWidth val="150"/>
        <c:axId val="218616192"/>
        <c:axId val="218617728"/>
      </c:barChart>
      <c:catAx>
        <c:axId val="218616192"/>
        <c:scaling>
          <c:orientation val="minMax"/>
        </c:scaling>
        <c:delete val="0"/>
        <c:axPos val="b"/>
        <c:numFmt formatCode="General" sourceLinked="1"/>
        <c:majorTickMark val="none"/>
        <c:minorTickMark val="none"/>
        <c:tickLblPos val="nextTo"/>
        <c:crossAx val="218617728"/>
        <c:crosses val="autoZero"/>
        <c:auto val="1"/>
        <c:lblAlgn val="ctr"/>
        <c:lblOffset val="100"/>
        <c:noMultiLvlLbl val="0"/>
      </c:catAx>
      <c:valAx>
        <c:axId val="218617728"/>
        <c:scaling>
          <c:orientation val="minMax"/>
        </c:scaling>
        <c:delete val="0"/>
        <c:axPos val="l"/>
        <c:majorGridlines/>
        <c:numFmt formatCode="#,##0" sourceLinked="1"/>
        <c:majorTickMark val="none"/>
        <c:minorTickMark val="none"/>
        <c:tickLblPos val="nextTo"/>
        <c:crossAx val="2186161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600"/>
              <a:t>Identified victims of human trafficking in Guatemala according to type</a:t>
            </a:r>
            <a:r>
              <a:rPr lang="en-US" sz="1600" baseline="0"/>
              <a:t> of trafficking</a:t>
            </a:r>
            <a:endParaRPr lang="en-US" sz="1600"/>
          </a:p>
        </c:rich>
      </c:tx>
      <c:overlay val="0"/>
    </c:title>
    <c:autoTitleDeleted val="0"/>
    <c:plotArea>
      <c:layout/>
      <c:barChart>
        <c:barDir val="col"/>
        <c:grouping val="clustered"/>
        <c:varyColors val="0"/>
        <c:ser>
          <c:idx val="0"/>
          <c:order val="0"/>
          <c:tx>
            <c:strRef>
              <c:f>Sheet1!$B$1</c:f>
              <c:strCache>
                <c:ptCount val="1"/>
                <c:pt idx="0">
                  <c:v>Víctimas identificadas</c:v>
                </c:pt>
              </c:strCache>
            </c:strRef>
          </c:tx>
          <c:invertIfNegative val="0"/>
          <c:dLbls>
            <c:dLblPos val="inEnd"/>
            <c:showLegendKey val="0"/>
            <c:showVal val="1"/>
            <c:showCatName val="0"/>
            <c:showSerName val="0"/>
            <c:showPercent val="0"/>
            <c:showBubbleSize val="0"/>
            <c:showLeaderLines val="0"/>
          </c:dLbls>
          <c:cat>
            <c:strRef>
              <c:f>Sheet1!$A$2:$A$10</c:f>
              <c:strCache>
                <c:ptCount val="9"/>
                <c:pt idx="0">
                  <c:v>Explotación sexual</c:v>
                </c:pt>
                <c:pt idx="1">
                  <c:v>Explotación laboral</c:v>
                </c:pt>
                <c:pt idx="2">
                  <c:v>Prostitución ajena</c:v>
                </c:pt>
                <c:pt idx="3">
                  <c:v>Trabajo forzado</c:v>
                </c:pt>
                <c:pt idx="4">
                  <c:v>Reclutamiento de NNA </c:v>
                </c:pt>
                <c:pt idx="5">
                  <c:v>Pornografía</c:v>
                </c:pt>
                <c:pt idx="6">
                  <c:v>Matrimonio Servil</c:v>
                </c:pt>
                <c:pt idx="7">
                  <c:v>Mendicidad</c:v>
                </c:pt>
                <c:pt idx="8">
                  <c:v>Adopción irregular</c:v>
                </c:pt>
              </c:strCache>
            </c:strRef>
          </c:cat>
          <c:val>
            <c:numRef>
              <c:f>Sheet1!$B$2:$B$10</c:f>
              <c:numCache>
                <c:formatCode>General</c:formatCode>
                <c:ptCount val="9"/>
                <c:pt idx="0">
                  <c:v>87</c:v>
                </c:pt>
                <c:pt idx="1">
                  <c:v>27</c:v>
                </c:pt>
                <c:pt idx="2">
                  <c:v>21</c:v>
                </c:pt>
                <c:pt idx="3">
                  <c:v>3</c:v>
                </c:pt>
                <c:pt idx="4">
                  <c:v>3</c:v>
                </c:pt>
                <c:pt idx="5">
                  <c:v>2</c:v>
                </c:pt>
                <c:pt idx="6">
                  <c:v>2</c:v>
                </c:pt>
                <c:pt idx="7">
                  <c:v>1</c:v>
                </c:pt>
                <c:pt idx="8">
                  <c:v>1</c:v>
                </c:pt>
              </c:numCache>
            </c:numRef>
          </c:val>
        </c:ser>
        <c:dLbls>
          <c:showLegendKey val="0"/>
          <c:showVal val="0"/>
          <c:showCatName val="0"/>
          <c:showSerName val="0"/>
          <c:showPercent val="0"/>
          <c:showBubbleSize val="0"/>
        </c:dLbls>
        <c:gapWidth val="75"/>
        <c:overlap val="40"/>
        <c:axId val="220596096"/>
        <c:axId val="220597632"/>
      </c:barChart>
      <c:catAx>
        <c:axId val="220596096"/>
        <c:scaling>
          <c:orientation val="minMax"/>
        </c:scaling>
        <c:delete val="0"/>
        <c:axPos val="b"/>
        <c:majorTickMark val="none"/>
        <c:minorTickMark val="none"/>
        <c:tickLblPos val="nextTo"/>
        <c:crossAx val="220597632"/>
        <c:crosses val="autoZero"/>
        <c:auto val="1"/>
        <c:lblAlgn val="ctr"/>
        <c:lblOffset val="100"/>
        <c:noMultiLvlLbl val="0"/>
      </c:catAx>
      <c:valAx>
        <c:axId val="220597632"/>
        <c:scaling>
          <c:orientation val="minMax"/>
        </c:scaling>
        <c:delete val="0"/>
        <c:axPos val="l"/>
        <c:majorGridlines/>
        <c:numFmt formatCode="General" sourceLinked="1"/>
        <c:majorTickMark val="none"/>
        <c:minorTickMark val="none"/>
        <c:tickLblPos val="nextTo"/>
        <c:crossAx val="2205960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1E94-A82B-4175-90F1-F4832FB2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251</Pages>
  <Words>72107</Words>
  <Characters>390820</Characters>
  <Application>Microsoft Office Word</Application>
  <DocSecurity>0</DocSecurity>
  <Lines>6856</Lines>
  <Paragraphs>844</Paragraphs>
  <ScaleCrop>false</ScaleCrop>
  <Company/>
  <LinksUpToDate>false</LinksUpToDate>
  <CharactersWithSpaces>462083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Guatemala 2017</dc:title>
  <dc:creator/>
  <cp:lastModifiedBy/>
  <cp:revision>1</cp:revision>
  <dcterms:created xsi:type="dcterms:W3CDTF">2018-03-26T16:06:00Z</dcterms:created>
  <dcterms:modified xsi:type="dcterms:W3CDTF">2018-05-31T16:21:00Z</dcterms:modified>
</cp:coreProperties>
</file>