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4736" w14:textId="77777777" w:rsidR="009867BC" w:rsidRPr="00B41C20" w:rsidRDefault="009867BC" w:rsidP="009867BC">
      <w:pPr>
        <w:pStyle w:val="NoSpacing"/>
        <w:jc w:val="center"/>
        <w:rPr>
          <w:rFonts w:ascii="Cambria" w:hAnsi="Cambria"/>
          <w:b/>
          <w:bCs/>
          <w:sz w:val="20"/>
          <w:szCs w:val="20"/>
          <w:lang w:val="es-ES"/>
        </w:rPr>
      </w:pPr>
      <w:r w:rsidRPr="016A6D0C">
        <w:rPr>
          <w:rFonts w:ascii="Cambria" w:hAnsi="Cambria"/>
          <w:b/>
          <w:bCs/>
          <w:sz w:val="20"/>
          <w:szCs w:val="20"/>
          <w:lang w:val="es-ES"/>
        </w:rPr>
        <w:t>FICHA DE SEGUIMIENTO DEL INFORME Nº 97/03</w:t>
      </w:r>
    </w:p>
    <w:p w14:paraId="0B9DC42D" w14:textId="77777777" w:rsidR="009867BC" w:rsidRPr="00B41C20" w:rsidRDefault="009867BC" w:rsidP="009867BC">
      <w:pPr>
        <w:pStyle w:val="NoSpacing"/>
        <w:jc w:val="center"/>
        <w:rPr>
          <w:rFonts w:ascii="Cambria" w:hAnsi="Cambria"/>
          <w:b/>
          <w:bCs/>
          <w:sz w:val="20"/>
          <w:szCs w:val="20"/>
          <w:lang w:val="es-ES"/>
        </w:rPr>
      </w:pPr>
      <w:r w:rsidRPr="016A6D0C">
        <w:rPr>
          <w:rFonts w:ascii="Cambria" w:hAnsi="Cambria"/>
          <w:b/>
          <w:bCs/>
          <w:sz w:val="20"/>
          <w:szCs w:val="20"/>
          <w:lang w:val="es-ES"/>
        </w:rPr>
        <w:t>CASO 11.193</w:t>
      </w:r>
    </w:p>
    <w:p w14:paraId="3E7BB8DB" w14:textId="77777777" w:rsidR="009867BC" w:rsidRPr="00B41C20" w:rsidRDefault="009867BC" w:rsidP="009867BC">
      <w:pPr>
        <w:pStyle w:val="NoSpacing"/>
        <w:jc w:val="center"/>
        <w:rPr>
          <w:rFonts w:ascii="Cambria" w:hAnsi="Cambria"/>
          <w:b/>
          <w:bCs/>
          <w:sz w:val="20"/>
          <w:szCs w:val="20"/>
          <w:lang w:val="es-ES"/>
        </w:rPr>
      </w:pPr>
      <w:r w:rsidRPr="016A6D0C">
        <w:rPr>
          <w:rFonts w:ascii="Cambria" w:hAnsi="Cambria"/>
          <w:b/>
          <w:bCs/>
          <w:sz w:val="20"/>
          <w:szCs w:val="20"/>
          <w:lang w:val="es-ES"/>
        </w:rPr>
        <w:t>GARY T. GRAHAM, ACTUALMENTE CONOCIDO COMO SHAKA SANKOFA</w:t>
      </w:r>
    </w:p>
    <w:p w14:paraId="2B6F807A" w14:textId="77777777" w:rsidR="009867BC" w:rsidRPr="00B41C20" w:rsidRDefault="009867BC" w:rsidP="009867BC">
      <w:pPr>
        <w:pStyle w:val="NoSpacing"/>
        <w:jc w:val="center"/>
        <w:rPr>
          <w:rFonts w:ascii="Cambria" w:hAnsi="Cambria"/>
          <w:b/>
          <w:bCs/>
          <w:sz w:val="20"/>
          <w:szCs w:val="20"/>
          <w:lang w:val="es-ES"/>
        </w:rPr>
      </w:pPr>
      <w:r w:rsidRPr="016A6D0C">
        <w:rPr>
          <w:rFonts w:ascii="Cambria" w:hAnsi="Cambria"/>
          <w:b/>
          <w:bCs/>
          <w:sz w:val="20"/>
          <w:szCs w:val="20"/>
          <w:lang w:val="es-ES"/>
        </w:rPr>
        <w:t>(Estados Unidos)</w:t>
      </w:r>
    </w:p>
    <w:p w14:paraId="6FA096C5" w14:textId="77777777" w:rsidR="009867BC" w:rsidRPr="00B41C20" w:rsidRDefault="009867BC" w:rsidP="009867BC">
      <w:pPr>
        <w:spacing w:after="0" w:line="240" w:lineRule="auto"/>
        <w:jc w:val="center"/>
        <w:rPr>
          <w:rFonts w:ascii="Cambria" w:hAnsi="Cambria"/>
          <w:sz w:val="20"/>
          <w:szCs w:val="20"/>
          <w:lang w:val="es-ES"/>
        </w:rPr>
      </w:pPr>
    </w:p>
    <w:p w14:paraId="7EC4E438" w14:textId="77777777" w:rsidR="009867BC" w:rsidRPr="00B41C20" w:rsidRDefault="009867BC" w:rsidP="009867BC">
      <w:pPr>
        <w:numPr>
          <w:ilvl w:val="0"/>
          <w:numId w:val="8"/>
        </w:numPr>
        <w:spacing w:after="0" w:line="240" w:lineRule="auto"/>
        <w:ind w:left="1440"/>
        <w:rPr>
          <w:rFonts w:ascii="Cambria" w:hAnsi="Cambria" w:cs="Calibri Light"/>
          <w:b/>
          <w:bCs/>
          <w:sz w:val="20"/>
          <w:szCs w:val="20"/>
          <w:lang w:val="es-ES"/>
        </w:rPr>
      </w:pPr>
      <w:r w:rsidRPr="016A6D0C">
        <w:rPr>
          <w:rFonts w:ascii="Cambria" w:hAnsi="Cambria" w:cs="Calibri Light"/>
          <w:b/>
          <w:bCs/>
          <w:sz w:val="20"/>
          <w:szCs w:val="20"/>
          <w:lang w:val="es-ES"/>
        </w:rPr>
        <w:t xml:space="preserve">Resumen del caso </w:t>
      </w:r>
    </w:p>
    <w:p w14:paraId="627444D5" w14:textId="77777777" w:rsidR="009867BC" w:rsidRPr="00B41C20" w:rsidRDefault="009867BC" w:rsidP="009867BC">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867BC" w:rsidRPr="00B41C20" w14:paraId="57C01CC1" w14:textId="77777777" w:rsidTr="004423EC">
        <w:trPr>
          <w:jc w:val="center"/>
        </w:trPr>
        <w:tc>
          <w:tcPr>
            <w:tcW w:w="9576" w:type="dxa"/>
            <w:shd w:val="clear" w:color="auto" w:fill="F2F2F2" w:themeFill="background1" w:themeFillShade="F2"/>
          </w:tcPr>
          <w:p w14:paraId="21818F66" w14:textId="77777777" w:rsidR="009867BC" w:rsidRPr="00B41C20" w:rsidRDefault="009867BC" w:rsidP="004423EC">
            <w:pPr>
              <w:spacing w:before="120" w:after="0" w:line="240" w:lineRule="auto"/>
              <w:jc w:val="both"/>
              <w:rPr>
                <w:rFonts w:ascii="Cambria" w:hAnsi="Cambria"/>
                <w:b/>
                <w:bCs/>
                <w:sz w:val="20"/>
                <w:szCs w:val="20"/>
                <w:lang w:val="es-ES"/>
              </w:rPr>
            </w:pPr>
            <w:r w:rsidRPr="016A6D0C">
              <w:rPr>
                <w:rFonts w:ascii="Cambria" w:hAnsi="Cambria"/>
                <w:b/>
                <w:bCs/>
                <w:sz w:val="20"/>
                <w:szCs w:val="20"/>
                <w:lang w:val="es-ES"/>
              </w:rPr>
              <w:t xml:space="preserve">Víctima (s): </w:t>
            </w:r>
            <w:r w:rsidRPr="016A6D0C">
              <w:rPr>
                <w:rFonts w:ascii="Cambria" w:hAnsi="Cambria"/>
                <w:sz w:val="20"/>
                <w:szCs w:val="20"/>
                <w:lang w:val="es-ES"/>
              </w:rPr>
              <w:t>Shaka Sankofa (anteriormente Gary Graham)</w:t>
            </w:r>
          </w:p>
          <w:p w14:paraId="026704BD" w14:textId="77777777" w:rsidR="009867BC" w:rsidRPr="006831A2" w:rsidRDefault="009867BC" w:rsidP="004423EC">
            <w:pPr>
              <w:spacing w:after="0" w:line="240" w:lineRule="auto"/>
              <w:jc w:val="both"/>
              <w:rPr>
                <w:rFonts w:ascii="Cambria" w:hAnsi="Cambria"/>
                <w:b/>
                <w:bCs/>
                <w:sz w:val="20"/>
                <w:szCs w:val="20"/>
                <w:lang w:val="en-US"/>
              </w:rPr>
            </w:pPr>
            <w:r w:rsidRPr="016A6D0C">
              <w:rPr>
                <w:rFonts w:ascii="Cambria" w:hAnsi="Cambria"/>
                <w:b/>
                <w:bCs/>
                <w:sz w:val="20"/>
                <w:szCs w:val="20"/>
                <w:lang w:val="en-US"/>
              </w:rPr>
              <w:t>Peticionario (s):</w:t>
            </w:r>
            <w:r w:rsidRPr="016A6D0C">
              <w:rPr>
                <w:rFonts w:ascii="Cambria" w:hAnsi="Cambria"/>
                <w:sz w:val="20"/>
                <w:szCs w:val="20"/>
                <w:lang w:val="en-US"/>
              </w:rPr>
              <w:t xml:space="preserve"> International Human Rights Law Clinic, American University, Washington College of Law</w:t>
            </w:r>
          </w:p>
          <w:p w14:paraId="452D817B" w14:textId="77777777" w:rsidR="009867BC" w:rsidRPr="00B41C20" w:rsidRDefault="009867BC" w:rsidP="004423EC">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Estado: </w:t>
            </w:r>
            <w:r w:rsidRPr="016A6D0C">
              <w:rPr>
                <w:rFonts w:ascii="Cambria" w:hAnsi="Cambria"/>
                <w:sz w:val="20"/>
                <w:szCs w:val="20"/>
                <w:lang w:val="es-ES"/>
              </w:rPr>
              <w:t>Estados Unidos</w:t>
            </w:r>
          </w:p>
          <w:p w14:paraId="7DCD15B6" w14:textId="77777777" w:rsidR="009867BC" w:rsidRPr="00B41C20" w:rsidRDefault="009867BC" w:rsidP="004423EC">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Informe de Fondo Nº: </w:t>
            </w:r>
            <w:hyperlink r:id="rId11">
              <w:r w:rsidRPr="016A6D0C">
                <w:rPr>
                  <w:rStyle w:val="Hyperlink"/>
                  <w:rFonts w:ascii="Cambria" w:hAnsi="Cambria"/>
                  <w:sz w:val="20"/>
                  <w:szCs w:val="20"/>
                  <w:lang w:val="es-ES"/>
                </w:rPr>
                <w:t>97/03</w:t>
              </w:r>
            </w:hyperlink>
            <w:r w:rsidRPr="016A6D0C">
              <w:rPr>
                <w:rFonts w:ascii="Cambria" w:hAnsi="Cambria"/>
                <w:sz w:val="20"/>
                <w:szCs w:val="20"/>
                <w:lang w:val="es-ES"/>
              </w:rPr>
              <w:t>, publicado el 29 de diciembre de 2003</w:t>
            </w:r>
          </w:p>
          <w:p w14:paraId="3FC6E9A5" w14:textId="77777777" w:rsidR="009867BC" w:rsidRPr="00B41C20" w:rsidRDefault="009867BC" w:rsidP="004423EC">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Informe de admisibilidad Nº: </w:t>
            </w:r>
            <w:hyperlink r:id="rId12">
              <w:r w:rsidRPr="016A6D0C">
                <w:rPr>
                  <w:rStyle w:val="Hyperlink"/>
                  <w:rFonts w:ascii="Cambria" w:hAnsi="Cambria"/>
                  <w:sz w:val="20"/>
                  <w:szCs w:val="20"/>
                  <w:lang w:val="es-ES"/>
                </w:rPr>
                <w:t>51/00</w:t>
              </w:r>
            </w:hyperlink>
            <w:r w:rsidRPr="016A6D0C">
              <w:rPr>
                <w:rFonts w:ascii="Cambria" w:hAnsi="Cambria"/>
                <w:sz w:val="20"/>
                <w:szCs w:val="20"/>
                <w:lang w:val="es-ES"/>
              </w:rPr>
              <w:t>, adoptado el 15 de junio de 2000</w:t>
            </w:r>
          </w:p>
          <w:p w14:paraId="4CFE229A" w14:textId="77777777" w:rsidR="009867BC" w:rsidRPr="00B41C20" w:rsidRDefault="009867BC" w:rsidP="004423EC">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Medidas cautelares: </w:t>
            </w:r>
            <w:hyperlink r:id="rId13">
              <w:r w:rsidRPr="016A6D0C">
                <w:rPr>
                  <w:rStyle w:val="Hyperlink"/>
                  <w:rFonts w:ascii="Cambria" w:hAnsi="Cambria"/>
                  <w:sz w:val="20"/>
                  <w:szCs w:val="20"/>
                  <w:lang w:val="es-ES"/>
                </w:rPr>
                <w:t>otorgadas el 4 de febrero de 2000</w:t>
              </w:r>
            </w:hyperlink>
            <w:r w:rsidRPr="016A6D0C">
              <w:rPr>
                <w:rFonts w:ascii="Cambria" w:hAnsi="Cambria"/>
                <w:sz w:val="20"/>
                <w:szCs w:val="20"/>
                <w:lang w:val="es-ES"/>
              </w:rPr>
              <w:t xml:space="preserve"> </w:t>
            </w:r>
          </w:p>
          <w:p w14:paraId="4C82489C" w14:textId="77777777" w:rsidR="009867BC" w:rsidRPr="00B41C20" w:rsidRDefault="009867BC" w:rsidP="004423EC">
            <w:pPr>
              <w:spacing w:after="120" w:line="240" w:lineRule="auto"/>
              <w:jc w:val="both"/>
              <w:rPr>
                <w:rFonts w:ascii="Cambria" w:hAnsi="Cambria"/>
                <w:sz w:val="20"/>
                <w:szCs w:val="20"/>
                <w:lang w:val="es-ES"/>
              </w:rPr>
            </w:pPr>
            <w:r w:rsidRPr="016A6D0C">
              <w:rPr>
                <w:rFonts w:ascii="Cambria" w:hAnsi="Cambria"/>
                <w:b/>
                <w:bCs/>
                <w:sz w:val="20"/>
                <w:szCs w:val="20"/>
                <w:lang w:val="es-ES"/>
              </w:rPr>
              <w:t xml:space="preserve">Temas: </w:t>
            </w:r>
            <w:r w:rsidRPr="016A6D0C">
              <w:rPr>
                <w:rFonts w:ascii="Cambria" w:hAnsi="Cambria"/>
                <w:sz w:val="20"/>
                <w:szCs w:val="20"/>
                <w:lang w:val="es-ES"/>
              </w:rPr>
              <w:t>Pena de Muerte / Derecho a la Vida / Garantías Judiciales / Protección Judicial / Deber de Adoptar Medidas y Disposiciones de Derecho Interno / Derechos de Niñas, Niños y Adolescentes.</w:t>
            </w:r>
          </w:p>
          <w:p w14:paraId="3D285A45" w14:textId="77777777" w:rsidR="009867BC" w:rsidRPr="00B41C20" w:rsidRDefault="009867BC" w:rsidP="004423EC">
            <w:pPr>
              <w:pStyle w:val="BodyTextIndent"/>
              <w:spacing w:before="0" w:beforeAutospacing="0" w:after="120" w:afterAutospacing="0"/>
              <w:jc w:val="both"/>
              <w:rPr>
                <w:rFonts w:ascii="Cambria" w:hAnsi="Cambria"/>
                <w:sz w:val="20"/>
                <w:szCs w:val="20"/>
                <w:lang w:val="es-ES"/>
              </w:rPr>
            </w:pPr>
            <w:r w:rsidRPr="016A6D0C">
              <w:rPr>
                <w:rFonts w:ascii="Cambria" w:hAnsi="Cambria"/>
                <w:b/>
                <w:bCs/>
                <w:sz w:val="20"/>
                <w:szCs w:val="20"/>
                <w:lang w:val="es-ES"/>
              </w:rPr>
              <w:t xml:space="preserve">Hechos: </w:t>
            </w:r>
            <w:r w:rsidRPr="016A6D0C">
              <w:rPr>
                <w:rFonts w:ascii="Cambria" w:hAnsi="Cambria"/>
                <w:sz w:val="20"/>
                <w:szCs w:val="20"/>
                <w:lang w:val="es-ES"/>
              </w:rPr>
              <w:t xml:space="preserve">Este caso se refiere a Shaka Sankofa (antes conocido como Gary Graham), quien fue condenado a muerte en octubre de 1981 en el estado de Texas (Estados Unidos) a través de un procedimiento violatorio de su derecho a las garantías procesales debidas y a un juicio imparcial, ya que se le negó asistencia letrada eficaz y un foro para que un órgano competente examinara pruebas relativas a su identificación y a otros aspectos que parecían indicar que era inocente del delito por el cual había sido condenado, entre otras. El señor Sankofa fue ejecutado el 22 de junio de 2000.  </w:t>
            </w:r>
          </w:p>
          <w:p w14:paraId="501BDB7D" w14:textId="77777777" w:rsidR="009867BC" w:rsidRPr="00B41C20" w:rsidRDefault="009867BC" w:rsidP="004423EC">
            <w:pPr>
              <w:spacing w:after="120" w:line="240" w:lineRule="auto"/>
              <w:jc w:val="both"/>
              <w:rPr>
                <w:rFonts w:ascii="Cambria" w:hAnsi="Cambria"/>
                <w:b/>
                <w:bCs/>
                <w:sz w:val="20"/>
                <w:szCs w:val="20"/>
                <w:lang w:val="es-ES"/>
              </w:rPr>
            </w:pPr>
            <w:r w:rsidRPr="016A6D0C">
              <w:rPr>
                <w:rFonts w:ascii="Cambria" w:hAnsi="Cambria"/>
                <w:b/>
                <w:bCs/>
                <w:sz w:val="20"/>
                <w:szCs w:val="20"/>
                <w:lang w:val="es-ES"/>
              </w:rPr>
              <w:t xml:space="preserve">Derechos violados: </w:t>
            </w:r>
            <w:r w:rsidRPr="016A6D0C">
              <w:rPr>
                <w:rFonts w:ascii="Cambria" w:hAnsi="Cambria"/>
                <w:sz w:val="20"/>
                <w:szCs w:val="20"/>
                <w:lang w:val="es-ES"/>
              </w:rPr>
              <w:t xml:space="preserve">La Comisión concluyó que el Estado es responsable de violaciones de los artículos XVIII y XXVI de la Declaración Americana, cometidas en el juicio, declaración de culpabilidad y condena a muerte de Shaka Sankofa.  La Comisión concluye también que al ejecutar al Sr. Sankofa basándose en esas actuaciones, el Estado se hizo responsable de la violación del derecho fundamental a la vida del Sr. Sankofa, infringiendo así el artículo I de la Declaración Americana. Además, el Estado transgredió una norma internacional de </w:t>
            </w:r>
            <w:r w:rsidRPr="016A6D0C">
              <w:rPr>
                <w:rFonts w:ascii="Cambria" w:hAnsi="Cambria"/>
                <w:i/>
                <w:iCs/>
                <w:sz w:val="20"/>
                <w:szCs w:val="20"/>
                <w:lang w:val="es-ES"/>
              </w:rPr>
              <w:t>jus cogens</w:t>
            </w:r>
            <w:r w:rsidRPr="016A6D0C">
              <w:rPr>
                <w:rFonts w:ascii="Cambria" w:hAnsi="Cambria"/>
                <w:sz w:val="20"/>
                <w:szCs w:val="20"/>
                <w:lang w:val="es-ES"/>
              </w:rPr>
              <w:t xml:space="preserve"> enmarcada en el derecho a la vida previsto en el artículo I de la Declaración Americana al ejecutar al Sr. Sankofa por un delito que se concluyó que había cometido a los 17 años de edad.</w:t>
            </w:r>
          </w:p>
        </w:tc>
      </w:tr>
    </w:tbl>
    <w:p w14:paraId="001C09DC" w14:textId="77777777" w:rsidR="009867BC" w:rsidRPr="00B41C20" w:rsidRDefault="009867BC" w:rsidP="009867BC">
      <w:pPr>
        <w:spacing w:after="0" w:line="240" w:lineRule="auto"/>
        <w:ind w:left="180"/>
        <w:rPr>
          <w:rFonts w:ascii="Cambria" w:hAnsi="Cambria"/>
          <w:sz w:val="20"/>
          <w:szCs w:val="20"/>
          <w:lang w:val="es-ES"/>
        </w:rPr>
      </w:pPr>
    </w:p>
    <w:p w14:paraId="4EB2E60F" w14:textId="77777777" w:rsidR="009867BC" w:rsidRPr="00B41C20" w:rsidRDefault="009867BC" w:rsidP="009867BC">
      <w:pPr>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cs="Calibri Light"/>
          <w:b/>
          <w:bCs/>
          <w:sz w:val="20"/>
          <w:szCs w:val="20"/>
          <w:lang w:val="es-ES"/>
        </w:rPr>
        <w:t>Recomendaciones</w:t>
      </w:r>
    </w:p>
    <w:p w14:paraId="40309C93" w14:textId="77777777" w:rsidR="009867BC" w:rsidRPr="00B41C20" w:rsidRDefault="009867BC" w:rsidP="009867BC">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9867BC" w:rsidRPr="00B41C20" w14:paraId="50FEEE0E" w14:textId="77777777" w:rsidTr="004423EC">
        <w:tc>
          <w:tcPr>
            <w:tcW w:w="7650" w:type="dxa"/>
            <w:shd w:val="clear" w:color="auto" w:fill="auto"/>
            <w:vAlign w:val="center"/>
          </w:tcPr>
          <w:p w14:paraId="23F39470" w14:textId="77777777" w:rsidR="009867BC" w:rsidRPr="00B41C20" w:rsidRDefault="009867BC" w:rsidP="004423EC">
            <w:pPr>
              <w:spacing w:after="0" w:line="240" w:lineRule="auto"/>
              <w:jc w:val="center"/>
              <w:rPr>
                <w:rFonts w:ascii="Cambria" w:hAnsi="Cambria" w:cs="Calibri Light"/>
                <w:b/>
                <w:bCs/>
                <w:sz w:val="18"/>
                <w:szCs w:val="18"/>
                <w:lang w:val="es-ES"/>
              </w:rPr>
            </w:pPr>
            <w:r w:rsidRPr="016A6D0C">
              <w:rPr>
                <w:rFonts w:ascii="Cambria" w:hAnsi="Cambria" w:cs="Calibri Light"/>
                <w:b/>
                <w:bCs/>
                <w:sz w:val="18"/>
                <w:szCs w:val="18"/>
                <w:lang w:val="es-ES"/>
              </w:rPr>
              <w:t>Recomendaciones</w:t>
            </w:r>
          </w:p>
        </w:tc>
        <w:tc>
          <w:tcPr>
            <w:tcW w:w="1890" w:type="dxa"/>
            <w:shd w:val="clear" w:color="auto" w:fill="auto"/>
            <w:vAlign w:val="center"/>
          </w:tcPr>
          <w:p w14:paraId="529248C7" w14:textId="5CB93D0D" w:rsidR="009867BC" w:rsidRPr="00B41C20" w:rsidRDefault="009867BC" w:rsidP="004423EC">
            <w:pPr>
              <w:spacing w:after="0" w:line="240" w:lineRule="auto"/>
              <w:jc w:val="center"/>
              <w:rPr>
                <w:rFonts w:ascii="Cambria" w:hAnsi="Cambria" w:cs="Calibri Light"/>
                <w:b/>
                <w:bCs/>
                <w:sz w:val="18"/>
                <w:szCs w:val="18"/>
                <w:lang w:val="es-ES"/>
              </w:rPr>
            </w:pPr>
            <w:r w:rsidRPr="016A6D0C">
              <w:rPr>
                <w:rFonts w:ascii="Cambria" w:hAnsi="Cambria" w:cs="Calibri Light"/>
                <w:b/>
                <w:bCs/>
                <w:sz w:val="18"/>
                <w:szCs w:val="18"/>
                <w:lang w:val="es-ES"/>
              </w:rPr>
              <w:t xml:space="preserve">Estado de cumplimiento en </w:t>
            </w:r>
            <w:r w:rsidRPr="016A6D0C">
              <w:rPr>
                <w:rFonts w:ascii="Cambria" w:hAnsi="Cambria" w:cs="Calibri Light"/>
                <w:b/>
                <w:bCs/>
                <w:color w:val="000000" w:themeColor="text1"/>
                <w:sz w:val="18"/>
                <w:szCs w:val="18"/>
                <w:lang w:val="es-ES"/>
              </w:rPr>
              <w:t>202</w:t>
            </w:r>
            <w:r w:rsidR="005614AE">
              <w:rPr>
                <w:rFonts w:ascii="Cambria" w:hAnsi="Cambria" w:cs="Calibri Light"/>
                <w:b/>
                <w:bCs/>
                <w:color w:val="000000" w:themeColor="text1"/>
                <w:sz w:val="18"/>
                <w:szCs w:val="18"/>
                <w:lang w:val="es-ES"/>
              </w:rPr>
              <w:t>2</w:t>
            </w:r>
          </w:p>
        </w:tc>
      </w:tr>
      <w:tr w:rsidR="009867BC" w:rsidRPr="00B41C20" w14:paraId="660C566B" w14:textId="77777777" w:rsidTr="004423EC">
        <w:tc>
          <w:tcPr>
            <w:tcW w:w="7650" w:type="dxa"/>
            <w:shd w:val="clear" w:color="auto" w:fill="auto"/>
          </w:tcPr>
          <w:p w14:paraId="5EFF8146" w14:textId="77777777" w:rsidR="009867BC" w:rsidRPr="00B41C20" w:rsidRDefault="009867BC" w:rsidP="004423EC">
            <w:pPr>
              <w:spacing w:after="0" w:line="240" w:lineRule="auto"/>
              <w:jc w:val="both"/>
              <w:rPr>
                <w:rFonts w:ascii="Cambria" w:hAnsi="Cambria"/>
                <w:sz w:val="18"/>
                <w:szCs w:val="18"/>
                <w:lang w:val="es-ES"/>
              </w:rPr>
            </w:pPr>
            <w:r w:rsidRPr="016A6D0C">
              <w:rPr>
                <w:rFonts w:ascii="Cambria" w:hAnsi="Cambria"/>
                <w:sz w:val="18"/>
                <w:szCs w:val="18"/>
                <w:lang w:val="es-ES"/>
              </w:rPr>
              <w:t>1. Proporcione un recurso efectivo al pariente más próximo de Shaka Sankofa, incluida una indemnización.</w:t>
            </w:r>
          </w:p>
        </w:tc>
        <w:tc>
          <w:tcPr>
            <w:tcW w:w="1890" w:type="dxa"/>
            <w:shd w:val="clear" w:color="auto" w:fill="auto"/>
            <w:vAlign w:val="center"/>
          </w:tcPr>
          <w:p w14:paraId="0B0F53BE" w14:textId="77777777" w:rsidR="009867BC" w:rsidRPr="00B41C20" w:rsidRDefault="009867BC" w:rsidP="004423E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Pendiente de cumplimiento</w:t>
            </w:r>
          </w:p>
        </w:tc>
      </w:tr>
      <w:tr w:rsidR="009867BC" w:rsidRPr="00B41C20" w14:paraId="48C71503" w14:textId="77777777" w:rsidTr="004423EC">
        <w:tc>
          <w:tcPr>
            <w:tcW w:w="7650" w:type="dxa"/>
            <w:shd w:val="clear" w:color="auto" w:fill="auto"/>
          </w:tcPr>
          <w:p w14:paraId="025C4222" w14:textId="77777777" w:rsidR="009867BC" w:rsidRPr="00B41C20" w:rsidRDefault="009867BC" w:rsidP="004423EC">
            <w:pPr>
              <w:spacing w:after="0" w:line="240" w:lineRule="auto"/>
              <w:jc w:val="both"/>
              <w:rPr>
                <w:rFonts w:ascii="Cambria" w:hAnsi="Cambria"/>
                <w:sz w:val="18"/>
                <w:szCs w:val="18"/>
                <w:lang w:val="es-ES"/>
              </w:rPr>
            </w:pPr>
            <w:r w:rsidRPr="016A6D0C">
              <w:rPr>
                <w:rFonts w:ascii="Cambria" w:hAnsi="Cambria"/>
                <w:sz w:val="18"/>
                <w:szCs w:val="18"/>
                <w:lang w:val="es-ES"/>
              </w:rPr>
              <w:t xml:space="preserve">2. Revise sus leyes, procedimientos y prácticas, a fin de evitar violaciones de derechos similares a las cometidas en el caso del Sr. Sankofa en futuras actuaciones referentes a la imposición de la pena capital. </w:t>
            </w:r>
          </w:p>
        </w:tc>
        <w:tc>
          <w:tcPr>
            <w:tcW w:w="1890" w:type="dxa"/>
            <w:shd w:val="clear" w:color="auto" w:fill="auto"/>
            <w:vAlign w:val="center"/>
          </w:tcPr>
          <w:p w14:paraId="2861BE1D" w14:textId="77777777" w:rsidR="009867BC" w:rsidRPr="00B41C20" w:rsidRDefault="009867BC" w:rsidP="004423E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Pendiente de cumplimiento</w:t>
            </w:r>
          </w:p>
        </w:tc>
      </w:tr>
      <w:tr w:rsidR="009867BC" w:rsidRPr="00B41C20" w14:paraId="06F97235" w14:textId="77777777" w:rsidTr="004423EC">
        <w:tc>
          <w:tcPr>
            <w:tcW w:w="7650" w:type="dxa"/>
            <w:shd w:val="clear" w:color="auto" w:fill="auto"/>
          </w:tcPr>
          <w:p w14:paraId="187DE098" w14:textId="77777777" w:rsidR="009867BC" w:rsidRPr="00B41C20" w:rsidRDefault="009867BC" w:rsidP="004423EC">
            <w:pPr>
              <w:spacing w:after="0" w:line="240" w:lineRule="auto"/>
              <w:jc w:val="both"/>
              <w:rPr>
                <w:rFonts w:ascii="Cambria" w:hAnsi="Cambria"/>
                <w:sz w:val="18"/>
                <w:szCs w:val="18"/>
                <w:lang w:val="es-ES"/>
              </w:rPr>
            </w:pPr>
            <w:r w:rsidRPr="016A6D0C">
              <w:rPr>
                <w:rFonts w:ascii="Cambria" w:hAnsi="Cambria"/>
                <w:sz w:val="18"/>
                <w:szCs w:val="18"/>
                <w:lang w:val="es-ES"/>
              </w:rPr>
              <w:t>3. Revise sus leyes, procedimientos y prácticas de modo que no se imponga la pena de muerte a personas que, a la fecha en que se haya cometido el delito del que hayan sido declaradas culpables, no hubieran cumplido los 18 años de edad.</w:t>
            </w:r>
          </w:p>
        </w:tc>
        <w:tc>
          <w:tcPr>
            <w:tcW w:w="1890" w:type="dxa"/>
            <w:shd w:val="clear" w:color="auto" w:fill="auto"/>
            <w:vAlign w:val="center"/>
          </w:tcPr>
          <w:p w14:paraId="301DEC27" w14:textId="77777777" w:rsidR="009867BC" w:rsidRPr="00B41C20" w:rsidRDefault="009867BC" w:rsidP="004423E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Cumplimiento total</w:t>
            </w:r>
            <w:r w:rsidRPr="005614AE">
              <w:rPr>
                <w:rFonts w:ascii="Cambria" w:eastAsia="Cambria" w:hAnsi="Cambria" w:cs="Cambria"/>
                <w:sz w:val="18"/>
                <w:szCs w:val="18"/>
                <w:vertAlign w:val="superscript"/>
                <w:lang w:val="es-ES"/>
              </w:rPr>
              <w:footnoteReference w:id="1"/>
            </w:r>
          </w:p>
        </w:tc>
      </w:tr>
    </w:tbl>
    <w:p w14:paraId="32C89053" w14:textId="4967FE1B" w:rsidR="009867BC" w:rsidRDefault="009867BC" w:rsidP="009867BC">
      <w:pPr>
        <w:spacing w:after="0" w:line="240" w:lineRule="auto"/>
        <w:rPr>
          <w:rFonts w:ascii="Cambria" w:hAnsi="Cambria"/>
          <w:b/>
          <w:bCs/>
          <w:sz w:val="20"/>
          <w:szCs w:val="20"/>
          <w:lang w:val="es-ES"/>
        </w:rPr>
      </w:pPr>
    </w:p>
    <w:p w14:paraId="018A7987" w14:textId="135BDDE1" w:rsidR="007B62BA" w:rsidRPr="007B62BA" w:rsidRDefault="009867BC" w:rsidP="007B62BA">
      <w:pPr>
        <w:pStyle w:val="ListParagraph"/>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b/>
          <w:bCs/>
          <w:sz w:val="20"/>
          <w:szCs w:val="20"/>
          <w:lang w:val="es-ES"/>
        </w:rPr>
        <w:t>Actividad procesal</w:t>
      </w:r>
    </w:p>
    <w:p w14:paraId="465BB590" w14:textId="77777777" w:rsidR="007B62BA" w:rsidRPr="007B62BA" w:rsidRDefault="007B62BA" w:rsidP="007B62BA">
      <w:pPr>
        <w:pStyle w:val="ListParagraph"/>
        <w:spacing w:after="0" w:line="240" w:lineRule="auto"/>
        <w:ind w:left="1440"/>
        <w:jc w:val="both"/>
        <w:rPr>
          <w:rFonts w:ascii="Cambria" w:hAnsi="Cambria" w:cs="Calibri Light"/>
          <w:b/>
          <w:bCs/>
          <w:sz w:val="20"/>
          <w:szCs w:val="20"/>
          <w:lang w:val="es-ES"/>
        </w:rPr>
      </w:pPr>
    </w:p>
    <w:p w14:paraId="6BE82996" w14:textId="77777777" w:rsidR="007B62BA" w:rsidRPr="004F5551" w:rsidRDefault="007B62BA" w:rsidP="007B62BA">
      <w:pPr>
        <w:pStyle w:val="ListParagraph"/>
        <w:numPr>
          <w:ilvl w:val="0"/>
          <w:numId w:val="11"/>
        </w:numPr>
        <w:spacing w:after="0" w:line="240" w:lineRule="auto"/>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En 202</w:t>
      </w:r>
      <w:r>
        <w:rPr>
          <w:rFonts w:ascii="Cambria" w:hAnsi="Cambria" w:cs="Calibri Light"/>
          <w:color w:val="000000" w:themeColor="text1"/>
          <w:sz w:val="20"/>
          <w:szCs w:val="20"/>
          <w:lang w:val="es-ES"/>
        </w:rPr>
        <w:t>2</w:t>
      </w:r>
      <w:r w:rsidRPr="1DFA3710">
        <w:rPr>
          <w:rFonts w:ascii="Cambria" w:hAnsi="Cambria" w:cs="Calibri Light"/>
          <w:color w:val="000000" w:themeColor="text1"/>
          <w:sz w:val="20"/>
          <w:szCs w:val="20"/>
          <w:lang w:val="es-ES"/>
        </w:rPr>
        <w:t xml:space="preserve">, la CIDH solicitó al Estado información actualizada sobre el cumplimiento de recomendaciones el </w:t>
      </w:r>
      <w:r>
        <w:rPr>
          <w:rFonts w:ascii="Cambria" w:hAnsi="Cambria" w:cs="Calibri Light"/>
          <w:color w:val="000000" w:themeColor="text1"/>
          <w:sz w:val="20"/>
          <w:szCs w:val="20"/>
          <w:lang w:val="es-ES"/>
        </w:rPr>
        <w:t>25</w:t>
      </w:r>
      <w:r w:rsidRPr="1DFA3710">
        <w:rPr>
          <w:rFonts w:ascii="Cambria" w:hAnsi="Cambria" w:cs="Calibri Light"/>
          <w:color w:val="000000" w:themeColor="text1"/>
          <w:sz w:val="20"/>
          <w:szCs w:val="20"/>
          <w:lang w:val="es-ES"/>
        </w:rPr>
        <w:t xml:space="preserve"> de agosto. </w:t>
      </w:r>
      <w:r>
        <w:rPr>
          <w:rFonts w:ascii="Cambria" w:hAnsi="Cambria" w:cs="Calibri Light"/>
          <w:color w:val="000000" w:themeColor="text1"/>
          <w:sz w:val="20"/>
          <w:szCs w:val="20"/>
          <w:lang w:val="es-ES"/>
        </w:rPr>
        <w:t>A la fecha,</w:t>
      </w:r>
      <w:r w:rsidRPr="1DFA3710">
        <w:rPr>
          <w:rFonts w:ascii="Cambria" w:hAnsi="Cambria" w:cs="Calibri Light"/>
          <w:color w:val="000000" w:themeColor="text1"/>
          <w:sz w:val="20"/>
          <w:szCs w:val="20"/>
          <w:lang w:val="es-ES"/>
        </w:rPr>
        <w:t xml:space="preserve"> </w:t>
      </w:r>
      <w:r>
        <w:rPr>
          <w:rFonts w:ascii="Cambria" w:hAnsi="Cambria" w:cs="Calibri Light"/>
          <w:color w:val="000000" w:themeColor="text1"/>
          <w:sz w:val="20"/>
          <w:szCs w:val="20"/>
          <w:lang w:val="es-ES"/>
        </w:rPr>
        <w:t>e</w:t>
      </w:r>
      <w:r w:rsidRPr="1DFA3710">
        <w:rPr>
          <w:rFonts w:ascii="Cambria" w:hAnsi="Cambria" w:cs="Calibri Light"/>
          <w:color w:val="000000" w:themeColor="text1"/>
          <w:sz w:val="20"/>
          <w:szCs w:val="20"/>
          <w:lang w:val="es-ES"/>
        </w:rPr>
        <w:t>l Estado</w:t>
      </w:r>
      <w:r>
        <w:rPr>
          <w:rFonts w:ascii="Cambria" w:hAnsi="Cambria" w:cs="Calibri Light"/>
          <w:color w:val="000000" w:themeColor="text1"/>
          <w:sz w:val="20"/>
          <w:szCs w:val="20"/>
          <w:lang w:val="es-ES"/>
        </w:rPr>
        <w:t xml:space="preserve"> no</w:t>
      </w:r>
      <w:r w:rsidRPr="1DFA3710">
        <w:rPr>
          <w:rFonts w:ascii="Cambria" w:hAnsi="Cambria" w:cs="Calibri Light"/>
          <w:color w:val="000000" w:themeColor="text1"/>
          <w:sz w:val="20"/>
          <w:szCs w:val="20"/>
          <w:lang w:val="es-ES"/>
        </w:rPr>
        <w:t xml:space="preserve"> </w:t>
      </w:r>
      <w:r w:rsidRPr="1DFA3710">
        <w:rPr>
          <w:rFonts w:ascii="Cambria" w:hAnsi="Cambria"/>
          <w:sz w:val="20"/>
          <w:szCs w:val="20"/>
          <w:lang w:val="es-ES"/>
        </w:rPr>
        <w:t xml:space="preserve">presentó dicha información.  </w:t>
      </w:r>
    </w:p>
    <w:p w14:paraId="44904518" w14:textId="77777777" w:rsidR="007B62BA" w:rsidRPr="00787730" w:rsidRDefault="007B62BA" w:rsidP="007B62BA">
      <w:pPr>
        <w:ind w:left="720"/>
        <w:jc w:val="both"/>
        <w:rPr>
          <w:rFonts w:ascii="Cambria" w:hAnsi="Cambria" w:cs="Calibri Light"/>
          <w:color w:val="000000" w:themeColor="text1"/>
          <w:sz w:val="20"/>
          <w:szCs w:val="20"/>
          <w:lang w:val="es-ES"/>
        </w:rPr>
      </w:pPr>
    </w:p>
    <w:p w14:paraId="1AA3308E" w14:textId="7CB69BFB" w:rsidR="007B62BA" w:rsidRPr="00366CA4" w:rsidRDefault="007B62BA" w:rsidP="007B62BA">
      <w:pPr>
        <w:numPr>
          <w:ilvl w:val="0"/>
          <w:numId w:val="11"/>
        </w:numPr>
        <w:spacing w:after="0" w:line="240" w:lineRule="auto"/>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 xml:space="preserve">La CIDH </w:t>
      </w:r>
      <w:r w:rsidRPr="1DFA3710">
        <w:rPr>
          <w:rFonts w:ascii="Cambria" w:hAnsi="Cambria"/>
          <w:color w:val="000000" w:themeColor="text1"/>
          <w:sz w:val="20"/>
          <w:szCs w:val="20"/>
          <w:lang w:val="es-ES"/>
        </w:rPr>
        <w:t xml:space="preserve">solicitó información actualizada al peticionario sobre el cumplimiento el </w:t>
      </w:r>
      <w:r>
        <w:rPr>
          <w:rFonts w:ascii="Cambria" w:hAnsi="Cambria"/>
          <w:color w:val="000000" w:themeColor="text1"/>
          <w:sz w:val="20"/>
          <w:szCs w:val="20"/>
          <w:lang w:val="es-ES"/>
        </w:rPr>
        <w:t>25 de agosto</w:t>
      </w:r>
      <w:r w:rsidRPr="1DFA3710">
        <w:rPr>
          <w:rFonts w:ascii="Cambria" w:hAnsi="Cambria"/>
          <w:color w:val="000000" w:themeColor="text1"/>
          <w:sz w:val="20"/>
          <w:szCs w:val="20"/>
          <w:lang w:val="es-ES"/>
        </w:rPr>
        <w:t xml:space="preserve"> de 202</w:t>
      </w:r>
      <w:r>
        <w:rPr>
          <w:rFonts w:ascii="Cambria" w:hAnsi="Cambria"/>
          <w:color w:val="000000" w:themeColor="text1"/>
          <w:sz w:val="20"/>
          <w:szCs w:val="20"/>
          <w:lang w:val="es-ES"/>
        </w:rPr>
        <w:t>2</w:t>
      </w:r>
      <w:r w:rsidRPr="1DFA3710">
        <w:rPr>
          <w:rFonts w:ascii="Cambria" w:hAnsi="Cambria"/>
          <w:color w:val="000000" w:themeColor="text1"/>
          <w:sz w:val="20"/>
          <w:szCs w:val="20"/>
          <w:lang w:val="es-ES"/>
        </w:rPr>
        <w:t>.</w:t>
      </w:r>
      <w:r>
        <w:rPr>
          <w:rFonts w:ascii="Cambria" w:hAnsi="Cambria"/>
          <w:color w:val="000000" w:themeColor="text1"/>
          <w:sz w:val="20"/>
          <w:szCs w:val="20"/>
          <w:lang w:val="es-ES"/>
        </w:rPr>
        <w:t xml:space="preserve"> A la fecha, la parte peticionaria no presentó la información solicitada.</w:t>
      </w:r>
      <w:r w:rsidRPr="1DFA3710">
        <w:rPr>
          <w:rFonts w:ascii="Cambria" w:hAnsi="Cambria"/>
          <w:color w:val="000000" w:themeColor="text1"/>
          <w:sz w:val="20"/>
          <w:szCs w:val="20"/>
          <w:lang w:val="es-ES"/>
        </w:rPr>
        <w:t xml:space="preserve"> </w:t>
      </w:r>
    </w:p>
    <w:p w14:paraId="16BEE85D" w14:textId="77777777" w:rsidR="009867BC" w:rsidRPr="00B41C20" w:rsidRDefault="009867BC" w:rsidP="009867BC">
      <w:pPr>
        <w:spacing w:after="0" w:line="240" w:lineRule="auto"/>
        <w:jc w:val="both"/>
        <w:rPr>
          <w:rFonts w:ascii="Cambria" w:hAnsi="Cambria" w:cs="Calibri Light"/>
          <w:sz w:val="20"/>
          <w:szCs w:val="20"/>
          <w:lang w:val="es-ES"/>
        </w:rPr>
      </w:pPr>
    </w:p>
    <w:p w14:paraId="3863B53E" w14:textId="41499BA6" w:rsidR="007B62BA" w:rsidRPr="007B62BA" w:rsidRDefault="009867BC" w:rsidP="007B62BA">
      <w:pPr>
        <w:pStyle w:val="ListParagraph"/>
        <w:numPr>
          <w:ilvl w:val="0"/>
          <w:numId w:val="8"/>
        </w:numPr>
        <w:spacing w:after="0" w:line="240" w:lineRule="auto"/>
        <w:ind w:left="1440"/>
        <w:jc w:val="both"/>
        <w:rPr>
          <w:rFonts w:ascii="Cambria" w:hAnsi="Cambria" w:cs="Calibri Light"/>
          <w:sz w:val="20"/>
          <w:szCs w:val="20"/>
          <w:lang w:val="es-ES"/>
        </w:rPr>
      </w:pPr>
      <w:r w:rsidRPr="016A6D0C">
        <w:rPr>
          <w:rFonts w:ascii="Cambria" w:hAnsi="Cambria" w:cs="Calibri Light"/>
          <w:b/>
          <w:bCs/>
          <w:sz w:val="20"/>
          <w:szCs w:val="20"/>
          <w:lang w:val="es-ES"/>
        </w:rPr>
        <w:t xml:space="preserve">Análisis relativo a la información proporcionada </w:t>
      </w:r>
    </w:p>
    <w:p w14:paraId="3FE51129" w14:textId="77777777" w:rsidR="007B62BA" w:rsidRPr="007B62BA" w:rsidRDefault="007B62BA" w:rsidP="007B62BA">
      <w:pPr>
        <w:pStyle w:val="ListParagraph"/>
        <w:spacing w:after="0" w:line="240" w:lineRule="auto"/>
        <w:ind w:left="1440"/>
        <w:jc w:val="both"/>
        <w:rPr>
          <w:rFonts w:ascii="Cambria" w:hAnsi="Cambria" w:cs="Calibri Light"/>
          <w:sz w:val="20"/>
          <w:szCs w:val="20"/>
          <w:lang w:val="es-ES"/>
        </w:rPr>
      </w:pPr>
    </w:p>
    <w:p w14:paraId="33755C53" w14:textId="519EAA3C" w:rsidR="007B62BA" w:rsidRPr="007B62BA" w:rsidRDefault="007B62BA" w:rsidP="007B62BA">
      <w:pPr>
        <w:pStyle w:val="ListParagraph"/>
        <w:numPr>
          <w:ilvl w:val="0"/>
          <w:numId w:val="11"/>
        </w:numPr>
        <w:spacing w:after="0" w:line="240" w:lineRule="auto"/>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w:t>
      </w:r>
      <w:r>
        <w:rPr>
          <w:rFonts w:ascii="Cambria" w:hAnsi="Cambria" w:cs="Calibri Light"/>
          <w:color w:val="000000" w:themeColor="text1"/>
          <w:sz w:val="20"/>
          <w:szCs w:val="20"/>
          <w:lang w:val="es-ES"/>
        </w:rPr>
        <w:t>21</w:t>
      </w:r>
      <w:r w:rsidRPr="1DFA3710">
        <w:rPr>
          <w:rFonts w:ascii="Cambria" w:hAnsi="Cambria" w:cs="Calibri Light"/>
          <w:color w:val="000000" w:themeColor="text1"/>
          <w:sz w:val="20"/>
          <w:szCs w:val="20"/>
          <w:lang w:val="es-ES"/>
        </w:rPr>
        <w:t>.</w:t>
      </w:r>
    </w:p>
    <w:p w14:paraId="6F516147" w14:textId="77777777" w:rsidR="009867BC" w:rsidRPr="00B41C20" w:rsidRDefault="009867BC" w:rsidP="009867BC">
      <w:pPr>
        <w:spacing w:after="0" w:line="240" w:lineRule="auto"/>
        <w:jc w:val="both"/>
        <w:rPr>
          <w:rFonts w:ascii="Cambria" w:hAnsi="Cambria" w:cs="Calibri Light"/>
          <w:sz w:val="20"/>
          <w:szCs w:val="20"/>
          <w:lang w:val="es-ES"/>
        </w:rPr>
      </w:pPr>
    </w:p>
    <w:p w14:paraId="200DC87F" w14:textId="46E3970C" w:rsidR="009867BC" w:rsidRPr="00B41C20" w:rsidRDefault="009867BC" w:rsidP="009867BC">
      <w:pPr>
        <w:pStyle w:val="ListParagraph"/>
        <w:numPr>
          <w:ilvl w:val="0"/>
          <w:numId w:val="8"/>
        </w:numPr>
        <w:spacing w:after="0" w:line="240" w:lineRule="auto"/>
        <w:ind w:left="1440"/>
        <w:jc w:val="both"/>
        <w:rPr>
          <w:rFonts w:ascii="Cambria" w:hAnsi="Cambria"/>
          <w:sz w:val="20"/>
          <w:szCs w:val="20"/>
          <w:lang w:val="es-ES"/>
        </w:rPr>
      </w:pPr>
      <w:r w:rsidRPr="016A6D0C">
        <w:rPr>
          <w:rFonts w:ascii="Cambria" w:hAnsi="Cambria" w:cs="Calibri Light"/>
          <w:b/>
          <w:bCs/>
          <w:sz w:val="20"/>
          <w:szCs w:val="20"/>
          <w:lang w:val="es-ES"/>
        </w:rPr>
        <w:t>Análisis del cumplimiento de las recomendaciones</w:t>
      </w:r>
      <w:r w:rsidR="002213CF">
        <w:rPr>
          <w:rStyle w:val="FootnoteReference"/>
          <w:rFonts w:ascii="Cambria" w:hAnsi="Cambria" w:cs="Calibri Light"/>
          <w:b/>
          <w:bCs/>
          <w:sz w:val="20"/>
          <w:szCs w:val="20"/>
          <w:lang w:val="es-ES"/>
        </w:rPr>
        <w:footnoteReference w:id="2"/>
      </w:r>
    </w:p>
    <w:p w14:paraId="4BD17299" w14:textId="77777777" w:rsidR="009867BC" w:rsidRPr="00B41C20" w:rsidRDefault="009867BC" w:rsidP="009867BC">
      <w:pPr>
        <w:pStyle w:val="ListParagraph"/>
        <w:spacing w:after="0" w:line="240" w:lineRule="auto"/>
        <w:ind w:left="1440"/>
        <w:jc w:val="both"/>
        <w:rPr>
          <w:rFonts w:ascii="Cambria" w:hAnsi="Cambria"/>
          <w:sz w:val="20"/>
          <w:szCs w:val="20"/>
          <w:lang w:val="es-ES"/>
        </w:rPr>
      </w:pPr>
    </w:p>
    <w:p w14:paraId="3D2635D8" w14:textId="77777777" w:rsidR="009867BC" w:rsidRPr="00B41C20" w:rsidRDefault="009867BC" w:rsidP="009867BC">
      <w:pPr>
        <w:pStyle w:val="ListParagraph"/>
        <w:numPr>
          <w:ilvl w:val="0"/>
          <w:numId w:val="11"/>
        </w:numPr>
        <w:spacing w:after="0" w:line="240" w:lineRule="auto"/>
        <w:jc w:val="both"/>
        <w:rPr>
          <w:rFonts w:ascii="Cambria" w:hAnsi="Cambria"/>
          <w:sz w:val="20"/>
          <w:szCs w:val="20"/>
          <w:lang w:val="es-ES"/>
        </w:rPr>
      </w:pPr>
      <w:r w:rsidRPr="016A6D0C">
        <w:rPr>
          <w:rFonts w:ascii="Cambria" w:hAnsi="Cambria"/>
          <w:b/>
          <w:bCs/>
          <w:sz w:val="20"/>
          <w:szCs w:val="20"/>
          <w:lang w:val="es-ES"/>
        </w:rPr>
        <w:t xml:space="preserve">Con relación a la primera recomendación, </w:t>
      </w:r>
      <w:r w:rsidRPr="00B41C20">
        <w:rPr>
          <w:rFonts w:ascii="Cambria" w:hAnsi="Cambria"/>
          <w:sz w:val="20"/>
          <w:szCs w:val="20"/>
          <w:lang w:val="es-ES"/>
        </w:rPr>
        <w:t>en 2011, el Estado informó que ni su ley interna ni el derecho internacional requieren que se provea de recursos a las familias de las personas cuya ejecución era legal en el momento en que se llevó a cabo.</w:t>
      </w:r>
      <w:r w:rsidRPr="00B41C20">
        <w:rPr>
          <w:rStyle w:val="FootnoteReference"/>
          <w:rFonts w:ascii="Cambria" w:hAnsi="Cambria"/>
          <w:snapToGrid w:val="0"/>
          <w:sz w:val="20"/>
          <w:szCs w:val="20"/>
          <w:lang w:val="es-ES"/>
        </w:rPr>
        <w:footnoteReference w:id="3"/>
      </w:r>
      <w:r w:rsidRPr="00B41C20">
        <w:rPr>
          <w:rFonts w:ascii="Cambria" w:hAnsi="Cambria"/>
          <w:snapToGrid w:val="0"/>
          <w:sz w:val="20"/>
          <w:szCs w:val="20"/>
          <w:lang w:val="es-ES"/>
        </w:rPr>
        <w:t xml:space="preserve"> </w:t>
      </w:r>
      <w:r w:rsidRPr="00B41C20">
        <w:rPr>
          <w:rFonts w:ascii="Cambria" w:hAnsi="Cambria" w:cs="Calibri Light"/>
          <w:sz w:val="20"/>
          <w:szCs w:val="20"/>
          <w:lang w:val="es-ES"/>
        </w:rPr>
        <w:t>En 2020, el Estado reiteró su posición sin presentar nueva información sobre acciones tomadas para dar cumplimiento a esta recomendación.</w:t>
      </w:r>
    </w:p>
    <w:p w14:paraId="7DEC6646" w14:textId="77777777" w:rsidR="009867BC" w:rsidRPr="00B41C20" w:rsidRDefault="009867BC" w:rsidP="009867BC">
      <w:pPr>
        <w:pStyle w:val="ListParagraph"/>
        <w:rPr>
          <w:rFonts w:ascii="Cambria" w:hAnsi="Cambria"/>
          <w:sz w:val="20"/>
          <w:szCs w:val="20"/>
          <w:lang w:val="es-ES"/>
        </w:rPr>
      </w:pPr>
    </w:p>
    <w:p w14:paraId="711C7E38" w14:textId="77777777" w:rsidR="009867BC" w:rsidRPr="00B41C20" w:rsidRDefault="009867BC" w:rsidP="009867BC">
      <w:pPr>
        <w:pStyle w:val="ListParagraph"/>
        <w:numPr>
          <w:ilvl w:val="0"/>
          <w:numId w:val="11"/>
        </w:numPr>
        <w:spacing w:after="0" w:line="240" w:lineRule="auto"/>
        <w:jc w:val="both"/>
        <w:rPr>
          <w:rFonts w:ascii="Cambria" w:hAnsi="Cambria"/>
          <w:sz w:val="20"/>
          <w:szCs w:val="20"/>
          <w:lang w:val="es-ES"/>
        </w:rPr>
      </w:pPr>
      <w:r w:rsidRPr="00B41C20">
        <w:rPr>
          <w:rFonts w:ascii="Cambria" w:hAnsi="Cambria"/>
          <w:sz w:val="20"/>
          <w:szCs w:val="20"/>
          <w:lang w:val="es-ES"/>
        </w:rPr>
        <w:t>En 2009, los peticionarios informaron que habían puesto fin a la representación de la familia porque no habían podido contactar a ninguno de sus miembros durante años. En consecuencia, los peticionarios indicaron que no estaban en condiciones de presentar información sobre el cumplimiento de esta recomendación.</w:t>
      </w:r>
      <w:r w:rsidRPr="00B41C20">
        <w:rPr>
          <w:rStyle w:val="FootnoteReference"/>
          <w:rFonts w:ascii="Cambria" w:hAnsi="Cambria"/>
          <w:snapToGrid w:val="0"/>
          <w:sz w:val="20"/>
          <w:szCs w:val="20"/>
          <w:lang w:val="es-ES"/>
        </w:rPr>
        <w:footnoteReference w:id="4"/>
      </w:r>
      <w:r w:rsidRPr="00B41C20">
        <w:rPr>
          <w:rFonts w:ascii="Cambria" w:hAnsi="Cambria"/>
          <w:sz w:val="20"/>
          <w:szCs w:val="20"/>
          <w:lang w:val="es-ES"/>
        </w:rPr>
        <w:t xml:space="preserve"> En 2019 y 2020, los peticionarios informaron que habrían perdido el contacto con la familia de las víctimas, razón por la cual no pueden presentar información actualizada sobre el cumplimiento de las recomendaciones.</w:t>
      </w:r>
    </w:p>
    <w:p w14:paraId="6D230EAC" w14:textId="77777777" w:rsidR="009867BC" w:rsidRPr="00B41C20" w:rsidRDefault="009867BC" w:rsidP="009867BC">
      <w:pPr>
        <w:spacing w:after="0" w:line="240" w:lineRule="auto"/>
        <w:jc w:val="both"/>
        <w:rPr>
          <w:rFonts w:ascii="Cambria" w:hAnsi="Cambria"/>
          <w:sz w:val="20"/>
          <w:szCs w:val="20"/>
          <w:lang w:val="es-ES"/>
        </w:rPr>
      </w:pPr>
    </w:p>
    <w:p w14:paraId="74F6BEB6" w14:textId="77777777" w:rsidR="009867BC" w:rsidRPr="00B41C20" w:rsidRDefault="009867BC" w:rsidP="009867BC">
      <w:pPr>
        <w:pStyle w:val="ListParagraph"/>
        <w:numPr>
          <w:ilvl w:val="0"/>
          <w:numId w:val="11"/>
        </w:numPr>
        <w:spacing w:after="0" w:line="240" w:lineRule="auto"/>
        <w:jc w:val="both"/>
        <w:rPr>
          <w:rFonts w:ascii="Cambria" w:hAnsi="Cambria" w:cs="Calibri Light"/>
          <w:sz w:val="20"/>
          <w:szCs w:val="20"/>
          <w:lang w:val="es-ES"/>
        </w:rPr>
      </w:pPr>
      <w:r w:rsidRPr="00B41C20">
        <w:rPr>
          <w:rFonts w:ascii="Cambria" w:hAnsi="Cambria"/>
          <w:sz w:val="20"/>
          <w:szCs w:val="20"/>
          <w:lang w:val="es-ES"/>
        </w:rPr>
        <w:t xml:space="preserve">La Comisión </w:t>
      </w:r>
      <w:r w:rsidRPr="00B41C20">
        <w:rPr>
          <w:rFonts w:ascii="Cambria" w:hAnsi="Cambria" w:cs="Calibri Light"/>
          <w:sz w:val="20"/>
          <w:szCs w:val="20"/>
          <w:lang w:val="es-ES"/>
        </w:rPr>
        <w:t>recuerda al Estado que es un principio del Derecho Internacional que toda violación a una obligación internacional que haya producido un daño comporta el deber de repararlo adecuadamente.</w:t>
      </w:r>
      <w:r w:rsidRPr="00B41C20">
        <w:rPr>
          <w:rStyle w:val="FootnoteReference"/>
          <w:rFonts w:ascii="Cambria" w:hAnsi="Cambria"/>
          <w:sz w:val="20"/>
          <w:szCs w:val="20"/>
          <w:lang w:val="es-ES"/>
        </w:rPr>
        <w:footnoteReference w:id="5"/>
      </w:r>
      <w:r w:rsidRPr="00B41C20">
        <w:rPr>
          <w:rFonts w:ascii="Cambria" w:hAnsi="Cambria"/>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concretarse mediante medidas individuales tendientes a restituir, indemnizar y rehabilitar a la víctima, así como medidas de satisfacción de alcance general y garantías de no repetición.</w:t>
      </w:r>
      <w:r w:rsidRPr="00B41C20">
        <w:rPr>
          <w:rStyle w:val="FootnoteReference"/>
          <w:rFonts w:ascii="Cambria" w:hAnsi="Cambria"/>
          <w:sz w:val="20"/>
          <w:szCs w:val="20"/>
          <w:lang w:val="es-ES"/>
        </w:rPr>
        <w:footnoteReference w:id="6"/>
      </w:r>
      <w:r w:rsidRPr="00B41C20">
        <w:rPr>
          <w:rFonts w:ascii="Cambria" w:hAnsi="Cambria"/>
          <w:sz w:val="20"/>
          <w:szCs w:val="20"/>
          <w:lang w:val="es-ES"/>
        </w:rPr>
        <w:t xml:space="preserve"> En tal medida, el Estado no puede modificar o incumplir la obligación de reparar invocando para ello disposiciones de su derecho interno.</w:t>
      </w:r>
      <w:r w:rsidRPr="00B41C20">
        <w:rPr>
          <w:rStyle w:val="FootnoteReference"/>
          <w:rFonts w:ascii="Cambria" w:hAnsi="Cambria"/>
          <w:sz w:val="20"/>
          <w:szCs w:val="20"/>
          <w:lang w:val="es-ES"/>
        </w:rPr>
        <w:footnoteReference w:id="7"/>
      </w:r>
      <w:r w:rsidRPr="00B41C20">
        <w:rPr>
          <w:rFonts w:ascii="Cambria" w:hAnsi="Cambria"/>
          <w:sz w:val="20"/>
          <w:szCs w:val="20"/>
          <w:lang w:val="es-ES"/>
        </w:rPr>
        <w:t xml:space="preserve"> </w:t>
      </w:r>
      <w:r w:rsidRPr="00B41C20">
        <w:rPr>
          <w:rFonts w:ascii="Cambria" w:hAnsi="Cambria" w:cs="Calibri Light"/>
          <w:sz w:val="20"/>
          <w:szCs w:val="20"/>
          <w:lang w:val="es-ES"/>
        </w:rPr>
        <w:t xml:space="preserve">Por lo anterior, la Comisión concluye que la Recomendación 1 se encuentra pendiente de cumplimiento. </w:t>
      </w:r>
    </w:p>
    <w:p w14:paraId="38FF516A" w14:textId="77777777" w:rsidR="009867BC" w:rsidRPr="00B41C20" w:rsidRDefault="009867BC" w:rsidP="009867BC">
      <w:pPr>
        <w:pStyle w:val="ListParagraph"/>
        <w:spacing w:after="0" w:line="240" w:lineRule="auto"/>
        <w:rPr>
          <w:rFonts w:ascii="Cambria" w:hAnsi="Cambria"/>
          <w:sz w:val="20"/>
          <w:szCs w:val="20"/>
          <w:lang w:val="es-ES"/>
        </w:rPr>
      </w:pPr>
    </w:p>
    <w:p w14:paraId="35E32EBE" w14:textId="77777777" w:rsidR="009867BC" w:rsidRPr="00B41C20" w:rsidRDefault="009867BC" w:rsidP="009867BC">
      <w:pPr>
        <w:pStyle w:val="ListParagraph"/>
        <w:numPr>
          <w:ilvl w:val="0"/>
          <w:numId w:val="11"/>
        </w:numPr>
        <w:spacing w:after="0" w:line="240" w:lineRule="auto"/>
        <w:jc w:val="both"/>
        <w:rPr>
          <w:rFonts w:ascii="Cambria" w:hAnsi="Cambria"/>
          <w:sz w:val="20"/>
          <w:szCs w:val="20"/>
          <w:lang w:val="es-ES"/>
        </w:rPr>
      </w:pPr>
      <w:r w:rsidRPr="016A6D0C">
        <w:rPr>
          <w:rFonts w:ascii="Cambria" w:hAnsi="Cambria"/>
          <w:b/>
          <w:bCs/>
          <w:sz w:val="20"/>
          <w:szCs w:val="20"/>
          <w:lang w:val="es-ES"/>
        </w:rPr>
        <w:t>En relación con la segunda recomendación</w:t>
      </w:r>
      <w:r w:rsidRPr="00B41C20">
        <w:rPr>
          <w:rFonts w:ascii="Cambria" w:hAnsi="Cambria"/>
          <w:sz w:val="20"/>
          <w:szCs w:val="20"/>
          <w:lang w:val="es-ES"/>
        </w:rPr>
        <w:t>, en el 2011, el Estado reiteró sus comunicaciones de años anteriores en las que declina la presente recomendación.</w:t>
      </w:r>
      <w:r w:rsidRPr="00B41C20">
        <w:rPr>
          <w:rStyle w:val="FootnoteReference"/>
          <w:rFonts w:ascii="Cambria" w:hAnsi="Cambria"/>
          <w:sz w:val="20"/>
          <w:szCs w:val="20"/>
          <w:lang w:val="es-ES"/>
        </w:rPr>
        <w:footnoteReference w:id="8"/>
      </w:r>
      <w:r w:rsidRPr="00B41C20">
        <w:rPr>
          <w:rFonts w:ascii="Cambria" w:hAnsi="Cambria"/>
          <w:sz w:val="20"/>
          <w:szCs w:val="20"/>
          <w:lang w:val="es-ES"/>
        </w:rPr>
        <w:t xml:space="preserve"> En 2020, el Estado reiteró su posición sobre el presente caso sin informar sobre acciones implementadas durante el año para dar cumplimiento a las recomendaciones de la CIDH.</w:t>
      </w:r>
    </w:p>
    <w:p w14:paraId="678503B1" w14:textId="77777777" w:rsidR="009867BC" w:rsidRPr="00B41C20" w:rsidRDefault="009867BC" w:rsidP="009867BC">
      <w:pPr>
        <w:pStyle w:val="ListParagraph"/>
        <w:spacing w:after="0" w:line="240" w:lineRule="auto"/>
        <w:jc w:val="both"/>
        <w:rPr>
          <w:rFonts w:ascii="Cambria" w:hAnsi="Cambria"/>
          <w:sz w:val="20"/>
          <w:szCs w:val="20"/>
          <w:lang w:val="es-ES"/>
        </w:rPr>
      </w:pPr>
    </w:p>
    <w:p w14:paraId="74EB80E1" w14:textId="77777777" w:rsidR="009867BC" w:rsidRPr="00B41C20" w:rsidRDefault="009867BC" w:rsidP="009867BC">
      <w:pPr>
        <w:pStyle w:val="ListParagraph"/>
        <w:numPr>
          <w:ilvl w:val="0"/>
          <w:numId w:val="11"/>
        </w:numPr>
        <w:spacing w:after="0" w:line="240" w:lineRule="auto"/>
        <w:jc w:val="both"/>
        <w:rPr>
          <w:rFonts w:ascii="Cambria" w:hAnsi="Cambria" w:cs="Calibri Light"/>
          <w:sz w:val="20"/>
          <w:szCs w:val="20"/>
          <w:lang w:val="es-ES"/>
        </w:rPr>
      </w:pPr>
      <w:r w:rsidRPr="00B41C20">
        <w:rPr>
          <w:rFonts w:ascii="Cambria" w:hAnsi="Cambria"/>
          <w:sz w:val="20"/>
          <w:szCs w:val="20"/>
          <w:lang w:val="es-ES"/>
        </w:rPr>
        <w:t>En 2009, los peticionarios informaron que no tenían conocimiento de intento alguno de Estados Unidos por “revisar su legislación, procedimientos y prácticas para asegurar que no se repitan en futuras actuaciones sobre pena capital violaciones similares a las del caso del Sr. Shankofa”, como lo recomendaba la CIDH en el informe sobre este caso.</w:t>
      </w:r>
      <w:r w:rsidRPr="00B41C20">
        <w:rPr>
          <w:rStyle w:val="FootnoteReference"/>
          <w:rFonts w:ascii="Cambria" w:hAnsi="Cambria"/>
          <w:sz w:val="20"/>
          <w:szCs w:val="20"/>
          <w:lang w:val="es-ES"/>
        </w:rPr>
        <w:t xml:space="preserve"> </w:t>
      </w:r>
      <w:r w:rsidRPr="00B41C20">
        <w:rPr>
          <w:rStyle w:val="FootnoteReference"/>
          <w:rFonts w:ascii="Cambria" w:hAnsi="Cambria"/>
          <w:sz w:val="20"/>
          <w:szCs w:val="20"/>
          <w:lang w:val="es-ES"/>
        </w:rPr>
        <w:footnoteReference w:id="9"/>
      </w:r>
      <w:r w:rsidRPr="00B41C20">
        <w:rPr>
          <w:rFonts w:ascii="Cambria" w:hAnsi="Cambria"/>
          <w:sz w:val="20"/>
          <w:szCs w:val="20"/>
          <w:lang w:val="es-ES"/>
        </w:rPr>
        <w:t xml:space="preserve"> En 2019 y 2020, los peticionarios informaron que habrían perdido el contacto con la familia de las víctimas, razón por la cual no pueden presentar información actualizada sobre el cumplimiento de las recomendaciones.</w:t>
      </w:r>
    </w:p>
    <w:p w14:paraId="09BC20F1" w14:textId="77777777" w:rsidR="009867BC" w:rsidRPr="00B41C20" w:rsidRDefault="009867BC" w:rsidP="009867BC">
      <w:pPr>
        <w:pStyle w:val="ListParagraph"/>
        <w:spacing w:after="0" w:line="240" w:lineRule="auto"/>
        <w:jc w:val="both"/>
        <w:rPr>
          <w:rFonts w:ascii="Cambria" w:hAnsi="Cambria" w:cs="Calibri Light"/>
          <w:sz w:val="20"/>
          <w:szCs w:val="20"/>
          <w:lang w:val="es-ES"/>
        </w:rPr>
      </w:pPr>
    </w:p>
    <w:p w14:paraId="114871EE" w14:textId="77777777" w:rsidR="009867BC" w:rsidRPr="00B41C20" w:rsidRDefault="009867BC" w:rsidP="009867BC">
      <w:pPr>
        <w:pStyle w:val="ListParagraph"/>
        <w:numPr>
          <w:ilvl w:val="0"/>
          <w:numId w:val="11"/>
        </w:numPr>
        <w:spacing w:after="0" w:line="240" w:lineRule="auto"/>
        <w:jc w:val="both"/>
        <w:rPr>
          <w:rFonts w:ascii="Cambria" w:hAnsi="Cambria"/>
          <w:sz w:val="20"/>
          <w:szCs w:val="20"/>
          <w:lang w:val="es-ES"/>
        </w:rPr>
      </w:pPr>
      <w:r w:rsidRPr="00B41C20">
        <w:rPr>
          <w:rFonts w:ascii="Cambria" w:hAnsi="Cambria"/>
          <w:sz w:val="20"/>
          <w:szCs w:val="20"/>
          <w:lang w:val="es-ES"/>
        </w:rPr>
        <w:t>La CIDH recuerda que la Declaración Americana es reconocida como fuente de obligaciones jurídicas para los Estados Miembros de la OEA, en particular los Estados que no son partes de la Convención Americana sobre Derechos Humanos</w:t>
      </w:r>
      <w:r w:rsidRPr="00B41C20">
        <w:rPr>
          <w:rStyle w:val="FootnoteReference"/>
          <w:rFonts w:ascii="Cambria" w:hAnsi="Cambria"/>
          <w:sz w:val="20"/>
          <w:szCs w:val="20"/>
          <w:lang w:val="es-ES"/>
        </w:rPr>
        <w:footnoteReference w:id="10"/>
      </w:r>
      <w:r w:rsidRPr="00B41C20">
        <w:rPr>
          <w:rFonts w:ascii="Cambria" w:hAnsi="Cambria"/>
          <w:sz w:val="20"/>
          <w:szCs w:val="20"/>
          <w:lang w:val="es-E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B41C20">
        <w:rPr>
          <w:rStyle w:val="FootnoteReference"/>
          <w:rFonts w:ascii="Cambria" w:hAnsi="Cambria"/>
          <w:sz w:val="20"/>
          <w:szCs w:val="20"/>
          <w:lang w:val="es-ES"/>
        </w:rPr>
        <w:footnoteReference w:id="11"/>
      </w:r>
      <w:r w:rsidRPr="00B41C20">
        <w:rPr>
          <w:rFonts w:ascii="Cambria" w:hAnsi="Cambria"/>
          <w:sz w:val="20"/>
          <w:szCs w:val="20"/>
          <w:lang w:val="es-ES"/>
        </w:rPr>
        <w:t xml:space="preserve">. </w:t>
      </w:r>
      <w:r w:rsidRPr="00B41C20">
        <w:rPr>
          <w:rFonts w:ascii="Cambria" w:hAnsi="Cambria" w:cs="Calibri Light"/>
          <w:sz w:val="20"/>
          <w:szCs w:val="20"/>
          <w:lang w:val="es-ES"/>
        </w:rPr>
        <w:t xml:space="preserve">Por lo anterior, la Comisión concluye que la Recomendación 2 se encuentra pendiente de cumplimiento. </w:t>
      </w:r>
    </w:p>
    <w:p w14:paraId="234769AA" w14:textId="77777777" w:rsidR="009867BC" w:rsidRPr="00B41C20" w:rsidRDefault="009867BC" w:rsidP="009867BC">
      <w:pPr>
        <w:pStyle w:val="ListParagraph"/>
        <w:spacing w:after="0" w:line="240" w:lineRule="auto"/>
        <w:rPr>
          <w:lang w:val="es-ES"/>
        </w:rPr>
      </w:pPr>
    </w:p>
    <w:p w14:paraId="05AD6D10" w14:textId="77777777" w:rsidR="009867BC" w:rsidRPr="00B41C20" w:rsidRDefault="009867BC" w:rsidP="009867BC">
      <w:pPr>
        <w:pStyle w:val="ListParagraph"/>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cs="Calibri Light"/>
          <w:b/>
          <w:bCs/>
          <w:sz w:val="20"/>
          <w:szCs w:val="20"/>
          <w:lang w:val="es-ES"/>
        </w:rPr>
        <w:t>Nivel de cumplimiento del caso</w:t>
      </w:r>
    </w:p>
    <w:p w14:paraId="693DAB2B" w14:textId="77777777" w:rsidR="009867BC" w:rsidRPr="00B41C20" w:rsidRDefault="009867BC" w:rsidP="009867BC">
      <w:pPr>
        <w:spacing w:after="0" w:line="240" w:lineRule="auto"/>
        <w:jc w:val="both"/>
        <w:rPr>
          <w:rFonts w:ascii="Cambria" w:hAnsi="Cambria" w:cs="Calibri Light"/>
          <w:sz w:val="20"/>
          <w:szCs w:val="20"/>
          <w:lang w:val="es-ES"/>
        </w:rPr>
      </w:pPr>
    </w:p>
    <w:p w14:paraId="7DDC7ED6" w14:textId="77777777" w:rsidR="009867BC" w:rsidRPr="00B41C20" w:rsidRDefault="009867BC" w:rsidP="009867BC">
      <w:pPr>
        <w:pStyle w:val="ListParagraph"/>
        <w:numPr>
          <w:ilvl w:val="0"/>
          <w:numId w:val="11"/>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En virtud de lo anterior, la Comisión concluye que el nivel de cumplimiento del caso es parcial. En consecuencia, la Comisión continuará supervisando las Recomendaciones 1 y 2. </w:t>
      </w:r>
    </w:p>
    <w:p w14:paraId="0EFADF5E" w14:textId="77777777" w:rsidR="009867BC" w:rsidRPr="00B41C20" w:rsidRDefault="009867BC" w:rsidP="009867BC">
      <w:pPr>
        <w:pStyle w:val="ListParagraph"/>
        <w:spacing w:after="0" w:line="240" w:lineRule="auto"/>
        <w:jc w:val="both"/>
        <w:rPr>
          <w:rFonts w:ascii="Cambria" w:hAnsi="Cambria" w:cs="Calibri Light"/>
          <w:sz w:val="20"/>
          <w:szCs w:val="20"/>
          <w:lang w:val="es-ES"/>
        </w:rPr>
      </w:pPr>
    </w:p>
    <w:p w14:paraId="4957C3EF" w14:textId="77777777" w:rsidR="009867BC" w:rsidRPr="00B41C20" w:rsidRDefault="009867BC" w:rsidP="009867BC">
      <w:pPr>
        <w:pStyle w:val="ListParagraph"/>
        <w:numPr>
          <w:ilvl w:val="0"/>
          <w:numId w:val="11"/>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La Comisión insta al Estado a adoptar acciones para implementar las recomendaciones emitidas en el Informe de Fondo Nº 97/03, así como a proporcionar información actualizada y detallada sobre dichas acciones. Al mismo tiempo, la CIDH invita a los peticionarios a renovar sus esfuerzos por reestablecer contacto con los familiares de la víctima, y presentar información sobre las medidas adoptadas por el Estado para cumplir con las recomendaciones del presente caso. </w:t>
      </w:r>
    </w:p>
    <w:p w14:paraId="470476CC" w14:textId="77777777" w:rsidR="009867BC" w:rsidRPr="00B41C20" w:rsidRDefault="009867BC" w:rsidP="009867BC">
      <w:pPr>
        <w:spacing w:after="0" w:line="240" w:lineRule="auto"/>
        <w:rPr>
          <w:rFonts w:ascii="Cambria" w:hAnsi="Cambria"/>
          <w:sz w:val="20"/>
          <w:szCs w:val="20"/>
          <w:lang w:val="es-ES"/>
        </w:rPr>
      </w:pPr>
    </w:p>
    <w:p w14:paraId="114E5B2F" w14:textId="77777777" w:rsidR="009867BC" w:rsidRPr="00B41C20" w:rsidRDefault="009867BC" w:rsidP="009867BC">
      <w:pPr>
        <w:pStyle w:val="ListParagraph"/>
        <w:numPr>
          <w:ilvl w:val="0"/>
          <w:numId w:val="8"/>
        </w:numPr>
        <w:spacing w:after="0" w:line="240" w:lineRule="auto"/>
        <w:ind w:left="1440"/>
        <w:rPr>
          <w:rFonts w:ascii="Cambria" w:hAnsi="Cambria"/>
          <w:b/>
          <w:bCs/>
          <w:sz w:val="20"/>
          <w:szCs w:val="20"/>
          <w:lang w:val="es-ES"/>
        </w:rPr>
      </w:pPr>
      <w:r w:rsidRPr="016A6D0C">
        <w:rPr>
          <w:rFonts w:ascii="Cambria" w:hAnsi="Cambria"/>
          <w:b/>
          <w:bCs/>
          <w:sz w:val="20"/>
          <w:szCs w:val="20"/>
          <w:lang w:val="es-ES"/>
        </w:rPr>
        <w:t xml:space="preserve">Resultados individuales y estructurales del caso </w:t>
      </w:r>
    </w:p>
    <w:p w14:paraId="060CE335" w14:textId="77777777" w:rsidR="009867BC" w:rsidRPr="00B41C20" w:rsidRDefault="009867BC" w:rsidP="009867BC">
      <w:pPr>
        <w:spacing w:after="0" w:line="240" w:lineRule="auto"/>
        <w:rPr>
          <w:rFonts w:ascii="Cambria" w:hAnsi="Cambria"/>
          <w:sz w:val="20"/>
          <w:szCs w:val="20"/>
          <w:lang w:val="es-ES"/>
        </w:rPr>
      </w:pPr>
    </w:p>
    <w:p w14:paraId="2B13AB30" w14:textId="77777777" w:rsidR="00587EFB" w:rsidRPr="00587EFB" w:rsidRDefault="009867BC" w:rsidP="00587EFB">
      <w:pPr>
        <w:pStyle w:val="ListParagraph"/>
        <w:numPr>
          <w:ilvl w:val="0"/>
          <w:numId w:val="11"/>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En esta sección se destacan los resultados individuales y estructurales del caso informados por las partes. </w:t>
      </w:r>
    </w:p>
    <w:p w14:paraId="375A447C" w14:textId="77777777" w:rsidR="00587EFB" w:rsidRDefault="00587EFB" w:rsidP="00587EFB">
      <w:pPr>
        <w:spacing w:after="0" w:line="240" w:lineRule="auto"/>
        <w:jc w:val="both"/>
        <w:rPr>
          <w:rFonts w:ascii="Cambria" w:hAnsi="Cambria"/>
          <w:b/>
          <w:bCs/>
          <w:sz w:val="20"/>
          <w:szCs w:val="20"/>
          <w:lang w:val="es-ES"/>
        </w:rPr>
      </w:pPr>
    </w:p>
    <w:p w14:paraId="632EFB73" w14:textId="342BB91A" w:rsidR="009867BC" w:rsidRPr="00587EFB" w:rsidRDefault="009867BC" w:rsidP="00587EFB">
      <w:pPr>
        <w:pStyle w:val="ListParagraph"/>
        <w:numPr>
          <w:ilvl w:val="0"/>
          <w:numId w:val="13"/>
        </w:numPr>
        <w:spacing w:after="0" w:line="240" w:lineRule="auto"/>
        <w:jc w:val="both"/>
        <w:rPr>
          <w:rFonts w:ascii="Cambria" w:hAnsi="Cambria" w:cs="Calibri Light"/>
          <w:sz w:val="20"/>
          <w:szCs w:val="20"/>
          <w:lang w:val="es-ES"/>
        </w:rPr>
      </w:pPr>
      <w:r w:rsidRPr="00587EFB">
        <w:rPr>
          <w:rFonts w:ascii="Cambria" w:hAnsi="Cambria"/>
          <w:b/>
          <w:bCs/>
          <w:sz w:val="20"/>
          <w:szCs w:val="20"/>
          <w:lang w:val="es-ES"/>
        </w:rPr>
        <w:t xml:space="preserve">Resultados individuales del caso </w:t>
      </w:r>
    </w:p>
    <w:p w14:paraId="1C715481" w14:textId="77777777" w:rsidR="009867BC" w:rsidRPr="00B41C20" w:rsidRDefault="009867BC" w:rsidP="009867BC">
      <w:pPr>
        <w:spacing w:after="0" w:line="240" w:lineRule="auto"/>
        <w:rPr>
          <w:rFonts w:ascii="Cambria" w:hAnsi="Cambria"/>
          <w:b/>
          <w:bCs/>
          <w:sz w:val="20"/>
          <w:szCs w:val="20"/>
          <w:lang w:val="es-ES"/>
        </w:rPr>
      </w:pPr>
    </w:p>
    <w:p w14:paraId="42C397A7" w14:textId="77777777" w:rsidR="009867BC" w:rsidRPr="00B41C20" w:rsidRDefault="009867BC" w:rsidP="009867BC">
      <w:pPr>
        <w:pStyle w:val="ListParagraph"/>
        <w:numPr>
          <w:ilvl w:val="0"/>
          <w:numId w:val="10"/>
        </w:numPr>
        <w:spacing w:after="0" w:line="240" w:lineRule="auto"/>
        <w:jc w:val="both"/>
        <w:rPr>
          <w:rFonts w:ascii="Cambria" w:hAnsi="Cambria"/>
          <w:sz w:val="20"/>
          <w:szCs w:val="20"/>
          <w:lang w:val="es-ES"/>
        </w:rPr>
      </w:pPr>
      <w:r w:rsidRPr="016A6D0C">
        <w:rPr>
          <w:rFonts w:ascii="Cambria" w:hAnsi="Cambria"/>
          <w:sz w:val="20"/>
          <w:szCs w:val="20"/>
          <w:lang w:val="es-ES"/>
        </w:rPr>
        <w:t xml:space="preserve">Las partes no han proporcionado información sobre resultados individuales del caso. </w:t>
      </w:r>
    </w:p>
    <w:p w14:paraId="649DC3BF" w14:textId="77777777" w:rsidR="009867BC" w:rsidRPr="00B41C20" w:rsidRDefault="009867BC" w:rsidP="009867BC">
      <w:pPr>
        <w:spacing w:after="0" w:line="240" w:lineRule="auto"/>
        <w:rPr>
          <w:rFonts w:ascii="Cambria" w:hAnsi="Cambria"/>
          <w:sz w:val="20"/>
          <w:szCs w:val="20"/>
          <w:lang w:val="es-ES"/>
        </w:rPr>
      </w:pPr>
    </w:p>
    <w:p w14:paraId="136B6DAD" w14:textId="7705F45C" w:rsidR="009867BC" w:rsidRPr="00587EFB" w:rsidRDefault="009867BC" w:rsidP="00587EFB">
      <w:pPr>
        <w:pStyle w:val="ListParagraph"/>
        <w:numPr>
          <w:ilvl w:val="0"/>
          <w:numId w:val="13"/>
        </w:numPr>
        <w:spacing w:after="0" w:line="240" w:lineRule="auto"/>
        <w:rPr>
          <w:rFonts w:ascii="Cambria" w:hAnsi="Cambria"/>
          <w:b/>
          <w:bCs/>
          <w:sz w:val="20"/>
          <w:szCs w:val="20"/>
          <w:lang w:val="es-ES"/>
        </w:rPr>
      </w:pPr>
      <w:r w:rsidRPr="00587EFB">
        <w:rPr>
          <w:rFonts w:ascii="Cambria" w:hAnsi="Cambria"/>
          <w:b/>
          <w:bCs/>
          <w:sz w:val="20"/>
          <w:szCs w:val="20"/>
          <w:lang w:val="es-ES"/>
        </w:rPr>
        <w:t xml:space="preserve">Resultados estructurales del caso </w:t>
      </w:r>
    </w:p>
    <w:p w14:paraId="1B5B3FEB" w14:textId="77777777" w:rsidR="009867BC" w:rsidRPr="00B41C20" w:rsidRDefault="009867BC" w:rsidP="009867BC">
      <w:pPr>
        <w:spacing w:after="0" w:line="240" w:lineRule="auto"/>
        <w:rPr>
          <w:rFonts w:ascii="Cambria" w:hAnsi="Cambria"/>
          <w:sz w:val="20"/>
          <w:szCs w:val="20"/>
          <w:lang w:val="es-ES"/>
        </w:rPr>
      </w:pPr>
    </w:p>
    <w:p w14:paraId="16AFEB72" w14:textId="77777777" w:rsidR="009867BC" w:rsidRPr="00B41C20" w:rsidRDefault="009867BC" w:rsidP="009867BC">
      <w:pPr>
        <w:spacing w:after="0" w:line="240" w:lineRule="auto"/>
        <w:jc w:val="both"/>
        <w:rPr>
          <w:rFonts w:ascii="Cambria" w:hAnsi="Cambria"/>
          <w:i/>
          <w:iCs/>
          <w:sz w:val="20"/>
          <w:szCs w:val="20"/>
          <w:lang w:val="es-ES"/>
        </w:rPr>
      </w:pPr>
      <w:r w:rsidRPr="016A6D0C">
        <w:rPr>
          <w:rFonts w:ascii="Cambria" w:hAnsi="Cambria"/>
          <w:i/>
          <w:iCs/>
          <w:sz w:val="20"/>
          <w:szCs w:val="20"/>
          <w:lang w:val="es-ES"/>
        </w:rPr>
        <w:t>Medidas de no repetición</w:t>
      </w:r>
    </w:p>
    <w:p w14:paraId="75E83C6B" w14:textId="77777777" w:rsidR="009867BC" w:rsidRPr="00B41C20" w:rsidRDefault="009867BC" w:rsidP="009867BC">
      <w:pPr>
        <w:pStyle w:val="ListParagraph"/>
        <w:numPr>
          <w:ilvl w:val="0"/>
          <w:numId w:val="10"/>
        </w:numPr>
        <w:spacing w:after="160" w:line="259" w:lineRule="auto"/>
        <w:jc w:val="both"/>
        <w:rPr>
          <w:lang w:val="es-ES"/>
        </w:rPr>
      </w:pPr>
      <w:r w:rsidRPr="016A6D0C">
        <w:rPr>
          <w:rFonts w:ascii="Cambria" w:hAnsi="Cambria"/>
          <w:sz w:val="20"/>
          <w:szCs w:val="20"/>
          <w:lang w:val="es-ES"/>
        </w:rPr>
        <w:t xml:space="preserve">El 1 de marzo de 2005, la Corte Suprema de los Estados Unidos sostuvo, en el caso </w:t>
      </w:r>
      <w:r w:rsidRPr="016A6D0C">
        <w:rPr>
          <w:rFonts w:ascii="Cambria" w:hAnsi="Cambria"/>
          <w:i/>
          <w:iCs/>
          <w:sz w:val="20"/>
          <w:szCs w:val="20"/>
          <w:lang w:val="es-ES"/>
        </w:rPr>
        <w:t>Roper v. Simmons,</w:t>
      </w:r>
      <w:r w:rsidRPr="016A6D0C">
        <w:rPr>
          <w:rFonts w:ascii="Cambria" w:hAnsi="Cambria"/>
          <w:sz w:val="20"/>
          <w:szCs w:val="20"/>
          <w:lang w:val="es-ES"/>
        </w:rPr>
        <w:t xml:space="preserve"> que la Octava y Décimo cuarta enmiendas a la Constitución de los Estados Unidos prohíben la imposición de la pena de muerte a personas menores de 18 años en el momento de la comisión del delito. </w:t>
      </w:r>
    </w:p>
    <w:p w14:paraId="6962C410" w14:textId="77777777" w:rsidR="009867BC" w:rsidRDefault="009867BC" w:rsidP="009867BC">
      <w:pPr>
        <w:rPr>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6440" w14:textId="77777777" w:rsidR="008C7C85" w:rsidRDefault="008C7C85" w:rsidP="00672733">
      <w:r>
        <w:separator/>
      </w:r>
    </w:p>
  </w:endnote>
  <w:endnote w:type="continuationSeparator" w:id="0">
    <w:p w14:paraId="3AF1C9B9" w14:textId="77777777" w:rsidR="008C7C85" w:rsidRDefault="008C7C8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01C7" w14:textId="77777777" w:rsidR="008C7C85" w:rsidRDefault="008C7C85" w:rsidP="00672733">
      <w:r>
        <w:separator/>
      </w:r>
    </w:p>
  </w:footnote>
  <w:footnote w:type="continuationSeparator" w:id="0">
    <w:p w14:paraId="5949939B" w14:textId="77777777" w:rsidR="008C7C85" w:rsidRDefault="008C7C85" w:rsidP="00672733">
      <w:r>
        <w:continuationSeparator/>
      </w:r>
    </w:p>
  </w:footnote>
  <w:footnote w:id="1">
    <w:p w14:paraId="31901EF2" w14:textId="77777777" w:rsidR="009867BC" w:rsidRPr="00416403" w:rsidRDefault="009867BC" w:rsidP="009867BC">
      <w:pPr>
        <w:rPr>
          <w:rFonts w:ascii="Cambria" w:hAnsi="Cambria"/>
          <w:sz w:val="16"/>
          <w:szCs w:val="16"/>
        </w:rPr>
      </w:pPr>
      <w:r w:rsidRPr="005614AE">
        <w:rPr>
          <w:rFonts w:ascii="Cambria" w:hAnsi="Cambria"/>
          <w:sz w:val="16"/>
          <w:szCs w:val="16"/>
          <w:vertAlign w:val="superscript"/>
        </w:rPr>
        <w:footnoteRef/>
      </w:r>
      <w:r w:rsidRPr="00416403">
        <w:rPr>
          <w:rFonts w:ascii="Cambria" w:hAnsi="Cambria"/>
          <w:sz w:val="16"/>
          <w:szCs w:val="16"/>
        </w:rPr>
        <w:t xml:space="preserve"> </w:t>
      </w:r>
      <w:r w:rsidRPr="00416403">
        <w:rPr>
          <w:rFonts w:ascii="Cambria" w:eastAsia="Times New Roman" w:hAnsi="Cambria"/>
          <w:color w:val="000000" w:themeColor="text1"/>
          <w:sz w:val="16"/>
          <w:szCs w:val="16"/>
        </w:rPr>
        <w:t xml:space="preserve">CIDH, Informe Anual 2018, Capítulo II, Sección E: Estado del cumplimiento de las recomendaciones en casos individuales, Ficha de Seguimiento Caso 11.193, Informe Nº 97/03, </w:t>
      </w:r>
      <w:r w:rsidRPr="00416403">
        <w:rPr>
          <w:rFonts w:ascii="Cambria" w:eastAsia="Cambria" w:hAnsi="Cambria" w:cs="Cambria"/>
          <w:sz w:val="16"/>
          <w:szCs w:val="16"/>
          <w:lang w:val="es"/>
        </w:rPr>
        <w:t>Shaka Sankofa</w:t>
      </w:r>
      <w:r w:rsidRPr="00416403">
        <w:rPr>
          <w:rFonts w:ascii="Cambria" w:eastAsia="Times New Roman" w:hAnsi="Cambria"/>
          <w:color w:val="000000" w:themeColor="text1"/>
          <w:sz w:val="16"/>
          <w:szCs w:val="16"/>
        </w:rPr>
        <w:t xml:space="preserve"> (Estados Unidos).</w:t>
      </w:r>
    </w:p>
  </w:footnote>
  <w:footnote w:id="2">
    <w:p w14:paraId="24267EE1" w14:textId="77777777" w:rsidR="002213CF" w:rsidRPr="005614AE" w:rsidRDefault="002213CF" w:rsidP="002213CF">
      <w:pPr>
        <w:pStyle w:val="FootnoteText"/>
        <w:jc w:val="both"/>
        <w:rPr>
          <w:rFonts w:ascii="Cambria" w:hAnsi="Cambria"/>
          <w:sz w:val="16"/>
          <w:szCs w:val="16"/>
        </w:rPr>
      </w:pPr>
      <w:r w:rsidRPr="005614AE">
        <w:rPr>
          <w:rStyle w:val="FootnoteReference"/>
          <w:rFonts w:ascii="Cambria" w:hAnsi="Cambria"/>
          <w:sz w:val="16"/>
          <w:szCs w:val="16"/>
        </w:rPr>
        <w:footnoteRef/>
      </w:r>
      <w:r w:rsidRPr="005614AE">
        <w:rPr>
          <w:rFonts w:ascii="Cambria" w:hAnsi="Cambria"/>
          <w:sz w:val="16"/>
          <w:szCs w:val="16"/>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footnote>
  <w:footnote w:id="3">
    <w:p w14:paraId="00FFEF74"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2"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xml:space="preserve">, párr. 577. </w:t>
      </w:r>
    </w:p>
  </w:footnote>
  <w:footnote w:id="4">
    <w:p w14:paraId="7591D7D4"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3"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párr. 574.</w:t>
      </w:r>
    </w:p>
  </w:footnote>
  <w:footnote w:id="5">
    <w:p w14:paraId="7711E40A"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w:t>
      </w:r>
      <w:r w:rsidRPr="00416403">
        <w:rPr>
          <w:rFonts w:ascii="Cambria" w:hAnsi="Cambria"/>
          <w:bCs/>
          <w:sz w:val="16"/>
          <w:szCs w:val="16"/>
          <w:lang w:val="es-US"/>
        </w:rPr>
        <w:t>Corte IDH. Caso La Cantuta Vs. Perú. Fondo, Reparaciones y Costas. Sentencia de 29 de noviembre de 2006. Serie C No. 162, párr. 199.</w:t>
      </w:r>
    </w:p>
  </w:footnote>
  <w:footnote w:id="6">
    <w:p w14:paraId="04663AF7"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w:t>
      </w:r>
      <w:hyperlink r:id="rId4" w:history="1">
        <w:r w:rsidRPr="00416403">
          <w:rPr>
            <w:rStyle w:val="Hyperlink"/>
            <w:rFonts w:ascii="Cambria" w:hAnsi="Cambria"/>
            <w:sz w:val="16"/>
            <w:szCs w:val="16"/>
            <w:lang w:val="es-US"/>
          </w:rPr>
          <w:t>Lineamientos Principales para una Política Integral de Reparaciones</w:t>
        </w:r>
      </w:hyperlink>
      <w:r w:rsidRPr="00416403">
        <w:rPr>
          <w:rFonts w:ascii="Cambria" w:hAnsi="Cambria"/>
          <w:sz w:val="16"/>
          <w:szCs w:val="16"/>
          <w:lang w:val="es-US"/>
        </w:rPr>
        <w:t xml:space="preserve">, 2008, párr. 1; ONU, </w:t>
      </w:r>
      <w:hyperlink r:id="rId5" w:history="1">
        <w:r w:rsidRPr="00416403">
          <w:rPr>
            <w:rStyle w:val="Hyperlink"/>
            <w:rFonts w:ascii="Cambria" w:hAnsi="Cambria"/>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416403">
        <w:rPr>
          <w:rFonts w:ascii="Cambria" w:hAnsi="Cambria"/>
          <w:sz w:val="16"/>
          <w:szCs w:val="16"/>
          <w:lang w:val="es-US"/>
        </w:rPr>
        <w:t xml:space="preserve">, 2005.  </w:t>
      </w:r>
    </w:p>
  </w:footnote>
  <w:footnote w:id="7">
    <w:p w14:paraId="60F0B56C"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rPr>
        <w:t xml:space="preserve"> </w:t>
      </w:r>
      <w:r w:rsidRPr="00416403">
        <w:rPr>
          <w:rFonts w:ascii="Cambria" w:hAnsi="Cambria"/>
          <w:bCs/>
          <w:sz w:val="16"/>
          <w:szCs w:val="16"/>
          <w:lang w:val="es-US"/>
        </w:rPr>
        <w:t>Corte IDH. Caso La Cantuta Vs. Perú. Fondo, Reparaciones y Costas. Sentencia de 29 de noviembre de 2006. Serie C No. 162, párr. 200.</w:t>
      </w:r>
    </w:p>
  </w:footnote>
  <w:footnote w:id="8">
    <w:p w14:paraId="0D6CEA12"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6"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párr. 577.</w:t>
      </w:r>
    </w:p>
  </w:footnote>
  <w:footnote w:id="9">
    <w:p w14:paraId="265C755B" w14:textId="77777777" w:rsidR="009867BC" w:rsidRPr="00416403" w:rsidRDefault="009867BC" w:rsidP="009867BC">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w:t>
      </w:r>
      <w:hyperlink r:id="rId7"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2011, párr. 577.</w:t>
      </w:r>
    </w:p>
  </w:footnote>
  <w:footnote w:id="10">
    <w:p w14:paraId="440EDC1B" w14:textId="77777777" w:rsidR="009867BC" w:rsidRPr="00416403" w:rsidRDefault="009867BC" w:rsidP="009867BC">
      <w:pPr>
        <w:pStyle w:val="FootnoteText"/>
        <w:spacing w:after="120"/>
        <w:jc w:val="both"/>
        <w:rPr>
          <w:rFonts w:ascii="Cambria" w:hAnsi="Cambria"/>
          <w:sz w:val="16"/>
          <w:szCs w:val="16"/>
          <w:lang w:val="es-ES"/>
        </w:rPr>
      </w:pPr>
      <w:r w:rsidRPr="00416403">
        <w:rPr>
          <w:rStyle w:val="FootnoteReference"/>
          <w:rFonts w:ascii="Cambria" w:hAnsi="Cambria"/>
          <w:sz w:val="16"/>
          <w:szCs w:val="16"/>
          <w:lang w:val="es-ES"/>
        </w:rPr>
        <w:footnoteRef/>
      </w:r>
      <w:r w:rsidRPr="00416403">
        <w:rPr>
          <w:rFonts w:ascii="Cambria" w:hAnsi="Cambria"/>
          <w:sz w:val="16"/>
          <w:szCs w:val="16"/>
          <w:lang w:val="es-ES"/>
        </w:rPr>
        <w:t xml:space="preserve"> Corte IDH. </w:t>
      </w:r>
      <w:hyperlink r:id="rId8" w:history="1">
        <w:r w:rsidRPr="00416403">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416403">
        <w:rPr>
          <w:rFonts w:ascii="Cambria" w:hAnsi="Cambria"/>
          <w:sz w:val="16"/>
          <w:szCs w:val="16"/>
          <w:lang w:val="es-ES"/>
        </w:rPr>
        <w:t>, 14 de julio de 1989, Ser. A No. 10 (1989), párrs. 35 a 45.</w:t>
      </w:r>
    </w:p>
  </w:footnote>
  <w:footnote w:id="11">
    <w:p w14:paraId="091ECC8E" w14:textId="77777777" w:rsidR="009867BC" w:rsidRPr="00416403" w:rsidRDefault="009867BC" w:rsidP="009867BC">
      <w:pPr>
        <w:pStyle w:val="FootnoteText"/>
        <w:spacing w:after="120"/>
        <w:jc w:val="both"/>
        <w:rPr>
          <w:rFonts w:ascii="Cambria" w:hAnsi="Cambria"/>
          <w:sz w:val="16"/>
          <w:szCs w:val="16"/>
        </w:rPr>
      </w:pPr>
      <w:r w:rsidRPr="00416403">
        <w:rPr>
          <w:rStyle w:val="FootnoteReference"/>
          <w:rFonts w:ascii="Cambria" w:hAnsi="Cambria"/>
          <w:sz w:val="16"/>
          <w:szCs w:val="16"/>
          <w:lang w:val="es-ES"/>
        </w:rPr>
        <w:footnoteRef/>
      </w:r>
      <w:r w:rsidRPr="00416403">
        <w:rPr>
          <w:rFonts w:ascii="Cambria" w:hAnsi="Cambria"/>
          <w:sz w:val="16"/>
          <w:szCs w:val="16"/>
          <w:lang w:val="es-ES"/>
        </w:rPr>
        <w:t xml:space="preserve"> CIDH, </w:t>
      </w:r>
      <w:hyperlink r:id="rId9" w:history="1">
        <w:r w:rsidRPr="00416403">
          <w:rPr>
            <w:rStyle w:val="Hyperlink"/>
            <w:rFonts w:ascii="Cambria" w:hAnsi="Cambria"/>
            <w:sz w:val="16"/>
            <w:szCs w:val="16"/>
            <w:lang w:val="es-ES"/>
          </w:rPr>
          <w:t>Caso 12.873, Informe de Fondo No. 44/14, Edgar Tamayo Arias</w:t>
        </w:r>
      </w:hyperlink>
      <w:r w:rsidRPr="00416403">
        <w:rPr>
          <w:rStyle w:val="Hyperlink"/>
          <w:rFonts w:ascii="Cambria" w:hAnsi="Cambria"/>
          <w:sz w:val="16"/>
          <w:szCs w:val="16"/>
          <w:lang w:val="es-ES"/>
        </w:rPr>
        <w:t xml:space="preserve"> (Estados Unidos)</w:t>
      </w:r>
      <w:r w:rsidRPr="00416403">
        <w:rPr>
          <w:rFonts w:ascii="Cambria" w:hAnsi="Cambria"/>
          <w:sz w:val="16"/>
          <w:szCs w:val="16"/>
          <w:lang w:val="es-ES"/>
        </w:rPr>
        <w:t xml:space="preserve">, párr. 214; CIDH, </w:t>
      </w:r>
      <w:hyperlink r:id="rId10" w:history="1">
        <w:r w:rsidRPr="00416403">
          <w:rPr>
            <w:rStyle w:val="Hyperlink"/>
            <w:rFonts w:ascii="Cambria" w:hAnsi="Cambria"/>
            <w:sz w:val="16"/>
            <w:szCs w:val="16"/>
            <w:lang w:val="es-ES"/>
          </w:rPr>
          <w:t>Caso 12.626, Informe No. 80/11, Jessica Lenahan (Gonzales) y otros (Estados Unidos)</w:t>
        </w:r>
      </w:hyperlink>
      <w:r w:rsidRPr="00416403">
        <w:rPr>
          <w:rFonts w:ascii="Cambria" w:hAnsi="Cambria"/>
          <w:sz w:val="16"/>
          <w:szCs w:val="16"/>
          <w:lang w:val="es-ES"/>
        </w:rPr>
        <w:t xml:space="preserve">, párrs. 115 a 120; CIDH, </w:t>
      </w:r>
      <w:hyperlink r:id="rId11" w:history="1">
        <w:r w:rsidRPr="00416403">
          <w:rPr>
            <w:rStyle w:val="Hyperlink"/>
            <w:rFonts w:ascii="Cambria" w:hAnsi="Cambria"/>
            <w:sz w:val="16"/>
            <w:szCs w:val="16"/>
            <w:lang w:val="es-ES"/>
          </w:rPr>
          <w:t>Hacia el cierre de Guantánamo</w:t>
        </w:r>
      </w:hyperlink>
      <w:r w:rsidRPr="00416403">
        <w:rPr>
          <w:rFonts w:ascii="Cambria" w:hAnsi="Cambria"/>
          <w:sz w:val="16"/>
          <w:szCs w:val="16"/>
          <w:lang w:val="es-ES"/>
        </w:rPr>
        <w:t xml:space="preserve">, 2015, párrs. 16 a 23; CIDH, </w:t>
      </w:r>
      <w:hyperlink r:id="rId12" w:history="1">
        <w:r w:rsidRPr="00416403">
          <w:rPr>
            <w:rStyle w:val="Hyperlink"/>
            <w:rFonts w:ascii="Cambria" w:hAnsi="Cambria"/>
            <w:sz w:val="16"/>
            <w:szCs w:val="16"/>
            <w:lang w:val="es-ES"/>
          </w:rPr>
          <w:t>Caso 12.586, Informe No. 78/11, John Doe y otros (Canadá)</w:t>
        </w:r>
      </w:hyperlink>
      <w:r w:rsidRPr="00416403">
        <w:rPr>
          <w:rFonts w:ascii="Cambria" w:hAnsi="Cambria"/>
          <w:sz w:val="16"/>
          <w:szCs w:val="16"/>
          <w:lang w:val="es-ES"/>
        </w:rPr>
        <w:t xml:space="preserve">, párr. </w:t>
      </w:r>
      <w:r w:rsidRPr="00416403">
        <w:rPr>
          <w:rFonts w:ascii="Cambria" w:hAnsi="Cambria"/>
          <w:sz w:val="16"/>
          <w:szCs w:val="16"/>
        </w:rPr>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52A4027"/>
    <w:multiLevelType w:val="hybridMultilevel"/>
    <w:tmpl w:val="45287A8C"/>
    <w:lvl w:ilvl="0" w:tplc="80023BD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85205E"/>
    <w:multiLevelType w:val="hybridMultilevel"/>
    <w:tmpl w:val="001A53F4"/>
    <w:lvl w:ilvl="0" w:tplc="51626C1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69507CF8"/>
    <w:lvl w:ilvl="0" w:tplc="A25C4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7"/>
  </w:num>
  <w:num w:numId="2" w16cid:durableId="426849189">
    <w:abstractNumId w:val="13"/>
  </w:num>
  <w:num w:numId="3" w16cid:durableId="978146478">
    <w:abstractNumId w:val="10"/>
  </w:num>
  <w:num w:numId="4" w16cid:durableId="446504039">
    <w:abstractNumId w:val="3"/>
  </w:num>
  <w:num w:numId="5" w16cid:durableId="2048992643">
    <w:abstractNumId w:val="2"/>
  </w:num>
  <w:num w:numId="6" w16cid:durableId="491221110">
    <w:abstractNumId w:val="4"/>
  </w:num>
  <w:num w:numId="7" w16cid:durableId="1982153750">
    <w:abstractNumId w:val="0"/>
  </w:num>
  <w:num w:numId="8" w16cid:durableId="935943974">
    <w:abstractNumId w:val="9"/>
  </w:num>
  <w:num w:numId="9" w16cid:durableId="1839996564">
    <w:abstractNumId w:val="1"/>
  </w:num>
  <w:num w:numId="10" w16cid:durableId="1248080504">
    <w:abstractNumId w:val="12"/>
  </w:num>
  <w:num w:numId="11" w16cid:durableId="1884637187">
    <w:abstractNumId w:val="8"/>
  </w:num>
  <w:num w:numId="12" w16cid:durableId="531841650">
    <w:abstractNumId w:val="5"/>
  </w:num>
  <w:num w:numId="13" w16cid:durableId="1937857552">
    <w:abstractNumId w:val="6"/>
  </w:num>
  <w:num w:numId="14" w16cid:durableId="21357110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13CF"/>
    <w:rsid w:val="002248FB"/>
    <w:rsid w:val="00230A7E"/>
    <w:rsid w:val="00234E64"/>
    <w:rsid w:val="00322720"/>
    <w:rsid w:val="00366CA4"/>
    <w:rsid w:val="00453115"/>
    <w:rsid w:val="004758C9"/>
    <w:rsid w:val="0048723C"/>
    <w:rsid w:val="00500FDE"/>
    <w:rsid w:val="005614AE"/>
    <w:rsid w:val="00566CD0"/>
    <w:rsid w:val="00587EFB"/>
    <w:rsid w:val="00637ED3"/>
    <w:rsid w:val="006638E5"/>
    <w:rsid w:val="00672733"/>
    <w:rsid w:val="006B1F24"/>
    <w:rsid w:val="00713E9E"/>
    <w:rsid w:val="007B62BA"/>
    <w:rsid w:val="007C4DCE"/>
    <w:rsid w:val="008463D3"/>
    <w:rsid w:val="008818B0"/>
    <w:rsid w:val="008861D6"/>
    <w:rsid w:val="008C7C85"/>
    <w:rsid w:val="009867BC"/>
    <w:rsid w:val="009B2497"/>
    <w:rsid w:val="00A80674"/>
    <w:rsid w:val="00A94C28"/>
    <w:rsid w:val="00AC4A89"/>
    <w:rsid w:val="00AE2642"/>
    <w:rsid w:val="00B216A3"/>
    <w:rsid w:val="00BD17B0"/>
    <w:rsid w:val="00BF7A78"/>
    <w:rsid w:val="00D56DC4"/>
    <w:rsid w:val="00DA058B"/>
    <w:rsid w:val="00E042FE"/>
    <w:rsid w:val="00E05EB1"/>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BC"/>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paragraph" w:customStyle="1" w:styleId="Appelnotedebasde">
    <w:name w:val="Appel note de bas de..."/>
    <w:basedOn w:val="Normal"/>
    <w:link w:val="FootnoteReference"/>
    <w:uiPriority w:val="99"/>
    <w:rsid w:val="009867BC"/>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9867BC"/>
    <w:rPr>
      <w:color w:val="0000FF"/>
      <w:u w:val="single"/>
    </w:rPr>
  </w:style>
  <w:style w:type="paragraph" w:styleId="NoSpacing">
    <w:name w:val="No Spacing"/>
    <w:uiPriority w:val="1"/>
    <w:qFormat/>
    <w:rsid w:val="009867BC"/>
    <w:rPr>
      <w:rFonts w:ascii="Calibri" w:eastAsia="Calibri" w:hAnsi="Calibri" w:cs="Times New Roman"/>
      <w:sz w:val="22"/>
      <w:szCs w:val="22"/>
      <w:lang w:val="pt-BR"/>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867BC"/>
  </w:style>
  <w:style w:type="paragraph" w:styleId="BodyTextIndent">
    <w:name w:val="Body Text Indent"/>
    <w:basedOn w:val="Normal"/>
    <w:link w:val="BodyTextIndentChar"/>
    <w:uiPriority w:val="99"/>
    <w:semiHidden/>
    <w:unhideWhenUsed/>
    <w:rsid w:val="009867B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rsid w:val="009867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0.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0sp/CapituloIII/Admisible/EstadosUnidos11.193.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EEUU.11193.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02/1263.pdf" TargetMode="External"/><Relationship Id="rId3" Type="http://schemas.openxmlformats.org/officeDocument/2006/relationships/hyperlink" Target="http://www.oas.org/es/cidh/docs/anual/2011/Cap3D.doc"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s://www.oas.org/es/cidh/decisiones/2011/CAPU12586ES.doc"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oas.org/es/cidh/docs/anual/2011/Cap3D.doc" TargetMode="External"/><Relationship Id="rId11" Type="http://schemas.openxmlformats.org/officeDocument/2006/relationships/hyperlink" Target="http://www.oas.org/es/cidh/multimedia/guantanamo/guantanamo.html" TargetMode="External"/><Relationship Id="rId5" Type="http://schemas.openxmlformats.org/officeDocument/2006/relationships/hyperlink" Target="https://www.ohchr.org/sp/professionalinterest/pages/remedyandreparation.aspx" TargetMode="External"/><Relationship Id="rId10" Type="http://schemas.openxmlformats.org/officeDocument/2006/relationships/hyperlink" Target="https://www.oas.org/es/cidh/decisiones/2011/uspu12626es.doc" TargetMode="External"/><Relationship Id="rId4" Type="http://schemas.openxmlformats.org/officeDocument/2006/relationships/hyperlink" Target="http://www.cidh.org/pdf%20files/Lineamientos%20principales%20para%20una%20pol%C3%ADtica%20integral%20de%20reparaciones.pdf" TargetMode="External"/><Relationship Id="rId9" Type="http://schemas.openxmlformats.org/officeDocument/2006/relationships/hyperlink" Target="http://www.oas.org/es/cidh/decisiones/2014/uspu12873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33764A89-BE7E-4FA4-97C3-63A9842A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