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792F" w14:textId="77777777" w:rsidR="00976358" w:rsidRPr="007F0542" w:rsidRDefault="00976358" w:rsidP="00976358">
      <w:pPr>
        <w:pStyle w:val="NoSpacing"/>
        <w:jc w:val="center"/>
        <w:rPr>
          <w:rFonts w:ascii="Cambria" w:hAnsi="Cambria"/>
          <w:b/>
          <w:bCs/>
          <w:sz w:val="20"/>
          <w:szCs w:val="20"/>
          <w:lang w:val="es-ES"/>
        </w:rPr>
      </w:pPr>
      <w:r w:rsidRPr="45B814BA">
        <w:rPr>
          <w:rFonts w:ascii="Cambria" w:hAnsi="Cambria"/>
          <w:b/>
          <w:bCs/>
          <w:sz w:val="20"/>
          <w:szCs w:val="20"/>
          <w:lang w:val="es-ES"/>
        </w:rPr>
        <w:t>FICHA DE SEGUIMIENTO DEL INFORME Nº 52/13</w:t>
      </w:r>
    </w:p>
    <w:p w14:paraId="7D79A190" w14:textId="77777777" w:rsidR="00976358" w:rsidRPr="007F0542" w:rsidRDefault="00976358" w:rsidP="00976358">
      <w:pPr>
        <w:pStyle w:val="NoSpacing"/>
        <w:jc w:val="center"/>
        <w:rPr>
          <w:rFonts w:ascii="Cambria" w:hAnsi="Cambria"/>
          <w:b/>
          <w:bCs/>
          <w:sz w:val="20"/>
          <w:szCs w:val="20"/>
          <w:lang w:val="es-ES"/>
        </w:rPr>
      </w:pPr>
      <w:r w:rsidRPr="45B814BA">
        <w:rPr>
          <w:rFonts w:ascii="Cambria" w:hAnsi="Cambria"/>
          <w:b/>
          <w:bCs/>
          <w:sz w:val="20"/>
          <w:szCs w:val="20"/>
          <w:lang w:val="es-ES"/>
        </w:rPr>
        <w:t>CASO 11.575, 12.333 Y 12.341</w:t>
      </w:r>
    </w:p>
    <w:p w14:paraId="3E3818EF" w14:textId="77777777" w:rsidR="00976358" w:rsidRPr="007F0542" w:rsidRDefault="00976358" w:rsidP="00976358">
      <w:pPr>
        <w:pStyle w:val="NoSpacing"/>
        <w:jc w:val="center"/>
        <w:rPr>
          <w:rFonts w:ascii="Cambria" w:hAnsi="Cambria"/>
          <w:b/>
          <w:bCs/>
          <w:sz w:val="20"/>
          <w:szCs w:val="20"/>
          <w:lang w:val="es-ES"/>
        </w:rPr>
      </w:pPr>
      <w:r w:rsidRPr="45B814BA">
        <w:rPr>
          <w:rFonts w:ascii="Cambria" w:hAnsi="Cambria"/>
          <w:b/>
          <w:bCs/>
          <w:sz w:val="20"/>
          <w:szCs w:val="20"/>
          <w:lang w:val="es-ES"/>
        </w:rPr>
        <w:t>CLARENCE ALLEN LACKEY Y OTROS; MIGUEL ÁNGEL FLORES, Y JAMES WILSON CHAMBERS</w:t>
      </w:r>
    </w:p>
    <w:p w14:paraId="092159FA" w14:textId="77777777" w:rsidR="00976358" w:rsidRPr="007F0542" w:rsidRDefault="00976358" w:rsidP="00976358">
      <w:pPr>
        <w:pStyle w:val="NoSpacing"/>
        <w:jc w:val="center"/>
        <w:rPr>
          <w:rFonts w:ascii="Cambria" w:hAnsi="Cambria"/>
          <w:b/>
          <w:bCs/>
          <w:sz w:val="20"/>
          <w:szCs w:val="20"/>
          <w:lang w:val="es-ES"/>
        </w:rPr>
      </w:pPr>
      <w:r w:rsidRPr="45B814BA">
        <w:rPr>
          <w:rFonts w:ascii="Cambria" w:hAnsi="Cambria"/>
          <w:b/>
          <w:bCs/>
          <w:sz w:val="20"/>
          <w:szCs w:val="20"/>
          <w:lang w:val="es-ES"/>
        </w:rPr>
        <w:t>(Estados Unidos)</w:t>
      </w:r>
    </w:p>
    <w:p w14:paraId="5F85746E" w14:textId="77777777" w:rsidR="00976358" w:rsidRPr="007F0542" w:rsidRDefault="00976358" w:rsidP="00976358">
      <w:pPr>
        <w:jc w:val="both"/>
        <w:rPr>
          <w:rFonts w:ascii="Cambria" w:hAnsi="Cambria"/>
          <w:sz w:val="20"/>
          <w:szCs w:val="20"/>
          <w:lang w:val="es-ES"/>
        </w:rPr>
      </w:pPr>
    </w:p>
    <w:p w14:paraId="1DD08B09" w14:textId="77777777" w:rsidR="00976358" w:rsidRPr="007F0542" w:rsidRDefault="00976358" w:rsidP="00976358">
      <w:pPr>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Resumen del caso</w:t>
      </w:r>
    </w:p>
    <w:p w14:paraId="6472A166" w14:textId="77777777" w:rsidR="00976358" w:rsidRPr="007F0542" w:rsidRDefault="00976358" w:rsidP="00976358">
      <w:pPr>
        <w:ind w:left="1080"/>
        <w:jc w:val="both"/>
        <w:rPr>
          <w:rFonts w:ascii="Cambria" w:hAnsi="Cambria" w:cs="Calibri Light"/>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76358" w:rsidRPr="00357C53" w14:paraId="14453B53" w14:textId="77777777" w:rsidTr="00C24C23">
        <w:trPr>
          <w:trHeight w:val="547"/>
          <w:jc w:val="center"/>
        </w:trPr>
        <w:tc>
          <w:tcPr>
            <w:tcW w:w="9576" w:type="dxa"/>
            <w:shd w:val="clear" w:color="auto" w:fill="F2F2F2" w:themeFill="background1" w:themeFillShade="F2"/>
          </w:tcPr>
          <w:p w14:paraId="1CA6AAB0" w14:textId="77777777" w:rsidR="00976358" w:rsidRPr="007F0542" w:rsidRDefault="00976358" w:rsidP="00C24C23">
            <w:pPr>
              <w:spacing w:before="120"/>
              <w:jc w:val="both"/>
              <w:rPr>
                <w:rFonts w:ascii="Cambria" w:hAnsi="Cambria"/>
                <w:sz w:val="20"/>
                <w:szCs w:val="20"/>
                <w:lang w:val="en-GB"/>
              </w:rPr>
            </w:pPr>
            <w:r w:rsidRPr="45B814BA">
              <w:rPr>
                <w:rFonts w:ascii="Cambria" w:hAnsi="Cambria"/>
                <w:b/>
                <w:bCs/>
                <w:sz w:val="20"/>
                <w:szCs w:val="20"/>
                <w:lang w:val="en-GB"/>
              </w:rPr>
              <w:t xml:space="preserve">Víctima (s): </w:t>
            </w:r>
            <w:r w:rsidRPr="45B814BA">
              <w:rPr>
                <w:rFonts w:ascii="Cambria" w:hAnsi="Cambria"/>
                <w:sz w:val="20"/>
                <w:szCs w:val="20"/>
              </w:rPr>
              <w:t xml:space="preserve">Clarence Allen Lackey, </w:t>
            </w:r>
            <w:r w:rsidRPr="45B814BA">
              <w:rPr>
                <w:rFonts w:ascii="Cambria" w:hAnsi="Cambria" w:cs="Arial"/>
                <w:sz w:val="20"/>
                <w:szCs w:val="20"/>
              </w:rPr>
              <w:t xml:space="preserve">Heliberto Chi Aceituno, </w:t>
            </w:r>
            <w:r w:rsidRPr="45B814BA">
              <w:rPr>
                <w:rFonts w:ascii="Cambria" w:hAnsi="Cambria"/>
                <w:sz w:val="20"/>
                <w:szCs w:val="20"/>
              </w:rPr>
              <w:t>Miguel Ángel Flores, Larry Eugene Moon, Edward Hartman, Robert Karl Hicks, Jaime Elizalde Jr., Ángel Maturino Resendiz, David Leisure, James Brown, Troy Albert Kunkle, James Wilson Chambers, Ronnie Gardner, Anthony Green, Stephen Anthony Mobley</w:t>
            </w:r>
          </w:p>
          <w:p w14:paraId="40EED33E" w14:textId="77777777" w:rsidR="00976358" w:rsidRPr="007F0542" w:rsidRDefault="00976358" w:rsidP="00C24C23">
            <w:pPr>
              <w:jc w:val="both"/>
              <w:rPr>
                <w:rFonts w:ascii="Cambria" w:hAnsi="Cambria"/>
                <w:b/>
                <w:bCs/>
                <w:sz w:val="20"/>
                <w:szCs w:val="20"/>
                <w:lang w:val="en-GB"/>
              </w:rPr>
            </w:pPr>
            <w:r w:rsidRPr="45B814BA">
              <w:rPr>
                <w:rFonts w:ascii="Cambria" w:hAnsi="Cambria"/>
                <w:b/>
                <w:bCs/>
                <w:sz w:val="20"/>
                <w:szCs w:val="20"/>
                <w:lang w:val="en-GB"/>
              </w:rPr>
              <w:t>Peticionario (s):</w:t>
            </w:r>
            <w:r w:rsidRPr="45B814BA">
              <w:rPr>
                <w:rFonts w:ascii="Cambria" w:hAnsi="Cambria"/>
                <w:sz w:val="20"/>
                <w:szCs w:val="20"/>
                <w:lang w:val="en-GB"/>
              </w:rPr>
              <w:t xml:space="preserve"> Brent E. Newton, A. Richard Ellis, Adele Shank, John Quigley, August F. Siemon, Barry A. Short, Brian Mendelsohn, Edwin L. West, III, PLLC Wilmington, Hugh Southey, John Blume, Karen Parker, Oury Clark, Ramón Abad Custodio López, Robert L. McGlasson, Sandra L. Babcock</w:t>
            </w:r>
          </w:p>
          <w:p w14:paraId="252AB8EF" w14:textId="77777777" w:rsidR="00976358" w:rsidRPr="007F0542" w:rsidRDefault="00976358" w:rsidP="00C24C23">
            <w:pPr>
              <w:jc w:val="both"/>
              <w:rPr>
                <w:rFonts w:ascii="Cambria" w:hAnsi="Cambria"/>
                <w:sz w:val="20"/>
                <w:szCs w:val="20"/>
                <w:lang w:val="es-ES"/>
              </w:rPr>
            </w:pPr>
            <w:r w:rsidRPr="45B814BA">
              <w:rPr>
                <w:rFonts w:ascii="Cambria" w:hAnsi="Cambria"/>
                <w:b/>
                <w:bCs/>
                <w:sz w:val="20"/>
                <w:szCs w:val="20"/>
                <w:lang w:val="es-ES"/>
              </w:rPr>
              <w:t xml:space="preserve">Estado: </w:t>
            </w:r>
            <w:r w:rsidRPr="45B814BA">
              <w:rPr>
                <w:rFonts w:ascii="Cambria" w:hAnsi="Cambria"/>
                <w:sz w:val="20"/>
                <w:szCs w:val="20"/>
                <w:lang w:val="es-ES"/>
              </w:rPr>
              <w:t>Estados Unidos</w:t>
            </w:r>
          </w:p>
          <w:p w14:paraId="73056045" w14:textId="77777777" w:rsidR="00976358" w:rsidRPr="007F0542" w:rsidRDefault="00976358" w:rsidP="00C24C23">
            <w:pPr>
              <w:jc w:val="both"/>
              <w:rPr>
                <w:rFonts w:ascii="Cambria" w:hAnsi="Cambria"/>
                <w:sz w:val="20"/>
                <w:szCs w:val="20"/>
                <w:lang w:val="es-ES"/>
              </w:rPr>
            </w:pPr>
            <w:r w:rsidRPr="45B814BA">
              <w:rPr>
                <w:rFonts w:ascii="Cambria" w:hAnsi="Cambria"/>
                <w:b/>
                <w:bCs/>
                <w:sz w:val="20"/>
                <w:szCs w:val="20"/>
                <w:lang w:val="es-ES"/>
              </w:rPr>
              <w:t xml:space="preserve">Informe de Fondo Nº: </w:t>
            </w:r>
            <w:hyperlink r:id="rId11">
              <w:r w:rsidRPr="45B814BA">
                <w:rPr>
                  <w:rStyle w:val="Hyperlink"/>
                  <w:rFonts w:ascii="Cambria" w:hAnsi="Cambria"/>
                  <w:sz w:val="20"/>
                  <w:szCs w:val="20"/>
                  <w:lang w:val="es-ES"/>
                </w:rPr>
                <w:t>52/13</w:t>
              </w:r>
            </w:hyperlink>
            <w:r w:rsidRPr="45B814BA">
              <w:rPr>
                <w:rFonts w:ascii="Cambria" w:hAnsi="Cambria"/>
                <w:sz w:val="20"/>
                <w:szCs w:val="20"/>
                <w:lang w:val="es-ES"/>
              </w:rPr>
              <w:t xml:space="preserve">, publicado el 13 de julio de 2013 </w:t>
            </w:r>
          </w:p>
          <w:p w14:paraId="304B20CB" w14:textId="77777777" w:rsidR="00976358" w:rsidRPr="007F0542" w:rsidRDefault="00976358" w:rsidP="00C24C23">
            <w:pPr>
              <w:jc w:val="both"/>
              <w:rPr>
                <w:rFonts w:ascii="Cambria" w:hAnsi="Cambria"/>
                <w:sz w:val="20"/>
                <w:szCs w:val="20"/>
                <w:lang w:val="es-ES"/>
              </w:rPr>
            </w:pPr>
            <w:r w:rsidRPr="45B814BA">
              <w:rPr>
                <w:rFonts w:ascii="Cambria" w:hAnsi="Cambria"/>
                <w:b/>
                <w:bCs/>
                <w:sz w:val="20"/>
                <w:szCs w:val="20"/>
                <w:lang w:val="es-ES"/>
              </w:rPr>
              <w:t xml:space="preserve">Informe de Admisibilidad Nº: </w:t>
            </w:r>
            <w:hyperlink r:id="rId12">
              <w:r w:rsidRPr="45B814BA">
                <w:rPr>
                  <w:rStyle w:val="Hyperlink"/>
                  <w:rFonts w:ascii="Cambria" w:hAnsi="Cambria"/>
                  <w:sz w:val="20"/>
                  <w:szCs w:val="20"/>
                  <w:lang w:val="es-ES"/>
                </w:rPr>
                <w:t>60/11</w:t>
              </w:r>
            </w:hyperlink>
            <w:r w:rsidRPr="45B814BA">
              <w:rPr>
                <w:rFonts w:ascii="Cambria" w:hAnsi="Cambria"/>
                <w:sz w:val="20"/>
                <w:szCs w:val="20"/>
                <w:lang w:val="es-ES"/>
              </w:rPr>
              <w:t>, adoptado el 24 de marzo de 2011 (Caso 11.575);</w:t>
            </w:r>
            <w:r w:rsidRPr="45B814BA">
              <w:rPr>
                <w:rStyle w:val="Hyperlink"/>
                <w:rFonts w:ascii="Cambria" w:hAnsi="Cambria"/>
                <w:sz w:val="20"/>
                <w:szCs w:val="20"/>
                <w:lang w:val="es-ES"/>
              </w:rPr>
              <w:t xml:space="preserve"> </w:t>
            </w:r>
            <w:hyperlink r:id="rId13">
              <w:r w:rsidRPr="45B814BA">
                <w:rPr>
                  <w:rStyle w:val="Hyperlink"/>
                  <w:rFonts w:ascii="Cambria" w:hAnsi="Cambria"/>
                  <w:sz w:val="20"/>
                  <w:szCs w:val="20"/>
                  <w:lang w:val="es-ES"/>
                </w:rPr>
                <w:t>116/11</w:t>
              </w:r>
            </w:hyperlink>
            <w:r w:rsidRPr="45B814BA">
              <w:rPr>
                <w:rFonts w:ascii="Cambria" w:hAnsi="Cambria"/>
                <w:sz w:val="20"/>
                <w:szCs w:val="20"/>
                <w:lang w:val="es-ES"/>
              </w:rPr>
              <w:t xml:space="preserve">, adoptado el 22 de julio de 2011 (Caso 12.333); </w:t>
            </w:r>
            <w:hyperlink r:id="rId14">
              <w:r w:rsidRPr="45B814BA">
                <w:rPr>
                  <w:rStyle w:val="Hyperlink"/>
                  <w:rFonts w:ascii="Cambria" w:hAnsi="Cambria"/>
                  <w:sz w:val="20"/>
                  <w:szCs w:val="20"/>
                  <w:lang w:val="es-ES"/>
                </w:rPr>
                <w:t>117/11</w:t>
              </w:r>
            </w:hyperlink>
            <w:r w:rsidRPr="45B814BA">
              <w:rPr>
                <w:rFonts w:ascii="Cambria" w:hAnsi="Cambria"/>
                <w:sz w:val="20"/>
                <w:szCs w:val="20"/>
                <w:lang w:val="es-ES"/>
              </w:rPr>
              <w:t>, adoptado el 22 de julio de 2011 (Caso 12.341)</w:t>
            </w:r>
          </w:p>
          <w:p w14:paraId="4D35CA9C" w14:textId="77777777" w:rsidR="00976358" w:rsidRPr="007F0542" w:rsidRDefault="00976358" w:rsidP="00C24C23">
            <w:pPr>
              <w:jc w:val="both"/>
              <w:rPr>
                <w:rFonts w:ascii="Cambria" w:hAnsi="Cambria"/>
                <w:sz w:val="20"/>
                <w:szCs w:val="20"/>
                <w:lang w:val="es-ES"/>
              </w:rPr>
            </w:pPr>
            <w:r w:rsidRPr="45B814BA">
              <w:rPr>
                <w:rFonts w:ascii="Cambria" w:hAnsi="Cambria"/>
                <w:b/>
                <w:bCs/>
                <w:sz w:val="20"/>
                <w:szCs w:val="20"/>
                <w:lang w:val="es-ES"/>
              </w:rPr>
              <w:t>Medidas Cautelares:</w:t>
            </w:r>
            <w:r w:rsidRPr="45B814BA">
              <w:rPr>
                <w:rFonts w:ascii="Cambria" w:hAnsi="Cambria"/>
                <w:sz w:val="20"/>
                <w:szCs w:val="20"/>
                <w:lang w:val="es-ES"/>
              </w:rPr>
              <w:t xml:space="preserve"> </w:t>
            </w:r>
            <w:hyperlink r:id="rId15">
              <w:r w:rsidRPr="45B814BA">
                <w:rPr>
                  <w:rStyle w:val="Hyperlink"/>
                  <w:rFonts w:ascii="Cambria" w:hAnsi="Cambria"/>
                  <w:sz w:val="20"/>
                  <w:szCs w:val="20"/>
                  <w:lang w:val="es-ES"/>
                </w:rPr>
                <w:t>Otorgadas el 25 de octubre de 2000</w:t>
              </w:r>
            </w:hyperlink>
            <w:r w:rsidRPr="45B814BA">
              <w:rPr>
                <w:rFonts w:ascii="Cambria" w:hAnsi="Cambria"/>
                <w:sz w:val="20"/>
                <w:szCs w:val="20"/>
                <w:lang w:val="es-ES"/>
              </w:rPr>
              <w:t xml:space="preserve"> (Miguel Ángel Flores); </w:t>
            </w:r>
            <w:hyperlink r:id="rId16">
              <w:r w:rsidRPr="45B814BA">
                <w:rPr>
                  <w:rStyle w:val="Hyperlink"/>
                  <w:rFonts w:ascii="Cambria" w:hAnsi="Cambria"/>
                  <w:sz w:val="20"/>
                  <w:szCs w:val="20"/>
                  <w:lang w:val="es-ES"/>
                </w:rPr>
                <w:t>Otorgadas el 6 de enero de 2003</w:t>
              </w:r>
            </w:hyperlink>
            <w:r w:rsidRPr="45B814BA">
              <w:rPr>
                <w:rFonts w:ascii="Cambria" w:hAnsi="Cambria"/>
                <w:sz w:val="20"/>
                <w:szCs w:val="20"/>
                <w:lang w:val="es-ES"/>
              </w:rPr>
              <w:t xml:space="preserve"> (Larry Eugene Moon); </w:t>
            </w:r>
            <w:hyperlink r:id="rId17">
              <w:r w:rsidRPr="45B814BA">
                <w:rPr>
                  <w:rStyle w:val="Hyperlink"/>
                  <w:rFonts w:ascii="Cambria" w:hAnsi="Cambria"/>
                  <w:sz w:val="20"/>
                  <w:szCs w:val="20"/>
                  <w:lang w:val="es-ES"/>
                </w:rPr>
                <w:t>Otorgadas el 30 de septiembre de 2003</w:t>
              </w:r>
            </w:hyperlink>
            <w:r w:rsidRPr="45B814BA">
              <w:rPr>
                <w:rFonts w:ascii="Cambria" w:hAnsi="Cambria"/>
                <w:sz w:val="20"/>
                <w:szCs w:val="20"/>
                <w:lang w:val="es-ES"/>
              </w:rPr>
              <w:t xml:space="preserve"> (Edward Hartman); </w:t>
            </w:r>
            <w:hyperlink r:id="rId18">
              <w:r w:rsidRPr="45B814BA">
                <w:rPr>
                  <w:rStyle w:val="Hyperlink"/>
                  <w:rFonts w:ascii="Cambria" w:hAnsi="Cambria"/>
                  <w:sz w:val="20"/>
                  <w:szCs w:val="20"/>
                  <w:lang w:val="es-ES"/>
                </w:rPr>
                <w:t>Otorgadas el 28 de junio de 2004</w:t>
              </w:r>
            </w:hyperlink>
            <w:r w:rsidRPr="45B814BA">
              <w:rPr>
                <w:rFonts w:ascii="Cambria" w:hAnsi="Cambria"/>
                <w:sz w:val="20"/>
                <w:szCs w:val="20"/>
                <w:lang w:val="es-ES"/>
              </w:rPr>
              <w:t xml:space="preserve"> (Robert Karl Hicks); </w:t>
            </w:r>
            <w:hyperlink r:id="rId19">
              <w:r w:rsidRPr="45B814BA">
                <w:rPr>
                  <w:rStyle w:val="Hyperlink"/>
                  <w:rFonts w:ascii="Cambria" w:hAnsi="Cambria"/>
                  <w:sz w:val="20"/>
                  <w:szCs w:val="20"/>
                  <w:lang w:val="es-ES"/>
                </w:rPr>
                <w:t>Otorgadas el 7 de julio de 2004</w:t>
              </w:r>
            </w:hyperlink>
            <w:r w:rsidRPr="45B814BA">
              <w:rPr>
                <w:rFonts w:ascii="Cambria" w:hAnsi="Cambria"/>
                <w:sz w:val="20"/>
                <w:szCs w:val="20"/>
                <w:lang w:val="es-ES"/>
              </w:rPr>
              <w:t xml:space="preserve"> (Troy Albert Kunkle); </w:t>
            </w:r>
            <w:hyperlink r:id="rId20">
              <w:r w:rsidRPr="45B814BA">
                <w:rPr>
                  <w:rStyle w:val="Hyperlink"/>
                  <w:rFonts w:ascii="Cambria" w:hAnsi="Cambria"/>
                  <w:sz w:val="20"/>
                  <w:szCs w:val="20"/>
                  <w:lang w:val="es-ES"/>
                </w:rPr>
                <w:t>Otorgadas el 28 de febrero de 2005</w:t>
              </w:r>
            </w:hyperlink>
            <w:r w:rsidRPr="45B814BA">
              <w:rPr>
                <w:rFonts w:ascii="Cambria" w:hAnsi="Cambria"/>
                <w:sz w:val="20"/>
                <w:szCs w:val="20"/>
                <w:lang w:val="es-ES"/>
              </w:rPr>
              <w:t xml:space="preserve"> (Stephen Anthony Mobley); </w:t>
            </w:r>
            <w:hyperlink r:id="rId21">
              <w:r w:rsidRPr="45B814BA">
                <w:rPr>
                  <w:rStyle w:val="Hyperlink"/>
                  <w:rFonts w:ascii="Cambria" w:hAnsi="Cambria"/>
                  <w:sz w:val="20"/>
                  <w:szCs w:val="20"/>
                  <w:lang w:val="es-ES"/>
                </w:rPr>
                <w:t>Otorgadas el 1 de noviembre de 2005</w:t>
              </w:r>
            </w:hyperlink>
            <w:r w:rsidRPr="45B814BA">
              <w:rPr>
                <w:rFonts w:ascii="Cambria" w:hAnsi="Cambria"/>
                <w:sz w:val="20"/>
                <w:szCs w:val="20"/>
                <w:lang w:val="es-ES"/>
              </w:rPr>
              <w:t xml:space="preserve"> (Jaime Elizalde Jr.); </w:t>
            </w:r>
            <w:hyperlink r:id="rId22">
              <w:r w:rsidRPr="45B814BA">
                <w:rPr>
                  <w:rStyle w:val="Hyperlink"/>
                  <w:rFonts w:ascii="Cambria" w:hAnsi="Cambria"/>
                  <w:sz w:val="20"/>
                  <w:szCs w:val="20"/>
                  <w:lang w:val="es-ES"/>
                </w:rPr>
                <w:t>Otorgadas el 1 de mayo de 2006</w:t>
              </w:r>
            </w:hyperlink>
            <w:r w:rsidRPr="45B814BA">
              <w:rPr>
                <w:rFonts w:ascii="Cambria" w:hAnsi="Cambria"/>
                <w:sz w:val="20"/>
                <w:szCs w:val="20"/>
                <w:lang w:val="es-ES"/>
              </w:rPr>
              <w:t xml:space="preserve"> (Ángel Maturino Resendiz); </w:t>
            </w:r>
            <w:hyperlink r:id="rId23">
              <w:r w:rsidRPr="45B814BA">
                <w:rPr>
                  <w:rStyle w:val="Hyperlink"/>
                  <w:rFonts w:ascii="Cambria" w:hAnsi="Cambria"/>
                  <w:sz w:val="20"/>
                  <w:szCs w:val="20"/>
                  <w:lang w:val="es-ES"/>
                </w:rPr>
                <w:t>Otorgadas el 28 de septiembre de 2007</w:t>
              </w:r>
            </w:hyperlink>
            <w:r w:rsidRPr="45B814BA">
              <w:rPr>
                <w:rFonts w:ascii="Cambria" w:hAnsi="Cambria"/>
                <w:sz w:val="20"/>
                <w:szCs w:val="20"/>
                <w:lang w:val="es-ES"/>
              </w:rPr>
              <w:t xml:space="preserve"> (</w:t>
            </w:r>
            <w:r w:rsidRPr="45B814BA">
              <w:rPr>
                <w:rFonts w:ascii="Cambria" w:hAnsi="Cambria" w:cs="Arial"/>
                <w:sz w:val="20"/>
                <w:szCs w:val="20"/>
                <w:lang w:val="es-ES"/>
              </w:rPr>
              <w:t>Heliberto Chi Aceituno);</w:t>
            </w:r>
            <w:r w:rsidRPr="45B814BA">
              <w:rPr>
                <w:rFonts w:ascii="Cambria" w:hAnsi="Cambria"/>
                <w:sz w:val="20"/>
                <w:szCs w:val="20"/>
                <w:lang w:val="es-ES"/>
              </w:rPr>
              <w:t xml:space="preserve"> </w:t>
            </w:r>
            <w:hyperlink r:id="rId24">
              <w:r w:rsidRPr="45B814BA">
                <w:rPr>
                  <w:rStyle w:val="Hyperlink"/>
                  <w:rFonts w:ascii="Cambria" w:hAnsi="Cambria"/>
                  <w:sz w:val="20"/>
                  <w:szCs w:val="20"/>
                  <w:lang w:val="es-ES"/>
                </w:rPr>
                <w:t>MC 184/10</w:t>
              </w:r>
            </w:hyperlink>
            <w:r w:rsidRPr="45B814BA">
              <w:rPr>
                <w:rFonts w:ascii="Cambria" w:hAnsi="Cambria"/>
                <w:sz w:val="20"/>
                <w:szCs w:val="20"/>
                <w:lang w:val="es-ES"/>
              </w:rPr>
              <w:t xml:space="preserve">, otorgadas el 14 de junio de 2010 (David Powell); </w:t>
            </w:r>
            <w:hyperlink r:id="rId25">
              <w:r w:rsidRPr="45B814BA">
                <w:rPr>
                  <w:rStyle w:val="Hyperlink"/>
                  <w:rFonts w:ascii="Cambria" w:hAnsi="Cambria"/>
                  <w:sz w:val="20"/>
                  <w:szCs w:val="20"/>
                  <w:lang w:val="es-ES"/>
                </w:rPr>
                <w:t>MC 189/10</w:t>
              </w:r>
            </w:hyperlink>
            <w:r w:rsidRPr="45B814BA">
              <w:rPr>
                <w:rFonts w:ascii="Cambria" w:hAnsi="Cambria"/>
                <w:sz w:val="20"/>
                <w:szCs w:val="20"/>
                <w:lang w:val="es-ES"/>
              </w:rPr>
              <w:t>, otorgadas el 17 de junio de 2010 (Ronnie Lee Gardner)</w:t>
            </w:r>
          </w:p>
          <w:p w14:paraId="23AAABB9" w14:textId="77777777" w:rsidR="00976358" w:rsidRPr="007F0542" w:rsidRDefault="00976358" w:rsidP="00C24C23">
            <w:pPr>
              <w:spacing w:after="120"/>
              <w:jc w:val="both"/>
              <w:rPr>
                <w:rFonts w:ascii="Cambria" w:hAnsi="Cambria"/>
                <w:sz w:val="20"/>
                <w:szCs w:val="20"/>
                <w:lang w:val="es-ES"/>
              </w:rPr>
            </w:pPr>
            <w:r w:rsidRPr="45B814BA">
              <w:rPr>
                <w:rFonts w:ascii="Cambria" w:hAnsi="Cambria"/>
                <w:b/>
                <w:bCs/>
                <w:sz w:val="20"/>
                <w:szCs w:val="20"/>
                <w:lang w:val="es-ES"/>
              </w:rPr>
              <w:t xml:space="preserve">Temas: </w:t>
            </w:r>
            <w:r w:rsidRPr="45B814BA">
              <w:rPr>
                <w:rFonts w:ascii="Cambria" w:hAnsi="Cambria"/>
                <w:sz w:val="20"/>
                <w:szCs w:val="20"/>
                <w:lang w:val="es-ES"/>
              </w:rPr>
              <w:t>Pena de Muerte / Derecho a la Vida / Garantías Judiciales / Protección Judicial / Deber de Adoptar Medidas y Disposiciones de Derecho Interno / Derecho a la Libertad Personal / Condiciones de Detención / Derecho a la Integridad Personal / Tortura y otros Tratos Crueles, Inhumanos y/o Degradantes.</w:t>
            </w:r>
          </w:p>
          <w:p w14:paraId="658AA502" w14:textId="77777777" w:rsidR="00976358" w:rsidRPr="007F0542" w:rsidRDefault="00976358" w:rsidP="00C24C23">
            <w:pPr>
              <w:spacing w:after="120"/>
              <w:jc w:val="both"/>
              <w:rPr>
                <w:rFonts w:ascii="Cambria" w:hAnsi="Cambria"/>
                <w:sz w:val="20"/>
                <w:szCs w:val="20"/>
                <w:u w:val="single"/>
                <w:lang w:val="es-ES"/>
              </w:rPr>
            </w:pPr>
            <w:r w:rsidRPr="45B814BA">
              <w:rPr>
                <w:rFonts w:ascii="Cambria" w:hAnsi="Cambria"/>
                <w:b/>
                <w:bCs/>
                <w:sz w:val="20"/>
                <w:szCs w:val="20"/>
                <w:lang w:val="es-ES"/>
              </w:rPr>
              <w:t xml:space="preserve">Hechos: </w:t>
            </w:r>
            <w:r w:rsidRPr="45B814BA">
              <w:rPr>
                <w:rFonts w:ascii="Cambria" w:hAnsi="Cambria"/>
                <w:sz w:val="20"/>
                <w:szCs w:val="20"/>
                <w:lang w:val="es-ES"/>
              </w:rPr>
              <w:t>Este caso se refiere a las condenas a pena de muerte, y las posteriores ejecuciones</w:t>
            </w:r>
            <w:r w:rsidRPr="45B814BA">
              <w:rPr>
                <w:rFonts w:ascii="Cambria" w:hAnsi="Cambria"/>
                <w:strike/>
                <w:sz w:val="20"/>
                <w:szCs w:val="20"/>
                <w:lang w:val="es-ES"/>
              </w:rPr>
              <w:t>,</w:t>
            </w:r>
            <w:r w:rsidRPr="45B814BA">
              <w:rPr>
                <w:rFonts w:ascii="Cambria" w:hAnsi="Cambria"/>
                <w:sz w:val="20"/>
                <w:szCs w:val="20"/>
                <w:lang w:val="es-ES"/>
              </w:rPr>
              <w:t xml:space="preserve"> de Clarence Allen Lackey, David Leisure, Anthony Green, James Brown, Larry Eugene Moon, Edward Hartman, Robert Karl Hicks, Troy Albert Kunkle, Stephen Anthony Mobley, Jaime Elizalde Jr., Ángel Maturino Resendiz, Heliberto Chi Aceituno, David Powell, y Ronnie Gardner (Caso 11.575); Miguel Ángel Flores (Caso 12.333); y James Wilson Chambers (Caso 12.341), en seis estados de los Estados Unidos (Carolina del Norte, Carolina del Sur, Georgia, Misuri, Texas y Utah), de conformidad con procedimientos que violaron sus derechos al debido proceso, entre otras por la ineficacia de los abogados designados por los tribunales y las violaciones del derecho a la notificación consular reconocido en el artículo 36 de la Convención de Viena sobre Relaciones Consulares. </w:t>
            </w:r>
          </w:p>
          <w:p w14:paraId="12E91E89" w14:textId="77777777" w:rsidR="00976358" w:rsidRPr="007F0542" w:rsidRDefault="00976358" w:rsidP="00C24C23">
            <w:pPr>
              <w:spacing w:after="120"/>
              <w:jc w:val="both"/>
              <w:rPr>
                <w:rFonts w:ascii="Cambria" w:hAnsi="Cambria"/>
                <w:sz w:val="20"/>
                <w:szCs w:val="20"/>
                <w:lang w:val="es-ES"/>
              </w:rPr>
            </w:pPr>
            <w:r w:rsidRPr="45B814BA">
              <w:rPr>
                <w:rFonts w:ascii="Cambria" w:hAnsi="Cambria"/>
                <w:b/>
                <w:bCs/>
                <w:sz w:val="20"/>
                <w:szCs w:val="20"/>
                <w:lang w:val="es-ES"/>
              </w:rPr>
              <w:t xml:space="preserve">Derechos violados: </w:t>
            </w:r>
            <w:r w:rsidRPr="45B814BA">
              <w:rPr>
                <w:rFonts w:ascii="Cambria" w:hAnsi="Cambria"/>
                <w:sz w:val="20"/>
                <w:szCs w:val="20"/>
                <w:lang w:val="es-ES"/>
              </w:rPr>
              <w:t>La Comisión Interamericana concluye que Estados Unidos es responsable por la violación de las siguientes garantías: (i) el derecho a la justicia y al debido proceso, establecidos en los artículos XVIII y XXVI de la Declaración Americana respectivamente, en perjuicio de Heliberto Chi Aceituno y de Miguel Ángel Flores, por la violación de sus derechos a la notificación y asistencia consulares; y de Larry Eugene Moon, Edward Hartman, Robert Karl Hicks, Jaime Elizalde Jr., Ángel Maturino Resendiz y  Miguel Ángel Flores, por la ineficacia de la asistencia letrada asignada por el Estado; (ii) el derecho a la vida, a la libertad, a la seguridad e integridad de la persona y al debido proceso, previstos en los artículos I y XXVI de la Declaración Americana respectivamente, en perjuicio de David Leisure, James Brown, Robert Karl Hicks, Troy Albert Kunkle, Jaime Elizalde Jr., Ángel Maturino Resendiz y James Wilson Chambers por la violación al derecho de toda persona con discapacidad mental a no ser sometida a la pena de muerte; (iii) el derecho a la protección contra la detención arbitraria y al debido proceso, establecidos en los artículos XXV y XXVI de la Declaración Americana respectivamente, en perjuicio de Ángel Maturino Resendiz y Ronnie Gardner, por la violación al derecho de toda persona privada de libertad a no ser sometida a confinamiento prolongado; y (iv) el derecho a la vida, a la libertad, a la seguridad e integridad de la persona previsto en el artículo I de la Declaración Americana, en perjuicio de Clarence Allen Lackey, David Leisure, Anthony Green, James Brown, Larry Eugene Moon, Edward Hartman, Robert Karl Hicks, Troy Albert Kunkle, Stephen Anthony Mobley, Jaime Elizalde Jr., Ángel Maturino Resendiz, Heliberto Chi Aceituno, David Powell, Ronnie Gardner, Miguel Ángel Flores y James Wilson Chambers, por el incumplimiento de las medidas cautelares otorgadas por la CIDH a favor de las presuntas víctimas.</w:t>
            </w:r>
          </w:p>
        </w:tc>
      </w:tr>
    </w:tbl>
    <w:p w14:paraId="3F01928E" w14:textId="77777777" w:rsidR="00976358" w:rsidRPr="007F0542" w:rsidRDefault="00976358" w:rsidP="00976358">
      <w:pPr>
        <w:ind w:left="180"/>
        <w:jc w:val="both"/>
        <w:rPr>
          <w:rFonts w:ascii="Cambria" w:hAnsi="Cambria"/>
          <w:sz w:val="20"/>
          <w:szCs w:val="20"/>
          <w:lang w:val="es-ES"/>
        </w:rPr>
      </w:pPr>
    </w:p>
    <w:p w14:paraId="3A601C4A" w14:textId="77777777" w:rsidR="00976358" w:rsidRPr="007F0542" w:rsidRDefault="00976358" w:rsidP="00976358">
      <w:pPr>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Recomendaciones</w:t>
      </w:r>
    </w:p>
    <w:p w14:paraId="142A2065" w14:textId="77777777" w:rsidR="00976358" w:rsidRPr="007F0542" w:rsidRDefault="00976358" w:rsidP="00976358">
      <w:pPr>
        <w:ind w:left="1080"/>
        <w:jc w:val="both"/>
        <w:rPr>
          <w:rFonts w:ascii="Cambria" w:hAnsi="Cambria" w:cs="Calibri Light"/>
          <w:b/>
          <w:bCs/>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30"/>
      </w:tblGrid>
      <w:tr w:rsidR="00976358" w:rsidRPr="00357C53" w14:paraId="1B86AD27" w14:textId="77777777" w:rsidTr="00C24C23">
        <w:tc>
          <w:tcPr>
            <w:tcW w:w="7178" w:type="dxa"/>
            <w:shd w:val="clear" w:color="auto" w:fill="auto"/>
            <w:vAlign w:val="center"/>
          </w:tcPr>
          <w:p w14:paraId="2F29908B"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cs="Calibri Light"/>
                <w:b/>
                <w:bCs/>
                <w:sz w:val="18"/>
                <w:szCs w:val="18"/>
                <w:lang w:val="es-ES"/>
              </w:rPr>
              <w:t>Recomendaciones</w:t>
            </w:r>
          </w:p>
        </w:tc>
        <w:tc>
          <w:tcPr>
            <w:tcW w:w="2362" w:type="dxa"/>
            <w:shd w:val="clear" w:color="auto" w:fill="auto"/>
            <w:vAlign w:val="center"/>
          </w:tcPr>
          <w:p w14:paraId="689AF3C5" w14:textId="212501C2" w:rsidR="00976358" w:rsidRPr="007F0542" w:rsidRDefault="00976358" w:rsidP="00C24C23">
            <w:pPr>
              <w:jc w:val="center"/>
              <w:rPr>
                <w:rFonts w:ascii="Cambria" w:hAnsi="Cambria" w:cs="Calibri Light"/>
                <w:b/>
                <w:bCs/>
                <w:sz w:val="18"/>
                <w:szCs w:val="18"/>
                <w:lang w:val="es-ES"/>
              </w:rPr>
            </w:pPr>
            <w:r w:rsidRPr="45B814BA">
              <w:rPr>
                <w:rFonts w:ascii="Cambria" w:hAnsi="Cambria" w:cs="Calibri Light"/>
                <w:b/>
                <w:bCs/>
                <w:sz w:val="18"/>
                <w:szCs w:val="18"/>
                <w:lang w:val="es-ES"/>
              </w:rPr>
              <w:t xml:space="preserve">Estado del cumplimiento en el </w:t>
            </w:r>
            <w:r w:rsidRPr="45B814BA">
              <w:rPr>
                <w:rFonts w:ascii="Cambria" w:hAnsi="Cambria" w:cs="Calibri Light"/>
                <w:b/>
                <w:bCs/>
                <w:color w:val="000000" w:themeColor="text1"/>
                <w:sz w:val="18"/>
                <w:szCs w:val="18"/>
                <w:lang w:val="es-ES"/>
              </w:rPr>
              <w:t>202</w:t>
            </w:r>
            <w:r w:rsidR="00E50058">
              <w:rPr>
                <w:rFonts w:ascii="Cambria" w:hAnsi="Cambria" w:cs="Calibri Light"/>
                <w:b/>
                <w:bCs/>
                <w:color w:val="000000" w:themeColor="text1"/>
                <w:sz w:val="18"/>
                <w:szCs w:val="18"/>
                <w:lang w:val="es-ES"/>
              </w:rPr>
              <w:t>2</w:t>
            </w:r>
          </w:p>
        </w:tc>
      </w:tr>
      <w:tr w:rsidR="00976358" w:rsidRPr="007F0542" w14:paraId="425BEDE1" w14:textId="77777777" w:rsidTr="00C24C23">
        <w:tc>
          <w:tcPr>
            <w:tcW w:w="7178" w:type="dxa"/>
            <w:shd w:val="clear" w:color="auto" w:fill="auto"/>
          </w:tcPr>
          <w:p w14:paraId="18AD69D1" w14:textId="77777777" w:rsidR="00976358" w:rsidRPr="00976358" w:rsidRDefault="00976358" w:rsidP="00C24C23">
            <w:pPr>
              <w:jc w:val="both"/>
              <w:rPr>
                <w:rFonts w:ascii="Cambria" w:hAnsi="Cambria" w:cs="Arial"/>
                <w:sz w:val="18"/>
                <w:szCs w:val="18"/>
                <w:lang w:val="es-US"/>
              </w:rPr>
            </w:pPr>
            <w:r w:rsidRPr="00976358">
              <w:rPr>
                <w:rFonts w:ascii="Cambria" w:hAnsi="Cambria"/>
                <w:sz w:val="18"/>
                <w:szCs w:val="18"/>
                <w:lang w:val="es-US"/>
              </w:rPr>
              <w:t>1. Otorgar reparaciones a la familia de Clarence Allen Lackey, David Leisure, Anthony Green, James Brown, Larry Eugene Moon, Edward Hartman, Robert Karl Hicks, Troy Albert Kunkle, Stephen Anthony Mobley, Jaime Elizalde Jr., Ángel Maturino Resendiz, Heliberto Chi Aceituno, David Powell, Ronnie Gardner, Miguel Ángel Flores y James Wilson Chambers como consecuencia de las violaciones establecidas en este informe.</w:t>
            </w:r>
          </w:p>
        </w:tc>
        <w:tc>
          <w:tcPr>
            <w:tcW w:w="2362" w:type="dxa"/>
            <w:shd w:val="clear" w:color="auto" w:fill="auto"/>
            <w:vAlign w:val="center"/>
          </w:tcPr>
          <w:p w14:paraId="4FC136B0"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5C81564D" w14:textId="77777777" w:rsidTr="00C24C23">
        <w:tc>
          <w:tcPr>
            <w:tcW w:w="7178" w:type="dxa"/>
            <w:shd w:val="clear" w:color="auto" w:fill="auto"/>
          </w:tcPr>
          <w:p w14:paraId="5BC1B8D0" w14:textId="77777777" w:rsidR="00976358" w:rsidRPr="007F0542" w:rsidRDefault="00976358" w:rsidP="00C24C23">
            <w:pPr>
              <w:jc w:val="both"/>
              <w:rPr>
                <w:rFonts w:ascii="Cambria" w:hAnsi="Cambria" w:cs="Arial"/>
                <w:sz w:val="18"/>
                <w:szCs w:val="18"/>
                <w:lang w:val="es-ES"/>
              </w:rPr>
            </w:pPr>
            <w:r w:rsidRPr="45B814BA">
              <w:rPr>
                <w:rFonts w:ascii="Cambria" w:hAnsi="Cambria" w:cs="Arial"/>
                <w:sz w:val="18"/>
                <w:szCs w:val="18"/>
                <w:lang w:val="es-ES"/>
              </w:rPr>
              <w:t>2. 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tc>
        <w:tc>
          <w:tcPr>
            <w:tcW w:w="2362" w:type="dxa"/>
            <w:shd w:val="clear" w:color="auto" w:fill="auto"/>
            <w:vAlign w:val="center"/>
          </w:tcPr>
          <w:p w14:paraId="31DBE8DE"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4969383E" w14:textId="77777777" w:rsidTr="00C24C23">
        <w:trPr>
          <w:trHeight w:val="350"/>
        </w:trPr>
        <w:tc>
          <w:tcPr>
            <w:tcW w:w="7178" w:type="dxa"/>
            <w:shd w:val="clear" w:color="auto" w:fill="auto"/>
          </w:tcPr>
          <w:p w14:paraId="68D8B704" w14:textId="77777777" w:rsidR="00976358" w:rsidRPr="007F0542" w:rsidRDefault="00976358" w:rsidP="00C24C23">
            <w:pPr>
              <w:jc w:val="both"/>
              <w:rPr>
                <w:rFonts w:ascii="Cambria" w:hAnsi="Cambria" w:cs="Calibri"/>
                <w:sz w:val="18"/>
                <w:szCs w:val="18"/>
                <w:lang w:val="es-ES"/>
              </w:rPr>
            </w:pPr>
            <w:r w:rsidRPr="45B814BA">
              <w:rPr>
                <w:rFonts w:ascii="Cambria" w:hAnsi="Cambria" w:cs="Calibri"/>
                <w:sz w:val="18"/>
                <w:szCs w:val="18"/>
                <w:lang w:val="es-ES"/>
              </w:rPr>
              <w:t>3. Impulsar la aprobación urgente del proyecto de “Ley para el Cumplimiento de la Notificación Consular” (“CNCA” por sus siglas en inglés) que se encuentra pendiente ante el Congreso de los Estados Unidos desde 2011.</w:t>
            </w:r>
          </w:p>
        </w:tc>
        <w:tc>
          <w:tcPr>
            <w:tcW w:w="2362" w:type="dxa"/>
            <w:shd w:val="clear" w:color="auto" w:fill="auto"/>
            <w:vAlign w:val="center"/>
          </w:tcPr>
          <w:p w14:paraId="5CF1F5A2"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592A7917" w14:textId="77777777" w:rsidTr="00C24C23">
        <w:tc>
          <w:tcPr>
            <w:tcW w:w="7178" w:type="dxa"/>
            <w:shd w:val="clear" w:color="auto" w:fill="auto"/>
          </w:tcPr>
          <w:p w14:paraId="649F8E0B" w14:textId="77777777" w:rsidR="00976358" w:rsidRPr="007F0542" w:rsidRDefault="00976358" w:rsidP="00C24C23">
            <w:pPr>
              <w:jc w:val="both"/>
              <w:rPr>
                <w:rFonts w:ascii="Cambria" w:hAnsi="Cambria" w:cs="Arial"/>
                <w:sz w:val="18"/>
                <w:szCs w:val="18"/>
                <w:lang w:val="es-ES"/>
              </w:rPr>
            </w:pPr>
            <w:r w:rsidRPr="45B814BA">
              <w:rPr>
                <w:rFonts w:ascii="Cambria" w:hAnsi="Cambria" w:cs="Calibri"/>
                <w:sz w:val="18"/>
                <w:szCs w:val="18"/>
                <w:lang w:val="es-ES"/>
              </w:rPr>
              <w:t>4. Proporcionar a toda persona indigente acusada de un delito punible con la pena capital la asistencia letrada necesaria.</w:t>
            </w:r>
          </w:p>
        </w:tc>
        <w:tc>
          <w:tcPr>
            <w:tcW w:w="2362" w:type="dxa"/>
            <w:shd w:val="clear" w:color="auto" w:fill="auto"/>
            <w:vAlign w:val="center"/>
          </w:tcPr>
          <w:p w14:paraId="58192EEF" w14:textId="77777777" w:rsidR="00976358" w:rsidRPr="007F0542" w:rsidRDefault="00976358" w:rsidP="00C24C23">
            <w:pPr>
              <w:jc w:val="center"/>
              <w:rPr>
                <w:rFonts w:ascii="Cambria" w:hAnsi="Cambria"/>
                <w:sz w:val="18"/>
                <w:szCs w:val="18"/>
                <w:lang w:val="es-ES"/>
              </w:rPr>
            </w:pPr>
            <w:r w:rsidRPr="45B814BA">
              <w:rPr>
                <w:rFonts w:ascii="Cambria" w:hAnsi="Cambria"/>
                <w:sz w:val="18"/>
                <w:szCs w:val="18"/>
                <w:lang w:val="es-ES"/>
              </w:rPr>
              <w:t>Pendiente de cumplimiento</w:t>
            </w:r>
          </w:p>
        </w:tc>
      </w:tr>
      <w:tr w:rsidR="00976358" w:rsidRPr="007F0542" w14:paraId="06D21107" w14:textId="77777777" w:rsidTr="00C24C23">
        <w:tc>
          <w:tcPr>
            <w:tcW w:w="7178" w:type="dxa"/>
            <w:shd w:val="clear" w:color="auto" w:fill="auto"/>
          </w:tcPr>
          <w:p w14:paraId="4D744145" w14:textId="77777777" w:rsidR="00976358" w:rsidRPr="007F0542" w:rsidRDefault="00976358" w:rsidP="00C24C23">
            <w:pPr>
              <w:jc w:val="both"/>
              <w:rPr>
                <w:rFonts w:ascii="Cambria" w:hAnsi="Cambria" w:cs="Arial"/>
                <w:sz w:val="18"/>
                <w:szCs w:val="18"/>
                <w:lang w:val="es-ES"/>
              </w:rPr>
            </w:pPr>
            <w:r w:rsidRPr="45B814BA">
              <w:rPr>
                <w:rFonts w:ascii="Cambria" w:hAnsi="Cambria" w:cs="Calibri"/>
                <w:sz w:val="18"/>
                <w:szCs w:val="18"/>
                <w:lang w:val="es-ES"/>
              </w:rPr>
              <w:t>5. Asegurar que la asistencia letrada brindada por el Estado en casos de pena de muerte sea eficaz, esté capacitada para actuar en casos de pena de muerte, e investigue en forma exhaustiva y diligente toda prueba atenuante.</w:t>
            </w:r>
          </w:p>
        </w:tc>
        <w:tc>
          <w:tcPr>
            <w:tcW w:w="2362" w:type="dxa"/>
            <w:shd w:val="clear" w:color="auto" w:fill="auto"/>
            <w:vAlign w:val="center"/>
          </w:tcPr>
          <w:p w14:paraId="7FF8CCB4"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18CC1EFC" w14:textId="77777777" w:rsidTr="00C24C23">
        <w:tc>
          <w:tcPr>
            <w:tcW w:w="7178" w:type="dxa"/>
            <w:shd w:val="clear" w:color="auto" w:fill="auto"/>
          </w:tcPr>
          <w:p w14:paraId="43E3E1EE" w14:textId="77777777" w:rsidR="00976358" w:rsidRPr="007F0542" w:rsidRDefault="00976358" w:rsidP="00C24C23">
            <w:pPr>
              <w:jc w:val="both"/>
              <w:rPr>
                <w:rFonts w:ascii="Cambria" w:hAnsi="Cambria" w:cs="Calibri Light"/>
                <w:sz w:val="18"/>
                <w:szCs w:val="18"/>
                <w:lang w:val="es-ES"/>
              </w:rPr>
            </w:pPr>
            <w:r w:rsidRPr="45B814BA">
              <w:rPr>
                <w:rFonts w:ascii="Cambria" w:hAnsi="Cambria"/>
                <w:sz w:val="18"/>
                <w:szCs w:val="18"/>
                <w:lang w:val="es-ES"/>
              </w:rPr>
              <w:t xml:space="preserve">6. </w:t>
            </w:r>
            <w:r w:rsidRPr="45B814BA">
              <w:rPr>
                <w:rFonts w:ascii="Cambria" w:hAnsi="Cambria" w:cs="Calibri"/>
                <w:sz w:val="18"/>
                <w:szCs w:val="18"/>
                <w:lang w:val="es-ES"/>
              </w:rPr>
              <w:t>Revisar sus leyes, procedimientos y prácticas para asegurar que ninguna persona que, al momento de la comisión del delito o de la ejecución de la pena de muerte, tenga una discapacidad mental, se le aplique la pena capital o sea ejecutada.  El Estado debe asegurar asimismo que toda persona acusada de un delito punible con la pena capital que invoque la necesidad de contar con una evaluación independiente de su estado de salud mental, y que no cuente con los medios para ello, tenga acceso a dicha evaluación.</w:t>
            </w:r>
          </w:p>
        </w:tc>
        <w:tc>
          <w:tcPr>
            <w:tcW w:w="2362" w:type="dxa"/>
            <w:shd w:val="clear" w:color="auto" w:fill="auto"/>
            <w:vAlign w:val="center"/>
          </w:tcPr>
          <w:p w14:paraId="185F3DA2"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1CB5607C" w14:textId="77777777" w:rsidTr="00C24C23">
        <w:tc>
          <w:tcPr>
            <w:tcW w:w="7178" w:type="dxa"/>
            <w:shd w:val="clear" w:color="auto" w:fill="auto"/>
          </w:tcPr>
          <w:p w14:paraId="69CD66B0" w14:textId="77777777" w:rsidR="00976358" w:rsidRPr="007F0542" w:rsidRDefault="00976358" w:rsidP="00C24C23">
            <w:pPr>
              <w:jc w:val="both"/>
              <w:rPr>
                <w:rFonts w:ascii="Cambria" w:hAnsi="Cambria" w:cs="Arial"/>
                <w:sz w:val="18"/>
                <w:szCs w:val="18"/>
                <w:lang w:val="es-ES"/>
              </w:rPr>
            </w:pPr>
            <w:r w:rsidRPr="45B814BA">
              <w:rPr>
                <w:rFonts w:ascii="Cambria" w:hAnsi="Cambria"/>
                <w:sz w:val="18"/>
                <w:szCs w:val="18"/>
                <w:lang w:val="es-ES"/>
              </w:rPr>
              <w:t xml:space="preserve">7. </w:t>
            </w:r>
            <w:r w:rsidRPr="45B814BA">
              <w:rPr>
                <w:rFonts w:ascii="Cambria" w:hAnsi="Cambria" w:cs="Calibri"/>
                <w:sz w:val="18"/>
                <w:szCs w:val="18"/>
                <w:lang w:val="es-ES"/>
              </w:rPr>
              <w:t>Revisar sus leyes, procedimientos y prácticas para que el confinamiento solitario no sea utilizado como una condena judicial en el caso de las personas condenadas a pena de muerte.  Asegurar que dicho régimen sea utilizado en forma excepcional de acuerdo a los estándares internacionales.</w:t>
            </w:r>
          </w:p>
        </w:tc>
        <w:tc>
          <w:tcPr>
            <w:tcW w:w="2362" w:type="dxa"/>
            <w:shd w:val="clear" w:color="auto" w:fill="auto"/>
            <w:vAlign w:val="center"/>
          </w:tcPr>
          <w:p w14:paraId="07E9502C"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5C67327D" w14:textId="77777777" w:rsidTr="00C24C23">
        <w:tc>
          <w:tcPr>
            <w:tcW w:w="7178" w:type="dxa"/>
            <w:shd w:val="clear" w:color="auto" w:fill="auto"/>
          </w:tcPr>
          <w:p w14:paraId="754326DF" w14:textId="77777777" w:rsidR="00976358" w:rsidRPr="007F0542" w:rsidRDefault="00976358" w:rsidP="00C24C23">
            <w:pPr>
              <w:jc w:val="both"/>
              <w:rPr>
                <w:rFonts w:ascii="Cambria" w:hAnsi="Cambria" w:cs="Arial"/>
                <w:sz w:val="18"/>
                <w:szCs w:val="18"/>
                <w:lang w:val="es-ES"/>
              </w:rPr>
            </w:pPr>
            <w:r w:rsidRPr="45B814BA">
              <w:rPr>
                <w:rFonts w:ascii="Cambria" w:hAnsi="Cambria" w:cs="Calibri"/>
                <w:sz w:val="18"/>
                <w:szCs w:val="18"/>
                <w:lang w:val="es-ES"/>
              </w:rPr>
              <w:t>8. Asegurar que las personas condenadas a pena de muerte tengan la posibilidad de tener contacto con sus familiares y acceso a diferentes programas y actividades.</w:t>
            </w:r>
          </w:p>
        </w:tc>
        <w:tc>
          <w:tcPr>
            <w:tcW w:w="2362" w:type="dxa"/>
            <w:shd w:val="clear" w:color="auto" w:fill="auto"/>
            <w:vAlign w:val="center"/>
          </w:tcPr>
          <w:p w14:paraId="2C373133"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16952132" w14:textId="77777777" w:rsidTr="00C24C23">
        <w:tc>
          <w:tcPr>
            <w:tcW w:w="7178" w:type="dxa"/>
            <w:shd w:val="clear" w:color="auto" w:fill="auto"/>
          </w:tcPr>
          <w:p w14:paraId="7E08D1C1" w14:textId="77777777" w:rsidR="00976358" w:rsidRPr="007F0542" w:rsidRDefault="00976358" w:rsidP="00C24C23">
            <w:pPr>
              <w:jc w:val="both"/>
              <w:rPr>
                <w:rFonts w:ascii="Cambria" w:hAnsi="Cambria" w:cs="Arial"/>
                <w:sz w:val="18"/>
                <w:szCs w:val="18"/>
                <w:lang w:val="es-ES"/>
              </w:rPr>
            </w:pPr>
            <w:r w:rsidRPr="45B814BA">
              <w:rPr>
                <w:rFonts w:ascii="Cambria" w:hAnsi="Cambria" w:cs="Calibri"/>
                <w:sz w:val="18"/>
                <w:szCs w:val="18"/>
                <w:lang w:val="es-ES"/>
              </w:rPr>
              <w:t>9. Asegurar, como medida de no repetición, el cumplimiento de las medidas cautelares otorgadas por la CIDH a favor de personas condenadas a pena de muerte.</w:t>
            </w:r>
          </w:p>
        </w:tc>
        <w:tc>
          <w:tcPr>
            <w:tcW w:w="2362" w:type="dxa"/>
            <w:shd w:val="clear" w:color="auto" w:fill="auto"/>
            <w:vAlign w:val="center"/>
          </w:tcPr>
          <w:p w14:paraId="3363CBFB" w14:textId="77777777" w:rsidR="00976358" w:rsidRPr="007F0542" w:rsidRDefault="00976358" w:rsidP="00C24C23">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976358" w:rsidRPr="007F0542" w14:paraId="135EE16D" w14:textId="77777777" w:rsidTr="00C24C23">
        <w:tc>
          <w:tcPr>
            <w:tcW w:w="7178" w:type="dxa"/>
            <w:shd w:val="clear" w:color="auto" w:fill="auto"/>
          </w:tcPr>
          <w:p w14:paraId="722739CD" w14:textId="77777777" w:rsidR="00976358" w:rsidRPr="007F0542" w:rsidRDefault="00976358" w:rsidP="00C24C23">
            <w:pPr>
              <w:jc w:val="both"/>
              <w:rPr>
                <w:rFonts w:ascii="Cambria" w:hAnsi="Cambria" w:cs="Calibri"/>
                <w:sz w:val="18"/>
                <w:szCs w:val="18"/>
                <w:lang w:val="es-ES"/>
              </w:rPr>
            </w:pPr>
            <w:r w:rsidRPr="45B814BA">
              <w:rPr>
                <w:rFonts w:ascii="Cambria" w:hAnsi="Cambria" w:cs="Calibri"/>
                <w:sz w:val="18"/>
                <w:szCs w:val="18"/>
                <w:lang w:val="es-ES"/>
              </w:rPr>
              <w:t>10.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362" w:type="dxa"/>
            <w:shd w:val="clear" w:color="auto" w:fill="auto"/>
            <w:vAlign w:val="center"/>
          </w:tcPr>
          <w:p w14:paraId="65E167FA" w14:textId="77777777" w:rsidR="00976358" w:rsidRPr="007F0542" w:rsidRDefault="00976358" w:rsidP="00C24C23">
            <w:pPr>
              <w:jc w:val="center"/>
              <w:rPr>
                <w:rFonts w:ascii="Cambria" w:hAnsi="Cambria"/>
                <w:sz w:val="18"/>
                <w:szCs w:val="18"/>
                <w:lang w:val="es-ES"/>
              </w:rPr>
            </w:pPr>
            <w:r w:rsidRPr="45B814BA">
              <w:rPr>
                <w:rFonts w:ascii="Cambria" w:hAnsi="Cambria"/>
                <w:sz w:val="18"/>
                <w:szCs w:val="18"/>
                <w:lang w:val="es-ES"/>
              </w:rPr>
              <w:t>Pendiente de cumplimiento</w:t>
            </w:r>
          </w:p>
        </w:tc>
      </w:tr>
    </w:tbl>
    <w:p w14:paraId="39FAD2E3" w14:textId="77777777" w:rsidR="00976358" w:rsidRPr="007F0542" w:rsidRDefault="00976358" w:rsidP="00976358">
      <w:pPr>
        <w:jc w:val="both"/>
        <w:rPr>
          <w:rFonts w:ascii="Cambria" w:hAnsi="Cambria" w:cs="Calibri Light"/>
          <w:b/>
          <w:bCs/>
          <w:sz w:val="18"/>
          <w:szCs w:val="18"/>
          <w:lang w:val="es-ES"/>
        </w:rPr>
      </w:pPr>
    </w:p>
    <w:p w14:paraId="66792275" w14:textId="77777777" w:rsidR="00976358" w:rsidRPr="007F0542" w:rsidRDefault="00976358" w:rsidP="00976358">
      <w:pPr>
        <w:pStyle w:val="ListParagraph"/>
        <w:numPr>
          <w:ilvl w:val="0"/>
          <w:numId w:val="8"/>
        </w:numPr>
        <w:ind w:left="1440"/>
        <w:jc w:val="both"/>
        <w:rPr>
          <w:rFonts w:ascii="Cambria" w:hAnsi="Cambria" w:cs="Calibri Light"/>
          <w:lang w:val="es-ES"/>
        </w:rPr>
      </w:pPr>
      <w:r w:rsidRPr="45B814BA">
        <w:rPr>
          <w:rFonts w:ascii="Cambria" w:hAnsi="Cambria"/>
          <w:b/>
          <w:bCs/>
          <w:sz w:val="20"/>
          <w:szCs w:val="20"/>
          <w:lang w:val="es-ES"/>
        </w:rPr>
        <w:t>Actividad procesal</w:t>
      </w:r>
    </w:p>
    <w:p w14:paraId="23664348" w14:textId="77777777" w:rsidR="00357C53" w:rsidRPr="00357C53" w:rsidRDefault="00357C53" w:rsidP="00357C53">
      <w:pPr>
        <w:rPr>
          <w:rFonts w:ascii="Cambria" w:hAnsi="Cambria" w:cs="Calibri Light"/>
          <w:color w:val="000000" w:themeColor="text1"/>
          <w:sz w:val="20"/>
          <w:szCs w:val="20"/>
          <w:lang w:val="es-ES"/>
        </w:rPr>
      </w:pPr>
      <w:bookmarkStart w:id="0" w:name="_Hlk57239069"/>
      <w:bookmarkStart w:id="1" w:name="_Hlk57247422"/>
    </w:p>
    <w:p w14:paraId="06662C4D" w14:textId="77777777" w:rsidR="00357C53" w:rsidRPr="00B074E9" w:rsidRDefault="00357C53" w:rsidP="00357C53">
      <w:pPr>
        <w:pStyle w:val="ListParagraph"/>
        <w:numPr>
          <w:ilvl w:val="0"/>
          <w:numId w:val="11"/>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B074E9">
        <w:rPr>
          <w:rFonts w:ascii="Cambria" w:hAnsi="Cambria"/>
          <w:sz w:val="20"/>
          <w:szCs w:val="20"/>
          <w:lang w:val="es-ES"/>
        </w:rPr>
        <w:t xml:space="preserve">presentó dicha información.  </w:t>
      </w:r>
    </w:p>
    <w:p w14:paraId="18BE4943" w14:textId="77777777" w:rsidR="00357C53" w:rsidRPr="00B074E9" w:rsidRDefault="00357C53" w:rsidP="00357C53">
      <w:pPr>
        <w:pStyle w:val="ListParagraph"/>
        <w:rPr>
          <w:rFonts w:ascii="Cambria" w:hAnsi="Cambria" w:cs="Calibri Light"/>
          <w:color w:val="000000" w:themeColor="text1"/>
          <w:sz w:val="20"/>
          <w:szCs w:val="20"/>
          <w:lang w:val="es-ES"/>
        </w:rPr>
      </w:pPr>
    </w:p>
    <w:p w14:paraId="3A4C10A3" w14:textId="5E5E0B73" w:rsidR="00357C53" w:rsidRPr="00357C53" w:rsidRDefault="00357C53" w:rsidP="00357C53">
      <w:pPr>
        <w:pStyle w:val="ListParagraph"/>
        <w:numPr>
          <w:ilvl w:val="0"/>
          <w:numId w:val="11"/>
        </w:numPr>
        <w:jc w:val="both"/>
        <w:rPr>
          <w:rFonts w:ascii="Cambria" w:hAnsi="Cambria" w:cs="Calibri Light"/>
          <w:sz w:val="20"/>
          <w:szCs w:val="20"/>
          <w:lang w:val="es-ES"/>
        </w:rPr>
      </w:pPr>
      <w:r w:rsidRPr="00B074E9">
        <w:rPr>
          <w:rFonts w:ascii="Cambria" w:hAnsi="Cambria" w:cs="Calibri Light"/>
          <w:color w:val="000000" w:themeColor="text1"/>
          <w:sz w:val="20"/>
          <w:szCs w:val="20"/>
          <w:lang w:val="es-ES"/>
        </w:rPr>
        <w:t xml:space="preserve">La CIDH </w:t>
      </w:r>
      <w:r w:rsidRPr="00B074E9">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p>
    <w:bookmarkEnd w:id="0"/>
    <w:bookmarkEnd w:id="1"/>
    <w:p w14:paraId="58FB2A83" w14:textId="77777777" w:rsidR="00976358" w:rsidRPr="007F0542" w:rsidRDefault="00976358" w:rsidP="00976358">
      <w:pPr>
        <w:jc w:val="both"/>
        <w:rPr>
          <w:rFonts w:ascii="Cambria" w:hAnsi="Cambria" w:cs="Calibri Light"/>
          <w:sz w:val="20"/>
          <w:szCs w:val="20"/>
          <w:lang w:val="es-ES"/>
        </w:rPr>
      </w:pPr>
    </w:p>
    <w:p w14:paraId="369ACBD1" w14:textId="77777777" w:rsidR="00976358" w:rsidRDefault="00976358" w:rsidP="00976358">
      <w:pPr>
        <w:rPr>
          <w:rFonts w:ascii="Cambria" w:hAnsi="Cambria" w:cs="Calibri Light"/>
          <w:b/>
          <w:bCs/>
          <w:sz w:val="20"/>
          <w:szCs w:val="20"/>
          <w:lang w:val="es-ES"/>
        </w:rPr>
      </w:pPr>
      <w:r>
        <w:rPr>
          <w:rFonts w:ascii="Cambria" w:hAnsi="Cambria" w:cs="Calibri Light"/>
          <w:b/>
          <w:bCs/>
          <w:sz w:val="20"/>
          <w:szCs w:val="20"/>
          <w:lang w:val="es-ES"/>
        </w:rPr>
        <w:br w:type="page"/>
      </w:r>
    </w:p>
    <w:p w14:paraId="6B89DDCD" w14:textId="77777777" w:rsidR="00976358" w:rsidRPr="00FF70F2" w:rsidRDefault="00976358" w:rsidP="00976358">
      <w:pPr>
        <w:pStyle w:val="ListParagraph"/>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Análisis relativo a la información proporcionada</w:t>
      </w:r>
    </w:p>
    <w:p w14:paraId="230EE940" w14:textId="77777777" w:rsidR="00976358" w:rsidRDefault="00976358" w:rsidP="00976358">
      <w:pPr>
        <w:ind w:left="360"/>
        <w:jc w:val="both"/>
        <w:rPr>
          <w:rFonts w:ascii="Cambria" w:hAnsi="Cambria" w:cs="Calibri Light"/>
          <w:b/>
          <w:bCs/>
          <w:sz w:val="20"/>
          <w:szCs w:val="20"/>
          <w:lang w:val="es-ES"/>
        </w:rPr>
      </w:pPr>
    </w:p>
    <w:p w14:paraId="7776B3C4" w14:textId="768C7235" w:rsidR="00976358" w:rsidRPr="00FF70F2" w:rsidRDefault="00357C53" w:rsidP="00976358">
      <w:pPr>
        <w:pStyle w:val="ListParagraph"/>
        <w:numPr>
          <w:ilvl w:val="0"/>
          <w:numId w:val="11"/>
        </w:numPr>
        <w:jc w:val="both"/>
        <w:rPr>
          <w:sz w:val="20"/>
          <w:szCs w:val="20"/>
          <w:lang w:val="es-ES"/>
        </w:rPr>
      </w:pPr>
      <w:r>
        <w:rPr>
          <w:rFonts w:ascii="Cambria" w:hAnsi="Cambria" w:cs="Calibri Light"/>
          <w:sz w:val="20"/>
          <w:szCs w:val="20"/>
          <w:lang w:val="es-ES"/>
        </w:rPr>
        <w:t>A</w:t>
      </w:r>
      <w:r w:rsidR="00976358" w:rsidRPr="45B814BA">
        <w:rPr>
          <w:rFonts w:ascii="Cambria" w:hAnsi="Cambria" w:cs="Calibri Light"/>
          <w:sz w:val="20"/>
          <w:szCs w:val="20"/>
          <w:lang w:val="es-ES"/>
        </w:rPr>
        <w:t>nte la ausencia de información actualizada sobre el nivel de cumplimiento de las recomendaciones, la CIDH reitera, a continuación, el análisis del cumplimiento y las conclusiones realizadas en su Informe Anual 202</w:t>
      </w:r>
      <w:r w:rsidR="00E50058">
        <w:rPr>
          <w:rFonts w:ascii="Cambria" w:hAnsi="Cambria" w:cs="Calibri Light"/>
          <w:sz w:val="20"/>
          <w:szCs w:val="20"/>
          <w:lang w:val="es-ES"/>
        </w:rPr>
        <w:t>1</w:t>
      </w:r>
      <w:r w:rsidR="00976358" w:rsidRPr="45B814BA">
        <w:rPr>
          <w:rFonts w:ascii="Cambria" w:hAnsi="Cambria" w:cs="Calibri Light"/>
          <w:sz w:val="20"/>
          <w:szCs w:val="20"/>
          <w:lang w:val="es-ES"/>
        </w:rPr>
        <w:t>.</w:t>
      </w:r>
    </w:p>
    <w:p w14:paraId="1FDB55D9" w14:textId="77777777" w:rsidR="00976358" w:rsidRPr="007F0542" w:rsidRDefault="00976358" w:rsidP="00976358">
      <w:pPr>
        <w:pStyle w:val="ListParagraph"/>
        <w:ind w:left="0"/>
        <w:jc w:val="both"/>
        <w:rPr>
          <w:rFonts w:ascii="Cambria" w:hAnsi="Cambria" w:cs="Calibri Light"/>
          <w:sz w:val="20"/>
          <w:szCs w:val="20"/>
          <w:lang w:val="es-ES"/>
        </w:rPr>
      </w:pPr>
    </w:p>
    <w:p w14:paraId="566013FB" w14:textId="1ED0B5DD" w:rsidR="00976358" w:rsidRPr="00976358" w:rsidRDefault="00976358" w:rsidP="00976358">
      <w:pPr>
        <w:pStyle w:val="ListParagraph"/>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Análisis sobre el cumplimiento de las recomendaciones</w:t>
      </w:r>
      <w:r>
        <w:rPr>
          <w:rStyle w:val="FootnoteReference"/>
          <w:rFonts w:ascii="Cambria" w:hAnsi="Cambria" w:cs="Calibri Light"/>
          <w:b/>
          <w:bCs/>
          <w:sz w:val="20"/>
          <w:szCs w:val="20"/>
          <w:lang w:val="es-ES"/>
        </w:rPr>
        <w:footnoteReference w:id="1"/>
      </w:r>
    </w:p>
    <w:p w14:paraId="10871270" w14:textId="77777777" w:rsidR="00976358" w:rsidRPr="007F0542" w:rsidRDefault="00976358" w:rsidP="00976358">
      <w:pPr>
        <w:pStyle w:val="ListParagraph"/>
        <w:ind w:left="0"/>
        <w:jc w:val="both"/>
        <w:rPr>
          <w:rFonts w:ascii="Cambria" w:hAnsi="Cambria"/>
          <w:sz w:val="20"/>
          <w:szCs w:val="20"/>
          <w:lang w:val="es-ES"/>
        </w:rPr>
      </w:pPr>
    </w:p>
    <w:p w14:paraId="28DB129A" w14:textId="77777777" w:rsidR="00976358" w:rsidRPr="007F0542" w:rsidRDefault="00976358" w:rsidP="00976358">
      <w:pPr>
        <w:pStyle w:val="ListParagraph"/>
        <w:numPr>
          <w:ilvl w:val="0"/>
          <w:numId w:val="11"/>
        </w:numPr>
        <w:jc w:val="both"/>
        <w:rPr>
          <w:rFonts w:ascii="Cambria" w:hAnsi="Cambria" w:cs="Calibri Light"/>
          <w:b/>
          <w:bCs/>
          <w:sz w:val="20"/>
          <w:szCs w:val="20"/>
          <w:lang w:val="es-ES"/>
        </w:rPr>
      </w:pPr>
      <w:r w:rsidRPr="45B814BA">
        <w:rPr>
          <w:rFonts w:ascii="Cambria" w:hAnsi="Cambria" w:cs="Calibri Light"/>
          <w:b/>
          <w:bCs/>
          <w:sz w:val="20"/>
          <w:szCs w:val="20"/>
          <w:lang w:val="es-ES"/>
        </w:rPr>
        <w:t>En relación con la primera recomendación</w:t>
      </w:r>
      <w:r w:rsidRPr="007F0542">
        <w:rPr>
          <w:rFonts w:ascii="Cambria" w:hAnsi="Cambria" w:cs="Calibri Light"/>
          <w:sz w:val="20"/>
          <w:szCs w:val="20"/>
          <w:lang w:val="es-ES"/>
        </w:rPr>
        <w:t>, en 2015, el Estado su desacuerdo con las conclusiones de la Comisión establecidas en el Informe de Fondo Nº 52/13</w:t>
      </w:r>
      <w:r w:rsidRPr="007F0542">
        <w:rPr>
          <w:rStyle w:val="FootnoteReference"/>
          <w:rFonts w:ascii="Cambria" w:hAnsi="Cambria" w:cs="Calibri Light"/>
          <w:sz w:val="20"/>
          <w:szCs w:val="20"/>
          <w:lang w:val="es-ES"/>
        </w:rPr>
        <w:footnoteReference w:id="2"/>
      </w:r>
      <w:r w:rsidRPr="007F0542">
        <w:rPr>
          <w:rFonts w:ascii="Cambria" w:hAnsi="Cambria" w:cs="Calibri Light"/>
          <w:sz w:val="20"/>
          <w:szCs w:val="20"/>
          <w:lang w:val="es-ES"/>
        </w:rPr>
        <w:t>. En 2020, el Estado reiteró su posición sin presentar nueva información sobre acciones tomadas para dar cumplimiento a esta recomendación</w:t>
      </w:r>
      <w:r w:rsidRPr="007F0542">
        <w:rPr>
          <w:rFonts w:ascii="Cambria" w:eastAsia="MS Mincho" w:hAnsi="Cambria"/>
          <w:sz w:val="20"/>
          <w:szCs w:val="20"/>
          <w:lang w:val="es-AR"/>
        </w:rPr>
        <w:t>.</w:t>
      </w:r>
    </w:p>
    <w:p w14:paraId="77657575" w14:textId="77777777" w:rsidR="00976358" w:rsidRPr="007F0542" w:rsidRDefault="00976358" w:rsidP="00976358">
      <w:pPr>
        <w:pStyle w:val="ListParagraph"/>
        <w:jc w:val="both"/>
        <w:rPr>
          <w:rFonts w:ascii="Cambria" w:hAnsi="Cambria" w:cs="Calibri Light"/>
          <w:sz w:val="20"/>
          <w:szCs w:val="20"/>
          <w:lang w:val="es-ES"/>
        </w:rPr>
      </w:pPr>
    </w:p>
    <w:p w14:paraId="0A580FB4" w14:textId="77777777" w:rsidR="00976358" w:rsidRPr="007F0542" w:rsidRDefault="00976358" w:rsidP="00976358">
      <w:pPr>
        <w:pStyle w:val="ListParagraph"/>
        <w:numPr>
          <w:ilvl w:val="0"/>
          <w:numId w:val="11"/>
        </w:numPr>
        <w:jc w:val="both"/>
        <w:rPr>
          <w:rFonts w:ascii="Cambria" w:hAnsi="Cambria" w:cs="Calibri Light"/>
          <w:sz w:val="20"/>
          <w:szCs w:val="20"/>
          <w:lang w:val="es-ES"/>
        </w:rPr>
      </w:pPr>
      <w:r w:rsidRPr="45B814BA">
        <w:rPr>
          <w:rFonts w:ascii="Cambria" w:hAnsi="Cambria" w:cs="Calibri Light"/>
          <w:sz w:val="20"/>
          <w:szCs w:val="20"/>
          <w:lang w:val="es-ES"/>
        </w:rPr>
        <w:t>En 2018, el peticionario informó que el Estado no ha otorgado reparaciones a los familiares de las víctimas. En 2020, los peticionarios informaron que no contaban con información sobre este caso.</w:t>
      </w:r>
    </w:p>
    <w:p w14:paraId="6F5F2C27" w14:textId="77777777" w:rsidR="00976358" w:rsidRPr="007F0542" w:rsidRDefault="00976358" w:rsidP="00976358">
      <w:pPr>
        <w:ind w:left="720"/>
        <w:rPr>
          <w:rFonts w:ascii="Times New Roman" w:hAnsi="Times New Roman"/>
          <w:lang w:val="es-ES" w:eastAsia="es-ES"/>
        </w:rPr>
      </w:pPr>
    </w:p>
    <w:p w14:paraId="312DC41D" w14:textId="77777777" w:rsidR="00976358" w:rsidRPr="007F0542" w:rsidRDefault="00976358" w:rsidP="00976358">
      <w:pPr>
        <w:numPr>
          <w:ilvl w:val="0"/>
          <w:numId w:val="11"/>
        </w:numPr>
        <w:jc w:val="both"/>
        <w:rPr>
          <w:rFonts w:ascii="Times New Roman" w:hAnsi="Times New Roman"/>
          <w:lang w:val="es-ES" w:eastAsia="es-ES"/>
        </w:rPr>
      </w:pPr>
      <w:r w:rsidRPr="007F0542">
        <w:rPr>
          <w:rFonts w:ascii="Cambria" w:hAnsi="Cambria"/>
          <w:sz w:val="20"/>
          <w:szCs w:val="20"/>
          <w:lang w:val="es-CO"/>
        </w:rPr>
        <w:t>La CIDH recuerda al Estado que, de acuerdo con los principios del Derecho Internacional, todo incumplimiento de una obligación internacional que ocasione un perjuicio da lugar al deber de reparar tal perjuicio de manera adecuada</w:t>
      </w:r>
      <w:r w:rsidRPr="007F0542">
        <w:rPr>
          <w:rStyle w:val="FootnoteReference"/>
          <w:rFonts w:ascii="Cambria" w:hAnsi="Cambria"/>
          <w:sz w:val="20"/>
          <w:szCs w:val="20"/>
          <w:lang w:val="es-CO"/>
        </w:rPr>
        <w:footnoteReference w:id="3"/>
      </w:r>
      <w:r w:rsidRPr="007F0542">
        <w:rPr>
          <w:rFonts w:ascii="Cambria" w:hAnsi="Cambria"/>
          <w:sz w:val="20"/>
          <w:szCs w:val="20"/>
          <w:lang w:val="es-CO"/>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medidas de satisfacción y garantías de no repetición</w:t>
      </w:r>
      <w:r w:rsidRPr="007F0542">
        <w:rPr>
          <w:rStyle w:val="FootnoteReference"/>
          <w:rFonts w:ascii="Cambria" w:hAnsi="Cambria"/>
          <w:sz w:val="20"/>
          <w:szCs w:val="20"/>
          <w:lang w:val="es-CO"/>
        </w:rPr>
        <w:footnoteReference w:id="4"/>
      </w:r>
      <w:r w:rsidRPr="007F0542">
        <w:rPr>
          <w:rFonts w:ascii="Cambria" w:hAnsi="Cambria"/>
          <w:sz w:val="20"/>
          <w:szCs w:val="20"/>
          <w:lang w:val="es-CO"/>
        </w:rPr>
        <w:t>. Además, un Estado no puede recurrir a su derecho interno para modificar esta obligación o hacer caso omiso de ella</w:t>
      </w:r>
      <w:r w:rsidRPr="007F0542">
        <w:rPr>
          <w:rStyle w:val="FootnoteReference"/>
          <w:rFonts w:ascii="Cambria" w:hAnsi="Cambria"/>
          <w:sz w:val="20"/>
          <w:szCs w:val="20"/>
          <w:lang w:val="es-CO"/>
        </w:rPr>
        <w:footnoteReference w:id="5"/>
      </w:r>
      <w:r w:rsidRPr="007F0542">
        <w:rPr>
          <w:rFonts w:ascii="Cambria" w:hAnsi="Cambria"/>
          <w:sz w:val="20"/>
          <w:szCs w:val="20"/>
          <w:lang w:val="es-CO"/>
        </w:rPr>
        <w:t xml:space="preserve">. Por lo anterior, la Comisión considera que la Recomendación 1 se encuentra pendiente de cumplimiento. </w:t>
      </w:r>
    </w:p>
    <w:p w14:paraId="43C94E66" w14:textId="77777777" w:rsidR="00976358" w:rsidRPr="007F0542" w:rsidRDefault="00976358" w:rsidP="00976358">
      <w:pPr>
        <w:pStyle w:val="ListParagraph"/>
        <w:jc w:val="both"/>
        <w:rPr>
          <w:rFonts w:ascii="Cambria" w:hAnsi="Cambria" w:cs="Calibri Light"/>
          <w:b/>
          <w:bCs/>
          <w:sz w:val="20"/>
          <w:szCs w:val="20"/>
          <w:lang w:val="es-ES"/>
        </w:rPr>
      </w:pPr>
    </w:p>
    <w:p w14:paraId="1CD16BEF" w14:textId="77777777" w:rsidR="00976358" w:rsidRPr="007F0542" w:rsidRDefault="00976358" w:rsidP="00976358">
      <w:pPr>
        <w:pStyle w:val="ListParagraph"/>
        <w:numPr>
          <w:ilvl w:val="0"/>
          <w:numId w:val="11"/>
        </w:numPr>
        <w:jc w:val="both"/>
        <w:rPr>
          <w:rFonts w:ascii="Cambria" w:hAnsi="Cambria" w:cs="Calibri Light"/>
          <w:b/>
          <w:bCs/>
          <w:sz w:val="20"/>
          <w:szCs w:val="20"/>
          <w:lang w:val="es-ES"/>
        </w:rPr>
      </w:pPr>
      <w:r w:rsidRPr="45B814BA">
        <w:rPr>
          <w:rFonts w:ascii="Cambria" w:hAnsi="Cambria" w:cs="Calibri Light"/>
          <w:b/>
          <w:bCs/>
          <w:sz w:val="20"/>
          <w:szCs w:val="20"/>
          <w:lang w:val="es-ES"/>
        </w:rPr>
        <w:t>Con respecto a las Recomendaciones 2 a 10</w:t>
      </w:r>
      <w:r w:rsidRPr="007F0542">
        <w:rPr>
          <w:rFonts w:ascii="Cambria" w:hAnsi="Cambria" w:cs="Calibri Light"/>
          <w:sz w:val="20"/>
          <w:szCs w:val="20"/>
          <w:lang w:val="es-ES"/>
        </w:rPr>
        <w:t>, en 2015, el Estado expresó su desacuerdo con las conclusiones de la Comisión establecidas en el Informe de Fondo Nº 52/13</w:t>
      </w:r>
      <w:r w:rsidRPr="007F0542">
        <w:rPr>
          <w:rStyle w:val="FootnoteReference"/>
          <w:rFonts w:ascii="Cambria" w:hAnsi="Cambria" w:cs="Calibri Light"/>
          <w:sz w:val="20"/>
          <w:szCs w:val="20"/>
          <w:lang w:val="es-ES"/>
        </w:rPr>
        <w:footnoteReference w:id="6"/>
      </w:r>
      <w:r w:rsidRPr="007F0542">
        <w:rPr>
          <w:rFonts w:ascii="Cambria" w:hAnsi="Cambria" w:cs="Calibri Light"/>
          <w:sz w:val="20"/>
          <w:szCs w:val="20"/>
          <w:lang w:val="es-ES"/>
        </w:rPr>
        <w:t xml:space="preserve">. En 2020, el </w:t>
      </w:r>
      <w:r w:rsidRPr="007F0542">
        <w:rPr>
          <w:rFonts w:ascii="Cambria" w:eastAsia="MS Mincho" w:hAnsi="Cambria"/>
          <w:sz w:val="20"/>
          <w:szCs w:val="20"/>
          <w:lang w:val="es-AR"/>
        </w:rPr>
        <w:t>Estado reiteró sus respuestas anteriores sobre este informe de fondo, sin indicar esfuerzo alguno emprendido este año a fin de cumplir con las recomendaciones de la CIDH.</w:t>
      </w:r>
    </w:p>
    <w:p w14:paraId="2926713D" w14:textId="77777777" w:rsidR="00976358" w:rsidRPr="007F0542" w:rsidRDefault="00976358" w:rsidP="00976358">
      <w:pPr>
        <w:pStyle w:val="ListParagraph"/>
        <w:ind w:left="0"/>
        <w:jc w:val="both"/>
        <w:rPr>
          <w:rFonts w:ascii="Cambria" w:hAnsi="Cambria" w:cs="Calibri Light"/>
          <w:b/>
          <w:bCs/>
          <w:sz w:val="20"/>
          <w:szCs w:val="20"/>
          <w:lang w:val="es-ES"/>
        </w:rPr>
      </w:pPr>
    </w:p>
    <w:p w14:paraId="42D2FA97" w14:textId="77777777" w:rsidR="00976358" w:rsidRPr="007F0542" w:rsidRDefault="00976358" w:rsidP="00976358">
      <w:pPr>
        <w:pStyle w:val="ListParagraph"/>
        <w:numPr>
          <w:ilvl w:val="0"/>
          <w:numId w:val="11"/>
        </w:numPr>
        <w:jc w:val="both"/>
        <w:rPr>
          <w:rFonts w:ascii="Cambria" w:hAnsi="Cambria" w:cs="Calibri Light"/>
          <w:sz w:val="20"/>
          <w:szCs w:val="20"/>
          <w:lang w:val="es-ES"/>
        </w:rPr>
      </w:pPr>
      <w:r w:rsidRPr="45B814BA">
        <w:rPr>
          <w:rFonts w:ascii="Cambria" w:hAnsi="Cambria" w:cs="Calibri Light"/>
          <w:sz w:val="20"/>
          <w:szCs w:val="20"/>
          <w:lang w:val="es-ES"/>
        </w:rPr>
        <w:t xml:space="preserve">Los peticionarios no han presentado información sobre las acciones adoptadas por el Estado para cumplir con estas recomendaciones. </w:t>
      </w:r>
    </w:p>
    <w:p w14:paraId="32E44CFF" w14:textId="77777777" w:rsidR="00976358" w:rsidRPr="007F0542" w:rsidRDefault="00976358" w:rsidP="00976358">
      <w:pPr>
        <w:pStyle w:val="ListParagraph"/>
        <w:jc w:val="both"/>
        <w:rPr>
          <w:rFonts w:ascii="Cambria" w:hAnsi="Cambria" w:cs="Calibri Light"/>
          <w:b/>
          <w:bCs/>
          <w:sz w:val="20"/>
          <w:szCs w:val="20"/>
          <w:lang w:val="es-ES"/>
        </w:rPr>
      </w:pPr>
    </w:p>
    <w:p w14:paraId="541A9266" w14:textId="77777777" w:rsidR="00976358" w:rsidRPr="00976358" w:rsidRDefault="00976358" w:rsidP="00976358">
      <w:pPr>
        <w:pStyle w:val="ListParagraph"/>
        <w:numPr>
          <w:ilvl w:val="0"/>
          <w:numId w:val="11"/>
        </w:numPr>
        <w:jc w:val="both"/>
        <w:rPr>
          <w:rFonts w:ascii="Cambria" w:hAnsi="Cambria"/>
          <w:sz w:val="20"/>
          <w:szCs w:val="20"/>
          <w:lang w:val="es-ES"/>
        </w:rPr>
      </w:pPr>
      <w:r w:rsidRPr="45B814BA">
        <w:rPr>
          <w:rFonts w:ascii="Cambria" w:hAnsi="Cambria" w:cs="Calibri Light"/>
          <w:sz w:val="20"/>
          <w:szCs w:val="20"/>
          <w:lang w:val="es-ES"/>
        </w:rPr>
        <w:t>Por lo anterior, la Comisión considera que Recomendaciones 2 a 10 se encuentran pendientes de cumplimiento.</w:t>
      </w:r>
    </w:p>
    <w:p w14:paraId="1A6F4745" w14:textId="77777777" w:rsidR="00976358" w:rsidRPr="00976358" w:rsidRDefault="00976358" w:rsidP="00976358">
      <w:pPr>
        <w:pStyle w:val="ListParagraph"/>
        <w:rPr>
          <w:rFonts w:ascii="Cambria" w:hAnsi="Cambria" w:cs="Calibri Light"/>
          <w:b/>
          <w:bCs/>
          <w:sz w:val="20"/>
          <w:szCs w:val="20"/>
          <w:lang w:val="es-ES"/>
        </w:rPr>
      </w:pPr>
    </w:p>
    <w:p w14:paraId="4158C75D" w14:textId="2F0E3AB7" w:rsidR="00976358" w:rsidRPr="00976358" w:rsidRDefault="00976358" w:rsidP="00976358">
      <w:pPr>
        <w:pStyle w:val="ListParagraph"/>
        <w:numPr>
          <w:ilvl w:val="0"/>
          <w:numId w:val="8"/>
        </w:numPr>
        <w:ind w:hanging="360"/>
        <w:jc w:val="both"/>
        <w:rPr>
          <w:rFonts w:ascii="Cambria" w:hAnsi="Cambria"/>
          <w:sz w:val="20"/>
          <w:szCs w:val="20"/>
          <w:lang w:val="es-ES"/>
        </w:rPr>
      </w:pPr>
      <w:r w:rsidRPr="00976358">
        <w:rPr>
          <w:rFonts w:ascii="Cambria" w:hAnsi="Cambria" w:cs="Calibri Light"/>
          <w:b/>
          <w:bCs/>
          <w:sz w:val="20"/>
          <w:szCs w:val="20"/>
          <w:lang w:val="es-ES"/>
        </w:rPr>
        <w:t xml:space="preserve">Nivel del cumplimiento del caso  </w:t>
      </w:r>
    </w:p>
    <w:p w14:paraId="05E52350" w14:textId="77777777" w:rsidR="00976358" w:rsidRPr="007F0542" w:rsidRDefault="00976358" w:rsidP="00976358">
      <w:pPr>
        <w:jc w:val="both"/>
        <w:rPr>
          <w:rFonts w:ascii="Cambria" w:hAnsi="Cambria" w:cs="Calibri Light"/>
          <w:sz w:val="20"/>
          <w:szCs w:val="20"/>
          <w:lang w:val="es-ES"/>
        </w:rPr>
      </w:pPr>
    </w:p>
    <w:p w14:paraId="42887673" w14:textId="77777777" w:rsidR="00976358" w:rsidRPr="007F0542" w:rsidRDefault="00976358" w:rsidP="00976358">
      <w:pPr>
        <w:pStyle w:val="ListParagraph"/>
        <w:numPr>
          <w:ilvl w:val="0"/>
          <w:numId w:val="11"/>
        </w:numPr>
        <w:jc w:val="both"/>
        <w:rPr>
          <w:rFonts w:ascii="Cambria" w:hAnsi="Cambria"/>
          <w:sz w:val="20"/>
          <w:szCs w:val="20"/>
          <w:lang w:val="es-ES"/>
        </w:rPr>
      </w:pPr>
      <w:r w:rsidRPr="45B814BA">
        <w:rPr>
          <w:rFonts w:ascii="Cambria" w:hAnsi="Cambria" w:cs="Calibri Light"/>
          <w:sz w:val="20"/>
          <w:szCs w:val="20"/>
          <w:lang w:val="es-ES"/>
        </w:rPr>
        <w:t xml:space="preserve">En virtud de lo anterior, la CIDH concluye que el nivel de cumplimiento del caso es pendiente. En consecuencia, la Comisión continuará supervisando el cumplimiento de las Recomendaciones 1 a 9. </w:t>
      </w:r>
    </w:p>
    <w:p w14:paraId="0834F113" w14:textId="77777777" w:rsidR="00976358" w:rsidRPr="007F0542" w:rsidRDefault="00976358" w:rsidP="00976358">
      <w:pPr>
        <w:pStyle w:val="ListParagraph"/>
        <w:jc w:val="both"/>
        <w:rPr>
          <w:rFonts w:ascii="Cambria" w:hAnsi="Cambria"/>
          <w:sz w:val="20"/>
          <w:szCs w:val="20"/>
          <w:lang w:val="es-ES"/>
        </w:rPr>
      </w:pPr>
    </w:p>
    <w:p w14:paraId="72110A77" w14:textId="77777777" w:rsidR="00976358" w:rsidRPr="007F0542" w:rsidRDefault="00976358" w:rsidP="00976358">
      <w:pPr>
        <w:pStyle w:val="ListParagraph"/>
        <w:numPr>
          <w:ilvl w:val="0"/>
          <w:numId w:val="11"/>
        </w:numPr>
        <w:jc w:val="both"/>
        <w:rPr>
          <w:rFonts w:ascii="Cambria" w:hAnsi="Cambria"/>
          <w:sz w:val="20"/>
          <w:szCs w:val="20"/>
          <w:lang w:val="es-ES"/>
        </w:rPr>
      </w:pPr>
      <w:r w:rsidRPr="45B814BA">
        <w:rPr>
          <w:rFonts w:ascii="Cambria" w:hAnsi="Cambria"/>
          <w:sz w:val="20"/>
          <w:szCs w:val="20"/>
          <w:lang w:val="es-ES"/>
        </w:rPr>
        <w:t xml:space="preserve">La CIDH insta al Estado a adoptar las medidas necesarias cumplir con las recomendaciones emitidas en el Informe de Fondo Nº 52/13, así como </w:t>
      </w:r>
      <w:r w:rsidRPr="45B814BA">
        <w:rPr>
          <w:rFonts w:ascii="Cambria" w:hAnsi="Cambria" w:cs="Calibri Light"/>
          <w:sz w:val="20"/>
          <w:szCs w:val="20"/>
          <w:lang w:val="es-ES"/>
        </w:rPr>
        <w:t>a proporcionar información actualizada y detallada sobre dichas medidas a la Comisión.</w:t>
      </w:r>
    </w:p>
    <w:p w14:paraId="12CB69A6" w14:textId="77777777" w:rsidR="00976358" w:rsidRPr="007F0542" w:rsidRDefault="00976358" w:rsidP="00976358">
      <w:pPr>
        <w:jc w:val="both"/>
        <w:rPr>
          <w:rFonts w:ascii="Cambria" w:hAnsi="Cambria"/>
          <w:sz w:val="20"/>
          <w:szCs w:val="20"/>
          <w:lang w:val="es-ES"/>
        </w:rPr>
      </w:pPr>
    </w:p>
    <w:p w14:paraId="20A0C6DF" w14:textId="77777777" w:rsidR="00976358" w:rsidRPr="007F0542" w:rsidRDefault="00976358" w:rsidP="00976358">
      <w:pPr>
        <w:pStyle w:val="ListParagraph"/>
        <w:numPr>
          <w:ilvl w:val="0"/>
          <w:numId w:val="8"/>
        </w:numPr>
        <w:ind w:left="1440"/>
        <w:jc w:val="both"/>
        <w:rPr>
          <w:rFonts w:ascii="Cambria" w:hAnsi="Cambria"/>
          <w:b/>
          <w:bCs/>
          <w:sz w:val="20"/>
          <w:szCs w:val="20"/>
          <w:lang w:val="es-ES"/>
        </w:rPr>
      </w:pPr>
      <w:r w:rsidRPr="45B814BA">
        <w:rPr>
          <w:rFonts w:ascii="Cambria" w:hAnsi="Cambria"/>
          <w:b/>
          <w:bCs/>
          <w:sz w:val="20"/>
          <w:szCs w:val="20"/>
          <w:lang w:val="es-ES"/>
        </w:rPr>
        <w:t xml:space="preserve">Resultados individuales y estructurales del caso </w:t>
      </w:r>
    </w:p>
    <w:p w14:paraId="52FA0A04" w14:textId="77777777" w:rsidR="00976358" w:rsidRPr="007F0542" w:rsidRDefault="00976358" w:rsidP="00976358">
      <w:pPr>
        <w:jc w:val="both"/>
        <w:rPr>
          <w:rFonts w:ascii="Cambria" w:hAnsi="Cambria"/>
          <w:b/>
          <w:bCs/>
          <w:sz w:val="20"/>
          <w:szCs w:val="20"/>
          <w:lang w:val="es-ES"/>
        </w:rPr>
      </w:pPr>
    </w:p>
    <w:p w14:paraId="5D5F0D59" w14:textId="77777777" w:rsidR="00976358" w:rsidRPr="007F0542" w:rsidRDefault="00976358" w:rsidP="00976358">
      <w:pPr>
        <w:pStyle w:val="ListParagraph"/>
        <w:numPr>
          <w:ilvl w:val="0"/>
          <w:numId w:val="11"/>
        </w:numPr>
        <w:jc w:val="both"/>
        <w:rPr>
          <w:rFonts w:ascii="Cambria" w:hAnsi="Cambria"/>
          <w:sz w:val="20"/>
          <w:szCs w:val="20"/>
          <w:lang w:val="es-ES"/>
        </w:rPr>
      </w:pPr>
      <w:r w:rsidRPr="45B814BA">
        <w:rPr>
          <w:rFonts w:ascii="Cambria" w:hAnsi="Cambria"/>
          <w:sz w:val="20"/>
          <w:szCs w:val="20"/>
          <w:lang w:val="es-ES"/>
        </w:rPr>
        <w:t xml:space="preserve">Dado que el caso está pendiente de cumplimiento, no hay resultados individuales o estructurales que hayan sido informados por las partes. </w:t>
      </w:r>
    </w:p>
    <w:p w14:paraId="0D2F28D7" w14:textId="47DD942F" w:rsidR="00CC71C2" w:rsidRPr="00760383" w:rsidRDefault="00CC71C2" w:rsidP="00760383">
      <w:pPr>
        <w:jc w:val="both"/>
        <w:rPr>
          <w:rFonts w:ascii="Cambria" w:hAnsi="Cambria"/>
          <w:sz w:val="20"/>
          <w:szCs w:val="20"/>
          <w:lang w:val="es-ES"/>
        </w:rPr>
      </w:pPr>
    </w:p>
    <w:p w14:paraId="4762A68D" w14:textId="77777777" w:rsidR="00CC71C2" w:rsidRPr="004F4ED3" w:rsidRDefault="00CC71C2" w:rsidP="00CC71C2">
      <w:pPr>
        <w:pStyle w:val="ListParagraph"/>
        <w:jc w:val="both"/>
        <w:rPr>
          <w:rFonts w:ascii="Cambria" w:hAnsi="Cambria" w:cs="Calibri Light"/>
          <w:sz w:val="20"/>
          <w:szCs w:val="20"/>
          <w:lang w:val="es-ES"/>
        </w:rPr>
      </w:pPr>
    </w:p>
    <w:p w14:paraId="1FC993A3" w14:textId="77777777" w:rsidR="00CC71C2" w:rsidRPr="00760383" w:rsidRDefault="00CC71C2" w:rsidP="00760383">
      <w:pPr>
        <w:jc w:val="both"/>
        <w:rPr>
          <w:rFonts w:ascii="Cambria" w:hAnsi="Cambria"/>
          <w:sz w:val="20"/>
          <w:szCs w:val="20"/>
          <w:lang w:val="es-ES"/>
        </w:rPr>
      </w:pPr>
    </w:p>
    <w:p w14:paraId="1331AA29" w14:textId="77777777" w:rsidR="00CC71C2" w:rsidRPr="00A07BBB" w:rsidRDefault="00CC71C2" w:rsidP="00CC71C2">
      <w:pPr>
        <w:rPr>
          <w:lang w:val="es-ES"/>
        </w:rPr>
      </w:pPr>
    </w:p>
    <w:p w14:paraId="7359A77B" w14:textId="77777777" w:rsidR="00CC71C2" w:rsidRPr="00662A17" w:rsidRDefault="00CC71C2" w:rsidP="00CC71C2">
      <w:pPr>
        <w:rPr>
          <w:lang w:val="es-ES"/>
        </w:rPr>
      </w:pPr>
    </w:p>
    <w:p w14:paraId="36C5C1B1" w14:textId="77777777" w:rsidR="00555D95" w:rsidRDefault="00555D95" w:rsidP="00555D95">
      <w:pPr>
        <w:jc w:val="both"/>
        <w:rPr>
          <w:rFonts w:ascii="Cambria" w:hAnsi="Cambria" w:cs="Calibri Light"/>
          <w:b/>
          <w:bCs/>
          <w:sz w:val="20"/>
          <w:szCs w:val="20"/>
          <w:lang w:val="es-ES"/>
        </w:rPr>
      </w:pPr>
    </w:p>
    <w:p w14:paraId="0D424A51" w14:textId="77777777" w:rsidR="007E3B6C" w:rsidRPr="008B610B" w:rsidRDefault="007E3B6C" w:rsidP="007E3B6C">
      <w:pPr>
        <w:pStyle w:val="ListParagraph"/>
        <w:jc w:val="both"/>
        <w:rPr>
          <w:rFonts w:ascii="Cambria" w:hAnsi="Cambria" w:cs="Calibri Light"/>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636E" w14:textId="77777777" w:rsidR="00A24F6E" w:rsidRDefault="00A24F6E" w:rsidP="00672733">
      <w:r>
        <w:separator/>
      </w:r>
    </w:p>
  </w:endnote>
  <w:endnote w:type="continuationSeparator" w:id="0">
    <w:p w14:paraId="04AFE6FB" w14:textId="77777777" w:rsidR="00A24F6E" w:rsidRDefault="00A24F6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E558" w14:textId="77777777" w:rsidR="00A24F6E" w:rsidRDefault="00A24F6E" w:rsidP="00672733">
      <w:r>
        <w:separator/>
      </w:r>
    </w:p>
  </w:footnote>
  <w:footnote w:type="continuationSeparator" w:id="0">
    <w:p w14:paraId="47032403" w14:textId="77777777" w:rsidR="00A24F6E" w:rsidRDefault="00A24F6E" w:rsidP="00672733">
      <w:r>
        <w:continuationSeparator/>
      </w:r>
    </w:p>
  </w:footnote>
  <w:footnote w:id="1">
    <w:p w14:paraId="3EEB5F86" w14:textId="77777777" w:rsidR="00976358" w:rsidRDefault="00976358" w:rsidP="00976358">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66BC5B43" w14:textId="77777777" w:rsidR="00976358" w:rsidRPr="00DB1FFE" w:rsidRDefault="00976358" w:rsidP="00976358">
      <w:pPr>
        <w:pStyle w:val="FootnoteText"/>
        <w:jc w:val="both"/>
        <w:rPr>
          <w:rFonts w:ascii="Cambria" w:hAnsi="Cambria"/>
          <w:sz w:val="16"/>
          <w:szCs w:val="16"/>
          <w:lang w:val="es-US"/>
        </w:rPr>
      </w:pPr>
    </w:p>
  </w:footnote>
  <w:footnote w:id="2">
    <w:p w14:paraId="24E30893" w14:textId="77777777" w:rsidR="00976358" w:rsidRPr="0021271E" w:rsidRDefault="00976358" w:rsidP="00976358">
      <w:pPr>
        <w:pStyle w:val="Heading1"/>
        <w:spacing w:after="120"/>
        <w:ind w:firstLine="720"/>
        <w:rPr>
          <w:rFonts w:ascii="Cambria" w:hAnsi="Cambria"/>
          <w:bCs/>
          <w:sz w:val="16"/>
          <w:szCs w:val="16"/>
          <w:lang w:val="es-ES"/>
        </w:rPr>
      </w:pPr>
      <w:r w:rsidRPr="0021271E">
        <w:rPr>
          <w:rStyle w:val="FootnoteReference"/>
          <w:rFonts w:ascii="Cambria" w:hAnsi="Cambria"/>
          <w:bCs/>
          <w:color w:val="000000" w:themeColor="text1"/>
          <w:sz w:val="16"/>
          <w:szCs w:val="16"/>
        </w:rPr>
        <w:footnoteRef/>
      </w:r>
      <w:r w:rsidRPr="0021271E">
        <w:rPr>
          <w:rFonts w:ascii="Cambria" w:hAnsi="Cambria"/>
          <w:bCs/>
          <w:color w:val="000000" w:themeColor="text1"/>
          <w:sz w:val="16"/>
          <w:szCs w:val="16"/>
          <w:lang w:val="es-ES"/>
        </w:rPr>
        <w:t xml:space="preserve"> CIDH, Informe Anual 2017, </w:t>
      </w:r>
      <w:hyperlink r:id="rId2" w:history="1">
        <w:r w:rsidRPr="0021271E">
          <w:rPr>
            <w:rStyle w:val="Hyperlink"/>
            <w:rFonts w:ascii="Cambria" w:hAnsi="Cambria"/>
            <w:bCs/>
            <w:color w:val="000000" w:themeColor="text1"/>
            <w:sz w:val="16"/>
            <w:szCs w:val="16"/>
            <w:lang w:val="es-ES"/>
          </w:rPr>
          <w:t>Capítulo II, Sección F: Estado del cumplimiento de las recomendaciones de la CIDH</w:t>
        </w:r>
      </w:hyperlink>
      <w:r w:rsidRPr="0021271E">
        <w:rPr>
          <w:rFonts w:ascii="Cambria" w:hAnsi="Cambria"/>
          <w:bCs/>
          <w:color w:val="000000" w:themeColor="text1"/>
          <w:sz w:val="16"/>
          <w:szCs w:val="16"/>
          <w:lang w:val="es-ES"/>
        </w:rPr>
        <w:t xml:space="preserve">, párr. 1295. </w:t>
      </w:r>
    </w:p>
  </w:footnote>
  <w:footnote w:id="3">
    <w:p w14:paraId="34CCB0D1" w14:textId="77777777" w:rsidR="00976358" w:rsidRPr="0021271E" w:rsidRDefault="00976358" w:rsidP="00976358">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Corte IDH, </w:t>
      </w:r>
      <w:hyperlink r:id="rId3" w:history="1">
        <w:r w:rsidRPr="0021271E">
          <w:rPr>
            <w:rStyle w:val="Hyperlink"/>
            <w:rFonts w:ascii="Cambria" w:hAnsi="Cambria"/>
            <w:bCs/>
            <w:sz w:val="16"/>
            <w:szCs w:val="16"/>
            <w:lang w:val="es-ES"/>
          </w:rPr>
          <w:t>Caso La Cantuta Vs. Perú, Sentencia de 29 de noviembre de 2006</w:t>
        </w:r>
      </w:hyperlink>
      <w:r w:rsidRPr="0021271E">
        <w:rPr>
          <w:rFonts w:ascii="Cambria" w:hAnsi="Cambria"/>
          <w:bCs/>
          <w:sz w:val="16"/>
          <w:szCs w:val="16"/>
          <w:lang w:val="es-ES"/>
        </w:rPr>
        <w:t xml:space="preserve">. Serie C No. 162, párrs. 199-200. </w:t>
      </w:r>
    </w:p>
  </w:footnote>
  <w:footnote w:id="4">
    <w:p w14:paraId="2BA80B5B" w14:textId="77777777" w:rsidR="00976358" w:rsidRPr="0021271E" w:rsidRDefault="00976358" w:rsidP="00976358">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CIDH</w:t>
      </w:r>
      <w:hyperlink r:id="rId4" w:history="1">
        <w:r w:rsidRPr="0021271E">
          <w:rPr>
            <w:rStyle w:val="Hyperlink"/>
            <w:rFonts w:ascii="Cambria" w:hAnsi="Cambria"/>
            <w:bCs/>
            <w:sz w:val="16"/>
            <w:szCs w:val="16"/>
            <w:lang w:val="es-ES"/>
          </w:rPr>
          <w:t>, Lineamientos principales para una política integral de reparaciones</w:t>
        </w:r>
      </w:hyperlink>
      <w:r w:rsidRPr="0021271E">
        <w:rPr>
          <w:rFonts w:ascii="Cambria" w:hAnsi="Cambria"/>
          <w:bCs/>
          <w:sz w:val="16"/>
          <w:szCs w:val="16"/>
          <w:lang w:val="es-ES"/>
        </w:rPr>
        <w:t xml:space="preserve">, 19 de febrero de 2008, OEA/Ser/L/V/II.131, doc. 1, párr. 1; Asamblea General de las Naciones Unidas, </w:t>
      </w:r>
      <w:hyperlink r:id="rId5" w:history="1">
        <w:r w:rsidRPr="0021271E">
          <w:rPr>
            <w:rStyle w:val="Hyperlink"/>
            <w:rFonts w:ascii="Cambria" w:hAnsi="Cambria"/>
            <w:bCs/>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1271E">
        <w:rPr>
          <w:rFonts w:ascii="Cambria" w:hAnsi="Cambria"/>
          <w:bCs/>
          <w:sz w:val="16"/>
          <w:szCs w:val="16"/>
          <w:lang w:val="es-ES"/>
        </w:rPr>
        <w:t xml:space="preserve">, 16 de diciembre de 2005. </w:t>
      </w:r>
    </w:p>
  </w:footnote>
  <w:footnote w:id="5">
    <w:p w14:paraId="68C87C32" w14:textId="77777777" w:rsidR="00976358" w:rsidRPr="0021271E" w:rsidRDefault="00976358" w:rsidP="00976358">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Corte IDH, </w:t>
      </w:r>
      <w:hyperlink r:id="rId6" w:history="1">
        <w:r w:rsidRPr="0021271E">
          <w:rPr>
            <w:rStyle w:val="Hyperlink"/>
            <w:rFonts w:ascii="Cambria" w:hAnsi="Cambria"/>
            <w:bCs/>
            <w:sz w:val="16"/>
            <w:szCs w:val="16"/>
            <w:lang w:val="es-ES"/>
          </w:rPr>
          <w:t>Caso La Cantuta Vs. Perú, Sentencia de 29 de noviembre de 2006</w:t>
        </w:r>
      </w:hyperlink>
      <w:r w:rsidRPr="0021271E">
        <w:rPr>
          <w:rFonts w:ascii="Cambria" w:hAnsi="Cambria"/>
          <w:bCs/>
          <w:sz w:val="16"/>
          <w:szCs w:val="16"/>
          <w:lang w:val="es-ES"/>
        </w:rPr>
        <w:t>. Serie C No. 162, párr. 200.</w:t>
      </w:r>
    </w:p>
  </w:footnote>
  <w:footnote w:id="6">
    <w:p w14:paraId="6E5177B5" w14:textId="77777777" w:rsidR="00976358" w:rsidRPr="00A743BC" w:rsidRDefault="00976358" w:rsidP="00976358">
      <w:pPr>
        <w:pStyle w:val="Heading1"/>
        <w:spacing w:after="120"/>
        <w:ind w:firstLine="720"/>
        <w:rPr>
          <w:lang w:val="es-US"/>
        </w:rPr>
      </w:pPr>
      <w:r w:rsidRPr="0021271E">
        <w:rPr>
          <w:rStyle w:val="FootnoteReference"/>
          <w:rFonts w:ascii="Cambria" w:hAnsi="Cambria"/>
          <w:bCs/>
          <w:color w:val="000000" w:themeColor="text1"/>
          <w:sz w:val="16"/>
          <w:szCs w:val="16"/>
        </w:rPr>
        <w:footnoteRef/>
      </w:r>
      <w:r w:rsidRPr="0021271E">
        <w:rPr>
          <w:rFonts w:ascii="Cambria" w:hAnsi="Cambria"/>
          <w:bCs/>
          <w:color w:val="000000" w:themeColor="text1"/>
          <w:sz w:val="16"/>
          <w:szCs w:val="16"/>
          <w:lang w:val="es-ES"/>
        </w:rPr>
        <w:t xml:space="preserve"> CIDH, Informe Anual 2017, </w:t>
      </w:r>
      <w:hyperlink r:id="rId7" w:history="1">
        <w:r w:rsidRPr="0021271E">
          <w:rPr>
            <w:rStyle w:val="Hyperlink"/>
            <w:rFonts w:ascii="Cambria" w:hAnsi="Cambria"/>
            <w:bCs/>
            <w:color w:val="000000" w:themeColor="text1"/>
            <w:sz w:val="16"/>
            <w:szCs w:val="16"/>
            <w:lang w:val="es-ES"/>
          </w:rPr>
          <w:t>Capítulo II, Sección F: Estado del cumplimiento de las recomendaciones de la CIDH</w:t>
        </w:r>
      </w:hyperlink>
      <w:r w:rsidRPr="0021271E">
        <w:rPr>
          <w:rFonts w:ascii="Cambria" w:hAnsi="Cambria"/>
          <w:bCs/>
          <w:color w:val="000000" w:themeColor="text1"/>
          <w:sz w:val="16"/>
          <w:szCs w:val="16"/>
          <w:lang w:val="es-ES"/>
        </w:rPr>
        <w:t xml:space="preserve">, párr. </w:t>
      </w:r>
      <w:r w:rsidRPr="00A743BC">
        <w:rPr>
          <w:rFonts w:ascii="Cambria" w:hAnsi="Cambria"/>
          <w:bCs/>
          <w:color w:val="000000" w:themeColor="text1"/>
          <w:sz w:val="16"/>
          <w:szCs w:val="16"/>
          <w:lang w:val="es-US"/>
        </w:rPr>
        <w:t>1295.</w:t>
      </w:r>
      <w:r w:rsidRPr="00A743BC">
        <w:rPr>
          <w:color w:val="000000" w:themeColor="text1"/>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62E8F92C"/>
    <w:lvl w:ilvl="0" w:tplc="BDEEE27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7"/>
  </w:num>
  <w:num w:numId="2" w16cid:durableId="426849189">
    <w:abstractNumId w:val="13"/>
  </w:num>
  <w:num w:numId="3" w16cid:durableId="978146478">
    <w:abstractNumId w:val="10"/>
  </w:num>
  <w:num w:numId="4" w16cid:durableId="446504039">
    <w:abstractNumId w:val="4"/>
  </w:num>
  <w:num w:numId="5" w16cid:durableId="2048992643">
    <w:abstractNumId w:val="3"/>
  </w:num>
  <w:num w:numId="6" w16cid:durableId="491221110">
    <w:abstractNumId w:val="5"/>
  </w:num>
  <w:num w:numId="7" w16cid:durableId="1982153750">
    <w:abstractNumId w:val="1"/>
  </w:num>
  <w:num w:numId="8" w16cid:durableId="1481655037">
    <w:abstractNumId w:val="9"/>
  </w:num>
  <w:num w:numId="9" w16cid:durableId="854658852">
    <w:abstractNumId w:val="2"/>
  </w:num>
  <w:num w:numId="10" w16cid:durableId="211579222">
    <w:abstractNumId w:val="12"/>
  </w:num>
  <w:num w:numId="11" w16cid:durableId="1101989703">
    <w:abstractNumId w:val="8"/>
  </w:num>
  <w:num w:numId="12" w16cid:durableId="89592199">
    <w:abstractNumId w:val="0"/>
  </w:num>
  <w:num w:numId="13" w16cid:durableId="1050570664">
    <w:abstractNumId w:val="11"/>
  </w:num>
  <w:num w:numId="14" w16cid:durableId="1362974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322720"/>
    <w:rsid w:val="00326C88"/>
    <w:rsid w:val="00356BC9"/>
    <w:rsid w:val="00357C53"/>
    <w:rsid w:val="00384DB4"/>
    <w:rsid w:val="00453115"/>
    <w:rsid w:val="004758C9"/>
    <w:rsid w:val="0048723C"/>
    <w:rsid w:val="00500FDE"/>
    <w:rsid w:val="00506416"/>
    <w:rsid w:val="00555D95"/>
    <w:rsid w:val="00566CD0"/>
    <w:rsid w:val="00637ED3"/>
    <w:rsid w:val="006638E5"/>
    <w:rsid w:val="00672733"/>
    <w:rsid w:val="006A64EE"/>
    <w:rsid w:val="006B1F24"/>
    <w:rsid w:val="00760383"/>
    <w:rsid w:val="007C4DCE"/>
    <w:rsid w:val="007E3B6C"/>
    <w:rsid w:val="008463D3"/>
    <w:rsid w:val="008818B0"/>
    <w:rsid w:val="008861D6"/>
    <w:rsid w:val="00976358"/>
    <w:rsid w:val="00A24F6E"/>
    <w:rsid w:val="00A80674"/>
    <w:rsid w:val="00AE2642"/>
    <w:rsid w:val="00B73DB1"/>
    <w:rsid w:val="00BD17B0"/>
    <w:rsid w:val="00BF507E"/>
    <w:rsid w:val="00BF7A78"/>
    <w:rsid w:val="00C2563E"/>
    <w:rsid w:val="00CC2205"/>
    <w:rsid w:val="00CC71C2"/>
    <w:rsid w:val="00CF41DC"/>
    <w:rsid w:val="00D51C1F"/>
    <w:rsid w:val="00D56DC4"/>
    <w:rsid w:val="00E042FE"/>
    <w:rsid w:val="00E50058"/>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976358"/>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s.org/es/cidh/decisiones/2011/USAAD12333ES.DOC" TargetMode="External"/><Relationship Id="rId18" Type="http://schemas.openxmlformats.org/officeDocument/2006/relationships/hyperlink" Target="http://www.cidh.org/medidas/2004.sp.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idh.org/medidas/2005.sp.htm" TargetMode="External"/><Relationship Id="rId7" Type="http://schemas.openxmlformats.org/officeDocument/2006/relationships/settings" Target="settings.xml"/><Relationship Id="rId12" Type="http://schemas.openxmlformats.org/officeDocument/2006/relationships/hyperlink" Target="http://www.oas.org/es/cidh/decisiones/2011/USAD11575ES.doc" TargetMode="External"/><Relationship Id="rId17" Type="http://schemas.openxmlformats.org/officeDocument/2006/relationships/hyperlink" Target="http://www.cidh.org/medidas/2003.sp.htm" TargetMode="External"/><Relationship Id="rId25" Type="http://schemas.openxmlformats.org/officeDocument/2006/relationships/hyperlink" Target="http://www.oas.org/es/cidh/decisiones/cautelares.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dh.org/medidas/2003.sp.htm" TargetMode="External"/><Relationship Id="rId20" Type="http://schemas.openxmlformats.org/officeDocument/2006/relationships/hyperlink" Target="http://www.cidh.org/medidas/2005.sp.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3/USPU11575ES.doc" TargetMode="External"/><Relationship Id="rId24" Type="http://schemas.openxmlformats.org/officeDocument/2006/relationships/hyperlink" Target="http://www.oas.org/es/cidh/decisiones/cautelares.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idh.org/medidas/2000.sp.htm" TargetMode="External"/><Relationship Id="rId23" Type="http://schemas.openxmlformats.org/officeDocument/2006/relationships/hyperlink" Target="http://www.cidh.org/medidas/2007.sp.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idh.org/medidas/2004.sp.ht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s/cidh/decisiones/2011/USAAD12341ES.doc" TargetMode="External"/><Relationship Id="rId22" Type="http://schemas.openxmlformats.org/officeDocument/2006/relationships/hyperlink" Target="http://www.cidh.org/medidas/2006.sp.ht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7823A-EF2A-4109-AD90-917A259B4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