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E98B" w14:textId="77777777" w:rsidR="0015284C" w:rsidRPr="00B0087C" w:rsidRDefault="0015284C" w:rsidP="7FB183ED">
      <w:pPr>
        <w:jc w:val="center"/>
        <w:rPr>
          <w:color w:val="000000" w:themeColor="text1"/>
          <w:sz w:val="20"/>
          <w:szCs w:val="20"/>
          <w:lang w:val="es-ES"/>
        </w:rPr>
      </w:pPr>
      <w:r w:rsidRPr="7FB183ED">
        <w:rPr>
          <w:rFonts w:ascii="Cambria" w:eastAsia="Cambria" w:hAnsi="Cambria" w:cs="Cambria"/>
          <w:b/>
          <w:bCs/>
          <w:color w:val="000000" w:themeColor="text1"/>
          <w:sz w:val="20"/>
          <w:szCs w:val="20"/>
          <w:lang w:val="es-ES"/>
        </w:rPr>
        <w:t>FICHA DE SEGUIMIENTO DEL INFORME Nº 460/21</w:t>
      </w:r>
    </w:p>
    <w:p w14:paraId="56AF526F" w14:textId="77777777" w:rsidR="0015284C" w:rsidRPr="00B0087C" w:rsidRDefault="0015284C" w:rsidP="7FB183ED">
      <w:pPr>
        <w:jc w:val="center"/>
        <w:rPr>
          <w:rFonts w:ascii="Cambria" w:eastAsia="Cambria" w:hAnsi="Cambria" w:cs="Cambria"/>
          <w:b/>
          <w:bCs/>
          <w:color w:val="000000" w:themeColor="text1"/>
          <w:sz w:val="20"/>
          <w:szCs w:val="20"/>
          <w:lang w:val="es-ES"/>
        </w:rPr>
      </w:pPr>
      <w:r w:rsidRPr="7FB183ED">
        <w:rPr>
          <w:rFonts w:ascii="Cambria" w:eastAsia="Cambria" w:hAnsi="Cambria" w:cs="Cambria"/>
          <w:b/>
          <w:bCs/>
          <w:color w:val="000000" w:themeColor="text1"/>
          <w:sz w:val="20"/>
          <w:szCs w:val="20"/>
          <w:lang w:val="es-ES"/>
        </w:rPr>
        <w:t>CASO 12.721</w:t>
      </w:r>
    </w:p>
    <w:p w14:paraId="1EFA5D78" w14:textId="77777777" w:rsidR="0015284C" w:rsidRPr="00B0087C" w:rsidRDefault="0015284C" w:rsidP="7FB183ED">
      <w:pPr>
        <w:jc w:val="center"/>
        <w:rPr>
          <w:rFonts w:ascii="Cambria" w:eastAsia="Cambria" w:hAnsi="Cambria" w:cs="Cambria"/>
          <w:b/>
          <w:bCs/>
          <w:color w:val="000000" w:themeColor="text1"/>
          <w:sz w:val="20"/>
          <w:szCs w:val="20"/>
          <w:lang w:val="es-ES"/>
        </w:rPr>
      </w:pPr>
      <w:r w:rsidRPr="7FB183ED">
        <w:rPr>
          <w:rFonts w:ascii="Cambria" w:eastAsia="Cambria" w:hAnsi="Cambria" w:cs="Cambria"/>
          <w:b/>
          <w:bCs/>
          <w:color w:val="000000" w:themeColor="text1"/>
          <w:sz w:val="20"/>
          <w:szCs w:val="20"/>
          <w:lang w:val="es-ES"/>
        </w:rPr>
        <w:t>ÁNGEL PEDRO FALANGA</w:t>
      </w:r>
    </w:p>
    <w:p w14:paraId="05E082B7" w14:textId="77777777" w:rsidR="0015284C" w:rsidRPr="00B0087C" w:rsidRDefault="0015284C" w:rsidP="7FB183ED">
      <w:pPr>
        <w:jc w:val="center"/>
        <w:rPr>
          <w:rFonts w:ascii="Cambria" w:eastAsia="Cambria" w:hAnsi="Cambria" w:cs="Cambria"/>
          <w:b/>
          <w:bCs/>
          <w:color w:val="000000" w:themeColor="text1"/>
          <w:sz w:val="20"/>
          <w:szCs w:val="20"/>
          <w:lang w:val="es-ES"/>
        </w:rPr>
      </w:pPr>
      <w:r w:rsidRPr="7FB183ED">
        <w:rPr>
          <w:rFonts w:ascii="Cambria" w:eastAsia="Cambria" w:hAnsi="Cambria" w:cs="Cambria"/>
          <w:b/>
          <w:bCs/>
          <w:color w:val="000000" w:themeColor="text1"/>
          <w:sz w:val="20"/>
          <w:szCs w:val="20"/>
          <w:lang w:val="es-ES"/>
        </w:rPr>
        <w:t>(Argentina)</w:t>
      </w:r>
    </w:p>
    <w:p w14:paraId="110349DA" w14:textId="77777777" w:rsidR="0015284C" w:rsidRPr="00B0087C" w:rsidRDefault="0015284C" w:rsidP="7FB183ED">
      <w:pPr>
        <w:jc w:val="both"/>
        <w:rPr>
          <w:rFonts w:ascii="Cambria" w:eastAsia="Cambria" w:hAnsi="Cambria" w:cs="Cambria"/>
          <w:b/>
          <w:bCs/>
          <w:color w:val="000000" w:themeColor="text1"/>
          <w:sz w:val="20"/>
          <w:szCs w:val="20"/>
          <w:lang w:val="es-ES"/>
        </w:rPr>
      </w:pPr>
    </w:p>
    <w:p w14:paraId="4634D97B" w14:textId="0088DD46" w:rsidR="0015284C" w:rsidRPr="00B0087C" w:rsidRDefault="0015284C" w:rsidP="7FB183ED">
      <w:pPr>
        <w:pStyle w:val="ListParagraph"/>
        <w:numPr>
          <w:ilvl w:val="0"/>
          <w:numId w:val="3"/>
        </w:numPr>
        <w:jc w:val="both"/>
        <w:rPr>
          <w:rFonts w:ascii="Cambria" w:eastAsia="Cambria" w:hAnsi="Cambria" w:cs="Cambria"/>
          <w:b/>
          <w:bCs/>
          <w:color w:val="000000" w:themeColor="text1"/>
          <w:sz w:val="20"/>
          <w:szCs w:val="20"/>
        </w:rPr>
      </w:pPr>
      <w:r w:rsidRPr="7FB183ED">
        <w:rPr>
          <w:rFonts w:ascii="Cambria" w:eastAsia="Cambria" w:hAnsi="Cambria" w:cs="Cambria"/>
          <w:b/>
          <w:bCs/>
          <w:color w:val="000000" w:themeColor="text1"/>
          <w:sz w:val="20"/>
          <w:szCs w:val="20"/>
        </w:rPr>
        <w:t xml:space="preserve">Resumen del caso </w:t>
      </w:r>
    </w:p>
    <w:p w14:paraId="748820BE" w14:textId="77777777" w:rsidR="0015284C" w:rsidRPr="00B0087C" w:rsidRDefault="0015284C" w:rsidP="7FB183ED">
      <w:pPr>
        <w:ind w:left="1080"/>
        <w:jc w:val="both"/>
        <w:rPr>
          <w:rFonts w:ascii="Cambria" w:eastAsia="Cambria" w:hAnsi="Cambria" w:cs="Cambria"/>
          <w:b/>
          <w:bCs/>
          <w:color w:val="000000" w:themeColor="text1"/>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0087C" w:rsidRPr="00B0087C" w14:paraId="21AC0669" w14:textId="77777777" w:rsidTr="7FB183ED">
        <w:trPr>
          <w:trHeight w:val="3630"/>
          <w:jc w:val="center"/>
        </w:trPr>
        <w:tc>
          <w:tcPr>
            <w:tcW w:w="9350" w:type="dxa"/>
            <w:shd w:val="clear" w:color="auto" w:fill="F2F2F2" w:themeFill="background1" w:themeFillShade="F2"/>
          </w:tcPr>
          <w:p w14:paraId="255D09CB" w14:textId="77777777" w:rsidR="0015284C" w:rsidRPr="00B0087C" w:rsidRDefault="0015284C" w:rsidP="7FB183ED">
            <w:pPr>
              <w:spacing w:before="120"/>
              <w:jc w:val="both"/>
              <w:rPr>
                <w:rFonts w:ascii="Cambria" w:eastAsia="Cambria" w:hAnsi="Cambria" w:cs="Cambria"/>
                <w:color w:val="000000" w:themeColor="text1"/>
                <w:sz w:val="20"/>
                <w:szCs w:val="20"/>
              </w:rPr>
            </w:pPr>
            <w:r w:rsidRPr="7FB183ED">
              <w:rPr>
                <w:rFonts w:ascii="Cambria" w:eastAsia="Cambria" w:hAnsi="Cambria" w:cs="Cambria"/>
                <w:b/>
                <w:bCs/>
                <w:color w:val="000000" w:themeColor="text1"/>
                <w:sz w:val="20"/>
                <w:szCs w:val="20"/>
              </w:rPr>
              <w:t xml:space="preserve">Víctima(s): </w:t>
            </w:r>
            <w:r w:rsidRPr="7FB183ED">
              <w:rPr>
                <w:rFonts w:ascii="Cambria" w:eastAsia="Cambria" w:hAnsi="Cambria" w:cs="Cambria"/>
                <w:color w:val="000000" w:themeColor="text1"/>
                <w:sz w:val="20"/>
                <w:szCs w:val="20"/>
              </w:rPr>
              <w:t>Ángel Pedro Falanga</w:t>
            </w:r>
          </w:p>
          <w:p w14:paraId="7D4D7274" w14:textId="1476DEAA" w:rsidR="0015284C" w:rsidRPr="00B0087C" w:rsidRDefault="0015284C" w:rsidP="7FB183ED">
            <w:pPr>
              <w:rPr>
                <w:rFonts w:ascii="Cambria" w:eastAsia="Cambria" w:hAnsi="Cambria" w:cs="Cambria"/>
                <w:color w:val="000000" w:themeColor="text1"/>
                <w:sz w:val="20"/>
                <w:szCs w:val="20"/>
                <w:lang w:val="pt-BR"/>
              </w:rPr>
            </w:pPr>
            <w:r w:rsidRPr="7FB183ED">
              <w:rPr>
                <w:rFonts w:ascii="Cambria" w:eastAsia="Cambria" w:hAnsi="Cambria" w:cs="Cambria"/>
                <w:b/>
                <w:bCs/>
                <w:color w:val="000000" w:themeColor="text1"/>
                <w:sz w:val="20"/>
                <w:szCs w:val="20"/>
                <w:lang w:val="pt-BR"/>
              </w:rPr>
              <w:t>Peticionario(s):</w:t>
            </w:r>
            <w:r w:rsidRPr="7FB183ED">
              <w:rPr>
                <w:rFonts w:ascii="Cambria" w:eastAsia="Cambria" w:hAnsi="Cambria" w:cs="Cambria"/>
                <w:color w:val="000000" w:themeColor="text1"/>
                <w:sz w:val="20"/>
                <w:szCs w:val="20"/>
                <w:lang w:val="pt-BR"/>
              </w:rPr>
              <w:t xml:space="preserve"> Diego Jorge Lavado</w:t>
            </w:r>
            <w:r w:rsidR="00B0087C" w:rsidRPr="7FB183ED">
              <w:rPr>
                <w:rFonts w:ascii="Cambria" w:eastAsia="Cambria" w:hAnsi="Cambria" w:cs="Cambria"/>
                <w:color w:val="000000" w:themeColor="text1"/>
                <w:sz w:val="20"/>
                <w:szCs w:val="20"/>
                <w:lang w:val="pt-BR"/>
              </w:rPr>
              <w:t xml:space="preserve"> y</w:t>
            </w:r>
            <w:r w:rsidRPr="7FB183ED">
              <w:rPr>
                <w:rFonts w:ascii="Cambria" w:eastAsia="Cambria" w:hAnsi="Cambria" w:cs="Cambria"/>
                <w:color w:val="000000" w:themeColor="text1"/>
                <w:sz w:val="20"/>
                <w:szCs w:val="20"/>
                <w:lang w:val="pt-BR"/>
              </w:rPr>
              <w:t xml:space="preserve"> Carlos Eduardo Varela Álvarez</w:t>
            </w:r>
          </w:p>
          <w:p w14:paraId="1F2CD7CF" w14:textId="77777777" w:rsidR="0015284C" w:rsidRPr="00B0087C" w:rsidRDefault="0015284C" w:rsidP="7FB183ED">
            <w:pPr>
              <w:rPr>
                <w:rFonts w:ascii="Cambria" w:eastAsia="Cambria" w:hAnsi="Cambria" w:cs="Cambria"/>
                <w:color w:val="000000" w:themeColor="text1"/>
                <w:sz w:val="20"/>
                <w:szCs w:val="20"/>
                <w:lang w:val="es-ES"/>
              </w:rPr>
            </w:pPr>
            <w:r w:rsidRPr="7FB183ED">
              <w:rPr>
                <w:rFonts w:ascii="Cambria" w:eastAsia="Cambria" w:hAnsi="Cambria" w:cs="Cambria"/>
                <w:b/>
                <w:bCs/>
                <w:color w:val="000000" w:themeColor="text1"/>
                <w:sz w:val="20"/>
                <w:szCs w:val="20"/>
                <w:lang w:val="es-ES"/>
              </w:rPr>
              <w:t xml:space="preserve">Estado: </w:t>
            </w:r>
            <w:r w:rsidRPr="7FB183ED">
              <w:rPr>
                <w:rFonts w:ascii="Cambria" w:eastAsia="Cambria" w:hAnsi="Cambria" w:cs="Cambria"/>
                <w:color w:val="000000" w:themeColor="text1"/>
                <w:sz w:val="20"/>
                <w:szCs w:val="20"/>
                <w:lang w:val="es-ES"/>
              </w:rPr>
              <w:t>Argentina</w:t>
            </w:r>
          </w:p>
          <w:p w14:paraId="165FE9DB" w14:textId="11575555" w:rsidR="0015284C" w:rsidRPr="00B0087C" w:rsidRDefault="0015284C" w:rsidP="7FB183ED">
            <w:pPr>
              <w:jc w:val="both"/>
              <w:rPr>
                <w:rFonts w:ascii="Cambria" w:eastAsia="Cambria" w:hAnsi="Cambria" w:cs="Cambria"/>
                <w:color w:val="000000" w:themeColor="text1"/>
                <w:sz w:val="20"/>
                <w:szCs w:val="20"/>
                <w:lang w:val="es-ES"/>
              </w:rPr>
            </w:pPr>
            <w:r w:rsidRPr="7FB183ED">
              <w:rPr>
                <w:rFonts w:ascii="Cambria" w:eastAsia="Cambria" w:hAnsi="Cambria" w:cs="Cambria"/>
                <w:b/>
                <w:bCs/>
                <w:color w:val="000000" w:themeColor="text1"/>
                <w:sz w:val="20"/>
                <w:szCs w:val="20"/>
                <w:lang w:val="es-ES"/>
              </w:rPr>
              <w:t xml:space="preserve">Informe de Fondo Nº: </w:t>
            </w:r>
            <w:hyperlink r:id="rId11">
              <w:r w:rsidR="00B0087C" w:rsidRPr="7FB183ED">
                <w:rPr>
                  <w:rStyle w:val="Hyperlink"/>
                  <w:rFonts w:ascii="Cambria" w:eastAsia="Cambria" w:hAnsi="Cambria" w:cs="Cambria"/>
                  <w:color w:val="000000" w:themeColor="text1"/>
                  <w:sz w:val="20"/>
                  <w:szCs w:val="20"/>
                  <w:lang w:val="es-ES"/>
                </w:rPr>
                <w:t>460</w:t>
              </w:r>
              <w:r w:rsidRPr="7FB183ED">
                <w:rPr>
                  <w:rStyle w:val="Hyperlink"/>
                  <w:rFonts w:ascii="Cambria" w:eastAsia="Cambria" w:hAnsi="Cambria" w:cs="Cambria"/>
                  <w:color w:val="000000" w:themeColor="text1"/>
                  <w:sz w:val="20"/>
                  <w:szCs w:val="20"/>
                  <w:lang w:val="es-ES"/>
                </w:rPr>
                <w:t>/</w:t>
              </w:r>
              <w:r w:rsidR="00B0087C" w:rsidRPr="7FB183ED">
                <w:rPr>
                  <w:rStyle w:val="Hyperlink"/>
                  <w:rFonts w:ascii="Cambria" w:eastAsia="Cambria" w:hAnsi="Cambria" w:cs="Cambria"/>
                  <w:color w:val="000000" w:themeColor="text1"/>
                  <w:sz w:val="20"/>
                  <w:szCs w:val="20"/>
                  <w:lang w:val="es-ES"/>
                </w:rPr>
                <w:t>21</w:t>
              </w:r>
            </w:hyperlink>
            <w:r w:rsidRPr="7FB183ED">
              <w:rPr>
                <w:rFonts w:ascii="Cambria" w:eastAsia="Cambria" w:hAnsi="Cambria" w:cs="Cambria"/>
                <w:color w:val="000000" w:themeColor="text1"/>
                <w:sz w:val="20"/>
                <w:szCs w:val="20"/>
                <w:lang w:val="es-ES"/>
              </w:rPr>
              <w:t xml:space="preserve">, publicado el </w:t>
            </w:r>
            <w:r w:rsidR="00B0087C" w:rsidRPr="7FB183ED">
              <w:rPr>
                <w:rFonts w:ascii="Cambria" w:eastAsia="Cambria" w:hAnsi="Cambria" w:cs="Cambria"/>
                <w:color w:val="000000" w:themeColor="text1"/>
                <w:sz w:val="20"/>
                <w:szCs w:val="20"/>
                <w:lang w:val="es-ES"/>
              </w:rPr>
              <w:t>31 de diciembre de 2021</w:t>
            </w:r>
          </w:p>
          <w:p w14:paraId="789B3F3C" w14:textId="21B800E3" w:rsidR="0015284C" w:rsidRDefault="0015284C" w:rsidP="7FB183ED">
            <w:pPr>
              <w:jc w:val="both"/>
              <w:rPr>
                <w:rFonts w:ascii="Cambria" w:eastAsia="Cambria" w:hAnsi="Cambria" w:cs="Cambria"/>
                <w:color w:val="000000" w:themeColor="text1"/>
                <w:sz w:val="20"/>
                <w:szCs w:val="20"/>
                <w:lang w:val="es-ES"/>
              </w:rPr>
            </w:pPr>
            <w:r w:rsidRPr="7FB183ED">
              <w:rPr>
                <w:rFonts w:ascii="Cambria" w:eastAsia="Cambria" w:hAnsi="Cambria" w:cs="Cambria"/>
                <w:b/>
                <w:bCs/>
                <w:color w:val="000000" w:themeColor="text1"/>
                <w:sz w:val="20"/>
                <w:szCs w:val="20"/>
                <w:lang w:val="es-ES"/>
              </w:rPr>
              <w:t xml:space="preserve">Informe de admisibilidad: </w:t>
            </w:r>
            <w:r w:rsidR="00B0087C" w:rsidRPr="7FB183ED">
              <w:rPr>
                <w:rFonts w:ascii="Cambria" w:eastAsia="Cambria" w:hAnsi="Cambria" w:cs="Cambria"/>
                <w:color w:val="000000" w:themeColor="text1"/>
                <w:sz w:val="20"/>
                <w:szCs w:val="20"/>
                <w:lang w:val="es-ES"/>
              </w:rPr>
              <w:t>87</w:t>
            </w:r>
            <w:r w:rsidRPr="7FB183ED">
              <w:rPr>
                <w:rFonts w:ascii="Cambria" w:eastAsia="Cambria" w:hAnsi="Cambria" w:cs="Cambria"/>
                <w:color w:val="000000" w:themeColor="text1"/>
                <w:sz w:val="20"/>
                <w:szCs w:val="20"/>
                <w:lang w:val="es-ES"/>
              </w:rPr>
              <w:t>/</w:t>
            </w:r>
            <w:r w:rsidR="00B0087C" w:rsidRPr="7FB183ED">
              <w:rPr>
                <w:rFonts w:ascii="Cambria" w:eastAsia="Cambria" w:hAnsi="Cambria" w:cs="Cambria"/>
                <w:color w:val="000000" w:themeColor="text1"/>
                <w:sz w:val="20"/>
                <w:szCs w:val="20"/>
                <w:lang w:val="es-ES"/>
              </w:rPr>
              <w:t>09</w:t>
            </w:r>
            <w:r w:rsidRPr="7FB183ED">
              <w:rPr>
                <w:rFonts w:ascii="Cambria" w:eastAsia="Cambria" w:hAnsi="Cambria" w:cs="Cambria"/>
                <w:color w:val="000000" w:themeColor="text1"/>
                <w:sz w:val="20"/>
                <w:szCs w:val="20"/>
                <w:lang w:val="es-ES"/>
              </w:rPr>
              <w:t xml:space="preserve">, publicado el </w:t>
            </w:r>
            <w:r w:rsidR="00B0087C" w:rsidRPr="7FB183ED">
              <w:rPr>
                <w:rFonts w:ascii="Cambria" w:eastAsia="Cambria" w:hAnsi="Cambria" w:cs="Cambria"/>
                <w:color w:val="000000" w:themeColor="text1"/>
                <w:sz w:val="20"/>
                <w:szCs w:val="20"/>
                <w:lang w:val="es-ES"/>
              </w:rPr>
              <w:t>7 de agosto de 2009</w:t>
            </w:r>
          </w:p>
          <w:p w14:paraId="2B06C953" w14:textId="7FB4DDFA" w:rsidR="00D1651F" w:rsidRPr="00B0087C" w:rsidRDefault="00D1651F" w:rsidP="7FB183ED">
            <w:pPr>
              <w:jc w:val="both"/>
              <w:rPr>
                <w:rFonts w:ascii="Cambria" w:eastAsia="Cambria" w:hAnsi="Cambria" w:cs="Cambria"/>
                <w:color w:val="000000" w:themeColor="text1"/>
                <w:sz w:val="20"/>
                <w:szCs w:val="20"/>
                <w:lang w:val="es-ES"/>
              </w:rPr>
            </w:pPr>
            <w:r w:rsidRPr="7FB183ED">
              <w:rPr>
                <w:rFonts w:ascii="Cambria" w:eastAsia="Cambria" w:hAnsi="Cambria" w:cs="Cambria"/>
                <w:b/>
                <w:bCs/>
                <w:color w:val="000000" w:themeColor="text1"/>
                <w:sz w:val="20"/>
                <w:szCs w:val="20"/>
                <w:lang w:val="es-ES"/>
              </w:rPr>
              <w:t>Acuerdo de cumplimiento:</w:t>
            </w:r>
            <w:r w:rsidRPr="7FB183ED">
              <w:rPr>
                <w:rFonts w:ascii="Cambria" w:eastAsia="Cambria" w:hAnsi="Cambria" w:cs="Cambria"/>
                <w:color w:val="000000" w:themeColor="text1"/>
                <w:sz w:val="20"/>
                <w:szCs w:val="20"/>
                <w:lang w:val="es-ES"/>
              </w:rPr>
              <w:t xml:space="preserve"> Suscrito el 16 de julio de 2020</w:t>
            </w:r>
          </w:p>
          <w:p w14:paraId="76D5E857" w14:textId="77777777" w:rsidR="0015284C" w:rsidRPr="00B0087C" w:rsidRDefault="0015284C" w:rsidP="7FB183ED">
            <w:pPr>
              <w:jc w:val="both"/>
              <w:rPr>
                <w:rFonts w:ascii="Cambria" w:eastAsia="Cambria" w:hAnsi="Cambria" w:cs="Cambria"/>
                <w:color w:val="000000" w:themeColor="text1"/>
                <w:sz w:val="20"/>
                <w:szCs w:val="20"/>
                <w:lang w:val="es-ES"/>
              </w:rPr>
            </w:pPr>
          </w:p>
          <w:p w14:paraId="073F4214" w14:textId="20023CF4" w:rsidR="0015284C" w:rsidRPr="00B0087C" w:rsidRDefault="0015284C" w:rsidP="7FB183ED">
            <w:pPr>
              <w:spacing w:after="120"/>
              <w:jc w:val="both"/>
              <w:rPr>
                <w:rFonts w:ascii="Cambria" w:eastAsia="Cambria" w:hAnsi="Cambria" w:cs="Cambria"/>
                <w:color w:val="000000" w:themeColor="text1"/>
                <w:sz w:val="20"/>
                <w:szCs w:val="20"/>
                <w:lang w:val="es-ES"/>
              </w:rPr>
            </w:pPr>
            <w:r w:rsidRPr="7FB183ED">
              <w:rPr>
                <w:rFonts w:ascii="Cambria" w:eastAsia="Cambria" w:hAnsi="Cambria" w:cs="Cambria"/>
                <w:b/>
                <w:bCs/>
                <w:color w:val="000000" w:themeColor="text1"/>
                <w:sz w:val="20"/>
                <w:szCs w:val="20"/>
                <w:lang w:val="es-ES"/>
              </w:rPr>
              <w:t xml:space="preserve">Temas: </w:t>
            </w:r>
            <w:r w:rsidR="00B0087C" w:rsidRPr="7FB183ED">
              <w:rPr>
                <w:rStyle w:val="normaltextrun"/>
                <w:rFonts w:ascii="Cambria" w:hAnsi="Cambria"/>
                <w:color w:val="000000" w:themeColor="text1"/>
                <w:sz w:val="20"/>
                <w:szCs w:val="20"/>
                <w:shd w:val="clear" w:color="auto" w:fill="E7E6E6" w:themeFill="background2"/>
                <w:lang w:val="es-VE"/>
              </w:rPr>
              <w:t xml:space="preserve">Garantías judiciales / </w:t>
            </w:r>
            <w:r w:rsidR="00B0087C" w:rsidRPr="7FB183ED">
              <w:rPr>
                <w:rStyle w:val="normaltextrun"/>
                <w:rFonts w:ascii="Cambria" w:hAnsi="Cambria"/>
                <w:color w:val="000000" w:themeColor="text1"/>
                <w:sz w:val="20"/>
                <w:szCs w:val="20"/>
                <w:shd w:val="clear" w:color="auto" w:fill="E7E6E6" w:themeFill="background2"/>
                <w:lang w:val="es-CO"/>
              </w:rPr>
              <w:t>Presunción de Inocencia / Protección Judicial</w:t>
            </w:r>
            <w:r w:rsidR="00B0087C" w:rsidRPr="7FB183ED">
              <w:rPr>
                <w:rStyle w:val="normaltextrun"/>
                <w:rFonts w:ascii="Cambria" w:hAnsi="Cambria"/>
                <w:color w:val="000000" w:themeColor="text1"/>
                <w:sz w:val="20"/>
                <w:szCs w:val="20"/>
                <w:shd w:val="clear" w:color="auto" w:fill="E7E6E6" w:themeFill="background2"/>
                <w:lang w:val="es-VE"/>
              </w:rPr>
              <w:t xml:space="preserve"> / </w:t>
            </w:r>
            <w:r w:rsidR="00B0087C" w:rsidRPr="7FB183ED">
              <w:rPr>
                <w:rStyle w:val="normaltextrun"/>
                <w:rFonts w:ascii="Cambria" w:hAnsi="Cambria"/>
                <w:color w:val="000000" w:themeColor="text1"/>
                <w:sz w:val="20"/>
                <w:szCs w:val="20"/>
                <w:shd w:val="clear" w:color="auto" w:fill="E7E6E6" w:themeFill="background2"/>
                <w:lang w:val="es-CO"/>
              </w:rPr>
              <w:t>Derecho a la Libertad Personal / Detención Arbitraria</w:t>
            </w:r>
          </w:p>
          <w:p w14:paraId="20D69F1B" w14:textId="77777777" w:rsidR="0015284C" w:rsidRPr="00B0087C" w:rsidRDefault="0015284C" w:rsidP="7FB183ED">
            <w:pPr>
              <w:pBdr>
                <w:top w:val="nil"/>
                <w:left w:val="nil"/>
                <w:bottom w:val="nil"/>
                <w:right w:val="nil"/>
                <w:between w:val="nil"/>
              </w:pBdr>
              <w:jc w:val="both"/>
              <w:rPr>
                <w:rFonts w:ascii="Cambria" w:eastAsia="Cambria" w:hAnsi="Cambria" w:cs="Cambria"/>
                <w:color w:val="000000" w:themeColor="text1"/>
                <w:sz w:val="20"/>
                <w:szCs w:val="20"/>
                <w:lang w:val="es-ES"/>
              </w:rPr>
            </w:pPr>
            <w:r w:rsidRPr="7FB183ED">
              <w:rPr>
                <w:rFonts w:ascii="Cambria" w:eastAsia="Cambria" w:hAnsi="Cambria" w:cs="Cambria"/>
                <w:b/>
                <w:bCs/>
                <w:color w:val="000000" w:themeColor="text1"/>
                <w:sz w:val="20"/>
                <w:szCs w:val="20"/>
                <w:lang w:val="es-ES"/>
              </w:rPr>
              <w:t>Hechos:</w:t>
            </w:r>
            <w:r w:rsidRPr="7FB183ED">
              <w:rPr>
                <w:rFonts w:ascii="Cambria" w:eastAsia="Cambria" w:hAnsi="Cambria" w:cs="Cambria"/>
                <w:color w:val="000000" w:themeColor="text1"/>
                <w:sz w:val="20"/>
                <w:szCs w:val="20"/>
                <w:lang w:val="es-ES"/>
              </w:rPr>
              <w:t xml:space="preserve"> Este caso refiere a las violaciones de los derechos humanos del Sr. Ángel Pedro Falanga en el marco de los procesos penales llevados a cabo en su contra por los delitos de monopolio y subversión económica.</w:t>
            </w:r>
          </w:p>
          <w:p w14:paraId="64A29E3B" w14:textId="77777777" w:rsidR="0015284C" w:rsidRPr="00B0087C" w:rsidRDefault="0015284C" w:rsidP="7FB183ED">
            <w:pPr>
              <w:pBdr>
                <w:top w:val="nil"/>
                <w:left w:val="nil"/>
                <w:bottom w:val="nil"/>
                <w:right w:val="nil"/>
                <w:between w:val="nil"/>
              </w:pBdr>
              <w:jc w:val="both"/>
              <w:rPr>
                <w:rFonts w:ascii="Cambria" w:eastAsia="Cambria" w:hAnsi="Cambria" w:cs="Cambria"/>
                <w:b/>
                <w:bCs/>
                <w:color w:val="000000" w:themeColor="text1"/>
                <w:sz w:val="20"/>
                <w:szCs w:val="20"/>
                <w:lang w:val="es-ES"/>
              </w:rPr>
            </w:pPr>
          </w:p>
          <w:p w14:paraId="4D9D2BF4" w14:textId="14EBE044" w:rsidR="0015284C" w:rsidRPr="00B0087C" w:rsidRDefault="0015284C" w:rsidP="7FB183ED">
            <w:pPr>
              <w:pBdr>
                <w:top w:val="nil"/>
                <w:left w:val="nil"/>
                <w:bottom w:val="nil"/>
                <w:right w:val="nil"/>
                <w:between w:val="nil"/>
              </w:pBdr>
              <w:jc w:val="both"/>
              <w:rPr>
                <w:rFonts w:ascii="Cambria" w:eastAsia="Cambria" w:hAnsi="Cambria" w:cs="Cambria"/>
                <w:color w:val="000000" w:themeColor="text1"/>
                <w:sz w:val="20"/>
                <w:szCs w:val="20"/>
                <w:lang w:val="es-ES"/>
              </w:rPr>
            </w:pPr>
            <w:r w:rsidRPr="7FB183ED">
              <w:rPr>
                <w:rFonts w:ascii="Cambria" w:eastAsia="Cambria" w:hAnsi="Cambria" w:cs="Cambria"/>
                <w:b/>
                <w:bCs/>
                <w:color w:val="000000" w:themeColor="text1"/>
                <w:sz w:val="20"/>
                <w:szCs w:val="20"/>
                <w:lang w:val="es-ES"/>
              </w:rPr>
              <w:t xml:space="preserve">Derechos violados: </w:t>
            </w:r>
            <w:r w:rsidRPr="7FB183ED">
              <w:rPr>
                <w:rFonts w:ascii="Cambria" w:eastAsia="Cambria" w:hAnsi="Cambria" w:cs="Cambria"/>
                <w:color w:val="000000" w:themeColor="text1"/>
                <w:sz w:val="20"/>
                <w:szCs w:val="20"/>
                <w:lang w:val="es-ES"/>
              </w:rPr>
              <w:t xml:space="preserve">En virtud de lo anterior, la CIDH concluye que el Estado es responsable por la violación del artículo 8.1 de la Convención Americana </w:t>
            </w:r>
            <w:r w:rsidR="00B0087C" w:rsidRPr="7FB183ED">
              <w:rPr>
                <w:rFonts w:ascii="Cambria" w:eastAsia="Cambria" w:hAnsi="Cambria" w:cs="Cambria"/>
                <w:color w:val="000000" w:themeColor="text1"/>
                <w:sz w:val="20"/>
                <w:szCs w:val="20"/>
                <w:lang w:val="es-ES"/>
              </w:rPr>
              <w:t xml:space="preserve">y </w:t>
            </w:r>
            <w:r w:rsidR="00B0087C" w:rsidRPr="7FB183ED">
              <w:rPr>
                <w:rFonts w:ascii="Cambria" w:hAnsi="Cambria"/>
                <w:color w:val="000000" w:themeColor="text1"/>
                <w:sz w:val="20"/>
                <w:szCs w:val="20"/>
                <w:lang w:val="es-CO"/>
              </w:rPr>
              <w:t xml:space="preserve">los derechos establecidos en los artículos 7.5, 8.2 y 22.1, 22.2 y 22.3, todos en relación con el artículo 1.1 del mismo instrumento, </w:t>
            </w:r>
            <w:r w:rsidRPr="7FB183ED">
              <w:rPr>
                <w:rFonts w:ascii="Cambria" w:eastAsia="Cambria" w:hAnsi="Cambria" w:cs="Cambria"/>
                <w:color w:val="000000" w:themeColor="text1"/>
                <w:sz w:val="20"/>
                <w:szCs w:val="20"/>
                <w:lang w:val="es-ES"/>
              </w:rPr>
              <w:t xml:space="preserve">en perjuicio de Ángel Pedro Falanga. </w:t>
            </w:r>
          </w:p>
        </w:tc>
      </w:tr>
    </w:tbl>
    <w:p w14:paraId="5F7EAAA8" w14:textId="77777777" w:rsidR="0015284C" w:rsidRPr="00B0087C" w:rsidRDefault="0015284C" w:rsidP="7FB183ED">
      <w:pPr>
        <w:ind w:left="180"/>
        <w:jc w:val="both"/>
        <w:rPr>
          <w:rFonts w:ascii="Cambria" w:eastAsia="Cambria" w:hAnsi="Cambria" w:cs="Cambria"/>
          <w:color w:val="000000" w:themeColor="text1"/>
          <w:sz w:val="20"/>
          <w:szCs w:val="20"/>
          <w:lang w:val="es-ES"/>
        </w:rPr>
      </w:pPr>
    </w:p>
    <w:p w14:paraId="1965D7EF" w14:textId="2830CBC4" w:rsidR="0015284C" w:rsidRPr="00B0087C" w:rsidRDefault="0015284C" w:rsidP="7FB183ED">
      <w:pPr>
        <w:pStyle w:val="ListParagraph"/>
        <w:numPr>
          <w:ilvl w:val="0"/>
          <w:numId w:val="3"/>
        </w:numPr>
        <w:jc w:val="both"/>
        <w:rPr>
          <w:rFonts w:ascii="Cambria" w:eastAsia="Cambria" w:hAnsi="Cambria" w:cs="Cambria"/>
          <w:b/>
          <w:bCs/>
          <w:color w:val="000000" w:themeColor="text1"/>
          <w:sz w:val="20"/>
          <w:szCs w:val="20"/>
        </w:rPr>
      </w:pPr>
      <w:r w:rsidRPr="7FB183ED">
        <w:rPr>
          <w:rFonts w:ascii="Cambria" w:eastAsia="Cambria" w:hAnsi="Cambria" w:cs="Cambria"/>
          <w:b/>
          <w:bCs/>
          <w:color w:val="000000" w:themeColor="text1"/>
          <w:sz w:val="20"/>
          <w:szCs w:val="20"/>
        </w:rPr>
        <w:t>Recomendaciones</w:t>
      </w:r>
    </w:p>
    <w:p w14:paraId="7319AAB0" w14:textId="77777777" w:rsidR="0015284C" w:rsidRPr="00B0087C" w:rsidRDefault="0015284C" w:rsidP="7FB183ED">
      <w:pPr>
        <w:ind w:left="1080"/>
        <w:jc w:val="both"/>
        <w:rPr>
          <w:rFonts w:ascii="Cambria" w:eastAsia="Cambria" w:hAnsi="Cambria" w:cs="Cambria"/>
          <w:b/>
          <w:bCs/>
          <w:color w:val="000000" w:themeColor="text1"/>
          <w:sz w:val="20"/>
          <w:szCs w:val="20"/>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7"/>
        <w:gridCol w:w="2135"/>
      </w:tblGrid>
      <w:tr w:rsidR="00B0087C" w:rsidRPr="00B0087C" w14:paraId="77EDDEAA" w14:textId="77777777" w:rsidTr="7FB183ED">
        <w:tc>
          <w:tcPr>
            <w:tcW w:w="7197" w:type="dxa"/>
            <w:shd w:val="clear" w:color="auto" w:fill="auto"/>
            <w:vAlign w:val="center"/>
          </w:tcPr>
          <w:p w14:paraId="3AB60AFD" w14:textId="77777777" w:rsidR="0015284C" w:rsidRPr="00B0087C" w:rsidRDefault="0015284C" w:rsidP="7FB183ED">
            <w:pPr>
              <w:jc w:val="center"/>
              <w:rPr>
                <w:rFonts w:ascii="Cambria" w:eastAsia="Cambria" w:hAnsi="Cambria" w:cs="Cambria"/>
                <w:b/>
                <w:bCs/>
                <w:color w:val="000000" w:themeColor="text1"/>
                <w:sz w:val="18"/>
                <w:szCs w:val="18"/>
              </w:rPr>
            </w:pPr>
            <w:r w:rsidRPr="7FB183ED">
              <w:rPr>
                <w:rFonts w:ascii="Cambria" w:eastAsia="Cambria" w:hAnsi="Cambria" w:cs="Cambria"/>
                <w:b/>
                <w:bCs/>
                <w:color w:val="000000" w:themeColor="text1"/>
                <w:sz w:val="18"/>
                <w:szCs w:val="18"/>
              </w:rPr>
              <w:t>Recomendaciones</w:t>
            </w:r>
          </w:p>
        </w:tc>
        <w:tc>
          <w:tcPr>
            <w:tcW w:w="2135" w:type="dxa"/>
            <w:shd w:val="clear" w:color="auto" w:fill="auto"/>
          </w:tcPr>
          <w:p w14:paraId="4027E2C8" w14:textId="77777777" w:rsidR="00E47C76" w:rsidRDefault="00E47C76" w:rsidP="7FB183ED">
            <w:pPr>
              <w:jc w:val="center"/>
              <w:rPr>
                <w:rFonts w:ascii="Cambria" w:eastAsia="Cambria" w:hAnsi="Cambria" w:cs="Cambria"/>
                <w:b/>
                <w:bCs/>
                <w:color w:val="000000" w:themeColor="text1"/>
                <w:sz w:val="18"/>
                <w:szCs w:val="18"/>
              </w:rPr>
            </w:pPr>
          </w:p>
          <w:p w14:paraId="480543A2" w14:textId="0DE6D696" w:rsidR="0015284C" w:rsidRPr="00B0087C" w:rsidRDefault="00E47C76" w:rsidP="7FB183ED">
            <w:pPr>
              <w:jc w:val="center"/>
              <w:rPr>
                <w:rFonts w:ascii="Cambria" w:eastAsia="Cambria" w:hAnsi="Cambria" w:cs="Cambria"/>
                <w:b/>
                <w:bCs/>
                <w:color w:val="000000" w:themeColor="text1"/>
                <w:sz w:val="18"/>
                <w:szCs w:val="18"/>
              </w:rPr>
            </w:pPr>
            <w:r w:rsidRPr="7FB183ED">
              <w:rPr>
                <w:rFonts w:ascii="Cambria" w:eastAsia="Cambria" w:hAnsi="Cambria" w:cs="Cambria"/>
                <w:b/>
                <w:bCs/>
                <w:color w:val="000000" w:themeColor="text1"/>
                <w:sz w:val="18"/>
                <w:szCs w:val="18"/>
              </w:rPr>
              <w:t>Nivel</w:t>
            </w:r>
            <w:r w:rsidR="0015284C" w:rsidRPr="7FB183ED">
              <w:rPr>
                <w:rFonts w:ascii="Cambria" w:eastAsia="Cambria" w:hAnsi="Cambria" w:cs="Cambria"/>
                <w:b/>
                <w:bCs/>
                <w:color w:val="000000" w:themeColor="text1"/>
                <w:sz w:val="18"/>
                <w:szCs w:val="18"/>
              </w:rPr>
              <w:t xml:space="preserve"> de cumplimiento en 2022</w:t>
            </w:r>
          </w:p>
          <w:p w14:paraId="74D058DC" w14:textId="033FF777" w:rsidR="00B0087C" w:rsidRPr="00B0087C" w:rsidRDefault="00B0087C" w:rsidP="7FB183ED">
            <w:pPr>
              <w:rPr>
                <w:rFonts w:ascii="Cambria" w:eastAsia="Cambria" w:hAnsi="Cambria" w:cs="Cambria"/>
                <w:b/>
                <w:bCs/>
                <w:color w:val="000000" w:themeColor="text1"/>
                <w:sz w:val="18"/>
                <w:szCs w:val="18"/>
              </w:rPr>
            </w:pPr>
          </w:p>
        </w:tc>
      </w:tr>
      <w:tr w:rsidR="0015284C" w:rsidRPr="00B0087C" w14:paraId="57E6A0B5" w14:textId="77777777" w:rsidTr="7FB183ED">
        <w:tc>
          <w:tcPr>
            <w:tcW w:w="7197" w:type="dxa"/>
            <w:shd w:val="clear" w:color="auto" w:fill="auto"/>
          </w:tcPr>
          <w:p w14:paraId="7B840B94" w14:textId="77777777" w:rsidR="0015284C" w:rsidRPr="00B0087C" w:rsidRDefault="0015284C" w:rsidP="7FB183ED">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9360"/>
              </w:tabs>
              <w:jc w:val="both"/>
              <w:rPr>
                <w:rFonts w:ascii="Cambria" w:eastAsia="Cambria" w:hAnsi="Cambria" w:cs="Cambria"/>
                <w:color w:val="000000" w:themeColor="text1"/>
                <w:sz w:val="16"/>
                <w:szCs w:val="16"/>
                <w:lang w:val="es-ES"/>
              </w:rPr>
            </w:pPr>
            <w:r w:rsidRPr="7FB183ED">
              <w:rPr>
                <w:rFonts w:ascii="Cambria" w:eastAsia="Cambria" w:hAnsi="Cambria" w:cs="Cambria"/>
                <w:color w:val="000000" w:themeColor="text1"/>
                <w:sz w:val="16"/>
                <w:szCs w:val="16"/>
                <w:lang w:val="es-ES"/>
              </w:rPr>
              <w:t xml:space="preserve">1. Reparar integralmente las violaciones de derechos declaradas en el presente informe incluyendo el aspecto material e inmaterial. </w:t>
            </w:r>
          </w:p>
        </w:tc>
        <w:tc>
          <w:tcPr>
            <w:tcW w:w="2135" w:type="dxa"/>
            <w:shd w:val="clear" w:color="auto" w:fill="auto"/>
            <w:vAlign w:val="center"/>
          </w:tcPr>
          <w:p w14:paraId="13BD154B" w14:textId="45DE207F" w:rsidR="0015284C" w:rsidRPr="00B0087C" w:rsidRDefault="00E47C76" w:rsidP="7FB183ED">
            <w:pPr>
              <w:jc w:val="center"/>
              <w:rPr>
                <w:rFonts w:ascii="Cambria" w:eastAsia="Cambria" w:hAnsi="Cambria" w:cs="Cambria"/>
                <w:color w:val="000000" w:themeColor="text1"/>
                <w:sz w:val="18"/>
                <w:szCs w:val="18"/>
              </w:rPr>
            </w:pPr>
            <w:r w:rsidRPr="7FB183ED">
              <w:rPr>
                <w:rFonts w:ascii="Cambria" w:eastAsia="Cambria" w:hAnsi="Cambria" w:cs="Cambria"/>
                <w:color w:val="000000" w:themeColor="text1"/>
                <w:sz w:val="18"/>
                <w:szCs w:val="18"/>
              </w:rPr>
              <w:t>Cumplimiento parcial</w:t>
            </w:r>
          </w:p>
        </w:tc>
      </w:tr>
      <w:tr w:rsidR="002A6B01" w:rsidRPr="002A6B01" w14:paraId="1C5BD016" w14:textId="77777777" w:rsidTr="7FB183ED">
        <w:trPr>
          <w:trHeight w:val="300"/>
        </w:trPr>
        <w:tc>
          <w:tcPr>
            <w:tcW w:w="7197" w:type="dxa"/>
            <w:shd w:val="clear" w:color="auto" w:fill="auto"/>
          </w:tcPr>
          <w:p w14:paraId="2D769856" w14:textId="77777777" w:rsidR="002A6B01" w:rsidRPr="002A6B01" w:rsidRDefault="002A6B01" w:rsidP="7FB183ED">
            <w:pPr>
              <w:pStyle w:val="ListParagraph"/>
              <w:numPr>
                <w:ilvl w:val="0"/>
                <w:numId w:val="22"/>
              </w:numPr>
              <w:spacing w:after="160" w:line="259" w:lineRule="auto"/>
              <w:ind w:left="50" w:firstLine="310"/>
              <w:jc w:val="both"/>
              <w:rPr>
                <w:rFonts w:ascii="Cambria" w:hAnsi="Cambria"/>
                <w:color w:val="000000" w:themeColor="text1"/>
                <w:sz w:val="16"/>
                <w:szCs w:val="16"/>
                <w:lang w:val="es-MX"/>
              </w:rPr>
            </w:pPr>
            <w:r w:rsidRPr="7FB183ED">
              <w:rPr>
                <w:rFonts w:ascii="Cambria" w:hAnsi="Cambria"/>
                <w:color w:val="000000" w:themeColor="text1"/>
                <w:sz w:val="16"/>
                <w:szCs w:val="16"/>
                <w:lang w:val="es-MX"/>
              </w:rPr>
              <w:t>Medidas de reparación no pecuniaria</w:t>
            </w:r>
          </w:p>
          <w:p w14:paraId="747F421A" w14:textId="01E7CEF3" w:rsidR="002A6B01" w:rsidRPr="00EA58C7" w:rsidRDefault="002A6B01" w:rsidP="7FB183ED">
            <w:pPr>
              <w:pStyle w:val="ListParagraph"/>
              <w:numPr>
                <w:ilvl w:val="0"/>
                <w:numId w:val="23"/>
              </w:numPr>
              <w:spacing w:after="160" w:line="259" w:lineRule="auto"/>
              <w:ind w:left="50" w:firstLine="31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El Estado argentino se comprometió a dar publicidad al presente acuerdo en el boletín oficial de la República Argentina.</w:t>
            </w:r>
          </w:p>
        </w:tc>
        <w:tc>
          <w:tcPr>
            <w:tcW w:w="2135" w:type="dxa"/>
            <w:shd w:val="clear" w:color="auto" w:fill="auto"/>
            <w:vAlign w:val="center"/>
          </w:tcPr>
          <w:p w14:paraId="5117E292" w14:textId="76B8C6C2" w:rsidR="002A6B01" w:rsidRPr="002A6B01" w:rsidRDefault="00E47C76" w:rsidP="7FB183ED">
            <w:pPr>
              <w:jc w:val="center"/>
              <w:rPr>
                <w:rFonts w:ascii="Cambria" w:eastAsia="Cambria" w:hAnsi="Cambria" w:cs="Cambria"/>
                <w:color w:val="000000" w:themeColor="text1"/>
                <w:sz w:val="18"/>
                <w:szCs w:val="18"/>
                <w:highlight w:val="yellow"/>
                <w:lang w:val="es-CO"/>
              </w:rPr>
            </w:pPr>
            <w:r w:rsidRPr="7FB183ED">
              <w:rPr>
                <w:rFonts w:ascii="Cambria" w:eastAsia="Cambria" w:hAnsi="Cambria" w:cs="Cambria"/>
                <w:color w:val="000000" w:themeColor="text1"/>
                <w:sz w:val="18"/>
                <w:szCs w:val="18"/>
              </w:rPr>
              <w:t>Cumplimiento total</w:t>
            </w:r>
            <w:r w:rsidRPr="7FB183ED">
              <w:rPr>
                <w:rStyle w:val="FootnoteReference"/>
                <w:rFonts w:ascii="Cambria" w:eastAsia="Cambria" w:hAnsi="Cambria" w:cs="Cambria"/>
                <w:color w:val="000000" w:themeColor="text1"/>
                <w:sz w:val="18"/>
                <w:szCs w:val="18"/>
                <w:lang w:val="es-CO"/>
              </w:rPr>
              <w:t xml:space="preserve"> </w:t>
            </w:r>
            <w:r w:rsidR="00EA58C7" w:rsidRPr="7FB183ED">
              <w:rPr>
                <w:rStyle w:val="FootnoteReference"/>
                <w:rFonts w:ascii="Cambria" w:eastAsia="Cambria" w:hAnsi="Cambria" w:cs="Cambria"/>
                <w:color w:val="000000" w:themeColor="text1"/>
                <w:sz w:val="18"/>
                <w:szCs w:val="18"/>
                <w:lang w:val="es-CO"/>
              </w:rPr>
              <w:footnoteReference w:id="1"/>
            </w:r>
            <w:r w:rsidR="00EA58C7" w:rsidRPr="7FB183ED">
              <w:rPr>
                <w:rFonts w:ascii="Cambria" w:eastAsia="Cambria" w:hAnsi="Cambria" w:cs="Cambria"/>
                <w:color w:val="000000" w:themeColor="text1"/>
                <w:sz w:val="18"/>
                <w:szCs w:val="18"/>
                <w:lang w:val="es-CO"/>
              </w:rPr>
              <w:t xml:space="preserve"> </w:t>
            </w:r>
          </w:p>
        </w:tc>
      </w:tr>
      <w:tr w:rsidR="00EA58C7" w:rsidRPr="002A6B01" w14:paraId="7BD0AE74" w14:textId="77777777" w:rsidTr="7FB183ED">
        <w:tc>
          <w:tcPr>
            <w:tcW w:w="7197" w:type="dxa"/>
            <w:shd w:val="clear" w:color="auto" w:fill="auto"/>
          </w:tcPr>
          <w:p w14:paraId="55097272" w14:textId="29E2ECFA" w:rsidR="00EA58C7" w:rsidRPr="002A6B01" w:rsidRDefault="00EA58C7" w:rsidP="7FB183ED">
            <w:pPr>
              <w:pStyle w:val="ListParagraph"/>
              <w:numPr>
                <w:ilvl w:val="0"/>
                <w:numId w:val="26"/>
              </w:numPr>
              <w:spacing w:after="160" w:line="259" w:lineRule="auto"/>
              <w:jc w:val="both"/>
              <w:rPr>
                <w:rFonts w:ascii="Cambria" w:hAnsi="Cambria"/>
                <w:color w:val="000000" w:themeColor="text1"/>
                <w:sz w:val="16"/>
                <w:szCs w:val="16"/>
                <w:lang w:val="es-MX"/>
              </w:rPr>
            </w:pPr>
            <w:r w:rsidRPr="7FB183ED">
              <w:rPr>
                <w:rFonts w:ascii="Cambria" w:hAnsi="Cambria"/>
                <w:color w:val="000000" w:themeColor="text1"/>
                <w:sz w:val="16"/>
                <w:szCs w:val="16"/>
                <w:lang w:val="es-MX"/>
              </w:rPr>
              <w:t>Medidas de reparación no pecuniaria</w:t>
            </w:r>
          </w:p>
          <w:p w14:paraId="54C3BD72" w14:textId="5CD6902F" w:rsidR="00EA58C7" w:rsidRPr="00EA58C7" w:rsidRDefault="00EA58C7" w:rsidP="7FB183ED">
            <w:pPr>
              <w:pStyle w:val="ListParagraph"/>
              <w:numPr>
                <w:ilvl w:val="0"/>
                <w:numId w:val="25"/>
              </w:numPr>
              <w:spacing w:after="160" w:line="259" w:lineRule="auto"/>
              <w:ind w:left="46" w:firstLine="36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 xml:space="preserve">Asimismo, y tomando en cuenta que el informe contiene valiosas pautas de interpretación de las obligaciones internacionales exigibles en materia de plazos razonables los procesos judiciales y de duración de medidas cautelares adoptadas en procesos penales, el Estado se compromete a remitir el informe de la CIDH y el presente Acuerdo de Cumplimiento a la Corte Suprema de Justicia de la Nación y a la Junta Federal de Cortes, para su conocimiento. </w:t>
            </w:r>
          </w:p>
        </w:tc>
        <w:tc>
          <w:tcPr>
            <w:tcW w:w="2135" w:type="dxa"/>
            <w:shd w:val="clear" w:color="auto" w:fill="auto"/>
            <w:vAlign w:val="center"/>
          </w:tcPr>
          <w:p w14:paraId="7447A6A3" w14:textId="00024CC4" w:rsidR="00EA58C7" w:rsidRPr="002A6B01" w:rsidRDefault="00E47C76" w:rsidP="7FB183ED">
            <w:pPr>
              <w:jc w:val="center"/>
              <w:rPr>
                <w:rFonts w:ascii="Cambria" w:eastAsia="Cambria" w:hAnsi="Cambria" w:cs="Cambria"/>
                <w:color w:val="000000" w:themeColor="text1"/>
                <w:sz w:val="18"/>
                <w:szCs w:val="18"/>
                <w:highlight w:val="yellow"/>
                <w:lang w:val="es-CO"/>
              </w:rPr>
            </w:pPr>
            <w:r w:rsidRPr="7FB183ED">
              <w:rPr>
                <w:rFonts w:ascii="Cambria" w:eastAsia="Cambria" w:hAnsi="Cambria" w:cs="Cambria"/>
                <w:color w:val="000000" w:themeColor="text1"/>
                <w:sz w:val="18"/>
                <w:szCs w:val="18"/>
              </w:rPr>
              <w:t>Cumplimiento total</w:t>
            </w:r>
          </w:p>
        </w:tc>
      </w:tr>
      <w:tr w:rsidR="00EA58C7" w:rsidRPr="002A6B01" w14:paraId="1533765D" w14:textId="77777777" w:rsidTr="7FB183ED">
        <w:tc>
          <w:tcPr>
            <w:tcW w:w="7197" w:type="dxa"/>
            <w:shd w:val="clear" w:color="auto" w:fill="auto"/>
          </w:tcPr>
          <w:p w14:paraId="1BB8152D" w14:textId="30314F9F" w:rsidR="00EA58C7" w:rsidRPr="00EA58C7" w:rsidRDefault="00EA58C7" w:rsidP="7FB183ED">
            <w:pPr>
              <w:pStyle w:val="ListParagraph"/>
              <w:numPr>
                <w:ilvl w:val="0"/>
                <w:numId w:val="26"/>
              </w:numPr>
              <w:spacing w:after="160" w:line="259" w:lineRule="auto"/>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Medidas de reparación pecuniaria</w:t>
            </w:r>
          </w:p>
          <w:p w14:paraId="6EC8519D" w14:textId="77777777" w:rsidR="00EA58C7" w:rsidRPr="00EA58C7" w:rsidRDefault="00EA58C7" w:rsidP="7FB183ED">
            <w:pPr>
              <w:pStyle w:val="ListParagraph"/>
              <w:spacing w:after="160" w:line="259" w:lineRule="auto"/>
              <w:jc w:val="both"/>
              <w:rPr>
                <w:rFonts w:ascii="Cambria" w:hAnsi="Cambria"/>
                <w:color w:val="000000" w:themeColor="text1"/>
                <w:sz w:val="16"/>
                <w:szCs w:val="16"/>
                <w:lang w:val="es-CO"/>
              </w:rPr>
            </w:pPr>
          </w:p>
          <w:p w14:paraId="00112AE1" w14:textId="3CCE56E3" w:rsidR="00EA58C7" w:rsidRPr="00EA58C7" w:rsidRDefault="00EA58C7" w:rsidP="7FB183ED">
            <w:pPr>
              <w:pStyle w:val="ListParagraph"/>
              <w:numPr>
                <w:ilvl w:val="0"/>
                <w:numId w:val="24"/>
              </w:numPr>
              <w:spacing w:after="160" w:line="259" w:lineRule="auto"/>
              <w:ind w:left="50" w:firstLine="31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Las partes convienen constituir un tribunal arbitral ad hoc a efectos de que determine el monto de las reparaciones pecuniarias debidas al peticionario por el Estado, así como las costas del proceso, tanto en el ámbito del proceso internacional como en el que se sigue en el proceso arbitral, conforme los derechos cuya violación ha sido declarada por la CIDH en el Informe No. 53/19, de acuerdo con los estándares internacionales fijados por la Corte Interamericana de Derechos Humanos.</w:t>
            </w:r>
          </w:p>
          <w:p w14:paraId="2E5D5DCE" w14:textId="77777777" w:rsidR="00EA58C7" w:rsidRPr="002A6B01" w:rsidRDefault="00EA58C7" w:rsidP="7FB183ED">
            <w:pPr>
              <w:pStyle w:val="ListParagraph"/>
              <w:spacing w:after="160" w:line="259" w:lineRule="auto"/>
              <w:ind w:left="360"/>
              <w:jc w:val="both"/>
              <w:rPr>
                <w:rFonts w:ascii="Cambria" w:hAnsi="Cambria"/>
                <w:color w:val="000000" w:themeColor="text1"/>
                <w:sz w:val="16"/>
                <w:szCs w:val="16"/>
                <w:lang w:val="es-CO"/>
              </w:rPr>
            </w:pPr>
          </w:p>
          <w:p w14:paraId="2DA6B0D0" w14:textId="1F65D7F1" w:rsidR="00EA58C7" w:rsidRPr="002A6B01" w:rsidRDefault="00EA58C7" w:rsidP="7FB183ED">
            <w:pPr>
              <w:pStyle w:val="ListParagraph"/>
              <w:numPr>
                <w:ilvl w:val="0"/>
                <w:numId w:val="24"/>
              </w:numPr>
              <w:spacing w:after="160" w:line="259" w:lineRule="auto"/>
              <w:ind w:left="50" w:firstLine="31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 xml:space="preserve">El Tribunal estará integrado por 3 expertos/as independientes, de reconocida versación en materia de derechos humanos y alta calidad moral, uno/a designado a propuesta del peticionario, el/la segundo/a a propuesta del Estado y el/la tercero/a a propuesta de los dos anteriores. Los/as expertos/as actuarán </w:t>
            </w:r>
            <w:r w:rsidRPr="7FB183ED">
              <w:rPr>
                <w:rFonts w:ascii="Cambria" w:hAnsi="Cambria"/>
                <w:i/>
                <w:iCs/>
                <w:color w:val="000000" w:themeColor="text1"/>
                <w:sz w:val="16"/>
                <w:szCs w:val="16"/>
                <w:lang w:val="es-MX"/>
              </w:rPr>
              <w:t>ad honorem</w:t>
            </w:r>
            <w:r w:rsidRPr="7FB183ED">
              <w:rPr>
                <w:rFonts w:ascii="Cambria" w:hAnsi="Cambria"/>
                <w:color w:val="000000" w:themeColor="text1"/>
                <w:sz w:val="16"/>
                <w:szCs w:val="16"/>
                <w:lang w:val="es-MX"/>
              </w:rPr>
              <w:t>, sin perjuicio de los gastos razonables que demande su participación,  conforme a estándares internacionales.</w:t>
            </w:r>
          </w:p>
          <w:p w14:paraId="6ED9E272" w14:textId="6C8F4643" w:rsidR="00EA58C7" w:rsidRPr="002A6B01" w:rsidRDefault="00EA58C7" w:rsidP="7FB183ED">
            <w:pPr>
              <w:pStyle w:val="ListParagraph"/>
              <w:numPr>
                <w:ilvl w:val="0"/>
                <w:numId w:val="24"/>
              </w:numPr>
              <w:spacing w:after="160" w:line="259" w:lineRule="auto"/>
              <w:ind w:left="50" w:firstLine="31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 xml:space="preserve">A efectos de integrar el Tribunal Arbitral, las partes remitirán a la contraparte el </w:t>
            </w:r>
            <w:r w:rsidRPr="7FB183ED">
              <w:rPr>
                <w:rFonts w:ascii="Cambria" w:hAnsi="Cambria"/>
                <w:i/>
                <w:iCs/>
                <w:color w:val="000000" w:themeColor="text1"/>
                <w:sz w:val="16"/>
                <w:szCs w:val="16"/>
                <w:lang w:val="es-MX"/>
              </w:rPr>
              <w:t>currículum vitae</w:t>
            </w:r>
            <w:r w:rsidRPr="7FB183ED">
              <w:rPr>
                <w:rFonts w:ascii="Cambria" w:hAnsi="Cambria"/>
                <w:color w:val="000000" w:themeColor="text1"/>
                <w:sz w:val="16"/>
                <w:szCs w:val="16"/>
                <w:lang w:val="es-MX"/>
              </w:rPr>
              <w:t xml:space="preserve"> del/la experto/a propuesto/a, a fin que ésta pueda formular las suscripciones que considere corresponder de conformidad con los requisitos requeridos en el párrafo 2 precedente.</w:t>
            </w:r>
          </w:p>
          <w:p w14:paraId="37D11072" w14:textId="2C707CD7" w:rsidR="00EA58C7" w:rsidRPr="002A6B01" w:rsidRDefault="00EA58C7" w:rsidP="7FB183ED">
            <w:pPr>
              <w:pStyle w:val="ListParagraph"/>
              <w:numPr>
                <w:ilvl w:val="0"/>
                <w:numId w:val="24"/>
              </w:numPr>
              <w:spacing w:after="160" w:line="259" w:lineRule="auto"/>
              <w:ind w:left="50" w:firstLine="31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En tanto y en cuanto las partes no hayan formulado objeciones a los/as expertos as propuestos, el Tribunal deberá ser integrado, a más tardar, dentro de los 45 días corridos siguientes a la publicación del presente acuerdo por decreto del Poder Ejecutivo Nacional. En caso de objeciones, el plazo se prorrogará de conformidad entre las partes. Sin perjuicio de ello, el proceso arbitral comenzará una vez que la Comisión Interamericana de Derechos Humanos apruebe el presente acuerdo y publique el informe de fondo definitivo, de conformidad con lo dispuesto por el artículo 51 de la Convención Americana sobre Derechos Humanos.</w:t>
            </w:r>
          </w:p>
          <w:p w14:paraId="6A70C7F1" w14:textId="6F6F0C5A" w:rsidR="00EA58C7" w:rsidRPr="002A6B01" w:rsidRDefault="00EA58C7" w:rsidP="7FB183ED">
            <w:pPr>
              <w:pStyle w:val="ListParagraph"/>
              <w:numPr>
                <w:ilvl w:val="0"/>
                <w:numId w:val="24"/>
              </w:numPr>
              <w:spacing w:after="160" w:line="259" w:lineRule="auto"/>
              <w:ind w:left="50" w:firstLine="31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El procedimiento a aplicar por el Tribunal Arbitral será definido de común acuerdo entre las partes, quienes redactarán su reglamento. Los costos que demande la actuación del Tribunal serán solventados por el Estado, sin perjuicio de lo ya indicado con relación al carácter de la labor de sus integrantes.</w:t>
            </w:r>
          </w:p>
          <w:p w14:paraId="03B3634A" w14:textId="1D0C4218" w:rsidR="00EA58C7" w:rsidRPr="002A6B01" w:rsidRDefault="00EA58C7" w:rsidP="7FB183ED">
            <w:pPr>
              <w:pStyle w:val="ListParagraph"/>
              <w:numPr>
                <w:ilvl w:val="0"/>
                <w:numId w:val="24"/>
              </w:numPr>
              <w:spacing w:after="160" w:line="259" w:lineRule="auto"/>
              <w:ind w:left="50" w:firstLine="31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 xml:space="preserve">El laudo del Tribunal Arbitral será definitivo e irrecurrible, salvo que se verifique alguno de los supuestos de nulidad contemplados por el artículo 760 del Código Procesal Civil de la Nación, en cuyo caso procederá el recurso de nulidad ante el </w:t>
            </w:r>
            <w:r w:rsidR="00210BDE" w:rsidRPr="7FB183ED">
              <w:rPr>
                <w:rFonts w:ascii="Cambria" w:hAnsi="Cambria"/>
                <w:color w:val="000000" w:themeColor="text1"/>
                <w:sz w:val="16"/>
                <w:szCs w:val="16"/>
                <w:lang w:val="es-MX"/>
              </w:rPr>
              <w:t>fuero</w:t>
            </w:r>
            <w:r w:rsidRPr="7FB183ED">
              <w:rPr>
                <w:rFonts w:ascii="Cambria" w:hAnsi="Cambria"/>
                <w:color w:val="000000" w:themeColor="text1"/>
                <w:sz w:val="16"/>
                <w:szCs w:val="16"/>
                <w:lang w:val="es-MX"/>
              </w:rPr>
              <w:t xml:space="preserve"> en lo </w:t>
            </w:r>
            <w:r w:rsidR="00210BDE" w:rsidRPr="7FB183ED">
              <w:rPr>
                <w:rFonts w:ascii="Cambria" w:hAnsi="Cambria"/>
                <w:color w:val="000000" w:themeColor="text1"/>
                <w:sz w:val="16"/>
                <w:szCs w:val="16"/>
                <w:lang w:val="es-MX"/>
              </w:rPr>
              <w:t>C</w:t>
            </w:r>
            <w:r w:rsidRPr="7FB183ED">
              <w:rPr>
                <w:rFonts w:ascii="Cambria" w:hAnsi="Cambria"/>
                <w:color w:val="000000" w:themeColor="text1"/>
                <w:sz w:val="16"/>
                <w:szCs w:val="16"/>
                <w:lang w:val="es-MX"/>
              </w:rPr>
              <w:t xml:space="preserve">ontencioso </w:t>
            </w:r>
            <w:r w:rsidR="00210BDE" w:rsidRPr="7FB183ED">
              <w:rPr>
                <w:rFonts w:ascii="Cambria" w:hAnsi="Cambria"/>
                <w:color w:val="000000" w:themeColor="text1"/>
                <w:sz w:val="16"/>
                <w:szCs w:val="16"/>
                <w:lang w:val="es-MX"/>
              </w:rPr>
              <w:t>A</w:t>
            </w:r>
            <w:r w:rsidRPr="7FB183ED">
              <w:rPr>
                <w:rFonts w:ascii="Cambria" w:hAnsi="Cambria"/>
                <w:color w:val="000000" w:themeColor="text1"/>
                <w:sz w:val="16"/>
                <w:szCs w:val="16"/>
                <w:lang w:val="es-MX"/>
              </w:rPr>
              <w:t xml:space="preserve">dministrativo </w:t>
            </w:r>
            <w:r w:rsidR="00210BDE" w:rsidRPr="7FB183ED">
              <w:rPr>
                <w:rFonts w:ascii="Cambria" w:hAnsi="Cambria"/>
                <w:color w:val="000000" w:themeColor="text1"/>
                <w:sz w:val="16"/>
                <w:szCs w:val="16"/>
                <w:lang w:val="es-MX"/>
              </w:rPr>
              <w:t>F</w:t>
            </w:r>
            <w:r w:rsidRPr="7FB183ED">
              <w:rPr>
                <w:rFonts w:ascii="Cambria" w:hAnsi="Cambria"/>
                <w:color w:val="000000" w:themeColor="text1"/>
                <w:sz w:val="16"/>
                <w:szCs w:val="16"/>
                <w:lang w:val="es-MX"/>
              </w:rPr>
              <w:t xml:space="preserve">ederal. </w:t>
            </w:r>
            <w:r w:rsidR="00210BDE" w:rsidRPr="7FB183ED">
              <w:rPr>
                <w:rFonts w:ascii="Cambria" w:hAnsi="Cambria"/>
                <w:color w:val="000000" w:themeColor="text1"/>
                <w:sz w:val="16"/>
                <w:szCs w:val="16"/>
                <w:lang w:val="es-MX"/>
              </w:rPr>
              <w:t xml:space="preserve">De </w:t>
            </w:r>
            <w:r w:rsidRPr="7FB183ED">
              <w:rPr>
                <w:rFonts w:ascii="Cambria" w:hAnsi="Cambria"/>
                <w:color w:val="000000" w:themeColor="text1"/>
                <w:sz w:val="16"/>
                <w:szCs w:val="16"/>
                <w:lang w:val="es-MX"/>
              </w:rPr>
              <w:t xml:space="preserve">declararse la nulidad del laudo, las partes acuerdan que se constituirá un nuevo </w:t>
            </w:r>
            <w:r w:rsidR="00210BDE" w:rsidRPr="7FB183ED">
              <w:rPr>
                <w:rFonts w:ascii="Cambria" w:hAnsi="Cambria"/>
                <w:color w:val="000000" w:themeColor="text1"/>
                <w:sz w:val="16"/>
                <w:szCs w:val="16"/>
                <w:lang w:val="es-MX"/>
              </w:rPr>
              <w:t>T</w:t>
            </w:r>
            <w:r w:rsidRPr="7FB183ED">
              <w:rPr>
                <w:rFonts w:ascii="Cambria" w:hAnsi="Cambria"/>
                <w:color w:val="000000" w:themeColor="text1"/>
                <w:sz w:val="16"/>
                <w:szCs w:val="16"/>
                <w:lang w:val="es-MX"/>
              </w:rPr>
              <w:t xml:space="preserve">ribunal </w:t>
            </w:r>
            <w:r w:rsidR="00210BDE" w:rsidRPr="7FB183ED">
              <w:rPr>
                <w:rFonts w:ascii="Cambria" w:hAnsi="Cambria"/>
                <w:color w:val="000000" w:themeColor="text1"/>
                <w:sz w:val="16"/>
                <w:szCs w:val="16"/>
                <w:lang w:val="es-MX"/>
              </w:rPr>
              <w:t>A</w:t>
            </w:r>
            <w:r w:rsidRPr="7FB183ED">
              <w:rPr>
                <w:rFonts w:ascii="Cambria" w:hAnsi="Cambria"/>
                <w:color w:val="000000" w:themeColor="text1"/>
                <w:sz w:val="16"/>
                <w:szCs w:val="16"/>
                <w:lang w:val="es-MX"/>
              </w:rPr>
              <w:t xml:space="preserve">rbitral de conformidad con el procedimiento acordado en el presente acuerdo, el que dictará un nuevo </w:t>
            </w:r>
            <w:r w:rsidR="00210BDE" w:rsidRPr="7FB183ED">
              <w:rPr>
                <w:rFonts w:ascii="Cambria" w:hAnsi="Cambria"/>
                <w:color w:val="000000" w:themeColor="text1"/>
                <w:sz w:val="16"/>
                <w:szCs w:val="16"/>
                <w:lang w:val="es-MX"/>
              </w:rPr>
              <w:t>laudo</w:t>
            </w:r>
            <w:r w:rsidRPr="7FB183ED">
              <w:rPr>
                <w:rFonts w:ascii="Cambria" w:hAnsi="Cambria"/>
                <w:color w:val="000000" w:themeColor="text1"/>
                <w:sz w:val="16"/>
                <w:szCs w:val="16"/>
                <w:lang w:val="es-MX"/>
              </w:rPr>
              <w:t xml:space="preserve"> dentro de los 30 días de constituido, sobre la base de todas las actuaciones producidas en el marco del proceso arbitral.</w:t>
            </w:r>
          </w:p>
          <w:p w14:paraId="13F4AF3B" w14:textId="5A17BB6D" w:rsidR="00EA58C7" w:rsidRPr="002A6B01" w:rsidRDefault="00210BDE" w:rsidP="7FB183ED">
            <w:pPr>
              <w:pStyle w:val="ListParagraph"/>
              <w:numPr>
                <w:ilvl w:val="0"/>
                <w:numId w:val="24"/>
              </w:numPr>
              <w:spacing w:after="160" w:line="259" w:lineRule="auto"/>
              <w:ind w:left="50" w:firstLine="31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El laudo</w:t>
            </w:r>
            <w:r w:rsidR="00EA58C7" w:rsidRPr="7FB183ED">
              <w:rPr>
                <w:rFonts w:ascii="Cambria" w:hAnsi="Cambria"/>
                <w:color w:val="000000" w:themeColor="text1"/>
                <w:sz w:val="16"/>
                <w:szCs w:val="16"/>
                <w:lang w:val="es-MX"/>
              </w:rPr>
              <w:t xml:space="preserve"> deberá contener el monto en la modalidad de las reparaciones pecuniarias acordadas, expresadas en dólares estadounidenses o el valor del mismo según el precio de venta de esa moneda extranjera establecido por el </w:t>
            </w:r>
            <w:r w:rsidRPr="7FB183ED">
              <w:rPr>
                <w:rFonts w:ascii="Cambria" w:hAnsi="Cambria"/>
                <w:color w:val="000000" w:themeColor="text1"/>
                <w:sz w:val="16"/>
                <w:szCs w:val="16"/>
                <w:lang w:val="es-MX"/>
              </w:rPr>
              <w:t>B</w:t>
            </w:r>
            <w:r w:rsidR="00EA58C7" w:rsidRPr="7FB183ED">
              <w:rPr>
                <w:rFonts w:ascii="Cambria" w:hAnsi="Cambria"/>
                <w:color w:val="000000" w:themeColor="text1"/>
                <w:sz w:val="16"/>
                <w:szCs w:val="16"/>
                <w:lang w:val="es-MX"/>
              </w:rPr>
              <w:t xml:space="preserve">anco de </w:t>
            </w:r>
            <w:r w:rsidRPr="7FB183ED">
              <w:rPr>
                <w:rFonts w:ascii="Cambria" w:hAnsi="Cambria"/>
                <w:color w:val="000000" w:themeColor="text1"/>
                <w:sz w:val="16"/>
                <w:szCs w:val="16"/>
                <w:lang w:val="es-MX"/>
              </w:rPr>
              <w:t>N</w:t>
            </w:r>
            <w:r w:rsidR="00EA58C7" w:rsidRPr="7FB183ED">
              <w:rPr>
                <w:rFonts w:ascii="Cambria" w:hAnsi="Cambria"/>
                <w:color w:val="000000" w:themeColor="text1"/>
                <w:sz w:val="16"/>
                <w:szCs w:val="16"/>
                <w:lang w:val="es-MX"/>
              </w:rPr>
              <w:t>ación Argentina al momento de su dictado, debiendo ser sometido a la evaluación de la comisión interamericana de derechos humanos en el marco del proceso de seguimiento de cumplimiento del acuerdo, con el objeto verificar que se ajusta a los parámetros internacionales aplicables.</w:t>
            </w:r>
          </w:p>
          <w:p w14:paraId="2CF31764" w14:textId="5C3461C2" w:rsidR="00EA58C7" w:rsidRPr="002A6B01" w:rsidRDefault="00210BDE" w:rsidP="7FB183ED">
            <w:pPr>
              <w:pStyle w:val="ListParagraph"/>
              <w:numPr>
                <w:ilvl w:val="0"/>
                <w:numId w:val="24"/>
              </w:numPr>
              <w:spacing w:after="160" w:line="259" w:lineRule="auto"/>
              <w:ind w:left="50" w:firstLine="310"/>
              <w:jc w:val="both"/>
              <w:rPr>
                <w:rFonts w:ascii="Cambria" w:hAnsi="Cambria"/>
                <w:color w:val="000000" w:themeColor="text1"/>
                <w:sz w:val="16"/>
                <w:szCs w:val="16"/>
                <w:lang w:val="es-CO"/>
              </w:rPr>
            </w:pPr>
            <w:r w:rsidRPr="7FB183ED">
              <w:rPr>
                <w:rFonts w:ascii="Cambria" w:hAnsi="Cambria"/>
                <w:color w:val="000000" w:themeColor="text1"/>
                <w:sz w:val="16"/>
                <w:szCs w:val="16"/>
                <w:lang w:val="es-MX"/>
              </w:rPr>
              <w:t>L</w:t>
            </w:r>
            <w:r w:rsidR="00EA58C7" w:rsidRPr="7FB183ED">
              <w:rPr>
                <w:rFonts w:ascii="Cambria" w:hAnsi="Cambria"/>
                <w:color w:val="000000" w:themeColor="text1"/>
                <w:sz w:val="16"/>
                <w:szCs w:val="16"/>
                <w:lang w:val="es-MX"/>
              </w:rPr>
              <w:t xml:space="preserve">as reparaciones pecuniarias fijadas en el laudo arbitral serán efectivizadas por la República Argentina dentro del plazo que fije el </w:t>
            </w:r>
            <w:r w:rsidRPr="7FB183ED">
              <w:rPr>
                <w:rFonts w:ascii="Cambria" w:hAnsi="Cambria"/>
                <w:color w:val="000000" w:themeColor="text1"/>
                <w:sz w:val="16"/>
                <w:szCs w:val="16"/>
                <w:lang w:val="es-MX"/>
              </w:rPr>
              <w:t>T</w:t>
            </w:r>
            <w:r w:rsidR="00EA58C7" w:rsidRPr="7FB183ED">
              <w:rPr>
                <w:rFonts w:ascii="Cambria" w:hAnsi="Cambria"/>
                <w:color w:val="000000" w:themeColor="text1"/>
                <w:sz w:val="16"/>
                <w:szCs w:val="16"/>
                <w:lang w:val="es-MX"/>
              </w:rPr>
              <w:t xml:space="preserve">ribunal </w:t>
            </w:r>
            <w:r w:rsidRPr="7FB183ED">
              <w:rPr>
                <w:rFonts w:ascii="Cambria" w:hAnsi="Cambria"/>
                <w:color w:val="000000" w:themeColor="text1"/>
                <w:sz w:val="16"/>
                <w:szCs w:val="16"/>
                <w:lang w:val="es-MX"/>
              </w:rPr>
              <w:t>A</w:t>
            </w:r>
            <w:r w:rsidR="00EA58C7" w:rsidRPr="7FB183ED">
              <w:rPr>
                <w:rFonts w:ascii="Cambria" w:hAnsi="Cambria"/>
                <w:color w:val="000000" w:themeColor="text1"/>
                <w:sz w:val="16"/>
                <w:szCs w:val="16"/>
                <w:lang w:val="es-MX"/>
              </w:rPr>
              <w:t>rbitral, de conformidad con el procedimiento administrativo que fuera aplicable.</w:t>
            </w:r>
          </w:p>
          <w:p w14:paraId="40F8D705" w14:textId="27939958" w:rsidR="00EA58C7" w:rsidRPr="002A6B01" w:rsidRDefault="00210BDE" w:rsidP="7FB183ED">
            <w:pPr>
              <w:pStyle w:val="ListParagraph"/>
              <w:numPr>
                <w:ilvl w:val="0"/>
                <w:numId w:val="26"/>
              </w:numPr>
              <w:spacing w:after="160" w:line="259" w:lineRule="auto"/>
              <w:ind w:left="50" w:firstLine="310"/>
              <w:jc w:val="both"/>
              <w:rPr>
                <w:rFonts w:ascii="Cambria" w:hAnsi="Cambria"/>
                <w:color w:val="000000" w:themeColor="text1"/>
                <w:sz w:val="16"/>
                <w:szCs w:val="16"/>
                <w:lang w:val="es-MX"/>
              </w:rPr>
            </w:pPr>
            <w:r w:rsidRPr="7FB183ED">
              <w:rPr>
                <w:rFonts w:ascii="Cambria" w:hAnsi="Cambria"/>
                <w:color w:val="000000" w:themeColor="text1"/>
                <w:sz w:val="16"/>
                <w:szCs w:val="16"/>
                <w:lang w:val="es-MX"/>
              </w:rPr>
              <w:t>U</w:t>
            </w:r>
            <w:r w:rsidR="00EA58C7" w:rsidRPr="7FB183ED">
              <w:rPr>
                <w:rFonts w:ascii="Cambria" w:hAnsi="Cambria"/>
                <w:color w:val="000000" w:themeColor="text1"/>
                <w:sz w:val="16"/>
                <w:szCs w:val="16"/>
                <w:lang w:val="es-MX"/>
              </w:rPr>
              <w:t xml:space="preserve">na vez aprobado el presente acuerdo por </w:t>
            </w:r>
            <w:r w:rsidRPr="7FB183ED">
              <w:rPr>
                <w:rFonts w:ascii="Cambria" w:hAnsi="Cambria"/>
                <w:color w:val="000000" w:themeColor="text1"/>
                <w:sz w:val="16"/>
                <w:szCs w:val="16"/>
                <w:lang w:val="es-MX"/>
              </w:rPr>
              <w:t>D</w:t>
            </w:r>
            <w:r w:rsidR="00EA58C7" w:rsidRPr="7FB183ED">
              <w:rPr>
                <w:rFonts w:ascii="Cambria" w:hAnsi="Cambria"/>
                <w:color w:val="000000" w:themeColor="text1"/>
                <w:sz w:val="16"/>
                <w:szCs w:val="16"/>
                <w:lang w:val="es-MX"/>
              </w:rPr>
              <w:t xml:space="preserve">ecreto del </w:t>
            </w:r>
            <w:r w:rsidRPr="7FB183ED">
              <w:rPr>
                <w:rFonts w:ascii="Cambria" w:hAnsi="Cambria"/>
                <w:color w:val="000000" w:themeColor="text1"/>
                <w:sz w:val="16"/>
                <w:szCs w:val="16"/>
                <w:lang w:val="es-MX"/>
              </w:rPr>
              <w:t>P</w:t>
            </w:r>
            <w:r w:rsidR="00EA58C7" w:rsidRPr="7FB183ED">
              <w:rPr>
                <w:rFonts w:ascii="Cambria" w:hAnsi="Cambria"/>
                <w:color w:val="000000" w:themeColor="text1"/>
                <w:sz w:val="16"/>
                <w:szCs w:val="16"/>
                <w:lang w:val="es-MX"/>
              </w:rPr>
              <w:t xml:space="preserve">oder </w:t>
            </w:r>
            <w:r w:rsidRPr="7FB183ED">
              <w:rPr>
                <w:rFonts w:ascii="Cambria" w:hAnsi="Cambria"/>
                <w:color w:val="000000" w:themeColor="text1"/>
                <w:sz w:val="16"/>
                <w:szCs w:val="16"/>
                <w:lang w:val="es-MX"/>
              </w:rPr>
              <w:t>E</w:t>
            </w:r>
            <w:r w:rsidR="00EA58C7" w:rsidRPr="7FB183ED">
              <w:rPr>
                <w:rFonts w:ascii="Cambria" w:hAnsi="Cambria"/>
                <w:color w:val="000000" w:themeColor="text1"/>
                <w:sz w:val="16"/>
                <w:szCs w:val="16"/>
                <w:lang w:val="es-MX"/>
              </w:rPr>
              <w:t xml:space="preserve">jecutivo </w:t>
            </w:r>
            <w:r w:rsidRPr="7FB183ED">
              <w:rPr>
                <w:rFonts w:ascii="Cambria" w:hAnsi="Cambria"/>
                <w:color w:val="000000" w:themeColor="text1"/>
                <w:sz w:val="16"/>
                <w:szCs w:val="16"/>
                <w:lang w:val="es-MX"/>
              </w:rPr>
              <w:t>N</w:t>
            </w:r>
            <w:r w:rsidR="00EA58C7" w:rsidRPr="7FB183ED">
              <w:rPr>
                <w:rFonts w:ascii="Cambria" w:hAnsi="Cambria"/>
                <w:color w:val="000000" w:themeColor="text1"/>
                <w:sz w:val="16"/>
                <w:szCs w:val="16"/>
                <w:lang w:val="es-MX"/>
              </w:rPr>
              <w:t>acional, el peticionario renuncia, de manera definitiva e irrevocable, a iniciar cualquier otro reclamo de naturaleza pecuniaria o no pecuniaria contra el estado en relación con los hechos que motivaron el presente caso.</w:t>
            </w:r>
          </w:p>
        </w:tc>
        <w:tc>
          <w:tcPr>
            <w:tcW w:w="2135" w:type="dxa"/>
            <w:shd w:val="clear" w:color="auto" w:fill="auto"/>
            <w:vAlign w:val="center"/>
          </w:tcPr>
          <w:p w14:paraId="255DA945" w14:textId="7AA2AB0C" w:rsidR="00EA58C7" w:rsidRPr="002A6B01" w:rsidRDefault="00E47C76" w:rsidP="7FB183ED">
            <w:pPr>
              <w:jc w:val="center"/>
              <w:rPr>
                <w:rFonts w:ascii="Cambria" w:eastAsia="Cambria" w:hAnsi="Cambria" w:cs="Cambria"/>
                <w:color w:val="000000" w:themeColor="text1"/>
                <w:sz w:val="18"/>
                <w:szCs w:val="18"/>
                <w:highlight w:val="yellow"/>
                <w:lang w:val="es-CO"/>
              </w:rPr>
            </w:pPr>
            <w:r w:rsidRPr="7FB183ED">
              <w:rPr>
                <w:rFonts w:ascii="Cambria" w:eastAsia="Cambria" w:hAnsi="Cambria" w:cs="Cambria"/>
                <w:color w:val="000000" w:themeColor="text1"/>
                <w:sz w:val="18"/>
                <w:szCs w:val="18"/>
              </w:rPr>
              <w:t>Cumplimiento parcial</w:t>
            </w:r>
          </w:p>
        </w:tc>
      </w:tr>
    </w:tbl>
    <w:p w14:paraId="45B26099" w14:textId="157C6388" w:rsidR="00BD17B0" w:rsidRPr="002A6B01" w:rsidRDefault="00BD17B0" w:rsidP="7FB183ED">
      <w:pPr>
        <w:rPr>
          <w:rFonts w:ascii="Cambria" w:eastAsia="Cambria" w:hAnsi="Cambria" w:cs="Cambria"/>
          <w:b/>
          <w:bCs/>
          <w:color w:val="000000" w:themeColor="text1"/>
          <w:sz w:val="20"/>
          <w:szCs w:val="20"/>
          <w:lang w:val="es-CO"/>
        </w:rPr>
      </w:pPr>
    </w:p>
    <w:p w14:paraId="149CA707" w14:textId="5D240778" w:rsidR="00B0087C" w:rsidRDefault="00B0087C" w:rsidP="7FB183ED">
      <w:pPr>
        <w:pStyle w:val="paragraph"/>
        <w:numPr>
          <w:ilvl w:val="0"/>
          <w:numId w:val="3"/>
        </w:numPr>
        <w:spacing w:before="0" w:beforeAutospacing="0" w:after="0" w:afterAutospacing="0"/>
        <w:jc w:val="both"/>
        <w:textAlignment w:val="baseline"/>
        <w:rPr>
          <w:rFonts w:ascii="Cambria" w:hAnsi="Cambria"/>
          <w:color w:val="000000" w:themeColor="text1"/>
          <w:sz w:val="20"/>
          <w:szCs w:val="20"/>
        </w:rPr>
      </w:pPr>
      <w:r w:rsidRPr="7FB183ED">
        <w:rPr>
          <w:rStyle w:val="normaltextrun"/>
          <w:rFonts w:ascii="Cambria" w:hAnsi="Cambria"/>
          <w:b/>
          <w:bCs/>
          <w:color w:val="000000" w:themeColor="text1"/>
          <w:sz w:val="20"/>
          <w:szCs w:val="20"/>
        </w:rPr>
        <w:t>Actividad procesal</w:t>
      </w:r>
      <w:r w:rsidRPr="7FB183ED">
        <w:rPr>
          <w:rStyle w:val="eop"/>
          <w:rFonts w:ascii="Cambria" w:eastAsiaTheme="majorEastAsia" w:hAnsi="Cambria"/>
          <w:color w:val="000000" w:themeColor="text1"/>
          <w:sz w:val="20"/>
          <w:szCs w:val="20"/>
        </w:rPr>
        <w:t> </w:t>
      </w:r>
    </w:p>
    <w:p w14:paraId="58C0761B" w14:textId="77777777" w:rsidR="00B0087C" w:rsidRDefault="00B0087C" w:rsidP="7FB183ED">
      <w:pPr>
        <w:pStyle w:val="paragraph"/>
        <w:spacing w:before="0" w:beforeAutospacing="0" w:after="0" w:afterAutospacing="0"/>
        <w:ind w:firstLine="720"/>
        <w:jc w:val="both"/>
        <w:textAlignment w:val="baseline"/>
        <w:rPr>
          <w:rFonts w:ascii="Cambria" w:hAnsi="Cambria"/>
          <w:color w:val="000000" w:themeColor="text1"/>
          <w:sz w:val="20"/>
          <w:szCs w:val="20"/>
        </w:rPr>
      </w:pPr>
      <w:r w:rsidRPr="7FB183ED">
        <w:rPr>
          <w:rStyle w:val="eop"/>
          <w:rFonts w:ascii="Cambria" w:eastAsiaTheme="majorEastAsia" w:hAnsi="Cambria"/>
          <w:color w:val="000000" w:themeColor="text1"/>
          <w:sz w:val="20"/>
          <w:szCs w:val="20"/>
        </w:rPr>
        <w:t> </w:t>
      </w:r>
    </w:p>
    <w:p w14:paraId="6A7FDD59" w14:textId="1D267BBE" w:rsidR="00B0087C" w:rsidRPr="00B0087C" w:rsidRDefault="00B0087C" w:rsidP="7FB183ED">
      <w:pPr>
        <w:pStyle w:val="paragraph"/>
        <w:numPr>
          <w:ilvl w:val="0"/>
          <w:numId w:val="2"/>
        </w:numPr>
        <w:spacing w:before="0" w:beforeAutospacing="0" w:after="0" w:afterAutospacing="0"/>
        <w:jc w:val="both"/>
        <w:textAlignment w:val="baseline"/>
        <w:rPr>
          <w:rFonts w:ascii="Cambria" w:hAnsi="Cambria"/>
          <w:color w:val="000000" w:themeColor="text1"/>
          <w:sz w:val="20"/>
          <w:szCs w:val="20"/>
          <w:lang w:val="es-CO"/>
        </w:rPr>
      </w:pPr>
      <w:r w:rsidRPr="7FB183ED">
        <w:rPr>
          <w:rStyle w:val="normaltextrun"/>
          <w:rFonts w:ascii="Cambria" w:hAnsi="Cambria"/>
          <w:color w:val="000000" w:themeColor="text1"/>
          <w:sz w:val="20"/>
          <w:szCs w:val="20"/>
          <w:lang w:val="es-ES"/>
        </w:rPr>
        <w:t>En 2022, la CIDH solicitó información al Estado sobre el cumplimiento de las recomendaciones el 2</w:t>
      </w:r>
      <w:r w:rsidR="00D1651F" w:rsidRPr="7FB183ED">
        <w:rPr>
          <w:rStyle w:val="normaltextrun"/>
          <w:rFonts w:ascii="Cambria" w:hAnsi="Cambria"/>
          <w:color w:val="000000" w:themeColor="text1"/>
          <w:sz w:val="20"/>
          <w:szCs w:val="20"/>
          <w:lang w:val="es-ES"/>
        </w:rPr>
        <w:t>4</w:t>
      </w:r>
      <w:r w:rsidRPr="7FB183ED">
        <w:rPr>
          <w:rStyle w:val="normaltextrun"/>
          <w:rFonts w:ascii="Cambria" w:hAnsi="Cambria"/>
          <w:color w:val="000000" w:themeColor="text1"/>
          <w:sz w:val="20"/>
          <w:szCs w:val="20"/>
          <w:lang w:val="es-ES"/>
        </w:rPr>
        <w:t xml:space="preserve"> de agosto. El Estado solicitó una prórroga para responder a la solicitud el 23 de septiembre y proporcionó esta información </w:t>
      </w:r>
      <w:r w:rsidR="00D045D0" w:rsidRPr="7FB183ED">
        <w:rPr>
          <w:rStyle w:val="normaltextrun"/>
          <w:rFonts w:ascii="Cambria" w:hAnsi="Cambria"/>
          <w:color w:val="000000" w:themeColor="text1"/>
          <w:sz w:val="20"/>
          <w:szCs w:val="20"/>
          <w:lang w:val="es-ES"/>
        </w:rPr>
        <w:t>los días</w:t>
      </w:r>
      <w:r w:rsidR="00D1651F" w:rsidRPr="7FB183ED">
        <w:rPr>
          <w:rStyle w:val="normaltextrun"/>
          <w:rFonts w:ascii="Cambria" w:hAnsi="Cambria"/>
          <w:color w:val="000000" w:themeColor="text1"/>
          <w:sz w:val="20"/>
          <w:szCs w:val="20"/>
          <w:lang w:val="es-ES"/>
        </w:rPr>
        <w:t xml:space="preserve"> 12</w:t>
      </w:r>
      <w:r w:rsidR="00D045D0" w:rsidRPr="7FB183ED">
        <w:rPr>
          <w:rStyle w:val="normaltextrun"/>
          <w:rFonts w:ascii="Cambria" w:hAnsi="Cambria"/>
          <w:color w:val="000000" w:themeColor="text1"/>
          <w:sz w:val="20"/>
          <w:szCs w:val="20"/>
          <w:lang w:val="es-ES"/>
        </w:rPr>
        <w:t xml:space="preserve"> y 31 de</w:t>
      </w:r>
      <w:r w:rsidR="00D1651F" w:rsidRPr="7FB183ED">
        <w:rPr>
          <w:rStyle w:val="normaltextrun"/>
          <w:rFonts w:ascii="Cambria" w:hAnsi="Cambria"/>
          <w:color w:val="000000" w:themeColor="text1"/>
          <w:sz w:val="20"/>
          <w:szCs w:val="20"/>
          <w:lang w:val="es-ES"/>
        </w:rPr>
        <w:t xml:space="preserve"> </w:t>
      </w:r>
      <w:r w:rsidRPr="7FB183ED">
        <w:rPr>
          <w:rStyle w:val="normaltextrun"/>
          <w:rFonts w:ascii="Cambria" w:hAnsi="Cambria"/>
          <w:color w:val="000000" w:themeColor="text1"/>
          <w:sz w:val="20"/>
          <w:szCs w:val="20"/>
          <w:lang w:val="es-ES"/>
        </w:rPr>
        <w:t>octubre de 2022. </w:t>
      </w:r>
      <w:r w:rsidRPr="7FB183ED">
        <w:rPr>
          <w:rStyle w:val="eop"/>
          <w:rFonts w:ascii="Cambria" w:eastAsiaTheme="majorEastAsia" w:hAnsi="Cambria"/>
          <w:color w:val="000000" w:themeColor="text1"/>
          <w:sz w:val="20"/>
          <w:szCs w:val="20"/>
          <w:lang w:val="es-CO"/>
        </w:rPr>
        <w:t> </w:t>
      </w:r>
    </w:p>
    <w:p w14:paraId="465B7C9E" w14:textId="77777777" w:rsidR="00B0087C" w:rsidRPr="00B0087C" w:rsidRDefault="00B0087C" w:rsidP="7FB183ED">
      <w:pPr>
        <w:pStyle w:val="paragraph"/>
        <w:spacing w:before="0" w:beforeAutospacing="0" w:after="0" w:afterAutospacing="0"/>
        <w:ind w:firstLine="720"/>
        <w:jc w:val="both"/>
        <w:textAlignment w:val="baseline"/>
        <w:rPr>
          <w:rFonts w:ascii="Cambria" w:hAnsi="Cambria"/>
          <w:color w:val="000000" w:themeColor="text1"/>
          <w:sz w:val="20"/>
          <w:szCs w:val="20"/>
          <w:lang w:val="es-CO"/>
        </w:rPr>
      </w:pPr>
      <w:r w:rsidRPr="7FB183ED">
        <w:rPr>
          <w:rStyle w:val="eop"/>
          <w:rFonts w:ascii="Cambria" w:eastAsiaTheme="majorEastAsia" w:hAnsi="Cambria"/>
          <w:color w:val="000000" w:themeColor="text1"/>
          <w:sz w:val="20"/>
          <w:szCs w:val="20"/>
          <w:lang w:val="es-CO"/>
        </w:rPr>
        <w:t> </w:t>
      </w:r>
    </w:p>
    <w:p w14:paraId="3EC898B5" w14:textId="2F76F8AD" w:rsidR="00B0087C" w:rsidRPr="00B0087C" w:rsidRDefault="00B0087C" w:rsidP="7FB183ED">
      <w:pPr>
        <w:pStyle w:val="paragraph"/>
        <w:numPr>
          <w:ilvl w:val="0"/>
          <w:numId w:val="2"/>
        </w:numPr>
        <w:spacing w:before="0" w:beforeAutospacing="0" w:after="0" w:afterAutospacing="0"/>
        <w:jc w:val="both"/>
        <w:textAlignment w:val="baseline"/>
        <w:rPr>
          <w:rFonts w:ascii="Cambria" w:hAnsi="Cambria"/>
          <w:color w:val="000000" w:themeColor="text1"/>
          <w:sz w:val="20"/>
          <w:szCs w:val="20"/>
          <w:lang w:val="es-CO"/>
        </w:rPr>
      </w:pPr>
      <w:r w:rsidRPr="7FB183ED">
        <w:rPr>
          <w:rStyle w:val="normaltextrun"/>
          <w:rFonts w:ascii="Cambria" w:hAnsi="Cambria"/>
          <w:color w:val="000000" w:themeColor="text1"/>
          <w:sz w:val="20"/>
          <w:szCs w:val="20"/>
          <w:lang w:val="es-ES"/>
        </w:rPr>
        <w:t>La CIDH solicitó información a la parte peticionaria sobre el cumplimiento de las recomendaciones el 25 de agosto de 2022</w:t>
      </w:r>
      <w:r w:rsidR="00E47C76" w:rsidRPr="7FB183ED">
        <w:rPr>
          <w:rStyle w:val="normaltextrun"/>
          <w:rFonts w:ascii="Cambria" w:hAnsi="Cambria"/>
          <w:color w:val="000000" w:themeColor="text1"/>
          <w:sz w:val="20"/>
          <w:szCs w:val="20"/>
          <w:lang w:val="es-ES"/>
        </w:rPr>
        <w:t>. A la fecha de cierre del presente informe,</w:t>
      </w:r>
      <w:r w:rsidRPr="7FB183ED">
        <w:rPr>
          <w:rStyle w:val="normaltextrun"/>
          <w:rFonts w:ascii="Cambria" w:hAnsi="Cambria"/>
          <w:color w:val="000000" w:themeColor="text1"/>
          <w:sz w:val="20"/>
          <w:szCs w:val="20"/>
          <w:lang w:val="es-ES"/>
        </w:rPr>
        <w:t xml:space="preserve"> la parte peticionaria </w:t>
      </w:r>
      <w:r w:rsidR="00E47C76" w:rsidRPr="7FB183ED">
        <w:rPr>
          <w:rStyle w:val="normaltextrun"/>
          <w:rFonts w:ascii="Cambria" w:hAnsi="Cambria"/>
          <w:color w:val="000000" w:themeColor="text1"/>
          <w:sz w:val="20"/>
          <w:szCs w:val="20"/>
          <w:lang w:val="es-ES"/>
        </w:rPr>
        <w:t>no había proporcionado la información solicitada</w:t>
      </w:r>
      <w:r w:rsidRPr="7FB183ED">
        <w:rPr>
          <w:rStyle w:val="normaltextrun"/>
          <w:rFonts w:ascii="Cambria" w:hAnsi="Cambria"/>
          <w:color w:val="000000" w:themeColor="text1"/>
          <w:sz w:val="20"/>
          <w:szCs w:val="20"/>
          <w:lang w:val="es-ES"/>
        </w:rPr>
        <w:t>.</w:t>
      </w:r>
      <w:r w:rsidRPr="7FB183ED">
        <w:rPr>
          <w:rStyle w:val="eop"/>
          <w:rFonts w:ascii="Cambria" w:eastAsiaTheme="majorEastAsia" w:hAnsi="Cambria"/>
          <w:color w:val="000000" w:themeColor="text1"/>
          <w:sz w:val="20"/>
          <w:szCs w:val="20"/>
          <w:lang w:val="es-CO"/>
        </w:rPr>
        <w:t> </w:t>
      </w:r>
    </w:p>
    <w:p w14:paraId="30973364" w14:textId="77777777" w:rsidR="00B0087C" w:rsidRPr="00B0087C" w:rsidRDefault="00B0087C" w:rsidP="7FB183ED">
      <w:pPr>
        <w:pStyle w:val="paragraph"/>
        <w:spacing w:before="0" w:beforeAutospacing="0" w:after="0" w:afterAutospacing="0"/>
        <w:ind w:firstLine="720"/>
        <w:jc w:val="both"/>
        <w:textAlignment w:val="baseline"/>
        <w:rPr>
          <w:rFonts w:ascii="Cambria" w:hAnsi="Cambria"/>
          <w:color w:val="000000" w:themeColor="text1"/>
          <w:sz w:val="20"/>
          <w:szCs w:val="20"/>
          <w:lang w:val="es-CO"/>
        </w:rPr>
      </w:pPr>
      <w:r w:rsidRPr="7FB183ED">
        <w:rPr>
          <w:rStyle w:val="eop"/>
          <w:rFonts w:ascii="Cambria" w:eastAsiaTheme="majorEastAsia" w:hAnsi="Cambria"/>
          <w:color w:val="000000" w:themeColor="text1"/>
          <w:sz w:val="20"/>
          <w:szCs w:val="20"/>
          <w:lang w:val="es-CO"/>
        </w:rPr>
        <w:t> </w:t>
      </w:r>
    </w:p>
    <w:p w14:paraId="339B62CA" w14:textId="4ED1F34C" w:rsidR="00B0087C" w:rsidRPr="00B0087C" w:rsidRDefault="00B0087C" w:rsidP="7FB183ED">
      <w:pPr>
        <w:pStyle w:val="paragraph"/>
        <w:numPr>
          <w:ilvl w:val="0"/>
          <w:numId w:val="3"/>
        </w:numPr>
        <w:spacing w:before="0" w:beforeAutospacing="0" w:after="0" w:afterAutospacing="0"/>
        <w:jc w:val="both"/>
        <w:textAlignment w:val="baseline"/>
        <w:rPr>
          <w:rFonts w:ascii="Cambria" w:hAnsi="Cambria"/>
          <w:color w:val="000000" w:themeColor="text1"/>
          <w:sz w:val="20"/>
          <w:szCs w:val="20"/>
          <w:lang w:val="es-CO"/>
        </w:rPr>
      </w:pPr>
      <w:r w:rsidRPr="7FB183ED">
        <w:rPr>
          <w:rStyle w:val="normaltextrun"/>
          <w:rFonts w:ascii="Cambria" w:hAnsi="Cambria"/>
          <w:b/>
          <w:bCs/>
          <w:color w:val="000000" w:themeColor="text1"/>
          <w:sz w:val="20"/>
          <w:szCs w:val="20"/>
          <w:lang w:val="es-ES"/>
        </w:rPr>
        <w:t>Análisis relativo a la información proporcionada</w:t>
      </w:r>
      <w:r w:rsidRPr="7FB183ED">
        <w:rPr>
          <w:rStyle w:val="eop"/>
          <w:rFonts w:ascii="Cambria" w:eastAsiaTheme="majorEastAsia" w:hAnsi="Cambria"/>
          <w:color w:val="000000" w:themeColor="text1"/>
          <w:sz w:val="20"/>
          <w:szCs w:val="20"/>
          <w:lang w:val="es-CO"/>
        </w:rPr>
        <w:t> </w:t>
      </w:r>
    </w:p>
    <w:p w14:paraId="6B29A297" w14:textId="77777777" w:rsidR="00B0087C" w:rsidRPr="00B0087C" w:rsidRDefault="00B0087C" w:rsidP="7FB183ED">
      <w:pPr>
        <w:pStyle w:val="paragraph"/>
        <w:spacing w:before="0" w:beforeAutospacing="0" w:after="0" w:afterAutospacing="0"/>
        <w:ind w:firstLine="720"/>
        <w:jc w:val="both"/>
        <w:textAlignment w:val="baseline"/>
        <w:rPr>
          <w:rFonts w:ascii="Cambria" w:hAnsi="Cambria"/>
          <w:color w:val="000000" w:themeColor="text1"/>
          <w:sz w:val="20"/>
          <w:szCs w:val="20"/>
          <w:lang w:val="es-CO"/>
        </w:rPr>
      </w:pPr>
      <w:r w:rsidRPr="7FB183ED">
        <w:rPr>
          <w:rStyle w:val="eop"/>
          <w:rFonts w:ascii="Cambria" w:eastAsiaTheme="majorEastAsia" w:hAnsi="Cambria"/>
          <w:color w:val="000000" w:themeColor="text1"/>
          <w:sz w:val="20"/>
          <w:szCs w:val="20"/>
          <w:lang w:val="es-CO"/>
        </w:rPr>
        <w:t> </w:t>
      </w:r>
    </w:p>
    <w:p w14:paraId="374F7870" w14:textId="7DA726E7" w:rsidR="00B0087C" w:rsidRPr="00B0087C" w:rsidRDefault="00B0087C" w:rsidP="7FB183ED">
      <w:pPr>
        <w:pStyle w:val="paragraph"/>
        <w:numPr>
          <w:ilvl w:val="0"/>
          <w:numId w:val="2"/>
        </w:numPr>
        <w:spacing w:before="0" w:beforeAutospacing="0" w:after="0" w:afterAutospacing="0"/>
        <w:jc w:val="both"/>
        <w:textAlignment w:val="baseline"/>
        <w:rPr>
          <w:rFonts w:ascii="Calibri" w:hAnsi="Calibri" w:cs="Calibri"/>
          <w:color w:val="000000" w:themeColor="text1"/>
          <w:sz w:val="20"/>
          <w:szCs w:val="20"/>
          <w:lang w:val="es-CO"/>
        </w:rPr>
      </w:pPr>
      <w:r w:rsidRPr="7FB183ED">
        <w:rPr>
          <w:rStyle w:val="normaltextrun"/>
          <w:rFonts w:ascii="Cambria" w:hAnsi="Cambria" w:cs="Calibri"/>
          <w:color w:val="000000" w:themeColor="text1"/>
          <w:sz w:val="20"/>
          <w:szCs w:val="20"/>
          <w:lang w:val="es-ES"/>
        </w:rPr>
        <w:t xml:space="preserve">La Comisión considera que la información proporcionada por </w:t>
      </w:r>
      <w:r w:rsidR="00E47C76" w:rsidRPr="7FB183ED">
        <w:rPr>
          <w:rStyle w:val="normaltextrun"/>
          <w:rFonts w:ascii="Cambria" w:hAnsi="Cambria" w:cs="Calibri"/>
          <w:color w:val="000000" w:themeColor="text1"/>
          <w:sz w:val="20"/>
          <w:szCs w:val="20"/>
          <w:lang w:val="es-ES"/>
        </w:rPr>
        <w:t>el Estado</w:t>
      </w:r>
      <w:r w:rsidRPr="7FB183ED">
        <w:rPr>
          <w:rStyle w:val="normaltextrun"/>
          <w:rFonts w:ascii="Cambria" w:hAnsi="Cambria" w:cs="Calibri"/>
          <w:color w:val="000000" w:themeColor="text1"/>
          <w:sz w:val="20"/>
          <w:szCs w:val="20"/>
          <w:lang w:val="es-ES"/>
        </w:rPr>
        <w:t xml:space="preserve"> en 2022 es relevante para actualizar el seguimiento del caso puesto que se refiere a medidas de cumplimiento de al menos una de las recomendaciones incluidas en el Informe de Fondo Nº </w:t>
      </w:r>
      <w:r w:rsidR="00E47C76" w:rsidRPr="7FB183ED">
        <w:rPr>
          <w:rStyle w:val="normaltextrun"/>
          <w:rFonts w:ascii="Cambria" w:hAnsi="Cambria" w:cs="Calibri"/>
          <w:color w:val="000000" w:themeColor="text1"/>
          <w:sz w:val="20"/>
          <w:szCs w:val="20"/>
          <w:lang w:val="es-ES"/>
        </w:rPr>
        <w:t>460</w:t>
      </w:r>
      <w:r w:rsidRPr="7FB183ED">
        <w:rPr>
          <w:rStyle w:val="normaltextrun"/>
          <w:rFonts w:ascii="Cambria" w:hAnsi="Cambria" w:cs="Calibri"/>
          <w:color w:val="000000" w:themeColor="text1"/>
          <w:sz w:val="20"/>
          <w:szCs w:val="20"/>
          <w:lang w:val="es-ES"/>
        </w:rPr>
        <w:t>/21. </w:t>
      </w:r>
      <w:r w:rsidRPr="7FB183ED">
        <w:rPr>
          <w:rStyle w:val="eop"/>
          <w:rFonts w:ascii="Cambria" w:eastAsiaTheme="majorEastAsia" w:hAnsi="Cambria" w:cs="Calibri"/>
          <w:color w:val="000000" w:themeColor="text1"/>
          <w:sz w:val="20"/>
          <w:szCs w:val="20"/>
          <w:lang w:val="es-CO"/>
        </w:rPr>
        <w:t> </w:t>
      </w:r>
    </w:p>
    <w:p w14:paraId="7ECC24A5" w14:textId="77777777" w:rsidR="00B0087C" w:rsidRPr="00B0087C" w:rsidRDefault="00B0087C" w:rsidP="7FB183ED">
      <w:pPr>
        <w:pStyle w:val="paragraph"/>
        <w:spacing w:before="0" w:beforeAutospacing="0" w:after="0" w:afterAutospacing="0"/>
        <w:ind w:firstLine="720"/>
        <w:jc w:val="both"/>
        <w:textAlignment w:val="baseline"/>
        <w:rPr>
          <w:rFonts w:ascii="Cambria" w:hAnsi="Cambria"/>
          <w:color w:val="000000" w:themeColor="text1"/>
          <w:sz w:val="20"/>
          <w:szCs w:val="20"/>
          <w:lang w:val="es-CO"/>
        </w:rPr>
      </w:pPr>
      <w:r w:rsidRPr="7FB183ED">
        <w:rPr>
          <w:rStyle w:val="eop"/>
          <w:rFonts w:ascii="Calibri" w:eastAsiaTheme="majorEastAsia" w:hAnsi="Calibri" w:cs="Calibri"/>
          <w:color w:val="000000" w:themeColor="text1"/>
          <w:sz w:val="20"/>
          <w:szCs w:val="20"/>
          <w:lang w:val="es-CO"/>
        </w:rPr>
        <w:t> </w:t>
      </w:r>
    </w:p>
    <w:p w14:paraId="78A6C47A" w14:textId="4C42E257" w:rsidR="00B0087C" w:rsidRPr="00B0087C" w:rsidRDefault="00B0087C" w:rsidP="7FB183ED">
      <w:pPr>
        <w:pStyle w:val="paragraph"/>
        <w:numPr>
          <w:ilvl w:val="0"/>
          <w:numId w:val="3"/>
        </w:numPr>
        <w:spacing w:before="0" w:beforeAutospacing="0" w:after="0" w:afterAutospacing="0"/>
        <w:jc w:val="both"/>
        <w:textAlignment w:val="baseline"/>
        <w:rPr>
          <w:rFonts w:ascii="Calibri" w:hAnsi="Calibri" w:cs="Calibri"/>
          <w:color w:val="000000" w:themeColor="text1"/>
          <w:sz w:val="20"/>
          <w:szCs w:val="20"/>
          <w:lang w:val="es-CO"/>
        </w:rPr>
      </w:pPr>
      <w:r w:rsidRPr="7FB183ED">
        <w:rPr>
          <w:rStyle w:val="normaltextrun"/>
          <w:rFonts w:ascii="Cambria" w:hAnsi="Cambria" w:cs="Calibri"/>
          <w:b/>
          <w:bCs/>
          <w:color w:val="000000" w:themeColor="text1"/>
          <w:sz w:val="20"/>
          <w:szCs w:val="20"/>
          <w:lang w:val="es-US"/>
        </w:rPr>
        <w:t>Análisis del cumplimiento de las recomendaciones</w:t>
      </w:r>
      <w:r w:rsidRPr="7FB183ED">
        <w:rPr>
          <w:rStyle w:val="eop"/>
          <w:rFonts w:ascii="Cambria" w:eastAsiaTheme="majorEastAsia" w:hAnsi="Cambria" w:cs="Calibri"/>
          <w:color w:val="000000" w:themeColor="text1"/>
          <w:sz w:val="20"/>
          <w:szCs w:val="20"/>
          <w:lang w:val="es-CO"/>
        </w:rPr>
        <w:t> </w:t>
      </w:r>
    </w:p>
    <w:p w14:paraId="30CC63F3" w14:textId="77777777" w:rsidR="00B0087C" w:rsidRPr="00B0087C" w:rsidRDefault="00B0087C" w:rsidP="7FB183ED">
      <w:pPr>
        <w:pStyle w:val="paragraph"/>
        <w:spacing w:before="0" w:beforeAutospacing="0" w:after="0" w:afterAutospacing="0"/>
        <w:ind w:firstLine="720"/>
        <w:textAlignment w:val="baseline"/>
        <w:rPr>
          <w:rFonts w:ascii="Cambria" w:hAnsi="Cambria"/>
          <w:color w:val="000000" w:themeColor="text1"/>
          <w:sz w:val="20"/>
          <w:szCs w:val="20"/>
          <w:lang w:val="es-CO"/>
        </w:rPr>
      </w:pPr>
      <w:r w:rsidRPr="7FB183ED">
        <w:rPr>
          <w:rStyle w:val="eop"/>
          <w:rFonts w:ascii="Cambria" w:eastAsiaTheme="majorEastAsia" w:hAnsi="Cambria"/>
          <w:color w:val="000000" w:themeColor="text1"/>
          <w:sz w:val="20"/>
          <w:szCs w:val="20"/>
          <w:lang w:val="es-CO"/>
        </w:rPr>
        <w:t> </w:t>
      </w:r>
    </w:p>
    <w:p w14:paraId="2C231CD9" w14:textId="72E076C8" w:rsidR="00B0087C" w:rsidRPr="00E47C76" w:rsidRDefault="00B0087C" w:rsidP="7FB183ED">
      <w:pPr>
        <w:pStyle w:val="paragraph"/>
        <w:numPr>
          <w:ilvl w:val="0"/>
          <w:numId w:val="2"/>
        </w:numPr>
        <w:spacing w:before="0" w:beforeAutospacing="0" w:after="0" w:afterAutospacing="0"/>
        <w:jc w:val="both"/>
        <w:textAlignment w:val="baseline"/>
        <w:rPr>
          <w:rStyle w:val="normaltextrun"/>
          <w:rFonts w:ascii="Cambria" w:hAnsi="Cambria"/>
          <w:color w:val="000000" w:themeColor="text1"/>
          <w:sz w:val="20"/>
          <w:szCs w:val="20"/>
          <w:lang w:val="es-CO"/>
        </w:rPr>
      </w:pPr>
      <w:r w:rsidRPr="7FB183ED">
        <w:rPr>
          <w:rStyle w:val="normaltextrun"/>
          <w:rFonts w:ascii="Cambria" w:hAnsi="Cambria"/>
          <w:b/>
          <w:bCs/>
          <w:color w:val="000000" w:themeColor="text1"/>
          <w:sz w:val="20"/>
          <w:szCs w:val="20"/>
          <w:lang w:val="es-ES"/>
        </w:rPr>
        <w:t>Respecto de la primera recomendación</w:t>
      </w:r>
      <w:r w:rsidRPr="7FB183ED">
        <w:rPr>
          <w:rStyle w:val="normaltextrun"/>
          <w:rFonts w:ascii="Cambria" w:hAnsi="Cambria"/>
          <w:color w:val="000000" w:themeColor="text1"/>
          <w:sz w:val="20"/>
          <w:szCs w:val="20"/>
          <w:lang w:val="es-ES"/>
        </w:rPr>
        <w:t>,</w:t>
      </w:r>
      <w:r w:rsidR="00D045D0" w:rsidRPr="7FB183ED">
        <w:rPr>
          <w:rStyle w:val="normaltextrun"/>
          <w:rFonts w:ascii="Cambria" w:hAnsi="Cambria"/>
          <w:color w:val="000000" w:themeColor="text1"/>
          <w:sz w:val="20"/>
          <w:szCs w:val="20"/>
          <w:lang w:val="es-ES"/>
        </w:rPr>
        <w:t xml:space="preserve"> en 2022, el Estado informó a la CIDH que ya habían sido designados los tres árbitros que constituirán el Tribunal Arbitral para determinar la indemnización a reconocer a la víctima del caso, así como las reglas de procedimiento que serán aplicables. Indicó que, una vez se constituye formalmente el Tribunal, este dará inicio al proceso arbitral correspondiente. Por otra parte, el Estado informó que había remitido el Informe de Fondo del caso y el acuerdo de cumplimiento a la Junta Federal de Cortes, a la Corte Suprema de Justicia, al Juzgado Federal No. 1, a la Cámara Federal de Apelaciones de Mendoza, según lo acordado por las partes. </w:t>
      </w:r>
    </w:p>
    <w:p w14:paraId="23758590" w14:textId="77777777" w:rsidR="00E47C76" w:rsidRPr="00E47C76" w:rsidRDefault="00E47C76" w:rsidP="7FB183ED">
      <w:pPr>
        <w:pStyle w:val="paragraph"/>
        <w:spacing w:before="0" w:beforeAutospacing="0" w:after="0" w:afterAutospacing="0"/>
        <w:ind w:left="720"/>
        <w:jc w:val="both"/>
        <w:textAlignment w:val="baseline"/>
        <w:rPr>
          <w:rStyle w:val="normaltextrun"/>
          <w:rFonts w:ascii="Cambria" w:hAnsi="Cambria"/>
          <w:color w:val="000000" w:themeColor="text1"/>
          <w:sz w:val="20"/>
          <w:szCs w:val="20"/>
          <w:lang w:val="es-CO"/>
        </w:rPr>
      </w:pPr>
    </w:p>
    <w:p w14:paraId="6C53D713" w14:textId="4D8D56C0" w:rsidR="00E47C76" w:rsidRPr="00B0087C" w:rsidRDefault="00E47C76" w:rsidP="7FB183ED">
      <w:pPr>
        <w:pStyle w:val="paragraph"/>
        <w:numPr>
          <w:ilvl w:val="0"/>
          <w:numId w:val="2"/>
        </w:numPr>
        <w:spacing w:before="0" w:beforeAutospacing="0" w:after="0" w:afterAutospacing="0"/>
        <w:jc w:val="both"/>
        <w:textAlignment w:val="baseline"/>
        <w:rPr>
          <w:rFonts w:ascii="Cambria" w:hAnsi="Cambria"/>
          <w:color w:val="000000" w:themeColor="text1"/>
          <w:sz w:val="20"/>
          <w:szCs w:val="20"/>
          <w:lang w:val="es-CO"/>
        </w:rPr>
      </w:pPr>
      <w:r w:rsidRPr="7FB183ED">
        <w:rPr>
          <w:rFonts w:ascii="Cambria" w:hAnsi="Cambria"/>
          <w:color w:val="000000" w:themeColor="text1"/>
          <w:sz w:val="20"/>
          <w:szCs w:val="20"/>
          <w:lang w:val="es-CO"/>
        </w:rPr>
        <w:t xml:space="preserve">La CIDH agradece al Estado la información proporcionada. Por un lado, valora que ya se hayan designado a los árbitros que constituirán el Tribunal Arbitral e invita a proporcionar la información relativa a los avances en el cumplimiento de la cláusula correspondiente al pago de la indemnización. Por su parte, la CIDH considera que el Estado proporcionó la información específica para acreditar el cumplimiento de la cláusula A1 y A3 como medidas de reparación no pecuniaria, aunque la primera había sido cumplida desde antes de la publicación del informe de fondo bajo seguimiento. De acuerdo con lo anterior, la recomendación número 1 está parcialmente cumplida.  </w:t>
      </w:r>
    </w:p>
    <w:p w14:paraId="7AA17C52" w14:textId="77777777" w:rsidR="009A4DAF" w:rsidRDefault="009A4DAF" w:rsidP="7FB183ED">
      <w:pPr>
        <w:pStyle w:val="paragraph"/>
        <w:spacing w:before="0" w:beforeAutospacing="0" w:after="0" w:afterAutospacing="0"/>
        <w:textAlignment w:val="baseline"/>
        <w:rPr>
          <w:rFonts w:ascii="Segoe UI" w:hAnsi="Segoe UI" w:cs="Segoe UI"/>
          <w:color w:val="000000" w:themeColor="text1"/>
          <w:sz w:val="18"/>
          <w:szCs w:val="18"/>
        </w:rPr>
      </w:pPr>
      <w:r w:rsidRPr="7FB183ED">
        <w:rPr>
          <w:rStyle w:val="eop"/>
          <w:rFonts w:ascii="Calibri" w:hAnsi="Calibri" w:cs="Calibri"/>
          <w:color w:val="000000" w:themeColor="text1"/>
          <w:sz w:val="20"/>
          <w:szCs w:val="20"/>
        </w:rPr>
        <w:t> </w:t>
      </w:r>
    </w:p>
    <w:p w14:paraId="202B5671" w14:textId="4369B8D5" w:rsidR="009A4DAF" w:rsidRPr="009A4DAF" w:rsidRDefault="009A4DAF" w:rsidP="7FB183ED">
      <w:pPr>
        <w:pStyle w:val="paragraph"/>
        <w:numPr>
          <w:ilvl w:val="0"/>
          <w:numId w:val="3"/>
        </w:numPr>
        <w:spacing w:before="0" w:beforeAutospacing="0" w:after="0" w:afterAutospacing="0"/>
        <w:jc w:val="both"/>
        <w:textAlignment w:val="baseline"/>
        <w:rPr>
          <w:rFonts w:ascii="Cambria" w:hAnsi="Cambria" w:cs="Segoe UI"/>
          <w:color w:val="000000" w:themeColor="text1"/>
          <w:sz w:val="20"/>
          <w:szCs w:val="20"/>
          <w:lang w:val="es-CO"/>
        </w:rPr>
      </w:pPr>
      <w:r w:rsidRPr="7FB183ED">
        <w:rPr>
          <w:rStyle w:val="normaltextrun"/>
          <w:rFonts w:ascii="Cambria" w:eastAsiaTheme="majorEastAsia" w:hAnsi="Cambria" w:cs="Segoe UI"/>
          <w:b/>
          <w:bCs/>
          <w:color w:val="000000" w:themeColor="text1"/>
          <w:sz w:val="20"/>
          <w:szCs w:val="20"/>
          <w:lang w:val="es-ES"/>
        </w:rPr>
        <w:t>Nivel del cumplimiento del caso </w:t>
      </w:r>
      <w:r w:rsidRPr="7FB183ED">
        <w:rPr>
          <w:rStyle w:val="eop"/>
          <w:rFonts w:ascii="Cambria" w:hAnsi="Cambria" w:cs="Segoe UI"/>
          <w:color w:val="000000" w:themeColor="text1"/>
          <w:sz w:val="20"/>
          <w:szCs w:val="20"/>
          <w:lang w:val="es-CO"/>
        </w:rPr>
        <w:t> </w:t>
      </w:r>
    </w:p>
    <w:p w14:paraId="39A0023F" w14:textId="77777777" w:rsidR="009A4DAF" w:rsidRPr="009A4DAF" w:rsidRDefault="009A4DAF" w:rsidP="7FB183ED">
      <w:pPr>
        <w:pStyle w:val="paragraph"/>
        <w:spacing w:before="0" w:beforeAutospacing="0" w:after="0" w:afterAutospacing="0"/>
        <w:ind w:firstLine="720"/>
        <w:jc w:val="both"/>
        <w:textAlignment w:val="baseline"/>
        <w:rPr>
          <w:rFonts w:ascii="Segoe UI" w:hAnsi="Segoe UI" w:cs="Segoe UI"/>
          <w:color w:val="000000" w:themeColor="text1"/>
          <w:sz w:val="18"/>
          <w:szCs w:val="18"/>
          <w:lang w:val="es-CO"/>
        </w:rPr>
      </w:pPr>
      <w:r w:rsidRPr="7FB183ED">
        <w:rPr>
          <w:rStyle w:val="eop"/>
          <w:rFonts w:ascii="Cambria" w:hAnsi="Cambria" w:cs="Segoe UI"/>
          <w:color w:val="000000" w:themeColor="text1"/>
          <w:sz w:val="20"/>
          <w:szCs w:val="20"/>
          <w:lang w:val="es-CO"/>
        </w:rPr>
        <w:t> </w:t>
      </w:r>
    </w:p>
    <w:p w14:paraId="63009C9B" w14:textId="77777777" w:rsidR="009A4DAF" w:rsidRPr="009A4DAF" w:rsidRDefault="009A4DAF" w:rsidP="7FB183ED">
      <w:pPr>
        <w:pStyle w:val="paragraph"/>
        <w:numPr>
          <w:ilvl w:val="0"/>
          <w:numId w:val="28"/>
        </w:numPr>
        <w:spacing w:before="0" w:beforeAutospacing="0" w:after="0" w:afterAutospacing="0"/>
        <w:ind w:left="0" w:firstLine="720"/>
        <w:jc w:val="both"/>
        <w:textAlignment w:val="baseline"/>
        <w:rPr>
          <w:rStyle w:val="normaltextrun"/>
          <w:rFonts w:ascii="Cambria" w:hAnsi="Cambria" w:cs="Segoe UI"/>
          <w:color w:val="000000" w:themeColor="text1"/>
          <w:sz w:val="20"/>
          <w:szCs w:val="20"/>
          <w:lang w:val="es-CO"/>
        </w:rPr>
      </w:pPr>
      <w:r w:rsidRPr="7FB183ED">
        <w:rPr>
          <w:rStyle w:val="normaltextrun"/>
          <w:rFonts w:ascii="Cambria" w:eastAsiaTheme="majorEastAsia" w:hAnsi="Cambria" w:cs="Segoe UI"/>
          <w:color w:val="000000" w:themeColor="text1"/>
          <w:sz w:val="20"/>
          <w:szCs w:val="20"/>
          <w:lang w:val="es-ES"/>
        </w:rPr>
        <w:t>Por lo anterior, la Comisión concluye que el nivel de cumplimiento del caso es parcial y continuará dando seguimiento a la recomendación número 1.</w:t>
      </w:r>
    </w:p>
    <w:p w14:paraId="4A82F285" w14:textId="0ABF2BD1" w:rsidR="009A4DAF" w:rsidRPr="009A4DAF" w:rsidRDefault="009A4DAF" w:rsidP="7FB183ED">
      <w:pPr>
        <w:pStyle w:val="paragraph"/>
        <w:spacing w:before="0" w:beforeAutospacing="0" w:after="0" w:afterAutospacing="0"/>
        <w:ind w:left="720"/>
        <w:jc w:val="both"/>
        <w:textAlignment w:val="baseline"/>
        <w:rPr>
          <w:rFonts w:ascii="Cambria" w:hAnsi="Cambria" w:cs="Segoe UI"/>
          <w:color w:val="000000" w:themeColor="text1"/>
          <w:sz w:val="20"/>
          <w:szCs w:val="20"/>
          <w:lang w:val="es-CO"/>
        </w:rPr>
      </w:pPr>
      <w:r w:rsidRPr="7FB183ED">
        <w:rPr>
          <w:rStyle w:val="eop"/>
          <w:rFonts w:ascii="Cambria" w:hAnsi="Cambria" w:cs="Segoe UI"/>
          <w:color w:val="000000" w:themeColor="text1"/>
          <w:sz w:val="20"/>
          <w:szCs w:val="20"/>
          <w:lang w:val="es-CO"/>
        </w:rPr>
        <w:t> </w:t>
      </w:r>
    </w:p>
    <w:p w14:paraId="1C9EA4AC" w14:textId="77777777" w:rsidR="009A4DAF" w:rsidRPr="009A4DAF" w:rsidRDefault="009A4DAF" w:rsidP="7FB183ED">
      <w:pPr>
        <w:pStyle w:val="paragraph"/>
        <w:numPr>
          <w:ilvl w:val="0"/>
          <w:numId w:val="29"/>
        </w:numPr>
        <w:spacing w:before="0" w:beforeAutospacing="0" w:after="0" w:afterAutospacing="0"/>
        <w:ind w:left="0" w:firstLine="720"/>
        <w:jc w:val="both"/>
        <w:textAlignment w:val="baseline"/>
        <w:rPr>
          <w:rFonts w:ascii="Cambria" w:hAnsi="Cambria" w:cs="Segoe UI"/>
          <w:color w:val="000000" w:themeColor="text1"/>
          <w:sz w:val="20"/>
          <w:szCs w:val="20"/>
          <w:lang w:val="es-CO"/>
        </w:rPr>
      </w:pPr>
      <w:r w:rsidRPr="7FB183ED">
        <w:rPr>
          <w:rStyle w:val="normaltextrun"/>
          <w:rFonts w:ascii="Cambria" w:eastAsiaTheme="majorEastAsia" w:hAnsi="Cambria" w:cs="Segoe UI"/>
          <w:b/>
          <w:bCs/>
          <w:color w:val="000000" w:themeColor="text1"/>
          <w:sz w:val="20"/>
          <w:szCs w:val="20"/>
          <w:lang w:val="es-ES"/>
        </w:rPr>
        <w:t>Resultados individuales y estructurales del caso </w:t>
      </w:r>
      <w:r w:rsidRPr="7FB183ED">
        <w:rPr>
          <w:rStyle w:val="eop"/>
          <w:rFonts w:ascii="Cambria" w:hAnsi="Cambria" w:cs="Segoe UI"/>
          <w:color w:val="000000" w:themeColor="text1"/>
          <w:sz w:val="20"/>
          <w:szCs w:val="20"/>
          <w:lang w:val="es-CO"/>
        </w:rPr>
        <w:t> </w:t>
      </w:r>
    </w:p>
    <w:p w14:paraId="0D20117C" w14:textId="77777777" w:rsidR="009A4DAF" w:rsidRPr="009A4DAF" w:rsidRDefault="009A4DAF" w:rsidP="7FB183ED">
      <w:pPr>
        <w:pStyle w:val="paragraph"/>
        <w:spacing w:before="0" w:beforeAutospacing="0" w:after="0" w:afterAutospacing="0"/>
        <w:ind w:firstLine="720"/>
        <w:jc w:val="both"/>
        <w:textAlignment w:val="baseline"/>
        <w:rPr>
          <w:rFonts w:ascii="Segoe UI" w:hAnsi="Segoe UI" w:cs="Segoe UI"/>
          <w:color w:val="000000" w:themeColor="text1"/>
          <w:sz w:val="18"/>
          <w:szCs w:val="18"/>
          <w:lang w:val="es-CO"/>
        </w:rPr>
      </w:pPr>
      <w:r w:rsidRPr="7FB183ED">
        <w:rPr>
          <w:rStyle w:val="eop"/>
          <w:rFonts w:ascii="Cambria" w:hAnsi="Cambria" w:cs="Segoe UI"/>
          <w:color w:val="000000" w:themeColor="text1"/>
          <w:sz w:val="20"/>
          <w:szCs w:val="20"/>
          <w:lang w:val="es-CO"/>
        </w:rPr>
        <w:t> </w:t>
      </w:r>
    </w:p>
    <w:p w14:paraId="224B81F6" w14:textId="1751D052" w:rsidR="009A4DAF" w:rsidRPr="00CB3EDB" w:rsidRDefault="009A4DAF" w:rsidP="7FB183ED">
      <w:pPr>
        <w:pStyle w:val="paragraph"/>
        <w:numPr>
          <w:ilvl w:val="0"/>
          <w:numId w:val="30"/>
        </w:numPr>
        <w:spacing w:before="0" w:beforeAutospacing="0" w:after="0" w:afterAutospacing="0"/>
        <w:ind w:left="0" w:firstLine="720"/>
        <w:jc w:val="both"/>
        <w:textAlignment w:val="baseline"/>
        <w:rPr>
          <w:rStyle w:val="eop"/>
          <w:rFonts w:ascii="Cambria" w:hAnsi="Cambria" w:cs="Segoe UI"/>
          <w:color w:val="000000" w:themeColor="text1"/>
          <w:sz w:val="20"/>
          <w:szCs w:val="20"/>
          <w:lang w:val="es-CO"/>
        </w:rPr>
      </w:pPr>
      <w:r w:rsidRPr="7FB183ED">
        <w:rPr>
          <w:rStyle w:val="normaltextrun"/>
          <w:rFonts w:ascii="Cambria" w:eastAsiaTheme="majorEastAsia" w:hAnsi="Cambria" w:cs="Segoe UI"/>
          <w:color w:val="000000" w:themeColor="text1"/>
          <w:sz w:val="20"/>
          <w:szCs w:val="20"/>
          <w:lang w:val="es-ES"/>
        </w:rPr>
        <w:t>En esta sección se destacan los resultados individuales y estructurales del caso informados por las partes. </w:t>
      </w:r>
      <w:r w:rsidRPr="7FB183ED">
        <w:rPr>
          <w:rStyle w:val="eop"/>
          <w:rFonts w:ascii="Cambria" w:hAnsi="Cambria" w:cs="Segoe UI"/>
          <w:color w:val="000000" w:themeColor="text1"/>
          <w:sz w:val="20"/>
          <w:szCs w:val="20"/>
          <w:lang w:val="es-CO"/>
        </w:rPr>
        <w:t> </w:t>
      </w:r>
    </w:p>
    <w:p w14:paraId="38B1A7CA" w14:textId="77777777" w:rsidR="00CB3EDB" w:rsidRPr="009A4DAF" w:rsidRDefault="00CB3EDB" w:rsidP="7FB183ED">
      <w:pPr>
        <w:pStyle w:val="paragraph"/>
        <w:spacing w:before="0" w:beforeAutospacing="0" w:after="0" w:afterAutospacing="0"/>
        <w:ind w:left="720"/>
        <w:jc w:val="both"/>
        <w:textAlignment w:val="baseline"/>
        <w:rPr>
          <w:rFonts w:ascii="Cambria" w:hAnsi="Cambria" w:cs="Segoe UI"/>
          <w:color w:val="000000" w:themeColor="text1"/>
          <w:sz w:val="20"/>
          <w:szCs w:val="20"/>
          <w:lang w:val="es-CO"/>
        </w:rPr>
      </w:pPr>
    </w:p>
    <w:p w14:paraId="45C591E2" w14:textId="3BA72E08" w:rsidR="009A4DAF" w:rsidRDefault="009A4DAF" w:rsidP="7FB183ED">
      <w:pPr>
        <w:pStyle w:val="paragraph"/>
        <w:numPr>
          <w:ilvl w:val="0"/>
          <w:numId w:val="1"/>
        </w:numPr>
        <w:spacing w:before="0" w:beforeAutospacing="0" w:after="0" w:afterAutospacing="0"/>
        <w:jc w:val="both"/>
        <w:textAlignment w:val="baseline"/>
        <w:rPr>
          <w:rFonts w:ascii="Cambria" w:hAnsi="Cambria" w:cs="Segoe UI"/>
          <w:color w:val="000000" w:themeColor="text1"/>
          <w:sz w:val="20"/>
          <w:szCs w:val="20"/>
        </w:rPr>
      </w:pPr>
      <w:r w:rsidRPr="7FB183ED">
        <w:rPr>
          <w:rStyle w:val="normaltextrun"/>
          <w:rFonts w:ascii="Cambria" w:eastAsiaTheme="majorEastAsia" w:hAnsi="Cambria" w:cs="Segoe UI"/>
          <w:b/>
          <w:bCs/>
          <w:color w:val="000000" w:themeColor="text1"/>
          <w:sz w:val="20"/>
          <w:szCs w:val="20"/>
          <w:lang w:val="es-ES"/>
        </w:rPr>
        <w:t>Resultados individuales del caso</w:t>
      </w:r>
      <w:r w:rsidRPr="7FB183ED">
        <w:rPr>
          <w:rStyle w:val="eop"/>
          <w:rFonts w:ascii="Cambria" w:hAnsi="Cambria" w:cs="Segoe UI"/>
          <w:color w:val="000000" w:themeColor="text1"/>
          <w:sz w:val="20"/>
          <w:szCs w:val="20"/>
        </w:rPr>
        <w:t> </w:t>
      </w:r>
    </w:p>
    <w:p w14:paraId="60E98C87" w14:textId="64565676" w:rsidR="009A4DAF" w:rsidRPr="00D90C16" w:rsidRDefault="009A4DAF" w:rsidP="7FB183ED">
      <w:pPr>
        <w:pStyle w:val="paragraph"/>
        <w:spacing w:before="0" w:beforeAutospacing="0" w:after="0" w:afterAutospacing="0"/>
        <w:ind w:firstLine="720"/>
        <w:jc w:val="both"/>
        <w:textAlignment w:val="baseline"/>
        <w:rPr>
          <w:rFonts w:ascii="Segoe UI" w:hAnsi="Segoe UI" w:cs="Segoe UI"/>
          <w:color w:val="000000" w:themeColor="text1"/>
          <w:sz w:val="18"/>
          <w:szCs w:val="18"/>
        </w:rPr>
      </w:pPr>
      <w:r w:rsidRPr="7FB183ED">
        <w:rPr>
          <w:rStyle w:val="eop"/>
          <w:rFonts w:ascii="Cambria" w:hAnsi="Cambria" w:cs="Segoe UI"/>
          <w:color w:val="000000" w:themeColor="text1"/>
          <w:sz w:val="20"/>
          <w:szCs w:val="20"/>
        </w:rPr>
        <w:t> </w:t>
      </w:r>
      <w:r w:rsidRPr="7FB183ED">
        <w:rPr>
          <w:rStyle w:val="eop"/>
          <w:rFonts w:ascii="Cambria" w:hAnsi="Cambria" w:cs="Segoe UI"/>
          <w:color w:val="000000" w:themeColor="text1"/>
          <w:sz w:val="20"/>
          <w:szCs w:val="20"/>
          <w:lang w:val="es-CO"/>
        </w:rPr>
        <w:t> </w:t>
      </w:r>
    </w:p>
    <w:p w14:paraId="7AC0FBF8" w14:textId="77777777" w:rsidR="009A4DAF" w:rsidRPr="00D90C16" w:rsidRDefault="009A4DAF" w:rsidP="7FB183ED">
      <w:pPr>
        <w:pStyle w:val="paragraph"/>
        <w:spacing w:before="0" w:beforeAutospacing="0" w:after="0" w:afterAutospacing="0"/>
        <w:jc w:val="both"/>
        <w:textAlignment w:val="baseline"/>
        <w:rPr>
          <w:rFonts w:ascii="Segoe UI" w:hAnsi="Segoe UI" w:cs="Segoe UI"/>
          <w:color w:val="000000"/>
          <w:sz w:val="20"/>
          <w:szCs w:val="20"/>
        </w:rPr>
      </w:pPr>
      <w:r w:rsidRPr="7FB183ED">
        <w:rPr>
          <w:rStyle w:val="normaltextrun"/>
          <w:rFonts w:ascii="Cambria" w:eastAsiaTheme="majorEastAsia" w:hAnsi="Cambria" w:cs="Segoe UI"/>
          <w:i/>
          <w:iCs/>
          <w:color w:val="000000" w:themeColor="text1"/>
          <w:sz w:val="20"/>
          <w:szCs w:val="20"/>
          <w:lang w:val="es-ES"/>
        </w:rPr>
        <w:t>Medidas de satisfacción</w:t>
      </w:r>
      <w:r w:rsidRPr="7FB183ED">
        <w:rPr>
          <w:rStyle w:val="eop"/>
          <w:rFonts w:ascii="Cambria" w:hAnsi="Cambria" w:cs="Segoe UI"/>
          <w:color w:val="000000" w:themeColor="text1"/>
          <w:sz w:val="20"/>
          <w:szCs w:val="20"/>
        </w:rPr>
        <w:t> </w:t>
      </w:r>
    </w:p>
    <w:p w14:paraId="678D3B99" w14:textId="0C55BB19" w:rsidR="009A4DAF" w:rsidRPr="00D90C16" w:rsidRDefault="009A4DAF" w:rsidP="7FB183ED">
      <w:pPr>
        <w:pStyle w:val="paragraph"/>
        <w:numPr>
          <w:ilvl w:val="0"/>
          <w:numId w:val="34"/>
        </w:numPr>
        <w:spacing w:before="0" w:beforeAutospacing="0" w:after="0" w:afterAutospacing="0"/>
        <w:ind w:left="810" w:hanging="450"/>
        <w:jc w:val="both"/>
        <w:textAlignment w:val="baseline"/>
        <w:rPr>
          <w:rFonts w:ascii="Cambria" w:hAnsi="Cambria" w:cs="Segoe UI"/>
          <w:color w:val="000000" w:themeColor="text1"/>
          <w:sz w:val="20"/>
          <w:szCs w:val="20"/>
          <w:lang w:val="es-CO"/>
        </w:rPr>
      </w:pPr>
      <w:r w:rsidRPr="7FB183ED">
        <w:rPr>
          <w:rStyle w:val="normaltextrun"/>
          <w:rFonts w:ascii="Cambria" w:eastAsiaTheme="majorEastAsia" w:hAnsi="Cambria" w:cs="Segoe UI"/>
          <w:color w:val="000000" w:themeColor="text1"/>
          <w:sz w:val="20"/>
          <w:szCs w:val="20"/>
          <w:lang w:val="es-ES"/>
        </w:rPr>
        <w:t>Publicidad al Acuerdo de Cumplimiento en el “Boletín Oficial de la República Argentina”.</w:t>
      </w:r>
      <w:r w:rsidRPr="7FB183ED">
        <w:rPr>
          <w:rStyle w:val="eop"/>
          <w:rFonts w:ascii="Cambria" w:hAnsi="Cambria" w:cs="Segoe UI"/>
          <w:color w:val="000000" w:themeColor="text1"/>
          <w:sz w:val="20"/>
          <w:szCs w:val="20"/>
          <w:lang w:val="es-CO"/>
        </w:rPr>
        <w:t> </w:t>
      </w:r>
    </w:p>
    <w:p w14:paraId="7F164AD9" w14:textId="77777777" w:rsidR="00D90C16" w:rsidRDefault="009A4DAF" w:rsidP="7FB183ED">
      <w:pPr>
        <w:pStyle w:val="paragraph"/>
        <w:spacing w:before="0" w:beforeAutospacing="0" w:after="0" w:afterAutospacing="0"/>
        <w:ind w:left="720"/>
        <w:jc w:val="both"/>
        <w:textAlignment w:val="baseline"/>
        <w:rPr>
          <w:rStyle w:val="normaltextrun"/>
          <w:rFonts w:ascii="Cambria" w:eastAsiaTheme="majorEastAsia" w:hAnsi="Cambria" w:cs="Segoe UI"/>
          <w:i/>
          <w:iCs/>
          <w:color w:val="000000" w:themeColor="text1"/>
          <w:sz w:val="20"/>
          <w:szCs w:val="20"/>
          <w:lang w:val="es-ES"/>
        </w:rPr>
      </w:pPr>
      <w:r w:rsidRPr="7FB183ED">
        <w:rPr>
          <w:rStyle w:val="eop"/>
          <w:rFonts w:ascii="Cambria" w:hAnsi="Cambria" w:cs="Segoe UI"/>
          <w:color w:val="000000" w:themeColor="text1"/>
          <w:sz w:val="20"/>
          <w:szCs w:val="20"/>
          <w:lang w:val="es-CO"/>
        </w:rPr>
        <w:t> </w:t>
      </w:r>
    </w:p>
    <w:p w14:paraId="51402FD9" w14:textId="53260851" w:rsidR="00D90C16" w:rsidRDefault="00D90C16" w:rsidP="7FB183ED">
      <w:pPr>
        <w:pStyle w:val="paragraph"/>
        <w:numPr>
          <w:ilvl w:val="0"/>
          <w:numId w:val="1"/>
        </w:numPr>
        <w:spacing w:before="0" w:beforeAutospacing="0" w:after="0" w:afterAutospacing="0"/>
        <w:jc w:val="both"/>
        <w:textAlignment w:val="baseline"/>
        <w:rPr>
          <w:rFonts w:ascii="Cambria" w:hAnsi="Cambria" w:cs="Segoe UI"/>
          <w:color w:val="000000" w:themeColor="text1"/>
          <w:sz w:val="20"/>
          <w:szCs w:val="20"/>
        </w:rPr>
      </w:pPr>
      <w:r w:rsidRPr="7FB183ED">
        <w:rPr>
          <w:rStyle w:val="normaltextrun"/>
          <w:rFonts w:ascii="Cambria" w:eastAsiaTheme="majorEastAsia" w:hAnsi="Cambria" w:cs="Segoe UI"/>
          <w:b/>
          <w:bCs/>
          <w:color w:val="000000" w:themeColor="text1"/>
          <w:sz w:val="20"/>
          <w:szCs w:val="20"/>
          <w:lang w:val="es-ES"/>
        </w:rPr>
        <w:t>Resultados estructurales del caso</w:t>
      </w:r>
      <w:r w:rsidRPr="7FB183ED">
        <w:rPr>
          <w:rStyle w:val="eop"/>
          <w:rFonts w:ascii="Cambria" w:hAnsi="Cambria" w:cs="Segoe UI"/>
          <w:color w:val="000000" w:themeColor="text1"/>
          <w:sz w:val="20"/>
          <w:szCs w:val="20"/>
        </w:rPr>
        <w:t> </w:t>
      </w:r>
    </w:p>
    <w:p w14:paraId="6AA1521F" w14:textId="49D86F77" w:rsidR="00D90C16" w:rsidRDefault="00D90C16" w:rsidP="7FB183ED">
      <w:pPr>
        <w:pStyle w:val="paragraph"/>
        <w:spacing w:before="0" w:beforeAutospacing="0" w:after="0" w:afterAutospacing="0"/>
        <w:textAlignment w:val="baseline"/>
        <w:rPr>
          <w:rStyle w:val="eop"/>
          <w:rFonts w:ascii="Calibri" w:hAnsi="Calibri" w:cs="Calibri"/>
          <w:color w:val="000000" w:themeColor="text1"/>
          <w:sz w:val="20"/>
          <w:szCs w:val="20"/>
          <w:lang w:val="es-CO"/>
        </w:rPr>
      </w:pPr>
    </w:p>
    <w:p w14:paraId="17D7EC4F" w14:textId="7F67CE87" w:rsidR="00D90C16" w:rsidRPr="00D90C16" w:rsidRDefault="00D90C16" w:rsidP="7FB183ED">
      <w:pPr>
        <w:pStyle w:val="paragraph"/>
        <w:numPr>
          <w:ilvl w:val="0"/>
          <w:numId w:val="34"/>
        </w:numPr>
        <w:spacing w:before="0" w:beforeAutospacing="0" w:after="0" w:afterAutospacing="0"/>
        <w:jc w:val="both"/>
        <w:textAlignment w:val="baseline"/>
        <w:rPr>
          <w:rFonts w:ascii="Cambria" w:hAnsi="Cambria" w:cs="Segoe UI"/>
          <w:color w:val="000000" w:themeColor="text1"/>
          <w:sz w:val="20"/>
          <w:szCs w:val="20"/>
          <w:lang w:val="es-CO"/>
        </w:rPr>
      </w:pPr>
      <w:r w:rsidRPr="7FB183ED">
        <w:rPr>
          <w:rStyle w:val="normaltextrun"/>
          <w:rFonts w:ascii="Cambria" w:eastAsiaTheme="majorEastAsia" w:hAnsi="Cambria" w:cs="Segoe UI"/>
          <w:color w:val="000000" w:themeColor="text1"/>
          <w:sz w:val="20"/>
          <w:szCs w:val="20"/>
          <w:lang w:val="es-ES"/>
        </w:rPr>
        <w:t xml:space="preserve">Difusión el Informe de Fondo y del Acuerdo de Cumplimiento con </w:t>
      </w:r>
      <w:r w:rsidRPr="7FB183ED">
        <w:rPr>
          <w:rFonts w:ascii="Cambria" w:hAnsi="Cambria"/>
          <w:color w:val="000000" w:themeColor="text1"/>
          <w:sz w:val="20"/>
          <w:szCs w:val="20"/>
          <w:lang w:val="es-MX"/>
        </w:rPr>
        <w:t>a la Corte Suprema de Justicia de la Nación y a la Junta Federal de Cortes para dar a conocer las pautas de interpretación de las obligaciones internacionales exigibles en materia de plazos razonables los procesos judiciales y de duración de medidas cautelares adoptadas en procesos penales</w:t>
      </w:r>
      <w:r w:rsidRPr="7FB183ED">
        <w:rPr>
          <w:rStyle w:val="normaltextrun"/>
          <w:rFonts w:ascii="Cambria" w:eastAsiaTheme="majorEastAsia" w:hAnsi="Cambria" w:cs="Segoe UI"/>
          <w:color w:val="000000" w:themeColor="text1"/>
          <w:sz w:val="20"/>
          <w:szCs w:val="20"/>
          <w:lang w:val="es-ES"/>
        </w:rPr>
        <w:t>.</w:t>
      </w:r>
    </w:p>
    <w:p w14:paraId="0F38F9E8" w14:textId="77777777" w:rsidR="00D90C16" w:rsidRPr="00D90C16" w:rsidRDefault="00D90C16" w:rsidP="7FB183ED">
      <w:pPr>
        <w:pStyle w:val="paragraph"/>
        <w:spacing w:before="0" w:beforeAutospacing="0" w:after="0" w:afterAutospacing="0"/>
        <w:textAlignment w:val="baseline"/>
        <w:rPr>
          <w:rFonts w:ascii="Segoe UI" w:hAnsi="Segoe UI" w:cs="Segoe UI"/>
          <w:color w:val="000000" w:themeColor="text1"/>
          <w:sz w:val="20"/>
          <w:szCs w:val="20"/>
          <w:lang w:val="es-CO"/>
        </w:rPr>
      </w:pPr>
    </w:p>
    <w:p w14:paraId="731AD225" w14:textId="77777777" w:rsidR="009A4DAF" w:rsidRPr="00D90C16" w:rsidRDefault="009A4DAF" w:rsidP="7FB183ED">
      <w:pPr>
        <w:pStyle w:val="paragraph"/>
        <w:spacing w:before="0" w:beforeAutospacing="0" w:after="0" w:afterAutospacing="0"/>
        <w:textAlignment w:val="baseline"/>
        <w:rPr>
          <w:rFonts w:ascii="Segoe UI" w:hAnsi="Segoe UI" w:cs="Segoe UI"/>
          <w:color w:val="000000" w:themeColor="text1"/>
          <w:sz w:val="20"/>
          <w:szCs w:val="20"/>
          <w:lang w:val="es-CO"/>
        </w:rPr>
      </w:pPr>
      <w:r w:rsidRPr="7FB183ED">
        <w:rPr>
          <w:rStyle w:val="eop"/>
          <w:rFonts w:ascii="Calibri" w:hAnsi="Calibri" w:cs="Calibri"/>
          <w:color w:val="000000" w:themeColor="text1"/>
          <w:sz w:val="20"/>
          <w:szCs w:val="20"/>
          <w:lang w:val="es-CO"/>
        </w:rPr>
        <w:t> </w:t>
      </w:r>
    </w:p>
    <w:p w14:paraId="66FCCA8D" w14:textId="77777777" w:rsidR="009A4DAF" w:rsidRPr="009A4DAF" w:rsidRDefault="009A4DAF" w:rsidP="7FB183ED">
      <w:pPr>
        <w:pStyle w:val="paragraph"/>
        <w:spacing w:before="0" w:beforeAutospacing="0" w:after="0" w:afterAutospacing="0"/>
        <w:textAlignment w:val="baseline"/>
        <w:rPr>
          <w:rFonts w:ascii="Segoe UI" w:hAnsi="Segoe UI" w:cs="Segoe UI"/>
          <w:color w:val="000000" w:themeColor="text1"/>
          <w:sz w:val="18"/>
          <w:szCs w:val="18"/>
          <w:lang w:val="es-CO"/>
        </w:rPr>
      </w:pPr>
      <w:r w:rsidRPr="7FB183ED">
        <w:rPr>
          <w:rStyle w:val="eop"/>
          <w:rFonts w:ascii="Calibri" w:hAnsi="Calibri" w:cs="Calibri"/>
          <w:color w:val="000000" w:themeColor="text1"/>
          <w:sz w:val="20"/>
          <w:szCs w:val="20"/>
          <w:lang w:val="es-CO"/>
        </w:rPr>
        <w:t> </w:t>
      </w:r>
    </w:p>
    <w:p w14:paraId="6003141F" w14:textId="77777777" w:rsidR="00B0087C" w:rsidRPr="00B0087C" w:rsidRDefault="00B0087C" w:rsidP="7FB183ED">
      <w:pPr>
        <w:rPr>
          <w:color w:val="000000" w:themeColor="text1"/>
          <w:lang w:val="es-CO"/>
        </w:rPr>
      </w:pPr>
    </w:p>
    <w:sectPr w:rsidR="00B0087C" w:rsidRPr="00B0087C"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9C08" w14:textId="77777777" w:rsidR="004E0985" w:rsidRDefault="004E0985" w:rsidP="00672733">
      <w:r>
        <w:separator/>
      </w:r>
    </w:p>
  </w:endnote>
  <w:endnote w:type="continuationSeparator" w:id="0">
    <w:p w14:paraId="4657C035" w14:textId="77777777" w:rsidR="004E0985" w:rsidRDefault="004E098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DA5A" w14:textId="77777777" w:rsidR="004E0985" w:rsidRDefault="004E0985" w:rsidP="00672733">
      <w:r>
        <w:separator/>
      </w:r>
    </w:p>
  </w:footnote>
  <w:footnote w:type="continuationSeparator" w:id="0">
    <w:p w14:paraId="28AEC6D3" w14:textId="77777777" w:rsidR="004E0985" w:rsidRDefault="004E0985" w:rsidP="00672733">
      <w:r>
        <w:continuationSeparator/>
      </w:r>
    </w:p>
  </w:footnote>
  <w:footnote w:id="1">
    <w:p w14:paraId="24271543" w14:textId="2363E844" w:rsidR="00EA58C7" w:rsidRPr="00210BDE" w:rsidRDefault="00EA58C7" w:rsidP="00210BDE">
      <w:pPr>
        <w:pStyle w:val="FootnoteText"/>
        <w:spacing w:after="120" w:line="360" w:lineRule="auto"/>
        <w:ind w:firstLine="720"/>
        <w:rPr>
          <w:rFonts w:ascii="Cambria" w:hAnsi="Cambria"/>
          <w:color w:val="FF0000"/>
          <w:sz w:val="16"/>
          <w:szCs w:val="16"/>
          <w:lang w:val="es-CO"/>
        </w:rPr>
      </w:pPr>
      <w:r w:rsidRPr="00210BDE">
        <w:rPr>
          <w:rStyle w:val="FootnoteReference"/>
          <w:rFonts w:ascii="Cambria" w:hAnsi="Cambria"/>
          <w:color w:val="FF0000"/>
          <w:sz w:val="16"/>
          <w:szCs w:val="16"/>
        </w:rPr>
        <w:footnoteRef/>
      </w:r>
      <w:r w:rsidRPr="00210BDE">
        <w:rPr>
          <w:rFonts w:ascii="Cambria" w:hAnsi="Cambria"/>
          <w:color w:val="FF0000"/>
          <w:sz w:val="16"/>
          <w:szCs w:val="16"/>
          <w:lang w:val="es-CO"/>
        </w:rPr>
        <w:t xml:space="preserve"> Cumplido desde antes de la publicación del Informe de Fondo del caso. CIDH, </w:t>
      </w:r>
      <w:hyperlink r:id="rId1" w:history="1">
        <w:r w:rsidRPr="00210BDE">
          <w:rPr>
            <w:rStyle w:val="Hyperlink"/>
            <w:rFonts w:ascii="Cambria" w:hAnsi="Cambria"/>
            <w:color w:val="FF0000"/>
            <w:sz w:val="16"/>
            <w:szCs w:val="16"/>
            <w:lang w:val="es-CO"/>
          </w:rPr>
          <w:t>Informe de Fondo No. 460/21</w:t>
        </w:r>
      </w:hyperlink>
      <w:r w:rsidRPr="00210BDE">
        <w:rPr>
          <w:rFonts w:ascii="Cambria" w:hAnsi="Cambria"/>
          <w:color w:val="FF0000"/>
          <w:sz w:val="16"/>
          <w:szCs w:val="16"/>
          <w:lang w:val="es-CO"/>
        </w:rPr>
        <w:t>, párr.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96"/>
    <w:multiLevelType w:val="multilevel"/>
    <w:tmpl w:val="7CC0748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57B0F"/>
    <w:multiLevelType w:val="multilevel"/>
    <w:tmpl w:val="9A10CFD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5F23E0A"/>
    <w:multiLevelType w:val="multilevel"/>
    <w:tmpl w:val="9EAE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2166"/>
    <w:multiLevelType w:val="hybridMultilevel"/>
    <w:tmpl w:val="74E4D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D7F30"/>
    <w:multiLevelType w:val="hybridMultilevel"/>
    <w:tmpl w:val="5F4EB770"/>
    <w:lvl w:ilvl="0" w:tplc="E7403046">
      <w:start w:val="1"/>
      <w:numFmt w:val="upperLetter"/>
      <w:lvlText w:val="%1."/>
      <w:lvlJc w:val="left"/>
      <w:pPr>
        <w:ind w:left="720" w:hanging="360"/>
      </w:pPr>
    </w:lvl>
    <w:lvl w:ilvl="1" w:tplc="3FE6B2F0">
      <w:start w:val="1"/>
      <w:numFmt w:val="lowerLetter"/>
      <w:lvlText w:val="%2."/>
      <w:lvlJc w:val="left"/>
      <w:pPr>
        <w:ind w:left="1440" w:hanging="360"/>
      </w:pPr>
    </w:lvl>
    <w:lvl w:ilvl="2" w:tplc="1108AAD4">
      <w:start w:val="1"/>
      <w:numFmt w:val="lowerRoman"/>
      <w:lvlText w:val="%3."/>
      <w:lvlJc w:val="right"/>
      <w:pPr>
        <w:ind w:left="2160" w:hanging="180"/>
      </w:pPr>
    </w:lvl>
    <w:lvl w:ilvl="3" w:tplc="0EAC2F68">
      <w:start w:val="1"/>
      <w:numFmt w:val="decimal"/>
      <w:lvlText w:val="%4."/>
      <w:lvlJc w:val="left"/>
      <w:pPr>
        <w:ind w:left="2880" w:hanging="360"/>
      </w:pPr>
    </w:lvl>
    <w:lvl w:ilvl="4" w:tplc="1C36861A">
      <w:start w:val="1"/>
      <w:numFmt w:val="lowerLetter"/>
      <w:lvlText w:val="%5."/>
      <w:lvlJc w:val="left"/>
      <w:pPr>
        <w:ind w:left="3600" w:hanging="360"/>
      </w:pPr>
    </w:lvl>
    <w:lvl w:ilvl="5" w:tplc="3E3AC632">
      <w:start w:val="1"/>
      <w:numFmt w:val="lowerRoman"/>
      <w:lvlText w:val="%6."/>
      <w:lvlJc w:val="right"/>
      <w:pPr>
        <w:ind w:left="4320" w:hanging="180"/>
      </w:pPr>
    </w:lvl>
    <w:lvl w:ilvl="6" w:tplc="E5044EC6">
      <w:start w:val="1"/>
      <w:numFmt w:val="decimal"/>
      <w:lvlText w:val="%7."/>
      <w:lvlJc w:val="left"/>
      <w:pPr>
        <w:ind w:left="5040" w:hanging="360"/>
      </w:pPr>
    </w:lvl>
    <w:lvl w:ilvl="7" w:tplc="6DACEB32">
      <w:start w:val="1"/>
      <w:numFmt w:val="lowerLetter"/>
      <w:lvlText w:val="%8."/>
      <w:lvlJc w:val="left"/>
      <w:pPr>
        <w:ind w:left="5760" w:hanging="360"/>
      </w:pPr>
    </w:lvl>
    <w:lvl w:ilvl="8" w:tplc="86944694">
      <w:start w:val="1"/>
      <w:numFmt w:val="lowerRoman"/>
      <w:lvlText w:val="%9."/>
      <w:lvlJc w:val="right"/>
      <w:pPr>
        <w:ind w:left="6480" w:hanging="180"/>
      </w:pPr>
    </w:lvl>
  </w:abstractNum>
  <w:abstractNum w:abstractNumId="6" w15:restartNumberingAfterBreak="0">
    <w:nsid w:val="0B310E5E"/>
    <w:multiLevelType w:val="multilevel"/>
    <w:tmpl w:val="FA2C21FC"/>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93109"/>
    <w:multiLevelType w:val="multilevel"/>
    <w:tmpl w:val="26643012"/>
    <w:lvl w:ilvl="0">
      <w:start w:val="1"/>
      <w:numFmt w:val="upperRoman"/>
      <w:lvlText w:val="%1."/>
      <w:lvlJc w:val="left"/>
      <w:pPr>
        <w:ind w:left="1080" w:hanging="720"/>
      </w:pPr>
      <w:rPr>
        <w:rFonts w:ascii="Cambria" w:hAnsi="Cambria" w:hint="default"/>
        <w:b/>
        <w:bCs/>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13218A"/>
    <w:multiLevelType w:val="multilevel"/>
    <w:tmpl w:val="EB6EA3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85048A"/>
    <w:multiLevelType w:val="multilevel"/>
    <w:tmpl w:val="5B44BB14"/>
    <w:lvl w:ilvl="0">
      <w:start w:val="3"/>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EB2E40"/>
    <w:multiLevelType w:val="multilevel"/>
    <w:tmpl w:val="348A05BE"/>
    <w:lvl w:ilvl="0">
      <w:start w:val="4"/>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EE130A"/>
    <w:multiLevelType w:val="multilevel"/>
    <w:tmpl w:val="59685F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18C72A1A"/>
    <w:multiLevelType w:val="hybridMultilevel"/>
    <w:tmpl w:val="82F0BDAA"/>
    <w:lvl w:ilvl="0" w:tplc="C186E6AC">
      <w:start w:val="1"/>
      <w:numFmt w:val="upperRoman"/>
      <w:lvlText w:val="%1."/>
      <w:lvlJc w:val="left"/>
      <w:pPr>
        <w:ind w:left="720" w:hanging="360"/>
      </w:pPr>
    </w:lvl>
    <w:lvl w:ilvl="1" w:tplc="E87C908A">
      <w:start w:val="1"/>
      <w:numFmt w:val="lowerLetter"/>
      <w:lvlText w:val="%2."/>
      <w:lvlJc w:val="left"/>
      <w:pPr>
        <w:ind w:left="1440" w:hanging="360"/>
      </w:pPr>
    </w:lvl>
    <w:lvl w:ilvl="2" w:tplc="A1E2FE42">
      <w:start w:val="1"/>
      <w:numFmt w:val="lowerRoman"/>
      <w:lvlText w:val="%3."/>
      <w:lvlJc w:val="right"/>
      <w:pPr>
        <w:ind w:left="2160" w:hanging="180"/>
      </w:pPr>
    </w:lvl>
    <w:lvl w:ilvl="3" w:tplc="EB56C030">
      <w:start w:val="1"/>
      <w:numFmt w:val="decimal"/>
      <w:lvlText w:val="%4."/>
      <w:lvlJc w:val="left"/>
      <w:pPr>
        <w:ind w:left="2880" w:hanging="360"/>
      </w:pPr>
    </w:lvl>
    <w:lvl w:ilvl="4" w:tplc="6B14680C">
      <w:start w:val="1"/>
      <w:numFmt w:val="lowerLetter"/>
      <w:lvlText w:val="%5."/>
      <w:lvlJc w:val="left"/>
      <w:pPr>
        <w:ind w:left="3600" w:hanging="360"/>
      </w:pPr>
    </w:lvl>
    <w:lvl w:ilvl="5" w:tplc="2A6CDC84">
      <w:start w:val="1"/>
      <w:numFmt w:val="lowerRoman"/>
      <w:lvlText w:val="%6."/>
      <w:lvlJc w:val="right"/>
      <w:pPr>
        <w:ind w:left="4320" w:hanging="180"/>
      </w:pPr>
    </w:lvl>
    <w:lvl w:ilvl="6" w:tplc="5E5A3A58">
      <w:start w:val="1"/>
      <w:numFmt w:val="decimal"/>
      <w:lvlText w:val="%7."/>
      <w:lvlJc w:val="left"/>
      <w:pPr>
        <w:ind w:left="5040" w:hanging="360"/>
      </w:pPr>
    </w:lvl>
    <w:lvl w:ilvl="7" w:tplc="9E9E8098">
      <w:start w:val="1"/>
      <w:numFmt w:val="lowerLetter"/>
      <w:lvlText w:val="%8."/>
      <w:lvlJc w:val="left"/>
      <w:pPr>
        <w:ind w:left="5760" w:hanging="360"/>
      </w:pPr>
    </w:lvl>
    <w:lvl w:ilvl="8" w:tplc="B210A288">
      <w:start w:val="1"/>
      <w:numFmt w:val="lowerRoman"/>
      <w:lvlText w:val="%9."/>
      <w:lvlJc w:val="right"/>
      <w:pPr>
        <w:ind w:left="6480" w:hanging="180"/>
      </w:pPr>
    </w:lvl>
  </w:abstractNum>
  <w:abstractNum w:abstractNumId="1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5" w15:restartNumberingAfterBreak="0">
    <w:nsid w:val="20CC7158"/>
    <w:multiLevelType w:val="multilevel"/>
    <w:tmpl w:val="FD28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FE251A"/>
    <w:multiLevelType w:val="multilevel"/>
    <w:tmpl w:val="0F84A2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28F15E77"/>
    <w:multiLevelType w:val="multilevel"/>
    <w:tmpl w:val="A5AAF96A"/>
    <w:lvl w:ilvl="0">
      <w:start w:val="1"/>
      <w:numFmt w:val="decimal"/>
      <w:lvlText w:val="%1."/>
      <w:lvlJc w:val="left"/>
      <w:pPr>
        <w:ind w:left="660" w:hanging="5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0" w15:restartNumberingAfterBreak="0">
    <w:nsid w:val="3DE24039"/>
    <w:multiLevelType w:val="multilevel"/>
    <w:tmpl w:val="A0EADDAC"/>
    <w:lvl w:ilvl="0">
      <w:start w:val="2"/>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394554"/>
    <w:multiLevelType w:val="hybridMultilevel"/>
    <w:tmpl w:val="F0300FD2"/>
    <w:lvl w:ilvl="0" w:tplc="5A001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55773"/>
    <w:multiLevelType w:val="multilevel"/>
    <w:tmpl w:val="1BF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522A76"/>
    <w:multiLevelType w:val="multilevel"/>
    <w:tmpl w:val="34DAEAB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7C26311"/>
    <w:multiLevelType w:val="multilevel"/>
    <w:tmpl w:val="E07A3458"/>
    <w:lvl w:ilvl="0">
      <w:start w:val="11"/>
      <w:numFmt w:val="decimal"/>
      <w:lvlText w:val="%1."/>
      <w:lvlJc w:val="left"/>
      <w:pPr>
        <w:tabs>
          <w:tab w:val="num" w:pos="720"/>
        </w:tabs>
        <w:ind w:left="720" w:hanging="360"/>
      </w:pPr>
    </w:lvl>
    <w:lvl w:ilvl="1">
      <w:start w:val="1"/>
      <w:numFmt w:val="upperLetter"/>
      <w:lvlText w:val="%2."/>
      <w:lvlJc w:val="left"/>
      <w:pPr>
        <w:ind w:left="1440" w:hanging="360"/>
      </w:pPr>
      <w:rPr>
        <w:rFonts w:eastAsiaTheme="majorEastAsia" w:hint="default"/>
        <w:b w:val="0"/>
        <w:bCs/>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4B79E6"/>
    <w:multiLevelType w:val="hybridMultilevel"/>
    <w:tmpl w:val="DC682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A1E30"/>
    <w:multiLevelType w:val="hybridMultilevel"/>
    <w:tmpl w:val="9A764B06"/>
    <w:lvl w:ilvl="0" w:tplc="0BBA4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371219"/>
    <w:multiLevelType w:val="hybridMultilevel"/>
    <w:tmpl w:val="63762454"/>
    <w:lvl w:ilvl="0" w:tplc="AD226788">
      <w:start w:val="3"/>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9" w15:restartNumberingAfterBreak="0">
    <w:nsid w:val="5FB03106"/>
    <w:multiLevelType w:val="multilevel"/>
    <w:tmpl w:val="00FADAC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FFB184A"/>
    <w:multiLevelType w:val="hybridMultilevel"/>
    <w:tmpl w:val="549C3F98"/>
    <w:lvl w:ilvl="0" w:tplc="F76C91A8">
      <w:start w:val="1"/>
      <w:numFmt w:val="decimal"/>
      <w:lvlText w:val="%1."/>
      <w:lvlJc w:val="left"/>
      <w:pPr>
        <w:ind w:left="720" w:hanging="360"/>
      </w:pPr>
    </w:lvl>
    <w:lvl w:ilvl="1" w:tplc="56BE4A26">
      <w:start w:val="1"/>
      <w:numFmt w:val="lowerLetter"/>
      <w:lvlText w:val="%2."/>
      <w:lvlJc w:val="left"/>
      <w:pPr>
        <w:ind w:left="1440" w:hanging="360"/>
      </w:pPr>
    </w:lvl>
    <w:lvl w:ilvl="2" w:tplc="27D80854">
      <w:start w:val="1"/>
      <w:numFmt w:val="lowerRoman"/>
      <w:lvlText w:val="%3."/>
      <w:lvlJc w:val="right"/>
      <w:pPr>
        <w:ind w:left="2160" w:hanging="180"/>
      </w:pPr>
    </w:lvl>
    <w:lvl w:ilvl="3" w:tplc="E34A1034">
      <w:start w:val="1"/>
      <w:numFmt w:val="decimal"/>
      <w:lvlText w:val="%4."/>
      <w:lvlJc w:val="left"/>
      <w:pPr>
        <w:ind w:left="2880" w:hanging="360"/>
      </w:pPr>
    </w:lvl>
    <w:lvl w:ilvl="4" w:tplc="FB5A3FBE">
      <w:start w:val="1"/>
      <w:numFmt w:val="lowerLetter"/>
      <w:lvlText w:val="%5."/>
      <w:lvlJc w:val="left"/>
      <w:pPr>
        <w:ind w:left="3600" w:hanging="360"/>
      </w:pPr>
    </w:lvl>
    <w:lvl w:ilvl="5" w:tplc="C434A974">
      <w:start w:val="1"/>
      <w:numFmt w:val="lowerRoman"/>
      <w:lvlText w:val="%6."/>
      <w:lvlJc w:val="right"/>
      <w:pPr>
        <w:ind w:left="4320" w:hanging="180"/>
      </w:pPr>
    </w:lvl>
    <w:lvl w:ilvl="6" w:tplc="65CEEA40">
      <w:start w:val="1"/>
      <w:numFmt w:val="decimal"/>
      <w:lvlText w:val="%7."/>
      <w:lvlJc w:val="left"/>
      <w:pPr>
        <w:ind w:left="5040" w:hanging="360"/>
      </w:pPr>
    </w:lvl>
    <w:lvl w:ilvl="7" w:tplc="5B54FB46">
      <w:start w:val="1"/>
      <w:numFmt w:val="lowerLetter"/>
      <w:lvlText w:val="%8."/>
      <w:lvlJc w:val="left"/>
      <w:pPr>
        <w:ind w:left="5760" w:hanging="360"/>
      </w:pPr>
    </w:lvl>
    <w:lvl w:ilvl="8" w:tplc="683C3ECC">
      <w:start w:val="1"/>
      <w:numFmt w:val="lowerRoman"/>
      <w:lvlText w:val="%9."/>
      <w:lvlJc w:val="right"/>
      <w:pPr>
        <w:ind w:left="6480" w:hanging="180"/>
      </w:pPr>
    </w:lvl>
  </w:abstractNum>
  <w:abstractNum w:abstractNumId="31" w15:restartNumberingAfterBreak="0">
    <w:nsid w:val="62017F68"/>
    <w:multiLevelType w:val="multilevel"/>
    <w:tmpl w:val="FA3A3A6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59432F7"/>
    <w:multiLevelType w:val="multilevel"/>
    <w:tmpl w:val="F97460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4FD4C79"/>
    <w:multiLevelType w:val="multilevel"/>
    <w:tmpl w:val="03C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5" w15:restartNumberingAfterBreak="0">
    <w:nsid w:val="7DC12426"/>
    <w:multiLevelType w:val="multilevel"/>
    <w:tmpl w:val="0F84A2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11166006">
    <w:abstractNumId w:val="5"/>
  </w:num>
  <w:num w:numId="2" w16cid:durableId="641035600">
    <w:abstractNumId w:val="30"/>
  </w:num>
  <w:num w:numId="3" w16cid:durableId="1142964757">
    <w:abstractNumId w:val="13"/>
  </w:num>
  <w:num w:numId="4" w16cid:durableId="1712607694">
    <w:abstractNumId w:val="19"/>
  </w:num>
  <w:num w:numId="5" w16cid:durableId="426849189">
    <w:abstractNumId w:val="34"/>
  </w:num>
  <w:num w:numId="6" w16cid:durableId="978146478">
    <w:abstractNumId w:val="27"/>
  </w:num>
  <w:num w:numId="7" w16cid:durableId="446504039">
    <w:abstractNumId w:val="14"/>
  </w:num>
  <w:num w:numId="8" w16cid:durableId="2048992643">
    <w:abstractNumId w:val="12"/>
  </w:num>
  <w:num w:numId="9" w16cid:durableId="491221110">
    <w:abstractNumId w:val="17"/>
  </w:num>
  <w:num w:numId="10" w16cid:durableId="1982153750">
    <w:abstractNumId w:val="3"/>
  </w:num>
  <w:num w:numId="11" w16cid:durableId="1306013148">
    <w:abstractNumId w:val="11"/>
  </w:num>
  <w:num w:numId="12" w16cid:durableId="323121058">
    <w:abstractNumId w:val="0"/>
  </w:num>
  <w:num w:numId="13" w16cid:durableId="1627543050">
    <w:abstractNumId w:val="7"/>
  </w:num>
  <w:num w:numId="14" w16cid:durableId="220793642">
    <w:abstractNumId w:val="18"/>
  </w:num>
  <w:num w:numId="15" w16cid:durableId="1877766793">
    <w:abstractNumId w:val="32"/>
  </w:num>
  <w:num w:numId="16" w16cid:durableId="1431851387">
    <w:abstractNumId w:val="6"/>
  </w:num>
  <w:num w:numId="17" w16cid:durableId="551579592">
    <w:abstractNumId w:val="20"/>
  </w:num>
  <w:num w:numId="18" w16cid:durableId="289752090">
    <w:abstractNumId w:val="29"/>
  </w:num>
  <w:num w:numId="19" w16cid:durableId="1768040848">
    <w:abstractNumId w:val="9"/>
  </w:num>
  <w:num w:numId="20" w16cid:durableId="587349596">
    <w:abstractNumId w:val="31"/>
  </w:num>
  <w:num w:numId="21" w16cid:durableId="160396792">
    <w:abstractNumId w:val="10"/>
  </w:num>
  <w:num w:numId="22" w16cid:durableId="243420849">
    <w:abstractNumId w:val="4"/>
  </w:num>
  <w:num w:numId="23" w16cid:durableId="618877446">
    <w:abstractNumId w:val="26"/>
  </w:num>
  <w:num w:numId="24" w16cid:durableId="2026517373">
    <w:abstractNumId w:val="21"/>
  </w:num>
  <w:num w:numId="25" w16cid:durableId="1922713079">
    <w:abstractNumId w:val="28"/>
  </w:num>
  <w:num w:numId="26" w16cid:durableId="1362393655">
    <w:abstractNumId w:val="25"/>
  </w:num>
  <w:num w:numId="27" w16cid:durableId="353502521">
    <w:abstractNumId w:val="23"/>
  </w:num>
  <w:num w:numId="28" w16cid:durableId="74596227">
    <w:abstractNumId w:val="8"/>
  </w:num>
  <w:num w:numId="29" w16cid:durableId="1018854360">
    <w:abstractNumId w:val="1"/>
  </w:num>
  <w:num w:numId="30" w16cid:durableId="1617518329">
    <w:abstractNumId w:val="24"/>
  </w:num>
  <w:num w:numId="31" w16cid:durableId="958149367">
    <w:abstractNumId w:val="16"/>
  </w:num>
  <w:num w:numId="32" w16cid:durableId="1963881594">
    <w:abstractNumId w:val="2"/>
  </w:num>
  <w:num w:numId="33" w16cid:durableId="739671497">
    <w:abstractNumId w:val="33"/>
  </w:num>
  <w:num w:numId="34" w16cid:durableId="1251162875">
    <w:abstractNumId w:val="22"/>
  </w:num>
  <w:num w:numId="35" w16cid:durableId="1595474868">
    <w:abstractNumId w:val="15"/>
  </w:num>
  <w:num w:numId="36" w16cid:durableId="188960758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5284C"/>
    <w:rsid w:val="00181DA0"/>
    <w:rsid w:val="00186B02"/>
    <w:rsid w:val="00210BDE"/>
    <w:rsid w:val="002248FB"/>
    <w:rsid w:val="00234E64"/>
    <w:rsid w:val="002A6B01"/>
    <w:rsid w:val="00322720"/>
    <w:rsid w:val="00453115"/>
    <w:rsid w:val="004758C9"/>
    <w:rsid w:val="0048723C"/>
    <w:rsid w:val="004E0985"/>
    <w:rsid w:val="00500FDE"/>
    <w:rsid w:val="00566CD0"/>
    <w:rsid w:val="0059342F"/>
    <w:rsid w:val="005F75B7"/>
    <w:rsid w:val="00637ED3"/>
    <w:rsid w:val="006638E5"/>
    <w:rsid w:val="00672733"/>
    <w:rsid w:val="006B1F24"/>
    <w:rsid w:val="007C4DCE"/>
    <w:rsid w:val="008463D3"/>
    <w:rsid w:val="008818B0"/>
    <w:rsid w:val="008861D6"/>
    <w:rsid w:val="009A4DAF"/>
    <w:rsid w:val="00A80674"/>
    <w:rsid w:val="00AE2642"/>
    <w:rsid w:val="00B0087C"/>
    <w:rsid w:val="00BD17B0"/>
    <w:rsid w:val="00BF7A78"/>
    <w:rsid w:val="00C04E0A"/>
    <w:rsid w:val="00CB3EDB"/>
    <w:rsid w:val="00D045D0"/>
    <w:rsid w:val="00D1651F"/>
    <w:rsid w:val="00D40FA5"/>
    <w:rsid w:val="00D56DC4"/>
    <w:rsid w:val="00D90C16"/>
    <w:rsid w:val="00E042FE"/>
    <w:rsid w:val="00E47C76"/>
    <w:rsid w:val="00E516AB"/>
    <w:rsid w:val="00E90CB3"/>
    <w:rsid w:val="00EA0262"/>
    <w:rsid w:val="00EA58C7"/>
    <w:rsid w:val="00EC61E3"/>
    <w:rsid w:val="00ED0AAA"/>
    <w:rsid w:val="00ED1EBA"/>
    <w:rsid w:val="00F41E7E"/>
    <w:rsid w:val="0D769ADF"/>
    <w:rsid w:val="0FEB56EE"/>
    <w:rsid w:val="37515494"/>
    <w:rsid w:val="3F747A07"/>
    <w:rsid w:val="7FB18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basedOn w:val="DefaultParagraphFont"/>
    <w:uiPriority w:val="99"/>
    <w:unhideWhenUsed/>
    <w:rsid w:val="00B0087C"/>
    <w:rPr>
      <w:color w:val="0563C1" w:themeColor="hyperlink"/>
      <w:u w:val="single"/>
    </w:rPr>
  </w:style>
  <w:style w:type="character" w:styleId="UnresolvedMention">
    <w:name w:val="Unresolved Mention"/>
    <w:basedOn w:val="DefaultParagraphFont"/>
    <w:uiPriority w:val="99"/>
    <w:semiHidden/>
    <w:unhideWhenUsed/>
    <w:rsid w:val="00B0087C"/>
    <w:rPr>
      <w:color w:val="605E5C"/>
      <w:shd w:val="clear" w:color="auto" w:fill="E1DFDD"/>
    </w:rPr>
  </w:style>
  <w:style w:type="character" w:customStyle="1" w:styleId="normaltextrun">
    <w:name w:val="normaltextrun"/>
    <w:basedOn w:val="DefaultParagraphFont"/>
    <w:rsid w:val="00B0087C"/>
  </w:style>
  <w:style w:type="paragraph" w:customStyle="1" w:styleId="paragraph">
    <w:name w:val="paragraph"/>
    <w:basedOn w:val="Normal"/>
    <w:rsid w:val="00B0087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0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143">
      <w:bodyDiv w:val="1"/>
      <w:marLeft w:val="0"/>
      <w:marRight w:val="0"/>
      <w:marTop w:val="0"/>
      <w:marBottom w:val="0"/>
      <w:divBdr>
        <w:top w:val="none" w:sz="0" w:space="0" w:color="auto"/>
        <w:left w:val="none" w:sz="0" w:space="0" w:color="auto"/>
        <w:bottom w:val="none" w:sz="0" w:space="0" w:color="auto"/>
        <w:right w:val="none" w:sz="0" w:space="0" w:color="auto"/>
      </w:divBdr>
      <w:divsChild>
        <w:div w:id="1697345863">
          <w:marLeft w:val="0"/>
          <w:marRight w:val="0"/>
          <w:marTop w:val="0"/>
          <w:marBottom w:val="0"/>
          <w:divBdr>
            <w:top w:val="none" w:sz="0" w:space="0" w:color="auto"/>
            <w:left w:val="none" w:sz="0" w:space="0" w:color="auto"/>
            <w:bottom w:val="none" w:sz="0" w:space="0" w:color="auto"/>
            <w:right w:val="none" w:sz="0" w:space="0" w:color="auto"/>
          </w:divBdr>
        </w:div>
        <w:div w:id="1431731868">
          <w:marLeft w:val="0"/>
          <w:marRight w:val="0"/>
          <w:marTop w:val="0"/>
          <w:marBottom w:val="0"/>
          <w:divBdr>
            <w:top w:val="none" w:sz="0" w:space="0" w:color="auto"/>
            <w:left w:val="none" w:sz="0" w:space="0" w:color="auto"/>
            <w:bottom w:val="none" w:sz="0" w:space="0" w:color="auto"/>
            <w:right w:val="none" w:sz="0" w:space="0" w:color="auto"/>
          </w:divBdr>
          <w:divsChild>
            <w:div w:id="1605454721">
              <w:marLeft w:val="0"/>
              <w:marRight w:val="0"/>
              <w:marTop w:val="0"/>
              <w:marBottom w:val="0"/>
              <w:divBdr>
                <w:top w:val="none" w:sz="0" w:space="0" w:color="auto"/>
                <w:left w:val="none" w:sz="0" w:space="0" w:color="auto"/>
                <w:bottom w:val="none" w:sz="0" w:space="0" w:color="auto"/>
                <w:right w:val="none" w:sz="0" w:space="0" w:color="auto"/>
              </w:divBdr>
            </w:div>
            <w:div w:id="784691755">
              <w:marLeft w:val="0"/>
              <w:marRight w:val="0"/>
              <w:marTop w:val="0"/>
              <w:marBottom w:val="0"/>
              <w:divBdr>
                <w:top w:val="none" w:sz="0" w:space="0" w:color="auto"/>
                <w:left w:val="none" w:sz="0" w:space="0" w:color="auto"/>
                <w:bottom w:val="none" w:sz="0" w:space="0" w:color="auto"/>
                <w:right w:val="none" w:sz="0" w:space="0" w:color="auto"/>
              </w:divBdr>
            </w:div>
            <w:div w:id="2091346675">
              <w:marLeft w:val="0"/>
              <w:marRight w:val="0"/>
              <w:marTop w:val="0"/>
              <w:marBottom w:val="0"/>
              <w:divBdr>
                <w:top w:val="none" w:sz="0" w:space="0" w:color="auto"/>
                <w:left w:val="none" w:sz="0" w:space="0" w:color="auto"/>
                <w:bottom w:val="none" w:sz="0" w:space="0" w:color="auto"/>
                <w:right w:val="none" w:sz="0" w:space="0" w:color="auto"/>
              </w:divBdr>
            </w:div>
            <w:div w:id="1353529935">
              <w:marLeft w:val="0"/>
              <w:marRight w:val="0"/>
              <w:marTop w:val="0"/>
              <w:marBottom w:val="0"/>
              <w:divBdr>
                <w:top w:val="none" w:sz="0" w:space="0" w:color="auto"/>
                <w:left w:val="none" w:sz="0" w:space="0" w:color="auto"/>
                <w:bottom w:val="none" w:sz="0" w:space="0" w:color="auto"/>
                <w:right w:val="none" w:sz="0" w:space="0" w:color="auto"/>
              </w:divBdr>
            </w:div>
            <w:div w:id="1929656279">
              <w:marLeft w:val="0"/>
              <w:marRight w:val="0"/>
              <w:marTop w:val="0"/>
              <w:marBottom w:val="0"/>
              <w:divBdr>
                <w:top w:val="none" w:sz="0" w:space="0" w:color="auto"/>
                <w:left w:val="none" w:sz="0" w:space="0" w:color="auto"/>
                <w:bottom w:val="none" w:sz="0" w:space="0" w:color="auto"/>
                <w:right w:val="none" w:sz="0" w:space="0" w:color="auto"/>
              </w:divBdr>
            </w:div>
          </w:divsChild>
        </w:div>
        <w:div w:id="359474219">
          <w:marLeft w:val="0"/>
          <w:marRight w:val="0"/>
          <w:marTop w:val="0"/>
          <w:marBottom w:val="0"/>
          <w:divBdr>
            <w:top w:val="none" w:sz="0" w:space="0" w:color="auto"/>
            <w:left w:val="none" w:sz="0" w:space="0" w:color="auto"/>
            <w:bottom w:val="none" w:sz="0" w:space="0" w:color="auto"/>
            <w:right w:val="none" w:sz="0" w:space="0" w:color="auto"/>
          </w:divBdr>
          <w:divsChild>
            <w:div w:id="633288829">
              <w:marLeft w:val="0"/>
              <w:marRight w:val="0"/>
              <w:marTop w:val="0"/>
              <w:marBottom w:val="0"/>
              <w:divBdr>
                <w:top w:val="none" w:sz="0" w:space="0" w:color="auto"/>
                <w:left w:val="none" w:sz="0" w:space="0" w:color="auto"/>
                <w:bottom w:val="none" w:sz="0" w:space="0" w:color="auto"/>
                <w:right w:val="none" w:sz="0" w:space="0" w:color="auto"/>
              </w:divBdr>
            </w:div>
            <w:div w:id="1380326313">
              <w:marLeft w:val="0"/>
              <w:marRight w:val="0"/>
              <w:marTop w:val="0"/>
              <w:marBottom w:val="0"/>
              <w:divBdr>
                <w:top w:val="none" w:sz="0" w:space="0" w:color="auto"/>
                <w:left w:val="none" w:sz="0" w:space="0" w:color="auto"/>
                <w:bottom w:val="none" w:sz="0" w:space="0" w:color="auto"/>
                <w:right w:val="none" w:sz="0" w:space="0" w:color="auto"/>
              </w:divBdr>
            </w:div>
            <w:div w:id="1016689308">
              <w:marLeft w:val="0"/>
              <w:marRight w:val="0"/>
              <w:marTop w:val="0"/>
              <w:marBottom w:val="0"/>
              <w:divBdr>
                <w:top w:val="none" w:sz="0" w:space="0" w:color="auto"/>
                <w:left w:val="none" w:sz="0" w:space="0" w:color="auto"/>
                <w:bottom w:val="none" w:sz="0" w:space="0" w:color="auto"/>
                <w:right w:val="none" w:sz="0" w:space="0" w:color="auto"/>
              </w:divBdr>
            </w:div>
            <w:div w:id="2144300904">
              <w:marLeft w:val="0"/>
              <w:marRight w:val="0"/>
              <w:marTop w:val="0"/>
              <w:marBottom w:val="0"/>
              <w:divBdr>
                <w:top w:val="none" w:sz="0" w:space="0" w:color="auto"/>
                <w:left w:val="none" w:sz="0" w:space="0" w:color="auto"/>
                <w:bottom w:val="none" w:sz="0" w:space="0" w:color="auto"/>
                <w:right w:val="none" w:sz="0" w:space="0" w:color="auto"/>
              </w:divBdr>
            </w:div>
            <w:div w:id="1961301981">
              <w:marLeft w:val="0"/>
              <w:marRight w:val="0"/>
              <w:marTop w:val="0"/>
              <w:marBottom w:val="0"/>
              <w:divBdr>
                <w:top w:val="none" w:sz="0" w:space="0" w:color="auto"/>
                <w:left w:val="none" w:sz="0" w:space="0" w:color="auto"/>
                <w:bottom w:val="none" w:sz="0" w:space="0" w:color="auto"/>
                <w:right w:val="none" w:sz="0" w:space="0" w:color="auto"/>
              </w:divBdr>
            </w:div>
          </w:divsChild>
        </w:div>
        <w:div w:id="75326252">
          <w:marLeft w:val="0"/>
          <w:marRight w:val="0"/>
          <w:marTop w:val="0"/>
          <w:marBottom w:val="0"/>
          <w:divBdr>
            <w:top w:val="none" w:sz="0" w:space="0" w:color="auto"/>
            <w:left w:val="none" w:sz="0" w:space="0" w:color="auto"/>
            <w:bottom w:val="none" w:sz="0" w:space="0" w:color="auto"/>
            <w:right w:val="none" w:sz="0" w:space="0" w:color="auto"/>
          </w:divBdr>
          <w:divsChild>
            <w:div w:id="211577051">
              <w:marLeft w:val="0"/>
              <w:marRight w:val="0"/>
              <w:marTop w:val="0"/>
              <w:marBottom w:val="0"/>
              <w:divBdr>
                <w:top w:val="none" w:sz="0" w:space="0" w:color="auto"/>
                <w:left w:val="none" w:sz="0" w:space="0" w:color="auto"/>
                <w:bottom w:val="none" w:sz="0" w:space="0" w:color="auto"/>
                <w:right w:val="none" w:sz="0" w:space="0" w:color="auto"/>
              </w:divBdr>
            </w:div>
            <w:div w:id="1239095941">
              <w:marLeft w:val="0"/>
              <w:marRight w:val="0"/>
              <w:marTop w:val="0"/>
              <w:marBottom w:val="0"/>
              <w:divBdr>
                <w:top w:val="none" w:sz="0" w:space="0" w:color="auto"/>
                <w:left w:val="none" w:sz="0" w:space="0" w:color="auto"/>
                <w:bottom w:val="none" w:sz="0" w:space="0" w:color="auto"/>
                <w:right w:val="none" w:sz="0" w:space="0" w:color="auto"/>
              </w:divBdr>
            </w:div>
            <w:div w:id="1171217234">
              <w:marLeft w:val="0"/>
              <w:marRight w:val="0"/>
              <w:marTop w:val="0"/>
              <w:marBottom w:val="0"/>
              <w:divBdr>
                <w:top w:val="none" w:sz="0" w:space="0" w:color="auto"/>
                <w:left w:val="none" w:sz="0" w:space="0" w:color="auto"/>
                <w:bottom w:val="none" w:sz="0" w:space="0" w:color="auto"/>
                <w:right w:val="none" w:sz="0" w:space="0" w:color="auto"/>
              </w:divBdr>
            </w:div>
          </w:divsChild>
        </w:div>
        <w:div w:id="519667378">
          <w:marLeft w:val="0"/>
          <w:marRight w:val="0"/>
          <w:marTop w:val="0"/>
          <w:marBottom w:val="0"/>
          <w:divBdr>
            <w:top w:val="none" w:sz="0" w:space="0" w:color="auto"/>
            <w:left w:val="none" w:sz="0" w:space="0" w:color="auto"/>
            <w:bottom w:val="none" w:sz="0" w:space="0" w:color="auto"/>
            <w:right w:val="none" w:sz="0" w:space="0" w:color="auto"/>
          </w:divBdr>
          <w:divsChild>
            <w:div w:id="950665777">
              <w:marLeft w:val="0"/>
              <w:marRight w:val="0"/>
              <w:marTop w:val="0"/>
              <w:marBottom w:val="0"/>
              <w:divBdr>
                <w:top w:val="none" w:sz="0" w:space="0" w:color="auto"/>
                <w:left w:val="none" w:sz="0" w:space="0" w:color="auto"/>
                <w:bottom w:val="none" w:sz="0" w:space="0" w:color="auto"/>
                <w:right w:val="none" w:sz="0" w:space="0" w:color="auto"/>
              </w:divBdr>
            </w:div>
            <w:div w:id="573199183">
              <w:marLeft w:val="0"/>
              <w:marRight w:val="0"/>
              <w:marTop w:val="0"/>
              <w:marBottom w:val="0"/>
              <w:divBdr>
                <w:top w:val="none" w:sz="0" w:space="0" w:color="auto"/>
                <w:left w:val="none" w:sz="0" w:space="0" w:color="auto"/>
                <w:bottom w:val="none" w:sz="0" w:space="0" w:color="auto"/>
                <w:right w:val="none" w:sz="0" w:space="0" w:color="auto"/>
              </w:divBdr>
            </w:div>
            <w:div w:id="547953687">
              <w:marLeft w:val="0"/>
              <w:marRight w:val="0"/>
              <w:marTop w:val="0"/>
              <w:marBottom w:val="0"/>
              <w:divBdr>
                <w:top w:val="none" w:sz="0" w:space="0" w:color="auto"/>
                <w:left w:val="none" w:sz="0" w:space="0" w:color="auto"/>
                <w:bottom w:val="none" w:sz="0" w:space="0" w:color="auto"/>
                <w:right w:val="none" w:sz="0" w:space="0" w:color="auto"/>
              </w:divBdr>
            </w:div>
            <w:div w:id="331181555">
              <w:marLeft w:val="0"/>
              <w:marRight w:val="0"/>
              <w:marTop w:val="0"/>
              <w:marBottom w:val="0"/>
              <w:divBdr>
                <w:top w:val="none" w:sz="0" w:space="0" w:color="auto"/>
                <w:left w:val="none" w:sz="0" w:space="0" w:color="auto"/>
                <w:bottom w:val="none" w:sz="0" w:space="0" w:color="auto"/>
                <w:right w:val="none" w:sz="0" w:space="0" w:color="auto"/>
              </w:divBdr>
            </w:div>
          </w:divsChild>
        </w:div>
        <w:div w:id="658390197">
          <w:marLeft w:val="0"/>
          <w:marRight w:val="0"/>
          <w:marTop w:val="0"/>
          <w:marBottom w:val="0"/>
          <w:divBdr>
            <w:top w:val="none" w:sz="0" w:space="0" w:color="auto"/>
            <w:left w:val="none" w:sz="0" w:space="0" w:color="auto"/>
            <w:bottom w:val="none" w:sz="0" w:space="0" w:color="auto"/>
            <w:right w:val="none" w:sz="0" w:space="0" w:color="auto"/>
          </w:divBdr>
        </w:div>
        <w:div w:id="32770580">
          <w:marLeft w:val="0"/>
          <w:marRight w:val="0"/>
          <w:marTop w:val="0"/>
          <w:marBottom w:val="0"/>
          <w:divBdr>
            <w:top w:val="none" w:sz="0" w:space="0" w:color="auto"/>
            <w:left w:val="none" w:sz="0" w:space="0" w:color="auto"/>
            <w:bottom w:val="none" w:sz="0" w:space="0" w:color="auto"/>
            <w:right w:val="none" w:sz="0" w:space="0" w:color="auto"/>
          </w:divBdr>
        </w:div>
        <w:div w:id="601114237">
          <w:marLeft w:val="0"/>
          <w:marRight w:val="0"/>
          <w:marTop w:val="0"/>
          <w:marBottom w:val="0"/>
          <w:divBdr>
            <w:top w:val="none" w:sz="0" w:space="0" w:color="auto"/>
            <w:left w:val="none" w:sz="0" w:space="0" w:color="auto"/>
            <w:bottom w:val="none" w:sz="0" w:space="0" w:color="auto"/>
            <w:right w:val="none" w:sz="0" w:space="0" w:color="auto"/>
          </w:divBdr>
        </w:div>
        <w:div w:id="961152396">
          <w:marLeft w:val="0"/>
          <w:marRight w:val="0"/>
          <w:marTop w:val="0"/>
          <w:marBottom w:val="0"/>
          <w:divBdr>
            <w:top w:val="none" w:sz="0" w:space="0" w:color="auto"/>
            <w:left w:val="none" w:sz="0" w:space="0" w:color="auto"/>
            <w:bottom w:val="none" w:sz="0" w:space="0" w:color="auto"/>
            <w:right w:val="none" w:sz="0" w:space="0" w:color="auto"/>
          </w:divBdr>
        </w:div>
        <w:div w:id="1256404530">
          <w:marLeft w:val="0"/>
          <w:marRight w:val="0"/>
          <w:marTop w:val="0"/>
          <w:marBottom w:val="0"/>
          <w:divBdr>
            <w:top w:val="none" w:sz="0" w:space="0" w:color="auto"/>
            <w:left w:val="none" w:sz="0" w:space="0" w:color="auto"/>
            <w:bottom w:val="none" w:sz="0" w:space="0" w:color="auto"/>
            <w:right w:val="none" w:sz="0" w:space="0" w:color="auto"/>
          </w:divBdr>
        </w:div>
      </w:divsChild>
    </w:div>
    <w:div w:id="1068502617">
      <w:bodyDiv w:val="1"/>
      <w:marLeft w:val="0"/>
      <w:marRight w:val="0"/>
      <w:marTop w:val="0"/>
      <w:marBottom w:val="0"/>
      <w:divBdr>
        <w:top w:val="none" w:sz="0" w:space="0" w:color="auto"/>
        <w:left w:val="none" w:sz="0" w:space="0" w:color="auto"/>
        <w:bottom w:val="none" w:sz="0" w:space="0" w:color="auto"/>
        <w:right w:val="none" w:sz="0" w:space="0" w:color="auto"/>
      </w:divBdr>
      <w:divsChild>
        <w:div w:id="6644090">
          <w:marLeft w:val="0"/>
          <w:marRight w:val="0"/>
          <w:marTop w:val="0"/>
          <w:marBottom w:val="0"/>
          <w:divBdr>
            <w:top w:val="none" w:sz="0" w:space="0" w:color="auto"/>
            <w:left w:val="none" w:sz="0" w:space="0" w:color="auto"/>
            <w:bottom w:val="none" w:sz="0" w:space="0" w:color="auto"/>
            <w:right w:val="none" w:sz="0" w:space="0" w:color="auto"/>
          </w:divBdr>
        </w:div>
        <w:div w:id="935594392">
          <w:marLeft w:val="0"/>
          <w:marRight w:val="0"/>
          <w:marTop w:val="0"/>
          <w:marBottom w:val="0"/>
          <w:divBdr>
            <w:top w:val="none" w:sz="0" w:space="0" w:color="auto"/>
            <w:left w:val="none" w:sz="0" w:space="0" w:color="auto"/>
            <w:bottom w:val="none" w:sz="0" w:space="0" w:color="auto"/>
            <w:right w:val="none" w:sz="0" w:space="0" w:color="auto"/>
          </w:divBdr>
        </w:div>
        <w:div w:id="1873229280">
          <w:marLeft w:val="0"/>
          <w:marRight w:val="0"/>
          <w:marTop w:val="0"/>
          <w:marBottom w:val="0"/>
          <w:divBdr>
            <w:top w:val="none" w:sz="0" w:space="0" w:color="auto"/>
            <w:left w:val="none" w:sz="0" w:space="0" w:color="auto"/>
            <w:bottom w:val="none" w:sz="0" w:space="0" w:color="auto"/>
            <w:right w:val="none" w:sz="0" w:space="0" w:color="auto"/>
          </w:divBdr>
        </w:div>
        <w:div w:id="1472400159">
          <w:marLeft w:val="0"/>
          <w:marRight w:val="0"/>
          <w:marTop w:val="0"/>
          <w:marBottom w:val="0"/>
          <w:divBdr>
            <w:top w:val="none" w:sz="0" w:space="0" w:color="auto"/>
            <w:left w:val="none" w:sz="0" w:space="0" w:color="auto"/>
            <w:bottom w:val="none" w:sz="0" w:space="0" w:color="auto"/>
            <w:right w:val="none" w:sz="0" w:space="0" w:color="auto"/>
          </w:divBdr>
        </w:div>
        <w:div w:id="1725254615">
          <w:marLeft w:val="0"/>
          <w:marRight w:val="0"/>
          <w:marTop w:val="0"/>
          <w:marBottom w:val="0"/>
          <w:divBdr>
            <w:top w:val="none" w:sz="0" w:space="0" w:color="auto"/>
            <w:left w:val="none" w:sz="0" w:space="0" w:color="auto"/>
            <w:bottom w:val="none" w:sz="0" w:space="0" w:color="auto"/>
            <w:right w:val="none" w:sz="0" w:space="0" w:color="auto"/>
          </w:divBdr>
        </w:div>
        <w:div w:id="438647407">
          <w:marLeft w:val="0"/>
          <w:marRight w:val="0"/>
          <w:marTop w:val="0"/>
          <w:marBottom w:val="0"/>
          <w:divBdr>
            <w:top w:val="none" w:sz="0" w:space="0" w:color="auto"/>
            <w:left w:val="none" w:sz="0" w:space="0" w:color="auto"/>
            <w:bottom w:val="none" w:sz="0" w:space="0" w:color="auto"/>
            <w:right w:val="none" w:sz="0" w:space="0" w:color="auto"/>
          </w:divBdr>
        </w:div>
        <w:div w:id="1255170523">
          <w:marLeft w:val="0"/>
          <w:marRight w:val="0"/>
          <w:marTop w:val="0"/>
          <w:marBottom w:val="0"/>
          <w:divBdr>
            <w:top w:val="none" w:sz="0" w:space="0" w:color="auto"/>
            <w:left w:val="none" w:sz="0" w:space="0" w:color="auto"/>
            <w:bottom w:val="none" w:sz="0" w:space="0" w:color="auto"/>
            <w:right w:val="none" w:sz="0" w:space="0" w:color="auto"/>
          </w:divBdr>
        </w:div>
        <w:div w:id="725763694">
          <w:marLeft w:val="0"/>
          <w:marRight w:val="0"/>
          <w:marTop w:val="0"/>
          <w:marBottom w:val="0"/>
          <w:divBdr>
            <w:top w:val="none" w:sz="0" w:space="0" w:color="auto"/>
            <w:left w:val="none" w:sz="0" w:space="0" w:color="auto"/>
            <w:bottom w:val="none" w:sz="0" w:space="0" w:color="auto"/>
            <w:right w:val="none" w:sz="0" w:space="0" w:color="auto"/>
          </w:divBdr>
        </w:div>
        <w:div w:id="1284994240">
          <w:marLeft w:val="0"/>
          <w:marRight w:val="0"/>
          <w:marTop w:val="0"/>
          <w:marBottom w:val="0"/>
          <w:divBdr>
            <w:top w:val="none" w:sz="0" w:space="0" w:color="auto"/>
            <w:left w:val="none" w:sz="0" w:space="0" w:color="auto"/>
            <w:bottom w:val="none" w:sz="0" w:space="0" w:color="auto"/>
            <w:right w:val="none" w:sz="0" w:space="0" w:color="auto"/>
          </w:divBdr>
        </w:div>
        <w:div w:id="364142528">
          <w:marLeft w:val="0"/>
          <w:marRight w:val="0"/>
          <w:marTop w:val="0"/>
          <w:marBottom w:val="0"/>
          <w:divBdr>
            <w:top w:val="none" w:sz="0" w:space="0" w:color="auto"/>
            <w:left w:val="none" w:sz="0" w:space="0" w:color="auto"/>
            <w:bottom w:val="none" w:sz="0" w:space="0" w:color="auto"/>
            <w:right w:val="none" w:sz="0" w:space="0" w:color="auto"/>
          </w:divBdr>
        </w:div>
        <w:div w:id="1287732296">
          <w:marLeft w:val="0"/>
          <w:marRight w:val="0"/>
          <w:marTop w:val="0"/>
          <w:marBottom w:val="0"/>
          <w:divBdr>
            <w:top w:val="none" w:sz="0" w:space="0" w:color="auto"/>
            <w:left w:val="none" w:sz="0" w:space="0" w:color="auto"/>
            <w:bottom w:val="none" w:sz="0" w:space="0" w:color="auto"/>
            <w:right w:val="none" w:sz="0" w:space="0" w:color="auto"/>
          </w:divBdr>
        </w:div>
        <w:div w:id="866068586">
          <w:marLeft w:val="0"/>
          <w:marRight w:val="0"/>
          <w:marTop w:val="0"/>
          <w:marBottom w:val="0"/>
          <w:divBdr>
            <w:top w:val="none" w:sz="0" w:space="0" w:color="auto"/>
            <w:left w:val="none" w:sz="0" w:space="0" w:color="auto"/>
            <w:bottom w:val="none" w:sz="0" w:space="0" w:color="auto"/>
            <w:right w:val="none" w:sz="0" w:space="0" w:color="auto"/>
          </w:divBdr>
        </w:div>
        <w:div w:id="164943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arpu12.721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21/arpu12.721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41A4EB7F-DAA0-4BD5-88F2-D4A4B93D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2023-03-28T18:53:00Z</dcterms:created>
  <dcterms:modified xsi:type="dcterms:W3CDTF">2023-03-28T18:53:00Z</dcterms:modified>
</cp:coreProperties>
</file>