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3CD22" w14:textId="77777777" w:rsidR="00210AA7" w:rsidRPr="00F45276" w:rsidRDefault="00210AA7" w:rsidP="00210AA7">
      <w:pPr>
        <w:pBdr>
          <w:top w:val="nil"/>
          <w:left w:val="nil"/>
          <w:bottom w:val="nil"/>
          <w:right w:val="nil"/>
          <w:between w:val="nil"/>
        </w:pBdr>
        <w:jc w:val="center"/>
        <w:rPr>
          <w:rFonts w:ascii="Cambria" w:eastAsia="Cambria" w:hAnsi="Cambria" w:cs="Cambria"/>
          <w:b/>
          <w:color w:val="000000" w:themeColor="text1"/>
          <w:sz w:val="20"/>
          <w:szCs w:val="20"/>
          <w:lang w:val="es-ES"/>
        </w:rPr>
      </w:pPr>
      <w:r w:rsidRPr="00F45276">
        <w:rPr>
          <w:rFonts w:ascii="Cambria" w:eastAsia="Cambria" w:hAnsi="Cambria" w:cs="Cambria"/>
          <w:b/>
          <w:color w:val="000000" w:themeColor="text1"/>
          <w:sz w:val="20"/>
          <w:szCs w:val="20"/>
          <w:lang w:val="es-ES"/>
        </w:rPr>
        <w:t>FICHA DE SEGUIMIENTO DEL INFORME Nº 61/01</w:t>
      </w:r>
    </w:p>
    <w:p w14:paraId="63D16199" w14:textId="77777777" w:rsidR="00210AA7" w:rsidRPr="00F45276" w:rsidRDefault="00210AA7" w:rsidP="00210AA7">
      <w:pPr>
        <w:pBdr>
          <w:top w:val="nil"/>
          <w:left w:val="nil"/>
          <w:bottom w:val="nil"/>
          <w:right w:val="nil"/>
          <w:between w:val="nil"/>
        </w:pBdr>
        <w:jc w:val="center"/>
        <w:rPr>
          <w:rFonts w:ascii="Cambria" w:eastAsia="Cambria" w:hAnsi="Cambria" w:cs="Cambria"/>
          <w:b/>
          <w:color w:val="000000" w:themeColor="text1"/>
          <w:sz w:val="20"/>
          <w:szCs w:val="20"/>
          <w:lang w:val="es-ES"/>
        </w:rPr>
      </w:pPr>
      <w:r w:rsidRPr="00F45276">
        <w:rPr>
          <w:rFonts w:ascii="Cambria" w:eastAsia="Cambria" w:hAnsi="Cambria" w:cs="Cambria"/>
          <w:b/>
          <w:color w:val="000000" w:themeColor="text1"/>
          <w:sz w:val="20"/>
          <w:szCs w:val="20"/>
          <w:lang w:val="es-ES"/>
        </w:rPr>
        <w:t>CASO 11.771</w:t>
      </w:r>
    </w:p>
    <w:p w14:paraId="729A1906" w14:textId="77777777" w:rsidR="00210AA7" w:rsidRPr="00F45276" w:rsidRDefault="00210AA7" w:rsidP="00210AA7">
      <w:pPr>
        <w:pBdr>
          <w:top w:val="nil"/>
          <w:left w:val="nil"/>
          <w:bottom w:val="nil"/>
          <w:right w:val="nil"/>
          <w:between w:val="nil"/>
        </w:pBdr>
        <w:jc w:val="center"/>
        <w:rPr>
          <w:rFonts w:ascii="Cambria" w:eastAsia="Cambria" w:hAnsi="Cambria" w:cs="Cambria"/>
          <w:b/>
          <w:color w:val="000000" w:themeColor="text1"/>
          <w:sz w:val="20"/>
          <w:szCs w:val="20"/>
          <w:lang w:val="es-ES"/>
        </w:rPr>
      </w:pPr>
      <w:r w:rsidRPr="00F45276">
        <w:rPr>
          <w:rFonts w:ascii="Cambria" w:eastAsia="Cambria" w:hAnsi="Cambria" w:cs="Cambria"/>
          <w:b/>
          <w:color w:val="000000" w:themeColor="text1"/>
          <w:sz w:val="20"/>
          <w:szCs w:val="20"/>
          <w:lang w:val="es-ES"/>
        </w:rPr>
        <w:t>SAMUEL ALFONSO CATALÁN LINCOLEO</w:t>
      </w:r>
    </w:p>
    <w:p w14:paraId="1CBEF158" w14:textId="77777777" w:rsidR="00210AA7" w:rsidRPr="00F45276" w:rsidRDefault="00210AA7" w:rsidP="00210AA7">
      <w:pPr>
        <w:pBdr>
          <w:top w:val="nil"/>
          <w:left w:val="nil"/>
          <w:bottom w:val="nil"/>
          <w:right w:val="nil"/>
          <w:between w:val="nil"/>
        </w:pBdr>
        <w:jc w:val="center"/>
        <w:rPr>
          <w:rFonts w:ascii="Cambria" w:eastAsia="Cambria" w:hAnsi="Cambria" w:cs="Cambria"/>
          <w:b/>
          <w:color w:val="000000" w:themeColor="text1"/>
          <w:sz w:val="20"/>
          <w:szCs w:val="20"/>
          <w:lang w:val="es-ES"/>
        </w:rPr>
      </w:pPr>
      <w:r w:rsidRPr="00F45276">
        <w:rPr>
          <w:rFonts w:ascii="Cambria" w:eastAsia="Cambria" w:hAnsi="Cambria" w:cs="Cambria"/>
          <w:b/>
          <w:color w:val="000000" w:themeColor="text1"/>
          <w:sz w:val="20"/>
          <w:szCs w:val="20"/>
          <w:lang w:val="es-ES"/>
        </w:rPr>
        <w:t>(Chile)</w:t>
      </w:r>
    </w:p>
    <w:p w14:paraId="643D81AD" w14:textId="77777777" w:rsidR="00210AA7" w:rsidRPr="00F45276" w:rsidRDefault="00210AA7" w:rsidP="00210AA7">
      <w:pPr>
        <w:ind w:left="-450" w:right="-450"/>
        <w:jc w:val="center"/>
        <w:rPr>
          <w:rFonts w:ascii="Cambria" w:eastAsia="Cambria" w:hAnsi="Cambria" w:cs="Cambria"/>
          <w:color w:val="000000" w:themeColor="text1"/>
          <w:sz w:val="20"/>
          <w:szCs w:val="20"/>
          <w:lang w:val="es-ES"/>
        </w:rPr>
      </w:pPr>
    </w:p>
    <w:p w14:paraId="26A4B958" w14:textId="77777777" w:rsidR="00210AA7" w:rsidRPr="00F45276" w:rsidRDefault="00210AA7">
      <w:pPr>
        <w:numPr>
          <w:ilvl w:val="0"/>
          <w:numId w:val="4"/>
        </w:numPr>
        <w:ind w:left="1440"/>
        <w:rPr>
          <w:rFonts w:ascii="Cambria" w:eastAsia="Cambria" w:hAnsi="Cambria" w:cs="Cambria"/>
          <w:b/>
          <w:color w:val="000000" w:themeColor="text1"/>
          <w:sz w:val="20"/>
          <w:szCs w:val="20"/>
        </w:rPr>
      </w:pPr>
      <w:r w:rsidRPr="00F45276">
        <w:rPr>
          <w:rFonts w:ascii="Cambria" w:eastAsia="Cambria" w:hAnsi="Cambria" w:cs="Cambria"/>
          <w:b/>
          <w:color w:val="000000" w:themeColor="text1"/>
          <w:sz w:val="20"/>
          <w:szCs w:val="20"/>
        </w:rPr>
        <w:t xml:space="preserve">Resumen del caso </w:t>
      </w:r>
    </w:p>
    <w:p w14:paraId="1867233D" w14:textId="77777777" w:rsidR="00210AA7" w:rsidRPr="00F45276" w:rsidRDefault="00210AA7" w:rsidP="00210AA7">
      <w:pPr>
        <w:ind w:left="1080"/>
        <w:rPr>
          <w:rFonts w:ascii="Cambria" w:eastAsia="Cambria" w:hAnsi="Cambria" w:cs="Cambria"/>
          <w:color w:val="000000" w:themeColor="text1"/>
          <w:sz w:val="20"/>
          <w:szCs w:val="20"/>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45276" w:rsidRPr="00F45276" w14:paraId="2D4862B1" w14:textId="77777777" w:rsidTr="008711AF">
        <w:trPr>
          <w:jc w:val="center"/>
        </w:trPr>
        <w:tc>
          <w:tcPr>
            <w:tcW w:w="9350" w:type="dxa"/>
            <w:shd w:val="clear" w:color="auto" w:fill="F2F2F2"/>
          </w:tcPr>
          <w:p w14:paraId="47BF8C76" w14:textId="77777777" w:rsidR="00210AA7" w:rsidRPr="00F45276" w:rsidRDefault="00210AA7" w:rsidP="008711AF">
            <w:pPr>
              <w:pBdr>
                <w:top w:val="nil"/>
                <w:left w:val="nil"/>
                <w:bottom w:val="nil"/>
                <w:right w:val="nil"/>
                <w:between w:val="nil"/>
              </w:pBdr>
              <w:spacing w:before="120"/>
              <w:jc w:val="both"/>
              <w:rPr>
                <w:rFonts w:ascii="Cambria" w:eastAsia="Cambria" w:hAnsi="Cambria" w:cs="Cambria"/>
                <w:color w:val="000000" w:themeColor="text1"/>
                <w:sz w:val="20"/>
                <w:szCs w:val="20"/>
                <w:lang w:val="es-ES"/>
              </w:rPr>
            </w:pPr>
            <w:r w:rsidRPr="00F45276">
              <w:rPr>
                <w:rFonts w:ascii="Cambria" w:eastAsia="Cambria" w:hAnsi="Cambria" w:cs="Cambria"/>
                <w:b/>
                <w:color w:val="000000" w:themeColor="text1"/>
                <w:sz w:val="20"/>
                <w:szCs w:val="20"/>
                <w:lang w:val="es-ES"/>
              </w:rPr>
              <w:t>Víctima (s):</w:t>
            </w:r>
            <w:r w:rsidRPr="00F45276">
              <w:rPr>
                <w:rFonts w:ascii="Cambria" w:eastAsia="Cambria" w:hAnsi="Cambria" w:cs="Cambria"/>
                <w:color w:val="000000" w:themeColor="text1"/>
                <w:sz w:val="20"/>
                <w:szCs w:val="20"/>
                <w:lang w:val="es-ES"/>
              </w:rPr>
              <w:t xml:space="preserve"> Samuel Alfonso Catalán Lincoleo</w:t>
            </w:r>
          </w:p>
          <w:p w14:paraId="1A7C78A4" w14:textId="77777777" w:rsidR="00210AA7" w:rsidRPr="00F45276" w:rsidRDefault="00210AA7" w:rsidP="008711AF">
            <w:pPr>
              <w:pBdr>
                <w:top w:val="nil"/>
                <w:left w:val="nil"/>
                <w:bottom w:val="nil"/>
                <w:right w:val="nil"/>
                <w:between w:val="nil"/>
              </w:pBdr>
              <w:jc w:val="both"/>
              <w:rPr>
                <w:rFonts w:ascii="Cambria" w:eastAsia="Cambria" w:hAnsi="Cambria" w:cs="Cambria"/>
                <w:color w:val="000000" w:themeColor="text1"/>
                <w:sz w:val="20"/>
                <w:szCs w:val="20"/>
                <w:lang w:val="es-ES"/>
              </w:rPr>
            </w:pPr>
            <w:r w:rsidRPr="00F45276">
              <w:rPr>
                <w:rFonts w:ascii="Cambria" w:eastAsia="Cambria" w:hAnsi="Cambria" w:cs="Cambria"/>
                <w:b/>
                <w:color w:val="000000" w:themeColor="text1"/>
                <w:sz w:val="20"/>
                <w:szCs w:val="20"/>
                <w:lang w:val="es-ES"/>
              </w:rPr>
              <w:t>Peticionario (s):</w:t>
            </w:r>
            <w:r w:rsidRPr="00F45276">
              <w:rPr>
                <w:rFonts w:ascii="Cambria" w:eastAsia="Cambria" w:hAnsi="Cambria" w:cs="Cambria"/>
                <w:color w:val="000000" w:themeColor="text1"/>
                <w:sz w:val="20"/>
                <w:szCs w:val="20"/>
                <w:lang w:val="es-ES"/>
              </w:rPr>
              <w:t xml:space="preserve"> Compromiso Cristiano por los Derechos Humanos (FASIC)</w:t>
            </w:r>
          </w:p>
          <w:p w14:paraId="342CE307" w14:textId="77777777" w:rsidR="00210AA7" w:rsidRPr="00F45276" w:rsidRDefault="00210AA7" w:rsidP="008711AF">
            <w:pPr>
              <w:pBdr>
                <w:top w:val="nil"/>
                <w:left w:val="nil"/>
                <w:bottom w:val="nil"/>
                <w:right w:val="nil"/>
                <w:between w:val="nil"/>
              </w:pBdr>
              <w:jc w:val="both"/>
              <w:rPr>
                <w:rFonts w:ascii="Cambria" w:eastAsia="Cambria" w:hAnsi="Cambria" w:cs="Cambria"/>
                <w:color w:val="000000" w:themeColor="text1"/>
                <w:sz w:val="20"/>
                <w:szCs w:val="20"/>
                <w:lang w:val="es-ES"/>
              </w:rPr>
            </w:pPr>
            <w:r w:rsidRPr="00F45276">
              <w:rPr>
                <w:rFonts w:ascii="Cambria" w:eastAsia="Cambria" w:hAnsi="Cambria" w:cs="Cambria"/>
                <w:b/>
                <w:color w:val="000000" w:themeColor="text1"/>
                <w:sz w:val="20"/>
                <w:szCs w:val="20"/>
                <w:lang w:val="es-ES"/>
              </w:rPr>
              <w:t>Estado:</w:t>
            </w:r>
            <w:r w:rsidRPr="00F45276">
              <w:rPr>
                <w:rFonts w:ascii="Cambria" w:eastAsia="Cambria" w:hAnsi="Cambria" w:cs="Cambria"/>
                <w:color w:val="000000" w:themeColor="text1"/>
                <w:sz w:val="20"/>
                <w:szCs w:val="20"/>
                <w:lang w:val="es-ES"/>
              </w:rPr>
              <w:t xml:space="preserve"> Chile</w:t>
            </w:r>
          </w:p>
          <w:p w14:paraId="390E46E7" w14:textId="77777777" w:rsidR="00210AA7" w:rsidRPr="00F45276" w:rsidRDefault="00210AA7" w:rsidP="008711AF">
            <w:pPr>
              <w:pBdr>
                <w:top w:val="nil"/>
                <w:left w:val="nil"/>
                <w:bottom w:val="nil"/>
                <w:right w:val="nil"/>
                <w:between w:val="nil"/>
              </w:pBdr>
              <w:jc w:val="both"/>
              <w:rPr>
                <w:rFonts w:ascii="Cambria" w:eastAsia="Cambria" w:hAnsi="Cambria" w:cs="Cambria"/>
                <w:color w:val="000000" w:themeColor="text1"/>
                <w:sz w:val="20"/>
                <w:szCs w:val="20"/>
                <w:lang w:val="es-ES"/>
              </w:rPr>
            </w:pPr>
            <w:r w:rsidRPr="00F45276">
              <w:rPr>
                <w:rFonts w:ascii="Cambria" w:eastAsia="Cambria" w:hAnsi="Cambria" w:cs="Cambria"/>
                <w:b/>
                <w:color w:val="000000" w:themeColor="text1"/>
                <w:sz w:val="20"/>
                <w:szCs w:val="20"/>
                <w:lang w:val="es-ES"/>
              </w:rPr>
              <w:t xml:space="preserve">Informe de Fondo Nº: </w:t>
            </w:r>
            <w:hyperlink r:id="rId11">
              <w:r w:rsidRPr="00F45276">
                <w:rPr>
                  <w:rFonts w:ascii="Cambria" w:eastAsia="Cambria" w:hAnsi="Cambria" w:cs="Cambria"/>
                  <w:color w:val="000000" w:themeColor="text1"/>
                  <w:sz w:val="20"/>
                  <w:szCs w:val="20"/>
                  <w:u w:val="single"/>
                  <w:lang w:val="es-ES"/>
                </w:rPr>
                <w:t>61/01</w:t>
              </w:r>
            </w:hyperlink>
            <w:r w:rsidRPr="00F45276">
              <w:rPr>
                <w:rFonts w:ascii="Cambria" w:eastAsia="Cambria" w:hAnsi="Cambria" w:cs="Cambria"/>
                <w:color w:val="000000" w:themeColor="text1"/>
                <w:sz w:val="20"/>
                <w:szCs w:val="20"/>
                <w:lang w:val="es-ES"/>
              </w:rPr>
              <w:t xml:space="preserve">, publicado el 16 de abril de 2001 </w:t>
            </w:r>
          </w:p>
          <w:p w14:paraId="73C2F111" w14:textId="77777777" w:rsidR="00210AA7" w:rsidRPr="00F45276" w:rsidRDefault="00210AA7" w:rsidP="008711AF">
            <w:pPr>
              <w:pBdr>
                <w:top w:val="nil"/>
                <w:left w:val="nil"/>
                <w:bottom w:val="nil"/>
                <w:right w:val="nil"/>
                <w:between w:val="nil"/>
              </w:pBdr>
              <w:jc w:val="both"/>
              <w:rPr>
                <w:rFonts w:ascii="Cambria" w:eastAsia="Cambria" w:hAnsi="Cambria" w:cs="Cambria"/>
                <w:color w:val="000000" w:themeColor="text1"/>
                <w:sz w:val="20"/>
                <w:szCs w:val="20"/>
                <w:lang w:val="es-ES"/>
              </w:rPr>
            </w:pPr>
            <w:r w:rsidRPr="00F45276">
              <w:rPr>
                <w:rFonts w:ascii="Cambria" w:eastAsia="Cambria" w:hAnsi="Cambria" w:cs="Cambria"/>
                <w:b/>
                <w:color w:val="000000" w:themeColor="text1"/>
                <w:sz w:val="20"/>
                <w:szCs w:val="20"/>
                <w:lang w:val="es-ES"/>
              </w:rPr>
              <w:t>Informe de Admisibilidad:</w:t>
            </w:r>
            <w:r w:rsidRPr="00F45276">
              <w:rPr>
                <w:rFonts w:ascii="Cambria" w:eastAsia="Cambria" w:hAnsi="Cambria" w:cs="Cambria"/>
                <w:color w:val="000000" w:themeColor="text1"/>
                <w:sz w:val="20"/>
                <w:szCs w:val="20"/>
                <w:lang w:val="es-ES"/>
              </w:rPr>
              <w:t xml:space="preserve"> Analizado junto con el Informe de Fondo Nº 61/01</w:t>
            </w:r>
          </w:p>
          <w:p w14:paraId="18A7219F" w14:textId="77777777" w:rsidR="00210AA7" w:rsidRPr="00F45276" w:rsidRDefault="00210AA7" w:rsidP="008711AF">
            <w:pPr>
              <w:pBdr>
                <w:top w:val="nil"/>
                <w:left w:val="nil"/>
                <w:bottom w:val="nil"/>
                <w:right w:val="nil"/>
                <w:between w:val="nil"/>
              </w:pBdr>
              <w:spacing w:after="120"/>
              <w:jc w:val="both"/>
              <w:rPr>
                <w:rFonts w:ascii="Cambria" w:eastAsia="Cambria" w:hAnsi="Cambria" w:cs="Cambria"/>
                <w:color w:val="000000" w:themeColor="text1"/>
                <w:sz w:val="20"/>
                <w:szCs w:val="20"/>
                <w:lang w:val="es-ES"/>
              </w:rPr>
            </w:pPr>
            <w:r w:rsidRPr="00F45276">
              <w:rPr>
                <w:rFonts w:ascii="Cambria" w:eastAsia="Cambria" w:hAnsi="Cambria" w:cs="Cambria"/>
                <w:b/>
                <w:color w:val="000000" w:themeColor="text1"/>
                <w:sz w:val="20"/>
                <w:szCs w:val="20"/>
                <w:lang w:val="es-ES"/>
              </w:rPr>
              <w:t xml:space="preserve">Temas: </w:t>
            </w:r>
            <w:r w:rsidRPr="00F45276">
              <w:rPr>
                <w:rFonts w:ascii="Cambria" w:eastAsia="Cambria" w:hAnsi="Cambria" w:cs="Cambria"/>
                <w:color w:val="000000" w:themeColor="text1"/>
                <w:sz w:val="20"/>
                <w:szCs w:val="20"/>
                <w:lang w:val="es-ES"/>
              </w:rPr>
              <w:t>Derecho a la Vida / Derecho a la Integridad Personal / Derecho a la Libertad Personal / Garantías Judiciales / Protección Judicial / Desaparición Forzada / Memoria, Verdad y Justicia / Deber de Adoptar Medidas y Disposiciones de Derecho Interno.</w:t>
            </w:r>
          </w:p>
          <w:p w14:paraId="5EC1A1C2" w14:textId="77777777" w:rsidR="00210AA7" w:rsidRPr="00F45276" w:rsidRDefault="00210AA7" w:rsidP="008711AF">
            <w:pPr>
              <w:pBdr>
                <w:top w:val="nil"/>
                <w:left w:val="nil"/>
                <w:bottom w:val="nil"/>
                <w:right w:val="nil"/>
                <w:between w:val="nil"/>
              </w:pBdr>
              <w:spacing w:after="120"/>
              <w:jc w:val="both"/>
              <w:rPr>
                <w:rFonts w:ascii="Cambria" w:eastAsia="Cambria" w:hAnsi="Cambria" w:cs="Cambria"/>
                <w:b/>
                <w:color w:val="000000" w:themeColor="text1"/>
                <w:sz w:val="20"/>
                <w:szCs w:val="20"/>
                <w:lang w:val="es-ES"/>
              </w:rPr>
            </w:pPr>
            <w:r w:rsidRPr="00F45276">
              <w:rPr>
                <w:rFonts w:ascii="Cambria" w:eastAsia="Cambria" w:hAnsi="Cambria" w:cs="Cambria"/>
                <w:b/>
                <w:color w:val="000000" w:themeColor="text1"/>
                <w:sz w:val="20"/>
                <w:szCs w:val="20"/>
                <w:lang w:val="es-ES"/>
              </w:rPr>
              <w:t xml:space="preserve">Hechos: </w:t>
            </w:r>
            <w:r w:rsidRPr="00F45276">
              <w:rPr>
                <w:rFonts w:ascii="Cambria" w:eastAsia="Cambria" w:hAnsi="Cambria" w:cs="Cambria"/>
                <w:color w:val="000000" w:themeColor="text1"/>
                <w:sz w:val="20"/>
                <w:szCs w:val="20"/>
                <w:lang w:val="es-ES"/>
              </w:rPr>
              <w:t xml:space="preserve">El caso se refiere a la desaparición forzada de Samuel Alfonso Catalán Lincoleo, de 29 años de edad, un técnico agrícola con vinculaciones al Partido Comunista, el 27 de agosto de 1974 a las 2 de la madrugada en su domicilio en la ciudad de Lautaro, Chile. La detención fue efectuada por integrantes de Carabineros, militares y civiles. Los familiares acudieron a la justicia chilena en 1979 denunciando los hechos, pero el trámite fue archivado en octubre de 1981 por aplicación del Decreto-Ley 2.191 de 1978, que dispuso la amnistía por las violaciones cometidas desde el golpe de Estado de septiembre de 1973. En 1992, se intentó una nueva acción judicial, que culminó en noviembre de 1995 con el sobreseimiento definitivo por aplicación del Decreto-Ley de autoamnistía citado. Finalmente, la Corte Suprema de Justicia de Chile decidió un recurso de casación sobre el fondo del caso con su fallo de 16 de enero de 1997, que declaró la prescripción de la acción legal. </w:t>
            </w:r>
          </w:p>
          <w:p w14:paraId="456776E1" w14:textId="77777777" w:rsidR="00210AA7" w:rsidRPr="00F45276" w:rsidRDefault="00210AA7" w:rsidP="008711AF">
            <w:pPr>
              <w:pBdr>
                <w:top w:val="nil"/>
                <w:left w:val="nil"/>
                <w:bottom w:val="nil"/>
                <w:right w:val="nil"/>
                <w:between w:val="nil"/>
              </w:pBdr>
              <w:spacing w:after="120"/>
              <w:jc w:val="both"/>
              <w:rPr>
                <w:rFonts w:ascii="Cambria" w:eastAsia="Cambria" w:hAnsi="Cambria" w:cs="Cambria"/>
                <w:color w:val="000000" w:themeColor="text1"/>
                <w:sz w:val="20"/>
                <w:szCs w:val="20"/>
                <w:lang w:val="es-ES"/>
              </w:rPr>
            </w:pPr>
            <w:r w:rsidRPr="00F45276">
              <w:rPr>
                <w:rFonts w:ascii="Cambria" w:eastAsia="Cambria" w:hAnsi="Cambria" w:cs="Cambria"/>
                <w:b/>
                <w:color w:val="000000" w:themeColor="text1"/>
                <w:sz w:val="20"/>
                <w:szCs w:val="20"/>
                <w:lang w:val="es-ES"/>
              </w:rPr>
              <w:t>Derechos violados:</w:t>
            </w:r>
            <w:r w:rsidRPr="00F45276">
              <w:rPr>
                <w:rFonts w:ascii="Cambria" w:eastAsia="Cambria" w:hAnsi="Cambria" w:cs="Cambria"/>
                <w:color w:val="000000" w:themeColor="text1"/>
                <w:sz w:val="20"/>
                <w:szCs w:val="20"/>
                <w:lang w:val="es-ES"/>
              </w:rPr>
              <w:t xml:space="preserve"> La Comisión concluyó que el Estado chileno violó, respecto a Samuel Alfonso Catalán Lincoleo, los derechos a la libertad personal, a la vida, y a la seguridad personal, consagrados en el artículo I de la Declaración Americana y en los artículos 4, 5 y 7 de la Convención Americana. Igualmente, la CIDH concluyó que el Estado chileno violó en perjuicio de los familiares del señor Catalán Lincoleo los derechos consagrados en los artículos 8 y 25 de la Convención Americana, en concordancia con los artículos 1(1) y 2 del mismo instrumento. La Comisión Interamericana reiteró asimismo que el Decreto-Ley No. 2.191 de autoamnistía, dictado en 1978 por el pasado régimen militar de Chile, es incompatible con los artículos 1, 2, 8 y 25 de la Convención Americana.</w:t>
            </w:r>
          </w:p>
        </w:tc>
      </w:tr>
    </w:tbl>
    <w:p w14:paraId="4CFEE8AE" w14:textId="77777777" w:rsidR="00210AA7" w:rsidRPr="00F45276" w:rsidRDefault="00210AA7" w:rsidP="00210AA7">
      <w:pPr>
        <w:ind w:left="180"/>
        <w:rPr>
          <w:rFonts w:ascii="Cambria" w:eastAsia="Cambria" w:hAnsi="Cambria" w:cs="Cambria"/>
          <w:color w:val="000000" w:themeColor="text1"/>
          <w:sz w:val="20"/>
          <w:szCs w:val="20"/>
          <w:lang w:val="es-ES"/>
        </w:rPr>
      </w:pPr>
    </w:p>
    <w:p w14:paraId="6A3146E1" w14:textId="77777777" w:rsidR="00210AA7" w:rsidRPr="00F45276" w:rsidRDefault="00210AA7">
      <w:pPr>
        <w:numPr>
          <w:ilvl w:val="0"/>
          <w:numId w:val="4"/>
        </w:numPr>
        <w:ind w:left="1440"/>
        <w:jc w:val="both"/>
        <w:rPr>
          <w:rFonts w:ascii="Cambria" w:eastAsia="Cambria" w:hAnsi="Cambria" w:cs="Cambria"/>
          <w:b/>
          <w:color w:val="000000" w:themeColor="text1"/>
          <w:sz w:val="20"/>
          <w:szCs w:val="20"/>
        </w:rPr>
      </w:pPr>
      <w:r w:rsidRPr="00F45276">
        <w:rPr>
          <w:rFonts w:ascii="Cambria" w:eastAsia="Cambria" w:hAnsi="Cambria" w:cs="Cambria"/>
          <w:b/>
          <w:color w:val="000000" w:themeColor="text1"/>
          <w:sz w:val="20"/>
          <w:szCs w:val="20"/>
        </w:rPr>
        <w:t xml:space="preserve">Recomendaciones </w:t>
      </w:r>
    </w:p>
    <w:p w14:paraId="7F79269D" w14:textId="77777777" w:rsidR="00210AA7" w:rsidRPr="00F45276" w:rsidRDefault="00210AA7" w:rsidP="00210AA7">
      <w:pPr>
        <w:ind w:left="1440"/>
        <w:jc w:val="both"/>
        <w:rPr>
          <w:rFonts w:ascii="Cambria" w:eastAsia="Cambria" w:hAnsi="Cambria" w:cs="Cambria"/>
          <w:b/>
          <w:color w:val="000000" w:themeColor="text1"/>
          <w:sz w:val="20"/>
          <w:szCs w:val="20"/>
        </w:rPr>
      </w:pPr>
    </w:p>
    <w:tbl>
      <w:tblPr>
        <w:tblW w:w="933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23"/>
        <w:gridCol w:w="2309"/>
      </w:tblGrid>
      <w:tr w:rsidR="00F45276" w:rsidRPr="00F45276" w14:paraId="2883F301" w14:textId="77777777" w:rsidTr="008711AF">
        <w:trPr>
          <w:trHeight w:val="557"/>
        </w:trPr>
        <w:tc>
          <w:tcPr>
            <w:tcW w:w="7023" w:type="dxa"/>
            <w:shd w:val="clear" w:color="auto" w:fill="auto"/>
            <w:vAlign w:val="center"/>
          </w:tcPr>
          <w:p w14:paraId="65CB3F0F" w14:textId="77777777" w:rsidR="00210AA7" w:rsidRPr="00F45276" w:rsidRDefault="00210AA7" w:rsidP="008711AF">
            <w:pPr>
              <w:jc w:val="center"/>
              <w:rPr>
                <w:rFonts w:ascii="Cambria" w:eastAsia="Cambria" w:hAnsi="Cambria" w:cs="Cambria"/>
                <w:b/>
                <w:color w:val="000000" w:themeColor="text1"/>
                <w:sz w:val="18"/>
                <w:szCs w:val="18"/>
              </w:rPr>
            </w:pPr>
            <w:r w:rsidRPr="00F45276">
              <w:rPr>
                <w:rFonts w:ascii="Cambria" w:eastAsia="Cambria" w:hAnsi="Cambria" w:cs="Cambria"/>
                <w:b/>
                <w:color w:val="000000" w:themeColor="text1"/>
                <w:sz w:val="18"/>
                <w:szCs w:val="18"/>
              </w:rPr>
              <w:t>Recomendaciones</w:t>
            </w:r>
          </w:p>
        </w:tc>
        <w:tc>
          <w:tcPr>
            <w:tcW w:w="2309" w:type="dxa"/>
            <w:shd w:val="clear" w:color="auto" w:fill="auto"/>
            <w:vAlign w:val="center"/>
          </w:tcPr>
          <w:p w14:paraId="413EFD30" w14:textId="0CCDFD51" w:rsidR="00210AA7" w:rsidRPr="00F45276" w:rsidRDefault="00210AA7" w:rsidP="008711AF">
            <w:pPr>
              <w:jc w:val="center"/>
              <w:rPr>
                <w:rFonts w:ascii="Cambria" w:eastAsia="Cambria" w:hAnsi="Cambria" w:cs="Cambria"/>
                <w:b/>
                <w:color w:val="000000" w:themeColor="text1"/>
                <w:sz w:val="18"/>
                <w:szCs w:val="18"/>
                <w:lang w:val="es-ES"/>
              </w:rPr>
            </w:pPr>
            <w:r w:rsidRPr="00F45276">
              <w:rPr>
                <w:rFonts w:ascii="Cambria" w:eastAsia="Cambria" w:hAnsi="Cambria" w:cs="Cambria"/>
                <w:b/>
                <w:color w:val="000000" w:themeColor="text1"/>
                <w:sz w:val="18"/>
                <w:szCs w:val="18"/>
                <w:lang w:val="es-ES"/>
              </w:rPr>
              <w:t>Estado de cumplimiento en el 202</w:t>
            </w:r>
            <w:r w:rsidR="00FF550A" w:rsidRPr="00F45276">
              <w:rPr>
                <w:rFonts w:ascii="Cambria" w:eastAsia="Cambria" w:hAnsi="Cambria" w:cs="Cambria"/>
                <w:b/>
                <w:color w:val="000000" w:themeColor="text1"/>
                <w:sz w:val="18"/>
                <w:szCs w:val="18"/>
                <w:lang w:val="es-ES"/>
              </w:rPr>
              <w:t>2</w:t>
            </w:r>
          </w:p>
        </w:tc>
      </w:tr>
      <w:tr w:rsidR="00F45276" w:rsidRPr="00F45276" w14:paraId="2A0C258B" w14:textId="77777777" w:rsidTr="008711AF">
        <w:tc>
          <w:tcPr>
            <w:tcW w:w="7023" w:type="dxa"/>
            <w:shd w:val="clear" w:color="auto" w:fill="auto"/>
            <w:vAlign w:val="center"/>
          </w:tcPr>
          <w:p w14:paraId="690E3BA9" w14:textId="77777777" w:rsidR="00210AA7" w:rsidRPr="00F45276" w:rsidRDefault="00210AA7" w:rsidP="008711AF">
            <w:pPr>
              <w:jc w:val="both"/>
              <w:rPr>
                <w:rFonts w:ascii="Cambria" w:eastAsia="Cambria" w:hAnsi="Cambria" w:cs="Cambria"/>
                <w:color w:val="000000" w:themeColor="text1"/>
                <w:sz w:val="18"/>
                <w:szCs w:val="18"/>
                <w:lang w:val="es-ES"/>
              </w:rPr>
            </w:pPr>
            <w:r w:rsidRPr="00F45276">
              <w:rPr>
                <w:rFonts w:ascii="Cambria" w:eastAsia="Cambria" w:hAnsi="Cambria" w:cs="Cambria"/>
                <w:color w:val="000000" w:themeColor="text1"/>
                <w:sz w:val="18"/>
                <w:szCs w:val="18"/>
                <w:lang w:val="es-ES"/>
              </w:rPr>
              <w:t>1. Establecer la responsabilidad por el asesinato de Samuel Alfonso Catalán Lincoleo mediante un debido proceso judicial, a fin de que sean efectivamente sancionados los culpables.</w:t>
            </w:r>
          </w:p>
        </w:tc>
        <w:tc>
          <w:tcPr>
            <w:tcW w:w="2309" w:type="dxa"/>
            <w:shd w:val="clear" w:color="auto" w:fill="auto"/>
            <w:vAlign w:val="center"/>
          </w:tcPr>
          <w:p w14:paraId="6213BB7A" w14:textId="38C64192" w:rsidR="00210AA7" w:rsidRPr="00F45276" w:rsidRDefault="00210AA7" w:rsidP="008711AF">
            <w:pPr>
              <w:jc w:val="center"/>
              <w:rPr>
                <w:rFonts w:ascii="Cambria" w:eastAsia="Cambria" w:hAnsi="Cambria" w:cs="Cambria"/>
                <w:color w:val="000000" w:themeColor="text1"/>
                <w:sz w:val="18"/>
                <w:szCs w:val="18"/>
              </w:rPr>
            </w:pPr>
            <w:r w:rsidRPr="00F45276">
              <w:rPr>
                <w:rFonts w:ascii="Cambria" w:eastAsia="Cambria" w:hAnsi="Cambria" w:cs="Cambria"/>
                <w:color w:val="000000" w:themeColor="text1"/>
                <w:sz w:val="18"/>
                <w:szCs w:val="18"/>
              </w:rPr>
              <w:t>Cumplimiento Parcial</w:t>
            </w:r>
            <w:r w:rsidR="00CC36E7" w:rsidRPr="00F45276">
              <w:rPr>
                <w:rFonts w:ascii="Cambria" w:eastAsia="Cambria" w:hAnsi="Cambria" w:cs="Cambria"/>
                <w:color w:val="000000" w:themeColor="text1"/>
                <w:sz w:val="18"/>
                <w:szCs w:val="18"/>
              </w:rPr>
              <w:t xml:space="preserve"> Sustancial</w:t>
            </w:r>
          </w:p>
        </w:tc>
      </w:tr>
      <w:tr w:rsidR="00F45276" w:rsidRPr="00F45276" w14:paraId="27B1D08E" w14:textId="77777777" w:rsidTr="008711AF">
        <w:tc>
          <w:tcPr>
            <w:tcW w:w="7023" w:type="dxa"/>
            <w:shd w:val="clear" w:color="auto" w:fill="auto"/>
            <w:vAlign w:val="center"/>
          </w:tcPr>
          <w:p w14:paraId="2F090064" w14:textId="77777777" w:rsidR="00210AA7" w:rsidRPr="00F45276" w:rsidRDefault="00210AA7" w:rsidP="008711AF">
            <w:pPr>
              <w:jc w:val="both"/>
              <w:rPr>
                <w:rFonts w:ascii="Cambria" w:eastAsia="Cambria" w:hAnsi="Cambria" w:cs="Cambria"/>
                <w:color w:val="000000" w:themeColor="text1"/>
                <w:sz w:val="18"/>
                <w:szCs w:val="18"/>
                <w:lang w:val="es-ES"/>
              </w:rPr>
            </w:pPr>
            <w:r w:rsidRPr="00F45276">
              <w:rPr>
                <w:rFonts w:ascii="Cambria" w:eastAsia="Cambria" w:hAnsi="Cambria" w:cs="Cambria"/>
                <w:color w:val="000000" w:themeColor="text1"/>
                <w:sz w:val="18"/>
                <w:szCs w:val="18"/>
                <w:lang w:val="es-ES"/>
              </w:rPr>
              <w:t>2. Adecuar su legislación interna a las disposiciones de la Convención Americana, para lo cual deberá dejar sin efecto el Decreto-Ley Nº 2.191 de 1978.</w:t>
            </w:r>
          </w:p>
        </w:tc>
        <w:tc>
          <w:tcPr>
            <w:tcW w:w="2309" w:type="dxa"/>
            <w:shd w:val="clear" w:color="auto" w:fill="auto"/>
            <w:vAlign w:val="center"/>
          </w:tcPr>
          <w:p w14:paraId="0760CD54" w14:textId="77777777" w:rsidR="00210AA7" w:rsidRPr="00F45276" w:rsidRDefault="00210AA7" w:rsidP="008711AF">
            <w:pPr>
              <w:jc w:val="center"/>
              <w:rPr>
                <w:rFonts w:ascii="Cambria" w:eastAsia="Cambria" w:hAnsi="Cambria" w:cs="Cambria"/>
                <w:color w:val="000000" w:themeColor="text1"/>
                <w:sz w:val="18"/>
                <w:szCs w:val="18"/>
              </w:rPr>
            </w:pPr>
            <w:r w:rsidRPr="00F45276">
              <w:rPr>
                <w:rFonts w:ascii="Cambria" w:eastAsia="Cambria" w:hAnsi="Cambria" w:cs="Cambria"/>
                <w:color w:val="000000" w:themeColor="text1"/>
                <w:sz w:val="18"/>
                <w:szCs w:val="18"/>
              </w:rPr>
              <w:t>Cumplimiento Parcial</w:t>
            </w:r>
          </w:p>
        </w:tc>
      </w:tr>
      <w:tr w:rsidR="00210AA7" w:rsidRPr="00F45276" w14:paraId="714B2F69" w14:textId="77777777" w:rsidTr="008711AF">
        <w:tc>
          <w:tcPr>
            <w:tcW w:w="7023" w:type="dxa"/>
            <w:shd w:val="clear" w:color="auto" w:fill="auto"/>
            <w:vAlign w:val="center"/>
          </w:tcPr>
          <w:p w14:paraId="6B9AA489" w14:textId="74AAFE65" w:rsidR="00210AA7" w:rsidRPr="00F45276" w:rsidRDefault="00210AA7" w:rsidP="008711AF">
            <w:pPr>
              <w:jc w:val="both"/>
              <w:rPr>
                <w:rFonts w:ascii="Cambria" w:eastAsia="Cambria" w:hAnsi="Cambria" w:cs="Cambria"/>
                <w:color w:val="000000" w:themeColor="text1"/>
                <w:sz w:val="18"/>
                <w:szCs w:val="18"/>
                <w:lang w:val="es-ES"/>
              </w:rPr>
            </w:pPr>
            <w:r w:rsidRPr="00F45276">
              <w:rPr>
                <w:rFonts w:ascii="Cambria" w:eastAsia="Cambria" w:hAnsi="Cambria" w:cs="Cambria"/>
                <w:color w:val="000000" w:themeColor="text1"/>
                <w:sz w:val="18"/>
                <w:szCs w:val="18"/>
                <w:lang w:val="es-ES"/>
              </w:rPr>
              <w:t xml:space="preserve">3. Adoptar las medidas necesarias para que los familiares de la víctima reciban una adecuada y oportuna reparación, que comprenda la plena satisfacción por las violaciones de los derechos humanos aquí establecidas, así como el pago de una justa indemnización compensatoria por los daños patrimoniales y </w:t>
            </w:r>
            <w:r w:rsidR="00CC36E7" w:rsidRPr="00F45276">
              <w:rPr>
                <w:rFonts w:ascii="Cambria" w:eastAsia="Cambria" w:hAnsi="Cambria" w:cs="Cambria"/>
                <w:color w:val="000000" w:themeColor="text1"/>
                <w:sz w:val="18"/>
                <w:szCs w:val="18"/>
                <w:lang w:val="es-ES"/>
              </w:rPr>
              <w:t>extrapatrimoniales</w:t>
            </w:r>
            <w:r w:rsidRPr="00F45276">
              <w:rPr>
                <w:rFonts w:ascii="Cambria" w:eastAsia="Cambria" w:hAnsi="Cambria" w:cs="Cambria"/>
                <w:color w:val="000000" w:themeColor="text1"/>
                <w:sz w:val="18"/>
                <w:szCs w:val="18"/>
                <w:lang w:val="es-ES"/>
              </w:rPr>
              <w:t>, incluyendo el daño moral.</w:t>
            </w:r>
          </w:p>
        </w:tc>
        <w:tc>
          <w:tcPr>
            <w:tcW w:w="2309" w:type="dxa"/>
            <w:shd w:val="clear" w:color="auto" w:fill="auto"/>
            <w:vAlign w:val="center"/>
          </w:tcPr>
          <w:p w14:paraId="26A70A84" w14:textId="77777777" w:rsidR="00210AA7" w:rsidRPr="00F45276" w:rsidRDefault="00210AA7" w:rsidP="008711AF">
            <w:pPr>
              <w:jc w:val="center"/>
              <w:rPr>
                <w:rFonts w:ascii="Cambria" w:eastAsia="Cambria" w:hAnsi="Cambria" w:cs="Cambria"/>
                <w:color w:val="000000" w:themeColor="text1"/>
                <w:sz w:val="18"/>
                <w:szCs w:val="18"/>
              </w:rPr>
            </w:pPr>
            <w:r w:rsidRPr="00F45276">
              <w:rPr>
                <w:rFonts w:ascii="Cambria" w:eastAsia="Cambria" w:hAnsi="Cambria" w:cs="Cambria"/>
                <w:color w:val="000000" w:themeColor="text1"/>
                <w:sz w:val="18"/>
                <w:szCs w:val="18"/>
              </w:rPr>
              <w:t>Cumplimiento total</w:t>
            </w:r>
            <w:r w:rsidRPr="00F45276">
              <w:rPr>
                <w:rFonts w:ascii="Cambria" w:eastAsia="Cambria" w:hAnsi="Cambria" w:cs="Cambria"/>
                <w:color w:val="000000" w:themeColor="text1"/>
                <w:sz w:val="18"/>
                <w:szCs w:val="18"/>
                <w:vertAlign w:val="superscript"/>
              </w:rPr>
              <w:footnoteReference w:id="1"/>
            </w:r>
          </w:p>
        </w:tc>
      </w:tr>
    </w:tbl>
    <w:p w14:paraId="6C66B798" w14:textId="77777777" w:rsidR="00210AA7" w:rsidRPr="00F45276" w:rsidRDefault="00210AA7" w:rsidP="00210AA7">
      <w:pPr>
        <w:jc w:val="both"/>
        <w:rPr>
          <w:rFonts w:ascii="Cambria" w:eastAsia="Cambria" w:hAnsi="Cambria" w:cs="Cambria"/>
          <w:b/>
          <w:color w:val="000000" w:themeColor="text1"/>
          <w:sz w:val="20"/>
          <w:szCs w:val="20"/>
        </w:rPr>
      </w:pPr>
    </w:p>
    <w:p w14:paraId="3B9E2427" w14:textId="77777777" w:rsidR="00210AA7" w:rsidRPr="00F45276" w:rsidRDefault="00210AA7">
      <w:pPr>
        <w:numPr>
          <w:ilvl w:val="0"/>
          <w:numId w:val="4"/>
        </w:numPr>
        <w:pBdr>
          <w:top w:val="nil"/>
          <w:left w:val="nil"/>
          <w:bottom w:val="nil"/>
          <w:right w:val="nil"/>
          <w:between w:val="nil"/>
        </w:pBdr>
        <w:ind w:left="1440"/>
        <w:jc w:val="both"/>
        <w:rPr>
          <w:rFonts w:ascii="Cambria" w:eastAsia="Cambria" w:hAnsi="Cambria" w:cs="Cambria"/>
          <w:b/>
          <w:color w:val="000000" w:themeColor="text1"/>
          <w:sz w:val="20"/>
          <w:szCs w:val="20"/>
        </w:rPr>
      </w:pPr>
      <w:r w:rsidRPr="00F45276">
        <w:rPr>
          <w:rFonts w:ascii="Cambria" w:eastAsia="Cambria" w:hAnsi="Cambria" w:cs="Cambria"/>
          <w:b/>
          <w:color w:val="000000" w:themeColor="text1"/>
          <w:sz w:val="20"/>
          <w:szCs w:val="20"/>
        </w:rPr>
        <w:t>Actividad Procesal</w:t>
      </w:r>
    </w:p>
    <w:p w14:paraId="3CDDAF3B" w14:textId="77777777" w:rsidR="00210AA7" w:rsidRPr="00F45276" w:rsidRDefault="00210AA7" w:rsidP="00210AA7">
      <w:pPr>
        <w:jc w:val="both"/>
        <w:rPr>
          <w:rFonts w:ascii="Cambria" w:eastAsia="Cambria" w:hAnsi="Cambria" w:cs="Cambria"/>
          <w:color w:val="000000" w:themeColor="text1"/>
          <w:sz w:val="20"/>
          <w:szCs w:val="20"/>
        </w:rPr>
      </w:pPr>
    </w:p>
    <w:p w14:paraId="1F9833B7" w14:textId="5F88BCAA" w:rsidR="00210AA7" w:rsidRPr="00F45276" w:rsidRDefault="00210AA7">
      <w:pPr>
        <w:numPr>
          <w:ilvl w:val="0"/>
          <w:numId w:val="3"/>
        </w:numPr>
        <w:pBdr>
          <w:top w:val="nil"/>
          <w:left w:val="nil"/>
          <w:bottom w:val="nil"/>
          <w:right w:val="nil"/>
          <w:between w:val="nil"/>
        </w:pBdr>
        <w:ind w:left="0" w:firstLine="720"/>
        <w:jc w:val="both"/>
        <w:rPr>
          <w:rFonts w:ascii="Cambria" w:eastAsia="Cambria" w:hAnsi="Cambria" w:cs="Cambria"/>
          <w:color w:val="000000" w:themeColor="text1"/>
          <w:sz w:val="20"/>
          <w:szCs w:val="20"/>
          <w:lang w:val="es-ES"/>
        </w:rPr>
      </w:pPr>
      <w:r w:rsidRPr="00F45276">
        <w:rPr>
          <w:rFonts w:ascii="Cambria" w:eastAsia="Cambria" w:hAnsi="Cambria" w:cs="Cambria"/>
          <w:color w:val="000000" w:themeColor="text1"/>
          <w:sz w:val="20"/>
          <w:szCs w:val="20"/>
          <w:lang w:val="es-ES"/>
        </w:rPr>
        <w:t>En 202</w:t>
      </w:r>
      <w:r w:rsidR="00CC36E7" w:rsidRPr="00F45276">
        <w:rPr>
          <w:rFonts w:ascii="Cambria" w:eastAsia="Cambria" w:hAnsi="Cambria" w:cs="Cambria"/>
          <w:color w:val="000000" w:themeColor="text1"/>
          <w:sz w:val="20"/>
          <w:szCs w:val="20"/>
          <w:lang w:val="es-ES"/>
        </w:rPr>
        <w:t>2</w:t>
      </w:r>
      <w:r w:rsidRPr="00F45276">
        <w:rPr>
          <w:rFonts w:ascii="Cambria" w:eastAsia="Cambria" w:hAnsi="Cambria" w:cs="Cambria"/>
          <w:color w:val="000000" w:themeColor="text1"/>
          <w:sz w:val="20"/>
          <w:szCs w:val="20"/>
          <w:lang w:val="es-ES"/>
        </w:rPr>
        <w:t xml:space="preserve">, la CIDH solicitó al Estado información actualizada sobre el cumplimiento de recomendaciones el </w:t>
      </w:r>
      <w:r w:rsidR="00CC36E7" w:rsidRPr="00F45276">
        <w:rPr>
          <w:rFonts w:ascii="Cambria" w:eastAsia="Cambria" w:hAnsi="Cambria" w:cs="Cambria"/>
          <w:color w:val="000000" w:themeColor="text1"/>
          <w:sz w:val="20"/>
          <w:szCs w:val="20"/>
          <w:lang w:val="es-ES"/>
        </w:rPr>
        <w:t>24</w:t>
      </w:r>
      <w:r w:rsidRPr="00F45276">
        <w:rPr>
          <w:rFonts w:ascii="Cambria" w:eastAsia="Cambria" w:hAnsi="Cambria" w:cs="Cambria"/>
          <w:color w:val="000000" w:themeColor="text1"/>
          <w:sz w:val="20"/>
          <w:szCs w:val="20"/>
          <w:lang w:val="es-ES"/>
        </w:rPr>
        <w:t xml:space="preserve"> de agosto. El Estado presentó dicha información el </w:t>
      </w:r>
      <w:r w:rsidR="00CC36E7" w:rsidRPr="00F45276">
        <w:rPr>
          <w:rFonts w:ascii="Cambria" w:eastAsia="Cambria" w:hAnsi="Cambria" w:cs="Cambria"/>
          <w:color w:val="000000" w:themeColor="text1"/>
          <w:sz w:val="20"/>
          <w:szCs w:val="20"/>
          <w:lang w:val="es-ES"/>
        </w:rPr>
        <w:t>14 de octubre</w:t>
      </w:r>
      <w:r w:rsidRPr="00F45276">
        <w:rPr>
          <w:rFonts w:ascii="Cambria" w:eastAsia="Cambria" w:hAnsi="Cambria" w:cs="Cambria"/>
          <w:color w:val="000000" w:themeColor="text1"/>
          <w:sz w:val="20"/>
          <w:szCs w:val="20"/>
          <w:lang w:val="es-ES"/>
        </w:rPr>
        <w:t xml:space="preserve"> de 202</w:t>
      </w:r>
      <w:r w:rsidR="00CC36E7" w:rsidRPr="00F45276">
        <w:rPr>
          <w:rFonts w:ascii="Cambria" w:eastAsia="Cambria" w:hAnsi="Cambria" w:cs="Cambria"/>
          <w:color w:val="000000" w:themeColor="text1"/>
          <w:sz w:val="20"/>
          <w:szCs w:val="20"/>
          <w:lang w:val="es-ES"/>
        </w:rPr>
        <w:t>2</w:t>
      </w:r>
      <w:r w:rsidRPr="00F45276">
        <w:rPr>
          <w:rFonts w:ascii="Cambria" w:eastAsia="Cambria" w:hAnsi="Cambria" w:cs="Cambria"/>
          <w:color w:val="000000" w:themeColor="text1"/>
          <w:sz w:val="20"/>
          <w:szCs w:val="20"/>
          <w:lang w:val="es-ES"/>
        </w:rPr>
        <w:t xml:space="preserve">. </w:t>
      </w:r>
    </w:p>
    <w:p w14:paraId="2D04BFAF" w14:textId="77777777" w:rsidR="00210AA7" w:rsidRPr="00F45276" w:rsidRDefault="00210AA7" w:rsidP="00210AA7">
      <w:pPr>
        <w:pBdr>
          <w:top w:val="nil"/>
          <w:left w:val="nil"/>
          <w:bottom w:val="nil"/>
          <w:right w:val="nil"/>
          <w:between w:val="nil"/>
        </w:pBdr>
        <w:ind w:left="720"/>
        <w:jc w:val="both"/>
        <w:rPr>
          <w:rFonts w:ascii="Cambria" w:eastAsia="Cambria" w:hAnsi="Cambria" w:cs="Cambria"/>
          <w:color w:val="000000" w:themeColor="text1"/>
          <w:sz w:val="20"/>
          <w:szCs w:val="20"/>
          <w:lang w:val="es-ES"/>
        </w:rPr>
      </w:pPr>
    </w:p>
    <w:p w14:paraId="2A3A6C00" w14:textId="2B29C81D" w:rsidR="00210AA7" w:rsidRPr="00F45276" w:rsidRDefault="00210AA7">
      <w:pPr>
        <w:numPr>
          <w:ilvl w:val="0"/>
          <w:numId w:val="3"/>
        </w:numPr>
        <w:pBdr>
          <w:top w:val="nil"/>
          <w:left w:val="nil"/>
          <w:bottom w:val="nil"/>
          <w:right w:val="nil"/>
          <w:between w:val="nil"/>
        </w:pBdr>
        <w:ind w:left="0" w:firstLine="720"/>
        <w:jc w:val="both"/>
        <w:rPr>
          <w:rFonts w:ascii="Cambria" w:eastAsia="Cambria" w:hAnsi="Cambria" w:cs="Cambria"/>
          <w:color w:val="000000" w:themeColor="text1"/>
          <w:sz w:val="20"/>
          <w:szCs w:val="20"/>
          <w:lang w:val="es-ES"/>
        </w:rPr>
      </w:pPr>
      <w:r w:rsidRPr="00F45276">
        <w:rPr>
          <w:rFonts w:ascii="Cambria" w:eastAsia="Cambria" w:hAnsi="Cambria" w:cs="Cambria"/>
          <w:color w:val="000000" w:themeColor="text1"/>
          <w:sz w:val="20"/>
          <w:szCs w:val="20"/>
          <w:lang w:val="es-ES"/>
        </w:rPr>
        <w:t>En 202</w:t>
      </w:r>
      <w:r w:rsidR="00CC36E7" w:rsidRPr="00F45276">
        <w:rPr>
          <w:rFonts w:ascii="Cambria" w:eastAsia="Cambria" w:hAnsi="Cambria" w:cs="Cambria"/>
          <w:color w:val="000000" w:themeColor="text1"/>
          <w:sz w:val="20"/>
          <w:szCs w:val="20"/>
          <w:lang w:val="es-ES"/>
        </w:rPr>
        <w:t>2</w:t>
      </w:r>
      <w:r w:rsidRPr="00F45276">
        <w:rPr>
          <w:rFonts w:ascii="Cambria" w:eastAsia="Cambria" w:hAnsi="Cambria" w:cs="Cambria"/>
          <w:color w:val="000000" w:themeColor="text1"/>
          <w:sz w:val="20"/>
          <w:szCs w:val="20"/>
          <w:lang w:val="es-ES"/>
        </w:rPr>
        <w:t xml:space="preserve">, la CIDH solicitó información actualizada a los peticionarios sobre el cumplimiento de las recomendaciones emitidas en el Informe de Fondo Nº 61/01 el </w:t>
      </w:r>
      <w:r w:rsidR="00CC36E7" w:rsidRPr="00F45276">
        <w:rPr>
          <w:rFonts w:ascii="Cambria" w:eastAsia="Cambria" w:hAnsi="Cambria" w:cs="Cambria"/>
          <w:color w:val="000000" w:themeColor="text1"/>
          <w:sz w:val="20"/>
          <w:szCs w:val="20"/>
          <w:lang w:val="es-ES"/>
        </w:rPr>
        <w:t>24</w:t>
      </w:r>
      <w:r w:rsidRPr="00F45276">
        <w:rPr>
          <w:rFonts w:ascii="Cambria" w:eastAsia="Cambria" w:hAnsi="Cambria" w:cs="Cambria"/>
          <w:color w:val="000000" w:themeColor="text1"/>
          <w:sz w:val="20"/>
          <w:szCs w:val="20"/>
          <w:lang w:val="es-ES"/>
        </w:rPr>
        <w:t xml:space="preserve"> de agosto. A la fecha de cierre de este informe, la Comisión no había recibido dicha información de los peticionarios. La Comisión observa con preocupación los peticionarios no han presentado información a la CIDH desde la publicación del Informe de Fondo Nº 61/01. </w:t>
      </w:r>
    </w:p>
    <w:p w14:paraId="1E4E0429" w14:textId="77777777" w:rsidR="00210AA7" w:rsidRPr="00F45276" w:rsidRDefault="00210AA7" w:rsidP="00210AA7">
      <w:pPr>
        <w:jc w:val="both"/>
        <w:rPr>
          <w:rFonts w:ascii="Cambria" w:eastAsia="Cambria" w:hAnsi="Cambria" w:cs="Cambria"/>
          <w:color w:val="000000" w:themeColor="text1"/>
          <w:sz w:val="20"/>
          <w:szCs w:val="20"/>
          <w:lang w:val="es-ES"/>
        </w:rPr>
      </w:pPr>
    </w:p>
    <w:p w14:paraId="3202494D" w14:textId="77777777" w:rsidR="00210AA7" w:rsidRPr="00F45276" w:rsidRDefault="00210AA7">
      <w:pPr>
        <w:numPr>
          <w:ilvl w:val="0"/>
          <w:numId w:val="4"/>
        </w:numPr>
        <w:pBdr>
          <w:top w:val="nil"/>
          <w:left w:val="nil"/>
          <w:bottom w:val="nil"/>
          <w:right w:val="nil"/>
          <w:between w:val="nil"/>
        </w:pBdr>
        <w:ind w:left="1440"/>
        <w:jc w:val="both"/>
        <w:rPr>
          <w:rFonts w:ascii="Cambria" w:eastAsia="Cambria" w:hAnsi="Cambria" w:cs="Cambria"/>
          <w:b/>
          <w:color w:val="000000" w:themeColor="text1"/>
          <w:sz w:val="20"/>
          <w:szCs w:val="20"/>
          <w:lang w:val="es-ES"/>
        </w:rPr>
      </w:pPr>
      <w:r w:rsidRPr="00F45276">
        <w:rPr>
          <w:rFonts w:ascii="Cambria" w:eastAsia="Cambria" w:hAnsi="Cambria" w:cs="Cambria"/>
          <w:b/>
          <w:color w:val="000000" w:themeColor="text1"/>
          <w:sz w:val="20"/>
          <w:szCs w:val="20"/>
          <w:lang w:val="es-ES"/>
        </w:rPr>
        <w:t>Análisis relativo a la información proporcionada</w:t>
      </w:r>
    </w:p>
    <w:p w14:paraId="1CC2CF7D" w14:textId="77777777" w:rsidR="00210AA7" w:rsidRPr="00F45276" w:rsidRDefault="00210AA7" w:rsidP="00210AA7">
      <w:pPr>
        <w:pBdr>
          <w:top w:val="nil"/>
          <w:left w:val="nil"/>
          <w:bottom w:val="nil"/>
          <w:right w:val="nil"/>
          <w:between w:val="nil"/>
        </w:pBdr>
        <w:ind w:left="1080"/>
        <w:jc w:val="both"/>
        <w:rPr>
          <w:rFonts w:ascii="Cambria" w:eastAsia="Cambria" w:hAnsi="Cambria" w:cs="Cambria"/>
          <w:b/>
          <w:color w:val="000000" w:themeColor="text1"/>
          <w:sz w:val="20"/>
          <w:szCs w:val="20"/>
          <w:lang w:val="es-ES"/>
        </w:rPr>
      </w:pPr>
    </w:p>
    <w:p w14:paraId="789EB0F1" w14:textId="77777777" w:rsidR="00210AA7" w:rsidRPr="00F45276" w:rsidRDefault="00210AA7">
      <w:pPr>
        <w:numPr>
          <w:ilvl w:val="0"/>
          <w:numId w:val="3"/>
        </w:numPr>
        <w:ind w:left="0" w:firstLine="720"/>
        <w:jc w:val="both"/>
        <w:rPr>
          <w:rFonts w:ascii="Cambria" w:eastAsia="Cambria" w:hAnsi="Cambria" w:cs="Cambria"/>
          <w:color w:val="000000" w:themeColor="text1"/>
          <w:sz w:val="20"/>
          <w:szCs w:val="20"/>
          <w:lang w:val="es-ES"/>
        </w:rPr>
      </w:pPr>
      <w:r w:rsidRPr="00F45276">
        <w:rPr>
          <w:rFonts w:ascii="Cambria" w:eastAsia="Cambria" w:hAnsi="Cambria" w:cs="Cambria"/>
          <w:color w:val="000000" w:themeColor="text1"/>
          <w:sz w:val="20"/>
          <w:szCs w:val="20"/>
          <w:lang w:val="es-ES"/>
        </w:rPr>
        <w:t xml:space="preserve">La Comisión considera que la información proporcionada por el Estado en 2021 es relevante sobre medidas adoptadas relativas al cumplimiento de al menos una de las recomendaciones emitidas en el Informe de Fondo Nº 61/01. </w:t>
      </w:r>
    </w:p>
    <w:p w14:paraId="7AF71924" w14:textId="77777777" w:rsidR="00210AA7" w:rsidRPr="00F45276" w:rsidRDefault="00210AA7" w:rsidP="00210AA7">
      <w:pPr>
        <w:jc w:val="both"/>
        <w:rPr>
          <w:rFonts w:ascii="Cambria" w:eastAsia="Cambria" w:hAnsi="Cambria" w:cs="Cambria"/>
          <w:b/>
          <w:color w:val="000000" w:themeColor="text1"/>
          <w:sz w:val="20"/>
          <w:szCs w:val="20"/>
          <w:lang w:val="es-ES"/>
        </w:rPr>
      </w:pPr>
    </w:p>
    <w:p w14:paraId="748C6333" w14:textId="557BCB37" w:rsidR="00210AA7" w:rsidRPr="00F45276" w:rsidRDefault="00210AA7">
      <w:pPr>
        <w:numPr>
          <w:ilvl w:val="0"/>
          <w:numId w:val="4"/>
        </w:numPr>
        <w:pBdr>
          <w:top w:val="nil"/>
          <w:left w:val="nil"/>
          <w:bottom w:val="nil"/>
          <w:right w:val="nil"/>
          <w:between w:val="nil"/>
        </w:pBdr>
        <w:ind w:left="1440"/>
        <w:jc w:val="both"/>
        <w:rPr>
          <w:rFonts w:ascii="Cambria" w:eastAsia="Cambria" w:hAnsi="Cambria" w:cs="Cambria"/>
          <w:b/>
          <w:color w:val="000000" w:themeColor="text1"/>
          <w:sz w:val="20"/>
          <w:szCs w:val="20"/>
          <w:lang w:val="es-ES"/>
        </w:rPr>
      </w:pPr>
      <w:r w:rsidRPr="00F45276">
        <w:rPr>
          <w:rFonts w:ascii="Cambria" w:eastAsia="Cambria" w:hAnsi="Cambria" w:cs="Cambria"/>
          <w:b/>
          <w:color w:val="000000" w:themeColor="text1"/>
          <w:sz w:val="20"/>
          <w:szCs w:val="20"/>
          <w:lang w:val="es-ES"/>
        </w:rPr>
        <w:t>Análisis del cumplimiento de las recomendaciones</w:t>
      </w:r>
      <w:r w:rsidR="00FF550A" w:rsidRPr="00F45276">
        <w:rPr>
          <w:rStyle w:val="FootnoteReference"/>
          <w:rFonts w:ascii="Cambria" w:eastAsia="Cambria" w:hAnsi="Cambria" w:cs="Cambria"/>
          <w:b/>
          <w:color w:val="000000" w:themeColor="text1"/>
          <w:sz w:val="20"/>
          <w:szCs w:val="20"/>
          <w:lang w:val="es-ES"/>
        </w:rPr>
        <w:footnoteReference w:id="2"/>
      </w:r>
    </w:p>
    <w:p w14:paraId="48C695BC" w14:textId="77777777" w:rsidR="00210AA7" w:rsidRPr="00F45276" w:rsidRDefault="00210AA7" w:rsidP="00210AA7">
      <w:pPr>
        <w:pBdr>
          <w:top w:val="nil"/>
          <w:left w:val="nil"/>
          <w:bottom w:val="nil"/>
          <w:right w:val="nil"/>
          <w:between w:val="nil"/>
        </w:pBdr>
        <w:ind w:left="1440"/>
        <w:jc w:val="both"/>
        <w:rPr>
          <w:rFonts w:ascii="Cambria" w:eastAsia="Cambria" w:hAnsi="Cambria" w:cs="Cambria"/>
          <w:b/>
          <w:color w:val="000000" w:themeColor="text1"/>
          <w:sz w:val="20"/>
          <w:szCs w:val="20"/>
          <w:lang w:val="es-ES"/>
        </w:rPr>
      </w:pPr>
    </w:p>
    <w:p w14:paraId="7146B7EB" w14:textId="370D0ADE" w:rsidR="00210AA7" w:rsidRPr="00F45276" w:rsidRDefault="00210AA7" w:rsidP="00CC36E7">
      <w:pPr>
        <w:numPr>
          <w:ilvl w:val="0"/>
          <w:numId w:val="3"/>
        </w:numPr>
        <w:ind w:left="0" w:firstLine="720"/>
        <w:jc w:val="both"/>
        <w:rPr>
          <w:rFonts w:ascii="Cambria" w:eastAsia="Cambria" w:hAnsi="Cambria" w:cs="Cambria"/>
          <w:color w:val="000000" w:themeColor="text1"/>
          <w:sz w:val="20"/>
          <w:szCs w:val="20"/>
          <w:lang w:val="es-ES"/>
        </w:rPr>
      </w:pPr>
      <w:r w:rsidRPr="00F45276">
        <w:rPr>
          <w:rFonts w:ascii="Cambria" w:eastAsia="Cambria" w:hAnsi="Cambria" w:cs="Cambria"/>
          <w:b/>
          <w:color w:val="000000" w:themeColor="text1"/>
          <w:sz w:val="20"/>
          <w:szCs w:val="20"/>
          <w:lang w:val="es-ES"/>
        </w:rPr>
        <w:t>En relación con la primera recomendación,</w:t>
      </w:r>
      <w:r w:rsidRPr="00F45276">
        <w:rPr>
          <w:rFonts w:ascii="Cambria" w:eastAsia="Cambria" w:hAnsi="Cambria" w:cs="Cambria"/>
          <w:color w:val="000000" w:themeColor="text1"/>
          <w:sz w:val="20"/>
          <w:szCs w:val="20"/>
          <w:lang w:val="es-ES"/>
        </w:rPr>
        <w:t xml:space="preserve"> en 2021 el Estado informó que el 12 de junio de 2015, el Ministro Instructor, Sr. Mesa Latorre, dictó procesamiento en contra de tres agentes del Estado, dos funcionarios del Regimiento la Concepción de Lautaro y un funcionario de la Policía de Investigaciones en calidad de coautores de los delitos de detención ilegal en las personas de Samuel Catalán Lincoleo, Domingo Cayuán Cheuquén y José Miguel Pacheco Caliluán, perpetrados en la comuna de Lautaro el 27 de agosto de 1974. Respecto al Sr. Luis Esteban Fernández Vásquez, el 3 de mayo de 2016, se sobresee definitivamente y parcialmente la causa por razón de fallecimiento del procesado. El Estado manifestó que, la investigación continúa con diligencias pendientes con el objeto de determinar los posibles responsables del homicidio de la víctima Samuel Alfonso Catalán Lincoleo y su posterior desaparición forzada, esto debido a la última línea investigativa que apunta a un homicidio cerca del Regimiento La Concepción de Lautaro por parte de agentes de ese recinto militar.  </w:t>
      </w:r>
    </w:p>
    <w:p w14:paraId="0A66AB5C" w14:textId="77777777" w:rsidR="00CC36E7" w:rsidRPr="00F45276" w:rsidRDefault="00CC36E7" w:rsidP="00CC36E7">
      <w:pPr>
        <w:ind w:left="720"/>
        <w:jc w:val="both"/>
        <w:rPr>
          <w:rFonts w:ascii="Cambria" w:eastAsia="Cambria" w:hAnsi="Cambria" w:cs="Cambria"/>
          <w:color w:val="000000" w:themeColor="text1"/>
          <w:sz w:val="20"/>
          <w:szCs w:val="20"/>
          <w:lang w:val="es-ES"/>
        </w:rPr>
      </w:pPr>
    </w:p>
    <w:p w14:paraId="3A244ADF" w14:textId="0E5874CF" w:rsidR="00CC36E7" w:rsidRPr="00F45276" w:rsidRDefault="00CC36E7" w:rsidP="00CC36E7">
      <w:pPr>
        <w:numPr>
          <w:ilvl w:val="0"/>
          <w:numId w:val="3"/>
        </w:numPr>
        <w:ind w:left="0" w:firstLine="720"/>
        <w:jc w:val="both"/>
        <w:rPr>
          <w:rFonts w:ascii="Cambria" w:eastAsia="Cambria" w:hAnsi="Cambria" w:cs="Cambria"/>
          <w:color w:val="000000" w:themeColor="text1"/>
          <w:sz w:val="20"/>
          <w:szCs w:val="20"/>
          <w:lang w:val="es-ES"/>
        </w:rPr>
      </w:pPr>
      <w:r w:rsidRPr="00F45276">
        <w:rPr>
          <w:rFonts w:ascii="Cambria" w:eastAsia="Cambria" w:hAnsi="Cambria" w:cs="Cambria"/>
          <w:color w:val="000000" w:themeColor="text1"/>
          <w:sz w:val="20"/>
          <w:szCs w:val="20"/>
          <w:lang w:val="es-ES"/>
        </w:rPr>
        <w:t>En 2022, el Estado informó que, el 16 de junio de 2022, se sometió a proceso a Ludovico Eduardo Aldunate Herman como autor del delito de homicidio calificado, en su carácter de lesa humanidad, en contra de Samuel Alfonso Catalán Lincoleo, crimen perpetrado en la Piscicultura de la Ciudad de Lautaro en el segundo semestre del año 1974. Asimismo, indicó que, el 13 de julio de 2022, se resolvió tener por interpuesto recurso de apelación deducido por Rodrigo Andrés Bustos Pacheco, abogado, en calidad de agente oficioso de Ludovico Eduardo Aldunate Herman, en contra de la resolución de fecha 16 de junio de 2022, en cuanto sometió a proceso a su representado. De igual forma, el Estado dio cuenta que, el 7 de agosto de 2022, el tribunal accedió a la realización de diligencias solicitadas por la Unidad Programa de Derechos Humanos, dependiente de la Subsecretaría Derechos Humanos, en relación con las entrevistas policiales a soldados conscriptos y funcionarios del ejército del Regimiento La Concepción de Lautaro. Así también, con fecha 17 de agosto de 2022, el Tribunal ordenó investigar a la Brigada Investigadora de Delitos Contra los Derechos Humanos de la Policía de Investigaciones de Chile.</w:t>
      </w:r>
    </w:p>
    <w:p w14:paraId="410AB220" w14:textId="77777777" w:rsidR="00210AA7" w:rsidRPr="00F45276" w:rsidRDefault="00210AA7" w:rsidP="00210AA7">
      <w:pPr>
        <w:ind w:left="720"/>
        <w:jc w:val="both"/>
        <w:rPr>
          <w:rFonts w:ascii="Cambria" w:eastAsia="Cambria" w:hAnsi="Cambria" w:cs="Cambria"/>
          <w:color w:val="000000" w:themeColor="text1"/>
          <w:sz w:val="20"/>
          <w:szCs w:val="20"/>
          <w:lang w:val="es-ES"/>
        </w:rPr>
      </w:pPr>
    </w:p>
    <w:p w14:paraId="526043ED" w14:textId="77777777" w:rsidR="00210AA7" w:rsidRPr="00F45276" w:rsidRDefault="00210AA7">
      <w:pPr>
        <w:numPr>
          <w:ilvl w:val="0"/>
          <w:numId w:val="3"/>
        </w:numPr>
        <w:ind w:left="0" w:firstLine="720"/>
        <w:jc w:val="both"/>
        <w:rPr>
          <w:rFonts w:ascii="Cambria" w:eastAsia="Cambria" w:hAnsi="Cambria" w:cs="Cambria"/>
          <w:color w:val="000000" w:themeColor="text1"/>
          <w:sz w:val="20"/>
          <w:szCs w:val="20"/>
          <w:lang w:val="es-ES"/>
        </w:rPr>
      </w:pPr>
      <w:r w:rsidRPr="00F45276">
        <w:rPr>
          <w:rFonts w:ascii="Cambria" w:eastAsia="Cambria" w:hAnsi="Cambria" w:cs="Cambria"/>
          <w:color w:val="000000" w:themeColor="text1"/>
          <w:sz w:val="20"/>
          <w:szCs w:val="20"/>
          <w:lang w:val="es-ES"/>
        </w:rPr>
        <w:t xml:space="preserve">Los peticionarios no han proporcionado información sobre medidas adoptadas por el Estado para cumplir con esta recomendación. </w:t>
      </w:r>
    </w:p>
    <w:p w14:paraId="521AADD1" w14:textId="77777777" w:rsidR="00210AA7" w:rsidRPr="00F45276" w:rsidRDefault="00210AA7" w:rsidP="00210AA7">
      <w:pPr>
        <w:pBdr>
          <w:top w:val="nil"/>
          <w:left w:val="nil"/>
          <w:bottom w:val="nil"/>
          <w:right w:val="nil"/>
          <w:between w:val="nil"/>
        </w:pBdr>
        <w:ind w:left="720"/>
        <w:rPr>
          <w:rFonts w:ascii="Cambria" w:eastAsia="Cambria" w:hAnsi="Cambria" w:cs="Cambria"/>
          <w:color w:val="000000" w:themeColor="text1"/>
          <w:sz w:val="20"/>
          <w:szCs w:val="20"/>
          <w:lang w:val="es-ES"/>
        </w:rPr>
      </w:pPr>
    </w:p>
    <w:p w14:paraId="648B1925" w14:textId="2DEC9C67" w:rsidR="00210AA7" w:rsidRPr="00F45276" w:rsidRDefault="00210AA7">
      <w:pPr>
        <w:numPr>
          <w:ilvl w:val="0"/>
          <w:numId w:val="3"/>
        </w:numPr>
        <w:ind w:left="0" w:firstLine="720"/>
        <w:jc w:val="both"/>
        <w:rPr>
          <w:rFonts w:ascii="Cambria" w:eastAsia="Cambria" w:hAnsi="Cambria" w:cs="Cambria"/>
          <w:color w:val="000000" w:themeColor="text1"/>
          <w:sz w:val="20"/>
          <w:szCs w:val="20"/>
          <w:lang w:val="es-ES"/>
        </w:rPr>
      </w:pPr>
      <w:r w:rsidRPr="00F45276">
        <w:rPr>
          <w:rFonts w:ascii="Cambria" w:eastAsia="Cambria" w:hAnsi="Cambria" w:cs="Cambria"/>
          <w:color w:val="000000" w:themeColor="text1"/>
          <w:sz w:val="20"/>
          <w:szCs w:val="20"/>
          <w:lang w:val="es-ES"/>
        </w:rPr>
        <w:t>La Comisión</w:t>
      </w:r>
      <w:r w:rsidR="00CC36E7" w:rsidRPr="00F45276">
        <w:rPr>
          <w:rFonts w:ascii="Cambria" w:eastAsia="Cambria" w:hAnsi="Cambria" w:cs="Cambria"/>
          <w:color w:val="000000" w:themeColor="text1"/>
          <w:sz w:val="20"/>
          <w:szCs w:val="20"/>
          <w:lang w:val="es-ES"/>
        </w:rPr>
        <w:t xml:space="preserve"> saluda los avances en las investigaciones y la implementación de diligencias orientadas al esclarecimiento de la verdad. Asimismo, </w:t>
      </w:r>
      <w:r w:rsidRPr="00F45276">
        <w:rPr>
          <w:rFonts w:ascii="Cambria" w:eastAsia="Cambria" w:hAnsi="Cambria" w:cs="Cambria"/>
          <w:color w:val="000000" w:themeColor="text1"/>
          <w:sz w:val="20"/>
          <w:szCs w:val="20"/>
          <w:lang w:val="es-ES"/>
        </w:rPr>
        <w:t xml:space="preserve">agradece al Estado la información proporcionada respecto a esta recomendación. La Comisión valora los avances en la investigación reportados por el Estado e insta a continuar con las diligencias que se encuentran </w:t>
      </w:r>
      <w:r w:rsidR="00CC36E7" w:rsidRPr="00F45276">
        <w:rPr>
          <w:rFonts w:ascii="Cambria" w:eastAsia="Cambria" w:hAnsi="Cambria" w:cs="Cambria"/>
          <w:color w:val="000000" w:themeColor="text1"/>
          <w:sz w:val="20"/>
          <w:szCs w:val="20"/>
          <w:lang w:val="es-ES"/>
        </w:rPr>
        <w:t>aún</w:t>
      </w:r>
      <w:r w:rsidRPr="00F45276">
        <w:rPr>
          <w:rFonts w:ascii="Cambria" w:eastAsia="Cambria" w:hAnsi="Cambria" w:cs="Cambria"/>
          <w:color w:val="000000" w:themeColor="text1"/>
          <w:sz w:val="20"/>
          <w:szCs w:val="20"/>
          <w:lang w:val="es-ES"/>
        </w:rPr>
        <w:t xml:space="preserve"> pendientes. Asimismo, la CIDH reitera que el deber de investigar debe cumplirse con seriedad y no como una simple formalidad condenada de antemano a ser infructuosa, y debe tener un sentido y ser asumida por los Estados como un deber jurídico propio y no como una simple gestión de intereses particulares, que dependa de la iniciativa procesal de la víctima o de sus familiares o de la aportación privada de elementos probatorios, sin que la autoridad pública busque efectivamente la verdad</w:t>
      </w:r>
      <w:r w:rsidRPr="00F45276">
        <w:rPr>
          <w:rFonts w:ascii="Cambria" w:eastAsia="Cambria" w:hAnsi="Cambria" w:cs="Cambria"/>
          <w:color w:val="000000" w:themeColor="text1"/>
          <w:sz w:val="20"/>
          <w:szCs w:val="20"/>
          <w:vertAlign w:val="superscript"/>
        </w:rPr>
        <w:footnoteReference w:id="3"/>
      </w:r>
      <w:r w:rsidRPr="00F45276">
        <w:rPr>
          <w:rFonts w:ascii="Cambria" w:eastAsia="Cambria" w:hAnsi="Cambria" w:cs="Cambria"/>
          <w:color w:val="000000" w:themeColor="text1"/>
          <w:sz w:val="20"/>
          <w:szCs w:val="20"/>
          <w:lang w:val="es-ES"/>
        </w:rPr>
        <w:t>. Sin perjuicio de lo anterior, la Comisión valora los avances reportados, así como la individualización de las personas presuntamente responsables durante la investigación. La Comisión insta al Estado a brindar información específica sobre las diligencias pendientes en la causa Rol Nº 113.958</w:t>
      </w:r>
      <w:r w:rsidRPr="00F45276">
        <w:rPr>
          <w:rFonts w:ascii="Cambria" w:eastAsia="Cambria" w:hAnsi="Cambria" w:cs="Cambria"/>
          <w:color w:val="000000" w:themeColor="text1"/>
          <w:sz w:val="20"/>
          <w:szCs w:val="20"/>
          <w:vertAlign w:val="superscript"/>
        </w:rPr>
        <w:footnoteReference w:id="4"/>
      </w:r>
      <w:r w:rsidRPr="00F45276">
        <w:rPr>
          <w:rFonts w:ascii="Cambria" w:eastAsia="Cambria" w:hAnsi="Cambria" w:cs="Cambria"/>
          <w:color w:val="000000" w:themeColor="text1"/>
          <w:sz w:val="20"/>
          <w:szCs w:val="20"/>
          <w:lang w:val="es-ES"/>
        </w:rPr>
        <w:t>. En vista de lo anterior, la Comisión observa que el Estado ha aportado información relevante para actualizar el estado de cumplimiento de esta recomendación y considera que el nivel de dicha recomendación es parcial</w:t>
      </w:r>
      <w:r w:rsidR="00CC36E7" w:rsidRPr="00F45276">
        <w:rPr>
          <w:rFonts w:ascii="Cambria" w:eastAsia="Cambria" w:hAnsi="Cambria" w:cs="Cambria"/>
          <w:color w:val="000000" w:themeColor="text1"/>
          <w:sz w:val="20"/>
          <w:szCs w:val="20"/>
          <w:lang w:val="es-ES"/>
        </w:rPr>
        <w:t xml:space="preserve"> sustancial</w:t>
      </w:r>
      <w:r w:rsidRPr="00F45276">
        <w:rPr>
          <w:rFonts w:ascii="Cambria" w:eastAsia="Cambria" w:hAnsi="Cambria" w:cs="Cambria"/>
          <w:color w:val="000000" w:themeColor="text1"/>
          <w:sz w:val="20"/>
          <w:szCs w:val="20"/>
          <w:lang w:val="es-ES"/>
        </w:rPr>
        <w:t>.</w:t>
      </w:r>
    </w:p>
    <w:p w14:paraId="475081B3" w14:textId="77777777" w:rsidR="00210AA7" w:rsidRPr="00F45276" w:rsidRDefault="00210AA7" w:rsidP="00210AA7">
      <w:pPr>
        <w:ind w:left="720"/>
        <w:jc w:val="both"/>
        <w:rPr>
          <w:rFonts w:ascii="Cambria" w:eastAsia="Cambria" w:hAnsi="Cambria" w:cs="Cambria"/>
          <w:color w:val="000000" w:themeColor="text1"/>
          <w:sz w:val="20"/>
          <w:szCs w:val="20"/>
          <w:lang w:val="es-ES"/>
        </w:rPr>
      </w:pPr>
    </w:p>
    <w:p w14:paraId="0A22E315" w14:textId="45828035" w:rsidR="00210AA7" w:rsidRPr="00F45276" w:rsidRDefault="00210AA7" w:rsidP="00CC36E7">
      <w:pPr>
        <w:numPr>
          <w:ilvl w:val="0"/>
          <w:numId w:val="3"/>
        </w:numPr>
        <w:ind w:left="0" w:firstLine="720"/>
        <w:jc w:val="both"/>
        <w:rPr>
          <w:rFonts w:ascii="Cambria" w:eastAsia="Cambria" w:hAnsi="Cambria" w:cs="Cambria"/>
          <w:color w:val="000000" w:themeColor="text1"/>
          <w:sz w:val="20"/>
          <w:szCs w:val="20"/>
          <w:lang w:val="es-ES"/>
        </w:rPr>
      </w:pPr>
      <w:r w:rsidRPr="00F45276">
        <w:rPr>
          <w:rFonts w:ascii="Cambria" w:eastAsia="Cambria" w:hAnsi="Cambria" w:cs="Cambria"/>
          <w:b/>
          <w:color w:val="000000" w:themeColor="text1"/>
          <w:sz w:val="20"/>
          <w:szCs w:val="20"/>
          <w:lang w:val="es-ES"/>
        </w:rPr>
        <w:t>Respecto de la segunda recomendación</w:t>
      </w:r>
      <w:r w:rsidRPr="00F45276">
        <w:rPr>
          <w:rFonts w:ascii="Cambria" w:eastAsia="Cambria" w:hAnsi="Cambria" w:cs="Cambria"/>
          <w:color w:val="000000" w:themeColor="text1"/>
          <w:sz w:val="20"/>
          <w:szCs w:val="20"/>
          <w:lang w:val="es-ES"/>
        </w:rPr>
        <w:t xml:space="preserve">, en 2021 el Estado Informó que, actualmente se encuentran en trámite dos proyectos de ley que han tenido por objetivo armonizar el desuso del Decreto Ley de Amnistía con las instituciones de la cosa juzgada y el principio de non bis in idem. Estos son: 1) Reforma constitucional que establece que los crímenes y delitos de guerra, lesa humanidad y genocidio no puedan prescribir ni ser amnistiados (Boletín N° 9748-07) y 2) Proyecto de ley que adecua la legislación penal en materia de amnistía, indulto, prescripción de la acción penal, así como la sanción penal de acuerdo al Derecho Internacional respecto a delitos de genocidio, de lesa humanidad y crímenes de guerra (Boletín N° 9773-07). Actualmente, ambos proyectos continúan en primer trámite constitucional en la Comisión de Constitución, Legislación, Justicia y Reglamento del Senado de la República, pese a múltiples urgencias solicitadas por el Gobierno. </w:t>
      </w:r>
    </w:p>
    <w:p w14:paraId="776E6502" w14:textId="77777777" w:rsidR="00210AA7" w:rsidRPr="00F45276" w:rsidRDefault="00210AA7" w:rsidP="00210AA7">
      <w:pPr>
        <w:pBdr>
          <w:top w:val="nil"/>
          <w:left w:val="nil"/>
          <w:bottom w:val="nil"/>
          <w:right w:val="nil"/>
          <w:between w:val="nil"/>
        </w:pBdr>
        <w:ind w:left="720"/>
        <w:rPr>
          <w:rFonts w:ascii="Cambria" w:eastAsia="Cambria" w:hAnsi="Cambria" w:cs="Cambria"/>
          <w:color w:val="000000" w:themeColor="text1"/>
          <w:sz w:val="20"/>
          <w:szCs w:val="20"/>
          <w:lang w:val="es-ES"/>
        </w:rPr>
      </w:pPr>
    </w:p>
    <w:p w14:paraId="6125E966" w14:textId="0E414971" w:rsidR="00210AA7" w:rsidRPr="00F45276" w:rsidRDefault="00210AA7">
      <w:pPr>
        <w:numPr>
          <w:ilvl w:val="0"/>
          <w:numId w:val="3"/>
        </w:numPr>
        <w:ind w:left="0" w:firstLine="720"/>
        <w:jc w:val="both"/>
        <w:rPr>
          <w:rFonts w:ascii="Cambria" w:eastAsia="Cambria" w:hAnsi="Cambria" w:cs="Cambria"/>
          <w:color w:val="000000" w:themeColor="text1"/>
          <w:sz w:val="20"/>
          <w:szCs w:val="20"/>
          <w:lang w:val="es-ES"/>
        </w:rPr>
      </w:pPr>
      <w:r w:rsidRPr="00F45276">
        <w:rPr>
          <w:rFonts w:ascii="Cambria" w:eastAsia="Cambria" w:hAnsi="Cambria" w:cs="Cambria"/>
          <w:color w:val="000000" w:themeColor="text1"/>
          <w:sz w:val="20"/>
          <w:szCs w:val="20"/>
          <w:lang w:val="es-ES"/>
        </w:rPr>
        <w:t xml:space="preserve">Asimismo, el Estado de Chile refirió que se ha procedido a armonizar judicialmente el derecho interno a través del cambio sustantivo en la jurisprudencia de sus tribunales superiores de justicia, en orden a no dar aplicación a la normativa que regula la amnistía de estos crímenes. El Estado sostuvo que, en los últimos 28 años, el Poder Judicial ha incorporado estándares de derechos humanos en sus sentencias sobre las causas de la dictadura, siendo hoy una fuente esencial en sus resoluciones, como por ejemplo la imprescriptibilidad e inamnistiabilidad de los crímenes de lesa humanidad, avanzando hacia un pleno cumplimiento del derecho a la verdad y justicia  la jurisprudencia que considera la no aplicación del Decreto Ley de Amnistía, posterior a la emisión de la sentencia en el Caso Almonacid Arellano, se ha mantenido uniforme en cuanto a declarar los crímenes de lesa humanidad ocurridos en dictadura como inamnistiables, utilizando distintas líneas argumentativas que se fundan en el pleno respeto a normas del derecho internacional humanitario y del derecho internacional de los derechos humanos. El Estado concluyó que, por estas razones, algunos autores nacionales afirman que el Decreto Ley de Amnistía, si bien permanece formalmente vigente, se encuentra “tácitamente derogado” o que carece de vigencia material por su total desuso o falta de aplicación, debido a la interpretación realizada por los tribunales de justicia chilenos. </w:t>
      </w:r>
    </w:p>
    <w:p w14:paraId="79AB3935" w14:textId="77777777" w:rsidR="003D4062" w:rsidRPr="00F45276" w:rsidRDefault="003D4062" w:rsidP="003D4062">
      <w:pPr>
        <w:ind w:left="720"/>
        <w:jc w:val="both"/>
        <w:rPr>
          <w:rFonts w:ascii="Cambria" w:eastAsia="Cambria" w:hAnsi="Cambria" w:cs="Cambria"/>
          <w:color w:val="000000" w:themeColor="text1"/>
          <w:sz w:val="20"/>
          <w:szCs w:val="20"/>
          <w:lang w:val="es-ES"/>
        </w:rPr>
      </w:pPr>
    </w:p>
    <w:p w14:paraId="392D44AF" w14:textId="3ADBEF3E" w:rsidR="003D4062" w:rsidRPr="00F45276" w:rsidRDefault="003D4062" w:rsidP="003D4062">
      <w:pPr>
        <w:numPr>
          <w:ilvl w:val="0"/>
          <w:numId w:val="3"/>
        </w:numPr>
        <w:ind w:left="0" w:firstLine="720"/>
        <w:jc w:val="both"/>
        <w:rPr>
          <w:rFonts w:ascii="Cambria" w:eastAsia="Cambria" w:hAnsi="Cambria" w:cs="Cambria"/>
          <w:color w:val="000000" w:themeColor="text1"/>
          <w:sz w:val="20"/>
          <w:szCs w:val="20"/>
          <w:lang w:val="es-ES"/>
        </w:rPr>
      </w:pPr>
      <w:r w:rsidRPr="00F45276">
        <w:rPr>
          <w:rFonts w:ascii="Cambria" w:eastAsia="Cambria" w:hAnsi="Cambria" w:cs="Cambria"/>
          <w:color w:val="000000" w:themeColor="text1"/>
          <w:sz w:val="20"/>
          <w:szCs w:val="20"/>
          <w:lang w:val="es-ES"/>
        </w:rPr>
        <w:t xml:space="preserve">En 2022, el Estado informó que, el Ministerio de Justicia y Derechos Humanos en 2022-2023 adoptará medidas para alcanzar definitivamente la verdad, justicia y reparación que el país espera en esta materia. Es por ello que la estrategia a implementar contempla tanto medidas impulsadas directamente por el Ministerio como a través de modificaciones legales. Así se espera impulsar a través de la vía normativa y legal dos iniciativas. La presentación durante 2022 de un proyecto de ley que permita derogar el secreto de la Comisión Valech y el Decreto Ley de Amnistía. La segunda de las iniciativas está orientada a la reparación, mediante la eliminación de las incompatibilidades entre pensiones de reparación </w:t>
      </w:r>
    </w:p>
    <w:p w14:paraId="0677C8A6" w14:textId="77777777" w:rsidR="00210AA7" w:rsidRPr="00F45276" w:rsidRDefault="00210AA7" w:rsidP="00210AA7">
      <w:pPr>
        <w:ind w:left="720"/>
        <w:jc w:val="both"/>
        <w:rPr>
          <w:rFonts w:ascii="Cambria" w:eastAsia="Cambria" w:hAnsi="Cambria" w:cs="Cambria"/>
          <w:color w:val="000000" w:themeColor="text1"/>
          <w:sz w:val="20"/>
          <w:szCs w:val="20"/>
          <w:lang w:val="es-ES"/>
        </w:rPr>
      </w:pPr>
    </w:p>
    <w:p w14:paraId="3C592C92" w14:textId="77777777" w:rsidR="00210AA7" w:rsidRPr="00F45276" w:rsidRDefault="00210AA7">
      <w:pPr>
        <w:numPr>
          <w:ilvl w:val="0"/>
          <w:numId w:val="3"/>
        </w:numPr>
        <w:ind w:left="0" w:firstLine="720"/>
        <w:jc w:val="both"/>
        <w:rPr>
          <w:rFonts w:ascii="Cambria" w:eastAsia="Cambria" w:hAnsi="Cambria" w:cs="Cambria"/>
          <w:color w:val="000000" w:themeColor="text1"/>
          <w:sz w:val="20"/>
          <w:szCs w:val="20"/>
          <w:lang w:val="es-ES"/>
        </w:rPr>
      </w:pPr>
      <w:r w:rsidRPr="00F45276">
        <w:rPr>
          <w:rFonts w:ascii="Cambria" w:eastAsia="Cambria" w:hAnsi="Cambria" w:cs="Cambria"/>
          <w:color w:val="000000" w:themeColor="text1"/>
          <w:sz w:val="20"/>
          <w:szCs w:val="20"/>
          <w:lang w:val="es-ES"/>
        </w:rPr>
        <w:t xml:space="preserve">Los peticionarios no han proporcionado información sobre medidas adoptadas por el Estado para cumplir con esta recomendación. </w:t>
      </w:r>
    </w:p>
    <w:p w14:paraId="440FB395" w14:textId="77777777" w:rsidR="00210AA7" w:rsidRPr="00F45276" w:rsidRDefault="00210AA7" w:rsidP="00210AA7">
      <w:pPr>
        <w:pBdr>
          <w:top w:val="nil"/>
          <w:left w:val="nil"/>
          <w:bottom w:val="nil"/>
          <w:right w:val="nil"/>
          <w:between w:val="nil"/>
        </w:pBdr>
        <w:ind w:left="720"/>
        <w:rPr>
          <w:rFonts w:ascii="Cambria" w:eastAsia="Cambria" w:hAnsi="Cambria" w:cs="Cambria"/>
          <w:color w:val="000000" w:themeColor="text1"/>
          <w:sz w:val="20"/>
          <w:szCs w:val="20"/>
          <w:lang w:val="es-ES"/>
        </w:rPr>
      </w:pPr>
    </w:p>
    <w:p w14:paraId="29692D1A" w14:textId="6E18A861" w:rsidR="00210AA7" w:rsidRPr="00F45276" w:rsidRDefault="00210AA7">
      <w:pPr>
        <w:numPr>
          <w:ilvl w:val="0"/>
          <w:numId w:val="3"/>
        </w:numPr>
        <w:ind w:left="0" w:firstLine="720"/>
        <w:jc w:val="both"/>
        <w:rPr>
          <w:rFonts w:ascii="Cambria" w:eastAsia="Cambria" w:hAnsi="Cambria" w:cs="Cambria"/>
          <w:color w:val="000000" w:themeColor="text1"/>
          <w:sz w:val="20"/>
          <w:szCs w:val="20"/>
          <w:lang w:val="es-ES"/>
        </w:rPr>
      </w:pPr>
      <w:r w:rsidRPr="00F45276">
        <w:rPr>
          <w:rFonts w:ascii="Cambria" w:eastAsia="Cambria" w:hAnsi="Cambria" w:cs="Cambria"/>
          <w:color w:val="000000" w:themeColor="text1"/>
          <w:sz w:val="20"/>
          <w:szCs w:val="20"/>
          <w:lang w:val="es-ES"/>
        </w:rPr>
        <w:t xml:space="preserve">La Comisión agradece al Estado la información proporcionada respecto a esta recomendación. </w:t>
      </w:r>
      <w:r w:rsidR="003D4062" w:rsidRPr="00F45276">
        <w:rPr>
          <w:rFonts w:ascii="Cambria" w:eastAsia="Cambria" w:hAnsi="Cambria" w:cs="Cambria"/>
          <w:color w:val="000000" w:themeColor="text1"/>
          <w:sz w:val="20"/>
          <w:szCs w:val="20"/>
          <w:lang w:val="es-ES"/>
        </w:rPr>
        <w:t>Asimismo, valora los esfuerzos implementados en aras de realizar las modificaciones legislativas orientadas al cumplimiento de esta recomendación. En ese sentido, la Comisión permanece atenta al proceso legislativo para la publicación de las iniciativas a las que el Estado hace mención. En tanto, la recomendación continúa en cumplimiento parcial.</w:t>
      </w:r>
    </w:p>
    <w:p w14:paraId="42F40D58" w14:textId="77777777" w:rsidR="00210AA7" w:rsidRPr="00F45276" w:rsidRDefault="00210AA7" w:rsidP="00210AA7">
      <w:pPr>
        <w:jc w:val="both"/>
        <w:rPr>
          <w:rFonts w:ascii="Cambria" w:eastAsia="Cambria" w:hAnsi="Cambria" w:cs="Cambria"/>
          <w:color w:val="000000" w:themeColor="text1"/>
          <w:sz w:val="20"/>
          <w:szCs w:val="20"/>
          <w:lang w:val="es-ES"/>
        </w:rPr>
      </w:pPr>
    </w:p>
    <w:p w14:paraId="27B0CD13" w14:textId="77777777" w:rsidR="00210AA7" w:rsidRPr="00F45276" w:rsidRDefault="00210AA7">
      <w:pPr>
        <w:numPr>
          <w:ilvl w:val="0"/>
          <w:numId w:val="4"/>
        </w:numPr>
        <w:pBdr>
          <w:top w:val="nil"/>
          <w:left w:val="nil"/>
          <w:bottom w:val="nil"/>
          <w:right w:val="nil"/>
          <w:between w:val="nil"/>
        </w:pBdr>
        <w:ind w:left="1440"/>
        <w:jc w:val="both"/>
        <w:rPr>
          <w:rFonts w:ascii="Cambria" w:eastAsia="Cambria" w:hAnsi="Cambria" w:cs="Cambria"/>
          <w:b/>
          <w:color w:val="000000" w:themeColor="text1"/>
          <w:sz w:val="20"/>
          <w:szCs w:val="20"/>
        </w:rPr>
      </w:pPr>
      <w:r w:rsidRPr="00F45276">
        <w:rPr>
          <w:rFonts w:ascii="Cambria" w:eastAsia="Cambria" w:hAnsi="Cambria" w:cs="Cambria"/>
          <w:b/>
          <w:color w:val="000000" w:themeColor="text1"/>
          <w:sz w:val="20"/>
          <w:szCs w:val="20"/>
        </w:rPr>
        <w:t xml:space="preserve">Nivel del cumplimiento del caso </w:t>
      </w:r>
    </w:p>
    <w:p w14:paraId="44B81F27" w14:textId="77777777" w:rsidR="00210AA7" w:rsidRPr="00F45276" w:rsidRDefault="00210AA7" w:rsidP="00210AA7">
      <w:pPr>
        <w:pBdr>
          <w:top w:val="nil"/>
          <w:left w:val="nil"/>
          <w:bottom w:val="nil"/>
          <w:right w:val="nil"/>
          <w:between w:val="nil"/>
        </w:pBdr>
        <w:ind w:left="1440"/>
        <w:jc w:val="both"/>
        <w:rPr>
          <w:rFonts w:ascii="Cambria" w:eastAsia="Cambria" w:hAnsi="Cambria" w:cs="Cambria"/>
          <w:b/>
          <w:color w:val="000000" w:themeColor="text1"/>
          <w:sz w:val="20"/>
          <w:szCs w:val="20"/>
        </w:rPr>
      </w:pPr>
    </w:p>
    <w:p w14:paraId="668FFF6C" w14:textId="77777777" w:rsidR="00210AA7" w:rsidRPr="00F45276" w:rsidRDefault="00210AA7">
      <w:pPr>
        <w:numPr>
          <w:ilvl w:val="0"/>
          <w:numId w:val="3"/>
        </w:numPr>
        <w:ind w:left="0" w:firstLine="720"/>
        <w:jc w:val="both"/>
        <w:rPr>
          <w:rFonts w:ascii="Cambria" w:eastAsia="Cambria" w:hAnsi="Cambria" w:cs="Cambria"/>
          <w:color w:val="000000" w:themeColor="text1"/>
          <w:sz w:val="20"/>
          <w:szCs w:val="20"/>
          <w:lang w:val="es-ES"/>
        </w:rPr>
      </w:pPr>
      <w:r w:rsidRPr="00F45276">
        <w:rPr>
          <w:rFonts w:ascii="Cambria" w:eastAsia="Cambria" w:hAnsi="Cambria" w:cs="Cambria"/>
          <w:color w:val="000000" w:themeColor="text1"/>
          <w:sz w:val="20"/>
          <w:szCs w:val="20"/>
          <w:lang w:val="es-ES"/>
        </w:rPr>
        <w:t xml:space="preserve">Por lo anterior, la Comisión concluye que el nivel de cumplimiento del caso es parcial. En consecuencia, la CIDH seguirá supervisando el cumplimiento las recomendaciones 1 y 2. </w:t>
      </w:r>
    </w:p>
    <w:p w14:paraId="3D46AD6C" w14:textId="77777777" w:rsidR="00210AA7" w:rsidRPr="00F45276" w:rsidRDefault="00210AA7" w:rsidP="00210AA7">
      <w:pPr>
        <w:jc w:val="both"/>
        <w:rPr>
          <w:rFonts w:ascii="Cambria" w:eastAsia="Cambria" w:hAnsi="Cambria" w:cs="Cambria"/>
          <w:color w:val="000000" w:themeColor="text1"/>
          <w:sz w:val="20"/>
          <w:szCs w:val="20"/>
          <w:lang w:val="es-ES"/>
        </w:rPr>
      </w:pPr>
    </w:p>
    <w:p w14:paraId="5B77E43F" w14:textId="77777777" w:rsidR="00210AA7" w:rsidRPr="00F45276" w:rsidRDefault="00210AA7">
      <w:pPr>
        <w:numPr>
          <w:ilvl w:val="0"/>
          <w:numId w:val="3"/>
        </w:numPr>
        <w:ind w:left="0" w:firstLine="720"/>
        <w:jc w:val="both"/>
        <w:rPr>
          <w:rFonts w:ascii="Cambria" w:eastAsia="Cambria" w:hAnsi="Cambria" w:cs="Cambria"/>
          <w:color w:val="000000" w:themeColor="text1"/>
          <w:sz w:val="20"/>
          <w:szCs w:val="20"/>
          <w:lang w:val="es-ES"/>
        </w:rPr>
      </w:pPr>
      <w:r w:rsidRPr="00F45276">
        <w:rPr>
          <w:rFonts w:ascii="Cambria" w:eastAsia="Cambria" w:hAnsi="Cambria" w:cs="Cambria"/>
          <w:color w:val="000000" w:themeColor="text1"/>
          <w:sz w:val="20"/>
          <w:szCs w:val="20"/>
          <w:lang w:val="es-ES"/>
        </w:rPr>
        <w:t xml:space="preserve">La CIDH nota que no cuenta con información actualizada de los peticionarios sobre las medidas adoptadas por el Estado para cumplir con las recomendaciones emitidas en el Informe de Fondo Nº 61/01 y les invita a suministrar dicha información.      </w:t>
      </w:r>
    </w:p>
    <w:p w14:paraId="217C20D3" w14:textId="77777777" w:rsidR="00210AA7" w:rsidRPr="00F45276" w:rsidRDefault="00210AA7" w:rsidP="00210AA7">
      <w:pPr>
        <w:jc w:val="both"/>
        <w:rPr>
          <w:rFonts w:ascii="Cambria" w:eastAsia="Cambria" w:hAnsi="Cambria" w:cs="Cambria"/>
          <w:color w:val="000000" w:themeColor="text1"/>
          <w:sz w:val="20"/>
          <w:szCs w:val="20"/>
          <w:lang w:val="es-ES"/>
        </w:rPr>
      </w:pPr>
    </w:p>
    <w:p w14:paraId="3204139F" w14:textId="77777777" w:rsidR="00210AA7" w:rsidRPr="00F45276" w:rsidRDefault="00210AA7">
      <w:pPr>
        <w:numPr>
          <w:ilvl w:val="0"/>
          <w:numId w:val="4"/>
        </w:numPr>
        <w:pBdr>
          <w:top w:val="nil"/>
          <w:left w:val="nil"/>
          <w:bottom w:val="nil"/>
          <w:right w:val="nil"/>
          <w:between w:val="nil"/>
        </w:pBdr>
        <w:ind w:left="1440"/>
        <w:jc w:val="both"/>
        <w:rPr>
          <w:rFonts w:ascii="Cambria" w:eastAsia="Cambria" w:hAnsi="Cambria" w:cs="Cambria"/>
          <w:b/>
          <w:color w:val="000000" w:themeColor="text1"/>
          <w:sz w:val="20"/>
          <w:szCs w:val="20"/>
          <w:lang w:val="es-ES"/>
        </w:rPr>
      </w:pPr>
      <w:r w:rsidRPr="00F45276">
        <w:rPr>
          <w:rFonts w:ascii="Cambria" w:eastAsia="Cambria" w:hAnsi="Cambria" w:cs="Cambria"/>
          <w:b/>
          <w:color w:val="000000" w:themeColor="text1"/>
          <w:sz w:val="20"/>
          <w:szCs w:val="20"/>
          <w:lang w:val="es-ES"/>
        </w:rPr>
        <w:t xml:space="preserve">Resultados individuales y estructurales del caso </w:t>
      </w:r>
    </w:p>
    <w:p w14:paraId="617193DA" w14:textId="77777777" w:rsidR="00210AA7" w:rsidRPr="00F45276" w:rsidRDefault="00210AA7" w:rsidP="00210AA7">
      <w:pPr>
        <w:pBdr>
          <w:top w:val="nil"/>
          <w:left w:val="nil"/>
          <w:bottom w:val="nil"/>
          <w:right w:val="nil"/>
          <w:between w:val="nil"/>
        </w:pBdr>
        <w:ind w:left="1440"/>
        <w:jc w:val="both"/>
        <w:rPr>
          <w:rFonts w:ascii="Cambria" w:eastAsia="Cambria" w:hAnsi="Cambria" w:cs="Cambria"/>
          <w:b/>
          <w:color w:val="000000" w:themeColor="text1"/>
          <w:sz w:val="20"/>
          <w:szCs w:val="20"/>
          <w:lang w:val="es-ES"/>
        </w:rPr>
      </w:pPr>
    </w:p>
    <w:p w14:paraId="5D41EAE9" w14:textId="77777777" w:rsidR="00210AA7" w:rsidRPr="00F45276" w:rsidRDefault="00210AA7">
      <w:pPr>
        <w:numPr>
          <w:ilvl w:val="0"/>
          <w:numId w:val="3"/>
        </w:numPr>
        <w:ind w:left="0" w:firstLine="720"/>
        <w:jc w:val="both"/>
        <w:rPr>
          <w:rFonts w:ascii="Cambria" w:eastAsia="Cambria" w:hAnsi="Cambria" w:cs="Cambria"/>
          <w:color w:val="000000" w:themeColor="text1"/>
          <w:sz w:val="20"/>
          <w:szCs w:val="20"/>
          <w:lang w:val="es-ES"/>
        </w:rPr>
      </w:pPr>
      <w:r w:rsidRPr="00F45276">
        <w:rPr>
          <w:rFonts w:ascii="Cambria" w:eastAsia="Cambria" w:hAnsi="Cambria" w:cs="Cambria"/>
          <w:color w:val="000000" w:themeColor="text1"/>
          <w:sz w:val="20"/>
          <w:szCs w:val="20"/>
          <w:lang w:val="es-ES"/>
        </w:rPr>
        <w:t xml:space="preserve">En esta sección se destacan los resultados individuales y estructurales del caso informados por las partes. </w:t>
      </w:r>
    </w:p>
    <w:p w14:paraId="44DDC8E2" w14:textId="77777777" w:rsidR="00210AA7" w:rsidRPr="00F45276" w:rsidRDefault="00210AA7" w:rsidP="00210AA7">
      <w:pPr>
        <w:ind w:left="720"/>
        <w:jc w:val="both"/>
        <w:rPr>
          <w:rFonts w:ascii="Cambria" w:eastAsia="Cambria" w:hAnsi="Cambria" w:cs="Cambria"/>
          <w:color w:val="000000" w:themeColor="text1"/>
          <w:sz w:val="20"/>
          <w:szCs w:val="20"/>
          <w:lang w:val="es-ES"/>
        </w:rPr>
      </w:pPr>
    </w:p>
    <w:p w14:paraId="0B705095" w14:textId="77777777" w:rsidR="00210AA7" w:rsidRPr="00F45276" w:rsidRDefault="00210AA7">
      <w:pPr>
        <w:numPr>
          <w:ilvl w:val="0"/>
          <w:numId w:val="5"/>
        </w:numPr>
        <w:pBdr>
          <w:top w:val="nil"/>
          <w:left w:val="nil"/>
          <w:bottom w:val="nil"/>
          <w:right w:val="nil"/>
          <w:between w:val="nil"/>
        </w:pBdr>
        <w:ind w:left="1440" w:hanging="720"/>
        <w:jc w:val="both"/>
        <w:rPr>
          <w:rFonts w:ascii="Cambria" w:eastAsia="Cambria" w:hAnsi="Cambria" w:cs="Cambria"/>
          <w:b/>
          <w:color w:val="000000" w:themeColor="text1"/>
          <w:sz w:val="20"/>
          <w:szCs w:val="20"/>
        </w:rPr>
      </w:pPr>
      <w:r w:rsidRPr="00F45276">
        <w:rPr>
          <w:rFonts w:ascii="Cambria" w:eastAsia="Cambria" w:hAnsi="Cambria" w:cs="Cambria"/>
          <w:b/>
          <w:color w:val="000000" w:themeColor="text1"/>
          <w:sz w:val="20"/>
          <w:szCs w:val="20"/>
        </w:rPr>
        <w:t>Resultados individuales del caso</w:t>
      </w:r>
    </w:p>
    <w:p w14:paraId="6ED02CBB" w14:textId="77777777" w:rsidR="00210AA7" w:rsidRPr="00F45276" w:rsidRDefault="00210AA7" w:rsidP="00210AA7">
      <w:pPr>
        <w:pBdr>
          <w:top w:val="nil"/>
          <w:left w:val="nil"/>
          <w:bottom w:val="nil"/>
          <w:right w:val="nil"/>
          <w:between w:val="nil"/>
        </w:pBdr>
        <w:ind w:left="1440"/>
        <w:jc w:val="both"/>
        <w:rPr>
          <w:rFonts w:ascii="Cambria" w:eastAsia="Cambria" w:hAnsi="Cambria" w:cs="Cambria"/>
          <w:b/>
          <w:color w:val="000000" w:themeColor="text1"/>
          <w:sz w:val="20"/>
          <w:szCs w:val="20"/>
        </w:rPr>
      </w:pPr>
    </w:p>
    <w:p w14:paraId="43510283" w14:textId="77777777" w:rsidR="00210AA7" w:rsidRPr="00F45276" w:rsidRDefault="00210AA7" w:rsidP="00210AA7">
      <w:pPr>
        <w:jc w:val="both"/>
        <w:rPr>
          <w:rFonts w:ascii="Cambria" w:eastAsia="Cambria" w:hAnsi="Cambria" w:cs="Cambria"/>
          <w:i/>
          <w:color w:val="000000" w:themeColor="text1"/>
          <w:sz w:val="20"/>
          <w:szCs w:val="20"/>
        </w:rPr>
      </w:pPr>
      <w:r w:rsidRPr="00F45276">
        <w:rPr>
          <w:rFonts w:ascii="Cambria" w:eastAsia="Cambria" w:hAnsi="Cambria" w:cs="Cambria"/>
          <w:i/>
          <w:color w:val="000000" w:themeColor="text1"/>
          <w:sz w:val="20"/>
          <w:szCs w:val="20"/>
        </w:rPr>
        <w:t>Medidas de compensación pecuniaria</w:t>
      </w:r>
    </w:p>
    <w:p w14:paraId="15DA29BE" w14:textId="77777777" w:rsidR="00210AA7" w:rsidRPr="00F45276" w:rsidRDefault="00210AA7">
      <w:pPr>
        <w:numPr>
          <w:ilvl w:val="0"/>
          <w:numId w:val="2"/>
        </w:numPr>
        <w:pBdr>
          <w:top w:val="nil"/>
          <w:left w:val="nil"/>
          <w:bottom w:val="nil"/>
          <w:right w:val="nil"/>
          <w:between w:val="nil"/>
        </w:pBdr>
        <w:jc w:val="both"/>
        <w:rPr>
          <w:rFonts w:ascii="Cambria" w:eastAsia="Cambria" w:hAnsi="Cambria" w:cs="Cambria"/>
          <w:color w:val="000000" w:themeColor="text1"/>
          <w:sz w:val="20"/>
          <w:szCs w:val="20"/>
          <w:lang w:val="es-ES"/>
        </w:rPr>
      </w:pPr>
      <w:r w:rsidRPr="00F45276">
        <w:rPr>
          <w:rFonts w:ascii="Cambria" w:eastAsia="Cambria" w:hAnsi="Cambria" w:cs="Cambria"/>
          <w:color w:val="000000" w:themeColor="text1"/>
          <w:sz w:val="20"/>
          <w:szCs w:val="20"/>
          <w:lang w:val="es-ES"/>
        </w:rPr>
        <w:t xml:space="preserve">Entrega de reparaciones económicas a favor de los familiares del señor Samuel Alfonso Catalán Lincoleo: Sofía Lincoleo Montero (madre), Adrina del Carmen Albarrán Contres y Gabriela Isidoro Bucarey Molinet (madres de sus hijos), Samuel Miguel Catalán Albarrán (hijo), Elena del Carmen Catalán Bucarey (hija) y los ocho hermanos del señor Catalán Lincoleo, incluyendo la pensión de reparación de carácter vitalicio establecida por la Ley 19.123 y el bono de reparación de la Ley 19.980. El monto total de las reparaciones percibidas por los familiares de la víctima hasta diciembre de 2007 era de $113.804,00 USD. </w:t>
      </w:r>
    </w:p>
    <w:p w14:paraId="6D8022CE" w14:textId="77777777" w:rsidR="00210AA7" w:rsidRPr="00F45276" w:rsidRDefault="00210AA7" w:rsidP="00210AA7">
      <w:pPr>
        <w:pBdr>
          <w:top w:val="nil"/>
          <w:left w:val="nil"/>
          <w:bottom w:val="nil"/>
          <w:right w:val="nil"/>
          <w:between w:val="nil"/>
        </w:pBdr>
        <w:jc w:val="both"/>
        <w:rPr>
          <w:rFonts w:ascii="Cambria" w:eastAsia="Cambria" w:hAnsi="Cambria" w:cs="Cambria"/>
          <w:color w:val="000000" w:themeColor="text1"/>
          <w:sz w:val="20"/>
          <w:szCs w:val="20"/>
          <w:lang w:val="es-ES"/>
        </w:rPr>
      </w:pPr>
    </w:p>
    <w:p w14:paraId="67C42F4C" w14:textId="77777777" w:rsidR="00210AA7" w:rsidRPr="00F45276" w:rsidRDefault="00210AA7" w:rsidP="00210AA7">
      <w:pPr>
        <w:jc w:val="both"/>
        <w:rPr>
          <w:rFonts w:ascii="Cambria" w:eastAsia="Cambria" w:hAnsi="Cambria" w:cs="Cambria"/>
          <w:i/>
          <w:color w:val="000000" w:themeColor="text1"/>
          <w:sz w:val="20"/>
          <w:szCs w:val="20"/>
        </w:rPr>
      </w:pPr>
      <w:r w:rsidRPr="00F45276">
        <w:rPr>
          <w:rFonts w:ascii="Cambria" w:eastAsia="Cambria" w:hAnsi="Cambria" w:cs="Cambria"/>
          <w:i/>
          <w:color w:val="000000" w:themeColor="text1"/>
          <w:sz w:val="20"/>
          <w:szCs w:val="20"/>
        </w:rPr>
        <w:t xml:space="preserve">Medidas de rehabilitación </w:t>
      </w:r>
    </w:p>
    <w:p w14:paraId="6C575731" w14:textId="77777777" w:rsidR="00210AA7" w:rsidRPr="00F45276" w:rsidRDefault="00210AA7">
      <w:pPr>
        <w:numPr>
          <w:ilvl w:val="0"/>
          <w:numId w:val="2"/>
        </w:numPr>
        <w:pBdr>
          <w:top w:val="nil"/>
          <w:left w:val="nil"/>
          <w:bottom w:val="nil"/>
          <w:right w:val="nil"/>
          <w:between w:val="nil"/>
        </w:pBdr>
        <w:jc w:val="both"/>
        <w:rPr>
          <w:rFonts w:ascii="Cambria" w:eastAsia="Cambria" w:hAnsi="Cambria" w:cs="Cambria"/>
          <w:color w:val="000000" w:themeColor="text1"/>
          <w:sz w:val="20"/>
          <w:szCs w:val="20"/>
          <w:lang w:val="es-ES"/>
        </w:rPr>
      </w:pPr>
      <w:r w:rsidRPr="00F45276">
        <w:rPr>
          <w:rFonts w:ascii="Cambria" w:eastAsia="Cambria" w:hAnsi="Cambria" w:cs="Cambria"/>
          <w:color w:val="000000" w:themeColor="text1"/>
          <w:sz w:val="20"/>
          <w:szCs w:val="20"/>
          <w:lang w:val="es-ES"/>
        </w:rPr>
        <w:t xml:space="preserve">Entrega de beneficios educacionales a favor de los hijos de la víctima, Samuel Miguel Catalán Albarrán y Elena del Carmen Catalán Bucarey. </w:t>
      </w:r>
    </w:p>
    <w:p w14:paraId="6DB8D1CF" w14:textId="77777777" w:rsidR="00210AA7" w:rsidRPr="00F45276" w:rsidRDefault="00210AA7" w:rsidP="00210AA7">
      <w:pPr>
        <w:pBdr>
          <w:top w:val="nil"/>
          <w:left w:val="nil"/>
          <w:bottom w:val="nil"/>
          <w:right w:val="nil"/>
          <w:between w:val="nil"/>
        </w:pBdr>
        <w:jc w:val="both"/>
        <w:rPr>
          <w:rFonts w:ascii="Cambria" w:eastAsia="Cambria" w:hAnsi="Cambria" w:cs="Cambria"/>
          <w:color w:val="000000" w:themeColor="text1"/>
          <w:sz w:val="20"/>
          <w:szCs w:val="20"/>
          <w:lang w:val="es-ES"/>
        </w:rPr>
      </w:pPr>
    </w:p>
    <w:p w14:paraId="6655D853" w14:textId="77777777" w:rsidR="00210AA7" w:rsidRPr="00F45276" w:rsidRDefault="00210AA7" w:rsidP="00210AA7">
      <w:pPr>
        <w:jc w:val="both"/>
        <w:rPr>
          <w:rFonts w:ascii="Cambria" w:eastAsia="Cambria" w:hAnsi="Cambria" w:cs="Cambria"/>
          <w:i/>
          <w:color w:val="000000" w:themeColor="text1"/>
          <w:sz w:val="20"/>
          <w:szCs w:val="20"/>
        </w:rPr>
      </w:pPr>
      <w:r w:rsidRPr="00F45276">
        <w:rPr>
          <w:rFonts w:ascii="Cambria" w:eastAsia="Cambria" w:hAnsi="Cambria" w:cs="Cambria"/>
          <w:i/>
          <w:color w:val="000000" w:themeColor="text1"/>
          <w:sz w:val="20"/>
          <w:szCs w:val="20"/>
        </w:rPr>
        <w:t xml:space="preserve">Medidas de satisfacción </w:t>
      </w:r>
    </w:p>
    <w:p w14:paraId="0658D82D" w14:textId="77777777" w:rsidR="00210AA7" w:rsidRPr="00F45276" w:rsidRDefault="00210AA7">
      <w:pPr>
        <w:numPr>
          <w:ilvl w:val="0"/>
          <w:numId w:val="2"/>
        </w:numPr>
        <w:pBdr>
          <w:top w:val="nil"/>
          <w:left w:val="nil"/>
          <w:bottom w:val="nil"/>
          <w:right w:val="nil"/>
          <w:between w:val="nil"/>
        </w:pBdr>
        <w:jc w:val="both"/>
        <w:rPr>
          <w:rFonts w:ascii="Cambria" w:eastAsia="Cambria" w:hAnsi="Cambria" w:cs="Cambria"/>
          <w:color w:val="000000" w:themeColor="text1"/>
          <w:sz w:val="20"/>
          <w:szCs w:val="20"/>
          <w:lang w:val="es-ES"/>
        </w:rPr>
      </w:pPr>
      <w:r w:rsidRPr="00F45276">
        <w:rPr>
          <w:rFonts w:ascii="Cambria" w:eastAsia="Cambria" w:hAnsi="Cambria" w:cs="Cambria"/>
          <w:color w:val="000000" w:themeColor="text1"/>
          <w:sz w:val="20"/>
          <w:szCs w:val="20"/>
          <w:lang w:val="es-ES"/>
        </w:rPr>
        <w:t xml:space="preserve">El nombre de Samuel Alfonso Catalán Lincoleo fue incluido en la lista de más de 3.000 víctimas de violaciones de derechos humanos entre septiembre de 1973 y marzo de 1990, que se encuentra emplazada en el Memorial del Cementerio General de Santiago de Chile, descrito como “el principal hito de la política de construcción de memoriales y la obra más importante erigida en el país de conservación de la memoria histórica y de reivindicación del buen nombre y la dignidad de las víctimas”. </w:t>
      </w:r>
    </w:p>
    <w:p w14:paraId="1969D8AB" w14:textId="77777777" w:rsidR="00210AA7" w:rsidRPr="00F45276" w:rsidRDefault="00210AA7" w:rsidP="00210AA7">
      <w:pPr>
        <w:jc w:val="both"/>
        <w:rPr>
          <w:rFonts w:ascii="Cambria" w:eastAsia="Cambria" w:hAnsi="Cambria" w:cs="Cambria"/>
          <w:color w:val="000000" w:themeColor="text1"/>
          <w:sz w:val="20"/>
          <w:szCs w:val="20"/>
          <w:lang w:val="es-ES"/>
        </w:rPr>
      </w:pPr>
    </w:p>
    <w:p w14:paraId="0CA9D2F1" w14:textId="77777777" w:rsidR="00210AA7" w:rsidRPr="00F45276" w:rsidRDefault="00210AA7">
      <w:pPr>
        <w:numPr>
          <w:ilvl w:val="0"/>
          <w:numId w:val="5"/>
        </w:numPr>
        <w:pBdr>
          <w:top w:val="nil"/>
          <w:left w:val="nil"/>
          <w:bottom w:val="nil"/>
          <w:right w:val="nil"/>
          <w:between w:val="nil"/>
        </w:pBdr>
        <w:ind w:left="1440" w:hanging="720"/>
        <w:jc w:val="both"/>
        <w:rPr>
          <w:rFonts w:ascii="Cambria" w:eastAsia="Cambria" w:hAnsi="Cambria" w:cs="Cambria"/>
          <w:b/>
          <w:color w:val="000000" w:themeColor="text1"/>
          <w:sz w:val="20"/>
          <w:szCs w:val="20"/>
        </w:rPr>
      </w:pPr>
      <w:r w:rsidRPr="00F45276">
        <w:rPr>
          <w:rFonts w:ascii="Cambria" w:eastAsia="Cambria" w:hAnsi="Cambria" w:cs="Cambria"/>
          <w:b/>
          <w:color w:val="000000" w:themeColor="text1"/>
          <w:sz w:val="20"/>
          <w:szCs w:val="20"/>
        </w:rPr>
        <w:t>Resultados estructurales del caso</w:t>
      </w:r>
    </w:p>
    <w:p w14:paraId="6A0E3194" w14:textId="77777777" w:rsidR="00210AA7" w:rsidRPr="00F45276" w:rsidRDefault="00210AA7" w:rsidP="00210AA7">
      <w:pPr>
        <w:pBdr>
          <w:top w:val="nil"/>
          <w:left w:val="nil"/>
          <w:bottom w:val="nil"/>
          <w:right w:val="nil"/>
          <w:between w:val="nil"/>
        </w:pBdr>
        <w:ind w:left="1440"/>
        <w:jc w:val="both"/>
        <w:rPr>
          <w:rFonts w:ascii="Cambria" w:eastAsia="Cambria" w:hAnsi="Cambria" w:cs="Cambria"/>
          <w:b/>
          <w:color w:val="000000" w:themeColor="text1"/>
          <w:sz w:val="20"/>
          <w:szCs w:val="20"/>
        </w:rPr>
      </w:pPr>
    </w:p>
    <w:p w14:paraId="3D90E64A" w14:textId="77777777" w:rsidR="00210AA7" w:rsidRPr="00F45276" w:rsidRDefault="00210AA7">
      <w:pPr>
        <w:numPr>
          <w:ilvl w:val="0"/>
          <w:numId w:val="2"/>
        </w:numPr>
        <w:pBdr>
          <w:top w:val="nil"/>
          <w:left w:val="nil"/>
          <w:bottom w:val="nil"/>
          <w:right w:val="nil"/>
          <w:between w:val="nil"/>
        </w:pBdr>
        <w:jc w:val="both"/>
        <w:rPr>
          <w:rFonts w:ascii="Cambria" w:eastAsia="Cambria" w:hAnsi="Cambria" w:cs="Cambria"/>
          <w:color w:val="000000" w:themeColor="text1"/>
          <w:sz w:val="20"/>
          <w:szCs w:val="20"/>
          <w:lang w:val="es-ES"/>
        </w:rPr>
      </w:pPr>
      <w:r w:rsidRPr="00F45276">
        <w:rPr>
          <w:rFonts w:ascii="Cambria" w:eastAsia="Cambria" w:hAnsi="Cambria" w:cs="Cambria"/>
          <w:color w:val="000000" w:themeColor="text1"/>
          <w:sz w:val="20"/>
          <w:szCs w:val="20"/>
          <w:lang w:val="es-ES"/>
        </w:rPr>
        <w:t xml:space="preserve">No hay resultados estructurales informados por las partes. </w:t>
      </w:r>
    </w:p>
    <w:p w14:paraId="7ADF7175" w14:textId="77777777" w:rsidR="00210AA7" w:rsidRPr="00F45276" w:rsidRDefault="00210AA7" w:rsidP="00210AA7">
      <w:pPr>
        <w:rPr>
          <w:rFonts w:ascii="Cambria" w:eastAsia="Cambria" w:hAnsi="Cambria" w:cs="Cambria"/>
          <w:color w:val="000000" w:themeColor="text1"/>
          <w:sz w:val="20"/>
          <w:szCs w:val="20"/>
          <w:lang w:val="es-ES"/>
        </w:rPr>
      </w:pPr>
    </w:p>
    <w:p w14:paraId="45B26099" w14:textId="77777777" w:rsidR="00BD17B0" w:rsidRPr="00F45276" w:rsidRDefault="00BD17B0" w:rsidP="00210AA7">
      <w:pPr>
        <w:rPr>
          <w:color w:val="000000" w:themeColor="text1"/>
          <w:lang w:val="es-ES"/>
        </w:rPr>
      </w:pPr>
    </w:p>
    <w:sectPr w:rsidR="00BD17B0" w:rsidRPr="00F45276" w:rsidSect="00566CD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FA1FC" w14:textId="77777777" w:rsidR="00BC432E" w:rsidRDefault="00BC432E" w:rsidP="00672733">
      <w:r>
        <w:separator/>
      </w:r>
    </w:p>
  </w:endnote>
  <w:endnote w:type="continuationSeparator" w:id="0">
    <w:p w14:paraId="3830A57B" w14:textId="77777777" w:rsidR="00BC432E" w:rsidRDefault="00BC432E"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20A8C" w14:textId="77777777" w:rsidR="00BC432E" w:rsidRDefault="00BC432E" w:rsidP="00672733">
      <w:r>
        <w:separator/>
      </w:r>
    </w:p>
  </w:footnote>
  <w:footnote w:type="continuationSeparator" w:id="0">
    <w:p w14:paraId="38BD1D41" w14:textId="77777777" w:rsidR="00BC432E" w:rsidRDefault="00BC432E" w:rsidP="00672733">
      <w:r>
        <w:continuationSeparator/>
      </w:r>
    </w:p>
  </w:footnote>
  <w:footnote w:id="1">
    <w:p w14:paraId="691087C4" w14:textId="77777777" w:rsidR="00210AA7" w:rsidRPr="00CC36E7" w:rsidRDefault="00210AA7" w:rsidP="00210AA7">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CC36E7">
        <w:rPr>
          <w:rStyle w:val="FootnoteReference"/>
          <w:rFonts w:ascii="Cambria" w:hAnsi="Cambria"/>
          <w:sz w:val="16"/>
          <w:szCs w:val="16"/>
        </w:rPr>
        <w:footnoteRef/>
      </w:r>
      <w:r w:rsidRPr="00CC36E7">
        <w:rPr>
          <w:rFonts w:ascii="Cambria" w:eastAsia="Cambria" w:hAnsi="Cambria" w:cs="Cambria"/>
          <w:color w:val="000000"/>
          <w:sz w:val="16"/>
          <w:szCs w:val="16"/>
          <w:lang w:val="es-ES"/>
        </w:rPr>
        <w:t xml:space="preserve"> CIDH, Informe Anual 2009, Capítulo III, </w:t>
      </w:r>
      <w:hyperlink r:id="rId1">
        <w:r w:rsidRPr="00CC36E7">
          <w:rPr>
            <w:rFonts w:ascii="Cambria" w:eastAsia="Cambria" w:hAnsi="Cambria" w:cs="Cambria"/>
            <w:color w:val="0563C1"/>
            <w:sz w:val="16"/>
            <w:szCs w:val="16"/>
            <w:u w:val="single"/>
            <w:lang w:val="es-ES"/>
          </w:rPr>
          <w:t>Sección D: Estado del cumplimiento de las recomendaciones de la CIDH</w:t>
        </w:r>
      </w:hyperlink>
      <w:r w:rsidRPr="00CC36E7">
        <w:rPr>
          <w:rFonts w:ascii="Cambria" w:eastAsia="Cambria" w:hAnsi="Cambria" w:cs="Cambria"/>
          <w:color w:val="000000"/>
          <w:sz w:val="16"/>
          <w:szCs w:val="16"/>
          <w:lang w:val="es-ES"/>
        </w:rPr>
        <w:t xml:space="preserve">, párr. 206. </w:t>
      </w:r>
    </w:p>
  </w:footnote>
  <w:footnote w:id="2">
    <w:p w14:paraId="35D0F402" w14:textId="77777777" w:rsidR="00FF550A" w:rsidRPr="00CC36E7" w:rsidRDefault="00FF550A" w:rsidP="00FF550A">
      <w:pPr>
        <w:pStyle w:val="FootnoteText"/>
        <w:ind w:firstLine="720"/>
        <w:rPr>
          <w:rStyle w:val="Hyperlink"/>
          <w:rFonts w:ascii="Cambria" w:hAnsi="Cambria"/>
          <w:sz w:val="16"/>
          <w:szCs w:val="16"/>
          <w:lang w:val="es-ES"/>
        </w:rPr>
      </w:pPr>
      <w:r w:rsidRPr="00CC36E7">
        <w:rPr>
          <w:rStyle w:val="FootnoteReference"/>
          <w:rFonts w:ascii="Cambria" w:hAnsi="Cambria"/>
          <w:sz w:val="16"/>
          <w:szCs w:val="16"/>
        </w:rPr>
        <w:footnoteRef/>
      </w:r>
      <w:r w:rsidRPr="00CC36E7">
        <w:rPr>
          <w:rFonts w:ascii="Cambria" w:hAnsi="Cambria"/>
          <w:sz w:val="16"/>
          <w:szCs w:val="16"/>
          <w:lang w:val="es-ES"/>
        </w:rPr>
        <w:t xml:space="preserve"> La información detallada de los avances en el cumplimiento de las recomendaciones en los años anteriores se encuentra disponible en el </w:t>
      </w:r>
      <w:hyperlink r:id="rId2" w:history="1">
        <w:r w:rsidRPr="00CC36E7">
          <w:rPr>
            <w:rStyle w:val="Hyperlink"/>
            <w:rFonts w:ascii="Cambria" w:hAnsi="Cambria"/>
            <w:sz w:val="16"/>
            <w:szCs w:val="16"/>
            <w:lang w:val="es-ES"/>
          </w:rPr>
          <w:t>Informe Anual 2021.</w:t>
        </w:r>
      </w:hyperlink>
    </w:p>
    <w:p w14:paraId="092FDF11" w14:textId="2C2DB8BC" w:rsidR="00FF550A" w:rsidRPr="00CC36E7" w:rsidRDefault="00FF550A">
      <w:pPr>
        <w:pStyle w:val="FootnoteText"/>
        <w:rPr>
          <w:rFonts w:ascii="Cambria" w:hAnsi="Cambria"/>
          <w:sz w:val="16"/>
          <w:szCs w:val="16"/>
          <w:lang w:val="es-ES"/>
        </w:rPr>
      </w:pPr>
    </w:p>
  </w:footnote>
  <w:footnote w:id="3">
    <w:p w14:paraId="4178B450" w14:textId="77777777" w:rsidR="00210AA7" w:rsidRPr="00CC36E7" w:rsidRDefault="00210AA7" w:rsidP="00210AA7">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CC36E7">
        <w:rPr>
          <w:rStyle w:val="FootnoteReference"/>
          <w:rFonts w:ascii="Cambria" w:hAnsi="Cambria"/>
          <w:sz w:val="16"/>
          <w:szCs w:val="16"/>
        </w:rPr>
        <w:footnoteRef/>
      </w:r>
      <w:r w:rsidRPr="00CC36E7">
        <w:rPr>
          <w:rFonts w:ascii="Cambria" w:eastAsia="Cambria" w:hAnsi="Cambria" w:cs="Cambria"/>
          <w:color w:val="000000"/>
          <w:sz w:val="16"/>
          <w:szCs w:val="16"/>
          <w:lang w:val="es-ES"/>
        </w:rPr>
        <w:t xml:space="preserve"> Corte IDH. </w:t>
      </w:r>
      <w:hyperlink r:id="rId3">
        <w:r w:rsidRPr="00CC36E7">
          <w:rPr>
            <w:rFonts w:ascii="Cambria" w:eastAsia="Cambria" w:hAnsi="Cambria" w:cs="Cambria"/>
            <w:color w:val="0563C1"/>
            <w:sz w:val="16"/>
            <w:szCs w:val="16"/>
            <w:u w:val="single"/>
            <w:lang w:val="es-ES"/>
          </w:rPr>
          <w:t>Caso Albán Cornejo y otros Vs. Ecuador, Sentencia de 22 de noviembre de 2007</w:t>
        </w:r>
      </w:hyperlink>
      <w:r w:rsidRPr="00CC36E7">
        <w:rPr>
          <w:rFonts w:ascii="Cambria" w:eastAsia="Cambria" w:hAnsi="Cambria" w:cs="Cambria"/>
          <w:color w:val="000000"/>
          <w:sz w:val="16"/>
          <w:szCs w:val="16"/>
          <w:lang w:val="es-ES"/>
        </w:rPr>
        <w:t>. Serie C No. 171, párr. 62.</w:t>
      </w:r>
    </w:p>
  </w:footnote>
  <w:footnote w:id="4">
    <w:p w14:paraId="4EAA3009" w14:textId="77777777" w:rsidR="00210AA7" w:rsidRPr="00CC36E7" w:rsidRDefault="00210AA7" w:rsidP="00210AA7">
      <w:pPr>
        <w:pBdr>
          <w:top w:val="nil"/>
          <w:left w:val="nil"/>
          <w:bottom w:val="nil"/>
          <w:right w:val="nil"/>
          <w:between w:val="nil"/>
        </w:pBdr>
        <w:spacing w:after="120"/>
        <w:ind w:firstLine="720"/>
        <w:jc w:val="both"/>
        <w:rPr>
          <w:rFonts w:ascii="Cambria" w:hAnsi="Cambria" w:cs="Calibri"/>
          <w:color w:val="000000"/>
          <w:sz w:val="16"/>
          <w:szCs w:val="16"/>
          <w:lang w:val="es-ES"/>
        </w:rPr>
      </w:pPr>
      <w:r w:rsidRPr="00CC36E7">
        <w:rPr>
          <w:rStyle w:val="FootnoteReference"/>
          <w:rFonts w:ascii="Cambria" w:hAnsi="Cambria"/>
          <w:sz w:val="16"/>
          <w:szCs w:val="16"/>
        </w:rPr>
        <w:footnoteRef/>
      </w:r>
      <w:r w:rsidRPr="00CC36E7">
        <w:rPr>
          <w:rFonts w:ascii="Cambria" w:eastAsia="Cambria" w:hAnsi="Cambria" w:cs="Cambria"/>
          <w:color w:val="000000"/>
          <w:sz w:val="16"/>
          <w:szCs w:val="16"/>
          <w:lang w:val="es-ES"/>
        </w:rPr>
        <w:t xml:space="preserve"> CIDH, Informe Anual 2017, </w:t>
      </w:r>
      <w:hyperlink r:id="rId4">
        <w:r w:rsidRPr="00CC36E7">
          <w:rPr>
            <w:rFonts w:ascii="Cambria" w:eastAsia="Cambria" w:hAnsi="Cambria" w:cs="Cambria"/>
            <w:color w:val="0563C1"/>
            <w:sz w:val="16"/>
            <w:szCs w:val="16"/>
            <w:u w:val="single"/>
            <w:lang w:val="es-ES"/>
          </w:rPr>
          <w:t>Capítulo II, Sección F: Estado del cumplimiento de las recomendaciones de la CIDH</w:t>
        </w:r>
      </w:hyperlink>
      <w:r w:rsidRPr="00CC36E7">
        <w:rPr>
          <w:rFonts w:ascii="Cambria" w:eastAsia="Cambria" w:hAnsi="Cambria" w:cs="Cambria"/>
          <w:color w:val="000000"/>
          <w:sz w:val="16"/>
          <w:szCs w:val="16"/>
          <w:lang w:val="es-ES"/>
        </w:rPr>
        <w:t xml:space="preserve">, párr. 522.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4E01"/>
    <w:multiLevelType w:val="multilevel"/>
    <w:tmpl w:val="8B40AC3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A0005A"/>
    <w:multiLevelType w:val="multilevel"/>
    <w:tmpl w:val="5AC6EF8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01C4DEE"/>
    <w:multiLevelType w:val="multilevel"/>
    <w:tmpl w:val="D270B6B0"/>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45D677E"/>
    <w:multiLevelType w:val="multilevel"/>
    <w:tmpl w:val="53101E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4"/>
  </w:num>
  <w:num w:numId="2" w16cid:durableId="493230048">
    <w:abstractNumId w:val="3"/>
  </w:num>
  <w:num w:numId="3" w16cid:durableId="465783350">
    <w:abstractNumId w:val="2"/>
  </w:num>
  <w:num w:numId="4" w16cid:durableId="1110735516">
    <w:abstractNumId w:val="1"/>
  </w:num>
  <w:num w:numId="5" w16cid:durableId="201864963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55F2F"/>
    <w:rsid w:val="000B5E1D"/>
    <w:rsid w:val="00105B23"/>
    <w:rsid w:val="00181DA0"/>
    <w:rsid w:val="001B15EB"/>
    <w:rsid w:val="001D750B"/>
    <w:rsid w:val="00207BE4"/>
    <w:rsid w:val="00210AA7"/>
    <w:rsid w:val="00216335"/>
    <w:rsid w:val="002248FB"/>
    <w:rsid w:val="00234E64"/>
    <w:rsid w:val="002367AF"/>
    <w:rsid w:val="00322720"/>
    <w:rsid w:val="003D4062"/>
    <w:rsid w:val="0040245C"/>
    <w:rsid w:val="00453115"/>
    <w:rsid w:val="004758C9"/>
    <w:rsid w:val="0048723C"/>
    <w:rsid w:val="004A05BC"/>
    <w:rsid w:val="004C0D57"/>
    <w:rsid w:val="00500FDE"/>
    <w:rsid w:val="00566CD0"/>
    <w:rsid w:val="00637ED3"/>
    <w:rsid w:val="006638E5"/>
    <w:rsid w:val="00672733"/>
    <w:rsid w:val="006B1F24"/>
    <w:rsid w:val="006B2F87"/>
    <w:rsid w:val="00723AED"/>
    <w:rsid w:val="007513EC"/>
    <w:rsid w:val="007C4DCE"/>
    <w:rsid w:val="00811E0E"/>
    <w:rsid w:val="008463D3"/>
    <w:rsid w:val="00847CA9"/>
    <w:rsid w:val="008818B0"/>
    <w:rsid w:val="008861D6"/>
    <w:rsid w:val="008F66B6"/>
    <w:rsid w:val="00900C70"/>
    <w:rsid w:val="00A10B67"/>
    <w:rsid w:val="00A80674"/>
    <w:rsid w:val="00A84999"/>
    <w:rsid w:val="00AB41A3"/>
    <w:rsid w:val="00AB5F3B"/>
    <w:rsid w:val="00AC6BE9"/>
    <w:rsid w:val="00AD535F"/>
    <w:rsid w:val="00AE2642"/>
    <w:rsid w:val="00BA48EE"/>
    <w:rsid w:val="00BC432E"/>
    <w:rsid w:val="00BD17B0"/>
    <w:rsid w:val="00BD5D48"/>
    <w:rsid w:val="00BF7A78"/>
    <w:rsid w:val="00C110DE"/>
    <w:rsid w:val="00C80BDA"/>
    <w:rsid w:val="00CC36E7"/>
    <w:rsid w:val="00D56DC4"/>
    <w:rsid w:val="00E042FE"/>
    <w:rsid w:val="00E15B37"/>
    <w:rsid w:val="00E516AB"/>
    <w:rsid w:val="00E61D71"/>
    <w:rsid w:val="00E90CB3"/>
    <w:rsid w:val="00EA0262"/>
    <w:rsid w:val="00EC61E3"/>
    <w:rsid w:val="00ED0AAA"/>
    <w:rsid w:val="00ED1EBA"/>
    <w:rsid w:val="00F41E7E"/>
    <w:rsid w:val="00F45276"/>
    <w:rsid w:val="00FF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semiHidden/>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semiHidden/>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862670">
      <w:bodyDiv w:val="1"/>
      <w:marLeft w:val="0"/>
      <w:marRight w:val="0"/>
      <w:marTop w:val="0"/>
      <w:marBottom w:val="0"/>
      <w:divBdr>
        <w:top w:val="none" w:sz="0" w:space="0" w:color="auto"/>
        <w:left w:val="none" w:sz="0" w:space="0" w:color="auto"/>
        <w:bottom w:val="none" w:sz="0" w:space="0" w:color="auto"/>
        <w:right w:val="none" w:sz="0" w:space="0" w:color="auto"/>
      </w:divBdr>
      <w:divsChild>
        <w:div w:id="891161257">
          <w:marLeft w:val="0"/>
          <w:marRight w:val="0"/>
          <w:marTop w:val="0"/>
          <w:marBottom w:val="0"/>
          <w:divBdr>
            <w:top w:val="none" w:sz="0" w:space="0" w:color="auto"/>
            <w:left w:val="none" w:sz="0" w:space="0" w:color="auto"/>
            <w:bottom w:val="none" w:sz="0" w:space="0" w:color="auto"/>
            <w:right w:val="none" w:sz="0" w:space="0" w:color="auto"/>
          </w:divBdr>
          <w:divsChild>
            <w:div w:id="805006145">
              <w:marLeft w:val="0"/>
              <w:marRight w:val="0"/>
              <w:marTop w:val="0"/>
              <w:marBottom w:val="0"/>
              <w:divBdr>
                <w:top w:val="none" w:sz="0" w:space="0" w:color="auto"/>
                <w:left w:val="none" w:sz="0" w:space="0" w:color="auto"/>
                <w:bottom w:val="none" w:sz="0" w:space="0" w:color="auto"/>
                <w:right w:val="none" w:sz="0" w:space="0" w:color="auto"/>
              </w:divBdr>
              <w:divsChild>
                <w:div w:id="1372074549">
                  <w:marLeft w:val="0"/>
                  <w:marRight w:val="0"/>
                  <w:marTop w:val="0"/>
                  <w:marBottom w:val="0"/>
                  <w:divBdr>
                    <w:top w:val="none" w:sz="0" w:space="0" w:color="auto"/>
                    <w:left w:val="none" w:sz="0" w:space="0" w:color="auto"/>
                    <w:bottom w:val="none" w:sz="0" w:space="0" w:color="auto"/>
                    <w:right w:val="none" w:sz="0" w:space="0" w:color="auto"/>
                  </w:divBdr>
                  <w:divsChild>
                    <w:div w:id="21929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08116">
      <w:bodyDiv w:val="1"/>
      <w:marLeft w:val="0"/>
      <w:marRight w:val="0"/>
      <w:marTop w:val="0"/>
      <w:marBottom w:val="0"/>
      <w:divBdr>
        <w:top w:val="none" w:sz="0" w:space="0" w:color="auto"/>
        <w:left w:val="none" w:sz="0" w:space="0" w:color="auto"/>
        <w:bottom w:val="none" w:sz="0" w:space="0" w:color="auto"/>
        <w:right w:val="none" w:sz="0" w:space="0" w:color="auto"/>
      </w:divBdr>
      <w:divsChild>
        <w:div w:id="2143306837">
          <w:marLeft w:val="0"/>
          <w:marRight w:val="0"/>
          <w:marTop w:val="0"/>
          <w:marBottom w:val="0"/>
          <w:divBdr>
            <w:top w:val="none" w:sz="0" w:space="0" w:color="auto"/>
            <w:left w:val="none" w:sz="0" w:space="0" w:color="auto"/>
            <w:bottom w:val="none" w:sz="0" w:space="0" w:color="auto"/>
            <w:right w:val="none" w:sz="0" w:space="0" w:color="auto"/>
          </w:divBdr>
          <w:divsChild>
            <w:div w:id="684484395">
              <w:marLeft w:val="0"/>
              <w:marRight w:val="0"/>
              <w:marTop w:val="0"/>
              <w:marBottom w:val="0"/>
              <w:divBdr>
                <w:top w:val="none" w:sz="0" w:space="0" w:color="auto"/>
                <w:left w:val="none" w:sz="0" w:space="0" w:color="auto"/>
                <w:bottom w:val="none" w:sz="0" w:space="0" w:color="auto"/>
                <w:right w:val="none" w:sz="0" w:space="0" w:color="auto"/>
              </w:divBdr>
              <w:divsChild>
                <w:div w:id="467210873">
                  <w:marLeft w:val="0"/>
                  <w:marRight w:val="0"/>
                  <w:marTop w:val="0"/>
                  <w:marBottom w:val="0"/>
                  <w:divBdr>
                    <w:top w:val="none" w:sz="0" w:space="0" w:color="auto"/>
                    <w:left w:val="none" w:sz="0" w:space="0" w:color="auto"/>
                    <w:bottom w:val="none" w:sz="0" w:space="0" w:color="auto"/>
                    <w:right w:val="none" w:sz="0" w:space="0" w:color="auto"/>
                  </w:divBdr>
                  <w:divsChild>
                    <w:div w:id="14597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93023">
      <w:bodyDiv w:val="1"/>
      <w:marLeft w:val="0"/>
      <w:marRight w:val="0"/>
      <w:marTop w:val="0"/>
      <w:marBottom w:val="0"/>
      <w:divBdr>
        <w:top w:val="none" w:sz="0" w:space="0" w:color="auto"/>
        <w:left w:val="none" w:sz="0" w:space="0" w:color="auto"/>
        <w:bottom w:val="none" w:sz="0" w:space="0" w:color="auto"/>
        <w:right w:val="none" w:sz="0" w:space="0" w:color="auto"/>
      </w:divBdr>
      <w:divsChild>
        <w:div w:id="2140956520">
          <w:marLeft w:val="0"/>
          <w:marRight w:val="0"/>
          <w:marTop w:val="0"/>
          <w:marBottom w:val="0"/>
          <w:divBdr>
            <w:top w:val="none" w:sz="0" w:space="0" w:color="auto"/>
            <w:left w:val="none" w:sz="0" w:space="0" w:color="auto"/>
            <w:bottom w:val="none" w:sz="0" w:space="0" w:color="auto"/>
            <w:right w:val="none" w:sz="0" w:space="0" w:color="auto"/>
          </w:divBdr>
          <w:divsChild>
            <w:div w:id="1609660818">
              <w:marLeft w:val="0"/>
              <w:marRight w:val="0"/>
              <w:marTop w:val="0"/>
              <w:marBottom w:val="0"/>
              <w:divBdr>
                <w:top w:val="none" w:sz="0" w:space="0" w:color="auto"/>
                <w:left w:val="none" w:sz="0" w:space="0" w:color="auto"/>
                <w:bottom w:val="none" w:sz="0" w:space="0" w:color="auto"/>
                <w:right w:val="none" w:sz="0" w:space="0" w:color="auto"/>
              </w:divBdr>
              <w:divsChild>
                <w:div w:id="165101568">
                  <w:marLeft w:val="0"/>
                  <w:marRight w:val="0"/>
                  <w:marTop w:val="0"/>
                  <w:marBottom w:val="0"/>
                  <w:divBdr>
                    <w:top w:val="none" w:sz="0" w:space="0" w:color="auto"/>
                    <w:left w:val="none" w:sz="0" w:space="0" w:color="auto"/>
                    <w:bottom w:val="none" w:sz="0" w:space="0" w:color="auto"/>
                    <w:right w:val="none" w:sz="0" w:space="0" w:color="auto"/>
                  </w:divBdr>
                  <w:divsChild>
                    <w:div w:id="112172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534686">
      <w:bodyDiv w:val="1"/>
      <w:marLeft w:val="0"/>
      <w:marRight w:val="0"/>
      <w:marTop w:val="0"/>
      <w:marBottom w:val="0"/>
      <w:divBdr>
        <w:top w:val="none" w:sz="0" w:space="0" w:color="auto"/>
        <w:left w:val="none" w:sz="0" w:space="0" w:color="auto"/>
        <w:bottom w:val="none" w:sz="0" w:space="0" w:color="auto"/>
        <w:right w:val="none" w:sz="0" w:space="0" w:color="auto"/>
      </w:divBdr>
      <w:divsChild>
        <w:div w:id="393551252">
          <w:marLeft w:val="0"/>
          <w:marRight w:val="0"/>
          <w:marTop w:val="0"/>
          <w:marBottom w:val="0"/>
          <w:divBdr>
            <w:top w:val="none" w:sz="0" w:space="0" w:color="auto"/>
            <w:left w:val="none" w:sz="0" w:space="0" w:color="auto"/>
            <w:bottom w:val="none" w:sz="0" w:space="0" w:color="auto"/>
            <w:right w:val="none" w:sz="0" w:space="0" w:color="auto"/>
          </w:divBdr>
          <w:divsChild>
            <w:div w:id="60104827">
              <w:marLeft w:val="0"/>
              <w:marRight w:val="0"/>
              <w:marTop w:val="0"/>
              <w:marBottom w:val="0"/>
              <w:divBdr>
                <w:top w:val="none" w:sz="0" w:space="0" w:color="auto"/>
                <w:left w:val="none" w:sz="0" w:space="0" w:color="auto"/>
                <w:bottom w:val="none" w:sz="0" w:space="0" w:color="auto"/>
                <w:right w:val="none" w:sz="0" w:space="0" w:color="auto"/>
              </w:divBdr>
              <w:divsChild>
                <w:div w:id="360935408">
                  <w:marLeft w:val="0"/>
                  <w:marRight w:val="0"/>
                  <w:marTop w:val="0"/>
                  <w:marBottom w:val="0"/>
                  <w:divBdr>
                    <w:top w:val="none" w:sz="0" w:space="0" w:color="auto"/>
                    <w:left w:val="none" w:sz="0" w:space="0" w:color="auto"/>
                    <w:bottom w:val="none" w:sz="0" w:space="0" w:color="auto"/>
                    <w:right w:val="none" w:sz="0" w:space="0" w:color="auto"/>
                  </w:divBdr>
                  <w:divsChild>
                    <w:div w:id="52117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752042">
      <w:bodyDiv w:val="1"/>
      <w:marLeft w:val="0"/>
      <w:marRight w:val="0"/>
      <w:marTop w:val="0"/>
      <w:marBottom w:val="0"/>
      <w:divBdr>
        <w:top w:val="none" w:sz="0" w:space="0" w:color="auto"/>
        <w:left w:val="none" w:sz="0" w:space="0" w:color="auto"/>
        <w:bottom w:val="none" w:sz="0" w:space="0" w:color="auto"/>
        <w:right w:val="none" w:sz="0" w:space="0" w:color="auto"/>
      </w:divBdr>
      <w:divsChild>
        <w:div w:id="573122558">
          <w:marLeft w:val="0"/>
          <w:marRight w:val="0"/>
          <w:marTop w:val="0"/>
          <w:marBottom w:val="0"/>
          <w:divBdr>
            <w:top w:val="none" w:sz="0" w:space="0" w:color="auto"/>
            <w:left w:val="none" w:sz="0" w:space="0" w:color="auto"/>
            <w:bottom w:val="none" w:sz="0" w:space="0" w:color="auto"/>
            <w:right w:val="none" w:sz="0" w:space="0" w:color="auto"/>
          </w:divBdr>
          <w:divsChild>
            <w:div w:id="1271670033">
              <w:marLeft w:val="0"/>
              <w:marRight w:val="0"/>
              <w:marTop w:val="0"/>
              <w:marBottom w:val="0"/>
              <w:divBdr>
                <w:top w:val="none" w:sz="0" w:space="0" w:color="auto"/>
                <w:left w:val="none" w:sz="0" w:space="0" w:color="auto"/>
                <w:bottom w:val="none" w:sz="0" w:space="0" w:color="auto"/>
                <w:right w:val="none" w:sz="0" w:space="0" w:color="auto"/>
              </w:divBdr>
              <w:divsChild>
                <w:div w:id="1176387303">
                  <w:marLeft w:val="0"/>
                  <w:marRight w:val="0"/>
                  <w:marTop w:val="0"/>
                  <w:marBottom w:val="0"/>
                  <w:divBdr>
                    <w:top w:val="none" w:sz="0" w:space="0" w:color="auto"/>
                    <w:left w:val="none" w:sz="0" w:space="0" w:color="auto"/>
                    <w:bottom w:val="none" w:sz="0" w:space="0" w:color="auto"/>
                    <w:right w:val="none" w:sz="0" w:space="0" w:color="auto"/>
                  </w:divBdr>
                  <w:divsChild>
                    <w:div w:id="60634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41658">
      <w:bodyDiv w:val="1"/>
      <w:marLeft w:val="0"/>
      <w:marRight w:val="0"/>
      <w:marTop w:val="0"/>
      <w:marBottom w:val="0"/>
      <w:divBdr>
        <w:top w:val="none" w:sz="0" w:space="0" w:color="auto"/>
        <w:left w:val="none" w:sz="0" w:space="0" w:color="auto"/>
        <w:bottom w:val="none" w:sz="0" w:space="0" w:color="auto"/>
        <w:right w:val="none" w:sz="0" w:space="0" w:color="auto"/>
      </w:divBdr>
      <w:divsChild>
        <w:div w:id="1630744565">
          <w:marLeft w:val="0"/>
          <w:marRight w:val="0"/>
          <w:marTop w:val="0"/>
          <w:marBottom w:val="0"/>
          <w:divBdr>
            <w:top w:val="none" w:sz="0" w:space="0" w:color="auto"/>
            <w:left w:val="none" w:sz="0" w:space="0" w:color="auto"/>
            <w:bottom w:val="none" w:sz="0" w:space="0" w:color="auto"/>
            <w:right w:val="none" w:sz="0" w:space="0" w:color="auto"/>
          </w:divBdr>
          <w:divsChild>
            <w:div w:id="677268164">
              <w:marLeft w:val="0"/>
              <w:marRight w:val="0"/>
              <w:marTop w:val="0"/>
              <w:marBottom w:val="0"/>
              <w:divBdr>
                <w:top w:val="none" w:sz="0" w:space="0" w:color="auto"/>
                <w:left w:val="none" w:sz="0" w:space="0" w:color="auto"/>
                <w:bottom w:val="none" w:sz="0" w:space="0" w:color="auto"/>
                <w:right w:val="none" w:sz="0" w:space="0" w:color="auto"/>
              </w:divBdr>
              <w:divsChild>
                <w:div w:id="1450512977">
                  <w:marLeft w:val="0"/>
                  <w:marRight w:val="0"/>
                  <w:marTop w:val="0"/>
                  <w:marBottom w:val="0"/>
                  <w:divBdr>
                    <w:top w:val="none" w:sz="0" w:space="0" w:color="auto"/>
                    <w:left w:val="none" w:sz="0" w:space="0" w:color="auto"/>
                    <w:bottom w:val="none" w:sz="0" w:space="0" w:color="auto"/>
                    <w:right w:val="none" w:sz="0" w:space="0" w:color="auto"/>
                  </w:divBdr>
                  <w:divsChild>
                    <w:div w:id="6901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77877">
      <w:bodyDiv w:val="1"/>
      <w:marLeft w:val="0"/>
      <w:marRight w:val="0"/>
      <w:marTop w:val="0"/>
      <w:marBottom w:val="0"/>
      <w:divBdr>
        <w:top w:val="none" w:sz="0" w:space="0" w:color="auto"/>
        <w:left w:val="none" w:sz="0" w:space="0" w:color="auto"/>
        <w:bottom w:val="none" w:sz="0" w:space="0" w:color="auto"/>
        <w:right w:val="none" w:sz="0" w:space="0" w:color="auto"/>
      </w:divBdr>
      <w:divsChild>
        <w:div w:id="1806696925">
          <w:marLeft w:val="0"/>
          <w:marRight w:val="0"/>
          <w:marTop w:val="0"/>
          <w:marBottom w:val="0"/>
          <w:divBdr>
            <w:top w:val="none" w:sz="0" w:space="0" w:color="auto"/>
            <w:left w:val="none" w:sz="0" w:space="0" w:color="auto"/>
            <w:bottom w:val="none" w:sz="0" w:space="0" w:color="auto"/>
            <w:right w:val="none" w:sz="0" w:space="0" w:color="auto"/>
          </w:divBdr>
          <w:divsChild>
            <w:div w:id="630667341">
              <w:marLeft w:val="0"/>
              <w:marRight w:val="0"/>
              <w:marTop w:val="0"/>
              <w:marBottom w:val="0"/>
              <w:divBdr>
                <w:top w:val="none" w:sz="0" w:space="0" w:color="auto"/>
                <w:left w:val="none" w:sz="0" w:space="0" w:color="auto"/>
                <w:bottom w:val="none" w:sz="0" w:space="0" w:color="auto"/>
                <w:right w:val="none" w:sz="0" w:space="0" w:color="auto"/>
              </w:divBdr>
              <w:divsChild>
                <w:div w:id="1714963688">
                  <w:marLeft w:val="0"/>
                  <w:marRight w:val="0"/>
                  <w:marTop w:val="0"/>
                  <w:marBottom w:val="0"/>
                  <w:divBdr>
                    <w:top w:val="none" w:sz="0" w:space="0" w:color="auto"/>
                    <w:left w:val="none" w:sz="0" w:space="0" w:color="auto"/>
                    <w:bottom w:val="none" w:sz="0" w:space="0" w:color="auto"/>
                    <w:right w:val="none" w:sz="0" w:space="0" w:color="auto"/>
                  </w:divBdr>
                  <w:divsChild>
                    <w:div w:id="12010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0sp/CapituloIII/Fondo/Chile11.771.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casos/articulos/seriec_171_esp.pdf" TargetMode="External"/><Relationship Id="rId2" Type="http://schemas.openxmlformats.org/officeDocument/2006/relationships/hyperlink" Target="https://www.oas.org/es/cidh/docs/anual/2021/capitulos/IA2021cap2-es.pdf" TargetMode="External"/><Relationship Id="rId1" Type="http://schemas.openxmlformats.org/officeDocument/2006/relationships/hyperlink" Target="http://www.cidh.oas.org/annualrep/2009sp/cap.3d.09.sp.htm" TargetMode="External"/><Relationship Id="rId4" Type="http://schemas.openxmlformats.org/officeDocument/2006/relationships/hyperlink" Target="http://www.oas.org/es/cidh/docs/anual/2017/docs/IA2017cap.2-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2.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4.xml><?xml version="1.0" encoding="utf-8"?>
<ds:datastoreItem xmlns:ds="http://schemas.openxmlformats.org/officeDocument/2006/customXml" ds:itemID="{EDC34EA1-FD47-4F72-B651-CAA6DDE08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2079</Words>
  <Characters>11855</Characters>
  <Application>Microsoft Office Word</Application>
  <DocSecurity>0</DocSecurity>
  <Lines>98</Lines>
  <Paragraphs>27</Paragraphs>
  <ScaleCrop>false</ScaleCrop>
  <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2023-03-28T18:57:00Z</dcterms:created>
  <dcterms:modified xsi:type="dcterms:W3CDTF">2023-03-28T18:57:00Z</dcterms:modified>
</cp:coreProperties>
</file>