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5066" w14:textId="77777777" w:rsidR="00986D0F" w:rsidRPr="006736F1" w:rsidRDefault="00986D0F" w:rsidP="6D227EC3">
      <w:pPr>
        <w:jc w:val="center"/>
        <w:rPr>
          <w:color w:val="000000" w:themeColor="text1"/>
          <w:sz w:val="20"/>
          <w:szCs w:val="20"/>
          <w:lang w:val="es-ES"/>
        </w:rPr>
      </w:pPr>
      <w:r w:rsidRPr="6D227EC3">
        <w:rPr>
          <w:rFonts w:ascii="Cambria" w:eastAsia="Cambria" w:hAnsi="Cambria" w:cs="Cambria"/>
          <w:b/>
          <w:bCs/>
          <w:color w:val="000000" w:themeColor="text1"/>
          <w:sz w:val="20"/>
          <w:szCs w:val="20"/>
          <w:lang w:val="es-ES"/>
        </w:rPr>
        <w:t>FICHA DE SEGUIMIENTO DEL INFORME Nº 297/21</w:t>
      </w:r>
    </w:p>
    <w:p w14:paraId="4B154F5E" w14:textId="77777777" w:rsidR="00986D0F" w:rsidRPr="006736F1" w:rsidRDefault="00986D0F" w:rsidP="6D227EC3">
      <w:pPr>
        <w:jc w:val="center"/>
        <w:rPr>
          <w:rFonts w:ascii="Cambria" w:eastAsia="Cambria" w:hAnsi="Cambria" w:cs="Cambria"/>
          <w:b/>
          <w:bCs/>
          <w:color w:val="000000" w:themeColor="text1"/>
          <w:sz w:val="20"/>
          <w:szCs w:val="20"/>
          <w:lang w:val="es-ES"/>
        </w:rPr>
      </w:pPr>
      <w:r w:rsidRPr="6D227EC3">
        <w:rPr>
          <w:rFonts w:ascii="Cambria" w:eastAsia="Cambria" w:hAnsi="Cambria" w:cs="Cambria"/>
          <w:b/>
          <w:bCs/>
          <w:color w:val="000000" w:themeColor="text1"/>
          <w:sz w:val="20"/>
          <w:szCs w:val="20"/>
          <w:lang w:val="es-ES"/>
        </w:rPr>
        <w:t>CASO 13.639</w:t>
      </w:r>
    </w:p>
    <w:p w14:paraId="0B929BCC" w14:textId="77777777" w:rsidR="00986D0F" w:rsidRPr="006736F1" w:rsidRDefault="00986D0F" w:rsidP="6D227EC3">
      <w:pPr>
        <w:jc w:val="center"/>
        <w:rPr>
          <w:rFonts w:ascii="Cambria" w:eastAsia="Cambria" w:hAnsi="Cambria" w:cs="Cambria"/>
          <w:b/>
          <w:bCs/>
          <w:color w:val="000000" w:themeColor="text1"/>
          <w:sz w:val="20"/>
          <w:szCs w:val="20"/>
          <w:lang w:val="es-ES"/>
        </w:rPr>
      </w:pPr>
      <w:r w:rsidRPr="6D227EC3">
        <w:rPr>
          <w:rFonts w:ascii="Cambria" w:eastAsia="Cambria" w:hAnsi="Cambria" w:cs="Cambria"/>
          <w:b/>
          <w:bCs/>
          <w:color w:val="000000" w:themeColor="text1"/>
          <w:sz w:val="20"/>
          <w:szCs w:val="20"/>
          <w:lang w:val="es-ES"/>
        </w:rPr>
        <w:t>YOANI MARÍA SÁNCHEZ CORDERO</w:t>
      </w:r>
    </w:p>
    <w:p w14:paraId="126FA200" w14:textId="77777777" w:rsidR="00986D0F" w:rsidRPr="006736F1" w:rsidRDefault="00986D0F" w:rsidP="6D227EC3">
      <w:pPr>
        <w:jc w:val="center"/>
        <w:rPr>
          <w:rFonts w:ascii="Cambria" w:eastAsia="Cambria" w:hAnsi="Cambria" w:cs="Cambria"/>
          <w:b/>
          <w:bCs/>
          <w:color w:val="000000" w:themeColor="text1"/>
          <w:sz w:val="20"/>
          <w:szCs w:val="20"/>
          <w:lang w:val="es-ES"/>
        </w:rPr>
      </w:pPr>
      <w:r w:rsidRPr="6D227EC3">
        <w:rPr>
          <w:rFonts w:ascii="Cambria" w:eastAsia="Cambria" w:hAnsi="Cambria" w:cs="Cambria"/>
          <w:b/>
          <w:bCs/>
          <w:color w:val="000000" w:themeColor="text1"/>
          <w:sz w:val="20"/>
          <w:szCs w:val="20"/>
          <w:lang w:val="es-ES"/>
        </w:rPr>
        <w:t>(Cuba)</w:t>
      </w:r>
    </w:p>
    <w:p w14:paraId="5FA69903" w14:textId="77777777" w:rsidR="00986D0F" w:rsidRPr="006736F1" w:rsidRDefault="00986D0F" w:rsidP="6D227EC3">
      <w:pPr>
        <w:jc w:val="both"/>
        <w:rPr>
          <w:rFonts w:ascii="Cambria" w:eastAsia="Cambria" w:hAnsi="Cambria" w:cs="Cambria"/>
          <w:b/>
          <w:bCs/>
          <w:color w:val="000000" w:themeColor="text1"/>
          <w:sz w:val="20"/>
          <w:szCs w:val="20"/>
          <w:lang w:val="es-ES"/>
        </w:rPr>
      </w:pPr>
    </w:p>
    <w:p w14:paraId="1548FF14" w14:textId="60E32519" w:rsidR="00986D0F" w:rsidRPr="006736F1" w:rsidRDefault="00986D0F" w:rsidP="6D227EC3">
      <w:pPr>
        <w:pStyle w:val="ListParagraph"/>
        <w:numPr>
          <w:ilvl w:val="0"/>
          <w:numId w:val="2"/>
        </w:numPr>
        <w:jc w:val="both"/>
        <w:rPr>
          <w:rFonts w:ascii="Cambria" w:eastAsia="Cambria" w:hAnsi="Cambria" w:cs="Cambria"/>
          <w:b/>
          <w:bCs/>
          <w:color w:val="000000" w:themeColor="text1"/>
          <w:sz w:val="20"/>
          <w:szCs w:val="20"/>
        </w:rPr>
      </w:pPr>
      <w:r w:rsidRPr="6D227EC3">
        <w:rPr>
          <w:rFonts w:ascii="Cambria" w:eastAsia="Cambria" w:hAnsi="Cambria" w:cs="Cambria"/>
          <w:b/>
          <w:bCs/>
          <w:color w:val="000000" w:themeColor="text1"/>
          <w:sz w:val="20"/>
          <w:szCs w:val="20"/>
        </w:rPr>
        <w:t xml:space="preserve">Resumen del caso </w:t>
      </w:r>
    </w:p>
    <w:p w14:paraId="2C6E66D4" w14:textId="77777777" w:rsidR="00986D0F" w:rsidRPr="006736F1" w:rsidRDefault="00986D0F" w:rsidP="6D227EC3">
      <w:pPr>
        <w:ind w:left="1080"/>
        <w:jc w:val="both"/>
        <w:rPr>
          <w:rFonts w:ascii="Cambria" w:eastAsia="Cambria" w:hAnsi="Cambria" w:cs="Cambria"/>
          <w:b/>
          <w:bCs/>
          <w:color w:val="000000" w:themeColor="text1"/>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36F1" w:rsidRPr="006736F1" w14:paraId="38F77E2D" w14:textId="77777777" w:rsidTr="6D227EC3">
        <w:trPr>
          <w:trHeight w:val="4805"/>
          <w:jc w:val="center"/>
        </w:trPr>
        <w:tc>
          <w:tcPr>
            <w:tcW w:w="9350" w:type="dxa"/>
            <w:shd w:val="clear" w:color="auto" w:fill="F2F2F2" w:themeFill="background1" w:themeFillShade="F2"/>
          </w:tcPr>
          <w:p w14:paraId="226B8E36" w14:textId="77777777" w:rsidR="00986D0F" w:rsidRPr="006736F1" w:rsidRDefault="00986D0F" w:rsidP="6D227EC3">
            <w:pPr>
              <w:spacing w:before="120"/>
              <w:jc w:val="both"/>
              <w:rPr>
                <w:rFonts w:ascii="Cambria" w:eastAsia="Cambria" w:hAnsi="Cambria" w:cs="Cambria"/>
                <w:color w:val="000000" w:themeColor="text1"/>
                <w:sz w:val="20"/>
                <w:szCs w:val="20"/>
                <w:lang w:val="es-ES"/>
              </w:rPr>
            </w:pPr>
            <w:r w:rsidRPr="6D227EC3">
              <w:rPr>
                <w:rFonts w:ascii="Cambria" w:eastAsia="Cambria" w:hAnsi="Cambria" w:cs="Cambria"/>
                <w:b/>
                <w:bCs/>
                <w:color w:val="000000" w:themeColor="text1"/>
                <w:sz w:val="20"/>
                <w:szCs w:val="20"/>
                <w:lang w:val="es-ES"/>
              </w:rPr>
              <w:t xml:space="preserve">Víctima(s): </w:t>
            </w:r>
            <w:r w:rsidRPr="6D227EC3">
              <w:rPr>
                <w:rFonts w:ascii="Cambria" w:eastAsia="Cambria" w:hAnsi="Cambria" w:cs="Cambria"/>
                <w:color w:val="000000" w:themeColor="text1"/>
                <w:sz w:val="20"/>
                <w:szCs w:val="20"/>
                <w:lang w:val="es-ES"/>
              </w:rPr>
              <w:t>Yoaní María Sánchez Cordero</w:t>
            </w:r>
          </w:p>
          <w:p w14:paraId="133B7421" w14:textId="0636B599" w:rsidR="00986D0F" w:rsidRPr="004A0724" w:rsidRDefault="00986D0F" w:rsidP="6D227EC3">
            <w:pPr>
              <w:rPr>
                <w:rFonts w:ascii="Cambria" w:eastAsia="Cambria" w:hAnsi="Cambria" w:cs="Cambria"/>
                <w:color w:val="000000" w:themeColor="text1"/>
                <w:sz w:val="20"/>
                <w:szCs w:val="20"/>
              </w:rPr>
            </w:pPr>
            <w:r w:rsidRPr="6D227EC3">
              <w:rPr>
                <w:rFonts w:ascii="Cambria" w:eastAsia="Cambria" w:hAnsi="Cambria" w:cs="Cambria"/>
                <w:b/>
                <w:bCs/>
                <w:color w:val="000000" w:themeColor="text1"/>
                <w:sz w:val="20"/>
                <w:szCs w:val="20"/>
                <w:lang w:val="es-ES"/>
              </w:rPr>
              <w:t>Peticionario(s):</w:t>
            </w:r>
            <w:r w:rsidRPr="6D227EC3">
              <w:rPr>
                <w:rFonts w:ascii="Cambria" w:eastAsia="Cambria" w:hAnsi="Cambria" w:cs="Cambria"/>
                <w:color w:val="000000" w:themeColor="text1"/>
                <w:sz w:val="20"/>
                <w:szCs w:val="20"/>
                <w:lang w:val="es-ES"/>
              </w:rPr>
              <w:t xml:space="preserve"> J.A.O., B.A. y H.E.S</w:t>
            </w:r>
            <w:r w:rsidR="004A0724" w:rsidRPr="6D227EC3">
              <w:rPr>
                <w:color w:val="000000" w:themeColor="text1"/>
                <w:sz w:val="20"/>
                <w:szCs w:val="20"/>
                <w:vertAlign w:val="superscript"/>
              </w:rPr>
              <w:footnoteReference w:id="1"/>
            </w:r>
          </w:p>
          <w:p w14:paraId="6AE2C68A" w14:textId="77777777" w:rsidR="00986D0F" w:rsidRPr="006736F1" w:rsidRDefault="00986D0F" w:rsidP="6D227EC3">
            <w:pPr>
              <w:jc w:val="both"/>
              <w:rPr>
                <w:rFonts w:ascii="Cambria" w:eastAsia="Cambria" w:hAnsi="Cambria" w:cs="Cambria"/>
                <w:color w:val="000000" w:themeColor="text1"/>
                <w:sz w:val="20"/>
                <w:szCs w:val="20"/>
                <w:lang w:val="es-ES"/>
              </w:rPr>
            </w:pPr>
            <w:r w:rsidRPr="6D227EC3">
              <w:rPr>
                <w:rFonts w:ascii="Cambria" w:eastAsia="Cambria" w:hAnsi="Cambria" w:cs="Cambria"/>
                <w:b/>
                <w:bCs/>
                <w:color w:val="000000" w:themeColor="text1"/>
                <w:sz w:val="20"/>
                <w:szCs w:val="20"/>
                <w:lang w:val="es-ES"/>
              </w:rPr>
              <w:t xml:space="preserve">Estado: </w:t>
            </w:r>
            <w:r w:rsidRPr="6D227EC3">
              <w:rPr>
                <w:rFonts w:ascii="Cambria" w:eastAsia="Cambria" w:hAnsi="Cambria" w:cs="Cambria"/>
                <w:color w:val="000000" w:themeColor="text1"/>
                <w:sz w:val="20"/>
                <w:szCs w:val="20"/>
                <w:lang w:val="es-ES"/>
              </w:rPr>
              <w:t>Cuba</w:t>
            </w:r>
          </w:p>
          <w:p w14:paraId="18E790F3" w14:textId="7C9434F9" w:rsidR="00986D0F" w:rsidRPr="006736F1" w:rsidRDefault="00986D0F" w:rsidP="6D227EC3">
            <w:pPr>
              <w:jc w:val="both"/>
              <w:rPr>
                <w:rFonts w:ascii="Cambria" w:eastAsia="Cambria" w:hAnsi="Cambria" w:cs="Cambria"/>
                <w:color w:val="000000" w:themeColor="text1"/>
                <w:sz w:val="20"/>
                <w:szCs w:val="20"/>
                <w:lang w:val="es-ES"/>
              </w:rPr>
            </w:pPr>
            <w:r w:rsidRPr="6D227EC3">
              <w:rPr>
                <w:rFonts w:ascii="Cambria" w:eastAsia="Cambria" w:hAnsi="Cambria" w:cs="Cambria"/>
                <w:b/>
                <w:bCs/>
                <w:color w:val="000000" w:themeColor="text1"/>
                <w:sz w:val="20"/>
                <w:szCs w:val="20"/>
                <w:lang w:val="es-ES"/>
              </w:rPr>
              <w:t xml:space="preserve">Informe de Fondo Nº: </w:t>
            </w:r>
            <w:hyperlink r:id="rId11">
              <w:r w:rsidR="006736F1" w:rsidRPr="6D227EC3">
                <w:rPr>
                  <w:rStyle w:val="Hyperlink"/>
                  <w:rFonts w:ascii="Cambria" w:eastAsia="Cambria" w:hAnsi="Cambria" w:cs="Cambria"/>
                  <w:color w:val="000000" w:themeColor="text1"/>
                  <w:sz w:val="20"/>
                  <w:szCs w:val="20"/>
                  <w:lang w:val="es-ES"/>
                </w:rPr>
                <w:t>297</w:t>
              </w:r>
              <w:r w:rsidRPr="6D227EC3">
                <w:rPr>
                  <w:rStyle w:val="Hyperlink"/>
                  <w:rFonts w:ascii="Cambria" w:eastAsia="Cambria" w:hAnsi="Cambria" w:cs="Cambria"/>
                  <w:color w:val="000000" w:themeColor="text1"/>
                  <w:sz w:val="20"/>
                  <w:szCs w:val="20"/>
                  <w:lang w:val="es-ES"/>
                </w:rPr>
                <w:t>/21</w:t>
              </w:r>
            </w:hyperlink>
            <w:r w:rsidRPr="6D227EC3">
              <w:rPr>
                <w:rFonts w:ascii="Cambria" w:eastAsia="Cambria" w:hAnsi="Cambria" w:cs="Cambria"/>
                <w:color w:val="000000" w:themeColor="text1"/>
                <w:sz w:val="20"/>
                <w:szCs w:val="20"/>
                <w:lang w:val="es-ES"/>
              </w:rPr>
              <w:t xml:space="preserve">, </w:t>
            </w:r>
            <w:r w:rsidR="006736F1" w:rsidRPr="6D227EC3">
              <w:rPr>
                <w:rFonts w:ascii="Cambria" w:eastAsia="Cambria" w:hAnsi="Cambria" w:cs="Cambria"/>
                <w:color w:val="000000" w:themeColor="text1"/>
                <w:sz w:val="20"/>
                <w:szCs w:val="20"/>
                <w:lang w:val="es-ES"/>
              </w:rPr>
              <w:t>adoptado el 30 de octubre de 2021</w:t>
            </w:r>
          </w:p>
          <w:p w14:paraId="06B074A6" w14:textId="2B76DF53" w:rsidR="00986D0F" w:rsidRPr="006736F1" w:rsidRDefault="00986D0F" w:rsidP="6D227EC3">
            <w:pPr>
              <w:jc w:val="both"/>
              <w:rPr>
                <w:rFonts w:ascii="Cambria" w:eastAsia="Cambria" w:hAnsi="Cambria" w:cs="Cambria"/>
                <w:color w:val="000000" w:themeColor="text1"/>
                <w:sz w:val="20"/>
                <w:szCs w:val="20"/>
                <w:lang w:val="es-ES"/>
              </w:rPr>
            </w:pPr>
            <w:r w:rsidRPr="6D227EC3">
              <w:rPr>
                <w:rFonts w:ascii="Cambria" w:eastAsia="Cambria" w:hAnsi="Cambria" w:cs="Cambria"/>
                <w:b/>
                <w:bCs/>
                <w:color w:val="000000" w:themeColor="text1"/>
                <w:sz w:val="20"/>
                <w:szCs w:val="20"/>
                <w:lang w:val="es-ES"/>
              </w:rPr>
              <w:t xml:space="preserve">Informe de admisibilidad: </w:t>
            </w:r>
            <w:hyperlink r:id="rId12">
              <w:r w:rsidR="001005B6" w:rsidRPr="6D227EC3">
                <w:rPr>
                  <w:rStyle w:val="Hyperlink"/>
                  <w:rFonts w:ascii="Cambria" w:eastAsia="Cambria" w:hAnsi="Cambria" w:cs="Cambria"/>
                  <w:color w:val="000000" w:themeColor="text1"/>
                  <w:sz w:val="20"/>
                  <w:szCs w:val="20"/>
                  <w:lang w:val="es-ES"/>
                </w:rPr>
                <w:t>297/21</w:t>
              </w:r>
            </w:hyperlink>
            <w:r w:rsidR="001005B6" w:rsidRPr="6D227EC3">
              <w:rPr>
                <w:rFonts w:ascii="Cambria" w:eastAsia="Cambria" w:hAnsi="Cambria" w:cs="Cambria"/>
                <w:color w:val="000000" w:themeColor="text1"/>
                <w:sz w:val="20"/>
                <w:szCs w:val="20"/>
                <w:lang w:val="es-ES"/>
              </w:rPr>
              <w:t>, adoptado el 30 de octubre de 2021</w:t>
            </w:r>
          </w:p>
          <w:p w14:paraId="3A77CAE3" w14:textId="77777777" w:rsidR="00986D0F" w:rsidRPr="006736F1" w:rsidRDefault="00986D0F" w:rsidP="6D227EC3">
            <w:pPr>
              <w:jc w:val="both"/>
              <w:rPr>
                <w:rFonts w:ascii="Cambria" w:eastAsia="Cambria" w:hAnsi="Cambria" w:cs="Cambria"/>
                <w:color w:val="000000" w:themeColor="text1"/>
                <w:sz w:val="20"/>
                <w:szCs w:val="20"/>
                <w:lang w:val="es-ES"/>
              </w:rPr>
            </w:pPr>
          </w:p>
          <w:p w14:paraId="20AF445A" w14:textId="4C5DE670" w:rsidR="00986D0F" w:rsidRPr="001005B6" w:rsidRDefault="00986D0F" w:rsidP="6D227EC3">
            <w:pPr>
              <w:spacing w:after="120"/>
              <w:jc w:val="both"/>
              <w:rPr>
                <w:rFonts w:ascii="Cambria" w:eastAsia="Cambria" w:hAnsi="Cambria" w:cs="Cambria"/>
                <w:color w:val="000000" w:themeColor="text1"/>
                <w:sz w:val="20"/>
                <w:szCs w:val="20"/>
                <w:lang w:val="es-CO"/>
              </w:rPr>
            </w:pPr>
            <w:r w:rsidRPr="6D227EC3">
              <w:rPr>
                <w:rFonts w:ascii="Cambria" w:eastAsia="Cambria" w:hAnsi="Cambria" w:cs="Cambria"/>
                <w:b/>
                <w:bCs/>
                <w:color w:val="000000" w:themeColor="text1"/>
                <w:sz w:val="20"/>
                <w:szCs w:val="20"/>
                <w:lang w:val="es-ES"/>
              </w:rPr>
              <w:t>Temas:</w:t>
            </w:r>
            <w:r w:rsidRPr="6D227EC3">
              <w:rPr>
                <w:rFonts w:ascii="Cambria" w:eastAsia="Cambria" w:hAnsi="Cambria" w:cs="Cambria"/>
                <w:color w:val="000000" w:themeColor="text1"/>
                <w:sz w:val="20"/>
                <w:szCs w:val="20"/>
                <w:lang w:val="es-ES"/>
              </w:rPr>
              <w:t xml:space="preserve"> </w:t>
            </w:r>
            <w:r w:rsidR="001005B6" w:rsidRPr="6D227EC3">
              <w:rPr>
                <w:rFonts w:ascii="Cambria" w:hAnsi="Cambria" w:cs="Open Sans"/>
                <w:color w:val="000000" w:themeColor="text1"/>
                <w:sz w:val="20"/>
                <w:szCs w:val="20"/>
                <w:shd w:val="clear" w:color="auto" w:fill="EEEEEE"/>
                <w:lang w:val="es-CO"/>
              </w:rPr>
              <w:t>Libertad de Pensamiento y de Expresión / Derecho a la Integridad Personal / Protección de la Honra y Dignidad / Derecho a la Reunión y Libertad de Asociación / Detención Arbitraria</w:t>
            </w:r>
          </w:p>
          <w:p w14:paraId="7EDDFB05" w14:textId="6C9A122C" w:rsidR="00986D0F" w:rsidRPr="006736F1" w:rsidRDefault="00986D0F" w:rsidP="6D227EC3">
            <w:pPr>
              <w:pBdr>
                <w:top w:val="nil"/>
                <w:left w:val="nil"/>
                <w:bottom w:val="nil"/>
                <w:right w:val="nil"/>
                <w:between w:val="nil"/>
              </w:pBdr>
              <w:jc w:val="both"/>
              <w:rPr>
                <w:rFonts w:ascii="Cambria" w:eastAsia="Cambria" w:hAnsi="Cambria" w:cs="Cambria"/>
                <w:color w:val="000000" w:themeColor="text1"/>
                <w:sz w:val="20"/>
                <w:szCs w:val="20"/>
                <w:lang w:val="es-ES"/>
              </w:rPr>
            </w:pPr>
            <w:r w:rsidRPr="6D227EC3">
              <w:rPr>
                <w:rFonts w:ascii="Cambria" w:eastAsia="Cambria" w:hAnsi="Cambria" w:cs="Cambria"/>
                <w:b/>
                <w:bCs/>
                <w:color w:val="000000" w:themeColor="text1"/>
                <w:sz w:val="20"/>
                <w:szCs w:val="20"/>
                <w:lang w:val="es-ES"/>
              </w:rPr>
              <w:t>Hechos:</w:t>
            </w:r>
            <w:r w:rsidRPr="6D227EC3">
              <w:rPr>
                <w:rFonts w:ascii="Cambria" w:eastAsia="Cambria" w:hAnsi="Cambria" w:cs="Cambria"/>
                <w:color w:val="000000" w:themeColor="text1"/>
                <w:sz w:val="20"/>
                <w:szCs w:val="20"/>
                <w:lang w:val="es-ES"/>
              </w:rPr>
              <w:t xml:space="preserve"> Este caso refiere a las violaciones de los derechos humanos sufridas por la Sra. Yoani María Sanchez Cordero, una conocida periodista</w:t>
            </w:r>
            <w:r w:rsidR="001005B6" w:rsidRPr="6D227EC3">
              <w:rPr>
                <w:rFonts w:ascii="Cambria" w:eastAsia="Cambria" w:hAnsi="Cambria" w:cs="Cambria"/>
                <w:color w:val="000000" w:themeColor="text1"/>
                <w:sz w:val="20"/>
                <w:szCs w:val="20"/>
                <w:lang w:val="es-ES"/>
              </w:rPr>
              <w:t xml:space="preserve"> y bloguera conocida en</w:t>
            </w:r>
            <w:r w:rsidRPr="6D227EC3">
              <w:rPr>
                <w:rFonts w:ascii="Cambria" w:eastAsia="Cambria" w:hAnsi="Cambria" w:cs="Cambria"/>
                <w:color w:val="000000" w:themeColor="text1"/>
                <w:sz w:val="20"/>
                <w:szCs w:val="20"/>
                <w:lang w:val="es-ES"/>
              </w:rPr>
              <w:t xml:space="preserve"> Cuba</w:t>
            </w:r>
            <w:r w:rsidR="001005B6" w:rsidRPr="6D227EC3">
              <w:rPr>
                <w:rFonts w:ascii="Cambria" w:eastAsia="Cambria" w:hAnsi="Cambria" w:cs="Cambria"/>
                <w:color w:val="000000" w:themeColor="text1"/>
                <w:sz w:val="20"/>
                <w:szCs w:val="20"/>
                <w:lang w:val="es-ES"/>
              </w:rPr>
              <w:t xml:space="preserve"> e internacionalmente</w:t>
            </w:r>
            <w:r w:rsidRPr="6D227EC3">
              <w:rPr>
                <w:rFonts w:ascii="Cambria" w:eastAsia="Cambria" w:hAnsi="Cambria" w:cs="Cambria"/>
                <w:color w:val="000000" w:themeColor="text1"/>
                <w:sz w:val="20"/>
                <w:szCs w:val="20"/>
                <w:lang w:val="es-ES"/>
              </w:rPr>
              <w:t xml:space="preserve">. </w:t>
            </w:r>
            <w:r w:rsidR="001005B6" w:rsidRPr="6D227EC3">
              <w:rPr>
                <w:rFonts w:ascii="Cambria" w:hAnsi="Cambria"/>
                <w:color w:val="000000" w:themeColor="text1"/>
                <w:sz w:val="20"/>
                <w:szCs w:val="20"/>
                <w:lang w:val="es-CO"/>
              </w:rPr>
              <w:t>Yoani Sánchez es considerada una opositora política en Cuba, y ha sido objeto de detenciones, agresiones, impedimentos de salida del país, interceptaciones telefónicas, intimidación, amenazas, campañas de desprestigio, y su blog ha sido bloqueado dentro de Cuba. Todo lo anterior se enmarca en un contexto de persecución contra periodistas disidentes políticos o críticos del gobierno en Cuba debido a las labores que realizan</w:t>
            </w:r>
            <w:r w:rsidRPr="6D227EC3">
              <w:rPr>
                <w:rFonts w:ascii="Cambria" w:eastAsia="Cambria" w:hAnsi="Cambria" w:cs="Cambria"/>
                <w:color w:val="000000" w:themeColor="text1"/>
                <w:sz w:val="20"/>
                <w:szCs w:val="20"/>
                <w:lang w:val="es-ES"/>
              </w:rPr>
              <w:t xml:space="preserve">. </w:t>
            </w:r>
          </w:p>
          <w:p w14:paraId="24F3F637" w14:textId="77777777" w:rsidR="00986D0F" w:rsidRPr="006736F1" w:rsidRDefault="00986D0F" w:rsidP="6D227EC3">
            <w:pPr>
              <w:pBdr>
                <w:top w:val="nil"/>
                <w:left w:val="nil"/>
                <w:bottom w:val="nil"/>
                <w:right w:val="nil"/>
                <w:between w:val="nil"/>
              </w:pBdr>
              <w:jc w:val="both"/>
              <w:rPr>
                <w:rFonts w:ascii="Cambria" w:eastAsia="Cambria" w:hAnsi="Cambria" w:cs="Cambria"/>
                <w:color w:val="000000" w:themeColor="text1"/>
                <w:sz w:val="20"/>
                <w:szCs w:val="20"/>
                <w:lang w:val="es-ES"/>
              </w:rPr>
            </w:pPr>
          </w:p>
          <w:p w14:paraId="08898469" w14:textId="77777777" w:rsidR="00773C63" w:rsidRDefault="00986D0F" w:rsidP="6D227EC3">
            <w:pPr>
              <w:pBdr>
                <w:top w:val="nil"/>
                <w:left w:val="nil"/>
                <w:bottom w:val="nil"/>
                <w:right w:val="nil"/>
                <w:between w:val="nil"/>
              </w:pBdr>
              <w:jc w:val="both"/>
              <w:rPr>
                <w:rFonts w:ascii="Cambria" w:eastAsia="Cambria" w:hAnsi="Cambria" w:cs="Cambria"/>
                <w:color w:val="000000" w:themeColor="text1"/>
                <w:sz w:val="20"/>
                <w:szCs w:val="20"/>
                <w:lang w:val="es-ES"/>
              </w:rPr>
            </w:pPr>
            <w:r w:rsidRPr="6D227EC3">
              <w:rPr>
                <w:rFonts w:ascii="Cambria" w:eastAsia="Cambria" w:hAnsi="Cambria" w:cs="Cambria"/>
                <w:b/>
                <w:bCs/>
                <w:color w:val="000000" w:themeColor="text1"/>
                <w:sz w:val="20"/>
                <w:szCs w:val="20"/>
                <w:lang w:val="es-ES"/>
              </w:rPr>
              <w:t xml:space="preserve">Derechos violados: </w:t>
            </w:r>
            <w:r w:rsidRPr="6D227EC3">
              <w:rPr>
                <w:rFonts w:ascii="Cambria" w:eastAsia="Cambria" w:hAnsi="Cambria" w:cs="Cambria"/>
                <w:color w:val="000000" w:themeColor="text1"/>
                <w:sz w:val="20"/>
                <w:szCs w:val="20"/>
                <w:lang w:val="es-ES"/>
              </w:rPr>
              <w:t>Con base en las consideraciones de hecho y de derecho contenidas en el presente informe, la CIDH concluye que el Estado de Cuba violó los derechos reconocidos en los artículos I (derecho a la vida, a la libertad, a la seguridad e integridad de la persona), II (derecho de igualdad ante la Ley), IV (derecho de libertad de investigación, opinión, expresión y difusión), V (derecho a la protección a la honra, la reputación personal y la vida privada y familiar), VIII (derecho de residencia y tránsito), X (derecho a la inviolabilidad y circulación de la correspondencia), XVIII (derecho de justicia), XXI (derecho de reunión), XXIV (derecho de petición), XXV (derecho de protección contra la detención arbitraria) y XXVI (derecho a proceso regular) de la Declaración Americana de Derechos y Deberes del Hombre, en perjuicio de Yoani Sánchez Cordero. Asimismo, la Comisión concluye que el Estado no es responsable por la violación de los derechos consagrados en los artículos IX (derecho a la inviolabilidad del domicilio), XX (derecho de sufragio y de participación en el gobierno), y XXII (derecho de asociación), en perjuicio de Yoani Sánchez Cordero.</w:t>
            </w:r>
          </w:p>
          <w:p w14:paraId="3E395826" w14:textId="22D2B57F" w:rsidR="00773C63" w:rsidRPr="006736F1" w:rsidRDefault="00773C63" w:rsidP="6D227EC3">
            <w:pPr>
              <w:pBdr>
                <w:top w:val="nil"/>
                <w:left w:val="nil"/>
                <w:bottom w:val="nil"/>
                <w:right w:val="nil"/>
                <w:between w:val="nil"/>
              </w:pBdr>
              <w:jc w:val="both"/>
              <w:rPr>
                <w:rFonts w:ascii="Cambria" w:eastAsia="Cambria" w:hAnsi="Cambria" w:cs="Cambria"/>
                <w:color w:val="000000" w:themeColor="text1"/>
                <w:sz w:val="20"/>
                <w:szCs w:val="20"/>
                <w:lang w:val="es-ES"/>
              </w:rPr>
            </w:pPr>
          </w:p>
        </w:tc>
      </w:tr>
    </w:tbl>
    <w:p w14:paraId="09B04C0F" w14:textId="77777777" w:rsidR="00986D0F" w:rsidRPr="006736F1" w:rsidRDefault="00986D0F" w:rsidP="6D227EC3">
      <w:pPr>
        <w:ind w:left="180"/>
        <w:jc w:val="both"/>
        <w:rPr>
          <w:rFonts w:ascii="Cambria" w:eastAsia="Cambria" w:hAnsi="Cambria" w:cs="Cambria"/>
          <w:color w:val="000000" w:themeColor="text1"/>
          <w:sz w:val="20"/>
          <w:szCs w:val="20"/>
          <w:lang w:val="es-ES"/>
        </w:rPr>
      </w:pPr>
    </w:p>
    <w:p w14:paraId="4B628868" w14:textId="254AF439" w:rsidR="00986D0F" w:rsidRPr="006736F1" w:rsidRDefault="00986D0F" w:rsidP="6D227EC3">
      <w:pPr>
        <w:pStyle w:val="ListParagraph"/>
        <w:numPr>
          <w:ilvl w:val="0"/>
          <w:numId w:val="2"/>
        </w:numPr>
        <w:jc w:val="both"/>
        <w:rPr>
          <w:rFonts w:ascii="Cambria" w:eastAsia="Cambria" w:hAnsi="Cambria" w:cs="Cambria"/>
          <w:b/>
          <w:bCs/>
          <w:color w:val="000000" w:themeColor="text1"/>
          <w:sz w:val="20"/>
          <w:szCs w:val="20"/>
        </w:rPr>
      </w:pPr>
      <w:r w:rsidRPr="6D227EC3">
        <w:rPr>
          <w:rFonts w:ascii="Cambria" w:eastAsia="Cambria" w:hAnsi="Cambria" w:cs="Cambria"/>
          <w:b/>
          <w:bCs/>
          <w:color w:val="000000" w:themeColor="text1"/>
          <w:sz w:val="20"/>
          <w:szCs w:val="20"/>
        </w:rPr>
        <w:t>Recomendaciones</w:t>
      </w:r>
    </w:p>
    <w:p w14:paraId="1E17D706" w14:textId="77777777" w:rsidR="00986D0F" w:rsidRPr="006736F1" w:rsidRDefault="00986D0F" w:rsidP="6D227EC3">
      <w:pPr>
        <w:ind w:left="1080"/>
        <w:jc w:val="both"/>
        <w:rPr>
          <w:rFonts w:ascii="Cambria" w:eastAsia="Cambria" w:hAnsi="Cambria" w:cs="Cambria"/>
          <w:b/>
          <w:bCs/>
          <w:color w:val="000000" w:themeColor="text1"/>
          <w:sz w:val="20"/>
          <w:szCs w:val="20"/>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7"/>
        <w:gridCol w:w="2135"/>
      </w:tblGrid>
      <w:tr w:rsidR="006736F1" w:rsidRPr="006736F1" w14:paraId="1EC32816" w14:textId="77777777" w:rsidTr="6D227EC3">
        <w:tc>
          <w:tcPr>
            <w:tcW w:w="7197" w:type="dxa"/>
            <w:shd w:val="clear" w:color="auto" w:fill="auto"/>
            <w:vAlign w:val="center"/>
          </w:tcPr>
          <w:p w14:paraId="13A0C179" w14:textId="77777777" w:rsidR="00986D0F" w:rsidRPr="006736F1" w:rsidRDefault="00986D0F" w:rsidP="6D227EC3">
            <w:pPr>
              <w:jc w:val="center"/>
              <w:rPr>
                <w:rFonts w:ascii="Cambria" w:eastAsia="Cambria" w:hAnsi="Cambria" w:cs="Cambria"/>
                <w:b/>
                <w:bCs/>
                <w:color w:val="000000" w:themeColor="text1"/>
                <w:sz w:val="18"/>
                <w:szCs w:val="18"/>
              </w:rPr>
            </w:pPr>
            <w:r w:rsidRPr="6D227EC3">
              <w:rPr>
                <w:rFonts w:ascii="Cambria" w:eastAsia="Cambria" w:hAnsi="Cambria" w:cs="Cambria"/>
                <w:b/>
                <w:bCs/>
                <w:color w:val="000000" w:themeColor="text1"/>
                <w:sz w:val="18"/>
                <w:szCs w:val="18"/>
              </w:rPr>
              <w:t>Recomendaciones</w:t>
            </w:r>
          </w:p>
        </w:tc>
        <w:tc>
          <w:tcPr>
            <w:tcW w:w="2135" w:type="dxa"/>
            <w:shd w:val="clear" w:color="auto" w:fill="auto"/>
          </w:tcPr>
          <w:p w14:paraId="192AEC97" w14:textId="7E9E39DA" w:rsidR="00986D0F" w:rsidRPr="006736F1" w:rsidRDefault="00773C63" w:rsidP="6D227EC3">
            <w:pPr>
              <w:jc w:val="center"/>
              <w:rPr>
                <w:rFonts w:ascii="Cambria" w:eastAsia="Cambria" w:hAnsi="Cambria" w:cs="Cambria"/>
                <w:b/>
                <w:bCs/>
                <w:color w:val="000000" w:themeColor="text1"/>
                <w:sz w:val="18"/>
                <w:szCs w:val="18"/>
              </w:rPr>
            </w:pPr>
            <w:r w:rsidRPr="6D227EC3">
              <w:rPr>
                <w:rFonts w:ascii="Cambria" w:eastAsia="Cambria" w:hAnsi="Cambria" w:cs="Cambria"/>
                <w:b/>
                <w:bCs/>
                <w:color w:val="000000" w:themeColor="text1"/>
                <w:sz w:val="18"/>
                <w:szCs w:val="18"/>
              </w:rPr>
              <w:t>Nivel</w:t>
            </w:r>
            <w:r w:rsidR="00986D0F" w:rsidRPr="6D227EC3">
              <w:rPr>
                <w:rFonts w:ascii="Cambria" w:eastAsia="Cambria" w:hAnsi="Cambria" w:cs="Cambria"/>
                <w:b/>
                <w:bCs/>
                <w:color w:val="000000" w:themeColor="text1"/>
                <w:sz w:val="18"/>
                <w:szCs w:val="18"/>
              </w:rPr>
              <w:t xml:space="preserve"> de cumplimiento en 2022</w:t>
            </w:r>
          </w:p>
        </w:tc>
      </w:tr>
      <w:tr w:rsidR="006736F1" w:rsidRPr="006736F1" w14:paraId="5C4D4589" w14:textId="77777777" w:rsidTr="6D227EC3">
        <w:tc>
          <w:tcPr>
            <w:tcW w:w="7197" w:type="dxa"/>
            <w:shd w:val="clear" w:color="auto" w:fill="auto"/>
          </w:tcPr>
          <w:p w14:paraId="3FE5958E" w14:textId="77777777" w:rsidR="00986D0F" w:rsidRPr="00773C63" w:rsidRDefault="00986D0F" w:rsidP="6D227EC3">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18"/>
                <w:szCs w:val="18"/>
                <w:lang w:val="es-ES"/>
              </w:rPr>
            </w:pPr>
            <w:r w:rsidRPr="6D227EC3">
              <w:rPr>
                <w:rFonts w:ascii="Cambria" w:eastAsia="Cambria" w:hAnsi="Cambria" w:cs="Cambria"/>
                <w:color w:val="000000" w:themeColor="text1"/>
                <w:sz w:val="18"/>
                <w:szCs w:val="18"/>
                <w:lang w:val="es-ES"/>
              </w:rPr>
              <w:t>1. Reparar integralmente las violaciones de derechos humanos declaradas en el presente informe tanto en el aspecto material como inmaterial, lo cual deberá incluir la reparación por la estigmatización a la que ha estado sometida Yoani Sánchez.</w:t>
            </w:r>
          </w:p>
        </w:tc>
        <w:tc>
          <w:tcPr>
            <w:tcW w:w="2135" w:type="dxa"/>
            <w:shd w:val="clear" w:color="auto" w:fill="auto"/>
            <w:vAlign w:val="center"/>
          </w:tcPr>
          <w:p w14:paraId="65A73FF3" w14:textId="725B3BFC" w:rsidR="00986D0F" w:rsidRPr="00773C63" w:rsidRDefault="001005B6" w:rsidP="6D227EC3">
            <w:pPr>
              <w:jc w:val="center"/>
              <w:rPr>
                <w:rFonts w:ascii="Cambria" w:eastAsia="Cambria" w:hAnsi="Cambria" w:cs="Cambria"/>
                <w:color w:val="000000" w:themeColor="text1"/>
                <w:sz w:val="18"/>
                <w:szCs w:val="18"/>
              </w:rPr>
            </w:pPr>
            <w:r w:rsidRPr="6D227EC3">
              <w:rPr>
                <w:rFonts w:ascii="Cambria" w:eastAsia="Cambria" w:hAnsi="Cambria" w:cs="Cambria"/>
                <w:color w:val="000000" w:themeColor="text1"/>
                <w:sz w:val="18"/>
                <w:szCs w:val="18"/>
                <w:lang w:val="es-ES"/>
              </w:rPr>
              <w:t>Pendiente de cumplimiento</w:t>
            </w:r>
          </w:p>
        </w:tc>
      </w:tr>
      <w:tr w:rsidR="006736F1" w:rsidRPr="006736F1" w14:paraId="4BE3E027" w14:textId="77777777" w:rsidTr="6D227EC3">
        <w:tc>
          <w:tcPr>
            <w:tcW w:w="7197" w:type="dxa"/>
            <w:shd w:val="clear" w:color="auto" w:fill="auto"/>
          </w:tcPr>
          <w:p w14:paraId="1B718711" w14:textId="77777777" w:rsidR="00986D0F" w:rsidRPr="00773C63" w:rsidRDefault="00986D0F" w:rsidP="6D227EC3">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18"/>
                <w:szCs w:val="18"/>
                <w:lang w:val="es-ES"/>
              </w:rPr>
            </w:pPr>
            <w:r w:rsidRPr="6D227EC3">
              <w:rPr>
                <w:rFonts w:ascii="Cambria" w:eastAsia="Cambria" w:hAnsi="Cambria" w:cs="Cambria"/>
                <w:color w:val="000000" w:themeColor="text1"/>
                <w:sz w:val="18"/>
                <w:szCs w:val="18"/>
                <w:lang w:val="es-ES"/>
              </w:rPr>
              <w:t xml:space="preserve">2. Cesar de manera inmediata la persecución contra Yoani Sánchez Cordero, en particular, los actos de hostigamiento, acoso, campañas de desprestigio, interceptaciones telefónicas, ataques, y citaciones policiales arbitrarias, garantizando que la periodista pueda llevar a cabo su trabajo sin temor a intimidación o represalias, y sin restricciones indebidas sobre su derecho a la libertad de expresión, de reunión y demás derechos analizados en el presente informe. </w:t>
            </w:r>
          </w:p>
          <w:p w14:paraId="6D575909" w14:textId="77777777" w:rsidR="00986D0F" w:rsidRPr="00773C63" w:rsidRDefault="00986D0F" w:rsidP="6D227EC3">
            <w:pPr>
              <w:jc w:val="both"/>
              <w:rPr>
                <w:rFonts w:ascii="Cambria" w:eastAsia="Cambria" w:hAnsi="Cambria" w:cs="Cambria"/>
                <w:color w:val="000000" w:themeColor="text1"/>
                <w:sz w:val="18"/>
                <w:szCs w:val="18"/>
                <w:lang w:val="es-ES"/>
              </w:rPr>
            </w:pPr>
          </w:p>
        </w:tc>
        <w:tc>
          <w:tcPr>
            <w:tcW w:w="2135" w:type="dxa"/>
            <w:shd w:val="clear" w:color="auto" w:fill="auto"/>
            <w:vAlign w:val="center"/>
          </w:tcPr>
          <w:p w14:paraId="4AFFA182" w14:textId="617AF8BD" w:rsidR="00986D0F" w:rsidRPr="00773C63" w:rsidRDefault="001005B6" w:rsidP="6D227EC3">
            <w:pPr>
              <w:jc w:val="center"/>
              <w:rPr>
                <w:rFonts w:ascii="Cambria" w:eastAsia="Cambria" w:hAnsi="Cambria" w:cs="Cambria"/>
                <w:color w:val="000000" w:themeColor="text1"/>
                <w:sz w:val="18"/>
                <w:szCs w:val="18"/>
              </w:rPr>
            </w:pPr>
            <w:r w:rsidRPr="6D227EC3">
              <w:rPr>
                <w:rFonts w:ascii="Cambria" w:eastAsia="Cambria" w:hAnsi="Cambria" w:cs="Cambria"/>
                <w:color w:val="000000" w:themeColor="text1"/>
                <w:sz w:val="18"/>
                <w:szCs w:val="18"/>
                <w:lang w:val="es-ES"/>
              </w:rPr>
              <w:t>Pendiente de cumplimiento</w:t>
            </w:r>
          </w:p>
        </w:tc>
      </w:tr>
      <w:tr w:rsidR="006736F1" w:rsidRPr="006736F1" w14:paraId="29CB840E" w14:textId="77777777" w:rsidTr="6D227EC3">
        <w:tc>
          <w:tcPr>
            <w:tcW w:w="7197" w:type="dxa"/>
            <w:shd w:val="clear" w:color="auto" w:fill="auto"/>
          </w:tcPr>
          <w:p w14:paraId="001B0F8A" w14:textId="77777777" w:rsidR="00986D0F" w:rsidRPr="00773C63" w:rsidRDefault="00986D0F" w:rsidP="6D227EC3">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18"/>
                <w:szCs w:val="18"/>
                <w:lang w:val="es-ES"/>
              </w:rPr>
            </w:pPr>
            <w:r w:rsidRPr="6D227EC3">
              <w:rPr>
                <w:rFonts w:ascii="Cambria" w:eastAsia="Cambria" w:hAnsi="Cambria" w:cs="Cambria"/>
                <w:color w:val="000000" w:themeColor="text1"/>
                <w:sz w:val="18"/>
                <w:szCs w:val="18"/>
                <w:lang w:val="es-ES"/>
              </w:rPr>
              <w:t>3. Tomar las medidas necesarias para garantizar plenamente el derecho de Yoani Sánchez a salir y entrar libremente de Cuba y circular libremente dentro del país.</w:t>
            </w:r>
          </w:p>
        </w:tc>
        <w:tc>
          <w:tcPr>
            <w:tcW w:w="2135" w:type="dxa"/>
            <w:shd w:val="clear" w:color="auto" w:fill="auto"/>
            <w:vAlign w:val="center"/>
          </w:tcPr>
          <w:p w14:paraId="292FCCAB" w14:textId="02270EA0" w:rsidR="00986D0F" w:rsidRPr="00773C63" w:rsidRDefault="001005B6" w:rsidP="6D227EC3">
            <w:pPr>
              <w:jc w:val="center"/>
              <w:rPr>
                <w:rFonts w:ascii="Cambria" w:eastAsia="Cambria" w:hAnsi="Cambria" w:cs="Cambria"/>
                <w:color w:val="000000" w:themeColor="text1"/>
                <w:sz w:val="18"/>
                <w:szCs w:val="18"/>
                <w:highlight w:val="yellow"/>
              </w:rPr>
            </w:pPr>
            <w:r w:rsidRPr="6D227EC3">
              <w:rPr>
                <w:rFonts w:ascii="Cambria" w:eastAsia="Cambria" w:hAnsi="Cambria" w:cs="Cambria"/>
                <w:color w:val="000000" w:themeColor="text1"/>
                <w:sz w:val="18"/>
                <w:szCs w:val="18"/>
                <w:lang w:val="es-ES"/>
              </w:rPr>
              <w:t>Pendiente de cumplimiento</w:t>
            </w:r>
          </w:p>
        </w:tc>
      </w:tr>
      <w:tr w:rsidR="006736F1" w:rsidRPr="006736F1" w14:paraId="76A1E419" w14:textId="77777777" w:rsidTr="6D227EC3">
        <w:tc>
          <w:tcPr>
            <w:tcW w:w="7197" w:type="dxa"/>
            <w:shd w:val="clear" w:color="auto" w:fill="auto"/>
          </w:tcPr>
          <w:p w14:paraId="7F95DD55" w14:textId="77777777" w:rsidR="00986D0F" w:rsidRPr="00773C63" w:rsidRDefault="00986D0F" w:rsidP="6D227EC3">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18"/>
                <w:szCs w:val="18"/>
                <w:lang w:val="es-ES"/>
              </w:rPr>
            </w:pPr>
            <w:r w:rsidRPr="6D227EC3">
              <w:rPr>
                <w:rFonts w:ascii="Cambria" w:eastAsia="Cambria" w:hAnsi="Cambria" w:cs="Cambria"/>
                <w:color w:val="000000" w:themeColor="text1"/>
                <w:sz w:val="18"/>
                <w:szCs w:val="18"/>
                <w:lang w:val="es-ES"/>
              </w:rPr>
              <w:t>4. Realizar una investigación completa, imparcial, efectiva, de manera expedita, que permita esclarecer las circunstancias de las detenciones ilegales y arbitrarias y las agresiones físicas perpetradas en contra de Yoani Sánchez, especialmente los hechos relacionados con el intento de desnudez forzada, y determinar las responsabilidades correspondientes, tanto en cuanto a su autoría material como intelectual y adoptar las medidas para evitar que vuelvan a ocurrir hechos como estos.</w:t>
            </w:r>
          </w:p>
        </w:tc>
        <w:tc>
          <w:tcPr>
            <w:tcW w:w="2135" w:type="dxa"/>
            <w:shd w:val="clear" w:color="auto" w:fill="auto"/>
            <w:vAlign w:val="center"/>
          </w:tcPr>
          <w:p w14:paraId="3358F453" w14:textId="48F2A1B8" w:rsidR="00986D0F" w:rsidRPr="00773C63" w:rsidRDefault="001005B6" w:rsidP="6D227EC3">
            <w:pPr>
              <w:jc w:val="center"/>
              <w:rPr>
                <w:rFonts w:ascii="Cambria" w:eastAsia="Cambria" w:hAnsi="Cambria" w:cs="Cambria"/>
                <w:color w:val="000000" w:themeColor="text1"/>
                <w:sz w:val="18"/>
                <w:szCs w:val="18"/>
                <w:highlight w:val="yellow"/>
              </w:rPr>
            </w:pPr>
            <w:r w:rsidRPr="6D227EC3">
              <w:rPr>
                <w:rFonts w:ascii="Cambria" w:eastAsia="Cambria" w:hAnsi="Cambria" w:cs="Cambria"/>
                <w:color w:val="000000" w:themeColor="text1"/>
                <w:sz w:val="18"/>
                <w:szCs w:val="18"/>
                <w:lang w:val="es-ES"/>
              </w:rPr>
              <w:t>Pendiente de cumplimiento</w:t>
            </w:r>
          </w:p>
        </w:tc>
      </w:tr>
      <w:tr w:rsidR="006736F1" w:rsidRPr="006736F1" w14:paraId="064BB68B" w14:textId="77777777" w:rsidTr="6D227EC3">
        <w:tc>
          <w:tcPr>
            <w:tcW w:w="7197" w:type="dxa"/>
            <w:shd w:val="clear" w:color="auto" w:fill="auto"/>
          </w:tcPr>
          <w:p w14:paraId="3BB88C04" w14:textId="77777777" w:rsidR="00986D0F" w:rsidRPr="00773C63" w:rsidRDefault="00986D0F" w:rsidP="6D227EC3">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18"/>
                <w:szCs w:val="18"/>
                <w:lang w:val="es-ES"/>
              </w:rPr>
            </w:pPr>
            <w:r w:rsidRPr="6D227EC3">
              <w:rPr>
                <w:rFonts w:ascii="Cambria" w:eastAsia="Cambria" w:hAnsi="Cambria" w:cs="Cambria"/>
                <w:color w:val="000000" w:themeColor="text1"/>
                <w:sz w:val="18"/>
                <w:szCs w:val="18"/>
                <w:lang w:val="es-ES"/>
              </w:rPr>
              <w:t xml:space="preserve">5. Desactivar el filtro informático que impide el acceso al blog “Generación Y” en los sitios públicos de Internet en Cuba y permitir el acceso a los contenidos en línea de Yoani Sánchez dentro de Cuba, así como conducirse bajo el principio de neutralidad de la red, de conformidad con los estándares descritos en el presente informe. </w:t>
            </w:r>
          </w:p>
        </w:tc>
        <w:tc>
          <w:tcPr>
            <w:tcW w:w="2135" w:type="dxa"/>
            <w:shd w:val="clear" w:color="auto" w:fill="auto"/>
            <w:vAlign w:val="center"/>
          </w:tcPr>
          <w:p w14:paraId="31E055E3" w14:textId="7833CE5E" w:rsidR="00986D0F" w:rsidRPr="00773C63" w:rsidRDefault="001005B6" w:rsidP="6D227EC3">
            <w:pPr>
              <w:jc w:val="center"/>
              <w:rPr>
                <w:rFonts w:ascii="Cambria" w:eastAsia="Cambria" w:hAnsi="Cambria" w:cs="Cambria"/>
                <w:color w:val="000000" w:themeColor="text1"/>
                <w:sz w:val="18"/>
                <w:szCs w:val="18"/>
                <w:highlight w:val="yellow"/>
              </w:rPr>
            </w:pPr>
            <w:r w:rsidRPr="6D227EC3">
              <w:rPr>
                <w:rFonts w:ascii="Cambria" w:eastAsia="Cambria" w:hAnsi="Cambria" w:cs="Cambria"/>
                <w:color w:val="000000" w:themeColor="text1"/>
                <w:sz w:val="18"/>
                <w:szCs w:val="18"/>
                <w:lang w:val="es-ES"/>
              </w:rPr>
              <w:t>Pendiente de cumplimiento</w:t>
            </w:r>
          </w:p>
        </w:tc>
      </w:tr>
      <w:tr w:rsidR="006736F1" w:rsidRPr="006736F1" w14:paraId="76864066" w14:textId="77777777" w:rsidTr="6D227EC3">
        <w:tc>
          <w:tcPr>
            <w:tcW w:w="7197" w:type="dxa"/>
            <w:shd w:val="clear" w:color="auto" w:fill="auto"/>
          </w:tcPr>
          <w:p w14:paraId="21A69424" w14:textId="77777777" w:rsidR="00986D0F" w:rsidRPr="00773C63" w:rsidRDefault="00986D0F" w:rsidP="6D227EC3">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18"/>
                <w:szCs w:val="18"/>
                <w:lang w:val="es-ES"/>
              </w:rPr>
            </w:pPr>
            <w:r w:rsidRPr="6D227EC3">
              <w:rPr>
                <w:rFonts w:ascii="Cambria" w:eastAsia="Cambria" w:hAnsi="Cambria" w:cs="Cambria"/>
                <w:color w:val="000000" w:themeColor="text1"/>
                <w:sz w:val="18"/>
                <w:szCs w:val="18"/>
                <w:lang w:val="es-ES"/>
              </w:rPr>
              <w:t xml:space="preserve">6. Adoptar las siguientes garantías de no repetición, para lo cual el Estado deberá: i) Adecuar sus leyes, procedimientos y prácticas a las normas y estándares internacionales sobre derechos humanos establecidos en el presente informe, para lo cual deberá, entre otras cosas, modificar su normativa interna, incluida la referida al entorno digital, con el fin de asegurar el ejercicio y goce de los derechos analizados de forma efectiva, en especial el derecho a la libertad de expresión, sin condicionamientos a la defensa del Estado socialista, y ii) Adoptar mecanismos de prevención, investigación y sanción, adecuados y efectivos, con perspectiva de género, para evitar y combatir la violencia y el acoso contra los y las periodistas y/o comunicadores sociales, ya sea que provengan de agentes estatales o de terceros. Lo anterior deberá incluir la condena pública a todo acto de agresión, incluida la violencia de género, especialmente desde las más altas instancias del gobierno; la abstención de recurrir a declaraciones estigmatizantes por parte de las autoridades públicas o de personas que utilicen los medios públicos de comunicación, así como la adopción de medidas necesarias para garantizar el inicio de investigaciones y procesos judiciales ante la presentación de denuncias por la comisión de hechos de violencia, de conformidad con lo señalado en el presente informe. </w:t>
            </w:r>
          </w:p>
        </w:tc>
        <w:tc>
          <w:tcPr>
            <w:tcW w:w="2135" w:type="dxa"/>
            <w:shd w:val="clear" w:color="auto" w:fill="auto"/>
            <w:vAlign w:val="center"/>
          </w:tcPr>
          <w:p w14:paraId="0E8DF1E9" w14:textId="0D94387C" w:rsidR="00986D0F" w:rsidRPr="00773C63" w:rsidRDefault="001005B6" w:rsidP="6D227EC3">
            <w:pPr>
              <w:jc w:val="center"/>
              <w:rPr>
                <w:rFonts w:ascii="Cambria" w:eastAsia="Cambria" w:hAnsi="Cambria" w:cs="Cambria"/>
                <w:color w:val="000000" w:themeColor="text1"/>
                <w:sz w:val="18"/>
                <w:szCs w:val="18"/>
                <w:highlight w:val="yellow"/>
              </w:rPr>
            </w:pPr>
            <w:r w:rsidRPr="6D227EC3">
              <w:rPr>
                <w:rFonts w:ascii="Cambria" w:eastAsia="Cambria" w:hAnsi="Cambria" w:cs="Cambria"/>
                <w:color w:val="000000" w:themeColor="text1"/>
                <w:sz w:val="18"/>
                <w:szCs w:val="18"/>
                <w:lang w:val="es-ES"/>
              </w:rPr>
              <w:t>Pendiente de cumplimiento</w:t>
            </w:r>
          </w:p>
        </w:tc>
      </w:tr>
      <w:tr w:rsidR="006736F1" w:rsidRPr="006736F1" w14:paraId="1FB80489" w14:textId="77777777" w:rsidTr="6D227EC3">
        <w:tc>
          <w:tcPr>
            <w:tcW w:w="7197" w:type="dxa"/>
            <w:shd w:val="clear" w:color="auto" w:fill="auto"/>
          </w:tcPr>
          <w:p w14:paraId="17617135" w14:textId="77777777" w:rsidR="00986D0F" w:rsidRPr="00773C63" w:rsidRDefault="00986D0F" w:rsidP="6D227EC3">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18"/>
                <w:szCs w:val="18"/>
                <w:lang w:val="es-ES"/>
              </w:rPr>
            </w:pPr>
            <w:r w:rsidRPr="6D227EC3">
              <w:rPr>
                <w:rFonts w:ascii="Cambria" w:eastAsia="Cambria" w:hAnsi="Cambria" w:cs="Cambria"/>
                <w:color w:val="000000" w:themeColor="text1"/>
                <w:sz w:val="18"/>
                <w:szCs w:val="18"/>
                <w:lang w:val="es-ES"/>
              </w:rPr>
              <w:t>7. Abstenerse de ejercer un control absoluto sobre internet, así como filtrar y bloquear contenidos de forma arbitraria, es decir que, para que las restricciones a la libertad de expresión en Internet sean legítimas, deberán cumplir con los requisitos de legalidad, finalidad legítima, necesidad y proporcionalidad. El Estado deberá adoptar salvaguardas para garantizar la transparencia respecto de los contenidos cuya remoción haya sido ordenada, con base en los requisitos antes descritos.</w:t>
            </w:r>
          </w:p>
        </w:tc>
        <w:tc>
          <w:tcPr>
            <w:tcW w:w="2135" w:type="dxa"/>
            <w:shd w:val="clear" w:color="auto" w:fill="auto"/>
            <w:vAlign w:val="center"/>
          </w:tcPr>
          <w:p w14:paraId="1040C451" w14:textId="52B36437" w:rsidR="00986D0F" w:rsidRPr="00773C63" w:rsidRDefault="001005B6" w:rsidP="6D227EC3">
            <w:pPr>
              <w:jc w:val="center"/>
              <w:rPr>
                <w:rFonts w:ascii="Cambria" w:eastAsia="Cambria" w:hAnsi="Cambria" w:cs="Cambria"/>
                <w:color w:val="000000" w:themeColor="text1"/>
                <w:sz w:val="18"/>
                <w:szCs w:val="18"/>
                <w:highlight w:val="yellow"/>
              </w:rPr>
            </w:pPr>
            <w:r w:rsidRPr="6D227EC3">
              <w:rPr>
                <w:rFonts w:ascii="Cambria" w:eastAsia="Cambria" w:hAnsi="Cambria" w:cs="Cambria"/>
                <w:color w:val="000000" w:themeColor="text1"/>
                <w:sz w:val="18"/>
                <w:szCs w:val="18"/>
                <w:lang w:val="es-ES"/>
              </w:rPr>
              <w:t>Pendiente de cumplimiento</w:t>
            </w:r>
          </w:p>
        </w:tc>
      </w:tr>
      <w:tr w:rsidR="006736F1" w:rsidRPr="006736F1" w14:paraId="755848E0" w14:textId="77777777" w:rsidTr="6D227EC3">
        <w:tc>
          <w:tcPr>
            <w:tcW w:w="7197" w:type="dxa"/>
            <w:shd w:val="clear" w:color="auto" w:fill="auto"/>
          </w:tcPr>
          <w:p w14:paraId="7192BC94" w14:textId="77777777" w:rsidR="00986D0F" w:rsidRPr="00773C63" w:rsidRDefault="00986D0F" w:rsidP="6D227EC3">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18"/>
                <w:szCs w:val="18"/>
                <w:lang w:val="es-ES"/>
              </w:rPr>
            </w:pPr>
            <w:r w:rsidRPr="6D227EC3">
              <w:rPr>
                <w:rFonts w:ascii="Cambria" w:eastAsia="Cambria" w:hAnsi="Cambria" w:cs="Cambria"/>
                <w:color w:val="000000" w:themeColor="text1"/>
                <w:sz w:val="18"/>
                <w:szCs w:val="18"/>
                <w:lang w:val="es-ES"/>
              </w:rPr>
              <w:t xml:space="preserve">8. Adoptar las medidas necesarias para garantizar la independencia e imparcialidad tanto institucional como funcional, de las autoridades fiscales, judiciales y de cualquier otro tipo de funcionarios estatales que adopten decisiones que determinen el alcance de los derechos humanos de las personas, como por ejemplo la Dirección de Inmigración y Extranjería, de conformidad con los criterios establecidos en el presente informe. </w:t>
            </w:r>
          </w:p>
        </w:tc>
        <w:tc>
          <w:tcPr>
            <w:tcW w:w="2135" w:type="dxa"/>
            <w:shd w:val="clear" w:color="auto" w:fill="auto"/>
            <w:vAlign w:val="center"/>
          </w:tcPr>
          <w:p w14:paraId="25597E8A" w14:textId="19CA3D4C" w:rsidR="00986D0F" w:rsidRPr="00773C63" w:rsidRDefault="001005B6" w:rsidP="6D227EC3">
            <w:pPr>
              <w:jc w:val="center"/>
              <w:rPr>
                <w:rFonts w:ascii="Cambria" w:eastAsia="Cambria" w:hAnsi="Cambria" w:cs="Cambria"/>
                <w:color w:val="000000" w:themeColor="text1"/>
                <w:sz w:val="18"/>
                <w:szCs w:val="18"/>
                <w:highlight w:val="yellow"/>
                <w:lang w:val="es-ES"/>
              </w:rPr>
            </w:pPr>
            <w:r w:rsidRPr="6D227EC3">
              <w:rPr>
                <w:rFonts w:ascii="Cambria" w:eastAsia="Cambria" w:hAnsi="Cambria" w:cs="Cambria"/>
                <w:color w:val="000000" w:themeColor="text1"/>
                <w:sz w:val="18"/>
                <w:szCs w:val="18"/>
                <w:lang w:val="es-ES"/>
              </w:rPr>
              <w:t>Pendiente de cumplimiento</w:t>
            </w:r>
          </w:p>
        </w:tc>
      </w:tr>
    </w:tbl>
    <w:p w14:paraId="56F0A3EC" w14:textId="77777777" w:rsidR="00986D0F" w:rsidRPr="006736F1" w:rsidRDefault="00986D0F" w:rsidP="6D227EC3">
      <w:pPr>
        <w:jc w:val="both"/>
        <w:rPr>
          <w:rFonts w:ascii="Cambria" w:eastAsia="Cambria" w:hAnsi="Cambria" w:cs="Cambria"/>
          <w:b/>
          <w:bCs/>
          <w:color w:val="000000" w:themeColor="text1"/>
          <w:lang w:val="es-ES"/>
        </w:rPr>
      </w:pPr>
    </w:p>
    <w:p w14:paraId="68CD79F6" w14:textId="604558B5" w:rsidR="00986D0F" w:rsidRPr="006736F1" w:rsidRDefault="00986D0F" w:rsidP="6D227EC3">
      <w:pPr>
        <w:pStyle w:val="ListParagraph"/>
        <w:numPr>
          <w:ilvl w:val="0"/>
          <w:numId w:val="2"/>
        </w:numPr>
        <w:pBdr>
          <w:top w:val="nil"/>
          <w:left w:val="nil"/>
          <w:bottom w:val="nil"/>
          <w:right w:val="nil"/>
          <w:between w:val="nil"/>
        </w:pBdr>
        <w:jc w:val="both"/>
        <w:rPr>
          <w:rFonts w:ascii="Cambria" w:eastAsia="Cambria" w:hAnsi="Cambria" w:cs="Cambria"/>
          <w:b/>
          <w:bCs/>
          <w:color w:val="000000" w:themeColor="text1"/>
          <w:sz w:val="20"/>
          <w:szCs w:val="20"/>
        </w:rPr>
      </w:pPr>
      <w:r w:rsidRPr="6D227EC3">
        <w:rPr>
          <w:rFonts w:ascii="Cambria" w:eastAsia="Cambria" w:hAnsi="Cambria" w:cs="Cambria"/>
          <w:b/>
          <w:bCs/>
          <w:color w:val="000000" w:themeColor="text1"/>
          <w:sz w:val="20"/>
          <w:szCs w:val="20"/>
        </w:rPr>
        <w:t>Actividad procesal</w:t>
      </w:r>
    </w:p>
    <w:p w14:paraId="5CDFFCAD" w14:textId="77777777" w:rsidR="00533D49" w:rsidRDefault="00533D49" w:rsidP="6D227EC3">
      <w:pPr>
        <w:pStyle w:val="paragraph"/>
        <w:spacing w:before="0" w:beforeAutospacing="0" w:after="0" w:afterAutospacing="0"/>
        <w:jc w:val="both"/>
        <w:textAlignment w:val="baseline"/>
        <w:rPr>
          <w:rFonts w:ascii="Cambria" w:hAnsi="Cambria"/>
          <w:color w:val="000000" w:themeColor="text1"/>
          <w:sz w:val="20"/>
          <w:szCs w:val="20"/>
        </w:rPr>
      </w:pPr>
      <w:r w:rsidRPr="6D227EC3">
        <w:rPr>
          <w:rStyle w:val="eop"/>
          <w:rFonts w:ascii="Cambria" w:eastAsiaTheme="majorEastAsia" w:hAnsi="Cambria"/>
          <w:color w:val="000000" w:themeColor="text1"/>
          <w:sz w:val="20"/>
          <w:szCs w:val="20"/>
        </w:rPr>
        <w:t> </w:t>
      </w:r>
    </w:p>
    <w:p w14:paraId="7B797E0F" w14:textId="670991FD" w:rsidR="00773C63" w:rsidRPr="00773C63" w:rsidRDefault="00533D49" w:rsidP="6D227EC3">
      <w:pPr>
        <w:pStyle w:val="paragraph"/>
        <w:numPr>
          <w:ilvl w:val="0"/>
          <w:numId w:val="1"/>
        </w:numPr>
        <w:tabs>
          <w:tab w:val="left" w:pos="720"/>
        </w:tabs>
        <w:spacing w:before="0" w:beforeAutospacing="0" w:after="0" w:afterAutospacing="0"/>
        <w:jc w:val="both"/>
        <w:textAlignment w:val="baseline"/>
        <w:rPr>
          <w:rStyle w:val="normaltextrun"/>
          <w:rFonts w:ascii="Cambria" w:hAnsi="Cambria"/>
          <w:color w:val="000000" w:themeColor="text1"/>
          <w:sz w:val="20"/>
          <w:szCs w:val="20"/>
          <w:lang w:val="es-CO"/>
        </w:rPr>
      </w:pPr>
      <w:r w:rsidRPr="6D227EC3">
        <w:rPr>
          <w:rStyle w:val="normaltextrun"/>
          <w:rFonts w:ascii="Cambria" w:hAnsi="Cambria"/>
          <w:color w:val="000000" w:themeColor="text1"/>
          <w:sz w:val="20"/>
          <w:szCs w:val="20"/>
          <w:lang w:val="es-ES"/>
        </w:rPr>
        <w:t xml:space="preserve">En 2022, la CIDH solicitó información sobre el cumplimiento de las recomendaciones del informe de fondo </w:t>
      </w:r>
      <w:r w:rsidR="00773C63" w:rsidRPr="6D227EC3">
        <w:rPr>
          <w:rStyle w:val="normaltextrun"/>
          <w:rFonts w:ascii="Cambria" w:hAnsi="Cambria"/>
          <w:color w:val="000000" w:themeColor="text1"/>
          <w:sz w:val="20"/>
          <w:szCs w:val="20"/>
          <w:lang w:val="es-ES"/>
        </w:rPr>
        <w:t>a ambas partes el</w:t>
      </w:r>
      <w:r w:rsidRPr="6D227EC3">
        <w:rPr>
          <w:rStyle w:val="normaltextrun"/>
          <w:rFonts w:ascii="Cambria" w:hAnsi="Cambria"/>
          <w:color w:val="000000" w:themeColor="text1"/>
          <w:sz w:val="20"/>
          <w:szCs w:val="20"/>
          <w:lang w:val="es-ES"/>
        </w:rPr>
        <w:t xml:space="preserve"> 2</w:t>
      </w:r>
      <w:r w:rsidR="00773C63" w:rsidRPr="6D227EC3">
        <w:rPr>
          <w:rStyle w:val="normaltextrun"/>
          <w:rFonts w:ascii="Cambria" w:hAnsi="Cambria"/>
          <w:color w:val="000000" w:themeColor="text1"/>
          <w:sz w:val="20"/>
          <w:szCs w:val="20"/>
          <w:lang w:val="es-ES"/>
        </w:rPr>
        <w:t>6</w:t>
      </w:r>
      <w:r w:rsidRPr="6D227EC3">
        <w:rPr>
          <w:rStyle w:val="normaltextrun"/>
          <w:rFonts w:ascii="Cambria" w:hAnsi="Cambria"/>
          <w:color w:val="000000" w:themeColor="text1"/>
          <w:sz w:val="20"/>
          <w:szCs w:val="20"/>
          <w:lang w:val="es-ES"/>
        </w:rPr>
        <w:t xml:space="preserve"> de agosto. A la fecha de cierre del presente informe, </w:t>
      </w:r>
      <w:r w:rsidR="00773C63" w:rsidRPr="6D227EC3">
        <w:rPr>
          <w:rStyle w:val="normaltextrun"/>
          <w:rFonts w:ascii="Cambria" w:hAnsi="Cambria"/>
          <w:color w:val="000000" w:themeColor="text1"/>
          <w:sz w:val="20"/>
          <w:szCs w:val="20"/>
          <w:lang w:val="es-ES"/>
        </w:rPr>
        <w:t>la Comisión</w:t>
      </w:r>
      <w:r w:rsidRPr="6D227EC3">
        <w:rPr>
          <w:rStyle w:val="normaltextrun"/>
          <w:rFonts w:ascii="Cambria" w:hAnsi="Cambria"/>
          <w:color w:val="000000" w:themeColor="text1"/>
          <w:sz w:val="20"/>
          <w:szCs w:val="20"/>
          <w:lang w:val="es-ES"/>
        </w:rPr>
        <w:t xml:space="preserve"> no había </w:t>
      </w:r>
      <w:r w:rsidR="00773C63" w:rsidRPr="6D227EC3">
        <w:rPr>
          <w:rStyle w:val="normaltextrun"/>
          <w:rFonts w:ascii="Cambria" w:hAnsi="Cambria"/>
          <w:color w:val="000000" w:themeColor="text1"/>
          <w:sz w:val="20"/>
          <w:szCs w:val="20"/>
          <w:lang w:val="es-ES"/>
        </w:rPr>
        <w:t>recibido esta información por ninguna de las partes</w:t>
      </w:r>
      <w:r w:rsidRPr="6D227EC3">
        <w:rPr>
          <w:rStyle w:val="normaltextrun"/>
          <w:rFonts w:ascii="Cambria" w:hAnsi="Cambria"/>
          <w:color w:val="000000" w:themeColor="text1"/>
          <w:sz w:val="20"/>
          <w:szCs w:val="20"/>
          <w:lang w:val="es-ES"/>
        </w:rPr>
        <w:t>.</w:t>
      </w:r>
    </w:p>
    <w:p w14:paraId="7B0600A8" w14:textId="77777777" w:rsidR="00773C63" w:rsidRDefault="00773C63" w:rsidP="6D227EC3">
      <w:pPr>
        <w:pStyle w:val="paragraph"/>
        <w:spacing w:before="0" w:beforeAutospacing="0" w:after="0" w:afterAutospacing="0"/>
        <w:jc w:val="both"/>
        <w:textAlignment w:val="baseline"/>
        <w:rPr>
          <w:rStyle w:val="normaltextrun"/>
          <w:rFonts w:ascii="Cambria" w:hAnsi="Cambria"/>
          <w:b/>
          <w:bCs/>
          <w:color w:val="000000" w:themeColor="text1"/>
          <w:sz w:val="20"/>
          <w:szCs w:val="20"/>
          <w:lang w:val="es-CO"/>
        </w:rPr>
      </w:pPr>
    </w:p>
    <w:p w14:paraId="52D4369A" w14:textId="59F5DED2" w:rsidR="00773C63" w:rsidRPr="00773C63" w:rsidRDefault="00773C63" w:rsidP="6D227EC3">
      <w:pPr>
        <w:pStyle w:val="paragraph"/>
        <w:numPr>
          <w:ilvl w:val="0"/>
          <w:numId w:val="2"/>
        </w:numPr>
        <w:spacing w:before="0" w:beforeAutospacing="0" w:after="0" w:afterAutospacing="0"/>
        <w:jc w:val="both"/>
        <w:textAlignment w:val="baseline"/>
        <w:rPr>
          <w:rFonts w:ascii="Cambria" w:hAnsi="Cambria"/>
          <w:color w:val="000000" w:themeColor="text1"/>
          <w:sz w:val="20"/>
          <w:szCs w:val="20"/>
          <w:lang w:val="es-CO"/>
        </w:rPr>
      </w:pPr>
      <w:r w:rsidRPr="6D227EC3">
        <w:rPr>
          <w:rStyle w:val="normaltextrun"/>
          <w:rFonts w:ascii="Cambria" w:hAnsi="Cambria"/>
          <w:b/>
          <w:bCs/>
          <w:color w:val="000000" w:themeColor="text1"/>
          <w:sz w:val="20"/>
          <w:szCs w:val="20"/>
          <w:lang w:val="es-ES"/>
        </w:rPr>
        <w:t>Análisis relativo a la información proporcionada </w:t>
      </w:r>
      <w:r w:rsidRPr="6D227EC3">
        <w:rPr>
          <w:rStyle w:val="normaltextrun"/>
          <w:rFonts w:ascii="Cambria" w:hAnsi="Cambria"/>
          <w:color w:val="000000" w:themeColor="text1"/>
          <w:sz w:val="20"/>
          <w:szCs w:val="20"/>
          <w:lang w:val="es-CO"/>
        </w:rPr>
        <w:t> </w:t>
      </w:r>
      <w:r w:rsidRPr="6D227EC3">
        <w:rPr>
          <w:rStyle w:val="eop"/>
          <w:rFonts w:ascii="Cambria" w:eastAsiaTheme="majorEastAsia" w:hAnsi="Cambria"/>
          <w:color w:val="000000" w:themeColor="text1"/>
          <w:sz w:val="20"/>
          <w:szCs w:val="20"/>
          <w:lang w:val="es-CO"/>
        </w:rPr>
        <w:t> </w:t>
      </w:r>
    </w:p>
    <w:p w14:paraId="323F8AE3" w14:textId="77777777" w:rsidR="00773C63" w:rsidRPr="00773C63" w:rsidRDefault="00773C63" w:rsidP="6D227EC3">
      <w:pPr>
        <w:pStyle w:val="paragraph"/>
        <w:spacing w:before="0" w:beforeAutospacing="0" w:after="0" w:afterAutospacing="0"/>
        <w:jc w:val="both"/>
        <w:textAlignment w:val="baseline"/>
        <w:rPr>
          <w:rFonts w:ascii="Cambria" w:hAnsi="Cambria"/>
          <w:color w:val="000000" w:themeColor="text1"/>
          <w:sz w:val="20"/>
          <w:szCs w:val="20"/>
          <w:lang w:val="es-CO"/>
        </w:rPr>
      </w:pPr>
      <w:r w:rsidRPr="6D227EC3">
        <w:rPr>
          <w:rStyle w:val="normaltextrun"/>
          <w:rFonts w:ascii="Cambria" w:hAnsi="Cambria"/>
          <w:color w:val="000000" w:themeColor="text1"/>
          <w:sz w:val="20"/>
          <w:szCs w:val="20"/>
          <w:lang w:val="es-CO"/>
        </w:rPr>
        <w:t> </w:t>
      </w:r>
      <w:r w:rsidRPr="6D227EC3">
        <w:rPr>
          <w:rStyle w:val="eop"/>
          <w:rFonts w:ascii="Cambria" w:eastAsiaTheme="majorEastAsia" w:hAnsi="Cambria"/>
          <w:color w:val="000000" w:themeColor="text1"/>
          <w:sz w:val="20"/>
          <w:szCs w:val="20"/>
          <w:lang w:val="es-CO"/>
        </w:rPr>
        <w:t> </w:t>
      </w:r>
    </w:p>
    <w:p w14:paraId="2F0C2135" w14:textId="6CBDB9DB" w:rsidR="00533D49" w:rsidRPr="00533D49" w:rsidRDefault="00773C63" w:rsidP="6D227EC3">
      <w:pPr>
        <w:pStyle w:val="paragraph"/>
        <w:numPr>
          <w:ilvl w:val="0"/>
          <w:numId w:val="1"/>
        </w:numPr>
        <w:tabs>
          <w:tab w:val="left" w:pos="720"/>
        </w:tabs>
        <w:spacing w:before="0" w:beforeAutospacing="0" w:after="0" w:afterAutospacing="0"/>
        <w:jc w:val="both"/>
        <w:textAlignment w:val="baseline"/>
        <w:rPr>
          <w:rFonts w:ascii="Cambria" w:hAnsi="Cambria"/>
          <w:color w:val="000000" w:themeColor="text1"/>
          <w:sz w:val="20"/>
          <w:szCs w:val="20"/>
          <w:lang w:val="es-CO"/>
        </w:rPr>
      </w:pPr>
      <w:r w:rsidRPr="6D227EC3">
        <w:rPr>
          <w:rStyle w:val="normaltextrun"/>
          <w:rFonts w:ascii="Cambria" w:hAnsi="Cambria"/>
          <w:color w:val="000000" w:themeColor="text1"/>
          <w:sz w:val="20"/>
          <w:szCs w:val="20"/>
          <w:lang w:val="es-ES"/>
        </w:rPr>
        <w:t xml:space="preserve">En 2022, ninguna de las partes proporcionó la información solicitada por la Comisión. </w:t>
      </w:r>
    </w:p>
    <w:p w14:paraId="082702B8" w14:textId="77777777" w:rsidR="00986D0F" w:rsidRPr="00533D49" w:rsidRDefault="00986D0F" w:rsidP="6D227EC3">
      <w:pPr>
        <w:rPr>
          <w:rFonts w:ascii="Cambria" w:eastAsia="Cambria" w:hAnsi="Cambria" w:cs="Cambria"/>
          <w:b/>
          <w:bCs/>
          <w:color w:val="000000" w:themeColor="text1"/>
          <w:sz w:val="20"/>
          <w:szCs w:val="20"/>
          <w:lang w:val="es-CO"/>
        </w:rPr>
      </w:pPr>
    </w:p>
    <w:p w14:paraId="0BA73AF6" w14:textId="1AD21F7B" w:rsidR="00773C63" w:rsidRPr="00773C63" w:rsidRDefault="00773C63" w:rsidP="6D227EC3">
      <w:pPr>
        <w:pStyle w:val="paragraph"/>
        <w:numPr>
          <w:ilvl w:val="0"/>
          <w:numId w:val="2"/>
        </w:numPr>
        <w:spacing w:before="0" w:beforeAutospacing="0" w:after="0" w:afterAutospacing="0"/>
        <w:jc w:val="both"/>
        <w:textAlignment w:val="baseline"/>
        <w:rPr>
          <w:rFonts w:ascii="Cambria" w:hAnsi="Cambria"/>
          <w:color w:val="000000" w:themeColor="text1"/>
          <w:sz w:val="20"/>
          <w:szCs w:val="20"/>
          <w:lang w:val="es-CO"/>
        </w:rPr>
      </w:pPr>
      <w:r w:rsidRPr="6D227EC3">
        <w:rPr>
          <w:rStyle w:val="normaltextrun"/>
          <w:rFonts w:ascii="Cambria" w:hAnsi="Cambria"/>
          <w:b/>
          <w:bCs/>
          <w:color w:val="000000" w:themeColor="text1"/>
          <w:sz w:val="20"/>
          <w:szCs w:val="20"/>
          <w:shd w:val="clear" w:color="auto" w:fill="FFFFFF"/>
          <w:lang w:val="es-ES"/>
        </w:rPr>
        <w:t>Análisis del cumplimiento de las recomendaciones</w:t>
      </w:r>
      <w:r w:rsidRPr="6D227EC3">
        <w:rPr>
          <w:rStyle w:val="normaltextrun"/>
          <w:rFonts w:ascii="Cambria" w:hAnsi="Cambria"/>
          <w:color w:val="000000" w:themeColor="text1"/>
          <w:sz w:val="20"/>
          <w:szCs w:val="20"/>
          <w:shd w:val="clear" w:color="auto" w:fill="FFFFFF"/>
          <w:lang w:val="es-CO"/>
        </w:rPr>
        <w:t> </w:t>
      </w:r>
      <w:r w:rsidRPr="6D227EC3">
        <w:rPr>
          <w:rStyle w:val="eop"/>
          <w:rFonts w:ascii="Cambria" w:hAnsi="Cambria"/>
          <w:color w:val="000000" w:themeColor="text1"/>
          <w:sz w:val="20"/>
          <w:szCs w:val="20"/>
          <w:shd w:val="clear" w:color="auto" w:fill="FFFFFF"/>
          <w:lang w:val="es-CO"/>
        </w:rPr>
        <w:t> </w:t>
      </w:r>
      <w:r w:rsidRPr="6D227EC3">
        <w:rPr>
          <w:rStyle w:val="normaltextrun"/>
          <w:rFonts w:ascii="Cambria" w:hAnsi="Cambria"/>
          <w:b/>
          <w:bCs/>
          <w:color w:val="000000" w:themeColor="text1"/>
          <w:sz w:val="20"/>
          <w:szCs w:val="20"/>
          <w:lang w:val="es-ES"/>
        </w:rPr>
        <w:t> </w:t>
      </w:r>
      <w:r w:rsidRPr="6D227EC3">
        <w:rPr>
          <w:rStyle w:val="normaltextrun"/>
          <w:rFonts w:ascii="Cambria" w:hAnsi="Cambria"/>
          <w:color w:val="000000" w:themeColor="text1"/>
          <w:sz w:val="20"/>
          <w:szCs w:val="20"/>
          <w:lang w:val="es-CO"/>
        </w:rPr>
        <w:t> </w:t>
      </w:r>
      <w:r w:rsidRPr="6D227EC3">
        <w:rPr>
          <w:rStyle w:val="eop"/>
          <w:rFonts w:ascii="Cambria" w:eastAsiaTheme="majorEastAsia" w:hAnsi="Cambria"/>
          <w:color w:val="000000" w:themeColor="text1"/>
          <w:sz w:val="20"/>
          <w:szCs w:val="20"/>
          <w:lang w:val="es-CO"/>
        </w:rPr>
        <w:t> </w:t>
      </w:r>
    </w:p>
    <w:p w14:paraId="45B26099" w14:textId="47076C7F" w:rsidR="00BD17B0" w:rsidRDefault="00BD17B0" w:rsidP="6D227EC3">
      <w:pPr>
        <w:rPr>
          <w:color w:val="000000" w:themeColor="text1"/>
          <w:lang w:val="es-CO"/>
        </w:rPr>
      </w:pPr>
    </w:p>
    <w:p w14:paraId="02DA3043" w14:textId="32574E1F" w:rsidR="00773C63" w:rsidRPr="00773C63" w:rsidRDefault="00773C63" w:rsidP="6D227EC3">
      <w:pPr>
        <w:pStyle w:val="ListParagraph"/>
        <w:numPr>
          <w:ilvl w:val="0"/>
          <w:numId w:val="1"/>
        </w:numPr>
        <w:jc w:val="both"/>
        <w:rPr>
          <w:rFonts w:ascii="Cambria" w:hAnsi="Cambria"/>
          <w:color w:val="000000" w:themeColor="text1"/>
          <w:sz w:val="20"/>
          <w:szCs w:val="20"/>
          <w:lang w:val="es-CO"/>
        </w:rPr>
      </w:pPr>
      <w:r w:rsidRPr="6D227EC3">
        <w:rPr>
          <w:rFonts w:ascii="Cambria" w:hAnsi="Cambria"/>
          <w:color w:val="000000" w:themeColor="text1"/>
          <w:sz w:val="20"/>
          <w:szCs w:val="20"/>
          <w:lang w:val="es-CO"/>
        </w:rPr>
        <w:t xml:space="preserve">En relación con las recomendaciones 1 a la 8, la CIDH no ha recibido ninguna información relevante a su cumplimiento por lo que concluye que están pendientes de implementación. </w:t>
      </w:r>
    </w:p>
    <w:p w14:paraId="03C6B669" w14:textId="304B5DC6" w:rsidR="00773C63" w:rsidRPr="00773C63" w:rsidRDefault="00773C63" w:rsidP="6D227EC3">
      <w:pPr>
        <w:pStyle w:val="ListParagraph"/>
        <w:rPr>
          <w:color w:val="000000" w:themeColor="text1"/>
          <w:lang w:val="es-CO"/>
        </w:rPr>
      </w:pPr>
    </w:p>
    <w:p w14:paraId="630642F7" w14:textId="3B424678" w:rsidR="00773C63" w:rsidRPr="00773C63" w:rsidRDefault="00773C63" w:rsidP="6D227EC3">
      <w:pPr>
        <w:pStyle w:val="ListParagraph"/>
        <w:numPr>
          <w:ilvl w:val="0"/>
          <w:numId w:val="2"/>
        </w:numPr>
        <w:jc w:val="both"/>
        <w:textAlignment w:val="baseline"/>
        <w:rPr>
          <w:rFonts w:ascii="Cambria" w:eastAsia="Times New Roman" w:hAnsi="Cambria" w:cs="Times New Roman"/>
          <w:color w:val="000000" w:themeColor="text1"/>
          <w:sz w:val="20"/>
          <w:szCs w:val="20"/>
          <w:lang w:val="es-CO"/>
        </w:rPr>
      </w:pPr>
      <w:r w:rsidRPr="6D227EC3">
        <w:rPr>
          <w:rFonts w:ascii="Cambria" w:eastAsia="Times New Roman" w:hAnsi="Cambria" w:cs="Times New Roman"/>
          <w:b/>
          <w:bCs/>
          <w:color w:val="000000" w:themeColor="text1"/>
          <w:sz w:val="20"/>
          <w:szCs w:val="20"/>
          <w:lang w:val="es-CO"/>
        </w:rPr>
        <w:t>Nivel del cumplimiento del caso </w:t>
      </w:r>
    </w:p>
    <w:p w14:paraId="0243E12A" w14:textId="320E32C3" w:rsidR="00773C63" w:rsidRPr="00773C63" w:rsidRDefault="00773C63" w:rsidP="6D227EC3">
      <w:pPr>
        <w:rPr>
          <w:rFonts w:ascii="Times New Roman" w:eastAsia="Times New Roman" w:hAnsi="Times New Roman" w:cs="Times New Roman"/>
          <w:color w:val="000000" w:themeColor="text1"/>
          <w:lang w:val="es-CO"/>
        </w:rPr>
      </w:pPr>
    </w:p>
    <w:p w14:paraId="744B7D84" w14:textId="77C13F50" w:rsidR="00773C63" w:rsidRPr="00773C63" w:rsidRDefault="00773C63" w:rsidP="6D227EC3">
      <w:pPr>
        <w:pStyle w:val="ListParagraph"/>
        <w:numPr>
          <w:ilvl w:val="0"/>
          <w:numId w:val="1"/>
        </w:numPr>
        <w:jc w:val="both"/>
        <w:textAlignment w:val="baseline"/>
        <w:rPr>
          <w:rFonts w:ascii="Cambria" w:eastAsia="Times New Roman" w:hAnsi="Cambria" w:cs="Times New Roman"/>
          <w:color w:val="000000" w:themeColor="text1"/>
          <w:sz w:val="20"/>
          <w:szCs w:val="20"/>
          <w:lang w:val="es-CO"/>
        </w:rPr>
      </w:pPr>
      <w:r w:rsidRPr="6D227EC3">
        <w:rPr>
          <w:rFonts w:ascii="Cambria" w:eastAsia="Times New Roman" w:hAnsi="Cambria" w:cs="Times New Roman"/>
          <w:color w:val="000000" w:themeColor="text1"/>
          <w:sz w:val="20"/>
          <w:szCs w:val="20"/>
          <w:lang w:val="es-CO"/>
        </w:rPr>
        <w:t>Por lo anterior, la Comisión concluye que el nivel de cumplimiento de este caso es pendiente. En consecuencia, la CIDH seguirá supervisando el cumplimiento de las Recomendaciones 1 a 8. </w:t>
      </w:r>
    </w:p>
    <w:p w14:paraId="211CDE93" w14:textId="77777777" w:rsidR="00773C63" w:rsidRPr="00773C63" w:rsidRDefault="00773C63" w:rsidP="6D227EC3">
      <w:pPr>
        <w:pStyle w:val="ListParagraph"/>
        <w:ind w:left="810"/>
        <w:jc w:val="both"/>
        <w:textAlignment w:val="baseline"/>
        <w:rPr>
          <w:rFonts w:ascii="Cambria" w:eastAsia="Times New Roman" w:hAnsi="Cambria" w:cs="Times New Roman"/>
          <w:color w:val="000000" w:themeColor="text1"/>
          <w:sz w:val="20"/>
          <w:szCs w:val="20"/>
          <w:lang w:val="es-CO"/>
        </w:rPr>
      </w:pPr>
    </w:p>
    <w:p w14:paraId="0490F8F0" w14:textId="5206CAB2" w:rsidR="00773C63" w:rsidRPr="00773C63" w:rsidRDefault="00773C63" w:rsidP="6D227EC3">
      <w:pPr>
        <w:pStyle w:val="ListParagraph"/>
        <w:numPr>
          <w:ilvl w:val="0"/>
          <w:numId w:val="1"/>
        </w:numPr>
        <w:jc w:val="both"/>
        <w:textAlignment w:val="baseline"/>
        <w:rPr>
          <w:rFonts w:ascii="Cambria" w:eastAsia="Times New Roman" w:hAnsi="Cambria" w:cs="Times New Roman"/>
          <w:color w:val="000000" w:themeColor="text1"/>
          <w:sz w:val="20"/>
          <w:szCs w:val="20"/>
          <w:lang w:val="es-CO"/>
        </w:rPr>
      </w:pPr>
      <w:r w:rsidRPr="6D227EC3">
        <w:rPr>
          <w:rFonts w:ascii="Cambria" w:eastAsia="Times New Roman" w:hAnsi="Cambria" w:cs="Times New Roman"/>
          <w:color w:val="000000" w:themeColor="text1"/>
          <w:sz w:val="20"/>
          <w:szCs w:val="20"/>
          <w:lang w:val="es-CO"/>
        </w:rPr>
        <w:t>La Comisión insta al Estado adoptar las acciones necesarias para cumplir con las recomendaciones emitidas en el Informe de Fondo Nº 297/21, y proporcionar información actualizada y detallada sobre dichas acciones a la CIDH</w:t>
      </w:r>
      <w:r w:rsidRPr="6D227EC3">
        <w:rPr>
          <w:rFonts w:ascii="Calibri" w:eastAsia="Times New Roman" w:hAnsi="Calibri" w:cs="Calibri"/>
          <w:color w:val="000000" w:themeColor="text1"/>
          <w:lang w:val="es-CO"/>
        </w:rPr>
        <w:t>.</w:t>
      </w:r>
    </w:p>
    <w:p w14:paraId="622622D2" w14:textId="77777777" w:rsidR="00773C63" w:rsidRPr="00773C63" w:rsidRDefault="00773C63" w:rsidP="6D227EC3">
      <w:pPr>
        <w:jc w:val="both"/>
        <w:textAlignment w:val="baseline"/>
        <w:rPr>
          <w:rFonts w:ascii="Cambria" w:eastAsia="Times New Roman" w:hAnsi="Cambria" w:cs="Times New Roman"/>
          <w:color w:val="000000" w:themeColor="text1"/>
          <w:sz w:val="20"/>
          <w:szCs w:val="20"/>
          <w:lang w:val="es-CO"/>
        </w:rPr>
      </w:pPr>
    </w:p>
    <w:p w14:paraId="48AABADA" w14:textId="3DA23121" w:rsidR="00773C63" w:rsidRPr="00773C63" w:rsidRDefault="00773C63" w:rsidP="6D227EC3">
      <w:pPr>
        <w:pStyle w:val="ListParagraph"/>
        <w:numPr>
          <w:ilvl w:val="0"/>
          <w:numId w:val="2"/>
        </w:numPr>
        <w:jc w:val="both"/>
        <w:textAlignment w:val="baseline"/>
        <w:rPr>
          <w:rFonts w:ascii="Cambria" w:eastAsia="Times New Roman" w:hAnsi="Cambria" w:cs="Times New Roman"/>
          <w:color w:val="000000" w:themeColor="text1"/>
          <w:sz w:val="20"/>
          <w:szCs w:val="20"/>
          <w:lang w:val="es-CO"/>
        </w:rPr>
      </w:pPr>
      <w:r w:rsidRPr="6D227EC3">
        <w:rPr>
          <w:rFonts w:ascii="Cambria" w:eastAsia="Times New Roman" w:hAnsi="Cambria" w:cs="Times New Roman"/>
          <w:b/>
          <w:bCs/>
          <w:color w:val="000000" w:themeColor="text1"/>
          <w:sz w:val="20"/>
          <w:szCs w:val="20"/>
          <w:lang w:val="es-CO"/>
        </w:rPr>
        <w:t>Resultados individuales y estructurales del caso </w:t>
      </w:r>
    </w:p>
    <w:p w14:paraId="00838E66" w14:textId="6C05DDD6" w:rsidR="6D227EC3" w:rsidRDefault="6D227EC3" w:rsidP="6D227EC3">
      <w:pPr>
        <w:jc w:val="both"/>
        <w:rPr>
          <w:rFonts w:ascii="Cambria" w:eastAsia="Times New Roman" w:hAnsi="Cambria" w:cs="Times New Roman"/>
          <w:color w:val="000000" w:themeColor="text1"/>
          <w:sz w:val="20"/>
          <w:szCs w:val="20"/>
          <w:lang w:val="es-CO"/>
        </w:rPr>
      </w:pPr>
    </w:p>
    <w:p w14:paraId="1C484745" w14:textId="457C7274" w:rsidR="00773C63" w:rsidRPr="00773C63" w:rsidRDefault="00773C63" w:rsidP="6D227EC3">
      <w:pPr>
        <w:pStyle w:val="ListParagraph"/>
        <w:numPr>
          <w:ilvl w:val="0"/>
          <w:numId w:val="1"/>
        </w:numPr>
        <w:jc w:val="both"/>
        <w:textAlignment w:val="baseline"/>
        <w:rPr>
          <w:rFonts w:ascii="Cambria" w:eastAsia="Times New Roman" w:hAnsi="Cambria" w:cs="Times New Roman"/>
          <w:color w:val="000000" w:themeColor="text1"/>
          <w:sz w:val="20"/>
          <w:szCs w:val="20"/>
          <w:lang w:val="es-CO"/>
        </w:rPr>
      </w:pPr>
      <w:r w:rsidRPr="6D227EC3">
        <w:rPr>
          <w:rFonts w:ascii="Cambria" w:eastAsia="Times New Roman" w:hAnsi="Cambria" w:cs="Times New Roman"/>
          <w:color w:val="000000" w:themeColor="text1"/>
          <w:sz w:val="20"/>
          <w:szCs w:val="20"/>
          <w:lang w:val="es-CO"/>
        </w:rPr>
        <w:t>Dado que este caso está pendiente de cumplimiento, no hay resultados individuales o estructurales informados por las partes.</w:t>
      </w:r>
    </w:p>
    <w:p w14:paraId="6462CBA1" w14:textId="77777777" w:rsidR="00773C63" w:rsidRPr="00773C63" w:rsidRDefault="00773C63" w:rsidP="6D227EC3">
      <w:pPr>
        <w:rPr>
          <w:color w:val="000000" w:themeColor="text1"/>
          <w:lang w:val="es-CO"/>
        </w:rPr>
      </w:pPr>
    </w:p>
    <w:sectPr w:rsidR="00773C63" w:rsidRPr="00773C63"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F249" w14:textId="77777777" w:rsidR="008C3B7E" w:rsidRDefault="008C3B7E" w:rsidP="00672733">
      <w:r>
        <w:separator/>
      </w:r>
    </w:p>
  </w:endnote>
  <w:endnote w:type="continuationSeparator" w:id="0">
    <w:p w14:paraId="1FD8278F" w14:textId="77777777" w:rsidR="008C3B7E" w:rsidRDefault="008C3B7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A669" w14:textId="77777777" w:rsidR="008C3B7E" w:rsidRDefault="008C3B7E" w:rsidP="00672733">
      <w:r>
        <w:separator/>
      </w:r>
    </w:p>
  </w:footnote>
  <w:footnote w:type="continuationSeparator" w:id="0">
    <w:p w14:paraId="5EB9F346" w14:textId="77777777" w:rsidR="008C3B7E" w:rsidRDefault="008C3B7E" w:rsidP="00672733">
      <w:r>
        <w:continuationSeparator/>
      </w:r>
    </w:p>
  </w:footnote>
  <w:footnote w:id="1">
    <w:p w14:paraId="7BE15EE8" w14:textId="77777777" w:rsidR="004A0724" w:rsidRPr="00986D0F" w:rsidRDefault="004A0724" w:rsidP="004A0724">
      <w:pPr>
        <w:jc w:val="both"/>
        <w:rPr>
          <w:rFonts w:ascii="Cambria" w:eastAsia="Cambria" w:hAnsi="Cambria" w:cs="Cambria"/>
          <w:sz w:val="16"/>
          <w:szCs w:val="16"/>
          <w:lang w:val="es-ES"/>
        </w:rPr>
      </w:pPr>
      <w:r>
        <w:rPr>
          <w:vertAlign w:val="superscript"/>
        </w:rPr>
        <w:footnoteRef/>
      </w:r>
      <w:r w:rsidRPr="00986D0F">
        <w:rPr>
          <w:rFonts w:ascii="Cambria" w:eastAsia="Cambria" w:hAnsi="Cambria" w:cs="Cambria"/>
          <w:sz w:val="16"/>
          <w:szCs w:val="16"/>
          <w:lang w:val="es-ES"/>
        </w:rPr>
        <w:t xml:space="preserve"> Los peticionarios solicitaron reserva de identidad con base en el artículo 28.2 del Reglamento de la CIDH, el que establece que: “[l]as peticiones dirigidas a la Comisión deberán contener la siguiente información: 2. Si el peticionario desea que su identidad sea mantenida en reserva frente al Estado, y las razones respectivas”.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1753"/>
    <w:multiLevelType w:val="hybridMultilevel"/>
    <w:tmpl w:val="9648E752"/>
    <w:lvl w:ilvl="0" w:tplc="E0722126">
      <w:start w:val="1"/>
      <w:numFmt w:val="upperRoman"/>
      <w:lvlText w:val="%1."/>
      <w:lvlJc w:val="left"/>
      <w:pPr>
        <w:ind w:left="720" w:hanging="360"/>
      </w:pPr>
    </w:lvl>
    <w:lvl w:ilvl="1" w:tplc="FB28C770">
      <w:start w:val="1"/>
      <w:numFmt w:val="lowerLetter"/>
      <w:lvlText w:val="%2."/>
      <w:lvlJc w:val="left"/>
      <w:pPr>
        <w:ind w:left="1440" w:hanging="360"/>
      </w:pPr>
    </w:lvl>
    <w:lvl w:ilvl="2" w:tplc="CEBA6AD8">
      <w:start w:val="1"/>
      <w:numFmt w:val="lowerRoman"/>
      <w:lvlText w:val="%3."/>
      <w:lvlJc w:val="right"/>
      <w:pPr>
        <w:ind w:left="2160" w:hanging="180"/>
      </w:pPr>
    </w:lvl>
    <w:lvl w:ilvl="3" w:tplc="4D7AB106">
      <w:start w:val="1"/>
      <w:numFmt w:val="decimal"/>
      <w:lvlText w:val="%4."/>
      <w:lvlJc w:val="left"/>
      <w:pPr>
        <w:ind w:left="2880" w:hanging="360"/>
      </w:pPr>
    </w:lvl>
    <w:lvl w:ilvl="4" w:tplc="CADAB8A0">
      <w:start w:val="1"/>
      <w:numFmt w:val="lowerLetter"/>
      <w:lvlText w:val="%5."/>
      <w:lvlJc w:val="left"/>
      <w:pPr>
        <w:ind w:left="3600" w:hanging="360"/>
      </w:pPr>
    </w:lvl>
    <w:lvl w:ilvl="5" w:tplc="5652E2F8">
      <w:start w:val="1"/>
      <w:numFmt w:val="lowerRoman"/>
      <w:lvlText w:val="%6."/>
      <w:lvlJc w:val="right"/>
      <w:pPr>
        <w:ind w:left="4320" w:hanging="180"/>
      </w:pPr>
    </w:lvl>
    <w:lvl w:ilvl="6" w:tplc="EBB083CC">
      <w:start w:val="1"/>
      <w:numFmt w:val="decimal"/>
      <w:lvlText w:val="%7."/>
      <w:lvlJc w:val="left"/>
      <w:pPr>
        <w:ind w:left="5040" w:hanging="360"/>
      </w:pPr>
    </w:lvl>
    <w:lvl w:ilvl="7" w:tplc="C8224DF0">
      <w:start w:val="1"/>
      <w:numFmt w:val="lowerLetter"/>
      <w:lvlText w:val="%8."/>
      <w:lvlJc w:val="left"/>
      <w:pPr>
        <w:ind w:left="5760" w:hanging="360"/>
      </w:pPr>
    </w:lvl>
    <w:lvl w:ilvl="8" w:tplc="7520E40E">
      <w:start w:val="1"/>
      <w:numFmt w:val="lowerRoman"/>
      <w:lvlText w:val="%9."/>
      <w:lvlJc w:val="right"/>
      <w:pPr>
        <w:ind w:left="6480" w:hanging="180"/>
      </w:pPr>
    </w:lvl>
  </w:abstractNum>
  <w:abstractNum w:abstractNumId="1" w15:restartNumberingAfterBreak="0">
    <w:nsid w:val="0335465E"/>
    <w:multiLevelType w:val="multilevel"/>
    <w:tmpl w:val="B30E95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E5A"/>
    <w:multiLevelType w:val="hybridMultilevel"/>
    <w:tmpl w:val="8F18EFCA"/>
    <w:lvl w:ilvl="0" w:tplc="AA0AC288">
      <w:start w:val="1"/>
      <w:numFmt w:val="decimal"/>
      <w:lvlText w:val="%1."/>
      <w:lvlJc w:val="left"/>
      <w:pPr>
        <w:ind w:left="720" w:hanging="360"/>
      </w:pPr>
    </w:lvl>
    <w:lvl w:ilvl="1" w:tplc="83EA4672">
      <w:start w:val="1"/>
      <w:numFmt w:val="lowerLetter"/>
      <w:lvlText w:val="%2."/>
      <w:lvlJc w:val="left"/>
      <w:pPr>
        <w:ind w:left="1440" w:hanging="360"/>
      </w:pPr>
    </w:lvl>
    <w:lvl w:ilvl="2" w:tplc="D960B90C">
      <w:start w:val="1"/>
      <w:numFmt w:val="lowerRoman"/>
      <w:lvlText w:val="%3."/>
      <w:lvlJc w:val="right"/>
      <w:pPr>
        <w:ind w:left="2160" w:hanging="180"/>
      </w:pPr>
    </w:lvl>
    <w:lvl w:ilvl="3" w:tplc="B91E3EF4">
      <w:start w:val="1"/>
      <w:numFmt w:val="decimal"/>
      <w:lvlText w:val="%4."/>
      <w:lvlJc w:val="left"/>
      <w:pPr>
        <w:ind w:left="2880" w:hanging="360"/>
      </w:pPr>
    </w:lvl>
    <w:lvl w:ilvl="4" w:tplc="9FDC35AE">
      <w:start w:val="1"/>
      <w:numFmt w:val="lowerLetter"/>
      <w:lvlText w:val="%5."/>
      <w:lvlJc w:val="left"/>
      <w:pPr>
        <w:ind w:left="3600" w:hanging="360"/>
      </w:pPr>
    </w:lvl>
    <w:lvl w:ilvl="5" w:tplc="D382BBA0">
      <w:start w:val="1"/>
      <w:numFmt w:val="lowerRoman"/>
      <w:lvlText w:val="%6."/>
      <w:lvlJc w:val="right"/>
      <w:pPr>
        <w:ind w:left="4320" w:hanging="180"/>
      </w:pPr>
    </w:lvl>
    <w:lvl w:ilvl="6" w:tplc="6E2AA270">
      <w:start w:val="1"/>
      <w:numFmt w:val="decimal"/>
      <w:lvlText w:val="%7."/>
      <w:lvlJc w:val="left"/>
      <w:pPr>
        <w:ind w:left="5040" w:hanging="360"/>
      </w:pPr>
    </w:lvl>
    <w:lvl w:ilvl="7" w:tplc="470876BA">
      <w:start w:val="1"/>
      <w:numFmt w:val="lowerLetter"/>
      <w:lvlText w:val="%8."/>
      <w:lvlJc w:val="left"/>
      <w:pPr>
        <w:ind w:left="5760" w:hanging="360"/>
      </w:pPr>
    </w:lvl>
    <w:lvl w:ilvl="8" w:tplc="2118DC64">
      <w:start w:val="1"/>
      <w:numFmt w:val="lowerRoman"/>
      <w:lvlText w:val="%9."/>
      <w:lvlJc w:val="right"/>
      <w:pPr>
        <w:ind w:left="6480" w:hanging="180"/>
      </w:pPr>
    </w:lvl>
  </w:abstractNum>
  <w:abstractNum w:abstractNumId="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7403912"/>
    <w:multiLevelType w:val="multilevel"/>
    <w:tmpl w:val="46D0F4C6"/>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1EA4227D"/>
    <w:multiLevelType w:val="multilevel"/>
    <w:tmpl w:val="8D36E9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27F221DB"/>
    <w:multiLevelType w:val="multilevel"/>
    <w:tmpl w:val="FA203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CA51AA"/>
    <w:multiLevelType w:val="multilevel"/>
    <w:tmpl w:val="5964E1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AF1E09"/>
    <w:multiLevelType w:val="multilevel"/>
    <w:tmpl w:val="1298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3281D"/>
    <w:multiLevelType w:val="hybridMultilevel"/>
    <w:tmpl w:val="22E65B10"/>
    <w:lvl w:ilvl="0" w:tplc="11C61E38">
      <w:start w:val="2"/>
      <w:numFmt w:val="upperRoman"/>
      <w:lvlText w:val="%1."/>
      <w:lvlJc w:val="right"/>
      <w:pPr>
        <w:tabs>
          <w:tab w:val="num" w:pos="720"/>
        </w:tabs>
        <w:ind w:left="720" w:hanging="360"/>
      </w:pPr>
    </w:lvl>
    <w:lvl w:ilvl="1" w:tplc="ABEE3352" w:tentative="1">
      <w:start w:val="1"/>
      <w:numFmt w:val="decimal"/>
      <w:lvlText w:val="%2."/>
      <w:lvlJc w:val="left"/>
      <w:pPr>
        <w:tabs>
          <w:tab w:val="num" w:pos="1440"/>
        </w:tabs>
        <w:ind w:left="1440" w:hanging="360"/>
      </w:pPr>
    </w:lvl>
    <w:lvl w:ilvl="2" w:tplc="58182246" w:tentative="1">
      <w:start w:val="1"/>
      <w:numFmt w:val="decimal"/>
      <w:lvlText w:val="%3."/>
      <w:lvlJc w:val="left"/>
      <w:pPr>
        <w:tabs>
          <w:tab w:val="num" w:pos="2160"/>
        </w:tabs>
        <w:ind w:left="2160" w:hanging="360"/>
      </w:pPr>
    </w:lvl>
    <w:lvl w:ilvl="3" w:tplc="4BB0022E" w:tentative="1">
      <w:start w:val="1"/>
      <w:numFmt w:val="decimal"/>
      <w:lvlText w:val="%4."/>
      <w:lvlJc w:val="left"/>
      <w:pPr>
        <w:tabs>
          <w:tab w:val="num" w:pos="2880"/>
        </w:tabs>
        <w:ind w:left="2880" w:hanging="360"/>
      </w:pPr>
    </w:lvl>
    <w:lvl w:ilvl="4" w:tplc="01347F9E" w:tentative="1">
      <w:start w:val="1"/>
      <w:numFmt w:val="decimal"/>
      <w:lvlText w:val="%5."/>
      <w:lvlJc w:val="left"/>
      <w:pPr>
        <w:tabs>
          <w:tab w:val="num" w:pos="3600"/>
        </w:tabs>
        <w:ind w:left="3600" w:hanging="360"/>
      </w:pPr>
    </w:lvl>
    <w:lvl w:ilvl="5" w:tplc="2CF04E70" w:tentative="1">
      <w:start w:val="1"/>
      <w:numFmt w:val="decimal"/>
      <w:lvlText w:val="%6."/>
      <w:lvlJc w:val="left"/>
      <w:pPr>
        <w:tabs>
          <w:tab w:val="num" w:pos="4320"/>
        </w:tabs>
        <w:ind w:left="4320" w:hanging="360"/>
      </w:pPr>
    </w:lvl>
    <w:lvl w:ilvl="6" w:tplc="830ABD18" w:tentative="1">
      <w:start w:val="1"/>
      <w:numFmt w:val="decimal"/>
      <w:lvlText w:val="%7."/>
      <w:lvlJc w:val="left"/>
      <w:pPr>
        <w:tabs>
          <w:tab w:val="num" w:pos="5040"/>
        </w:tabs>
        <w:ind w:left="5040" w:hanging="360"/>
      </w:pPr>
    </w:lvl>
    <w:lvl w:ilvl="7" w:tplc="B69069D0" w:tentative="1">
      <w:start w:val="1"/>
      <w:numFmt w:val="decimal"/>
      <w:lvlText w:val="%8."/>
      <w:lvlJc w:val="left"/>
      <w:pPr>
        <w:tabs>
          <w:tab w:val="num" w:pos="5760"/>
        </w:tabs>
        <w:ind w:left="5760" w:hanging="360"/>
      </w:pPr>
    </w:lvl>
    <w:lvl w:ilvl="8" w:tplc="B55892A4" w:tentative="1">
      <w:start w:val="1"/>
      <w:numFmt w:val="decimal"/>
      <w:lvlText w:val="%9."/>
      <w:lvlJc w:val="left"/>
      <w:pPr>
        <w:tabs>
          <w:tab w:val="num" w:pos="6480"/>
        </w:tabs>
        <w:ind w:left="6480" w:hanging="360"/>
      </w:pPr>
    </w:lvl>
  </w:abstractNum>
  <w:abstractNum w:abstractNumId="13" w15:restartNumberingAfterBreak="0">
    <w:nsid w:val="3BA57428"/>
    <w:multiLevelType w:val="multilevel"/>
    <w:tmpl w:val="D6C4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15:restartNumberingAfterBreak="0">
    <w:nsid w:val="46A03488"/>
    <w:multiLevelType w:val="multilevel"/>
    <w:tmpl w:val="1E40C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856CC8"/>
    <w:multiLevelType w:val="multilevel"/>
    <w:tmpl w:val="FD820F5A"/>
    <w:lvl w:ilvl="0">
      <w:start w:val="3"/>
      <w:numFmt w:val="decimal"/>
      <w:lvlText w:val="%1."/>
      <w:lvlJc w:val="left"/>
      <w:pPr>
        <w:tabs>
          <w:tab w:val="num" w:pos="-540"/>
        </w:tabs>
        <w:ind w:left="-54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900"/>
        </w:tabs>
        <w:ind w:left="900" w:hanging="360"/>
      </w:pPr>
    </w:lvl>
    <w:lvl w:ilvl="3" w:tentative="1">
      <w:start w:val="1"/>
      <w:numFmt w:val="decimal"/>
      <w:lvlText w:val="%4."/>
      <w:lvlJc w:val="left"/>
      <w:pPr>
        <w:tabs>
          <w:tab w:val="num" w:pos="1620"/>
        </w:tabs>
        <w:ind w:left="1620" w:hanging="360"/>
      </w:pPr>
    </w:lvl>
    <w:lvl w:ilvl="4" w:tentative="1">
      <w:start w:val="1"/>
      <w:numFmt w:val="decimal"/>
      <w:lvlText w:val="%5."/>
      <w:lvlJc w:val="left"/>
      <w:pPr>
        <w:tabs>
          <w:tab w:val="num" w:pos="2340"/>
        </w:tabs>
        <w:ind w:left="2340" w:hanging="360"/>
      </w:pPr>
    </w:lvl>
    <w:lvl w:ilvl="5" w:tentative="1">
      <w:start w:val="1"/>
      <w:numFmt w:val="decimal"/>
      <w:lvlText w:val="%6."/>
      <w:lvlJc w:val="left"/>
      <w:pPr>
        <w:tabs>
          <w:tab w:val="num" w:pos="3060"/>
        </w:tabs>
        <w:ind w:left="3060" w:hanging="360"/>
      </w:pPr>
    </w:lvl>
    <w:lvl w:ilvl="6" w:tentative="1">
      <w:start w:val="1"/>
      <w:numFmt w:val="decimal"/>
      <w:lvlText w:val="%7."/>
      <w:lvlJc w:val="left"/>
      <w:pPr>
        <w:tabs>
          <w:tab w:val="num" w:pos="3780"/>
        </w:tabs>
        <w:ind w:left="3780" w:hanging="360"/>
      </w:pPr>
    </w:lvl>
    <w:lvl w:ilvl="7" w:tentative="1">
      <w:start w:val="1"/>
      <w:numFmt w:val="decimal"/>
      <w:lvlText w:val="%8."/>
      <w:lvlJc w:val="left"/>
      <w:pPr>
        <w:tabs>
          <w:tab w:val="num" w:pos="4500"/>
        </w:tabs>
        <w:ind w:left="4500" w:hanging="360"/>
      </w:pPr>
    </w:lvl>
    <w:lvl w:ilvl="8" w:tentative="1">
      <w:start w:val="1"/>
      <w:numFmt w:val="decimal"/>
      <w:lvlText w:val="%9."/>
      <w:lvlJc w:val="left"/>
      <w:pPr>
        <w:tabs>
          <w:tab w:val="num" w:pos="5220"/>
        </w:tabs>
        <w:ind w:left="5220" w:hanging="360"/>
      </w:pPr>
    </w:lvl>
  </w:abstractNum>
  <w:abstractNum w:abstractNumId="17" w15:restartNumberingAfterBreak="0">
    <w:nsid w:val="49DB100D"/>
    <w:multiLevelType w:val="multilevel"/>
    <w:tmpl w:val="11228580"/>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8" w15:restartNumberingAfterBreak="0">
    <w:nsid w:val="4A2521AC"/>
    <w:multiLevelType w:val="multilevel"/>
    <w:tmpl w:val="0CE620C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B5B2B15"/>
    <w:multiLevelType w:val="multilevel"/>
    <w:tmpl w:val="BD760834"/>
    <w:lvl w:ilvl="0">
      <w:start w:val="1"/>
      <w:numFmt w:val="upperRoman"/>
      <w:lvlText w:val="%1."/>
      <w:lvlJc w:val="left"/>
      <w:pPr>
        <w:ind w:left="1080" w:hanging="720"/>
      </w:pPr>
      <w:rPr>
        <w:b/>
        <w:bCs/>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B86EE0"/>
    <w:multiLevelType w:val="multilevel"/>
    <w:tmpl w:val="C792A9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0733EE"/>
    <w:multiLevelType w:val="multilevel"/>
    <w:tmpl w:val="015A5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E5E51CE"/>
    <w:multiLevelType w:val="multilevel"/>
    <w:tmpl w:val="F4108D98"/>
    <w:lvl w:ilvl="0">
      <w:start w:val="1"/>
      <w:numFmt w:val="decimal"/>
      <w:lvlText w:val="%1."/>
      <w:lvlJc w:val="left"/>
      <w:pPr>
        <w:tabs>
          <w:tab w:val="num" w:pos="0"/>
        </w:tabs>
        <w:ind w:left="0" w:hanging="360"/>
      </w:pPr>
      <w:rPr>
        <w:rFonts w:ascii="Cambria" w:hAnsi="Cambria" w:hint="default"/>
        <w:color w:val="FF0000"/>
        <w:sz w:val="20"/>
        <w:szCs w:val="20"/>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4" w15:restartNumberingAfterBreak="0">
    <w:nsid w:val="75E22F8E"/>
    <w:multiLevelType w:val="multilevel"/>
    <w:tmpl w:val="2668B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594825285">
    <w:abstractNumId w:val="3"/>
  </w:num>
  <w:num w:numId="2" w16cid:durableId="1929457651">
    <w:abstractNumId w:val="0"/>
  </w:num>
  <w:num w:numId="3" w16cid:durableId="1712607694">
    <w:abstractNumId w:val="14"/>
  </w:num>
  <w:num w:numId="4" w16cid:durableId="426849189">
    <w:abstractNumId w:val="25"/>
  </w:num>
  <w:num w:numId="5" w16cid:durableId="978146478">
    <w:abstractNumId w:val="21"/>
  </w:num>
  <w:num w:numId="6" w16cid:durableId="446504039">
    <w:abstractNumId w:val="6"/>
  </w:num>
  <w:num w:numId="7" w16cid:durableId="2048992643">
    <w:abstractNumId w:val="4"/>
  </w:num>
  <w:num w:numId="8" w16cid:durableId="491221110">
    <w:abstractNumId w:val="8"/>
  </w:num>
  <w:num w:numId="9" w16cid:durableId="1982153750">
    <w:abstractNumId w:val="2"/>
  </w:num>
  <w:num w:numId="10" w16cid:durableId="396631509">
    <w:abstractNumId w:val="10"/>
  </w:num>
  <w:num w:numId="11" w16cid:durableId="763263186">
    <w:abstractNumId w:val="5"/>
  </w:num>
  <w:num w:numId="12" w16cid:durableId="1951933489">
    <w:abstractNumId w:val="20"/>
  </w:num>
  <w:num w:numId="13" w16cid:durableId="738596811">
    <w:abstractNumId w:val="7"/>
  </w:num>
  <w:num w:numId="14" w16cid:durableId="1360005848">
    <w:abstractNumId w:val="19"/>
  </w:num>
  <w:num w:numId="15" w16cid:durableId="615139121">
    <w:abstractNumId w:val="22"/>
  </w:num>
  <w:num w:numId="16" w16cid:durableId="1300496973">
    <w:abstractNumId w:val="18"/>
  </w:num>
  <w:num w:numId="17" w16cid:durableId="29187731">
    <w:abstractNumId w:val="23"/>
  </w:num>
  <w:num w:numId="18" w16cid:durableId="1890453440">
    <w:abstractNumId w:val="17"/>
  </w:num>
  <w:num w:numId="19" w16cid:durableId="1748989960">
    <w:abstractNumId w:val="1"/>
  </w:num>
  <w:num w:numId="20" w16cid:durableId="249043980">
    <w:abstractNumId w:val="16"/>
  </w:num>
  <w:num w:numId="21" w16cid:durableId="603154070">
    <w:abstractNumId w:val="24"/>
  </w:num>
  <w:num w:numId="22" w16cid:durableId="360785596">
    <w:abstractNumId w:val="11"/>
    <w:lvlOverride w:ilvl="0">
      <w:lvl w:ilvl="0">
        <w:numFmt w:val="upperRoman"/>
        <w:lvlText w:val="%1."/>
        <w:lvlJc w:val="right"/>
      </w:lvl>
    </w:lvlOverride>
  </w:num>
  <w:num w:numId="23" w16cid:durableId="1045180056">
    <w:abstractNumId w:val="13"/>
  </w:num>
  <w:num w:numId="24" w16cid:durableId="794063187">
    <w:abstractNumId w:val="15"/>
    <w:lvlOverride w:ilvl="0">
      <w:lvl w:ilvl="0">
        <w:numFmt w:val="decimal"/>
        <w:lvlText w:val="%1."/>
        <w:lvlJc w:val="left"/>
      </w:lvl>
    </w:lvlOverride>
  </w:num>
  <w:num w:numId="25" w16cid:durableId="1962178004">
    <w:abstractNumId w:val="12"/>
  </w:num>
  <w:num w:numId="26" w16cid:durableId="1203400747">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13C7"/>
    <w:rsid w:val="000B5E1D"/>
    <w:rsid w:val="001005B6"/>
    <w:rsid w:val="00105B23"/>
    <w:rsid w:val="00181DA0"/>
    <w:rsid w:val="001D2D1A"/>
    <w:rsid w:val="002248FB"/>
    <w:rsid w:val="00234E64"/>
    <w:rsid w:val="00322720"/>
    <w:rsid w:val="003B1C8E"/>
    <w:rsid w:val="00453115"/>
    <w:rsid w:val="004758C9"/>
    <w:rsid w:val="0048723C"/>
    <w:rsid w:val="004A0724"/>
    <w:rsid w:val="00500FDE"/>
    <w:rsid w:val="00533D49"/>
    <w:rsid w:val="00566CD0"/>
    <w:rsid w:val="00637ED3"/>
    <w:rsid w:val="006638E5"/>
    <w:rsid w:val="00672733"/>
    <w:rsid w:val="006736F1"/>
    <w:rsid w:val="006B1F24"/>
    <w:rsid w:val="00773C63"/>
    <w:rsid w:val="007C4DCE"/>
    <w:rsid w:val="008463D3"/>
    <w:rsid w:val="008818B0"/>
    <w:rsid w:val="008861D6"/>
    <w:rsid w:val="008C3B7E"/>
    <w:rsid w:val="00986D0F"/>
    <w:rsid w:val="00A80674"/>
    <w:rsid w:val="00AE2642"/>
    <w:rsid w:val="00BD17B0"/>
    <w:rsid w:val="00BF7A78"/>
    <w:rsid w:val="00D56DC4"/>
    <w:rsid w:val="00E042FE"/>
    <w:rsid w:val="00E516AB"/>
    <w:rsid w:val="00E90CB3"/>
    <w:rsid w:val="00EA0262"/>
    <w:rsid w:val="00EC61E3"/>
    <w:rsid w:val="00ED0AAA"/>
    <w:rsid w:val="00ED1EBA"/>
    <w:rsid w:val="00F41E7E"/>
    <w:rsid w:val="00FB6766"/>
    <w:rsid w:val="15DA45F9"/>
    <w:rsid w:val="587EDCE4"/>
    <w:rsid w:val="6D22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basedOn w:val="DefaultParagraphFont"/>
    <w:uiPriority w:val="99"/>
    <w:unhideWhenUsed/>
    <w:rsid w:val="001005B6"/>
    <w:rPr>
      <w:color w:val="0563C1" w:themeColor="hyperlink"/>
      <w:u w:val="single"/>
    </w:rPr>
  </w:style>
  <w:style w:type="character" w:styleId="UnresolvedMention">
    <w:name w:val="Unresolved Mention"/>
    <w:basedOn w:val="DefaultParagraphFont"/>
    <w:uiPriority w:val="99"/>
    <w:semiHidden/>
    <w:unhideWhenUsed/>
    <w:rsid w:val="001005B6"/>
    <w:rPr>
      <w:color w:val="605E5C"/>
      <w:shd w:val="clear" w:color="auto" w:fill="E1DFDD"/>
    </w:rPr>
  </w:style>
  <w:style w:type="paragraph" w:customStyle="1" w:styleId="paragraph">
    <w:name w:val="paragraph"/>
    <w:basedOn w:val="Normal"/>
    <w:rsid w:val="00533D4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33D49"/>
  </w:style>
  <w:style w:type="character" w:customStyle="1" w:styleId="eop">
    <w:name w:val="eop"/>
    <w:basedOn w:val="DefaultParagraphFont"/>
    <w:rsid w:val="00533D49"/>
  </w:style>
  <w:style w:type="paragraph" w:styleId="NormalWeb">
    <w:name w:val="Normal (Web)"/>
    <w:basedOn w:val="Normal"/>
    <w:uiPriority w:val="99"/>
    <w:semiHidden/>
    <w:unhideWhenUsed/>
    <w:rsid w:val="00773C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29305">
      <w:bodyDiv w:val="1"/>
      <w:marLeft w:val="0"/>
      <w:marRight w:val="0"/>
      <w:marTop w:val="0"/>
      <w:marBottom w:val="0"/>
      <w:divBdr>
        <w:top w:val="none" w:sz="0" w:space="0" w:color="auto"/>
        <w:left w:val="none" w:sz="0" w:space="0" w:color="auto"/>
        <w:bottom w:val="none" w:sz="0" w:space="0" w:color="auto"/>
        <w:right w:val="none" w:sz="0" w:space="0" w:color="auto"/>
      </w:divBdr>
      <w:divsChild>
        <w:div w:id="326248848">
          <w:marLeft w:val="0"/>
          <w:marRight w:val="0"/>
          <w:marTop w:val="0"/>
          <w:marBottom w:val="0"/>
          <w:divBdr>
            <w:top w:val="none" w:sz="0" w:space="0" w:color="auto"/>
            <w:left w:val="none" w:sz="0" w:space="0" w:color="auto"/>
            <w:bottom w:val="none" w:sz="0" w:space="0" w:color="auto"/>
            <w:right w:val="none" w:sz="0" w:space="0" w:color="auto"/>
          </w:divBdr>
        </w:div>
        <w:div w:id="69498443">
          <w:marLeft w:val="0"/>
          <w:marRight w:val="0"/>
          <w:marTop w:val="0"/>
          <w:marBottom w:val="0"/>
          <w:divBdr>
            <w:top w:val="none" w:sz="0" w:space="0" w:color="auto"/>
            <w:left w:val="none" w:sz="0" w:space="0" w:color="auto"/>
            <w:bottom w:val="none" w:sz="0" w:space="0" w:color="auto"/>
            <w:right w:val="none" w:sz="0" w:space="0" w:color="auto"/>
          </w:divBdr>
        </w:div>
        <w:div w:id="92744763">
          <w:marLeft w:val="0"/>
          <w:marRight w:val="0"/>
          <w:marTop w:val="0"/>
          <w:marBottom w:val="0"/>
          <w:divBdr>
            <w:top w:val="none" w:sz="0" w:space="0" w:color="auto"/>
            <w:left w:val="none" w:sz="0" w:space="0" w:color="auto"/>
            <w:bottom w:val="none" w:sz="0" w:space="0" w:color="auto"/>
            <w:right w:val="none" w:sz="0" w:space="0" w:color="auto"/>
          </w:divBdr>
        </w:div>
        <w:div w:id="1576089650">
          <w:marLeft w:val="0"/>
          <w:marRight w:val="0"/>
          <w:marTop w:val="0"/>
          <w:marBottom w:val="0"/>
          <w:divBdr>
            <w:top w:val="none" w:sz="0" w:space="0" w:color="auto"/>
            <w:left w:val="none" w:sz="0" w:space="0" w:color="auto"/>
            <w:bottom w:val="none" w:sz="0" w:space="0" w:color="auto"/>
            <w:right w:val="none" w:sz="0" w:space="0" w:color="auto"/>
          </w:divBdr>
        </w:div>
        <w:div w:id="2030793913">
          <w:marLeft w:val="0"/>
          <w:marRight w:val="0"/>
          <w:marTop w:val="0"/>
          <w:marBottom w:val="0"/>
          <w:divBdr>
            <w:top w:val="none" w:sz="0" w:space="0" w:color="auto"/>
            <w:left w:val="none" w:sz="0" w:space="0" w:color="auto"/>
            <w:bottom w:val="none" w:sz="0" w:space="0" w:color="auto"/>
            <w:right w:val="none" w:sz="0" w:space="0" w:color="auto"/>
          </w:divBdr>
        </w:div>
      </w:divsChild>
    </w:div>
    <w:div w:id="615604873">
      <w:bodyDiv w:val="1"/>
      <w:marLeft w:val="0"/>
      <w:marRight w:val="0"/>
      <w:marTop w:val="0"/>
      <w:marBottom w:val="0"/>
      <w:divBdr>
        <w:top w:val="none" w:sz="0" w:space="0" w:color="auto"/>
        <w:left w:val="none" w:sz="0" w:space="0" w:color="auto"/>
        <w:bottom w:val="none" w:sz="0" w:space="0" w:color="auto"/>
        <w:right w:val="none" w:sz="0" w:space="0" w:color="auto"/>
      </w:divBdr>
      <w:divsChild>
        <w:div w:id="254166380">
          <w:marLeft w:val="0"/>
          <w:marRight w:val="0"/>
          <w:marTop w:val="0"/>
          <w:marBottom w:val="0"/>
          <w:divBdr>
            <w:top w:val="none" w:sz="0" w:space="0" w:color="auto"/>
            <w:left w:val="none" w:sz="0" w:space="0" w:color="auto"/>
            <w:bottom w:val="none" w:sz="0" w:space="0" w:color="auto"/>
            <w:right w:val="none" w:sz="0" w:space="0" w:color="auto"/>
          </w:divBdr>
        </w:div>
        <w:div w:id="1353456051">
          <w:marLeft w:val="0"/>
          <w:marRight w:val="0"/>
          <w:marTop w:val="0"/>
          <w:marBottom w:val="0"/>
          <w:divBdr>
            <w:top w:val="none" w:sz="0" w:space="0" w:color="auto"/>
            <w:left w:val="none" w:sz="0" w:space="0" w:color="auto"/>
            <w:bottom w:val="none" w:sz="0" w:space="0" w:color="auto"/>
            <w:right w:val="none" w:sz="0" w:space="0" w:color="auto"/>
          </w:divBdr>
        </w:div>
        <w:div w:id="999768984">
          <w:marLeft w:val="0"/>
          <w:marRight w:val="0"/>
          <w:marTop w:val="0"/>
          <w:marBottom w:val="0"/>
          <w:divBdr>
            <w:top w:val="none" w:sz="0" w:space="0" w:color="auto"/>
            <w:left w:val="none" w:sz="0" w:space="0" w:color="auto"/>
            <w:bottom w:val="none" w:sz="0" w:space="0" w:color="auto"/>
            <w:right w:val="none" w:sz="0" w:space="0" w:color="auto"/>
          </w:divBdr>
        </w:div>
        <w:div w:id="887572697">
          <w:marLeft w:val="0"/>
          <w:marRight w:val="0"/>
          <w:marTop w:val="0"/>
          <w:marBottom w:val="0"/>
          <w:divBdr>
            <w:top w:val="none" w:sz="0" w:space="0" w:color="auto"/>
            <w:left w:val="none" w:sz="0" w:space="0" w:color="auto"/>
            <w:bottom w:val="none" w:sz="0" w:space="0" w:color="auto"/>
            <w:right w:val="none" w:sz="0" w:space="0" w:color="auto"/>
          </w:divBdr>
        </w:div>
        <w:div w:id="974796459">
          <w:marLeft w:val="0"/>
          <w:marRight w:val="0"/>
          <w:marTop w:val="0"/>
          <w:marBottom w:val="0"/>
          <w:divBdr>
            <w:top w:val="none" w:sz="0" w:space="0" w:color="auto"/>
            <w:left w:val="none" w:sz="0" w:space="0" w:color="auto"/>
            <w:bottom w:val="none" w:sz="0" w:space="0" w:color="auto"/>
            <w:right w:val="none" w:sz="0" w:space="0" w:color="auto"/>
          </w:divBdr>
        </w:div>
        <w:div w:id="1710035266">
          <w:marLeft w:val="0"/>
          <w:marRight w:val="0"/>
          <w:marTop w:val="0"/>
          <w:marBottom w:val="0"/>
          <w:divBdr>
            <w:top w:val="none" w:sz="0" w:space="0" w:color="auto"/>
            <w:left w:val="none" w:sz="0" w:space="0" w:color="auto"/>
            <w:bottom w:val="none" w:sz="0" w:space="0" w:color="auto"/>
            <w:right w:val="none" w:sz="0" w:space="0" w:color="auto"/>
          </w:divBdr>
        </w:div>
      </w:divsChild>
    </w:div>
    <w:div w:id="17913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s.org/es/cidh/decisiones/2021/CBPU13639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CBPU13639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A7F60-94FC-4072-BC48-BAF750157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2023-03-28T18:58:00Z</dcterms:created>
  <dcterms:modified xsi:type="dcterms:W3CDTF">2023-03-28T18:58:00Z</dcterms:modified>
</cp:coreProperties>
</file>