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0266" w14:textId="76A86377" w:rsidR="00104A1C" w:rsidRPr="00C60B8D" w:rsidRDefault="00104A1C" w:rsidP="6B42ECDE">
      <w:pPr>
        <w:jc w:val="center"/>
        <w:rPr>
          <w:rFonts w:ascii="Times New Roman" w:eastAsia="Times New Roman" w:hAnsi="Times New Roman"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FICHA DE SEGUIMIENTO DEL INFORME Nº 4</w:t>
      </w:r>
      <w:r w:rsidR="0002489A" w:rsidRPr="6B42ECDE">
        <w:rPr>
          <w:rFonts w:ascii="Cambria" w:eastAsia="Times New Roman" w:hAnsi="Cambria" w:cs="Times New Roman"/>
          <w:b/>
          <w:bCs/>
          <w:color w:val="000000" w:themeColor="text1"/>
          <w:sz w:val="20"/>
          <w:szCs w:val="20"/>
          <w:lang w:val="es-ES"/>
        </w:rPr>
        <w:t>57</w:t>
      </w:r>
      <w:r w:rsidRPr="6B42ECDE">
        <w:rPr>
          <w:rFonts w:ascii="Cambria" w:eastAsia="Times New Roman" w:hAnsi="Cambria" w:cs="Times New Roman"/>
          <w:b/>
          <w:bCs/>
          <w:color w:val="000000" w:themeColor="text1"/>
          <w:sz w:val="20"/>
          <w:szCs w:val="20"/>
          <w:lang w:val="es-ES"/>
        </w:rPr>
        <w:t>/21</w:t>
      </w:r>
    </w:p>
    <w:p w14:paraId="3BE9EFED" w14:textId="40341B80" w:rsidR="00104A1C" w:rsidRPr="00C60B8D" w:rsidRDefault="00104A1C" w:rsidP="6B42ECDE">
      <w:pPr>
        <w:jc w:val="center"/>
        <w:rPr>
          <w:rFonts w:ascii="Cambria" w:eastAsia="Times New Roman" w:hAnsi="Cambria" w:cs="Times New Roman"/>
          <w:b/>
          <w:bCs/>
          <w:color w:val="000000" w:themeColor="text1"/>
          <w:sz w:val="20"/>
          <w:szCs w:val="20"/>
          <w:lang w:val="es-ES"/>
        </w:rPr>
      </w:pPr>
      <w:r w:rsidRPr="6B42ECDE">
        <w:rPr>
          <w:rFonts w:ascii="Cambria" w:eastAsia="Times New Roman" w:hAnsi="Cambria" w:cs="Times New Roman"/>
          <w:b/>
          <w:bCs/>
          <w:color w:val="000000" w:themeColor="text1"/>
          <w:sz w:val="20"/>
          <w:szCs w:val="20"/>
          <w:lang w:val="es-ES"/>
        </w:rPr>
        <w:t>CASO 1</w:t>
      </w:r>
      <w:r w:rsidR="0002489A" w:rsidRPr="6B42ECDE">
        <w:rPr>
          <w:rFonts w:ascii="Cambria" w:eastAsia="Times New Roman" w:hAnsi="Cambria" w:cs="Times New Roman"/>
          <w:b/>
          <w:bCs/>
          <w:color w:val="000000" w:themeColor="text1"/>
          <w:sz w:val="20"/>
          <w:szCs w:val="20"/>
          <w:lang w:val="es-ES"/>
        </w:rPr>
        <w:t>1.444</w:t>
      </w:r>
    </w:p>
    <w:p w14:paraId="18A62E18" w14:textId="525CC4D7" w:rsidR="00104A1C" w:rsidRPr="00C60B8D" w:rsidRDefault="0002489A" w:rsidP="6B42ECDE">
      <w:pPr>
        <w:jc w:val="center"/>
        <w:rPr>
          <w:rFonts w:ascii="Cambria" w:eastAsia="Times New Roman" w:hAnsi="Cambria" w:cs="Times New Roman"/>
          <w:b/>
          <w:bCs/>
          <w:color w:val="000000" w:themeColor="text1"/>
          <w:sz w:val="20"/>
          <w:szCs w:val="20"/>
          <w:lang w:val="es-ES"/>
        </w:rPr>
      </w:pPr>
      <w:r w:rsidRPr="6B42ECDE">
        <w:rPr>
          <w:rFonts w:ascii="Cambria" w:eastAsia="Times New Roman" w:hAnsi="Cambria" w:cs="Times New Roman"/>
          <w:b/>
          <w:bCs/>
          <w:color w:val="000000" w:themeColor="text1"/>
          <w:sz w:val="20"/>
          <w:szCs w:val="20"/>
          <w:lang w:val="es-ES"/>
        </w:rPr>
        <w:t>AMPARO CONSTANTE MERIZALDE</w:t>
      </w:r>
    </w:p>
    <w:p w14:paraId="3A42FDC6" w14:textId="124BD5DF" w:rsidR="00104A1C" w:rsidRPr="00C60B8D" w:rsidRDefault="00104A1C" w:rsidP="6B42ECDE">
      <w:pPr>
        <w:jc w:val="center"/>
        <w:rPr>
          <w:rFonts w:ascii="Cambria" w:eastAsia="Times New Roman" w:hAnsi="Cambria" w:cs="Times New Roman"/>
          <w:b/>
          <w:bCs/>
          <w:color w:val="000000" w:themeColor="text1"/>
          <w:sz w:val="20"/>
          <w:szCs w:val="20"/>
          <w:lang w:val="es-ES"/>
        </w:rPr>
      </w:pPr>
      <w:r w:rsidRPr="6B42ECDE">
        <w:rPr>
          <w:rFonts w:ascii="Cambria" w:eastAsia="Times New Roman" w:hAnsi="Cambria" w:cs="Times New Roman"/>
          <w:b/>
          <w:bCs/>
          <w:color w:val="000000" w:themeColor="text1"/>
          <w:sz w:val="20"/>
          <w:szCs w:val="20"/>
          <w:lang w:val="es-ES"/>
        </w:rPr>
        <w:t>(</w:t>
      </w:r>
      <w:r w:rsidR="0002489A" w:rsidRPr="6B42ECDE">
        <w:rPr>
          <w:rFonts w:ascii="Cambria" w:eastAsia="Times New Roman" w:hAnsi="Cambria" w:cs="Times New Roman"/>
          <w:b/>
          <w:bCs/>
          <w:color w:val="000000" w:themeColor="text1"/>
          <w:sz w:val="20"/>
          <w:szCs w:val="20"/>
          <w:lang w:val="es-ES"/>
        </w:rPr>
        <w:t>Ecuador</w:t>
      </w:r>
      <w:r w:rsidRPr="6B42ECDE">
        <w:rPr>
          <w:rFonts w:ascii="Cambria" w:eastAsia="Times New Roman" w:hAnsi="Cambria" w:cs="Times New Roman"/>
          <w:b/>
          <w:bCs/>
          <w:color w:val="000000" w:themeColor="text1"/>
          <w:sz w:val="20"/>
          <w:szCs w:val="20"/>
          <w:lang w:val="es-ES"/>
        </w:rPr>
        <w:t>)</w:t>
      </w:r>
    </w:p>
    <w:p w14:paraId="370E7178" w14:textId="77777777" w:rsidR="00104A1C" w:rsidRPr="00C60B8D" w:rsidRDefault="00104A1C" w:rsidP="6B42ECDE">
      <w:pPr>
        <w:jc w:val="both"/>
        <w:rPr>
          <w:rFonts w:ascii="Cambria" w:eastAsia="Times New Roman" w:hAnsi="Cambria" w:cs="Times New Roman"/>
          <w:b/>
          <w:bCs/>
          <w:color w:val="000000" w:themeColor="text1"/>
          <w:sz w:val="20"/>
          <w:szCs w:val="20"/>
          <w:lang w:val="es-ES"/>
        </w:rPr>
      </w:pPr>
    </w:p>
    <w:p w14:paraId="4023C895" w14:textId="77777777" w:rsidR="00104A1C" w:rsidRPr="00C60B8D" w:rsidRDefault="00104A1C" w:rsidP="6B42ECDE">
      <w:pPr>
        <w:numPr>
          <w:ilvl w:val="0"/>
          <w:numId w:val="8"/>
        </w:numPr>
        <w:ind w:left="1440"/>
        <w:jc w:val="both"/>
        <w:rPr>
          <w:rFonts w:ascii="Cambria" w:eastAsia="Times New Roman" w:hAnsi="Cambria" w:cs="Calibri Light"/>
          <w:b/>
          <w:bCs/>
          <w:color w:val="000000" w:themeColor="text1"/>
          <w:sz w:val="20"/>
          <w:szCs w:val="20"/>
          <w:lang w:val="es-ES"/>
        </w:rPr>
      </w:pPr>
      <w:r w:rsidRPr="6B42ECDE">
        <w:rPr>
          <w:rFonts w:ascii="Cambria" w:eastAsia="Times New Roman" w:hAnsi="Cambria" w:cs="Calibri Light"/>
          <w:b/>
          <w:bCs/>
          <w:color w:val="000000" w:themeColor="text1"/>
          <w:sz w:val="20"/>
          <w:szCs w:val="20"/>
          <w:lang w:val="es-ES"/>
        </w:rPr>
        <w:t xml:space="preserve">Resumen del caso </w:t>
      </w:r>
    </w:p>
    <w:p w14:paraId="37D2DA9D" w14:textId="77777777" w:rsidR="00104A1C" w:rsidRPr="00C60B8D" w:rsidRDefault="00104A1C" w:rsidP="6B42ECDE">
      <w:pPr>
        <w:ind w:left="1080"/>
        <w:jc w:val="both"/>
        <w:rPr>
          <w:rFonts w:ascii="Cambria" w:eastAsia="Times New Roman" w:hAnsi="Cambria" w:cs="Calibri Light"/>
          <w:b/>
          <w:bCs/>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60B8D" w:rsidRPr="00C60B8D" w14:paraId="57588BA8" w14:textId="77777777" w:rsidTr="6B42ECDE">
        <w:trPr>
          <w:trHeight w:val="4805"/>
          <w:jc w:val="center"/>
        </w:trPr>
        <w:tc>
          <w:tcPr>
            <w:tcW w:w="9576" w:type="dxa"/>
            <w:shd w:val="clear" w:color="auto" w:fill="F2F2F2" w:themeFill="background1" w:themeFillShade="F2"/>
          </w:tcPr>
          <w:p w14:paraId="2F1994C0" w14:textId="6C42BA59" w:rsidR="00104A1C" w:rsidRPr="00C60B8D" w:rsidRDefault="00104A1C" w:rsidP="6B42ECDE">
            <w:pPr>
              <w:spacing w:before="120"/>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 xml:space="preserve">Víctima (s): </w:t>
            </w:r>
            <w:r w:rsidR="00E81577" w:rsidRPr="6B42ECDE">
              <w:rPr>
                <w:rFonts w:ascii="Cambria" w:eastAsia="Times New Roman" w:hAnsi="Cambria" w:cs="Times New Roman"/>
                <w:color w:val="000000" w:themeColor="text1"/>
                <w:sz w:val="20"/>
                <w:szCs w:val="20"/>
                <w:lang w:val="es-ES"/>
              </w:rPr>
              <w:t>Amparo Constante Merizalde</w:t>
            </w:r>
          </w:p>
          <w:p w14:paraId="036C49D1" w14:textId="58AD7231" w:rsidR="00104A1C" w:rsidRPr="00C60B8D" w:rsidRDefault="00104A1C" w:rsidP="6B42ECDE">
            <w:pPr>
              <w:rPr>
                <w:rFonts w:ascii="Times New Roman" w:eastAsia="Times New Roman" w:hAnsi="Times New Roman" w:cs="Times New Roman"/>
                <w:color w:val="000000" w:themeColor="text1"/>
                <w:lang w:val="es-GT"/>
              </w:rPr>
            </w:pPr>
            <w:r w:rsidRPr="6B42ECDE">
              <w:rPr>
                <w:rFonts w:ascii="Cambria" w:eastAsia="Times New Roman" w:hAnsi="Cambria" w:cs="Times New Roman"/>
                <w:b/>
                <w:bCs/>
                <w:color w:val="000000" w:themeColor="text1"/>
                <w:sz w:val="20"/>
                <w:szCs w:val="20"/>
                <w:lang w:val="es-GT"/>
              </w:rPr>
              <w:t>Peticionario (s):</w:t>
            </w:r>
            <w:r w:rsidRPr="6B42ECDE">
              <w:rPr>
                <w:rFonts w:ascii="Cambria" w:eastAsia="Times New Roman" w:hAnsi="Cambria" w:cs="Times New Roman"/>
                <w:color w:val="000000" w:themeColor="text1"/>
                <w:sz w:val="20"/>
                <w:szCs w:val="20"/>
                <w:lang w:val="es-GT"/>
              </w:rPr>
              <w:t xml:space="preserve"> </w:t>
            </w:r>
            <w:r w:rsidR="00E81577" w:rsidRPr="6B42ECDE">
              <w:rPr>
                <w:rFonts w:ascii="Cambria" w:eastAsia="Times New Roman" w:hAnsi="Cambria" w:cs="Times New Roman"/>
                <w:color w:val="000000" w:themeColor="text1"/>
                <w:sz w:val="20"/>
                <w:szCs w:val="20"/>
                <w:lang w:val="es-GT"/>
              </w:rPr>
              <w:t>Comisión Ecuménica de Derechos Humanos (CEDHU).</w:t>
            </w:r>
          </w:p>
          <w:p w14:paraId="6C589603" w14:textId="0B8D4AB9" w:rsidR="00104A1C" w:rsidRPr="00C60B8D" w:rsidRDefault="00104A1C" w:rsidP="6B42ECDE">
            <w:pPr>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 xml:space="preserve">Estado: </w:t>
            </w:r>
            <w:r w:rsidR="00E81577" w:rsidRPr="6B42ECDE">
              <w:rPr>
                <w:rFonts w:ascii="Cambria" w:eastAsia="Times New Roman" w:hAnsi="Cambria" w:cs="Times New Roman"/>
                <w:color w:val="000000" w:themeColor="text1"/>
                <w:sz w:val="20"/>
                <w:szCs w:val="20"/>
                <w:lang w:val="es-ES"/>
              </w:rPr>
              <w:t>Ecuador</w:t>
            </w:r>
          </w:p>
          <w:p w14:paraId="1D7FEF0C" w14:textId="6C085CE4" w:rsidR="00104A1C" w:rsidRPr="00C60B8D" w:rsidRDefault="00104A1C" w:rsidP="6B42ECDE">
            <w:pPr>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 xml:space="preserve">Informe de Fondo Nº:   </w:t>
            </w:r>
            <w:hyperlink r:id="rId11">
              <w:r w:rsidRPr="6B42ECDE">
                <w:rPr>
                  <w:rFonts w:ascii="Cambria" w:eastAsia="Times New Roman" w:hAnsi="Cambria" w:cs="Times New Roman"/>
                  <w:color w:val="000000" w:themeColor="text1"/>
                  <w:sz w:val="20"/>
                  <w:szCs w:val="20"/>
                  <w:u w:val="single"/>
                  <w:lang w:val="es-ES"/>
                </w:rPr>
                <w:t>4</w:t>
              </w:r>
              <w:r w:rsidR="00E81577" w:rsidRPr="6B42ECDE">
                <w:rPr>
                  <w:rFonts w:ascii="Cambria" w:eastAsia="Times New Roman" w:hAnsi="Cambria" w:cs="Times New Roman"/>
                  <w:color w:val="000000" w:themeColor="text1"/>
                  <w:sz w:val="20"/>
                  <w:szCs w:val="20"/>
                  <w:u w:val="single"/>
                  <w:lang w:val="es-ES"/>
                </w:rPr>
                <w:t>57</w:t>
              </w:r>
              <w:r w:rsidRPr="6B42ECDE">
                <w:rPr>
                  <w:rFonts w:ascii="Cambria" w:eastAsia="Times New Roman" w:hAnsi="Cambria" w:cs="Times New Roman"/>
                  <w:color w:val="000000" w:themeColor="text1"/>
                  <w:sz w:val="20"/>
                  <w:szCs w:val="20"/>
                  <w:u w:val="single"/>
                  <w:lang w:val="es-ES"/>
                </w:rPr>
                <w:t>/21</w:t>
              </w:r>
            </w:hyperlink>
            <w:r w:rsidRPr="6B42ECDE">
              <w:rPr>
                <w:rFonts w:ascii="Cambria" w:eastAsia="Times New Roman" w:hAnsi="Cambria" w:cs="Times New Roman"/>
                <w:color w:val="000000" w:themeColor="text1"/>
                <w:sz w:val="20"/>
                <w:szCs w:val="20"/>
                <w:lang w:val="es-ES"/>
              </w:rPr>
              <w:t xml:space="preserve"> publicado el 31 de diciembre de 2021</w:t>
            </w:r>
          </w:p>
          <w:p w14:paraId="50025FDF" w14:textId="025ADC88" w:rsidR="00104A1C" w:rsidRDefault="00104A1C" w:rsidP="6B42ECDE">
            <w:pPr>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 xml:space="preserve">Informe de admisibilidad: </w:t>
            </w:r>
            <w:hyperlink r:id="rId12">
              <w:r w:rsidRPr="6B42ECDE">
                <w:rPr>
                  <w:rStyle w:val="Hyperlink"/>
                  <w:color w:val="000000" w:themeColor="text1"/>
                </w:rPr>
                <w:t>http://www.oas.org/es/cidh/decisiones/2020/US_12.545_ES.PDF</w:t>
              </w:r>
            </w:hyperlink>
            <w:r w:rsidR="00C60B8D" w:rsidRPr="6B42ECDE">
              <w:rPr>
                <w:rFonts w:ascii="Cambria" w:hAnsi="Cambria"/>
                <w:color w:val="000000" w:themeColor="text1"/>
                <w:sz w:val="20"/>
                <w:szCs w:val="20"/>
                <w:lang w:val="es-CO"/>
              </w:rPr>
              <w:t xml:space="preserve">69/10 </w:t>
            </w:r>
            <w:r w:rsidRPr="6B42ECDE">
              <w:rPr>
                <w:rFonts w:ascii="Cambria" w:eastAsia="Times New Roman" w:hAnsi="Cambria" w:cs="Times New Roman"/>
                <w:color w:val="000000" w:themeColor="text1"/>
                <w:sz w:val="20"/>
                <w:szCs w:val="20"/>
                <w:lang w:val="es-ES"/>
              </w:rPr>
              <w:t xml:space="preserve">publicado el </w:t>
            </w:r>
            <w:r w:rsidR="00C60B8D" w:rsidRPr="6B42ECDE">
              <w:rPr>
                <w:rFonts w:ascii="Cambria" w:eastAsia="Times New Roman" w:hAnsi="Cambria" w:cs="Times New Roman"/>
                <w:color w:val="000000" w:themeColor="text1"/>
                <w:sz w:val="20"/>
                <w:szCs w:val="20"/>
                <w:lang w:val="es-ES"/>
              </w:rPr>
              <w:t>12 de julio de 2010</w:t>
            </w:r>
          </w:p>
          <w:p w14:paraId="72CB0646" w14:textId="2AF549F0" w:rsidR="00257F50" w:rsidRPr="00C60B8D" w:rsidRDefault="00257F50" w:rsidP="6B42ECDE">
            <w:pPr>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Acuerdo de cumplimiento:</w:t>
            </w:r>
            <w:r w:rsidRPr="6B42ECDE">
              <w:rPr>
                <w:rFonts w:ascii="Cambria" w:eastAsia="Times New Roman" w:hAnsi="Cambria" w:cs="Times New Roman"/>
                <w:color w:val="000000" w:themeColor="text1"/>
                <w:sz w:val="20"/>
                <w:szCs w:val="20"/>
                <w:lang w:val="es-ES"/>
              </w:rPr>
              <w:t xml:space="preserve"> Suscrito el 27 de diciembre de 2018</w:t>
            </w:r>
          </w:p>
          <w:p w14:paraId="0624D6EA" w14:textId="77777777" w:rsidR="00104A1C" w:rsidRPr="00C60B8D" w:rsidRDefault="00104A1C" w:rsidP="6B42ECDE">
            <w:pPr>
              <w:jc w:val="both"/>
              <w:rPr>
                <w:rFonts w:ascii="Cambria" w:eastAsia="Times New Roman" w:hAnsi="Cambria" w:cs="Times New Roman"/>
                <w:color w:val="000000" w:themeColor="text1"/>
                <w:sz w:val="20"/>
                <w:szCs w:val="20"/>
                <w:lang w:val="es-ES"/>
              </w:rPr>
            </w:pPr>
          </w:p>
          <w:p w14:paraId="4E558DDF" w14:textId="20257023" w:rsidR="00104A1C" w:rsidRPr="00C60B8D" w:rsidRDefault="00104A1C" w:rsidP="6B42ECDE">
            <w:pPr>
              <w:spacing w:after="120"/>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 xml:space="preserve">Temas: </w:t>
            </w:r>
            <w:r w:rsidR="00257132" w:rsidRPr="6B42ECDE">
              <w:rPr>
                <w:rFonts w:ascii="Cambria" w:eastAsia="Times New Roman" w:hAnsi="Cambria" w:cs="Times New Roman"/>
                <w:color w:val="000000" w:themeColor="text1"/>
                <w:sz w:val="20"/>
                <w:szCs w:val="20"/>
                <w:lang w:val="es-ES"/>
              </w:rPr>
              <w:t>Integridad personal</w:t>
            </w:r>
            <w:r w:rsidR="00257132" w:rsidRPr="6B42ECDE">
              <w:rPr>
                <w:rFonts w:ascii="Cambria" w:eastAsia="Times New Roman" w:hAnsi="Cambria" w:cs="Times New Roman"/>
                <w:b/>
                <w:bCs/>
                <w:color w:val="000000" w:themeColor="text1"/>
                <w:sz w:val="20"/>
                <w:szCs w:val="20"/>
                <w:lang w:val="es-ES"/>
              </w:rPr>
              <w:t xml:space="preserve"> </w:t>
            </w:r>
            <w:r w:rsidRPr="6B42ECDE">
              <w:rPr>
                <w:rFonts w:ascii="Cambria" w:eastAsia="Times New Roman" w:hAnsi="Cambria" w:cs="Times New Roman"/>
                <w:color w:val="000000" w:themeColor="text1"/>
                <w:sz w:val="20"/>
                <w:szCs w:val="20"/>
                <w:lang w:val="es-ES"/>
              </w:rPr>
              <w:t xml:space="preserve">/ </w:t>
            </w:r>
            <w:r w:rsidR="00257132" w:rsidRPr="6B42ECDE">
              <w:rPr>
                <w:rFonts w:ascii="Cambria" w:eastAsia="Times New Roman" w:hAnsi="Cambria" w:cs="Times New Roman"/>
                <w:color w:val="000000" w:themeColor="text1"/>
                <w:sz w:val="20"/>
                <w:szCs w:val="20"/>
                <w:lang w:val="es-ES"/>
              </w:rPr>
              <w:t xml:space="preserve">Presunción de inocencia / </w:t>
            </w:r>
            <w:r w:rsidRPr="6B42ECDE">
              <w:rPr>
                <w:rFonts w:ascii="Cambria" w:eastAsia="Times New Roman" w:hAnsi="Cambria" w:cs="Times New Roman"/>
                <w:color w:val="000000" w:themeColor="text1"/>
                <w:sz w:val="20"/>
                <w:szCs w:val="20"/>
                <w:lang w:val="es-ES"/>
              </w:rPr>
              <w:t xml:space="preserve">Garantías Judiciales / Protección Judicial / </w:t>
            </w:r>
            <w:r w:rsidR="00257132" w:rsidRPr="6B42ECDE">
              <w:rPr>
                <w:rFonts w:ascii="Cambria" w:eastAsia="Times New Roman" w:hAnsi="Cambria" w:cs="Times New Roman"/>
                <w:color w:val="000000" w:themeColor="text1"/>
                <w:sz w:val="20"/>
                <w:szCs w:val="20"/>
                <w:lang w:val="es-ES"/>
              </w:rPr>
              <w:t>Torturas y penas o tratos crueles, inhumanos o degradantes</w:t>
            </w:r>
          </w:p>
          <w:p w14:paraId="38B71E8C" w14:textId="3B3DB481" w:rsidR="00E81577" w:rsidRPr="00C60B8D" w:rsidRDefault="00104A1C" w:rsidP="6B42ECDE">
            <w:pPr>
              <w:spacing w:before="100" w:beforeAutospacing="1" w:after="100" w:afterAutospacing="1"/>
              <w:jc w:val="both"/>
              <w:rPr>
                <w:rFonts w:ascii="Cambria" w:eastAsia="Times New Roman" w:hAnsi="Cambria" w:cs="Times New Roman"/>
                <w:color w:val="000000" w:themeColor="text1"/>
                <w:sz w:val="20"/>
                <w:szCs w:val="20"/>
                <w:lang w:val="es-ES"/>
              </w:rPr>
            </w:pPr>
            <w:r w:rsidRPr="6B42ECDE">
              <w:rPr>
                <w:rFonts w:ascii="Cambria" w:eastAsia="Times New Roman" w:hAnsi="Cambria" w:cs="Times New Roman"/>
                <w:b/>
                <w:bCs/>
                <w:color w:val="000000" w:themeColor="text1"/>
                <w:sz w:val="20"/>
                <w:szCs w:val="20"/>
                <w:lang w:val="es-ES"/>
              </w:rPr>
              <w:t>Hechos:</w:t>
            </w:r>
            <w:r w:rsidRPr="6B42ECDE">
              <w:rPr>
                <w:rFonts w:ascii="Cambria" w:eastAsia="Times New Roman" w:hAnsi="Cambria" w:cs="Times New Roman"/>
                <w:color w:val="000000" w:themeColor="text1"/>
                <w:sz w:val="20"/>
                <w:szCs w:val="20"/>
                <w:lang w:val="es-ES"/>
              </w:rPr>
              <w:t xml:space="preserve"> Este caso se refiere a las violaciones de los derechos humanos de</w:t>
            </w:r>
            <w:r w:rsidR="00E81577" w:rsidRPr="6B42ECDE">
              <w:rPr>
                <w:rFonts w:ascii="Cambria" w:eastAsia="Times New Roman" w:hAnsi="Cambria" w:cs="Times New Roman"/>
                <w:color w:val="000000" w:themeColor="text1"/>
                <w:sz w:val="20"/>
                <w:szCs w:val="20"/>
                <w:lang w:val="es-ES"/>
              </w:rPr>
              <w:t xml:space="preserve"> la </w:t>
            </w:r>
            <w:r w:rsidRPr="6B42ECDE">
              <w:rPr>
                <w:rFonts w:ascii="Cambria" w:eastAsia="Times New Roman" w:hAnsi="Cambria" w:cs="Times New Roman"/>
                <w:color w:val="000000" w:themeColor="text1"/>
                <w:sz w:val="20"/>
                <w:szCs w:val="20"/>
                <w:lang w:val="es-ES"/>
              </w:rPr>
              <w:t>señor</w:t>
            </w:r>
            <w:r w:rsidR="00E81577" w:rsidRPr="6B42ECDE">
              <w:rPr>
                <w:rFonts w:ascii="Cambria" w:eastAsia="Times New Roman" w:hAnsi="Cambria" w:cs="Times New Roman"/>
                <w:color w:val="000000" w:themeColor="text1"/>
                <w:sz w:val="20"/>
                <w:szCs w:val="20"/>
                <w:lang w:val="es-ES"/>
              </w:rPr>
              <w:t>a</w:t>
            </w:r>
            <w:r w:rsidRPr="6B42ECDE">
              <w:rPr>
                <w:rFonts w:ascii="Cambria" w:eastAsia="Times New Roman" w:hAnsi="Cambria" w:cs="Times New Roman"/>
                <w:color w:val="000000" w:themeColor="text1"/>
                <w:sz w:val="20"/>
                <w:szCs w:val="20"/>
                <w:lang w:val="es-ES"/>
              </w:rPr>
              <w:t xml:space="preserve"> </w:t>
            </w:r>
            <w:r w:rsidR="00E81577" w:rsidRPr="6B42ECDE">
              <w:rPr>
                <w:rFonts w:ascii="Cambria" w:eastAsia="Times New Roman" w:hAnsi="Cambria" w:cs="Times New Roman"/>
                <w:color w:val="000000" w:themeColor="text1"/>
                <w:sz w:val="20"/>
                <w:szCs w:val="20"/>
                <w:lang w:val="es-ES"/>
              </w:rPr>
              <w:t>Amparo Constante Merizalde</w:t>
            </w:r>
            <w:r w:rsidRPr="6B42ECDE">
              <w:rPr>
                <w:rFonts w:ascii="Cambria" w:eastAsia="Times New Roman" w:hAnsi="Cambria" w:cs="Times New Roman"/>
                <w:color w:val="000000" w:themeColor="text1"/>
                <w:sz w:val="20"/>
                <w:szCs w:val="20"/>
                <w:lang w:val="es-ES"/>
              </w:rPr>
              <w:t xml:space="preserve">, </w:t>
            </w:r>
            <w:r w:rsidR="00B61E5B" w:rsidRPr="6B42ECDE">
              <w:rPr>
                <w:rFonts w:ascii="Cambria" w:eastAsia="Times New Roman" w:hAnsi="Cambria" w:cs="Times New Roman"/>
                <w:color w:val="000000" w:themeColor="text1"/>
                <w:sz w:val="20"/>
                <w:szCs w:val="20"/>
                <w:lang w:val="es-ES"/>
              </w:rPr>
              <w:t xml:space="preserve">quien </w:t>
            </w:r>
            <w:r w:rsidR="00257132" w:rsidRPr="6B42ECDE">
              <w:rPr>
                <w:rFonts w:ascii="Cambria" w:eastAsia="Times New Roman" w:hAnsi="Cambria" w:cs="Times New Roman"/>
                <w:color w:val="000000" w:themeColor="text1"/>
                <w:sz w:val="20"/>
                <w:szCs w:val="20"/>
                <w:lang w:val="es-ES"/>
              </w:rPr>
              <w:t xml:space="preserve">fue detenida en fecha de 13 de enero de 1994, por su presunta responsabilidad en </w:t>
            </w:r>
            <w:r w:rsidR="00C60B8D" w:rsidRPr="6B42ECDE">
              <w:rPr>
                <w:rFonts w:ascii="Cambria" w:eastAsia="Times New Roman" w:hAnsi="Cambria" w:cs="Times New Roman"/>
                <w:color w:val="000000" w:themeColor="text1"/>
                <w:sz w:val="20"/>
                <w:szCs w:val="20"/>
                <w:lang w:val="es-ES"/>
              </w:rPr>
              <w:t>un</w:t>
            </w:r>
            <w:r w:rsidR="00257132" w:rsidRPr="6B42ECDE">
              <w:rPr>
                <w:rFonts w:ascii="Cambria" w:eastAsia="Times New Roman" w:hAnsi="Cambria" w:cs="Times New Roman"/>
                <w:color w:val="000000" w:themeColor="text1"/>
                <w:sz w:val="20"/>
                <w:szCs w:val="20"/>
                <w:lang w:val="es-ES"/>
              </w:rPr>
              <w:t xml:space="preserve"> robo. Durante su detención, la víctima </w:t>
            </w:r>
            <w:r w:rsidR="00B61E5B" w:rsidRPr="6B42ECDE">
              <w:rPr>
                <w:rFonts w:ascii="Cambria" w:eastAsia="Times New Roman" w:hAnsi="Cambria" w:cs="Times New Roman"/>
                <w:color w:val="000000" w:themeColor="text1"/>
                <w:sz w:val="20"/>
                <w:szCs w:val="20"/>
                <w:lang w:val="es-ES"/>
              </w:rPr>
              <w:t xml:space="preserve"> fue sometida a torturas y malos tratos, a manos de agentes del Estado</w:t>
            </w:r>
            <w:r w:rsidR="00C60B8D" w:rsidRPr="6B42ECDE">
              <w:rPr>
                <w:rFonts w:ascii="Cambria" w:eastAsia="Times New Roman" w:hAnsi="Cambria" w:cs="Times New Roman"/>
                <w:color w:val="000000" w:themeColor="text1"/>
                <w:sz w:val="20"/>
                <w:szCs w:val="20"/>
                <w:lang w:val="es-ES"/>
              </w:rPr>
              <w:t>, con lo cual so obtuvo una confesión bajo coacción</w:t>
            </w:r>
            <w:r w:rsidR="00B61E5B" w:rsidRPr="6B42ECDE">
              <w:rPr>
                <w:rFonts w:ascii="Cambria" w:eastAsia="Times New Roman" w:hAnsi="Cambria" w:cs="Times New Roman"/>
                <w:color w:val="000000" w:themeColor="text1"/>
                <w:sz w:val="20"/>
                <w:szCs w:val="20"/>
                <w:lang w:val="es-ES"/>
              </w:rPr>
              <w:t>.</w:t>
            </w:r>
          </w:p>
          <w:p w14:paraId="18A39A06" w14:textId="075BBB98" w:rsidR="00104A1C" w:rsidRPr="00C60B8D" w:rsidRDefault="00104A1C" w:rsidP="6B42ECDE">
            <w:pPr>
              <w:spacing w:before="100" w:beforeAutospacing="1" w:after="100" w:afterAutospacing="1"/>
              <w:jc w:val="both"/>
              <w:rPr>
                <w:rFonts w:ascii="Times New Roman" w:eastAsia="Times New Roman" w:hAnsi="Times New Roman" w:cs="Times New Roman"/>
                <w:color w:val="000000" w:themeColor="text1"/>
                <w:lang w:val="es-ES"/>
              </w:rPr>
            </w:pPr>
            <w:r w:rsidRPr="6B42ECDE">
              <w:rPr>
                <w:rFonts w:ascii="Cambria" w:eastAsia="Times New Roman" w:hAnsi="Cambria" w:cs="Times New Roman"/>
                <w:b/>
                <w:bCs/>
                <w:color w:val="000000" w:themeColor="text1"/>
                <w:sz w:val="20"/>
                <w:szCs w:val="20"/>
                <w:lang w:val="es-ES"/>
              </w:rPr>
              <w:t xml:space="preserve">Derechos violados: </w:t>
            </w:r>
            <w:r w:rsidRPr="6B42ECDE">
              <w:rPr>
                <w:rFonts w:ascii="Cambria" w:eastAsia="Times New Roman" w:hAnsi="Cambria" w:cs="Times New Roman"/>
                <w:color w:val="000000" w:themeColor="text1"/>
                <w:sz w:val="20"/>
                <w:szCs w:val="20"/>
                <w:lang w:val="es-ES"/>
              </w:rPr>
              <w:t xml:space="preserve">la Comisión Interamericana concluyó que el Estado es responsable por la violación de los </w:t>
            </w:r>
            <w:r w:rsidR="00E81577" w:rsidRPr="6B42ECDE">
              <w:rPr>
                <w:rFonts w:ascii="Cambria" w:eastAsia="Times New Roman" w:hAnsi="Cambria" w:cs="Times New Roman"/>
                <w:color w:val="000000" w:themeColor="text1"/>
                <w:sz w:val="20"/>
                <w:szCs w:val="20"/>
                <w:lang w:val="es-ES"/>
              </w:rPr>
              <w:t>artículos 5.1</w:t>
            </w:r>
            <w:r w:rsidR="00257132" w:rsidRPr="6B42ECDE">
              <w:rPr>
                <w:rFonts w:ascii="Cambria" w:eastAsia="Times New Roman" w:hAnsi="Cambria" w:cs="Times New Roman"/>
                <w:color w:val="000000" w:themeColor="text1"/>
                <w:sz w:val="20"/>
                <w:szCs w:val="20"/>
                <w:lang w:val="es-ES"/>
              </w:rPr>
              <w:t xml:space="preserve"> (derecho a la integridad personal)</w:t>
            </w:r>
            <w:r w:rsidR="00E81577" w:rsidRPr="6B42ECDE">
              <w:rPr>
                <w:rFonts w:ascii="Cambria" w:eastAsia="Times New Roman" w:hAnsi="Cambria" w:cs="Times New Roman"/>
                <w:color w:val="000000" w:themeColor="text1"/>
                <w:sz w:val="20"/>
                <w:szCs w:val="20"/>
                <w:lang w:val="es-ES"/>
              </w:rPr>
              <w:t>, 5.2</w:t>
            </w:r>
            <w:r w:rsidR="00257132" w:rsidRPr="6B42ECDE">
              <w:rPr>
                <w:rFonts w:ascii="Cambria" w:eastAsia="Times New Roman" w:hAnsi="Cambria" w:cs="Times New Roman"/>
                <w:color w:val="000000" w:themeColor="text1"/>
                <w:sz w:val="20"/>
                <w:szCs w:val="20"/>
                <w:lang w:val="es-ES"/>
              </w:rPr>
              <w:t xml:space="preserve"> (derecho a no ser sometido a torturas ni penas o tratos crueles, inhumanos o degradantes)</w:t>
            </w:r>
            <w:r w:rsidR="00E81577" w:rsidRPr="6B42ECDE">
              <w:rPr>
                <w:rFonts w:ascii="Cambria" w:eastAsia="Times New Roman" w:hAnsi="Cambria" w:cs="Times New Roman"/>
                <w:color w:val="000000" w:themeColor="text1"/>
                <w:sz w:val="20"/>
                <w:szCs w:val="20"/>
                <w:lang w:val="es-ES"/>
              </w:rPr>
              <w:t>, 8.1</w:t>
            </w:r>
            <w:r w:rsidR="00257132" w:rsidRPr="6B42ECDE">
              <w:rPr>
                <w:rFonts w:ascii="Cambria" w:eastAsia="Times New Roman" w:hAnsi="Cambria" w:cs="Times New Roman"/>
                <w:color w:val="000000" w:themeColor="text1"/>
                <w:sz w:val="20"/>
                <w:szCs w:val="20"/>
                <w:lang w:val="es-ES"/>
              </w:rPr>
              <w:t xml:space="preserve"> (debido proceso)</w:t>
            </w:r>
            <w:r w:rsidR="00E81577" w:rsidRPr="6B42ECDE">
              <w:rPr>
                <w:rFonts w:ascii="Cambria" w:eastAsia="Times New Roman" w:hAnsi="Cambria" w:cs="Times New Roman"/>
                <w:color w:val="000000" w:themeColor="text1"/>
                <w:sz w:val="20"/>
                <w:szCs w:val="20"/>
                <w:lang w:val="es-ES"/>
              </w:rPr>
              <w:t>, 8.2 d), e), g), 8.3</w:t>
            </w:r>
            <w:r w:rsidR="00257132" w:rsidRPr="6B42ECDE">
              <w:rPr>
                <w:rFonts w:ascii="Cambria" w:eastAsia="Times New Roman" w:hAnsi="Cambria" w:cs="Times New Roman"/>
                <w:color w:val="000000" w:themeColor="text1"/>
                <w:sz w:val="20"/>
                <w:szCs w:val="20"/>
                <w:lang w:val="es-ES"/>
              </w:rPr>
              <w:t xml:space="preserve"> (</w:t>
            </w:r>
            <w:r w:rsidR="009F5668" w:rsidRPr="6B42ECDE">
              <w:rPr>
                <w:rFonts w:ascii="Cambria" w:eastAsia="Times New Roman" w:hAnsi="Cambria" w:cs="Times New Roman"/>
                <w:color w:val="000000" w:themeColor="text1"/>
                <w:sz w:val="20"/>
                <w:szCs w:val="20"/>
                <w:lang w:val="es-ES"/>
              </w:rPr>
              <w:t>garantías judiciales</w:t>
            </w:r>
            <w:r w:rsidR="00257132" w:rsidRPr="6B42ECDE">
              <w:rPr>
                <w:rFonts w:ascii="Cambria" w:eastAsia="Times New Roman" w:hAnsi="Cambria" w:cs="Times New Roman"/>
                <w:color w:val="000000" w:themeColor="text1"/>
                <w:sz w:val="20"/>
                <w:szCs w:val="20"/>
                <w:lang w:val="es-ES"/>
              </w:rPr>
              <w:t>)</w:t>
            </w:r>
            <w:r w:rsidR="00E81577" w:rsidRPr="6B42ECDE">
              <w:rPr>
                <w:rFonts w:ascii="Cambria" w:eastAsia="Times New Roman" w:hAnsi="Cambria" w:cs="Times New Roman"/>
                <w:color w:val="000000" w:themeColor="text1"/>
                <w:sz w:val="20"/>
                <w:szCs w:val="20"/>
                <w:lang w:val="es-ES"/>
              </w:rPr>
              <w:t>, 25.1</w:t>
            </w:r>
            <w:r w:rsidR="00257132" w:rsidRPr="6B42ECDE">
              <w:rPr>
                <w:rFonts w:ascii="Cambria" w:eastAsia="Times New Roman" w:hAnsi="Cambria" w:cs="Times New Roman"/>
                <w:color w:val="000000" w:themeColor="text1"/>
                <w:sz w:val="20"/>
                <w:szCs w:val="20"/>
                <w:lang w:val="es-ES"/>
              </w:rPr>
              <w:t xml:space="preserve"> (derecho a un recurso sencillo, rápido y efectivo) </w:t>
            </w:r>
            <w:r w:rsidR="00E81577" w:rsidRPr="6B42ECDE">
              <w:rPr>
                <w:rFonts w:ascii="Cambria" w:eastAsia="Times New Roman" w:hAnsi="Cambria" w:cs="Times New Roman"/>
                <w:color w:val="000000" w:themeColor="text1"/>
                <w:sz w:val="20"/>
                <w:szCs w:val="20"/>
                <w:lang w:val="es-ES"/>
              </w:rPr>
              <w:t xml:space="preserve"> y 1.1</w:t>
            </w:r>
            <w:r w:rsidRPr="6B42ECDE">
              <w:rPr>
                <w:rFonts w:ascii="Cambria" w:eastAsia="Times New Roman" w:hAnsi="Cambria" w:cs="Times New Roman"/>
                <w:color w:val="000000" w:themeColor="text1"/>
                <w:sz w:val="20"/>
                <w:szCs w:val="20"/>
                <w:lang w:val="es-ES"/>
              </w:rPr>
              <w:t xml:space="preserve"> </w:t>
            </w:r>
            <w:r w:rsidR="00257132" w:rsidRPr="6B42ECDE">
              <w:rPr>
                <w:rFonts w:ascii="Cambria" w:eastAsia="Times New Roman" w:hAnsi="Cambria" w:cs="Times New Roman"/>
                <w:color w:val="000000" w:themeColor="text1"/>
                <w:sz w:val="20"/>
                <w:szCs w:val="20"/>
                <w:lang w:val="es-ES"/>
              </w:rPr>
              <w:t xml:space="preserve">(obligación de respeto) </w:t>
            </w:r>
            <w:r w:rsidRPr="6B42ECDE">
              <w:rPr>
                <w:rFonts w:ascii="Cambria" w:eastAsia="Times New Roman" w:hAnsi="Cambria" w:cs="Times New Roman"/>
                <w:color w:val="000000" w:themeColor="text1"/>
                <w:sz w:val="20"/>
                <w:szCs w:val="20"/>
                <w:lang w:val="es-ES"/>
              </w:rPr>
              <w:t xml:space="preserve">de la </w:t>
            </w:r>
            <w:r w:rsidR="00E81577" w:rsidRPr="6B42ECDE">
              <w:rPr>
                <w:rFonts w:ascii="Cambria" w:eastAsia="Times New Roman" w:hAnsi="Cambria" w:cs="Times New Roman"/>
                <w:color w:val="000000" w:themeColor="text1"/>
                <w:sz w:val="20"/>
                <w:szCs w:val="20"/>
                <w:lang w:val="es-ES"/>
              </w:rPr>
              <w:t>Convención</w:t>
            </w:r>
            <w:r w:rsidRPr="6B42ECDE">
              <w:rPr>
                <w:rFonts w:ascii="Cambria" w:eastAsia="Times New Roman" w:hAnsi="Cambria" w:cs="Times New Roman"/>
                <w:color w:val="000000" w:themeColor="text1"/>
                <w:sz w:val="20"/>
                <w:szCs w:val="20"/>
                <w:lang w:val="es-ES"/>
              </w:rPr>
              <w:t xml:space="preserve"> Americana</w:t>
            </w:r>
            <w:r w:rsidR="00E81577" w:rsidRPr="6B42ECDE">
              <w:rPr>
                <w:rFonts w:ascii="Cambria" w:eastAsia="Times New Roman" w:hAnsi="Cambria" w:cs="Times New Roman"/>
                <w:color w:val="000000" w:themeColor="text1"/>
                <w:sz w:val="20"/>
                <w:szCs w:val="20"/>
                <w:lang w:val="es-ES"/>
              </w:rPr>
              <w:t>, así como de los artículos 1, 6 y 8 de la Convención Interamericana para Prevenir y Sancionar la Tortura</w:t>
            </w:r>
            <w:r w:rsidR="00C60B8D" w:rsidRPr="6B42ECDE">
              <w:rPr>
                <w:rFonts w:ascii="Cambria" w:eastAsia="Times New Roman" w:hAnsi="Cambria" w:cs="Times New Roman"/>
                <w:color w:val="000000" w:themeColor="text1"/>
                <w:sz w:val="20"/>
                <w:szCs w:val="20"/>
                <w:lang w:val="es-ES"/>
              </w:rPr>
              <w:t>.</w:t>
            </w:r>
          </w:p>
        </w:tc>
      </w:tr>
    </w:tbl>
    <w:p w14:paraId="7AF27DB3" w14:textId="77777777" w:rsidR="00104A1C" w:rsidRPr="00C60B8D" w:rsidRDefault="00104A1C" w:rsidP="6B42ECDE">
      <w:pPr>
        <w:ind w:left="180"/>
        <w:jc w:val="both"/>
        <w:rPr>
          <w:rFonts w:ascii="Cambria" w:eastAsia="Times New Roman" w:hAnsi="Cambria" w:cs="Times New Roman"/>
          <w:color w:val="000000" w:themeColor="text1"/>
          <w:sz w:val="20"/>
          <w:szCs w:val="20"/>
          <w:lang w:val="es-ES"/>
        </w:rPr>
      </w:pPr>
    </w:p>
    <w:p w14:paraId="43CD3BC8" w14:textId="77777777" w:rsidR="00104A1C" w:rsidRPr="00C60B8D" w:rsidRDefault="00104A1C" w:rsidP="6B42ECDE">
      <w:pPr>
        <w:numPr>
          <w:ilvl w:val="0"/>
          <w:numId w:val="8"/>
        </w:numPr>
        <w:ind w:left="1440"/>
        <w:jc w:val="both"/>
        <w:rPr>
          <w:rFonts w:ascii="Cambria" w:eastAsia="Times New Roman" w:hAnsi="Cambria" w:cs="Calibri Light"/>
          <w:b/>
          <w:bCs/>
          <w:color w:val="000000" w:themeColor="text1"/>
          <w:sz w:val="20"/>
          <w:szCs w:val="20"/>
          <w:lang w:val="es-ES"/>
        </w:rPr>
      </w:pPr>
      <w:r w:rsidRPr="6B42ECDE">
        <w:rPr>
          <w:rFonts w:ascii="Cambria" w:eastAsia="Times New Roman" w:hAnsi="Cambria" w:cs="Calibri Light"/>
          <w:b/>
          <w:bCs/>
          <w:color w:val="000000" w:themeColor="text1"/>
          <w:sz w:val="20"/>
          <w:szCs w:val="20"/>
          <w:lang w:val="es-ES"/>
        </w:rPr>
        <w:t>Recomendaciones</w:t>
      </w:r>
    </w:p>
    <w:p w14:paraId="337B35F5" w14:textId="77777777" w:rsidR="00104A1C" w:rsidRPr="00C60B8D" w:rsidRDefault="00104A1C" w:rsidP="6B42ECDE">
      <w:pPr>
        <w:ind w:left="1080"/>
        <w:jc w:val="both"/>
        <w:rPr>
          <w:rFonts w:ascii="Cambria" w:eastAsia="Times New Roman" w:hAnsi="Cambria" w:cs="Calibri Light"/>
          <w:b/>
          <w:bCs/>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C60B8D" w:rsidRPr="00C60B8D" w14:paraId="16857BDC" w14:textId="77777777" w:rsidTr="6B42ECDE">
        <w:tc>
          <w:tcPr>
            <w:tcW w:w="7197" w:type="dxa"/>
            <w:shd w:val="clear" w:color="auto" w:fill="auto"/>
            <w:vAlign w:val="center"/>
          </w:tcPr>
          <w:p w14:paraId="18D1CABA" w14:textId="77777777" w:rsidR="00104A1C" w:rsidRPr="00C60B8D" w:rsidRDefault="00104A1C" w:rsidP="6B42ECDE">
            <w:pPr>
              <w:jc w:val="center"/>
              <w:rPr>
                <w:rFonts w:ascii="Cambria" w:eastAsia="Times New Roman" w:hAnsi="Cambria" w:cs="Calibri Light"/>
                <w:b/>
                <w:bCs/>
                <w:color w:val="000000" w:themeColor="text1"/>
                <w:sz w:val="18"/>
                <w:szCs w:val="18"/>
                <w:lang w:val="es-ES"/>
              </w:rPr>
            </w:pPr>
            <w:r w:rsidRPr="6B42ECDE">
              <w:rPr>
                <w:rFonts w:ascii="Cambria" w:eastAsia="Times New Roman" w:hAnsi="Cambria" w:cs="Calibri Light"/>
                <w:b/>
                <w:bCs/>
                <w:color w:val="000000" w:themeColor="text1"/>
                <w:sz w:val="18"/>
                <w:szCs w:val="18"/>
                <w:lang w:val="es-ES"/>
              </w:rPr>
              <w:t>Recomendaciones</w:t>
            </w:r>
          </w:p>
        </w:tc>
        <w:tc>
          <w:tcPr>
            <w:tcW w:w="2135" w:type="dxa"/>
            <w:shd w:val="clear" w:color="auto" w:fill="auto"/>
          </w:tcPr>
          <w:p w14:paraId="435B096D" w14:textId="23F143CE" w:rsidR="00104A1C" w:rsidRPr="00C60B8D" w:rsidRDefault="00C60B8D" w:rsidP="6B42ECDE">
            <w:pPr>
              <w:jc w:val="center"/>
              <w:rPr>
                <w:rFonts w:ascii="Cambria" w:eastAsia="Times New Roman" w:hAnsi="Cambria" w:cs="Calibri Light"/>
                <w:b/>
                <w:bCs/>
                <w:color w:val="000000" w:themeColor="text1"/>
                <w:sz w:val="18"/>
                <w:szCs w:val="18"/>
                <w:lang w:val="es-ES"/>
              </w:rPr>
            </w:pPr>
            <w:r w:rsidRPr="6B42ECDE">
              <w:rPr>
                <w:rFonts w:ascii="Cambria" w:eastAsia="Times New Roman" w:hAnsi="Cambria" w:cs="Calibri Light"/>
                <w:b/>
                <w:bCs/>
                <w:color w:val="000000" w:themeColor="text1"/>
                <w:sz w:val="18"/>
                <w:szCs w:val="18"/>
                <w:lang w:val="es-ES"/>
              </w:rPr>
              <w:t>Nivel</w:t>
            </w:r>
            <w:r w:rsidR="00104A1C" w:rsidRPr="6B42ECDE">
              <w:rPr>
                <w:rFonts w:ascii="Cambria" w:eastAsia="Times New Roman" w:hAnsi="Cambria" w:cs="Calibri Light"/>
                <w:b/>
                <w:bCs/>
                <w:color w:val="000000" w:themeColor="text1"/>
                <w:sz w:val="18"/>
                <w:szCs w:val="18"/>
                <w:lang w:val="es-ES"/>
              </w:rPr>
              <w:t xml:space="preserve"> de cumplimiento en 2022</w:t>
            </w:r>
          </w:p>
        </w:tc>
      </w:tr>
      <w:tr w:rsidR="00C60B8D" w:rsidRPr="00C60B8D" w14:paraId="089305DD" w14:textId="77777777" w:rsidTr="6B42ECDE">
        <w:tc>
          <w:tcPr>
            <w:tcW w:w="7197" w:type="dxa"/>
            <w:shd w:val="clear" w:color="auto" w:fill="auto"/>
          </w:tcPr>
          <w:p w14:paraId="19ED518F" w14:textId="05939762" w:rsidR="00104A1C" w:rsidRPr="00C60B8D" w:rsidRDefault="00257132" w:rsidP="6B42ECDE">
            <w:pPr>
              <w:jc w:val="both"/>
              <w:rPr>
                <w:rFonts w:ascii="Cambria" w:eastAsia="Times New Roman" w:hAnsi="Cambria" w:cs="Times New Roman"/>
                <w:color w:val="000000" w:themeColor="text1"/>
                <w:sz w:val="16"/>
                <w:szCs w:val="16"/>
                <w:lang w:val="es-ES"/>
              </w:rPr>
            </w:pPr>
            <w:r w:rsidRPr="6B42ECDE">
              <w:rPr>
                <w:rFonts w:ascii="Cambria" w:eastAsia="Times New Roman" w:hAnsi="Cambria" w:cs="Times New Roman"/>
                <w:color w:val="000000" w:themeColor="text1"/>
                <w:sz w:val="16"/>
                <w:szCs w:val="16"/>
                <w:lang w:val="es-ES"/>
              </w:rPr>
              <w:t>1.  Reparar integralmente a la víctima del presente caso de forma que se incluya el aspecto tanto material como inmaterial.</w:t>
            </w:r>
          </w:p>
        </w:tc>
        <w:tc>
          <w:tcPr>
            <w:tcW w:w="2135" w:type="dxa"/>
            <w:shd w:val="clear" w:color="auto" w:fill="auto"/>
            <w:vAlign w:val="center"/>
          </w:tcPr>
          <w:p w14:paraId="405E9BFD" w14:textId="3E77BB88" w:rsidR="00104A1C" w:rsidRPr="00C60B8D" w:rsidRDefault="004739AB" w:rsidP="6B42ECDE">
            <w:pPr>
              <w:jc w:val="center"/>
              <w:rPr>
                <w:rFonts w:ascii="Cambria" w:eastAsia="Times New Roman" w:hAnsi="Cambria" w:cs="Times New Roman"/>
                <w:color w:val="000000" w:themeColor="text1"/>
                <w:sz w:val="18"/>
                <w:szCs w:val="18"/>
                <w:lang w:val="es-ES"/>
              </w:rPr>
            </w:pPr>
            <w:r w:rsidRPr="6B42ECDE">
              <w:rPr>
                <w:rFonts w:ascii="Cambria" w:eastAsia="Times New Roman" w:hAnsi="Cambria" w:cs="Times New Roman"/>
                <w:color w:val="000000" w:themeColor="text1"/>
                <w:sz w:val="18"/>
                <w:szCs w:val="18"/>
                <w:lang w:val="es-ES"/>
              </w:rPr>
              <w:t>Cumplimiento total</w:t>
            </w:r>
          </w:p>
        </w:tc>
      </w:tr>
      <w:tr w:rsidR="0000210B" w:rsidRPr="00C60B8D" w14:paraId="53C61DC2" w14:textId="77777777" w:rsidTr="6B42ECDE">
        <w:tc>
          <w:tcPr>
            <w:tcW w:w="7197" w:type="dxa"/>
            <w:shd w:val="clear" w:color="auto" w:fill="auto"/>
          </w:tcPr>
          <w:p w14:paraId="5A3EA3FA" w14:textId="55A19A9C" w:rsidR="0000210B" w:rsidRPr="0000210B" w:rsidRDefault="0000210B" w:rsidP="6B42ECDE">
            <w:pPr>
              <w:jc w:val="both"/>
              <w:rPr>
                <w:rFonts w:ascii="Cambria" w:eastAsia="Times New Roman" w:hAnsi="Cambria" w:cs="Times New Roman"/>
                <w:color w:val="000000" w:themeColor="text1"/>
                <w:sz w:val="16"/>
                <w:szCs w:val="16"/>
                <w:lang w:val="es-ES"/>
              </w:rPr>
            </w:pPr>
            <w:r w:rsidRPr="6B42ECDE">
              <w:rPr>
                <w:rFonts w:ascii="Cambria" w:eastAsia="Times New Roman" w:hAnsi="Cambria" w:cs="Times New Roman"/>
                <w:color w:val="000000" w:themeColor="text1"/>
                <w:sz w:val="16"/>
                <w:szCs w:val="16"/>
                <w:lang w:val="es-ES"/>
              </w:rPr>
              <w:t xml:space="preserve">Cláusula octava del Acuerdo de Cumplimiento sobre medidas de reparación material: </w:t>
            </w:r>
          </w:p>
          <w:p w14:paraId="2DE5CCA2" w14:textId="77777777" w:rsidR="0000210B" w:rsidRPr="0000210B" w:rsidRDefault="0000210B" w:rsidP="6B42ECDE">
            <w:pPr>
              <w:jc w:val="both"/>
              <w:rPr>
                <w:rFonts w:ascii="Cambria" w:eastAsia="Times New Roman" w:hAnsi="Cambria" w:cs="Times New Roman"/>
                <w:color w:val="000000" w:themeColor="text1"/>
                <w:sz w:val="16"/>
                <w:szCs w:val="16"/>
                <w:lang w:val="es-ES"/>
              </w:rPr>
            </w:pPr>
          </w:p>
          <w:p w14:paraId="63E82B9B" w14:textId="77777777" w:rsidR="0000210B" w:rsidRPr="0000210B" w:rsidRDefault="0000210B" w:rsidP="6B42ECDE">
            <w:pPr>
              <w:jc w:val="both"/>
              <w:rPr>
                <w:rFonts w:ascii="Cambria" w:hAnsi="Cambria"/>
                <w:color w:val="000000" w:themeColor="text1"/>
                <w:sz w:val="16"/>
                <w:szCs w:val="16"/>
                <w:lang w:val="es-MX"/>
              </w:rPr>
            </w:pPr>
            <w:r w:rsidRPr="6B42ECDE">
              <w:rPr>
                <w:rFonts w:ascii="Cambria" w:hAnsi="Cambria"/>
                <w:color w:val="000000" w:themeColor="text1"/>
                <w:sz w:val="16"/>
                <w:szCs w:val="16"/>
                <w:lang w:val="es-MX"/>
              </w:rPr>
              <w:t>Durante la primera ronda del proceso de negociación de 26 de junio de 2018, el Ministerio del Interior propuso como reparación integral por la violación de los derechos humanos, la cantidad total de USD 60.000,00 (SESENTA MIL DÓLARES DELOS ESTADOS UNIDOS DE AMÉRICA) valor que fue aceptado por la señora JANETH AMPARO CONSTANTE MERIZALDE, víctima y beneficiaria del Informe de Fondo No. 32/18, tal como consta en el Acta de Reunión No. 1.</w:t>
            </w:r>
          </w:p>
          <w:p w14:paraId="5CDDC175" w14:textId="77777777" w:rsidR="0000210B" w:rsidRPr="0000210B" w:rsidRDefault="0000210B" w:rsidP="6B42ECDE">
            <w:pPr>
              <w:jc w:val="both"/>
              <w:rPr>
                <w:rFonts w:ascii="Cambria" w:hAnsi="Cambria"/>
                <w:color w:val="000000" w:themeColor="text1"/>
                <w:sz w:val="16"/>
                <w:szCs w:val="16"/>
                <w:lang w:val="es-CO"/>
              </w:rPr>
            </w:pPr>
            <w:r w:rsidRPr="6B42ECDE">
              <w:rPr>
                <w:rFonts w:ascii="Cambria" w:hAnsi="Cambria"/>
                <w:color w:val="000000" w:themeColor="text1"/>
                <w:sz w:val="16"/>
                <w:szCs w:val="16"/>
                <w:lang w:val="es-MX"/>
              </w:rPr>
              <w:t xml:space="preserve">(…) </w:t>
            </w:r>
          </w:p>
          <w:p w14:paraId="3FF7830D" w14:textId="30259C31" w:rsidR="0000210B" w:rsidRPr="00C60B8D" w:rsidRDefault="0000210B" w:rsidP="6B42ECDE">
            <w:pPr>
              <w:jc w:val="both"/>
              <w:rPr>
                <w:rFonts w:ascii="Cambria" w:eastAsia="Times New Roman" w:hAnsi="Cambria" w:cs="Times New Roman"/>
                <w:color w:val="000000" w:themeColor="text1"/>
                <w:sz w:val="16"/>
                <w:szCs w:val="16"/>
                <w:lang w:val="es-ES"/>
              </w:rPr>
            </w:pPr>
          </w:p>
        </w:tc>
        <w:tc>
          <w:tcPr>
            <w:tcW w:w="2135" w:type="dxa"/>
            <w:shd w:val="clear" w:color="auto" w:fill="auto"/>
            <w:vAlign w:val="center"/>
          </w:tcPr>
          <w:p w14:paraId="156B631D" w14:textId="57C5698B" w:rsidR="0000210B" w:rsidRPr="00C60B8D" w:rsidRDefault="004739AB" w:rsidP="6B42ECDE">
            <w:pPr>
              <w:jc w:val="center"/>
              <w:rPr>
                <w:rFonts w:ascii="Cambria" w:eastAsia="Times New Roman" w:hAnsi="Cambria" w:cs="Times New Roman"/>
                <w:color w:val="000000" w:themeColor="text1"/>
                <w:sz w:val="18"/>
                <w:szCs w:val="18"/>
                <w:lang w:val="es-ES"/>
              </w:rPr>
            </w:pPr>
            <w:r w:rsidRPr="6B42ECDE">
              <w:rPr>
                <w:rFonts w:ascii="Cambria" w:eastAsia="Times New Roman" w:hAnsi="Cambria" w:cs="Times New Roman"/>
                <w:color w:val="000000" w:themeColor="text1"/>
                <w:sz w:val="18"/>
                <w:szCs w:val="18"/>
                <w:lang w:val="es-ES"/>
              </w:rPr>
              <w:t>Cumplimiento total</w:t>
            </w:r>
          </w:p>
        </w:tc>
      </w:tr>
      <w:tr w:rsidR="00C60B8D" w:rsidRPr="00C60B8D" w14:paraId="24ACB67A" w14:textId="77777777" w:rsidTr="6B42ECDE">
        <w:tc>
          <w:tcPr>
            <w:tcW w:w="7197" w:type="dxa"/>
            <w:shd w:val="clear" w:color="auto" w:fill="auto"/>
          </w:tcPr>
          <w:p w14:paraId="0B54B7AB" w14:textId="12BD5A0B" w:rsidR="00104A1C" w:rsidRPr="00C60B8D" w:rsidRDefault="00257132" w:rsidP="6B42ECDE">
            <w:pPr>
              <w:jc w:val="both"/>
              <w:rPr>
                <w:rFonts w:ascii="Cambria" w:eastAsia="Times New Roman" w:hAnsi="Cambria" w:cs="Times New Roman"/>
                <w:color w:val="000000" w:themeColor="text1"/>
                <w:sz w:val="16"/>
                <w:szCs w:val="16"/>
                <w:lang w:val="es-ES"/>
              </w:rPr>
            </w:pPr>
            <w:r w:rsidRPr="6B42ECDE">
              <w:rPr>
                <w:rFonts w:ascii="Cambria" w:eastAsia="Times New Roman" w:hAnsi="Cambria" w:cs="Times New Roman"/>
                <w:color w:val="000000" w:themeColor="text1"/>
                <w:sz w:val="16"/>
                <w:szCs w:val="16"/>
                <w:lang w:val="es-ES"/>
              </w:rPr>
              <w:t>2.  Llevar a cabo una investigación seria, diligente y efectiva, en un plazo razonable, para esclarecer los hechos de tortura descritos en el presente informe, individualizar a los responsables e imponer las sanciones que correspondan. Al tratarse de una grave violación de derechos humanos, el Estado no podrá invocar figuras legales como la prescripción para abstenerse de investigar los hechos del presente caso.</w:t>
            </w:r>
          </w:p>
        </w:tc>
        <w:tc>
          <w:tcPr>
            <w:tcW w:w="2135" w:type="dxa"/>
            <w:shd w:val="clear" w:color="auto" w:fill="auto"/>
            <w:vAlign w:val="center"/>
          </w:tcPr>
          <w:p w14:paraId="4C16E06E" w14:textId="08B721D1" w:rsidR="00104A1C" w:rsidRPr="00C60B8D" w:rsidRDefault="0066167B" w:rsidP="6B42ECDE">
            <w:pPr>
              <w:jc w:val="center"/>
              <w:rPr>
                <w:rFonts w:ascii="Cambria" w:eastAsia="Times New Roman" w:hAnsi="Cambria" w:cs="Times New Roman"/>
                <w:color w:val="000000" w:themeColor="text1"/>
                <w:sz w:val="18"/>
                <w:szCs w:val="18"/>
                <w:lang w:val="es-ES"/>
              </w:rPr>
            </w:pPr>
            <w:r w:rsidRPr="6B42ECDE">
              <w:rPr>
                <w:rFonts w:ascii="Cambria" w:eastAsia="Times New Roman" w:hAnsi="Cambria" w:cs="Times New Roman"/>
                <w:color w:val="000000" w:themeColor="text1"/>
                <w:sz w:val="18"/>
                <w:szCs w:val="18"/>
                <w:lang w:val="es-ES"/>
              </w:rPr>
              <w:t>Pendiente de cumplimiento</w:t>
            </w:r>
          </w:p>
        </w:tc>
      </w:tr>
      <w:tr w:rsidR="00C60B8D" w:rsidRPr="00C60B8D" w14:paraId="0D3AC26F" w14:textId="77777777" w:rsidTr="6B42ECDE">
        <w:tc>
          <w:tcPr>
            <w:tcW w:w="7197" w:type="dxa"/>
            <w:shd w:val="clear" w:color="auto" w:fill="auto"/>
          </w:tcPr>
          <w:p w14:paraId="10E129FC" w14:textId="5BF35624" w:rsidR="00104A1C" w:rsidRPr="00C60B8D" w:rsidRDefault="00257132" w:rsidP="6B42ECDE">
            <w:pPr>
              <w:jc w:val="both"/>
              <w:rPr>
                <w:rFonts w:ascii="Cambria" w:eastAsia="Times New Roman" w:hAnsi="Cambria" w:cs="Times New Roman"/>
                <w:color w:val="000000" w:themeColor="text1"/>
                <w:sz w:val="16"/>
                <w:szCs w:val="16"/>
                <w:lang w:val="es-ES"/>
              </w:rPr>
            </w:pPr>
            <w:r w:rsidRPr="6B42ECDE">
              <w:rPr>
                <w:rFonts w:ascii="Cambria" w:eastAsia="Times New Roman" w:hAnsi="Cambria" w:cs="Times New Roman"/>
                <w:color w:val="000000" w:themeColor="text1"/>
                <w:sz w:val="16"/>
                <w:szCs w:val="16"/>
                <w:lang w:val="es-ES"/>
              </w:rPr>
              <w:t xml:space="preserve">3.  Disponer las medidas administrativas, disciplinarias y penales correspondientes por las acciones u omisiones de los funcionarios estatales que contribuyeron con su actuación a la denegación de justicia en perjuicio de la víctima.  </w:t>
            </w:r>
          </w:p>
        </w:tc>
        <w:tc>
          <w:tcPr>
            <w:tcW w:w="2135" w:type="dxa"/>
            <w:shd w:val="clear" w:color="auto" w:fill="auto"/>
            <w:vAlign w:val="center"/>
          </w:tcPr>
          <w:p w14:paraId="29145CD9" w14:textId="309563A5" w:rsidR="00104A1C" w:rsidRPr="00C60B8D" w:rsidRDefault="0066167B" w:rsidP="6B42ECDE">
            <w:pPr>
              <w:jc w:val="center"/>
              <w:rPr>
                <w:rFonts w:ascii="Cambria" w:eastAsia="Times New Roman" w:hAnsi="Cambria" w:cs="Times New Roman"/>
                <w:color w:val="000000" w:themeColor="text1"/>
                <w:sz w:val="18"/>
                <w:szCs w:val="18"/>
                <w:lang w:val="es-ES"/>
              </w:rPr>
            </w:pPr>
            <w:r w:rsidRPr="6B42ECDE">
              <w:rPr>
                <w:rFonts w:ascii="Cambria" w:eastAsia="Times New Roman" w:hAnsi="Cambria" w:cs="Times New Roman"/>
                <w:color w:val="000000" w:themeColor="text1"/>
                <w:sz w:val="18"/>
                <w:szCs w:val="18"/>
                <w:lang w:val="es-ES"/>
              </w:rPr>
              <w:t>Pendiente de cumplimiento</w:t>
            </w:r>
          </w:p>
        </w:tc>
      </w:tr>
      <w:tr w:rsidR="00C60B8D" w:rsidRPr="00C60B8D" w14:paraId="17DA36AA" w14:textId="77777777" w:rsidTr="6B42ECDE">
        <w:tc>
          <w:tcPr>
            <w:tcW w:w="7197" w:type="dxa"/>
            <w:shd w:val="clear" w:color="auto" w:fill="auto"/>
          </w:tcPr>
          <w:p w14:paraId="6DF3229E" w14:textId="46F37ED7" w:rsidR="00257132" w:rsidRPr="00C60B8D" w:rsidRDefault="00257132" w:rsidP="6B42ECDE">
            <w:pPr>
              <w:jc w:val="both"/>
              <w:rPr>
                <w:rFonts w:ascii="Cambria" w:eastAsia="Times New Roman" w:hAnsi="Cambria" w:cs="Times New Roman"/>
                <w:color w:val="000000" w:themeColor="text1"/>
                <w:sz w:val="16"/>
                <w:szCs w:val="16"/>
                <w:lang w:val="es-ES"/>
              </w:rPr>
            </w:pPr>
            <w:r w:rsidRPr="6B42ECDE">
              <w:rPr>
                <w:rFonts w:ascii="Cambria" w:eastAsia="Times New Roman" w:hAnsi="Cambria" w:cs="Times New Roman"/>
                <w:color w:val="000000" w:themeColor="text1"/>
                <w:sz w:val="16"/>
                <w:szCs w:val="16"/>
                <w:lang w:val="es-ES"/>
              </w:rPr>
              <w:t xml:space="preserve">4.  Adoptar las medidas necesarias para evitar que en el futuro se produzcan hechos similares. Específicamente, desarrollar programas de formación para cuerpos de seguridad, jueces y fiscales, sobre la prohibición absoluta de actos de tortura y tratos crueles, inhumanos o degradantes, así como las obligaciones derivadas de la regla de la exclusión. Asimismo, adoptar las medidas necesarias para asegurar que toda denuncia de tortura sea debidamente investigada conforme a los estándares descritos en el presente informe.  </w:t>
            </w:r>
          </w:p>
        </w:tc>
        <w:tc>
          <w:tcPr>
            <w:tcW w:w="2135" w:type="dxa"/>
            <w:shd w:val="clear" w:color="auto" w:fill="auto"/>
            <w:vAlign w:val="center"/>
          </w:tcPr>
          <w:p w14:paraId="2383F1A6" w14:textId="47C352F2" w:rsidR="00257132" w:rsidRPr="00C60B8D" w:rsidRDefault="00FE7FAE" w:rsidP="6B42ECDE">
            <w:pPr>
              <w:jc w:val="center"/>
              <w:rPr>
                <w:rFonts w:ascii="Cambria" w:eastAsia="Times New Roman" w:hAnsi="Cambria" w:cs="Times New Roman"/>
                <w:color w:val="000000" w:themeColor="text1"/>
                <w:sz w:val="18"/>
                <w:szCs w:val="18"/>
                <w:lang w:val="es-ES"/>
              </w:rPr>
            </w:pPr>
            <w:r w:rsidRPr="6B42ECDE">
              <w:rPr>
                <w:rFonts w:ascii="Cambria" w:eastAsia="Times New Roman" w:hAnsi="Cambria" w:cs="Times New Roman"/>
                <w:color w:val="000000" w:themeColor="text1"/>
                <w:sz w:val="18"/>
                <w:szCs w:val="18"/>
                <w:lang w:val="es-ES"/>
              </w:rPr>
              <w:t>Cumplimiento parcial</w:t>
            </w:r>
          </w:p>
        </w:tc>
      </w:tr>
    </w:tbl>
    <w:p w14:paraId="44645127" w14:textId="77777777" w:rsidR="00257132" w:rsidRPr="00C60B8D" w:rsidRDefault="00257132" w:rsidP="6B42ECDE">
      <w:pPr>
        <w:jc w:val="both"/>
        <w:rPr>
          <w:rFonts w:ascii="Cambria" w:eastAsia="Times New Roman" w:hAnsi="Cambria" w:cs="Calibri Light"/>
          <w:b/>
          <w:bCs/>
          <w:color w:val="000000" w:themeColor="text1"/>
          <w:lang w:val="es-ES"/>
        </w:rPr>
      </w:pPr>
    </w:p>
    <w:p w14:paraId="50B129F2" w14:textId="77777777" w:rsidR="00104A1C" w:rsidRPr="00C60B8D" w:rsidRDefault="00104A1C" w:rsidP="6B42ECDE">
      <w:pPr>
        <w:numPr>
          <w:ilvl w:val="0"/>
          <w:numId w:val="8"/>
        </w:numPr>
        <w:ind w:left="1440"/>
        <w:contextualSpacing/>
        <w:jc w:val="both"/>
        <w:rPr>
          <w:rFonts w:ascii="Cambria" w:eastAsia="Times New Roman" w:hAnsi="Cambria" w:cs="Calibri Light"/>
          <w:b/>
          <w:bCs/>
          <w:color w:val="000000" w:themeColor="text1"/>
          <w:sz w:val="20"/>
          <w:szCs w:val="20"/>
          <w:lang w:val="es-ES"/>
        </w:rPr>
      </w:pPr>
      <w:r w:rsidRPr="6B42ECDE">
        <w:rPr>
          <w:rFonts w:ascii="Cambria" w:eastAsia="Times New Roman" w:hAnsi="Cambria" w:cs="Times New Roman"/>
          <w:b/>
          <w:bCs/>
          <w:color w:val="000000" w:themeColor="text1"/>
          <w:sz w:val="20"/>
          <w:szCs w:val="20"/>
          <w:lang w:val="es-ES"/>
        </w:rPr>
        <w:t>Actividad procesal</w:t>
      </w:r>
    </w:p>
    <w:p w14:paraId="37A31AA8" w14:textId="77777777" w:rsidR="00104A1C" w:rsidRPr="00C60B8D" w:rsidRDefault="00104A1C" w:rsidP="6B42ECDE">
      <w:pPr>
        <w:jc w:val="both"/>
        <w:rPr>
          <w:rFonts w:ascii="Cambria" w:eastAsia="Times New Roman" w:hAnsi="Cambria" w:cs="Calibri Light"/>
          <w:color w:val="000000" w:themeColor="text1"/>
          <w:sz w:val="20"/>
          <w:szCs w:val="20"/>
          <w:lang w:val="es-ES"/>
        </w:rPr>
      </w:pPr>
    </w:p>
    <w:p w14:paraId="07426E89" w14:textId="3F865255" w:rsidR="00104A1C" w:rsidRPr="00FE7FAE" w:rsidRDefault="00104A1C"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En 202</w:t>
      </w:r>
      <w:r w:rsidR="00FE7FAE" w:rsidRPr="6B42ECDE">
        <w:rPr>
          <w:rFonts w:ascii="Cambria" w:eastAsia="Times New Roman" w:hAnsi="Cambria" w:cs="Calibri Light"/>
          <w:color w:val="000000" w:themeColor="text1"/>
          <w:sz w:val="20"/>
          <w:szCs w:val="20"/>
          <w:lang w:val="es-ES"/>
        </w:rPr>
        <w:t>2</w:t>
      </w:r>
      <w:r w:rsidRPr="6B42ECDE">
        <w:rPr>
          <w:rFonts w:ascii="Cambria" w:eastAsia="Times New Roman" w:hAnsi="Cambria" w:cs="Calibri Light"/>
          <w:color w:val="000000" w:themeColor="text1"/>
          <w:sz w:val="20"/>
          <w:szCs w:val="20"/>
          <w:lang w:val="es-ES"/>
        </w:rPr>
        <w:t xml:space="preserve">, la CIDH solicitó al Estado información actualizada sobre el cumplimiento de recomendaciones el </w:t>
      </w:r>
      <w:r w:rsidR="00FE7FAE" w:rsidRPr="6B42ECDE">
        <w:rPr>
          <w:rFonts w:ascii="Cambria" w:eastAsia="Times New Roman" w:hAnsi="Cambria" w:cs="Calibri Light"/>
          <w:color w:val="000000" w:themeColor="text1"/>
          <w:sz w:val="20"/>
          <w:szCs w:val="20"/>
          <w:lang w:val="es-ES"/>
        </w:rPr>
        <w:t>29 de agosto</w:t>
      </w:r>
      <w:r w:rsidRPr="6B42ECDE">
        <w:rPr>
          <w:rFonts w:ascii="Cambria" w:eastAsia="Times New Roman" w:hAnsi="Cambria" w:cs="Calibri Light"/>
          <w:color w:val="000000" w:themeColor="text1"/>
          <w:sz w:val="20"/>
          <w:szCs w:val="20"/>
          <w:lang w:val="es-ES"/>
        </w:rPr>
        <w:t>.</w:t>
      </w:r>
      <w:bookmarkStart w:id="0" w:name="_Hlk57239069"/>
      <w:r w:rsidRPr="6B42ECDE">
        <w:rPr>
          <w:rFonts w:ascii="Cambria" w:eastAsia="Times New Roman" w:hAnsi="Cambria" w:cs="Times New Roman"/>
          <w:color w:val="000000" w:themeColor="text1"/>
          <w:sz w:val="20"/>
          <w:szCs w:val="20"/>
          <w:lang w:val="es-ES"/>
        </w:rPr>
        <w:t xml:space="preserve"> </w:t>
      </w:r>
      <w:r w:rsidRPr="6B42ECDE">
        <w:rPr>
          <w:rFonts w:ascii="Cambria" w:eastAsia="Times New Roman" w:hAnsi="Cambria" w:cs="Calibri Light"/>
          <w:color w:val="000000" w:themeColor="text1"/>
          <w:sz w:val="20"/>
          <w:szCs w:val="20"/>
          <w:lang w:val="es-ES"/>
        </w:rPr>
        <w:t xml:space="preserve">El Estado </w:t>
      </w:r>
      <w:r w:rsidRPr="6B42ECDE">
        <w:rPr>
          <w:rFonts w:ascii="Cambria" w:eastAsia="Times New Roman" w:hAnsi="Cambria" w:cs="Times New Roman"/>
          <w:color w:val="000000" w:themeColor="text1"/>
          <w:sz w:val="20"/>
          <w:szCs w:val="20"/>
          <w:lang w:val="es-ES"/>
        </w:rPr>
        <w:t xml:space="preserve">presentó dicha información el </w:t>
      </w:r>
      <w:r w:rsidR="00FE7FAE" w:rsidRPr="6B42ECDE">
        <w:rPr>
          <w:rFonts w:ascii="Cambria" w:eastAsia="Times New Roman" w:hAnsi="Cambria" w:cs="Times New Roman"/>
          <w:color w:val="000000" w:themeColor="text1"/>
          <w:sz w:val="20"/>
          <w:szCs w:val="20"/>
          <w:lang w:val="es-ES"/>
        </w:rPr>
        <w:t>2 de diciembre de 2022</w:t>
      </w:r>
      <w:r w:rsidRPr="6B42ECDE">
        <w:rPr>
          <w:rFonts w:ascii="Cambria" w:eastAsia="Times New Roman" w:hAnsi="Cambria" w:cs="Times New Roman"/>
          <w:color w:val="000000" w:themeColor="text1"/>
          <w:sz w:val="20"/>
          <w:szCs w:val="20"/>
          <w:lang w:val="es-ES"/>
        </w:rPr>
        <w:t xml:space="preserve">.  </w:t>
      </w:r>
    </w:p>
    <w:p w14:paraId="1A972688" w14:textId="77777777" w:rsidR="00104A1C" w:rsidRPr="00FE7FAE" w:rsidRDefault="00104A1C" w:rsidP="6B42ECDE">
      <w:pPr>
        <w:ind w:left="720"/>
        <w:jc w:val="both"/>
        <w:rPr>
          <w:rFonts w:ascii="Cambria" w:eastAsia="Times New Roman" w:hAnsi="Cambria" w:cs="Calibri Light"/>
          <w:color w:val="000000" w:themeColor="text1"/>
          <w:sz w:val="20"/>
          <w:szCs w:val="20"/>
          <w:lang w:val="es-ES"/>
        </w:rPr>
      </w:pPr>
    </w:p>
    <w:p w14:paraId="33AE020E" w14:textId="7FED357A" w:rsidR="00104A1C" w:rsidRPr="00FE7FAE" w:rsidRDefault="00104A1C"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 xml:space="preserve">La CIDH </w:t>
      </w:r>
      <w:r w:rsidRPr="6B42ECDE">
        <w:rPr>
          <w:rFonts w:ascii="Cambria" w:eastAsia="Times New Roman" w:hAnsi="Cambria" w:cs="Times New Roman"/>
          <w:color w:val="000000" w:themeColor="text1"/>
          <w:sz w:val="20"/>
          <w:szCs w:val="20"/>
          <w:lang w:val="es-ES"/>
        </w:rPr>
        <w:t xml:space="preserve">solicitó al peticionario información actualizada sobre el cumplimiento de recomendaciones el </w:t>
      </w:r>
      <w:r w:rsidR="00FE7FAE" w:rsidRPr="6B42ECDE">
        <w:rPr>
          <w:rFonts w:ascii="Cambria" w:eastAsia="Times New Roman" w:hAnsi="Cambria" w:cs="Times New Roman"/>
          <w:color w:val="000000" w:themeColor="text1"/>
          <w:sz w:val="20"/>
          <w:szCs w:val="20"/>
          <w:lang w:val="es-ES"/>
        </w:rPr>
        <w:t>29 de agosto de 2022</w:t>
      </w:r>
      <w:r w:rsidRPr="6B42ECDE">
        <w:rPr>
          <w:rFonts w:ascii="Cambria" w:eastAsia="Times New Roman" w:hAnsi="Cambria" w:cs="Times New Roman"/>
          <w:color w:val="000000" w:themeColor="text1"/>
          <w:sz w:val="20"/>
          <w:szCs w:val="20"/>
          <w:lang w:val="es-ES"/>
        </w:rPr>
        <w:t xml:space="preserve">. </w:t>
      </w:r>
      <w:bookmarkStart w:id="1" w:name="_Hlk57247422"/>
      <w:r w:rsidRPr="6B42ECDE">
        <w:rPr>
          <w:rFonts w:ascii="Cambria" w:eastAsia="Times New Roman" w:hAnsi="Cambria" w:cs="Times New Roman"/>
          <w:color w:val="000000" w:themeColor="text1"/>
          <w:sz w:val="20"/>
          <w:szCs w:val="20"/>
          <w:lang w:val="es-ES"/>
        </w:rPr>
        <w:t>A la fecha de cierre de este informe, la Comisión no había recibido dicha información del peticionario.</w:t>
      </w:r>
      <w:bookmarkEnd w:id="0"/>
      <w:bookmarkEnd w:id="1"/>
    </w:p>
    <w:p w14:paraId="359193FA" w14:textId="77777777" w:rsidR="00104A1C" w:rsidRPr="00C60B8D" w:rsidRDefault="00104A1C" w:rsidP="6B42ECDE">
      <w:pPr>
        <w:rPr>
          <w:rFonts w:ascii="Cambria" w:eastAsia="Times New Roman" w:hAnsi="Cambria" w:cs="Calibri Light"/>
          <w:b/>
          <w:bCs/>
          <w:color w:val="000000" w:themeColor="text1"/>
          <w:sz w:val="20"/>
          <w:szCs w:val="20"/>
          <w:lang w:val="es-ES"/>
        </w:rPr>
      </w:pPr>
    </w:p>
    <w:p w14:paraId="2CE69CD6" w14:textId="77777777" w:rsidR="00104A1C" w:rsidRPr="00C60B8D" w:rsidRDefault="00104A1C" w:rsidP="6B42ECDE">
      <w:pPr>
        <w:numPr>
          <w:ilvl w:val="0"/>
          <w:numId w:val="8"/>
        </w:numPr>
        <w:ind w:left="1440"/>
        <w:contextualSpacing/>
        <w:jc w:val="both"/>
        <w:rPr>
          <w:rFonts w:ascii="Cambria" w:eastAsia="Times New Roman" w:hAnsi="Cambria" w:cs="Calibri Light"/>
          <w:b/>
          <w:bCs/>
          <w:color w:val="000000" w:themeColor="text1"/>
          <w:sz w:val="20"/>
          <w:szCs w:val="20"/>
          <w:lang w:val="es-ES"/>
        </w:rPr>
      </w:pPr>
      <w:r w:rsidRPr="6B42ECDE">
        <w:rPr>
          <w:rFonts w:ascii="Cambria" w:eastAsia="Times New Roman" w:hAnsi="Cambria" w:cs="Calibri Light"/>
          <w:b/>
          <w:bCs/>
          <w:color w:val="000000" w:themeColor="text1"/>
          <w:sz w:val="20"/>
          <w:szCs w:val="20"/>
          <w:lang w:val="es-ES"/>
        </w:rPr>
        <w:t xml:space="preserve">Análisis relativo a la información proporcionada </w:t>
      </w:r>
    </w:p>
    <w:p w14:paraId="261B8E5E" w14:textId="77777777" w:rsidR="00104A1C" w:rsidRPr="00C60B8D" w:rsidRDefault="00104A1C" w:rsidP="6B42ECDE">
      <w:pPr>
        <w:jc w:val="both"/>
        <w:rPr>
          <w:rFonts w:ascii="Cambria" w:eastAsia="Times New Roman" w:hAnsi="Cambria" w:cs="Calibri Light"/>
          <w:color w:val="000000" w:themeColor="text1"/>
          <w:sz w:val="20"/>
          <w:szCs w:val="20"/>
          <w:lang w:val="es-ES"/>
        </w:rPr>
      </w:pPr>
    </w:p>
    <w:p w14:paraId="0A3170B6" w14:textId="77777777" w:rsidR="00104A1C" w:rsidRPr="00C60B8D" w:rsidRDefault="00104A1C"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La Comisión considera que la información proporcionada por el Estado en 2022 no es relevante para actualizar el seguimiento del caso.</w:t>
      </w:r>
    </w:p>
    <w:p w14:paraId="25BDB150" w14:textId="77777777" w:rsidR="00104A1C" w:rsidRPr="00C60B8D" w:rsidRDefault="00104A1C" w:rsidP="6B42ECDE">
      <w:pPr>
        <w:jc w:val="both"/>
        <w:rPr>
          <w:rFonts w:ascii="Cambria" w:eastAsia="Times New Roman" w:hAnsi="Cambria" w:cs="Calibri Light"/>
          <w:color w:val="000000" w:themeColor="text1"/>
          <w:sz w:val="20"/>
          <w:szCs w:val="20"/>
          <w:lang w:val="es-ES"/>
        </w:rPr>
      </w:pPr>
    </w:p>
    <w:p w14:paraId="79481091" w14:textId="77777777" w:rsidR="00104A1C" w:rsidRPr="00C60B8D" w:rsidRDefault="00104A1C" w:rsidP="6B42ECDE">
      <w:pPr>
        <w:numPr>
          <w:ilvl w:val="0"/>
          <w:numId w:val="8"/>
        </w:numPr>
        <w:ind w:left="1440"/>
        <w:contextualSpacing/>
        <w:jc w:val="both"/>
        <w:rPr>
          <w:rFonts w:ascii="Cambria" w:eastAsia="Times New Roman" w:hAnsi="Cambria" w:cs="Calibri Light"/>
          <w:b/>
          <w:bCs/>
          <w:color w:val="000000" w:themeColor="text1"/>
          <w:sz w:val="20"/>
          <w:szCs w:val="20"/>
          <w:lang w:val="es-ES"/>
        </w:rPr>
      </w:pPr>
      <w:r w:rsidRPr="6B42ECDE">
        <w:rPr>
          <w:rFonts w:ascii="Cambria" w:eastAsia="Times New Roman" w:hAnsi="Cambria" w:cs="Calibri Light"/>
          <w:b/>
          <w:bCs/>
          <w:color w:val="000000" w:themeColor="text1"/>
          <w:sz w:val="20"/>
          <w:szCs w:val="20"/>
          <w:lang w:val="es-ES"/>
        </w:rPr>
        <w:t>Análisis del cumplimiento de las recomendaciones</w:t>
      </w:r>
    </w:p>
    <w:p w14:paraId="5CB087F4" w14:textId="39474E8E" w:rsidR="00104A1C" w:rsidRDefault="00104A1C" w:rsidP="6B42ECDE">
      <w:pPr>
        <w:ind w:left="720"/>
        <w:contextualSpacing/>
        <w:jc w:val="both"/>
        <w:rPr>
          <w:rFonts w:ascii="Cambria" w:eastAsia="Times New Roman" w:hAnsi="Cambria"/>
          <w:color w:val="000000" w:themeColor="text1"/>
          <w:sz w:val="20"/>
          <w:szCs w:val="20"/>
          <w:lang w:val="es-ES"/>
        </w:rPr>
      </w:pPr>
    </w:p>
    <w:p w14:paraId="53B6E7E7" w14:textId="6B6D12F0" w:rsidR="00221233" w:rsidRPr="00221233" w:rsidRDefault="00221233"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 xml:space="preserve">De manera preliminar al seguimiento de la primera, segunda, tercera y cuarta recomendaciones, la CIDH recuerda que, mediante el Informe de Fondo publicado en el presente caso, se valoró </w:t>
      </w:r>
      <w:r w:rsidRPr="6B42ECDE">
        <w:rPr>
          <w:rFonts w:ascii="Cambria" w:hAnsi="Cambria"/>
          <w:color w:val="000000" w:themeColor="text1"/>
          <w:sz w:val="20"/>
          <w:szCs w:val="20"/>
          <w:lang w:val="es-CO"/>
        </w:rPr>
        <w:t xml:space="preserve">positivamente la firma del Acuerdo de Cumplimiento de Recomendaciones. Sin embargo, la Comisión observó que, si bien el Acuerdo indica que se “ha dado cumplimiento a todas las recomendaciones dispuestas por la CIDH”, el mismo hace solamente referencia a la reparación económica sin brindar información alguna sobre las acciones emprendidas para cumplir con las otras tres medidas de reparación recomendadas por la CIDH. </w:t>
      </w:r>
    </w:p>
    <w:p w14:paraId="2AEB6C59" w14:textId="77777777" w:rsidR="00221233" w:rsidRPr="00221233" w:rsidRDefault="00221233" w:rsidP="6B42ECDE">
      <w:pPr>
        <w:pStyle w:val="ListParagraph"/>
        <w:rPr>
          <w:rFonts w:ascii="Cambria" w:hAnsi="Cambria"/>
          <w:color w:val="000000" w:themeColor="text1"/>
          <w:sz w:val="20"/>
          <w:szCs w:val="20"/>
          <w:lang w:val="es-CO"/>
        </w:rPr>
      </w:pPr>
    </w:p>
    <w:p w14:paraId="24A86D99" w14:textId="6093618A" w:rsidR="00221233" w:rsidRPr="00221233" w:rsidRDefault="00221233"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hAnsi="Cambria"/>
          <w:color w:val="000000" w:themeColor="text1"/>
          <w:sz w:val="20"/>
          <w:szCs w:val="20"/>
          <w:lang w:val="es-CO"/>
        </w:rPr>
        <w:t>Por otra parte, la Comisión aclaró que la presente etapa no es la del procedimiento de solución amistosa previsto en la Convención y el Reglamento, sino que se trata de la etapa posterior a la determinación de la responsabilidad internacional del Estado y, por lo tanto, la CIDH actúa en su rol de supervisar el cumplimiento de sus recomendaciones. En ese sentido, tomando en cuenta la etapa actual en que se encuentra el presente caso, la supervisión de su cumplimiento se efectuará mediante la emisión del presente informe final, la posterior publicación y el seguimiento correspondiente, con relación a la totalidad de las recomendaciones, sin perjuicio de tomar en cuenta el acuerdo en materia de indemnización, para efectos del componente pecuniario de la reparación integral recomendada</w:t>
      </w:r>
      <w:r w:rsidR="00433839" w:rsidRPr="6B42ECDE">
        <w:rPr>
          <w:rStyle w:val="FootnoteReference"/>
          <w:rFonts w:ascii="Cambria" w:hAnsi="Cambria"/>
          <w:color w:val="000000" w:themeColor="text1"/>
          <w:sz w:val="20"/>
          <w:szCs w:val="20"/>
          <w:lang w:val="es-CO"/>
        </w:rPr>
        <w:footnoteReference w:id="1"/>
      </w:r>
      <w:r w:rsidRPr="6B42ECDE">
        <w:rPr>
          <w:rFonts w:ascii="Cambria" w:hAnsi="Cambria"/>
          <w:color w:val="000000" w:themeColor="text1"/>
          <w:sz w:val="20"/>
          <w:szCs w:val="20"/>
          <w:lang w:val="es-CO"/>
        </w:rPr>
        <w:t>.</w:t>
      </w:r>
    </w:p>
    <w:p w14:paraId="7F9D619E" w14:textId="77777777" w:rsidR="00221233" w:rsidRPr="00C60B8D" w:rsidRDefault="00221233" w:rsidP="6B42ECDE">
      <w:pPr>
        <w:ind w:left="720"/>
        <w:contextualSpacing/>
        <w:jc w:val="both"/>
        <w:rPr>
          <w:rFonts w:ascii="Cambria" w:eastAsia="Times New Roman" w:hAnsi="Cambria"/>
          <w:color w:val="000000" w:themeColor="text1"/>
          <w:sz w:val="20"/>
          <w:szCs w:val="20"/>
          <w:lang w:val="es-ES"/>
        </w:rPr>
      </w:pPr>
    </w:p>
    <w:p w14:paraId="31764AD1" w14:textId="672E4671" w:rsidR="002C626F" w:rsidRDefault="00104A1C"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b/>
          <w:bCs/>
          <w:color w:val="000000" w:themeColor="text1"/>
          <w:sz w:val="20"/>
          <w:szCs w:val="20"/>
          <w:lang w:val="es-ES"/>
        </w:rPr>
        <w:t>En relación con la primera</w:t>
      </w:r>
      <w:r w:rsidR="002C626F" w:rsidRPr="6B42ECDE">
        <w:rPr>
          <w:rFonts w:ascii="Cambria" w:eastAsia="Times New Roman" w:hAnsi="Cambria" w:cs="Calibri Light"/>
          <w:b/>
          <w:bCs/>
          <w:color w:val="000000" w:themeColor="text1"/>
          <w:sz w:val="20"/>
          <w:szCs w:val="20"/>
          <w:lang w:val="es-ES"/>
        </w:rPr>
        <w:t xml:space="preserve"> recomendación</w:t>
      </w:r>
      <w:r w:rsidRPr="6B42ECDE">
        <w:rPr>
          <w:rFonts w:ascii="Cambria" w:eastAsia="Times New Roman" w:hAnsi="Cambria" w:cs="Calibri Light"/>
          <w:b/>
          <w:bCs/>
          <w:color w:val="000000" w:themeColor="text1"/>
          <w:sz w:val="20"/>
          <w:szCs w:val="20"/>
          <w:lang w:val="es-ES"/>
        </w:rPr>
        <w:t>,</w:t>
      </w:r>
      <w:r w:rsidRPr="6B42ECDE">
        <w:rPr>
          <w:rFonts w:ascii="Cambria" w:eastAsia="Times New Roman" w:hAnsi="Cambria" w:cs="Calibri Light"/>
          <w:color w:val="000000" w:themeColor="text1"/>
          <w:sz w:val="20"/>
          <w:szCs w:val="20"/>
          <w:lang w:val="es-ES"/>
        </w:rPr>
        <w:t xml:space="preserve"> </w:t>
      </w:r>
      <w:r w:rsidR="002C626F" w:rsidRPr="6B42ECDE">
        <w:rPr>
          <w:rFonts w:ascii="Cambria" w:eastAsia="Times New Roman" w:hAnsi="Cambria" w:cs="Calibri Light"/>
          <w:color w:val="000000" w:themeColor="text1"/>
          <w:sz w:val="20"/>
          <w:szCs w:val="20"/>
          <w:lang w:val="es-ES"/>
        </w:rPr>
        <w:t xml:space="preserve">en 2022, el Estado </w:t>
      </w:r>
      <w:r w:rsidR="0049482C" w:rsidRPr="6B42ECDE">
        <w:rPr>
          <w:rFonts w:ascii="Cambria" w:eastAsia="Times New Roman" w:hAnsi="Cambria" w:cs="Calibri Light"/>
          <w:color w:val="000000" w:themeColor="text1"/>
          <w:sz w:val="20"/>
          <w:szCs w:val="20"/>
          <w:lang w:val="es-ES"/>
        </w:rPr>
        <w:t>informó que el 21 de marzo de 2019, el Ministerio de Economía y Finanzas efectuó el pago de la indemnización acordada con la víctima del caso y que el 27 de marzo de 2019, se le entregó el comprobante del pago.</w:t>
      </w:r>
    </w:p>
    <w:p w14:paraId="4C2E86E6" w14:textId="77777777" w:rsidR="0049482C" w:rsidRDefault="0049482C" w:rsidP="6B42ECDE">
      <w:pPr>
        <w:pStyle w:val="ListParagraph"/>
        <w:rPr>
          <w:rFonts w:ascii="Cambria" w:eastAsia="Times New Roman" w:hAnsi="Cambria" w:cs="Calibri Light"/>
          <w:color w:val="000000" w:themeColor="text1"/>
          <w:sz w:val="20"/>
          <w:szCs w:val="20"/>
          <w:lang w:val="es-ES"/>
        </w:rPr>
      </w:pPr>
    </w:p>
    <w:p w14:paraId="3493EFA8" w14:textId="77777777" w:rsidR="00A04E1E" w:rsidRDefault="0049482C"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 xml:space="preserve">Considerando el acuerdo de cumplimiento suscrito entre las partes en torno al pago de la indemnización, la CIDH considera que esta recomendación ha sido </w:t>
      </w:r>
      <w:r w:rsidRPr="6B42ECDE">
        <w:rPr>
          <w:rFonts w:ascii="Cambria" w:eastAsia="Times New Roman" w:hAnsi="Cambria" w:cs="Calibri Light"/>
          <w:b/>
          <w:bCs/>
          <w:color w:val="000000" w:themeColor="text1"/>
          <w:sz w:val="20"/>
          <w:szCs w:val="20"/>
          <w:lang w:val="es-ES"/>
        </w:rPr>
        <w:t>totalmente</w:t>
      </w:r>
      <w:r w:rsidRPr="6B42ECDE">
        <w:rPr>
          <w:rFonts w:ascii="Cambria" w:eastAsia="Times New Roman" w:hAnsi="Cambria" w:cs="Calibri Light"/>
          <w:color w:val="000000" w:themeColor="text1"/>
          <w:sz w:val="20"/>
          <w:szCs w:val="20"/>
          <w:lang w:val="es-ES"/>
        </w:rPr>
        <w:t xml:space="preserve"> cumplida. </w:t>
      </w:r>
    </w:p>
    <w:p w14:paraId="2A5DD860" w14:textId="77777777" w:rsidR="00A04E1E" w:rsidRPr="00A04E1E" w:rsidRDefault="00A04E1E" w:rsidP="6B42ECDE">
      <w:pPr>
        <w:pStyle w:val="ListParagraph"/>
        <w:rPr>
          <w:rFonts w:ascii="Cambria" w:eastAsia="Times New Roman" w:hAnsi="Cambria" w:cs="Calibri Light"/>
          <w:b/>
          <w:bCs/>
          <w:color w:val="000000" w:themeColor="text1"/>
          <w:sz w:val="20"/>
          <w:szCs w:val="20"/>
          <w:lang w:val="es-ES"/>
        </w:rPr>
      </w:pPr>
    </w:p>
    <w:p w14:paraId="6D1FE3C4" w14:textId="5FD84EF5" w:rsidR="00A04E1E" w:rsidRPr="00A04E1E" w:rsidRDefault="00A04E1E"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b/>
          <w:bCs/>
          <w:color w:val="000000" w:themeColor="text1"/>
          <w:sz w:val="20"/>
          <w:szCs w:val="20"/>
          <w:lang w:val="es-ES"/>
        </w:rPr>
        <w:t xml:space="preserve">En relación con la </w:t>
      </w:r>
      <w:r w:rsidR="00104A1C" w:rsidRPr="6B42ECDE">
        <w:rPr>
          <w:rFonts w:ascii="Cambria" w:eastAsia="Times New Roman" w:hAnsi="Cambria" w:cs="Calibri Light"/>
          <w:b/>
          <w:bCs/>
          <w:color w:val="000000" w:themeColor="text1"/>
          <w:sz w:val="20"/>
          <w:szCs w:val="20"/>
          <w:lang w:val="es-ES"/>
        </w:rPr>
        <w:t>segunda</w:t>
      </w:r>
      <w:r w:rsidRPr="6B42ECDE">
        <w:rPr>
          <w:rFonts w:ascii="Cambria" w:eastAsia="Times New Roman" w:hAnsi="Cambria" w:cs="Calibri Light"/>
          <w:b/>
          <w:bCs/>
          <w:color w:val="000000" w:themeColor="text1"/>
          <w:sz w:val="20"/>
          <w:szCs w:val="20"/>
          <w:lang w:val="es-ES"/>
        </w:rPr>
        <w:t xml:space="preserve"> recomendación, en 2022, el Estado informó que, </w:t>
      </w:r>
      <w:r w:rsidRPr="6B42ECDE">
        <w:rPr>
          <w:rFonts w:ascii="Cambria" w:hAnsi="Cambria"/>
          <w:color w:val="000000" w:themeColor="text1"/>
          <w:sz w:val="20"/>
          <w:szCs w:val="20"/>
          <w:lang w:val="es-CO"/>
        </w:rPr>
        <w:t>a la fecha, se continúan realizando pedidos de información relevante para la investigación a las diversas instituciones involucradas y señaló que actualmente la investigación continúa en fase de investigación previa.</w:t>
      </w:r>
    </w:p>
    <w:p w14:paraId="5A8ACC23" w14:textId="77777777" w:rsidR="00A04E1E" w:rsidRPr="00A04E1E" w:rsidRDefault="00A04E1E" w:rsidP="6B42ECDE">
      <w:pPr>
        <w:pStyle w:val="ListParagraph"/>
        <w:rPr>
          <w:rFonts w:ascii="Cambria" w:eastAsia="Times New Roman" w:hAnsi="Cambria" w:cs="Calibri Light"/>
          <w:color w:val="000000" w:themeColor="text1"/>
          <w:sz w:val="20"/>
          <w:szCs w:val="20"/>
          <w:lang w:val="es-ES"/>
        </w:rPr>
      </w:pPr>
    </w:p>
    <w:p w14:paraId="7D199C36" w14:textId="78B43094" w:rsidR="00A04E1E" w:rsidRPr="00A04E1E" w:rsidRDefault="00A04E1E" w:rsidP="6B42ECDE">
      <w:pPr>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 xml:space="preserve">Considerando la información, la CIDH invita al Estado a cumplir con su deber de investigación de los hechos del caso. A la espera de información específica sobre avance en la identificación y juzgamiento de las personas responsables, considera que la recomendación está </w:t>
      </w:r>
      <w:r w:rsidRPr="6B42ECDE">
        <w:rPr>
          <w:rFonts w:ascii="Cambria" w:eastAsia="Times New Roman" w:hAnsi="Cambria" w:cs="Calibri Light"/>
          <w:b/>
          <w:bCs/>
          <w:color w:val="000000" w:themeColor="text1"/>
          <w:sz w:val="20"/>
          <w:szCs w:val="20"/>
          <w:lang w:val="es-ES"/>
        </w:rPr>
        <w:t>pendiente</w:t>
      </w:r>
      <w:r w:rsidRPr="6B42ECDE">
        <w:rPr>
          <w:rFonts w:ascii="Cambria" w:eastAsia="Times New Roman" w:hAnsi="Cambria" w:cs="Calibri Light"/>
          <w:color w:val="000000" w:themeColor="text1"/>
          <w:sz w:val="20"/>
          <w:szCs w:val="20"/>
          <w:lang w:val="es-ES"/>
        </w:rPr>
        <w:t xml:space="preserve"> de cumplimiento. </w:t>
      </w:r>
    </w:p>
    <w:p w14:paraId="4C57876D" w14:textId="77777777" w:rsidR="00A04E1E" w:rsidRDefault="00A04E1E" w:rsidP="6B42ECDE">
      <w:pPr>
        <w:pStyle w:val="ListParagraph"/>
        <w:rPr>
          <w:rFonts w:ascii="Cambria" w:eastAsia="Times New Roman" w:hAnsi="Cambria" w:cs="Calibri Light"/>
          <w:color w:val="000000" w:themeColor="text1"/>
          <w:sz w:val="20"/>
          <w:szCs w:val="20"/>
          <w:lang w:val="es-ES"/>
        </w:rPr>
      </w:pPr>
    </w:p>
    <w:p w14:paraId="73068BF7" w14:textId="3B6DDE69" w:rsidR="003B18A8" w:rsidRPr="003B18A8" w:rsidRDefault="00A04E1E" w:rsidP="6B42ECDE">
      <w:pPr>
        <w:numPr>
          <w:ilvl w:val="0"/>
          <w:numId w:val="9"/>
        </w:numPr>
        <w:ind w:left="0" w:firstLine="720"/>
        <w:jc w:val="both"/>
        <w:rPr>
          <w:rFonts w:ascii="Cambria" w:eastAsia="Times New Roman" w:hAnsi="Cambria" w:cs="Calibri Light"/>
          <w:color w:val="000000" w:themeColor="text1"/>
          <w:sz w:val="20"/>
          <w:szCs w:val="20"/>
          <w:lang w:val="es-CO"/>
        </w:rPr>
      </w:pPr>
      <w:r w:rsidRPr="6B42ECDE">
        <w:rPr>
          <w:rFonts w:ascii="Cambria" w:eastAsia="Times New Roman" w:hAnsi="Cambria" w:cs="Calibri Light"/>
          <w:b/>
          <w:bCs/>
          <w:color w:val="000000" w:themeColor="text1"/>
          <w:sz w:val="20"/>
          <w:szCs w:val="20"/>
          <w:lang w:val="es-ES"/>
        </w:rPr>
        <w:t>En relación con la tercera recomendación</w:t>
      </w:r>
      <w:r w:rsidRPr="6B42ECDE">
        <w:rPr>
          <w:rFonts w:ascii="Cambria" w:eastAsia="Times New Roman" w:hAnsi="Cambria" w:cs="Calibri Light"/>
          <w:color w:val="000000" w:themeColor="text1"/>
          <w:sz w:val="20"/>
          <w:szCs w:val="20"/>
          <w:lang w:val="es-ES"/>
        </w:rPr>
        <w:t xml:space="preserve">, en 2022, el Estado reiteró que, </w:t>
      </w:r>
      <w:r w:rsidRPr="6B42ECDE">
        <w:rPr>
          <w:rFonts w:ascii="Cambria" w:hAnsi="Cambria"/>
          <w:color w:val="000000" w:themeColor="text1"/>
          <w:sz w:val="20"/>
          <w:szCs w:val="20"/>
          <w:lang w:val="es-CO"/>
        </w:rPr>
        <w:t xml:space="preserve">el 20 de marzo de 2018, la Dirección de Derechos Humanos e Igualdad de Género del Ministerio del Interior solicitó a la Comandancia General de la Policía Nacional iniciar la investigación administrativa disciplinaria a fin de determinar a los posibles funcionarios responsables que participaron en la detención (13 de enero de 1994) de la señora Amparo Constante. </w:t>
      </w:r>
      <w:r w:rsidR="0066167B" w:rsidRPr="6B42ECDE">
        <w:rPr>
          <w:rFonts w:ascii="Cambria" w:hAnsi="Cambria"/>
          <w:color w:val="000000" w:themeColor="text1"/>
          <w:sz w:val="20"/>
          <w:szCs w:val="20"/>
          <w:lang w:val="es-CO"/>
        </w:rPr>
        <w:t xml:space="preserve">Indicó que el 6 de abril de 2018, </w:t>
      </w:r>
      <w:r w:rsidRPr="6B42ECDE">
        <w:rPr>
          <w:rFonts w:ascii="Cambria" w:hAnsi="Cambria"/>
          <w:color w:val="000000" w:themeColor="text1"/>
          <w:sz w:val="20"/>
          <w:szCs w:val="20"/>
          <w:lang w:val="es-CO"/>
        </w:rPr>
        <w:t>la Inspectoría General de la Policía Nacional</w:t>
      </w:r>
      <w:r w:rsidR="0066167B" w:rsidRPr="6B42ECDE">
        <w:rPr>
          <w:rFonts w:ascii="Cambria" w:hAnsi="Cambria"/>
          <w:color w:val="000000" w:themeColor="text1"/>
          <w:sz w:val="20"/>
          <w:szCs w:val="20"/>
          <w:lang w:val="es-CO"/>
        </w:rPr>
        <w:t xml:space="preserve"> manifestó </w:t>
      </w:r>
      <w:r w:rsidRPr="6B42ECDE">
        <w:rPr>
          <w:rFonts w:ascii="Cambria" w:hAnsi="Cambria"/>
          <w:color w:val="000000" w:themeColor="text1"/>
          <w:sz w:val="20"/>
          <w:szCs w:val="20"/>
          <w:lang w:val="es-CO"/>
        </w:rPr>
        <w:t>que no es posible cumplir las recomendaciones de la CIDH en virtud de la Disposición Derogatoria Tercera del Código Orgánico de las Entidades de Seguridad Ciudadana y Orden Público (COESCOP), publicado el 21 de junio de 201</w:t>
      </w:r>
      <w:r w:rsidR="003B18A8" w:rsidRPr="6B42ECDE">
        <w:rPr>
          <w:rFonts w:ascii="Cambria" w:hAnsi="Cambria"/>
          <w:color w:val="000000" w:themeColor="text1"/>
          <w:sz w:val="20"/>
          <w:szCs w:val="20"/>
          <w:lang w:val="es-CO"/>
        </w:rPr>
        <w:t>7</w:t>
      </w:r>
      <w:r w:rsidR="003B18A8" w:rsidRPr="6B42ECDE">
        <w:rPr>
          <w:rFonts w:ascii="Cambria" w:eastAsia="Times New Roman" w:hAnsi="Cambria" w:cs="Calibri Light"/>
          <w:color w:val="000000" w:themeColor="text1"/>
          <w:sz w:val="20"/>
          <w:szCs w:val="20"/>
          <w:lang w:val="es-CO"/>
        </w:rPr>
        <w:t xml:space="preserve">. El Estado concluyó manifestando que </w:t>
      </w:r>
      <w:r w:rsidR="003B18A8" w:rsidRPr="6B42ECDE">
        <w:rPr>
          <w:rFonts w:ascii="Cambria" w:hAnsi="Cambria"/>
          <w:color w:val="000000" w:themeColor="text1"/>
          <w:sz w:val="20"/>
          <w:szCs w:val="20"/>
          <w:lang w:val="es-CO"/>
        </w:rPr>
        <w:t xml:space="preserve">hay nudos críticos en cuanto a la investigación para sancionar administrativamente a los responsables de la violación de derechos, ya que no existe una vía legal que pueda sustentar dicho accionar por parte de la Policía Nacional. Señaló que el inconveniente para atender esta recomendación es la prescripción de la pena, ya que, dentro de la normativa vigente, las faltas graves y muy graves tienen un plazo para ser investigadas y sancionadas; así como también la derogación de las leyes de la Policía Nacional a partir de la promulgación del COESCOP, que se encuentra en vigencia desde el 21 de junio de 2017. </w:t>
      </w:r>
    </w:p>
    <w:p w14:paraId="00131C4E" w14:textId="77777777" w:rsidR="0066167B" w:rsidRPr="0066167B" w:rsidRDefault="0066167B" w:rsidP="6B42ECDE">
      <w:pPr>
        <w:ind w:left="720"/>
        <w:jc w:val="both"/>
        <w:rPr>
          <w:rFonts w:ascii="Cambria" w:eastAsia="Times New Roman" w:hAnsi="Cambria" w:cs="Calibri Light"/>
          <w:color w:val="000000" w:themeColor="text1"/>
          <w:sz w:val="20"/>
          <w:szCs w:val="20"/>
          <w:lang w:val="es-CO"/>
        </w:rPr>
      </w:pPr>
    </w:p>
    <w:p w14:paraId="3F152B98" w14:textId="00FA4727" w:rsidR="0066167B" w:rsidRDefault="0066167B" w:rsidP="6B42ECDE">
      <w:pPr>
        <w:numPr>
          <w:ilvl w:val="0"/>
          <w:numId w:val="9"/>
        </w:numPr>
        <w:ind w:left="0" w:firstLine="720"/>
        <w:jc w:val="both"/>
        <w:rPr>
          <w:rFonts w:ascii="Cambria" w:eastAsia="Times New Roman" w:hAnsi="Cambria" w:cs="Calibri Light"/>
          <w:color w:val="000000" w:themeColor="text1"/>
          <w:sz w:val="20"/>
          <w:szCs w:val="20"/>
          <w:lang w:val="es-CO"/>
        </w:rPr>
      </w:pPr>
      <w:r w:rsidRPr="6B42ECDE">
        <w:rPr>
          <w:rFonts w:ascii="Cambria" w:eastAsia="Times New Roman" w:hAnsi="Cambria" w:cs="Calibri Light"/>
          <w:color w:val="000000" w:themeColor="text1"/>
          <w:sz w:val="20"/>
          <w:szCs w:val="20"/>
          <w:lang w:val="es-CO"/>
        </w:rPr>
        <w:t xml:space="preserve">La CIDH identifica que el Estado no ha proporcionado información que indique avances en la implementación de esta recomendación y considera que la misma se encuentra pendiente de cumplimiento. </w:t>
      </w:r>
    </w:p>
    <w:p w14:paraId="4B5A842F" w14:textId="77777777" w:rsidR="00A04E1E" w:rsidRDefault="00A04E1E" w:rsidP="6B42ECDE">
      <w:pPr>
        <w:pStyle w:val="ListParagraph"/>
        <w:rPr>
          <w:rFonts w:ascii="Cambria" w:eastAsia="Times New Roman" w:hAnsi="Cambria" w:cs="Calibri Light"/>
          <w:b/>
          <w:bCs/>
          <w:color w:val="000000" w:themeColor="text1"/>
          <w:sz w:val="20"/>
          <w:szCs w:val="20"/>
          <w:lang w:val="es-ES"/>
        </w:rPr>
      </w:pPr>
    </w:p>
    <w:p w14:paraId="34DB39B6" w14:textId="102EEF46" w:rsidR="003B18A8" w:rsidRPr="00FE7FAE" w:rsidRDefault="00104A1C" w:rsidP="6B42ECDE">
      <w:pPr>
        <w:pStyle w:val="ListParagraph"/>
        <w:numPr>
          <w:ilvl w:val="0"/>
          <w:numId w:val="9"/>
        </w:numPr>
        <w:ind w:left="0" w:firstLine="720"/>
        <w:jc w:val="both"/>
        <w:rPr>
          <w:rFonts w:ascii="Cambria" w:hAnsi="Cambria"/>
          <w:color w:val="000000" w:themeColor="text1"/>
          <w:sz w:val="20"/>
          <w:szCs w:val="20"/>
          <w:lang w:val="es-CO"/>
        </w:rPr>
      </w:pPr>
      <w:r w:rsidRPr="6B42ECDE">
        <w:rPr>
          <w:rFonts w:ascii="Cambria" w:eastAsia="Times New Roman" w:hAnsi="Cambria" w:cs="Calibri Light"/>
          <w:b/>
          <w:bCs/>
          <w:color w:val="000000" w:themeColor="text1"/>
          <w:sz w:val="20"/>
          <w:szCs w:val="20"/>
          <w:lang w:val="es-ES"/>
        </w:rPr>
        <w:t xml:space="preserve"> </w:t>
      </w:r>
      <w:r w:rsidR="00A63001" w:rsidRPr="6B42ECDE">
        <w:rPr>
          <w:rFonts w:ascii="Cambria" w:eastAsia="Times New Roman" w:hAnsi="Cambria" w:cs="Calibri Light"/>
          <w:b/>
          <w:bCs/>
          <w:color w:val="000000" w:themeColor="text1"/>
          <w:sz w:val="20"/>
          <w:szCs w:val="20"/>
          <w:lang w:val="es-ES"/>
        </w:rPr>
        <w:t>En cuanto a la cuarta recomendación, e</w:t>
      </w:r>
      <w:r w:rsidR="00A63001" w:rsidRPr="6B42ECDE">
        <w:rPr>
          <w:rFonts w:ascii="Cambria" w:eastAsia="Times New Roman" w:hAnsi="Cambria" w:cs="Calibri Light"/>
          <w:color w:val="000000" w:themeColor="text1"/>
          <w:sz w:val="20"/>
          <w:szCs w:val="20"/>
          <w:lang w:val="es-ES"/>
        </w:rPr>
        <w:t xml:space="preserve">n 2022, el Estado indicó que </w:t>
      </w:r>
      <w:r w:rsidR="00A63001" w:rsidRPr="6B42ECDE">
        <w:rPr>
          <w:rFonts w:ascii="Cambria" w:hAnsi="Cambria"/>
          <w:color w:val="000000" w:themeColor="text1"/>
          <w:sz w:val="20"/>
          <w:szCs w:val="20"/>
          <w:lang w:val="es-CO"/>
        </w:rPr>
        <w:t xml:space="preserve">la Subsecretaría de Seguridad Ciudadana elaboró el Informe Técnico No. 001 del 30 de octubre de 2018, previo la suscripción del Acuerdo de Cumplimiento del caso. Transcribió un fragmento del informe según el cual, desde el 2010, la Policía Nacional viene ejecutando el Programa de Capacitación Integral Continua (PCIC), para capacitar y evaluar anualmente a los servidores policiales en Derechos Humanos, Doctrina Policial, Procedimientos Policiales conforme a los instrumentos internacionales de Derechos Humanos, la Constitución, Leyes y Reglamentos. Indicó que, en 2017, fueron capacitados 44.174 servidores policiales (96% de la población policial) y bajo los fundamentos de democracia y de los derechos humanos, mediante el apoyo de un equipo de Instructores de Derechos Humanos Aplicados a la Función Policial certificados por el Comité Internacional de la Cruz Roja, Ministerio de Justicia, Derechos Humanos y Cultos, y Ministerio del Interior. Indicó que, desde el 2015, se ha fortalecido la capacitación sobre: Reglamento de Uso Progresivo de la Fuerza, Garantías Básicas de Personas en Conflictos con la Ley, Procedimientos Estratégicos de la Policía Comunitaria, Prácticas y Manejos de Tecnologías no Letales, Reglamento de disciplina, Estándares Internacionales de Derechos Humanos, Negociación Policial, Código de Ética Policial, Reglamento Uso Legal, Adecuado y Proporcional de la Fuerza, entre otros. </w:t>
      </w:r>
      <w:r w:rsidR="003B18A8" w:rsidRPr="6B42ECDE">
        <w:rPr>
          <w:rFonts w:ascii="Cambria" w:hAnsi="Cambria"/>
          <w:color w:val="000000" w:themeColor="text1"/>
          <w:sz w:val="20"/>
          <w:szCs w:val="20"/>
          <w:lang w:val="es-CO"/>
        </w:rPr>
        <w:t>Adicionalmente, el Estado indicó que la Policía Nacional, en diciembre de 2018, dentro del PCIC, realizó 4 talleres de capacitación, en los que participaron 36 instructores e instructoras de derechos humanos, quienes replicaron a nivel nacional, en la temática: “Casuística de derechos humanos”, en los que se capacitó, entre otras temáticas, sobre los informes de fondo No. 32/16 Ref. Amparo Constante Merizalde y No. 39/17 Ref. Alberto Zalles Cueto.</w:t>
      </w:r>
    </w:p>
    <w:p w14:paraId="32CA311B" w14:textId="77777777" w:rsidR="00A63001" w:rsidRPr="003B18A8" w:rsidRDefault="00A63001" w:rsidP="6B42ECDE">
      <w:pPr>
        <w:jc w:val="both"/>
        <w:rPr>
          <w:rFonts w:ascii="Cambria" w:hAnsi="Cambria"/>
          <w:color w:val="000000" w:themeColor="text1"/>
          <w:sz w:val="20"/>
          <w:szCs w:val="20"/>
          <w:lang w:val="es-CO"/>
        </w:rPr>
      </w:pPr>
    </w:p>
    <w:p w14:paraId="1942EFAC" w14:textId="51EA5F4B" w:rsidR="003B18A8" w:rsidRPr="003B18A8" w:rsidRDefault="00A63001" w:rsidP="6B42ECDE">
      <w:pPr>
        <w:numPr>
          <w:ilvl w:val="0"/>
          <w:numId w:val="9"/>
        </w:numPr>
        <w:ind w:left="0" w:firstLine="720"/>
        <w:jc w:val="both"/>
        <w:rPr>
          <w:rFonts w:ascii="Cambria" w:hAnsi="Cambria"/>
          <w:color w:val="000000" w:themeColor="text1"/>
          <w:sz w:val="20"/>
          <w:szCs w:val="20"/>
          <w:lang w:val="es-CO"/>
        </w:rPr>
      </w:pPr>
      <w:r w:rsidRPr="6B42ECDE">
        <w:rPr>
          <w:rFonts w:ascii="Cambria" w:hAnsi="Cambria"/>
          <w:color w:val="000000" w:themeColor="text1"/>
          <w:sz w:val="20"/>
          <w:szCs w:val="20"/>
          <w:lang w:val="es-CO"/>
        </w:rPr>
        <w:t xml:space="preserve">En 2022, en relación </w:t>
      </w:r>
      <w:r w:rsidR="00A33A59" w:rsidRPr="6B42ECDE">
        <w:rPr>
          <w:rFonts w:ascii="Cambria" w:hAnsi="Cambria"/>
          <w:color w:val="000000" w:themeColor="text1"/>
          <w:sz w:val="20"/>
          <w:szCs w:val="20"/>
          <w:lang w:val="es-CO"/>
        </w:rPr>
        <w:t>con</w:t>
      </w:r>
      <w:r w:rsidRPr="6B42ECDE">
        <w:rPr>
          <w:rFonts w:ascii="Cambria" w:hAnsi="Cambria"/>
          <w:color w:val="000000" w:themeColor="text1"/>
          <w:sz w:val="20"/>
          <w:szCs w:val="20"/>
          <w:lang w:val="es-CO"/>
        </w:rPr>
        <w:t xml:space="preserve"> los programas de formación para jueces, el Estado indicó que el Consejo de la Judicatura</w:t>
      </w:r>
      <w:r w:rsidR="00A33A59" w:rsidRPr="6B42ECDE">
        <w:rPr>
          <w:rFonts w:ascii="Cambria" w:hAnsi="Cambria"/>
          <w:color w:val="000000" w:themeColor="text1"/>
          <w:sz w:val="20"/>
          <w:szCs w:val="20"/>
          <w:lang w:val="es-CO"/>
        </w:rPr>
        <w:t>,</w:t>
      </w:r>
      <w:r w:rsidRPr="6B42ECDE">
        <w:rPr>
          <w:rFonts w:ascii="Cambria" w:hAnsi="Cambria"/>
          <w:color w:val="000000" w:themeColor="text1"/>
          <w:sz w:val="20"/>
          <w:szCs w:val="20"/>
          <w:lang w:val="es-CO"/>
        </w:rPr>
        <w:t xml:space="preserve"> a través de la Escuela de la Función Judicial, promueve la ejecución de los programas de formación inicial y continua, y capacitación dirigida a operadores de justicia. </w:t>
      </w:r>
      <w:r w:rsidR="00A33A59" w:rsidRPr="6B42ECDE">
        <w:rPr>
          <w:rFonts w:ascii="Cambria" w:hAnsi="Cambria"/>
          <w:color w:val="000000" w:themeColor="text1"/>
          <w:sz w:val="20"/>
          <w:szCs w:val="20"/>
          <w:lang w:val="es-CO"/>
        </w:rPr>
        <w:t xml:space="preserve">Indicó que, </w:t>
      </w:r>
      <w:r w:rsidRPr="6B42ECDE">
        <w:rPr>
          <w:rFonts w:ascii="Cambria" w:hAnsi="Cambria"/>
          <w:color w:val="000000" w:themeColor="text1"/>
          <w:sz w:val="20"/>
          <w:szCs w:val="20"/>
          <w:lang w:val="es-CO"/>
        </w:rPr>
        <w:t xml:space="preserve">durante los años 2013 y 2017, el Consejo de la Judicatura </w:t>
      </w:r>
      <w:r w:rsidR="00A33A59" w:rsidRPr="6B42ECDE">
        <w:rPr>
          <w:rFonts w:ascii="Cambria" w:hAnsi="Cambria"/>
          <w:color w:val="000000" w:themeColor="text1"/>
          <w:sz w:val="20"/>
          <w:szCs w:val="20"/>
          <w:lang w:val="es-CO"/>
        </w:rPr>
        <w:t>capacitó</w:t>
      </w:r>
      <w:r w:rsidRPr="6B42ECDE">
        <w:rPr>
          <w:rFonts w:ascii="Cambria" w:hAnsi="Cambria"/>
          <w:color w:val="000000" w:themeColor="text1"/>
          <w:sz w:val="20"/>
          <w:szCs w:val="20"/>
          <w:lang w:val="es-CO"/>
        </w:rPr>
        <w:t xml:space="preserve"> a 7.784 servidoras y servidores judiciales</w:t>
      </w:r>
      <w:r w:rsidR="00A33A59" w:rsidRPr="6B42ECDE">
        <w:rPr>
          <w:rFonts w:ascii="Cambria" w:hAnsi="Cambria"/>
          <w:color w:val="000000" w:themeColor="text1"/>
          <w:sz w:val="20"/>
          <w:szCs w:val="20"/>
          <w:lang w:val="es-CO"/>
        </w:rPr>
        <w:t xml:space="preserve"> en</w:t>
      </w:r>
      <w:r w:rsidRPr="6B42ECDE">
        <w:rPr>
          <w:rFonts w:ascii="Cambria" w:hAnsi="Cambria"/>
          <w:color w:val="000000" w:themeColor="text1"/>
          <w:sz w:val="20"/>
          <w:szCs w:val="20"/>
          <w:lang w:val="es-CO"/>
        </w:rPr>
        <w:t xml:space="preserve"> la aplicación de estándares internacionales de derechos humanos</w:t>
      </w:r>
      <w:r w:rsidR="00A33A59" w:rsidRPr="6B42ECDE">
        <w:rPr>
          <w:rFonts w:ascii="Cambria" w:hAnsi="Cambria"/>
          <w:color w:val="000000" w:themeColor="text1"/>
          <w:sz w:val="20"/>
          <w:szCs w:val="20"/>
          <w:lang w:val="es-CO"/>
        </w:rPr>
        <w:t xml:space="preserve"> y señaló que l</w:t>
      </w:r>
      <w:r w:rsidRPr="6B42ECDE">
        <w:rPr>
          <w:rFonts w:ascii="Cambria" w:hAnsi="Cambria"/>
          <w:color w:val="000000" w:themeColor="text1"/>
          <w:sz w:val="20"/>
          <w:szCs w:val="20"/>
          <w:lang w:val="es-CO"/>
        </w:rPr>
        <w:t>a capacitación dirigida a servidoras y servidores judiciales se realiza de manera permanente.</w:t>
      </w:r>
      <w:r w:rsidR="00A33A59" w:rsidRPr="6B42ECDE">
        <w:rPr>
          <w:rFonts w:ascii="Cambria" w:hAnsi="Cambria"/>
          <w:color w:val="000000" w:themeColor="text1"/>
          <w:sz w:val="20"/>
          <w:szCs w:val="20"/>
          <w:lang w:val="es-CO"/>
        </w:rPr>
        <w:t xml:space="preserve"> Además, informó que, en 2014, </w:t>
      </w:r>
      <w:r w:rsidRPr="6B42ECDE">
        <w:rPr>
          <w:rFonts w:ascii="Cambria" w:hAnsi="Cambria"/>
          <w:color w:val="000000" w:themeColor="text1"/>
          <w:sz w:val="20"/>
          <w:szCs w:val="20"/>
          <w:lang w:val="es-CO"/>
        </w:rPr>
        <w:t>el Consejo de la Judicatura ejecutó un proceso de capacitación dirigido a juezas, jueces, fiscales, defensores y defensoras públicos sobre el contenido del Código Orgánico Integral Penal, en donde se impartió las temáticas de Delitos contra la Humanidad, Delitos contra el Derecho a la Igualdad, y Delitos contra la Inviolabilidad de la Vida. Este proceso contempló una evaluación final del aprendizaje en forma cuantitativa</w:t>
      </w:r>
      <w:r w:rsidR="003B18A8" w:rsidRPr="6B42ECDE">
        <w:rPr>
          <w:rFonts w:ascii="Cambria" w:hAnsi="Cambria"/>
          <w:color w:val="000000" w:themeColor="text1"/>
          <w:sz w:val="20"/>
          <w:szCs w:val="20"/>
          <w:lang w:val="es-CO"/>
        </w:rPr>
        <w:t xml:space="preserve"> con</w:t>
      </w:r>
      <w:r w:rsidRPr="6B42ECDE">
        <w:rPr>
          <w:rFonts w:ascii="Cambria" w:hAnsi="Cambria"/>
          <w:color w:val="000000" w:themeColor="text1"/>
          <w:sz w:val="20"/>
          <w:szCs w:val="20"/>
          <w:lang w:val="es-CO"/>
        </w:rPr>
        <w:t xml:space="preserve"> 1.195 jueces y juezas; 705 fiscales; y 808 defensoras y defensores públicos</w:t>
      </w:r>
      <w:r w:rsidR="003B18A8" w:rsidRPr="6B42ECDE">
        <w:rPr>
          <w:rFonts w:ascii="Cambria" w:hAnsi="Cambria"/>
          <w:color w:val="000000" w:themeColor="text1"/>
          <w:sz w:val="20"/>
          <w:szCs w:val="20"/>
          <w:lang w:val="es-CO"/>
        </w:rPr>
        <w:t xml:space="preserve"> formados en 2014</w:t>
      </w:r>
      <w:r w:rsidRPr="6B42ECDE">
        <w:rPr>
          <w:rFonts w:ascii="Cambria" w:hAnsi="Cambria"/>
          <w:color w:val="000000" w:themeColor="text1"/>
          <w:sz w:val="20"/>
          <w:szCs w:val="20"/>
          <w:lang w:val="es-CO"/>
        </w:rPr>
        <w:t>.</w:t>
      </w:r>
    </w:p>
    <w:p w14:paraId="2756AA0C" w14:textId="77777777" w:rsidR="003B18A8" w:rsidRPr="003B18A8" w:rsidRDefault="003B18A8" w:rsidP="6B42ECDE">
      <w:pPr>
        <w:ind w:left="720"/>
        <w:jc w:val="both"/>
        <w:rPr>
          <w:rFonts w:ascii="Cambria" w:hAnsi="Cambria"/>
          <w:color w:val="000000" w:themeColor="text1"/>
          <w:sz w:val="20"/>
          <w:szCs w:val="20"/>
          <w:lang w:val="es-CO"/>
        </w:rPr>
      </w:pPr>
    </w:p>
    <w:p w14:paraId="497DD0DA" w14:textId="77777777" w:rsidR="003B18A8" w:rsidRPr="003B18A8" w:rsidRDefault="00A63001" w:rsidP="6B42ECDE">
      <w:pPr>
        <w:numPr>
          <w:ilvl w:val="0"/>
          <w:numId w:val="9"/>
        </w:numPr>
        <w:ind w:left="0" w:firstLine="720"/>
        <w:jc w:val="both"/>
        <w:rPr>
          <w:rFonts w:ascii="Cambria" w:hAnsi="Cambria"/>
          <w:color w:val="000000" w:themeColor="text1"/>
          <w:sz w:val="20"/>
          <w:szCs w:val="20"/>
          <w:lang w:val="es-CO"/>
        </w:rPr>
      </w:pPr>
      <w:r w:rsidRPr="6B42ECDE">
        <w:rPr>
          <w:rFonts w:ascii="Cambria" w:hAnsi="Cambria"/>
          <w:color w:val="000000" w:themeColor="text1"/>
          <w:sz w:val="20"/>
          <w:szCs w:val="20"/>
          <w:lang w:val="es-CO"/>
        </w:rPr>
        <w:t xml:space="preserve">En relación a los programas de formación para fiscales, </w:t>
      </w:r>
      <w:r w:rsidR="003B18A8" w:rsidRPr="6B42ECDE">
        <w:rPr>
          <w:rFonts w:ascii="Cambria" w:hAnsi="Cambria"/>
          <w:color w:val="000000" w:themeColor="text1"/>
          <w:sz w:val="20"/>
          <w:szCs w:val="20"/>
          <w:lang w:val="es-CO"/>
        </w:rPr>
        <w:t xml:space="preserve">en 2022, el Estado informó que </w:t>
      </w:r>
      <w:r w:rsidRPr="6B42ECDE">
        <w:rPr>
          <w:rFonts w:ascii="Cambria" w:hAnsi="Cambria"/>
          <w:color w:val="000000" w:themeColor="text1"/>
          <w:sz w:val="20"/>
          <w:szCs w:val="20"/>
          <w:lang w:val="es-CO"/>
        </w:rPr>
        <w:t xml:space="preserve">la Escuela de Fiscales de la Fiscalía General del Estado </w:t>
      </w:r>
      <w:r w:rsidR="003B18A8" w:rsidRPr="6B42ECDE">
        <w:rPr>
          <w:rFonts w:ascii="Cambria" w:hAnsi="Cambria"/>
          <w:color w:val="000000" w:themeColor="text1"/>
          <w:sz w:val="20"/>
          <w:szCs w:val="20"/>
          <w:lang w:val="es-CO"/>
        </w:rPr>
        <w:t>capacita a</w:t>
      </w:r>
      <w:r w:rsidRPr="6B42ECDE">
        <w:rPr>
          <w:rFonts w:ascii="Cambria" w:hAnsi="Cambria"/>
          <w:color w:val="000000" w:themeColor="text1"/>
          <w:sz w:val="20"/>
          <w:szCs w:val="20"/>
          <w:lang w:val="es-CO"/>
        </w:rPr>
        <w:t xml:space="preserve"> agentes fiscales a nivel nacional desde el año 2012 </w:t>
      </w:r>
      <w:r w:rsidR="003B18A8" w:rsidRPr="6B42ECDE">
        <w:rPr>
          <w:rFonts w:ascii="Cambria" w:hAnsi="Cambria"/>
          <w:color w:val="000000" w:themeColor="text1"/>
          <w:sz w:val="20"/>
          <w:szCs w:val="20"/>
          <w:lang w:val="es-CO"/>
        </w:rPr>
        <w:t>sobre</w:t>
      </w:r>
      <w:r w:rsidRPr="6B42ECDE">
        <w:rPr>
          <w:rFonts w:ascii="Cambria" w:hAnsi="Cambria"/>
          <w:color w:val="000000" w:themeColor="text1"/>
          <w:sz w:val="20"/>
          <w:szCs w:val="20"/>
          <w:lang w:val="es-CO"/>
        </w:rPr>
        <w:t xml:space="preserve"> Derechos Humanos y Crímenes de Lesa humanidad</w:t>
      </w:r>
      <w:r w:rsidR="003B18A8" w:rsidRPr="6B42ECDE">
        <w:rPr>
          <w:rFonts w:ascii="Cambria" w:hAnsi="Cambria"/>
          <w:color w:val="000000" w:themeColor="text1"/>
          <w:sz w:val="20"/>
          <w:szCs w:val="20"/>
          <w:lang w:val="es-CO"/>
        </w:rPr>
        <w:t xml:space="preserve"> con 781 fiscales capacitados de 2012 a 2017. </w:t>
      </w:r>
    </w:p>
    <w:p w14:paraId="7AC21C99" w14:textId="77777777" w:rsidR="003B18A8" w:rsidRPr="003B18A8" w:rsidRDefault="003B18A8" w:rsidP="6B42ECDE">
      <w:pPr>
        <w:pStyle w:val="ListParagraph"/>
        <w:rPr>
          <w:rFonts w:ascii="Cambria" w:hAnsi="Cambria"/>
          <w:color w:val="000000" w:themeColor="text1"/>
          <w:sz w:val="20"/>
          <w:szCs w:val="20"/>
          <w:lang w:val="es-CO"/>
        </w:rPr>
      </w:pPr>
    </w:p>
    <w:p w14:paraId="34C48C0F" w14:textId="1993E990" w:rsidR="00A63001" w:rsidRDefault="003B18A8" w:rsidP="6B42ECDE">
      <w:pPr>
        <w:numPr>
          <w:ilvl w:val="0"/>
          <w:numId w:val="9"/>
        </w:numPr>
        <w:ind w:left="0" w:firstLine="720"/>
        <w:jc w:val="both"/>
        <w:rPr>
          <w:rFonts w:ascii="Cambria" w:hAnsi="Cambria"/>
          <w:color w:val="000000" w:themeColor="text1"/>
          <w:sz w:val="20"/>
          <w:szCs w:val="20"/>
          <w:lang w:val="es-CO"/>
        </w:rPr>
      </w:pPr>
      <w:r w:rsidRPr="6B42ECDE">
        <w:rPr>
          <w:rFonts w:ascii="Cambria" w:hAnsi="Cambria"/>
          <w:color w:val="000000" w:themeColor="text1"/>
          <w:sz w:val="20"/>
          <w:szCs w:val="20"/>
          <w:lang w:val="es-CO"/>
        </w:rPr>
        <w:t>Finalmente, r</w:t>
      </w:r>
      <w:r w:rsidR="00A63001" w:rsidRPr="6B42ECDE">
        <w:rPr>
          <w:rFonts w:ascii="Cambria" w:hAnsi="Cambria"/>
          <w:color w:val="000000" w:themeColor="text1"/>
          <w:sz w:val="20"/>
          <w:szCs w:val="20"/>
          <w:lang w:val="es-CO"/>
        </w:rPr>
        <w:t>especto a adoptar las medidas necesarias para asegurar que toda la denuncia de tortura sea debidamente investigada conforme a los estándares descritos en el Informe de Fondo No. 32/16,</w:t>
      </w:r>
      <w:r w:rsidRPr="6B42ECDE">
        <w:rPr>
          <w:rFonts w:ascii="Cambria" w:hAnsi="Cambria"/>
          <w:color w:val="000000" w:themeColor="text1"/>
          <w:sz w:val="20"/>
          <w:szCs w:val="20"/>
          <w:lang w:val="es-CO"/>
        </w:rPr>
        <w:t xml:space="preserve"> en 2022, el Estado señaló que</w:t>
      </w:r>
      <w:r w:rsidR="00A63001" w:rsidRPr="6B42ECDE">
        <w:rPr>
          <w:rFonts w:ascii="Cambria" w:hAnsi="Cambria"/>
          <w:color w:val="000000" w:themeColor="text1"/>
          <w:sz w:val="20"/>
          <w:szCs w:val="20"/>
          <w:lang w:val="es-CO"/>
        </w:rPr>
        <w:t xml:space="preserve"> la Fiscalía General del Estado informa que de manera periódica procura brindar las herramientas técnicas para el desarrollo de las investigaciones penales con estándares internacionales de derechos humanos</w:t>
      </w:r>
      <w:r w:rsidRPr="6B42ECDE">
        <w:rPr>
          <w:rFonts w:ascii="Cambria" w:hAnsi="Cambria"/>
          <w:color w:val="000000" w:themeColor="text1"/>
          <w:sz w:val="20"/>
          <w:szCs w:val="20"/>
          <w:lang w:val="es-CO"/>
        </w:rPr>
        <w:t>.</w:t>
      </w:r>
      <w:r w:rsidR="00A63001" w:rsidRPr="6B42ECDE">
        <w:rPr>
          <w:rFonts w:ascii="Cambria" w:hAnsi="Cambria"/>
          <w:color w:val="000000" w:themeColor="text1"/>
          <w:sz w:val="20"/>
          <w:szCs w:val="20"/>
          <w:lang w:val="es-CO"/>
        </w:rPr>
        <w:t xml:space="preserve"> </w:t>
      </w:r>
    </w:p>
    <w:p w14:paraId="2BDCD83B" w14:textId="77777777" w:rsidR="00FE7FAE" w:rsidRDefault="00FE7FAE" w:rsidP="6B42ECDE">
      <w:pPr>
        <w:pStyle w:val="ListParagraph"/>
        <w:rPr>
          <w:rFonts w:ascii="Cambria" w:hAnsi="Cambria"/>
          <w:color w:val="000000" w:themeColor="text1"/>
          <w:sz w:val="20"/>
          <w:szCs w:val="20"/>
          <w:lang w:val="es-CO"/>
        </w:rPr>
      </w:pPr>
    </w:p>
    <w:p w14:paraId="6E475A4A" w14:textId="7A7809A7" w:rsidR="00FE7FAE" w:rsidRPr="00FE7FAE" w:rsidRDefault="00FE7FAE" w:rsidP="6B42ECDE">
      <w:pPr>
        <w:numPr>
          <w:ilvl w:val="0"/>
          <w:numId w:val="9"/>
        </w:numPr>
        <w:ind w:left="0" w:firstLine="720"/>
        <w:jc w:val="both"/>
        <w:rPr>
          <w:rFonts w:ascii="Cambria" w:eastAsia="Times New Roman" w:hAnsi="Cambria" w:cs="Times New Roman"/>
          <w:color w:val="000000" w:themeColor="text1"/>
          <w:sz w:val="16"/>
          <w:szCs w:val="16"/>
          <w:lang w:val="es-ES"/>
        </w:rPr>
      </w:pPr>
      <w:r w:rsidRPr="6B42ECDE">
        <w:rPr>
          <w:rFonts w:ascii="Cambria" w:hAnsi="Cambria"/>
          <w:color w:val="000000" w:themeColor="text1"/>
          <w:sz w:val="20"/>
          <w:szCs w:val="20"/>
          <w:lang w:val="es-CO"/>
        </w:rPr>
        <w:t xml:space="preserve">La CIDH valora positivamente la información proporcionada por el Estado en cuanto a los programas de formación de la Policía, operadores de justicia y fiscales. </w:t>
      </w:r>
      <w:r w:rsidR="006B6151" w:rsidRPr="6B42ECDE">
        <w:rPr>
          <w:rFonts w:ascii="Cambria" w:hAnsi="Cambria"/>
          <w:color w:val="000000" w:themeColor="text1"/>
          <w:sz w:val="20"/>
          <w:szCs w:val="20"/>
          <w:lang w:val="es-CO"/>
        </w:rPr>
        <w:t>C</w:t>
      </w:r>
      <w:r w:rsidRPr="6B42ECDE">
        <w:rPr>
          <w:rFonts w:ascii="Cambria" w:hAnsi="Cambria"/>
          <w:color w:val="000000" w:themeColor="text1"/>
          <w:sz w:val="20"/>
          <w:szCs w:val="20"/>
          <w:lang w:val="es-CO"/>
        </w:rPr>
        <w:t>on la finalidad de continuar con el seguimiento de esta recomendación, la Comisión identifica que el Estado ha informado que las temáticas de capacitación han estado relacionadas con derechos humanos. Para la Comisión es esencial que estas temáticas, más allá de abordar la temática de derechos humanos, aborde</w:t>
      </w:r>
      <w:r w:rsidR="006B6151" w:rsidRPr="6B42ECDE">
        <w:rPr>
          <w:rFonts w:ascii="Cambria" w:hAnsi="Cambria"/>
          <w:color w:val="000000" w:themeColor="text1"/>
          <w:sz w:val="20"/>
          <w:szCs w:val="20"/>
          <w:lang w:val="es-CO"/>
        </w:rPr>
        <w:t>n</w:t>
      </w:r>
      <w:r w:rsidRPr="6B42ECDE">
        <w:rPr>
          <w:rFonts w:ascii="Cambria" w:hAnsi="Cambria"/>
          <w:color w:val="000000" w:themeColor="text1"/>
          <w:sz w:val="20"/>
          <w:szCs w:val="20"/>
          <w:lang w:val="es-CO"/>
        </w:rPr>
        <w:t xml:space="preserve">, de manera específica, </w:t>
      </w:r>
      <w:r w:rsidR="00A63001" w:rsidRPr="6B42ECDE">
        <w:rPr>
          <w:rFonts w:ascii="Cambria" w:eastAsia="Times New Roman" w:hAnsi="Cambria" w:cs="Times New Roman"/>
          <w:color w:val="000000" w:themeColor="text1"/>
          <w:sz w:val="20"/>
          <w:szCs w:val="20"/>
          <w:lang w:val="es-ES"/>
        </w:rPr>
        <w:t xml:space="preserve">la prohibición absoluta de actos de tortura y tratos crueles, inhumanos o degradantes, así como las obligaciones derivadas de la regla de la exclusión. </w:t>
      </w:r>
      <w:r w:rsidRPr="6B42ECDE">
        <w:rPr>
          <w:rFonts w:ascii="Cambria" w:eastAsia="Times New Roman" w:hAnsi="Cambria" w:cs="Times New Roman"/>
          <w:color w:val="000000" w:themeColor="text1"/>
          <w:sz w:val="20"/>
          <w:szCs w:val="20"/>
          <w:lang w:val="es-ES"/>
        </w:rPr>
        <w:t xml:space="preserve">En este sentido, solicita información adicional que especifique e informe cómo  estas temáticas han sido abordadas en los programas de capacitación. Adicionalmente, la Comisión identifica que la información proporcionada corresponde a años anteriores, por lo que solicita información actualizada sobre la implementación de la recomendación. Considerando la información proporcionada, la Comisión considera que hay información relevante para determinar el cumplimiento parcial de esta recomendación. </w:t>
      </w:r>
    </w:p>
    <w:p w14:paraId="239EB630" w14:textId="19F54E29" w:rsidR="00A63001" w:rsidRPr="00FE7FAE" w:rsidRDefault="00A63001" w:rsidP="6B42ECDE">
      <w:pPr>
        <w:ind w:left="720"/>
        <w:jc w:val="both"/>
        <w:rPr>
          <w:rFonts w:ascii="Cambria" w:eastAsia="Times New Roman" w:hAnsi="Cambria" w:cs="Times New Roman"/>
          <w:color w:val="000000" w:themeColor="text1"/>
          <w:sz w:val="16"/>
          <w:szCs w:val="16"/>
          <w:lang w:val="es-ES"/>
        </w:rPr>
      </w:pPr>
    </w:p>
    <w:p w14:paraId="14F2823D" w14:textId="77777777" w:rsidR="00104A1C" w:rsidRPr="00C60B8D" w:rsidRDefault="00104A1C" w:rsidP="6B42ECDE">
      <w:pPr>
        <w:numPr>
          <w:ilvl w:val="0"/>
          <w:numId w:val="8"/>
        </w:numPr>
        <w:ind w:left="1440"/>
        <w:contextualSpacing/>
        <w:jc w:val="both"/>
        <w:rPr>
          <w:rFonts w:ascii="Cambria" w:eastAsia="Times New Roman" w:hAnsi="Cambria" w:cs="Times New Roman"/>
          <w:b/>
          <w:bCs/>
          <w:color w:val="000000" w:themeColor="text1"/>
          <w:sz w:val="20"/>
          <w:szCs w:val="20"/>
          <w:lang w:val="es-ES"/>
        </w:rPr>
      </w:pPr>
      <w:r w:rsidRPr="6B42ECDE">
        <w:rPr>
          <w:rFonts w:ascii="Cambria" w:eastAsia="Times New Roman" w:hAnsi="Cambria" w:cs="Calibri Light"/>
          <w:b/>
          <w:bCs/>
          <w:color w:val="000000" w:themeColor="text1"/>
          <w:sz w:val="20"/>
          <w:szCs w:val="20"/>
          <w:lang w:val="es-ES"/>
        </w:rPr>
        <w:t xml:space="preserve">Nivel de cumplimiento del caso </w:t>
      </w:r>
    </w:p>
    <w:p w14:paraId="367B27BE" w14:textId="77777777" w:rsidR="00104A1C" w:rsidRPr="00C60B8D" w:rsidRDefault="00104A1C" w:rsidP="6B42ECDE">
      <w:pPr>
        <w:jc w:val="both"/>
        <w:rPr>
          <w:rFonts w:ascii="Cambria" w:eastAsia="Times New Roman" w:hAnsi="Cambria" w:cs="Times New Roman"/>
          <w:b/>
          <w:bCs/>
          <w:color w:val="000000" w:themeColor="text1"/>
          <w:sz w:val="20"/>
          <w:szCs w:val="20"/>
          <w:lang w:val="es-ES"/>
        </w:rPr>
      </w:pPr>
    </w:p>
    <w:p w14:paraId="06A5579B" w14:textId="6944DD9D" w:rsidR="00104A1C" w:rsidRPr="00FE7FAE" w:rsidRDefault="00104A1C" w:rsidP="6B42ECDE">
      <w:pPr>
        <w:pStyle w:val="ListParagraph"/>
        <w:numPr>
          <w:ilvl w:val="0"/>
          <w:numId w:val="9"/>
        </w:numPr>
        <w:ind w:left="0" w:firstLine="720"/>
        <w:jc w:val="both"/>
        <w:rPr>
          <w:rFonts w:ascii="Cambria" w:eastAsia="Times New Roman" w:hAnsi="Cambria" w:cs="Calibri Light"/>
          <w:color w:val="000000" w:themeColor="text1"/>
          <w:sz w:val="20"/>
          <w:szCs w:val="20"/>
          <w:lang w:val="es-ES"/>
        </w:rPr>
      </w:pPr>
      <w:r w:rsidRPr="6B42ECDE">
        <w:rPr>
          <w:rFonts w:ascii="Cambria" w:eastAsia="Times New Roman" w:hAnsi="Cambria" w:cs="Calibri Light"/>
          <w:color w:val="000000" w:themeColor="text1"/>
          <w:sz w:val="20"/>
          <w:szCs w:val="20"/>
          <w:lang w:val="es-ES"/>
        </w:rPr>
        <w:t>En virtud de lo anterior, la Comisión concluye que el nivel de cumplimiento del caso es</w:t>
      </w:r>
      <w:r w:rsidR="00FE7FAE" w:rsidRPr="6B42ECDE">
        <w:rPr>
          <w:rFonts w:ascii="Cambria" w:eastAsia="Times New Roman" w:hAnsi="Cambria" w:cs="Calibri Light"/>
          <w:color w:val="000000" w:themeColor="text1"/>
          <w:sz w:val="20"/>
          <w:szCs w:val="20"/>
          <w:lang w:val="es-ES"/>
        </w:rPr>
        <w:t xml:space="preserve"> parcial</w:t>
      </w:r>
      <w:r w:rsidRPr="6B42ECDE">
        <w:rPr>
          <w:rFonts w:ascii="Cambria" w:eastAsia="Times New Roman" w:hAnsi="Cambria" w:cs="Calibri Light"/>
          <w:color w:val="000000" w:themeColor="text1"/>
          <w:sz w:val="20"/>
          <w:szCs w:val="20"/>
          <w:lang w:val="es-ES"/>
        </w:rPr>
        <w:t xml:space="preserve">. En consecuencia, la Comisión continuará supervisando las </w:t>
      </w:r>
      <w:r w:rsidR="00FE7FAE" w:rsidRPr="6B42ECDE">
        <w:rPr>
          <w:rFonts w:ascii="Cambria" w:eastAsia="Times New Roman" w:hAnsi="Cambria" w:cs="Calibri Light"/>
          <w:color w:val="000000" w:themeColor="text1"/>
          <w:sz w:val="20"/>
          <w:szCs w:val="20"/>
          <w:lang w:val="es-ES"/>
        </w:rPr>
        <w:t>r</w:t>
      </w:r>
      <w:r w:rsidRPr="6B42ECDE">
        <w:rPr>
          <w:rFonts w:ascii="Cambria" w:eastAsia="Times New Roman" w:hAnsi="Cambria" w:cs="Calibri Light"/>
          <w:color w:val="000000" w:themeColor="text1"/>
          <w:sz w:val="20"/>
          <w:szCs w:val="20"/>
          <w:lang w:val="es-ES"/>
        </w:rPr>
        <w:t xml:space="preserve">ecomendaciones </w:t>
      </w:r>
      <w:r w:rsidR="00FE7FAE" w:rsidRPr="6B42ECDE">
        <w:rPr>
          <w:rFonts w:ascii="Cambria" w:eastAsia="Times New Roman" w:hAnsi="Cambria" w:cs="Calibri Light"/>
          <w:color w:val="000000" w:themeColor="text1"/>
          <w:sz w:val="20"/>
          <w:szCs w:val="20"/>
          <w:lang w:val="es-ES"/>
        </w:rPr>
        <w:t>2, 3 y 4</w:t>
      </w:r>
      <w:r w:rsidRPr="6B42ECDE">
        <w:rPr>
          <w:rFonts w:ascii="Cambria" w:eastAsia="Times New Roman" w:hAnsi="Cambria" w:cs="Calibri Light"/>
          <w:color w:val="000000" w:themeColor="text1"/>
          <w:sz w:val="20"/>
          <w:szCs w:val="20"/>
          <w:lang w:val="es-ES"/>
        </w:rPr>
        <w:t>.</w:t>
      </w:r>
    </w:p>
    <w:p w14:paraId="101E77A1" w14:textId="77777777" w:rsidR="00104A1C" w:rsidRPr="00C60B8D" w:rsidRDefault="00104A1C" w:rsidP="6B42ECDE">
      <w:pPr>
        <w:jc w:val="both"/>
        <w:rPr>
          <w:rFonts w:ascii="Cambria" w:eastAsia="Times New Roman" w:hAnsi="Cambria" w:cs="Times New Roman"/>
          <w:b/>
          <w:bCs/>
          <w:color w:val="000000" w:themeColor="text1"/>
          <w:sz w:val="20"/>
          <w:szCs w:val="20"/>
          <w:lang w:val="es-ES"/>
        </w:rPr>
      </w:pPr>
    </w:p>
    <w:p w14:paraId="7BE0164E" w14:textId="77777777" w:rsidR="00104A1C" w:rsidRPr="00C60B8D" w:rsidRDefault="00104A1C" w:rsidP="6B42ECDE">
      <w:pPr>
        <w:numPr>
          <w:ilvl w:val="0"/>
          <w:numId w:val="8"/>
        </w:numPr>
        <w:ind w:left="1440"/>
        <w:contextualSpacing/>
        <w:jc w:val="both"/>
        <w:rPr>
          <w:rFonts w:ascii="Cambria" w:eastAsia="Times New Roman" w:hAnsi="Cambria" w:cs="Times New Roman"/>
          <w:b/>
          <w:bCs/>
          <w:color w:val="000000" w:themeColor="text1"/>
          <w:sz w:val="20"/>
          <w:szCs w:val="20"/>
          <w:lang w:val="es-ES"/>
        </w:rPr>
      </w:pPr>
      <w:r w:rsidRPr="6B42ECDE">
        <w:rPr>
          <w:rFonts w:ascii="Cambria" w:eastAsia="Times New Roman" w:hAnsi="Cambria" w:cs="Times New Roman"/>
          <w:b/>
          <w:bCs/>
          <w:color w:val="000000" w:themeColor="text1"/>
          <w:sz w:val="20"/>
          <w:szCs w:val="20"/>
          <w:lang w:val="es-ES"/>
        </w:rPr>
        <w:t xml:space="preserve">Resultados individuales y estructurales del caso </w:t>
      </w:r>
    </w:p>
    <w:p w14:paraId="7A0A324B" w14:textId="5AAAE1CD" w:rsidR="00104A1C" w:rsidRDefault="00104A1C" w:rsidP="6B42ECDE">
      <w:pPr>
        <w:rPr>
          <w:rFonts w:ascii="Cambria" w:eastAsia="Times New Roman" w:hAnsi="Cambria" w:cs="Calibri Light"/>
          <w:color w:val="000000" w:themeColor="text1"/>
          <w:sz w:val="20"/>
          <w:szCs w:val="20"/>
          <w:lang w:val="es-ES"/>
        </w:rPr>
      </w:pPr>
    </w:p>
    <w:p w14:paraId="68A5681D" w14:textId="51E3AC80" w:rsidR="00C0657A" w:rsidRPr="00C0657A" w:rsidRDefault="00C0657A" w:rsidP="6B42ECDE">
      <w:pPr>
        <w:rPr>
          <w:rFonts w:ascii="Cambria" w:eastAsia="Times New Roman" w:hAnsi="Cambria" w:cs="Calibri Light"/>
          <w:i/>
          <w:iCs/>
          <w:color w:val="000000" w:themeColor="text1"/>
          <w:sz w:val="20"/>
          <w:szCs w:val="20"/>
          <w:lang w:val="es-ES"/>
        </w:rPr>
      </w:pPr>
      <w:r w:rsidRPr="6B42ECDE">
        <w:rPr>
          <w:rFonts w:ascii="Cambria" w:eastAsia="Times New Roman" w:hAnsi="Cambria" w:cs="Calibri Light"/>
          <w:i/>
          <w:iCs/>
          <w:color w:val="000000" w:themeColor="text1"/>
          <w:sz w:val="20"/>
          <w:szCs w:val="20"/>
          <w:lang w:val="es-ES"/>
        </w:rPr>
        <w:t xml:space="preserve">Medidas individuales </w:t>
      </w:r>
    </w:p>
    <w:p w14:paraId="265D9307" w14:textId="77777777" w:rsidR="00C0657A" w:rsidRDefault="00C0657A" w:rsidP="6B42ECDE">
      <w:pPr>
        <w:rPr>
          <w:rFonts w:ascii="Cambria" w:eastAsia="Times New Roman" w:hAnsi="Cambria" w:cs="Times New Roman"/>
          <w:b/>
          <w:bCs/>
          <w:color w:val="000000" w:themeColor="text1"/>
          <w:sz w:val="20"/>
          <w:szCs w:val="20"/>
          <w:lang w:val="es-ES"/>
        </w:rPr>
      </w:pPr>
    </w:p>
    <w:p w14:paraId="07A92E7D" w14:textId="7CFCF5B6" w:rsidR="00C0657A" w:rsidRPr="00C0657A" w:rsidRDefault="00C0657A" w:rsidP="6B42ECDE">
      <w:pPr>
        <w:pStyle w:val="ListParagraph"/>
        <w:numPr>
          <w:ilvl w:val="0"/>
          <w:numId w:val="10"/>
        </w:numPr>
        <w:jc w:val="both"/>
        <w:rPr>
          <w:rFonts w:ascii="Cambria" w:eastAsia="Times New Roman" w:hAnsi="Cambria" w:cs="Times New Roman"/>
          <w:b/>
          <w:bCs/>
          <w:color w:val="000000" w:themeColor="text1"/>
          <w:sz w:val="20"/>
          <w:szCs w:val="20"/>
          <w:lang w:val="es-ES"/>
        </w:rPr>
      </w:pPr>
      <w:r w:rsidRPr="6B42ECDE">
        <w:rPr>
          <w:rFonts w:ascii="Cambria" w:eastAsia="Times New Roman" w:hAnsi="Cambria" w:cs="Calibri Light"/>
          <w:color w:val="000000" w:themeColor="text1"/>
          <w:sz w:val="20"/>
          <w:szCs w:val="20"/>
          <w:lang w:val="es-ES"/>
        </w:rPr>
        <w:t>El 21 de marzo de 2019, el Ministerio de Economía y Finanzas efectuó el pago de la indemnización acordada con la víctima del caso.</w:t>
      </w:r>
    </w:p>
    <w:p w14:paraId="74385982" w14:textId="77777777" w:rsidR="00104A1C" w:rsidRPr="00C60B8D" w:rsidRDefault="00104A1C" w:rsidP="6B42ECDE">
      <w:pPr>
        <w:rPr>
          <w:rFonts w:ascii="Cambria" w:eastAsia="Times New Roman" w:hAnsi="Cambria" w:cs="Times New Roman"/>
          <w:b/>
          <w:bCs/>
          <w:color w:val="000000" w:themeColor="text1"/>
          <w:sz w:val="20"/>
          <w:szCs w:val="20"/>
          <w:lang w:val="es-ES"/>
        </w:rPr>
      </w:pPr>
    </w:p>
    <w:p w14:paraId="2B4EDEE5" w14:textId="5C9D98F5" w:rsidR="008463D3" w:rsidRPr="00C60B8D" w:rsidRDefault="008463D3" w:rsidP="6B42ECDE">
      <w:pPr>
        <w:rPr>
          <w:color w:val="000000" w:themeColor="text1"/>
          <w:sz w:val="20"/>
          <w:szCs w:val="20"/>
          <w:lang w:val="es-ES"/>
        </w:rPr>
      </w:pPr>
    </w:p>
    <w:p w14:paraId="784E82AD" w14:textId="76F80EB2" w:rsidR="000B5E1D" w:rsidRPr="00C60B8D" w:rsidRDefault="000B5E1D" w:rsidP="6B42ECDE">
      <w:pPr>
        <w:rPr>
          <w:color w:val="000000" w:themeColor="text1"/>
          <w:sz w:val="20"/>
          <w:szCs w:val="20"/>
          <w:lang w:val="es-ES"/>
        </w:rPr>
      </w:pPr>
    </w:p>
    <w:p w14:paraId="5DD329EC" w14:textId="08FC2FFC" w:rsidR="00BD17B0" w:rsidRPr="00C60B8D" w:rsidRDefault="00BD17B0" w:rsidP="6B42ECDE">
      <w:pPr>
        <w:rPr>
          <w:color w:val="000000" w:themeColor="text1"/>
          <w:sz w:val="20"/>
          <w:szCs w:val="20"/>
          <w:lang w:val="es-ES"/>
        </w:rPr>
      </w:pPr>
    </w:p>
    <w:p w14:paraId="4DC98394" w14:textId="3759CA18" w:rsidR="00BD17B0" w:rsidRPr="00C60B8D" w:rsidRDefault="00BD17B0" w:rsidP="6B42ECDE">
      <w:pPr>
        <w:rPr>
          <w:color w:val="000000" w:themeColor="text1"/>
          <w:sz w:val="20"/>
          <w:szCs w:val="20"/>
          <w:lang w:val="es-ES"/>
        </w:rPr>
      </w:pPr>
    </w:p>
    <w:p w14:paraId="40CAC6FD" w14:textId="3E40AC48" w:rsidR="00BD17B0" w:rsidRPr="00C60B8D" w:rsidRDefault="00BD17B0" w:rsidP="6B42ECDE">
      <w:pPr>
        <w:rPr>
          <w:color w:val="000000" w:themeColor="text1"/>
          <w:sz w:val="20"/>
          <w:szCs w:val="20"/>
          <w:lang w:val="es-ES"/>
        </w:rPr>
      </w:pPr>
    </w:p>
    <w:p w14:paraId="521E0DDD" w14:textId="6606AA9A" w:rsidR="00BD17B0" w:rsidRPr="00C60B8D" w:rsidRDefault="00BD17B0" w:rsidP="6B42ECDE">
      <w:pPr>
        <w:rPr>
          <w:color w:val="000000" w:themeColor="text1"/>
          <w:sz w:val="20"/>
          <w:szCs w:val="20"/>
          <w:lang w:val="es-ES"/>
        </w:rPr>
      </w:pPr>
    </w:p>
    <w:p w14:paraId="28CBD58D" w14:textId="2ECC4283" w:rsidR="00BD17B0" w:rsidRPr="00C60B8D" w:rsidRDefault="00BD17B0" w:rsidP="6B42ECDE">
      <w:pPr>
        <w:rPr>
          <w:color w:val="000000" w:themeColor="text1"/>
          <w:sz w:val="20"/>
          <w:szCs w:val="20"/>
          <w:lang w:val="es-ES"/>
        </w:rPr>
      </w:pPr>
    </w:p>
    <w:p w14:paraId="6D206F95" w14:textId="106598B9" w:rsidR="00BD17B0" w:rsidRPr="00C60B8D" w:rsidRDefault="00BD17B0" w:rsidP="6B42ECDE">
      <w:pPr>
        <w:rPr>
          <w:color w:val="000000" w:themeColor="text1"/>
          <w:sz w:val="20"/>
          <w:szCs w:val="20"/>
          <w:lang w:val="es-ES"/>
        </w:rPr>
      </w:pPr>
    </w:p>
    <w:p w14:paraId="24A0B2C5" w14:textId="083D16DA" w:rsidR="00BD17B0" w:rsidRPr="00C60B8D" w:rsidRDefault="00BD17B0" w:rsidP="6B42ECDE">
      <w:pPr>
        <w:rPr>
          <w:color w:val="000000" w:themeColor="text1"/>
          <w:sz w:val="20"/>
          <w:szCs w:val="20"/>
          <w:lang w:val="es-ES"/>
        </w:rPr>
      </w:pPr>
    </w:p>
    <w:p w14:paraId="76D1D0B8" w14:textId="35B7ECFC" w:rsidR="00BD17B0" w:rsidRPr="00C60B8D" w:rsidRDefault="00BD17B0" w:rsidP="6B42ECDE">
      <w:pPr>
        <w:rPr>
          <w:color w:val="000000" w:themeColor="text1"/>
          <w:sz w:val="20"/>
          <w:szCs w:val="20"/>
          <w:lang w:val="es-ES"/>
        </w:rPr>
      </w:pPr>
    </w:p>
    <w:p w14:paraId="5D3B53F0" w14:textId="4810116D" w:rsidR="00BD17B0" w:rsidRPr="00C60B8D" w:rsidRDefault="00BD17B0" w:rsidP="6B42ECDE">
      <w:pPr>
        <w:rPr>
          <w:color w:val="000000" w:themeColor="text1"/>
          <w:sz w:val="20"/>
          <w:szCs w:val="20"/>
          <w:lang w:val="es-ES"/>
        </w:rPr>
      </w:pPr>
    </w:p>
    <w:p w14:paraId="2B796A60" w14:textId="6BF2AE4D" w:rsidR="00BD17B0" w:rsidRPr="00C60B8D" w:rsidRDefault="00BD17B0" w:rsidP="6B42ECDE">
      <w:pPr>
        <w:rPr>
          <w:color w:val="000000" w:themeColor="text1"/>
          <w:sz w:val="20"/>
          <w:szCs w:val="20"/>
          <w:lang w:val="es-ES"/>
        </w:rPr>
      </w:pPr>
    </w:p>
    <w:p w14:paraId="5815C079" w14:textId="5585CF93" w:rsidR="00BD17B0" w:rsidRPr="00C60B8D" w:rsidRDefault="00BD17B0" w:rsidP="6B42ECDE">
      <w:pPr>
        <w:rPr>
          <w:color w:val="000000" w:themeColor="text1"/>
          <w:sz w:val="20"/>
          <w:szCs w:val="20"/>
          <w:lang w:val="es-ES"/>
        </w:rPr>
      </w:pPr>
    </w:p>
    <w:p w14:paraId="097930A5" w14:textId="094BCF2F" w:rsidR="00BD17B0" w:rsidRPr="00C60B8D" w:rsidRDefault="00BD17B0" w:rsidP="6B42ECDE">
      <w:pPr>
        <w:rPr>
          <w:color w:val="000000" w:themeColor="text1"/>
          <w:sz w:val="20"/>
          <w:szCs w:val="20"/>
          <w:lang w:val="es-ES"/>
        </w:rPr>
      </w:pPr>
    </w:p>
    <w:p w14:paraId="3C57FC1E" w14:textId="166FCDAA" w:rsidR="00BD17B0" w:rsidRPr="00C60B8D" w:rsidRDefault="00BD17B0" w:rsidP="6B42ECDE">
      <w:pPr>
        <w:rPr>
          <w:color w:val="000000" w:themeColor="text1"/>
          <w:sz w:val="20"/>
          <w:szCs w:val="20"/>
          <w:lang w:val="es-ES"/>
        </w:rPr>
      </w:pPr>
    </w:p>
    <w:p w14:paraId="5A31A02A" w14:textId="3CDA47F2" w:rsidR="00BD17B0" w:rsidRPr="00C60B8D" w:rsidRDefault="00BD17B0" w:rsidP="6B42ECDE">
      <w:pPr>
        <w:rPr>
          <w:color w:val="000000" w:themeColor="text1"/>
          <w:sz w:val="20"/>
          <w:szCs w:val="20"/>
          <w:lang w:val="es-ES"/>
        </w:rPr>
      </w:pPr>
    </w:p>
    <w:p w14:paraId="1D06DCD8" w14:textId="2B52FA59" w:rsidR="00BD17B0" w:rsidRPr="00C60B8D" w:rsidRDefault="00BD17B0" w:rsidP="6B42ECDE">
      <w:pPr>
        <w:rPr>
          <w:color w:val="000000" w:themeColor="text1"/>
          <w:sz w:val="20"/>
          <w:szCs w:val="20"/>
          <w:lang w:val="es-ES"/>
        </w:rPr>
      </w:pPr>
    </w:p>
    <w:p w14:paraId="295B04CC" w14:textId="23D3BF22" w:rsidR="00BD17B0" w:rsidRPr="00C60B8D" w:rsidRDefault="00BD17B0" w:rsidP="6B42ECDE">
      <w:pPr>
        <w:rPr>
          <w:color w:val="000000" w:themeColor="text1"/>
          <w:sz w:val="20"/>
          <w:szCs w:val="20"/>
          <w:lang w:val="es-ES"/>
        </w:rPr>
      </w:pPr>
    </w:p>
    <w:p w14:paraId="45B26099" w14:textId="77777777" w:rsidR="00BD17B0" w:rsidRPr="00C60B8D" w:rsidRDefault="00BD17B0" w:rsidP="6B42ECDE">
      <w:pPr>
        <w:rPr>
          <w:color w:val="000000" w:themeColor="text1"/>
          <w:sz w:val="20"/>
          <w:szCs w:val="20"/>
          <w:lang w:val="es-ES"/>
        </w:rPr>
      </w:pPr>
    </w:p>
    <w:sectPr w:rsidR="00BD17B0" w:rsidRPr="00C60B8D"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D679" w14:textId="77777777" w:rsidR="006E1868" w:rsidRDefault="006E1868" w:rsidP="00672733">
      <w:r>
        <w:separator/>
      </w:r>
    </w:p>
  </w:endnote>
  <w:endnote w:type="continuationSeparator" w:id="0">
    <w:p w14:paraId="6CEB778F" w14:textId="77777777" w:rsidR="006E1868" w:rsidRDefault="006E186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5BA9" w14:textId="77777777" w:rsidR="006E1868" w:rsidRDefault="006E1868" w:rsidP="00672733">
      <w:r>
        <w:separator/>
      </w:r>
    </w:p>
  </w:footnote>
  <w:footnote w:type="continuationSeparator" w:id="0">
    <w:p w14:paraId="1ADDF7FC" w14:textId="77777777" w:rsidR="006E1868" w:rsidRDefault="006E1868" w:rsidP="00672733">
      <w:r>
        <w:continuationSeparator/>
      </w:r>
    </w:p>
  </w:footnote>
  <w:footnote w:id="1">
    <w:p w14:paraId="1111E7BE" w14:textId="0EAFF0FE" w:rsidR="00433839" w:rsidRPr="00433839" w:rsidRDefault="00433839" w:rsidP="00433839">
      <w:pPr>
        <w:pStyle w:val="FootnoteText"/>
        <w:ind w:firstLine="720"/>
        <w:rPr>
          <w:rFonts w:ascii="Cambria" w:hAnsi="Cambria"/>
          <w:color w:val="FF0000"/>
          <w:sz w:val="16"/>
          <w:szCs w:val="16"/>
          <w:lang w:val="es-CO"/>
        </w:rPr>
      </w:pPr>
      <w:r w:rsidRPr="00433839">
        <w:rPr>
          <w:rStyle w:val="FootnoteReference"/>
          <w:rFonts w:ascii="Cambria" w:hAnsi="Cambria"/>
          <w:color w:val="FF0000"/>
          <w:sz w:val="16"/>
          <w:szCs w:val="16"/>
        </w:rPr>
        <w:footnoteRef/>
      </w:r>
      <w:r w:rsidRPr="00433839">
        <w:rPr>
          <w:rFonts w:ascii="Cambria" w:hAnsi="Cambria"/>
          <w:color w:val="FF0000"/>
          <w:sz w:val="16"/>
          <w:szCs w:val="16"/>
          <w:lang w:val="es-CO"/>
        </w:rPr>
        <w:t xml:space="preserve"> CIDH, Informe de Fondo No. 457/21, 31 de diciembre de 2021, párrs. 106</w:t>
      </w:r>
      <w:r w:rsidR="0049482C">
        <w:rPr>
          <w:rFonts w:ascii="Cambria" w:hAnsi="Cambria"/>
          <w:color w:val="FF0000"/>
          <w:sz w:val="16"/>
          <w:szCs w:val="16"/>
          <w:lang w:val="es-CO"/>
        </w:rPr>
        <w:t xml:space="preserve">, </w:t>
      </w:r>
      <w:r w:rsidRPr="00433839">
        <w:rPr>
          <w:rFonts w:ascii="Cambria" w:hAnsi="Cambria"/>
          <w:color w:val="FF0000"/>
          <w:sz w:val="16"/>
          <w:szCs w:val="16"/>
          <w:lang w:val="es-CO"/>
        </w:rPr>
        <w:t>107</w:t>
      </w:r>
      <w:r w:rsidR="0049482C">
        <w:rPr>
          <w:rFonts w:ascii="Cambria" w:hAnsi="Cambria"/>
          <w:color w:val="FF0000"/>
          <w:sz w:val="16"/>
          <w:szCs w:val="16"/>
          <w:lang w:val="es-CO"/>
        </w:rPr>
        <w:t>, 112 y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088B81">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241CA7">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D1E10DB"/>
    <w:multiLevelType w:val="hybridMultilevel"/>
    <w:tmpl w:val="BB4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80D84"/>
    <w:multiLevelType w:val="hybridMultilevel"/>
    <w:tmpl w:val="6C94D7A2"/>
    <w:lvl w:ilvl="0" w:tplc="E78A326C">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4BFB2947"/>
    <w:multiLevelType w:val="hybridMultilevel"/>
    <w:tmpl w:val="8228A420"/>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D31386"/>
    <w:multiLevelType w:val="hybridMultilevel"/>
    <w:tmpl w:val="8228A420"/>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B046E8F"/>
    <w:multiLevelType w:val="hybridMultilevel"/>
    <w:tmpl w:val="8228A420"/>
    <w:lvl w:ilvl="0" w:tplc="FFFFFFF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6"/>
  </w:num>
  <w:num w:numId="2" w16cid:durableId="426849189">
    <w:abstractNumId w:val="12"/>
  </w:num>
  <w:num w:numId="3" w16cid:durableId="978146478">
    <w:abstractNumId w:val="9"/>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1914318381">
    <w:abstractNumId w:val="8"/>
  </w:num>
  <w:num w:numId="9" w16cid:durableId="1000767125">
    <w:abstractNumId w:val="5"/>
  </w:num>
  <w:num w:numId="10" w16cid:durableId="166138534">
    <w:abstractNumId w:val="4"/>
  </w:num>
  <w:num w:numId="11" w16cid:durableId="1138230301">
    <w:abstractNumId w:val="11"/>
  </w:num>
  <w:num w:numId="12" w16cid:durableId="987436462">
    <w:abstractNumId w:val="7"/>
  </w:num>
  <w:num w:numId="13" w16cid:durableId="10697726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210B"/>
    <w:rsid w:val="0002489A"/>
    <w:rsid w:val="00045E5E"/>
    <w:rsid w:val="000B5E1D"/>
    <w:rsid w:val="00104A1C"/>
    <w:rsid w:val="00105B23"/>
    <w:rsid w:val="0015410A"/>
    <w:rsid w:val="00181DA0"/>
    <w:rsid w:val="0018660A"/>
    <w:rsid w:val="00221233"/>
    <w:rsid w:val="002248FB"/>
    <w:rsid w:val="00234E64"/>
    <w:rsid w:val="00257132"/>
    <w:rsid w:val="00257F50"/>
    <w:rsid w:val="002C626F"/>
    <w:rsid w:val="00322720"/>
    <w:rsid w:val="003B18A8"/>
    <w:rsid w:val="00433839"/>
    <w:rsid w:val="00453115"/>
    <w:rsid w:val="004739AB"/>
    <w:rsid w:val="004758C9"/>
    <w:rsid w:val="0048723C"/>
    <w:rsid w:val="0049482C"/>
    <w:rsid w:val="00500FDE"/>
    <w:rsid w:val="00566CD0"/>
    <w:rsid w:val="005A1AE2"/>
    <w:rsid w:val="00637ED3"/>
    <w:rsid w:val="0066167B"/>
    <w:rsid w:val="006638E5"/>
    <w:rsid w:val="00672733"/>
    <w:rsid w:val="006B1F24"/>
    <w:rsid w:val="006B6151"/>
    <w:rsid w:val="006E1868"/>
    <w:rsid w:val="007C4DCE"/>
    <w:rsid w:val="008463D3"/>
    <w:rsid w:val="008818B0"/>
    <w:rsid w:val="008861D6"/>
    <w:rsid w:val="009F5668"/>
    <w:rsid w:val="00A04E1E"/>
    <w:rsid w:val="00A33A59"/>
    <w:rsid w:val="00A63001"/>
    <w:rsid w:val="00A80674"/>
    <w:rsid w:val="00AE2642"/>
    <w:rsid w:val="00B61E5B"/>
    <w:rsid w:val="00BD17B0"/>
    <w:rsid w:val="00BF7A78"/>
    <w:rsid w:val="00C0657A"/>
    <w:rsid w:val="00C60B8D"/>
    <w:rsid w:val="00CA2B25"/>
    <w:rsid w:val="00D56DC4"/>
    <w:rsid w:val="00D577EC"/>
    <w:rsid w:val="00E042FE"/>
    <w:rsid w:val="00E516AB"/>
    <w:rsid w:val="00E81577"/>
    <w:rsid w:val="00E90CB3"/>
    <w:rsid w:val="00EA0262"/>
    <w:rsid w:val="00EC61E3"/>
    <w:rsid w:val="00ED0AAA"/>
    <w:rsid w:val="00ED1EBA"/>
    <w:rsid w:val="00F41E7E"/>
    <w:rsid w:val="00F47441"/>
    <w:rsid w:val="00FE7FAE"/>
    <w:rsid w:val="6B42E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E81577"/>
    <w:rPr>
      <w:color w:val="0563C1" w:themeColor="hyperlink"/>
      <w:u w:val="single"/>
    </w:rPr>
  </w:style>
  <w:style w:type="character" w:styleId="UnresolvedMention">
    <w:name w:val="Unresolved Mention"/>
    <w:basedOn w:val="DefaultParagraphFont"/>
    <w:uiPriority w:val="99"/>
    <w:semiHidden/>
    <w:unhideWhenUsed/>
    <w:rsid w:val="00E81577"/>
    <w:rPr>
      <w:color w:val="605E5C"/>
      <w:shd w:val="clear" w:color="auto" w:fill="E1DFDD"/>
    </w:rPr>
  </w:style>
  <w:style w:type="paragraph" w:customStyle="1" w:styleId="Default">
    <w:name w:val="Default"/>
    <w:rsid w:val="00A04E1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2020/US_12.545_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ecpu11.444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6699FB3F-F074-48D9-80E0-01FC7E01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2065</Words>
  <Characters>11774</Characters>
  <Application>Microsoft Office Word</Application>
  <DocSecurity>0</DocSecurity>
  <Lines>98</Lines>
  <Paragraphs>27</Paragraphs>
  <ScaleCrop>false</ScaleCrop>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