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5F2D" w14:textId="77777777" w:rsidR="00892BB2" w:rsidRPr="00892BB2" w:rsidRDefault="00892BB2" w:rsidP="43D35710">
      <w:pPr>
        <w:pBdr>
          <w:top w:val="nil"/>
          <w:left w:val="nil"/>
          <w:bottom w:val="nil"/>
          <w:right w:val="nil"/>
          <w:between w:val="nil"/>
        </w:pBdr>
        <w:jc w:val="center"/>
        <w:rPr>
          <w:rFonts w:ascii="Cambria" w:eastAsia="Cambria" w:hAnsi="Cambria" w:cs="Cambria"/>
          <w:b/>
          <w:bCs/>
          <w:color w:val="000000"/>
          <w:sz w:val="20"/>
          <w:szCs w:val="20"/>
          <w:lang w:val="es-ES"/>
        </w:rPr>
      </w:pPr>
      <w:r w:rsidRPr="43D35710">
        <w:rPr>
          <w:rFonts w:ascii="Cambria" w:eastAsia="Cambria" w:hAnsi="Cambria" w:cs="Cambria"/>
          <w:b/>
          <w:bCs/>
          <w:color w:val="000000" w:themeColor="text1"/>
          <w:sz w:val="20"/>
          <w:szCs w:val="20"/>
          <w:lang w:val="es-ES"/>
        </w:rPr>
        <w:t>FICHA DE SEGUIMIENTO DEL INFORME Nº 92/19</w:t>
      </w:r>
    </w:p>
    <w:p w14:paraId="6C720FF2" w14:textId="77777777" w:rsidR="00892BB2" w:rsidRPr="00892BB2" w:rsidRDefault="00892BB2" w:rsidP="43D35710">
      <w:pPr>
        <w:pBdr>
          <w:top w:val="nil"/>
          <w:left w:val="nil"/>
          <w:bottom w:val="nil"/>
          <w:right w:val="nil"/>
          <w:between w:val="nil"/>
        </w:pBdr>
        <w:jc w:val="center"/>
        <w:rPr>
          <w:rFonts w:ascii="Cambria" w:eastAsia="Cambria" w:hAnsi="Cambria" w:cs="Cambria"/>
          <w:b/>
          <w:bCs/>
          <w:color w:val="000000"/>
          <w:sz w:val="20"/>
          <w:szCs w:val="20"/>
          <w:lang w:val="es-ES"/>
        </w:rPr>
      </w:pPr>
      <w:r w:rsidRPr="43D35710">
        <w:rPr>
          <w:rFonts w:ascii="Cambria" w:eastAsia="Cambria" w:hAnsi="Cambria" w:cs="Cambria"/>
          <w:b/>
          <w:bCs/>
          <w:color w:val="000000" w:themeColor="text1"/>
          <w:sz w:val="20"/>
          <w:szCs w:val="20"/>
          <w:lang w:val="es-ES"/>
        </w:rPr>
        <w:t>CASO 11.624</w:t>
      </w:r>
    </w:p>
    <w:p w14:paraId="6EDAA581" w14:textId="77777777" w:rsidR="00892BB2" w:rsidRPr="00892BB2" w:rsidRDefault="00892BB2" w:rsidP="43D35710">
      <w:pPr>
        <w:pBdr>
          <w:top w:val="nil"/>
          <w:left w:val="nil"/>
          <w:bottom w:val="nil"/>
          <w:right w:val="nil"/>
          <w:between w:val="nil"/>
        </w:pBdr>
        <w:jc w:val="center"/>
        <w:rPr>
          <w:rFonts w:ascii="Cambria" w:eastAsia="Cambria" w:hAnsi="Cambria" w:cs="Cambria"/>
          <w:b/>
          <w:bCs/>
          <w:color w:val="000000"/>
          <w:sz w:val="20"/>
          <w:szCs w:val="20"/>
          <w:lang w:val="es-ES"/>
        </w:rPr>
      </w:pPr>
      <w:r w:rsidRPr="43D35710">
        <w:rPr>
          <w:rFonts w:ascii="Cambria" w:eastAsia="Cambria" w:hAnsi="Cambria" w:cs="Cambria"/>
          <w:b/>
          <w:bCs/>
          <w:color w:val="000000" w:themeColor="text1"/>
          <w:sz w:val="20"/>
          <w:szCs w:val="20"/>
          <w:lang w:val="es-ES"/>
        </w:rPr>
        <w:t>Jorge Darwin García y familia</w:t>
      </w:r>
    </w:p>
    <w:p w14:paraId="550C49F6" w14:textId="77777777" w:rsidR="00892BB2" w:rsidRDefault="00892BB2" w:rsidP="43D35710">
      <w:pPr>
        <w:pBdr>
          <w:top w:val="nil"/>
          <w:left w:val="nil"/>
          <w:bottom w:val="nil"/>
          <w:right w:val="nil"/>
          <w:between w:val="nil"/>
        </w:pBdr>
        <w:jc w:val="center"/>
        <w:rPr>
          <w:rFonts w:ascii="Cambria" w:eastAsia="Cambria" w:hAnsi="Cambria" w:cs="Cambria"/>
          <w:b/>
          <w:bCs/>
          <w:color w:val="000000"/>
          <w:sz w:val="20"/>
          <w:szCs w:val="20"/>
        </w:rPr>
      </w:pPr>
      <w:r w:rsidRPr="43D35710">
        <w:rPr>
          <w:rFonts w:ascii="Cambria" w:eastAsia="Cambria" w:hAnsi="Cambria" w:cs="Cambria"/>
          <w:b/>
          <w:bCs/>
          <w:color w:val="000000" w:themeColor="text1"/>
          <w:sz w:val="20"/>
          <w:szCs w:val="20"/>
        </w:rPr>
        <w:t>(Ecuador)</w:t>
      </w:r>
    </w:p>
    <w:p w14:paraId="537E4532" w14:textId="77777777" w:rsidR="00892BB2" w:rsidRDefault="00892BB2" w:rsidP="43D35710">
      <w:pPr>
        <w:pBdr>
          <w:top w:val="nil"/>
          <w:left w:val="nil"/>
          <w:bottom w:val="nil"/>
          <w:right w:val="nil"/>
          <w:between w:val="nil"/>
        </w:pBdr>
        <w:jc w:val="center"/>
        <w:rPr>
          <w:rFonts w:ascii="Cambria" w:eastAsia="Cambria" w:hAnsi="Cambria" w:cs="Cambria"/>
          <w:b/>
          <w:bCs/>
          <w:color w:val="000000"/>
          <w:sz w:val="20"/>
          <w:szCs w:val="20"/>
        </w:rPr>
      </w:pPr>
    </w:p>
    <w:p w14:paraId="2E317F68" w14:textId="77777777" w:rsidR="00892BB2" w:rsidRDefault="00892BB2" w:rsidP="43D35710">
      <w:pPr>
        <w:numPr>
          <w:ilvl w:val="0"/>
          <w:numId w:val="25"/>
        </w:numPr>
        <w:pBdr>
          <w:top w:val="nil"/>
          <w:left w:val="nil"/>
          <w:bottom w:val="nil"/>
          <w:right w:val="nil"/>
          <w:between w:val="nil"/>
        </w:pBdr>
        <w:rPr>
          <w:rFonts w:ascii="Cambria" w:eastAsia="Cambria" w:hAnsi="Cambria" w:cs="Cambria"/>
          <w:b/>
          <w:bCs/>
          <w:color w:val="000000"/>
          <w:sz w:val="20"/>
          <w:szCs w:val="20"/>
        </w:rPr>
      </w:pPr>
      <w:r w:rsidRPr="43D35710">
        <w:rPr>
          <w:rFonts w:ascii="Cambria" w:eastAsia="Cambria" w:hAnsi="Cambria" w:cs="Cambria"/>
          <w:b/>
          <w:bCs/>
          <w:color w:val="000000" w:themeColor="text1"/>
          <w:sz w:val="20"/>
          <w:szCs w:val="20"/>
        </w:rPr>
        <w:t xml:space="preserve">Resumen del caso </w:t>
      </w:r>
    </w:p>
    <w:p w14:paraId="3BF1965E" w14:textId="77777777" w:rsidR="00892BB2" w:rsidRDefault="00892BB2" w:rsidP="43D35710">
      <w:pPr>
        <w:ind w:left="1080"/>
        <w:rPr>
          <w:rFonts w:ascii="Cambria" w:eastAsia="Cambria" w:hAnsi="Cambria" w:cs="Cambria"/>
          <w:b/>
          <w:bCs/>
          <w:color w:val="000000"/>
          <w:sz w:val="20"/>
          <w:szCs w:val="20"/>
        </w:rPr>
      </w:pP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576"/>
      </w:tblGrid>
      <w:tr w:rsidR="00892BB2" w:rsidRPr="00724BE0" w14:paraId="7C6AADF8" w14:textId="77777777" w:rsidTr="43D35710">
        <w:trPr>
          <w:trHeight w:val="4887"/>
          <w:jc w:val="center"/>
        </w:trPr>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3E2268F8" w14:textId="77777777" w:rsidR="00892BB2" w:rsidRPr="00892BB2" w:rsidRDefault="00892BB2" w:rsidP="43D35710">
            <w:pPr>
              <w:pBdr>
                <w:top w:val="nil"/>
                <w:left w:val="nil"/>
                <w:bottom w:val="nil"/>
                <w:right w:val="nil"/>
                <w:between w:val="nil"/>
              </w:pBdr>
              <w:spacing w:before="120"/>
              <w:jc w:val="both"/>
              <w:rPr>
                <w:rFonts w:ascii="Cambria" w:eastAsia="Cambria" w:hAnsi="Cambria" w:cs="Cambria"/>
                <w:color w:val="000000"/>
                <w:sz w:val="20"/>
                <w:szCs w:val="20"/>
                <w:lang w:val="es-ES"/>
              </w:rPr>
            </w:pPr>
            <w:r w:rsidRPr="43D35710">
              <w:rPr>
                <w:rFonts w:ascii="Cambria" w:eastAsia="Cambria" w:hAnsi="Cambria" w:cs="Cambria"/>
                <w:b/>
                <w:bCs/>
                <w:color w:val="000000" w:themeColor="text1"/>
                <w:sz w:val="20"/>
                <w:szCs w:val="20"/>
                <w:lang w:val="es-ES"/>
              </w:rPr>
              <w:t>Víctima (s):</w:t>
            </w:r>
            <w:r w:rsidRPr="43D35710">
              <w:rPr>
                <w:rFonts w:ascii="Cambria" w:eastAsia="Cambria" w:hAnsi="Cambria" w:cs="Cambria"/>
                <w:color w:val="000000" w:themeColor="text1"/>
                <w:sz w:val="20"/>
                <w:szCs w:val="20"/>
                <w:lang w:val="es-ES"/>
              </w:rPr>
              <w:t xml:space="preserve"> Jorge Darwin García y Familia</w:t>
            </w:r>
          </w:p>
          <w:p w14:paraId="4921BD3F" w14:textId="77777777" w:rsidR="00892BB2" w:rsidRPr="00892BB2" w:rsidRDefault="00892BB2" w:rsidP="43D35710">
            <w:pPr>
              <w:pBdr>
                <w:top w:val="nil"/>
                <w:left w:val="nil"/>
                <w:bottom w:val="nil"/>
                <w:right w:val="nil"/>
                <w:between w:val="nil"/>
              </w:pBdr>
              <w:jc w:val="both"/>
              <w:rPr>
                <w:rFonts w:ascii="Cambria" w:eastAsia="Cambria" w:hAnsi="Cambria" w:cs="Cambria"/>
                <w:color w:val="000000"/>
                <w:sz w:val="20"/>
                <w:szCs w:val="20"/>
                <w:lang w:val="es-ES"/>
              </w:rPr>
            </w:pPr>
            <w:r w:rsidRPr="43D35710">
              <w:rPr>
                <w:rFonts w:ascii="Cambria" w:eastAsia="Cambria" w:hAnsi="Cambria" w:cs="Cambria"/>
                <w:b/>
                <w:bCs/>
                <w:color w:val="000000" w:themeColor="text1"/>
                <w:sz w:val="20"/>
                <w:szCs w:val="20"/>
                <w:lang w:val="es-ES"/>
              </w:rPr>
              <w:t xml:space="preserve">Peticionario (s): </w:t>
            </w:r>
            <w:r w:rsidRPr="43D35710">
              <w:rPr>
                <w:rFonts w:ascii="Cambria" w:eastAsia="Cambria" w:hAnsi="Cambria" w:cs="Cambria"/>
                <w:color w:val="000000" w:themeColor="text1"/>
                <w:sz w:val="20"/>
                <w:szCs w:val="20"/>
                <w:lang w:val="es-ES"/>
              </w:rPr>
              <w:t>Comisión Ecuménica de Derechos Humanos (CEDHU)</w:t>
            </w:r>
          </w:p>
          <w:p w14:paraId="2E65FAD8" w14:textId="77777777" w:rsidR="00892BB2" w:rsidRPr="00892BB2" w:rsidRDefault="00892BB2" w:rsidP="43D35710">
            <w:pPr>
              <w:pBdr>
                <w:top w:val="nil"/>
                <w:left w:val="nil"/>
                <w:bottom w:val="nil"/>
                <w:right w:val="nil"/>
                <w:between w:val="nil"/>
              </w:pBdr>
              <w:jc w:val="both"/>
              <w:rPr>
                <w:rFonts w:ascii="Cambria" w:eastAsia="Cambria" w:hAnsi="Cambria" w:cs="Cambria"/>
                <w:color w:val="000000"/>
                <w:sz w:val="20"/>
                <w:szCs w:val="20"/>
                <w:lang w:val="es-ES"/>
              </w:rPr>
            </w:pPr>
            <w:r w:rsidRPr="43D35710">
              <w:rPr>
                <w:rFonts w:ascii="Cambria" w:eastAsia="Cambria" w:hAnsi="Cambria" w:cs="Cambria"/>
                <w:b/>
                <w:bCs/>
                <w:color w:val="000000" w:themeColor="text1"/>
                <w:sz w:val="20"/>
                <w:szCs w:val="20"/>
                <w:lang w:val="es-ES"/>
              </w:rPr>
              <w:t>Estado:</w:t>
            </w:r>
            <w:r w:rsidRPr="43D35710">
              <w:rPr>
                <w:rFonts w:ascii="Cambria" w:eastAsia="Cambria" w:hAnsi="Cambria" w:cs="Cambria"/>
                <w:color w:val="000000" w:themeColor="text1"/>
                <w:sz w:val="20"/>
                <w:szCs w:val="20"/>
                <w:lang w:val="es-ES"/>
              </w:rPr>
              <w:t xml:space="preserve"> Ecuador</w:t>
            </w:r>
          </w:p>
          <w:p w14:paraId="19550BF5" w14:textId="77777777" w:rsidR="00892BB2" w:rsidRPr="00892BB2" w:rsidRDefault="00892BB2" w:rsidP="43D35710">
            <w:pPr>
              <w:pBdr>
                <w:top w:val="nil"/>
                <w:left w:val="nil"/>
                <w:bottom w:val="nil"/>
                <w:right w:val="nil"/>
                <w:between w:val="nil"/>
              </w:pBdr>
              <w:jc w:val="both"/>
              <w:rPr>
                <w:rFonts w:ascii="Cambria" w:eastAsia="Cambria" w:hAnsi="Cambria" w:cs="Cambria"/>
                <w:color w:val="000000"/>
                <w:sz w:val="20"/>
                <w:szCs w:val="20"/>
                <w:lang w:val="es-ES"/>
              </w:rPr>
            </w:pPr>
            <w:r w:rsidRPr="43D35710">
              <w:rPr>
                <w:rFonts w:ascii="Cambria" w:eastAsia="Cambria" w:hAnsi="Cambria" w:cs="Cambria"/>
                <w:b/>
                <w:bCs/>
                <w:color w:val="000000" w:themeColor="text1"/>
                <w:sz w:val="20"/>
                <w:szCs w:val="20"/>
                <w:lang w:val="es-ES"/>
              </w:rPr>
              <w:t xml:space="preserve">Informe de Fondo Nº: </w:t>
            </w:r>
            <w:hyperlink r:id="rId11">
              <w:r w:rsidRPr="43D35710">
                <w:rPr>
                  <w:rFonts w:ascii="Cambria" w:eastAsia="Cambria" w:hAnsi="Cambria" w:cs="Cambria"/>
                  <w:color w:val="000000" w:themeColor="text1"/>
                  <w:sz w:val="20"/>
                  <w:szCs w:val="20"/>
                  <w:u w:val="single"/>
                  <w:lang w:val="es-ES"/>
                </w:rPr>
                <w:t>92/19</w:t>
              </w:r>
            </w:hyperlink>
            <w:r w:rsidRPr="43D35710">
              <w:rPr>
                <w:rFonts w:ascii="Cambria" w:eastAsia="Cambria" w:hAnsi="Cambria" w:cs="Cambria"/>
                <w:color w:val="000000" w:themeColor="text1"/>
                <w:sz w:val="20"/>
                <w:szCs w:val="20"/>
                <w:lang w:val="es-ES"/>
              </w:rPr>
              <w:t>, publicado el 14 de junio de 2019</w:t>
            </w:r>
          </w:p>
          <w:p w14:paraId="6EB88786" w14:textId="77777777" w:rsidR="00892BB2" w:rsidRPr="00892BB2" w:rsidRDefault="00892BB2" w:rsidP="43D35710">
            <w:pPr>
              <w:pBdr>
                <w:top w:val="nil"/>
                <w:left w:val="nil"/>
                <w:bottom w:val="nil"/>
                <w:right w:val="nil"/>
                <w:between w:val="nil"/>
              </w:pBdr>
              <w:jc w:val="both"/>
              <w:rPr>
                <w:rFonts w:ascii="Cambria" w:eastAsia="Cambria" w:hAnsi="Cambria" w:cs="Cambria"/>
                <w:color w:val="000000"/>
                <w:sz w:val="20"/>
                <w:szCs w:val="20"/>
                <w:lang w:val="es-ES"/>
              </w:rPr>
            </w:pPr>
            <w:r w:rsidRPr="43D35710">
              <w:rPr>
                <w:rFonts w:ascii="Cambria" w:eastAsia="Cambria" w:hAnsi="Cambria" w:cs="Cambria"/>
                <w:b/>
                <w:bCs/>
                <w:color w:val="000000" w:themeColor="text1"/>
                <w:sz w:val="20"/>
                <w:szCs w:val="20"/>
                <w:lang w:val="es-ES"/>
              </w:rPr>
              <w:t xml:space="preserve">Informe de Admisibilidad Nº: </w:t>
            </w:r>
            <w:r w:rsidRPr="43D35710">
              <w:rPr>
                <w:rFonts w:ascii="Cambria" w:eastAsia="Cambria" w:hAnsi="Cambria" w:cs="Cambria"/>
                <w:color w:val="000000" w:themeColor="text1"/>
                <w:sz w:val="20"/>
                <w:szCs w:val="20"/>
                <w:lang w:val="es-ES"/>
              </w:rPr>
              <w:t>42/15, publicado el 28 de julio de 2015</w:t>
            </w:r>
          </w:p>
          <w:p w14:paraId="3834117F" w14:textId="77777777" w:rsidR="00892BB2" w:rsidRPr="00892BB2" w:rsidRDefault="00892BB2" w:rsidP="43D35710">
            <w:pPr>
              <w:pBdr>
                <w:top w:val="nil"/>
                <w:left w:val="nil"/>
                <w:bottom w:val="nil"/>
                <w:right w:val="nil"/>
                <w:between w:val="nil"/>
              </w:pBdr>
              <w:spacing w:after="120"/>
              <w:jc w:val="both"/>
              <w:rPr>
                <w:rFonts w:ascii="Cambria" w:eastAsia="Cambria" w:hAnsi="Cambria" w:cs="Cambria"/>
                <w:color w:val="000000"/>
                <w:sz w:val="20"/>
                <w:szCs w:val="20"/>
                <w:lang w:val="es-ES"/>
              </w:rPr>
            </w:pPr>
            <w:r w:rsidRPr="43D35710">
              <w:rPr>
                <w:rFonts w:ascii="Cambria" w:eastAsia="Cambria" w:hAnsi="Cambria" w:cs="Cambria"/>
                <w:b/>
                <w:bCs/>
                <w:color w:val="000000" w:themeColor="text1"/>
                <w:sz w:val="20"/>
                <w:szCs w:val="20"/>
                <w:lang w:val="es-ES"/>
              </w:rPr>
              <w:t>Temas:</w:t>
            </w:r>
            <w:r w:rsidRPr="43D35710">
              <w:rPr>
                <w:rFonts w:ascii="Cambria" w:eastAsia="Cambria" w:hAnsi="Cambria" w:cs="Cambria"/>
                <w:color w:val="000000" w:themeColor="text1"/>
                <w:sz w:val="20"/>
                <w:szCs w:val="20"/>
                <w:lang w:val="es-ES"/>
              </w:rPr>
              <w:t xml:space="preserve"> Derecho a la Integridad Personal / Derecho a la Vida / Ejecuciones Sumarias, Extrajudiciales o Arbitrarias / Garantías Judiciales / Investigación y Debida Diligencia / Memoria, Verdad y Justicia / Protección Judicial / Afrodescendientes </w:t>
            </w:r>
          </w:p>
          <w:p w14:paraId="40900BAE" w14:textId="77777777" w:rsidR="00892BB2" w:rsidRPr="00892BB2" w:rsidRDefault="00892BB2" w:rsidP="43D35710">
            <w:pPr>
              <w:pBdr>
                <w:top w:val="nil"/>
                <w:left w:val="nil"/>
                <w:bottom w:val="nil"/>
                <w:right w:val="nil"/>
                <w:between w:val="nil"/>
              </w:pBdr>
              <w:spacing w:after="240"/>
              <w:jc w:val="both"/>
              <w:rPr>
                <w:rFonts w:ascii="Cambria" w:eastAsia="Cambria" w:hAnsi="Cambria" w:cs="Cambria"/>
                <w:color w:val="000000"/>
                <w:sz w:val="20"/>
                <w:szCs w:val="20"/>
                <w:lang w:val="es-ES"/>
              </w:rPr>
            </w:pPr>
            <w:r w:rsidRPr="43D35710">
              <w:rPr>
                <w:rFonts w:ascii="Cambria" w:eastAsia="Cambria" w:hAnsi="Cambria" w:cs="Cambria"/>
                <w:b/>
                <w:bCs/>
                <w:color w:val="000000" w:themeColor="text1"/>
                <w:sz w:val="20"/>
                <w:szCs w:val="20"/>
                <w:lang w:val="es-ES"/>
              </w:rPr>
              <w:t>Hechos:</w:t>
            </w:r>
            <w:r w:rsidRPr="43D35710">
              <w:rPr>
                <w:rFonts w:ascii="Cambria" w:eastAsia="Cambria" w:hAnsi="Cambria" w:cs="Cambria"/>
                <w:color w:val="000000" w:themeColor="text1"/>
                <w:sz w:val="20"/>
                <w:szCs w:val="20"/>
                <w:lang w:val="es-ES"/>
              </w:rPr>
              <w:t xml:space="preserve"> El caso se refiere a ejecución extrajudicial de Jorge Darwin García y a las heridas provocadas a su hermano Franklin Plutarco García. Ambas personas, de origen afrodescendiente, fueron atacadas en 1993 con armas de fuego por agentes de la Unidad de Investigaciones Especiales quienes, aparentemente, se encontraban en estado de ebriedad. Derivado de dicho ataque, el señor José Darwin García perdió la vida y el señor Franklin Plutarco recibió heridas considerables que derivaron en su incapacitación por diez días. La investigación en el ámbito interno presentó retardos injustificados que afectaron el derecho de acceso a la justicia de las víctimas y sus familiares.  </w:t>
            </w:r>
          </w:p>
          <w:p w14:paraId="711CE42E" w14:textId="77777777" w:rsidR="00892BB2" w:rsidRPr="00892BB2" w:rsidRDefault="00892BB2" w:rsidP="43D35710">
            <w:pPr>
              <w:pBdr>
                <w:top w:val="nil"/>
                <w:left w:val="nil"/>
                <w:bottom w:val="nil"/>
                <w:right w:val="nil"/>
                <w:between w:val="nil"/>
              </w:pBdr>
              <w:spacing w:after="120"/>
              <w:jc w:val="both"/>
              <w:rPr>
                <w:rFonts w:ascii="Cambria" w:eastAsia="Cambria" w:hAnsi="Cambria" w:cs="Cambria"/>
                <w:color w:val="000000"/>
                <w:sz w:val="20"/>
                <w:szCs w:val="20"/>
                <w:lang w:val="es-ES"/>
              </w:rPr>
            </w:pPr>
            <w:r w:rsidRPr="43D35710">
              <w:rPr>
                <w:rFonts w:ascii="Cambria" w:eastAsia="Cambria" w:hAnsi="Cambria" w:cs="Cambria"/>
                <w:b/>
                <w:bCs/>
                <w:color w:val="000000" w:themeColor="text1"/>
                <w:sz w:val="20"/>
                <w:szCs w:val="20"/>
                <w:lang w:val="es-ES"/>
              </w:rPr>
              <w:t>Derechos violados:</w:t>
            </w:r>
            <w:r w:rsidRPr="43D35710">
              <w:rPr>
                <w:rFonts w:ascii="Cambria" w:eastAsia="Cambria" w:hAnsi="Cambria" w:cs="Cambria"/>
                <w:color w:val="000000" w:themeColor="text1"/>
                <w:sz w:val="20"/>
                <w:szCs w:val="20"/>
                <w:lang w:val="es-ES"/>
              </w:rPr>
              <w:t xml:space="preserve"> La Comisión concluyó que el Estado de Ecuador es responsable por la violación de los derechos a la vida, a la integridad personal, a las garantías judiciales y a la protección judicial establecidos en los artículos 4, 5, 8.1 y 25.1 de la Convención Americana en relación con las obligaciones establecidas en los artículos 1.1 y 2 del mismo instrumento internacional, en perjuicio de las personas mencionadas. </w:t>
            </w:r>
          </w:p>
        </w:tc>
      </w:tr>
    </w:tbl>
    <w:p w14:paraId="23A10DA3" w14:textId="77777777" w:rsidR="00892BB2" w:rsidRPr="00892BB2" w:rsidRDefault="00892BB2" w:rsidP="00892BB2">
      <w:pPr>
        <w:rPr>
          <w:color w:val="000000"/>
          <w:lang w:val="es-ES"/>
        </w:rPr>
      </w:pPr>
    </w:p>
    <w:p w14:paraId="7494FA82" w14:textId="77777777" w:rsidR="00892BB2" w:rsidRPr="00892BB2" w:rsidRDefault="00892BB2" w:rsidP="00892BB2">
      <w:pPr>
        <w:rPr>
          <w:rFonts w:ascii="Cambria" w:eastAsia="Cambria" w:hAnsi="Cambria" w:cs="Cambria"/>
          <w:color w:val="000000"/>
          <w:sz w:val="20"/>
          <w:szCs w:val="20"/>
          <w:lang w:val="es-ES"/>
        </w:rPr>
      </w:pPr>
    </w:p>
    <w:p w14:paraId="125B3455" w14:textId="77777777" w:rsidR="00892BB2" w:rsidRDefault="00892BB2" w:rsidP="43D35710">
      <w:pPr>
        <w:numPr>
          <w:ilvl w:val="0"/>
          <w:numId w:val="27"/>
        </w:numPr>
        <w:pBdr>
          <w:top w:val="nil"/>
          <w:left w:val="nil"/>
          <w:bottom w:val="nil"/>
          <w:right w:val="nil"/>
          <w:between w:val="nil"/>
        </w:pBdr>
        <w:jc w:val="both"/>
        <w:rPr>
          <w:rFonts w:ascii="Cambria" w:eastAsia="Cambria" w:hAnsi="Cambria" w:cs="Cambria"/>
          <w:b/>
          <w:bCs/>
          <w:color w:val="000000"/>
          <w:sz w:val="20"/>
          <w:szCs w:val="20"/>
        </w:rPr>
      </w:pPr>
      <w:r w:rsidRPr="43D35710">
        <w:rPr>
          <w:rFonts w:ascii="Cambria" w:eastAsia="Cambria" w:hAnsi="Cambria" w:cs="Cambria"/>
          <w:b/>
          <w:bCs/>
          <w:color w:val="000000" w:themeColor="text1"/>
          <w:sz w:val="20"/>
          <w:szCs w:val="20"/>
        </w:rPr>
        <w:t xml:space="preserve">Recomendaciones </w:t>
      </w:r>
    </w:p>
    <w:p w14:paraId="4FF351F5" w14:textId="77777777" w:rsidR="00892BB2" w:rsidRDefault="00892BB2" w:rsidP="00892BB2">
      <w:pPr>
        <w:ind w:left="1080"/>
        <w:jc w:val="both"/>
        <w:rPr>
          <w:rFonts w:ascii="Cambria" w:eastAsia="Cambria" w:hAnsi="Cambria" w:cs="Cambria"/>
          <w:color w:val="000000"/>
          <w:sz w:val="20"/>
          <w:szCs w:val="20"/>
        </w:rPr>
      </w:pPr>
    </w:p>
    <w:tbl>
      <w:tblPr>
        <w:tblW w:w="9540"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7020"/>
        <w:gridCol w:w="2520"/>
      </w:tblGrid>
      <w:tr w:rsidR="00892BB2" w:rsidRPr="00724BE0" w14:paraId="614BF2E3" w14:textId="77777777" w:rsidTr="43D35710">
        <w:trPr>
          <w:trHeight w:val="402"/>
        </w:trPr>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49BFCDE" w14:textId="77777777" w:rsidR="00892BB2" w:rsidRDefault="00892BB2" w:rsidP="008711AF">
            <w:pPr>
              <w:jc w:val="center"/>
              <w:rPr>
                <w:rFonts w:ascii="Cambria" w:eastAsia="Cambria" w:hAnsi="Cambria" w:cs="Cambria"/>
                <w:color w:val="000000"/>
                <w:sz w:val="20"/>
                <w:szCs w:val="20"/>
              </w:rPr>
            </w:pPr>
            <w:r w:rsidRPr="43D35710">
              <w:rPr>
                <w:rFonts w:ascii="Cambria" w:eastAsia="Cambria" w:hAnsi="Cambria" w:cs="Cambria"/>
                <w:b/>
                <w:bCs/>
                <w:color w:val="000000" w:themeColor="text1"/>
                <w:sz w:val="20"/>
                <w:szCs w:val="20"/>
              </w:rPr>
              <w:t>Recomendaciones</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F40BAD3" w14:textId="55C41D47" w:rsidR="00892BB2" w:rsidRPr="00892BB2" w:rsidRDefault="00892BB2" w:rsidP="008711AF">
            <w:pPr>
              <w:jc w:val="center"/>
              <w:rPr>
                <w:rFonts w:ascii="Cambria" w:eastAsia="Cambria" w:hAnsi="Cambria" w:cs="Cambria"/>
                <w:color w:val="000000"/>
                <w:sz w:val="20"/>
                <w:szCs w:val="20"/>
                <w:lang w:val="es-ES"/>
              </w:rPr>
            </w:pPr>
            <w:r w:rsidRPr="43D35710">
              <w:rPr>
                <w:rFonts w:ascii="Cambria" w:eastAsia="Cambria" w:hAnsi="Cambria" w:cs="Cambria"/>
                <w:b/>
                <w:bCs/>
                <w:color w:val="000000" w:themeColor="text1"/>
                <w:sz w:val="20"/>
                <w:szCs w:val="20"/>
                <w:lang w:val="es-ES"/>
              </w:rPr>
              <w:t>Estado de cumplimiento en el</w:t>
            </w:r>
            <w:r w:rsidRPr="43D35710">
              <w:rPr>
                <w:rFonts w:ascii="Cambria" w:eastAsia="Cambria" w:hAnsi="Cambria" w:cs="Cambria"/>
                <w:b/>
                <w:bCs/>
                <w:color w:val="000000" w:themeColor="text1"/>
                <w:sz w:val="21"/>
                <w:szCs w:val="21"/>
                <w:lang w:val="es-ES"/>
              </w:rPr>
              <w:t xml:space="preserve"> </w:t>
            </w:r>
            <w:r w:rsidRPr="43D35710">
              <w:rPr>
                <w:rFonts w:ascii="Cambria" w:eastAsia="Cambria" w:hAnsi="Cambria" w:cs="Cambria"/>
                <w:b/>
                <w:bCs/>
                <w:color w:val="000000" w:themeColor="text1"/>
                <w:sz w:val="20"/>
                <w:szCs w:val="20"/>
                <w:lang w:val="es-ES"/>
              </w:rPr>
              <w:t>202</w:t>
            </w:r>
            <w:r w:rsidR="009317D2" w:rsidRPr="43D35710">
              <w:rPr>
                <w:rFonts w:ascii="Cambria" w:eastAsia="Cambria" w:hAnsi="Cambria" w:cs="Cambria"/>
                <w:b/>
                <w:bCs/>
                <w:color w:val="000000" w:themeColor="text1"/>
                <w:sz w:val="20"/>
                <w:szCs w:val="20"/>
                <w:lang w:val="es-ES"/>
              </w:rPr>
              <w:t>2</w:t>
            </w:r>
          </w:p>
        </w:tc>
      </w:tr>
      <w:tr w:rsidR="00892BB2" w14:paraId="23CF3031" w14:textId="77777777" w:rsidTr="43D35710">
        <w:trPr>
          <w:trHeight w:val="602"/>
        </w:trPr>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9B1DE2F" w14:textId="77777777" w:rsidR="00892BB2" w:rsidRPr="00892BB2" w:rsidRDefault="00892BB2" w:rsidP="43D35710">
            <w:pPr>
              <w:pBdr>
                <w:top w:val="nil"/>
                <w:left w:val="nil"/>
                <w:bottom w:val="nil"/>
                <w:right w:val="nil"/>
                <w:between w:val="nil"/>
              </w:pBdr>
              <w:jc w:val="both"/>
              <w:rPr>
                <w:rFonts w:ascii="Cambria" w:eastAsia="Cambria" w:hAnsi="Cambria" w:cs="Cambria"/>
                <w:color w:val="000000"/>
                <w:sz w:val="20"/>
                <w:szCs w:val="20"/>
                <w:lang w:val="es-ES"/>
              </w:rPr>
            </w:pPr>
            <w:r w:rsidRPr="43D35710">
              <w:rPr>
                <w:rFonts w:ascii="Cambria" w:eastAsia="Cambria" w:hAnsi="Cambria" w:cs="Cambria"/>
                <w:color w:val="000000" w:themeColor="text1"/>
                <w:sz w:val="20"/>
                <w:szCs w:val="20"/>
                <w:lang w:val="es-ES"/>
              </w:rPr>
              <w:t>1. Reparar integralmente las violaciones de derechos humanos declaradas en el presente informe, incluyendo tanto el aspecto material como moral.</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7A5843E" w14:textId="77777777" w:rsidR="00892BB2" w:rsidRPr="007E3D41" w:rsidRDefault="00892BB2" w:rsidP="43D35710">
            <w:pPr>
              <w:jc w:val="center"/>
              <w:rPr>
                <w:rFonts w:ascii="Cambria" w:eastAsia="Cambria" w:hAnsi="Cambria" w:cs="Cambria"/>
                <w:color w:val="000000" w:themeColor="text1"/>
                <w:sz w:val="20"/>
                <w:szCs w:val="20"/>
              </w:rPr>
            </w:pPr>
            <w:r w:rsidRPr="43D35710">
              <w:rPr>
                <w:rFonts w:ascii="Cambria" w:eastAsia="Cambria" w:hAnsi="Cambria" w:cs="Cambria"/>
                <w:color w:val="000000" w:themeColor="text1"/>
                <w:sz w:val="20"/>
                <w:szCs w:val="20"/>
              </w:rPr>
              <w:t>Cumplimiento total</w:t>
            </w:r>
            <w:r w:rsidRPr="43D35710">
              <w:rPr>
                <w:rFonts w:ascii="Cambria" w:eastAsia="Cambria" w:hAnsi="Cambria" w:cs="Cambria"/>
                <w:color w:val="000000" w:themeColor="text1"/>
                <w:sz w:val="20"/>
                <w:szCs w:val="20"/>
                <w:vertAlign w:val="superscript"/>
              </w:rPr>
              <w:footnoteReference w:id="1"/>
            </w:r>
          </w:p>
        </w:tc>
      </w:tr>
      <w:tr w:rsidR="00892BB2" w14:paraId="4BFA67C9" w14:textId="77777777" w:rsidTr="43D35710">
        <w:trPr>
          <w:trHeight w:val="402"/>
        </w:trPr>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15B20AB" w14:textId="77777777" w:rsidR="002F7732" w:rsidRDefault="00892BB2" w:rsidP="008711AF">
            <w:pPr>
              <w:jc w:val="both"/>
              <w:rPr>
                <w:rFonts w:ascii="Cambria" w:eastAsia="Cambria" w:hAnsi="Cambria" w:cs="Cambria"/>
                <w:color w:val="000000"/>
                <w:sz w:val="20"/>
                <w:szCs w:val="20"/>
                <w:lang w:val="es-ES"/>
              </w:rPr>
            </w:pPr>
            <w:r w:rsidRPr="43D35710">
              <w:rPr>
                <w:rFonts w:ascii="Cambria" w:eastAsia="Cambria" w:hAnsi="Cambria" w:cs="Cambria"/>
                <w:color w:val="000000" w:themeColor="text1"/>
                <w:sz w:val="20"/>
                <w:szCs w:val="20"/>
                <w:lang w:val="es-ES"/>
              </w:rPr>
              <w:t xml:space="preserve">2. Disponer mecanismos de no repetición que incluyan: </w:t>
            </w:r>
          </w:p>
          <w:p w14:paraId="5FA22559" w14:textId="77777777" w:rsidR="002F7732" w:rsidRDefault="002F7732" w:rsidP="008711AF">
            <w:pPr>
              <w:jc w:val="both"/>
              <w:rPr>
                <w:rFonts w:ascii="Cambria" w:eastAsia="Cambria" w:hAnsi="Cambria" w:cs="Cambria"/>
                <w:color w:val="000000"/>
                <w:sz w:val="20"/>
                <w:szCs w:val="20"/>
                <w:lang w:val="es-ES"/>
              </w:rPr>
            </w:pPr>
          </w:p>
          <w:p w14:paraId="406BF31E" w14:textId="085AAF7A" w:rsidR="002F7732" w:rsidRPr="002F7732" w:rsidRDefault="00892BB2" w:rsidP="002F7732">
            <w:pPr>
              <w:pStyle w:val="ListParagraph"/>
              <w:numPr>
                <w:ilvl w:val="0"/>
                <w:numId w:val="29"/>
              </w:numPr>
              <w:jc w:val="both"/>
              <w:rPr>
                <w:rFonts w:ascii="Cambria" w:eastAsia="Cambria" w:hAnsi="Cambria" w:cs="Cambria"/>
                <w:color w:val="000000"/>
                <w:sz w:val="20"/>
                <w:szCs w:val="20"/>
                <w:lang w:val="es-ES"/>
              </w:rPr>
            </w:pPr>
            <w:r w:rsidRPr="43D35710">
              <w:rPr>
                <w:rFonts w:ascii="Cambria" w:eastAsia="Cambria" w:hAnsi="Cambria" w:cs="Cambria"/>
                <w:color w:val="000000" w:themeColor="text1"/>
                <w:sz w:val="20"/>
                <w:szCs w:val="20"/>
                <w:lang w:val="es-ES"/>
              </w:rPr>
              <w:t xml:space="preserve">programas de capacitación sobre los estándares internacionales de derechos humanos en general, dirigidos a la Policía Nacional; </w:t>
            </w:r>
          </w:p>
          <w:p w14:paraId="5888DAF6" w14:textId="77777777" w:rsidR="002F7732" w:rsidRDefault="00892BB2" w:rsidP="002F7732">
            <w:pPr>
              <w:pStyle w:val="ListParagraph"/>
              <w:numPr>
                <w:ilvl w:val="0"/>
                <w:numId w:val="29"/>
              </w:numPr>
              <w:jc w:val="both"/>
              <w:rPr>
                <w:rFonts w:ascii="Cambria" w:eastAsia="Cambria" w:hAnsi="Cambria" w:cs="Cambria"/>
                <w:color w:val="000000"/>
                <w:sz w:val="20"/>
                <w:szCs w:val="20"/>
                <w:lang w:val="es-ES"/>
              </w:rPr>
            </w:pPr>
            <w:r w:rsidRPr="43D35710">
              <w:rPr>
                <w:rFonts w:ascii="Cambria" w:eastAsia="Cambria" w:hAnsi="Cambria" w:cs="Cambria"/>
                <w:color w:val="000000" w:themeColor="text1"/>
                <w:sz w:val="20"/>
                <w:szCs w:val="20"/>
                <w:lang w:val="es-ES"/>
              </w:rPr>
              <w:t xml:space="preserve">medidas para asegurar la efectiva rendición de cuentas en el fuero penal, disciplinario o administrativo, en casos de presunto abuso de poder por parte de agentes del Estado a cargo de la seguridad pública; y </w:t>
            </w:r>
          </w:p>
          <w:p w14:paraId="5E789068" w14:textId="2310F188" w:rsidR="00892BB2" w:rsidRPr="002F7732" w:rsidRDefault="00892BB2" w:rsidP="002F7732">
            <w:pPr>
              <w:pStyle w:val="ListParagraph"/>
              <w:numPr>
                <w:ilvl w:val="0"/>
                <w:numId w:val="29"/>
              </w:numPr>
              <w:jc w:val="both"/>
              <w:rPr>
                <w:rFonts w:ascii="Cambria" w:eastAsia="Cambria" w:hAnsi="Cambria" w:cs="Cambria"/>
                <w:color w:val="000000"/>
                <w:sz w:val="20"/>
                <w:szCs w:val="20"/>
                <w:lang w:val="es-ES"/>
              </w:rPr>
            </w:pPr>
            <w:r w:rsidRPr="43D35710">
              <w:rPr>
                <w:rFonts w:ascii="Cambria" w:eastAsia="Cambria" w:hAnsi="Cambria" w:cs="Cambria"/>
                <w:color w:val="000000" w:themeColor="text1"/>
                <w:sz w:val="20"/>
                <w:szCs w:val="20"/>
                <w:lang w:val="es-ES"/>
              </w:rPr>
              <w:t>medidas legislativas, administrativas y de otra índole para investigar con la debida diligencia y de conformidad con los estándares internacionales relevantes, la necesidad y proporcionalidad del uso letal de la fuerza por parte de funcionarios policiales, de manera que existan protocolos eficaces que permitan implementar mecanismos adecuados de control y rendición de cuentas frente al actuar de dichos funcionarios</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248BFFE" w14:textId="68B90129" w:rsidR="00892BB2" w:rsidRPr="007E3D41" w:rsidRDefault="00892BB2" w:rsidP="43D35710">
            <w:pPr>
              <w:jc w:val="center"/>
              <w:rPr>
                <w:rFonts w:ascii="Cambria" w:eastAsia="Cambria" w:hAnsi="Cambria" w:cs="Cambria"/>
                <w:color w:val="000000" w:themeColor="text1"/>
                <w:sz w:val="20"/>
                <w:szCs w:val="20"/>
              </w:rPr>
            </w:pPr>
            <w:r w:rsidRPr="43D35710">
              <w:rPr>
                <w:rFonts w:ascii="Cambria" w:eastAsia="Cambria" w:hAnsi="Cambria" w:cs="Cambria"/>
                <w:color w:val="000000" w:themeColor="text1"/>
                <w:sz w:val="20"/>
                <w:szCs w:val="20"/>
              </w:rPr>
              <w:t>Cumplimiento parcial</w:t>
            </w:r>
            <w:r w:rsidR="007E3D41" w:rsidRPr="43D35710">
              <w:rPr>
                <w:rFonts w:ascii="Cambria" w:eastAsia="Cambria" w:hAnsi="Cambria" w:cs="Cambria"/>
                <w:color w:val="000000" w:themeColor="text1"/>
                <w:sz w:val="20"/>
                <w:szCs w:val="20"/>
              </w:rPr>
              <w:t xml:space="preserve"> sustancial</w:t>
            </w:r>
          </w:p>
        </w:tc>
      </w:tr>
    </w:tbl>
    <w:p w14:paraId="606C752A" w14:textId="77777777" w:rsidR="00892BB2" w:rsidRDefault="00892BB2" w:rsidP="00892BB2">
      <w:pPr>
        <w:jc w:val="both"/>
        <w:rPr>
          <w:rFonts w:ascii="Cambria" w:eastAsia="Cambria" w:hAnsi="Cambria" w:cs="Cambria"/>
          <w:color w:val="000000"/>
          <w:sz w:val="20"/>
          <w:szCs w:val="20"/>
        </w:rPr>
      </w:pPr>
    </w:p>
    <w:p w14:paraId="3BD7C2B8" w14:textId="77777777" w:rsidR="00892BB2" w:rsidRDefault="00892BB2" w:rsidP="43D35710">
      <w:pPr>
        <w:numPr>
          <w:ilvl w:val="0"/>
          <w:numId w:val="18"/>
        </w:numPr>
        <w:pBdr>
          <w:top w:val="nil"/>
          <w:left w:val="nil"/>
          <w:bottom w:val="nil"/>
          <w:right w:val="nil"/>
          <w:between w:val="nil"/>
        </w:pBdr>
        <w:jc w:val="both"/>
        <w:rPr>
          <w:rFonts w:ascii="Cambria" w:eastAsia="Cambria" w:hAnsi="Cambria" w:cs="Cambria"/>
          <w:b/>
          <w:bCs/>
          <w:color w:val="000000"/>
          <w:sz w:val="20"/>
          <w:szCs w:val="20"/>
        </w:rPr>
      </w:pPr>
      <w:r w:rsidRPr="43D35710">
        <w:rPr>
          <w:rFonts w:ascii="Cambria" w:eastAsia="Cambria" w:hAnsi="Cambria" w:cs="Cambria"/>
          <w:b/>
          <w:bCs/>
          <w:color w:val="000000" w:themeColor="text1"/>
          <w:sz w:val="20"/>
          <w:szCs w:val="20"/>
        </w:rPr>
        <w:t>Actividad Procesal</w:t>
      </w:r>
    </w:p>
    <w:p w14:paraId="5F55ED5A" w14:textId="77777777" w:rsidR="00892BB2" w:rsidRDefault="00892BB2" w:rsidP="43D35710">
      <w:pPr>
        <w:pBdr>
          <w:top w:val="nil"/>
          <w:left w:val="nil"/>
          <w:bottom w:val="nil"/>
          <w:right w:val="nil"/>
          <w:between w:val="nil"/>
        </w:pBdr>
        <w:jc w:val="both"/>
        <w:rPr>
          <w:rFonts w:ascii="Cambria" w:eastAsia="Cambria" w:hAnsi="Cambria" w:cs="Cambria"/>
          <w:color w:val="000000"/>
          <w:sz w:val="20"/>
          <w:szCs w:val="20"/>
        </w:rPr>
      </w:pPr>
    </w:p>
    <w:p w14:paraId="75F9F6BC" w14:textId="11DF1EB1" w:rsidR="0007582B" w:rsidRDefault="0007582B" w:rsidP="43D35710">
      <w:pPr>
        <w:pStyle w:val="ListParagraph"/>
        <w:numPr>
          <w:ilvl w:val="0"/>
          <w:numId w:val="21"/>
        </w:numPr>
        <w:pBdr>
          <w:top w:val="none" w:sz="0" w:space="0" w:color="000000"/>
          <w:left w:val="none" w:sz="0" w:space="0" w:color="000000"/>
          <w:bottom w:val="none" w:sz="0" w:space="0" w:color="000000"/>
          <w:right w:val="none" w:sz="0" w:space="0" w:color="000000"/>
          <w:between w:val="none" w:sz="0" w:space="0" w:color="000000"/>
          <w:bar w:val="nil"/>
        </w:pBdr>
        <w:suppressAutoHyphens/>
        <w:jc w:val="both"/>
        <w:textDirection w:val="btLr"/>
        <w:textAlignment w:val="top"/>
        <w:outlineLvl w:val="0"/>
        <w:rPr>
          <w:rFonts w:ascii="Cambria" w:eastAsia="Cambria" w:hAnsi="Cambria" w:cs="Cambria"/>
          <w:color w:val="000000" w:themeColor="text1"/>
          <w:sz w:val="20"/>
          <w:szCs w:val="20"/>
          <w:lang w:val="es-CO"/>
        </w:rPr>
      </w:pPr>
      <w:bookmarkStart w:id="0" w:name="_heading=h.gjdgxs"/>
      <w:bookmarkEnd w:id="0"/>
      <w:r w:rsidRPr="43D35710">
        <w:rPr>
          <w:rFonts w:ascii="Cambria" w:eastAsia="Cambria" w:hAnsi="Cambria" w:cs="Cambria"/>
          <w:color w:val="000000" w:themeColor="text1"/>
          <w:sz w:val="20"/>
          <w:szCs w:val="20"/>
          <w:lang w:val="es-CO"/>
        </w:rPr>
        <w:t xml:space="preserve">En 2022, la Comisión solicitó al Estado información actualizada sobre el cumplimiento de las recomendaciones el </w:t>
      </w:r>
      <w:r w:rsidR="00724BE0" w:rsidRPr="43D35710">
        <w:rPr>
          <w:rFonts w:ascii="Cambria" w:eastAsia="Cambria" w:hAnsi="Cambria" w:cs="Cambria"/>
          <w:color w:val="000000" w:themeColor="text1"/>
          <w:sz w:val="20"/>
          <w:szCs w:val="20"/>
          <w:lang w:val="es-CO"/>
        </w:rPr>
        <w:t>29 de agosto</w:t>
      </w:r>
      <w:r w:rsidRPr="43D35710">
        <w:rPr>
          <w:rFonts w:ascii="Cambria" w:eastAsia="Cambria" w:hAnsi="Cambria" w:cs="Cambria"/>
          <w:color w:val="000000" w:themeColor="text1"/>
          <w:sz w:val="20"/>
          <w:szCs w:val="20"/>
          <w:lang w:val="es-CO"/>
        </w:rPr>
        <w:t xml:space="preserve">. </w:t>
      </w:r>
      <w:r w:rsidR="00724BE0" w:rsidRPr="43D35710">
        <w:rPr>
          <w:rFonts w:ascii="Cambria" w:eastAsia="Cambria" w:hAnsi="Cambria" w:cs="Cambria"/>
          <w:color w:val="000000" w:themeColor="text1"/>
          <w:sz w:val="20"/>
          <w:szCs w:val="20"/>
          <w:lang w:val="es-CO"/>
        </w:rPr>
        <w:t xml:space="preserve">Mediante nota con fecha del 21 de septiembre, efectivamente remitida el 2 de diciembre de 2022, </w:t>
      </w:r>
      <w:r w:rsidRPr="43D35710">
        <w:rPr>
          <w:rFonts w:ascii="Cambria" w:eastAsia="Cambria" w:hAnsi="Cambria" w:cs="Cambria"/>
          <w:color w:val="000000" w:themeColor="text1"/>
          <w:sz w:val="20"/>
          <w:szCs w:val="20"/>
          <w:lang w:val="es-CO"/>
        </w:rPr>
        <w:t xml:space="preserve">el Estado presentó esta información. </w:t>
      </w:r>
    </w:p>
    <w:p w14:paraId="117B7CCA" w14:textId="77777777" w:rsidR="0007582B" w:rsidRDefault="0007582B" w:rsidP="43D35710">
      <w:pPr>
        <w:pStyle w:val="ListParagraph"/>
        <w:pBdr>
          <w:top w:val="none" w:sz="0" w:space="0" w:color="000000"/>
          <w:left w:val="none" w:sz="0" w:space="0" w:color="000000"/>
          <w:bottom w:val="none" w:sz="0" w:space="0" w:color="000000"/>
          <w:right w:val="none" w:sz="0" w:space="0" w:color="000000"/>
          <w:between w:val="none" w:sz="0" w:space="0" w:color="000000"/>
          <w:bar w:val="nil"/>
        </w:pBdr>
        <w:suppressAutoHyphens/>
        <w:jc w:val="both"/>
        <w:textDirection w:val="btLr"/>
        <w:textAlignment w:val="top"/>
        <w:outlineLvl w:val="0"/>
        <w:rPr>
          <w:rFonts w:ascii="Cambria" w:eastAsia="Cambria" w:hAnsi="Cambria" w:cs="Cambria"/>
          <w:color w:val="000000" w:themeColor="text1"/>
          <w:sz w:val="20"/>
          <w:szCs w:val="20"/>
          <w:lang w:val="es-CO"/>
        </w:rPr>
      </w:pPr>
    </w:p>
    <w:p w14:paraId="04E5910B" w14:textId="58204E8B" w:rsidR="0007582B" w:rsidRPr="0007582B" w:rsidRDefault="0007582B" w:rsidP="43D35710">
      <w:pPr>
        <w:pStyle w:val="ListParagraph"/>
        <w:numPr>
          <w:ilvl w:val="0"/>
          <w:numId w:val="21"/>
        </w:numPr>
        <w:pBdr>
          <w:top w:val="none" w:sz="0" w:space="0" w:color="000000"/>
          <w:left w:val="none" w:sz="0" w:space="0" w:color="000000"/>
          <w:bottom w:val="none" w:sz="0" w:space="0" w:color="000000"/>
          <w:right w:val="none" w:sz="0" w:space="0" w:color="000000"/>
          <w:between w:val="none" w:sz="0" w:space="0" w:color="000000"/>
          <w:bar w:val="nil"/>
        </w:pBdr>
        <w:suppressAutoHyphens/>
        <w:jc w:val="both"/>
        <w:textDirection w:val="btLr"/>
        <w:textAlignment w:val="top"/>
        <w:outlineLvl w:val="0"/>
        <w:rPr>
          <w:rFonts w:ascii="Cambria" w:eastAsia="Cambria" w:hAnsi="Cambria" w:cs="Cambria"/>
          <w:color w:val="000000" w:themeColor="text1"/>
          <w:sz w:val="20"/>
          <w:szCs w:val="20"/>
          <w:lang w:val="es-CO"/>
        </w:rPr>
      </w:pPr>
      <w:r w:rsidRPr="43D35710">
        <w:rPr>
          <w:rFonts w:ascii="Cambria" w:eastAsia="Cambria" w:hAnsi="Cambria" w:cs="Cambria"/>
          <w:color w:val="000000" w:themeColor="text1"/>
          <w:sz w:val="20"/>
          <w:szCs w:val="20"/>
          <w:lang w:val="es-CO"/>
        </w:rPr>
        <w:t xml:space="preserve">La Comisión solicitó a la parte peticionaria información actualizada sobre el cumplimiento de las recomendaciones el </w:t>
      </w:r>
      <w:r w:rsidR="001B68AB" w:rsidRPr="43D35710">
        <w:rPr>
          <w:rFonts w:ascii="Cambria" w:eastAsia="Cambria" w:hAnsi="Cambria" w:cs="Cambria"/>
          <w:color w:val="000000" w:themeColor="text1"/>
          <w:sz w:val="20"/>
          <w:szCs w:val="20"/>
          <w:lang w:val="es-CO"/>
        </w:rPr>
        <w:t>29 de agosto de 2022</w:t>
      </w:r>
      <w:r w:rsidRPr="43D35710">
        <w:rPr>
          <w:rFonts w:ascii="Cambria" w:eastAsia="Cambria" w:hAnsi="Cambria" w:cs="Cambria"/>
          <w:color w:val="000000" w:themeColor="text1"/>
          <w:sz w:val="20"/>
          <w:szCs w:val="20"/>
          <w:lang w:val="es-CO"/>
        </w:rPr>
        <w:t xml:space="preserve">. </w:t>
      </w:r>
      <w:r w:rsidR="001B68AB" w:rsidRPr="43D35710">
        <w:rPr>
          <w:rFonts w:ascii="Cambria" w:eastAsia="Cambria" w:hAnsi="Cambria" w:cs="Cambria"/>
          <w:color w:val="000000" w:themeColor="text1"/>
          <w:sz w:val="20"/>
          <w:szCs w:val="20"/>
          <w:lang w:val="es-CO"/>
        </w:rPr>
        <w:t xml:space="preserve">A la fecha de cierre del presente informe, la </w:t>
      </w:r>
      <w:r w:rsidRPr="43D35710">
        <w:rPr>
          <w:rFonts w:ascii="Cambria" w:eastAsia="Cambria" w:hAnsi="Cambria" w:cs="Cambria"/>
          <w:color w:val="000000" w:themeColor="text1"/>
          <w:sz w:val="20"/>
          <w:szCs w:val="20"/>
          <w:lang w:val="es-CO"/>
        </w:rPr>
        <w:t xml:space="preserve">parte peticionaria </w:t>
      </w:r>
      <w:r w:rsidR="001B68AB" w:rsidRPr="43D35710">
        <w:rPr>
          <w:rFonts w:ascii="Cambria" w:eastAsia="Cambria" w:hAnsi="Cambria" w:cs="Cambria"/>
          <w:color w:val="000000" w:themeColor="text1"/>
          <w:sz w:val="20"/>
          <w:szCs w:val="20"/>
          <w:lang w:val="es-CO"/>
        </w:rPr>
        <w:t>no había presentado la información solicitada</w:t>
      </w:r>
      <w:r w:rsidRPr="43D35710">
        <w:rPr>
          <w:rFonts w:ascii="Cambria" w:eastAsia="Cambria" w:hAnsi="Cambria" w:cs="Cambria"/>
          <w:color w:val="000000" w:themeColor="text1"/>
          <w:sz w:val="20"/>
          <w:szCs w:val="20"/>
          <w:lang w:val="es-CO"/>
        </w:rPr>
        <w:t xml:space="preserve">. </w:t>
      </w:r>
    </w:p>
    <w:p w14:paraId="79A1AF8B" w14:textId="77777777" w:rsidR="00892BB2" w:rsidRPr="0007582B" w:rsidRDefault="00892BB2" w:rsidP="00892BB2">
      <w:pPr>
        <w:ind w:left="360"/>
        <w:jc w:val="both"/>
        <w:rPr>
          <w:rFonts w:ascii="Cambria" w:eastAsia="Cambria" w:hAnsi="Cambria" w:cs="Cambria"/>
          <w:color w:val="000000"/>
          <w:lang w:val="es-CO"/>
        </w:rPr>
      </w:pPr>
    </w:p>
    <w:p w14:paraId="4AD85737" w14:textId="77777777" w:rsidR="00892BB2" w:rsidRPr="0007582B" w:rsidRDefault="00892BB2" w:rsidP="43D35710">
      <w:pPr>
        <w:numPr>
          <w:ilvl w:val="0"/>
          <w:numId w:val="19"/>
        </w:numPr>
        <w:pBdr>
          <w:top w:val="nil"/>
          <w:left w:val="nil"/>
          <w:bottom w:val="nil"/>
          <w:right w:val="nil"/>
          <w:between w:val="nil"/>
        </w:pBdr>
        <w:rPr>
          <w:rFonts w:ascii="Cambria" w:eastAsia="Cambria" w:hAnsi="Cambria" w:cs="Cambria"/>
          <w:b/>
          <w:bCs/>
          <w:color w:val="000000"/>
          <w:sz w:val="20"/>
          <w:szCs w:val="20"/>
          <w:lang w:val="es-ES"/>
        </w:rPr>
      </w:pPr>
      <w:r w:rsidRPr="43D35710">
        <w:rPr>
          <w:rFonts w:ascii="Cambria" w:eastAsia="Cambria" w:hAnsi="Cambria" w:cs="Cambria"/>
          <w:b/>
          <w:bCs/>
          <w:color w:val="000000" w:themeColor="text1"/>
          <w:sz w:val="20"/>
          <w:szCs w:val="20"/>
          <w:lang w:val="es-ES"/>
        </w:rPr>
        <w:t>Análisis relativo a la información proporcionada</w:t>
      </w:r>
      <w:r>
        <w:br/>
      </w:r>
    </w:p>
    <w:p w14:paraId="6896AC39" w14:textId="7ACF6579" w:rsidR="00892BB2" w:rsidRPr="00A17338" w:rsidRDefault="00A17338" w:rsidP="43D35710">
      <w:pPr>
        <w:numPr>
          <w:ilvl w:val="0"/>
          <w:numId w:val="21"/>
        </w:numPr>
        <w:pBdr>
          <w:top w:val="nil"/>
          <w:left w:val="nil"/>
          <w:bottom w:val="nil"/>
          <w:right w:val="nil"/>
          <w:between w:val="nil"/>
        </w:pBdr>
        <w:jc w:val="both"/>
        <w:rPr>
          <w:rFonts w:ascii="Cambria" w:eastAsia="Cambria" w:hAnsi="Cambria" w:cs="Cambria"/>
          <w:color w:val="000000" w:themeColor="text1"/>
          <w:sz w:val="20"/>
          <w:szCs w:val="20"/>
          <w:lang w:val="es-ES"/>
        </w:rPr>
      </w:pPr>
      <w:r w:rsidRPr="43D35710">
        <w:rPr>
          <w:rFonts w:ascii="Cambria" w:eastAsia="Cambria" w:hAnsi="Cambria" w:cs="Cambria"/>
          <w:color w:val="000000" w:themeColor="text1"/>
          <w:sz w:val="19"/>
          <w:szCs w:val="19"/>
          <w:lang w:val="es-ES"/>
        </w:rPr>
        <w:t>La CIDH considera que la información proporcionada en 2022 por el Estado es relevante al seguimiento de al menos una de las recomendaciones emitidas en el Informe de Fondo No. 92/19.</w:t>
      </w:r>
      <w:r w:rsidR="00892BB2" w:rsidRPr="43D35710">
        <w:rPr>
          <w:rFonts w:ascii="Cambria" w:eastAsia="Cambria" w:hAnsi="Cambria" w:cs="Cambria"/>
          <w:color w:val="000000" w:themeColor="text1"/>
          <w:sz w:val="20"/>
          <w:szCs w:val="20"/>
          <w:lang w:val="es-ES"/>
        </w:rPr>
        <w:t xml:space="preserve"> </w:t>
      </w:r>
    </w:p>
    <w:p w14:paraId="7759FF57" w14:textId="77777777" w:rsidR="00892BB2" w:rsidRPr="0007582B" w:rsidRDefault="00892BB2" w:rsidP="43D35710">
      <w:pPr>
        <w:jc w:val="both"/>
        <w:rPr>
          <w:rFonts w:ascii="Cambria" w:eastAsia="Cambria" w:hAnsi="Cambria" w:cs="Cambria"/>
          <w:b/>
          <w:bCs/>
          <w:color w:val="000000"/>
          <w:sz w:val="20"/>
          <w:szCs w:val="20"/>
          <w:lang w:val="es-ES"/>
        </w:rPr>
      </w:pPr>
    </w:p>
    <w:p w14:paraId="52A59761" w14:textId="28BD6EE0" w:rsidR="00892BB2" w:rsidRPr="0007582B" w:rsidRDefault="00892BB2" w:rsidP="43D35710">
      <w:pPr>
        <w:numPr>
          <w:ilvl w:val="0"/>
          <w:numId w:val="20"/>
        </w:numPr>
        <w:pBdr>
          <w:top w:val="nil"/>
          <w:left w:val="nil"/>
          <w:bottom w:val="nil"/>
          <w:right w:val="nil"/>
          <w:between w:val="nil"/>
        </w:pBdr>
        <w:jc w:val="both"/>
        <w:rPr>
          <w:rFonts w:ascii="Cambria" w:eastAsia="Cambria" w:hAnsi="Cambria" w:cs="Cambria"/>
          <w:b/>
          <w:bCs/>
          <w:color w:val="000000"/>
          <w:sz w:val="20"/>
          <w:szCs w:val="20"/>
          <w:lang w:val="es-ES"/>
        </w:rPr>
      </w:pPr>
      <w:r w:rsidRPr="43D35710">
        <w:rPr>
          <w:rFonts w:ascii="Cambria" w:eastAsia="Cambria" w:hAnsi="Cambria" w:cs="Cambria"/>
          <w:b/>
          <w:bCs/>
          <w:color w:val="000000"/>
          <w:sz w:val="20"/>
          <w:szCs w:val="20"/>
          <w:lang w:val="es-ES"/>
        </w:rPr>
        <w:t>Análisis del cumplimiento de las recomendaciones</w:t>
      </w:r>
      <w:r w:rsidR="0007582B" w:rsidRPr="43D35710">
        <w:rPr>
          <w:rStyle w:val="FootnoteReference"/>
          <w:rFonts w:ascii="Cambria" w:eastAsia="Cambria" w:hAnsi="Cambria" w:cs="Cambria"/>
          <w:b/>
          <w:bCs/>
          <w:color w:val="000000"/>
          <w:sz w:val="20"/>
          <w:szCs w:val="20"/>
        </w:rPr>
        <w:footnoteReference w:id="2"/>
      </w:r>
    </w:p>
    <w:p w14:paraId="440D238B" w14:textId="77777777" w:rsidR="00892BB2" w:rsidRDefault="00892BB2" w:rsidP="43D35710">
      <w:pPr>
        <w:pBdr>
          <w:top w:val="nil"/>
          <w:left w:val="nil"/>
          <w:bottom w:val="nil"/>
          <w:right w:val="nil"/>
          <w:between w:val="nil"/>
        </w:pBdr>
        <w:jc w:val="both"/>
        <w:rPr>
          <w:rFonts w:ascii="Cambria" w:eastAsia="Cambria" w:hAnsi="Cambria" w:cs="Cambria"/>
          <w:color w:val="000000"/>
          <w:sz w:val="20"/>
          <w:szCs w:val="20"/>
        </w:rPr>
      </w:pPr>
    </w:p>
    <w:p w14:paraId="4719615D" w14:textId="00F45651" w:rsidR="00892BB2" w:rsidRDefault="00892BB2" w:rsidP="43D35710">
      <w:pPr>
        <w:numPr>
          <w:ilvl w:val="0"/>
          <w:numId w:val="21"/>
        </w:numPr>
        <w:pBdr>
          <w:top w:val="nil"/>
          <w:left w:val="nil"/>
          <w:bottom w:val="nil"/>
          <w:right w:val="nil"/>
          <w:between w:val="nil"/>
        </w:pBdr>
        <w:jc w:val="both"/>
        <w:rPr>
          <w:rFonts w:ascii="Cambria" w:eastAsia="Cambria" w:hAnsi="Cambria" w:cs="Cambria"/>
          <w:color w:val="000000"/>
          <w:sz w:val="20"/>
          <w:szCs w:val="20"/>
          <w:lang w:val="es-ES"/>
        </w:rPr>
      </w:pPr>
      <w:r w:rsidRPr="43D35710">
        <w:rPr>
          <w:rFonts w:ascii="Cambria" w:eastAsia="Cambria" w:hAnsi="Cambria" w:cs="Cambria"/>
          <w:b/>
          <w:bCs/>
          <w:color w:val="000000" w:themeColor="text1"/>
          <w:sz w:val="20"/>
          <w:szCs w:val="20"/>
          <w:lang w:val="es-ES"/>
        </w:rPr>
        <w:t>Respecto de la segunda recomendación</w:t>
      </w:r>
      <w:r w:rsidRPr="43D35710">
        <w:rPr>
          <w:rFonts w:ascii="Cambria" w:eastAsia="Cambria" w:hAnsi="Cambria" w:cs="Cambria"/>
          <w:color w:val="000000" w:themeColor="text1"/>
          <w:sz w:val="20"/>
          <w:szCs w:val="20"/>
          <w:lang w:val="es-ES"/>
        </w:rPr>
        <w:t>, en 2015, y en el marco de la firma de un Acuerdo de Cumplimiento Total del Informe de admisibilidad y fondo Nº 42/15, el Estado indicó que en los cursos “Estándares internacionales de derechos humanos” y “Código de ética policial” del programa de capacitación integral continua de la Policía Nacional se incluyó el estudio del informe de admisibilidad y fondo No. 42/15. Agregó que el Reglamento de uso legal, adecuado y proporcional de la fuerza para la Policía Nacional, y el Reglamento disciplinario de la Policía Nacional cumplen con la recomendación de la CIDH. Por su parte, la parte peticionaria sostuvo que “la familia de Jorge Darwin está de acuerdo con las acciones que se encuentra desarrollando el Estado a fin de dar estricto cumplimiento” a esta recomendación.</w:t>
      </w:r>
    </w:p>
    <w:p w14:paraId="38A020D1" w14:textId="77777777" w:rsidR="00B00D9E" w:rsidRPr="00B00D9E" w:rsidRDefault="00B00D9E" w:rsidP="43D35710">
      <w:pPr>
        <w:pBdr>
          <w:top w:val="nil"/>
          <w:left w:val="nil"/>
          <w:bottom w:val="nil"/>
          <w:right w:val="nil"/>
          <w:between w:val="nil"/>
        </w:pBdr>
        <w:ind w:left="720"/>
        <w:jc w:val="both"/>
        <w:rPr>
          <w:rFonts w:ascii="Cambria" w:eastAsia="Cambria" w:hAnsi="Cambria" w:cs="Cambria"/>
          <w:color w:val="000000" w:themeColor="text1"/>
          <w:sz w:val="20"/>
          <w:szCs w:val="20"/>
          <w:lang w:val="es-ES"/>
        </w:rPr>
      </w:pPr>
    </w:p>
    <w:p w14:paraId="371997C7" w14:textId="20BE0DA8" w:rsidR="00D31ED0" w:rsidRPr="00D31ED0" w:rsidRDefault="00B00D9E" w:rsidP="43D35710">
      <w:pPr>
        <w:numPr>
          <w:ilvl w:val="0"/>
          <w:numId w:val="21"/>
        </w:numPr>
        <w:pBdr>
          <w:top w:val="nil"/>
          <w:left w:val="nil"/>
          <w:bottom w:val="nil"/>
          <w:right w:val="nil"/>
          <w:between w:val="nil"/>
        </w:pBdr>
        <w:jc w:val="both"/>
        <w:rPr>
          <w:rFonts w:ascii="Cambria" w:eastAsia="Cambria" w:hAnsi="Cambria" w:cs="Cambria"/>
          <w:color w:val="000000" w:themeColor="text1"/>
          <w:sz w:val="20"/>
          <w:szCs w:val="20"/>
          <w:lang w:val="es-ES"/>
        </w:rPr>
      </w:pPr>
      <w:r w:rsidRPr="43D35710">
        <w:rPr>
          <w:rFonts w:ascii="Cambria" w:eastAsia="Cambria" w:hAnsi="Cambria" w:cs="Cambria"/>
          <w:color w:val="000000" w:themeColor="text1"/>
          <w:sz w:val="20"/>
          <w:szCs w:val="20"/>
          <w:lang w:val="es-ES"/>
        </w:rPr>
        <w:t xml:space="preserve">En 2022, el Estado señaló que la Policía Nacional ha venido formando permanentemente a los funcionarios encargados de hacer cumplir la ley (FEHCL) mediante un sistema educativo impartido a las fuerzas de seguridad que incluye la temática de derechos humanos. Indicó que este sistema tiene dos componentes: uno impartido a las personas aspirantes a policías y otro a todos los servidores policiales de manera anual a través del Programa de Capacitación Integral Continua (PCIC), en funcionamiento desde el 2010 como respuesta a las recomendaciones de organismos internacionales. </w:t>
      </w:r>
      <w:r w:rsidR="00D31ED0" w:rsidRPr="43D35710">
        <w:rPr>
          <w:rFonts w:ascii="Cambria" w:eastAsia="Cambria" w:hAnsi="Cambria" w:cs="Cambria"/>
          <w:color w:val="000000" w:themeColor="text1"/>
          <w:sz w:val="20"/>
          <w:szCs w:val="20"/>
          <w:lang w:val="es-ES"/>
        </w:rPr>
        <w:t xml:space="preserve">Al respecto, informó cuántos han sido las personas funcionarias capacitadas en el PCIC, desde el 2016 a septiembre de 2021. Indicó que, durante el 2021, fueron capacitadas 45.074 personas. Por otra parte, el Estado señaló cuál es la normatividad aplicable a investigaciones y sanciones por denuncias de uso excesivo de la fuerza, detenciones arbitrarias y ejecuciones extrajudiciales. Indicaron que en estos casos los FEHCL enfrentan un proceso administrativo, regulado por el Código Público de Entidades de Seguridad Pública (COESCOP) y a cargo de la Dirección de Asuntos Internos de la Inspectoría General de la Policía Nacional y otro judicial, y el penal, regulado por el Código único Integral Penal, en donde la Fiscalía General del Estado lidera la investigación. </w:t>
      </w:r>
      <w:r w:rsidR="007E3D41" w:rsidRPr="43D35710">
        <w:rPr>
          <w:rFonts w:ascii="Cambria" w:eastAsia="Cambria" w:hAnsi="Cambria" w:cs="Cambria"/>
          <w:color w:val="000000" w:themeColor="text1"/>
          <w:sz w:val="20"/>
          <w:szCs w:val="20"/>
          <w:lang w:val="es-ES"/>
        </w:rPr>
        <w:t xml:space="preserve">Asimismo, el Estado enlistó algunos instrumentos adoptados por la Policía Nacional para adecuar su normativa interna. </w:t>
      </w:r>
    </w:p>
    <w:p w14:paraId="542152DF" w14:textId="77777777" w:rsidR="00D31ED0" w:rsidRDefault="00D31ED0" w:rsidP="43D35710">
      <w:pPr>
        <w:pStyle w:val="ListParagraph"/>
        <w:rPr>
          <w:rFonts w:ascii="Cambria" w:eastAsia="Cambria" w:hAnsi="Cambria" w:cs="Cambria"/>
          <w:color w:val="000000" w:themeColor="text1"/>
          <w:sz w:val="20"/>
          <w:szCs w:val="20"/>
          <w:lang w:val="es-ES"/>
        </w:rPr>
      </w:pPr>
    </w:p>
    <w:p w14:paraId="5D2BAF31" w14:textId="6936D55A" w:rsidR="00892BB2" w:rsidRPr="0007582B" w:rsidRDefault="00D31ED0" w:rsidP="43D35710">
      <w:pPr>
        <w:numPr>
          <w:ilvl w:val="0"/>
          <w:numId w:val="21"/>
        </w:numPr>
        <w:pBdr>
          <w:top w:val="nil"/>
          <w:left w:val="nil"/>
          <w:bottom w:val="nil"/>
          <w:right w:val="nil"/>
          <w:between w:val="nil"/>
        </w:pBdr>
        <w:jc w:val="both"/>
        <w:rPr>
          <w:rFonts w:ascii="Cambria" w:eastAsia="Cambria" w:hAnsi="Cambria" w:cs="Cambria"/>
          <w:color w:val="000000"/>
          <w:sz w:val="20"/>
          <w:szCs w:val="20"/>
          <w:lang w:val="es-ES"/>
        </w:rPr>
      </w:pPr>
      <w:r w:rsidRPr="43D35710">
        <w:rPr>
          <w:rFonts w:ascii="Cambria" w:eastAsia="Cambria" w:hAnsi="Cambria" w:cs="Cambria"/>
          <w:color w:val="000000" w:themeColor="text1"/>
          <w:sz w:val="20"/>
          <w:szCs w:val="20"/>
          <w:lang w:val="es-ES"/>
        </w:rPr>
        <w:t xml:space="preserve">La CIDH valora la información proporcionada por el Estado. Respecto a los programas de capacitación dirigidos a la Policía Nacional y con miras a evaluar la total implementación de esta recomendación, la Comisión solicita información sobre si las medidas informadas son de carácter obligatorio al funcionariado de la Policía, sobre su continuidad en el tiempo, y sobre el número de personas capacitadas, en comparación con el total de personas funcionarias que integran esta institución. </w:t>
      </w:r>
      <w:r w:rsidR="007E3D41" w:rsidRPr="43D35710">
        <w:rPr>
          <w:rFonts w:ascii="Cambria" w:eastAsia="Cambria" w:hAnsi="Cambria" w:cs="Cambria"/>
          <w:color w:val="000000" w:themeColor="text1"/>
          <w:sz w:val="20"/>
          <w:szCs w:val="20"/>
          <w:lang w:val="es-ES"/>
        </w:rPr>
        <w:t xml:space="preserve">Por su parte, en cuanto a los mecanismos de rendición de cuentas, la CIDH agradece la información proporcionada y solicita información específica sobre la efectividad de estos mecanismos para sancionar el abuso de autoridad por agentes del Estado. Considerando la información remitida por el Estado, la CIDH considera que hay información pertinente que permite concluir que esta recomendación está siendo cumplida de manera parcial sustancial. </w:t>
      </w:r>
    </w:p>
    <w:p w14:paraId="6FECCB88" w14:textId="77777777" w:rsidR="00892BB2" w:rsidRPr="0007582B" w:rsidRDefault="00892BB2" w:rsidP="43D35710">
      <w:pPr>
        <w:pBdr>
          <w:top w:val="nil"/>
          <w:left w:val="nil"/>
          <w:bottom w:val="nil"/>
          <w:right w:val="nil"/>
          <w:between w:val="nil"/>
        </w:pBdr>
        <w:jc w:val="both"/>
        <w:rPr>
          <w:rFonts w:ascii="Cambria" w:eastAsia="Cambria" w:hAnsi="Cambria" w:cs="Cambria"/>
          <w:color w:val="000000"/>
          <w:sz w:val="20"/>
          <w:szCs w:val="20"/>
          <w:lang w:val="es-ES"/>
        </w:rPr>
      </w:pPr>
    </w:p>
    <w:p w14:paraId="6A490D5A" w14:textId="77777777" w:rsidR="00892BB2" w:rsidRDefault="00892BB2" w:rsidP="43D35710">
      <w:pPr>
        <w:numPr>
          <w:ilvl w:val="0"/>
          <w:numId w:val="22"/>
        </w:numPr>
        <w:pBdr>
          <w:top w:val="nil"/>
          <w:left w:val="nil"/>
          <w:bottom w:val="nil"/>
          <w:right w:val="nil"/>
          <w:between w:val="nil"/>
        </w:pBdr>
        <w:jc w:val="both"/>
        <w:rPr>
          <w:rFonts w:ascii="Cambria" w:eastAsia="Cambria" w:hAnsi="Cambria" w:cs="Cambria"/>
          <w:b/>
          <w:bCs/>
          <w:color w:val="000000"/>
          <w:sz w:val="20"/>
          <w:szCs w:val="20"/>
        </w:rPr>
      </w:pPr>
      <w:r w:rsidRPr="43D35710">
        <w:rPr>
          <w:rFonts w:ascii="Cambria" w:eastAsia="Cambria" w:hAnsi="Cambria" w:cs="Cambria"/>
          <w:b/>
          <w:bCs/>
          <w:color w:val="000000" w:themeColor="text1"/>
          <w:sz w:val="20"/>
          <w:szCs w:val="20"/>
        </w:rPr>
        <w:t xml:space="preserve">Nivel del cumplimiento del caso </w:t>
      </w:r>
    </w:p>
    <w:p w14:paraId="0F9213BC" w14:textId="77777777" w:rsidR="00892BB2" w:rsidRDefault="00892BB2" w:rsidP="43D35710">
      <w:pPr>
        <w:pBdr>
          <w:top w:val="nil"/>
          <w:left w:val="nil"/>
          <w:bottom w:val="nil"/>
          <w:right w:val="nil"/>
          <w:between w:val="nil"/>
        </w:pBdr>
        <w:ind w:left="720"/>
        <w:jc w:val="both"/>
        <w:rPr>
          <w:rFonts w:ascii="Cambria" w:eastAsia="Cambria" w:hAnsi="Cambria" w:cs="Cambria"/>
          <w:color w:val="000000"/>
          <w:sz w:val="20"/>
          <w:szCs w:val="20"/>
        </w:rPr>
      </w:pPr>
    </w:p>
    <w:p w14:paraId="720BC532" w14:textId="77777777" w:rsidR="00892BB2" w:rsidRPr="0007582B" w:rsidRDefault="00892BB2" w:rsidP="43D35710">
      <w:pPr>
        <w:numPr>
          <w:ilvl w:val="0"/>
          <w:numId w:val="21"/>
        </w:numPr>
        <w:pBdr>
          <w:top w:val="nil"/>
          <w:left w:val="nil"/>
          <w:bottom w:val="nil"/>
          <w:right w:val="nil"/>
          <w:between w:val="nil"/>
        </w:pBdr>
        <w:jc w:val="both"/>
        <w:rPr>
          <w:rFonts w:ascii="Cambria" w:eastAsia="Cambria" w:hAnsi="Cambria" w:cs="Cambria"/>
          <w:color w:val="000000"/>
          <w:sz w:val="20"/>
          <w:szCs w:val="20"/>
          <w:lang w:val="es-ES"/>
        </w:rPr>
      </w:pPr>
      <w:r w:rsidRPr="43D35710">
        <w:rPr>
          <w:rFonts w:ascii="Cambria" w:eastAsia="Cambria" w:hAnsi="Cambria" w:cs="Cambria"/>
          <w:color w:val="000000" w:themeColor="text1"/>
          <w:sz w:val="20"/>
          <w:szCs w:val="20"/>
          <w:lang w:val="es-ES"/>
        </w:rPr>
        <w:t>Por todo anterior, la Comisión concluye que el nivel de cumplimiento del caso es parcial. En consecuencia, la CIDH seguirá supervisando el cumplimiento de la Recomendación 2.</w:t>
      </w:r>
    </w:p>
    <w:p w14:paraId="48990E51" w14:textId="77777777" w:rsidR="00892BB2" w:rsidRPr="0007582B" w:rsidRDefault="00892BB2" w:rsidP="43D35710">
      <w:pPr>
        <w:pBdr>
          <w:top w:val="nil"/>
          <w:left w:val="nil"/>
          <w:bottom w:val="nil"/>
          <w:right w:val="nil"/>
          <w:between w:val="nil"/>
        </w:pBdr>
        <w:jc w:val="both"/>
        <w:rPr>
          <w:rFonts w:ascii="Cambria" w:eastAsia="Cambria" w:hAnsi="Cambria" w:cs="Cambria"/>
          <w:color w:val="000000"/>
          <w:sz w:val="20"/>
          <w:szCs w:val="20"/>
          <w:lang w:val="es-ES"/>
        </w:rPr>
      </w:pPr>
    </w:p>
    <w:p w14:paraId="32C71CB5" w14:textId="77777777" w:rsidR="00892BB2" w:rsidRPr="0007582B" w:rsidRDefault="00892BB2" w:rsidP="00892BB2">
      <w:pPr>
        <w:ind w:left="720"/>
        <w:jc w:val="both"/>
        <w:rPr>
          <w:rFonts w:ascii="Cambria" w:eastAsia="Cambria" w:hAnsi="Cambria" w:cs="Cambria"/>
          <w:color w:val="000000"/>
          <w:sz w:val="20"/>
          <w:szCs w:val="20"/>
          <w:lang w:val="es-ES"/>
        </w:rPr>
      </w:pPr>
    </w:p>
    <w:p w14:paraId="1BA51915" w14:textId="77777777" w:rsidR="00892BB2" w:rsidRPr="0007582B" w:rsidRDefault="00892BB2" w:rsidP="43D35710">
      <w:pPr>
        <w:numPr>
          <w:ilvl w:val="0"/>
          <w:numId w:val="23"/>
        </w:numPr>
        <w:pBdr>
          <w:top w:val="nil"/>
          <w:left w:val="nil"/>
          <w:bottom w:val="nil"/>
          <w:right w:val="nil"/>
          <w:between w:val="nil"/>
        </w:pBdr>
        <w:jc w:val="both"/>
        <w:rPr>
          <w:rFonts w:ascii="Cambria" w:eastAsia="Cambria" w:hAnsi="Cambria" w:cs="Cambria"/>
          <w:b/>
          <w:bCs/>
          <w:color w:val="000000"/>
          <w:sz w:val="20"/>
          <w:szCs w:val="20"/>
          <w:lang w:val="es-ES"/>
        </w:rPr>
      </w:pPr>
      <w:r w:rsidRPr="43D35710">
        <w:rPr>
          <w:rFonts w:ascii="Cambria" w:eastAsia="Cambria" w:hAnsi="Cambria" w:cs="Cambria"/>
          <w:b/>
          <w:bCs/>
          <w:color w:val="000000" w:themeColor="text1"/>
          <w:sz w:val="20"/>
          <w:szCs w:val="20"/>
          <w:lang w:val="es-ES"/>
        </w:rPr>
        <w:t>Resultados individuales y estructurales del caso</w:t>
      </w:r>
    </w:p>
    <w:p w14:paraId="27BFFF7D" w14:textId="77777777" w:rsidR="00892BB2" w:rsidRPr="0007582B" w:rsidRDefault="00892BB2" w:rsidP="00892BB2">
      <w:pPr>
        <w:jc w:val="both"/>
        <w:rPr>
          <w:rFonts w:ascii="Cambria" w:eastAsia="Cambria" w:hAnsi="Cambria" w:cs="Cambria"/>
          <w:color w:val="000000"/>
          <w:sz w:val="20"/>
          <w:szCs w:val="20"/>
          <w:lang w:val="es-ES"/>
        </w:rPr>
      </w:pPr>
    </w:p>
    <w:p w14:paraId="0BB9357B" w14:textId="77777777" w:rsidR="00892BB2" w:rsidRPr="0007582B" w:rsidRDefault="00892BB2" w:rsidP="43D35710">
      <w:pPr>
        <w:numPr>
          <w:ilvl w:val="0"/>
          <w:numId w:val="21"/>
        </w:numPr>
        <w:pBdr>
          <w:top w:val="nil"/>
          <w:left w:val="nil"/>
          <w:bottom w:val="nil"/>
          <w:right w:val="nil"/>
          <w:between w:val="nil"/>
        </w:pBdr>
        <w:jc w:val="both"/>
        <w:rPr>
          <w:rFonts w:ascii="Cambria" w:eastAsia="Cambria" w:hAnsi="Cambria" w:cs="Cambria"/>
          <w:color w:val="000000"/>
          <w:sz w:val="20"/>
          <w:szCs w:val="20"/>
          <w:lang w:val="es-ES"/>
        </w:rPr>
      </w:pPr>
      <w:r w:rsidRPr="43D35710">
        <w:rPr>
          <w:rFonts w:ascii="Cambria" w:eastAsia="Cambria" w:hAnsi="Cambria" w:cs="Cambria"/>
          <w:color w:val="000000" w:themeColor="text1"/>
          <w:sz w:val="20"/>
          <w:szCs w:val="20"/>
          <w:lang w:val="es-ES"/>
        </w:rPr>
        <w:t xml:space="preserve"> En esta sección se destacan los resultados individuales y estructurales del caso informados por las partes.</w:t>
      </w:r>
    </w:p>
    <w:p w14:paraId="5B4565B5" w14:textId="77777777" w:rsidR="00892BB2" w:rsidRPr="0007582B" w:rsidRDefault="00892BB2" w:rsidP="00892BB2">
      <w:pPr>
        <w:jc w:val="both"/>
        <w:rPr>
          <w:rFonts w:ascii="Cambria" w:eastAsia="Cambria" w:hAnsi="Cambria" w:cs="Cambria"/>
          <w:color w:val="000000"/>
          <w:sz w:val="20"/>
          <w:szCs w:val="20"/>
          <w:lang w:val="es-ES"/>
        </w:rPr>
      </w:pPr>
    </w:p>
    <w:p w14:paraId="105BA92C" w14:textId="77777777" w:rsidR="00892BB2" w:rsidRDefault="00892BB2" w:rsidP="43D35710">
      <w:pPr>
        <w:numPr>
          <w:ilvl w:val="0"/>
          <w:numId w:val="26"/>
        </w:numPr>
        <w:pBdr>
          <w:top w:val="nil"/>
          <w:left w:val="nil"/>
          <w:bottom w:val="nil"/>
          <w:right w:val="nil"/>
          <w:between w:val="nil"/>
        </w:pBdr>
        <w:jc w:val="both"/>
        <w:rPr>
          <w:rFonts w:ascii="Cambria" w:eastAsia="Cambria" w:hAnsi="Cambria" w:cs="Cambria"/>
          <w:b/>
          <w:bCs/>
          <w:color w:val="000000"/>
          <w:sz w:val="20"/>
          <w:szCs w:val="20"/>
        </w:rPr>
      </w:pPr>
      <w:r w:rsidRPr="43D35710">
        <w:rPr>
          <w:rFonts w:ascii="Cambria" w:eastAsia="Cambria" w:hAnsi="Cambria" w:cs="Cambria"/>
          <w:b/>
          <w:bCs/>
          <w:color w:val="000000" w:themeColor="text1"/>
          <w:sz w:val="20"/>
          <w:szCs w:val="20"/>
        </w:rPr>
        <w:t>Resultados individuales del caso</w:t>
      </w:r>
    </w:p>
    <w:p w14:paraId="2775BD59" w14:textId="77777777" w:rsidR="00892BB2" w:rsidRDefault="00892BB2" w:rsidP="43D35710">
      <w:pPr>
        <w:jc w:val="both"/>
        <w:rPr>
          <w:rFonts w:ascii="Cambria" w:eastAsia="Cambria" w:hAnsi="Cambria" w:cs="Cambria"/>
          <w:i/>
          <w:iCs/>
          <w:color w:val="000000"/>
          <w:sz w:val="20"/>
          <w:szCs w:val="20"/>
        </w:rPr>
      </w:pPr>
    </w:p>
    <w:p w14:paraId="6AEDDA4B" w14:textId="77777777" w:rsidR="00892BB2" w:rsidRDefault="00892BB2" w:rsidP="43D35710">
      <w:pPr>
        <w:jc w:val="both"/>
        <w:rPr>
          <w:rFonts w:ascii="Cambria" w:eastAsia="Cambria" w:hAnsi="Cambria" w:cs="Cambria"/>
          <w:i/>
          <w:iCs/>
          <w:color w:val="000000"/>
          <w:sz w:val="20"/>
          <w:szCs w:val="20"/>
        </w:rPr>
      </w:pPr>
      <w:r w:rsidRPr="43D35710">
        <w:rPr>
          <w:rFonts w:ascii="Cambria" w:eastAsia="Cambria" w:hAnsi="Cambria" w:cs="Cambria"/>
          <w:i/>
          <w:iCs/>
          <w:color w:val="000000" w:themeColor="text1"/>
          <w:sz w:val="20"/>
          <w:szCs w:val="20"/>
        </w:rPr>
        <w:t xml:space="preserve">Medidas de compensación pecuniaria </w:t>
      </w:r>
    </w:p>
    <w:p w14:paraId="41DC5CB7" w14:textId="77777777" w:rsidR="00892BB2" w:rsidRPr="0007582B" w:rsidRDefault="00892BB2" w:rsidP="43D35710">
      <w:pPr>
        <w:numPr>
          <w:ilvl w:val="0"/>
          <w:numId w:val="24"/>
        </w:numPr>
        <w:pBdr>
          <w:top w:val="nil"/>
          <w:left w:val="nil"/>
          <w:bottom w:val="nil"/>
          <w:right w:val="nil"/>
          <w:between w:val="nil"/>
        </w:pBdr>
        <w:jc w:val="both"/>
        <w:rPr>
          <w:rFonts w:ascii="Cambria" w:eastAsia="Cambria" w:hAnsi="Cambria" w:cs="Cambria"/>
          <w:i/>
          <w:iCs/>
          <w:color w:val="000000"/>
          <w:sz w:val="20"/>
          <w:szCs w:val="20"/>
          <w:lang w:val="es-ES"/>
        </w:rPr>
      </w:pPr>
      <w:r w:rsidRPr="43D35710">
        <w:rPr>
          <w:rFonts w:ascii="Cambria" w:eastAsia="Cambria" w:hAnsi="Cambria" w:cs="Cambria"/>
          <w:color w:val="000000" w:themeColor="text1"/>
          <w:sz w:val="20"/>
          <w:szCs w:val="20"/>
          <w:lang w:val="es-ES"/>
        </w:rPr>
        <w:t xml:space="preserve">En 2018 el Estado realizó una propuesta de indemnización que fue aceptada por los peticionarios. De acuerdo con la información proporcionada por las partes, el pago de dicha indemnización se hizo efectivo en 2018. </w:t>
      </w:r>
    </w:p>
    <w:p w14:paraId="3DDDC0DB" w14:textId="77777777" w:rsidR="00892BB2" w:rsidRPr="0007582B" w:rsidRDefault="00892BB2" w:rsidP="43D35710">
      <w:pPr>
        <w:pBdr>
          <w:top w:val="nil"/>
          <w:left w:val="nil"/>
          <w:bottom w:val="nil"/>
          <w:right w:val="nil"/>
          <w:between w:val="nil"/>
        </w:pBdr>
        <w:jc w:val="both"/>
        <w:rPr>
          <w:rFonts w:ascii="Cambria" w:eastAsia="Cambria" w:hAnsi="Cambria" w:cs="Cambria"/>
          <w:color w:val="000000"/>
          <w:sz w:val="20"/>
          <w:szCs w:val="20"/>
          <w:lang w:val="es-ES"/>
        </w:rPr>
      </w:pPr>
    </w:p>
    <w:p w14:paraId="7F3C6C5E" w14:textId="77777777" w:rsidR="00892BB2" w:rsidRDefault="00892BB2" w:rsidP="43D35710">
      <w:pPr>
        <w:numPr>
          <w:ilvl w:val="0"/>
          <w:numId w:val="26"/>
        </w:numPr>
        <w:pBdr>
          <w:top w:val="nil"/>
          <w:left w:val="nil"/>
          <w:bottom w:val="nil"/>
          <w:right w:val="nil"/>
          <w:between w:val="nil"/>
        </w:pBdr>
        <w:jc w:val="both"/>
        <w:rPr>
          <w:rFonts w:ascii="Cambria" w:eastAsia="Cambria" w:hAnsi="Cambria" w:cs="Cambria"/>
          <w:b/>
          <w:bCs/>
          <w:color w:val="000000"/>
          <w:sz w:val="20"/>
          <w:szCs w:val="20"/>
        </w:rPr>
      </w:pPr>
      <w:r w:rsidRPr="43D35710">
        <w:rPr>
          <w:rFonts w:ascii="Cambria" w:eastAsia="Cambria" w:hAnsi="Cambria" w:cs="Cambria"/>
          <w:b/>
          <w:bCs/>
          <w:color w:val="000000" w:themeColor="text1"/>
          <w:sz w:val="20"/>
          <w:szCs w:val="20"/>
        </w:rPr>
        <w:t>Resultados estructurales del caso</w:t>
      </w:r>
    </w:p>
    <w:p w14:paraId="5354F85E" w14:textId="1237E2F0" w:rsidR="58DD3A8C" w:rsidRDefault="58DD3A8C" w:rsidP="43D35710">
      <w:pPr>
        <w:pStyle w:val="BlockText"/>
        <w:pBdr>
          <w:top w:val="nil"/>
          <w:left w:val="nil"/>
          <w:bottom w:val="nil"/>
          <w:right w:val="nil"/>
          <w:between w:val="nil"/>
        </w:pBdr>
        <w:jc w:val="both"/>
        <w:rPr>
          <w:rFonts w:ascii="Cambria" w:eastAsia="Cambria" w:hAnsi="Cambria" w:cs="Cambria"/>
          <w:color w:val="000000" w:themeColor="text1"/>
          <w:sz w:val="20"/>
          <w:szCs w:val="20"/>
        </w:rPr>
      </w:pPr>
    </w:p>
    <w:p w14:paraId="3F80DA13" w14:textId="206E354E" w:rsidR="17F60CA0" w:rsidRDefault="17F60CA0" w:rsidP="43D35710">
      <w:pPr>
        <w:pStyle w:val="BlockText"/>
        <w:pBdr>
          <w:top w:val="nil"/>
          <w:left w:val="nil"/>
          <w:bottom w:val="nil"/>
          <w:right w:val="nil"/>
          <w:between w:val="nil"/>
        </w:pBdr>
        <w:jc w:val="both"/>
        <w:rPr>
          <w:rFonts w:ascii="Cambria" w:eastAsia="Cambria" w:hAnsi="Cambria" w:cs="Cambria"/>
          <w:i/>
          <w:iCs/>
          <w:color w:val="000000" w:themeColor="text1"/>
          <w:sz w:val="22"/>
          <w:szCs w:val="22"/>
        </w:rPr>
      </w:pPr>
      <w:r w:rsidRPr="43D35710">
        <w:rPr>
          <w:rFonts w:ascii="Cambria" w:eastAsia="Cambria" w:hAnsi="Cambria" w:cs="Cambria"/>
          <w:i/>
          <w:iCs/>
          <w:color w:val="000000" w:themeColor="text1"/>
          <w:sz w:val="22"/>
          <w:szCs w:val="22"/>
        </w:rPr>
        <w:t xml:space="preserve">Medidas de fortalecimiento institucional </w:t>
      </w:r>
    </w:p>
    <w:p w14:paraId="7DB10397" w14:textId="395A7E7B" w:rsidR="17F60CA0" w:rsidRDefault="17F60CA0" w:rsidP="43D35710">
      <w:pPr>
        <w:pStyle w:val="BlockText"/>
        <w:numPr>
          <w:ilvl w:val="0"/>
          <w:numId w:val="1"/>
        </w:numPr>
        <w:pBdr>
          <w:top w:val="nil"/>
          <w:left w:val="nil"/>
          <w:bottom w:val="nil"/>
          <w:right w:val="nil"/>
          <w:between w:val="nil"/>
        </w:pBdr>
        <w:jc w:val="both"/>
        <w:rPr>
          <w:color w:val="000000" w:themeColor="text1"/>
          <w:sz w:val="22"/>
          <w:szCs w:val="22"/>
        </w:rPr>
      </w:pPr>
      <w:r w:rsidRPr="43D35710">
        <w:rPr>
          <w:color w:val="000000" w:themeColor="text1"/>
          <w:sz w:val="22"/>
          <w:szCs w:val="22"/>
        </w:rPr>
        <w:t>Programa de Formación Integral Continua (PCIC), en funcionamiento desde 2010 en respuesta a las recomendaciones de organismos internacionales.</w:t>
      </w:r>
    </w:p>
    <w:p w14:paraId="35124F21" w14:textId="2EEC17CF" w:rsidR="58DD3A8C" w:rsidRDefault="58DD3A8C" w:rsidP="43D35710">
      <w:pPr>
        <w:pBdr>
          <w:top w:val="nil"/>
          <w:left w:val="nil"/>
          <w:bottom w:val="nil"/>
          <w:right w:val="nil"/>
          <w:between w:val="nil"/>
        </w:pBdr>
        <w:jc w:val="both"/>
        <w:rPr>
          <w:rFonts w:ascii="Cambria" w:eastAsia="Cambria" w:hAnsi="Cambria" w:cs="Cambria"/>
          <w:color w:val="000000" w:themeColor="text1"/>
          <w:sz w:val="20"/>
          <w:szCs w:val="20"/>
          <w:lang w:val="es-ES"/>
        </w:rPr>
      </w:pPr>
    </w:p>
    <w:p w14:paraId="7E37F718" w14:textId="77777777" w:rsidR="00892BB2" w:rsidRPr="0007582B" w:rsidRDefault="00892BB2" w:rsidP="00892BB2">
      <w:pPr>
        <w:rPr>
          <w:color w:val="000000"/>
          <w:lang w:val="es-ES"/>
        </w:rPr>
      </w:pPr>
    </w:p>
    <w:p w14:paraId="440F60A9" w14:textId="77777777" w:rsidR="00892BB2" w:rsidRPr="0007582B" w:rsidRDefault="00892BB2" w:rsidP="43D35710">
      <w:pPr>
        <w:rPr>
          <w:color w:val="000000" w:themeColor="text1"/>
          <w:lang w:val="es-ES"/>
        </w:rPr>
      </w:pPr>
    </w:p>
    <w:p w14:paraId="45B26099" w14:textId="77777777" w:rsidR="00BD17B0" w:rsidRPr="0007582B" w:rsidRDefault="00BD17B0" w:rsidP="43D35710">
      <w:pPr>
        <w:rPr>
          <w:color w:val="000000" w:themeColor="text1"/>
          <w:lang w:val="es-ES"/>
        </w:rPr>
      </w:pPr>
    </w:p>
    <w:sectPr w:rsidR="00BD17B0" w:rsidRPr="0007582B" w:rsidSect="00566CD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AF82B" w14:textId="77777777" w:rsidR="00DB13CB" w:rsidRDefault="00DB13CB" w:rsidP="00672733">
      <w:r>
        <w:separator/>
      </w:r>
    </w:p>
  </w:endnote>
  <w:endnote w:type="continuationSeparator" w:id="0">
    <w:p w14:paraId="4A8D1C53" w14:textId="77777777" w:rsidR="00DB13CB" w:rsidRDefault="00DB13CB"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85D71" w14:textId="77777777" w:rsidR="00DB13CB" w:rsidRDefault="00DB13CB" w:rsidP="00672733">
      <w:r>
        <w:separator/>
      </w:r>
    </w:p>
  </w:footnote>
  <w:footnote w:type="continuationSeparator" w:id="0">
    <w:p w14:paraId="72230EF2" w14:textId="77777777" w:rsidR="00DB13CB" w:rsidRDefault="00DB13CB" w:rsidP="00672733">
      <w:r>
        <w:continuationSeparator/>
      </w:r>
    </w:p>
  </w:footnote>
  <w:footnote w:id="1">
    <w:p w14:paraId="1CFC0080" w14:textId="77777777" w:rsidR="00892BB2" w:rsidRPr="0007582B" w:rsidRDefault="00892BB2" w:rsidP="00892BB2">
      <w:pPr>
        <w:pBdr>
          <w:top w:val="nil"/>
          <w:left w:val="nil"/>
          <w:bottom w:val="nil"/>
          <w:right w:val="nil"/>
          <w:between w:val="nil"/>
        </w:pBdr>
        <w:ind w:firstLine="720"/>
        <w:jc w:val="both"/>
        <w:rPr>
          <w:rFonts w:ascii="Cambria" w:eastAsia="Cambria" w:hAnsi="Cambria" w:cs="Cambria"/>
          <w:color w:val="000000"/>
          <w:sz w:val="16"/>
          <w:szCs w:val="16"/>
          <w:lang w:val="es-ES"/>
        </w:rPr>
      </w:pPr>
      <w:r>
        <w:rPr>
          <w:rStyle w:val="FootnoteReference"/>
        </w:rPr>
        <w:footnoteRef/>
      </w:r>
      <w:r w:rsidRPr="0007582B">
        <w:rPr>
          <w:rFonts w:ascii="Cambria" w:eastAsia="Cambria" w:hAnsi="Cambria" w:cs="Cambria"/>
          <w:color w:val="000000"/>
          <w:sz w:val="16"/>
          <w:szCs w:val="16"/>
          <w:lang w:val="es-ES"/>
        </w:rPr>
        <w:t xml:space="preserve"> Informe 92/2019, Caso. 11.624, Jorge Darwin García y familia, Informe de Admisibilidad y Fondo (Publicación), 14 de junio de 2019, parr. 120.  </w:t>
      </w:r>
    </w:p>
  </w:footnote>
  <w:footnote w:id="2">
    <w:p w14:paraId="06535B00" w14:textId="3C5818D8" w:rsidR="0007582B" w:rsidRPr="0007582B" w:rsidRDefault="0007582B">
      <w:pPr>
        <w:pStyle w:val="FootnoteText"/>
        <w:rPr>
          <w:lang w:val="es-ES"/>
        </w:rPr>
      </w:pPr>
      <w:r>
        <w:rPr>
          <w:rStyle w:val="FootnoteReference"/>
        </w:rPr>
        <w:footnoteRef/>
      </w:r>
      <w:r w:rsidRPr="0007582B">
        <w:rPr>
          <w:lang w:val="es-ES"/>
        </w:rPr>
        <w:t xml:space="preserve"> </w:t>
      </w:r>
      <w:r w:rsidRPr="006650C1">
        <w:rPr>
          <w:rFonts w:ascii="Cambria" w:hAnsi="Cambria"/>
          <w:sz w:val="16"/>
          <w:szCs w:val="16"/>
          <w:lang w:val="es-ES"/>
        </w:rPr>
        <w:t xml:space="preserve">La información detallada de los avances en el cumplimiento de las recomendaciones en los años anteriores se encuentra disponible en el </w:t>
      </w:r>
      <w:hyperlink r:id="rId1" w:history="1">
        <w:r w:rsidRPr="006650C1">
          <w:rPr>
            <w:rStyle w:val="Hyperlink"/>
            <w:rFonts w:ascii="Cambria" w:hAnsi="Cambria"/>
            <w:sz w:val="16"/>
            <w:szCs w:val="16"/>
            <w:lang w:val="es-ES"/>
          </w:rPr>
          <w:t>Informe Anual 2021.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02E"/>
    <w:multiLevelType w:val="hybridMultilevel"/>
    <w:tmpl w:val="8CFE891A"/>
    <w:styleLink w:val="EstiloImportado6"/>
    <w:lvl w:ilvl="0" w:tplc="1DB618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B0A9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638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653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B4574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0055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61A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CC1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01B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3160079"/>
    <w:multiLevelType w:val="multilevel"/>
    <w:tmpl w:val="7C48586A"/>
    <w:lvl w:ilvl="0">
      <w:start w:val="1"/>
      <w:numFmt w:val="upperRoman"/>
      <w:lvlText w:val="%1."/>
      <w:lvlJc w:val="left"/>
      <w:pPr>
        <w:ind w:left="1440" w:hanging="720"/>
      </w:pPr>
      <w:rPr>
        <w:b/>
        <w:smallCaps w:val="0"/>
        <w:strike w:val="0"/>
        <w:shd w:val="clear" w:color="auto" w:fill="auto"/>
        <w:vertAlign w:val="baseline"/>
      </w:rPr>
    </w:lvl>
    <w:lvl w:ilvl="1">
      <w:start w:val="1"/>
      <w:numFmt w:val="lowerLetter"/>
      <w:lvlText w:val="%2."/>
      <w:lvlJc w:val="left"/>
      <w:pPr>
        <w:ind w:left="1824" w:hanging="384"/>
      </w:pPr>
      <w:rPr>
        <w:b/>
        <w:smallCaps w:val="0"/>
        <w:strike w:val="0"/>
        <w:shd w:val="clear" w:color="auto" w:fill="auto"/>
        <w:vertAlign w:val="baseline"/>
      </w:rPr>
    </w:lvl>
    <w:lvl w:ilvl="2">
      <w:start w:val="1"/>
      <w:numFmt w:val="lowerRoman"/>
      <w:lvlText w:val="%3."/>
      <w:lvlJc w:val="left"/>
      <w:pPr>
        <w:ind w:left="2544" w:hanging="304"/>
      </w:pPr>
      <w:rPr>
        <w:b/>
        <w:smallCaps w:val="0"/>
        <w:strike w:val="0"/>
        <w:shd w:val="clear" w:color="auto" w:fill="auto"/>
        <w:vertAlign w:val="baseline"/>
      </w:rPr>
    </w:lvl>
    <w:lvl w:ilvl="3">
      <w:start w:val="1"/>
      <w:numFmt w:val="decimal"/>
      <w:lvlText w:val="%4."/>
      <w:lvlJc w:val="left"/>
      <w:pPr>
        <w:ind w:left="3264" w:hanging="384"/>
      </w:pPr>
      <w:rPr>
        <w:b/>
        <w:smallCaps w:val="0"/>
        <w:strike w:val="0"/>
        <w:shd w:val="clear" w:color="auto" w:fill="auto"/>
        <w:vertAlign w:val="baseline"/>
      </w:rPr>
    </w:lvl>
    <w:lvl w:ilvl="4">
      <w:start w:val="1"/>
      <w:numFmt w:val="lowerLetter"/>
      <w:lvlText w:val="%5."/>
      <w:lvlJc w:val="left"/>
      <w:pPr>
        <w:ind w:left="3984" w:hanging="384"/>
      </w:pPr>
      <w:rPr>
        <w:b/>
        <w:smallCaps w:val="0"/>
        <w:strike w:val="0"/>
        <w:shd w:val="clear" w:color="auto" w:fill="auto"/>
        <w:vertAlign w:val="baseline"/>
      </w:rPr>
    </w:lvl>
    <w:lvl w:ilvl="5">
      <w:start w:val="1"/>
      <w:numFmt w:val="lowerRoman"/>
      <w:lvlText w:val="%6."/>
      <w:lvlJc w:val="left"/>
      <w:pPr>
        <w:ind w:left="4704" w:hanging="304"/>
      </w:pPr>
      <w:rPr>
        <w:b/>
        <w:smallCaps w:val="0"/>
        <w:strike w:val="0"/>
        <w:shd w:val="clear" w:color="auto" w:fill="auto"/>
        <w:vertAlign w:val="baseline"/>
      </w:rPr>
    </w:lvl>
    <w:lvl w:ilvl="6">
      <w:start w:val="1"/>
      <w:numFmt w:val="decimal"/>
      <w:lvlText w:val="%7."/>
      <w:lvlJc w:val="left"/>
      <w:pPr>
        <w:ind w:left="5424" w:hanging="384"/>
      </w:pPr>
      <w:rPr>
        <w:b/>
        <w:smallCaps w:val="0"/>
        <w:strike w:val="0"/>
        <w:shd w:val="clear" w:color="auto" w:fill="auto"/>
        <w:vertAlign w:val="baseline"/>
      </w:rPr>
    </w:lvl>
    <w:lvl w:ilvl="7">
      <w:start w:val="1"/>
      <w:numFmt w:val="lowerLetter"/>
      <w:lvlText w:val="%8."/>
      <w:lvlJc w:val="left"/>
      <w:pPr>
        <w:ind w:left="6144" w:hanging="384"/>
      </w:pPr>
      <w:rPr>
        <w:b/>
        <w:smallCaps w:val="0"/>
        <w:strike w:val="0"/>
        <w:shd w:val="clear" w:color="auto" w:fill="auto"/>
        <w:vertAlign w:val="baseline"/>
      </w:rPr>
    </w:lvl>
    <w:lvl w:ilvl="8">
      <w:start w:val="1"/>
      <w:numFmt w:val="lowerRoman"/>
      <w:lvlText w:val="%9."/>
      <w:lvlJc w:val="left"/>
      <w:pPr>
        <w:ind w:left="6864" w:hanging="304"/>
      </w:pPr>
      <w:rPr>
        <w:b/>
        <w:smallCaps w:val="0"/>
        <w:strike w:val="0"/>
        <w:shd w:val="clear" w:color="auto" w:fill="auto"/>
        <w:vertAlign w:val="baseline"/>
      </w:rPr>
    </w:lvl>
  </w:abstractNum>
  <w:abstractNum w:abstractNumId="2" w15:restartNumberingAfterBreak="0">
    <w:nsid w:val="0B9450CD"/>
    <w:multiLevelType w:val="multilevel"/>
    <w:tmpl w:val="F8821CA2"/>
    <w:lvl w:ilvl="0">
      <w:start w:val="3"/>
      <w:numFmt w:val="upperRoman"/>
      <w:lvlText w:val="%1."/>
      <w:lvlJc w:val="left"/>
      <w:pPr>
        <w:ind w:left="1440" w:hanging="720"/>
      </w:pPr>
      <w:rPr>
        <w:b/>
        <w:smallCaps w:val="0"/>
        <w:strike w:val="0"/>
        <w:shd w:val="clear" w:color="auto" w:fill="auto"/>
        <w:vertAlign w:val="baseline"/>
      </w:rPr>
    </w:lvl>
    <w:lvl w:ilvl="1">
      <w:start w:val="1"/>
      <w:numFmt w:val="lowerLetter"/>
      <w:lvlText w:val="%2."/>
      <w:lvlJc w:val="left"/>
      <w:pPr>
        <w:ind w:left="1824" w:hanging="384"/>
      </w:pPr>
      <w:rPr>
        <w:b/>
        <w:smallCaps w:val="0"/>
        <w:strike w:val="0"/>
        <w:shd w:val="clear" w:color="auto" w:fill="auto"/>
        <w:vertAlign w:val="baseline"/>
      </w:rPr>
    </w:lvl>
    <w:lvl w:ilvl="2">
      <w:start w:val="1"/>
      <w:numFmt w:val="lowerRoman"/>
      <w:lvlText w:val="%3."/>
      <w:lvlJc w:val="left"/>
      <w:pPr>
        <w:ind w:left="2544" w:hanging="304"/>
      </w:pPr>
      <w:rPr>
        <w:b/>
        <w:smallCaps w:val="0"/>
        <w:strike w:val="0"/>
        <w:shd w:val="clear" w:color="auto" w:fill="auto"/>
        <w:vertAlign w:val="baseline"/>
      </w:rPr>
    </w:lvl>
    <w:lvl w:ilvl="3">
      <w:start w:val="1"/>
      <w:numFmt w:val="decimal"/>
      <w:lvlText w:val="%4."/>
      <w:lvlJc w:val="left"/>
      <w:pPr>
        <w:ind w:left="3264" w:hanging="384"/>
      </w:pPr>
      <w:rPr>
        <w:b/>
        <w:smallCaps w:val="0"/>
        <w:strike w:val="0"/>
        <w:shd w:val="clear" w:color="auto" w:fill="auto"/>
        <w:vertAlign w:val="baseline"/>
      </w:rPr>
    </w:lvl>
    <w:lvl w:ilvl="4">
      <w:start w:val="1"/>
      <w:numFmt w:val="lowerLetter"/>
      <w:lvlText w:val="%5."/>
      <w:lvlJc w:val="left"/>
      <w:pPr>
        <w:ind w:left="3984" w:hanging="384"/>
      </w:pPr>
      <w:rPr>
        <w:b/>
        <w:smallCaps w:val="0"/>
        <w:strike w:val="0"/>
        <w:shd w:val="clear" w:color="auto" w:fill="auto"/>
        <w:vertAlign w:val="baseline"/>
      </w:rPr>
    </w:lvl>
    <w:lvl w:ilvl="5">
      <w:start w:val="1"/>
      <w:numFmt w:val="lowerRoman"/>
      <w:lvlText w:val="%6."/>
      <w:lvlJc w:val="left"/>
      <w:pPr>
        <w:ind w:left="4704" w:hanging="304"/>
      </w:pPr>
      <w:rPr>
        <w:b/>
        <w:smallCaps w:val="0"/>
        <w:strike w:val="0"/>
        <w:shd w:val="clear" w:color="auto" w:fill="auto"/>
        <w:vertAlign w:val="baseline"/>
      </w:rPr>
    </w:lvl>
    <w:lvl w:ilvl="6">
      <w:start w:val="1"/>
      <w:numFmt w:val="decimal"/>
      <w:lvlText w:val="%7."/>
      <w:lvlJc w:val="left"/>
      <w:pPr>
        <w:ind w:left="5424" w:hanging="384"/>
      </w:pPr>
      <w:rPr>
        <w:b/>
        <w:smallCaps w:val="0"/>
        <w:strike w:val="0"/>
        <w:shd w:val="clear" w:color="auto" w:fill="auto"/>
        <w:vertAlign w:val="baseline"/>
      </w:rPr>
    </w:lvl>
    <w:lvl w:ilvl="7">
      <w:start w:val="1"/>
      <w:numFmt w:val="lowerLetter"/>
      <w:lvlText w:val="%8."/>
      <w:lvlJc w:val="left"/>
      <w:pPr>
        <w:ind w:left="6144" w:hanging="384"/>
      </w:pPr>
      <w:rPr>
        <w:b/>
        <w:smallCaps w:val="0"/>
        <w:strike w:val="0"/>
        <w:shd w:val="clear" w:color="auto" w:fill="auto"/>
        <w:vertAlign w:val="baseline"/>
      </w:rPr>
    </w:lvl>
    <w:lvl w:ilvl="8">
      <w:start w:val="1"/>
      <w:numFmt w:val="lowerRoman"/>
      <w:lvlText w:val="%9."/>
      <w:lvlJc w:val="left"/>
      <w:pPr>
        <w:ind w:left="6864" w:hanging="304"/>
      </w:pPr>
      <w:rPr>
        <w:b/>
        <w:smallCaps w:val="0"/>
        <w:strike w:val="0"/>
        <w:shd w:val="clear" w:color="auto" w:fill="auto"/>
        <w:vertAlign w:val="baseline"/>
      </w:rPr>
    </w:lvl>
  </w:abstractNum>
  <w:abstractNum w:abstractNumId="3" w15:restartNumberingAfterBreak="0">
    <w:nsid w:val="0E8536C5"/>
    <w:multiLevelType w:val="hybridMultilevel"/>
    <w:tmpl w:val="A0E2B0B4"/>
    <w:styleLink w:val="EstiloImportado13"/>
    <w:lvl w:ilvl="0" w:tplc="69F2C39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8E4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8B8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21CA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227B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063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20F7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C67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03F1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F9B5374"/>
    <w:multiLevelType w:val="multilevel"/>
    <w:tmpl w:val="7CA087DC"/>
    <w:lvl w:ilvl="0">
      <w:start w:val="5"/>
      <w:numFmt w:val="upperRoman"/>
      <w:lvlText w:val="%1."/>
      <w:lvlJc w:val="left"/>
      <w:pPr>
        <w:ind w:left="1440" w:hanging="720"/>
      </w:pPr>
      <w:rPr>
        <w:b/>
        <w:smallCaps w:val="0"/>
        <w:strike w:val="0"/>
        <w:shd w:val="clear" w:color="auto" w:fill="auto"/>
        <w:vertAlign w:val="baseline"/>
      </w:rPr>
    </w:lvl>
    <w:lvl w:ilvl="1">
      <w:start w:val="1"/>
      <w:numFmt w:val="lowerLetter"/>
      <w:lvlText w:val="%2."/>
      <w:lvlJc w:val="left"/>
      <w:pPr>
        <w:ind w:left="1824" w:hanging="384"/>
      </w:pPr>
      <w:rPr>
        <w:b/>
        <w:smallCaps w:val="0"/>
        <w:strike w:val="0"/>
        <w:shd w:val="clear" w:color="auto" w:fill="auto"/>
        <w:vertAlign w:val="baseline"/>
      </w:rPr>
    </w:lvl>
    <w:lvl w:ilvl="2">
      <w:start w:val="1"/>
      <w:numFmt w:val="lowerRoman"/>
      <w:lvlText w:val="%3."/>
      <w:lvlJc w:val="left"/>
      <w:pPr>
        <w:ind w:left="2544" w:hanging="304"/>
      </w:pPr>
      <w:rPr>
        <w:b/>
        <w:smallCaps w:val="0"/>
        <w:strike w:val="0"/>
        <w:shd w:val="clear" w:color="auto" w:fill="auto"/>
        <w:vertAlign w:val="baseline"/>
      </w:rPr>
    </w:lvl>
    <w:lvl w:ilvl="3">
      <w:start w:val="1"/>
      <w:numFmt w:val="decimal"/>
      <w:lvlText w:val="%4."/>
      <w:lvlJc w:val="left"/>
      <w:pPr>
        <w:ind w:left="3264" w:hanging="384"/>
      </w:pPr>
      <w:rPr>
        <w:b/>
        <w:smallCaps w:val="0"/>
        <w:strike w:val="0"/>
        <w:shd w:val="clear" w:color="auto" w:fill="auto"/>
        <w:vertAlign w:val="baseline"/>
      </w:rPr>
    </w:lvl>
    <w:lvl w:ilvl="4">
      <w:start w:val="1"/>
      <w:numFmt w:val="lowerLetter"/>
      <w:lvlText w:val="%5."/>
      <w:lvlJc w:val="left"/>
      <w:pPr>
        <w:ind w:left="3984" w:hanging="384"/>
      </w:pPr>
      <w:rPr>
        <w:b/>
        <w:smallCaps w:val="0"/>
        <w:strike w:val="0"/>
        <w:shd w:val="clear" w:color="auto" w:fill="auto"/>
        <w:vertAlign w:val="baseline"/>
      </w:rPr>
    </w:lvl>
    <w:lvl w:ilvl="5">
      <w:start w:val="1"/>
      <w:numFmt w:val="lowerRoman"/>
      <w:lvlText w:val="%6."/>
      <w:lvlJc w:val="left"/>
      <w:pPr>
        <w:ind w:left="4704" w:hanging="304"/>
      </w:pPr>
      <w:rPr>
        <w:b/>
        <w:smallCaps w:val="0"/>
        <w:strike w:val="0"/>
        <w:shd w:val="clear" w:color="auto" w:fill="auto"/>
        <w:vertAlign w:val="baseline"/>
      </w:rPr>
    </w:lvl>
    <w:lvl w:ilvl="6">
      <w:start w:val="1"/>
      <w:numFmt w:val="decimal"/>
      <w:lvlText w:val="%7."/>
      <w:lvlJc w:val="left"/>
      <w:pPr>
        <w:ind w:left="5424" w:hanging="384"/>
      </w:pPr>
      <w:rPr>
        <w:b/>
        <w:smallCaps w:val="0"/>
        <w:strike w:val="0"/>
        <w:shd w:val="clear" w:color="auto" w:fill="auto"/>
        <w:vertAlign w:val="baseline"/>
      </w:rPr>
    </w:lvl>
    <w:lvl w:ilvl="7">
      <w:start w:val="1"/>
      <w:numFmt w:val="lowerLetter"/>
      <w:lvlText w:val="%8."/>
      <w:lvlJc w:val="left"/>
      <w:pPr>
        <w:ind w:left="6144" w:hanging="384"/>
      </w:pPr>
      <w:rPr>
        <w:b/>
        <w:smallCaps w:val="0"/>
        <w:strike w:val="0"/>
        <w:shd w:val="clear" w:color="auto" w:fill="auto"/>
        <w:vertAlign w:val="baseline"/>
      </w:rPr>
    </w:lvl>
    <w:lvl w:ilvl="8">
      <w:start w:val="1"/>
      <w:numFmt w:val="lowerRoman"/>
      <w:lvlText w:val="%9."/>
      <w:lvlJc w:val="left"/>
      <w:pPr>
        <w:ind w:left="6864" w:hanging="304"/>
      </w:pPr>
      <w:rPr>
        <w:b/>
        <w:smallCaps w:val="0"/>
        <w:strike w:val="0"/>
        <w:shd w:val="clear" w:color="auto" w:fill="auto"/>
        <w:vertAlign w:val="baseline"/>
      </w:rPr>
    </w:lvl>
  </w:abstractNum>
  <w:abstractNum w:abstractNumId="5" w15:restartNumberingAfterBreak="0">
    <w:nsid w:val="0FBE4AD9"/>
    <w:multiLevelType w:val="hybridMultilevel"/>
    <w:tmpl w:val="B8AA082C"/>
    <w:lvl w:ilvl="0" w:tplc="CA64ED56">
      <w:start w:val="1"/>
      <w:numFmt w:val="bullet"/>
      <w:lvlText w:val=""/>
      <w:lvlJc w:val="left"/>
      <w:pPr>
        <w:ind w:left="720" w:hanging="360"/>
      </w:pPr>
      <w:rPr>
        <w:rFonts w:ascii="Symbol" w:hAnsi="Symbol" w:hint="default"/>
      </w:rPr>
    </w:lvl>
    <w:lvl w:ilvl="1" w:tplc="88B897FA">
      <w:start w:val="1"/>
      <w:numFmt w:val="bullet"/>
      <w:lvlText w:val="o"/>
      <w:lvlJc w:val="left"/>
      <w:pPr>
        <w:ind w:left="1440" w:hanging="360"/>
      </w:pPr>
      <w:rPr>
        <w:rFonts w:ascii="Courier New" w:hAnsi="Courier New" w:hint="default"/>
      </w:rPr>
    </w:lvl>
    <w:lvl w:ilvl="2" w:tplc="C68EA756">
      <w:start w:val="1"/>
      <w:numFmt w:val="bullet"/>
      <w:lvlText w:val=""/>
      <w:lvlJc w:val="left"/>
      <w:pPr>
        <w:ind w:left="2160" w:hanging="360"/>
      </w:pPr>
      <w:rPr>
        <w:rFonts w:ascii="Wingdings" w:hAnsi="Wingdings" w:hint="default"/>
      </w:rPr>
    </w:lvl>
    <w:lvl w:ilvl="3" w:tplc="3E70B60A">
      <w:start w:val="1"/>
      <w:numFmt w:val="bullet"/>
      <w:lvlText w:val=""/>
      <w:lvlJc w:val="left"/>
      <w:pPr>
        <w:ind w:left="2880" w:hanging="360"/>
      </w:pPr>
      <w:rPr>
        <w:rFonts w:ascii="Symbol" w:hAnsi="Symbol" w:hint="default"/>
      </w:rPr>
    </w:lvl>
    <w:lvl w:ilvl="4" w:tplc="22602652">
      <w:start w:val="1"/>
      <w:numFmt w:val="bullet"/>
      <w:lvlText w:val="o"/>
      <w:lvlJc w:val="left"/>
      <w:pPr>
        <w:ind w:left="3600" w:hanging="360"/>
      </w:pPr>
      <w:rPr>
        <w:rFonts w:ascii="Courier New" w:hAnsi="Courier New" w:hint="default"/>
      </w:rPr>
    </w:lvl>
    <w:lvl w:ilvl="5" w:tplc="84A8C1BC">
      <w:start w:val="1"/>
      <w:numFmt w:val="bullet"/>
      <w:lvlText w:val=""/>
      <w:lvlJc w:val="left"/>
      <w:pPr>
        <w:ind w:left="4320" w:hanging="360"/>
      </w:pPr>
      <w:rPr>
        <w:rFonts w:ascii="Wingdings" w:hAnsi="Wingdings" w:hint="default"/>
      </w:rPr>
    </w:lvl>
    <w:lvl w:ilvl="6" w:tplc="C1927A92">
      <w:start w:val="1"/>
      <w:numFmt w:val="bullet"/>
      <w:lvlText w:val=""/>
      <w:lvlJc w:val="left"/>
      <w:pPr>
        <w:ind w:left="5040" w:hanging="360"/>
      </w:pPr>
      <w:rPr>
        <w:rFonts w:ascii="Symbol" w:hAnsi="Symbol" w:hint="default"/>
      </w:rPr>
    </w:lvl>
    <w:lvl w:ilvl="7" w:tplc="DA26648A">
      <w:start w:val="1"/>
      <w:numFmt w:val="bullet"/>
      <w:lvlText w:val="o"/>
      <w:lvlJc w:val="left"/>
      <w:pPr>
        <w:ind w:left="5760" w:hanging="360"/>
      </w:pPr>
      <w:rPr>
        <w:rFonts w:ascii="Courier New" w:hAnsi="Courier New" w:hint="default"/>
      </w:rPr>
    </w:lvl>
    <w:lvl w:ilvl="8" w:tplc="7494ED4E">
      <w:start w:val="1"/>
      <w:numFmt w:val="bullet"/>
      <w:lvlText w:val=""/>
      <w:lvlJc w:val="left"/>
      <w:pPr>
        <w:ind w:left="6480" w:hanging="360"/>
      </w:pPr>
      <w:rPr>
        <w:rFonts w:ascii="Wingdings" w:hAnsi="Wingdings" w:hint="default"/>
      </w:rPr>
    </w:lvl>
  </w:abstractNum>
  <w:abstractNum w:abstractNumId="6" w15:restartNumberingAfterBreak="0">
    <w:nsid w:val="148617E3"/>
    <w:multiLevelType w:val="hybridMultilevel"/>
    <w:tmpl w:val="43C8A4B8"/>
    <w:styleLink w:val="EstiloImportado4"/>
    <w:lvl w:ilvl="0" w:tplc="C714DE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48DF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CC00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2E6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A2F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8BC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251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C6C7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70F3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5EB15D2"/>
    <w:multiLevelType w:val="hybridMultilevel"/>
    <w:tmpl w:val="8B3CF3C6"/>
    <w:styleLink w:val="EstiloImportado12"/>
    <w:lvl w:ilvl="0" w:tplc="8EC254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EBB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A8B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0208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D610B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A2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C29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BA17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8675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6EA51F2"/>
    <w:multiLevelType w:val="multilevel"/>
    <w:tmpl w:val="1226965E"/>
    <w:lvl w:ilvl="0">
      <w:start w:val="6"/>
      <w:numFmt w:val="upperRoman"/>
      <w:lvlText w:val="%1."/>
      <w:lvlJc w:val="left"/>
      <w:pPr>
        <w:ind w:left="1440" w:hanging="720"/>
      </w:pPr>
      <w:rPr>
        <w:b/>
        <w:smallCaps w:val="0"/>
        <w:strike w:val="0"/>
        <w:shd w:val="clear" w:color="auto" w:fill="auto"/>
        <w:vertAlign w:val="baseline"/>
      </w:rPr>
    </w:lvl>
    <w:lvl w:ilvl="1">
      <w:start w:val="1"/>
      <w:numFmt w:val="lowerLetter"/>
      <w:lvlText w:val="%2."/>
      <w:lvlJc w:val="left"/>
      <w:pPr>
        <w:ind w:left="1824" w:hanging="384"/>
      </w:pPr>
      <w:rPr>
        <w:b/>
        <w:smallCaps w:val="0"/>
        <w:strike w:val="0"/>
        <w:shd w:val="clear" w:color="auto" w:fill="auto"/>
        <w:vertAlign w:val="baseline"/>
      </w:rPr>
    </w:lvl>
    <w:lvl w:ilvl="2">
      <w:start w:val="1"/>
      <w:numFmt w:val="lowerRoman"/>
      <w:lvlText w:val="%3."/>
      <w:lvlJc w:val="left"/>
      <w:pPr>
        <w:ind w:left="2544" w:hanging="304"/>
      </w:pPr>
      <w:rPr>
        <w:b/>
        <w:smallCaps w:val="0"/>
        <w:strike w:val="0"/>
        <w:shd w:val="clear" w:color="auto" w:fill="auto"/>
        <w:vertAlign w:val="baseline"/>
      </w:rPr>
    </w:lvl>
    <w:lvl w:ilvl="3">
      <w:start w:val="1"/>
      <w:numFmt w:val="decimal"/>
      <w:lvlText w:val="%4."/>
      <w:lvlJc w:val="left"/>
      <w:pPr>
        <w:ind w:left="3264" w:hanging="384"/>
      </w:pPr>
      <w:rPr>
        <w:b/>
        <w:smallCaps w:val="0"/>
        <w:strike w:val="0"/>
        <w:shd w:val="clear" w:color="auto" w:fill="auto"/>
        <w:vertAlign w:val="baseline"/>
      </w:rPr>
    </w:lvl>
    <w:lvl w:ilvl="4">
      <w:start w:val="1"/>
      <w:numFmt w:val="lowerLetter"/>
      <w:lvlText w:val="%5."/>
      <w:lvlJc w:val="left"/>
      <w:pPr>
        <w:ind w:left="3984" w:hanging="384"/>
      </w:pPr>
      <w:rPr>
        <w:b/>
        <w:smallCaps w:val="0"/>
        <w:strike w:val="0"/>
        <w:shd w:val="clear" w:color="auto" w:fill="auto"/>
        <w:vertAlign w:val="baseline"/>
      </w:rPr>
    </w:lvl>
    <w:lvl w:ilvl="5">
      <w:start w:val="1"/>
      <w:numFmt w:val="lowerRoman"/>
      <w:lvlText w:val="%6."/>
      <w:lvlJc w:val="left"/>
      <w:pPr>
        <w:ind w:left="4704" w:hanging="304"/>
      </w:pPr>
      <w:rPr>
        <w:b/>
        <w:smallCaps w:val="0"/>
        <w:strike w:val="0"/>
        <w:shd w:val="clear" w:color="auto" w:fill="auto"/>
        <w:vertAlign w:val="baseline"/>
      </w:rPr>
    </w:lvl>
    <w:lvl w:ilvl="6">
      <w:start w:val="1"/>
      <w:numFmt w:val="decimal"/>
      <w:lvlText w:val="%7."/>
      <w:lvlJc w:val="left"/>
      <w:pPr>
        <w:ind w:left="5424" w:hanging="384"/>
      </w:pPr>
      <w:rPr>
        <w:b/>
        <w:smallCaps w:val="0"/>
        <w:strike w:val="0"/>
        <w:shd w:val="clear" w:color="auto" w:fill="auto"/>
        <w:vertAlign w:val="baseline"/>
      </w:rPr>
    </w:lvl>
    <w:lvl w:ilvl="7">
      <w:start w:val="1"/>
      <w:numFmt w:val="lowerLetter"/>
      <w:lvlText w:val="%8."/>
      <w:lvlJc w:val="left"/>
      <w:pPr>
        <w:ind w:left="6144" w:hanging="384"/>
      </w:pPr>
      <w:rPr>
        <w:b/>
        <w:smallCaps w:val="0"/>
        <w:strike w:val="0"/>
        <w:shd w:val="clear" w:color="auto" w:fill="auto"/>
        <w:vertAlign w:val="baseline"/>
      </w:rPr>
    </w:lvl>
    <w:lvl w:ilvl="8">
      <w:start w:val="1"/>
      <w:numFmt w:val="lowerRoman"/>
      <w:lvlText w:val="%9."/>
      <w:lvlJc w:val="left"/>
      <w:pPr>
        <w:ind w:left="6864" w:hanging="304"/>
      </w:pPr>
      <w:rPr>
        <w:b/>
        <w:smallCaps w:val="0"/>
        <w:strike w:val="0"/>
        <w:shd w:val="clear" w:color="auto" w:fill="auto"/>
        <w:vertAlign w:val="baseline"/>
      </w:rPr>
    </w:lvl>
  </w:abstractNum>
  <w:abstractNum w:abstractNumId="9" w15:restartNumberingAfterBreak="0">
    <w:nsid w:val="1E5E4317"/>
    <w:multiLevelType w:val="hybridMultilevel"/>
    <w:tmpl w:val="FFF03946"/>
    <w:lvl w:ilvl="0" w:tplc="184C6C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11EE5"/>
    <w:multiLevelType w:val="hybridMultilevel"/>
    <w:tmpl w:val="FAE25F6E"/>
    <w:styleLink w:val="EstiloImportado1"/>
    <w:lvl w:ilvl="0" w:tplc="6CF442E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E0817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806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879F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64406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28715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4008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C68A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A58F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B3A1337"/>
    <w:multiLevelType w:val="hybridMultilevel"/>
    <w:tmpl w:val="D51C4C5A"/>
    <w:styleLink w:val="EstiloImportado10"/>
    <w:lvl w:ilvl="0" w:tplc="AD16B0C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228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CC92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92F7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842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0075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FE31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45B1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E03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D401F9E"/>
    <w:multiLevelType w:val="multilevel"/>
    <w:tmpl w:val="5662695C"/>
    <w:lvl w:ilvl="0">
      <w:start w:val="1"/>
      <w:numFmt w:val="decimal"/>
      <w:lvlText w:val="%1."/>
      <w:lvlJc w:val="left"/>
      <w:pPr>
        <w:ind w:left="0" w:firstLine="72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7D588E"/>
    <w:multiLevelType w:val="hybridMultilevel"/>
    <w:tmpl w:val="1870F31C"/>
    <w:styleLink w:val="EstiloImportado11"/>
    <w:lvl w:ilvl="0" w:tplc="0B203B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78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271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1AFB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C8B0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235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623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74E3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D2E2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1A67CE8"/>
    <w:multiLevelType w:val="hybridMultilevel"/>
    <w:tmpl w:val="4338331A"/>
    <w:styleLink w:val="EstiloImportado5"/>
    <w:lvl w:ilvl="0" w:tplc="CD3C17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4A78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A5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9406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38BB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40C8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EE90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4019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BEF4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8734A80"/>
    <w:multiLevelType w:val="hybridMultilevel"/>
    <w:tmpl w:val="B476C0C8"/>
    <w:styleLink w:val="EstiloImportado8"/>
    <w:lvl w:ilvl="0" w:tplc="33B06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8E4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CDC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72D76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2D6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E78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5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073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41A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05779D8"/>
    <w:multiLevelType w:val="multilevel"/>
    <w:tmpl w:val="3EE2F92E"/>
    <w:lvl w:ilvl="0">
      <w:start w:val="2"/>
      <w:numFmt w:val="upperRoman"/>
      <w:lvlText w:val="%1."/>
      <w:lvlJc w:val="left"/>
      <w:pPr>
        <w:ind w:left="1440" w:hanging="720"/>
      </w:pPr>
      <w:rPr>
        <w:b/>
        <w:smallCaps w:val="0"/>
        <w:strike w:val="0"/>
        <w:shd w:val="clear" w:color="auto" w:fill="auto"/>
        <w:vertAlign w:val="baseline"/>
      </w:rPr>
    </w:lvl>
    <w:lvl w:ilvl="1">
      <w:start w:val="1"/>
      <w:numFmt w:val="lowerLetter"/>
      <w:lvlText w:val="%2."/>
      <w:lvlJc w:val="left"/>
      <w:pPr>
        <w:ind w:left="1824" w:hanging="384"/>
      </w:pPr>
      <w:rPr>
        <w:b/>
        <w:smallCaps w:val="0"/>
        <w:strike w:val="0"/>
        <w:shd w:val="clear" w:color="auto" w:fill="auto"/>
        <w:vertAlign w:val="baseline"/>
      </w:rPr>
    </w:lvl>
    <w:lvl w:ilvl="2">
      <w:start w:val="1"/>
      <w:numFmt w:val="lowerRoman"/>
      <w:lvlText w:val="%3."/>
      <w:lvlJc w:val="left"/>
      <w:pPr>
        <w:ind w:left="2544" w:hanging="304"/>
      </w:pPr>
      <w:rPr>
        <w:b/>
        <w:smallCaps w:val="0"/>
        <w:strike w:val="0"/>
        <w:shd w:val="clear" w:color="auto" w:fill="auto"/>
        <w:vertAlign w:val="baseline"/>
      </w:rPr>
    </w:lvl>
    <w:lvl w:ilvl="3">
      <w:start w:val="1"/>
      <w:numFmt w:val="decimal"/>
      <w:lvlText w:val="%4."/>
      <w:lvlJc w:val="left"/>
      <w:pPr>
        <w:ind w:left="3264" w:hanging="384"/>
      </w:pPr>
      <w:rPr>
        <w:b/>
        <w:smallCaps w:val="0"/>
        <w:strike w:val="0"/>
        <w:shd w:val="clear" w:color="auto" w:fill="auto"/>
        <w:vertAlign w:val="baseline"/>
      </w:rPr>
    </w:lvl>
    <w:lvl w:ilvl="4">
      <w:start w:val="1"/>
      <w:numFmt w:val="lowerLetter"/>
      <w:lvlText w:val="%5."/>
      <w:lvlJc w:val="left"/>
      <w:pPr>
        <w:ind w:left="3984" w:hanging="384"/>
      </w:pPr>
      <w:rPr>
        <w:b/>
        <w:smallCaps w:val="0"/>
        <w:strike w:val="0"/>
        <w:shd w:val="clear" w:color="auto" w:fill="auto"/>
        <w:vertAlign w:val="baseline"/>
      </w:rPr>
    </w:lvl>
    <w:lvl w:ilvl="5">
      <w:start w:val="1"/>
      <w:numFmt w:val="lowerRoman"/>
      <w:lvlText w:val="%6."/>
      <w:lvlJc w:val="left"/>
      <w:pPr>
        <w:ind w:left="4704" w:hanging="304"/>
      </w:pPr>
      <w:rPr>
        <w:b/>
        <w:smallCaps w:val="0"/>
        <w:strike w:val="0"/>
        <w:shd w:val="clear" w:color="auto" w:fill="auto"/>
        <w:vertAlign w:val="baseline"/>
      </w:rPr>
    </w:lvl>
    <w:lvl w:ilvl="6">
      <w:start w:val="1"/>
      <w:numFmt w:val="decimal"/>
      <w:lvlText w:val="%7."/>
      <w:lvlJc w:val="left"/>
      <w:pPr>
        <w:ind w:left="5424" w:hanging="384"/>
      </w:pPr>
      <w:rPr>
        <w:b/>
        <w:smallCaps w:val="0"/>
        <w:strike w:val="0"/>
        <w:shd w:val="clear" w:color="auto" w:fill="auto"/>
        <w:vertAlign w:val="baseline"/>
      </w:rPr>
    </w:lvl>
    <w:lvl w:ilvl="7">
      <w:start w:val="1"/>
      <w:numFmt w:val="lowerLetter"/>
      <w:lvlText w:val="%8."/>
      <w:lvlJc w:val="left"/>
      <w:pPr>
        <w:ind w:left="6144" w:hanging="384"/>
      </w:pPr>
      <w:rPr>
        <w:b/>
        <w:smallCaps w:val="0"/>
        <w:strike w:val="0"/>
        <w:shd w:val="clear" w:color="auto" w:fill="auto"/>
        <w:vertAlign w:val="baseline"/>
      </w:rPr>
    </w:lvl>
    <w:lvl w:ilvl="8">
      <w:start w:val="1"/>
      <w:numFmt w:val="lowerRoman"/>
      <w:lvlText w:val="%9."/>
      <w:lvlJc w:val="left"/>
      <w:pPr>
        <w:ind w:left="6864" w:hanging="304"/>
      </w:pPr>
      <w:rPr>
        <w:b/>
        <w:smallCaps w:val="0"/>
        <w:strike w:val="0"/>
        <w:shd w:val="clear" w:color="auto" w:fill="auto"/>
        <w:vertAlign w:val="baseline"/>
      </w:rPr>
    </w:lvl>
  </w:abstractNum>
  <w:abstractNum w:abstractNumId="17" w15:restartNumberingAfterBreak="0">
    <w:nsid w:val="4C6054CB"/>
    <w:multiLevelType w:val="hybridMultilevel"/>
    <w:tmpl w:val="4D8A0BA4"/>
    <w:styleLink w:val="EstiloImportado9"/>
    <w:lvl w:ilvl="0" w:tplc="E2DEFD32">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CBF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E69E4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969C5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F6266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A0ED3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D4A99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CB58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E48F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C69844D"/>
    <w:multiLevelType w:val="hybridMultilevel"/>
    <w:tmpl w:val="4AC867F6"/>
    <w:lvl w:ilvl="0" w:tplc="C5EED6DC">
      <w:start w:val="1"/>
      <w:numFmt w:val="bullet"/>
      <w:lvlText w:val=""/>
      <w:lvlJc w:val="left"/>
      <w:pPr>
        <w:ind w:left="720" w:hanging="360"/>
      </w:pPr>
      <w:rPr>
        <w:rFonts w:ascii="Symbol" w:hAnsi="Symbol" w:hint="default"/>
      </w:rPr>
    </w:lvl>
    <w:lvl w:ilvl="1" w:tplc="6AFA855A">
      <w:start w:val="1"/>
      <w:numFmt w:val="bullet"/>
      <w:lvlText w:val="o"/>
      <w:lvlJc w:val="left"/>
      <w:pPr>
        <w:ind w:left="1440" w:hanging="360"/>
      </w:pPr>
      <w:rPr>
        <w:rFonts w:ascii="Courier New" w:hAnsi="Courier New" w:hint="default"/>
      </w:rPr>
    </w:lvl>
    <w:lvl w:ilvl="2" w:tplc="502034FC">
      <w:start w:val="1"/>
      <w:numFmt w:val="bullet"/>
      <w:lvlText w:val=""/>
      <w:lvlJc w:val="left"/>
      <w:pPr>
        <w:ind w:left="2160" w:hanging="360"/>
      </w:pPr>
      <w:rPr>
        <w:rFonts w:ascii="Wingdings" w:hAnsi="Wingdings" w:hint="default"/>
      </w:rPr>
    </w:lvl>
    <w:lvl w:ilvl="3" w:tplc="14EAD432">
      <w:start w:val="1"/>
      <w:numFmt w:val="bullet"/>
      <w:lvlText w:val=""/>
      <w:lvlJc w:val="left"/>
      <w:pPr>
        <w:ind w:left="2880" w:hanging="360"/>
      </w:pPr>
      <w:rPr>
        <w:rFonts w:ascii="Symbol" w:hAnsi="Symbol" w:hint="default"/>
      </w:rPr>
    </w:lvl>
    <w:lvl w:ilvl="4" w:tplc="FD868998">
      <w:start w:val="1"/>
      <w:numFmt w:val="bullet"/>
      <w:lvlText w:val="o"/>
      <w:lvlJc w:val="left"/>
      <w:pPr>
        <w:ind w:left="3600" w:hanging="360"/>
      </w:pPr>
      <w:rPr>
        <w:rFonts w:ascii="Courier New" w:hAnsi="Courier New" w:hint="default"/>
      </w:rPr>
    </w:lvl>
    <w:lvl w:ilvl="5" w:tplc="1764CFEC">
      <w:start w:val="1"/>
      <w:numFmt w:val="bullet"/>
      <w:lvlText w:val=""/>
      <w:lvlJc w:val="left"/>
      <w:pPr>
        <w:ind w:left="4320" w:hanging="360"/>
      </w:pPr>
      <w:rPr>
        <w:rFonts w:ascii="Wingdings" w:hAnsi="Wingdings" w:hint="default"/>
      </w:rPr>
    </w:lvl>
    <w:lvl w:ilvl="6" w:tplc="4D648C74">
      <w:start w:val="1"/>
      <w:numFmt w:val="bullet"/>
      <w:lvlText w:val=""/>
      <w:lvlJc w:val="left"/>
      <w:pPr>
        <w:ind w:left="5040" w:hanging="360"/>
      </w:pPr>
      <w:rPr>
        <w:rFonts w:ascii="Symbol" w:hAnsi="Symbol" w:hint="default"/>
      </w:rPr>
    </w:lvl>
    <w:lvl w:ilvl="7" w:tplc="DCCADA90">
      <w:start w:val="1"/>
      <w:numFmt w:val="bullet"/>
      <w:lvlText w:val="o"/>
      <w:lvlJc w:val="left"/>
      <w:pPr>
        <w:ind w:left="5760" w:hanging="360"/>
      </w:pPr>
      <w:rPr>
        <w:rFonts w:ascii="Courier New" w:hAnsi="Courier New" w:hint="default"/>
      </w:rPr>
    </w:lvl>
    <w:lvl w:ilvl="8" w:tplc="5CAC9B5E">
      <w:start w:val="1"/>
      <w:numFmt w:val="bullet"/>
      <w:lvlText w:val=""/>
      <w:lvlJc w:val="left"/>
      <w:pPr>
        <w:ind w:left="6480" w:hanging="360"/>
      </w:pPr>
      <w:rPr>
        <w:rFonts w:ascii="Wingdings" w:hAnsi="Wingdings" w:hint="default"/>
      </w:rPr>
    </w:lvl>
  </w:abstractNum>
  <w:abstractNum w:abstractNumId="19" w15:restartNumberingAfterBreak="0">
    <w:nsid w:val="52000377"/>
    <w:multiLevelType w:val="hybridMultilevel"/>
    <w:tmpl w:val="2322560C"/>
    <w:styleLink w:val="EstiloImportado2"/>
    <w:lvl w:ilvl="0" w:tplc="5D8C3A7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ACECF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00F43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7E006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2381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3CDB1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2CCE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88F5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2BE4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3D1475E"/>
    <w:multiLevelType w:val="hybridMultilevel"/>
    <w:tmpl w:val="3184DEE2"/>
    <w:styleLink w:val="EstiloImportado14"/>
    <w:lvl w:ilvl="0" w:tplc="39EEE53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56B8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6396E">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E4DD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AC8F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81EA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42D06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4CF3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A489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4D41D9D"/>
    <w:multiLevelType w:val="hybridMultilevel"/>
    <w:tmpl w:val="816CA44A"/>
    <w:styleLink w:val="EstiloImportado3"/>
    <w:lvl w:ilvl="0" w:tplc="27E49E3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22F35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763B6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9005C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A509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869AA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8B6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9C58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A4227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D0D7F58"/>
    <w:multiLevelType w:val="multilevel"/>
    <w:tmpl w:val="37225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3AF58B6"/>
    <w:multiLevelType w:val="hybridMultilevel"/>
    <w:tmpl w:val="2902B6E0"/>
    <w:lvl w:ilvl="0" w:tplc="2B302712">
      <w:start w:val="1"/>
      <w:numFmt w:val="decimal"/>
      <w:lvlText w:val="%1."/>
      <w:lvlJc w:val="left"/>
      <w:pPr>
        <w:ind w:left="720" w:hanging="360"/>
      </w:pPr>
    </w:lvl>
    <w:lvl w:ilvl="1" w:tplc="3626AF7C">
      <w:start w:val="1"/>
      <w:numFmt w:val="lowerLetter"/>
      <w:lvlText w:val="%2."/>
      <w:lvlJc w:val="left"/>
      <w:pPr>
        <w:ind w:left="1440" w:hanging="360"/>
      </w:pPr>
    </w:lvl>
    <w:lvl w:ilvl="2" w:tplc="C444ECC6">
      <w:start w:val="1"/>
      <w:numFmt w:val="lowerRoman"/>
      <w:lvlText w:val="%3."/>
      <w:lvlJc w:val="right"/>
      <w:pPr>
        <w:ind w:left="2160" w:hanging="180"/>
      </w:pPr>
    </w:lvl>
    <w:lvl w:ilvl="3" w:tplc="0A220690">
      <w:start w:val="1"/>
      <w:numFmt w:val="decimal"/>
      <w:lvlText w:val="%4."/>
      <w:lvlJc w:val="left"/>
      <w:pPr>
        <w:ind w:left="2880" w:hanging="360"/>
      </w:pPr>
    </w:lvl>
    <w:lvl w:ilvl="4" w:tplc="1696CAC6">
      <w:start w:val="1"/>
      <w:numFmt w:val="lowerLetter"/>
      <w:lvlText w:val="%5."/>
      <w:lvlJc w:val="left"/>
      <w:pPr>
        <w:ind w:left="3600" w:hanging="360"/>
      </w:pPr>
    </w:lvl>
    <w:lvl w:ilvl="5" w:tplc="822A25FA">
      <w:start w:val="1"/>
      <w:numFmt w:val="lowerRoman"/>
      <w:lvlText w:val="%6."/>
      <w:lvlJc w:val="right"/>
      <w:pPr>
        <w:ind w:left="4320" w:hanging="180"/>
      </w:pPr>
    </w:lvl>
    <w:lvl w:ilvl="6" w:tplc="6BB80DF4">
      <w:start w:val="1"/>
      <w:numFmt w:val="decimal"/>
      <w:lvlText w:val="%7."/>
      <w:lvlJc w:val="left"/>
      <w:pPr>
        <w:ind w:left="5040" w:hanging="360"/>
      </w:pPr>
    </w:lvl>
    <w:lvl w:ilvl="7" w:tplc="87EE36F4">
      <w:start w:val="1"/>
      <w:numFmt w:val="lowerLetter"/>
      <w:lvlText w:val="%8."/>
      <w:lvlJc w:val="left"/>
      <w:pPr>
        <w:ind w:left="5760" w:hanging="360"/>
      </w:pPr>
    </w:lvl>
    <w:lvl w:ilvl="8" w:tplc="B71C58A8">
      <w:start w:val="1"/>
      <w:numFmt w:val="lowerRoman"/>
      <w:lvlText w:val="%9."/>
      <w:lvlJc w:val="right"/>
      <w:pPr>
        <w:ind w:left="6480" w:hanging="180"/>
      </w:pPr>
    </w:lvl>
  </w:abstractNum>
  <w:abstractNum w:abstractNumId="24" w15:restartNumberingAfterBreak="0">
    <w:nsid w:val="69315348"/>
    <w:multiLevelType w:val="multilevel"/>
    <w:tmpl w:val="630E80F2"/>
    <w:lvl w:ilvl="0">
      <w:start w:val="4"/>
      <w:numFmt w:val="upperRoman"/>
      <w:lvlText w:val="%1."/>
      <w:lvlJc w:val="left"/>
      <w:pPr>
        <w:ind w:left="1440" w:hanging="720"/>
      </w:pPr>
      <w:rPr>
        <w:b/>
        <w:smallCaps w:val="0"/>
        <w:strike w:val="0"/>
        <w:shd w:val="clear" w:color="auto" w:fill="auto"/>
        <w:vertAlign w:val="baseline"/>
      </w:rPr>
    </w:lvl>
    <w:lvl w:ilvl="1">
      <w:start w:val="1"/>
      <w:numFmt w:val="lowerLetter"/>
      <w:lvlText w:val="%2."/>
      <w:lvlJc w:val="left"/>
      <w:pPr>
        <w:ind w:left="1824" w:hanging="384"/>
      </w:pPr>
      <w:rPr>
        <w:b/>
        <w:smallCaps w:val="0"/>
        <w:strike w:val="0"/>
        <w:shd w:val="clear" w:color="auto" w:fill="auto"/>
        <w:vertAlign w:val="baseline"/>
      </w:rPr>
    </w:lvl>
    <w:lvl w:ilvl="2">
      <w:start w:val="1"/>
      <w:numFmt w:val="lowerRoman"/>
      <w:lvlText w:val="%3."/>
      <w:lvlJc w:val="left"/>
      <w:pPr>
        <w:ind w:left="2544" w:hanging="304"/>
      </w:pPr>
      <w:rPr>
        <w:b/>
        <w:smallCaps w:val="0"/>
        <w:strike w:val="0"/>
        <w:shd w:val="clear" w:color="auto" w:fill="auto"/>
        <w:vertAlign w:val="baseline"/>
      </w:rPr>
    </w:lvl>
    <w:lvl w:ilvl="3">
      <w:start w:val="1"/>
      <w:numFmt w:val="decimal"/>
      <w:lvlText w:val="%4."/>
      <w:lvlJc w:val="left"/>
      <w:pPr>
        <w:ind w:left="3264" w:hanging="384"/>
      </w:pPr>
      <w:rPr>
        <w:b/>
        <w:smallCaps w:val="0"/>
        <w:strike w:val="0"/>
        <w:shd w:val="clear" w:color="auto" w:fill="auto"/>
        <w:vertAlign w:val="baseline"/>
      </w:rPr>
    </w:lvl>
    <w:lvl w:ilvl="4">
      <w:start w:val="1"/>
      <w:numFmt w:val="lowerLetter"/>
      <w:lvlText w:val="%5."/>
      <w:lvlJc w:val="left"/>
      <w:pPr>
        <w:ind w:left="3984" w:hanging="384"/>
      </w:pPr>
      <w:rPr>
        <w:b/>
        <w:smallCaps w:val="0"/>
        <w:strike w:val="0"/>
        <w:shd w:val="clear" w:color="auto" w:fill="auto"/>
        <w:vertAlign w:val="baseline"/>
      </w:rPr>
    </w:lvl>
    <w:lvl w:ilvl="5">
      <w:start w:val="1"/>
      <w:numFmt w:val="lowerRoman"/>
      <w:lvlText w:val="%6."/>
      <w:lvlJc w:val="left"/>
      <w:pPr>
        <w:ind w:left="4704" w:hanging="304"/>
      </w:pPr>
      <w:rPr>
        <w:b/>
        <w:smallCaps w:val="0"/>
        <w:strike w:val="0"/>
        <w:shd w:val="clear" w:color="auto" w:fill="auto"/>
        <w:vertAlign w:val="baseline"/>
      </w:rPr>
    </w:lvl>
    <w:lvl w:ilvl="6">
      <w:start w:val="1"/>
      <w:numFmt w:val="decimal"/>
      <w:lvlText w:val="%7."/>
      <w:lvlJc w:val="left"/>
      <w:pPr>
        <w:ind w:left="5424" w:hanging="384"/>
      </w:pPr>
      <w:rPr>
        <w:b/>
        <w:smallCaps w:val="0"/>
        <w:strike w:val="0"/>
        <w:shd w:val="clear" w:color="auto" w:fill="auto"/>
        <w:vertAlign w:val="baseline"/>
      </w:rPr>
    </w:lvl>
    <w:lvl w:ilvl="7">
      <w:start w:val="1"/>
      <w:numFmt w:val="lowerLetter"/>
      <w:lvlText w:val="%8."/>
      <w:lvlJc w:val="left"/>
      <w:pPr>
        <w:ind w:left="6144" w:hanging="384"/>
      </w:pPr>
      <w:rPr>
        <w:b/>
        <w:smallCaps w:val="0"/>
        <w:strike w:val="0"/>
        <w:shd w:val="clear" w:color="auto" w:fill="auto"/>
        <w:vertAlign w:val="baseline"/>
      </w:rPr>
    </w:lvl>
    <w:lvl w:ilvl="8">
      <w:start w:val="1"/>
      <w:numFmt w:val="lowerRoman"/>
      <w:lvlText w:val="%9."/>
      <w:lvlJc w:val="left"/>
      <w:pPr>
        <w:ind w:left="6864" w:hanging="304"/>
      </w:pPr>
      <w:rPr>
        <w:b/>
        <w:smallCaps w:val="0"/>
        <w:strike w:val="0"/>
        <w:shd w:val="clear" w:color="auto" w:fill="auto"/>
        <w:vertAlign w:val="baseline"/>
      </w:rPr>
    </w:lvl>
  </w:abstractNum>
  <w:abstractNum w:abstractNumId="25" w15:restartNumberingAfterBreak="0">
    <w:nsid w:val="71D54EEA"/>
    <w:multiLevelType w:val="multilevel"/>
    <w:tmpl w:val="497EE752"/>
    <w:lvl w:ilvl="0">
      <w:start w:val="7"/>
      <w:numFmt w:val="upperRoman"/>
      <w:lvlText w:val="%1."/>
      <w:lvlJc w:val="left"/>
      <w:pPr>
        <w:ind w:left="1440" w:hanging="720"/>
      </w:pPr>
      <w:rPr>
        <w:b/>
        <w:smallCaps w:val="0"/>
        <w:strike w:val="0"/>
        <w:shd w:val="clear" w:color="auto" w:fill="auto"/>
        <w:vertAlign w:val="baseline"/>
      </w:rPr>
    </w:lvl>
    <w:lvl w:ilvl="1">
      <w:start w:val="1"/>
      <w:numFmt w:val="lowerLetter"/>
      <w:lvlText w:val="%2."/>
      <w:lvlJc w:val="left"/>
      <w:pPr>
        <w:ind w:left="1824" w:hanging="384"/>
      </w:pPr>
      <w:rPr>
        <w:b/>
        <w:smallCaps w:val="0"/>
        <w:strike w:val="0"/>
        <w:shd w:val="clear" w:color="auto" w:fill="auto"/>
        <w:vertAlign w:val="baseline"/>
      </w:rPr>
    </w:lvl>
    <w:lvl w:ilvl="2">
      <w:start w:val="1"/>
      <w:numFmt w:val="lowerRoman"/>
      <w:lvlText w:val="%3."/>
      <w:lvlJc w:val="left"/>
      <w:pPr>
        <w:ind w:left="2544" w:hanging="304"/>
      </w:pPr>
      <w:rPr>
        <w:b/>
        <w:smallCaps w:val="0"/>
        <w:strike w:val="0"/>
        <w:shd w:val="clear" w:color="auto" w:fill="auto"/>
        <w:vertAlign w:val="baseline"/>
      </w:rPr>
    </w:lvl>
    <w:lvl w:ilvl="3">
      <w:start w:val="1"/>
      <w:numFmt w:val="decimal"/>
      <w:lvlText w:val="%4."/>
      <w:lvlJc w:val="left"/>
      <w:pPr>
        <w:ind w:left="3264" w:hanging="384"/>
      </w:pPr>
      <w:rPr>
        <w:b/>
        <w:smallCaps w:val="0"/>
        <w:strike w:val="0"/>
        <w:shd w:val="clear" w:color="auto" w:fill="auto"/>
        <w:vertAlign w:val="baseline"/>
      </w:rPr>
    </w:lvl>
    <w:lvl w:ilvl="4">
      <w:start w:val="1"/>
      <w:numFmt w:val="lowerLetter"/>
      <w:lvlText w:val="%5."/>
      <w:lvlJc w:val="left"/>
      <w:pPr>
        <w:ind w:left="3984" w:hanging="384"/>
      </w:pPr>
      <w:rPr>
        <w:b/>
        <w:smallCaps w:val="0"/>
        <w:strike w:val="0"/>
        <w:shd w:val="clear" w:color="auto" w:fill="auto"/>
        <w:vertAlign w:val="baseline"/>
      </w:rPr>
    </w:lvl>
    <w:lvl w:ilvl="5">
      <w:start w:val="1"/>
      <w:numFmt w:val="lowerRoman"/>
      <w:lvlText w:val="%6."/>
      <w:lvlJc w:val="left"/>
      <w:pPr>
        <w:ind w:left="4704" w:hanging="304"/>
      </w:pPr>
      <w:rPr>
        <w:b/>
        <w:smallCaps w:val="0"/>
        <w:strike w:val="0"/>
        <w:shd w:val="clear" w:color="auto" w:fill="auto"/>
        <w:vertAlign w:val="baseline"/>
      </w:rPr>
    </w:lvl>
    <w:lvl w:ilvl="6">
      <w:start w:val="1"/>
      <w:numFmt w:val="decimal"/>
      <w:lvlText w:val="%7."/>
      <w:lvlJc w:val="left"/>
      <w:pPr>
        <w:ind w:left="5424" w:hanging="384"/>
      </w:pPr>
      <w:rPr>
        <w:b/>
        <w:smallCaps w:val="0"/>
        <w:strike w:val="0"/>
        <w:shd w:val="clear" w:color="auto" w:fill="auto"/>
        <w:vertAlign w:val="baseline"/>
      </w:rPr>
    </w:lvl>
    <w:lvl w:ilvl="7">
      <w:start w:val="1"/>
      <w:numFmt w:val="lowerLetter"/>
      <w:lvlText w:val="%8."/>
      <w:lvlJc w:val="left"/>
      <w:pPr>
        <w:ind w:left="6144" w:hanging="384"/>
      </w:pPr>
      <w:rPr>
        <w:b/>
        <w:smallCaps w:val="0"/>
        <w:strike w:val="0"/>
        <w:shd w:val="clear" w:color="auto" w:fill="auto"/>
        <w:vertAlign w:val="baseline"/>
      </w:rPr>
    </w:lvl>
    <w:lvl w:ilvl="8">
      <w:start w:val="1"/>
      <w:numFmt w:val="lowerRoman"/>
      <w:lvlText w:val="%9."/>
      <w:lvlJc w:val="left"/>
      <w:pPr>
        <w:ind w:left="6864" w:hanging="304"/>
      </w:pPr>
      <w:rPr>
        <w:b/>
        <w:smallCaps w:val="0"/>
        <w:strike w:val="0"/>
        <w:shd w:val="clear" w:color="auto" w:fill="auto"/>
        <w:vertAlign w:val="baseline"/>
      </w:rPr>
    </w:lvl>
  </w:abstractNum>
  <w:abstractNum w:abstractNumId="26"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2F27B2"/>
    <w:multiLevelType w:val="multilevel"/>
    <w:tmpl w:val="0E3C5336"/>
    <w:lvl w:ilvl="0">
      <w:start w:val="1"/>
      <w:numFmt w:val="upperLetter"/>
      <w:lvlText w:val="%1."/>
      <w:lvlJc w:val="left"/>
      <w:pPr>
        <w:ind w:left="1440" w:hanging="720"/>
      </w:pPr>
      <w:rPr>
        <w:b/>
        <w:smallCaps w:val="0"/>
        <w:strike w:val="0"/>
        <w:shd w:val="clear" w:color="auto" w:fill="auto"/>
        <w:vertAlign w:val="baseline"/>
      </w:rPr>
    </w:lvl>
    <w:lvl w:ilvl="1">
      <w:start w:val="1"/>
      <w:numFmt w:val="lowerLetter"/>
      <w:lvlText w:val="%2."/>
      <w:lvlJc w:val="left"/>
      <w:pPr>
        <w:ind w:left="2148" w:hanging="708"/>
      </w:pPr>
      <w:rPr>
        <w:b/>
        <w:smallCaps w:val="0"/>
        <w:strike w:val="0"/>
        <w:shd w:val="clear" w:color="auto" w:fill="auto"/>
        <w:vertAlign w:val="baseline"/>
      </w:rPr>
    </w:lvl>
    <w:lvl w:ilvl="2">
      <w:start w:val="1"/>
      <w:numFmt w:val="lowerRoman"/>
      <w:lvlText w:val="%3."/>
      <w:lvlJc w:val="left"/>
      <w:pPr>
        <w:ind w:left="2856" w:hanging="615"/>
      </w:pPr>
      <w:rPr>
        <w:b/>
        <w:smallCaps w:val="0"/>
        <w:strike w:val="0"/>
        <w:shd w:val="clear" w:color="auto" w:fill="auto"/>
        <w:vertAlign w:val="baseline"/>
      </w:rPr>
    </w:lvl>
    <w:lvl w:ilvl="3">
      <w:start w:val="1"/>
      <w:numFmt w:val="decimal"/>
      <w:lvlText w:val="%4."/>
      <w:lvlJc w:val="left"/>
      <w:pPr>
        <w:ind w:left="3564" w:hanging="684"/>
      </w:pPr>
      <w:rPr>
        <w:b/>
        <w:smallCaps w:val="0"/>
        <w:strike w:val="0"/>
        <w:shd w:val="clear" w:color="auto" w:fill="auto"/>
        <w:vertAlign w:val="baseline"/>
      </w:rPr>
    </w:lvl>
    <w:lvl w:ilvl="4">
      <w:start w:val="1"/>
      <w:numFmt w:val="lowerLetter"/>
      <w:lvlText w:val="%5."/>
      <w:lvlJc w:val="left"/>
      <w:pPr>
        <w:ind w:left="4272" w:hanging="672"/>
      </w:pPr>
      <w:rPr>
        <w:b/>
        <w:smallCaps w:val="0"/>
        <w:strike w:val="0"/>
        <w:shd w:val="clear" w:color="auto" w:fill="auto"/>
        <w:vertAlign w:val="baseline"/>
      </w:rPr>
    </w:lvl>
    <w:lvl w:ilvl="5">
      <w:start w:val="1"/>
      <w:numFmt w:val="lowerRoman"/>
      <w:lvlText w:val="%6."/>
      <w:lvlJc w:val="left"/>
      <w:pPr>
        <w:ind w:left="4980" w:hanging="580"/>
      </w:pPr>
      <w:rPr>
        <w:b/>
        <w:smallCaps w:val="0"/>
        <w:strike w:val="0"/>
        <w:shd w:val="clear" w:color="auto" w:fill="auto"/>
        <w:vertAlign w:val="baseline"/>
      </w:rPr>
    </w:lvl>
    <w:lvl w:ilvl="6">
      <w:start w:val="1"/>
      <w:numFmt w:val="decimal"/>
      <w:lvlText w:val="%7."/>
      <w:lvlJc w:val="left"/>
      <w:pPr>
        <w:ind w:left="5688" w:hanging="648"/>
      </w:pPr>
      <w:rPr>
        <w:b/>
        <w:smallCaps w:val="0"/>
        <w:strike w:val="0"/>
        <w:shd w:val="clear" w:color="auto" w:fill="auto"/>
        <w:vertAlign w:val="baseline"/>
      </w:rPr>
    </w:lvl>
    <w:lvl w:ilvl="7">
      <w:start w:val="1"/>
      <w:numFmt w:val="lowerLetter"/>
      <w:lvlText w:val="%8."/>
      <w:lvlJc w:val="left"/>
      <w:pPr>
        <w:ind w:left="6396" w:hanging="636"/>
      </w:pPr>
      <w:rPr>
        <w:b/>
        <w:smallCaps w:val="0"/>
        <w:strike w:val="0"/>
        <w:shd w:val="clear" w:color="auto" w:fill="auto"/>
        <w:vertAlign w:val="baseline"/>
      </w:rPr>
    </w:lvl>
    <w:lvl w:ilvl="8">
      <w:start w:val="1"/>
      <w:numFmt w:val="lowerRoman"/>
      <w:lvlText w:val="%9."/>
      <w:lvlJc w:val="left"/>
      <w:pPr>
        <w:ind w:left="7104" w:hanging="544"/>
      </w:pPr>
      <w:rPr>
        <w:b/>
        <w:smallCaps w:val="0"/>
        <w:strike w:val="0"/>
        <w:shd w:val="clear" w:color="auto" w:fill="auto"/>
        <w:vertAlign w:val="baseline"/>
      </w:rPr>
    </w:lvl>
  </w:abstractNum>
  <w:abstractNum w:abstractNumId="28"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67490543">
    <w:abstractNumId w:val="18"/>
  </w:num>
  <w:num w:numId="2" w16cid:durableId="1233388035">
    <w:abstractNumId w:val="23"/>
  </w:num>
  <w:num w:numId="3" w16cid:durableId="1324120486">
    <w:abstractNumId w:val="5"/>
  </w:num>
  <w:num w:numId="4" w16cid:durableId="491339174">
    <w:abstractNumId w:val="28"/>
  </w:num>
  <w:num w:numId="5" w16cid:durableId="745761841">
    <w:abstractNumId w:val="10"/>
  </w:num>
  <w:num w:numId="6" w16cid:durableId="2094278479">
    <w:abstractNumId w:val="15"/>
  </w:num>
  <w:num w:numId="7" w16cid:durableId="95566963">
    <w:abstractNumId w:val="17"/>
  </w:num>
  <w:num w:numId="8" w16cid:durableId="550575146">
    <w:abstractNumId w:val="11"/>
  </w:num>
  <w:num w:numId="9" w16cid:durableId="341977111">
    <w:abstractNumId w:val="13"/>
  </w:num>
  <w:num w:numId="10" w16cid:durableId="682978638">
    <w:abstractNumId w:val="7"/>
  </w:num>
  <w:num w:numId="11" w16cid:durableId="295337589">
    <w:abstractNumId w:val="3"/>
  </w:num>
  <w:num w:numId="12" w16cid:durableId="979530532">
    <w:abstractNumId w:val="20"/>
  </w:num>
  <w:num w:numId="13" w16cid:durableId="719019872">
    <w:abstractNumId w:val="19"/>
  </w:num>
  <w:num w:numId="14" w16cid:durableId="1658262887">
    <w:abstractNumId w:val="21"/>
  </w:num>
  <w:num w:numId="15" w16cid:durableId="1822765797">
    <w:abstractNumId w:val="6"/>
  </w:num>
  <w:num w:numId="16" w16cid:durableId="1948387008">
    <w:abstractNumId w:val="14"/>
  </w:num>
  <w:num w:numId="17" w16cid:durableId="1972400627">
    <w:abstractNumId w:val="0"/>
  </w:num>
  <w:num w:numId="18" w16cid:durableId="1535075032">
    <w:abstractNumId w:val="2"/>
  </w:num>
  <w:num w:numId="19" w16cid:durableId="1259678326">
    <w:abstractNumId w:val="24"/>
  </w:num>
  <w:num w:numId="20" w16cid:durableId="686253495">
    <w:abstractNumId w:val="4"/>
  </w:num>
  <w:num w:numId="21" w16cid:durableId="1881087318">
    <w:abstractNumId w:val="12"/>
  </w:num>
  <w:num w:numId="22" w16cid:durableId="812722109">
    <w:abstractNumId w:val="8"/>
  </w:num>
  <w:num w:numId="23" w16cid:durableId="848910784">
    <w:abstractNumId w:val="25"/>
  </w:num>
  <w:num w:numId="24" w16cid:durableId="1663198989">
    <w:abstractNumId w:val="22"/>
  </w:num>
  <w:num w:numId="25" w16cid:durableId="495614388">
    <w:abstractNumId w:val="1"/>
  </w:num>
  <w:num w:numId="26" w16cid:durableId="1295408463">
    <w:abstractNumId w:val="27"/>
  </w:num>
  <w:num w:numId="27" w16cid:durableId="1524248738">
    <w:abstractNumId w:val="16"/>
  </w:num>
  <w:num w:numId="28" w16cid:durableId="2139102410">
    <w:abstractNumId w:val="26"/>
  </w:num>
  <w:num w:numId="29" w16cid:durableId="328945228">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55F2F"/>
    <w:rsid w:val="0007582B"/>
    <w:rsid w:val="0009161F"/>
    <w:rsid w:val="000B5E1D"/>
    <w:rsid w:val="00100470"/>
    <w:rsid w:val="00105B23"/>
    <w:rsid w:val="00181DA0"/>
    <w:rsid w:val="001B68AB"/>
    <w:rsid w:val="00207BE4"/>
    <w:rsid w:val="00210AA7"/>
    <w:rsid w:val="00216335"/>
    <w:rsid w:val="002248FB"/>
    <w:rsid w:val="00234E64"/>
    <w:rsid w:val="002367AF"/>
    <w:rsid w:val="002F7732"/>
    <w:rsid w:val="00322720"/>
    <w:rsid w:val="0040245C"/>
    <w:rsid w:val="00453115"/>
    <w:rsid w:val="004758C9"/>
    <w:rsid w:val="0048723C"/>
    <w:rsid w:val="004A05BC"/>
    <w:rsid w:val="004C0D57"/>
    <w:rsid w:val="00500FDE"/>
    <w:rsid w:val="00534090"/>
    <w:rsid w:val="00566CD0"/>
    <w:rsid w:val="005933F2"/>
    <w:rsid w:val="00637ED3"/>
    <w:rsid w:val="006638E5"/>
    <w:rsid w:val="00672733"/>
    <w:rsid w:val="00687997"/>
    <w:rsid w:val="006B1F24"/>
    <w:rsid w:val="006B2F87"/>
    <w:rsid w:val="006F7917"/>
    <w:rsid w:val="00713EF8"/>
    <w:rsid w:val="00723AED"/>
    <w:rsid w:val="00724BE0"/>
    <w:rsid w:val="007513EC"/>
    <w:rsid w:val="00755422"/>
    <w:rsid w:val="007579A5"/>
    <w:rsid w:val="007C4DCE"/>
    <w:rsid w:val="007E3D41"/>
    <w:rsid w:val="00811E0E"/>
    <w:rsid w:val="008463D3"/>
    <w:rsid w:val="00847CA9"/>
    <w:rsid w:val="008818B0"/>
    <w:rsid w:val="008861D6"/>
    <w:rsid w:val="00892BB2"/>
    <w:rsid w:val="008F66B6"/>
    <w:rsid w:val="009317D2"/>
    <w:rsid w:val="00A10B67"/>
    <w:rsid w:val="00A17338"/>
    <w:rsid w:val="00A80674"/>
    <w:rsid w:val="00A90E7A"/>
    <w:rsid w:val="00AB41A3"/>
    <w:rsid w:val="00AB5F3B"/>
    <w:rsid w:val="00AC6BE9"/>
    <w:rsid w:val="00AD535F"/>
    <w:rsid w:val="00AE2642"/>
    <w:rsid w:val="00AE2CF8"/>
    <w:rsid w:val="00B00D9E"/>
    <w:rsid w:val="00BA48EE"/>
    <w:rsid w:val="00BD17B0"/>
    <w:rsid w:val="00BD5D48"/>
    <w:rsid w:val="00BF3AAA"/>
    <w:rsid w:val="00BF7A78"/>
    <w:rsid w:val="00C110DE"/>
    <w:rsid w:val="00C80BDA"/>
    <w:rsid w:val="00D31ED0"/>
    <w:rsid w:val="00D56DC4"/>
    <w:rsid w:val="00DB13CB"/>
    <w:rsid w:val="00E042FE"/>
    <w:rsid w:val="00E15B37"/>
    <w:rsid w:val="00E24050"/>
    <w:rsid w:val="00E516AB"/>
    <w:rsid w:val="00E61D71"/>
    <w:rsid w:val="00E90CB3"/>
    <w:rsid w:val="00EA0262"/>
    <w:rsid w:val="00EC61E3"/>
    <w:rsid w:val="00ED0AAA"/>
    <w:rsid w:val="00ED1EBA"/>
    <w:rsid w:val="00F41E7E"/>
    <w:rsid w:val="00F4406C"/>
    <w:rsid w:val="00FE10E0"/>
    <w:rsid w:val="17F60CA0"/>
    <w:rsid w:val="3A5D66B8"/>
    <w:rsid w:val="43D35710"/>
    <w:rsid w:val="58DD3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4"/>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paragraph" w:styleId="EndnoteText">
    <w:name w:val="endnote text"/>
    <w:basedOn w:val="Normal"/>
    <w:link w:val="EndnoteTextChar"/>
    <w:semiHidden/>
    <w:rsid w:val="00AB41A3"/>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B41A3"/>
    <w:rPr>
      <w:rFonts w:ascii="Times New Roman" w:eastAsia="Times New Roman" w:hAnsi="Times New Roman" w:cs="Times New Roman"/>
      <w:lang w:val="pt-BR" w:eastAsia="pt-BR"/>
    </w:rPr>
  </w:style>
  <w:style w:type="paragraph" w:customStyle="1" w:styleId="CabealhoeRodap">
    <w:name w:val="Cabeçalho e Rodapé"/>
    <w:rsid w:val="006F7917"/>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numbering" w:customStyle="1" w:styleId="EstiloImportado1">
    <w:name w:val="Estilo Importado 1"/>
    <w:rsid w:val="006F7917"/>
    <w:pPr>
      <w:numPr>
        <w:numId w:val="5"/>
      </w:numPr>
    </w:pPr>
  </w:style>
  <w:style w:type="character" w:customStyle="1" w:styleId="Link">
    <w:name w:val="Link"/>
    <w:rsid w:val="006F7917"/>
    <w:rPr>
      <w:color w:val="0000FF"/>
      <w:u w:val="single" w:color="0000FF"/>
    </w:rPr>
  </w:style>
  <w:style w:type="character" w:customStyle="1" w:styleId="Hyperlink0">
    <w:name w:val="Hyperlink.0"/>
    <w:rsid w:val="006F7917"/>
    <w:rPr>
      <w:color w:val="17365D"/>
      <w:u w:val="single" w:color="17365D"/>
      <w:lang w:val="es-ES_tradnl"/>
    </w:rPr>
  </w:style>
  <w:style w:type="paragraph" w:customStyle="1" w:styleId="Padro">
    <w:name w:val="Padrão"/>
    <w:rsid w:val="006F7917"/>
    <w:pPr>
      <w:pBdr>
        <w:top w:val="nil"/>
        <w:left w:val="nil"/>
        <w:bottom w:val="nil"/>
        <w:right w:val="nil"/>
        <w:between w:val="nil"/>
        <w:bar w:val="nil"/>
      </w:pBdr>
    </w:pPr>
    <w:rPr>
      <w:rFonts w:ascii="Helvetica Neue" w:eastAsia="Helvetica Neue" w:hAnsi="Helvetica Neue" w:cs="Helvetica Neue"/>
      <w:color w:val="000000"/>
      <w:sz w:val="22"/>
      <w:szCs w:val="22"/>
      <w:bdr w:val="nil"/>
      <w:lang w:val="es-MX" w:eastAsia="es-MX"/>
    </w:rPr>
  </w:style>
  <w:style w:type="numbering" w:customStyle="1" w:styleId="EstiloImportado8">
    <w:name w:val="Estilo Importado 8"/>
    <w:rsid w:val="006F7917"/>
    <w:pPr>
      <w:numPr>
        <w:numId w:val="6"/>
      </w:numPr>
    </w:pPr>
  </w:style>
  <w:style w:type="character" w:customStyle="1" w:styleId="Hyperlink1">
    <w:name w:val="Hyperlink.1"/>
    <w:rsid w:val="006F7917"/>
    <w:rPr>
      <w:rFonts w:ascii="Cambria" w:eastAsia="Cambria" w:hAnsi="Cambria" w:cs="Cambria"/>
      <w:color w:val="000000"/>
      <w:sz w:val="16"/>
      <w:szCs w:val="16"/>
      <w:u w:val="single" w:color="000000"/>
      <w:lang w:val="es-ES_tradnl"/>
    </w:rPr>
  </w:style>
  <w:style w:type="numbering" w:customStyle="1" w:styleId="EstiloImportado9">
    <w:name w:val="Estilo Importado 9"/>
    <w:rsid w:val="006F7917"/>
    <w:pPr>
      <w:numPr>
        <w:numId w:val="7"/>
      </w:numPr>
    </w:pPr>
  </w:style>
  <w:style w:type="numbering" w:customStyle="1" w:styleId="EstiloImportado10">
    <w:name w:val="Estilo Importado 10"/>
    <w:rsid w:val="006F7917"/>
    <w:pPr>
      <w:numPr>
        <w:numId w:val="8"/>
      </w:numPr>
    </w:pPr>
  </w:style>
  <w:style w:type="numbering" w:customStyle="1" w:styleId="EstiloImportado11">
    <w:name w:val="Estilo Importado 11"/>
    <w:rsid w:val="006F7917"/>
    <w:pPr>
      <w:numPr>
        <w:numId w:val="9"/>
      </w:numPr>
    </w:pPr>
  </w:style>
  <w:style w:type="character" w:customStyle="1" w:styleId="Hyperlink3">
    <w:name w:val="Hyperlink.3"/>
    <w:rsid w:val="006F7917"/>
    <w:rPr>
      <w:rFonts w:ascii="Cambria" w:eastAsia="Cambria" w:hAnsi="Cambria" w:cs="Cambria"/>
      <w:color w:val="FF0000"/>
      <w:sz w:val="16"/>
      <w:szCs w:val="16"/>
      <w:u w:val="single" w:color="FF0000"/>
      <w:lang w:val="es-ES_tradnl"/>
    </w:rPr>
  </w:style>
  <w:style w:type="character" w:customStyle="1" w:styleId="UnresolvedMention1">
    <w:name w:val="Unresolved Mention1"/>
    <w:uiPriority w:val="99"/>
    <w:semiHidden/>
    <w:unhideWhenUsed/>
    <w:rsid w:val="006F7917"/>
    <w:rPr>
      <w:color w:val="605E5C"/>
      <w:shd w:val="clear" w:color="auto" w:fill="E1DFDD"/>
    </w:rPr>
  </w:style>
  <w:style w:type="numbering" w:customStyle="1" w:styleId="EstiloImportado12">
    <w:name w:val="Estilo Importado 12"/>
    <w:rsid w:val="006F7917"/>
    <w:pPr>
      <w:numPr>
        <w:numId w:val="10"/>
      </w:numPr>
    </w:pPr>
  </w:style>
  <w:style w:type="numbering" w:customStyle="1" w:styleId="EstiloImportado13">
    <w:name w:val="Estilo Importado 13"/>
    <w:rsid w:val="006F7917"/>
    <w:pPr>
      <w:numPr>
        <w:numId w:val="11"/>
      </w:numPr>
    </w:pPr>
  </w:style>
  <w:style w:type="numbering" w:customStyle="1" w:styleId="EstiloImportado14">
    <w:name w:val="Estilo Importado 14"/>
    <w:rsid w:val="006F7917"/>
    <w:pPr>
      <w:numPr>
        <w:numId w:val="12"/>
      </w:numPr>
    </w:pPr>
  </w:style>
  <w:style w:type="character" w:customStyle="1" w:styleId="st1">
    <w:name w:val="st1"/>
    <w:rsid w:val="006F7917"/>
  </w:style>
  <w:style w:type="paragraph" w:styleId="Revision">
    <w:name w:val="Revision"/>
    <w:hidden/>
    <w:uiPriority w:val="99"/>
    <w:semiHidden/>
    <w:rsid w:val="006F7917"/>
    <w:rPr>
      <w:rFonts w:ascii="Calibri" w:eastAsia="Calibri" w:hAnsi="Calibri" w:cs="Calibri"/>
      <w:color w:val="000000"/>
      <w:sz w:val="22"/>
      <w:szCs w:val="22"/>
      <w:u w:color="000000"/>
      <w:bdr w:val="nil"/>
      <w:lang w:val="pt-PT"/>
    </w:rPr>
  </w:style>
  <w:style w:type="paragraph" w:customStyle="1" w:styleId="Corpo">
    <w:name w:val="Corpo"/>
    <w:rsid w:val="006F791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MX"/>
    </w:rPr>
  </w:style>
  <w:style w:type="numbering" w:customStyle="1" w:styleId="EstiloImportado2">
    <w:name w:val="Estilo Importado 2"/>
    <w:rsid w:val="006F7917"/>
    <w:pPr>
      <w:numPr>
        <w:numId w:val="13"/>
      </w:numPr>
    </w:pPr>
  </w:style>
  <w:style w:type="numbering" w:customStyle="1" w:styleId="EstiloImportado3">
    <w:name w:val="Estilo Importado 3"/>
    <w:rsid w:val="006F7917"/>
    <w:pPr>
      <w:numPr>
        <w:numId w:val="14"/>
      </w:numPr>
    </w:pPr>
  </w:style>
  <w:style w:type="numbering" w:customStyle="1" w:styleId="EstiloImportado4">
    <w:name w:val="Estilo Importado 4"/>
    <w:rsid w:val="006F7917"/>
    <w:pPr>
      <w:numPr>
        <w:numId w:val="15"/>
      </w:numPr>
    </w:pPr>
  </w:style>
  <w:style w:type="numbering" w:customStyle="1" w:styleId="EstiloImportado5">
    <w:name w:val="Estilo Importado 5"/>
    <w:rsid w:val="006F7917"/>
    <w:pPr>
      <w:numPr>
        <w:numId w:val="16"/>
      </w:numPr>
    </w:pPr>
  </w:style>
  <w:style w:type="numbering" w:customStyle="1" w:styleId="EstiloImportado6">
    <w:name w:val="Estilo Importado 6"/>
    <w:rsid w:val="006F7917"/>
    <w:pPr>
      <w:numPr>
        <w:numId w:val="17"/>
      </w:numPr>
    </w:pPr>
  </w:style>
  <w:style w:type="paragraph" w:styleId="BlockText">
    <w:name w:val="Block Text"/>
    <w:basedOn w:val="Normal"/>
    <w:uiPriority w:val="99"/>
    <w:rsid w:val="006F7917"/>
    <w:pPr>
      <w:spacing w:before="100" w:beforeAutospacing="1" w:after="100" w:afterAutospacing="1"/>
    </w:pPr>
    <w:rPr>
      <w:rFonts w:ascii="Times New Roman" w:eastAsia="MS Mincho" w:hAnsi="Times New Roman" w:cs="Times New Roman"/>
    </w:rPr>
  </w:style>
  <w:style w:type="character" w:customStyle="1" w:styleId="Hyperlink2">
    <w:name w:val="Hyperlink.2"/>
    <w:rsid w:val="00755422"/>
    <w:rPr>
      <w:rFonts w:ascii="Cambria" w:eastAsia="Cambria" w:hAnsi="Cambria" w:cs="Cambria"/>
      <w:color w:val="000000"/>
      <w:sz w:val="16"/>
      <w:szCs w:val="16"/>
      <w:u w:val="single"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ortal.oas.org/es/cidh/decisiones/2019/ECPU11624ES.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as.org/es/cidh/docs/anual/2021/capitulos/IA2021cap2-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2.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4.xml><?xml version="1.0" encoding="utf-8"?>
<ds:datastoreItem xmlns:ds="http://schemas.openxmlformats.org/officeDocument/2006/customXml" ds:itemID="{FC96E99F-793C-4187-984B-4E889E4E1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1165</Words>
  <Characters>6641</Characters>
  <Application>Microsoft Office Word</Application>
  <DocSecurity>0</DocSecurity>
  <Lines>55</Lines>
  <Paragraphs>15</Paragraphs>
  <ScaleCrop>false</ScaleCrop>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2023-03-28T18:58:00Z</dcterms:created>
  <dcterms:modified xsi:type="dcterms:W3CDTF">2023-03-28T18:58:00Z</dcterms:modified>
</cp:coreProperties>
</file>