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85B5" w14:textId="77777777" w:rsidR="007E0AD5" w:rsidRPr="004D345D" w:rsidRDefault="007E0AD5" w:rsidP="007E0AD5">
      <w:pPr>
        <w:jc w:val="center"/>
        <w:rPr>
          <w:rFonts w:ascii="Times New Roman" w:eastAsia="Times New Roman" w:hAnsi="Times New Roman" w:cs="Times New Roman"/>
          <w:color w:val="000000" w:themeColor="text1"/>
          <w:sz w:val="20"/>
          <w:szCs w:val="20"/>
          <w:lang w:val="es-ES"/>
        </w:rPr>
      </w:pPr>
      <w:r w:rsidRPr="004D345D">
        <w:rPr>
          <w:rFonts w:ascii="Cambria" w:eastAsia="Times New Roman" w:hAnsi="Cambria" w:cs="Times New Roman"/>
          <w:b/>
          <w:color w:val="000000" w:themeColor="text1"/>
          <w:sz w:val="20"/>
          <w:szCs w:val="20"/>
          <w:lang w:val="es-ES"/>
        </w:rPr>
        <w:t>FICHA DE SEGUIMIENTO DEL INFORME Nº 456/21</w:t>
      </w:r>
    </w:p>
    <w:p w14:paraId="6F123B9B" w14:textId="77777777" w:rsidR="007E0AD5" w:rsidRPr="004D345D" w:rsidRDefault="007E0AD5" w:rsidP="007E0AD5">
      <w:pPr>
        <w:jc w:val="center"/>
        <w:rPr>
          <w:rFonts w:ascii="Cambria" w:eastAsia="Times New Roman" w:hAnsi="Cambria" w:cs="Times New Roman"/>
          <w:b/>
          <w:color w:val="000000" w:themeColor="text1"/>
          <w:sz w:val="20"/>
          <w:szCs w:val="20"/>
          <w:lang w:val="es-ES"/>
        </w:rPr>
      </w:pPr>
      <w:r w:rsidRPr="004D345D">
        <w:rPr>
          <w:rFonts w:ascii="Cambria" w:eastAsia="Times New Roman" w:hAnsi="Cambria" w:cs="Times New Roman"/>
          <w:b/>
          <w:color w:val="000000" w:themeColor="text1"/>
          <w:sz w:val="20"/>
          <w:szCs w:val="20"/>
          <w:lang w:val="es-ES"/>
        </w:rPr>
        <w:t>CASO 13.829</w:t>
      </w:r>
    </w:p>
    <w:p w14:paraId="298594C2" w14:textId="77777777" w:rsidR="007E0AD5" w:rsidRPr="004D345D" w:rsidRDefault="007E0AD5" w:rsidP="007E0AD5">
      <w:pPr>
        <w:jc w:val="center"/>
        <w:rPr>
          <w:rFonts w:ascii="Cambria" w:eastAsia="Times New Roman" w:hAnsi="Cambria" w:cs="Times New Roman"/>
          <w:b/>
          <w:color w:val="000000" w:themeColor="text1"/>
          <w:sz w:val="20"/>
          <w:szCs w:val="20"/>
          <w:lang w:val="es-ES"/>
        </w:rPr>
      </w:pPr>
      <w:r w:rsidRPr="004D345D">
        <w:rPr>
          <w:rFonts w:ascii="Cambria" w:eastAsia="Times New Roman" w:hAnsi="Cambria" w:cs="Times New Roman"/>
          <w:b/>
          <w:color w:val="000000" w:themeColor="text1"/>
          <w:sz w:val="20"/>
          <w:szCs w:val="20"/>
          <w:lang w:val="es-ES"/>
        </w:rPr>
        <w:t>RAMIRO IBARRA RUBÍ</w:t>
      </w:r>
    </w:p>
    <w:p w14:paraId="04A89C3D" w14:textId="77777777" w:rsidR="007E0AD5" w:rsidRPr="004D345D" w:rsidRDefault="007E0AD5" w:rsidP="007E0AD5">
      <w:pPr>
        <w:jc w:val="center"/>
        <w:rPr>
          <w:rFonts w:ascii="Cambria" w:eastAsia="Times New Roman" w:hAnsi="Cambria" w:cs="Times New Roman"/>
          <w:b/>
          <w:color w:val="000000" w:themeColor="text1"/>
          <w:sz w:val="20"/>
          <w:szCs w:val="20"/>
          <w:lang w:val="es-ES"/>
        </w:rPr>
      </w:pPr>
      <w:r w:rsidRPr="004D345D">
        <w:rPr>
          <w:rFonts w:ascii="Cambria" w:eastAsia="Times New Roman" w:hAnsi="Cambria" w:cs="Times New Roman"/>
          <w:b/>
          <w:color w:val="000000" w:themeColor="text1"/>
          <w:sz w:val="20"/>
          <w:szCs w:val="20"/>
          <w:lang w:val="es-ES"/>
        </w:rPr>
        <w:t>(Estados Unidos)</w:t>
      </w:r>
    </w:p>
    <w:p w14:paraId="537E87C2" w14:textId="77777777" w:rsidR="007E0AD5" w:rsidRPr="004D345D" w:rsidRDefault="007E0AD5" w:rsidP="007E0AD5">
      <w:pPr>
        <w:jc w:val="both"/>
        <w:rPr>
          <w:rFonts w:ascii="Cambria" w:eastAsia="Times New Roman" w:hAnsi="Cambria" w:cs="Times New Roman"/>
          <w:b/>
          <w:color w:val="000000" w:themeColor="text1"/>
          <w:sz w:val="20"/>
          <w:szCs w:val="20"/>
          <w:lang w:val="es-ES"/>
        </w:rPr>
      </w:pPr>
    </w:p>
    <w:p w14:paraId="382AEEC6" w14:textId="77777777" w:rsidR="007E0AD5" w:rsidRPr="004D345D" w:rsidRDefault="007E0AD5" w:rsidP="007E0AD5">
      <w:pPr>
        <w:numPr>
          <w:ilvl w:val="0"/>
          <w:numId w:val="8"/>
        </w:numPr>
        <w:ind w:left="1440"/>
        <w:jc w:val="both"/>
        <w:rPr>
          <w:rFonts w:ascii="Cambria" w:eastAsia="Times New Roman" w:hAnsi="Cambria" w:cs="Calibri Light"/>
          <w:b/>
          <w:color w:val="000000" w:themeColor="text1"/>
          <w:sz w:val="20"/>
          <w:szCs w:val="20"/>
          <w:lang w:val="es-ES"/>
        </w:rPr>
      </w:pPr>
      <w:r w:rsidRPr="004D345D">
        <w:rPr>
          <w:rFonts w:ascii="Cambria" w:eastAsia="Times New Roman" w:hAnsi="Cambria" w:cs="Calibri Light"/>
          <w:b/>
          <w:color w:val="000000" w:themeColor="text1"/>
          <w:sz w:val="20"/>
          <w:szCs w:val="20"/>
          <w:lang w:val="es-ES"/>
        </w:rPr>
        <w:t xml:space="preserve">Resumen del caso </w:t>
      </w:r>
    </w:p>
    <w:p w14:paraId="6216FED7" w14:textId="77777777" w:rsidR="007E0AD5" w:rsidRPr="004D345D" w:rsidRDefault="007E0AD5" w:rsidP="007E0AD5">
      <w:pPr>
        <w:ind w:left="1080"/>
        <w:jc w:val="both"/>
        <w:rPr>
          <w:rFonts w:ascii="Cambria" w:eastAsia="Times New Roman"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D345D" w:rsidRPr="004D345D" w14:paraId="4FC985ED" w14:textId="77777777" w:rsidTr="006E453C">
        <w:trPr>
          <w:trHeight w:val="4805"/>
          <w:jc w:val="center"/>
        </w:trPr>
        <w:tc>
          <w:tcPr>
            <w:tcW w:w="9576" w:type="dxa"/>
            <w:shd w:val="clear" w:color="auto" w:fill="F2F2F2"/>
          </w:tcPr>
          <w:p w14:paraId="273B60F0" w14:textId="77777777" w:rsidR="007E0AD5" w:rsidRPr="004D345D" w:rsidRDefault="007E0AD5" w:rsidP="007E0AD5">
            <w:pPr>
              <w:spacing w:before="120"/>
              <w:jc w:val="both"/>
              <w:rPr>
                <w:rFonts w:ascii="Cambria" w:eastAsia="Times New Roman" w:hAnsi="Cambria" w:cs="Times New Roman"/>
                <w:bCs/>
                <w:color w:val="000000" w:themeColor="text1"/>
                <w:sz w:val="20"/>
                <w:szCs w:val="20"/>
                <w:lang w:val="es-ES"/>
              </w:rPr>
            </w:pPr>
            <w:r w:rsidRPr="004D345D">
              <w:rPr>
                <w:rFonts w:ascii="Cambria" w:eastAsia="Times New Roman" w:hAnsi="Cambria" w:cs="Times New Roman"/>
                <w:b/>
                <w:color w:val="000000" w:themeColor="text1"/>
                <w:sz w:val="20"/>
                <w:szCs w:val="20"/>
                <w:lang w:val="es-ES"/>
              </w:rPr>
              <w:t xml:space="preserve">Víctima (s): </w:t>
            </w:r>
            <w:r w:rsidRPr="004D345D">
              <w:rPr>
                <w:rFonts w:ascii="Cambria" w:eastAsia="Times New Roman" w:hAnsi="Cambria" w:cs="Times New Roman"/>
                <w:bCs/>
                <w:color w:val="000000" w:themeColor="text1"/>
                <w:sz w:val="20"/>
                <w:szCs w:val="20"/>
                <w:lang w:val="es-ES"/>
              </w:rPr>
              <w:t>Ramiro Ibarra Rubí</w:t>
            </w:r>
          </w:p>
          <w:p w14:paraId="2C02A111" w14:textId="77777777" w:rsidR="007E0AD5" w:rsidRPr="004D345D" w:rsidRDefault="007E0AD5" w:rsidP="007E0AD5">
            <w:pPr>
              <w:rPr>
                <w:rFonts w:ascii="Times New Roman" w:eastAsia="Times New Roman" w:hAnsi="Times New Roman" w:cs="Times New Roman"/>
                <w:color w:val="000000" w:themeColor="text1"/>
                <w:lang w:val="es-GT"/>
              </w:rPr>
            </w:pPr>
            <w:r w:rsidRPr="004D345D">
              <w:rPr>
                <w:rFonts w:ascii="Cambria" w:eastAsia="Times New Roman" w:hAnsi="Cambria" w:cs="Times New Roman"/>
                <w:b/>
                <w:color w:val="000000" w:themeColor="text1"/>
                <w:sz w:val="20"/>
                <w:szCs w:val="20"/>
                <w:lang w:val="es-GT"/>
              </w:rPr>
              <w:t>Peticionario (s):</w:t>
            </w:r>
            <w:r w:rsidRPr="004D345D">
              <w:rPr>
                <w:rFonts w:ascii="Cambria" w:eastAsia="Times New Roman" w:hAnsi="Cambria" w:cs="Times New Roman"/>
                <w:color w:val="000000" w:themeColor="text1"/>
                <w:sz w:val="20"/>
                <w:szCs w:val="20"/>
                <w:lang w:val="es-GT"/>
              </w:rPr>
              <w:t xml:space="preserve"> Kuykendall y Asociados</w:t>
            </w:r>
          </w:p>
          <w:p w14:paraId="7BE9E6C2" w14:textId="77777777" w:rsidR="007E0AD5" w:rsidRPr="004D345D" w:rsidRDefault="007E0AD5" w:rsidP="007E0AD5">
            <w:pPr>
              <w:jc w:val="both"/>
              <w:rPr>
                <w:rFonts w:ascii="Cambria" w:eastAsia="Times New Roman" w:hAnsi="Cambria" w:cs="Times New Roman"/>
                <w:color w:val="000000" w:themeColor="text1"/>
                <w:sz w:val="20"/>
                <w:szCs w:val="20"/>
                <w:lang w:val="es-ES"/>
              </w:rPr>
            </w:pPr>
            <w:r w:rsidRPr="004D345D">
              <w:rPr>
                <w:rFonts w:ascii="Cambria" w:eastAsia="Times New Roman" w:hAnsi="Cambria" w:cs="Times New Roman"/>
                <w:b/>
                <w:color w:val="000000" w:themeColor="text1"/>
                <w:sz w:val="20"/>
                <w:szCs w:val="20"/>
                <w:lang w:val="es-ES"/>
              </w:rPr>
              <w:t xml:space="preserve">Estado: </w:t>
            </w:r>
            <w:r w:rsidRPr="004D345D">
              <w:rPr>
                <w:rFonts w:ascii="Cambria" w:eastAsia="Times New Roman" w:hAnsi="Cambria" w:cs="Times New Roman"/>
                <w:color w:val="000000" w:themeColor="text1"/>
                <w:sz w:val="20"/>
                <w:szCs w:val="20"/>
                <w:lang w:val="es-ES"/>
              </w:rPr>
              <w:t>Estados Unidos</w:t>
            </w:r>
          </w:p>
          <w:p w14:paraId="57469BA8" w14:textId="77777777" w:rsidR="007E0AD5" w:rsidRPr="004D345D" w:rsidRDefault="007E0AD5" w:rsidP="007E0AD5">
            <w:pPr>
              <w:jc w:val="both"/>
              <w:rPr>
                <w:rFonts w:ascii="Cambria" w:eastAsia="Times New Roman" w:hAnsi="Cambria" w:cs="Times New Roman"/>
                <w:color w:val="000000" w:themeColor="text1"/>
                <w:sz w:val="20"/>
                <w:szCs w:val="20"/>
                <w:lang w:val="es-ES"/>
              </w:rPr>
            </w:pPr>
            <w:r w:rsidRPr="004D345D">
              <w:rPr>
                <w:rFonts w:ascii="Cambria" w:eastAsia="Times New Roman" w:hAnsi="Cambria" w:cs="Times New Roman"/>
                <w:b/>
                <w:color w:val="000000" w:themeColor="text1"/>
                <w:sz w:val="20"/>
                <w:szCs w:val="20"/>
                <w:lang w:val="es-ES"/>
              </w:rPr>
              <w:t xml:space="preserve">Informe de Fondo Nº:  </w:t>
            </w:r>
            <w:hyperlink r:id="rId11" w:history="1">
              <w:r w:rsidRPr="004D345D">
                <w:rPr>
                  <w:rFonts w:ascii="Cambria" w:eastAsia="Times New Roman" w:hAnsi="Cambria" w:cs="Times New Roman"/>
                  <w:bCs/>
                  <w:color w:val="000000" w:themeColor="text1"/>
                  <w:sz w:val="20"/>
                  <w:szCs w:val="20"/>
                  <w:u w:val="single"/>
                  <w:lang w:val="es-ES"/>
                </w:rPr>
                <w:t>456/21</w:t>
              </w:r>
            </w:hyperlink>
            <w:r w:rsidRPr="004D345D">
              <w:rPr>
                <w:rFonts w:ascii="Cambria" w:eastAsia="Times New Roman" w:hAnsi="Cambria" w:cs="Times New Roman"/>
                <w:b/>
                <w:color w:val="000000" w:themeColor="text1"/>
                <w:sz w:val="20"/>
                <w:szCs w:val="20"/>
                <w:lang w:val="es-ES"/>
              </w:rPr>
              <w:t xml:space="preserve"> </w:t>
            </w:r>
            <w:r w:rsidRPr="004D345D">
              <w:rPr>
                <w:rFonts w:ascii="Cambria" w:eastAsia="Times New Roman" w:hAnsi="Cambria" w:cs="Times New Roman"/>
                <w:color w:val="000000" w:themeColor="text1"/>
                <w:sz w:val="20"/>
                <w:szCs w:val="20"/>
                <w:lang w:val="es-ES"/>
              </w:rPr>
              <w:t>publicado el 31 de diciembre de 2021</w:t>
            </w:r>
          </w:p>
          <w:p w14:paraId="4ACE6D8C" w14:textId="77777777" w:rsidR="007E0AD5" w:rsidRPr="004D345D" w:rsidRDefault="007E0AD5" w:rsidP="007E0AD5">
            <w:pPr>
              <w:jc w:val="both"/>
              <w:rPr>
                <w:rFonts w:ascii="Cambria" w:eastAsia="Times New Roman" w:hAnsi="Cambria" w:cs="Times New Roman"/>
                <w:color w:val="000000" w:themeColor="text1"/>
                <w:sz w:val="20"/>
                <w:szCs w:val="20"/>
                <w:lang w:val="es-ES"/>
              </w:rPr>
            </w:pPr>
            <w:r w:rsidRPr="004D345D">
              <w:rPr>
                <w:rFonts w:ascii="Cambria" w:eastAsia="Times New Roman" w:hAnsi="Cambria" w:cs="Times New Roman"/>
                <w:b/>
                <w:color w:val="000000" w:themeColor="text1"/>
                <w:sz w:val="20"/>
                <w:szCs w:val="20"/>
                <w:lang w:val="es-ES"/>
              </w:rPr>
              <w:t xml:space="preserve">Informe de admisibilidad: </w:t>
            </w:r>
            <w:hyperlink r:id="rId12" w:history="1">
              <w:r w:rsidRPr="004D345D">
                <w:rPr>
                  <w:rFonts w:ascii="Cambria" w:eastAsia="Times New Roman" w:hAnsi="Cambria" w:cs="Times New Roman"/>
                  <w:bCs/>
                  <w:color w:val="000000" w:themeColor="text1"/>
                  <w:sz w:val="20"/>
                  <w:szCs w:val="20"/>
                  <w:u w:val="single"/>
                  <w:lang w:val="es-ES"/>
                </w:rPr>
                <w:t>456/21</w:t>
              </w:r>
            </w:hyperlink>
            <w:r w:rsidRPr="004D345D">
              <w:rPr>
                <w:rFonts w:ascii="Cambria" w:eastAsia="Times New Roman" w:hAnsi="Cambria" w:cs="Times New Roman"/>
                <w:b/>
                <w:color w:val="000000" w:themeColor="text1"/>
                <w:sz w:val="20"/>
                <w:szCs w:val="20"/>
                <w:lang w:val="es-ES"/>
              </w:rPr>
              <w:t xml:space="preserve"> </w:t>
            </w:r>
            <w:r w:rsidRPr="004D345D">
              <w:rPr>
                <w:rFonts w:ascii="Cambria" w:eastAsia="Times New Roman" w:hAnsi="Cambria" w:cs="Times New Roman"/>
                <w:color w:val="000000" w:themeColor="text1"/>
                <w:sz w:val="20"/>
                <w:szCs w:val="20"/>
                <w:lang w:val="es-ES"/>
              </w:rPr>
              <w:t>publicado el 31 de diciembre de 2021</w:t>
            </w:r>
          </w:p>
          <w:p w14:paraId="6C4D74D0" w14:textId="77777777" w:rsidR="007E0AD5" w:rsidRPr="004D345D" w:rsidRDefault="007E0AD5" w:rsidP="007E0AD5">
            <w:pPr>
              <w:jc w:val="both"/>
              <w:rPr>
                <w:rFonts w:ascii="Cambria" w:eastAsia="Times New Roman" w:hAnsi="Cambria" w:cs="Times New Roman"/>
                <w:color w:val="000000" w:themeColor="text1"/>
                <w:sz w:val="20"/>
                <w:szCs w:val="20"/>
                <w:lang w:val="es-ES"/>
              </w:rPr>
            </w:pPr>
          </w:p>
          <w:p w14:paraId="72875169" w14:textId="77777777" w:rsidR="007E0AD5" w:rsidRPr="004D345D" w:rsidRDefault="007E0AD5" w:rsidP="007E0AD5">
            <w:pPr>
              <w:spacing w:after="120"/>
              <w:jc w:val="both"/>
              <w:rPr>
                <w:rFonts w:ascii="Cambria" w:eastAsia="Times New Roman" w:hAnsi="Cambria" w:cs="Times New Roman"/>
                <w:color w:val="000000" w:themeColor="text1"/>
                <w:sz w:val="20"/>
                <w:szCs w:val="20"/>
                <w:lang w:val="es-ES"/>
              </w:rPr>
            </w:pPr>
            <w:r w:rsidRPr="004D345D">
              <w:rPr>
                <w:rFonts w:ascii="Cambria" w:eastAsia="Times New Roman" w:hAnsi="Cambria" w:cs="Times New Roman"/>
                <w:b/>
                <w:color w:val="000000" w:themeColor="text1"/>
                <w:sz w:val="20"/>
                <w:szCs w:val="20"/>
                <w:lang w:val="es-ES"/>
              </w:rPr>
              <w:t xml:space="preserve">Temas: </w:t>
            </w:r>
            <w:r w:rsidRPr="004D345D">
              <w:rPr>
                <w:rFonts w:ascii="Cambria" w:eastAsia="Times New Roman" w:hAnsi="Cambria" w:cs="Times New Roman"/>
                <w:color w:val="000000" w:themeColor="text1"/>
                <w:sz w:val="20"/>
                <w:szCs w:val="20"/>
                <w:lang w:val="es-ES"/>
              </w:rPr>
              <w:t>Pena de Muerte / Derecho a la Vida / Garantías Judiciales / Protección Judicial / Deber de Adoptar Medidas y Disposiciones de Derecho Interno / Discapacidad Intelectual / Discriminación</w:t>
            </w:r>
          </w:p>
          <w:p w14:paraId="4C4B211B" w14:textId="77777777" w:rsidR="007E0AD5" w:rsidRPr="004D345D" w:rsidRDefault="007E0AD5" w:rsidP="007E0AD5">
            <w:pPr>
              <w:spacing w:before="100" w:beforeAutospacing="1" w:after="100" w:afterAutospacing="1"/>
              <w:jc w:val="both"/>
              <w:rPr>
                <w:rFonts w:ascii="Cambria" w:eastAsia="Times New Roman" w:hAnsi="Cambria" w:cs="Times New Roman"/>
                <w:color w:val="000000" w:themeColor="text1"/>
                <w:sz w:val="20"/>
                <w:szCs w:val="20"/>
                <w:lang w:val="es-ES"/>
              </w:rPr>
            </w:pPr>
            <w:r w:rsidRPr="004D345D">
              <w:rPr>
                <w:rFonts w:ascii="Cambria" w:eastAsia="Times New Roman" w:hAnsi="Cambria" w:cs="Times New Roman"/>
                <w:b/>
                <w:color w:val="000000" w:themeColor="text1"/>
                <w:sz w:val="20"/>
                <w:szCs w:val="20"/>
                <w:lang w:val="es-ES"/>
              </w:rPr>
              <w:t>Hechos:</w:t>
            </w:r>
            <w:r w:rsidRPr="004D345D">
              <w:rPr>
                <w:rFonts w:ascii="Cambria" w:eastAsia="Times New Roman" w:hAnsi="Cambria" w:cs="Times New Roman"/>
                <w:color w:val="000000" w:themeColor="text1"/>
                <w:sz w:val="20"/>
                <w:szCs w:val="20"/>
                <w:lang w:val="es-ES"/>
              </w:rPr>
              <w:t xml:space="preserve"> Este caso refiere a la violación de los derechos humanos del señor Ramiro Ibarra Rubí, ciudadano mexicano que fue condenado a la pena de muerte en Estados Unidos. El señor Ibarra Rubí fue condenado sin que se le diera la oportunidad de presentar nueva prueba sobre su posible discapacidad intelectual, y sin haberle sido garantizado, durante su detención ni en la preparación del juicio, su derecho a solicitar asistencia al consulado mexicano, de acuerdo con la Convención de Viena sobre Relaciones Consulares.</w:t>
            </w:r>
          </w:p>
          <w:p w14:paraId="7941DB4D" w14:textId="77777777" w:rsidR="007E0AD5" w:rsidRPr="004D345D" w:rsidRDefault="007E0AD5" w:rsidP="007E0AD5">
            <w:pPr>
              <w:spacing w:before="100" w:beforeAutospacing="1" w:after="100" w:afterAutospacing="1"/>
              <w:rPr>
                <w:rFonts w:ascii="Times New Roman" w:eastAsia="Times New Roman" w:hAnsi="Times New Roman" w:cs="Times New Roman"/>
                <w:color w:val="000000" w:themeColor="text1"/>
                <w:lang w:val="es-ES"/>
              </w:rPr>
            </w:pPr>
            <w:r w:rsidRPr="004D345D">
              <w:rPr>
                <w:rFonts w:ascii="Cambria" w:eastAsia="Times New Roman" w:hAnsi="Cambria" w:cs="Times New Roman"/>
                <w:b/>
                <w:color w:val="000000" w:themeColor="text1"/>
                <w:sz w:val="20"/>
                <w:szCs w:val="20"/>
                <w:lang w:val="es-ES"/>
              </w:rPr>
              <w:t xml:space="preserve">Derechos violados: </w:t>
            </w:r>
            <w:r w:rsidRPr="004D345D">
              <w:rPr>
                <w:rFonts w:ascii="Cambria" w:eastAsia="Times New Roman" w:hAnsi="Cambria" w:cs="Times New Roman"/>
                <w:color w:val="000000" w:themeColor="text1"/>
                <w:sz w:val="20"/>
                <w:szCs w:val="20"/>
                <w:lang w:val="es-ES"/>
              </w:rPr>
              <w:t xml:space="preserve">la Comisión Interamericana concluyó que el Estado es responsable por la violación de los artículos I (derecho a la vida, a la libertad, a la seguridad e integridad de la persona), II (derecho de igualdad ante la ley), XV (derecho de protección contra la detención arbitraria),  XVIII (derecho de justicia) y XXVI (derecho a proceso regular) de la Declaración Americana. </w:t>
            </w:r>
          </w:p>
          <w:p w14:paraId="6E8718A6" w14:textId="77777777" w:rsidR="007E0AD5" w:rsidRPr="004D345D" w:rsidRDefault="007E0AD5" w:rsidP="007E0AD5">
            <w:pPr>
              <w:spacing w:before="100" w:beforeAutospacing="1" w:after="100" w:afterAutospacing="1"/>
              <w:rPr>
                <w:rFonts w:ascii="Cambria" w:eastAsia="Times New Roman" w:hAnsi="Cambria" w:cs="Times New Roman"/>
                <w:color w:val="000000" w:themeColor="text1"/>
                <w:sz w:val="20"/>
                <w:szCs w:val="20"/>
                <w:lang w:val="es-ES"/>
              </w:rPr>
            </w:pPr>
          </w:p>
        </w:tc>
      </w:tr>
    </w:tbl>
    <w:p w14:paraId="0123A50D" w14:textId="77777777" w:rsidR="007E0AD5" w:rsidRPr="004D345D" w:rsidRDefault="007E0AD5" w:rsidP="007E0AD5">
      <w:pPr>
        <w:ind w:left="180"/>
        <w:jc w:val="both"/>
        <w:rPr>
          <w:rFonts w:ascii="Cambria" w:eastAsia="Times New Roman" w:hAnsi="Cambria" w:cs="Times New Roman"/>
          <w:color w:val="000000" w:themeColor="text1"/>
          <w:sz w:val="20"/>
          <w:szCs w:val="20"/>
          <w:lang w:val="es-ES"/>
        </w:rPr>
      </w:pPr>
    </w:p>
    <w:p w14:paraId="4F7F8FEE" w14:textId="77777777" w:rsidR="007E0AD5" w:rsidRPr="004D345D" w:rsidRDefault="007E0AD5" w:rsidP="007E0AD5">
      <w:pPr>
        <w:numPr>
          <w:ilvl w:val="0"/>
          <w:numId w:val="8"/>
        </w:numPr>
        <w:ind w:left="1440"/>
        <w:jc w:val="both"/>
        <w:rPr>
          <w:rFonts w:ascii="Cambria" w:eastAsia="Times New Roman" w:hAnsi="Cambria" w:cs="Calibri Light"/>
          <w:b/>
          <w:color w:val="000000" w:themeColor="text1"/>
          <w:sz w:val="20"/>
          <w:szCs w:val="20"/>
          <w:lang w:val="es-ES"/>
        </w:rPr>
      </w:pPr>
      <w:r w:rsidRPr="004D345D">
        <w:rPr>
          <w:rFonts w:ascii="Cambria" w:eastAsia="Times New Roman" w:hAnsi="Cambria" w:cs="Calibri Light"/>
          <w:b/>
          <w:color w:val="000000" w:themeColor="text1"/>
          <w:sz w:val="20"/>
          <w:szCs w:val="20"/>
          <w:lang w:val="es-ES"/>
        </w:rPr>
        <w:t>Recomendaciones</w:t>
      </w:r>
    </w:p>
    <w:p w14:paraId="6BC17DBE" w14:textId="77777777" w:rsidR="007E0AD5" w:rsidRPr="004D345D" w:rsidRDefault="007E0AD5" w:rsidP="007E0AD5">
      <w:pPr>
        <w:ind w:left="1080"/>
        <w:jc w:val="both"/>
        <w:rPr>
          <w:rFonts w:ascii="Cambria" w:eastAsia="Times New Roman"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4D345D" w:rsidRPr="004D345D" w14:paraId="0A5AD2C3" w14:textId="77777777" w:rsidTr="006E453C">
        <w:tc>
          <w:tcPr>
            <w:tcW w:w="7197" w:type="dxa"/>
            <w:shd w:val="clear" w:color="auto" w:fill="auto"/>
            <w:vAlign w:val="center"/>
          </w:tcPr>
          <w:p w14:paraId="7901D6FC" w14:textId="77777777" w:rsidR="007E0AD5" w:rsidRPr="004D345D" w:rsidRDefault="007E0AD5" w:rsidP="007E0AD5">
            <w:pPr>
              <w:jc w:val="center"/>
              <w:rPr>
                <w:rFonts w:ascii="Cambria" w:eastAsia="Times New Roman" w:hAnsi="Cambria" w:cs="Calibri Light"/>
                <w:b/>
                <w:color w:val="000000" w:themeColor="text1"/>
                <w:sz w:val="18"/>
                <w:szCs w:val="18"/>
                <w:lang w:val="es-ES"/>
              </w:rPr>
            </w:pPr>
            <w:r w:rsidRPr="004D345D">
              <w:rPr>
                <w:rFonts w:ascii="Cambria" w:eastAsia="Times New Roman" w:hAnsi="Cambria" w:cs="Calibri Light"/>
                <w:b/>
                <w:color w:val="000000" w:themeColor="text1"/>
                <w:sz w:val="18"/>
                <w:szCs w:val="18"/>
                <w:lang w:val="es-ES"/>
              </w:rPr>
              <w:t>Recomendaciones</w:t>
            </w:r>
          </w:p>
        </w:tc>
        <w:tc>
          <w:tcPr>
            <w:tcW w:w="2135" w:type="dxa"/>
            <w:shd w:val="clear" w:color="auto" w:fill="auto"/>
          </w:tcPr>
          <w:p w14:paraId="56A17037" w14:textId="6447663A" w:rsidR="007E0AD5" w:rsidRPr="004D345D" w:rsidRDefault="007E0AD5" w:rsidP="007E0AD5">
            <w:pPr>
              <w:jc w:val="center"/>
              <w:rPr>
                <w:rFonts w:ascii="Cambria" w:eastAsia="Times New Roman" w:hAnsi="Cambria" w:cs="Calibri Light"/>
                <w:b/>
                <w:color w:val="000000" w:themeColor="text1"/>
                <w:sz w:val="18"/>
                <w:szCs w:val="18"/>
                <w:lang w:val="es-ES"/>
              </w:rPr>
            </w:pPr>
            <w:r w:rsidRPr="004D345D">
              <w:rPr>
                <w:rFonts w:ascii="Cambria" w:eastAsia="Times New Roman" w:hAnsi="Cambria" w:cs="Calibri Light"/>
                <w:b/>
                <w:color w:val="000000" w:themeColor="text1"/>
                <w:sz w:val="18"/>
                <w:szCs w:val="18"/>
                <w:lang w:val="es-ES"/>
              </w:rPr>
              <w:t>Estado de cumplimiento en 202</w:t>
            </w:r>
            <w:r w:rsidR="00311172" w:rsidRPr="004D345D">
              <w:rPr>
                <w:rFonts w:ascii="Cambria" w:eastAsia="Times New Roman" w:hAnsi="Cambria" w:cs="Calibri Light"/>
                <w:b/>
                <w:color w:val="000000" w:themeColor="text1"/>
                <w:sz w:val="18"/>
                <w:szCs w:val="18"/>
                <w:lang w:val="es-ES"/>
              </w:rPr>
              <w:t>2</w:t>
            </w:r>
          </w:p>
        </w:tc>
      </w:tr>
      <w:tr w:rsidR="004D345D" w:rsidRPr="004D345D" w14:paraId="61AAF04E" w14:textId="77777777" w:rsidTr="006E453C">
        <w:tc>
          <w:tcPr>
            <w:tcW w:w="7197" w:type="dxa"/>
            <w:shd w:val="clear" w:color="auto" w:fill="auto"/>
          </w:tcPr>
          <w:p w14:paraId="59544214" w14:textId="77777777" w:rsidR="007E0AD5" w:rsidRPr="004D345D" w:rsidRDefault="007E0AD5" w:rsidP="007E0AD5">
            <w:pPr>
              <w:jc w:val="both"/>
              <w:rPr>
                <w:rFonts w:ascii="Cambria" w:eastAsia="Times New Roman" w:hAnsi="Cambria" w:cs="Times New Roman"/>
                <w:color w:val="000000" w:themeColor="text1"/>
                <w:sz w:val="16"/>
                <w:szCs w:val="16"/>
                <w:lang w:val="es-ES"/>
              </w:rPr>
            </w:pPr>
            <w:r w:rsidRPr="004D345D">
              <w:rPr>
                <w:rFonts w:ascii="Cambria" w:eastAsia="Times New Roman" w:hAnsi="Cambria" w:cs="Times New Roman"/>
                <w:color w:val="000000" w:themeColor="text1"/>
                <w:sz w:val="16"/>
                <w:szCs w:val="16"/>
                <w:lang w:val="es-ES"/>
              </w:rPr>
              <w:t>1. Otorgue a Ramiro Ibarra Rubi una reparación efectiva, incluida la revisión de su juicio y sentencias de acuerdo con las garantías de justicia y debido proceso establecidas en los artículos XVIII y XXVI de la Declaración Americana, y el pago de una indemnización pecuniaria. Teniendo en cuenta la conclusión de la CIDH sobre el tiempo que la presunta víctima se encuentra en el corredor de la muerte, la Comisión recomienda que se le conmute la pena.</w:t>
            </w:r>
          </w:p>
        </w:tc>
        <w:tc>
          <w:tcPr>
            <w:tcW w:w="2135" w:type="dxa"/>
            <w:shd w:val="clear" w:color="auto" w:fill="auto"/>
            <w:vAlign w:val="center"/>
          </w:tcPr>
          <w:p w14:paraId="1077DECC" w14:textId="77777777" w:rsidR="007E0AD5" w:rsidRPr="004D345D" w:rsidRDefault="007E0AD5" w:rsidP="007E0AD5">
            <w:pPr>
              <w:jc w:val="center"/>
              <w:rPr>
                <w:rFonts w:ascii="Cambria" w:eastAsia="Times New Roman" w:hAnsi="Cambria" w:cs="Times New Roman"/>
                <w:color w:val="000000" w:themeColor="text1"/>
                <w:sz w:val="18"/>
                <w:szCs w:val="18"/>
                <w:lang w:val="es-ES"/>
              </w:rPr>
            </w:pPr>
            <w:r w:rsidRPr="004D345D">
              <w:rPr>
                <w:rFonts w:ascii="Cambria" w:eastAsia="Times New Roman" w:hAnsi="Cambria" w:cs="Times New Roman"/>
                <w:color w:val="000000" w:themeColor="text1"/>
                <w:sz w:val="18"/>
                <w:szCs w:val="18"/>
                <w:lang w:val="es-ES"/>
              </w:rPr>
              <w:t>Pendiente de cumplimiento</w:t>
            </w:r>
          </w:p>
        </w:tc>
      </w:tr>
      <w:tr w:rsidR="004D345D" w:rsidRPr="004D345D" w14:paraId="4BF733A0" w14:textId="77777777" w:rsidTr="006E453C">
        <w:tc>
          <w:tcPr>
            <w:tcW w:w="7197" w:type="dxa"/>
            <w:shd w:val="clear" w:color="auto" w:fill="auto"/>
          </w:tcPr>
          <w:p w14:paraId="75D1C303" w14:textId="77777777" w:rsidR="007E0AD5" w:rsidRPr="004D345D" w:rsidRDefault="007E0AD5" w:rsidP="007E0AD5">
            <w:pPr>
              <w:jc w:val="both"/>
              <w:rPr>
                <w:rFonts w:ascii="Cambria" w:eastAsia="Times New Roman" w:hAnsi="Cambria" w:cs="Times New Roman"/>
                <w:color w:val="000000" w:themeColor="text1"/>
                <w:sz w:val="16"/>
                <w:szCs w:val="16"/>
                <w:lang w:val="es-ES"/>
              </w:rPr>
            </w:pPr>
            <w:r w:rsidRPr="004D345D">
              <w:rPr>
                <w:rFonts w:ascii="Cambria" w:eastAsia="Times New Roman" w:hAnsi="Cambria" w:cs="Times New Roman"/>
                <w:color w:val="000000" w:themeColor="text1"/>
                <w:sz w:val="16"/>
                <w:szCs w:val="16"/>
                <w:lang w:val="es-ES"/>
              </w:rPr>
              <w:t xml:space="preserve">2. Revise sus leyes, procedimientos y prácticas a nivel estatal y federal para asegurar que las personas acusadas de delitos susceptibles de ser penados con la muerte sean juzgadas y, de ser condenadas, sentenciadas de conformidad con los derechos establecidos en la Declaración Americana, incluidos los artículos I, II, XVIII, XXV. y XXVI de la misma y, en particular: </w:t>
            </w:r>
          </w:p>
          <w:p w14:paraId="0B3352C3" w14:textId="77777777" w:rsidR="007E0AD5" w:rsidRPr="004D345D" w:rsidRDefault="007E0AD5" w:rsidP="007E0AD5">
            <w:pPr>
              <w:numPr>
                <w:ilvl w:val="0"/>
                <w:numId w:val="10"/>
              </w:numPr>
              <w:contextualSpacing/>
              <w:jc w:val="both"/>
              <w:rPr>
                <w:rFonts w:ascii="Cambria" w:eastAsia="Times New Roman" w:hAnsi="Cambria" w:cs="Times New Roman"/>
                <w:color w:val="000000" w:themeColor="text1"/>
                <w:sz w:val="16"/>
                <w:szCs w:val="16"/>
                <w:lang w:val="es-ES"/>
              </w:rPr>
            </w:pPr>
            <w:r w:rsidRPr="004D345D">
              <w:rPr>
                <w:rFonts w:ascii="Cambria" w:eastAsia="Times New Roman" w:hAnsi="Cambria" w:cs="Times New Roman"/>
                <w:color w:val="000000" w:themeColor="text1"/>
                <w:sz w:val="16"/>
                <w:szCs w:val="16"/>
                <w:lang w:val="es-ES"/>
              </w:rPr>
              <w:t xml:space="preserve">Asegure que todo extranjero privado de libertad sea informado, sin demora y antes de su primera instancia de interrogatorio por parte de las autoridades estatales, del derecho a solicitar que se notifique inmediatamente a las autoridades consulares de su arresto o detención; </w:t>
            </w:r>
          </w:p>
          <w:p w14:paraId="4AFAC24E" w14:textId="77777777" w:rsidR="007E0AD5" w:rsidRPr="004D345D" w:rsidRDefault="007E0AD5" w:rsidP="007E0AD5">
            <w:pPr>
              <w:numPr>
                <w:ilvl w:val="0"/>
                <w:numId w:val="10"/>
              </w:numPr>
              <w:contextualSpacing/>
              <w:jc w:val="both"/>
              <w:rPr>
                <w:rFonts w:ascii="Cambria" w:eastAsia="Times New Roman" w:hAnsi="Cambria" w:cs="Times New Roman"/>
                <w:color w:val="000000" w:themeColor="text1"/>
                <w:sz w:val="16"/>
                <w:szCs w:val="16"/>
                <w:lang w:val="es-ES"/>
              </w:rPr>
            </w:pPr>
            <w:r w:rsidRPr="004D345D">
              <w:rPr>
                <w:rFonts w:ascii="Cambria" w:eastAsia="Times New Roman" w:hAnsi="Cambria" w:cs="Times New Roman"/>
                <w:color w:val="000000" w:themeColor="text1"/>
                <w:sz w:val="16"/>
                <w:szCs w:val="16"/>
                <w:lang w:val="es-ES"/>
              </w:rPr>
              <w:t xml:space="preserve">Otorgue la oportunidad de presentar evidencia con respecto a la discapacidad mental e intelectual y ser escuchado sobre los méritos de esa evidencia, cuando se alega dicha discapacidad y realizar una audiencia de nueva sentencia para determinar la sentencia apropiada adecuada cuando tal discapacidad existe; y </w:t>
            </w:r>
          </w:p>
          <w:p w14:paraId="10FCFE69" w14:textId="77777777" w:rsidR="007E0AD5" w:rsidRPr="004D345D" w:rsidRDefault="007E0AD5" w:rsidP="007E0AD5">
            <w:pPr>
              <w:numPr>
                <w:ilvl w:val="0"/>
                <w:numId w:val="10"/>
              </w:numPr>
              <w:contextualSpacing/>
              <w:jc w:val="both"/>
              <w:rPr>
                <w:rFonts w:ascii="Cambria" w:eastAsia="Times New Roman" w:hAnsi="Cambria" w:cs="Times New Roman"/>
                <w:color w:val="000000" w:themeColor="text1"/>
                <w:sz w:val="16"/>
                <w:szCs w:val="16"/>
                <w:lang w:val="es-ES"/>
              </w:rPr>
            </w:pPr>
            <w:r w:rsidRPr="004D345D">
              <w:rPr>
                <w:rFonts w:ascii="Cambria" w:eastAsia="Times New Roman" w:hAnsi="Cambria" w:cs="Times New Roman"/>
                <w:color w:val="000000" w:themeColor="text1"/>
                <w:sz w:val="16"/>
                <w:szCs w:val="16"/>
                <w:lang w:val="es-ES"/>
              </w:rPr>
              <w:t>Asegure que el método de ejecución no constituya un castigo cruel, infamante o inusual, y en particular, poner a disposición de una persona sujeta a ejecución pendiente, los detalles sobre la fuente, substancia y/o procedimiento administrativo del método de ejecución.</w:t>
            </w:r>
          </w:p>
        </w:tc>
        <w:tc>
          <w:tcPr>
            <w:tcW w:w="2135" w:type="dxa"/>
            <w:shd w:val="clear" w:color="auto" w:fill="auto"/>
            <w:vAlign w:val="center"/>
          </w:tcPr>
          <w:p w14:paraId="54B8ADFA" w14:textId="77777777" w:rsidR="007E0AD5" w:rsidRPr="004D345D" w:rsidRDefault="007E0AD5" w:rsidP="007E0AD5">
            <w:pPr>
              <w:jc w:val="center"/>
              <w:rPr>
                <w:rFonts w:ascii="Cambria" w:eastAsia="Times New Roman" w:hAnsi="Cambria" w:cs="Times New Roman"/>
                <w:color w:val="000000" w:themeColor="text1"/>
                <w:sz w:val="18"/>
                <w:szCs w:val="18"/>
                <w:lang w:val="es-ES"/>
              </w:rPr>
            </w:pPr>
            <w:r w:rsidRPr="004D345D">
              <w:rPr>
                <w:rFonts w:ascii="Cambria" w:eastAsia="Times New Roman" w:hAnsi="Cambria" w:cs="Times New Roman"/>
                <w:color w:val="000000" w:themeColor="text1"/>
                <w:sz w:val="18"/>
                <w:szCs w:val="18"/>
                <w:lang w:val="es-ES"/>
              </w:rPr>
              <w:t>Pendiente de cumplimiento</w:t>
            </w:r>
          </w:p>
        </w:tc>
      </w:tr>
      <w:tr w:rsidR="007E0AD5" w:rsidRPr="004D345D" w14:paraId="637DBEDE" w14:textId="77777777" w:rsidTr="006E453C">
        <w:tc>
          <w:tcPr>
            <w:tcW w:w="7197" w:type="dxa"/>
            <w:shd w:val="clear" w:color="auto" w:fill="auto"/>
          </w:tcPr>
          <w:p w14:paraId="658458DD" w14:textId="77777777" w:rsidR="007E0AD5" w:rsidRPr="004D345D" w:rsidRDefault="007E0AD5" w:rsidP="007E0AD5">
            <w:pPr>
              <w:jc w:val="both"/>
              <w:rPr>
                <w:rFonts w:ascii="Cambria" w:eastAsia="Times New Roman" w:hAnsi="Cambria" w:cs="Times New Roman"/>
                <w:color w:val="000000" w:themeColor="text1"/>
                <w:sz w:val="16"/>
                <w:szCs w:val="16"/>
                <w:lang w:val="es-ES"/>
              </w:rPr>
            </w:pPr>
            <w:r w:rsidRPr="004D345D">
              <w:rPr>
                <w:rFonts w:ascii="Cambria" w:eastAsia="Times New Roman" w:hAnsi="Cambria" w:cs="Times New Roman"/>
                <w:color w:val="000000" w:themeColor="text1"/>
                <w:sz w:val="16"/>
                <w:szCs w:val="16"/>
                <w:lang w:val="es-ES"/>
              </w:rPr>
              <w:t>3. Dadas las violaciones a la Declaración Americana que ha establecido la CIDH en el presente caso y en otros que involucran la aplicación de la pena de muerte, la Comisión Interamericana también recomienda a los Estados Unidos que derogue la pena de muerte.</w:t>
            </w:r>
          </w:p>
        </w:tc>
        <w:tc>
          <w:tcPr>
            <w:tcW w:w="2135" w:type="dxa"/>
            <w:shd w:val="clear" w:color="auto" w:fill="auto"/>
            <w:vAlign w:val="center"/>
          </w:tcPr>
          <w:p w14:paraId="21520B07" w14:textId="77777777" w:rsidR="007E0AD5" w:rsidRPr="004D345D" w:rsidRDefault="007E0AD5" w:rsidP="007E0AD5">
            <w:pPr>
              <w:jc w:val="center"/>
              <w:rPr>
                <w:rFonts w:ascii="Cambria" w:eastAsia="Times New Roman" w:hAnsi="Cambria" w:cs="Times New Roman"/>
                <w:color w:val="000000" w:themeColor="text1"/>
                <w:sz w:val="18"/>
                <w:szCs w:val="18"/>
                <w:lang w:val="es-ES"/>
              </w:rPr>
            </w:pPr>
            <w:r w:rsidRPr="004D345D">
              <w:rPr>
                <w:rFonts w:ascii="Cambria" w:eastAsia="Times New Roman" w:hAnsi="Cambria" w:cs="Times New Roman"/>
                <w:color w:val="000000" w:themeColor="text1"/>
                <w:sz w:val="18"/>
                <w:szCs w:val="18"/>
                <w:lang w:val="es-ES"/>
              </w:rPr>
              <w:t>Pendiente de cumplimiento</w:t>
            </w:r>
          </w:p>
        </w:tc>
      </w:tr>
    </w:tbl>
    <w:p w14:paraId="6A1034BF" w14:textId="77777777" w:rsidR="007E0AD5" w:rsidRPr="004D345D" w:rsidRDefault="007E0AD5" w:rsidP="007E0AD5">
      <w:pPr>
        <w:jc w:val="both"/>
        <w:rPr>
          <w:rFonts w:ascii="Cambria" w:eastAsia="Times New Roman" w:hAnsi="Cambria" w:cs="Calibri Light"/>
          <w:b/>
          <w:color w:val="000000" w:themeColor="text1"/>
          <w:lang w:val="es-ES"/>
        </w:rPr>
      </w:pPr>
    </w:p>
    <w:p w14:paraId="0AC46506" w14:textId="77777777" w:rsidR="007E0AD5" w:rsidRPr="004D345D" w:rsidRDefault="007E0AD5" w:rsidP="007E0AD5">
      <w:pPr>
        <w:numPr>
          <w:ilvl w:val="0"/>
          <w:numId w:val="8"/>
        </w:numPr>
        <w:ind w:left="1440"/>
        <w:contextualSpacing/>
        <w:jc w:val="both"/>
        <w:rPr>
          <w:rFonts w:ascii="Cambria" w:eastAsia="Times New Roman" w:hAnsi="Cambria" w:cs="Calibri Light"/>
          <w:b/>
          <w:color w:val="000000" w:themeColor="text1"/>
          <w:sz w:val="20"/>
          <w:szCs w:val="20"/>
          <w:lang w:val="es-ES"/>
        </w:rPr>
      </w:pPr>
      <w:r w:rsidRPr="004D345D">
        <w:rPr>
          <w:rFonts w:ascii="Cambria" w:eastAsia="Times New Roman" w:hAnsi="Cambria" w:cs="Times New Roman"/>
          <w:b/>
          <w:color w:val="000000" w:themeColor="text1"/>
          <w:sz w:val="20"/>
          <w:szCs w:val="20"/>
          <w:lang w:val="es-ES"/>
        </w:rPr>
        <w:t>Actividad procesal</w:t>
      </w:r>
    </w:p>
    <w:p w14:paraId="0D4000DD" w14:textId="77777777" w:rsidR="00311172" w:rsidRPr="004D345D" w:rsidRDefault="00311172" w:rsidP="00311172">
      <w:pPr>
        <w:rPr>
          <w:rFonts w:ascii="Cambria" w:eastAsia="Times New Roman" w:hAnsi="Cambria" w:cs="Calibri Light"/>
          <w:color w:val="000000" w:themeColor="text1"/>
          <w:sz w:val="20"/>
          <w:szCs w:val="20"/>
          <w:lang w:val="es-ES"/>
        </w:rPr>
      </w:pPr>
      <w:bookmarkStart w:id="0" w:name="_Hlk117033538"/>
    </w:p>
    <w:p w14:paraId="6B6DC5EB" w14:textId="77777777" w:rsidR="00311172" w:rsidRPr="004D345D" w:rsidRDefault="00311172" w:rsidP="00311172">
      <w:pPr>
        <w:numPr>
          <w:ilvl w:val="0"/>
          <w:numId w:val="9"/>
        </w:numPr>
        <w:ind w:left="0" w:firstLine="720"/>
        <w:jc w:val="both"/>
        <w:rPr>
          <w:rFonts w:ascii="Cambria" w:hAnsi="Cambria" w:cs="Calibri Light"/>
          <w:color w:val="000000" w:themeColor="text1"/>
          <w:sz w:val="20"/>
          <w:szCs w:val="20"/>
          <w:lang w:val="es-ES"/>
        </w:rPr>
      </w:pPr>
      <w:r w:rsidRPr="004D345D">
        <w:rPr>
          <w:rFonts w:ascii="Cambria" w:hAnsi="Cambria" w:cs="Calibri Light"/>
          <w:color w:val="000000" w:themeColor="text1"/>
          <w:sz w:val="20"/>
          <w:szCs w:val="20"/>
          <w:lang w:val="es-ES"/>
        </w:rPr>
        <w:t>En 2022, la CIDH solicitó al Estado información actualizada sobre el cumplimiento de recomendaciones el 26 de agosto.</w:t>
      </w:r>
      <w:r w:rsidRPr="004D345D">
        <w:rPr>
          <w:rFonts w:ascii="Cambria" w:hAnsi="Cambria"/>
          <w:color w:val="000000" w:themeColor="text1"/>
          <w:sz w:val="20"/>
          <w:szCs w:val="20"/>
          <w:lang w:val="es-ES"/>
        </w:rPr>
        <w:t xml:space="preserve"> </w:t>
      </w:r>
      <w:r w:rsidRPr="004D345D">
        <w:rPr>
          <w:rFonts w:ascii="Cambria" w:hAnsi="Cambria" w:cs="Calibri Light"/>
          <w:color w:val="000000" w:themeColor="text1"/>
          <w:sz w:val="20"/>
          <w:szCs w:val="20"/>
          <w:lang w:val="es-ES"/>
        </w:rPr>
        <w:t xml:space="preserve">El Estado </w:t>
      </w:r>
      <w:r w:rsidRPr="004D345D">
        <w:rPr>
          <w:rFonts w:ascii="Cambria" w:hAnsi="Cambria"/>
          <w:color w:val="000000" w:themeColor="text1"/>
          <w:sz w:val="20"/>
          <w:szCs w:val="20"/>
          <w:lang w:val="es-ES"/>
        </w:rPr>
        <w:t xml:space="preserve">no remitió dicha información.  </w:t>
      </w:r>
    </w:p>
    <w:p w14:paraId="6D4ECBF1" w14:textId="77777777" w:rsidR="00311172" w:rsidRPr="004D345D" w:rsidRDefault="00311172" w:rsidP="00311172">
      <w:pPr>
        <w:ind w:left="720"/>
        <w:jc w:val="both"/>
        <w:rPr>
          <w:rFonts w:ascii="Cambria" w:hAnsi="Cambria" w:cs="Calibri Light"/>
          <w:color w:val="000000" w:themeColor="text1"/>
          <w:sz w:val="20"/>
          <w:szCs w:val="20"/>
          <w:lang w:val="es-ES"/>
        </w:rPr>
      </w:pPr>
    </w:p>
    <w:p w14:paraId="7FD79A1B" w14:textId="2B7DB8DC" w:rsidR="00311172" w:rsidRPr="004D345D" w:rsidRDefault="00311172" w:rsidP="00311172">
      <w:pPr>
        <w:numPr>
          <w:ilvl w:val="0"/>
          <w:numId w:val="9"/>
        </w:numPr>
        <w:ind w:left="0" w:firstLine="720"/>
        <w:jc w:val="both"/>
        <w:rPr>
          <w:rFonts w:ascii="Cambria" w:hAnsi="Cambria" w:cs="Calibri Light"/>
          <w:color w:val="000000" w:themeColor="text1"/>
          <w:sz w:val="20"/>
          <w:szCs w:val="20"/>
          <w:lang w:val="es-ES"/>
        </w:rPr>
      </w:pPr>
      <w:r w:rsidRPr="004D345D">
        <w:rPr>
          <w:rFonts w:ascii="Cambria" w:hAnsi="Cambria" w:cs="Calibri Light"/>
          <w:color w:val="000000" w:themeColor="text1"/>
          <w:sz w:val="20"/>
          <w:szCs w:val="20"/>
          <w:lang w:val="es-ES"/>
        </w:rPr>
        <w:t xml:space="preserve">La CIDH </w:t>
      </w:r>
      <w:r w:rsidRPr="004D345D">
        <w:rPr>
          <w:rFonts w:ascii="Cambria" w:hAnsi="Cambria"/>
          <w:color w:val="000000" w:themeColor="text1"/>
          <w:sz w:val="20"/>
          <w:szCs w:val="20"/>
          <w:lang w:val="es-ES"/>
        </w:rPr>
        <w:t xml:space="preserve">solicitó al peticionario información actualizada sobre el cumplimiento de recomendaciones el 26 de agosto de 2022. </w:t>
      </w:r>
      <w:r w:rsidR="00EF19B5" w:rsidRPr="004D345D">
        <w:rPr>
          <w:rFonts w:ascii="Cambria" w:hAnsi="Cambria"/>
          <w:color w:val="000000" w:themeColor="text1"/>
          <w:sz w:val="20"/>
          <w:szCs w:val="20"/>
          <w:lang w:val="es-ES"/>
        </w:rPr>
        <w:t>Los peticionarios remitieron su respuesta el 6 de septiembre de 2022.</w:t>
      </w:r>
    </w:p>
    <w:p w14:paraId="0A9409F9" w14:textId="77777777" w:rsidR="007E0AD5" w:rsidRPr="004D345D" w:rsidRDefault="007E0AD5" w:rsidP="007E0AD5">
      <w:pPr>
        <w:jc w:val="both"/>
        <w:rPr>
          <w:rFonts w:ascii="Cambria" w:eastAsia="Times New Roman" w:hAnsi="Cambria" w:cs="Calibri Light"/>
          <w:color w:val="000000" w:themeColor="text1"/>
          <w:sz w:val="20"/>
          <w:szCs w:val="20"/>
          <w:lang w:val="es-ES"/>
        </w:rPr>
      </w:pPr>
    </w:p>
    <w:bookmarkEnd w:id="0"/>
    <w:p w14:paraId="6C4F52F9" w14:textId="77777777" w:rsidR="007E0AD5" w:rsidRPr="004D345D" w:rsidRDefault="007E0AD5" w:rsidP="007E0AD5">
      <w:pPr>
        <w:numPr>
          <w:ilvl w:val="0"/>
          <w:numId w:val="8"/>
        </w:numPr>
        <w:ind w:left="1440"/>
        <w:contextualSpacing/>
        <w:jc w:val="both"/>
        <w:rPr>
          <w:rFonts w:ascii="Cambria" w:eastAsia="Times New Roman" w:hAnsi="Cambria" w:cs="Calibri Light"/>
          <w:b/>
          <w:color w:val="000000" w:themeColor="text1"/>
          <w:sz w:val="20"/>
          <w:szCs w:val="20"/>
          <w:lang w:val="es-ES"/>
        </w:rPr>
      </w:pPr>
      <w:r w:rsidRPr="004D345D">
        <w:rPr>
          <w:rFonts w:ascii="Cambria" w:eastAsia="Times New Roman" w:hAnsi="Cambria" w:cs="Calibri Light"/>
          <w:b/>
          <w:color w:val="000000" w:themeColor="text1"/>
          <w:sz w:val="20"/>
          <w:szCs w:val="20"/>
          <w:lang w:val="es-ES"/>
        </w:rPr>
        <w:t xml:space="preserve">Análisis relativo a la información proporcionada </w:t>
      </w:r>
    </w:p>
    <w:p w14:paraId="3A2EF92B" w14:textId="77777777" w:rsidR="007E0AD5" w:rsidRPr="004D345D" w:rsidRDefault="007E0AD5" w:rsidP="007E0AD5">
      <w:pPr>
        <w:jc w:val="both"/>
        <w:rPr>
          <w:rFonts w:ascii="Cambria" w:eastAsia="Times New Roman" w:hAnsi="Cambria" w:cs="Calibri Light"/>
          <w:color w:val="000000" w:themeColor="text1"/>
          <w:sz w:val="20"/>
          <w:szCs w:val="20"/>
          <w:lang w:val="es-ES"/>
        </w:rPr>
      </w:pPr>
    </w:p>
    <w:p w14:paraId="4B868CE6" w14:textId="7FD75E01" w:rsidR="00311172" w:rsidRPr="004D345D" w:rsidRDefault="00311172" w:rsidP="00311172">
      <w:pPr>
        <w:numPr>
          <w:ilvl w:val="0"/>
          <w:numId w:val="9"/>
        </w:numPr>
        <w:ind w:left="0" w:firstLine="720"/>
        <w:jc w:val="both"/>
        <w:rPr>
          <w:rFonts w:ascii="Cambria" w:hAnsi="Cambria" w:cs="Calibri Light"/>
          <w:color w:val="000000" w:themeColor="text1"/>
          <w:sz w:val="20"/>
          <w:szCs w:val="20"/>
          <w:lang w:val="es-ES"/>
        </w:rPr>
      </w:pPr>
      <w:r w:rsidRPr="004D345D">
        <w:rPr>
          <w:rFonts w:ascii="Cambria" w:hAnsi="Cambria" w:cs="Calibri Light"/>
          <w:color w:val="000000" w:themeColor="text1"/>
          <w:sz w:val="20"/>
          <w:szCs w:val="20"/>
          <w:lang w:val="es-ES"/>
        </w:rPr>
        <w:t xml:space="preserve">La </w:t>
      </w:r>
      <w:r w:rsidR="00EF19B5" w:rsidRPr="004D345D">
        <w:rPr>
          <w:rFonts w:ascii="Cambria" w:hAnsi="Cambria" w:cs="Calibri Light"/>
          <w:color w:val="000000" w:themeColor="text1"/>
          <w:sz w:val="20"/>
          <w:szCs w:val="20"/>
          <w:lang w:val="es-ES"/>
        </w:rPr>
        <w:t>información proporcionada no da cuenta de avances o medidas implementadas para el cumplimiento de las recomendaciones.</w:t>
      </w:r>
    </w:p>
    <w:p w14:paraId="1A8A6D0F" w14:textId="77777777" w:rsidR="00311172" w:rsidRPr="004D345D" w:rsidRDefault="00311172" w:rsidP="00311172">
      <w:pPr>
        <w:jc w:val="both"/>
        <w:rPr>
          <w:rFonts w:ascii="Cambria" w:eastAsia="Times New Roman" w:hAnsi="Cambria" w:cs="Calibri Light"/>
          <w:color w:val="000000" w:themeColor="text1"/>
          <w:sz w:val="20"/>
          <w:szCs w:val="20"/>
          <w:lang w:val="es-ES"/>
        </w:rPr>
      </w:pPr>
    </w:p>
    <w:p w14:paraId="68F7BE43" w14:textId="77777777" w:rsidR="007E0AD5" w:rsidRPr="004D345D" w:rsidRDefault="007E0AD5" w:rsidP="007E0AD5">
      <w:pPr>
        <w:numPr>
          <w:ilvl w:val="0"/>
          <w:numId w:val="8"/>
        </w:numPr>
        <w:ind w:left="1440"/>
        <w:contextualSpacing/>
        <w:jc w:val="both"/>
        <w:rPr>
          <w:rFonts w:ascii="Cambria" w:eastAsia="Times New Roman" w:hAnsi="Cambria" w:cs="Calibri Light"/>
          <w:b/>
          <w:color w:val="000000" w:themeColor="text1"/>
          <w:sz w:val="20"/>
          <w:szCs w:val="20"/>
          <w:lang w:val="es-ES"/>
        </w:rPr>
      </w:pPr>
      <w:r w:rsidRPr="004D345D">
        <w:rPr>
          <w:rFonts w:ascii="Cambria" w:eastAsia="Times New Roman" w:hAnsi="Cambria" w:cs="Calibri Light"/>
          <w:b/>
          <w:color w:val="000000" w:themeColor="text1"/>
          <w:sz w:val="20"/>
          <w:szCs w:val="20"/>
          <w:lang w:val="es-ES"/>
        </w:rPr>
        <w:t>Análisis del cumplimiento de las recomendaciones</w:t>
      </w:r>
    </w:p>
    <w:p w14:paraId="034B03CF" w14:textId="77777777" w:rsidR="007E0AD5" w:rsidRPr="004D345D" w:rsidRDefault="007E0AD5" w:rsidP="007E0AD5">
      <w:pPr>
        <w:ind w:left="720"/>
        <w:contextualSpacing/>
        <w:jc w:val="both"/>
        <w:rPr>
          <w:rFonts w:ascii="Cambria" w:eastAsia="Times New Roman" w:hAnsi="Cambria"/>
          <w:color w:val="000000" w:themeColor="text1"/>
          <w:sz w:val="20"/>
          <w:szCs w:val="20"/>
          <w:lang w:val="es-ES"/>
        </w:rPr>
      </w:pPr>
    </w:p>
    <w:p w14:paraId="6FDDCC27" w14:textId="77777777" w:rsidR="007E0AD5" w:rsidRPr="004D345D" w:rsidRDefault="007E0AD5" w:rsidP="007E0AD5">
      <w:pPr>
        <w:numPr>
          <w:ilvl w:val="0"/>
          <w:numId w:val="9"/>
        </w:numPr>
        <w:ind w:left="0" w:firstLine="720"/>
        <w:jc w:val="both"/>
        <w:rPr>
          <w:rFonts w:ascii="Cambria" w:eastAsia="Times New Roman" w:hAnsi="Cambria" w:cs="Calibri Light"/>
          <w:color w:val="000000" w:themeColor="text1"/>
          <w:sz w:val="20"/>
          <w:szCs w:val="20"/>
          <w:lang w:val="es-ES"/>
        </w:rPr>
      </w:pPr>
      <w:r w:rsidRPr="004D345D">
        <w:rPr>
          <w:rFonts w:ascii="Cambria" w:eastAsia="Times New Roman" w:hAnsi="Cambria" w:cs="Calibri Light"/>
          <w:b/>
          <w:bCs/>
          <w:color w:val="000000" w:themeColor="text1"/>
          <w:sz w:val="20"/>
          <w:szCs w:val="20"/>
          <w:lang w:val="es-ES"/>
        </w:rPr>
        <w:t>En relación con la primera, segunda y tercera recomendación</w:t>
      </w:r>
      <w:r w:rsidRPr="004D345D">
        <w:rPr>
          <w:rFonts w:ascii="Cambria" w:eastAsia="Times New Roman" w:hAnsi="Cambria" w:cs="Calibri Light"/>
          <w:color w:val="000000" w:themeColor="text1"/>
          <w:sz w:val="20"/>
          <w:szCs w:val="20"/>
          <w:lang w:val="es-ES"/>
        </w:rPr>
        <w:t>, en 2022 la CIDH nota que no cuenta con información actualizada por parte del Estado ni de los peticionarios que permita conocer más detalles sobre el nivel de cumplimiento de estas recomendaciones. Por lo anterior, la CIDH considera que la Recomendación 1, 2 y 3 se encuentran pendientes de cumplimiento.</w:t>
      </w:r>
    </w:p>
    <w:p w14:paraId="2AEDD79A" w14:textId="77777777" w:rsidR="007E0AD5" w:rsidRPr="004D345D" w:rsidRDefault="007E0AD5" w:rsidP="007E0AD5">
      <w:pPr>
        <w:rPr>
          <w:rFonts w:ascii="Cambria" w:eastAsia="Times New Roman" w:hAnsi="Cambria" w:cs="Times New Roman"/>
          <w:b/>
          <w:color w:val="000000" w:themeColor="text1"/>
          <w:sz w:val="20"/>
          <w:szCs w:val="20"/>
          <w:lang w:val="es-ES"/>
        </w:rPr>
      </w:pPr>
    </w:p>
    <w:p w14:paraId="0174FADA" w14:textId="77777777" w:rsidR="007E0AD5" w:rsidRPr="004D345D" w:rsidRDefault="007E0AD5" w:rsidP="007E0AD5">
      <w:pPr>
        <w:numPr>
          <w:ilvl w:val="0"/>
          <w:numId w:val="8"/>
        </w:numPr>
        <w:ind w:left="1440"/>
        <w:contextualSpacing/>
        <w:jc w:val="both"/>
        <w:rPr>
          <w:rFonts w:ascii="Cambria" w:eastAsia="Times New Roman" w:hAnsi="Cambria" w:cs="Times New Roman"/>
          <w:b/>
          <w:color w:val="000000" w:themeColor="text1"/>
          <w:sz w:val="20"/>
          <w:szCs w:val="20"/>
          <w:lang w:val="es-ES"/>
        </w:rPr>
      </w:pPr>
      <w:r w:rsidRPr="004D345D">
        <w:rPr>
          <w:rFonts w:ascii="Cambria" w:eastAsia="Times New Roman" w:hAnsi="Cambria" w:cs="Calibri Light"/>
          <w:b/>
          <w:color w:val="000000" w:themeColor="text1"/>
          <w:sz w:val="20"/>
          <w:szCs w:val="20"/>
          <w:lang w:val="es-ES"/>
        </w:rPr>
        <w:t xml:space="preserve">Nivel de cumplimiento del caso </w:t>
      </w:r>
    </w:p>
    <w:p w14:paraId="7FC830BE" w14:textId="77777777" w:rsidR="007E0AD5" w:rsidRPr="004D345D" w:rsidRDefault="007E0AD5" w:rsidP="007E0AD5">
      <w:pPr>
        <w:jc w:val="both"/>
        <w:rPr>
          <w:rFonts w:ascii="Cambria" w:eastAsia="Times New Roman" w:hAnsi="Cambria" w:cs="Times New Roman"/>
          <w:b/>
          <w:color w:val="000000" w:themeColor="text1"/>
          <w:sz w:val="20"/>
          <w:szCs w:val="20"/>
          <w:lang w:val="es-ES"/>
        </w:rPr>
      </w:pPr>
    </w:p>
    <w:p w14:paraId="3E02E807" w14:textId="77777777" w:rsidR="007E0AD5" w:rsidRPr="004D345D" w:rsidRDefault="007E0AD5" w:rsidP="007E0AD5">
      <w:pPr>
        <w:numPr>
          <w:ilvl w:val="0"/>
          <w:numId w:val="9"/>
        </w:numPr>
        <w:ind w:left="0" w:firstLine="720"/>
        <w:jc w:val="both"/>
        <w:rPr>
          <w:rFonts w:ascii="Cambria" w:eastAsia="Times New Roman" w:hAnsi="Cambria" w:cs="Calibri Light"/>
          <w:color w:val="000000" w:themeColor="text1"/>
          <w:sz w:val="20"/>
          <w:szCs w:val="20"/>
          <w:lang w:val="es-ES"/>
        </w:rPr>
      </w:pPr>
      <w:r w:rsidRPr="004D345D">
        <w:rPr>
          <w:rFonts w:ascii="Cambria" w:eastAsia="Times New Roman"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 y 3.</w:t>
      </w:r>
    </w:p>
    <w:p w14:paraId="108C356E" w14:textId="77777777" w:rsidR="007E0AD5" w:rsidRPr="004D345D" w:rsidRDefault="007E0AD5" w:rsidP="007E0AD5">
      <w:pPr>
        <w:ind w:left="720"/>
        <w:contextualSpacing/>
        <w:jc w:val="both"/>
        <w:rPr>
          <w:rFonts w:ascii="Cambria" w:eastAsia="Times New Roman" w:hAnsi="Cambria" w:cs="Calibri Light"/>
          <w:color w:val="000000" w:themeColor="text1"/>
          <w:sz w:val="20"/>
          <w:szCs w:val="20"/>
          <w:lang w:val="es-ES"/>
        </w:rPr>
      </w:pPr>
    </w:p>
    <w:p w14:paraId="6DEA6B1D" w14:textId="77777777" w:rsidR="007E0AD5" w:rsidRPr="004D345D" w:rsidRDefault="007E0AD5" w:rsidP="007E0AD5">
      <w:pPr>
        <w:numPr>
          <w:ilvl w:val="0"/>
          <w:numId w:val="9"/>
        </w:numPr>
        <w:ind w:left="0" w:firstLine="720"/>
        <w:jc w:val="both"/>
        <w:rPr>
          <w:rFonts w:ascii="Cambria" w:eastAsia="Times New Roman" w:hAnsi="Cambria" w:cs="Calibri Light"/>
          <w:color w:val="000000" w:themeColor="text1"/>
          <w:sz w:val="20"/>
          <w:szCs w:val="20"/>
          <w:lang w:val="es-ES"/>
        </w:rPr>
      </w:pPr>
      <w:r w:rsidRPr="004D345D">
        <w:rPr>
          <w:rFonts w:ascii="Cambria" w:eastAsia="Times New Roman" w:hAnsi="Cambria" w:cs="Calibri Light"/>
          <w:color w:val="000000" w:themeColor="text1"/>
          <w:sz w:val="20"/>
          <w:szCs w:val="20"/>
          <w:lang w:val="es-ES"/>
        </w:rPr>
        <w:t>La Comisión insta al Estado a adoptar las acciones necesarias a fin de implementar las recomendaciones formuladas en el Informe de Fondo Nº 456/21 y a proporcionar a la Comisión información detallada y actualizada sobre dichas acciones.</w:t>
      </w:r>
    </w:p>
    <w:p w14:paraId="551C338A" w14:textId="77777777" w:rsidR="007E0AD5" w:rsidRPr="004D345D" w:rsidRDefault="007E0AD5" w:rsidP="007E0AD5">
      <w:pPr>
        <w:jc w:val="both"/>
        <w:rPr>
          <w:rFonts w:ascii="Cambria" w:eastAsia="Times New Roman" w:hAnsi="Cambria" w:cs="Times New Roman"/>
          <w:b/>
          <w:color w:val="000000" w:themeColor="text1"/>
          <w:sz w:val="20"/>
          <w:szCs w:val="20"/>
          <w:lang w:val="es-ES"/>
        </w:rPr>
      </w:pPr>
    </w:p>
    <w:p w14:paraId="35F226A6" w14:textId="77777777" w:rsidR="007E0AD5" w:rsidRPr="004D345D" w:rsidRDefault="007E0AD5" w:rsidP="007E0AD5">
      <w:pPr>
        <w:numPr>
          <w:ilvl w:val="0"/>
          <w:numId w:val="8"/>
        </w:numPr>
        <w:ind w:left="1440"/>
        <w:contextualSpacing/>
        <w:jc w:val="both"/>
        <w:rPr>
          <w:rFonts w:ascii="Cambria" w:eastAsia="Times New Roman" w:hAnsi="Cambria" w:cs="Times New Roman"/>
          <w:b/>
          <w:color w:val="000000" w:themeColor="text1"/>
          <w:sz w:val="20"/>
          <w:szCs w:val="20"/>
          <w:lang w:val="es-ES"/>
        </w:rPr>
      </w:pPr>
      <w:r w:rsidRPr="004D345D">
        <w:rPr>
          <w:rFonts w:ascii="Cambria" w:eastAsia="Times New Roman" w:hAnsi="Cambria" w:cs="Times New Roman"/>
          <w:b/>
          <w:color w:val="000000" w:themeColor="text1"/>
          <w:sz w:val="20"/>
          <w:szCs w:val="20"/>
          <w:lang w:val="es-ES"/>
        </w:rPr>
        <w:t xml:space="preserve">Resultados individuales y estructurales del caso </w:t>
      </w:r>
    </w:p>
    <w:p w14:paraId="25C18F44" w14:textId="77777777" w:rsidR="007E0AD5" w:rsidRPr="004D345D" w:rsidRDefault="007E0AD5" w:rsidP="007E0AD5">
      <w:pPr>
        <w:ind w:left="720"/>
        <w:jc w:val="both"/>
        <w:rPr>
          <w:rFonts w:ascii="Cambria" w:eastAsia="Times New Roman" w:hAnsi="Cambria" w:cs="Calibri Light"/>
          <w:color w:val="000000" w:themeColor="text1"/>
          <w:sz w:val="20"/>
          <w:szCs w:val="20"/>
          <w:lang w:val="es-ES"/>
        </w:rPr>
      </w:pPr>
    </w:p>
    <w:p w14:paraId="0DA1D8D5" w14:textId="77777777" w:rsidR="007E0AD5" w:rsidRPr="004D345D" w:rsidRDefault="007E0AD5" w:rsidP="007E0AD5">
      <w:pPr>
        <w:numPr>
          <w:ilvl w:val="0"/>
          <w:numId w:val="9"/>
        </w:numPr>
        <w:ind w:left="0" w:firstLine="720"/>
        <w:jc w:val="both"/>
        <w:rPr>
          <w:rFonts w:ascii="Cambria" w:eastAsia="Times New Roman" w:hAnsi="Cambria" w:cs="Calibri Light"/>
          <w:color w:val="000000" w:themeColor="text1"/>
          <w:sz w:val="20"/>
          <w:szCs w:val="20"/>
          <w:lang w:val="es-ES"/>
        </w:rPr>
      </w:pPr>
      <w:r w:rsidRPr="004D345D">
        <w:rPr>
          <w:rFonts w:ascii="Cambria" w:eastAsia="Times New Roman" w:hAnsi="Cambria" w:cs="Calibri Light"/>
          <w:color w:val="000000" w:themeColor="text1"/>
          <w:sz w:val="20"/>
          <w:szCs w:val="20"/>
          <w:lang w:val="es-ES"/>
        </w:rPr>
        <w:t>Dado que este caso está pendiente de cumplimiento, no hay resultados individuales o estructurales informados por las partes.</w:t>
      </w:r>
    </w:p>
    <w:p w14:paraId="15080E8A" w14:textId="77777777" w:rsidR="007E0AD5" w:rsidRPr="004D345D" w:rsidRDefault="007E0AD5" w:rsidP="007E0AD5">
      <w:pPr>
        <w:rPr>
          <w:rFonts w:ascii="Cambria" w:eastAsia="Times New Roman" w:hAnsi="Cambria" w:cs="Times New Roman"/>
          <w:b/>
          <w:color w:val="000000" w:themeColor="text1"/>
          <w:sz w:val="20"/>
          <w:szCs w:val="20"/>
          <w:lang w:val="es-ES"/>
        </w:rPr>
      </w:pPr>
    </w:p>
    <w:p w14:paraId="71228F95" w14:textId="77777777" w:rsidR="007E0AD5" w:rsidRPr="004D345D" w:rsidRDefault="007E0AD5" w:rsidP="007E0AD5">
      <w:pPr>
        <w:rPr>
          <w:rFonts w:ascii="Cambria" w:eastAsia="Times New Roman" w:hAnsi="Cambria" w:cs="Times New Roman"/>
          <w:b/>
          <w:color w:val="000000" w:themeColor="text1"/>
          <w:sz w:val="20"/>
          <w:szCs w:val="20"/>
          <w:lang w:val="es-ES"/>
        </w:rPr>
      </w:pPr>
    </w:p>
    <w:p w14:paraId="2B4EDEE5" w14:textId="5C9D98F5" w:rsidR="008463D3" w:rsidRPr="004D345D" w:rsidRDefault="008463D3" w:rsidP="007C4DCE">
      <w:pPr>
        <w:rPr>
          <w:color w:val="000000" w:themeColor="text1"/>
          <w:sz w:val="20"/>
          <w:szCs w:val="20"/>
          <w:lang w:val="es-ES"/>
        </w:rPr>
      </w:pPr>
    </w:p>
    <w:p w14:paraId="784E82AD" w14:textId="76F80EB2" w:rsidR="000B5E1D" w:rsidRPr="004D345D" w:rsidRDefault="000B5E1D" w:rsidP="007C4DCE">
      <w:pPr>
        <w:rPr>
          <w:color w:val="000000" w:themeColor="text1"/>
          <w:sz w:val="20"/>
          <w:szCs w:val="20"/>
          <w:lang w:val="es-ES"/>
        </w:rPr>
      </w:pPr>
    </w:p>
    <w:p w14:paraId="45B26099" w14:textId="77777777" w:rsidR="00BD17B0" w:rsidRPr="004D345D" w:rsidRDefault="00BD17B0" w:rsidP="007C4DCE">
      <w:pPr>
        <w:rPr>
          <w:color w:val="000000" w:themeColor="text1"/>
          <w:sz w:val="20"/>
          <w:szCs w:val="20"/>
          <w:lang w:val="es-ES"/>
        </w:rPr>
      </w:pPr>
    </w:p>
    <w:sectPr w:rsidR="00BD17B0" w:rsidRPr="004D345D" w:rsidSect="00566CD0">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0842" w14:textId="77777777" w:rsidR="000E479A" w:rsidRDefault="000E479A" w:rsidP="00672733">
      <w:r>
        <w:separator/>
      </w:r>
    </w:p>
  </w:endnote>
  <w:endnote w:type="continuationSeparator" w:id="0">
    <w:p w14:paraId="546ED12D" w14:textId="77777777" w:rsidR="000E479A" w:rsidRDefault="000E479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87AA" w14:textId="77777777" w:rsidR="000E479A" w:rsidRDefault="000E479A" w:rsidP="00672733">
      <w:r>
        <w:separator/>
      </w:r>
    </w:p>
  </w:footnote>
  <w:footnote w:type="continuationSeparator" w:id="0">
    <w:p w14:paraId="5DE430D6" w14:textId="77777777" w:rsidR="000E479A" w:rsidRDefault="000E479A"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BFB1B5A"/>
    <w:multiLevelType w:val="hybridMultilevel"/>
    <w:tmpl w:val="11FA14F6"/>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9"/>
  </w:num>
  <w:num w:numId="3" w16cid:durableId="978146478">
    <w:abstractNumId w:val="8"/>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1695810604">
    <w:abstractNumId w:val="7"/>
  </w:num>
  <w:num w:numId="9" w16cid:durableId="1194080687">
    <w:abstractNumId w:val="4"/>
  </w:num>
  <w:num w:numId="10" w16cid:durableId="831217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E3E8D"/>
    <w:rsid w:val="000E479A"/>
    <w:rsid w:val="00105B23"/>
    <w:rsid w:val="00181DA0"/>
    <w:rsid w:val="002248FB"/>
    <w:rsid w:val="00234E64"/>
    <w:rsid w:val="00311172"/>
    <w:rsid w:val="00322720"/>
    <w:rsid w:val="00453115"/>
    <w:rsid w:val="004758C9"/>
    <w:rsid w:val="0048723C"/>
    <w:rsid w:val="004D345D"/>
    <w:rsid w:val="00500FDE"/>
    <w:rsid w:val="00566CD0"/>
    <w:rsid w:val="00637ED3"/>
    <w:rsid w:val="006638E5"/>
    <w:rsid w:val="00672733"/>
    <w:rsid w:val="006B1F24"/>
    <w:rsid w:val="007C4DCE"/>
    <w:rsid w:val="007E0AD5"/>
    <w:rsid w:val="008463D3"/>
    <w:rsid w:val="008818B0"/>
    <w:rsid w:val="008861D6"/>
    <w:rsid w:val="00995525"/>
    <w:rsid w:val="00A80674"/>
    <w:rsid w:val="00AE2642"/>
    <w:rsid w:val="00BD17B0"/>
    <w:rsid w:val="00BE62C8"/>
    <w:rsid w:val="00BF7A78"/>
    <w:rsid w:val="00D56DC4"/>
    <w:rsid w:val="00E042FE"/>
    <w:rsid w:val="00E516AB"/>
    <w:rsid w:val="00E90CB3"/>
    <w:rsid w:val="00EA0262"/>
    <w:rsid w:val="00EC61E3"/>
    <w:rsid w:val="00ED0AAA"/>
    <w:rsid w:val="00ED1EBA"/>
    <w:rsid w:val="00EF19B5"/>
    <w:rsid w:val="00F41E7E"/>
    <w:rsid w:val="00FB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s.org/es/cidh/decisiones/2021/uspu13.829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uspu13.829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9101FC0A-1294-4266-8CB8-D90BD8F3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