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59A" w14:textId="77777777" w:rsidR="00207BE4" w:rsidRDefault="00207BE4" w:rsidP="5F8745ED">
      <w:pPr>
        <w:pBdr>
          <w:top w:val="nil"/>
          <w:left w:val="nil"/>
          <w:bottom w:val="nil"/>
          <w:right w:val="nil"/>
          <w:between w:val="nil"/>
        </w:pBdr>
        <w:tabs>
          <w:tab w:val="center" w:pos="4680"/>
          <w:tab w:val="right" w:pos="9360"/>
        </w:tabs>
        <w:jc w:val="center"/>
        <w:rPr>
          <w:rFonts w:ascii="Cambria" w:eastAsia="Cambria" w:hAnsi="Cambria" w:cs="Cambria"/>
          <w:b/>
          <w:bCs/>
          <w:color w:val="000000"/>
          <w:sz w:val="20"/>
          <w:szCs w:val="20"/>
        </w:rPr>
      </w:pPr>
    </w:p>
    <w:p w14:paraId="0B2EDAEF" w14:textId="77777777" w:rsidR="00207BE4" w:rsidRPr="00207BE4" w:rsidRDefault="00207BE4" w:rsidP="5F8745ED">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FICHA DE SEGUIMIENTO DEL INFORME Nº 79/07</w:t>
      </w:r>
    </w:p>
    <w:p w14:paraId="1F91A8F7" w14:textId="77777777" w:rsidR="00207BE4" w:rsidRPr="00207BE4" w:rsidRDefault="00207BE4" w:rsidP="5F8745ED">
      <w:pPr>
        <w:jc w:val="center"/>
        <w:rPr>
          <w:rFonts w:ascii="Cambria" w:eastAsia="Cambria" w:hAnsi="Cambria" w:cs="Cambria"/>
          <w:b/>
          <w:bCs/>
          <w:color w:val="000000"/>
          <w:sz w:val="20"/>
          <w:szCs w:val="20"/>
          <w:lang w:val="es-ES"/>
        </w:rPr>
      </w:pPr>
      <w:r w:rsidRPr="5F8745ED">
        <w:rPr>
          <w:rFonts w:ascii="Cambria" w:eastAsia="Cambria" w:hAnsi="Cambria" w:cs="Cambria"/>
          <w:b/>
          <w:bCs/>
          <w:color w:val="000000" w:themeColor="text1"/>
          <w:sz w:val="20"/>
          <w:szCs w:val="20"/>
          <w:lang w:val="es-ES"/>
        </w:rPr>
        <w:t>CASO 12.513</w:t>
      </w:r>
    </w:p>
    <w:p w14:paraId="320BD0AA" w14:textId="77777777" w:rsidR="00207BE4" w:rsidRPr="00207BE4" w:rsidRDefault="00207BE4" w:rsidP="5F8745ED">
      <w:pPr>
        <w:jc w:val="center"/>
        <w:rPr>
          <w:rFonts w:ascii="Cambria" w:eastAsia="Cambria" w:hAnsi="Cambria" w:cs="Cambria"/>
          <w:b/>
          <w:bCs/>
          <w:color w:val="000000"/>
          <w:sz w:val="20"/>
          <w:szCs w:val="20"/>
          <w:lang w:val="es-ES"/>
        </w:rPr>
      </w:pPr>
      <w:r w:rsidRPr="5F8745ED">
        <w:rPr>
          <w:rFonts w:ascii="Cambria" w:eastAsia="Cambria" w:hAnsi="Cambria" w:cs="Cambria"/>
          <w:b/>
          <w:bCs/>
          <w:color w:val="000000" w:themeColor="text1"/>
          <w:sz w:val="20"/>
          <w:szCs w:val="20"/>
          <w:lang w:val="es-ES"/>
        </w:rPr>
        <w:t>PRINCE PINDER</w:t>
      </w:r>
    </w:p>
    <w:p w14:paraId="0A50E7CC" w14:textId="77777777" w:rsidR="00207BE4" w:rsidRPr="00207BE4" w:rsidRDefault="00207BE4" w:rsidP="5F8745ED">
      <w:pPr>
        <w:jc w:val="center"/>
        <w:rPr>
          <w:rFonts w:ascii="Cambria" w:eastAsia="Cambria" w:hAnsi="Cambria" w:cs="Cambria"/>
          <w:b/>
          <w:bCs/>
          <w:color w:val="000000"/>
          <w:sz w:val="20"/>
          <w:szCs w:val="20"/>
          <w:lang w:val="es-ES"/>
        </w:rPr>
      </w:pPr>
      <w:r w:rsidRPr="5F8745ED">
        <w:rPr>
          <w:rFonts w:ascii="Cambria" w:eastAsia="Cambria" w:hAnsi="Cambria" w:cs="Cambria"/>
          <w:b/>
          <w:bCs/>
          <w:color w:val="000000" w:themeColor="text1"/>
          <w:sz w:val="20"/>
          <w:szCs w:val="20"/>
          <w:lang w:val="es-ES"/>
        </w:rPr>
        <w:t>(Las Bahamas (Commonwealth de))</w:t>
      </w:r>
    </w:p>
    <w:p w14:paraId="5CD92F03" w14:textId="77777777" w:rsidR="00207BE4" w:rsidRPr="00207BE4" w:rsidRDefault="00207BE4" w:rsidP="00207BE4">
      <w:pPr>
        <w:jc w:val="center"/>
        <w:rPr>
          <w:rFonts w:ascii="Cambria" w:eastAsia="Cambria" w:hAnsi="Cambria" w:cs="Cambria"/>
          <w:color w:val="000000"/>
          <w:sz w:val="20"/>
          <w:szCs w:val="20"/>
          <w:lang w:val="es-ES"/>
        </w:rPr>
      </w:pPr>
    </w:p>
    <w:p w14:paraId="12ED5EE2" w14:textId="77777777" w:rsidR="00207BE4" w:rsidRDefault="00207BE4" w:rsidP="5F8745ED">
      <w:pPr>
        <w:numPr>
          <w:ilvl w:val="0"/>
          <w:numId w:val="37"/>
        </w:numPr>
        <w:ind w:left="1440"/>
        <w:rPr>
          <w:rFonts w:ascii="Cambria" w:eastAsia="Cambria" w:hAnsi="Cambria" w:cs="Cambria"/>
          <w:b/>
          <w:bCs/>
          <w:color w:val="000000"/>
          <w:sz w:val="20"/>
          <w:szCs w:val="20"/>
        </w:rPr>
      </w:pPr>
      <w:r w:rsidRPr="5F8745ED">
        <w:rPr>
          <w:rFonts w:ascii="Cambria" w:eastAsia="Cambria" w:hAnsi="Cambria" w:cs="Cambria"/>
          <w:b/>
          <w:bCs/>
          <w:color w:val="000000" w:themeColor="text1"/>
          <w:sz w:val="20"/>
          <w:szCs w:val="20"/>
        </w:rPr>
        <w:t xml:space="preserve">Resumen del caso </w:t>
      </w:r>
    </w:p>
    <w:p w14:paraId="375DC0F2" w14:textId="77777777" w:rsidR="00207BE4" w:rsidRDefault="00207BE4" w:rsidP="00207BE4">
      <w:pPr>
        <w:ind w:left="1080"/>
        <w:rPr>
          <w:rFonts w:ascii="Cambria" w:eastAsia="Cambria" w:hAnsi="Cambria" w:cs="Cambria"/>
          <w:color w:val="000000"/>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7BE4" w:rsidRPr="00290F00" w14:paraId="648FAF5E" w14:textId="77777777" w:rsidTr="5F8745ED">
        <w:trPr>
          <w:jc w:val="center"/>
        </w:trPr>
        <w:tc>
          <w:tcPr>
            <w:tcW w:w="9350" w:type="dxa"/>
            <w:shd w:val="clear" w:color="auto" w:fill="F2F2F2" w:themeFill="background1" w:themeFillShade="F2"/>
          </w:tcPr>
          <w:p w14:paraId="22BFCA46" w14:textId="77777777" w:rsidR="00207BE4" w:rsidRDefault="00207BE4" w:rsidP="5F8745ED">
            <w:pPr>
              <w:spacing w:before="120"/>
              <w:rPr>
                <w:rFonts w:ascii="Cambria" w:eastAsia="Cambria" w:hAnsi="Cambria" w:cs="Cambria"/>
                <w:b/>
                <w:bCs/>
                <w:color w:val="000000"/>
                <w:sz w:val="20"/>
                <w:szCs w:val="20"/>
              </w:rPr>
            </w:pPr>
            <w:r w:rsidRPr="5F8745ED">
              <w:rPr>
                <w:rFonts w:ascii="Cambria" w:eastAsia="Cambria" w:hAnsi="Cambria" w:cs="Cambria"/>
                <w:b/>
                <w:bCs/>
                <w:color w:val="000000" w:themeColor="text1"/>
                <w:sz w:val="20"/>
                <w:szCs w:val="20"/>
              </w:rPr>
              <w:t xml:space="preserve">Víctima (s): </w:t>
            </w:r>
            <w:r w:rsidRPr="5F8745ED">
              <w:rPr>
                <w:rFonts w:ascii="Cambria" w:eastAsia="Cambria" w:hAnsi="Cambria" w:cs="Cambria"/>
                <w:color w:val="000000" w:themeColor="text1"/>
                <w:sz w:val="20"/>
                <w:szCs w:val="20"/>
              </w:rPr>
              <w:t>Prince Pinder</w:t>
            </w:r>
          </w:p>
          <w:p w14:paraId="32BFA869" w14:textId="77777777" w:rsidR="00207BE4" w:rsidRDefault="00207BE4" w:rsidP="5F8745ED">
            <w:pPr>
              <w:rPr>
                <w:rFonts w:ascii="Cambria" w:eastAsia="Cambria" w:hAnsi="Cambria" w:cs="Cambria"/>
                <w:b/>
                <w:bCs/>
                <w:color w:val="000000"/>
                <w:sz w:val="20"/>
                <w:szCs w:val="20"/>
              </w:rPr>
            </w:pPr>
            <w:r w:rsidRPr="5F8745ED">
              <w:rPr>
                <w:rFonts w:ascii="Cambria" w:eastAsia="Cambria" w:hAnsi="Cambria" w:cs="Cambria"/>
                <w:b/>
                <w:bCs/>
                <w:color w:val="000000" w:themeColor="text1"/>
                <w:sz w:val="20"/>
                <w:szCs w:val="20"/>
              </w:rPr>
              <w:t>Peticionario (s):</w:t>
            </w:r>
            <w:r w:rsidRPr="5F8745ED">
              <w:rPr>
                <w:rFonts w:ascii="Cambria" w:eastAsia="Cambria" w:hAnsi="Cambria" w:cs="Cambria"/>
                <w:color w:val="000000" w:themeColor="text1"/>
                <w:sz w:val="20"/>
                <w:szCs w:val="20"/>
              </w:rPr>
              <w:t xml:space="preserve"> Adela Williams</w:t>
            </w:r>
          </w:p>
          <w:p w14:paraId="7DAC9AD5" w14:textId="77777777" w:rsidR="00207BE4" w:rsidRPr="00207BE4" w:rsidRDefault="00207BE4" w:rsidP="008711AF">
            <w:pPr>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 xml:space="preserve">Estado: </w:t>
            </w:r>
            <w:r w:rsidRPr="5F8745ED">
              <w:rPr>
                <w:rFonts w:ascii="Cambria" w:eastAsia="Cambria" w:hAnsi="Cambria" w:cs="Cambria"/>
                <w:color w:val="000000" w:themeColor="text1"/>
                <w:sz w:val="20"/>
                <w:szCs w:val="20"/>
                <w:lang w:val="es-ES"/>
              </w:rPr>
              <w:t>Las</w:t>
            </w:r>
            <w:r w:rsidRPr="5F8745ED">
              <w:rPr>
                <w:rFonts w:ascii="Cambria" w:eastAsia="Cambria" w:hAnsi="Cambria" w:cs="Cambria"/>
                <w:b/>
                <w:bCs/>
                <w:color w:val="000000" w:themeColor="text1"/>
                <w:sz w:val="20"/>
                <w:szCs w:val="20"/>
                <w:lang w:val="es-ES"/>
              </w:rPr>
              <w:t xml:space="preserve"> </w:t>
            </w:r>
            <w:r w:rsidRPr="5F8745ED">
              <w:rPr>
                <w:rFonts w:ascii="Cambria" w:eastAsia="Cambria" w:hAnsi="Cambria" w:cs="Cambria"/>
                <w:color w:val="000000" w:themeColor="text1"/>
                <w:sz w:val="20"/>
                <w:szCs w:val="20"/>
                <w:lang w:val="es-ES"/>
              </w:rPr>
              <w:t>Bahamas (Commonwealth de)</w:t>
            </w:r>
          </w:p>
          <w:p w14:paraId="61BCE3A6" w14:textId="77777777" w:rsidR="00207BE4" w:rsidRPr="00207BE4" w:rsidRDefault="00207BE4" w:rsidP="008711AF">
            <w:pPr>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 xml:space="preserve">Informe de Fondo Nº: </w:t>
            </w:r>
            <w:hyperlink r:id="rId11">
              <w:r w:rsidRPr="5F8745ED">
                <w:rPr>
                  <w:rFonts w:ascii="Cambria" w:eastAsia="Cambria" w:hAnsi="Cambria" w:cs="Cambria"/>
                  <w:color w:val="000000" w:themeColor="text1"/>
                  <w:sz w:val="20"/>
                  <w:szCs w:val="20"/>
                  <w:u w:val="single"/>
                  <w:lang w:val="es-ES"/>
                </w:rPr>
                <w:t>79/07</w:t>
              </w:r>
            </w:hyperlink>
            <w:r w:rsidRPr="5F8745ED">
              <w:rPr>
                <w:rFonts w:ascii="Cambria" w:eastAsia="Cambria" w:hAnsi="Cambria" w:cs="Cambria"/>
                <w:color w:val="000000" w:themeColor="text1"/>
                <w:sz w:val="20"/>
                <w:szCs w:val="20"/>
                <w:lang w:val="es-ES"/>
              </w:rPr>
              <w:t xml:space="preserve">, publicado el 15 de octubre de 2007 </w:t>
            </w:r>
          </w:p>
          <w:p w14:paraId="26764454" w14:textId="77777777" w:rsidR="00207BE4" w:rsidRPr="00207BE4" w:rsidRDefault="00207BE4" w:rsidP="008711AF">
            <w:pPr>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 xml:space="preserve">Informe de Admisibilidad Nº: </w:t>
            </w:r>
            <w:hyperlink r:id="rId12">
              <w:r w:rsidRPr="5F8745ED">
                <w:rPr>
                  <w:rFonts w:ascii="Cambria" w:eastAsia="Cambria" w:hAnsi="Cambria" w:cs="Cambria"/>
                  <w:color w:val="000000" w:themeColor="text1"/>
                  <w:sz w:val="20"/>
                  <w:szCs w:val="20"/>
                  <w:u w:val="single"/>
                  <w:lang w:val="es-ES"/>
                </w:rPr>
                <w:t>49/05</w:t>
              </w:r>
            </w:hyperlink>
            <w:r w:rsidRPr="5F8745ED">
              <w:rPr>
                <w:rFonts w:ascii="Cambria" w:eastAsia="Cambria" w:hAnsi="Cambria" w:cs="Cambria"/>
                <w:color w:val="000000" w:themeColor="text1"/>
                <w:sz w:val="20"/>
                <w:szCs w:val="20"/>
                <w:lang w:val="es-ES"/>
              </w:rPr>
              <w:t>, aprobado el 12 de octubre de 2005</w:t>
            </w:r>
          </w:p>
          <w:p w14:paraId="22280902" w14:textId="77777777" w:rsidR="00207BE4" w:rsidRPr="00207BE4" w:rsidRDefault="00207BE4" w:rsidP="008711AF">
            <w:pPr>
              <w:spacing w:after="120"/>
              <w:jc w:val="both"/>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Temas:</w:t>
            </w:r>
            <w:r w:rsidRPr="5F8745ED">
              <w:rPr>
                <w:rFonts w:ascii="Cambria" w:eastAsia="Cambria" w:hAnsi="Cambria" w:cs="Cambria"/>
                <w:color w:val="000000" w:themeColor="text1"/>
                <w:sz w:val="20"/>
                <w:szCs w:val="20"/>
                <w:lang w:val="es-ES"/>
              </w:rPr>
              <w:t xml:space="preserve"> Deber de Adoptar Medidas y Disposiciones de Derecho Interno / Derecho a la Vida / Derecho a la Integridad Personal / Derecho a la Libertad Personal / Garantías Judiciales / Protección Judicial / Pena de Muerte / Condiciones de Detención / Tortura, Tratos Crueles, Inhumanos y/o Degradantes / Detención Arbitraria</w:t>
            </w:r>
          </w:p>
          <w:p w14:paraId="74EE57EE" w14:textId="77777777" w:rsidR="00207BE4" w:rsidRPr="00207BE4" w:rsidRDefault="00207BE4" w:rsidP="008711AF">
            <w:pPr>
              <w:spacing w:after="120"/>
              <w:jc w:val="both"/>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 xml:space="preserve">Hechos: </w:t>
            </w:r>
            <w:r w:rsidRPr="5F8745ED">
              <w:rPr>
                <w:rFonts w:ascii="Cambria" w:eastAsia="Cambria" w:hAnsi="Cambria" w:cs="Cambria"/>
                <w:color w:val="000000" w:themeColor="text1"/>
                <w:sz w:val="20"/>
                <w:szCs w:val="20"/>
                <w:lang w:val="es-ES"/>
              </w:rPr>
              <w:t xml:space="preserve">Este caso corresponde al señor Price Pinder, nacional de Bahamas, que fue condenado el 28 de julio de 1987, por dos delitos de asalto a mano armada y un delito de tentativa de asalto a mano armada en contravención de los artículos 360(2) y 86(2) del Código Penal de Bahamas. Fue sentenciado con una condena de 30 años de prisión y también a ser flagelado con seis latigazos aplicados en dos series de tres azotes cada uno, según lo autoriza el Estatuto (de Medidas Punitivas) de la Legislación Penal de Bahamas, de 1991. </w:t>
            </w:r>
          </w:p>
          <w:p w14:paraId="76B04D3A" w14:textId="77777777" w:rsidR="00207BE4" w:rsidRPr="00207BE4" w:rsidRDefault="00207BE4" w:rsidP="5F8745ED">
            <w:pPr>
              <w:spacing w:after="120"/>
              <w:jc w:val="both"/>
              <w:rPr>
                <w:rFonts w:ascii="Cambria" w:eastAsia="Cambria" w:hAnsi="Cambria" w:cs="Cambria"/>
                <w:b/>
                <w:bCs/>
                <w:color w:val="000000"/>
                <w:sz w:val="20"/>
                <w:szCs w:val="20"/>
                <w:lang w:val="es-ES"/>
              </w:rPr>
            </w:pPr>
            <w:r w:rsidRPr="5F8745ED">
              <w:rPr>
                <w:rFonts w:ascii="Cambria" w:eastAsia="Cambria" w:hAnsi="Cambria" w:cs="Cambria"/>
                <w:b/>
                <w:bCs/>
                <w:color w:val="000000" w:themeColor="text1"/>
                <w:sz w:val="20"/>
                <w:szCs w:val="20"/>
                <w:lang w:val="es-ES"/>
              </w:rPr>
              <w:t xml:space="preserve">Derechos violados: </w:t>
            </w:r>
            <w:r w:rsidRPr="5F8745ED">
              <w:rPr>
                <w:rFonts w:ascii="Cambria" w:eastAsia="Cambria" w:hAnsi="Cambria" w:cs="Cambria"/>
                <w:color w:val="000000" w:themeColor="text1"/>
                <w:sz w:val="20"/>
                <w:szCs w:val="20"/>
                <w:lang w:val="es-ES"/>
              </w:rPr>
              <w:t>La Comisión concluyó</w:t>
            </w:r>
            <w:r w:rsidRPr="5F8745ED">
              <w:rPr>
                <w:rFonts w:ascii="Cambria" w:eastAsia="Cambria" w:hAnsi="Cambria" w:cs="Cambria"/>
                <w:b/>
                <w:bCs/>
                <w:color w:val="000000" w:themeColor="text1"/>
                <w:sz w:val="20"/>
                <w:szCs w:val="20"/>
                <w:lang w:val="es-ES"/>
              </w:rPr>
              <w:t xml:space="preserve"> </w:t>
            </w:r>
            <w:r w:rsidRPr="5F8745ED">
              <w:rPr>
                <w:rFonts w:ascii="Cambria" w:eastAsia="Cambria" w:hAnsi="Cambria" w:cs="Cambria"/>
                <w:color w:val="000000" w:themeColor="text1"/>
                <w:sz w:val="20"/>
                <w:szCs w:val="20"/>
                <w:lang w:val="es-ES"/>
              </w:rPr>
              <w:t>que el Estado violó los derechos que reconocen al Sr. Prince Pinder los artículos I, XXV y XXVI de la Declaración Americana de los Derechos y Deberes del Hombre, al autorizar que se le imponga una pena corporal judicial conforme al Estatuto (de Medidas Punitivas) de la Legislación Penal y condenarlo a sufrir seis azotes, en dos series de tres.</w:t>
            </w:r>
          </w:p>
        </w:tc>
      </w:tr>
    </w:tbl>
    <w:p w14:paraId="77478861" w14:textId="77777777" w:rsidR="00207BE4" w:rsidRPr="00207BE4" w:rsidRDefault="00207BE4" w:rsidP="00207BE4">
      <w:pPr>
        <w:ind w:left="180"/>
        <w:rPr>
          <w:rFonts w:ascii="Cambria" w:eastAsia="Cambria" w:hAnsi="Cambria" w:cs="Cambria"/>
          <w:color w:val="000000"/>
          <w:sz w:val="20"/>
          <w:szCs w:val="20"/>
          <w:lang w:val="es-ES"/>
        </w:rPr>
      </w:pPr>
    </w:p>
    <w:p w14:paraId="0E47EC46" w14:textId="77777777" w:rsidR="00207BE4" w:rsidRDefault="00207BE4" w:rsidP="5F8745ED">
      <w:pPr>
        <w:numPr>
          <w:ilvl w:val="0"/>
          <w:numId w:val="37"/>
        </w:numPr>
        <w:ind w:left="1440"/>
        <w:rPr>
          <w:rFonts w:ascii="Cambria" w:eastAsia="Cambria" w:hAnsi="Cambria" w:cs="Cambria"/>
          <w:b/>
          <w:bCs/>
          <w:color w:val="000000"/>
          <w:sz w:val="20"/>
          <w:szCs w:val="20"/>
        </w:rPr>
      </w:pPr>
      <w:r w:rsidRPr="5F8745ED">
        <w:rPr>
          <w:rFonts w:ascii="Cambria" w:eastAsia="Cambria" w:hAnsi="Cambria" w:cs="Cambria"/>
          <w:b/>
          <w:bCs/>
          <w:color w:val="000000" w:themeColor="text1"/>
          <w:sz w:val="20"/>
          <w:szCs w:val="20"/>
        </w:rPr>
        <w:t xml:space="preserve">Recomendaciones </w:t>
      </w:r>
    </w:p>
    <w:p w14:paraId="783FF6CB" w14:textId="77777777" w:rsidR="00207BE4" w:rsidRDefault="00207BE4" w:rsidP="00207BE4">
      <w:pPr>
        <w:ind w:left="1080"/>
        <w:jc w:val="both"/>
        <w:rPr>
          <w:rFonts w:ascii="Cambria" w:eastAsia="Cambria" w:hAnsi="Cambria" w:cs="Cambria"/>
          <w:color w:val="000000"/>
          <w:sz w:val="20"/>
          <w:szCs w:val="20"/>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2222"/>
      </w:tblGrid>
      <w:tr w:rsidR="00207BE4" w:rsidRPr="00290F00" w14:paraId="771936A3" w14:textId="77777777" w:rsidTr="5F8745ED">
        <w:tc>
          <w:tcPr>
            <w:tcW w:w="7110" w:type="dxa"/>
            <w:shd w:val="clear" w:color="auto" w:fill="auto"/>
            <w:vAlign w:val="center"/>
          </w:tcPr>
          <w:p w14:paraId="48EBC0E2" w14:textId="77777777" w:rsidR="00207BE4" w:rsidRDefault="00207BE4" w:rsidP="5F8745ED">
            <w:pPr>
              <w:jc w:val="center"/>
              <w:rPr>
                <w:rFonts w:ascii="Cambria" w:eastAsia="Cambria" w:hAnsi="Cambria" w:cs="Cambria"/>
                <w:b/>
                <w:bCs/>
                <w:color w:val="000000"/>
                <w:sz w:val="18"/>
                <w:szCs w:val="18"/>
              </w:rPr>
            </w:pPr>
            <w:r w:rsidRPr="5F8745ED">
              <w:rPr>
                <w:rFonts w:ascii="Cambria" w:eastAsia="Cambria" w:hAnsi="Cambria" w:cs="Cambria"/>
                <w:b/>
                <w:bCs/>
                <w:color w:val="000000" w:themeColor="text1"/>
                <w:sz w:val="18"/>
                <w:szCs w:val="18"/>
              </w:rPr>
              <w:t>Recomendaciones</w:t>
            </w:r>
          </w:p>
        </w:tc>
        <w:tc>
          <w:tcPr>
            <w:tcW w:w="2222" w:type="dxa"/>
            <w:shd w:val="clear" w:color="auto" w:fill="auto"/>
            <w:vAlign w:val="center"/>
          </w:tcPr>
          <w:p w14:paraId="175370C0" w14:textId="381C9D35" w:rsidR="00207BE4" w:rsidRPr="00207BE4" w:rsidRDefault="00207BE4" w:rsidP="5F8745ED">
            <w:pPr>
              <w:jc w:val="center"/>
              <w:rPr>
                <w:rFonts w:ascii="Cambria" w:eastAsia="Cambria" w:hAnsi="Cambria" w:cs="Cambria"/>
                <w:b/>
                <w:bCs/>
                <w:color w:val="000000"/>
                <w:sz w:val="18"/>
                <w:szCs w:val="18"/>
                <w:lang w:val="es-ES"/>
              </w:rPr>
            </w:pPr>
            <w:r w:rsidRPr="5F8745ED">
              <w:rPr>
                <w:rFonts w:ascii="Cambria" w:eastAsia="Cambria" w:hAnsi="Cambria" w:cs="Cambria"/>
                <w:b/>
                <w:bCs/>
                <w:color w:val="000000" w:themeColor="text1"/>
                <w:sz w:val="18"/>
                <w:szCs w:val="18"/>
                <w:lang w:val="es-ES"/>
              </w:rPr>
              <w:t>Estado de cumplimiento en el 202</w:t>
            </w:r>
            <w:r w:rsidR="00B9268E" w:rsidRPr="5F8745ED">
              <w:rPr>
                <w:rFonts w:ascii="Cambria" w:eastAsia="Cambria" w:hAnsi="Cambria" w:cs="Cambria"/>
                <w:b/>
                <w:bCs/>
                <w:color w:val="000000" w:themeColor="text1"/>
                <w:sz w:val="18"/>
                <w:szCs w:val="18"/>
                <w:lang w:val="es-ES"/>
              </w:rPr>
              <w:t>2</w:t>
            </w:r>
          </w:p>
        </w:tc>
      </w:tr>
      <w:tr w:rsidR="00207BE4" w14:paraId="530D4DE6" w14:textId="77777777" w:rsidTr="5F8745ED">
        <w:tc>
          <w:tcPr>
            <w:tcW w:w="7110" w:type="dxa"/>
            <w:shd w:val="clear" w:color="auto" w:fill="auto"/>
            <w:vAlign w:val="center"/>
          </w:tcPr>
          <w:p w14:paraId="1D51F098" w14:textId="77777777" w:rsidR="00207BE4" w:rsidRPr="00207BE4" w:rsidRDefault="00207BE4" w:rsidP="008711AF">
            <w:pPr>
              <w:jc w:val="both"/>
              <w:rPr>
                <w:rFonts w:ascii="Cambria" w:eastAsia="Cambria" w:hAnsi="Cambria" w:cs="Cambria"/>
                <w:color w:val="000000"/>
                <w:sz w:val="18"/>
                <w:szCs w:val="18"/>
                <w:lang w:val="es-ES"/>
              </w:rPr>
            </w:pPr>
            <w:r w:rsidRPr="5F8745ED">
              <w:rPr>
                <w:rFonts w:ascii="Cambria" w:eastAsia="Cambria" w:hAnsi="Cambria" w:cs="Cambria"/>
                <w:color w:val="000000" w:themeColor="text1"/>
                <w:sz w:val="18"/>
                <w:szCs w:val="18"/>
                <w:lang w:val="es-ES"/>
              </w:rPr>
              <w:t>1. Que otorgue a Prince Pinder un recurso efectivo que comprenda a) la conmutación de la pena de castigo corporal judicial y b) rehabilitación.</w:t>
            </w:r>
          </w:p>
        </w:tc>
        <w:tc>
          <w:tcPr>
            <w:tcW w:w="2222" w:type="dxa"/>
            <w:shd w:val="clear" w:color="auto" w:fill="auto"/>
            <w:vAlign w:val="center"/>
          </w:tcPr>
          <w:p w14:paraId="6B87C7EA" w14:textId="77777777" w:rsidR="00207BE4" w:rsidRDefault="00207BE4" w:rsidP="5F8745ED">
            <w:pPr>
              <w:jc w:val="center"/>
              <w:rPr>
                <w:rFonts w:ascii="Cambria" w:eastAsia="Cambria" w:hAnsi="Cambria" w:cs="Cambria"/>
                <w:b/>
                <w:bCs/>
                <w:color w:val="000000"/>
                <w:sz w:val="18"/>
                <w:szCs w:val="18"/>
              </w:rPr>
            </w:pPr>
            <w:r w:rsidRPr="5F8745ED">
              <w:rPr>
                <w:rFonts w:ascii="Cambria" w:eastAsia="Cambria" w:hAnsi="Cambria" w:cs="Cambria"/>
                <w:color w:val="000000" w:themeColor="text1"/>
                <w:sz w:val="18"/>
                <w:szCs w:val="18"/>
              </w:rPr>
              <w:t>Pendiente de cumplimiento</w:t>
            </w:r>
          </w:p>
        </w:tc>
      </w:tr>
      <w:tr w:rsidR="00207BE4" w14:paraId="780C61EC" w14:textId="77777777" w:rsidTr="5F8745ED">
        <w:tc>
          <w:tcPr>
            <w:tcW w:w="7110" w:type="dxa"/>
            <w:shd w:val="clear" w:color="auto" w:fill="auto"/>
            <w:vAlign w:val="center"/>
          </w:tcPr>
          <w:p w14:paraId="40724DFE" w14:textId="77777777" w:rsidR="00207BE4" w:rsidRPr="00207BE4" w:rsidRDefault="00207BE4" w:rsidP="008711AF">
            <w:pPr>
              <w:jc w:val="both"/>
              <w:rPr>
                <w:rFonts w:ascii="Cambria" w:eastAsia="Cambria" w:hAnsi="Cambria" w:cs="Cambria"/>
                <w:color w:val="000000"/>
                <w:sz w:val="18"/>
                <w:szCs w:val="18"/>
                <w:lang w:val="es-ES"/>
              </w:rPr>
            </w:pPr>
            <w:r w:rsidRPr="5F8745ED">
              <w:rPr>
                <w:rFonts w:ascii="Cambria" w:eastAsia="Cambria" w:hAnsi="Cambria" w:cs="Cambria"/>
                <w:color w:val="000000" w:themeColor="text1"/>
                <w:sz w:val="18"/>
                <w:szCs w:val="18"/>
                <w:lang w:val="es-ES"/>
              </w:rPr>
              <w:t>2. Que adopte las medidas legales o de otro género que puedan ser necesarias para abolir el castigo de la flagelación previsto en el Estatuto (de Medidas Punitivas) de la Legislación Penal de ese país, de 1991.</w:t>
            </w:r>
          </w:p>
        </w:tc>
        <w:tc>
          <w:tcPr>
            <w:tcW w:w="2222" w:type="dxa"/>
            <w:shd w:val="clear" w:color="auto" w:fill="auto"/>
            <w:vAlign w:val="center"/>
          </w:tcPr>
          <w:p w14:paraId="7C26D027" w14:textId="77777777" w:rsidR="00207BE4" w:rsidRDefault="00207BE4" w:rsidP="5F8745ED">
            <w:pPr>
              <w:jc w:val="center"/>
              <w:rPr>
                <w:rFonts w:ascii="Cambria" w:eastAsia="Cambria" w:hAnsi="Cambria" w:cs="Cambria"/>
                <w:b/>
                <w:bCs/>
                <w:color w:val="000000"/>
                <w:sz w:val="18"/>
                <w:szCs w:val="18"/>
              </w:rPr>
            </w:pPr>
            <w:r w:rsidRPr="5F8745ED">
              <w:rPr>
                <w:rFonts w:ascii="Cambria" w:eastAsia="Cambria" w:hAnsi="Cambria" w:cs="Cambria"/>
                <w:color w:val="000000" w:themeColor="text1"/>
                <w:sz w:val="18"/>
                <w:szCs w:val="18"/>
              </w:rPr>
              <w:t>Cumplimiento parcial</w:t>
            </w:r>
          </w:p>
        </w:tc>
      </w:tr>
    </w:tbl>
    <w:p w14:paraId="0E15A162" w14:textId="77777777" w:rsidR="00207BE4" w:rsidRDefault="00207BE4" w:rsidP="00207BE4">
      <w:pPr>
        <w:jc w:val="both"/>
        <w:rPr>
          <w:rFonts w:ascii="Cambria" w:eastAsia="Cambria" w:hAnsi="Cambria" w:cs="Cambria"/>
          <w:color w:val="000000"/>
          <w:sz w:val="20"/>
          <w:szCs w:val="20"/>
        </w:rPr>
      </w:pPr>
    </w:p>
    <w:p w14:paraId="188D6BC0" w14:textId="085C6439" w:rsidR="00290F00" w:rsidRPr="00290F00" w:rsidRDefault="00290F00" w:rsidP="5F8745ED">
      <w:pPr>
        <w:pStyle w:val="ListParagraph"/>
        <w:numPr>
          <w:ilvl w:val="0"/>
          <w:numId w:val="37"/>
        </w:numPr>
        <w:ind w:left="1440"/>
        <w:jc w:val="both"/>
        <w:rPr>
          <w:rFonts w:ascii="Cambria" w:eastAsia="Cambria" w:hAnsi="Cambria" w:cs="Cambria"/>
          <w:b/>
          <w:bCs/>
          <w:color w:val="000000"/>
          <w:sz w:val="20"/>
          <w:szCs w:val="20"/>
        </w:rPr>
      </w:pPr>
      <w:r w:rsidRPr="5F8745ED">
        <w:rPr>
          <w:rFonts w:ascii="Cambria" w:eastAsia="Cambria" w:hAnsi="Cambria" w:cs="Cambria"/>
          <w:b/>
          <w:bCs/>
          <w:color w:val="000000" w:themeColor="text1"/>
          <w:sz w:val="20"/>
          <w:szCs w:val="20"/>
        </w:rPr>
        <w:t>Actividad Procesal</w:t>
      </w:r>
    </w:p>
    <w:p w14:paraId="046B5888" w14:textId="77777777" w:rsidR="00290F00" w:rsidRDefault="00290F00" w:rsidP="00290F00">
      <w:pPr>
        <w:ind w:left="720"/>
        <w:jc w:val="both"/>
        <w:rPr>
          <w:color w:val="000000"/>
          <w:sz w:val="20"/>
          <w:szCs w:val="20"/>
        </w:rPr>
      </w:pPr>
    </w:p>
    <w:p w14:paraId="252FFA3A" w14:textId="77777777" w:rsidR="00290F00" w:rsidRDefault="00290F00" w:rsidP="5F8745ED">
      <w:pPr>
        <w:numPr>
          <w:ilvl w:val="0"/>
          <w:numId w:val="41"/>
        </w:numPr>
        <w:ind w:left="0" w:firstLine="720"/>
        <w:jc w:val="both"/>
        <w:rPr>
          <w:rFonts w:ascii="Cambria" w:eastAsia="Cambria" w:hAnsi="Cambria" w:cs="Cambria"/>
          <w:color w:val="000000" w:themeColor="text1"/>
          <w:sz w:val="20"/>
          <w:szCs w:val="20"/>
          <w:lang w:val="es-ES"/>
        </w:rPr>
      </w:pPr>
      <w:r w:rsidRPr="5F8745ED">
        <w:rPr>
          <w:rFonts w:ascii="Cambria" w:eastAsia="Cambria" w:hAnsi="Cambria" w:cs="Cambria"/>
          <w:color w:val="000000" w:themeColor="text1"/>
          <w:sz w:val="20"/>
          <w:szCs w:val="20"/>
          <w:lang w:val="es-ES"/>
        </w:rPr>
        <w:t xml:space="preserve">En 2022, la CIDH solicitó información actualizada sobre el cumplimiento de las recomendaciones a ambas partes el 24 de agosto de 2022. A la fecha de cierra del presente informe, ninguna de las partes había presentado esta información. </w:t>
      </w:r>
    </w:p>
    <w:p w14:paraId="3C9F4BFA" w14:textId="77777777" w:rsidR="00290F00" w:rsidRDefault="00290F00" w:rsidP="5F8745ED">
      <w:pPr>
        <w:jc w:val="both"/>
        <w:rPr>
          <w:rFonts w:ascii="Cambria" w:eastAsia="Cambria" w:hAnsi="Cambria" w:cs="Cambria"/>
          <w:color w:val="000000"/>
          <w:sz w:val="20"/>
          <w:szCs w:val="20"/>
          <w:lang w:val="es-ES"/>
        </w:rPr>
      </w:pPr>
    </w:p>
    <w:p w14:paraId="4632858B" w14:textId="77777777" w:rsidR="00290F00" w:rsidRDefault="00290F00" w:rsidP="5F8745ED">
      <w:pPr>
        <w:numPr>
          <w:ilvl w:val="0"/>
          <w:numId w:val="37"/>
        </w:numPr>
        <w:ind w:firstLine="0"/>
        <w:jc w:val="both"/>
        <w:rPr>
          <w:rFonts w:ascii="Cambria" w:eastAsia="Cambria" w:hAnsi="Cambria" w:cs="Cambria"/>
          <w:b/>
          <w:bCs/>
          <w:color w:val="000000"/>
          <w:sz w:val="20"/>
          <w:szCs w:val="20"/>
          <w:lang w:val="es-ES"/>
        </w:rPr>
      </w:pPr>
      <w:r w:rsidRPr="5F8745ED">
        <w:rPr>
          <w:rFonts w:ascii="Cambria" w:eastAsia="Cambria" w:hAnsi="Cambria" w:cs="Cambria"/>
          <w:b/>
          <w:bCs/>
          <w:color w:val="000000" w:themeColor="text1"/>
          <w:sz w:val="20"/>
          <w:szCs w:val="20"/>
          <w:lang w:val="es-ES"/>
        </w:rPr>
        <w:t>Análisis relativo a la información proporcionada</w:t>
      </w:r>
    </w:p>
    <w:p w14:paraId="1B3A0987" w14:textId="77777777" w:rsidR="00290F00" w:rsidRDefault="00290F00" w:rsidP="5F8745ED">
      <w:pPr>
        <w:ind w:left="720"/>
        <w:jc w:val="both"/>
        <w:rPr>
          <w:rFonts w:ascii="Cambria" w:eastAsia="Cambria" w:hAnsi="Cambria" w:cs="Cambria"/>
          <w:color w:val="000000" w:themeColor="text1"/>
          <w:sz w:val="20"/>
          <w:szCs w:val="20"/>
          <w:lang w:val="es-ES"/>
        </w:rPr>
      </w:pPr>
    </w:p>
    <w:p w14:paraId="1C8C4654" w14:textId="77777777" w:rsidR="00290F00" w:rsidRDefault="00290F00" w:rsidP="5F8745ED">
      <w:pPr>
        <w:numPr>
          <w:ilvl w:val="0"/>
          <w:numId w:val="41"/>
        </w:numPr>
        <w:ind w:left="0" w:firstLine="720"/>
        <w:jc w:val="both"/>
        <w:rPr>
          <w:rFonts w:ascii="Cambria" w:eastAsia="Cambria" w:hAnsi="Cambria" w:cs="Cambria"/>
          <w:color w:val="000000" w:themeColor="text1"/>
          <w:sz w:val="20"/>
          <w:szCs w:val="20"/>
          <w:lang w:val="es-ES"/>
        </w:rPr>
      </w:pPr>
      <w:r w:rsidRPr="5F8745ED">
        <w:rPr>
          <w:rFonts w:ascii="Cambria" w:eastAsia="Cambria" w:hAnsi="Cambria" w:cs="Cambria"/>
          <w:color w:val="000000" w:themeColor="text1"/>
          <w:sz w:val="20"/>
          <w:szCs w:val="20"/>
          <w:lang w:val="es-ES"/>
        </w:rPr>
        <w:t xml:space="preserve">Considerando que en 2022 ninguna de las partes proporcionó información actualizada sobre el seguimiento de las recomendaciones, a continuación, la CIDH reitera las consideraciones realizadas en su informe anual de 2021. </w:t>
      </w:r>
    </w:p>
    <w:p w14:paraId="4C72C687" w14:textId="77777777" w:rsidR="00290F00" w:rsidRDefault="00290F00" w:rsidP="5F8745ED">
      <w:pPr>
        <w:ind w:left="720"/>
        <w:jc w:val="both"/>
        <w:rPr>
          <w:rFonts w:ascii="Cambria" w:eastAsia="Cambria" w:hAnsi="Cambria" w:cs="Cambria"/>
          <w:color w:val="000000" w:themeColor="text1"/>
          <w:sz w:val="20"/>
          <w:szCs w:val="20"/>
          <w:lang w:val="es-ES"/>
        </w:rPr>
      </w:pPr>
    </w:p>
    <w:p w14:paraId="024049FC" w14:textId="3CE6B815" w:rsidR="00207BE4" w:rsidRPr="00181A04" w:rsidRDefault="00290F00" w:rsidP="5F8745ED">
      <w:pPr>
        <w:numPr>
          <w:ilvl w:val="0"/>
          <w:numId w:val="41"/>
        </w:numPr>
        <w:ind w:left="0" w:firstLine="720"/>
        <w:jc w:val="both"/>
        <w:rPr>
          <w:rFonts w:ascii="Cambria" w:eastAsia="Cambria" w:hAnsi="Cambria" w:cs="Cambria"/>
          <w:color w:val="000000" w:themeColor="text1"/>
          <w:sz w:val="20"/>
          <w:szCs w:val="20"/>
          <w:lang w:val="es-ES"/>
        </w:rPr>
      </w:pPr>
      <w:r w:rsidRPr="5F8745ED">
        <w:rPr>
          <w:rFonts w:ascii="Cambria" w:eastAsia="Cambria" w:hAnsi="Cambria" w:cs="Cambria"/>
          <w:color w:val="000000" w:themeColor="text1"/>
          <w:sz w:val="20"/>
          <w:szCs w:val="20"/>
          <w:lang w:val="es-ES"/>
        </w:rPr>
        <w:t>Particularmente, la Comisión observa con preocupación que, desde</w:t>
      </w:r>
      <w:r w:rsidR="00181A04" w:rsidRPr="5F8745ED">
        <w:rPr>
          <w:rFonts w:ascii="Cambria" w:eastAsia="Cambria" w:hAnsi="Cambria" w:cs="Cambria"/>
          <w:color w:val="000000" w:themeColor="text1"/>
          <w:sz w:val="20"/>
          <w:szCs w:val="20"/>
          <w:lang w:val="es-ES"/>
        </w:rPr>
        <w:t xml:space="preserve"> el año 2007</w:t>
      </w:r>
      <w:r w:rsidRPr="5F8745ED">
        <w:rPr>
          <w:rFonts w:ascii="Cambria" w:eastAsia="Cambria" w:hAnsi="Cambria" w:cs="Cambria"/>
          <w:color w:val="000000" w:themeColor="text1"/>
          <w:sz w:val="20"/>
          <w:szCs w:val="20"/>
          <w:lang w:val="es-ES"/>
        </w:rPr>
        <w:t xml:space="preserve">, la parte peticionaria no ha presentado información sobre las medidas adoptadas por el Estado para implementar las recomendaciones. </w:t>
      </w:r>
    </w:p>
    <w:p w14:paraId="776302D7" w14:textId="77777777" w:rsidR="00207BE4" w:rsidRPr="00207BE4" w:rsidRDefault="00207BE4" w:rsidP="5F8745ED">
      <w:pPr>
        <w:ind w:left="1440"/>
        <w:rPr>
          <w:rFonts w:ascii="Cambria" w:eastAsia="Cambria" w:hAnsi="Cambria" w:cs="Cambria"/>
          <w:b/>
          <w:bCs/>
          <w:color w:val="000000"/>
          <w:sz w:val="20"/>
          <w:szCs w:val="20"/>
          <w:lang w:val="es-ES"/>
        </w:rPr>
      </w:pPr>
    </w:p>
    <w:p w14:paraId="2C70D816" w14:textId="577FA124" w:rsidR="00207BE4" w:rsidRPr="00207BE4" w:rsidRDefault="00207BE4" w:rsidP="5F8745ED">
      <w:pPr>
        <w:numPr>
          <w:ilvl w:val="0"/>
          <w:numId w:val="37"/>
        </w:numPr>
        <w:ind w:left="1440"/>
        <w:rPr>
          <w:rFonts w:ascii="Cambria" w:eastAsia="Cambria" w:hAnsi="Cambria" w:cs="Cambria"/>
          <w:b/>
          <w:bCs/>
          <w:color w:val="000000"/>
          <w:sz w:val="20"/>
          <w:szCs w:val="20"/>
          <w:lang w:val="es-ES"/>
        </w:rPr>
      </w:pPr>
      <w:r w:rsidRPr="5F8745ED">
        <w:rPr>
          <w:rFonts w:ascii="Cambria" w:eastAsia="Cambria" w:hAnsi="Cambria" w:cs="Cambria"/>
          <w:b/>
          <w:bCs/>
          <w:color w:val="000000"/>
          <w:sz w:val="20"/>
          <w:szCs w:val="20"/>
          <w:lang w:val="es-ES"/>
        </w:rPr>
        <w:t>Análisis del cumplimiento de las recomendaciones</w:t>
      </w:r>
      <w:r w:rsidR="00B9268E" w:rsidRPr="5F8745ED">
        <w:rPr>
          <w:rStyle w:val="FootnoteReference"/>
          <w:rFonts w:ascii="Cambria" w:eastAsia="Cambria" w:hAnsi="Cambria" w:cs="Cambria"/>
          <w:b/>
          <w:bCs/>
          <w:color w:val="000000"/>
          <w:sz w:val="20"/>
          <w:szCs w:val="20"/>
          <w:lang w:val="es-ES"/>
        </w:rPr>
        <w:footnoteReference w:id="1"/>
      </w:r>
    </w:p>
    <w:p w14:paraId="001E96A4" w14:textId="77777777" w:rsidR="00207BE4" w:rsidRPr="00207BE4" w:rsidRDefault="00207BE4" w:rsidP="00207BE4">
      <w:pPr>
        <w:jc w:val="both"/>
        <w:rPr>
          <w:rFonts w:ascii="Cambria" w:eastAsia="Cambria" w:hAnsi="Cambria" w:cs="Cambria"/>
          <w:color w:val="000000"/>
          <w:sz w:val="20"/>
          <w:szCs w:val="20"/>
          <w:lang w:val="es-ES"/>
        </w:rPr>
      </w:pPr>
    </w:p>
    <w:p w14:paraId="3085D278" w14:textId="1896A03F" w:rsidR="00207BE4" w:rsidRPr="00181A04" w:rsidRDefault="00207BE4" w:rsidP="5F8745ED">
      <w:pPr>
        <w:pStyle w:val="ListParagraph"/>
        <w:numPr>
          <w:ilvl w:val="0"/>
          <w:numId w:val="41"/>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En relación con la primera recomendación</w:t>
      </w:r>
      <w:r w:rsidRPr="5F8745ED">
        <w:rPr>
          <w:rFonts w:ascii="Cambria" w:eastAsia="Cambria" w:hAnsi="Cambria" w:cs="Cambria"/>
          <w:color w:val="000000" w:themeColor="text1"/>
          <w:sz w:val="20"/>
          <w:szCs w:val="20"/>
          <w:lang w:val="es-ES"/>
        </w:rPr>
        <w:t xml:space="preserve">, el 10 de abril de 2012, el Estado informó que la fecha programada para poner en libertad al señor Pinder era el 28 de julio de 2017. Sin embargo, el Estado no presentó información sobre las recomendaciones de la CIDH relacionadas con la pena judicial de castigo corporal impuesta al señor Pinder y sobre el marco jurídico que autoriza este tipo de sanción. </w:t>
      </w:r>
    </w:p>
    <w:p w14:paraId="18E8049D" w14:textId="77777777" w:rsidR="00207BE4" w:rsidRPr="00207BE4" w:rsidRDefault="00207BE4" w:rsidP="5F8745ED">
      <w:pPr>
        <w:shd w:val="clear" w:color="auto" w:fill="FFFFFF" w:themeFill="background1"/>
        <w:jc w:val="both"/>
        <w:rPr>
          <w:rFonts w:ascii="Cambria" w:eastAsia="Cambria" w:hAnsi="Cambria" w:cs="Cambria"/>
          <w:color w:val="000000"/>
          <w:sz w:val="20"/>
          <w:szCs w:val="20"/>
          <w:lang w:val="es-ES"/>
        </w:rPr>
      </w:pPr>
    </w:p>
    <w:p w14:paraId="1805B3AF" w14:textId="77777777" w:rsidR="00207BE4" w:rsidRPr="00207BE4" w:rsidRDefault="00207BE4" w:rsidP="5F8745ED">
      <w:pPr>
        <w:numPr>
          <w:ilvl w:val="0"/>
          <w:numId w:val="41"/>
        </w:numPr>
        <w:pBdr>
          <w:top w:val="nil"/>
          <w:left w:val="nil"/>
          <w:bottom w:val="nil"/>
          <w:right w:val="nil"/>
          <w:between w:val="nil"/>
        </w:pBdr>
        <w:shd w:val="clear" w:color="auto" w:fill="FFFFFF" w:themeFill="background1"/>
        <w:ind w:left="0" w:firstLine="720"/>
        <w:jc w:val="both"/>
        <w:rPr>
          <w:color w:val="000000"/>
          <w:sz w:val="20"/>
          <w:szCs w:val="20"/>
          <w:lang w:val="es-ES"/>
        </w:rPr>
      </w:pPr>
      <w:r w:rsidRPr="5F8745ED">
        <w:rPr>
          <w:rFonts w:ascii="Cambria" w:eastAsia="Cambria" w:hAnsi="Cambria" w:cs="Cambria"/>
          <w:color w:val="000000" w:themeColor="text1"/>
          <w:sz w:val="20"/>
          <w:szCs w:val="20"/>
          <w:lang w:val="es-ES"/>
        </w:rPr>
        <w:t>En 2021, el Estado señaló que Prince Pinder ingresó en el Departamento de Servicios Penitenciarios de las Bahamas en 1997 y fue condenado a 30 años de prisión por dos cargos. Las sentencias se cumplieron de forma consecutiva. Indicó que el tiempo total que debía cumplir era de 30 años de prisión y que, posteriormente, su tiempo expiró el 28 de julio de 2017. Sin embargo, en el mismo escrito, el Estado señaló que el señor Pinder actualmente se encuentra cumpliendo su condena en el Departamento de Servicios Correccionales, donde ha sido inscrito en programas educativos para obtener cualificaciones educativas formales.</w:t>
      </w:r>
    </w:p>
    <w:p w14:paraId="2DCB0057" w14:textId="77777777" w:rsidR="00207BE4" w:rsidRPr="00207BE4" w:rsidRDefault="00207BE4" w:rsidP="5F8745ED">
      <w:pPr>
        <w:shd w:val="clear" w:color="auto" w:fill="FFFFFF" w:themeFill="background1"/>
        <w:jc w:val="both"/>
        <w:rPr>
          <w:rFonts w:ascii="Cambria" w:eastAsia="Cambria" w:hAnsi="Cambria" w:cs="Cambria"/>
          <w:color w:val="000000"/>
          <w:sz w:val="20"/>
          <w:szCs w:val="20"/>
          <w:lang w:val="es-ES"/>
        </w:rPr>
      </w:pPr>
    </w:p>
    <w:p w14:paraId="5FD8D32F" w14:textId="77777777" w:rsidR="00207BE4" w:rsidRPr="00207BE4" w:rsidRDefault="00207BE4" w:rsidP="5F8745ED">
      <w:pPr>
        <w:numPr>
          <w:ilvl w:val="0"/>
          <w:numId w:val="41"/>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5F8745ED">
        <w:rPr>
          <w:rFonts w:ascii="Cambria" w:eastAsia="Cambria" w:hAnsi="Cambria" w:cs="Cambria"/>
          <w:color w:val="000000" w:themeColor="text1"/>
          <w:sz w:val="20"/>
          <w:szCs w:val="20"/>
          <w:lang w:val="es-ES"/>
        </w:rPr>
        <w:t xml:space="preserve">La Comisión toma nota de la información presentada por el Estado de Bahamas. Al respecto, nota que, en 2012, el Estado afirmó que el señor Pinder sería liberado en 2017. Posteriormente, en 2021, el Estado señaló que su tiempo expiró en 2017 y luego, en el mismo escrito, indicó que continuaba privado de la libertad cumpliendo su condena. Al respecto, la Comisión invita al Estado a aclarar la fecha de liberación del señor Pinder. Por otro lado, la Comisión también solicita información respecto a si la pena de castigo corporal que en principio fue impuesta al señor Pinder fue conmutada de manera definitiva. Finalmente, la Comisión valora que el Estado haya señalado que el señor Pinder está inscrito en programas educativos. Al respecto, la CIDH solicita al Estado información que especifique qué programas han sido garantizados de manera efectiva, y qué otras medidas de rehabilitación han sido otorgadas al señor Pinder como reparación. Hasta tanto sea remitida la información que aclare el cumplimiento de la conmutación de la pena de castigo corporal judicial y de las medidas de rehabilitación, la Comisión considera que la Recomendación 1 continúa pendiente de cumplimiento. </w:t>
      </w:r>
    </w:p>
    <w:p w14:paraId="1C2A9A27" w14:textId="77777777" w:rsidR="00207BE4" w:rsidRPr="00207BE4" w:rsidRDefault="00207BE4" w:rsidP="5F8745ED">
      <w:pPr>
        <w:pBdr>
          <w:top w:val="nil"/>
          <w:left w:val="nil"/>
          <w:bottom w:val="nil"/>
          <w:right w:val="nil"/>
          <w:between w:val="nil"/>
        </w:pBdr>
        <w:shd w:val="clear" w:color="auto" w:fill="FFFFFF" w:themeFill="background1"/>
        <w:ind w:firstLine="720"/>
        <w:jc w:val="both"/>
        <w:rPr>
          <w:rFonts w:ascii="Cambria" w:eastAsia="Cambria" w:hAnsi="Cambria" w:cs="Cambria"/>
          <w:color w:val="000000"/>
          <w:sz w:val="20"/>
          <w:szCs w:val="20"/>
          <w:lang w:val="es-ES"/>
        </w:rPr>
      </w:pPr>
    </w:p>
    <w:p w14:paraId="2968891C" w14:textId="77777777" w:rsidR="00207BE4" w:rsidRPr="00207BE4" w:rsidRDefault="00207BE4" w:rsidP="5F8745ED">
      <w:pPr>
        <w:numPr>
          <w:ilvl w:val="0"/>
          <w:numId w:val="41"/>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5F8745ED">
        <w:rPr>
          <w:rFonts w:ascii="Cambria" w:eastAsia="Cambria" w:hAnsi="Cambria" w:cs="Cambria"/>
          <w:b/>
          <w:bCs/>
          <w:color w:val="000000" w:themeColor="text1"/>
          <w:sz w:val="20"/>
          <w:szCs w:val="20"/>
          <w:lang w:val="es-ES"/>
        </w:rPr>
        <w:t xml:space="preserve">Respecto de la segunda recomendación, </w:t>
      </w:r>
      <w:r w:rsidRPr="5F8745ED">
        <w:rPr>
          <w:rFonts w:ascii="Cambria" w:eastAsia="Cambria" w:hAnsi="Cambria" w:cs="Cambria"/>
          <w:color w:val="000000" w:themeColor="text1"/>
          <w:sz w:val="20"/>
          <w:szCs w:val="20"/>
          <w:lang w:val="es-ES"/>
        </w:rPr>
        <w:t xml:space="preserve">en 2021, el Estado indicó que la Ley de Medidas Penales, la cual prevé castigos corporales para delincuentes adultos, aún no ha sido derogada, pero afirmaron que, a pesar de su legalidad, los castigos corporales han sido escasamente aplicados, habiéndose utilizado en dos ocasiones desde que se promulgó la ley, tratándose de crímenes atroces. Al respecto, indicó que la última vez que se utilizó este castigo fue con un hombre de 33 años condenado por robo, intento de violación y daños a una mujer de 83 años. </w:t>
      </w:r>
    </w:p>
    <w:p w14:paraId="2A60C0D4" w14:textId="77777777" w:rsidR="00207BE4" w:rsidRPr="00207BE4" w:rsidRDefault="00207BE4" w:rsidP="5F8745ED">
      <w:pPr>
        <w:shd w:val="clear" w:color="auto" w:fill="FFFFFF" w:themeFill="background1"/>
        <w:jc w:val="both"/>
        <w:rPr>
          <w:rFonts w:ascii="Cambria" w:eastAsia="Cambria" w:hAnsi="Cambria" w:cs="Cambria"/>
          <w:color w:val="000000"/>
          <w:sz w:val="20"/>
          <w:szCs w:val="20"/>
          <w:lang w:val="es-ES"/>
        </w:rPr>
      </w:pPr>
    </w:p>
    <w:p w14:paraId="5CD24DB2" w14:textId="77777777" w:rsidR="00207BE4" w:rsidRPr="00207BE4" w:rsidRDefault="00207BE4" w:rsidP="5F8745ED">
      <w:pPr>
        <w:numPr>
          <w:ilvl w:val="0"/>
          <w:numId w:val="41"/>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5F8745ED">
        <w:rPr>
          <w:rFonts w:ascii="Cambria" w:eastAsia="Cambria" w:hAnsi="Cambria" w:cs="Cambria"/>
          <w:color w:val="000000" w:themeColor="text1"/>
          <w:sz w:val="20"/>
          <w:szCs w:val="20"/>
          <w:lang w:val="es-ES"/>
        </w:rPr>
        <w:t xml:space="preserve">El Estado señaló que las razones de la demora en la abolición de esta ley están relacionadas con que la Comisión de Reforma Legislativa ha estado trabajando en una revisión global del Código Penal de Bahamas y demás legislación penal del país, para actualizar las leyes y ponerlas al día con avances recientes, incluyendo la necesidad de ajustarse a obligaciones internacionales. En este sentido, el Estado indicó que Bahamas ratificó el Pacto Internacional de Derechos Civiles y Políticos, el Pacto Internacional de Derechos Económicos, Sociales y Culturales en 2009, y la Convención contra la Tortura en 2018. </w:t>
      </w:r>
    </w:p>
    <w:p w14:paraId="0AFB86DA" w14:textId="77777777" w:rsidR="00207BE4" w:rsidRPr="00207BE4" w:rsidRDefault="00207BE4" w:rsidP="5F8745ED">
      <w:pPr>
        <w:pBdr>
          <w:top w:val="nil"/>
          <w:left w:val="nil"/>
          <w:bottom w:val="nil"/>
          <w:right w:val="nil"/>
          <w:between w:val="nil"/>
        </w:pBdr>
        <w:jc w:val="both"/>
        <w:rPr>
          <w:rFonts w:ascii="Cambria" w:eastAsia="Cambria" w:hAnsi="Cambria" w:cs="Cambria"/>
          <w:color w:val="000000"/>
          <w:sz w:val="20"/>
          <w:szCs w:val="20"/>
          <w:lang w:val="es-ES"/>
        </w:rPr>
      </w:pPr>
    </w:p>
    <w:p w14:paraId="6E70FCDC" w14:textId="77777777" w:rsidR="00207BE4" w:rsidRPr="00207BE4" w:rsidRDefault="00207BE4" w:rsidP="5F8745ED">
      <w:pPr>
        <w:numPr>
          <w:ilvl w:val="0"/>
          <w:numId w:val="41"/>
        </w:numPr>
        <w:pBdr>
          <w:top w:val="nil"/>
          <w:left w:val="nil"/>
          <w:bottom w:val="nil"/>
          <w:right w:val="nil"/>
          <w:between w:val="nil"/>
        </w:pBdr>
        <w:ind w:left="0" w:firstLine="720"/>
        <w:jc w:val="both"/>
        <w:rPr>
          <w:rFonts w:ascii="Cambria" w:eastAsia="Cambria" w:hAnsi="Cambria" w:cs="Cambria"/>
          <w:color w:val="000000"/>
          <w:sz w:val="20"/>
          <w:szCs w:val="20"/>
          <w:lang w:val="es-ES"/>
        </w:rPr>
      </w:pPr>
      <w:bookmarkStart w:id="0" w:name="_heading=h.30j0zll"/>
      <w:bookmarkEnd w:id="0"/>
      <w:r w:rsidRPr="5F8745ED">
        <w:rPr>
          <w:rFonts w:ascii="Cambria" w:eastAsia="Cambria" w:hAnsi="Cambria" w:cs="Cambria"/>
          <w:color w:val="000000" w:themeColor="text1"/>
          <w:sz w:val="20"/>
          <w:szCs w:val="20"/>
          <w:lang w:val="es-ES"/>
        </w:rPr>
        <w:t xml:space="preserve">La Comisión valora la información remitida por el Estado e invita a continuar con el proceso de revisión que ha sido empezado para actualizar las leyes de conformidad con los estándares internacionales en materia de derechos humanos. Al respecto, la CIDH solicita al Estado remitir información adicional que permita evaluar cualquier avance alcanzado para abolir definitivamente de la legislación de Bahamas el castigo de la flagelación previsto en el Estatuto de Medidas Punitivas de la Legislación Penal de 1991. Asimismo, valora que el Estado haya comunicado que ratificó en 2018 la Convención contra la Tortura y Otros Tratos o Penas Crueles, Inhumanos o Degradantes e invita a continuar adoptando las medidas necesarias para cumplir esta recomendación. En vista de lo anterior, la Comisión observa que el Estado ha aportado información relevante para actualizar el estado de cumplimiento de esta recomendación y considera que el nivel de dicha recomendación es parcial. </w:t>
      </w:r>
    </w:p>
    <w:p w14:paraId="7FA16F71" w14:textId="77777777" w:rsidR="00207BE4" w:rsidRPr="00207BE4" w:rsidRDefault="00207BE4" w:rsidP="00207BE4">
      <w:pPr>
        <w:rPr>
          <w:rFonts w:ascii="Cambria" w:eastAsia="Cambria" w:hAnsi="Cambria" w:cs="Cambria"/>
          <w:color w:val="000000"/>
          <w:sz w:val="20"/>
          <w:szCs w:val="20"/>
          <w:lang w:val="es-ES"/>
        </w:rPr>
      </w:pPr>
    </w:p>
    <w:p w14:paraId="6F3D3510" w14:textId="77777777" w:rsidR="00207BE4" w:rsidRPr="00207BE4" w:rsidRDefault="00207BE4" w:rsidP="5F8745ED">
      <w:pPr>
        <w:numPr>
          <w:ilvl w:val="0"/>
          <w:numId w:val="37"/>
        </w:numPr>
        <w:ind w:left="1440"/>
        <w:rPr>
          <w:rFonts w:ascii="Cambria" w:eastAsia="Cambria" w:hAnsi="Cambria" w:cs="Cambria"/>
          <w:b/>
          <w:bCs/>
          <w:color w:val="000000"/>
          <w:sz w:val="20"/>
          <w:szCs w:val="20"/>
          <w:lang w:val="es-ES"/>
        </w:rPr>
      </w:pPr>
      <w:r w:rsidRPr="5F8745ED">
        <w:rPr>
          <w:rFonts w:ascii="Cambria" w:eastAsia="Cambria" w:hAnsi="Cambria" w:cs="Cambria"/>
          <w:b/>
          <w:bCs/>
          <w:color w:val="000000" w:themeColor="text1"/>
          <w:sz w:val="20"/>
          <w:szCs w:val="20"/>
          <w:lang w:val="es-ES"/>
        </w:rPr>
        <w:t xml:space="preserve">Nivel Estado del cumplimiento del caso </w:t>
      </w:r>
    </w:p>
    <w:p w14:paraId="1A29A020" w14:textId="77777777" w:rsidR="00207BE4" w:rsidRPr="00207BE4" w:rsidRDefault="00207BE4" w:rsidP="00207BE4">
      <w:pPr>
        <w:jc w:val="both"/>
        <w:rPr>
          <w:rFonts w:ascii="Cambria" w:eastAsia="Cambria" w:hAnsi="Cambria" w:cs="Cambria"/>
          <w:color w:val="000000"/>
          <w:sz w:val="20"/>
          <w:szCs w:val="20"/>
          <w:lang w:val="es-ES"/>
        </w:rPr>
      </w:pPr>
    </w:p>
    <w:p w14:paraId="49F0A219" w14:textId="77777777" w:rsidR="00207BE4" w:rsidRPr="00207BE4" w:rsidRDefault="00207BE4" w:rsidP="5F8745ED">
      <w:pPr>
        <w:numPr>
          <w:ilvl w:val="0"/>
          <w:numId w:val="41"/>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5F8745ED">
        <w:rPr>
          <w:rFonts w:ascii="Cambria" w:eastAsia="Cambria" w:hAnsi="Cambria" w:cs="Cambria"/>
          <w:color w:val="000000" w:themeColor="text1"/>
          <w:sz w:val="20"/>
          <w:szCs w:val="20"/>
          <w:lang w:val="es-ES"/>
        </w:rPr>
        <w:t xml:space="preserve">Por lo anterior, la Comisión concluye que el nivel de cumplimiento del caso es parcial. En consecuencia, la CIDH seguirá supervisando el cumplimiento de las Recomendaciones 1 y 2.  </w:t>
      </w:r>
    </w:p>
    <w:p w14:paraId="2F8774F2" w14:textId="77777777" w:rsidR="00207BE4" w:rsidRPr="00207BE4" w:rsidRDefault="00207BE4" w:rsidP="5F8745ED">
      <w:pPr>
        <w:pBdr>
          <w:top w:val="nil"/>
          <w:left w:val="nil"/>
          <w:bottom w:val="nil"/>
          <w:right w:val="nil"/>
          <w:between w:val="nil"/>
        </w:pBdr>
        <w:shd w:val="clear" w:color="auto" w:fill="FFFFFF" w:themeFill="background1"/>
        <w:ind w:firstLine="720"/>
        <w:jc w:val="both"/>
        <w:rPr>
          <w:rFonts w:ascii="Cambria" w:eastAsia="Cambria" w:hAnsi="Cambria" w:cs="Cambria"/>
          <w:color w:val="000000"/>
          <w:sz w:val="20"/>
          <w:szCs w:val="20"/>
          <w:lang w:val="es-ES"/>
        </w:rPr>
      </w:pPr>
    </w:p>
    <w:p w14:paraId="7A9E35E9" w14:textId="77777777" w:rsidR="00207BE4" w:rsidRPr="00207BE4" w:rsidRDefault="00207BE4" w:rsidP="5F8745ED">
      <w:pPr>
        <w:numPr>
          <w:ilvl w:val="0"/>
          <w:numId w:val="41"/>
        </w:numPr>
        <w:pBdr>
          <w:top w:val="nil"/>
          <w:left w:val="nil"/>
          <w:bottom w:val="nil"/>
          <w:right w:val="nil"/>
          <w:between w:val="nil"/>
        </w:pBdr>
        <w:shd w:val="clear" w:color="auto" w:fill="FFFFFF" w:themeFill="background1"/>
        <w:ind w:left="0" w:firstLine="720"/>
        <w:jc w:val="both"/>
        <w:rPr>
          <w:rFonts w:ascii="Cambria" w:eastAsia="Cambria" w:hAnsi="Cambria" w:cs="Cambria"/>
          <w:color w:val="000000"/>
          <w:sz w:val="20"/>
          <w:szCs w:val="20"/>
          <w:lang w:val="es-ES"/>
        </w:rPr>
      </w:pPr>
      <w:r w:rsidRPr="5F8745ED">
        <w:rPr>
          <w:rFonts w:ascii="Cambria" w:eastAsia="Cambria" w:hAnsi="Cambria" w:cs="Cambria"/>
          <w:color w:val="000000" w:themeColor="text1"/>
          <w:sz w:val="20"/>
          <w:szCs w:val="20"/>
          <w:lang w:val="es-ES"/>
        </w:rPr>
        <w:t>La Comisión llama a las partes a que suministren información detallada con respecto a las acciones adoptadas para cumplir con las recomendaciones mencionadas.</w:t>
      </w:r>
    </w:p>
    <w:p w14:paraId="22872F39" w14:textId="77777777" w:rsidR="00207BE4" w:rsidRPr="00207BE4" w:rsidRDefault="00207BE4" w:rsidP="5F8745ED">
      <w:pPr>
        <w:shd w:val="clear" w:color="auto" w:fill="FFFFFF" w:themeFill="background1"/>
        <w:ind w:left="360"/>
        <w:jc w:val="both"/>
        <w:rPr>
          <w:rFonts w:ascii="Cambria" w:eastAsia="Cambria" w:hAnsi="Cambria" w:cs="Cambria"/>
          <w:color w:val="000000"/>
          <w:sz w:val="20"/>
          <w:szCs w:val="20"/>
          <w:lang w:val="es-ES"/>
        </w:rPr>
      </w:pPr>
    </w:p>
    <w:p w14:paraId="372B4FAF" w14:textId="77777777" w:rsidR="00207BE4" w:rsidRPr="00207BE4" w:rsidRDefault="00207BE4" w:rsidP="5F8745ED">
      <w:pPr>
        <w:numPr>
          <w:ilvl w:val="0"/>
          <w:numId w:val="37"/>
        </w:numPr>
        <w:ind w:left="1440"/>
        <w:rPr>
          <w:rFonts w:ascii="Cambria" w:eastAsia="Cambria" w:hAnsi="Cambria" w:cs="Cambria"/>
          <w:b/>
          <w:bCs/>
          <w:color w:val="000000"/>
          <w:sz w:val="20"/>
          <w:szCs w:val="20"/>
          <w:lang w:val="es-ES"/>
        </w:rPr>
      </w:pPr>
      <w:r w:rsidRPr="5F8745ED">
        <w:rPr>
          <w:rFonts w:ascii="Cambria" w:eastAsia="Cambria" w:hAnsi="Cambria" w:cs="Cambria"/>
          <w:b/>
          <w:bCs/>
          <w:color w:val="000000" w:themeColor="text1"/>
          <w:sz w:val="20"/>
          <w:szCs w:val="20"/>
          <w:lang w:val="es-ES"/>
        </w:rPr>
        <w:t xml:space="preserve">Resultados individuales y estructurales del caso </w:t>
      </w:r>
    </w:p>
    <w:p w14:paraId="139CCC56" w14:textId="77777777" w:rsidR="00207BE4" w:rsidRPr="00207BE4" w:rsidRDefault="00207BE4" w:rsidP="5F8745ED">
      <w:pPr>
        <w:pBdr>
          <w:top w:val="nil"/>
          <w:left w:val="nil"/>
          <w:bottom w:val="nil"/>
          <w:right w:val="nil"/>
          <w:between w:val="nil"/>
        </w:pBdr>
        <w:ind w:left="1080"/>
        <w:rPr>
          <w:rFonts w:ascii="Cambria" w:eastAsia="Cambria" w:hAnsi="Cambria" w:cs="Cambria"/>
          <w:color w:val="000000"/>
          <w:sz w:val="20"/>
          <w:szCs w:val="20"/>
          <w:lang w:val="es-ES"/>
        </w:rPr>
      </w:pPr>
    </w:p>
    <w:p w14:paraId="0157B7F8" w14:textId="77777777" w:rsidR="00207BE4" w:rsidRDefault="00207BE4" w:rsidP="5F8745ED">
      <w:pPr>
        <w:numPr>
          <w:ilvl w:val="0"/>
          <w:numId w:val="36"/>
        </w:numPr>
        <w:pBdr>
          <w:top w:val="nil"/>
          <w:left w:val="nil"/>
          <w:bottom w:val="nil"/>
          <w:right w:val="nil"/>
          <w:between w:val="nil"/>
        </w:pBdr>
        <w:rPr>
          <w:rFonts w:ascii="Cambria" w:eastAsia="Cambria" w:hAnsi="Cambria" w:cs="Cambria"/>
          <w:b/>
          <w:bCs/>
          <w:color w:val="000000"/>
          <w:sz w:val="20"/>
          <w:szCs w:val="20"/>
        </w:rPr>
      </w:pPr>
      <w:r w:rsidRPr="5F8745ED">
        <w:rPr>
          <w:rFonts w:ascii="Cambria" w:eastAsia="Cambria" w:hAnsi="Cambria" w:cs="Cambria"/>
          <w:b/>
          <w:bCs/>
          <w:color w:val="000000" w:themeColor="text1"/>
          <w:sz w:val="20"/>
          <w:szCs w:val="20"/>
        </w:rPr>
        <w:t xml:space="preserve">Resultados individuales </w:t>
      </w:r>
    </w:p>
    <w:p w14:paraId="1D394577" w14:textId="77777777" w:rsidR="00207BE4" w:rsidRDefault="00207BE4" w:rsidP="00207BE4">
      <w:pPr>
        <w:rPr>
          <w:rFonts w:ascii="Cambria" w:eastAsia="Cambria" w:hAnsi="Cambria" w:cs="Cambria"/>
          <w:color w:val="000000"/>
          <w:sz w:val="20"/>
          <w:szCs w:val="20"/>
        </w:rPr>
      </w:pPr>
    </w:p>
    <w:p w14:paraId="392AABB1" w14:textId="77777777" w:rsidR="00207BE4" w:rsidRPr="00D5348C" w:rsidRDefault="00207BE4" w:rsidP="00207BE4">
      <w:pPr>
        <w:rPr>
          <w:rFonts w:ascii="Cambria" w:eastAsia="Cambria" w:hAnsi="Cambria" w:cs="Cambria"/>
          <w:color w:val="000000"/>
          <w:sz w:val="20"/>
          <w:szCs w:val="20"/>
        </w:rPr>
      </w:pPr>
      <w:r w:rsidRPr="5F8745ED">
        <w:rPr>
          <w:rFonts w:ascii="Cambria" w:eastAsia="Cambria" w:hAnsi="Cambria" w:cs="Cambria"/>
          <w:color w:val="000000" w:themeColor="text1"/>
          <w:sz w:val="20"/>
          <w:szCs w:val="20"/>
        </w:rPr>
        <w:t xml:space="preserve">No individual results have been identified in this case. </w:t>
      </w:r>
    </w:p>
    <w:p w14:paraId="350972E4" w14:textId="77777777" w:rsidR="00207BE4" w:rsidRPr="00D5348C" w:rsidRDefault="00207BE4" w:rsidP="00207BE4">
      <w:pPr>
        <w:rPr>
          <w:rFonts w:ascii="Cambria" w:eastAsia="Cambria" w:hAnsi="Cambria" w:cs="Cambria"/>
          <w:color w:val="000000"/>
          <w:sz w:val="20"/>
          <w:szCs w:val="20"/>
        </w:rPr>
      </w:pPr>
    </w:p>
    <w:p w14:paraId="46895EDB" w14:textId="77777777" w:rsidR="00207BE4" w:rsidRDefault="00207BE4" w:rsidP="5F8745ED">
      <w:pPr>
        <w:numPr>
          <w:ilvl w:val="0"/>
          <w:numId w:val="36"/>
        </w:numPr>
        <w:pBdr>
          <w:top w:val="nil"/>
          <w:left w:val="nil"/>
          <w:bottom w:val="nil"/>
          <w:right w:val="nil"/>
          <w:between w:val="nil"/>
        </w:pBdr>
        <w:rPr>
          <w:rFonts w:ascii="Cambria" w:eastAsia="Cambria" w:hAnsi="Cambria" w:cs="Cambria"/>
          <w:b/>
          <w:bCs/>
          <w:color w:val="000000"/>
          <w:sz w:val="20"/>
          <w:szCs w:val="20"/>
        </w:rPr>
      </w:pPr>
      <w:r w:rsidRPr="5F8745ED">
        <w:rPr>
          <w:rFonts w:ascii="Cambria" w:eastAsia="Cambria" w:hAnsi="Cambria" w:cs="Cambria"/>
          <w:b/>
          <w:bCs/>
          <w:color w:val="000000" w:themeColor="text1"/>
          <w:sz w:val="20"/>
          <w:szCs w:val="20"/>
        </w:rPr>
        <w:t xml:space="preserve">Resultados estructurales </w:t>
      </w:r>
    </w:p>
    <w:p w14:paraId="1F08E315" w14:textId="77777777" w:rsidR="00207BE4" w:rsidRDefault="00207BE4" w:rsidP="5F8745ED">
      <w:pPr>
        <w:rPr>
          <w:rFonts w:ascii="Cambria" w:eastAsia="Cambria" w:hAnsi="Cambria" w:cs="Cambria"/>
          <w:b/>
          <w:bCs/>
          <w:color w:val="000000"/>
          <w:sz w:val="20"/>
          <w:szCs w:val="20"/>
        </w:rPr>
      </w:pPr>
    </w:p>
    <w:p w14:paraId="32FC6935" w14:textId="77777777" w:rsidR="00207BE4" w:rsidRDefault="00207BE4" w:rsidP="5F8745ED">
      <w:pPr>
        <w:rPr>
          <w:rFonts w:ascii="Cambria" w:eastAsia="Cambria" w:hAnsi="Cambria" w:cs="Cambria"/>
          <w:i/>
          <w:iCs/>
          <w:color w:val="000000"/>
          <w:sz w:val="20"/>
          <w:szCs w:val="20"/>
        </w:rPr>
      </w:pPr>
      <w:r w:rsidRPr="5F8745ED">
        <w:rPr>
          <w:rFonts w:ascii="Cambria" w:eastAsia="Cambria" w:hAnsi="Cambria" w:cs="Cambria"/>
          <w:i/>
          <w:iCs/>
          <w:color w:val="000000" w:themeColor="text1"/>
          <w:sz w:val="20"/>
          <w:szCs w:val="20"/>
        </w:rPr>
        <w:t>Legislación/Normativa</w:t>
      </w:r>
    </w:p>
    <w:p w14:paraId="185CE229" w14:textId="77777777" w:rsidR="00207BE4" w:rsidRPr="00207BE4" w:rsidRDefault="00207BE4" w:rsidP="5F8745ED">
      <w:pPr>
        <w:numPr>
          <w:ilvl w:val="0"/>
          <w:numId w:val="36"/>
        </w:numPr>
        <w:pBdr>
          <w:top w:val="nil"/>
          <w:left w:val="nil"/>
          <w:bottom w:val="nil"/>
          <w:right w:val="nil"/>
          <w:between w:val="nil"/>
        </w:pBdr>
        <w:jc w:val="both"/>
        <w:rPr>
          <w:rFonts w:ascii="Cambria" w:eastAsia="Cambria" w:hAnsi="Cambria" w:cs="Cambria"/>
          <w:color w:val="000000"/>
          <w:sz w:val="20"/>
          <w:szCs w:val="20"/>
          <w:lang w:val="es-ES"/>
        </w:rPr>
      </w:pPr>
      <w:r w:rsidRPr="5F8745ED">
        <w:rPr>
          <w:rFonts w:ascii="Cambria" w:eastAsia="Cambria" w:hAnsi="Cambria" w:cs="Cambria"/>
          <w:color w:val="000000" w:themeColor="text1"/>
          <w:sz w:val="20"/>
          <w:szCs w:val="20"/>
          <w:lang w:val="es-ES"/>
        </w:rPr>
        <w:t>Ratificación de la Convención contra la Tortura y Otros Tratos o Penas Crueles, Inhumanos o Degradantes en 2018.</w:t>
      </w:r>
    </w:p>
    <w:p w14:paraId="3E5CF272" w14:textId="77777777" w:rsidR="00207BE4" w:rsidRPr="00207BE4" w:rsidRDefault="00207BE4" w:rsidP="00207BE4">
      <w:pPr>
        <w:rPr>
          <w:rFonts w:ascii="Cambria" w:eastAsia="Cambria" w:hAnsi="Cambria" w:cs="Cambria"/>
          <w:color w:val="000000"/>
          <w:sz w:val="20"/>
          <w:szCs w:val="20"/>
          <w:lang w:val="es-ES"/>
        </w:rPr>
      </w:pPr>
    </w:p>
    <w:p w14:paraId="0ECDD80F" w14:textId="77777777" w:rsidR="00207BE4" w:rsidRPr="00207BE4" w:rsidRDefault="00207BE4" w:rsidP="00207BE4">
      <w:pPr>
        <w:rPr>
          <w:rFonts w:ascii="Cambria" w:eastAsia="Cambria" w:hAnsi="Cambria" w:cs="Cambria"/>
          <w:color w:val="000000"/>
          <w:sz w:val="20"/>
          <w:szCs w:val="20"/>
          <w:lang w:val="es-ES"/>
        </w:rPr>
      </w:pPr>
    </w:p>
    <w:p w14:paraId="09E6665C" w14:textId="77777777" w:rsidR="00207BE4" w:rsidRPr="00207BE4" w:rsidRDefault="00207BE4" w:rsidP="00207BE4">
      <w:pPr>
        <w:rPr>
          <w:rFonts w:ascii="Cambria" w:eastAsia="Cambria" w:hAnsi="Cambria" w:cs="Cambria"/>
          <w:color w:val="000000"/>
          <w:sz w:val="20"/>
          <w:szCs w:val="20"/>
          <w:lang w:val="es-ES"/>
        </w:rPr>
      </w:pPr>
    </w:p>
    <w:p w14:paraId="66F17FA8" w14:textId="77777777" w:rsidR="00207BE4" w:rsidRPr="00207BE4" w:rsidRDefault="00207BE4" w:rsidP="00207BE4">
      <w:pPr>
        <w:rPr>
          <w:rFonts w:ascii="Cambria" w:eastAsia="Cambria" w:hAnsi="Cambria" w:cs="Cambria"/>
          <w:color w:val="000000"/>
          <w:sz w:val="20"/>
          <w:szCs w:val="20"/>
          <w:lang w:val="es-ES"/>
        </w:rPr>
      </w:pPr>
    </w:p>
    <w:p w14:paraId="45B26099" w14:textId="77777777" w:rsidR="00BD17B0" w:rsidRPr="00207BE4" w:rsidRDefault="00BD17B0" w:rsidP="5F8745ED">
      <w:pPr>
        <w:rPr>
          <w:color w:val="000000" w:themeColor="text1"/>
          <w:lang w:val="es-ES"/>
        </w:rPr>
      </w:pPr>
    </w:p>
    <w:sectPr w:rsidR="00BD17B0" w:rsidRPr="00207BE4"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B5A8" w14:textId="77777777" w:rsidR="00611791" w:rsidRDefault="00611791" w:rsidP="00672733">
      <w:r>
        <w:separator/>
      </w:r>
    </w:p>
  </w:endnote>
  <w:endnote w:type="continuationSeparator" w:id="0">
    <w:p w14:paraId="22D06ECC" w14:textId="77777777" w:rsidR="00611791" w:rsidRDefault="0061179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1182" w14:textId="77777777" w:rsidR="00611791" w:rsidRDefault="00611791" w:rsidP="00672733">
      <w:r>
        <w:separator/>
      </w:r>
    </w:p>
  </w:footnote>
  <w:footnote w:type="continuationSeparator" w:id="0">
    <w:p w14:paraId="2B77E8B8" w14:textId="77777777" w:rsidR="00611791" w:rsidRDefault="00611791" w:rsidP="00672733">
      <w:r>
        <w:continuationSeparator/>
      </w:r>
    </w:p>
  </w:footnote>
  <w:footnote w:id="1">
    <w:p w14:paraId="208109CB" w14:textId="77777777" w:rsidR="00B9268E" w:rsidRDefault="00B9268E" w:rsidP="00B9268E">
      <w:pPr>
        <w:pStyle w:val="FootnoteText"/>
        <w:ind w:firstLine="720"/>
        <w:rPr>
          <w:rStyle w:val="Hyperlink"/>
          <w:rFonts w:ascii="Cambria" w:hAnsi="Cambria"/>
          <w:sz w:val="16"/>
          <w:szCs w:val="16"/>
          <w:lang w:val="es-ES"/>
        </w:rPr>
      </w:pPr>
      <w:r>
        <w:rPr>
          <w:rStyle w:val="FootnoteReference"/>
        </w:rPr>
        <w:footnoteRef/>
      </w:r>
      <w:r w:rsidRPr="00B9268E">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5655D192" w14:textId="11616832" w:rsidR="00B9268E" w:rsidRPr="00B9268E" w:rsidRDefault="00B9268E">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F68"/>
    <w:multiLevelType w:val="multilevel"/>
    <w:tmpl w:val="61FA4E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5EA5660"/>
    <w:multiLevelType w:val="multilevel"/>
    <w:tmpl w:val="DC544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611BEC"/>
    <w:multiLevelType w:val="multilevel"/>
    <w:tmpl w:val="E89437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1C2201D7"/>
    <w:multiLevelType w:val="multilevel"/>
    <w:tmpl w:val="8362C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2A6B42"/>
    <w:multiLevelType w:val="multilevel"/>
    <w:tmpl w:val="35DC9A2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602849"/>
    <w:multiLevelType w:val="multilevel"/>
    <w:tmpl w:val="41886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2DD254C"/>
    <w:multiLevelType w:val="multilevel"/>
    <w:tmpl w:val="FE0A4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EC56B7"/>
    <w:multiLevelType w:val="multilevel"/>
    <w:tmpl w:val="EB90968C"/>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1749CA"/>
    <w:multiLevelType w:val="hybridMultilevel"/>
    <w:tmpl w:val="2E7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76D"/>
    <w:multiLevelType w:val="multilevel"/>
    <w:tmpl w:val="892CC26A"/>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07C37"/>
    <w:multiLevelType w:val="multilevel"/>
    <w:tmpl w:val="3248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15:restartNumberingAfterBreak="0">
    <w:nsid w:val="28016808"/>
    <w:multiLevelType w:val="multilevel"/>
    <w:tmpl w:val="B234ED64"/>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7" w15:restartNumberingAfterBreak="0">
    <w:nsid w:val="2A801E55"/>
    <w:multiLevelType w:val="multilevel"/>
    <w:tmpl w:val="8F36A7AA"/>
    <w:lvl w:ilvl="0">
      <w:start w:val="1"/>
      <w:numFmt w:val="decimal"/>
      <w:lvlText w:val="%1."/>
      <w:lvlJc w:val="left"/>
      <w:pPr>
        <w:ind w:left="1437" w:hanging="360"/>
      </w:pPr>
      <w:rPr>
        <w:rFonts w:ascii="Cambria" w:eastAsia="Cambria" w:hAnsi="Cambria" w:cs="Cambria"/>
        <w:b w:val="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8" w15:restartNumberingAfterBreak="0">
    <w:nsid w:val="2D350D7D"/>
    <w:multiLevelType w:val="hybridMultilevel"/>
    <w:tmpl w:val="964C792C"/>
    <w:lvl w:ilvl="0" w:tplc="0AD63346">
      <w:start w:val="1"/>
      <w:numFmt w:val="decimal"/>
      <w:lvlText w:val="%1."/>
      <w:lvlJc w:val="left"/>
      <w:pPr>
        <w:ind w:left="720" w:hanging="360"/>
      </w:pPr>
      <w:rPr>
        <w:rFonts w:ascii="Cambria" w:eastAsia="Calibri" w:hAnsi="Cambria" w:cs="Calibri Light"/>
        <w:b w:val="0"/>
        <w:color w:val="auto"/>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D1B7DB5"/>
    <w:multiLevelType w:val="hybridMultilevel"/>
    <w:tmpl w:val="8BF6D532"/>
    <w:lvl w:ilvl="0" w:tplc="6F78D9A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2" w15:restartNumberingAfterBreak="0">
    <w:nsid w:val="407E5BC8"/>
    <w:multiLevelType w:val="hybridMultilevel"/>
    <w:tmpl w:val="B476C0C8"/>
    <w:numStyleLink w:val="EstiloImportado8"/>
  </w:abstractNum>
  <w:abstractNum w:abstractNumId="23" w15:restartNumberingAfterBreak="0">
    <w:nsid w:val="4ED508AF"/>
    <w:multiLevelType w:val="multilevel"/>
    <w:tmpl w:val="A1B2A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1323B0A"/>
    <w:multiLevelType w:val="multilevel"/>
    <w:tmpl w:val="5E20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B96B01"/>
    <w:multiLevelType w:val="multilevel"/>
    <w:tmpl w:val="CC5A4BD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D4A4E"/>
    <w:multiLevelType w:val="multilevel"/>
    <w:tmpl w:val="8BA25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1222D8"/>
    <w:multiLevelType w:val="hybridMultilevel"/>
    <w:tmpl w:val="17FA3330"/>
    <w:lvl w:ilvl="0" w:tplc="CAC21FF4">
      <w:numFmt w:val="bullet"/>
      <w:lvlText w:val="-"/>
      <w:lvlJc w:val="left"/>
      <w:pPr>
        <w:ind w:left="360" w:hanging="360"/>
      </w:pPr>
      <w:rPr>
        <w:rFonts w:ascii="Cambria" w:eastAsiaTheme="minorHAns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CA4C0B"/>
    <w:multiLevelType w:val="multilevel"/>
    <w:tmpl w:val="06A89612"/>
    <w:lvl w:ilvl="0">
      <w:start w:val="1"/>
      <w:numFmt w:val="decimal"/>
      <w:lvlText w:val="%1."/>
      <w:lvlJc w:val="left"/>
      <w:pPr>
        <w:ind w:left="1437" w:hanging="360"/>
      </w:pPr>
      <w:rPr>
        <w:b w:val="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1" w15:restartNumberingAfterBreak="0">
    <w:nsid w:val="654544FE"/>
    <w:multiLevelType w:val="multilevel"/>
    <w:tmpl w:val="FFDC5C38"/>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2" w15:restartNumberingAfterBreak="0">
    <w:nsid w:val="6AF171DA"/>
    <w:multiLevelType w:val="multilevel"/>
    <w:tmpl w:val="1702EF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5D7528"/>
    <w:multiLevelType w:val="multilevel"/>
    <w:tmpl w:val="8DD6B1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B618D4"/>
    <w:multiLevelType w:val="hybridMultilevel"/>
    <w:tmpl w:val="753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83A26"/>
    <w:multiLevelType w:val="multilevel"/>
    <w:tmpl w:val="FC748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A6F4FBD"/>
    <w:multiLevelType w:val="multilevel"/>
    <w:tmpl w:val="76566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607694">
    <w:abstractNumId w:val="21"/>
  </w:num>
  <w:num w:numId="2" w16cid:durableId="426849189">
    <w:abstractNumId w:val="37"/>
  </w:num>
  <w:num w:numId="3" w16cid:durableId="978146478">
    <w:abstractNumId w:val="28"/>
  </w:num>
  <w:num w:numId="4" w16cid:durableId="446504039">
    <w:abstractNumId w:val="5"/>
  </w:num>
  <w:num w:numId="5" w16cid:durableId="2048992643">
    <w:abstractNumId w:val="2"/>
  </w:num>
  <w:num w:numId="6" w16cid:durableId="491221110">
    <w:abstractNumId w:val="15"/>
  </w:num>
  <w:num w:numId="7" w16cid:durableId="1982153750">
    <w:abstractNumId w:val="0"/>
  </w:num>
  <w:num w:numId="8" w16cid:durableId="691223896">
    <w:abstractNumId w:val="27"/>
  </w:num>
  <w:num w:numId="9" w16cid:durableId="491339174">
    <w:abstractNumId w:val="38"/>
  </w:num>
  <w:num w:numId="10" w16cid:durableId="996151011">
    <w:abstractNumId w:val="24"/>
  </w:num>
  <w:num w:numId="11" w16cid:durableId="1409111233">
    <w:abstractNumId w:val="14"/>
  </w:num>
  <w:num w:numId="12" w16cid:durableId="855341644">
    <w:abstractNumId w:val="7"/>
  </w:num>
  <w:num w:numId="13" w16cid:durableId="501088521">
    <w:abstractNumId w:val="26"/>
  </w:num>
  <w:num w:numId="14" w16cid:durableId="1940409628">
    <w:abstractNumId w:val="13"/>
  </w:num>
  <w:num w:numId="15" w16cid:durableId="2110153463">
    <w:abstractNumId w:val="34"/>
  </w:num>
  <w:num w:numId="16" w16cid:durableId="1879007399">
    <w:abstractNumId w:val="20"/>
  </w:num>
  <w:num w:numId="17" w16cid:durableId="653799975">
    <w:abstractNumId w:val="18"/>
  </w:num>
  <w:num w:numId="18" w16cid:durableId="893347844">
    <w:abstractNumId w:val="29"/>
  </w:num>
  <w:num w:numId="19" w16cid:durableId="615335260">
    <w:abstractNumId w:val="11"/>
  </w:num>
  <w:num w:numId="20" w16cid:durableId="1349410493">
    <w:abstractNumId w:val="36"/>
  </w:num>
  <w:num w:numId="21" w16cid:durableId="1198353175">
    <w:abstractNumId w:val="33"/>
  </w:num>
  <w:num w:numId="22" w16cid:durableId="733940557">
    <w:abstractNumId w:val="8"/>
  </w:num>
  <w:num w:numId="23" w16cid:durableId="1074425526">
    <w:abstractNumId w:val="31"/>
  </w:num>
  <w:num w:numId="24" w16cid:durableId="2104842193">
    <w:abstractNumId w:val="25"/>
  </w:num>
  <w:num w:numId="25" w16cid:durableId="702949975">
    <w:abstractNumId w:val="1"/>
  </w:num>
  <w:num w:numId="26" w16cid:durableId="310451438">
    <w:abstractNumId w:val="9"/>
  </w:num>
  <w:num w:numId="27" w16cid:durableId="313606239">
    <w:abstractNumId w:val="17"/>
  </w:num>
  <w:num w:numId="28" w16cid:durableId="998852618">
    <w:abstractNumId w:val="23"/>
  </w:num>
  <w:num w:numId="29" w16cid:durableId="1831484949">
    <w:abstractNumId w:val="12"/>
  </w:num>
  <w:num w:numId="30" w16cid:durableId="1758865802">
    <w:abstractNumId w:val="4"/>
  </w:num>
  <w:num w:numId="31" w16cid:durableId="1368409068">
    <w:abstractNumId w:val="3"/>
  </w:num>
  <w:num w:numId="32" w16cid:durableId="1816987983">
    <w:abstractNumId w:val="16"/>
  </w:num>
  <w:num w:numId="33" w16cid:durableId="1584295289">
    <w:abstractNumId w:val="35"/>
  </w:num>
  <w:num w:numId="34" w16cid:durableId="114106860">
    <w:abstractNumId w:val="10"/>
  </w:num>
  <w:num w:numId="35" w16cid:durableId="2037536356">
    <w:abstractNumId w:val="30"/>
  </w:num>
  <w:num w:numId="36" w16cid:durableId="1914468747">
    <w:abstractNumId w:val="6"/>
  </w:num>
  <w:num w:numId="37" w16cid:durableId="783619424">
    <w:abstractNumId w:val="32"/>
  </w:num>
  <w:num w:numId="38" w16cid:durableId="1068531617">
    <w:abstractNumId w:val="19"/>
  </w:num>
  <w:num w:numId="39" w16cid:durableId="1380277961">
    <w:abstractNumId w:val="22"/>
    <w:lvlOverride w:ilvl="0">
      <w:lvl w:ilvl="0" w:tplc="6650A66C">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40" w16cid:durableId="2371359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44580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21F1"/>
    <w:rsid w:val="00105B23"/>
    <w:rsid w:val="00181A04"/>
    <w:rsid w:val="00181DA0"/>
    <w:rsid w:val="00207BE4"/>
    <w:rsid w:val="00216335"/>
    <w:rsid w:val="002248FB"/>
    <w:rsid w:val="00234E64"/>
    <w:rsid w:val="00290F00"/>
    <w:rsid w:val="00322720"/>
    <w:rsid w:val="0040245C"/>
    <w:rsid w:val="00453115"/>
    <w:rsid w:val="004758C9"/>
    <w:rsid w:val="0048723C"/>
    <w:rsid w:val="00500FDE"/>
    <w:rsid w:val="00566CD0"/>
    <w:rsid w:val="00611791"/>
    <w:rsid w:val="00637ED3"/>
    <w:rsid w:val="006638E5"/>
    <w:rsid w:val="00672733"/>
    <w:rsid w:val="006B1F24"/>
    <w:rsid w:val="006B2F87"/>
    <w:rsid w:val="007C4DCE"/>
    <w:rsid w:val="007E3EAC"/>
    <w:rsid w:val="008463D3"/>
    <w:rsid w:val="008818B0"/>
    <w:rsid w:val="008861D6"/>
    <w:rsid w:val="00A80674"/>
    <w:rsid w:val="00AD535F"/>
    <w:rsid w:val="00AE2642"/>
    <w:rsid w:val="00B9268E"/>
    <w:rsid w:val="00BD17B0"/>
    <w:rsid w:val="00BF7A78"/>
    <w:rsid w:val="00C80BDA"/>
    <w:rsid w:val="00D56DC4"/>
    <w:rsid w:val="00D80AA7"/>
    <w:rsid w:val="00E042FE"/>
    <w:rsid w:val="00E516AB"/>
    <w:rsid w:val="00E90CB3"/>
    <w:rsid w:val="00EA0262"/>
    <w:rsid w:val="00EC61E3"/>
    <w:rsid w:val="00ED0AAA"/>
    <w:rsid w:val="00ED1EBA"/>
    <w:rsid w:val="00F41E7E"/>
    <w:rsid w:val="5F87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9"/>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numbering" w:customStyle="1" w:styleId="EstiloImportado8">
    <w:name w:val="Estilo Importado 8"/>
    <w:rsid w:val="00B9268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5sp/Bahamas95.03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7sp/Bahamas12513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37A5CA49-D439-4E55-A9C4-AB321C3B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2023-03-28T18:54:00Z</dcterms:created>
  <dcterms:modified xsi:type="dcterms:W3CDTF">2023-03-28T18:54:00Z</dcterms:modified>
</cp:coreProperties>
</file>