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B334D">
                              <w:rPr>
                                <w:rFonts w:asciiTheme="majorHAnsi" w:hAnsiTheme="majorHAnsi" w:cs="Arial"/>
                                <w:b/>
                                <w:bCs/>
                                <w:color w:val="0D0D0D" w:themeColor="text1" w:themeTint="F2"/>
                                <w:sz w:val="36"/>
                                <w:szCs w:val="22"/>
                                <w:lang w:val="es-ES_tradnl"/>
                              </w:rPr>
                              <w:t>3</w:t>
                            </w:r>
                            <w:r w:rsidR="00227AD9">
                              <w:rPr>
                                <w:rFonts w:asciiTheme="majorHAnsi" w:hAnsiTheme="majorHAnsi" w:cs="Arial"/>
                                <w:b/>
                                <w:bCs/>
                                <w:color w:val="0D0D0D" w:themeColor="text1" w:themeTint="F2"/>
                                <w:sz w:val="36"/>
                                <w:szCs w:val="22"/>
                                <w:lang w:val="es-ES_tradnl"/>
                              </w:rPr>
                              <w:t>0</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227AD9">
                              <w:rPr>
                                <w:rFonts w:asciiTheme="majorHAnsi" w:hAnsiTheme="majorHAnsi" w:cs="Arial"/>
                                <w:b/>
                                <w:color w:val="0D0D0D" w:themeColor="text1" w:themeTint="F2"/>
                                <w:sz w:val="36"/>
                                <w:szCs w:val="22"/>
                                <w:lang w:val="es-ES_tradnl"/>
                              </w:rPr>
                              <w:t>12.260</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10736F" w:rsidRDefault="00227A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FRANKLYN VILLAROEL</w:t>
                            </w:r>
                          </w:p>
                          <w:bookmarkEnd w:id="1"/>
                          <w:p w:rsidR="005B52B0" w:rsidRPr="0010736F" w:rsidRDefault="006B33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TRINIDAD Y TOBABO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B334D">
                        <w:rPr>
                          <w:rFonts w:asciiTheme="majorHAnsi" w:hAnsiTheme="majorHAnsi" w:cs="Arial"/>
                          <w:b/>
                          <w:bCs/>
                          <w:color w:val="0D0D0D" w:themeColor="text1" w:themeTint="F2"/>
                          <w:sz w:val="36"/>
                          <w:szCs w:val="22"/>
                          <w:lang w:val="es-ES_tradnl"/>
                        </w:rPr>
                        <w:t>3</w:t>
                      </w:r>
                      <w:r w:rsidR="00227AD9">
                        <w:rPr>
                          <w:rFonts w:asciiTheme="majorHAnsi" w:hAnsiTheme="majorHAnsi" w:cs="Arial"/>
                          <w:b/>
                          <w:bCs/>
                          <w:color w:val="0D0D0D" w:themeColor="text1" w:themeTint="F2"/>
                          <w:sz w:val="36"/>
                          <w:szCs w:val="22"/>
                          <w:lang w:val="es-ES_tradnl"/>
                        </w:rPr>
                        <w:t>0</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227AD9">
                        <w:rPr>
                          <w:rFonts w:asciiTheme="majorHAnsi" w:hAnsiTheme="majorHAnsi" w:cs="Arial"/>
                          <w:b/>
                          <w:color w:val="0D0D0D" w:themeColor="text1" w:themeTint="F2"/>
                          <w:sz w:val="36"/>
                          <w:szCs w:val="22"/>
                          <w:lang w:val="es-ES_tradnl"/>
                        </w:rPr>
                        <w:t>12.260</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10736F" w:rsidRDefault="00227A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FRANKLYN VILLAROEL</w:t>
                      </w:r>
                    </w:p>
                    <w:bookmarkEnd w:id="1"/>
                    <w:p w:rsidR="005B52B0" w:rsidRPr="0010736F" w:rsidRDefault="006B33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TRINIDAD Y TOBABO</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27AD9">
                              <w:rPr>
                                <w:rFonts w:asciiTheme="minorHAnsi" w:hAnsiTheme="minorHAnsi"/>
                                <w:color w:val="FFFFFF" w:themeColor="background1"/>
                                <w:sz w:val="22"/>
                                <w:lang w:val="pt-BR"/>
                              </w:rPr>
                              <w:t>34</w:t>
                            </w:r>
                          </w:p>
                          <w:p w:rsidR="00627C9F" w:rsidRPr="004E2649" w:rsidRDefault="006B334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E2649">
                              <w:rPr>
                                <w:rFonts w:asciiTheme="minorHAnsi" w:hAnsiTheme="minorHAnsi"/>
                                <w:color w:val="FFFFFF" w:themeColor="background1"/>
                                <w:sz w:val="22"/>
                              </w:rPr>
                              <w:t xml:space="preserve"> </w:t>
                            </w:r>
                            <w:r w:rsidR="00627C9F" w:rsidRPr="00E9420E">
                              <w:rPr>
                                <w:rFonts w:asciiTheme="minorHAnsi" w:hAnsiTheme="minorHAnsi"/>
                                <w:color w:val="FFFFFF" w:themeColor="background1"/>
                                <w:sz w:val="22"/>
                                <w:lang w:val="es-NI"/>
                              </w:rPr>
                              <w:t>abril</w:t>
                            </w:r>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27AD9">
                        <w:rPr>
                          <w:rFonts w:asciiTheme="minorHAnsi" w:hAnsiTheme="minorHAnsi"/>
                          <w:color w:val="FFFFFF" w:themeColor="background1"/>
                          <w:sz w:val="22"/>
                          <w:lang w:val="pt-BR"/>
                        </w:rPr>
                        <w:t>34</w:t>
                      </w:r>
                    </w:p>
                    <w:p w:rsidR="00627C9F" w:rsidRPr="004E2649" w:rsidRDefault="006B334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E2649">
                        <w:rPr>
                          <w:rFonts w:asciiTheme="minorHAnsi" w:hAnsiTheme="minorHAnsi"/>
                          <w:color w:val="FFFFFF" w:themeColor="background1"/>
                          <w:sz w:val="22"/>
                        </w:rPr>
                        <w:t xml:space="preserve"> </w:t>
                      </w:r>
                      <w:r w:rsidR="00627C9F" w:rsidRPr="00E9420E">
                        <w:rPr>
                          <w:rFonts w:asciiTheme="minorHAnsi" w:hAnsiTheme="minorHAnsi"/>
                          <w:color w:val="FFFFFF" w:themeColor="background1"/>
                          <w:sz w:val="22"/>
                          <w:lang w:val="es-NI"/>
                        </w:rPr>
                        <w:t>abril</w:t>
                      </w:r>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B334D">
                              <w:rPr>
                                <w:rFonts w:asciiTheme="majorHAnsi" w:hAnsiTheme="majorHAnsi"/>
                                <w:color w:val="0D0D0D" w:themeColor="text1" w:themeTint="F2"/>
                                <w:sz w:val="18"/>
                                <w:szCs w:val="20"/>
                                <w:lang w:val="es-ES"/>
                              </w:rPr>
                              <w:t>1980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9420E">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abril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 xml:space="preserve">150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B334D">
                        <w:rPr>
                          <w:rFonts w:asciiTheme="majorHAnsi" w:hAnsiTheme="majorHAnsi"/>
                          <w:color w:val="0D0D0D" w:themeColor="text1" w:themeTint="F2"/>
                          <w:sz w:val="18"/>
                          <w:szCs w:val="20"/>
                          <w:lang w:val="es-ES"/>
                        </w:rPr>
                        <w:t>1980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9420E">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abril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 xml:space="preserve">150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27AD9">
                              <w:rPr>
                                <w:rFonts w:asciiTheme="majorHAnsi" w:hAnsiTheme="majorHAnsi"/>
                                <w:color w:val="595959" w:themeColor="text1" w:themeTint="A6"/>
                                <w:sz w:val="18"/>
                                <w:szCs w:val="18"/>
                                <w:lang w:val="pt-BR"/>
                              </w:rPr>
                              <w:t>30</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E9420E" w:rsidRPr="009D42B3">
                              <w:rPr>
                                <w:rFonts w:asciiTheme="majorHAnsi" w:hAnsiTheme="majorHAnsi"/>
                                <w:color w:val="595959" w:themeColor="text1" w:themeTint="A6"/>
                                <w:sz w:val="18"/>
                                <w:szCs w:val="18"/>
                                <w:lang w:val="pt-BR"/>
                              </w:rPr>
                              <w:t>Caso 1</w:t>
                            </w:r>
                            <w:r w:rsidR="00227AD9">
                              <w:rPr>
                                <w:rFonts w:asciiTheme="majorHAnsi" w:hAnsiTheme="majorHAnsi"/>
                                <w:color w:val="595959" w:themeColor="text1" w:themeTint="A6"/>
                                <w:sz w:val="18"/>
                                <w:szCs w:val="18"/>
                                <w:lang w:val="pt-BR"/>
                              </w:rPr>
                              <w:t>2</w:t>
                            </w:r>
                            <w:r w:rsidR="00E9420E" w:rsidRPr="009D42B3">
                              <w:rPr>
                                <w:rFonts w:asciiTheme="majorHAnsi" w:hAnsiTheme="majorHAnsi"/>
                                <w:color w:val="595959" w:themeColor="text1" w:themeTint="A6"/>
                                <w:sz w:val="18"/>
                                <w:szCs w:val="18"/>
                                <w:lang w:val="pt-BR"/>
                              </w:rPr>
                              <w:t>.</w:t>
                            </w:r>
                            <w:r w:rsidR="00227AD9">
                              <w:rPr>
                                <w:rFonts w:asciiTheme="majorHAnsi" w:hAnsiTheme="majorHAnsi"/>
                                <w:color w:val="595959" w:themeColor="text1" w:themeTint="A6"/>
                                <w:sz w:val="18"/>
                                <w:szCs w:val="18"/>
                                <w:lang w:val="pt-BR"/>
                              </w:rPr>
                              <w:t>260</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xml:space="preserve">. </w:t>
                            </w:r>
                            <w:r w:rsidR="00227AD9" w:rsidRPr="00804698">
                              <w:rPr>
                                <w:rFonts w:asciiTheme="majorHAnsi" w:hAnsiTheme="majorHAnsi"/>
                                <w:color w:val="595959" w:themeColor="text1" w:themeTint="A6"/>
                                <w:sz w:val="18"/>
                                <w:szCs w:val="18"/>
                                <w:lang w:val="es-NI"/>
                              </w:rPr>
                              <w:t>Franklyn</w:t>
                            </w:r>
                            <w:r w:rsidR="00227AD9">
                              <w:rPr>
                                <w:rFonts w:asciiTheme="majorHAnsi" w:hAnsiTheme="majorHAnsi"/>
                                <w:color w:val="595959" w:themeColor="text1" w:themeTint="A6"/>
                                <w:sz w:val="18"/>
                                <w:szCs w:val="18"/>
                                <w:lang w:val="es-ES_tradnl"/>
                              </w:rPr>
                              <w:t xml:space="preserve"> Villaroel</w:t>
                            </w:r>
                            <w:r w:rsidR="00E9420E">
                              <w:rPr>
                                <w:rFonts w:asciiTheme="majorHAnsi" w:hAnsiTheme="majorHAnsi"/>
                                <w:color w:val="595959" w:themeColor="text1" w:themeTint="A6"/>
                                <w:sz w:val="18"/>
                                <w:szCs w:val="18"/>
                                <w:lang w:val="es-ES_tradnl"/>
                              </w:rPr>
                              <w:t>. Trinidad y Tobago</w:t>
                            </w:r>
                            <w:r w:rsidRPr="00890650">
                              <w:rPr>
                                <w:rFonts w:asciiTheme="majorHAnsi" w:hAnsiTheme="majorHAnsi"/>
                                <w:color w:val="595959" w:themeColor="text1" w:themeTint="A6"/>
                                <w:sz w:val="18"/>
                                <w:szCs w:val="18"/>
                                <w:lang w:val="es-ES_tradnl"/>
                              </w:rPr>
                              <w:t xml:space="preserve">. </w:t>
                            </w:r>
                            <w:r w:rsidR="00E9420E">
                              <w:rPr>
                                <w:rFonts w:asciiTheme="majorHAnsi" w:hAnsiTheme="majorHAnsi"/>
                                <w:color w:val="595959" w:themeColor="text1" w:themeTint="A6"/>
                                <w:sz w:val="18"/>
                                <w:szCs w:val="18"/>
                                <w:lang w:val="es-ES_tradnl"/>
                              </w:rPr>
                              <w:t>4 de abril de 2014</w:t>
                            </w:r>
                            <w:r w:rsidRPr="00E9420E">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27AD9">
                        <w:rPr>
                          <w:rFonts w:asciiTheme="majorHAnsi" w:hAnsiTheme="majorHAnsi"/>
                          <w:color w:val="595959" w:themeColor="text1" w:themeTint="A6"/>
                          <w:sz w:val="18"/>
                          <w:szCs w:val="18"/>
                          <w:lang w:val="pt-BR"/>
                        </w:rPr>
                        <w:t>30</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E9420E" w:rsidRPr="009D42B3">
                        <w:rPr>
                          <w:rFonts w:asciiTheme="majorHAnsi" w:hAnsiTheme="majorHAnsi"/>
                          <w:color w:val="595959" w:themeColor="text1" w:themeTint="A6"/>
                          <w:sz w:val="18"/>
                          <w:szCs w:val="18"/>
                          <w:lang w:val="pt-BR"/>
                        </w:rPr>
                        <w:t>Caso 1</w:t>
                      </w:r>
                      <w:r w:rsidR="00227AD9">
                        <w:rPr>
                          <w:rFonts w:asciiTheme="majorHAnsi" w:hAnsiTheme="majorHAnsi"/>
                          <w:color w:val="595959" w:themeColor="text1" w:themeTint="A6"/>
                          <w:sz w:val="18"/>
                          <w:szCs w:val="18"/>
                          <w:lang w:val="pt-BR"/>
                        </w:rPr>
                        <w:t>2</w:t>
                      </w:r>
                      <w:r w:rsidR="00E9420E" w:rsidRPr="009D42B3">
                        <w:rPr>
                          <w:rFonts w:asciiTheme="majorHAnsi" w:hAnsiTheme="majorHAnsi"/>
                          <w:color w:val="595959" w:themeColor="text1" w:themeTint="A6"/>
                          <w:sz w:val="18"/>
                          <w:szCs w:val="18"/>
                          <w:lang w:val="pt-BR"/>
                        </w:rPr>
                        <w:t>.</w:t>
                      </w:r>
                      <w:r w:rsidR="00227AD9">
                        <w:rPr>
                          <w:rFonts w:asciiTheme="majorHAnsi" w:hAnsiTheme="majorHAnsi"/>
                          <w:color w:val="595959" w:themeColor="text1" w:themeTint="A6"/>
                          <w:sz w:val="18"/>
                          <w:szCs w:val="18"/>
                          <w:lang w:val="pt-BR"/>
                        </w:rPr>
                        <w:t>260</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xml:space="preserve">. </w:t>
                      </w:r>
                      <w:r w:rsidR="00227AD9" w:rsidRPr="00804698">
                        <w:rPr>
                          <w:rFonts w:asciiTheme="majorHAnsi" w:hAnsiTheme="majorHAnsi"/>
                          <w:color w:val="595959" w:themeColor="text1" w:themeTint="A6"/>
                          <w:sz w:val="18"/>
                          <w:szCs w:val="18"/>
                          <w:lang w:val="es-NI"/>
                        </w:rPr>
                        <w:t>Franklyn</w:t>
                      </w:r>
                      <w:r w:rsidR="00227AD9">
                        <w:rPr>
                          <w:rFonts w:asciiTheme="majorHAnsi" w:hAnsiTheme="majorHAnsi"/>
                          <w:color w:val="595959" w:themeColor="text1" w:themeTint="A6"/>
                          <w:sz w:val="18"/>
                          <w:szCs w:val="18"/>
                          <w:lang w:val="es-ES_tradnl"/>
                        </w:rPr>
                        <w:t xml:space="preserve"> Villaroel</w:t>
                      </w:r>
                      <w:r w:rsidR="00E9420E">
                        <w:rPr>
                          <w:rFonts w:asciiTheme="majorHAnsi" w:hAnsiTheme="majorHAnsi"/>
                          <w:color w:val="595959" w:themeColor="text1" w:themeTint="A6"/>
                          <w:sz w:val="18"/>
                          <w:szCs w:val="18"/>
                          <w:lang w:val="es-ES_tradnl"/>
                        </w:rPr>
                        <w:t>. Trinidad y Tobago</w:t>
                      </w:r>
                      <w:r w:rsidRPr="00890650">
                        <w:rPr>
                          <w:rFonts w:asciiTheme="majorHAnsi" w:hAnsiTheme="majorHAnsi"/>
                          <w:color w:val="595959" w:themeColor="text1" w:themeTint="A6"/>
                          <w:sz w:val="18"/>
                          <w:szCs w:val="18"/>
                          <w:lang w:val="es-ES_tradnl"/>
                        </w:rPr>
                        <w:t xml:space="preserve">. </w:t>
                      </w:r>
                      <w:r w:rsidR="00E9420E">
                        <w:rPr>
                          <w:rFonts w:asciiTheme="majorHAnsi" w:hAnsiTheme="majorHAnsi"/>
                          <w:color w:val="595959" w:themeColor="text1" w:themeTint="A6"/>
                          <w:sz w:val="18"/>
                          <w:szCs w:val="18"/>
                          <w:lang w:val="es-ES_tradnl"/>
                        </w:rPr>
                        <w:t>4 de abril de 2014</w:t>
                      </w:r>
                      <w:r w:rsidRPr="00E9420E">
                        <w:rPr>
                          <w:rFonts w:asciiTheme="majorHAnsi" w:hAnsiTheme="majorHAnsi"/>
                          <w:color w:val="595959" w:themeColor="text1" w:themeTint="A6"/>
                          <w:sz w:val="18"/>
                          <w:szCs w:val="18"/>
                          <w:lang w:val="es-NI"/>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C449A" w:rsidRPr="00872B20" w:rsidRDefault="00DC449A" w:rsidP="00DC449A">
      <w:pPr>
        <w:jc w:val="center"/>
        <w:rPr>
          <w:rFonts w:asciiTheme="majorHAnsi" w:hAnsiTheme="majorHAnsi"/>
          <w:b/>
          <w:noProof/>
          <w:sz w:val="18"/>
          <w:szCs w:val="18"/>
          <w:lang w:val="es-US"/>
        </w:rPr>
      </w:pPr>
      <w:r w:rsidRPr="00872B20">
        <w:rPr>
          <w:rFonts w:asciiTheme="majorHAnsi" w:hAnsiTheme="majorHAnsi"/>
          <w:b/>
          <w:noProof/>
          <w:sz w:val="18"/>
          <w:szCs w:val="18"/>
          <w:lang w:val="es-US"/>
        </w:rPr>
        <w:lastRenderedPageBreak/>
        <w:t>INFORME No. 30/14</w:t>
      </w:r>
    </w:p>
    <w:p w:rsidR="00DC449A" w:rsidRPr="00872B20" w:rsidRDefault="00DC449A" w:rsidP="00DC449A">
      <w:pPr>
        <w:jc w:val="center"/>
        <w:rPr>
          <w:rFonts w:asciiTheme="majorHAnsi" w:hAnsiTheme="majorHAnsi"/>
          <w:b/>
          <w:noProof/>
          <w:sz w:val="18"/>
          <w:szCs w:val="18"/>
          <w:lang w:val="es-US"/>
        </w:rPr>
      </w:pPr>
      <w:r w:rsidRPr="00872B20">
        <w:rPr>
          <w:rFonts w:asciiTheme="majorHAnsi" w:hAnsiTheme="majorHAnsi"/>
          <w:b/>
          <w:noProof/>
          <w:sz w:val="18"/>
          <w:szCs w:val="18"/>
          <w:lang w:val="es-US"/>
        </w:rPr>
        <w:t>CASO 12.260</w:t>
      </w:r>
    </w:p>
    <w:p w:rsidR="00DC449A" w:rsidRPr="00872B20" w:rsidRDefault="00DC449A" w:rsidP="00DC449A">
      <w:pPr>
        <w:jc w:val="center"/>
        <w:rPr>
          <w:rFonts w:asciiTheme="majorHAnsi" w:hAnsiTheme="majorHAnsi"/>
          <w:noProof/>
          <w:sz w:val="18"/>
          <w:szCs w:val="18"/>
          <w:lang w:val="es-US"/>
        </w:rPr>
      </w:pPr>
      <w:r w:rsidRPr="00872B20">
        <w:rPr>
          <w:rFonts w:asciiTheme="majorHAnsi" w:hAnsiTheme="majorHAnsi"/>
          <w:noProof/>
          <w:sz w:val="18"/>
          <w:szCs w:val="18"/>
          <w:lang w:val="es-US"/>
        </w:rPr>
        <w:t>DECISIÓN DE ARCHIVO</w:t>
      </w:r>
    </w:p>
    <w:p w:rsidR="00DC449A" w:rsidRPr="00872B20" w:rsidRDefault="00DC449A" w:rsidP="00DC449A">
      <w:pPr>
        <w:jc w:val="center"/>
        <w:rPr>
          <w:rFonts w:asciiTheme="majorHAnsi" w:hAnsiTheme="majorHAnsi"/>
          <w:noProof/>
          <w:sz w:val="18"/>
          <w:szCs w:val="18"/>
          <w:lang w:val="es-US"/>
        </w:rPr>
      </w:pPr>
      <w:r w:rsidRPr="00872B20">
        <w:rPr>
          <w:rFonts w:asciiTheme="majorHAnsi" w:hAnsiTheme="majorHAnsi"/>
          <w:noProof/>
          <w:sz w:val="18"/>
          <w:szCs w:val="18"/>
          <w:lang w:val="es-US"/>
        </w:rPr>
        <w:t>FRANKLYN VILLAROEL</w:t>
      </w:r>
    </w:p>
    <w:p w:rsidR="00DC449A" w:rsidRPr="00872B20" w:rsidRDefault="00DC449A" w:rsidP="00DC449A">
      <w:pPr>
        <w:jc w:val="center"/>
        <w:rPr>
          <w:rFonts w:asciiTheme="majorHAnsi" w:hAnsiTheme="majorHAnsi"/>
          <w:noProof/>
          <w:sz w:val="18"/>
          <w:szCs w:val="18"/>
          <w:lang w:val="es-US"/>
        </w:rPr>
      </w:pPr>
      <w:r w:rsidRPr="00872B20">
        <w:rPr>
          <w:rFonts w:asciiTheme="majorHAnsi" w:hAnsiTheme="majorHAnsi"/>
          <w:noProof/>
          <w:sz w:val="18"/>
          <w:szCs w:val="18"/>
          <w:lang w:val="es-US"/>
        </w:rPr>
        <w:t>TRINIDAD Y TOBAGO</w:t>
      </w:r>
      <w:r w:rsidRPr="00872B20">
        <w:rPr>
          <w:rStyle w:val="FootnoteReference"/>
          <w:rFonts w:asciiTheme="majorHAnsi" w:hAnsiTheme="majorHAnsi"/>
          <w:noProof/>
          <w:sz w:val="18"/>
          <w:szCs w:val="18"/>
        </w:rPr>
        <w:footnoteReference w:id="2"/>
      </w:r>
    </w:p>
    <w:p w:rsidR="00DC449A" w:rsidRPr="00872B20" w:rsidRDefault="00DC449A" w:rsidP="00DC449A">
      <w:pPr>
        <w:jc w:val="center"/>
        <w:rPr>
          <w:rFonts w:asciiTheme="majorHAnsi" w:hAnsiTheme="majorHAnsi"/>
          <w:noProof/>
          <w:sz w:val="18"/>
          <w:szCs w:val="18"/>
          <w:lang w:val="es-ES"/>
        </w:rPr>
      </w:pPr>
      <w:r w:rsidRPr="00872B20">
        <w:rPr>
          <w:rFonts w:asciiTheme="majorHAnsi" w:hAnsiTheme="majorHAnsi"/>
          <w:noProof/>
          <w:sz w:val="18"/>
          <w:szCs w:val="18"/>
          <w:lang w:val="es-ES"/>
        </w:rPr>
        <w:t>4 DE ABRIL DE 2014</w:t>
      </w:r>
    </w:p>
    <w:p w:rsidR="00DC449A" w:rsidRPr="00872B20" w:rsidRDefault="00DC449A" w:rsidP="00DC449A">
      <w:pPr>
        <w:ind w:right="-720"/>
        <w:rPr>
          <w:rFonts w:asciiTheme="majorHAnsi" w:hAnsiTheme="majorHAnsi"/>
          <w:noProof/>
          <w:sz w:val="20"/>
          <w:szCs w:val="20"/>
          <w:lang w:val="es-ES"/>
        </w:rPr>
      </w:pPr>
    </w:p>
    <w:p w:rsidR="00DC449A" w:rsidRPr="00872B20" w:rsidRDefault="00DC449A" w:rsidP="00DC449A">
      <w:pPr>
        <w:ind w:right="-720"/>
        <w:rPr>
          <w:rFonts w:asciiTheme="majorHAnsi" w:hAnsiTheme="majorHAnsi"/>
          <w:noProof/>
          <w:sz w:val="20"/>
          <w:szCs w:val="20"/>
          <w:highlight w:val="magenta"/>
          <w:lang w:val="es-ES"/>
        </w:rPr>
      </w:pPr>
    </w:p>
    <w:p w:rsidR="00DC449A" w:rsidRPr="00872B20" w:rsidRDefault="00DC449A" w:rsidP="00DC449A">
      <w:pPr>
        <w:jc w:val="both"/>
        <w:outlineLvl w:val="0"/>
        <w:rPr>
          <w:rFonts w:asciiTheme="majorHAnsi" w:hAnsiTheme="majorHAnsi"/>
          <w:noProof/>
          <w:sz w:val="20"/>
          <w:szCs w:val="20"/>
          <w:lang w:val="es-US"/>
        </w:rPr>
      </w:pPr>
      <w:r w:rsidRPr="00872B20">
        <w:rPr>
          <w:rFonts w:asciiTheme="majorHAnsi" w:hAnsiTheme="majorHAnsi"/>
          <w:b/>
          <w:noProof/>
          <w:sz w:val="20"/>
          <w:szCs w:val="20"/>
          <w:lang w:val="es-US"/>
        </w:rPr>
        <w:t>PRESUNTA VÍCTIMA:</w:t>
      </w:r>
      <w:r w:rsidRPr="00872B20">
        <w:rPr>
          <w:rFonts w:asciiTheme="majorHAnsi" w:hAnsiTheme="majorHAnsi"/>
          <w:b/>
          <w:noProof/>
          <w:sz w:val="20"/>
          <w:szCs w:val="20"/>
          <w:lang w:val="es-US"/>
        </w:rPr>
        <w:tab/>
      </w:r>
      <w:r w:rsidRPr="00872B20">
        <w:rPr>
          <w:rFonts w:asciiTheme="majorHAnsi" w:hAnsiTheme="majorHAnsi"/>
          <w:b/>
          <w:noProof/>
          <w:sz w:val="20"/>
          <w:szCs w:val="20"/>
          <w:lang w:val="es-US"/>
        </w:rPr>
        <w:tab/>
      </w:r>
      <w:r w:rsidRPr="00872B20">
        <w:rPr>
          <w:rFonts w:asciiTheme="majorHAnsi" w:hAnsiTheme="majorHAnsi"/>
          <w:b/>
          <w:noProof/>
          <w:sz w:val="20"/>
          <w:szCs w:val="20"/>
          <w:lang w:val="es-US"/>
        </w:rPr>
        <w:tab/>
      </w:r>
      <w:r w:rsidRPr="00872B20">
        <w:rPr>
          <w:rFonts w:asciiTheme="majorHAnsi" w:hAnsiTheme="majorHAnsi"/>
          <w:noProof/>
          <w:sz w:val="20"/>
          <w:szCs w:val="20"/>
          <w:lang w:val="es-US"/>
        </w:rPr>
        <w:t>Franklyn Villaroel</w:t>
      </w:r>
    </w:p>
    <w:p w:rsidR="00DC449A" w:rsidRPr="00872B20" w:rsidRDefault="00DC449A" w:rsidP="00DC449A">
      <w:pPr>
        <w:jc w:val="both"/>
        <w:outlineLvl w:val="0"/>
        <w:rPr>
          <w:rFonts w:asciiTheme="majorHAnsi" w:hAnsiTheme="majorHAnsi"/>
          <w:noProof/>
          <w:sz w:val="20"/>
          <w:szCs w:val="20"/>
          <w:lang w:val="es-US"/>
        </w:rPr>
      </w:pPr>
    </w:p>
    <w:p w:rsidR="00DC449A" w:rsidRPr="00872B20" w:rsidRDefault="00DC449A" w:rsidP="00DC449A">
      <w:pPr>
        <w:jc w:val="both"/>
        <w:rPr>
          <w:rFonts w:asciiTheme="majorHAnsi" w:hAnsiTheme="majorHAnsi"/>
          <w:noProof/>
          <w:sz w:val="20"/>
          <w:szCs w:val="20"/>
          <w:lang w:val="es-US"/>
        </w:rPr>
      </w:pPr>
      <w:r w:rsidRPr="00872B20">
        <w:rPr>
          <w:rFonts w:asciiTheme="majorHAnsi" w:hAnsiTheme="majorHAnsi"/>
          <w:b/>
          <w:noProof/>
          <w:sz w:val="20"/>
          <w:szCs w:val="20"/>
          <w:lang w:val="es-US"/>
        </w:rPr>
        <w:t xml:space="preserve">PETICIONARIO:   </w:t>
      </w:r>
      <w:r w:rsidRPr="00872B20">
        <w:rPr>
          <w:rFonts w:asciiTheme="majorHAnsi" w:hAnsiTheme="majorHAnsi"/>
          <w:noProof/>
          <w:sz w:val="20"/>
          <w:szCs w:val="20"/>
          <w:lang w:val="es-US"/>
        </w:rPr>
        <w:tab/>
      </w:r>
      <w:r w:rsidRPr="00872B20">
        <w:rPr>
          <w:rFonts w:asciiTheme="majorHAnsi" w:hAnsiTheme="majorHAnsi"/>
          <w:noProof/>
          <w:sz w:val="20"/>
          <w:szCs w:val="20"/>
          <w:lang w:val="es-US"/>
        </w:rPr>
        <w:tab/>
      </w:r>
      <w:r w:rsidRPr="00872B20">
        <w:rPr>
          <w:rFonts w:asciiTheme="majorHAnsi" w:hAnsiTheme="majorHAnsi"/>
          <w:noProof/>
          <w:sz w:val="20"/>
          <w:szCs w:val="20"/>
          <w:lang w:val="es-US"/>
        </w:rPr>
        <w:tab/>
        <w:t>Lovell’s Solicitors</w:t>
      </w:r>
    </w:p>
    <w:p w:rsidR="00DC449A" w:rsidRPr="00872B20" w:rsidRDefault="00DC449A" w:rsidP="00DC449A">
      <w:pPr>
        <w:jc w:val="both"/>
        <w:rPr>
          <w:rFonts w:asciiTheme="majorHAnsi" w:hAnsiTheme="majorHAnsi"/>
          <w:noProof/>
          <w:sz w:val="20"/>
          <w:szCs w:val="20"/>
          <w:lang w:val="es-US"/>
        </w:rPr>
      </w:pPr>
    </w:p>
    <w:p w:rsidR="00DC449A" w:rsidRPr="00872B20" w:rsidRDefault="00DC449A" w:rsidP="00DC449A">
      <w:pPr>
        <w:ind w:left="3600" w:hanging="3600"/>
        <w:jc w:val="both"/>
        <w:rPr>
          <w:rFonts w:asciiTheme="majorHAnsi" w:hAnsiTheme="majorHAnsi"/>
          <w:noProof/>
          <w:sz w:val="20"/>
          <w:szCs w:val="20"/>
          <w:lang w:val="es-US"/>
        </w:rPr>
      </w:pPr>
      <w:r w:rsidRPr="00872B20">
        <w:rPr>
          <w:rFonts w:asciiTheme="majorHAnsi" w:hAnsiTheme="majorHAnsi"/>
          <w:b/>
          <w:noProof/>
          <w:sz w:val="20"/>
          <w:szCs w:val="20"/>
          <w:lang w:val="es-US"/>
        </w:rPr>
        <w:t>VIOLACIONES ALEGADAS:</w:t>
      </w:r>
      <w:r w:rsidRPr="00872B20">
        <w:rPr>
          <w:rFonts w:asciiTheme="majorHAnsi" w:hAnsiTheme="majorHAnsi"/>
          <w:noProof/>
          <w:sz w:val="20"/>
          <w:szCs w:val="20"/>
          <w:lang w:val="es-US"/>
        </w:rPr>
        <w:t xml:space="preserve"> </w:t>
      </w:r>
      <w:r w:rsidRPr="00872B20">
        <w:rPr>
          <w:rFonts w:asciiTheme="majorHAnsi" w:hAnsiTheme="majorHAnsi"/>
          <w:noProof/>
          <w:sz w:val="20"/>
          <w:szCs w:val="20"/>
          <w:lang w:val="es-US"/>
        </w:rPr>
        <w:tab/>
        <w:t>Artículos 5, 7, 8, 11, 24 y 25 de la Convención Americana y artículos II, XVI, XVII, XVIII, XXV y XXVI de la Declaración Americana</w:t>
      </w:r>
    </w:p>
    <w:p w:rsidR="00DC449A" w:rsidRPr="00872B20" w:rsidRDefault="00DC449A" w:rsidP="00DC449A">
      <w:pPr>
        <w:ind w:left="2880" w:hanging="2880"/>
        <w:jc w:val="both"/>
        <w:rPr>
          <w:rFonts w:asciiTheme="majorHAnsi" w:hAnsiTheme="majorHAnsi"/>
          <w:noProof/>
          <w:sz w:val="20"/>
          <w:szCs w:val="20"/>
          <w:lang w:val="es-US"/>
        </w:rPr>
      </w:pPr>
    </w:p>
    <w:p w:rsidR="00DC449A" w:rsidRPr="00872B20" w:rsidRDefault="00DC449A" w:rsidP="00DC449A">
      <w:pPr>
        <w:jc w:val="both"/>
        <w:rPr>
          <w:rFonts w:asciiTheme="majorHAnsi" w:hAnsiTheme="majorHAnsi"/>
          <w:noProof/>
          <w:sz w:val="20"/>
          <w:szCs w:val="20"/>
          <w:highlight w:val="magenta"/>
          <w:lang w:val="es-US"/>
        </w:rPr>
      </w:pPr>
      <w:r w:rsidRPr="00872B20">
        <w:rPr>
          <w:rFonts w:asciiTheme="majorHAnsi" w:hAnsiTheme="majorHAnsi"/>
          <w:b/>
          <w:noProof/>
          <w:sz w:val="20"/>
          <w:szCs w:val="20"/>
          <w:lang w:val="es-US"/>
        </w:rPr>
        <w:t>INICIO DE TRÁMITE:</w:t>
      </w:r>
      <w:r w:rsidRPr="00872B20">
        <w:rPr>
          <w:rFonts w:asciiTheme="majorHAnsi" w:hAnsiTheme="majorHAnsi"/>
          <w:b/>
          <w:noProof/>
          <w:sz w:val="20"/>
          <w:szCs w:val="20"/>
          <w:lang w:val="es-US"/>
        </w:rPr>
        <w:tab/>
      </w:r>
      <w:r w:rsidRPr="00872B20">
        <w:rPr>
          <w:rFonts w:asciiTheme="majorHAnsi" w:hAnsiTheme="majorHAnsi"/>
          <w:noProof/>
          <w:sz w:val="20"/>
          <w:szCs w:val="20"/>
          <w:lang w:val="es-US"/>
        </w:rPr>
        <w:tab/>
      </w:r>
      <w:r w:rsidRPr="00872B20">
        <w:rPr>
          <w:rFonts w:asciiTheme="majorHAnsi" w:hAnsiTheme="majorHAnsi"/>
          <w:noProof/>
          <w:sz w:val="20"/>
          <w:szCs w:val="20"/>
          <w:lang w:val="es-US"/>
        </w:rPr>
        <w:tab/>
        <w:t>30 de marzo de 2000</w:t>
      </w:r>
    </w:p>
    <w:p w:rsidR="00DC449A" w:rsidRPr="00872B20" w:rsidRDefault="00DC449A" w:rsidP="00DC449A">
      <w:pPr>
        <w:ind w:right="-720"/>
        <w:rPr>
          <w:rFonts w:asciiTheme="majorHAnsi" w:hAnsiTheme="majorHAnsi"/>
          <w:noProof/>
          <w:sz w:val="20"/>
          <w:szCs w:val="20"/>
          <w:highlight w:val="magenta"/>
          <w:lang w:val="es-US"/>
        </w:rPr>
      </w:pPr>
    </w:p>
    <w:p w:rsidR="00DC449A" w:rsidRPr="00872B20" w:rsidRDefault="00DC449A" w:rsidP="00DC449A">
      <w:pPr>
        <w:ind w:right="-720"/>
        <w:rPr>
          <w:rFonts w:asciiTheme="majorHAnsi" w:hAnsiTheme="majorHAnsi"/>
          <w:noProof/>
          <w:sz w:val="20"/>
          <w:szCs w:val="20"/>
          <w:highlight w:val="magenta"/>
          <w:lang w:val="es-US"/>
        </w:rPr>
      </w:pPr>
    </w:p>
    <w:p w:rsidR="00DC449A" w:rsidRPr="00872B20" w:rsidRDefault="00DC449A" w:rsidP="00DC44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40"/>
        <w:jc w:val="both"/>
        <w:rPr>
          <w:rFonts w:asciiTheme="majorHAnsi" w:hAnsiTheme="majorHAnsi"/>
          <w:noProof/>
          <w:sz w:val="20"/>
          <w:szCs w:val="20"/>
        </w:rPr>
      </w:pPr>
      <w:r w:rsidRPr="00872B20">
        <w:rPr>
          <w:rFonts w:asciiTheme="majorHAnsi" w:hAnsiTheme="majorHAnsi"/>
          <w:b/>
          <w:noProof/>
          <w:sz w:val="20"/>
          <w:szCs w:val="20"/>
        </w:rPr>
        <w:t>POSICIÓN DE LOS PETICIONARIOS</w:t>
      </w:r>
    </w:p>
    <w:p w:rsidR="00DC449A" w:rsidRPr="00872B20" w:rsidRDefault="00DC449A" w:rsidP="00DC449A">
      <w:pPr>
        <w:ind w:left="720"/>
        <w:jc w:val="both"/>
        <w:rPr>
          <w:rFonts w:asciiTheme="majorHAnsi" w:hAnsiTheme="majorHAnsi"/>
          <w:noProof/>
          <w:sz w:val="20"/>
          <w:szCs w:val="20"/>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lang w:val="es-US"/>
        </w:rPr>
      </w:pPr>
      <w:r w:rsidRPr="00872B20">
        <w:rPr>
          <w:rFonts w:asciiTheme="majorHAnsi" w:hAnsiTheme="majorHAnsi"/>
          <w:noProof/>
          <w:sz w:val="20"/>
          <w:szCs w:val="20"/>
          <w:lang w:val="es-US"/>
        </w:rPr>
        <w:t xml:space="preserve">El 23 de marzo de 2000, la Comisión Interamericana de Derechos Humanos (la “Comisión Interamericana” o la “CIDH”) recibió una </w:t>
      </w:r>
      <w:smartTag w:uri="urn:schemas-microsoft-com:office:smarttags" w:element="PersonName">
        <w:r w:rsidRPr="00872B20">
          <w:rPr>
            <w:rFonts w:asciiTheme="majorHAnsi" w:hAnsiTheme="majorHAnsi"/>
            <w:noProof/>
            <w:sz w:val="20"/>
            <w:szCs w:val="20"/>
            <w:lang w:val="es-US"/>
          </w:rPr>
          <w:t>pe</w:t>
        </w:r>
      </w:smartTag>
      <w:r w:rsidRPr="00872B20">
        <w:rPr>
          <w:rFonts w:asciiTheme="majorHAnsi" w:hAnsiTheme="majorHAnsi"/>
          <w:noProof/>
          <w:sz w:val="20"/>
          <w:szCs w:val="20"/>
          <w:lang w:val="es-US"/>
        </w:rPr>
        <w:t xml:space="preserve">tición presentada por </w:t>
      </w:r>
      <w:proofErr w:type="spellStart"/>
      <w:r w:rsidRPr="00872B20">
        <w:rPr>
          <w:rFonts w:asciiTheme="majorHAnsi" w:hAnsiTheme="majorHAnsi"/>
          <w:sz w:val="20"/>
          <w:szCs w:val="20"/>
          <w:lang w:val="es-US"/>
        </w:rPr>
        <w:t>Lovell’s</w:t>
      </w:r>
      <w:proofErr w:type="spellEnd"/>
      <w:r w:rsidRPr="00872B20">
        <w:rPr>
          <w:rFonts w:asciiTheme="majorHAnsi" w:hAnsiTheme="majorHAnsi"/>
          <w:sz w:val="20"/>
          <w:szCs w:val="20"/>
          <w:lang w:val="es-US"/>
        </w:rPr>
        <w:t xml:space="preserve">, un estudio jurídico  de Londres, Reino Unido, </w:t>
      </w:r>
      <w:r w:rsidRPr="00872B20">
        <w:rPr>
          <w:rFonts w:asciiTheme="majorHAnsi" w:hAnsiTheme="majorHAnsi"/>
          <w:noProof/>
          <w:sz w:val="20"/>
          <w:szCs w:val="20"/>
          <w:lang w:val="es-US"/>
        </w:rPr>
        <w:t>(los “</w:t>
      </w:r>
      <w:smartTag w:uri="urn:schemas-microsoft-com:office:smarttags" w:element="PersonName">
        <w:r w:rsidRPr="00872B20">
          <w:rPr>
            <w:rFonts w:asciiTheme="majorHAnsi" w:hAnsiTheme="majorHAnsi"/>
            <w:noProof/>
            <w:sz w:val="20"/>
            <w:szCs w:val="20"/>
            <w:lang w:val="es-US"/>
          </w:rPr>
          <w:t>pe</w:t>
        </w:r>
      </w:smartTag>
      <w:r w:rsidRPr="00872B20">
        <w:rPr>
          <w:rFonts w:asciiTheme="majorHAnsi" w:hAnsiTheme="majorHAnsi"/>
          <w:noProof/>
          <w:sz w:val="20"/>
          <w:szCs w:val="20"/>
          <w:lang w:val="es-US"/>
        </w:rPr>
        <w:t xml:space="preserve">ticionarios”) contra Trinidad y </w:t>
      </w:r>
      <w:r w:rsidRPr="00872B20">
        <w:rPr>
          <w:rFonts w:asciiTheme="majorHAnsi" w:hAnsiTheme="majorHAnsi"/>
          <w:sz w:val="20"/>
          <w:szCs w:val="20"/>
          <w:lang w:val="es-US"/>
        </w:rPr>
        <w:t xml:space="preserve">Tobago (“el Estado”) en nombre de </w:t>
      </w:r>
      <w:proofErr w:type="spellStart"/>
      <w:r w:rsidRPr="00872B20">
        <w:rPr>
          <w:rFonts w:asciiTheme="majorHAnsi" w:hAnsiTheme="majorHAnsi"/>
          <w:sz w:val="20"/>
          <w:szCs w:val="20"/>
          <w:lang w:val="es-US"/>
        </w:rPr>
        <w:t>Franklyn</w:t>
      </w:r>
      <w:proofErr w:type="spellEnd"/>
      <w:r w:rsidRPr="00872B20">
        <w:rPr>
          <w:rFonts w:asciiTheme="majorHAnsi" w:hAnsiTheme="majorHAnsi"/>
          <w:sz w:val="20"/>
          <w:szCs w:val="20"/>
          <w:lang w:val="es-US"/>
        </w:rPr>
        <w:t xml:space="preserve"> </w:t>
      </w:r>
      <w:proofErr w:type="spellStart"/>
      <w:r w:rsidRPr="00872B20">
        <w:rPr>
          <w:rFonts w:asciiTheme="majorHAnsi" w:hAnsiTheme="majorHAnsi"/>
          <w:sz w:val="20"/>
          <w:szCs w:val="20"/>
          <w:lang w:val="es-US"/>
        </w:rPr>
        <w:t>Villaroel</w:t>
      </w:r>
      <w:proofErr w:type="spellEnd"/>
      <w:r w:rsidRPr="00872B20">
        <w:rPr>
          <w:rFonts w:asciiTheme="majorHAnsi" w:hAnsiTheme="majorHAnsi"/>
          <w:sz w:val="20"/>
          <w:szCs w:val="20"/>
          <w:lang w:val="es-US"/>
        </w:rPr>
        <w:t xml:space="preserve"> (“el Sr. Villaroel” o la “presunta víctima”), quien se encontraba privado de libertad en la Prisión Estatal de Puerto España.  </w:t>
      </w:r>
    </w:p>
    <w:p w:rsidR="00DC449A" w:rsidRPr="00872B20" w:rsidRDefault="00DC449A" w:rsidP="00DC449A">
      <w:pPr>
        <w:jc w:val="both"/>
        <w:rPr>
          <w:rFonts w:asciiTheme="majorHAnsi" w:hAnsiTheme="majorHAnsi"/>
          <w:sz w:val="20"/>
          <w:szCs w:val="20"/>
          <w:lang w:val="es-US"/>
        </w:rPr>
      </w:pPr>
      <w:r w:rsidRPr="00872B20">
        <w:rPr>
          <w:rFonts w:asciiTheme="majorHAnsi" w:hAnsiTheme="majorHAnsi"/>
          <w:sz w:val="20"/>
          <w:szCs w:val="20"/>
          <w:lang w:val="es-US"/>
        </w:rPr>
        <w:t xml:space="preserve"> </w:t>
      </w: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lang w:val="es-US"/>
        </w:rPr>
      </w:pPr>
      <w:r w:rsidRPr="00872B20">
        <w:rPr>
          <w:rFonts w:asciiTheme="majorHAnsi" w:hAnsiTheme="majorHAnsi"/>
          <w:sz w:val="20"/>
          <w:szCs w:val="20"/>
          <w:lang w:val="es-US"/>
        </w:rPr>
        <w:t>Según la información disponible, el 28 de octubre de 1988, en su segundo juicio, después de que el primero fuera declarado nulo cuando el jurado no pudo llegar a un acuerdo, el Sr. Villaroel fue condenado por el asesinato de su compañera, ocurrido el 10 de marzo de 1985, y sentenciado a muerte.  El 1 de diciembre de 1993, la sentencia de muerte de la presunta víctima fue conmutada a prisión perpetua.  El 21 de noviembre de 1995, el Sr. Villaroel apeló infructuosamente su condena ante la Corte de Apelaciones de Trinidad y Tobago, en base a instrucciones supuestamente impropias del jurado.  La Corte de Apelaciones rechazó la apelación el 9 de abril de 1998.  El Sr. Villaroel presentó entonces una petición ante el Comité Judicial del Consejo Privado solicitando autorización especial para apelar la sentencia de la Corte de Apelaciones; petición que fue rechazada el 5 de octubre de 1999.</w:t>
      </w:r>
    </w:p>
    <w:p w:rsidR="00DC449A" w:rsidRPr="00872B20" w:rsidRDefault="00DC449A" w:rsidP="00DC449A">
      <w:pPr>
        <w:pStyle w:val="ListParagraph"/>
        <w:ind w:left="0"/>
        <w:rPr>
          <w:rFonts w:asciiTheme="majorHAnsi" w:hAnsiTheme="majorHAnsi"/>
          <w:sz w:val="20"/>
          <w:szCs w:val="20"/>
          <w:lang w:val="es-US"/>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lang w:val="es-US"/>
        </w:rPr>
      </w:pPr>
      <w:r w:rsidRPr="00872B20">
        <w:rPr>
          <w:rFonts w:asciiTheme="majorHAnsi" w:hAnsiTheme="majorHAnsi"/>
          <w:sz w:val="20"/>
          <w:szCs w:val="20"/>
          <w:lang w:val="es-US"/>
        </w:rPr>
        <w:t>Con respecto al fondo del caso, los peticionarios señalaron en particular que el juez no instruyó al jurado sobre la provocación y una posible condena por homicidio culposo, y que el abogado del Sr. Villaroel no presentó pruebas sobre su buena conducta durante el juicio.  Los peticionarios alegaron además que se produjeron demoras en la audiencia de la apelación del Sr. Villaroel y que la imposición de una sentencia de prisión perpetua constituía un castigo cruel e inhumano.  Además, los peticionarios alegaron que las condiciones de detención del Sr. Villaroel violaban sus derechos consagrados en el artículo 5(2) de la Convención y el artículo XXV de la Declaración, así como su derecho a la privacidad establecido en el artículo 11(1) de la Convención y su derecho a la preservación de la salud y el bienestar contenido en el artículo XI de la Declaración.  Por último, consideraron que la denegación de acceso a la justicia en la obtención de una reparación a las violaciones de los derechos antes mencionados debido a la falta de recursos financieros era contraria a las disposiciones de los artículos 24 y 25 de la Convención y los artículos II, XVII, XVIII y XXVI de la Declaración.</w:t>
      </w:r>
    </w:p>
    <w:p w:rsidR="00DC449A" w:rsidRDefault="00DC449A" w:rsidP="00DC449A">
      <w:pPr>
        <w:jc w:val="both"/>
        <w:rPr>
          <w:rFonts w:asciiTheme="majorHAnsi" w:hAnsiTheme="majorHAnsi"/>
          <w:noProof/>
          <w:sz w:val="20"/>
          <w:szCs w:val="20"/>
          <w:lang w:val="es-US"/>
        </w:rPr>
      </w:pPr>
    </w:p>
    <w:p w:rsidR="007E1398" w:rsidRDefault="007E1398" w:rsidP="00DC449A">
      <w:pPr>
        <w:jc w:val="both"/>
        <w:rPr>
          <w:rFonts w:asciiTheme="majorHAnsi" w:hAnsiTheme="majorHAnsi"/>
          <w:noProof/>
          <w:sz w:val="20"/>
          <w:szCs w:val="20"/>
          <w:lang w:val="es-US"/>
        </w:rPr>
      </w:pPr>
    </w:p>
    <w:p w:rsidR="007E1398" w:rsidRPr="00872B20" w:rsidRDefault="007E1398" w:rsidP="00DC449A">
      <w:pPr>
        <w:jc w:val="both"/>
        <w:rPr>
          <w:rFonts w:asciiTheme="majorHAnsi" w:hAnsiTheme="majorHAnsi"/>
          <w:noProof/>
          <w:sz w:val="20"/>
          <w:szCs w:val="20"/>
          <w:lang w:val="es-US"/>
        </w:rPr>
      </w:pPr>
    </w:p>
    <w:p w:rsidR="00DC449A" w:rsidRPr="00872B20" w:rsidRDefault="00DC449A" w:rsidP="00DC449A">
      <w:pPr>
        <w:ind w:firstLine="720"/>
        <w:jc w:val="both"/>
        <w:rPr>
          <w:rFonts w:asciiTheme="majorHAnsi" w:hAnsiTheme="majorHAnsi"/>
          <w:b/>
          <w:noProof/>
          <w:sz w:val="20"/>
          <w:szCs w:val="20"/>
        </w:rPr>
      </w:pPr>
      <w:r w:rsidRPr="00872B20">
        <w:rPr>
          <w:rFonts w:asciiTheme="majorHAnsi" w:hAnsiTheme="majorHAnsi"/>
          <w:b/>
          <w:noProof/>
          <w:sz w:val="20"/>
          <w:szCs w:val="20"/>
        </w:rPr>
        <w:lastRenderedPageBreak/>
        <w:t>II.</w:t>
      </w:r>
      <w:r w:rsidRPr="00872B20">
        <w:rPr>
          <w:rFonts w:asciiTheme="majorHAnsi" w:hAnsiTheme="majorHAnsi"/>
          <w:b/>
          <w:noProof/>
          <w:sz w:val="20"/>
          <w:szCs w:val="20"/>
        </w:rPr>
        <w:tab/>
        <w:t>POSICIÓN DEL ESTADO</w:t>
      </w:r>
    </w:p>
    <w:p w:rsidR="00DC449A" w:rsidRPr="00872B20" w:rsidRDefault="00DC449A" w:rsidP="00DC449A">
      <w:pPr>
        <w:jc w:val="both"/>
        <w:rPr>
          <w:rFonts w:asciiTheme="majorHAnsi" w:hAnsiTheme="majorHAnsi"/>
          <w:noProof/>
          <w:sz w:val="20"/>
          <w:szCs w:val="20"/>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72B20">
        <w:rPr>
          <w:rFonts w:asciiTheme="majorHAnsi" w:hAnsiTheme="majorHAnsi"/>
          <w:noProof/>
          <w:sz w:val="20"/>
          <w:szCs w:val="20"/>
          <w:lang w:val="es-US"/>
        </w:rPr>
        <w:t>La Comisión aún no ha recibido información u observaciones del Estado sobre este caso.</w:t>
      </w:r>
    </w:p>
    <w:p w:rsidR="00DC449A" w:rsidRPr="00872B20" w:rsidRDefault="00DC449A" w:rsidP="00DC449A">
      <w:pPr>
        <w:jc w:val="both"/>
        <w:rPr>
          <w:rFonts w:asciiTheme="majorHAnsi" w:hAnsiTheme="majorHAnsi"/>
          <w:noProof/>
          <w:sz w:val="20"/>
          <w:szCs w:val="20"/>
          <w:lang w:val="es-US"/>
        </w:rPr>
      </w:pPr>
    </w:p>
    <w:p w:rsidR="00DC449A" w:rsidRPr="00872B20" w:rsidRDefault="00DC449A" w:rsidP="00DC449A">
      <w:pPr>
        <w:ind w:firstLine="720"/>
        <w:jc w:val="both"/>
        <w:rPr>
          <w:rFonts w:asciiTheme="majorHAnsi" w:hAnsiTheme="majorHAnsi"/>
          <w:b/>
          <w:noProof/>
          <w:sz w:val="20"/>
          <w:szCs w:val="20"/>
        </w:rPr>
      </w:pPr>
      <w:r w:rsidRPr="00872B20">
        <w:rPr>
          <w:rFonts w:asciiTheme="majorHAnsi" w:hAnsiTheme="majorHAnsi"/>
          <w:b/>
          <w:noProof/>
          <w:sz w:val="20"/>
          <w:szCs w:val="20"/>
        </w:rPr>
        <w:t>III.</w:t>
      </w:r>
      <w:r w:rsidRPr="00872B20">
        <w:rPr>
          <w:rFonts w:asciiTheme="majorHAnsi" w:hAnsiTheme="majorHAnsi"/>
          <w:b/>
          <w:noProof/>
          <w:sz w:val="20"/>
          <w:szCs w:val="20"/>
        </w:rPr>
        <w:tab/>
        <w:t>PROCEDIMIENTO ANTE LA CIDH</w:t>
      </w:r>
    </w:p>
    <w:p w:rsidR="00DC449A" w:rsidRPr="00872B20" w:rsidRDefault="00DC449A" w:rsidP="00DC449A">
      <w:pPr>
        <w:jc w:val="both"/>
        <w:rPr>
          <w:rFonts w:asciiTheme="majorHAnsi" w:hAnsiTheme="majorHAnsi"/>
          <w:noProof/>
          <w:sz w:val="20"/>
          <w:szCs w:val="20"/>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72B20">
        <w:rPr>
          <w:rFonts w:asciiTheme="majorHAnsi" w:hAnsiTheme="majorHAnsi"/>
          <w:noProof/>
          <w:sz w:val="20"/>
          <w:szCs w:val="20"/>
          <w:lang w:val="es-US"/>
        </w:rPr>
        <w:t>La CIDH recibió la petición el 23 de marzo de 2000, la cual fue transmitida al Estado el 30 de marzo de 2000.  El 7 de abril de 2000 el Estado acusó recibo de la comunicación de la Comisión.</w:t>
      </w:r>
    </w:p>
    <w:p w:rsidR="00DC449A" w:rsidRPr="00872B20" w:rsidRDefault="00DC449A" w:rsidP="00DC449A">
      <w:pPr>
        <w:ind w:left="720"/>
        <w:jc w:val="both"/>
        <w:rPr>
          <w:rFonts w:asciiTheme="majorHAnsi" w:hAnsiTheme="majorHAnsi"/>
          <w:noProof/>
          <w:sz w:val="20"/>
          <w:szCs w:val="20"/>
          <w:lang w:val="es-US"/>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72B20">
        <w:rPr>
          <w:rFonts w:asciiTheme="majorHAnsi" w:hAnsiTheme="majorHAnsi"/>
          <w:noProof/>
          <w:sz w:val="20"/>
          <w:szCs w:val="20"/>
          <w:lang w:val="es-US"/>
        </w:rPr>
        <w:t>El 13 de octubre de 2005 la Comisión adoptó el Informe de Admisibilidad N</w:t>
      </w:r>
      <w:r w:rsidRPr="00872B20">
        <w:rPr>
          <w:rFonts w:asciiTheme="majorHAnsi" w:hAnsiTheme="majorHAnsi"/>
          <w:noProof/>
          <w:sz w:val="20"/>
          <w:szCs w:val="20"/>
          <w:vertAlign w:val="superscript"/>
          <w:lang w:val="es-US"/>
        </w:rPr>
        <w:t>o</w:t>
      </w:r>
      <w:r w:rsidRPr="00872B20">
        <w:rPr>
          <w:rFonts w:asciiTheme="majorHAnsi" w:hAnsiTheme="majorHAnsi"/>
          <w:noProof/>
          <w:sz w:val="20"/>
          <w:szCs w:val="20"/>
          <w:lang w:val="es-US"/>
        </w:rPr>
        <w:t xml:space="preserve"> 66/05 que fue transmitido a las partes mediante carta de fecha 31 de octubre de 2005.  La CIDH otorgó un plazo de dos meses para que los peticionarios presentaran sus observaciones adicionales sobre el fondo del caso de conformidad con el artículo 38(1) del Reglamento en vigencia en ese momento.  A la fecha de este informe, la CIDH no ha recibido observación alguna de parte de los peticionarios.</w:t>
      </w:r>
    </w:p>
    <w:p w:rsidR="00DC449A" w:rsidRPr="00872B20" w:rsidRDefault="00DC449A" w:rsidP="00DC449A">
      <w:pPr>
        <w:jc w:val="both"/>
        <w:rPr>
          <w:rFonts w:asciiTheme="majorHAnsi" w:hAnsiTheme="majorHAnsi"/>
          <w:noProof/>
          <w:sz w:val="20"/>
          <w:szCs w:val="20"/>
          <w:lang w:val="es-US"/>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72B20">
        <w:rPr>
          <w:rFonts w:asciiTheme="majorHAnsi" w:hAnsiTheme="majorHAnsi"/>
          <w:noProof/>
          <w:sz w:val="20"/>
          <w:szCs w:val="20"/>
          <w:lang w:val="es-US"/>
        </w:rPr>
        <w:t>El 30 de mayo de 2012, la CIDH solicitó información actualizada a los peticionarios, indicando que la Comisión podría archivar la petición.  Hasta la fecha, los peticionarios no han respondido a la solicitud de la CIDH</w:t>
      </w:r>
      <w:r w:rsidRPr="00872B20">
        <w:rPr>
          <w:rFonts w:asciiTheme="majorHAnsi" w:hAnsiTheme="majorHAnsi"/>
          <w:sz w:val="20"/>
          <w:szCs w:val="20"/>
          <w:lang w:val="es-US"/>
        </w:rPr>
        <w:t>.</w:t>
      </w:r>
      <w:r w:rsidRPr="00872B20">
        <w:rPr>
          <w:rFonts w:asciiTheme="majorHAnsi" w:hAnsiTheme="majorHAnsi"/>
          <w:noProof/>
          <w:sz w:val="20"/>
          <w:szCs w:val="20"/>
          <w:lang w:val="es-US"/>
        </w:rPr>
        <w:t xml:space="preserve"> </w:t>
      </w:r>
    </w:p>
    <w:p w:rsidR="00DC449A" w:rsidRPr="00872B20" w:rsidRDefault="00DC449A" w:rsidP="00DC449A">
      <w:pPr>
        <w:pStyle w:val="ListParagraph"/>
        <w:rPr>
          <w:rFonts w:asciiTheme="majorHAnsi" w:hAnsiTheme="majorHAnsi"/>
          <w:noProof/>
          <w:sz w:val="20"/>
          <w:szCs w:val="20"/>
          <w:lang w:val="es-US"/>
        </w:rPr>
      </w:pPr>
    </w:p>
    <w:p w:rsidR="00DC449A" w:rsidRPr="00872B20" w:rsidRDefault="00DC449A" w:rsidP="00DC44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noProof/>
          <w:sz w:val="20"/>
          <w:szCs w:val="20"/>
          <w:lang w:val="es-US"/>
        </w:rPr>
      </w:pPr>
      <w:r w:rsidRPr="00872B20">
        <w:rPr>
          <w:rFonts w:asciiTheme="majorHAnsi" w:hAnsiTheme="majorHAnsi"/>
          <w:b/>
          <w:noProof/>
          <w:sz w:val="20"/>
          <w:szCs w:val="20"/>
          <w:lang w:val="es-US"/>
        </w:rPr>
        <w:t>FUNDAMENTO PARA LA DECISIÓN DE ARCHIO</w:t>
      </w:r>
    </w:p>
    <w:p w:rsidR="00DC449A" w:rsidRPr="00872B20" w:rsidRDefault="00DC449A" w:rsidP="00DC449A">
      <w:pPr>
        <w:jc w:val="both"/>
        <w:rPr>
          <w:rFonts w:asciiTheme="majorHAnsi" w:hAnsiTheme="majorHAnsi"/>
          <w:noProof/>
          <w:sz w:val="20"/>
          <w:szCs w:val="20"/>
          <w:lang w:val="es-US"/>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72B20">
        <w:rPr>
          <w:rFonts w:asciiTheme="majorHAnsi" w:hAnsiTheme="majorHAnsi"/>
          <w:noProof/>
          <w:sz w:val="20"/>
          <w:szCs w:val="20"/>
          <w:lang w:val="es-US"/>
        </w:rPr>
        <w:t>El Artículo 42 del Reglamento de la CIDH establece el archivo de peticiones y casos cuando no existen o subsisten los motivos de la petición o caso, o cuando no se cuente co la información necesaria para alcanzar una decisión sobre la petición o caso.  En tales situaciones, la CIDH, después de haber solicitado información a los peticionairos y de haberle notificado la posibilidad de una decisión de archivo, procederá a  adoptar la decisión correspondiente.</w:t>
      </w:r>
    </w:p>
    <w:p w:rsidR="00DC449A" w:rsidRPr="00872B20" w:rsidRDefault="00DC449A" w:rsidP="00DC449A">
      <w:pPr>
        <w:jc w:val="both"/>
        <w:rPr>
          <w:rFonts w:asciiTheme="majorHAnsi" w:hAnsiTheme="majorHAnsi"/>
          <w:noProof/>
          <w:sz w:val="20"/>
          <w:szCs w:val="20"/>
          <w:lang w:val="es-US"/>
        </w:rPr>
      </w:pPr>
    </w:p>
    <w:p w:rsidR="00DC449A" w:rsidRPr="00872B20" w:rsidRDefault="00DC449A" w:rsidP="00DC449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72B20">
        <w:rPr>
          <w:rFonts w:asciiTheme="majorHAnsi" w:hAnsiTheme="majorHAnsi"/>
          <w:noProof/>
          <w:sz w:val="20"/>
          <w:szCs w:val="20"/>
          <w:lang w:val="es-US"/>
        </w:rPr>
        <w:t>Desde la transmisión del informe de admisibilidad, la Comisión no ha recibido información alguna de los peticionarios, a pesar de haber solicitado información actualizada notificando la posibilidad de una decisión de archivo.  Por lo tanto, han transcurrido más de ocho años desde la adopción de la decisión de admisibilidad y la CIDH carece de información sobre el fondo para determinar si aún existen o subsisten los motivos de este caso.  En consecuencia, la CIDH decide archivar el expediente del presente caso, de conformidad con el artículo 42.1(b) del Reglamento</w:t>
      </w:r>
      <w:r>
        <w:rPr>
          <w:rFonts w:asciiTheme="majorHAnsi" w:hAnsiTheme="majorHAnsi"/>
          <w:noProof/>
          <w:sz w:val="20"/>
          <w:szCs w:val="20"/>
          <w:lang w:val="es-US"/>
        </w:rPr>
        <w:t>.</w:t>
      </w:r>
    </w:p>
    <w:p w:rsidR="00DC449A" w:rsidRPr="00872B20" w:rsidRDefault="00DC449A" w:rsidP="00DC449A">
      <w:pPr>
        <w:pStyle w:val="ListParagraph"/>
        <w:rPr>
          <w:rFonts w:asciiTheme="majorHAnsi" w:hAnsiTheme="majorHAnsi"/>
          <w:noProof/>
          <w:sz w:val="20"/>
          <w:szCs w:val="20"/>
          <w:lang w:val="es-US"/>
        </w:rPr>
      </w:pPr>
    </w:p>
    <w:p w:rsidR="00294DD9" w:rsidRPr="00A37B82" w:rsidRDefault="00294DD9" w:rsidP="00294DD9">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2014.  (Firmado): Tracy Robinson, Presidenta;Rose-Marie Belle Antoine, Primera Vicepresidenta; Felipe González, Segundo Vicepresidente; Rosa María Ortiz, Paulo Vannuchi y James L. Cavallaro, Miembros de la Comisión.</w:t>
      </w:r>
    </w:p>
    <w:p w:rsidR="00DC449A" w:rsidRPr="00294DD9" w:rsidRDefault="00DC449A" w:rsidP="00DC449A">
      <w:pPr>
        <w:ind w:left="720"/>
        <w:jc w:val="both"/>
        <w:rPr>
          <w:rFonts w:asciiTheme="majorHAnsi" w:hAnsiTheme="majorHAnsi"/>
          <w:noProof/>
          <w:sz w:val="20"/>
          <w:szCs w:val="20"/>
          <w:lang w:val="es-CL"/>
        </w:rPr>
      </w:pPr>
    </w:p>
    <w:p w:rsidR="005623BD" w:rsidRPr="00DC449A" w:rsidRDefault="005623BD" w:rsidP="00DC449A">
      <w:pPr>
        <w:jc w:val="center"/>
        <w:rPr>
          <w:rFonts w:asciiTheme="majorHAnsi" w:hAnsiTheme="majorHAnsi"/>
          <w:noProof/>
          <w:sz w:val="20"/>
          <w:szCs w:val="20"/>
          <w:lang w:val="es-US"/>
        </w:rPr>
      </w:pPr>
    </w:p>
    <w:sectPr w:rsidR="005623BD" w:rsidRPr="00DC449A" w:rsidSect="00DC449A">
      <w:headerReference w:type="even" r:id="rId17"/>
      <w:headerReference w:type="default" r:id="rId18"/>
      <w:footerReference w:type="even" r:id="rId19"/>
      <w:footerReference w:type="default" r:id="rId20"/>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BA" w:rsidRDefault="001209BA">
      <w:r>
        <w:separator/>
      </w:r>
    </w:p>
  </w:endnote>
  <w:endnote w:type="continuationSeparator" w:id="0">
    <w:p w:rsidR="001209BA" w:rsidRDefault="001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C449A">
          <w:rPr>
            <w:noProof/>
            <w:sz w:val="16"/>
            <w:szCs w:val="22"/>
          </w:rPr>
          <w:t>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7" w:rsidRDefault="00411165" w:rsidP="00804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667" w:rsidRDefault="001209BA" w:rsidP="001155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7" w:rsidRPr="007A5130" w:rsidRDefault="001209BA" w:rsidP="00115531">
    <w:pPr>
      <w:pStyle w:val="Footer"/>
      <w:ind w:right="360"/>
      <w:rPr>
        <w:rFonts w:ascii="Univers" w:hAnsi="Univer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BA" w:rsidRPr="000F35ED" w:rsidRDefault="001209B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209BA" w:rsidRPr="000F35ED" w:rsidRDefault="001209BA" w:rsidP="000F35ED">
      <w:pPr>
        <w:rPr>
          <w:rFonts w:asciiTheme="majorHAnsi" w:hAnsiTheme="majorHAnsi"/>
          <w:sz w:val="16"/>
          <w:szCs w:val="16"/>
        </w:rPr>
      </w:pPr>
      <w:r w:rsidRPr="000F35ED">
        <w:rPr>
          <w:rFonts w:asciiTheme="majorHAnsi" w:hAnsiTheme="majorHAnsi"/>
          <w:sz w:val="16"/>
          <w:szCs w:val="16"/>
        </w:rPr>
        <w:separator/>
      </w:r>
    </w:p>
    <w:p w:rsidR="001209BA" w:rsidRPr="000F35ED" w:rsidRDefault="001209B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209BA" w:rsidRPr="000F35ED" w:rsidRDefault="001209B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C449A" w:rsidRPr="000C4570" w:rsidRDefault="00DC449A" w:rsidP="00DC449A">
      <w:pPr>
        <w:pStyle w:val="FootnoteText"/>
        <w:spacing w:before="120"/>
        <w:ind w:firstLine="720"/>
        <w:jc w:val="both"/>
        <w:rPr>
          <w:sz w:val="18"/>
          <w:szCs w:val="18"/>
          <w:lang w:val="es-US"/>
        </w:rPr>
      </w:pPr>
      <w:r w:rsidRPr="00290294">
        <w:rPr>
          <w:rStyle w:val="FootnoteReference"/>
          <w:sz w:val="18"/>
          <w:szCs w:val="18"/>
        </w:rPr>
        <w:footnoteRef/>
      </w:r>
      <w:r w:rsidRPr="000C4570">
        <w:rPr>
          <w:sz w:val="18"/>
          <w:szCs w:val="18"/>
          <w:lang w:val="es-US"/>
        </w:rPr>
        <w:t xml:space="preserve"> </w:t>
      </w:r>
      <w:r>
        <w:rPr>
          <w:sz w:val="18"/>
          <w:szCs w:val="18"/>
          <w:lang w:val="es-US"/>
        </w:rPr>
        <w:t>De conformidad con el a</w:t>
      </w:r>
      <w:r w:rsidRPr="000C4570">
        <w:rPr>
          <w:sz w:val="18"/>
          <w:szCs w:val="18"/>
          <w:lang w:val="es-US"/>
        </w:rPr>
        <w:t xml:space="preserve">rtículo 17.2.a del Reglamento de la CIDH, la Comisionada Rose-Marie Belle Antoine,  nacional de Trinidad y Tobago, no participó en </w:t>
      </w:r>
      <w:r>
        <w:rPr>
          <w:sz w:val="18"/>
          <w:szCs w:val="18"/>
          <w:lang w:val="es-US"/>
        </w:rPr>
        <w:t>las</w:t>
      </w:r>
      <w:r w:rsidRPr="000C4570">
        <w:rPr>
          <w:sz w:val="18"/>
          <w:szCs w:val="18"/>
          <w:lang w:val="es-US"/>
        </w:rPr>
        <w:t xml:space="preserve"> delibera</w:t>
      </w:r>
      <w:r>
        <w:rPr>
          <w:sz w:val="18"/>
          <w:szCs w:val="18"/>
          <w:lang w:val="es-US"/>
        </w:rPr>
        <w:t>ciones</w:t>
      </w:r>
      <w:r w:rsidRPr="000C4570">
        <w:rPr>
          <w:sz w:val="18"/>
          <w:szCs w:val="18"/>
          <w:lang w:val="es-US"/>
        </w:rPr>
        <w:t xml:space="preserve"> o </w:t>
      </w:r>
      <w:r>
        <w:rPr>
          <w:sz w:val="18"/>
          <w:szCs w:val="18"/>
          <w:lang w:val="es-US"/>
        </w:rPr>
        <w:t>e</w:t>
      </w:r>
      <w:r w:rsidRPr="000C4570">
        <w:rPr>
          <w:sz w:val="18"/>
          <w:szCs w:val="18"/>
          <w:lang w:val="es-US"/>
        </w:rPr>
        <w:t xml:space="preserve">n </w:t>
      </w:r>
      <w:r>
        <w:rPr>
          <w:sz w:val="18"/>
          <w:szCs w:val="18"/>
          <w:lang w:val="es-US"/>
        </w:rPr>
        <w:t>la votación de este informe</w:t>
      </w:r>
      <w:r w:rsidRPr="000C4570">
        <w:rPr>
          <w:sz w:val="18"/>
          <w:szCs w:val="18"/>
          <w:lang w:val="es-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209B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7" w:rsidRDefault="00411165" w:rsidP="00804B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667" w:rsidRDefault="001209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7" w:rsidRPr="00752960" w:rsidRDefault="00411165" w:rsidP="00752960">
    <w:pPr>
      <w:pStyle w:val="Header"/>
      <w:framePr w:wrap="around" w:vAnchor="text" w:hAnchor="page" w:x="5941" w:y="1"/>
      <w:jc w:val="center"/>
      <w:rPr>
        <w:rStyle w:val="PageNumber"/>
        <w:sz w:val="16"/>
        <w:szCs w:val="16"/>
      </w:rPr>
    </w:pPr>
    <w:r w:rsidRPr="00752960">
      <w:rPr>
        <w:rStyle w:val="PageNumber"/>
        <w:sz w:val="20"/>
        <w:szCs w:val="20"/>
      </w:rPr>
      <w:fldChar w:fldCharType="begin"/>
    </w:r>
    <w:r w:rsidRPr="00752960">
      <w:rPr>
        <w:rStyle w:val="PageNumber"/>
        <w:sz w:val="20"/>
        <w:szCs w:val="20"/>
      </w:rPr>
      <w:instrText xml:space="preserve">PAGE  </w:instrText>
    </w:r>
    <w:r w:rsidRPr="00752960">
      <w:rPr>
        <w:rStyle w:val="PageNumber"/>
        <w:sz w:val="20"/>
        <w:szCs w:val="20"/>
      </w:rPr>
      <w:fldChar w:fldCharType="separate"/>
    </w:r>
    <w:r w:rsidR="00294DD9">
      <w:rPr>
        <w:rStyle w:val="PageNumber"/>
        <w:noProof/>
        <w:sz w:val="20"/>
        <w:szCs w:val="20"/>
      </w:rPr>
      <w:t>4</w:t>
    </w:r>
    <w:r w:rsidRPr="00752960">
      <w:rPr>
        <w:rStyle w:val="PageNumber"/>
        <w:sz w:val="20"/>
        <w:szCs w:val="20"/>
      </w:rPr>
      <w:fldChar w:fldCharType="end"/>
    </w:r>
  </w:p>
  <w:p w:rsidR="00FC6667" w:rsidRDefault="001209BA" w:rsidP="00804BE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0"/>
  </w:num>
  <w:num w:numId="4">
    <w:abstractNumId w:val="21"/>
  </w:num>
  <w:num w:numId="5">
    <w:abstractNumId w:val="44"/>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6"/>
  </w:num>
  <w:num w:numId="44">
    <w:abstractNumId w:val="48"/>
  </w:num>
  <w:num w:numId="45">
    <w:abstractNumId w:val="49"/>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7"/>
  </w:num>
  <w:num w:numId="54">
    <w:abstractNumId w:val="42"/>
  </w:num>
  <w:num w:numId="55">
    <w:abstractNumId w:val="51"/>
  </w:num>
  <w:num w:numId="56">
    <w:abstractNumId w:val="3"/>
  </w:num>
  <w:num w:numId="57">
    <w:abstractNumId w:val="8"/>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534FB"/>
    <w:rsid w:val="000716C5"/>
    <w:rsid w:val="00075E23"/>
    <w:rsid w:val="0009344A"/>
    <w:rsid w:val="000A392E"/>
    <w:rsid w:val="000A575F"/>
    <w:rsid w:val="000D10DB"/>
    <w:rsid w:val="000E30E7"/>
    <w:rsid w:val="000E5EB5"/>
    <w:rsid w:val="000F35ED"/>
    <w:rsid w:val="00107131"/>
    <w:rsid w:val="0010736F"/>
    <w:rsid w:val="00113F73"/>
    <w:rsid w:val="001209BA"/>
    <w:rsid w:val="00121CC2"/>
    <w:rsid w:val="00133EE5"/>
    <w:rsid w:val="00141A50"/>
    <w:rsid w:val="00167A34"/>
    <w:rsid w:val="001A7870"/>
    <w:rsid w:val="001C1B41"/>
    <w:rsid w:val="001D65EF"/>
    <w:rsid w:val="002250A3"/>
    <w:rsid w:val="00227AD9"/>
    <w:rsid w:val="00235217"/>
    <w:rsid w:val="00246D1F"/>
    <w:rsid w:val="00247403"/>
    <w:rsid w:val="00247542"/>
    <w:rsid w:val="00266B61"/>
    <w:rsid w:val="0026712A"/>
    <w:rsid w:val="002704DB"/>
    <w:rsid w:val="002762A0"/>
    <w:rsid w:val="00294DD9"/>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1165"/>
    <w:rsid w:val="00411269"/>
    <w:rsid w:val="004165C2"/>
    <w:rsid w:val="00441ECB"/>
    <w:rsid w:val="004471F7"/>
    <w:rsid w:val="00467B7E"/>
    <w:rsid w:val="00477592"/>
    <w:rsid w:val="00486F1C"/>
    <w:rsid w:val="0049419D"/>
    <w:rsid w:val="00495E88"/>
    <w:rsid w:val="004C20D2"/>
    <w:rsid w:val="004C4B62"/>
    <w:rsid w:val="004C54C9"/>
    <w:rsid w:val="004D2FB9"/>
    <w:rsid w:val="004D6025"/>
    <w:rsid w:val="004E2649"/>
    <w:rsid w:val="00501399"/>
    <w:rsid w:val="0050633D"/>
    <w:rsid w:val="00507BC4"/>
    <w:rsid w:val="005128E4"/>
    <w:rsid w:val="005133DB"/>
    <w:rsid w:val="00525560"/>
    <w:rsid w:val="00544C49"/>
    <w:rsid w:val="005516A1"/>
    <w:rsid w:val="005623BD"/>
    <w:rsid w:val="00567A4E"/>
    <w:rsid w:val="0057402A"/>
    <w:rsid w:val="005771D0"/>
    <w:rsid w:val="0059191A"/>
    <w:rsid w:val="005921FF"/>
    <w:rsid w:val="005A6D0E"/>
    <w:rsid w:val="005B52B0"/>
    <w:rsid w:val="005B6806"/>
    <w:rsid w:val="005C4225"/>
    <w:rsid w:val="005F0DAD"/>
    <w:rsid w:val="005F0F33"/>
    <w:rsid w:val="00600DEB"/>
    <w:rsid w:val="00616E27"/>
    <w:rsid w:val="00627C9F"/>
    <w:rsid w:val="006311E9"/>
    <w:rsid w:val="00632354"/>
    <w:rsid w:val="00642810"/>
    <w:rsid w:val="00652333"/>
    <w:rsid w:val="0068009E"/>
    <w:rsid w:val="00692219"/>
    <w:rsid w:val="006A17D2"/>
    <w:rsid w:val="006A73E6"/>
    <w:rsid w:val="006B2D5C"/>
    <w:rsid w:val="006B334D"/>
    <w:rsid w:val="006C4EB1"/>
    <w:rsid w:val="006E0166"/>
    <w:rsid w:val="006E7B34"/>
    <w:rsid w:val="0070697F"/>
    <w:rsid w:val="0072199C"/>
    <w:rsid w:val="00722C9F"/>
    <w:rsid w:val="007253B8"/>
    <w:rsid w:val="00727514"/>
    <w:rsid w:val="0073741F"/>
    <w:rsid w:val="0076643F"/>
    <w:rsid w:val="00777F63"/>
    <w:rsid w:val="007A5817"/>
    <w:rsid w:val="007B60E9"/>
    <w:rsid w:val="007B6CC3"/>
    <w:rsid w:val="007C3334"/>
    <w:rsid w:val="007D2B98"/>
    <w:rsid w:val="007E1398"/>
    <w:rsid w:val="007E21BC"/>
    <w:rsid w:val="00803F1C"/>
    <w:rsid w:val="00804698"/>
    <w:rsid w:val="0080600E"/>
    <w:rsid w:val="00817612"/>
    <w:rsid w:val="008338A4"/>
    <w:rsid w:val="00837C45"/>
    <w:rsid w:val="00844730"/>
    <w:rsid w:val="008452ED"/>
    <w:rsid w:val="008457C2"/>
    <w:rsid w:val="00857A82"/>
    <w:rsid w:val="00873836"/>
    <w:rsid w:val="00885737"/>
    <w:rsid w:val="00890650"/>
    <w:rsid w:val="00897E12"/>
    <w:rsid w:val="008A7E0F"/>
    <w:rsid w:val="008B12F5"/>
    <w:rsid w:val="008D768D"/>
    <w:rsid w:val="008E3759"/>
    <w:rsid w:val="008F1912"/>
    <w:rsid w:val="008F784A"/>
    <w:rsid w:val="0090270B"/>
    <w:rsid w:val="009041DC"/>
    <w:rsid w:val="00917B5A"/>
    <w:rsid w:val="00920A58"/>
    <w:rsid w:val="00920A8C"/>
    <w:rsid w:val="00934A2C"/>
    <w:rsid w:val="0096706E"/>
    <w:rsid w:val="00975C4E"/>
    <w:rsid w:val="00981FBA"/>
    <w:rsid w:val="00991815"/>
    <w:rsid w:val="00997BC5"/>
    <w:rsid w:val="009A4F41"/>
    <w:rsid w:val="009B381B"/>
    <w:rsid w:val="009D1753"/>
    <w:rsid w:val="009D2781"/>
    <w:rsid w:val="009D42B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567A"/>
    <w:rsid w:val="00C95829"/>
    <w:rsid w:val="00CB212D"/>
    <w:rsid w:val="00CB2660"/>
    <w:rsid w:val="00CB589A"/>
    <w:rsid w:val="00CC5E90"/>
    <w:rsid w:val="00CD046C"/>
    <w:rsid w:val="00CE076C"/>
    <w:rsid w:val="00CE5199"/>
    <w:rsid w:val="00CE66D5"/>
    <w:rsid w:val="00CF2445"/>
    <w:rsid w:val="00CF637A"/>
    <w:rsid w:val="00D059DE"/>
    <w:rsid w:val="00D13FCE"/>
    <w:rsid w:val="00D306D1"/>
    <w:rsid w:val="00D34786"/>
    <w:rsid w:val="00D37BFC"/>
    <w:rsid w:val="00D47A8E"/>
    <w:rsid w:val="00D52D14"/>
    <w:rsid w:val="00D712D3"/>
    <w:rsid w:val="00D71422"/>
    <w:rsid w:val="00D72DC6"/>
    <w:rsid w:val="00D7558D"/>
    <w:rsid w:val="00D81D92"/>
    <w:rsid w:val="00DA264A"/>
    <w:rsid w:val="00DA7B5F"/>
    <w:rsid w:val="00DC11E7"/>
    <w:rsid w:val="00DC449A"/>
    <w:rsid w:val="00DC7023"/>
    <w:rsid w:val="00DC769A"/>
    <w:rsid w:val="00DD3D86"/>
    <w:rsid w:val="00DF1EC4"/>
    <w:rsid w:val="00E0340B"/>
    <w:rsid w:val="00E04A90"/>
    <w:rsid w:val="00E219C7"/>
    <w:rsid w:val="00E43157"/>
    <w:rsid w:val="00E461CE"/>
    <w:rsid w:val="00E720CA"/>
    <w:rsid w:val="00E84EB5"/>
    <w:rsid w:val="00E85662"/>
    <w:rsid w:val="00E8789F"/>
    <w:rsid w:val="00E9420E"/>
    <w:rsid w:val="00E97B71"/>
    <w:rsid w:val="00EA3D34"/>
    <w:rsid w:val="00EB454D"/>
    <w:rsid w:val="00EC0C0D"/>
    <w:rsid w:val="00ED76BE"/>
    <w:rsid w:val="00EF619B"/>
    <w:rsid w:val="00F00B55"/>
    <w:rsid w:val="00F02AD1"/>
    <w:rsid w:val="00F253CC"/>
    <w:rsid w:val="00F37106"/>
    <w:rsid w:val="00F519CF"/>
    <w:rsid w:val="00F56BA5"/>
    <w:rsid w:val="00F60E22"/>
    <w:rsid w:val="00F66A7D"/>
    <w:rsid w:val="00F81395"/>
    <w:rsid w:val="00F917D1"/>
    <w:rsid w:val="00F9653B"/>
    <w:rsid w:val="00FA04B8"/>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5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42C1-9615-49C5-8891-BCA936AB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4501</Characters>
  <Application>Microsoft Office Word</Application>
  <DocSecurity>0</DocSecurity>
  <Lines>125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2014-04-15T14:21:00Z</cp:lastPrinted>
  <dcterms:created xsi:type="dcterms:W3CDTF">2015-03-04T21:05:00Z</dcterms:created>
  <dcterms:modified xsi:type="dcterms:W3CDTF">2015-03-04T21:05:00Z</dcterms:modified>
</cp:coreProperties>
</file>