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4419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736BA" w:rsidRDefault="00C736B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736BA" w:rsidRDefault="00C736B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B98C10C" w:rsidR="00C736BA" w:rsidRPr="004E2649" w:rsidRDefault="00C736B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34449">
                              <w:rPr>
                                <w:rFonts w:asciiTheme="majorHAnsi" w:hAnsiTheme="majorHAnsi" w:cs="Arial"/>
                                <w:b/>
                                <w:bCs/>
                                <w:color w:val="0D0D0D" w:themeColor="text1" w:themeTint="F2"/>
                                <w:sz w:val="36"/>
                                <w:szCs w:val="22"/>
                                <w:lang w:val="es-ES_tradnl"/>
                              </w:rPr>
                              <w:t>104</w:t>
                            </w:r>
                            <w:r>
                              <w:rPr>
                                <w:rFonts w:asciiTheme="majorHAnsi" w:hAnsiTheme="majorHAnsi" w:cs="Arial"/>
                                <w:b/>
                                <w:bCs/>
                                <w:color w:val="0D0D0D" w:themeColor="text1" w:themeTint="F2"/>
                                <w:sz w:val="36"/>
                                <w:szCs w:val="22"/>
                                <w:lang w:val="es-ES_tradnl"/>
                              </w:rPr>
                              <w:t>/18</w:t>
                            </w:r>
                          </w:p>
                          <w:p w14:paraId="09C54AB3" w14:textId="0D68789C" w:rsidR="00C736BA" w:rsidRDefault="00C736B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221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7AD6B061" w:rsidR="00C736BA" w:rsidRPr="0010736F" w:rsidRDefault="00C736B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736BA" w:rsidRPr="0010736F" w:rsidRDefault="00C736BA"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1DD4C9E" w:rsidR="00C736BA" w:rsidRPr="0010736F" w:rsidRDefault="00956538" w:rsidP="00997BC5">
                            <w:pPr>
                              <w:spacing w:line="276" w:lineRule="auto"/>
                              <w:rPr>
                                <w:rFonts w:asciiTheme="majorHAnsi" w:hAnsiTheme="majorHAnsi" w:cs="Arial"/>
                                <w:color w:val="0D0D0D" w:themeColor="text1" w:themeTint="F2"/>
                                <w:szCs w:val="22"/>
                                <w:lang w:val="es-ES_tradnl"/>
                              </w:rPr>
                            </w:pPr>
                            <w:r w:rsidRPr="00956538">
                              <w:rPr>
                                <w:rFonts w:asciiTheme="majorHAnsi" w:hAnsiTheme="majorHAnsi" w:cs="Arial"/>
                                <w:color w:val="0D0D0D" w:themeColor="text1" w:themeTint="F2"/>
                                <w:szCs w:val="22"/>
                                <w:lang w:val="es-ES_tradnl"/>
                              </w:rPr>
                              <w:t xml:space="preserve">DELIS PALACIO HERRÓN Y OTROS </w:t>
                            </w:r>
                            <w:r>
                              <w:rPr>
                                <w:rFonts w:asciiTheme="majorHAnsi" w:hAnsiTheme="majorHAnsi" w:cs="Arial"/>
                                <w:color w:val="0D0D0D" w:themeColor="text1" w:themeTint="F2"/>
                                <w:szCs w:val="22"/>
                                <w:lang w:val="es-ES_tradnl"/>
                              </w:rPr>
                              <w:t>(</w:t>
                            </w:r>
                            <w:r w:rsidR="00C736BA" w:rsidRPr="00610B6F">
                              <w:rPr>
                                <w:rFonts w:asciiTheme="majorHAnsi" w:hAnsiTheme="majorHAnsi" w:cs="Arial"/>
                                <w:color w:val="0D0D0D" w:themeColor="text1" w:themeTint="F2"/>
                                <w:szCs w:val="22"/>
                                <w:lang w:val="es-ES_tradnl"/>
                              </w:rPr>
                              <w:t>MASACRE DE BOJAYÁ</w:t>
                            </w:r>
                            <w:r>
                              <w:rPr>
                                <w:rFonts w:asciiTheme="majorHAnsi" w:hAnsiTheme="majorHAnsi" w:cs="Arial"/>
                                <w:color w:val="0D0D0D" w:themeColor="text1" w:themeTint="F2"/>
                                <w:szCs w:val="22"/>
                                <w:lang w:val="es-ES_tradnl"/>
                              </w:rPr>
                              <w:t>)</w:t>
                            </w:r>
                            <w:r w:rsidR="00C736BA">
                              <w:rPr>
                                <w:rFonts w:asciiTheme="majorHAnsi" w:hAnsiTheme="majorHAnsi" w:cs="Arial"/>
                                <w:color w:val="0D0D0D" w:themeColor="text1" w:themeTint="F2"/>
                                <w:szCs w:val="22"/>
                                <w:lang w:val="es-ES_tradnl"/>
                              </w:rPr>
                              <w:t xml:space="preserve"> </w:t>
                            </w:r>
                          </w:p>
                          <w:bookmarkEnd w:id="1"/>
                          <w:p w14:paraId="35068D0D" w14:textId="2951536D" w:rsidR="00C736BA" w:rsidRPr="0010736F" w:rsidRDefault="00C736B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C736BA" w:rsidRPr="00AE5488" w:rsidRDefault="00C736B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B98C10C" w:rsidR="00C736BA" w:rsidRPr="004E2649" w:rsidRDefault="00C736B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34449">
                        <w:rPr>
                          <w:rFonts w:asciiTheme="majorHAnsi" w:hAnsiTheme="majorHAnsi" w:cs="Arial"/>
                          <w:b/>
                          <w:bCs/>
                          <w:color w:val="0D0D0D" w:themeColor="text1" w:themeTint="F2"/>
                          <w:sz w:val="36"/>
                          <w:szCs w:val="22"/>
                          <w:lang w:val="es-ES_tradnl"/>
                        </w:rPr>
                        <w:t>104</w:t>
                      </w:r>
                      <w:r>
                        <w:rPr>
                          <w:rFonts w:asciiTheme="majorHAnsi" w:hAnsiTheme="majorHAnsi" w:cs="Arial"/>
                          <w:b/>
                          <w:bCs/>
                          <w:color w:val="0D0D0D" w:themeColor="text1" w:themeTint="F2"/>
                          <w:sz w:val="36"/>
                          <w:szCs w:val="22"/>
                          <w:lang w:val="es-ES_tradnl"/>
                        </w:rPr>
                        <w:t>/18</w:t>
                      </w:r>
                    </w:p>
                    <w:p w14:paraId="09C54AB3" w14:textId="0D68789C" w:rsidR="00C736BA" w:rsidRDefault="00C736B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221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7AD6B061" w:rsidR="00C736BA" w:rsidRPr="0010736F" w:rsidRDefault="00C736B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736BA" w:rsidRPr="0010736F" w:rsidRDefault="00C736BA" w:rsidP="00997BC5">
                      <w:pPr>
                        <w:spacing w:line="276" w:lineRule="auto"/>
                        <w:rPr>
                          <w:rFonts w:asciiTheme="majorHAnsi" w:hAnsiTheme="majorHAnsi" w:cs="Arial"/>
                          <w:color w:val="0D0D0D" w:themeColor="text1" w:themeTint="F2"/>
                          <w:szCs w:val="22"/>
                          <w:lang w:val="es-ES_tradnl"/>
                        </w:rPr>
                      </w:pPr>
                      <w:bookmarkStart w:id="2" w:name="_ftnref1"/>
                    </w:p>
                    <w:p w14:paraId="4CFA2FBF" w14:textId="71DD4C9E" w:rsidR="00C736BA" w:rsidRPr="0010736F" w:rsidRDefault="00956538" w:rsidP="00997BC5">
                      <w:pPr>
                        <w:spacing w:line="276" w:lineRule="auto"/>
                        <w:rPr>
                          <w:rFonts w:asciiTheme="majorHAnsi" w:hAnsiTheme="majorHAnsi" w:cs="Arial"/>
                          <w:color w:val="0D0D0D" w:themeColor="text1" w:themeTint="F2"/>
                          <w:szCs w:val="22"/>
                          <w:lang w:val="es-ES_tradnl"/>
                        </w:rPr>
                      </w:pPr>
                      <w:r w:rsidRPr="00956538">
                        <w:rPr>
                          <w:rFonts w:asciiTheme="majorHAnsi" w:hAnsiTheme="majorHAnsi" w:cs="Arial"/>
                          <w:color w:val="0D0D0D" w:themeColor="text1" w:themeTint="F2"/>
                          <w:szCs w:val="22"/>
                          <w:lang w:val="es-ES_tradnl"/>
                        </w:rPr>
                        <w:t xml:space="preserve">DELIS PALACIO HERRÓN Y OTROS </w:t>
                      </w:r>
                      <w:r>
                        <w:rPr>
                          <w:rFonts w:asciiTheme="majorHAnsi" w:hAnsiTheme="majorHAnsi" w:cs="Arial"/>
                          <w:color w:val="0D0D0D" w:themeColor="text1" w:themeTint="F2"/>
                          <w:szCs w:val="22"/>
                          <w:lang w:val="es-ES_tradnl"/>
                        </w:rPr>
                        <w:t>(</w:t>
                      </w:r>
                      <w:r w:rsidR="00C736BA" w:rsidRPr="00610B6F">
                        <w:rPr>
                          <w:rFonts w:asciiTheme="majorHAnsi" w:hAnsiTheme="majorHAnsi" w:cs="Arial"/>
                          <w:color w:val="0D0D0D" w:themeColor="text1" w:themeTint="F2"/>
                          <w:szCs w:val="22"/>
                          <w:lang w:val="es-ES_tradnl"/>
                        </w:rPr>
                        <w:t>MASACRE DE BOJAYÁ</w:t>
                      </w:r>
                      <w:r>
                        <w:rPr>
                          <w:rFonts w:asciiTheme="majorHAnsi" w:hAnsiTheme="majorHAnsi" w:cs="Arial"/>
                          <w:color w:val="0D0D0D" w:themeColor="text1" w:themeTint="F2"/>
                          <w:szCs w:val="22"/>
                          <w:lang w:val="es-ES_tradnl"/>
                        </w:rPr>
                        <w:t>)</w:t>
                      </w:r>
                      <w:r w:rsidR="00C736BA">
                        <w:rPr>
                          <w:rFonts w:asciiTheme="majorHAnsi" w:hAnsiTheme="majorHAnsi" w:cs="Arial"/>
                          <w:color w:val="0D0D0D" w:themeColor="text1" w:themeTint="F2"/>
                          <w:szCs w:val="22"/>
                          <w:lang w:val="es-ES_tradnl"/>
                        </w:rPr>
                        <w:t xml:space="preserve"> </w:t>
                      </w:r>
                    </w:p>
                    <w:bookmarkEnd w:id="2"/>
                    <w:p w14:paraId="35068D0D" w14:textId="2951536D" w:rsidR="00C736BA" w:rsidRPr="0010736F" w:rsidRDefault="00C736B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C736BA" w:rsidRPr="00AE5488" w:rsidRDefault="00C736BA"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2F0DFDD" w:rsidR="00C736BA" w:rsidRPr="004E2649" w:rsidRDefault="00C736B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5E41F2B" w:rsidR="00C736BA" w:rsidRPr="004E2649" w:rsidRDefault="00C736B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34449">
                              <w:rPr>
                                <w:rFonts w:asciiTheme="minorHAnsi" w:hAnsiTheme="minorHAnsi"/>
                                <w:color w:val="FFFFFF" w:themeColor="background1"/>
                                <w:sz w:val="22"/>
                                <w:lang w:val="pt-BR"/>
                              </w:rPr>
                              <w:t>117</w:t>
                            </w:r>
                          </w:p>
                          <w:p w14:paraId="69373ED2" w14:textId="185F2C45" w:rsidR="00C736BA" w:rsidRPr="004E2649" w:rsidRDefault="00F3444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proofErr w:type="spellStart"/>
                            <w:r>
                              <w:rPr>
                                <w:rFonts w:asciiTheme="minorHAnsi" w:hAnsiTheme="minorHAnsi"/>
                                <w:color w:val="FFFFFF" w:themeColor="background1"/>
                                <w:sz w:val="22"/>
                              </w:rPr>
                              <w:t>septiembre</w:t>
                            </w:r>
                            <w:proofErr w:type="spellEnd"/>
                            <w:r>
                              <w:rPr>
                                <w:rFonts w:asciiTheme="minorHAnsi" w:hAnsiTheme="minorHAnsi"/>
                                <w:color w:val="FFFFFF" w:themeColor="background1"/>
                                <w:sz w:val="22"/>
                              </w:rPr>
                              <w:t xml:space="preserve"> </w:t>
                            </w:r>
                            <w:r w:rsidR="00C736BA" w:rsidRPr="004E2649">
                              <w:rPr>
                                <w:rFonts w:asciiTheme="minorHAnsi" w:hAnsiTheme="minorHAnsi"/>
                                <w:color w:val="FFFFFF" w:themeColor="background1"/>
                                <w:sz w:val="22"/>
                              </w:rPr>
                              <w:t>201</w:t>
                            </w:r>
                            <w:r w:rsidR="00C736BA">
                              <w:rPr>
                                <w:rFonts w:asciiTheme="minorHAnsi" w:hAnsiTheme="minorHAnsi"/>
                                <w:color w:val="FFFFFF" w:themeColor="background1"/>
                                <w:sz w:val="22"/>
                              </w:rPr>
                              <w:t>8</w:t>
                            </w:r>
                          </w:p>
                          <w:p w14:paraId="0771DB5B" w14:textId="77777777" w:rsidR="00C736BA" w:rsidRPr="004E2649" w:rsidRDefault="00C736B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2F0DFDD" w:rsidR="00C736BA" w:rsidRPr="004E2649" w:rsidRDefault="00C736B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5E41F2B" w:rsidR="00C736BA" w:rsidRPr="004E2649" w:rsidRDefault="00C736B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34449">
                        <w:rPr>
                          <w:rFonts w:asciiTheme="minorHAnsi" w:hAnsiTheme="minorHAnsi"/>
                          <w:color w:val="FFFFFF" w:themeColor="background1"/>
                          <w:sz w:val="22"/>
                          <w:lang w:val="pt-BR"/>
                        </w:rPr>
                        <w:t>117</w:t>
                      </w:r>
                    </w:p>
                    <w:p w14:paraId="69373ED2" w14:textId="185F2C45" w:rsidR="00C736BA" w:rsidRPr="004E2649" w:rsidRDefault="00F3444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proofErr w:type="spellStart"/>
                      <w:r>
                        <w:rPr>
                          <w:rFonts w:asciiTheme="minorHAnsi" w:hAnsiTheme="minorHAnsi"/>
                          <w:color w:val="FFFFFF" w:themeColor="background1"/>
                          <w:sz w:val="22"/>
                        </w:rPr>
                        <w:t>septiembre</w:t>
                      </w:r>
                      <w:proofErr w:type="spellEnd"/>
                      <w:r>
                        <w:rPr>
                          <w:rFonts w:asciiTheme="minorHAnsi" w:hAnsiTheme="minorHAnsi"/>
                          <w:color w:val="FFFFFF" w:themeColor="background1"/>
                          <w:sz w:val="22"/>
                        </w:rPr>
                        <w:t xml:space="preserve"> </w:t>
                      </w:r>
                      <w:r w:rsidR="00C736BA" w:rsidRPr="004E2649">
                        <w:rPr>
                          <w:rFonts w:asciiTheme="minorHAnsi" w:hAnsiTheme="minorHAnsi"/>
                          <w:color w:val="FFFFFF" w:themeColor="background1"/>
                          <w:sz w:val="22"/>
                        </w:rPr>
                        <w:t>201</w:t>
                      </w:r>
                      <w:r w:rsidR="00C736BA">
                        <w:rPr>
                          <w:rFonts w:asciiTheme="minorHAnsi" w:hAnsiTheme="minorHAnsi"/>
                          <w:color w:val="FFFFFF" w:themeColor="background1"/>
                          <w:sz w:val="22"/>
                        </w:rPr>
                        <w:t>8</w:t>
                      </w:r>
                    </w:p>
                    <w:p w14:paraId="0771DB5B" w14:textId="77777777" w:rsidR="00C736BA" w:rsidRPr="004E2649" w:rsidRDefault="00C736B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456FFBE1" w:rsidR="00C736BA" w:rsidRPr="007A5817" w:rsidRDefault="00C736BA"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0"/>
                                <w:lang w:val="es-ES"/>
                              </w:rPr>
                              <w:t>Aprobado</w:t>
                            </w:r>
                            <w:r w:rsidR="00F34449">
                              <w:rPr>
                                <w:rFonts w:asciiTheme="majorHAnsi" w:hAnsiTheme="majorHAnsi"/>
                                <w:color w:val="0D0D0D" w:themeColor="text1" w:themeTint="F2"/>
                                <w:sz w:val="18"/>
                                <w:szCs w:val="20"/>
                                <w:lang w:val="es-ES"/>
                              </w:rPr>
                              <w:t xml:space="preserve"> electr</w:t>
                            </w:r>
                            <w:r w:rsidR="00F34449" w:rsidRPr="00F34449">
                              <w:rPr>
                                <w:rFonts w:asciiTheme="majorHAnsi" w:hAnsiTheme="majorHAnsi"/>
                                <w:color w:val="0D0D0D" w:themeColor="text1" w:themeTint="F2"/>
                                <w:sz w:val="18"/>
                                <w:szCs w:val="20"/>
                                <w:lang w:val="es-ES"/>
                              </w:rPr>
                              <w:t>ónicamente</w:t>
                            </w:r>
                            <w:r w:rsidRPr="00890650">
                              <w:rPr>
                                <w:rFonts w:asciiTheme="majorHAnsi" w:hAnsiTheme="majorHAnsi"/>
                                <w:color w:val="0D0D0D" w:themeColor="text1" w:themeTint="F2"/>
                                <w:sz w:val="18"/>
                                <w:szCs w:val="20"/>
                                <w:lang w:val="es-ES"/>
                              </w:rPr>
                              <w:t xml:space="preserve"> por la Comisión el </w:t>
                            </w:r>
                            <w:r w:rsidR="00F34449">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t xml:space="preserve"> de </w:t>
                            </w:r>
                            <w:r w:rsidR="00F34449">
                              <w:rPr>
                                <w:rFonts w:asciiTheme="majorHAnsi" w:hAnsiTheme="majorHAnsi"/>
                                <w:color w:val="0D0D0D" w:themeColor="text1" w:themeTint="F2"/>
                                <w:sz w:val="18"/>
                                <w:szCs w:val="20"/>
                                <w:lang w:val="es-ES"/>
                              </w:rPr>
                              <w:t>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E95D91">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D148488" w14:textId="77777777" w:rsidR="00C736BA" w:rsidRPr="00167A34" w:rsidRDefault="00C736B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BDF3581" w14:textId="456FFBE1" w:rsidR="00C736BA" w:rsidRPr="007A5817" w:rsidRDefault="00C736BA"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0"/>
                          <w:lang w:val="es-ES"/>
                        </w:rPr>
                        <w:t>Aprobado</w:t>
                      </w:r>
                      <w:r w:rsidR="00F34449">
                        <w:rPr>
                          <w:rFonts w:asciiTheme="majorHAnsi" w:hAnsiTheme="majorHAnsi"/>
                          <w:color w:val="0D0D0D" w:themeColor="text1" w:themeTint="F2"/>
                          <w:sz w:val="18"/>
                          <w:szCs w:val="20"/>
                          <w:lang w:val="es-ES"/>
                        </w:rPr>
                        <w:t xml:space="preserve"> electr</w:t>
                      </w:r>
                      <w:r w:rsidR="00F34449" w:rsidRPr="00F34449">
                        <w:rPr>
                          <w:rFonts w:asciiTheme="majorHAnsi" w:hAnsiTheme="majorHAnsi"/>
                          <w:color w:val="0D0D0D" w:themeColor="text1" w:themeTint="F2"/>
                          <w:sz w:val="18"/>
                          <w:szCs w:val="20"/>
                          <w:lang w:val="es-ES"/>
                        </w:rPr>
                        <w:t>ónicamente</w:t>
                      </w:r>
                      <w:r w:rsidRPr="00890650">
                        <w:rPr>
                          <w:rFonts w:asciiTheme="majorHAnsi" w:hAnsiTheme="majorHAnsi"/>
                          <w:color w:val="0D0D0D" w:themeColor="text1" w:themeTint="F2"/>
                          <w:sz w:val="18"/>
                          <w:szCs w:val="20"/>
                          <w:lang w:val="es-ES"/>
                        </w:rPr>
                        <w:t xml:space="preserve"> por la Comisión el </w:t>
                      </w:r>
                      <w:r w:rsidR="00F34449">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t xml:space="preserve"> de </w:t>
                      </w:r>
                      <w:r w:rsidR="00F34449">
                        <w:rPr>
                          <w:rFonts w:asciiTheme="majorHAnsi" w:hAnsiTheme="majorHAnsi"/>
                          <w:color w:val="0D0D0D" w:themeColor="text1" w:themeTint="F2"/>
                          <w:sz w:val="18"/>
                          <w:szCs w:val="20"/>
                          <w:lang w:val="es-ES"/>
                        </w:rPr>
                        <w:t>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E95D91">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D148488" w14:textId="77777777" w:rsidR="00C736BA" w:rsidRPr="00167A34" w:rsidRDefault="00C736B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670DC05" w:rsidR="00C736BA" w:rsidRPr="007B05C4" w:rsidRDefault="00C736B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34449" w:rsidRPr="00F34449">
                              <w:rPr>
                                <w:rFonts w:asciiTheme="majorHAnsi" w:hAnsiTheme="majorHAnsi"/>
                                <w:color w:val="595959" w:themeColor="text1" w:themeTint="A6"/>
                                <w:sz w:val="18"/>
                                <w:szCs w:val="18"/>
                                <w:lang w:val="pt-BR"/>
                              </w:rPr>
                              <w:t>104</w:t>
                            </w:r>
                            <w:r w:rsidRPr="00F34449">
                              <w:rPr>
                                <w:rFonts w:asciiTheme="majorHAnsi" w:hAnsiTheme="majorHAnsi"/>
                                <w:color w:val="595959" w:themeColor="text1" w:themeTint="A6"/>
                                <w:sz w:val="18"/>
                                <w:szCs w:val="18"/>
                                <w:lang w:val="pt-BR"/>
                              </w:rPr>
                              <w:t>/</w:t>
                            </w:r>
                            <w:r w:rsidR="00F34449" w:rsidRPr="00F34449">
                              <w:rPr>
                                <w:rFonts w:asciiTheme="majorHAnsi" w:hAnsiTheme="majorHAnsi"/>
                                <w:color w:val="595959" w:themeColor="text1" w:themeTint="A6"/>
                                <w:sz w:val="18"/>
                                <w:szCs w:val="18"/>
                                <w:lang w:val="pt-BR"/>
                              </w:rPr>
                              <w:t>18</w:t>
                            </w:r>
                            <w:r w:rsidRPr="00F3444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P-</w:t>
                            </w:r>
                            <w:r>
                              <w:rPr>
                                <w:rFonts w:asciiTheme="majorHAnsi" w:hAnsiTheme="majorHAnsi"/>
                                <w:color w:val="595959" w:themeColor="text1" w:themeTint="A6"/>
                                <w:sz w:val="18"/>
                                <w:szCs w:val="18"/>
                                <w:lang w:val="es-ES_tradnl"/>
                              </w:rPr>
                              <w:t>221-08</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956538">
                              <w:rPr>
                                <w:rFonts w:asciiTheme="majorHAnsi" w:hAnsiTheme="majorHAnsi"/>
                                <w:color w:val="595959" w:themeColor="text1" w:themeTint="A6"/>
                                <w:sz w:val="18"/>
                                <w:szCs w:val="18"/>
                                <w:lang w:val="es-ES_tradnl"/>
                              </w:rPr>
                              <w:t xml:space="preserve">Delis Palacio Herrón y </w:t>
                            </w:r>
                            <w:proofErr w:type="gramStart"/>
                            <w:r w:rsidR="00956538">
                              <w:rPr>
                                <w:rFonts w:asciiTheme="majorHAnsi" w:hAnsiTheme="majorHAnsi"/>
                                <w:color w:val="595959" w:themeColor="text1" w:themeTint="A6"/>
                                <w:sz w:val="18"/>
                                <w:szCs w:val="18"/>
                                <w:lang w:val="es-ES_tradnl"/>
                              </w:rPr>
                              <w:t>o</w:t>
                            </w:r>
                            <w:r w:rsidR="00956538" w:rsidRPr="00956538">
                              <w:rPr>
                                <w:rFonts w:asciiTheme="majorHAnsi" w:hAnsiTheme="majorHAnsi"/>
                                <w:color w:val="595959" w:themeColor="text1" w:themeTint="A6"/>
                                <w:sz w:val="18"/>
                                <w:szCs w:val="18"/>
                                <w:lang w:val="es-ES_tradnl"/>
                              </w:rPr>
                              <w:t>tros</w:t>
                            </w:r>
                            <w:proofErr w:type="gramEnd"/>
                            <w:r w:rsidR="00956538">
                              <w:rPr>
                                <w:rFonts w:asciiTheme="majorHAnsi" w:hAnsiTheme="majorHAnsi"/>
                                <w:color w:val="595959" w:themeColor="text1" w:themeTint="A6"/>
                                <w:sz w:val="18"/>
                                <w:szCs w:val="18"/>
                                <w:lang w:val="es-ES_tradnl"/>
                              </w:rPr>
                              <w:t xml:space="preserve"> (Masacre de </w:t>
                            </w:r>
                            <w:proofErr w:type="spellStart"/>
                            <w:r w:rsidR="00956538">
                              <w:rPr>
                                <w:rFonts w:asciiTheme="majorHAnsi" w:hAnsiTheme="majorHAnsi"/>
                                <w:color w:val="595959" w:themeColor="text1" w:themeTint="A6"/>
                                <w:sz w:val="18"/>
                                <w:szCs w:val="18"/>
                                <w:lang w:val="es-ES_tradnl"/>
                              </w:rPr>
                              <w:t>Bojayá</w:t>
                            </w:r>
                            <w:proofErr w:type="spellEnd"/>
                            <w:r w:rsidR="00956538">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F34449">
                              <w:rPr>
                                <w:rFonts w:asciiTheme="majorHAnsi" w:hAnsiTheme="majorHAnsi"/>
                                <w:color w:val="595959" w:themeColor="text1" w:themeTint="A6"/>
                                <w:sz w:val="18"/>
                                <w:szCs w:val="18"/>
                                <w:lang w:val="es-ES"/>
                              </w:rPr>
                              <w:t>20 de septiembre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670DC05" w:rsidR="00C736BA" w:rsidRPr="007B05C4" w:rsidRDefault="00C736B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34449" w:rsidRPr="00F34449">
                        <w:rPr>
                          <w:rFonts w:asciiTheme="majorHAnsi" w:hAnsiTheme="majorHAnsi"/>
                          <w:color w:val="595959" w:themeColor="text1" w:themeTint="A6"/>
                          <w:sz w:val="18"/>
                          <w:szCs w:val="18"/>
                          <w:lang w:val="pt-BR"/>
                        </w:rPr>
                        <w:t>104</w:t>
                      </w:r>
                      <w:r w:rsidRPr="00F34449">
                        <w:rPr>
                          <w:rFonts w:asciiTheme="majorHAnsi" w:hAnsiTheme="majorHAnsi"/>
                          <w:color w:val="595959" w:themeColor="text1" w:themeTint="A6"/>
                          <w:sz w:val="18"/>
                          <w:szCs w:val="18"/>
                          <w:lang w:val="pt-BR"/>
                        </w:rPr>
                        <w:t>/</w:t>
                      </w:r>
                      <w:r w:rsidR="00F34449" w:rsidRPr="00F34449">
                        <w:rPr>
                          <w:rFonts w:asciiTheme="majorHAnsi" w:hAnsiTheme="majorHAnsi"/>
                          <w:color w:val="595959" w:themeColor="text1" w:themeTint="A6"/>
                          <w:sz w:val="18"/>
                          <w:szCs w:val="18"/>
                          <w:lang w:val="pt-BR"/>
                        </w:rPr>
                        <w:t>18</w:t>
                      </w:r>
                      <w:r w:rsidRPr="00F3444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P-</w:t>
                      </w:r>
                      <w:r>
                        <w:rPr>
                          <w:rFonts w:asciiTheme="majorHAnsi" w:hAnsiTheme="majorHAnsi"/>
                          <w:color w:val="595959" w:themeColor="text1" w:themeTint="A6"/>
                          <w:sz w:val="18"/>
                          <w:szCs w:val="18"/>
                          <w:lang w:val="es-ES_tradnl"/>
                        </w:rPr>
                        <w:t>221-08</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956538">
                        <w:rPr>
                          <w:rFonts w:asciiTheme="majorHAnsi" w:hAnsiTheme="majorHAnsi"/>
                          <w:color w:val="595959" w:themeColor="text1" w:themeTint="A6"/>
                          <w:sz w:val="18"/>
                          <w:szCs w:val="18"/>
                          <w:lang w:val="es-ES_tradnl"/>
                        </w:rPr>
                        <w:t xml:space="preserve">Delis Palacio Herrón y </w:t>
                      </w:r>
                      <w:proofErr w:type="gramStart"/>
                      <w:r w:rsidR="00956538">
                        <w:rPr>
                          <w:rFonts w:asciiTheme="majorHAnsi" w:hAnsiTheme="majorHAnsi"/>
                          <w:color w:val="595959" w:themeColor="text1" w:themeTint="A6"/>
                          <w:sz w:val="18"/>
                          <w:szCs w:val="18"/>
                          <w:lang w:val="es-ES_tradnl"/>
                        </w:rPr>
                        <w:t>o</w:t>
                      </w:r>
                      <w:r w:rsidR="00956538" w:rsidRPr="00956538">
                        <w:rPr>
                          <w:rFonts w:asciiTheme="majorHAnsi" w:hAnsiTheme="majorHAnsi"/>
                          <w:color w:val="595959" w:themeColor="text1" w:themeTint="A6"/>
                          <w:sz w:val="18"/>
                          <w:szCs w:val="18"/>
                          <w:lang w:val="es-ES_tradnl"/>
                        </w:rPr>
                        <w:t>tros</w:t>
                      </w:r>
                      <w:proofErr w:type="gramEnd"/>
                      <w:r w:rsidR="00956538">
                        <w:rPr>
                          <w:rFonts w:asciiTheme="majorHAnsi" w:hAnsiTheme="majorHAnsi"/>
                          <w:color w:val="595959" w:themeColor="text1" w:themeTint="A6"/>
                          <w:sz w:val="18"/>
                          <w:szCs w:val="18"/>
                          <w:lang w:val="es-ES_tradnl"/>
                        </w:rPr>
                        <w:t xml:space="preserve"> (Masacre de </w:t>
                      </w:r>
                      <w:proofErr w:type="spellStart"/>
                      <w:r w:rsidR="00956538">
                        <w:rPr>
                          <w:rFonts w:asciiTheme="majorHAnsi" w:hAnsiTheme="majorHAnsi"/>
                          <w:color w:val="595959" w:themeColor="text1" w:themeTint="A6"/>
                          <w:sz w:val="18"/>
                          <w:szCs w:val="18"/>
                          <w:lang w:val="es-ES_tradnl"/>
                        </w:rPr>
                        <w:t>Bojayá</w:t>
                      </w:r>
                      <w:proofErr w:type="spellEnd"/>
                      <w:r w:rsidR="00956538">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F34449">
                        <w:rPr>
                          <w:rFonts w:asciiTheme="majorHAnsi" w:hAnsiTheme="majorHAnsi"/>
                          <w:color w:val="595959" w:themeColor="text1" w:themeTint="A6"/>
                          <w:sz w:val="18"/>
                          <w:szCs w:val="18"/>
                          <w:lang w:val="es-ES"/>
                        </w:rPr>
                        <w:t>20 de septiembre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C736BA" w:rsidRPr="00D72DC6" w:rsidRDefault="00C736B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C736BA" w:rsidRPr="00D72DC6" w:rsidRDefault="00C736B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736BA" w:rsidRPr="004B7EB6" w:rsidRDefault="00C736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C736BA" w:rsidRPr="004B7EB6" w:rsidRDefault="00C736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090" w:type="dxa"/>
        <w:tblInd w:w="108" w:type="dxa"/>
        <w:tblBorders>
          <w:insideH w:val="single" w:sz="6" w:space="0" w:color="auto"/>
          <w:insideV w:val="single" w:sz="6" w:space="0" w:color="auto"/>
        </w:tblBorders>
        <w:tblLook w:val="04A0" w:firstRow="1" w:lastRow="0" w:firstColumn="1" w:lastColumn="0" w:noHBand="0" w:noVBand="1"/>
      </w:tblPr>
      <w:tblGrid>
        <w:gridCol w:w="3600"/>
        <w:gridCol w:w="5490"/>
      </w:tblGrid>
      <w:tr w:rsidR="003239B8" w:rsidRPr="005E4876" w14:paraId="5A79D1F7" w14:textId="77777777" w:rsidTr="000E128A">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1E3B71">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490" w:type="dxa"/>
            <w:vAlign w:val="center"/>
          </w:tcPr>
          <w:p w14:paraId="3C5315D8" w14:textId="6DFA5A19" w:rsidR="003239B8" w:rsidRPr="005E4876" w:rsidRDefault="00A30B46" w:rsidP="00A30B46">
            <w:pPr>
              <w:jc w:val="both"/>
              <w:rPr>
                <w:rFonts w:ascii="Cambria" w:hAnsi="Cambria"/>
                <w:bCs/>
                <w:sz w:val="20"/>
                <w:szCs w:val="20"/>
                <w:lang w:val="es-US"/>
              </w:rPr>
            </w:pPr>
            <w:r w:rsidRPr="005E4876">
              <w:rPr>
                <w:rFonts w:ascii="Cambria" w:hAnsi="Cambria"/>
                <w:bCs/>
                <w:sz w:val="20"/>
                <w:szCs w:val="20"/>
                <w:lang w:val="es-US"/>
              </w:rPr>
              <w:t xml:space="preserve">Centro Jurídico de Derechos Humanos de </w:t>
            </w:r>
            <w:r w:rsidR="00232EF3" w:rsidRPr="005E4876">
              <w:rPr>
                <w:rFonts w:ascii="Cambria" w:hAnsi="Cambria"/>
                <w:bCs/>
                <w:sz w:val="20"/>
                <w:szCs w:val="20"/>
                <w:lang w:val="es-US"/>
              </w:rPr>
              <w:t>Antioquia</w:t>
            </w:r>
          </w:p>
        </w:tc>
      </w:tr>
      <w:tr w:rsidR="003239B8" w:rsidRPr="005E4876" w14:paraId="593A7E45" w14:textId="77777777" w:rsidTr="000E128A">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1F20B0" w:rsidP="001E3B7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490" w:type="dxa"/>
            <w:vAlign w:val="center"/>
          </w:tcPr>
          <w:p w14:paraId="4AEBF59E" w14:textId="010C9A9A" w:rsidR="003239B8" w:rsidRPr="00C805B4" w:rsidRDefault="00232EF3" w:rsidP="001E3B71">
            <w:pPr>
              <w:jc w:val="both"/>
              <w:rPr>
                <w:rFonts w:ascii="Cambria" w:hAnsi="Cambria"/>
                <w:bCs/>
                <w:sz w:val="20"/>
                <w:szCs w:val="20"/>
                <w:lang w:val="es-ES"/>
              </w:rPr>
            </w:pPr>
            <w:r>
              <w:rPr>
                <w:rFonts w:ascii="Cambria" w:hAnsi="Cambria"/>
                <w:bCs/>
                <w:sz w:val="20"/>
                <w:szCs w:val="20"/>
                <w:lang w:val="es-ES"/>
              </w:rPr>
              <w:t>Delis Palacio Herrón</w:t>
            </w:r>
            <w:r w:rsidR="00A30B46" w:rsidRPr="00C72BFD">
              <w:rPr>
                <w:rFonts w:ascii="Cambria" w:hAnsi="Cambria"/>
                <w:bCs/>
                <w:sz w:val="20"/>
                <w:szCs w:val="20"/>
                <w:lang w:val="es-ES"/>
              </w:rPr>
              <w:t xml:space="preserve"> y otros</w:t>
            </w:r>
            <w:r w:rsidR="007E5499" w:rsidRPr="00C72BFD">
              <w:rPr>
                <w:rStyle w:val="FootnoteReference"/>
                <w:rFonts w:ascii="Cambria" w:hAnsi="Cambria"/>
                <w:bCs/>
                <w:sz w:val="20"/>
                <w:szCs w:val="20"/>
              </w:rPr>
              <w:footnoteReference w:id="2"/>
            </w:r>
          </w:p>
        </w:tc>
      </w:tr>
      <w:tr w:rsidR="003239B8" w14:paraId="3E62E1D3" w14:textId="77777777" w:rsidTr="000E128A">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1E3B71">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490" w:type="dxa"/>
            <w:vAlign w:val="center"/>
          </w:tcPr>
          <w:p w14:paraId="274C8A50" w14:textId="5691777D" w:rsidR="003239B8" w:rsidRPr="00C72BFD" w:rsidRDefault="00A30B46" w:rsidP="001E3B71">
            <w:pPr>
              <w:jc w:val="both"/>
              <w:rPr>
                <w:rFonts w:ascii="Cambria" w:hAnsi="Cambria"/>
                <w:bCs/>
                <w:sz w:val="20"/>
                <w:szCs w:val="20"/>
              </w:rPr>
            </w:pPr>
            <w:r w:rsidRPr="00C72BFD">
              <w:rPr>
                <w:rFonts w:ascii="Cambria" w:hAnsi="Cambria"/>
                <w:bCs/>
                <w:sz w:val="20"/>
                <w:szCs w:val="20"/>
              </w:rPr>
              <w:t>Colombia</w:t>
            </w:r>
            <w:r w:rsidR="004A6A54" w:rsidRPr="00C72BFD">
              <w:rPr>
                <w:rStyle w:val="FootnoteReference"/>
                <w:rFonts w:ascii="Cambria" w:hAnsi="Cambria"/>
                <w:bCs/>
                <w:sz w:val="20"/>
                <w:szCs w:val="20"/>
              </w:rPr>
              <w:footnoteReference w:id="3"/>
            </w:r>
          </w:p>
        </w:tc>
      </w:tr>
      <w:tr w:rsidR="00223A29" w:rsidRPr="00584C89" w14:paraId="632511BC" w14:textId="77777777" w:rsidTr="000E128A">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490" w:type="dxa"/>
            <w:vAlign w:val="center"/>
          </w:tcPr>
          <w:p w14:paraId="6DEE1EEB" w14:textId="486DBD0F" w:rsidR="001E7EB6" w:rsidRPr="001E7EB6" w:rsidRDefault="001E7EB6" w:rsidP="000038A6">
            <w:pPr>
              <w:jc w:val="both"/>
              <w:rPr>
                <w:rFonts w:ascii="Cambria" w:hAnsi="Cambria"/>
                <w:bCs/>
                <w:sz w:val="20"/>
                <w:szCs w:val="20"/>
                <w:lang w:val="es-CO"/>
              </w:rPr>
            </w:pPr>
            <w:r>
              <w:rPr>
                <w:rFonts w:ascii="Cambria" w:hAnsi="Cambria"/>
                <w:bCs/>
                <w:sz w:val="20"/>
                <w:szCs w:val="20"/>
                <w:lang w:val="es-CO"/>
              </w:rPr>
              <w:t>Artículos 4 (vida), 8 (garantías judiciales) y 25 (protección judicial) de la Convención Americana sobre Derechos Humanos</w:t>
            </w:r>
            <w:r>
              <w:rPr>
                <w:rStyle w:val="FootnoteReference"/>
                <w:rFonts w:ascii="Cambria" w:hAnsi="Cambria"/>
                <w:bCs/>
                <w:sz w:val="20"/>
                <w:szCs w:val="20"/>
                <w:lang w:val="es-CO"/>
              </w:rPr>
              <w:footnoteReference w:id="4"/>
            </w:r>
            <w:r>
              <w:rPr>
                <w:rFonts w:ascii="Cambria" w:hAnsi="Cambria"/>
                <w:bCs/>
                <w:sz w:val="20"/>
                <w:szCs w:val="20"/>
                <w:lang w:val="es-CO"/>
              </w:rPr>
              <w:t xml:space="preserve"> en relación co</w:t>
            </w:r>
            <w:r w:rsidR="0052549F">
              <w:rPr>
                <w:rFonts w:ascii="Cambria" w:hAnsi="Cambria"/>
                <w:bCs/>
                <w:sz w:val="20"/>
                <w:szCs w:val="20"/>
                <w:lang w:val="es-CO"/>
              </w:rPr>
              <w:t xml:space="preserve">n su artículo 1.1. (obligación </w:t>
            </w:r>
            <w:r>
              <w:rPr>
                <w:rFonts w:ascii="Cambria" w:hAnsi="Cambria"/>
                <w:bCs/>
                <w:sz w:val="20"/>
                <w:szCs w:val="20"/>
                <w:lang w:val="es-CO"/>
              </w:rPr>
              <w:t>de respetar los derechos)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47A45">
        <w:rPr>
          <w:rStyle w:val="FootnoteReference"/>
          <w:rFonts w:ascii="Cambria" w:hAnsi="Cambria"/>
          <w:b/>
          <w:sz w:val="20"/>
          <w:szCs w:val="20"/>
        </w:rPr>
        <w:footnoteReference w:id="5"/>
      </w:r>
    </w:p>
    <w:tbl>
      <w:tblPr>
        <w:tblStyle w:val="TableGrid"/>
        <w:tblW w:w="9090" w:type="dxa"/>
        <w:tblInd w:w="108" w:type="dxa"/>
        <w:tblBorders>
          <w:insideH w:val="single" w:sz="6" w:space="0" w:color="auto"/>
          <w:insideV w:val="single" w:sz="6" w:space="0" w:color="auto"/>
        </w:tblBorders>
        <w:tblLook w:val="04A0" w:firstRow="1" w:lastRow="0" w:firstColumn="1" w:lastColumn="0" w:noHBand="0" w:noVBand="1"/>
      </w:tblPr>
      <w:tblGrid>
        <w:gridCol w:w="3600"/>
        <w:gridCol w:w="5490"/>
      </w:tblGrid>
      <w:tr w:rsidR="004C2312" w:rsidRPr="001E7EB6" w14:paraId="306EFCB0" w14:textId="77777777" w:rsidTr="000E128A">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490" w:type="dxa"/>
            <w:vAlign w:val="center"/>
          </w:tcPr>
          <w:p w14:paraId="6E579153" w14:textId="29762291" w:rsidR="004C2312" w:rsidRPr="003239B8" w:rsidRDefault="00124C16" w:rsidP="001E3B71">
            <w:pPr>
              <w:jc w:val="both"/>
              <w:rPr>
                <w:rFonts w:ascii="Cambria" w:hAnsi="Cambria"/>
                <w:bCs/>
                <w:sz w:val="20"/>
                <w:szCs w:val="20"/>
                <w:lang w:val="es-ES"/>
              </w:rPr>
            </w:pPr>
            <w:r>
              <w:rPr>
                <w:rFonts w:ascii="Cambria" w:hAnsi="Cambria"/>
                <w:bCs/>
                <w:sz w:val="20"/>
                <w:szCs w:val="20"/>
                <w:lang w:val="es-ES"/>
              </w:rPr>
              <w:t>25 de febrero de 2008</w:t>
            </w:r>
          </w:p>
        </w:tc>
      </w:tr>
      <w:tr w:rsidR="00DD0492" w:rsidRPr="00124C16" w14:paraId="5D96B7DC" w14:textId="77777777" w:rsidTr="000E128A">
        <w:tc>
          <w:tcPr>
            <w:tcW w:w="3600" w:type="dxa"/>
            <w:tcBorders>
              <w:top w:val="single" w:sz="6" w:space="0" w:color="auto"/>
              <w:bottom w:val="single" w:sz="6" w:space="0" w:color="auto"/>
            </w:tcBorders>
            <w:shd w:val="clear" w:color="auto" w:fill="386294"/>
            <w:vAlign w:val="center"/>
          </w:tcPr>
          <w:p w14:paraId="2CE0B631" w14:textId="2CF6608B" w:rsidR="00DD0492" w:rsidRPr="001E49E7" w:rsidRDefault="00DD0492" w:rsidP="001E49E7">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490" w:type="dxa"/>
            <w:vAlign w:val="center"/>
          </w:tcPr>
          <w:p w14:paraId="43BA4FDD" w14:textId="2690B7AE" w:rsidR="00DD0492" w:rsidRPr="00CB7D19" w:rsidRDefault="00DD0492" w:rsidP="00CB7D19">
            <w:pPr>
              <w:rPr>
                <w:rFonts w:ascii="Cambria" w:hAnsi="Cambria"/>
                <w:bCs/>
                <w:color w:val="FFFFFF" w:themeColor="background1"/>
                <w:sz w:val="20"/>
                <w:szCs w:val="20"/>
                <w:lang w:val="es-AR"/>
              </w:rPr>
            </w:pPr>
            <w:r w:rsidRPr="00DD0492">
              <w:rPr>
                <w:rFonts w:ascii="Cambria" w:hAnsi="Cambria"/>
                <w:bCs/>
                <w:sz w:val="20"/>
                <w:szCs w:val="20"/>
                <w:lang w:val="es-ES"/>
              </w:rPr>
              <w:t>7 de marzo de 2014</w:t>
            </w:r>
          </w:p>
        </w:tc>
      </w:tr>
      <w:tr w:rsidR="00DD0492" w:rsidRPr="00124C16" w14:paraId="1BDCD5C6" w14:textId="77777777" w:rsidTr="000E128A">
        <w:tc>
          <w:tcPr>
            <w:tcW w:w="3600" w:type="dxa"/>
            <w:tcBorders>
              <w:top w:val="single" w:sz="6" w:space="0" w:color="auto"/>
              <w:bottom w:val="single" w:sz="6" w:space="0" w:color="auto"/>
            </w:tcBorders>
            <w:shd w:val="clear" w:color="auto" w:fill="386294"/>
            <w:vAlign w:val="center"/>
          </w:tcPr>
          <w:p w14:paraId="7A18664F" w14:textId="719F8630" w:rsidR="00DD0492" w:rsidRPr="003239B8" w:rsidRDefault="00DD0492"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490" w:type="dxa"/>
            <w:vAlign w:val="center"/>
          </w:tcPr>
          <w:p w14:paraId="1519DA6A" w14:textId="656B59B5" w:rsidR="00DD0492" w:rsidRPr="003239B8" w:rsidRDefault="00DD0492" w:rsidP="001E3B71">
            <w:pPr>
              <w:jc w:val="both"/>
              <w:rPr>
                <w:rFonts w:ascii="Cambria" w:hAnsi="Cambria"/>
                <w:bCs/>
                <w:sz w:val="20"/>
                <w:szCs w:val="20"/>
                <w:lang w:val="es-ES"/>
              </w:rPr>
            </w:pPr>
            <w:r>
              <w:rPr>
                <w:rFonts w:ascii="Cambria" w:hAnsi="Cambria"/>
                <w:bCs/>
                <w:sz w:val="20"/>
                <w:szCs w:val="20"/>
                <w:lang w:val="es-ES"/>
              </w:rPr>
              <w:t>24 de diciembre de 2014</w:t>
            </w:r>
          </w:p>
        </w:tc>
      </w:tr>
      <w:tr w:rsidR="00DD0492" w:rsidRPr="00DD0492" w14:paraId="6147A8D5" w14:textId="77777777" w:rsidTr="000E128A">
        <w:tc>
          <w:tcPr>
            <w:tcW w:w="3600" w:type="dxa"/>
            <w:tcBorders>
              <w:top w:val="single" w:sz="6" w:space="0" w:color="auto"/>
              <w:bottom w:val="single" w:sz="6" w:space="0" w:color="auto"/>
            </w:tcBorders>
            <w:shd w:val="clear" w:color="auto" w:fill="386294"/>
            <w:vAlign w:val="center"/>
          </w:tcPr>
          <w:p w14:paraId="0201C86D" w14:textId="336E6E6E" w:rsidR="00DD0492" w:rsidRPr="003239B8" w:rsidRDefault="00DD0492"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490" w:type="dxa"/>
            <w:vAlign w:val="center"/>
          </w:tcPr>
          <w:p w14:paraId="1972B99E" w14:textId="086ED2E0" w:rsidR="00DD0492" w:rsidRPr="003239B8" w:rsidRDefault="00DD0492" w:rsidP="00892565">
            <w:pPr>
              <w:jc w:val="both"/>
              <w:rPr>
                <w:rFonts w:ascii="Cambria" w:hAnsi="Cambria"/>
                <w:bCs/>
                <w:sz w:val="20"/>
                <w:szCs w:val="20"/>
                <w:lang w:val="es-ES"/>
              </w:rPr>
            </w:pPr>
            <w:r>
              <w:rPr>
                <w:rFonts w:ascii="Cambria" w:hAnsi="Cambria"/>
                <w:bCs/>
                <w:sz w:val="20"/>
                <w:szCs w:val="20"/>
                <w:lang w:val="es-ES"/>
              </w:rPr>
              <w:t>15 de junio de 2016</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26"/>
        <w:gridCol w:w="5564"/>
      </w:tblGrid>
      <w:tr w:rsidR="003239B8" w:rsidRPr="00540F17" w14:paraId="072532AD" w14:textId="77777777" w:rsidTr="000E128A">
        <w:trPr>
          <w:cantSplit/>
        </w:trPr>
        <w:tc>
          <w:tcPr>
            <w:tcW w:w="3526" w:type="dxa"/>
            <w:tcBorders>
              <w:top w:val="single" w:sz="4" w:space="0" w:color="auto"/>
              <w:bottom w:val="single" w:sz="6" w:space="0" w:color="auto"/>
            </w:tcBorders>
            <w:shd w:val="clear" w:color="auto" w:fill="386294"/>
            <w:vAlign w:val="center"/>
          </w:tcPr>
          <w:p w14:paraId="5C2E4B34" w14:textId="77777777" w:rsidR="003239B8" w:rsidRPr="00496195" w:rsidRDefault="003239B8" w:rsidP="001E3B71">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564" w:type="dxa"/>
            <w:vAlign w:val="center"/>
          </w:tcPr>
          <w:p w14:paraId="7707F3E9" w14:textId="414506C2" w:rsidR="003239B8" w:rsidRPr="004B3C14" w:rsidRDefault="007E5499" w:rsidP="001E3B71">
            <w:pPr>
              <w:rPr>
                <w:rFonts w:ascii="Cambria" w:hAnsi="Cambria"/>
                <w:bCs/>
                <w:sz w:val="20"/>
                <w:szCs w:val="20"/>
              </w:rPr>
            </w:pPr>
            <w:r>
              <w:rPr>
                <w:rFonts w:ascii="Cambria" w:hAnsi="Cambria"/>
                <w:bCs/>
                <w:sz w:val="20"/>
                <w:szCs w:val="20"/>
              </w:rPr>
              <w:t xml:space="preserve">Sí </w:t>
            </w:r>
          </w:p>
        </w:tc>
      </w:tr>
      <w:tr w:rsidR="003239B8" w:rsidRPr="00540F17" w14:paraId="4B8802DA" w14:textId="77777777" w:rsidTr="000E128A">
        <w:trPr>
          <w:cantSplit/>
        </w:trPr>
        <w:tc>
          <w:tcPr>
            <w:tcW w:w="3526" w:type="dxa"/>
            <w:tcBorders>
              <w:top w:val="single" w:sz="6" w:space="0" w:color="auto"/>
              <w:bottom w:val="single" w:sz="6" w:space="0" w:color="auto"/>
            </w:tcBorders>
            <w:shd w:val="clear" w:color="auto" w:fill="386294"/>
            <w:vAlign w:val="center"/>
          </w:tcPr>
          <w:p w14:paraId="3915C23B" w14:textId="77777777" w:rsidR="003239B8" w:rsidRPr="00706824" w:rsidRDefault="003239B8" w:rsidP="001E3B71">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564" w:type="dxa"/>
            <w:vAlign w:val="center"/>
          </w:tcPr>
          <w:p w14:paraId="12C931CB" w14:textId="36750F3B" w:rsidR="003239B8" w:rsidRPr="00C72BFD" w:rsidRDefault="007E5499" w:rsidP="001E3B71">
            <w:pPr>
              <w:rPr>
                <w:rFonts w:ascii="Cambria" w:hAnsi="Cambria"/>
                <w:bCs/>
                <w:sz w:val="20"/>
                <w:szCs w:val="20"/>
              </w:rPr>
            </w:pPr>
            <w:r w:rsidRPr="00C72BFD">
              <w:rPr>
                <w:rFonts w:ascii="Cambria" w:hAnsi="Cambria"/>
                <w:bCs/>
                <w:sz w:val="20"/>
                <w:szCs w:val="20"/>
              </w:rPr>
              <w:t>Sí</w:t>
            </w:r>
          </w:p>
        </w:tc>
      </w:tr>
      <w:tr w:rsidR="003239B8" w:rsidRPr="00540F17" w14:paraId="4362FDF3" w14:textId="77777777" w:rsidTr="000E128A">
        <w:trPr>
          <w:cantSplit/>
        </w:trPr>
        <w:tc>
          <w:tcPr>
            <w:tcW w:w="3526" w:type="dxa"/>
            <w:tcBorders>
              <w:top w:val="single" w:sz="6" w:space="0" w:color="auto"/>
              <w:bottom w:val="single" w:sz="6" w:space="0" w:color="auto"/>
            </w:tcBorders>
            <w:shd w:val="clear" w:color="auto" w:fill="386294"/>
            <w:vAlign w:val="center"/>
          </w:tcPr>
          <w:p w14:paraId="3BE23153" w14:textId="77777777" w:rsidR="003239B8" w:rsidRPr="00706824" w:rsidRDefault="003239B8" w:rsidP="001E3B71">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564" w:type="dxa"/>
            <w:vAlign w:val="center"/>
          </w:tcPr>
          <w:p w14:paraId="6F8B059B" w14:textId="43D620E7" w:rsidR="003239B8" w:rsidRPr="00C72BFD" w:rsidRDefault="007E5499" w:rsidP="001E3B71">
            <w:pPr>
              <w:rPr>
                <w:bCs/>
                <w:sz w:val="20"/>
                <w:szCs w:val="20"/>
              </w:rPr>
            </w:pPr>
            <w:r w:rsidRPr="00C72BFD">
              <w:rPr>
                <w:rFonts w:ascii="Cambria" w:hAnsi="Cambria"/>
                <w:bCs/>
                <w:sz w:val="20"/>
                <w:szCs w:val="20"/>
              </w:rPr>
              <w:t>Sí</w:t>
            </w:r>
          </w:p>
        </w:tc>
      </w:tr>
      <w:tr w:rsidR="003239B8" w:rsidRPr="005E4876" w14:paraId="30ABEC3E" w14:textId="77777777" w:rsidTr="000E128A">
        <w:trPr>
          <w:cantSplit/>
        </w:trPr>
        <w:tc>
          <w:tcPr>
            <w:tcW w:w="3526" w:type="dxa"/>
            <w:tcBorders>
              <w:top w:val="single" w:sz="6" w:space="0" w:color="auto"/>
              <w:bottom w:val="single" w:sz="6" w:space="0" w:color="auto"/>
            </w:tcBorders>
            <w:shd w:val="clear" w:color="auto" w:fill="386294"/>
            <w:vAlign w:val="center"/>
          </w:tcPr>
          <w:p w14:paraId="47B529D2" w14:textId="77777777" w:rsidR="003239B8" w:rsidRPr="00706824" w:rsidRDefault="003239B8" w:rsidP="001E3B71">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564" w:type="dxa"/>
            <w:vAlign w:val="center"/>
          </w:tcPr>
          <w:p w14:paraId="0C122F44" w14:textId="23A2F56D" w:rsidR="003239B8" w:rsidRPr="007E5499" w:rsidRDefault="007E5499" w:rsidP="003238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Cambria"/>
                <w:color w:val="000000"/>
                <w:sz w:val="20"/>
                <w:szCs w:val="20"/>
                <w:lang w:val="es-ES" w:eastAsia="es-ES"/>
              </w:rPr>
            </w:pPr>
            <w:r w:rsidRPr="007E5499">
              <w:rPr>
                <w:rFonts w:ascii="Cambria" w:hAnsi="Cambria" w:cs="Cambria"/>
                <w:color w:val="000000"/>
                <w:sz w:val="20"/>
                <w:szCs w:val="20"/>
                <w:lang w:val="es-ES" w:eastAsia="es-ES"/>
              </w:rPr>
              <w:t>Sí, Convención Americana (</w:t>
            </w:r>
            <w:r w:rsidR="003238FD" w:rsidRPr="003238FD">
              <w:rPr>
                <w:rFonts w:ascii="Cambria" w:hAnsi="Cambria" w:cs="Cambria"/>
                <w:color w:val="000000"/>
                <w:sz w:val="20"/>
                <w:szCs w:val="20"/>
                <w:lang w:val="es-ES" w:eastAsia="es-ES"/>
              </w:rPr>
              <w:t xml:space="preserve">depósito de instrumento realizado el </w:t>
            </w:r>
            <w:r w:rsidRPr="007E5499">
              <w:rPr>
                <w:rFonts w:ascii="Cambria" w:hAnsi="Cambria" w:cs="Cambria"/>
                <w:color w:val="000000"/>
                <w:sz w:val="20"/>
                <w:szCs w:val="20"/>
                <w:lang w:val="es-ES" w:eastAsia="es-ES"/>
              </w:rPr>
              <w:t xml:space="preserve">31 de julio de 1973) </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31"/>
        <w:gridCol w:w="5559"/>
      </w:tblGrid>
      <w:tr w:rsidR="00EE00E9" w:rsidRPr="00205960" w14:paraId="1231C988" w14:textId="77777777" w:rsidTr="000E128A">
        <w:trPr>
          <w:cantSplit/>
        </w:trPr>
        <w:tc>
          <w:tcPr>
            <w:tcW w:w="3531" w:type="dxa"/>
            <w:tcBorders>
              <w:top w:val="single" w:sz="4" w:space="0" w:color="auto"/>
              <w:bottom w:val="single" w:sz="6" w:space="0" w:color="auto"/>
            </w:tcBorders>
            <w:shd w:val="clear" w:color="auto" w:fill="386294"/>
            <w:vAlign w:val="center"/>
          </w:tcPr>
          <w:p w14:paraId="6F8031F4" w14:textId="77777777" w:rsidR="00EE00E9" w:rsidRPr="00EE00E9" w:rsidRDefault="00EE00E9" w:rsidP="001E3B71">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559" w:type="dxa"/>
            <w:vAlign w:val="center"/>
          </w:tcPr>
          <w:p w14:paraId="240941E6" w14:textId="1B19624A" w:rsidR="00EE00E9" w:rsidRPr="00EE00E9" w:rsidRDefault="00C72BFD" w:rsidP="001E3B71">
            <w:pPr>
              <w:jc w:val="both"/>
              <w:rPr>
                <w:rFonts w:ascii="Cambria" w:hAnsi="Cambria"/>
                <w:bCs/>
                <w:sz w:val="20"/>
                <w:szCs w:val="20"/>
                <w:lang w:val="es-ES"/>
              </w:rPr>
            </w:pPr>
            <w:r>
              <w:rPr>
                <w:rFonts w:ascii="Cambria" w:hAnsi="Cambria"/>
                <w:bCs/>
                <w:sz w:val="20"/>
                <w:szCs w:val="20"/>
                <w:lang w:val="es-ES"/>
              </w:rPr>
              <w:t>No</w:t>
            </w:r>
          </w:p>
        </w:tc>
      </w:tr>
      <w:tr w:rsidR="003239B8" w:rsidRPr="005E4876" w14:paraId="15FAA7D1" w14:textId="77777777" w:rsidTr="000E128A">
        <w:trPr>
          <w:cantSplit/>
        </w:trPr>
        <w:tc>
          <w:tcPr>
            <w:tcW w:w="3531" w:type="dxa"/>
            <w:tcBorders>
              <w:top w:val="single" w:sz="4" w:space="0" w:color="auto"/>
              <w:bottom w:val="single" w:sz="6" w:space="0" w:color="auto"/>
            </w:tcBorders>
            <w:shd w:val="clear" w:color="auto" w:fill="386294"/>
            <w:vAlign w:val="center"/>
          </w:tcPr>
          <w:p w14:paraId="1B0D29FF" w14:textId="77777777" w:rsidR="003239B8" w:rsidRPr="00496195" w:rsidRDefault="003239B8" w:rsidP="001E3B71">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559" w:type="dxa"/>
            <w:vAlign w:val="center"/>
          </w:tcPr>
          <w:p w14:paraId="6310C8F7" w14:textId="02EE609B" w:rsidR="003239B8" w:rsidRPr="002F569A" w:rsidRDefault="00982D9A" w:rsidP="00C805B4">
            <w:pPr>
              <w:jc w:val="both"/>
              <w:rPr>
                <w:rFonts w:ascii="Cambria" w:hAnsi="Cambria"/>
                <w:bCs/>
                <w:sz w:val="20"/>
                <w:szCs w:val="20"/>
                <w:lang w:val="es-CO"/>
              </w:rPr>
            </w:pPr>
            <w:r w:rsidRPr="005D5651">
              <w:rPr>
                <w:rFonts w:ascii="Cambria" w:hAnsi="Cambria"/>
                <w:bCs/>
                <w:sz w:val="20"/>
                <w:szCs w:val="20"/>
                <w:lang w:val="es-CO"/>
              </w:rPr>
              <w:t>Artículos 4 (vida), 5 (integridad perso</w:t>
            </w:r>
            <w:r w:rsidR="005F78CE" w:rsidRPr="002F569A">
              <w:rPr>
                <w:rFonts w:ascii="Cambria" w:hAnsi="Cambria"/>
                <w:bCs/>
                <w:sz w:val="20"/>
                <w:szCs w:val="20"/>
                <w:lang w:val="es-CO"/>
              </w:rPr>
              <w:t xml:space="preserve">nal), 8 (garantías judiciales), </w:t>
            </w:r>
            <w:r w:rsidR="0002512C" w:rsidRPr="0002512C">
              <w:rPr>
                <w:rFonts w:ascii="Cambria" w:hAnsi="Cambria"/>
                <w:bCs/>
                <w:sz w:val="20"/>
                <w:szCs w:val="20"/>
                <w:lang w:val="es-CO"/>
              </w:rPr>
              <w:t>19 (</w:t>
            </w:r>
            <w:r w:rsidR="00BB032E">
              <w:rPr>
                <w:rFonts w:ascii="Cambria" w:hAnsi="Cambria"/>
                <w:bCs/>
                <w:sz w:val="20"/>
                <w:szCs w:val="20"/>
                <w:lang w:val="es-CO"/>
              </w:rPr>
              <w:t>derechos del niño</w:t>
            </w:r>
            <w:r w:rsidR="0002512C" w:rsidRPr="0002512C">
              <w:rPr>
                <w:rFonts w:ascii="Cambria" w:hAnsi="Cambria"/>
                <w:bCs/>
                <w:sz w:val="20"/>
                <w:szCs w:val="20"/>
                <w:lang w:val="es-CO"/>
              </w:rPr>
              <w:t xml:space="preserve">), </w:t>
            </w:r>
            <w:r w:rsidR="008F4C5E">
              <w:rPr>
                <w:rFonts w:ascii="Cambria" w:hAnsi="Cambria"/>
                <w:bCs/>
                <w:sz w:val="20"/>
                <w:szCs w:val="20"/>
                <w:lang w:val="es-CO"/>
              </w:rPr>
              <w:t>22 (</w:t>
            </w:r>
            <w:r w:rsidR="0002512C">
              <w:rPr>
                <w:rFonts w:ascii="Cambria" w:hAnsi="Cambria"/>
                <w:bCs/>
                <w:sz w:val="20"/>
                <w:szCs w:val="20"/>
                <w:lang w:val="es-CO"/>
              </w:rPr>
              <w:t>circulación y de residencia)</w:t>
            </w:r>
            <w:r w:rsidR="00745BCE">
              <w:rPr>
                <w:rFonts w:ascii="Cambria" w:hAnsi="Cambria"/>
                <w:bCs/>
                <w:sz w:val="20"/>
                <w:szCs w:val="20"/>
                <w:lang w:val="es-CO"/>
              </w:rPr>
              <w:t>, 24 (igualdad ante la ley)</w:t>
            </w:r>
            <w:r w:rsidR="00633A7D">
              <w:rPr>
                <w:rFonts w:ascii="Cambria" w:hAnsi="Cambria"/>
                <w:bCs/>
                <w:sz w:val="20"/>
                <w:szCs w:val="20"/>
                <w:lang w:val="es-CO"/>
              </w:rPr>
              <w:t xml:space="preserve"> y</w:t>
            </w:r>
            <w:r w:rsidR="0002512C">
              <w:rPr>
                <w:rFonts w:ascii="Cambria" w:hAnsi="Cambria"/>
                <w:bCs/>
                <w:sz w:val="20"/>
                <w:szCs w:val="20"/>
                <w:lang w:val="es-CO"/>
              </w:rPr>
              <w:t xml:space="preserve"> </w:t>
            </w:r>
            <w:r w:rsidRPr="002F569A">
              <w:rPr>
                <w:rFonts w:ascii="Cambria" w:hAnsi="Cambria"/>
                <w:bCs/>
                <w:sz w:val="20"/>
                <w:szCs w:val="20"/>
                <w:lang w:val="es-CO"/>
              </w:rPr>
              <w:t xml:space="preserve">25 (protección judicial) </w:t>
            </w:r>
            <w:r w:rsidR="008F4C5E">
              <w:rPr>
                <w:rFonts w:ascii="Cambria" w:hAnsi="Cambria"/>
                <w:bCs/>
                <w:sz w:val="20"/>
                <w:szCs w:val="20"/>
                <w:lang w:val="es-CO"/>
              </w:rPr>
              <w:t xml:space="preserve">de la Convención Americana </w:t>
            </w:r>
            <w:r w:rsidR="00C465DF" w:rsidRPr="002F569A">
              <w:rPr>
                <w:rFonts w:ascii="Cambria" w:hAnsi="Cambria"/>
                <w:bCs/>
                <w:sz w:val="20"/>
                <w:szCs w:val="20"/>
                <w:lang w:val="es-CO"/>
              </w:rPr>
              <w:t>en relación con su</w:t>
            </w:r>
            <w:r w:rsidR="004441EC" w:rsidRPr="002F569A">
              <w:rPr>
                <w:rFonts w:ascii="Cambria" w:hAnsi="Cambria"/>
                <w:bCs/>
                <w:sz w:val="20"/>
                <w:szCs w:val="20"/>
                <w:lang w:val="es-CO"/>
              </w:rPr>
              <w:t>s</w:t>
            </w:r>
            <w:r w:rsidRPr="002F569A">
              <w:rPr>
                <w:rFonts w:ascii="Cambria" w:hAnsi="Cambria"/>
                <w:bCs/>
                <w:sz w:val="20"/>
                <w:szCs w:val="20"/>
                <w:lang w:val="es-CO"/>
              </w:rPr>
              <w:t xml:space="preserve"> art</w:t>
            </w:r>
            <w:r w:rsidR="00C465DF" w:rsidRPr="002F569A">
              <w:rPr>
                <w:rFonts w:ascii="Cambria" w:hAnsi="Cambria"/>
                <w:bCs/>
                <w:sz w:val="20"/>
                <w:szCs w:val="20"/>
                <w:lang w:val="es-CO"/>
              </w:rPr>
              <w:t>ículo</w:t>
            </w:r>
            <w:r w:rsidR="004441EC" w:rsidRPr="002F569A">
              <w:rPr>
                <w:rFonts w:ascii="Cambria" w:hAnsi="Cambria"/>
                <w:bCs/>
                <w:sz w:val="20"/>
                <w:szCs w:val="20"/>
                <w:lang w:val="es-CO"/>
              </w:rPr>
              <w:t>s</w:t>
            </w:r>
            <w:r w:rsidR="003008E0">
              <w:rPr>
                <w:rFonts w:ascii="Cambria" w:hAnsi="Cambria"/>
                <w:bCs/>
                <w:sz w:val="20"/>
                <w:szCs w:val="20"/>
                <w:lang w:val="es-CO"/>
              </w:rPr>
              <w:t xml:space="preserve"> 1.1</w:t>
            </w:r>
            <w:r w:rsidRPr="002F569A">
              <w:rPr>
                <w:rFonts w:ascii="Cambria" w:hAnsi="Cambria"/>
                <w:bCs/>
                <w:sz w:val="20"/>
                <w:szCs w:val="20"/>
                <w:lang w:val="es-CO"/>
              </w:rPr>
              <w:t xml:space="preserve"> (</w:t>
            </w:r>
            <w:r w:rsidR="002F440F">
              <w:rPr>
                <w:rFonts w:ascii="Cambria" w:hAnsi="Cambria"/>
                <w:bCs/>
                <w:sz w:val="20"/>
                <w:szCs w:val="20"/>
                <w:lang w:val="es-CO"/>
              </w:rPr>
              <w:t>obligación</w:t>
            </w:r>
            <w:r w:rsidRPr="002F569A">
              <w:rPr>
                <w:rFonts w:ascii="Cambria" w:hAnsi="Cambria"/>
                <w:bCs/>
                <w:sz w:val="20"/>
                <w:szCs w:val="20"/>
                <w:lang w:val="es-CO"/>
              </w:rPr>
              <w:t xml:space="preserve"> de respetar los derechos) </w:t>
            </w:r>
            <w:r w:rsidR="008F4C5E">
              <w:rPr>
                <w:rFonts w:ascii="Cambria" w:hAnsi="Cambria"/>
                <w:bCs/>
                <w:sz w:val="20"/>
                <w:szCs w:val="20"/>
                <w:lang w:val="es-CO"/>
              </w:rPr>
              <w:t>y</w:t>
            </w:r>
            <w:r w:rsidR="008028C9" w:rsidRPr="002F569A">
              <w:rPr>
                <w:rFonts w:ascii="Cambria" w:hAnsi="Cambria"/>
                <w:bCs/>
                <w:sz w:val="20"/>
                <w:szCs w:val="20"/>
                <w:lang w:val="es-CO"/>
              </w:rPr>
              <w:t xml:space="preserve"> </w:t>
            </w:r>
            <w:r w:rsidR="008F4C5E" w:rsidRPr="008F4C5E">
              <w:rPr>
                <w:rFonts w:ascii="Cambria" w:hAnsi="Cambria"/>
                <w:bCs/>
                <w:sz w:val="20"/>
                <w:szCs w:val="20"/>
                <w:lang w:val="es-CO"/>
              </w:rPr>
              <w:t>2 (deber de adoptar disposiciones de derecho interno)</w:t>
            </w:r>
          </w:p>
        </w:tc>
      </w:tr>
      <w:tr w:rsidR="003239B8" w:rsidRPr="005E4876" w14:paraId="4EFD141E" w14:textId="77777777" w:rsidTr="000E128A">
        <w:trPr>
          <w:cantSplit/>
        </w:trPr>
        <w:tc>
          <w:tcPr>
            <w:tcW w:w="3531" w:type="dxa"/>
            <w:tcBorders>
              <w:top w:val="single" w:sz="6" w:space="0" w:color="auto"/>
              <w:bottom w:val="single" w:sz="6" w:space="0" w:color="auto"/>
            </w:tcBorders>
            <w:shd w:val="clear" w:color="auto" w:fill="386294"/>
            <w:vAlign w:val="center"/>
          </w:tcPr>
          <w:p w14:paraId="4C04A89C" w14:textId="77777777" w:rsidR="003239B8" w:rsidRPr="00EE00E9" w:rsidRDefault="003239B8" w:rsidP="001E3B71">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559" w:type="dxa"/>
            <w:vAlign w:val="center"/>
          </w:tcPr>
          <w:p w14:paraId="69C53E8A" w14:textId="2BECC0A2" w:rsidR="003239B8" w:rsidRPr="0080258D" w:rsidRDefault="00C72BFD" w:rsidP="008025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cs="Cambria"/>
                <w:color w:val="000000"/>
                <w:sz w:val="20"/>
                <w:szCs w:val="20"/>
                <w:lang w:val="es-ES" w:eastAsia="es-ES"/>
              </w:rPr>
            </w:pPr>
            <w:r w:rsidRPr="00E420C7">
              <w:rPr>
                <w:rFonts w:ascii="Cambria" w:hAnsi="Cambria" w:cs="Cambria"/>
                <w:color w:val="000000"/>
                <w:sz w:val="20"/>
                <w:szCs w:val="20"/>
                <w:lang w:val="es-ES" w:eastAsia="es-ES"/>
              </w:rPr>
              <w:t xml:space="preserve">Sí, en los términos de la sección VI </w:t>
            </w:r>
          </w:p>
        </w:tc>
      </w:tr>
      <w:tr w:rsidR="003239B8" w:rsidRPr="005E4876" w14:paraId="52B5BA17" w14:textId="77777777" w:rsidTr="000E128A">
        <w:trPr>
          <w:cantSplit/>
        </w:trPr>
        <w:tc>
          <w:tcPr>
            <w:tcW w:w="3531" w:type="dxa"/>
            <w:tcBorders>
              <w:top w:val="single" w:sz="6" w:space="0" w:color="auto"/>
              <w:bottom w:val="single" w:sz="6" w:space="0" w:color="auto"/>
            </w:tcBorders>
            <w:shd w:val="clear" w:color="auto" w:fill="386294"/>
            <w:vAlign w:val="center"/>
          </w:tcPr>
          <w:p w14:paraId="5DF99086" w14:textId="77777777" w:rsidR="003239B8" w:rsidRPr="00706824" w:rsidRDefault="003239B8" w:rsidP="001E3B71">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559" w:type="dxa"/>
            <w:vAlign w:val="center"/>
          </w:tcPr>
          <w:p w14:paraId="4A2A4569" w14:textId="7FE97E81" w:rsidR="003239B8" w:rsidRPr="00E420C7" w:rsidRDefault="00C72BFD" w:rsidP="00C72B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cs="Cambria"/>
                <w:color w:val="000000"/>
                <w:sz w:val="20"/>
                <w:szCs w:val="20"/>
                <w:lang w:val="es-ES" w:eastAsia="es-ES"/>
              </w:rPr>
            </w:pPr>
            <w:r w:rsidRPr="00E420C7">
              <w:rPr>
                <w:rFonts w:ascii="Cambria" w:hAnsi="Cambria" w:cs="Cambria"/>
                <w:color w:val="000000"/>
                <w:sz w:val="20"/>
                <w:szCs w:val="20"/>
                <w:lang w:val="es-ES" w:eastAsia="es-ES"/>
              </w:rPr>
              <w:t xml:space="preserve">Sí, en los términos de la sección VI </w:t>
            </w:r>
          </w:p>
        </w:tc>
      </w:tr>
    </w:tbl>
    <w:p w14:paraId="51A0A129" w14:textId="0801A69E" w:rsidR="009313B9" w:rsidRPr="00145A0E" w:rsidRDefault="00223A29" w:rsidP="00847A45">
      <w:pPr>
        <w:spacing w:before="240" w:after="240"/>
        <w:ind w:firstLine="720"/>
        <w:jc w:val="both"/>
        <w:rPr>
          <w:rFonts w:asciiTheme="majorHAnsi" w:hAnsiTheme="majorHAnsi"/>
          <w:color w:val="0070C0"/>
          <w:sz w:val="20"/>
          <w:szCs w:val="20"/>
          <w:lang w:val="es-CO"/>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28D320D" w14:textId="63FE7249" w:rsidR="0080353B" w:rsidRPr="00C805B4" w:rsidRDefault="004375EA" w:rsidP="00C805B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CO"/>
        </w:rPr>
      </w:pPr>
      <w:r>
        <w:rPr>
          <w:rFonts w:asciiTheme="majorHAnsi" w:hAnsiTheme="majorHAnsi"/>
          <w:color w:val="auto"/>
          <w:sz w:val="20"/>
          <w:szCs w:val="20"/>
          <w:lang w:val="es-CO"/>
        </w:rPr>
        <w:t xml:space="preserve">La presente petición se refiere a la masacre ocurrida el 2 de mayo de 2002 </w:t>
      </w:r>
      <w:r w:rsidRPr="002F569A">
        <w:rPr>
          <w:rFonts w:asciiTheme="majorHAnsi" w:hAnsiTheme="majorHAnsi"/>
          <w:color w:val="auto"/>
          <w:sz w:val="20"/>
          <w:szCs w:val="20"/>
          <w:lang w:val="es-CO"/>
        </w:rPr>
        <w:t xml:space="preserve">en el centro del pueblo de Cañolindo, ubicado en Bellavista, </w:t>
      </w:r>
      <w:r>
        <w:rPr>
          <w:rFonts w:asciiTheme="majorHAnsi" w:hAnsiTheme="majorHAnsi"/>
          <w:color w:val="auto"/>
          <w:sz w:val="20"/>
          <w:szCs w:val="20"/>
          <w:lang w:val="es-CO"/>
        </w:rPr>
        <w:t xml:space="preserve">cabecera </w:t>
      </w:r>
      <w:r w:rsidRPr="002F569A">
        <w:rPr>
          <w:rFonts w:asciiTheme="majorHAnsi" w:hAnsiTheme="majorHAnsi"/>
          <w:color w:val="auto"/>
          <w:sz w:val="20"/>
          <w:szCs w:val="20"/>
          <w:lang w:val="es-CO"/>
        </w:rPr>
        <w:t>m</w:t>
      </w:r>
      <w:r>
        <w:rPr>
          <w:rFonts w:asciiTheme="majorHAnsi" w:hAnsiTheme="majorHAnsi"/>
          <w:color w:val="auto"/>
          <w:sz w:val="20"/>
          <w:szCs w:val="20"/>
          <w:lang w:val="es-CO"/>
        </w:rPr>
        <w:t>unicipal</w:t>
      </w:r>
      <w:r w:rsidRPr="002F569A">
        <w:rPr>
          <w:rFonts w:asciiTheme="majorHAnsi" w:hAnsiTheme="majorHAnsi"/>
          <w:color w:val="auto"/>
          <w:sz w:val="20"/>
          <w:szCs w:val="20"/>
          <w:lang w:val="es-CO"/>
        </w:rPr>
        <w:t xml:space="preserve"> de Bojayá, </w:t>
      </w:r>
      <w:r w:rsidRPr="00333764">
        <w:rPr>
          <w:rFonts w:asciiTheme="majorHAnsi" w:hAnsiTheme="majorHAnsi"/>
          <w:color w:val="auto"/>
          <w:sz w:val="20"/>
          <w:szCs w:val="20"/>
          <w:lang w:val="es-CO"/>
        </w:rPr>
        <w:t>zona de</w:t>
      </w:r>
      <w:r>
        <w:rPr>
          <w:rFonts w:asciiTheme="majorHAnsi" w:hAnsiTheme="majorHAnsi"/>
          <w:color w:val="auto"/>
          <w:sz w:val="20"/>
          <w:szCs w:val="20"/>
          <w:lang w:val="es-CO"/>
        </w:rPr>
        <w:t>l Atrat</w:t>
      </w:r>
      <w:r w:rsidRPr="00333764">
        <w:rPr>
          <w:rFonts w:asciiTheme="majorHAnsi" w:hAnsiTheme="majorHAnsi"/>
          <w:color w:val="auto"/>
          <w:sz w:val="20"/>
          <w:szCs w:val="20"/>
          <w:lang w:val="es-CO"/>
        </w:rPr>
        <w:t>o Medio</w:t>
      </w:r>
      <w:r>
        <w:rPr>
          <w:rFonts w:asciiTheme="majorHAnsi" w:hAnsiTheme="majorHAnsi"/>
          <w:color w:val="auto"/>
          <w:sz w:val="20"/>
          <w:szCs w:val="20"/>
          <w:lang w:val="es-CO"/>
        </w:rPr>
        <w:t xml:space="preserve"> del </w:t>
      </w:r>
      <w:r w:rsidRPr="002F569A">
        <w:rPr>
          <w:rFonts w:asciiTheme="majorHAnsi" w:hAnsiTheme="majorHAnsi"/>
          <w:color w:val="auto"/>
          <w:sz w:val="20"/>
          <w:szCs w:val="20"/>
          <w:lang w:val="es-CO"/>
        </w:rPr>
        <w:t>d</w:t>
      </w:r>
      <w:r>
        <w:rPr>
          <w:rFonts w:asciiTheme="majorHAnsi" w:hAnsiTheme="majorHAnsi"/>
          <w:color w:val="auto"/>
          <w:sz w:val="20"/>
          <w:szCs w:val="20"/>
          <w:lang w:val="es-CO"/>
        </w:rPr>
        <w:t xml:space="preserve">epartamento de Chocó de población predominantemente </w:t>
      </w:r>
      <w:r w:rsidRPr="002F569A">
        <w:rPr>
          <w:rFonts w:asciiTheme="majorHAnsi" w:hAnsiTheme="majorHAnsi"/>
          <w:color w:val="auto"/>
          <w:sz w:val="20"/>
          <w:szCs w:val="20"/>
          <w:lang w:val="es-CO"/>
        </w:rPr>
        <w:t>afrocolombian</w:t>
      </w:r>
      <w:r>
        <w:rPr>
          <w:rFonts w:asciiTheme="majorHAnsi" w:hAnsiTheme="majorHAnsi"/>
          <w:color w:val="auto"/>
          <w:sz w:val="20"/>
          <w:szCs w:val="20"/>
          <w:lang w:val="es-CO"/>
        </w:rPr>
        <w:t>a</w:t>
      </w:r>
      <w:r w:rsidR="00C805B4">
        <w:rPr>
          <w:rFonts w:asciiTheme="majorHAnsi" w:hAnsiTheme="majorHAnsi"/>
          <w:color w:val="auto"/>
          <w:sz w:val="20"/>
          <w:szCs w:val="20"/>
          <w:lang w:val="es-CO"/>
        </w:rPr>
        <w:t xml:space="preserve"> y una de las </w:t>
      </w:r>
      <w:r w:rsidR="007F631D">
        <w:rPr>
          <w:rFonts w:asciiTheme="majorHAnsi" w:hAnsiTheme="majorHAnsi"/>
          <w:color w:val="auto"/>
          <w:sz w:val="20"/>
          <w:szCs w:val="20"/>
          <w:lang w:val="es-CO"/>
        </w:rPr>
        <w:t xml:space="preserve">regiones </w:t>
      </w:r>
      <w:r w:rsidR="00C805B4">
        <w:rPr>
          <w:rFonts w:asciiTheme="majorHAnsi" w:hAnsiTheme="majorHAnsi"/>
          <w:color w:val="auto"/>
          <w:sz w:val="20"/>
          <w:szCs w:val="20"/>
          <w:lang w:val="es-CO"/>
        </w:rPr>
        <w:t>más carenciadas del país</w:t>
      </w:r>
      <w:r w:rsidRPr="00C805B4">
        <w:rPr>
          <w:rFonts w:asciiTheme="majorHAnsi" w:hAnsiTheme="majorHAnsi"/>
          <w:color w:val="auto"/>
          <w:sz w:val="20"/>
          <w:szCs w:val="20"/>
          <w:lang w:val="es-CO"/>
        </w:rPr>
        <w:t xml:space="preserve">. La parte peticionaria alega que las autoridades, a pesar de conocer la inminencia de la masacre y sus eventuales consecuencias, omitieron llevar a cabo acciones destinadas a evitar los múltiples enfrentamientos entre </w:t>
      </w:r>
      <w:r w:rsidR="00662CA2" w:rsidRPr="00C805B4">
        <w:rPr>
          <w:rFonts w:asciiTheme="majorHAnsi" w:hAnsiTheme="majorHAnsi"/>
          <w:color w:val="auto"/>
          <w:sz w:val="20"/>
          <w:szCs w:val="20"/>
          <w:lang w:val="es-CO"/>
        </w:rPr>
        <w:t xml:space="preserve">miembros de las </w:t>
      </w:r>
      <w:r w:rsidR="0081609C" w:rsidRPr="00C805B4">
        <w:rPr>
          <w:rFonts w:asciiTheme="majorHAnsi" w:hAnsiTheme="majorHAnsi"/>
          <w:color w:val="auto"/>
          <w:sz w:val="20"/>
          <w:szCs w:val="20"/>
          <w:lang w:val="es-CO"/>
        </w:rPr>
        <w:t>Fuerzas Armadas Revolucionarias de Colombia</w:t>
      </w:r>
      <w:r w:rsidR="00333764" w:rsidRPr="00C805B4">
        <w:rPr>
          <w:rFonts w:asciiTheme="majorHAnsi" w:hAnsiTheme="majorHAnsi"/>
          <w:color w:val="auto"/>
          <w:sz w:val="20"/>
          <w:szCs w:val="20"/>
          <w:lang w:val="es-CO"/>
        </w:rPr>
        <w:t xml:space="preserve"> Ejército del Pueblo</w:t>
      </w:r>
      <w:r w:rsidR="0081609C" w:rsidRPr="00C805B4">
        <w:rPr>
          <w:rFonts w:asciiTheme="majorHAnsi" w:hAnsiTheme="majorHAnsi"/>
          <w:color w:val="auto"/>
          <w:sz w:val="20"/>
          <w:szCs w:val="20"/>
          <w:lang w:val="es-CO"/>
        </w:rPr>
        <w:t xml:space="preserve"> (</w:t>
      </w:r>
      <w:r w:rsidR="00662CA2" w:rsidRPr="00C805B4">
        <w:rPr>
          <w:rFonts w:asciiTheme="majorHAnsi" w:hAnsiTheme="majorHAnsi"/>
          <w:color w:val="auto"/>
          <w:sz w:val="20"/>
          <w:szCs w:val="20"/>
          <w:lang w:val="es-CO"/>
        </w:rPr>
        <w:t>FARC</w:t>
      </w:r>
      <w:r w:rsidR="00333764" w:rsidRPr="00C805B4">
        <w:rPr>
          <w:rFonts w:asciiTheme="majorHAnsi" w:hAnsiTheme="majorHAnsi"/>
          <w:color w:val="auto"/>
          <w:sz w:val="20"/>
          <w:szCs w:val="20"/>
          <w:lang w:val="es-CO"/>
        </w:rPr>
        <w:t>-EP</w:t>
      </w:r>
      <w:r w:rsidR="0081609C" w:rsidRPr="00C805B4">
        <w:rPr>
          <w:rFonts w:asciiTheme="majorHAnsi" w:hAnsiTheme="majorHAnsi"/>
          <w:color w:val="auto"/>
          <w:sz w:val="20"/>
          <w:szCs w:val="20"/>
          <w:lang w:val="es-CO"/>
        </w:rPr>
        <w:t>)</w:t>
      </w:r>
      <w:r w:rsidR="00662CA2" w:rsidRPr="00C805B4">
        <w:rPr>
          <w:rFonts w:asciiTheme="majorHAnsi" w:hAnsiTheme="majorHAnsi"/>
          <w:color w:val="auto"/>
          <w:sz w:val="20"/>
          <w:szCs w:val="20"/>
          <w:lang w:val="es-CO"/>
        </w:rPr>
        <w:t xml:space="preserve"> </w:t>
      </w:r>
      <w:r w:rsidR="00E056BE" w:rsidRPr="00C805B4">
        <w:rPr>
          <w:rFonts w:asciiTheme="majorHAnsi" w:hAnsiTheme="majorHAnsi"/>
          <w:color w:val="auto"/>
          <w:sz w:val="20"/>
          <w:szCs w:val="20"/>
          <w:lang w:val="es-CO"/>
        </w:rPr>
        <w:t xml:space="preserve">y </w:t>
      </w:r>
      <w:r w:rsidR="00662CA2" w:rsidRPr="00C805B4">
        <w:rPr>
          <w:rFonts w:asciiTheme="majorHAnsi" w:hAnsiTheme="majorHAnsi"/>
          <w:color w:val="auto"/>
          <w:sz w:val="20"/>
          <w:szCs w:val="20"/>
          <w:lang w:val="es-CO"/>
        </w:rPr>
        <w:t>las Autodefensas</w:t>
      </w:r>
      <w:r w:rsidR="0081609C" w:rsidRPr="00C805B4">
        <w:rPr>
          <w:rFonts w:asciiTheme="majorHAnsi" w:hAnsiTheme="majorHAnsi"/>
          <w:color w:val="auto"/>
          <w:sz w:val="20"/>
          <w:szCs w:val="20"/>
          <w:lang w:val="es-CO"/>
        </w:rPr>
        <w:t xml:space="preserve"> Unidas de Colombia</w:t>
      </w:r>
      <w:r w:rsidR="00A50909" w:rsidRPr="00C805B4">
        <w:rPr>
          <w:rFonts w:asciiTheme="majorHAnsi" w:hAnsiTheme="majorHAnsi"/>
          <w:color w:val="FF0000"/>
          <w:sz w:val="20"/>
          <w:szCs w:val="20"/>
          <w:lang w:val="es-CO"/>
        </w:rPr>
        <w:t xml:space="preserve"> </w:t>
      </w:r>
      <w:r w:rsidR="00A50909" w:rsidRPr="00C805B4">
        <w:rPr>
          <w:rFonts w:asciiTheme="majorHAnsi" w:hAnsiTheme="majorHAnsi"/>
          <w:color w:val="auto"/>
          <w:sz w:val="20"/>
          <w:szCs w:val="20"/>
          <w:lang w:val="es-CO"/>
        </w:rPr>
        <w:t>(las Autodefensa</w:t>
      </w:r>
      <w:r w:rsidR="00C64D05" w:rsidRPr="00C805B4">
        <w:rPr>
          <w:rFonts w:asciiTheme="majorHAnsi" w:hAnsiTheme="majorHAnsi"/>
          <w:color w:val="auto"/>
          <w:sz w:val="20"/>
          <w:szCs w:val="20"/>
          <w:lang w:val="es-CO"/>
        </w:rPr>
        <w:t xml:space="preserve"> o AUC</w:t>
      </w:r>
      <w:r w:rsidR="00A50909" w:rsidRPr="00C805B4">
        <w:rPr>
          <w:rFonts w:asciiTheme="majorHAnsi" w:hAnsiTheme="majorHAnsi"/>
          <w:color w:val="auto"/>
          <w:sz w:val="20"/>
          <w:szCs w:val="20"/>
          <w:lang w:val="es-CO"/>
        </w:rPr>
        <w:t>)</w:t>
      </w:r>
      <w:r w:rsidR="000E12CC" w:rsidRPr="00C805B4">
        <w:rPr>
          <w:rFonts w:asciiTheme="majorHAnsi" w:hAnsiTheme="majorHAnsi"/>
          <w:color w:val="auto"/>
          <w:sz w:val="20"/>
          <w:szCs w:val="20"/>
          <w:lang w:val="es-CO"/>
        </w:rPr>
        <w:t xml:space="preserve">. </w:t>
      </w:r>
      <w:r w:rsidR="001622F8" w:rsidRPr="00C805B4">
        <w:rPr>
          <w:rFonts w:asciiTheme="majorHAnsi" w:hAnsiTheme="majorHAnsi"/>
          <w:color w:val="auto"/>
          <w:sz w:val="20"/>
          <w:szCs w:val="20"/>
          <w:lang w:val="es-CO"/>
        </w:rPr>
        <w:t xml:space="preserve">Señala que, desde el año 1996, el área de Bojayá era escenario de constantes combates, a pesar de lo cual en el año 2000 el </w:t>
      </w:r>
      <w:r w:rsidR="001622F8" w:rsidRPr="00C805B4">
        <w:rPr>
          <w:rFonts w:asciiTheme="majorHAnsi" w:hAnsiTheme="majorHAnsi"/>
          <w:color w:val="auto"/>
          <w:sz w:val="20"/>
          <w:szCs w:val="20"/>
          <w:lang w:val="es-CO"/>
        </w:rPr>
        <w:lastRenderedPageBreak/>
        <w:t xml:space="preserve">Estado ordenó el retiro de todos los agentes de la Policía de la comunidad de Bellavista y otras zonas aledañas, decisión que dejó a la población desprotegida y en una situación de alta vulnerabilidad. </w:t>
      </w:r>
      <w:r w:rsidR="00E056BE" w:rsidRPr="00C805B4">
        <w:rPr>
          <w:rFonts w:asciiTheme="majorHAnsi" w:hAnsiTheme="majorHAnsi"/>
          <w:color w:val="auto"/>
          <w:sz w:val="20"/>
          <w:szCs w:val="20"/>
          <w:lang w:val="es-CO"/>
        </w:rPr>
        <w:t>Sostie</w:t>
      </w:r>
      <w:r w:rsidR="0024398E" w:rsidRPr="00C805B4">
        <w:rPr>
          <w:rFonts w:asciiTheme="majorHAnsi" w:hAnsiTheme="majorHAnsi"/>
          <w:color w:val="auto"/>
          <w:sz w:val="20"/>
          <w:szCs w:val="20"/>
          <w:lang w:val="es-CO"/>
        </w:rPr>
        <w:t>ne que</w:t>
      </w:r>
      <w:r w:rsidRPr="00C805B4">
        <w:rPr>
          <w:rFonts w:asciiTheme="majorHAnsi" w:hAnsiTheme="majorHAnsi"/>
          <w:color w:val="auto"/>
          <w:sz w:val="20"/>
          <w:szCs w:val="20"/>
          <w:lang w:val="es-CO"/>
        </w:rPr>
        <w:t>,</w:t>
      </w:r>
      <w:r w:rsidR="0024398E" w:rsidRPr="00C805B4">
        <w:rPr>
          <w:rFonts w:asciiTheme="majorHAnsi" w:hAnsiTheme="majorHAnsi"/>
          <w:color w:val="auto"/>
          <w:sz w:val="20"/>
          <w:szCs w:val="20"/>
          <w:lang w:val="es-CO"/>
        </w:rPr>
        <w:t xml:space="preserve"> como resultado de dicha masacre</w:t>
      </w:r>
      <w:r w:rsidRPr="00C805B4">
        <w:rPr>
          <w:rFonts w:asciiTheme="majorHAnsi" w:hAnsiTheme="majorHAnsi"/>
          <w:color w:val="auto"/>
          <w:sz w:val="20"/>
          <w:szCs w:val="20"/>
          <w:lang w:val="es-CO"/>
        </w:rPr>
        <w:t>,</w:t>
      </w:r>
      <w:r w:rsidR="00E056BE" w:rsidRPr="00C805B4">
        <w:rPr>
          <w:rFonts w:asciiTheme="majorHAnsi" w:hAnsiTheme="majorHAnsi"/>
          <w:color w:val="auto"/>
          <w:sz w:val="20"/>
          <w:szCs w:val="20"/>
          <w:lang w:val="es-CO"/>
        </w:rPr>
        <w:t xml:space="preserve"> </w:t>
      </w:r>
      <w:r w:rsidR="001F3E60" w:rsidRPr="00C805B4">
        <w:rPr>
          <w:rFonts w:asciiTheme="majorHAnsi" w:hAnsiTheme="majorHAnsi"/>
          <w:color w:val="auto"/>
          <w:sz w:val="20"/>
          <w:szCs w:val="20"/>
          <w:lang w:val="es-CO"/>
        </w:rPr>
        <w:t>más de 79</w:t>
      </w:r>
      <w:r w:rsidR="00B85E6B" w:rsidRPr="00C805B4">
        <w:rPr>
          <w:rFonts w:asciiTheme="majorHAnsi" w:hAnsiTheme="majorHAnsi"/>
          <w:color w:val="auto"/>
          <w:sz w:val="20"/>
          <w:szCs w:val="20"/>
          <w:lang w:val="es-CO"/>
        </w:rPr>
        <w:t xml:space="preserve"> </w:t>
      </w:r>
      <w:r w:rsidR="00E9424B" w:rsidRPr="00C805B4">
        <w:rPr>
          <w:rFonts w:asciiTheme="majorHAnsi" w:hAnsiTheme="majorHAnsi"/>
          <w:color w:val="auto"/>
          <w:sz w:val="20"/>
          <w:szCs w:val="20"/>
          <w:lang w:val="es-CO"/>
        </w:rPr>
        <w:t>personas</w:t>
      </w:r>
      <w:r w:rsidR="00E056BE" w:rsidRPr="00C805B4">
        <w:rPr>
          <w:rFonts w:asciiTheme="majorHAnsi" w:hAnsiTheme="majorHAnsi"/>
          <w:color w:val="auto"/>
          <w:sz w:val="20"/>
          <w:szCs w:val="20"/>
          <w:lang w:val="es-CO"/>
        </w:rPr>
        <w:t xml:space="preserve"> </w:t>
      </w:r>
      <w:r w:rsidRPr="00C805B4">
        <w:rPr>
          <w:rFonts w:asciiTheme="majorHAnsi" w:hAnsiTheme="majorHAnsi"/>
          <w:color w:val="auto"/>
          <w:sz w:val="20"/>
          <w:szCs w:val="20"/>
          <w:lang w:val="es-CO"/>
        </w:rPr>
        <w:t>fueron</w:t>
      </w:r>
      <w:r w:rsidR="00E056BE" w:rsidRPr="00C805B4">
        <w:rPr>
          <w:rFonts w:asciiTheme="majorHAnsi" w:hAnsiTheme="majorHAnsi"/>
          <w:color w:val="auto"/>
          <w:sz w:val="20"/>
          <w:szCs w:val="20"/>
          <w:lang w:val="es-CO"/>
        </w:rPr>
        <w:t xml:space="preserve"> asesinadas</w:t>
      </w:r>
      <w:r w:rsidR="001F3E60" w:rsidRPr="00C805B4">
        <w:rPr>
          <w:rFonts w:asciiTheme="majorHAnsi" w:hAnsiTheme="majorHAnsi"/>
          <w:color w:val="auto"/>
          <w:sz w:val="20"/>
          <w:szCs w:val="20"/>
          <w:lang w:val="es-CO"/>
        </w:rPr>
        <w:t xml:space="preserve">, 40 </w:t>
      </w:r>
      <w:r w:rsidRPr="00C805B4">
        <w:rPr>
          <w:rFonts w:asciiTheme="majorHAnsi" w:hAnsiTheme="majorHAnsi"/>
          <w:color w:val="auto"/>
          <w:sz w:val="20"/>
          <w:szCs w:val="20"/>
          <w:lang w:val="es-CO"/>
        </w:rPr>
        <w:t xml:space="preserve">de ellas </w:t>
      </w:r>
      <w:r w:rsidR="001F3E60" w:rsidRPr="00C805B4">
        <w:rPr>
          <w:rFonts w:asciiTheme="majorHAnsi" w:hAnsiTheme="majorHAnsi"/>
          <w:color w:val="auto"/>
          <w:sz w:val="20"/>
          <w:szCs w:val="20"/>
          <w:lang w:val="es-CO"/>
        </w:rPr>
        <w:t xml:space="preserve">niños y niñas, muchas otras resultaron </w:t>
      </w:r>
      <w:r w:rsidR="00406256" w:rsidRPr="00C805B4">
        <w:rPr>
          <w:rFonts w:asciiTheme="majorHAnsi" w:hAnsiTheme="majorHAnsi"/>
          <w:color w:val="auto"/>
          <w:sz w:val="20"/>
          <w:szCs w:val="20"/>
          <w:lang w:val="es-CO"/>
        </w:rPr>
        <w:t>herid</w:t>
      </w:r>
      <w:r w:rsidR="00E056BE" w:rsidRPr="00C805B4">
        <w:rPr>
          <w:rFonts w:asciiTheme="majorHAnsi" w:hAnsiTheme="majorHAnsi"/>
          <w:color w:val="auto"/>
          <w:sz w:val="20"/>
          <w:szCs w:val="20"/>
          <w:lang w:val="es-CO"/>
        </w:rPr>
        <w:t>a</w:t>
      </w:r>
      <w:r w:rsidR="00406256" w:rsidRPr="00C805B4">
        <w:rPr>
          <w:rFonts w:asciiTheme="majorHAnsi" w:hAnsiTheme="majorHAnsi"/>
          <w:color w:val="auto"/>
          <w:sz w:val="20"/>
          <w:szCs w:val="20"/>
          <w:lang w:val="es-CO"/>
        </w:rPr>
        <w:t>s</w:t>
      </w:r>
      <w:r w:rsidR="00406256" w:rsidRPr="00C805B4">
        <w:rPr>
          <w:rFonts w:asciiTheme="majorHAnsi" w:hAnsiTheme="majorHAnsi"/>
          <w:color w:val="FF0000"/>
          <w:sz w:val="20"/>
          <w:szCs w:val="20"/>
          <w:lang w:val="es-CO"/>
        </w:rPr>
        <w:t xml:space="preserve"> </w:t>
      </w:r>
      <w:r w:rsidR="00406256" w:rsidRPr="00C805B4">
        <w:rPr>
          <w:rFonts w:asciiTheme="majorHAnsi" w:hAnsiTheme="majorHAnsi"/>
          <w:color w:val="auto"/>
          <w:sz w:val="20"/>
          <w:szCs w:val="20"/>
          <w:lang w:val="es-CO"/>
        </w:rPr>
        <w:t>de gravedad</w:t>
      </w:r>
      <w:r w:rsidR="008C3101" w:rsidRPr="00C805B4">
        <w:rPr>
          <w:rFonts w:asciiTheme="majorHAnsi" w:hAnsiTheme="majorHAnsi"/>
          <w:color w:val="auto"/>
          <w:sz w:val="20"/>
          <w:szCs w:val="20"/>
          <w:lang w:val="es-CO"/>
        </w:rPr>
        <w:t>, causando a</w:t>
      </w:r>
      <w:r w:rsidR="000E12CC" w:rsidRPr="00C805B4">
        <w:rPr>
          <w:rFonts w:asciiTheme="majorHAnsi" w:hAnsiTheme="majorHAnsi"/>
          <w:color w:val="auto"/>
          <w:sz w:val="20"/>
          <w:szCs w:val="20"/>
          <w:lang w:val="es-CO"/>
        </w:rPr>
        <w:t xml:space="preserve">dicionalmente el desplazamiento </w:t>
      </w:r>
      <w:r w:rsidR="008C3101" w:rsidRPr="00C805B4">
        <w:rPr>
          <w:rFonts w:asciiTheme="majorHAnsi" w:hAnsiTheme="majorHAnsi"/>
          <w:color w:val="auto"/>
          <w:sz w:val="20"/>
          <w:szCs w:val="20"/>
          <w:lang w:val="es-CO"/>
        </w:rPr>
        <w:t>masivo de la población afectada</w:t>
      </w:r>
      <w:r w:rsidR="00E060CC" w:rsidRPr="00C805B4">
        <w:rPr>
          <w:rFonts w:asciiTheme="majorHAnsi" w:hAnsiTheme="majorHAnsi"/>
          <w:color w:val="auto"/>
          <w:sz w:val="20"/>
          <w:szCs w:val="20"/>
          <w:lang w:val="es-CO"/>
        </w:rPr>
        <w:t xml:space="preserve">. </w:t>
      </w:r>
    </w:p>
    <w:p w14:paraId="4DC5D059" w14:textId="77777777" w:rsidR="0080353B" w:rsidRPr="002F569A" w:rsidRDefault="0080353B" w:rsidP="00AD7D9F">
      <w:pPr>
        <w:rPr>
          <w:rFonts w:asciiTheme="majorHAnsi" w:hAnsiTheme="majorHAnsi"/>
          <w:color w:val="0070C0"/>
          <w:sz w:val="20"/>
          <w:szCs w:val="20"/>
          <w:lang w:val="es-CO"/>
        </w:rPr>
      </w:pPr>
    </w:p>
    <w:p w14:paraId="3B5F6FD4" w14:textId="3011C5ED" w:rsidR="0062501E" w:rsidRPr="002C4A07" w:rsidRDefault="0080353B" w:rsidP="003C55B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C4A07">
        <w:rPr>
          <w:rFonts w:asciiTheme="majorHAnsi" w:hAnsiTheme="majorHAnsi"/>
          <w:color w:val="auto"/>
          <w:sz w:val="20"/>
          <w:szCs w:val="20"/>
          <w:lang w:val="es-CO"/>
        </w:rPr>
        <w:t>La parte peticionaria manifiesta que</w:t>
      </w:r>
      <w:r w:rsidR="003B36B5">
        <w:rPr>
          <w:rFonts w:asciiTheme="majorHAnsi" w:hAnsiTheme="majorHAnsi"/>
          <w:color w:val="auto"/>
          <w:sz w:val="20"/>
          <w:szCs w:val="20"/>
          <w:lang w:val="es-CO"/>
        </w:rPr>
        <w:t>,</w:t>
      </w:r>
      <w:r w:rsidRPr="002C4A07">
        <w:rPr>
          <w:rFonts w:asciiTheme="majorHAnsi" w:hAnsiTheme="majorHAnsi"/>
          <w:color w:val="auto"/>
          <w:sz w:val="20"/>
          <w:szCs w:val="20"/>
          <w:lang w:val="es-CO"/>
        </w:rPr>
        <w:t xml:space="preserve"> </w:t>
      </w:r>
      <w:r w:rsidR="00E056BE" w:rsidRPr="002C4A07">
        <w:rPr>
          <w:rFonts w:asciiTheme="majorHAnsi" w:hAnsiTheme="majorHAnsi"/>
          <w:color w:val="auto"/>
          <w:sz w:val="20"/>
          <w:szCs w:val="20"/>
          <w:lang w:val="es-CO"/>
        </w:rPr>
        <w:t>desde la mañana d</w:t>
      </w:r>
      <w:r w:rsidR="00EB4651" w:rsidRPr="002C4A07">
        <w:rPr>
          <w:rFonts w:asciiTheme="majorHAnsi" w:hAnsiTheme="majorHAnsi"/>
          <w:color w:val="auto"/>
          <w:sz w:val="20"/>
          <w:szCs w:val="20"/>
          <w:lang w:val="es-CO"/>
        </w:rPr>
        <w:t xml:space="preserve">el </w:t>
      </w:r>
      <w:r w:rsidR="006B6F90" w:rsidRPr="002C4A07">
        <w:rPr>
          <w:rFonts w:asciiTheme="majorHAnsi" w:hAnsiTheme="majorHAnsi"/>
          <w:color w:val="auto"/>
          <w:sz w:val="20"/>
          <w:szCs w:val="20"/>
          <w:lang w:val="es-CO"/>
        </w:rPr>
        <w:t>1 de mayo de 2002</w:t>
      </w:r>
      <w:r w:rsidR="00EB4651" w:rsidRPr="002C4A07">
        <w:rPr>
          <w:rFonts w:asciiTheme="majorHAnsi" w:hAnsiTheme="majorHAnsi"/>
          <w:color w:val="auto"/>
          <w:sz w:val="20"/>
          <w:szCs w:val="20"/>
          <w:lang w:val="es-CO"/>
        </w:rPr>
        <w:t>,</w:t>
      </w:r>
      <w:r w:rsidR="00000C61" w:rsidRPr="002C4A07">
        <w:rPr>
          <w:rFonts w:asciiTheme="majorHAnsi" w:hAnsiTheme="majorHAnsi"/>
          <w:color w:val="auto"/>
          <w:sz w:val="20"/>
          <w:szCs w:val="20"/>
          <w:lang w:val="es-CO"/>
        </w:rPr>
        <w:t xml:space="preserve"> </w:t>
      </w:r>
      <w:r w:rsidR="005567E9" w:rsidRPr="002C4A07">
        <w:rPr>
          <w:rFonts w:asciiTheme="majorHAnsi" w:hAnsiTheme="majorHAnsi"/>
          <w:color w:val="auto"/>
          <w:sz w:val="20"/>
          <w:szCs w:val="20"/>
          <w:lang w:val="es-CO"/>
        </w:rPr>
        <w:t xml:space="preserve">se iniciaron fuertes combates entre </w:t>
      </w:r>
      <w:r w:rsidR="00373453" w:rsidRPr="002C4A07">
        <w:rPr>
          <w:rFonts w:asciiTheme="majorHAnsi" w:hAnsiTheme="majorHAnsi"/>
          <w:color w:val="auto"/>
          <w:sz w:val="20"/>
          <w:szCs w:val="20"/>
          <w:lang w:val="es-CO"/>
        </w:rPr>
        <w:t>las Autodefensas</w:t>
      </w:r>
      <w:r w:rsidR="00000C61" w:rsidRPr="002C4A07">
        <w:rPr>
          <w:rFonts w:asciiTheme="majorHAnsi" w:hAnsiTheme="majorHAnsi"/>
          <w:color w:val="auto"/>
          <w:sz w:val="20"/>
          <w:szCs w:val="20"/>
          <w:lang w:val="es-CO"/>
        </w:rPr>
        <w:t xml:space="preserve"> y las FARC</w:t>
      </w:r>
      <w:r w:rsidR="00333764">
        <w:rPr>
          <w:rFonts w:asciiTheme="majorHAnsi" w:hAnsiTheme="majorHAnsi"/>
          <w:color w:val="auto"/>
          <w:sz w:val="20"/>
          <w:szCs w:val="20"/>
          <w:lang w:val="es-CO"/>
        </w:rPr>
        <w:t>-EP</w:t>
      </w:r>
      <w:r w:rsidR="00000C61" w:rsidRPr="002C4A07">
        <w:rPr>
          <w:rFonts w:asciiTheme="majorHAnsi" w:hAnsiTheme="majorHAnsi"/>
          <w:color w:val="auto"/>
          <w:sz w:val="20"/>
          <w:szCs w:val="20"/>
          <w:lang w:val="es-CO"/>
        </w:rPr>
        <w:t xml:space="preserve"> </w:t>
      </w:r>
      <w:r w:rsidR="00F72E00" w:rsidRPr="002C4A07">
        <w:rPr>
          <w:rFonts w:asciiTheme="majorHAnsi" w:hAnsiTheme="majorHAnsi"/>
          <w:color w:val="auto"/>
          <w:sz w:val="20"/>
          <w:szCs w:val="20"/>
          <w:lang w:val="es-CO"/>
        </w:rPr>
        <w:t>en Vigía del Fuerte</w:t>
      </w:r>
      <w:r w:rsidR="00FF596A" w:rsidRPr="002C4A07">
        <w:rPr>
          <w:rFonts w:asciiTheme="majorHAnsi" w:hAnsiTheme="majorHAnsi"/>
          <w:color w:val="auto"/>
          <w:sz w:val="20"/>
          <w:szCs w:val="20"/>
          <w:lang w:val="es-CO"/>
        </w:rPr>
        <w:t xml:space="preserve"> </w:t>
      </w:r>
      <w:r w:rsidR="009B207E" w:rsidRPr="009B207E">
        <w:rPr>
          <w:rFonts w:asciiTheme="majorHAnsi" w:hAnsiTheme="majorHAnsi"/>
          <w:color w:val="auto"/>
          <w:sz w:val="20"/>
          <w:szCs w:val="20"/>
          <w:lang w:val="es-CO"/>
        </w:rPr>
        <w:t xml:space="preserve">(Antioquia) </w:t>
      </w:r>
      <w:r w:rsidR="00FF596A" w:rsidRPr="002C4A07">
        <w:rPr>
          <w:rFonts w:asciiTheme="majorHAnsi" w:hAnsiTheme="majorHAnsi"/>
          <w:color w:val="auto"/>
          <w:sz w:val="20"/>
          <w:szCs w:val="20"/>
          <w:lang w:val="es-CO"/>
        </w:rPr>
        <w:t xml:space="preserve">y </w:t>
      </w:r>
      <w:r w:rsidR="005567E9" w:rsidRPr="002C4A07">
        <w:rPr>
          <w:rFonts w:asciiTheme="majorHAnsi" w:hAnsiTheme="majorHAnsi"/>
          <w:color w:val="auto"/>
          <w:sz w:val="20"/>
          <w:szCs w:val="20"/>
          <w:lang w:val="es-CO"/>
        </w:rPr>
        <w:t>Bojayá</w:t>
      </w:r>
      <w:r w:rsidR="009B207E" w:rsidRPr="009B207E">
        <w:rPr>
          <w:lang w:val="es-ES"/>
        </w:rPr>
        <w:t xml:space="preserve"> </w:t>
      </w:r>
      <w:r w:rsidR="009B207E">
        <w:rPr>
          <w:lang w:val="es-ES"/>
        </w:rPr>
        <w:t>(</w:t>
      </w:r>
      <w:r w:rsidR="009B207E" w:rsidRPr="009B207E">
        <w:rPr>
          <w:rFonts w:asciiTheme="majorHAnsi" w:hAnsiTheme="majorHAnsi"/>
          <w:color w:val="auto"/>
          <w:sz w:val="20"/>
          <w:szCs w:val="20"/>
          <w:lang w:val="es-CO"/>
        </w:rPr>
        <w:t>Chocó</w:t>
      </w:r>
      <w:r w:rsidR="009B207E">
        <w:rPr>
          <w:rFonts w:asciiTheme="majorHAnsi" w:hAnsiTheme="majorHAnsi"/>
          <w:color w:val="auto"/>
          <w:sz w:val="20"/>
          <w:szCs w:val="20"/>
          <w:lang w:val="es-CO"/>
        </w:rPr>
        <w:t>).</w:t>
      </w:r>
      <w:r w:rsidR="00A50909" w:rsidRPr="002C4A07">
        <w:rPr>
          <w:rFonts w:asciiTheme="majorHAnsi" w:hAnsiTheme="majorHAnsi"/>
          <w:color w:val="auto"/>
          <w:sz w:val="20"/>
          <w:szCs w:val="20"/>
          <w:lang w:val="es-CO"/>
        </w:rPr>
        <w:t xml:space="preserve"> </w:t>
      </w:r>
      <w:r w:rsidR="005567E9" w:rsidRPr="002C4A07">
        <w:rPr>
          <w:rFonts w:asciiTheme="majorHAnsi" w:hAnsiTheme="majorHAnsi"/>
          <w:color w:val="auto"/>
          <w:sz w:val="20"/>
          <w:szCs w:val="20"/>
          <w:lang w:val="es-CO"/>
        </w:rPr>
        <w:t>Sostiene</w:t>
      </w:r>
      <w:r w:rsidR="00000C61" w:rsidRPr="002C4A07">
        <w:rPr>
          <w:rFonts w:asciiTheme="majorHAnsi" w:hAnsiTheme="majorHAnsi"/>
          <w:color w:val="auto"/>
          <w:sz w:val="20"/>
          <w:szCs w:val="20"/>
          <w:lang w:val="es-CO"/>
        </w:rPr>
        <w:t xml:space="preserve"> </w:t>
      </w:r>
      <w:r w:rsidR="005567E9" w:rsidRPr="002C4A07">
        <w:rPr>
          <w:rFonts w:asciiTheme="majorHAnsi" w:hAnsiTheme="majorHAnsi"/>
          <w:color w:val="auto"/>
          <w:sz w:val="20"/>
          <w:szCs w:val="20"/>
          <w:lang w:val="es-CO"/>
        </w:rPr>
        <w:t xml:space="preserve">que </w:t>
      </w:r>
      <w:r w:rsidR="00000C61" w:rsidRPr="002C4A07">
        <w:rPr>
          <w:rFonts w:asciiTheme="majorHAnsi" w:hAnsiTheme="majorHAnsi"/>
          <w:color w:val="auto"/>
          <w:sz w:val="20"/>
          <w:szCs w:val="20"/>
          <w:lang w:val="es-CO"/>
        </w:rPr>
        <w:t>los enfrentamientos</w:t>
      </w:r>
      <w:r w:rsidR="005567E9" w:rsidRPr="002C4A07">
        <w:rPr>
          <w:rFonts w:asciiTheme="majorHAnsi" w:hAnsiTheme="majorHAnsi"/>
          <w:color w:val="auto"/>
          <w:sz w:val="20"/>
          <w:szCs w:val="20"/>
          <w:lang w:val="es-CO"/>
        </w:rPr>
        <w:t xml:space="preserve"> se intensificaron </w:t>
      </w:r>
      <w:r w:rsidR="00FF596A" w:rsidRPr="002C4A07">
        <w:rPr>
          <w:rFonts w:asciiTheme="majorHAnsi" w:hAnsiTheme="majorHAnsi"/>
          <w:color w:val="auto"/>
          <w:sz w:val="20"/>
          <w:szCs w:val="20"/>
          <w:lang w:val="es-CO"/>
        </w:rPr>
        <w:t>durante el</w:t>
      </w:r>
      <w:r w:rsidR="0081609C" w:rsidRPr="002C4A07">
        <w:rPr>
          <w:rFonts w:asciiTheme="majorHAnsi" w:hAnsiTheme="majorHAnsi"/>
          <w:color w:val="auto"/>
          <w:sz w:val="20"/>
          <w:szCs w:val="20"/>
          <w:lang w:val="es-CO"/>
        </w:rPr>
        <w:t xml:space="preserve"> día siguiente</w:t>
      </w:r>
      <w:r w:rsidR="00FF596A" w:rsidRPr="002C4A07">
        <w:rPr>
          <w:rFonts w:asciiTheme="majorHAnsi" w:hAnsiTheme="majorHAnsi"/>
          <w:color w:val="auto"/>
          <w:sz w:val="20"/>
          <w:szCs w:val="20"/>
          <w:lang w:val="es-CO"/>
        </w:rPr>
        <w:t>, por lo</w:t>
      </w:r>
      <w:r w:rsidR="003B36B5">
        <w:rPr>
          <w:rFonts w:asciiTheme="majorHAnsi" w:hAnsiTheme="majorHAnsi"/>
          <w:color w:val="auto"/>
          <w:sz w:val="20"/>
          <w:szCs w:val="20"/>
          <w:lang w:val="es-CO"/>
        </w:rPr>
        <w:t xml:space="preserve"> cual</w:t>
      </w:r>
      <w:r w:rsidR="00FF596A" w:rsidRPr="002C4A07">
        <w:rPr>
          <w:rFonts w:asciiTheme="majorHAnsi" w:hAnsiTheme="majorHAnsi"/>
          <w:color w:val="auto"/>
          <w:sz w:val="20"/>
          <w:szCs w:val="20"/>
          <w:lang w:val="es-CO"/>
        </w:rPr>
        <w:t xml:space="preserve"> la población civil busc</w:t>
      </w:r>
      <w:r w:rsidR="004E0942">
        <w:rPr>
          <w:rFonts w:asciiTheme="majorHAnsi" w:hAnsiTheme="majorHAnsi"/>
          <w:color w:val="auto"/>
          <w:sz w:val="20"/>
          <w:szCs w:val="20"/>
          <w:lang w:val="es-CO"/>
        </w:rPr>
        <w:t>ó</w:t>
      </w:r>
      <w:r w:rsidR="00FF596A" w:rsidRPr="002C4A07">
        <w:rPr>
          <w:rFonts w:asciiTheme="majorHAnsi" w:hAnsiTheme="majorHAnsi"/>
          <w:color w:val="auto"/>
          <w:sz w:val="20"/>
          <w:szCs w:val="20"/>
          <w:lang w:val="es-CO"/>
        </w:rPr>
        <w:t xml:space="preserve"> refugio en</w:t>
      </w:r>
      <w:r w:rsidR="00C64D05">
        <w:rPr>
          <w:rFonts w:asciiTheme="majorHAnsi" w:hAnsiTheme="majorHAnsi"/>
          <w:color w:val="auto"/>
          <w:sz w:val="20"/>
          <w:szCs w:val="20"/>
          <w:lang w:val="es-CO"/>
        </w:rPr>
        <w:t xml:space="preserve"> la iglesia </w:t>
      </w:r>
      <w:r w:rsidR="00FF596A" w:rsidRPr="002C4A07">
        <w:rPr>
          <w:rFonts w:asciiTheme="majorHAnsi" w:hAnsiTheme="majorHAnsi"/>
          <w:color w:val="auto"/>
          <w:sz w:val="20"/>
          <w:szCs w:val="20"/>
          <w:lang w:val="es-CO"/>
        </w:rPr>
        <w:t>en el centro del pueblo de Cañolindo</w:t>
      </w:r>
      <w:r w:rsidR="007B7842">
        <w:rPr>
          <w:rFonts w:asciiTheme="majorHAnsi" w:hAnsiTheme="majorHAnsi"/>
          <w:color w:val="auto"/>
          <w:sz w:val="20"/>
          <w:szCs w:val="20"/>
          <w:lang w:val="es-CO"/>
        </w:rPr>
        <w:t xml:space="preserve"> y </w:t>
      </w:r>
      <w:r w:rsidR="005772CD">
        <w:rPr>
          <w:rFonts w:asciiTheme="majorHAnsi" w:hAnsiTheme="majorHAnsi"/>
          <w:color w:val="auto"/>
          <w:sz w:val="20"/>
          <w:szCs w:val="20"/>
          <w:lang w:val="es-CO"/>
        </w:rPr>
        <w:t xml:space="preserve">los integrantes de </w:t>
      </w:r>
      <w:r w:rsidR="00C64D05">
        <w:rPr>
          <w:rFonts w:asciiTheme="majorHAnsi" w:hAnsiTheme="majorHAnsi"/>
          <w:color w:val="auto"/>
          <w:sz w:val="20"/>
          <w:szCs w:val="20"/>
          <w:lang w:val="es-CO"/>
        </w:rPr>
        <w:t>las AUC</w:t>
      </w:r>
      <w:r w:rsidR="00FF596A" w:rsidRPr="002C4A07">
        <w:rPr>
          <w:rFonts w:asciiTheme="majorHAnsi" w:hAnsiTheme="majorHAnsi"/>
          <w:color w:val="auto"/>
          <w:sz w:val="20"/>
          <w:szCs w:val="20"/>
          <w:lang w:val="es-CO"/>
        </w:rPr>
        <w:t xml:space="preserve"> se </w:t>
      </w:r>
      <w:r w:rsidR="007B7842">
        <w:rPr>
          <w:rFonts w:asciiTheme="majorHAnsi" w:hAnsiTheme="majorHAnsi"/>
          <w:color w:val="auto"/>
          <w:sz w:val="20"/>
          <w:szCs w:val="20"/>
          <w:lang w:val="es-CO"/>
        </w:rPr>
        <w:t xml:space="preserve">ubicaron </w:t>
      </w:r>
      <w:r w:rsidR="00FF596A" w:rsidRPr="002C4A07">
        <w:rPr>
          <w:rFonts w:asciiTheme="majorHAnsi" w:hAnsiTheme="majorHAnsi"/>
          <w:color w:val="auto"/>
          <w:sz w:val="20"/>
          <w:szCs w:val="20"/>
          <w:lang w:val="es-CO"/>
        </w:rPr>
        <w:t xml:space="preserve">detrás de la misma. En dicho contexto, </w:t>
      </w:r>
      <w:r w:rsidR="003B36B5">
        <w:rPr>
          <w:rFonts w:asciiTheme="majorHAnsi" w:hAnsiTheme="majorHAnsi"/>
          <w:color w:val="auto"/>
          <w:sz w:val="20"/>
          <w:szCs w:val="20"/>
          <w:lang w:val="es-CO"/>
        </w:rPr>
        <w:t xml:space="preserve">indica que </w:t>
      </w:r>
      <w:r w:rsidR="009C1B6E" w:rsidRPr="002C4A07">
        <w:rPr>
          <w:rFonts w:asciiTheme="majorHAnsi" w:hAnsiTheme="majorHAnsi"/>
          <w:color w:val="auto"/>
          <w:sz w:val="20"/>
          <w:szCs w:val="20"/>
          <w:lang w:val="es-CO"/>
        </w:rPr>
        <w:t>a las 10</w:t>
      </w:r>
      <w:r w:rsidR="00E056BE" w:rsidRPr="002C4A07">
        <w:rPr>
          <w:rFonts w:asciiTheme="majorHAnsi" w:hAnsiTheme="majorHAnsi"/>
          <w:color w:val="auto"/>
          <w:sz w:val="20"/>
          <w:szCs w:val="20"/>
          <w:lang w:val="es-CO"/>
        </w:rPr>
        <w:t>:</w:t>
      </w:r>
      <w:r w:rsidR="009C1B6E" w:rsidRPr="002C4A07">
        <w:rPr>
          <w:rFonts w:asciiTheme="majorHAnsi" w:hAnsiTheme="majorHAnsi"/>
          <w:color w:val="auto"/>
          <w:sz w:val="20"/>
          <w:szCs w:val="20"/>
          <w:lang w:val="es-CO"/>
        </w:rPr>
        <w:t xml:space="preserve">45 </w:t>
      </w:r>
      <w:r w:rsidR="00BE32BB" w:rsidRPr="002C4A07">
        <w:rPr>
          <w:rFonts w:asciiTheme="majorHAnsi" w:hAnsiTheme="majorHAnsi"/>
          <w:color w:val="auto"/>
          <w:sz w:val="20"/>
          <w:szCs w:val="20"/>
          <w:lang w:val="es-CO"/>
        </w:rPr>
        <w:t>de la mañana</w:t>
      </w:r>
      <w:r w:rsidR="003C55BC" w:rsidRPr="003C55BC">
        <w:rPr>
          <w:lang w:val="es-ES"/>
        </w:rPr>
        <w:t xml:space="preserve"> </w:t>
      </w:r>
      <w:r w:rsidR="003C55BC">
        <w:rPr>
          <w:rFonts w:asciiTheme="majorHAnsi" w:hAnsiTheme="majorHAnsi"/>
          <w:color w:val="auto"/>
          <w:sz w:val="20"/>
          <w:szCs w:val="20"/>
          <w:lang w:val="es-CO"/>
        </w:rPr>
        <w:t>del 2</w:t>
      </w:r>
      <w:r w:rsidR="003C55BC" w:rsidRPr="003C55BC">
        <w:rPr>
          <w:rFonts w:asciiTheme="majorHAnsi" w:hAnsiTheme="majorHAnsi"/>
          <w:color w:val="auto"/>
          <w:sz w:val="20"/>
          <w:szCs w:val="20"/>
          <w:lang w:val="es-CO"/>
        </w:rPr>
        <w:t xml:space="preserve"> de mayo</w:t>
      </w:r>
      <w:r w:rsidR="002C2BF8" w:rsidRPr="002C4A07">
        <w:rPr>
          <w:rFonts w:asciiTheme="majorHAnsi" w:hAnsiTheme="majorHAnsi"/>
          <w:color w:val="auto"/>
          <w:sz w:val="20"/>
          <w:szCs w:val="20"/>
          <w:lang w:val="es-CO"/>
        </w:rPr>
        <w:t>, las FARC</w:t>
      </w:r>
      <w:r w:rsidR="007B7842">
        <w:rPr>
          <w:rFonts w:asciiTheme="majorHAnsi" w:hAnsiTheme="majorHAnsi"/>
          <w:color w:val="auto"/>
          <w:sz w:val="20"/>
          <w:szCs w:val="20"/>
          <w:lang w:val="es-CO"/>
        </w:rPr>
        <w:t xml:space="preserve">-EP </w:t>
      </w:r>
      <w:r w:rsidR="003B36B5">
        <w:rPr>
          <w:rFonts w:asciiTheme="majorHAnsi" w:hAnsiTheme="majorHAnsi"/>
          <w:color w:val="auto"/>
          <w:sz w:val="20"/>
          <w:szCs w:val="20"/>
          <w:lang w:val="es-CO"/>
        </w:rPr>
        <w:t>lanzaron</w:t>
      </w:r>
      <w:r w:rsidR="007B7842">
        <w:rPr>
          <w:rFonts w:asciiTheme="majorHAnsi" w:hAnsiTheme="majorHAnsi"/>
          <w:color w:val="auto"/>
          <w:sz w:val="20"/>
          <w:szCs w:val="20"/>
          <w:lang w:val="es-CO"/>
        </w:rPr>
        <w:t xml:space="preserve"> una</w:t>
      </w:r>
      <w:r w:rsidR="00FF596A" w:rsidRPr="002C4A07">
        <w:rPr>
          <w:rFonts w:asciiTheme="majorHAnsi" w:hAnsiTheme="majorHAnsi"/>
          <w:color w:val="auto"/>
          <w:sz w:val="20"/>
          <w:szCs w:val="20"/>
          <w:lang w:val="es-CO"/>
        </w:rPr>
        <w:t xml:space="preserve"> pipeta de gas (cilindro bomba)</w:t>
      </w:r>
      <w:r w:rsidR="0024398E">
        <w:rPr>
          <w:rFonts w:asciiTheme="majorHAnsi" w:hAnsiTheme="majorHAnsi"/>
          <w:color w:val="auto"/>
          <w:sz w:val="20"/>
          <w:szCs w:val="20"/>
          <w:lang w:val="es-CO"/>
        </w:rPr>
        <w:t xml:space="preserve"> contra las AUC,</w:t>
      </w:r>
      <w:r w:rsidR="00FF596A" w:rsidRPr="002C4A07">
        <w:rPr>
          <w:rFonts w:asciiTheme="majorHAnsi" w:hAnsiTheme="majorHAnsi"/>
          <w:color w:val="auto"/>
          <w:sz w:val="20"/>
          <w:szCs w:val="20"/>
          <w:lang w:val="es-CO"/>
        </w:rPr>
        <w:t xml:space="preserve"> impactando</w:t>
      </w:r>
      <w:r w:rsidR="009C1B6E" w:rsidRPr="002C4A07">
        <w:rPr>
          <w:rFonts w:asciiTheme="majorHAnsi" w:hAnsiTheme="majorHAnsi"/>
          <w:color w:val="auto"/>
          <w:sz w:val="20"/>
          <w:szCs w:val="20"/>
          <w:lang w:val="es-CO"/>
        </w:rPr>
        <w:t xml:space="preserve"> directamente la iglesia</w:t>
      </w:r>
      <w:r w:rsidR="002C2BF8" w:rsidRPr="002C4A07">
        <w:rPr>
          <w:rFonts w:asciiTheme="majorHAnsi" w:hAnsiTheme="majorHAnsi"/>
          <w:color w:val="auto"/>
          <w:sz w:val="20"/>
          <w:szCs w:val="20"/>
          <w:lang w:val="es-CO"/>
        </w:rPr>
        <w:t xml:space="preserve">, </w:t>
      </w:r>
      <w:r w:rsidR="001E3B71" w:rsidRPr="002C4A07">
        <w:rPr>
          <w:rFonts w:asciiTheme="majorHAnsi" w:hAnsiTheme="majorHAnsi"/>
          <w:color w:val="auto"/>
          <w:sz w:val="20"/>
          <w:szCs w:val="20"/>
          <w:lang w:val="es-CO"/>
        </w:rPr>
        <w:t>ocasionando</w:t>
      </w:r>
      <w:r w:rsidR="00AD7D9F" w:rsidRPr="002C4A07">
        <w:rPr>
          <w:rFonts w:asciiTheme="majorHAnsi" w:hAnsiTheme="majorHAnsi"/>
          <w:color w:val="auto"/>
          <w:sz w:val="20"/>
          <w:szCs w:val="20"/>
          <w:lang w:val="es-CO"/>
        </w:rPr>
        <w:t xml:space="preserve"> </w:t>
      </w:r>
      <w:r w:rsidR="00EB4651" w:rsidRPr="002C4A07">
        <w:rPr>
          <w:rFonts w:asciiTheme="majorHAnsi" w:hAnsiTheme="majorHAnsi"/>
          <w:color w:val="auto"/>
          <w:sz w:val="20"/>
          <w:szCs w:val="20"/>
          <w:lang w:val="es-CO"/>
        </w:rPr>
        <w:t xml:space="preserve">la muerte de </w:t>
      </w:r>
      <w:r w:rsidR="00333764">
        <w:rPr>
          <w:rFonts w:asciiTheme="majorHAnsi" w:hAnsiTheme="majorHAnsi"/>
          <w:color w:val="auto"/>
          <w:sz w:val="20"/>
          <w:szCs w:val="20"/>
          <w:lang w:val="es-CO"/>
        </w:rPr>
        <w:t>más de 70</w:t>
      </w:r>
      <w:r w:rsidR="00784B5D" w:rsidRPr="002C4A07">
        <w:rPr>
          <w:rFonts w:asciiTheme="majorHAnsi" w:hAnsiTheme="majorHAnsi"/>
          <w:color w:val="auto"/>
          <w:sz w:val="20"/>
          <w:szCs w:val="20"/>
          <w:lang w:val="es-CO"/>
        </w:rPr>
        <w:t xml:space="preserve"> civiles</w:t>
      </w:r>
      <w:r w:rsidR="0024398E">
        <w:rPr>
          <w:rFonts w:asciiTheme="majorHAnsi" w:hAnsiTheme="majorHAnsi"/>
          <w:color w:val="auto"/>
          <w:sz w:val="20"/>
          <w:szCs w:val="20"/>
          <w:lang w:val="es-CO"/>
        </w:rPr>
        <w:t xml:space="preserve"> e hiriendo de gravedad a numerosos sobrevivientes</w:t>
      </w:r>
      <w:r w:rsidR="007D2EF5" w:rsidRPr="002C4A07">
        <w:rPr>
          <w:rFonts w:asciiTheme="majorHAnsi" w:hAnsiTheme="majorHAnsi"/>
          <w:color w:val="auto"/>
          <w:sz w:val="20"/>
          <w:szCs w:val="20"/>
          <w:lang w:val="es-CO"/>
        </w:rPr>
        <w:t>.</w:t>
      </w:r>
      <w:r w:rsidR="00000C61" w:rsidRPr="002C4A07">
        <w:rPr>
          <w:rFonts w:asciiTheme="majorHAnsi" w:hAnsiTheme="majorHAnsi"/>
          <w:color w:val="auto"/>
          <w:sz w:val="20"/>
          <w:szCs w:val="20"/>
          <w:lang w:val="es-CO"/>
        </w:rPr>
        <w:t xml:space="preserve"> </w:t>
      </w:r>
      <w:r w:rsidR="0024398E">
        <w:rPr>
          <w:rFonts w:asciiTheme="majorHAnsi" w:hAnsiTheme="majorHAnsi"/>
          <w:color w:val="auto"/>
          <w:sz w:val="20"/>
          <w:szCs w:val="20"/>
          <w:lang w:val="es-CO"/>
        </w:rPr>
        <w:t>Agrega que a</w:t>
      </w:r>
      <w:r w:rsidR="00333764">
        <w:rPr>
          <w:rFonts w:asciiTheme="majorHAnsi" w:hAnsiTheme="majorHAnsi"/>
          <w:color w:val="auto"/>
          <w:sz w:val="20"/>
          <w:szCs w:val="20"/>
          <w:lang w:val="es-CO"/>
        </w:rPr>
        <w:t xml:space="preserve"> consecuencia de los graves hechos</w:t>
      </w:r>
      <w:r w:rsidR="00D5437B">
        <w:rPr>
          <w:rFonts w:asciiTheme="majorHAnsi" w:hAnsiTheme="majorHAnsi"/>
          <w:color w:val="auto"/>
          <w:sz w:val="20"/>
          <w:szCs w:val="20"/>
          <w:lang w:val="es-CO"/>
        </w:rPr>
        <w:t xml:space="preserve">, el </w:t>
      </w:r>
      <w:r w:rsidR="00D5437B" w:rsidRPr="00D5437B">
        <w:rPr>
          <w:rFonts w:asciiTheme="majorHAnsi" w:hAnsiTheme="majorHAnsi"/>
          <w:color w:val="auto"/>
          <w:sz w:val="20"/>
          <w:szCs w:val="20"/>
          <w:lang w:val="es-CO"/>
        </w:rPr>
        <w:t>registro de la Red de Solidaridad Social</w:t>
      </w:r>
      <w:r w:rsidR="00D5437B">
        <w:rPr>
          <w:rFonts w:asciiTheme="majorHAnsi" w:hAnsiTheme="majorHAnsi"/>
          <w:color w:val="auto"/>
          <w:sz w:val="20"/>
          <w:szCs w:val="20"/>
          <w:lang w:val="es-CO"/>
        </w:rPr>
        <w:t xml:space="preserve"> </w:t>
      </w:r>
      <w:r w:rsidR="0024398E">
        <w:rPr>
          <w:rFonts w:asciiTheme="majorHAnsi" w:hAnsiTheme="majorHAnsi"/>
          <w:color w:val="auto"/>
          <w:sz w:val="20"/>
          <w:szCs w:val="20"/>
          <w:lang w:val="es-CO"/>
        </w:rPr>
        <w:t xml:space="preserve">ha certificado </w:t>
      </w:r>
      <w:r w:rsidR="00D5437B">
        <w:rPr>
          <w:rFonts w:asciiTheme="majorHAnsi" w:hAnsiTheme="majorHAnsi"/>
          <w:color w:val="auto"/>
          <w:sz w:val="20"/>
          <w:szCs w:val="20"/>
          <w:lang w:val="es-CO"/>
        </w:rPr>
        <w:t>que</w:t>
      </w:r>
      <w:r w:rsidR="00D5437B" w:rsidRPr="00D5437B">
        <w:rPr>
          <w:rFonts w:asciiTheme="majorHAnsi" w:hAnsiTheme="majorHAnsi"/>
          <w:color w:val="auto"/>
          <w:sz w:val="20"/>
          <w:szCs w:val="20"/>
          <w:lang w:val="es-CO"/>
        </w:rPr>
        <w:t xml:space="preserve"> entre el 3 y 12 de mayo de 2002 se desplazaron </w:t>
      </w:r>
      <w:r w:rsidR="00D5437B" w:rsidRPr="001F3E60">
        <w:rPr>
          <w:rFonts w:asciiTheme="majorHAnsi" w:hAnsiTheme="majorHAnsi"/>
          <w:color w:val="auto"/>
          <w:sz w:val="20"/>
          <w:szCs w:val="20"/>
          <w:lang w:val="es-CO"/>
        </w:rPr>
        <w:t>más de 1971</w:t>
      </w:r>
      <w:r w:rsidR="00D5437B" w:rsidRPr="00D5437B">
        <w:rPr>
          <w:rFonts w:asciiTheme="majorHAnsi" w:hAnsiTheme="majorHAnsi"/>
          <w:color w:val="auto"/>
          <w:sz w:val="20"/>
          <w:szCs w:val="20"/>
          <w:lang w:val="es-CO"/>
        </w:rPr>
        <w:t xml:space="preserve"> habitantes, entre ellos 49,8 % m</w:t>
      </w:r>
      <w:r w:rsidR="00D5437B">
        <w:rPr>
          <w:rFonts w:asciiTheme="majorHAnsi" w:hAnsiTheme="majorHAnsi"/>
          <w:color w:val="auto"/>
          <w:sz w:val="20"/>
          <w:szCs w:val="20"/>
          <w:lang w:val="es-CO"/>
        </w:rPr>
        <w:t>ujeres y 54% menores de 18 años</w:t>
      </w:r>
      <w:r w:rsidR="00D5437B" w:rsidRPr="00D5437B">
        <w:rPr>
          <w:rFonts w:asciiTheme="majorHAnsi" w:hAnsiTheme="majorHAnsi"/>
          <w:color w:val="auto"/>
          <w:sz w:val="20"/>
          <w:szCs w:val="20"/>
          <w:lang w:val="es-CO"/>
        </w:rPr>
        <w:t>.</w:t>
      </w:r>
    </w:p>
    <w:p w14:paraId="4D25441F" w14:textId="77777777" w:rsidR="002C4A07" w:rsidRPr="002C4A07" w:rsidRDefault="002C4A07" w:rsidP="002C4A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7EFC879F" w14:textId="2463B6A0" w:rsidR="00DA3A96" w:rsidRDefault="007F6859" w:rsidP="009B207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CO"/>
        </w:rPr>
      </w:pPr>
      <w:r>
        <w:rPr>
          <w:rFonts w:asciiTheme="majorHAnsi" w:hAnsiTheme="majorHAnsi"/>
          <w:color w:val="auto"/>
          <w:sz w:val="20"/>
          <w:szCs w:val="20"/>
          <w:lang w:val="es-CO"/>
        </w:rPr>
        <w:t>Alega</w:t>
      </w:r>
      <w:r w:rsidR="00F507B0">
        <w:rPr>
          <w:rFonts w:asciiTheme="majorHAnsi" w:hAnsiTheme="majorHAnsi"/>
          <w:color w:val="auto"/>
          <w:sz w:val="20"/>
          <w:szCs w:val="20"/>
          <w:lang w:val="es-CO"/>
        </w:rPr>
        <w:t xml:space="preserve"> que</w:t>
      </w:r>
      <w:r>
        <w:rPr>
          <w:rFonts w:asciiTheme="majorHAnsi" w:hAnsiTheme="majorHAnsi"/>
          <w:color w:val="auto"/>
          <w:sz w:val="20"/>
          <w:szCs w:val="20"/>
          <w:lang w:val="es-CO"/>
        </w:rPr>
        <w:t xml:space="preserve"> </w:t>
      </w:r>
      <w:r w:rsidR="009B207E">
        <w:rPr>
          <w:rFonts w:asciiTheme="majorHAnsi" w:hAnsiTheme="majorHAnsi"/>
          <w:color w:val="auto"/>
          <w:sz w:val="20"/>
          <w:szCs w:val="20"/>
          <w:lang w:val="es-CO"/>
        </w:rPr>
        <w:t>las autoridades estatales</w:t>
      </w:r>
      <w:r>
        <w:rPr>
          <w:rFonts w:asciiTheme="majorHAnsi" w:hAnsiTheme="majorHAnsi"/>
          <w:color w:val="auto"/>
          <w:sz w:val="20"/>
          <w:szCs w:val="20"/>
          <w:lang w:val="es-CO"/>
        </w:rPr>
        <w:t xml:space="preserve"> conocieron</w:t>
      </w:r>
      <w:r w:rsidR="009F1203">
        <w:rPr>
          <w:rFonts w:asciiTheme="majorHAnsi" w:hAnsiTheme="majorHAnsi"/>
          <w:color w:val="auto"/>
          <w:sz w:val="20"/>
          <w:szCs w:val="20"/>
          <w:lang w:val="es-CO"/>
        </w:rPr>
        <w:t>,</w:t>
      </w:r>
      <w:r>
        <w:rPr>
          <w:rFonts w:asciiTheme="majorHAnsi" w:hAnsiTheme="majorHAnsi"/>
          <w:color w:val="auto"/>
          <w:sz w:val="20"/>
          <w:szCs w:val="20"/>
          <w:lang w:val="es-CO"/>
        </w:rPr>
        <w:t xml:space="preserve"> días previos </w:t>
      </w:r>
      <w:r w:rsidR="009F1203">
        <w:rPr>
          <w:rFonts w:asciiTheme="majorHAnsi" w:hAnsiTheme="majorHAnsi"/>
          <w:color w:val="auto"/>
          <w:sz w:val="20"/>
          <w:szCs w:val="20"/>
          <w:lang w:val="es-CO"/>
        </w:rPr>
        <w:t xml:space="preserve">a la masacre, </w:t>
      </w:r>
      <w:r>
        <w:rPr>
          <w:rFonts w:asciiTheme="majorHAnsi" w:hAnsiTheme="majorHAnsi"/>
          <w:color w:val="auto"/>
          <w:sz w:val="20"/>
          <w:szCs w:val="20"/>
          <w:lang w:val="es-CO"/>
        </w:rPr>
        <w:t xml:space="preserve">la posibilidad </w:t>
      </w:r>
      <w:r w:rsidR="009F1203">
        <w:rPr>
          <w:rFonts w:asciiTheme="majorHAnsi" w:hAnsiTheme="majorHAnsi"/>
          <w:color w:val="auto"/>
          <w:sz w:val="20"/>
          <w:szCs w:val="20"/>
          <w:lang w:val="es-CO"/>
        </w:rPr>
        <w:t>que la misma ocurriera</w:t>
      </w:r>
      <w:r>
        <w:rPr>
          <w:rFonts w:asciiTheme="majorHAnsi" w:hAnsiTheme="majorHAnsi"/>
          <w:color w:val="auto"/>
          <w:sz w:val="20"/>
          <w:szCs w:val="20"/>
          <w:lang w:val="es-CO"/>
        </w:rPr>
        <w:t xml:space="preserve"> sin adoptar medidas destinadas a proteger a las comunidades</w:t>
      </w:r>
      <w:r w:rsidR="009F1203">
        <w:rPr>
          <w:rFonts w:asciiTheme="majorHAnsi" w:hAnsiTheme="majorHAnsi"/>
          <w:color w:val="auto"/>
          <w:sz w:val="20"/>
          <w:szCs w:val="20"/>
          <w:lang w:val="es-CO"/>
        </w:rPr>
        <w:t>. S</w:t>
      </w:r>
      <w:r w:rsidR="009B207E">
        <w:rPr>
          <w:rFonts w:asciiTheme="majorHAnsi" w:hAnsiTheme="majorHAnsi"/>
          <w:color w:val="auto"/>
          <w:sz w:val="20"/>
          <w:szCs w:val="20"/>
          <w:lang w:val="es-CO"/>
        </w:rPr>
        <w:t xml:space="preserve">ostiene que </w:t>
      </w:r>
      <w:r w:rsidR="008F2EBC" w:rsidRPr="002C4A07">
        <w:rPr>
          <w:rFonts w:asciiTheme="majorHAnsi" w:hAnsiTheme="majorHAnsi"/>
          <w:color w:val="auto"/>
          <w:sz w:val="20"/>
          <w:szCs w:val="20"/>
          <w:lang w:val="es-CO"/>
        </w:rPr>
        <w:t xml:space="preserve">el </w:t>
      </w:r>
      <w:r w:rsidR="009B207E" w:rsidRPr="009B207E">
        <w:rPr>
          <w:rFonts w:asciiTheme="majorHAnsi" w:hAnsiTheme="majorHAnsi"/>
          <w:color w:val="auto"/>
          <w:sz w:val="20"/>
          <w:szCs w:val="20"/>
          <w:lang w:val="es-CO"/>
        </w:rPr>
        <w:t>20 de abril de 2002</w:t>
      </w:r>
      <w:r w:rsidR="00D76642">
        <w:rPr>
          <w:rFonts w:asciiTheme="majorHAnsi" w:hAnsiTheme="majorHAnsi"/>
          <w:color w:val="auto"/>
          <w:sz w:val="20"/>
          <w:szCs w:val="20"/>
          <w:lang w:val="es-CO"/>
        </w:rPr>
        <w:t>,</w:t>
      </w:r>
      <w:r w:rsidR="009B207E" w:rsidRPr="009B207E">
        <w:rPr>
          <w:rFonts w:asciiTheme="majorHAnsi" w:hAnsiTheme="majorHAnsi"/>
          <w:color w:val="auto"/>
          <w:sz w:val="20"/>
          <w:szCs w:val="20"/>
          <w:lang w:val="es-CO"/>
        </w:rPr>
        <w:t xml:space="preserve"> el Alcalde del Municipio del Darién</w:t>
      </w:r>
      <w:r w:rsidR="009B207E">
        <w:rPr>
          <w:rFonts w:asciiTheme="majorHAnsi" w:hAnsiTheme="majorHAnsi"/>
          <w:color w:val="auto"/>
          <w:sz w:val="20"/>
          <w:szCs w:val="20"/>
          <w:lang w:val="es-CO"/>
        </w:rPr>
        <w:t xml:space="preserve"> informó al </w:t>
      </w:r>
      <w:r w:rsidR="008F2EBC" w:rsidRPr="002C4A07">
        <w:rPr>
          <w:rFonts w:asciiTheme="majorHAnsi" w:hAnsiTheme="majorHAnsi"/>
          <w:color w:val="auto"/>
          <w:sz w:val="20"/>
          <w:szCs w:val="20"/>
          <w:lang w:val="es-CO"/>
        </w:rPr>
        <w:t>Grupo de Intelige</w:t>
      </w:r>
      <w:r w:rsidR="00F713C7" w:rsidRPr="002C4A07">
        <w:rPr>
          <w:rFonts w:asciiTheme="majorHAnsi" w:hAnsiTheme="majorHAnsi"/>
          <w:color w:val="auto"/>
          <w:sz w:val="20"/>
          <w:szCs w:val="20"/>
          <w:lang w:val="es-CO"/>
        </w:rPr>
        <w:t>n</w:t>
      </w:r>
      <w:r w:rsidR="008F2EBC" w:rsidRPr="002C4A07">
        <w:rPr>
          <w:rFonts w:asciiTheme="majorHAnsi" w:hAnsiTheme="majorHAnsi"/>
          <w:color w:val="auto"/>
          <w:sz w:val="20"/>
          <w:szCs w:val="20"/>
          <w:lang w:val="es-CO"/>
        </w:rPr>
        <w:t xml:space="preserve">cia del </w:t>
      </w:r>
      <w:r w:rsidR="00F713C7" w:rsidRPr="002C4A07">
        <w:rPr>
          <w:rFonts w:asciiTheme="majorHAnsi" w:hAnsiTheme="majorHAnsi"/>
          <w:color w:val="auto"/>
          <w:sz w:val="20"/>
          <w:szCs w:val="20"/>
          <w:lang w:val="es-CO"/>
        </w:rPr>
        <w:t>Departamento Administrativo de Seguridad (DAS)</w:t>
      </w:r>
      <w:r w:rsidR="00B02DDD" w:rsidRPr="002C4A07">
        <w:rPr>
          <w:rFonts w:asciiTheme="majorHAnsi" w:hAnsiTheme="majorHAnsi"/>
          <w:color w:val="auto"/>
          <w:sz w:val="20"/>
          <w:szCs w:val="20"/>
          <w:lang w:val="es-CO"/>
        </w:rPr>
        <w:t xml:space="preserve"> </w:t>
      </w:r>
      <w:r w:rsidR="00CB6DE5">
        <w:rPr>
          <w:rFonts w:asciiTheme="majorHAnsi" w:hAnsiTheme="majorHAnsi"/>
          <w:color w:val="auto"/>
          <w:sz w:val="20"/>
          <w:szCs w:val="20"/>
          <w:lang w:val="es-CO"/>
        </w:rPr>
        <w:t xml:space="preserve">que integrantes </w:t>
      </w:r>
      <w:r w:rsidR="009F1203">
        <w:rPr>
          <w:rFonts w:asciiTheme="majorHAnsi" w:hAnsiTheme="majorHAnsi"/>
          <w:color w:val="auto"/>
          <w:sz w:val="20"/>
          <w:szCs w:val="20"/>
          <w:lang w:val="es-CO"/>
        </w:rPr>
        <w:t xml:space="preserve">de </w:t>
      </w:r>
      <w:r w:rsidR="00D17279" w:rsidRPr="002C4A07">
        <w:rPr>
          <w:rFonts w:asciiTheme="majorHAnsi" w:hAnsiTheme="majorHAnsi"/>
          <w:color w:val="auto"/>
          <w:sz w:val="20"/>
          <w:szCs w:val="20"/>
          <w:lang w:val="es-CO"/>
        </w:rPr>
        <w:t xml:space="preserve">las Autodefensas habían asesinado </w:t>
      </w:r>
      <w:r w:rsidR="00DA3A96">
        <w:rPr>
          <w:rFonts w:asciiTheme="majorHAnsi" w:hAnsiTheme="majorHAnsi"/>
          <w:color w:val="auto"/>
          <w:sz w:val="20"/>
          <w:szCs w:val="20"/>
          <w:lang w:val="es-CO"/>
        </w:rPr>
        <w:t xml:space="preserve">al menos a 5 personas </w:t>
      </w:r>
      <w:r w:rsidR="00F507B0">
        <w:rPr>
          <w:rFonts w:asciiTheme="majorHAnsi" w:hAnsiTheme="majorHAnsi"/>
          <w:color w:val="auto"/>
          <w:sz w:val="20"/>
          <w:szCs w:val="20"/>
          <w:lang w:val="es-CO"/>
        </w:rPr>
        <w:t xml:space="preserve">y saqueado </w:t>
      </w:r>
      <w:r w:rsidR="00D17279" w:rsidRPr="002C4A07">
        <w:rPr>
          <w:rFonts w:asciiTheme="majorHAnsi" w:hAnsiTheme="majorHAnsi"/>
          <w:color w:val="auto"/>
          <w:sz w:val="20"/>
          <w:szCs w:val="20"/>
          <w:lang w:val="es-CO"/>
        </w:rPr>
        <w:t>locales comerciales</w:t>
      </w:r>
      <w:r w:rsidR="00CB6DE5">
        <w:rPr>
          <w:rFonts w:asciiTheme="majorHAnsi" w:hAnsiTheme="majorHAnsi"/>
          <w:color w:val="auto"/>
          <w:sz w:val="20"/>
          <w:szCs w:val="20"/>
          <w:lang w:val="es-CO"/>
        </w:rPr>
        <w:t xml:space="preserve"> </w:t>
      </w:r>
      <w:r w:rsidR="00440329" w:rsidRPr="002C4A07">
        <w:rPr>
          <w:rFonts w:asciiTheme="majorHAnsi" w:hAnsiTheme="majorHAnsi"/>
          <w:color w:val="auto"/>
          <w:sz w:val="20"/>
          <w:szCs w:val="20"/>
          <w:lang w:val="es-CO"/>
        </w:rPr>
        <w:t xml:space="preserve">con el fin de </w:t>
      </w:r>
      <w:r w:rsidR="008F2EBC" w:rsidRPr="002C4A07">
        <w:rPr>
          <w:rFonts w:asciiTheme="majorHAnsi" w:hAnsiTheme="majorHAnsi"/>
          <w:color w:val="auto"/>
          <w:sz w:val="20"/>
          <w:szCs w:val="20"/>
          <w:lang w:val="es-CO"/>
        </w:rPr>
        <w:t>realizar una incursión armada</w:t>
      </w:r>
      <w:r w:rsidR="00333764">
        <w:rPr>
          <w:rFonts w:asciiTheme="majorHAnsi" w:hAnsiTheme="majorHAnsi"/>
          <w:color w:val="auto"/>
          <w:sz w:val="20"/>
          <w:szCs w:val="20"/>
          <w:lang w:val="es-CO"/>
        </w:rPr>
        <w:t xml:space="preserve"> en los m</w:t>
      </w:r>
      <w:r w:rsidR="00DA3A96">
        <w:rPr>
          <w:rFonts w:asciiTheme="majorHAnsi" w:hAnsiTheme="majorHAnsi"/>
          <w:color w:val="auto"/>
          <w:sz w:val="20"/>
          <w:szCs w:val="20"/>
          <w:lang w:val="es-CO"/>
        </w:rPr>
        <w:t>unicipios de Vigía del Fuerte</w:t>
      </w:r>
      <w:r w:rsidR="009B207E">
        <w:rPr>
          <w:rFonts w:asciiTheme="majorHAnsi" w:hAnsiTheme="majorHAnsi"/>
          <w:color w:val="auto"/>
          <w:sz w:val="20"/>
          <w:szCs w:val="20"/>
          <w:lang w:val="es-CO"/>
        </w:rPr>
        <w:t xml:space="preserve"> y</w:t>
      </w:r>
      <w:r w:rsidR="00333764">
        <w:rPr>
          <w:rFonts w:asciiTheme="majorHAnsi" w:hAnsiTheme="majorHAnsi"/>
          <w:color w:val="auto"/>
          <w:sz w:val="20"/>
          <w:szCs w:val="20"/>
          <w:lang w:val="es-CO"/>
        </w:rPr>
        <w:t xml:space="preserve"> </w:t>
      </w:r>
      <w:r w:rsidR="009B207E" w:rsidRPr="009B207E">
        <w:rPr>
          <w:rFonts w:asciiTheme="majorHAnsi" w:hAnsiTheme="majorHAnsi"/>
          <w:color w:val="auto"/>
          <w:sz w:val="20"/>
          <w:szCs w:val="20"/>
          <w:lang w:val="es-CO"/>
        </w:rPr>
        <w:t>Bojayá</w:t>
      </w:r>
      <w:r w:rsidR="00B02DDD" w:rsidRPr="00DA3A96">
        <w:rPr>
          <w:rFonts w:asciiTheme="majorHAnsi" w:hAnsiTheme="majorHAnsi"/>
          <w:color w:val="auto"/>
          <w:sz w:val="20"/>
          <w:szCs w:val="20"/>
          <w:lang w:val="es-CO"/>
        </w:rPr>
        <w:t>.</w:t>
      </w:r>
      <w:r w:rsidR="00D5437B" w:rsidRPr="00DA3A96">
        <w:rPr>
          <w:rFonts w:asciiTheme="majorHAnsi" w:hAnsiTheme="majorHAnsi"/>
          <w:color w:val="auto"/>
          <w:sz w:val="20"/>
          <w:szCs w:val="20"/>
          <w:lang w:val="es-CO"/>
        </w:rPr>
        <w:t xml:space="preserve"> </w:t>
      </w:r>
      <w:r w:rsidR="009F1203">
        <w:rPr>
          <w:rFonts w:asciiTheme="majorHAnsi" w:hAnsiTheme="majorHAnsi"/>
          <w:color w:val="auto"/>
          <w:sz w:val="20"/>
          <w:szCs w:val="20"/>
          <w:lang w:val="es-CO"/>
        </w:rPr>
        <w:t>Al respecto,</w:t>
      </w:r>
      <w:r w:rsidR="009F1203" w:rsidRPr="00DA3A96">
        <w:rPr>
          <w:rFonts w:asciiTheme="majorHAnsi" w:hAnsiTheme="majorHAnsi"/>
          <w:color w:val="auto"/>
          <w:sz w:val="20"/>
          <w:szCs w:val="20"/>
          <w:lang w:val="es-CO"/>
        </w:rPr>
        <w:t xml:space="preserve"> </w:t>
      </w:r>
      <w:r w:rsidR="00373453" w:rsidRPr="00DA3A96">
        <w:rPr>
          <w:rFonts w:asciiTheme="majorHAnsi" w:hAnsiTheme="majorHAnsi"/>
          <w:color w:val="auto"/>
          <w:sz w:val="20"/>
          <w:szCs w:val="20"/>
          <w:lang w:val="es-CO"/>
        </w:rPr>
        <w:t xml:space="preserve">alega </w:t>
      </w:r>
      <w:r w:rsidR="00F87019" w:rsidRPr="00DA3A96">
        <w:rPr>
          <w:rFonts w:asciiTheme="majorHAnsi" w:hAnsiTheme="majorHAnsi"/>
          <w:color w:val="auto"/>
          <w:sz w:val="20"/>
          <w:szCs w:val="20"/>
          <w:lang w:val="es-CO"/>
        </w:rPr>
        <w:t xml:space="preserve">que hubo aquiescencia de las Fuerzas Armadas al permitir el 21 de abril de 2002 una incursión vía fluvial de más </w:t>
      </w:r>
      <w:r w:rsidR="005C64FD" w:rsidRPr="00DA3A96">
        <w:rPr>
          <w:rFonts w:asciiTheme="majorHAnsi" w:hAnsiTheme="majorHAnsi"/>
          <w:color w:val="auto"/>
          <w:sz w:val="20"/>
          <w:szCs w:val="20"/>
          <w:lang w:val="es-CO"/>
        </w:rPr>
        <w:t>de once</w:t>
      </w:r>
      <w:r w:rsidR="00F87019" w:rsidRPr="00DA3A96">
        <w:rPr>
          <w:rFonts w:asciiTheme="majorHAnsi" w:hAnsiTheme="majorHAnsi"/>
          <w:color w:val="auto"/>
          <w:sz w:val="20"/>
          <w:szCs w:val="20"/>
          <w:lang w:val="es-CO"/>
        </w:rPr>
        <w:t xml:space="preserve"> embarcaciones que transportaban a dos centenares de paramilitares fuertement</w:t>
      </w:r>
      <w:r>
        <w:rPr>
          <w:rFonts w:asciiTheme="majorHAnsi" w:hAnsiTheme="majorHAnsi"/>
          <w:color w:val="auto"/>
          <w:sz w:val="20"/>
          <w:szCs w:val="20"/>
          <w:lang w:val="es-CO"/>
        </w:rPr>
        <w:t>e armados, desde Punta de Turbo (</w:t>
      </w:r>
      <w:r w:rsidR="00F87019" w:rsidRPr="00DA3A96">
        <w:rPr>
          <w:rFonts w:asciiTheme="majorHAnsi" w:hAnsiTheme="majorHAnsi"/>
          <w:color w:val="auto"/>
          <w:sz w:val="20"/>
          <w:szCs w:val="20"/>
          <w:lang w:val="es-CO"/>
        </w:rPr>
        <w:t>Antoquia</w:t>
      </w:r>
      <w:r>
        <w:rPr>
          <w:rFonts w:asciiTheme="majorHAnsi" w:hAnsiTheme="majorHAnsi"/>
          <w:color w:val="auto"/>
          <w:sz w:val="20"/>
          <w:szCs w:val="20"/>
          <w:lang w:val="es-CO"/>
        </w:rPr>
        <w:t>) hasta Bojayá</w:t>
      </w:r>
      <w:r w:rsidR="00DA3A96" w:rsidRPr="00DA3A96">
        <w:rPr>
          <w:rFonts w:asciiTheme="majorHAnsi" w:hAnsiTheme="majorHAnsi"/>
          <w:color w:val="auto"/>
          <w:sz w:val="20"/>
          <w:szCs w:val="20"/>
          <w:lang w:val="es-CO"/>
        </w:rPr>
        <w:t xml:space="preserve">. </w:t>
      </w:r>
      <w:r w:rsidR="00F87019" w:rsidRPr="00DA3A96">
        <w:rPr>
          <w:rFonts w:asciiTheme="majorHAnsi" w:hAnsiTheme="majorHAnsi"/>
          <w:color w:val="auto"/>
          <w:sz w:val="20"/>
          <w:szCs w:val="20"/>
          <w:lang w:val="es-CO"/>
        </w:rPr>
        <w:t xml:space="preserve">Afirma </w:t>
      </w:r>
      <w:r w:rsidR="0071077E" w:rsidRPr="00DA3A96">
        <w:rPr>
          <w:rFonts w:asciiTheme="majorHAnsi" w:hAnsiTheme="majorHAnsi"/>
          <w:color w:val="auto"/>
          <w:sz w:val="20"/>
          <w:szCs w:val="20"/>
          <w:lang w:val="es-CO"/>
        </w:rPr>
        <w:t>que</w:t>
      </w:r>
      <w:r w:rsidR="00824906" w:rsidRPr="00DA3A96">
        <w:rPr>
          <w:rFonts w:asciiTheme="majorHAnsi" w:hAnsiTheme="majorHAnsi"/>
          <w:color w:val="auto"/>
          <w:sz w:val="20"/>
          <w:szCs w:val="20"/>
          <w:lang w:val="es-CO"/>
        </w:rPr>
        <w:t xml:space="preserve"> los</w:t>
      </w:r>
      <w:r w:rsidR="00A00ACE" w:rsidRPr="00DA3A96">
        <w:rPr>
          <w:rFonts w:asciiTheme="majorHAnsi" w:hAnsiTheme="majorHAnsi"/>
          <w:color w:val="auto"/>
          <w:sz w:val="20"/>
          <w:szCs w:val="20"/>
          <w:lang w:val="es-CO"/>
        </w:rPr>
        <w:t xml:space="preserve"> </w:t>
      </w:r>
      <w:r w:rsidR="00F87019" w:rsidRPr="00DA3A96">
        <w:rPr>
          <w:rFonts w:asciiTheme="majorHAnsi" w:hAnsiTheme="majorHAnsi"/>
          <w:color w:val="auto"/>
          <w:sz w:val="20"/>
          <w:szCs w:val="20"/>
          <w:lang w:val="es-CO"/>
        </w:rPr>
        <w:t>retenes permanentes de</w:t>
      </w:r>
      <w:r w:rsidR="00DA3A96" w:rsidRPr="00DA3A96">
        <w:rPr>
          <w:rFonts w:asciiTheme="majorHAnsi" w:hAnsiTheme="majorHAnsi"/>
          <w:color w:val="auto"/>
          <w:sz w:val="20"/>
          <w:szCs w:val="20"/>
          <w:lang w:val="es-CO"/>
        </w:rPr>
        <w:t xml:space="preserve"> las Fuerzas Policiales y Armadas</w:t>
      </w:r>
      <w:r w:rsidR="00D76642">
        <w:rPr>
          <w:rFonts w:asciiTheme="majorHAnsi" w:hAnsiTheme="majorHAnsi"/>
          <w:color w:val="auto"/>
          <w:sz w:val="20"/>
          <w:szCs w:val="20"/>
          <w:lang w:val="es-CO"/>
        </w:rPr>
        <w:t xml:space="preserve"> no ejercieron el obligatorio </w:t>
      </w:r>
      <w:r w:rsidR="00BB5BB9" w:rsidRPr="00DA3A96">
        <w:rPr>
          <w:rFonts w:asciiTheme="majorHAnsi" w:hAnsiTheme="majorHAnsi"/>
          <w:color w:val="auto"/>
          <w:sz w:val="20"/>
          <w:szCs w:val="20"/>
          <w:lang w:val="es-CO"/>
        </w:rPr>
        <w:t xml:space="preserve">control de </w:t>
      </w:r>
      <w:r w:rsidR="009563F1" w:rsidRPr="00DA3A96">
        <w:rPr>
          <w:rFonts w:asciiTheme="majorHAnsi" w:hAnsiTheme="majorHAnsi"/>
          <w:color w:val="auto"/>
          <w:sz w:val="20"/>
          <w:szCs w:val="20"/>
          <w:lang w:val="es-CO"/>
        </w:rPr>
        <w:t xml:space="preserve">las personas que transitaban </w:t>
      </w:r>
      <w:r w:rsidR="00D50E52" w:rsidRPr="00DA3A96">
        <w:rPr>
          <w:rFonts w:asciiTheme="majorHAnsi" w:hAnsiTheme="majorHAnsi"/>
          <w:color w:val="auto"/>
          <w:sz w:val="20"/>
          <w:szCs w:val="20"/>
          <w:lang w:val="es-CO"/>
        </w:rPr>
        <w:t xml:space="preserve">por la zona. </w:t>
      </w:r>
    </w:p>
    <w:p w14:paraId="4D93075B" w14:textId="77777777" w:rsidR="00DA3A96" w:rsidRDefault="00DA3A96" w:rsidP="00DA3A9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CO"/>
        </w:rPr>
      </w:pPr>
    </w:p>
    <w:p w14:paraId="35BCD35C" w14:textId="1930C880" w:rsidR="00AD71BF" w:rsidRPr="00F4332A" w:rsidRDefault="004533C6" w:rsidP="00F43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CO"/>
        </w:rPr>
      </w:pPr>
      <w:r w:rsidRPr="00DA3A96">
        <w:rPr>
          <w:rFonts w:asciiTheme="majorHAnsi" w:hAnsiTheme="majorHAnsi"/>
          <w:color w:val="auto"/>
          <w:sz w:val="20"/>
          <w:szCs w:val="20"/>
          <w:lang w:val="es-CO"/>
        </w:rPr>
        <w:t>L</w:t>
      </w:r>
      <w:r w:rsidR="00F87019" w:rsidRPr="00DA3A96">
        <w:rPr>
          <w:rFonts w:asciiTheme="majorHAnsi" w:hAnsiTheme="majorHAnsi"/>
          <w:color w:val="auto"/>
          <w:sz w:val="20"/>
          <w:szCs w:val="20"/>
          <w:lang w:val="es-CO"/>
        </w:rPr>
        <w:t xml:space="preserve">a parte peticionaria </w:t>
      </w:r>
      <w:r w:rsidRPr="00DA3A96">
        <w:rPr>
          <w:rFonts w:asciiTheme="majorHAnsi" w:hAnsiTheme="majorHAnsi"/>
          <w:color w:val="auto"/>
          <w:sz w:val="20"/>
          <w:szCs w:val="20"/>
          <w:lang w:val="es-CO"/>
        </w:rPr>
        <w:t xml:space="preserve">también refiere que </w:t>
      </w:r>
      <w:r w:rsidR="00BE0CBA" w:rsidRPr="00DA3A96">
        <w:rPr>
          <w:rFonts w:asciiTheme="majorHAnsi" w:hAnsiTheme="majorHAnsi"/>
          <w:color w:val="auto"/>
          <w:sz w:val="20"/>
          <w:szCs w:val="20"/>
          <w:lang w:val="es-CO"/>
        </w:rPr>
        <w:t>estos hechos</w:t>
      </w:r>
      <w:r w:rsidR="00F87019" w:rsidRPr="00DA3A96">
        <w:rPr>
          <w:rFonts w:asciiTheme="majorHAnsi" w:hAnsiTheme="majorHAnsi"/>
          <w:color w:val="auto"/>
          <w:sz w:val="20"/>
          <w:szCs w:val="20"/>
          <w:lang w:val="es-CO"/>
        </w:rPr>
        <w:t xml:space="preserve"> fueron denunciados </w:t>
      </w:r>
      <w:r w:rsidR="00D76642">
        <w:rPr>
          <w:rFonts w:asciiTheme="majorHAnsi" w:hAnsiTheme="majorHAnsi"/>
          <w:color w:val="auto"/>
          <w:sz w:val="20"/>
          <w:szCs w:val="20"/>
          <w:lang w:val="es-CO"/>
        </w:rPr>
        <w:t xml:space="preserve">ante diversas autoridades gubernamentales </w:t>
      </w:r>
      <w:r w:rsidR="00F87019" w:rsidRPr="00DA3A96">
        <w:rPr>
          <w:rFonts w:asciiTheme="majorHAnsi" w:hAnsiTheme="majorHAnsi"/>
          <w:color w:val="auto"/>
          <w:sz w:val="20"/>
          <w:szCs w:val="20"/>
          <w:lang w:val="es-CO"/>
        </w:rPr>
        <w:t>por la Oficina del Alto Comisionado de las Naciones Unidas para los Derechos Humanos en Colombia, mediante informe</w:t>
      </w:r>
      <w:r w:rsidR="00D76642">
        <w:rPr>
          <w:rFonts w:asciiTheme="majorHAnsi" w:hAnsiTheme="majorHAnsi"/>
          <w:color w:val="auto"/>
          <w:sz w:val="20"/>
          <w:szCs w:val="20"/>
          <w:lang w:val="es-CO"/>
        </w:rPr>
        <w:t xml:space="preserve">s y comunicaciones durante los días 21, 22 y 23 </w:t>
      </w:r>
      <w:r w:rsidR="008B1B20" w:rsidRPr="00DA3A96">
        <w:rPr>
          <w:rFonts w:asciiTheme="majorHAnsi" w:hAnsiTheme="majorHAnsi"/>
          <w:color w:val="auto"/>
          <w:sz w:val="20"/>
          <w:szCs w:val="20"/>
          <w:lang w:val="es-CO"/>
        </w:rPr>
        <w:t>de abril de 2002, solicitando</w:t>
      </w:r>
      <w:r w:rsidR="00D76642">
        <w:rPr>
          <w:rFonts w:asciiTheme="majorHAnsi" w:hAnsiTheme="majorHAnsi"/>
          <w:color w:val="auto"/>
          <w:sz w:val="20"/>
          <w:szCs w:val="20"/>
          <w:lang w:val="es-CO"/>
        </w:rPr>
        <w:t xml:space="preserve"> expresamente</w:t>
      </w:r>
      <w:r w:rsidR="008B1B20" w:rsidRPr="00DA3A96">
        <w:rPr>
          <w:rFonts w:asciiTheme="majorHAnsi" w:hAnsiTheme="majorHAnsi"/>
          <w:color w:val="auto"/>
          <w:sz w:val="20"/>
          <w:szCs w:val="20"/>
          <w:lang w:val="es-CO"/>
        </w:rPr>
        <w:t xml:space="preserve"> la urgente adopción de medidas preventivas para proteger a la población de la intervención de grupos armados en Bellavista.</w:t>
      </w:r>
      <w:r w:rsidR="00DA3A96">
        <w:rPr>
          <w:rFonts w:asciiTheme="majorHAnsi" w:hAnsiTheme="majorHAnsi"/>
          <w:color w:val="auto"/>
          <w:sz w:val="20"/>
          <w:szCs w:val="20"/>
          <w:lang w:val="es-CO"/>
        </w:rPr>
        <w:t xml:space="preserve"> </w:t>
      </w:r>
      <w:r w:rsidR="00F3528F" w:rsidRPr="00DA3A96">
        <w:rPr>
          <w:rFonts w:asciiTheme="majorHAnsi" w:hAnsiTheme="majorHAnsi"/>
          <w:sz w:val="20"/>
          <w:szCs w:val="20"/>
          <w:lang w:val="es-CO"/>
        </w:rPr>
        <w:t>Agrega que la Defensoría del Pueblo</w:t>
      </w:r>
      <w:r w:rsidR="00D76642">
        <w:rPr>
          <w:rFonts w:asciiTheme="majorHAnsi" w:hAnsiTheme="majorHAnsi"/>
          <w:sz w:val="20"/>
          <w:szCs w:val="20"/>
          <w:lang w:val="es-CO"/>
        </w:rPr>
        <w:t xml:space="preserve"> el 24 de abril de 2002</w:t>
      </w:r>
      <w:r w:rsidR="00F3528F" w:rsidRPr="00DA3A96">
        <w:rPr>
          <w:rFonts w:asciiTheme="majorHAnsi" w:hAnsiTheme="majorHAnsi"/>
          <w:sz w:val="20"/>
          <w:szCs w:val="20"/>
          <w:lang w:val="es-CO"/>
        </w:rPr>
        <w:t xml:space="preserve"> emitió una alerta </w:t>
      </w:r>
      <w:r w:rsidR="00D76642">
        <w:rPr>
          <w:rFonts w:asciiTheme="majorHAnsi" w:hAnsiTheme="majorHAnsi"/>
          <w:sz w:val="20"/>
          <w:szCs w:val="20"/>
          <w:lang w:val="es-CO"/>
        </w:rPr>
        <w:t xml:space="preserve">temprana de primer grado, alertando </w:t>
      </w:r>
      <w:r w:rsidR="007F0B5C">
        <w:rPr>
          <w:rFonts w:asciiTheme="majorHAnsi" w:hAnsiTheme="majorHAnsi"/>
          <w:sz w:val="20"/>
          <w:szCs w:val="20"/>
          <w:lang w:val="es-CO"/>
        </w:rPr>
        <w:t>el grave e inminente peligro al</w:t>
      </w:r>
      <w:r w:rsidR="00F3528F" w:rsidRPr="00DA3A96">
        <w:rPr>
          <w:rFonts w:asciiTheme="majorHAnsi" w:hAnsiTheme="majorHAnsi"/>
          <w:sz w:val="20"/>
          <w:szCs w:val="20"/>
          <w:lang w:val="es-CO"/>
        </w:rPr>
        <w:t xml:space="preserve"> que estaba expuesta la población de Bojayá por el avance de aproximada</w:t>
      </w:r>
      <w:r w:rsidR="00D76642">
        <w:rPr>
          <w:rFonts w:asciiTheme="majorHAnsi" w:hAnsiTheme="majorHAnsi"/>
          <w:sz w:val="20"/>
          <w:szCs w:val="20"/>
          <w:lang w:val="es-CO"/>
        </w:rPr>
        <w:t>mente 300 miembros de las AUC</w:t>
      </w:r>
      <w:r w:rsidR="00F3528F" w:rsidRPr="00DA3A96">
        <w:rPr>
          <w:rFonts w:asciiTheme="majorHAnsi" w:hAnsiTheme="majorHAnsi"/>
          <w:sz w:val="20"/>
          <w:szCs w:val="20"/>
          <w:lang w:val="es-CO"/>
        </w:rPr>
        <w:t xml:space="preserve"> para disputar el control territorial con las FARC. </w:t>
      </w:r>
      <w:r w:rsidR="00727684" w:rsidRPr="00DA3A96">
        <w:rPr>
          <w:rFonts w:asciiTheme="majorHAnsi" w:hAnsiTheme="majorHAnsi"/>
          <w:sz w:val="20"/>
          <w:szCs w:val="20"/>
          <w:lang w:val="es-CO"/>
        </w:rPr>
        <w:t xml:space="preserve">Dicha </w:t>
      </w:r>
      <w:r w:rsidR="00DA3A96">
        <w:rPr>
          <w:rFonts w:asciiTheme="majorHAnsi" w:hAnsiTheme="majorHAnsi"/>
          <w:sz w:val="20"/>
          <w:szCs w:val="20"/>
          <w:lang w:val="es-CO"/>
        </w:rPr>
        <w:t>alerta describ</w:t>
      </w:r>
      <w:r w:rsidR="00D76642">
        <w:rPr>
          <w:rFonts w:asciiTheme="majorHAnsi" w:hAnsiTheme="majorHAnsi"/>
          <w:sz w:val="20"/>
          <w:szCs w:val="20"/>
          <w:lang w:val="es-CO"/>
        </w:rPr>
        <w:t>ía</w:t>
      </w:r>
      <w:r w:rsidR="001469C1">
        <w:rPr>
          <w:rFonts w:asciiTheme="majorHAnsi" w:hAnsiTheme="majorHAnsi"/>
          <w:sz w:val="20"/>
          <w:szCs w:val="20"/>
          <w:lang w:val="es-CO"/>
        </w:rPr>
        <w:t>,</w:t>
      </w:r>
      <w:r w:rsidR="00D76642">
        <w:rPr>
          <w:rFonts w:asciiTheme="majorHAnsi" w:hAnsiTheme="majorHAnsi"/>
          <w:sz w:val="20"/>
          <w:szCs w:val="20"/>
          <w:lang w:val="es-CO"/>
        </w:rPr>
        <w:t xml:space="preserve"> entre los eventuales riesgos</w:t>
      </w:r>
      <w:r w:rsidR="001469C1">
        <w:rPr>
          <w:rFonts w:asciiTheme="majorHAnsi" w:hAnsiTheme="majorHAnsi"/>
          <w:sz w:val="20"/>
          <w:szCs w:val="20"/>
          <w:lang w:val="es-CO"/>
        </w:rPr>
        <w:t>,</w:t>
      </w:r>
      <w:r w:rsidR="00DA3A96">
        <w:rPr>
          <w:rFonts w:asciiTheme="majorHAnsi" w:hAnsiTheme="majorHAnsi"/>
          <w:sz w:val="20"/>
          <w:szCs w:val="20"/>
          <w:lang w:val="es-CO"/>
        </w:rPr>
        <w:t xml:space="preserve"> la posibilidad de una masacre de la población civil</w:t>
      </w:r>
      <w:r w:rsidR="00F3528F" w:rsidRPr="00DA3A96">
        <w:rPr>
          <w:rFonts w:asciiTheme="majorHAnsi" w:hAnsiTheme="majorHAnsi"/>
          <w:sz w:val="20"/>
          <w:szCs w:val="20"/>
          <w:lang w:val="es-CO"/>
        </w:rPr>
        <w:t>,</w:t>
      </w:r>
      <w:r w:rsidR="00DA3A96">
        <w:rPr>
          <w:rFonts w:asciiTheme="majorHAnsi" w:hAnsiTheme="majorHAnsi"/>
          <w:sz w:val="20"/>
          <w:szCs w:val="20"/>
          <w:lang w:val="es-CO"/>
        </w:rPr>
        <w:t xml:space="preserve"> su</w:t>
      </w:r>
      <w:r w:rsidR="00F3528F" w:rsidRPr="00DA3A96">
        <w:rPr>
          <w:rFonts w:asciiTheme="majorHAnsi" w:hAnsiTheme="majorHAnsi"/>
          <w:sz w:val="20"/>
          <w:szCs w:val="20"/>
          <w:lang w:val="es-CO"/>
        </w:rPr>
        <w:t xml:space="preserve"> desplazamien</w:t>
      </w:r>
      <w:r w:rsidR="00D76642">
        <w:rPr>
          <w:rFonts w:asciiTheme="majorHAnsi" w:hAnsiTheme="majorHAnsi"/>
          <w:sz w:val="20"/>
          <w:szCs w:val="20"/>
          <w:lang w:val="es-CO"/>
        </w:rPr>
        <w:t xml:space="preserve">to forzado y desabastecimiento. Por tanto, </w:t>
      </w:r>
      <w:r w:rsidR="00F3528F" w:rsidRPr="00DA3A96">
        <w:rPr>
          <w:rFonts w:asciiTheme="majorHAnsi" w:hAnsiTheme="majorHAnsi"/>
          <w:sz w:val="20"/>
          <w:szCs w:val="20"/>
          <w:lang w:val="es-CO"/>
        </w:rPr>
        <w:t xml:space="preserve">sostiene </w:t>
      </w:r>
      <w:r w:rsidR="00D663C3" w:rsidRPr="00DA3A96">
        <w:rPr>
          <w:rFonts w:asciiTheme="majorHAnsi" w:hAnsiTheme="majorHAnsi"/>
          <w:sz w:val="20"/>
          <w:szCs w:val="20"/>
          <w:lang w:val="es-CO"/>
        </w:rPr>
        <w:t xml:space="preserve">que el riesgo fue claramente predecible </w:t>
      </w:r>
      <w:r w:rsidR="00F3528F" w:rsidRPr="00DA3A96">
        <w:rPr>
          <w:rFonts w:asciiTheme="majorHAnsi" w:hAnsiTheme="majorHAnsi"/>
          <w:sz w:val="20"/>
          <w:szCs w:val="20"/>
          <w:lang w:val="es-CO"/>
        </w:rPr>
        <w:t xml:space="preserve">desde su dimensión geográfica </w:t>
      </w:r>
      <w:r w:rsidR="00D76642">
        <w:rPr>
          <w:rFonts w:asciiTheme="majorHAnsi" w:hAnsiTheme="majorHAnsi"/>
          <w:sz w:val="20"/>
          <w:szCs w:val="20"/>
          <w:lang w:val="es-CO"/>
        </w:rPr>
        <w:t>y</w:t>
      </w:r>
      <w:r w:rsidR="00F3528F" w:rsidRPr="00DA3A96">
        <w:rPr>
          <w:rFonts w:asciiTheme="majorHAnsi" w:hAnsiTheme="majorHAnsi"/>
          <w:sz w:val="20"/>
          <w:szCs w:val="20"/>
          <w:lang w:val="es-CO"/>
        </w:rPr>
        <w:t xml:space="preserve"> material</w:t>
      </w:r>
      <w:r w:rsidR="007F0B5C">
        <w:rPr>
          <w:rFonts w:asciiTheme="majorHAnsi" w:hAnsiTheme="majorHAnsi"/>
          <w:sz w:val="20"/>
          <w:szCs w:val="20"/>
          <w:lang w:val="es-CO"/>
        </w:rPr>
        <w:t xml:space="preserve"> por las </w:t>
      </w:r>
      <w:r w:rsidR="00524EE8" w:rsidRPr="00F4332A">
        <w:rPr>
          <w:rFonts w:asciiTheme="majorHAnsi" w:hAnsiTheme="majorHAnsi"/>
          <w:sz w:val="20"/>
          <w:szCs w:val="20"/>
          <w:lang w:val="es-CO"/>
        </w:rPr>
        <w:t>autoridades militares</w:t>
      </w:r>
      <w:r w:rsidR="00A02C10" w:rsidRPr="00F4332A">
        <w:rPr>
          <w:rFonts w:asciiTheme="majorHAnsi" w:hAnsiTheme="majorHAnsi"/>
          <w:sz w:val="20"/>
          <w:szCs w:val="20"/>
          <w:lang w:val="es-CO"/>
        </w:rPr>
        <w:t>, policiales</w:t>
      </w:r>
      <w:r w:rsidR="00524EE8" w:rsidRPr="00F4332A">
        <w:rPr>
          <w:rFonts w:asciiTheme="majorHAnsi" w:hAnsiTheme="majorHAnsi"/>
          <w:sz w:val="20"/>
          <w:szCs w:val="20"/>
          <w:lang w:val="es-CO"/>
        </w:rPr>
        <w:t xml:space="preserve"> y gubernamentales, entre ellos</w:t>
      </w:r>
      <w:r w:rsidR="001469C1">
        <w:rPr>
          <w:rFonts w:asciiTheme="majorHAnsi" w:hAnsiTheme="majorHAnsi"/>
          <w:sz w:val="20"/>
          <w:szCs w:val="20"/>
          <w:lang w:val="es-CO"/>
        </w:rPr>
        <w:t>,</w:t>
      </w:r>
      <w:r w:rsidR="00524EE8" w:rsidRPr="00F4332A">
        <w:rPr>
          <w:rFonts w:asciiTheme="majorHAnsi" w:hAnsiTheme="majorHAnsi"/>
          <w:sz w:val="20"/>
          <w:szCs w:val="20"/>
          <w:lang w:val="es-CO"/>
        </w:rPr>
        <w:t xml:space="preserve"> </w:t>
      </w:r>
      <w:r w:rsidR="00F507B0">
        <w:rPr>
          <w:rFonts w:asciiTheme="majorHAnsi" w:hAnsiTheme="majorHAnsi"/>
          <w:sz w:val="20"/>
          <w:szCs w:val="20"/>
          <w:lang w:val="es-CO"/>
        </w:rPr>
        <w:t xml:space="preserve">el </w:t>
      </w:r>
      <w:r w:rsidR="00524EE8" w:rsidRPr="00F4332A">
        <w:rPr>
          <w:rFonts w:asciiTheme="majorHAnsi" w:hAnsiTheme="majorHAnsi"/>
          <w:sz w:val="20"/>
          <w:szCs w:val="20"/>
          <w:lang w:val="es-CO"/>
        </w:rPr>
        <w:t xml:space="preserve">Comando de Fuerzas Militares, </w:t>
      </w:r>
      <w:r w:rsidR="00F507B0">
        <w:rPr>
          <w:rFonts w:asciiTheme="majorHAnsi" w:hAnsiTheme="majorHAnsi"/>
          <w:sz w:val="20"/>
          <w:szCs w:val="20"/>
          <w:lang w:val="es-CO"/>
        </w:rPr>
        <w:t xml:space="preserve">el </w:t>
      </w:r>
      <w:r w:rsidR="00524EE8" w:rsidRPr="00F4332A">
        <w:rPr>
          <w:rFonts w:asciiTheme="majorHAnsi" w:hAnsiTheme="majorHAnsi"/>
          <w:sz w:val="20"/>
          <w:szCs w:val="20"/>
          <w:lang w:val="es-CO"/>
        </w:rPr>
        <w:t xml:space="preserve">Comando de la Primera División del Ejército, </w:t>
      </w:r>
      <w:r w:rsidR="00F507B0">
        <w:rPr>
          <w:rFonts w:asciiTheme="majorHAnsi" w:hAnsiTheme="majorHAnsi"/>
          <w:sz w:val="20"/>
          <w:szCs w:val="20"/>
          <w:lang w:val="es-CO"/>
        </w:rPr>
        <w:t xml:space="preserve">la </w:t>
      </w:r>
      <w:r w:rsidR="00524EE8" w:rsidRPr="00F4332A">
        <w:rPr>
          <w:rFonts w:asciiTheme="majorHAnsi" w:hAnsiTheme="majorHAnsi"/>
          <w:sz w:val="20"/>
          <w:szCs w:val="20"/>
          <w:lang w:val="es-CO"/>
        </w:rPr>
        <w:t xml:space="preserve">Dirección General de la Policía, </w:t>
      </w:r>
      <w:r w:rsidR="00F507B0">
        <w:rPr>
          <w:rFonts w:asciiTheme="majorHAnsi" w:hAnsiTheme="majorHAnsi"/>
          <w:sz w:val="20"/>
          <w:szCs w:val="20"/>
          <w:lang w:val="es-CO"/>
        </w:rPr>
        <w:t xml:space="preserve">el </w:t>
      </w:r>
      <w:r w:rsidR="00524EE8" w:rsidRPr="00F4332A">
        <w:rPr>
          <w:rFonts w:asciiTheme="majorHAnsi" w:hAnsiTheme="majorHAnsi"/>
          <w:sz w:val="20"/>
          <w:szCs w:val="20"/>
          <w:lang w:val="es-CO"/>
        </w:rPr>
        <w:t>Comando Departamental de Policía Ant</w:t>
      </w:r>
      <w:r w:rsidR="001469C1">
        <w:rPr>
          <w:rFonts w:asciiTheme="majorHAnsi" w:hAnsiTheme="majorHAnsi"/>
          <w:sz w:val="20"/>
          <w:szCs w:val="20"/>
          <w:lang w:val="es-CO"/>
        </w:rPr>
        <w:t>i</w:t>
      </w:r>
      <w:r w:rsidR="00524EE8" w:rsidRPr="00F4332A">
        <w:rPr>
          <w:rFonts w:asciiTheme="majorHAnsi" w:hAnsiTheme="majorHAnsi"/>
          <w:sz w:val="20"/>
          <w:szCs w:val="20"/>
          <w:lang w:val="es-CO"/>
        </w:rPr>
        <w:t xml:space="preserve">oquia, </w:t>
      </w:r>
      <w:r w:rsidR="00F507B0">
        <w:rPr>
          <w:rFonts w:asciiTheme="majorHAnsi" w:hAnsiTheme="majorHAnsi"/>
          <w:sz w:val="20"/>
          <w:szCs w:val="20"/>
          <w:lang w:val="es-CO"/>
        </w:rPr>
        <w:t>la</w:t>
      </w:r>
      <w:r w:rsidR="007F0B5C">
        <w:rPr>
          <w:rFonts w:asciiTheme="majorHAnsi" w:hAnsiTheme="majorHAnsi"/>
          <w:sz w:val="20"/>
          <w:szCs w:val="20"/>
          <w:lang w:val="es-CO"/>
        </w:rPr>
        <w:t>s</w:t>
      </w:r>
      <w:r w:rsidR="00F507B0">
        <w:rPr>
          <w:rFonts w:asciiTheme="majorHAnsi" w:hAnsiTheme="majorHAnsi"/>
          <w:sz w:val="20"/>
          <w:szCs w:val="20"/>
          <w:lang w:val="es-CO"/>
        </w:rPr>
        <w:t xml:space="preserve"> </w:t>
      </w:r>
      <w:r w:rsidR="00524EE8" w:rsidRPr="00F4332A">
        <w:rPr>
          <w:rFonts w:asciiTheme="majorHAnsi" w:hAnsiTheme="majorHAnsi"/>
          <w:sz w:val="20"/>
          <w:szCs w:val="20"/>
          <w:lang w:val="es-CO"/>
        </w:rPr>
        <w:t>Gobernaci</w:t>
      </w:r>
      <w:r w:rsidR="001469C1">
        <w:rPr>
          <w:rFonts w:asciiTheme="majorHAnsi" w:hAnsiTheme="majorHAnsi"/>
          <w:sz w:val="20"/>
          <w:szCs w:val="20"/>
          <w:lang w:val="es-CO"/>
        </w:rPr>
        <w:t>o</w:t>
      </w:r>
      <w:r w:rsidR="00524EE8" w:rsidRPr="00F4332A">
        <w:rPr>
          <w:rFonts w:asciiTheme="majorHAnsi" w:hAnsiTheme="majorHAnsi"/>
          <w:sz w:val="20"/>
          <w:szCs w:val="20"/>
          <w:lang w:val="es-CO"/>
        </w:rPr>
        <w:t>n</w:t>
      </w:r>
      <w:r w:rsidR="007F0B5C">
        <w:rPr>
          <w:rFonts w:asciiTheme="majorHAnsi" w:hAnsiTheme="majorHAnsi"/>
          <w:sz w:val="20"/>
          <w:szCs w:val="20"/>
          <w:lang w:val="es-CO"/>
        </w:rPr>
        <w:t>es</w:t>
      </w:r>
      <w:r w:rsidR="00524EE8" w:rsidRPr="00F4332A">
        <w:rPr>
          <w:rFonts w:asciiTheme="majorHAnsi" w:hAnsiTheme="majorHAnsi"/>
          <w:sz w:val="20"/>
          <w:szCs w:val="20"/>
          <w:lang w:val="es-CO"/>
        </w:rPr>
        <w:t xml:space="preserve"> del Chocó y de Ant</w:t>
      </w:r>
      <w:r w:rsidR="001469C1">
        <w:rPr>
          <w:rFonts w:asciiTheme="majorHAnsi" w:hAnsiTheme="majorHAnsi"/>
          <w:sz w:val="20"/>
          <w:szCs w:val="20"/>
          <w:lang w:val="es-CO"/>
        </w:rPr>
        <w:t>i</w:t>
      </w:r>
      <w:r w:rsidR="00524EE8" w:rsidRPr="00F4332A">
        <w:rPr>
          <w:rFonts w:asciiTheme="majorHAnsi" w:hAnsiTheme="majorHAnsi"/>
          <w:sz w:val="20"/>
          <w:szCs w:val="20"/>
          <w:lang w:val="es-CO"/>
        </w:rPr>
        <w:t xml:space="preserve">oquia, </w:t>
      </w:r>
      <w:r w:rsidR="00F507B0">
        <w:rPr>
          <w:rFonts w:asciiTheme="majorHAnsi" w:hAnsiTheme="majorHAnsi"/>
          <w:sz w:val="20"/>
          <w:szCs w:val="20"/>
          <w:lang w:val="es-CO"/>
        </w:rPr>
        <w:t xml:space="preserve">el </w:t>
      </w:r>
      <w:r w:rsidR="00A02C10" w:rsidRPr="00F4332A">
        <w:rPr>
          <w:rFonts w:asciiTheme="majorHAnsi" w:hAnsiTheme="majorHAnsi"/>
          <w:sz w:val="20"/>
          <w:szCs w:val="20"/>
          <w:lang w:val="es-CO"/>
        </w:rPr>
        <w:t xml:space="preserve">Procurador Departamental del Chocó, </w:t>
      </w:r>
      <w:r w:rsidR="00F507B0">
        <w:rPr>
          <w:rFonts w:asciiTheme="majorHAnsi" w:hAnsiTheme="majorHAnsi"/>
          <w:sz w:val="20"/>
          <w:szCs w:val="20"/>
          <w:lang w:val="es-CO"/>
        </w:rPr>
        <w:t xml:space="preserve">el </w:t>
      </w:r>
      <w:r w:rsidR="00A02C10" w:rsidRPr="00F4332A">
        <w:rPr>
          <w:rFonts w:asciiTheme="majorHAnsi" w:hAnsiTheme="majorHAnsi"/>
          <w:sz w:val="20"/>
          <w:szCs w:val="20"/>
          <w:lang w:val="es-CO"/>
        </w:rPr>
        <w:t xml:space="preserve">DAS, </w:t>
      </w:r>
      <w:r w:rsidR="00F507B0">
        <w:rPr>
          <w:rFonts w:asciiTheme="majorHAnsi" w:hAnsiTheme="majorHAnsi"/>
          <w:sz w:val="20"/>
          <w:szCs w:val="20"/>
          <w:lang w:val="es-CO"/>
        </w:rPr>
        <w:t xml:space="preserve">los </w:t>
      </w:r>
      <w:r w:rsidR="007F0B5C">
        <w:rPr>
          <w:rFonts w:asciiTheme="majorHAnsi" w:hAnsiTheme="majorHAnsi"/>
          <w:sz w:val="20"/>
          <w:szCs w:val="20"/>
          <w:lang w:val="es-CO"/>
        </w:rPr>
        <w:t>Ministros</w:t>
      </w:r>
      <w:r w:rsidR="00F507B0">
        <w:rPr>
          <w:rFonts w:asciiTheme="majorHAnsi" w:hAnsiTheme="majorHAnsi"/>
          <w:sz w:val="20"/>
          <w:szCs w:val="20"/>
          <w:lang w:val="es-CO"/>
        </w:rPr>
        <w:t xml:space="preserve"> del Interior y </w:t>
      </w:r>
      <w:r w:rsidR="00A02C10" w:rsidRPr="00F4332A">
        <w:rPr>
          <w:rFonts w:asciiTheme="majorHAnsi" w:hAnsiTheme="majorHAnsi"/>
          <w:sz w:val="20"/>
          <w:szCs w:val="20"/>
          <w:lang w:val="es-CO"/>
        </w:rPr>
        <w:t xml:space="preserve">Defensa, </w:t>
      </w:r>
      <w:r w:rsidR="00F507B0">
        <w:rPr>
          <w:rFonts w:asciiTheme="majorHAnsi" w:hAnsiTheme="majorHAnsi"/>
          <w:sz w:val="20"/>
          <w:szCs w:val="20"/>
          <w:lang w:val="es-CO"/>
        </w:rPr>
        <w:t xml:space="preserve">la </w:t>
      </w:r>
      <w:r w:rsidR="00A02C10" w:rsidRPr="00F4332A">
        <w:rPr>
          <w:rFonts w:asciiTheme="majorHAnsi" w:hAnsiTheme="majorHAnsi"/>
          <w:sz w:val="20"/>
          <w:szCs w:val="20"/>
          <w:lang w:val="es-CO"/>
        </w:rPr>
        <w:t xml:space="preserve">Red de Solidaridad Social </w:t>
      </w:r>
      <w:r w:rsidR="007F0B5C">
        <w:rPr>
          <w:rFonts w:asciiTheme="majorHAnsi" w:hAnsiTheme="majorHAnsi"/>
          <w:sz w:val="20"/>
          <w:szCs w:val="20"/>
          <w:lang w:val="es-CO"/>
        </w:rPr>
        <w:t xml:space="preserve">, </w:t>
      </w:r>
      <w:r w:rsidR="00A02C10" w:rsidRPr="00F4332A">
        <w:rPr>
          <w:rFonts w:asciiTheme="majorHAnsi" w:hAnsiTheme="majorHAnsi"/>
          <w:sz w:val="20"/>
          <w:szCs w:val="20"/>
          <w:lang w:val="es-CO"/>
        </w:rPr>
        <w:t>y</w:t>
      </w:r>
      <w:r w:rsidR="00F507B0">
        <w:rPr>
          <w:rFonts w:asciiTheme="majorHAnsi" w:hAnsiTheme="majorHAnsi"/>
          <w:sz w:val="20"/>
          <w:szCs w:val="20"/>
          <w:lang w:val="es-CO"/>
        </w:rPr>
        <w:t xml:space="preserve"> el</w:t>
      </w:r>
      <w:r w:rsidR="00524EE8" w:rsidRPr="00F4332A">
        <w:rPr>
          <w:rFonts w:asciiTheme="majorHAnsi" w:hAnsiTheme="majorHAnsi"/>
          <w:sz w:val="20"/>
          <w:szCs w:val="20"/>
          <w:lang w:val="es-CO"/>
        </w:rPr>
        <w:t xml:space="preserve"> Vicepresidente de la Rep</w:t>
      </w:r>
      <w:r w:rsidR="00F3528F" w:rsidRPr="00F4332A">
        <w:rPr>
          <w:rFonts w:asciiTheme="majorHAnsi" w:hAnsiTheme="majorHAnsi"/>
          <w:sz w:val="20"/>
          <w:szCs w:val="20"/>
          <w:lang w:val="es-CL"/>
        </w:rPr>
        <w:t>ú</w:t>
      </w:r>
      <w:r w:rsidR="00524EE8" w:rsidRPr="00F4332A">
        <w:rPr>
          <w:rFonts w:asciiTheme="majorHAnsi" w:hAnsiTheme="majorHAnsi"/>
          <w:sz w:val="20"/>
          <w:szCs w:val="20"/>
          <w:lang w:val="es-CO"/>
        </w:rPr>
        <w:t xml:space="preserve">blica. </w:t>
      </w:r>
    </w:p>
    <w:p w14:paraId="2A089710" w14:textId="77777777" w:rsidR="009B50E5" w:rsidRPr="00830D55" w:rsidRDefault="009B50E5" w:rsidP="00F507B0">
      <w:pPr>
        <w:jc w:val="both"/>
        <w:rPr>
          <w:rFonts w:asciiTheme="majorHAnsi" w:hAnsiTheme="majorHAnsi"/>
          <w:sz w:val="20"/>
          <w:szCs w:val="20"/>
          <w:lang w:val="es-CO"/>
        </w:rPr>
      </w:pPr>
    </w:p>
    <w:p w14:paraId="65F747FF" w14:textId="0B03E42A" w:rsidR="0004419A" w:rsidRDefault="00F4332A" w:rsidP="000441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04419A">
        <w:rPr>
          <w:rFonts w:asciiTheme="majorHAnsi" w:hAnsiTheme="majorHAnsi"/>
          <w:sz w:val="20"/>
          <w:szCs w:val="20"/>
          <w:lang w:val="es-CO"/>
        </w:rPr>
        <w:t>Adicionalmente, la</w:t>
      </w:r>
      <w:r w:rsidR="007F0B5C">
        <w:rPr>
          <w:rFonts w:asciiTheme="majorHAnsi" w:hAnsiTheme="majorHAnsi"/>
          <w:sz w:val="20"/>
          <w:szCs w:val="20"/>
          <w:lang w:val="es-CO"/>
        </w:rPr>
        <w:t xml:space="preserve"> parte peticionaria alega que los hechos que dieron origen a</w:t>
      </w:r>
      <w:r w:rsidRPr="0004419A">
        <w:rPr>
          <w:rFonts w:asciiTheme="majorHAnsi" w:hAnsiTheme="majorHAnsi"/>
          <w:sz w:val="20"/>
          <w:szCs w:val="20"/>
          <w:lang w:val="es-CO"/>
        </w:rPr>
        <w:t xml:space="preserve"> </w:t>
      </w:r>
      <w:r w:rsidR="00DC3988">
        <w:rPr>
          <w:rFonts w:asciiTheme="majorHAnsi" w:hAnsiTheme="majorHAnsi"/>
          <w:sz w:val="20"/>
          <w:szCs w:val="20"/>
          <w:lang w:val="es-CO"/>
        </w:rPr>
        <w:t xml:space="preserve">la </w:t>
      </w:r>
      <w:r w:rsidRPr="0004419A">
        <w:rPr>
          <w:rFonts w:asciiTheme="majorHAnsi" w:hAnsiTheme="majorHAnsi"/>
          <w:sz w:val="20"/>
          <w:szCs w:val="20"/>
          <w:lang w:val="es-CO"/>
        </w:rPr>
        <w:t xml:space="preserve">masacre </w:t>
      </w:r>
      <w:r w:rsidR="007F0B5C">
        <w:rPr>
          <w:rFonts w:asciiTheme="majorHAnsi" w:hAnsiTheme="majorHAnsi"/>
          <w:sz w:val="20"/>
          <w:szCs w:val="20"/>
          <w:lang w:val="es-CO"/>
        </w:rPr>
        <w:t>y los posteriores desplazamientos</w:t>
      </w:r>
      <w:r w:rsidRPr="0004419A">
        <w:rPr>
          <w:rFonts w:asciiTheme="majorHAnsi" w:hAnsiTheme="majorHAnsi"/>
          <w:sz w:val="20"/>
          <w:szCs w:val="20"/>
          <w:lang w:val="es-CO"/>
        </w:rPr>
        <w:t xml:space="preserve"> se </w:t>
      </w:r>
      <w:r w:rsidR="007F0B5C">
        <w:rPr>
          <w:rFonts w:asciiTheme="majorHAnsi" w:hAnsiTheme="majorHAnsi"/>
          <w:sz w:val="20"/>
          <w:szCs w:val="20"/>
          <w:lang w:val="es-CO"/>
        </w:rPr>
        <w:t>encuentran en</w:t>
      </w:r>
      <w:r w:rsidR="00DC3988">
        <w:rPr>
          <w:rFonts w:asciiTheme="majorHAnsi" w:hAnsiTheme="majorHAnsi"/>
          <w:sz w:val="20"/>
          <w:szCs w:val="20"/>
          <w:lang w:val="es-CO"/>
        </w:rPr>
        <w:t xml:space="preserve"> la</w:t>
      </w:r>
      <w:r w:rsidR="007F0B5C">
        <w:rPr>
          <w:rFonts w:asciiTheme="majorHAnsi" w:hAnsiTheme="majorHAnsi"/>
          <w:sz w:val="20"/>
          <w:szCs w:val="20"/>
          <w:lang w:val="es-CO"/>
        </w:rPr>
        <w:t xml:space="preserve"> </w:t>
      </w:r>
      <w:r w:rsidRPr="0004419A">
        <w:rPr>
          <w:rFonts w:asciiTheme="majorHAnsi" w:hAnsiTheme="majorHAnsi"/>
          <w:sz w:val="20"/>
          <w:szCs w:val="20"/>
          <w:lang w:val="es-CO"/>
        </w:rPr>
        <w:t xml:space="preserve">impunidad. </w:t>
      </w:r>
      <w:r w:rsidR="00E95372">
        <w:rPr>
          <w:rFonts w:asciiTheme="majorHAnsi" w:hAnsiTheme="majorHAnsi"/>
          <w:sz w:val="20"/>
          <w:szCs w:val="20"/>
          <w:lang w:val="es-CO"/>
        </w:rPr>
        <w:t>Respecto de</w:t>
      </w:r>
      <w:r w:rsidRPr="0004419A">
        <w:rPr>
          <w:rFonts w:asciiTheme="majorHAnsi" w:hAnsiTheme="majorHAnsi"/>
          <w:sz w:val="20"/>
          <w:szCs w:val="20"/>
          <w:lang w:val="es-CO"/>
        </w:rPr>
        <w:t xml:space="preserve"> las investigaciones penales refiere </w:t>
      </w:r>
      <w:r w:rsidR="00AD71BF" w:rsidRPr="0004419A">
        <w:rPr>
          <w:rFonts w:asciiTheme="majorHAnsi" w:hAnsiTheme="majorHAnsi"/>
          <w:sz w:val="20"/>
          <w:szCs w:val="20"/>
          <w:lang w:val="es-CO"/>
        </w:rPr>
        <w:t>q</w:t>
      </w:r>
      <w:r w:rsidR="00103EFA" w:rsidRPr="0004419A">
        <w:rPr>
          <w:rFonts w:asciiTheme="majorHAnsi" w:hAnsiTheme="majorHAnsi"/>
          <w:sz w:val="20"/>
          <w:szCs w:val="20"/>
          <w:lang w:val="es-CO"/>
        </w:rPr>
        <w:t>ue</w:t>
      </w:r>
      <w:r w:rsidR="00A6642C" w:rsidRPr="0004419A">
        <w:rPr>
          <w:rFonts w:asciiTheme="majorHAnsi" w:hAnsiTheme="majorHAnsi"/>
          <w:sz w:val="20"/>
          <w:szCs w:val="20"/>
          <w:lang w:val="es-CO"/>
        </w:rPr>
        <w:t xml:space="preserve">, </w:t>
      </w:r>
      <w:r w:rsidR="0004419A" w:rsidRPr="0004419A">
        <w:rPr>
          <w:rFonts w:asciiTheme="majorHAnsi" w:hAnsiTheme="majorHAnsi"/>
          <w:sz w:val="20"/>
          <w:szCs w:val="20"/>
          <w:lang w:val="es-CO"/>
        </w:rPr>
        <w:t>tras la masacre</w:t>
      </w:r>
      <w:r w:rsidR="00DC3988">
        <w:rPr>
          <w:rFonts w:asciiTheme="majorHAnsi" w:hAnsiTheme="majorHAnsi"/>
          <w:sz w:val="20"/>
          <w:szCs w:val="20"/>
          <w:lang w:val="es-CO"/>
        </w:rPr>
        <w:t>,</w:t>
      </w:r>
      <w:r w:rsidR="0004419A" w:rsidRPr="0004419A">
        <w:rPr>
          <w:rFonts w:asciiTheme="majorHAnsi" w:hAnsiTheme="majorHAnsi"/>
          <w:sz w:val="20"/>
          <w:szCs w:val="20"/>
          <w:lang w:val="es-CO"/>
        </w:rPr>
        <w:t xml:space="preserve"> </w:t>
      </w:r>
      <w:r w:rsidR="00AD71BF" w:rsidRPr="0004419A">
        <w:rPr>
          <w:rFonts w:asciiTheme="majorHAnsi" w:hAnsiTheme="majorHAnsi"/>
          <w:sz w:val="20"/>
          <w:szCs w:val="20"/>
          <w:lang w:val="es-CO"/>
        </w:rPr>
        <w:t>la Fiscalía General de la Nación inició una investigación penal</w:t>
      </w:r>
      <w:r w:rsidR="00103EFA" w:rsidRPr="0004419A">
        <w:rPr>
          <w:rFonts w:asciiTheme="majorHAnsi" w:hAnsiTheme="majorHAnsi"/>
          <w:sz w:val="20"/>
          <w:szCs w:val="20"/>
          <w:lang w:val="es-CO"/>
        </w:rPr>
        <w:t xml:space="preserve"> promovida por el </w:t>
      </w:r>
      <w:r w:rsidR="00B51FF7" w:rsidRPr="0004419A">
        <w:rPr>
          <w:rFonts w:asciiTheme="majorHAnsi" w:hAnsiTheme="majorHAnsi"/>
          <w:sz w:val="20"/>
          <w:szCs w:val="20"/>
          <w:lang w:val="es-CO"/>
        </w:rPr>
        <w:t xml:space="preserve">Fiscal </w:t>
      </w:r>
      <w:r w:rsidR="00AD71BF" w:rsidRPr="0004419A">
        <w:rPr>
          <w:rFonts w:asciiTheme="majorHAnsi" w:hAnsiTheme="majorHAnsi"/>
          <w:sz w:val="20"/>
          <w:szCs w:val="20"/>
          <w:lang w:val="es-CO"/>
        </w:rPr>
        <w:t>Trigé</w:t>
      </w:r>
      <w:r w:rsidR="00B51FF7" w:rsidRPr="0004419A">
        <w:rPr>
          <w:rFonts w:asciiTheme="majorHAnsi" w:hAnsiTheme="majorHAnsi"/>
          <w:sz w:val="20"/>
          <w:szCs w:val="20"/>
          <w:lang w:val="es-CO"/>
        </w:rPr>
        <w:t>s</w:t>
      </w:r>
      <w:r w:rsidR="00AD71BF" w:rsidRPr="0004419A">
        <w:rPr>
          <w:rFonts w:asciiTheme="majorHAnsi" w:hAnsiTheme="majorHAnsi"/>
          <w:sz w:val="20"/>
          <w:szCs w:val="20"/>
          <w:lang w:val="es-CO"/>
        </w:rPr>
        <w:t>imo Séptimo Especializado de Medellín</w:t>
      </w:r>
      <w:r w:rsidR="009D7AA5" w:rsidRPr="0004419A">
        <w:rPr>
          <w:rFonts w:asciiTheme="majorHAnsi" w:hAnsiTheme="majorHAnsi"/>
          <w:sz w:val="20"/>
          <w:szCs w:val="20"/>
          <w:lang w:val="es-CO"/>
        </w:rPr>
        <w:t xml:space="preserve">, </w:t>
      </w:r>
      <w:r w:rsidR="000B017C" w:rsidRPr="0004419A">
        <w:rPr>
          <w:rFonts w:asciiTheme="majorHAnsi" w:hAnsiTheme="majorHAnsi"/>
          <w:sz w:val="20"/>
          <w:szCs w:val="20"/>
          <w:lang w:val="es-CO"/>
        </w:rPr>
        <w:t>quien</w:t>
      </w:r>
      <w:r w:rsidR="00B51FF7" w:rsidRPr="0004419A">
        <w:rPr>
          <w:rFonts w:asciiTheme="majorHAnsi" w:hAnsiTheme="majorHAnsi"/>
          <w:sz w:val="20"/>
          <w:szCs w:val="20"/>
          <w:lang w:val="es-CO"/>
        </w:rPr>
        <w:t xml:space="preserve"> </w:t>
      </w:r>
      <w:r w:rsidR="00B81522" w:rsidRPr="0004419A">
        <w:rPr>
          <w:rFonts w:asciiTheme="majorHAnsi" w:hAnsiTheme="majorHAnsi"/>
          <w:sz w:val="20"/>
          <w:szCs w:val="20"/>
          <w:lang w:val="es-CO"/>
        </w:rPr>
        <w:t>el 2 de marzo de 2005</w:t>
      </w:r>
      <w:r w:rsidR="00C6588E" w:rsidRPr="0004419A">
        <w:rPr>
          <w:rFonts w:asciiTheme="majorHAnsi" w:hAnsiTheme="majorHAnsi"/>
          <w:sz w:val="20"/>
          <w:szCs w:val="20"/>
          <w:lang w:val="es-CO"/>
        </w:rPr>
        <w:t xml:space="preserve"> </w:t>
      </w:r>
      <w:r w:rsidR="00D27114" w:rsidRPr="0004419A">
        <w:rPr>
          <w:rFonts w:asciiTheme="majorHAnsi" w:hAnsiTheme="majorHAnsi"/>
          <w:sz w:val="20"/>
          <w:szCs w:val="20"/>
          <w:lang w:val="es-CO"/>
        </w:rPr>
        <w:t xml:space="preserve">acusó </w:t>
      </w:r>
      <w:r w:rsidR="00103EFA" w:rsidRPr="0004419A">
        <w:rPr>
          <w:rFonts w:asciiTheme="majorHAnsi" w:hAnsiTheme="majorHAnsi"/>
          <w:sz w:val="20"/>
          <w:szCs w:val="20"/>
          <w:lang w:val="es-CO"/>
        </w:rPr>
        <w:t xml:space="preserve">a varios </w:t>
      </w:r>
      <w:r w:rsidR="00634D88" w:rsidRPr="0004419A">
        <w:rPr>
          <w:rFonts w:asciiTheme="majorHAnsi" w:hAnsiTheme="majorHAnsi"/>
          <w:sz w:val="20"/>
          <w:szCs w:val="20"/>
          <w:lang w:val="es-CO"/>
        </w:rPr>
        <w:t>miembros del</w:t>
      </w:r>
      <w:r w:rsidR="00B51FF7" w:rsidRPr="0004419A">
        <w:rPr>
          <w:rFonts w:asciiTheme="majorHAnsi" w:hAnsiTheme="majorHAnsi"/>
          <w:sz w:val="20"/>
          <w:szCs w:val="20"/>
          <w:lang w:val="es-CO"/>
        </w:rPr>
        <w:t xml:space="preserve"> Secretariado de las FARC </w:t>
      </w:r>
      <w:r w:rsidR="00BB7590" w:rsidRPr="0004419A">
        <w:rPr>
          <w:rFonts w:asciiTheme="majorHAnsi" w:hAnsiTheme="majorHAnsi"/>
          <w:sz w:val="20"/>
          <w:szCs w:val="20"/>
          <w:lang w:val="es-CO"/>
        </w:rPr>
        <w:t xml:space="preserve">como coautores intelectuales de </w:t>
      </w:r>
      <w:r w:rsidR="0004419A" w:rsidRPr="0004419A">
        <w:rPr>
          <w:rFonts w:asciiTheme="majorHAnsi" w:hAnsiTheme="majorHAnsi"/>
          <w:sz w:val="20"/>
          <w:szCs w:val="20"/>
          <w:lang w:val="es-CO"/>
        </w:rPr>
        <w:t>diversos delitos</w:t>
      </w:r>
      <w:r w:rsidR="00B51FF7" w:rsidRPr="0004419A">
        <w:rPr>
          <w:rFonts w:asciiTheme="majorHAnsi" w:hAnsiTheme="majorHAnsi"/>
          <w:sz w:val="20"/>
          <w:szCs w:val="20"/>
          <w:lang w:val="es-CO"/>
        </w:rPr>
        <w:t>, entre otros,</w:t>
      </w:r>
      <w:r w:rsidR="0004419A" w:rsidRPr="0004419A">
        <w:rPr>
          <w:rFonts w:asciiTheme="majorHAnsi" w:hAnsiTheme="majorHAnsi"/>
          <w:sz w:val="20"/>
          <w:szCs w:val="20"/>
          <w:lang w:val="es-CO"/>
        </w:rPr>
        <w:t xml:space="preserve"> los</w:t>
      </w:r>
      <w:r w:rsidR="00B51FF7" w:rsidRPr="0004419A">
        <w:rPr>
          <w:rFonts w:asciiTheme="majorHAnsi" w:hAnsiTheme="majorHAnsi"/>
          <w:sz w:val="20"/>
          <w:szCs w:val="20"/>
          <w:lang w:val="es-CO"/>
        </w:rPr>
        <w:t xml:space="preserve"> cometidos en contra de la comunidad de Bojayá. </w:t>
      </w:r>
      <w:r w:rsidR="007E00F1" w:rsidRPr="0004419A">
        <w:rPr>
          <w:rFonts w:asciiTheme="majorHAnsi" w:hAnsiTheme="majorHAnsi"/>
          <w:sz w:val="20"/>
          <w:szCs w:val="20"/>
          <w:lang w:val="es-CO"/>
        </w:rPr>
        <w:t>De la información proporcionada, se evidencia que</w:t>
      </w:r>
      <w:r w:rsidR="00DC3988">
        <w:rPr>
          <w:rFonts w:asciiTheme="majorHAnsi" w:hAnsiTheme="majorHAnsi"/>
          <w:sz w:val="20"/>
          <w:szCs w:val="20"/>
          <w:lang w:val="es-CO"/>
        </w:rPr>
        <w:t>,</w:t>
      </w:r>
      <w:r w:rsidR="007E00F1" w:rsidRPr="0004419A">
        <w:rPr>
          <w:rFonts w:asciiTheme="majorHAnsi" w:hAnsiTheme="majorHAnsi"/>
          <w:sz w:val="20"/>
          <w:szCs w:val="20"/>
          <w:lang w:val="es-CO"/>
        </w:rPr>
        <w:t xml:space="preserve"> el</w:t>
      </w:r>
      <w:r w:rsidR="00F507B0" w:rsidRPr="0004419A">
        <w:rPr>
          <w:rFonts w:asciiTheme="majorHAnsi" w:hAnsiTheme="majorHAnsi"/>
          <w:sz w:val="20"/>
          <w:szCs w:val="20"/>
          <w:lang w:val="es-CO"/>
        </w:rPr>
        <w:t xml:space="preserve"> 20 de agosto de 2009, el Tribunal Superior de Quibdó confirmó la condena de 36 años y seis meses de prisión c</w:t>
      </w:r>
      <w:r w:rsidR="0004419A" w:rsidRPr="0004419A">
        <w:rPr>
          <w:rFonts w:asciiTheme="majorHAnsi" w:hAnsiTheme="majorHAnsi"/>
          <w:sz w:val="20"/>
          <w:szCs w:val="20"/>
          <w:lang w:val="es-CO"/>
        </w:rPr>
        <w:t xml:space="preserve">ontra uno de los acusados </w:t>
      </w:r>
      <w:r w:rsidR="00BD5B50" w:rsidRPr="0004419A">
        <w:rPr>
          <w:rFonts w:asciiTheme="majorHAnsi" w:hAnsiTheme="majorHAnsi"/>
          <w:sz w:val="20"/>
          <w:szCs w:val="20"/>
          <w:lang w:val="es-CO"/>
        </w:rPr>
        <w:t xml:space="preserve">por </w:t>
      </w:r>
      <w:r w:rsidR="00727684" w:rsidRPr="0004419A">
        <w:rPr>
          <w:rFonts w:asciiTheme="majorHAnsi" w:hAnsiTheme="majorHAnsi"/>
          <w:sz w:val="20"/>
          <w:szCs w:val="20"/>
          <w:lang w:val="es-CO"/>
        </w:rPr>
        <w:t>los</w:t>
      </w:r>
      <w:r w:rsidR="00BD5B50" w:rsidRPr="0004419A">
        <w:rPr>
          <w:rFonts w:asciiTheme="majorHAnsi" w:hAnsiTheme="majorHAnsi"/>
          <w:sz w:val="20"/>
          <w:szCs w:val="20"/>
          <w:lang w:val="es-CO"/>
        </w:rPr>
        <w:t xml:space="preserve"> delito</w:t>
      </w:r>
      <w:r w:rsidR="00727684" w:rsidRPr="0004419A">
        <w:rPr>
          <w:rFonts w:asciiTheme="majorHAnsi" w:hAnsiTheme="majorHAnsi"/>
          <w:sz w:val="20"/>
          <w:szCs w:val="20"/>
          <w:lang w:val="es-CO"/>
        </w:rPr>
        <w:t>s</w:t>
      </w:r>
      <w:r w:rsidR="00BD5B50" w:rsidRPr="0004419A">
        <w:rPr>
          <w:rFonts w:asciiTheme="majorHAnsi" w:hAnsiTheme="majorHAnsi"/>
          <w:sz w:val="20"/>
          <w:szCs w:val="20"/>
          <w:lang w:val="es-CO"/>
        </w:rPr>
        <w:t xml:space="preserve"> de rebelión</w:t>
      </w:r>
      <w:r w:rsidR="00727684" w:rsidRPr="0004419A">
        <w:rPr>
          <w:rFonts w:asciiTheme="majorHAnsi" w:hAnsiTheme="majorHAnsi"/>
          <w:sz w:val="20"/>
          <w:szCs w:val="20"/>
          <w:lang w:val="es-CO"/>
        </w:rPr>
        <w:t xml:space="preserve">, </w:t>
      </w:r>
      <w:r w:rsidR="0004419A" w:rsidRPr="0004419A">
        <w:rPr>
          <w:rFonts w:asciiTheme="majorHAnsi" w:hAnsiTheme="majorHAnsi"/>
          <w:sz w:val="20"/>
          <w:szCs w:val="20"/>
          <w:lang w:val="es-CO"/>
        </w:rPr>
        <w:t>homicidios, lesiones y otros</w:t>
      </w:r>
      <w:r w:rsidR="00BD5B50" w:rsidRPr="0004419A">
        <w:rPr>
          <w:rFonts w:asciiTheme="majorHAnsi" w:hAnsiTheme="majorHAnsi"/>
          <w:sz w:val="20"/>
          <w:szCs w:val="20"/>
          <w:lang w:val="es-CO"/>
        </w:rPr>
        <w:t xml:space="preserve">. </w:t>
      </w:r>
      <w:r w:rsidR="00D27114" w:rsidRPr="0004419A">
        <w:rPr>
          <w:rFonts w:asciiTheme="majorHAnsi" w:hAnsiTheme="majorHAnsi"/>
          <w:sz w:val="20"/>
          <w:szCs w:val="20"/>
          <w:lang w:val="es-CO"/>
        </w:rPr>
        <w:t>Sin embargo,</w:t>
      </w:r>
      <w:r w:rsidR="0004419A" w:rsidRPr="0004419A">
        <w:rPr>
          <w:rFonts w:asciiTheme="majorHAnsi" w:hAnsiTheme="majorHAnsi"/>
          <w:sz w:val="20"/>
          <w:szCs w:val="20"/>
          <w:lang w:val="es-CO"/>
        </w:rPr>
        <w:t xml:space="preserve"> la parte peticionaria sostiene que la </w:t>
      </w:r>
      <w:r w:rsidR="0052208D">
        <w:rPr>
          <w:rFonts w:asciiTheme="majorHAnsi" w:hAnsiTheme="majorHAnsi"/>
          <w:sz w:val="20"/>
          <w:szCs w:val="20"/>
          <w:lang w:val="es-CO"/>
        </w:rPr>
        <w:t xml:space="preserve"> acusación</w:t>
      </w:r>
      <w:r w:rsidR="0004419A" w:rsidRPr="0004419A">
        <w:rPr>
          <w:rFonts w:asciiTheme="majorHAnsi" w:hAnsiTheme="majorHAnsi"/>
          <w:sz w:val="20"/>
          <w:szCs w:val="20"/>
          <w:lang w:val="es-CO"/>
        </w:rPr>
        <w:t xml:space="preserve"> </w:t>
      </w:r>
      <w:r w:rsidR="00DC3988">
        <w:rPr>
          <w:rFonts w:asciiTheme="majorHAnsi" w:hAnsiTheme="majorHAnsi"/>
          <w:sz w:val="20"/>
          <w:szCs w:val="20"/>
          <w:lang w:val="es-CO"/>
        </w:rPr>
        <w:t>a</w:t>
      </w:r>
      <w:r w:rsidR="0004419A" w:rsidRPr="0004419A">
        <w:rPr>
          <w:rFonts w:asciiTheme="majorHAnsi" w:hAnsiTheme="majorHAnsi"/>
          <w:sz w:val="20"/>
          <w:szCs w:val="20"/>
          <w:lang w:val="es-CO"/>
        </w:rPr>
        <w:t xml:space="preserve"> l</w:t>
      </w:r>
      <w:r w:rsidR="00DC3988">
        <w:rPr>
          <w:rFonts w:asciiTheme="majorHAnsi" w:hAnsiTheme="majorHAnsi"/>
          <w:sz w:val="20"/>
          <w:szCs w:val="20"/>
          <w:lang w:val="es-CO"/>
        </w:rPr>
        <w:t>o</w:t>
      </w:r>
      <w:r w:rsidR="0004419A" w:rsidRPr="0004419A">
        <w:rPr>
          <w:rFonts w:asciiTheme="majorHAnsi" w:hAnsiTheme="majorHAnsi"/>
          <w:sz w:val="20"/>
          <w:szCs w:val="20"/>
          <w:lang w:val="es-CO"/>
        </w:rPr>
        <w:t>s cabecillas</w:t>
      </w:r>
      <w:r w:rsidR="00FA39BA">
        <w:rPr>
          <w:rFonts w:asciiTheme="majorHAnsi" w:hAnsiTheme="majorHAnsi"/>
          <w:sz w:val="20"/>
          <w:szCs w:val="20"/>
          <w:lang w:val="es-CO"/>
        </w:rPr>
        <w:t xml:space="preserve"> de la F</w:t>
      </w:r>
      <w:r w:rsidR="0004419A" w:rsidRPr="0004419A">
        <w:rPr>
          <w:rFonts w:asciiTheme="majorHAnsi" w:hAnsiTheme="majorHAnsi"/>
          <w:sz w:val="20"/>
          <w:szCs w:val="20"/>
          <w:lang w:val="es-CO"/>
        </w:rPr>
        <w:t>A</w:t>
      </w:r>
      <w:r w:rsidR="00FA39BA">
        <w:rPr>
          <w:rFonts w:asciiTheme="majorHAnsi" w:hAnsiTheme="majorHAnsi"/>
          <w:sz w:val="20"/>
          <w:szCs w:val="20"/>
          <w:lang w:val="es-CO"/>
        </w:rPr>
        <w:t>R</w:t>
      </w:r>
      <w:r w:rsidR="007F0B5C">
        <w:rPr>
          <w:rFonts w:asciiTheme="majorHAnsi" w:hAnsiTheme="majorHAnsi"/>
          <w:sz w:val="20"/>
          <w:szCs w:val="20"/>
          <w:lang w:val="es-CO"/>
        </w:rPr>
        <w:t xml:space="preserve">C y </w:t>
      </w:r>
      <w:r w:rsidR="0052208D">
        <w:rPr>
          <w:rFonts w:asciiTheme="majorHAnsi" w:hAnsiTheme="majorHAnsi"/>
          <w:sz w:val="20"/>
          <w:szCs w:val="20"/>
          <w:lang w:val="es-CO"/>
        </w:rPr>
        <w:t xml:space="preserve">la sanción </w:t>
      </w:r>
      <w:r w:rsidR="007F0B5C">
        <w:rPr>
          <w:rFonts w:asciiTheme="majorHAnsi" w:hAnsiTheme="majorHAnsi"/>
          <w:sz w:val="20"/>
          <w:szCs w:val="20"/>
          <w:lang w:val="es-CO"/>
        </w:rPr>
        <w:t>de uno</w:t>
      </w:r>
      <w:r w:rsidR="0004419A" w:rsidRPr="0004419A">
        <w:rPr>
          <w:rFonts w:asciiTheme="majorHAnsi" w:hAnsiTheme="majorHAnsi"/>
          <w:sz w:val="20"/>
          <w:szCs w:val="20"/>
          <w:lang w:val="es-CO"/>
        </w:rPr>
        <w:t xml:space="preserve"> </w:t>
      </w:r>
      <w:r w:rsidR="007F0B5C">
        <w:rPr>
          <w:rFonts w:asciiTheme="majorHAnsi" w:hAnsiTheme="majorHAnsi"/>
          <w:sz w:val="20"/>
          <w:szCs w:val="20"/>
          <w:lang w:val="es-CO"/>
        </w:rPr>
        <w:t>de los partícipes materiales</w:t>
      </w:r>
      <w:r w:rsidR="0004419A" w:rsidRPr="0004419A">
        <w:rPr>
          <w:rFonts w:asciiTheme="majorHAnsi" w:hAnsiTheme="majorHAnsi"/>
          <w:sz w:val="20"/>
          <w:szCs w:val="20"/>
          <w:lang w:val="es-CO"/>
        </w:rPr>
        <w:t xml:space="preserve">, evidencia la existencia de </w:t>
      </w:r>
      <w:r w:rsidR="007F0B5C">
        <w:rPr>
          <w:rFonts w:asciiTheme="majorHAnsi" w:hAnsiTheme="majorHAnsi"/>
          <w:sz w:val="20"/>
          <w:szCs w:val="20"/>
          <w:lang w:val="es-CO"/>
        </w:rPr>
        <w:t xml:space="preserve">una </w:t>
      </w:r>
      <w:r w:rsidR="007F0B5C" w:rsidRPr="0004419A">
        <w:rPr>
          <w:rFonts w:asciiTheme="majorHAnsi" w:hAnsiTheme="majorHAnsi"/>
          <w:sz w:val="20"/>
          <w:szCs w:val="20"/>
          <w:lang w:val="es-CO"/>
        </w:rPr>
        <w:t>investiga</w:t>
      </w:r>
      <w:r w:rsidR="007F0B5C">
        <w:rPr>
          <w:rFonts w:asciiTheme="majorHAnsi" w:hAnsiTheme="majorHAnsi"/>
          <w:sz w:val="20"/>
          <w:szCs w:val="20"/>
          <w:lang w:val="es-CO"/>
        </w:rPr>
        <w:t>ción fragmentada e ineficiente que asegura</w:t>
      </w:r>
      <w:r w:rsidR="0004419A" w:rsidRPr="0004419A">
        <w:rPr>
          <w:rFonts w:asciiTheme="majorHAnsi" w:hAnsiTheme="majorHAnsi"/>
          <w:sz w:val="20"/>
          <w:szCs w:val="20"/>
          <w:lang w:val="es-CO"/>
        </w:rPr>
        <w:t xml:space="preserve"> la impunidad de los responsables materiales e intelectuales de la masacre, especialmente de los miembros de instituciones estatales que posibilitaron la ocurre</w:t>
      </w:r>
      <w:r w:rsidR="0004419A">
        <w:rPr>
          <w:rFonts w:asciiTheme="majorHAnsi" w:hAnsiTheme="majorHAnsi"/>
          <w:sz w:val="20"/>
          <w:szCs w:val="20"/>
          <w:lang w:val="es-CO"/>
        </w:rPr>
        <w:t>ncia de la masacre.</w:t>
      </w:r>
    </w:p>
    <w:p w14:paraId="60EB42F5" w14:textId="77777777" w:rsidR="00DC3988" w:rsidRPr="0080258D" w:rsidRDefault="00DC3988" w:rsidP="00E05C3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10FC51E2" w14:textId="470F8363" w:rsidR="009B50E5" w:rsidRPr="00FA39BA" w:rsidRDefault="00C7744E" w:rsidP="007F0B5C">
      <w:pPr>
        <w:pStyle w:val="ListParagraph"/>
        <w:numPr>
          <w:ilvl w:val="0"/>
          <w:numId w:val="55"/>
        </w:numPr>
        <w:jc w:val="both"/>
        <w:rPr>
          <w:rFonts w:asciiTheme="majorHAnsi" w:hAnsiTheme="majorHAnsi"/>
          <w:sz w:val="20"/>
          <w:szCs w:val="20"/>
          <w:lang w:val="es-CO"/>
        </w:rPr>
      </w:pPr>
      <w:r>
        <w:rPr>
          <w:rFonts w:asciiTheme="majorHAnsi" w:hAnsiTheme="majorHAnsi"/>
          <w:sz w:val="20"/>
          <w:szCs w:val="20"/>
          <w:lang w:val="es-CO"/>
        </w:rPr>
        <w:lastRenderedPageBreak/>
        <w:t xml:space="preserve">La parte peticionaria señala, por otra parte, que se llevaron a cabo algunas acciones en la vía disciplinaria y contencioso-administrativa. </w:t>
      </w:r>
      <w:r w:rsidR="00E95372">
        <w:rPr>
          <w:rFonts w:asciiTheme="majorHAnsi" w:hAnsiTheme="majorHAnsi"/>
          <w:sz w:val="20"/>
          <w:szCs w:val="20"/>
          <w:lang w:val="es-CO"/>
        </w:rPr>
        <w:t xml:space="preserve">En relación con </w:t>
      </w:r>
      <w:r>
        <w:rPr>
          <w:rFonts w:asciiTheme="majorHAnsi" w:hAnsiTheme="majorHAnsi"/>
          <w:sz w:val="20"/>
          <w:szCs w:val="20"/>
          <w:lang w:val="es-CO"/>
        </w:rPr>
        <w:t>las primeras</w:t>
      </w:r>
      <w:r w:rsidR="0004419A" w:rsidRPr="0004419A">
        <w:rPr>
          <w:rFonts w:asciiTheme="majorHAnsi" w:hAnsiTheme="majorHAnsi"/>
          <w:sz w:val="20"/>
          <w:szCs w:val="20"/>
          <w:lang w:val="es-CO"/>
        </w:rPr>
        <w:t>,</w:t>
      </w:r>
      <w:r w:rsidR="00E95372">
        <w:rPr>
          <w:rFonts w:asciiTheme="majorHAnsi" w:hAnsiTheme="majorHAnsi"/>
          <w:sz w:val="20"/>
          <w:szCs w:val="20"/>
          <w:lang w:val="es-CO"/>
        </w:rPr>
        <w:t xml:space="preserve"> refiere </w:t>
      </w:r>
      <w:r>
        <w:rPr>
          <w:rFonts w:asciiTheme="majorHAnsi" w:hAnsiTheme="majorHAnsi"/>
          <w:sz w:val="20"/>
          <w:szCs w:val="20"/>
          <w:lang w:val="es-CO"/>
        </w:rPr>
        <w:t xml:space="preserve">que </w:t>
      </w:r>
      <w:r w:rsidR="00DD0492">
        <w:rPr>
          <w:rFonts w:asciiTheme="majorHAnsi" w:hAnsiTheme="majorHAnsi"/>
          <w:sz w:val="20"/>
          <w:szCs w:val="20"/>
          <w:lang w:val="es-CO"/>
        </w:rPr>
        <w:t>el 8 de julio de 2003</w:t>
      </w:r>
      <w:r w:rsidR="00E95372">
        <w:rPr>
          <w:rFonts w:asciiTheme="majorHAnsi" w:hAnsiTheme="majorHAnsi"/>
          <w:sz w:val="20"/>
          <w:szCs w:val="20"/>
          <w:lang w:val="es-CO"/>
        </w:rPr>
        <w:t xml:space="preserve"> </w:t>
      </w:r>
      <w:r w:rsidR="0004419A" w:rsidRPr="0004419A">
        <w:rPr>
          <w:rFonts w:asciiTheme="majorHAnsi" w:hAnsiTheme="majorHAnsi"/>
          <w:sz w:val="20"/>
          <w:szCs w:val="20"/>
          <w:lang w:val="es-CO"/>
        </w:rPr>
        <w:t>la Procuradur</w:t>
      </w:r>
      <w:r w:rsidR="00E95372">
        <w:rPr>
          <w:rFonts w:asciiTheme="majorHAnsi" w:hAnsiTheme="majorHAnsi"/>
          <w:sz w:val="20"/>
          <w:szCs w:val="20"/>
          <w:lang w:val="es-CO"/>
        </w:rPr>
        <w:t xml:space="preserve">ía General de la Nación expidió pliego de </w:t>
      </w:r>
      <w:r w:rsidR="0004419A" w:rsidRPr="0004419A">
        <w:rPr>
          <w:rFonts w:asciiTheme="majorHAnsi" w:hAnsiTheme="majorHAnsi"/>
          <w:sz w:val="20"/>
          <w:szCs w:val="20"/>
          <w:lang w:val="es-CO"/>
        </w:rPr>
        <w:t xml:space="preserve">cargos contra </w:t>
      </w:r>
      <w:r w:rsidR="007F0B5C" w:rsidRPr="007F0B5C">
        <w:rPr>
          <w:rFonts w:asciiTheme="majorHAnsi" w:hAnsiTheme="majorHAnsi"/>
          <w:sz w:val="20"/>
          <w:szCs w:val="20"/>
          <w:lang w:val="es-CO"/>
        </w:rPr>
        <w:t>dive</w:t>
      </w:r>
      <w:r w:rsidR="007F0B5C">
        <w:rPr>
          <w:rFonts w:asciiTheme="majorHAnsi" w:hAnsiTheme="majorHAnsi"/>
          <w:sz w:val="20"/>
          <w:szCs w:val="20"/>
          <w:lang w:val="es-CO"/>
        </w:rPr>
        <w:t>rsas autoridades militares</w:t>
      </w:r>
      <w:r w:rsidR="007F0B5C" w:rsidRPr="007F0B5C">
        <w:rPr>
          <w:rFonts w:asciiTheme="majorHAnsi" w:hAnsiTheme="majorHAnsi"/>
          <w:sz w:val="20"/>
          <w:szCs w:val="20"/>
          <w:lang w:val="es-CO"/>
        </w:rPr>
        <w:t xml:space="preserve"> del Batallón de Infantería No. 12</w:t>
      </w:r>
      <w:r w:rsidR="0004419A" w:rsidRPr="0004419A">
        <w:rPr>
          <w:rFonts w:asciiTheme="majorHAnsi" w:hAnsiTheme="majorHAnsi"/>
          <w:sz w:val="20"/>
          <w:szCs w:val="20"/>
          <w:lang w:val="es-CO"/>
        </w:rPr>
        <w:t xml:space="preserve"> por faltas disciplinarias en la omisión de medidas para proteger a la población</w:t>
      </w:r>
      <w:r>
        <w:rPr>
          <w:rFonts w:asciiTheme="majorHAnsi" w:hAnsiTheme="majorHAnsi"/>
          <w:sz w:val="20"/>
          <w:szCs w:val="20"/>
          <w:lang w:val="es-CO"/>
        </w:rPr>
        <w:t>. Alega</w:t>
      </w:r>
      <w:r w:rsidR="0004419A" w:rsidRPr="0004419A">
        <w:rPr>
          <w:rFonts w:asciiTheme="majorHAnsi" w:hAnsiTheme="majorHAnsi"/>
          <w:sz w:val="20"/>
          <w:szCs w:val="20"/>
          <w:lang w:val="es-CO"/>
        </w:rPr>
        <w:t>, no obstante</w:t>
      </w:r>
      <w:r>
        <w:rPr>
          <w:rFonts w:asciiTheme="majorHAnsi" w:hAnsiTheme="majorHAnsi"/>
          <w:sz w:val="20"/>
          <w:szCs w:val="20"/>
          <w:lang w:val="es-CO"/>
        </w:rPr>
        <w:t>,</w:t>
      </w:r>
      <w:r w:rsidR="0004419A" w:rsidRPr="0004419A">
        <w:rPr>
          <w:rFonts w:asciiTheme="majorHAnsi" w:hAnsiTheme="majorHAnsi"/>
          <w:sz w:val="20"/>
          <w:szCs w:val="20"/>
          <w:lang w:val="es-CO"/>
        </w:rPr>
        <w:t xml:space="preserve"> que ningun</w:t>
      </w:r>
      <w:r>
        <w:rPr>
          <w:rFonts w:asciiTheme="majorHAnsi" w:hAnsiTheme="majorHAnsi"/>
          <w:sz w:val="20"/>
          <w:szCs w:val="20"/>
          <w:lang w:val="es-CO"/>
        </w:rPr>
        <w:t>a</w:t>
      </w:r>
      <w:r w:rsidR="0004419A" w:rsidRPr="0004419A">
        <w:rPr>
          <w:rFonts w:asciiTheme="majorHAnsi" w:hAnsiTheme="majorHAnsi"/>
          <w:sz w:val="20"/>
          <w:szCs w:val="20"/>
          <w:lang w:val="es-CO"/>
        </w:rPr>
        <w:t xml:space="preserve"> fue efectivamente investigad</w:t>
      </w:r>
      <w:r>
        <w:rPr>
          <w:rFonts w:asciiTheme="majorHAnsi" w:hAnsiTheme="majorHAnsi"/>
          <w:sz w:val="20"/>
          <w:szCs w:val="20"/>
          <w:lang w:val="es-CO"/>
        </w:rPr>
        <w:t>a</w:t>
      </w:r>
      <w:r w:rsidR="0004419A" w:rsidRPr="0004419A">
        <w:rPr>
          <w:rFonts w:asciiTheme="majorHAnsi" w:hAnsiTheme="majorHAnsi"/>
          <w:sz w:val="20"/>
          <w:szCs w:val="20"/>
          <w:lang w:val="es-CO"/>
        </w:rPr>
        <w:t xml:space="preserve"> ni sancionad</w:t>
      </w:r>
      <w:r>
        <w:rPr>
          <w:rFonts w:asciiTheme="majorHAnsi" w:hAnsiTheme="majorHAnsi"/>
          <w:sz w:val="20"/>
          <w:szCs w:val="20"/>
          <w:lang w:val="es-CO"/>
        </w:rPr>
        <w:t>a</w:t>
      </w:r>
      <w:r w:rsidR="0004419A" w:rsidRPr="0004419A">
        <w:rPr>
          <w:rFonts w:asciiTheme="majorHAnsi" w:hAnsiTheme="majorHAnsi"/>
          <w:sz w:val="20"/>
          <w:szCs w:val="20"/>
          <w:lang w:val="es-CO"/>
        </w:rPr>
        <w:t xml:space="preserve">. </w:t>
      </w:r>
      <w:r w:rsidR="00E95372" w:rsidRPr="00FA39BA">
        <w:rPr>
          <w:rFonts w:asciiTheme="majorHAnsi" w:hAnsiTheme="majorHAnsi"/>
          <w:sz w:val="20"/>
          <w:szCs w:val="20"/>
          <w:lang w:val="es-CO"/>
        </w:rPr>
        <w:t>Respecto de las acciones indemnizatorias</w:t>
      </w:r>
      <w:r w:rsidR="00B12DCD" w:rsidRPr="00FA39BA">
        <w:rPr>
          <w:rFonts w:asciiTheme="majorHAnsi" w:hAnsiTheme="majorHAnsi"/>
          <w:sz w:val="20"/>
          <w:szCs w:val="20"/>
          <w:lang w:val="es-CO"/>
        </w:rPr>
        <w:t xml:space="preserve"> señala que</w:t>
      </w:r>
      <w:r>
        <w:rPr>
          <w:rFonts w:asciiTheme="majorHAnsi" w:hAnsiTheme="majorHAnsi"/>
          <w:sz w:val="20"/>
          <w:szCs w:val="20"/>
          <w:lang w:val="es-CO"/>
        </w:rPr>
        <w:t xml:space="preserve">, </w:t>
      </w:r>
      <w:r w:rsidR="00103EFA" w:rsidRPr="00FA39BA">
        <w:rPr>
          <w:rFonts w:asciiTheme="majorHAnsi" w:hAnsiTheme="majorHAnsi"/>
          <w:sz w:val="20"/>
          <w:szCs w:val="20"/>
          <w:lang w:val="es-CO"/>
        </w:rPr>
        <w:t>en abril de 2004,</w:t>
      </w:r>
      <w:r w:rsidR="00A92E18" w:rsidRPr="00FA39BA">
        <w:rPr>
          <w:rFonts w:asciiTheme="majorHAnsi" w:hAnsiTheme="majorHAnsi"/>
          <w:sz w:val="20"/>
          <w:szCs w:val="20"/>
          <w:lang w:val="es-CO"/>
        </w:rPr>
        <w:t xml:space="preserve"> familiares de más de 30 de las víctimas asesinadas</w:t>
      </w:r>
      <w:r w:rsidR="007F0B5C">
        <w:rPr>
          <w:rFonts w:asciiTheme="majorHAnsi" w:hAnsiTheme="majorHAnsi"/>
          <w:sz w:val="20"/>
          <w:szCs w:val="20"/>
          <w:lang w:val="es-CO"/>
        </w:rPr>
        <w:t xml:space="preserve"> en la masacre</w:t>
      </w:r>
      <w:r w:rsidR="00A92E18" w:rsidRPr="00FA39BA">
        <w:rPr>
          <w:rFonts w:asciiTheme="majorHAnsi" w:hAnsiTheme="majorHAnsi"/>
          <w:sz w:val="20"/>
          <w:szCs w:val="20"/>
          <w:lang w:val="es-CO"/>
        </w:rPr>
        <w:t xml:space="preserve"> presentaron </w:t>
      </w:r>
      <w:r w:rsidR="00103EFA" w:rsidRPr="00FA39BA">
        <w:rPr>
          <w:rFonts w:asciiTheme="majorHAnsi" w:hAnsiTheme="majorHAnsi"/>
          <w:sz w:val="20"/>
          <w:szCs w:val="20"/>
          <w:lang w:val="es-CO"/>
        </w:rPr>
        <w:t>una dema</w:t>
      </w:r>
      <w:r w:rsidR="00496935" w:rsidRPr="00FA39BA">
        <w:rPr>
          <w:rFonts w:asciiTheme="majorHAnsi" w:hAnsiTheme="majorHAnsi"/>
          <w:sz w:val="20"/>
          <w:szCs w:val="20"/>
          <w:lang w:val="es-CO"/>
        </w:rPr>
        <w:t xml:space="preserve">nda de reparación directa que fue resuelta </w:t>
      </w:r>
      <w:r w:rsidR="00A92E18" w:rsidRPr="00FA39BA">
        <w:rPr>
          <w:rFonts w:asciiTheme="majorHAnsi" w:hAnsiTheme="majorHAnsi"/>
          <w:sz w:val="20"/>
          <w:szCs w:val="20"/>
          <w:lang w:val="es-CO"/>
        </w:rPr>
        <w:t xml:space="preserve">en su favor </w:t>
      </w:r>
      <w:r w:rsidR="00496935" w:rsidRPr="00FA39BA">
        <w:rPr>
          <w:rFonts w:asciiTheme="majorHAnsi" w:hAnsiTheme="majorHAnsi"/>
          <w:sz w:val="20"/>
          <w:szCs w:val="20"/>
          <w:lang w:val="es-CO"/>
        </w:rPr>
        <w:t>en primera instancia el 30 de julio de 2013</w:t>
      </w:r>
      <w:r w:rsidR="00DC6C65" w:rsidRPr="00FA39BA">
        <w:rPr>
          <w:rFonts w:asciiTheme="majorHAnsi" w:hAnsiTheme="majorHAnsi"/>
          <w:sz w:val="20"/>
          <w:szCs w:val="20"/>
          <w:lang w:val="es-CO"/>
        </w:rPr>
        <w:t xml:space="preserve"> por el </w:t>
      </w:r>
      <w:r w:rsidR="00DC6C65" w:rsidRPr="00FA39BA">
        <w:rPr>
          <w:rFonts w:asciiTheme="majorHAnsi" w:hAnsiTheme="majorHAnsi"/>
          <w:color w:val="auto"/>
          <w:sz w:val="20"/>
          <w:szCs w:val="20"/>
          <w:lang w:val="es-CO"/>
        </w:rPr>
        <w:t>Juzgado Quinto Administrativo de Descongestión del Circuito de Quibdó</w:t>
      </w:r>
      <w:r>
        <w:rPr>
          <w:rFonts w:asciiTheme="majorHAnsi" w:hAnsiTheme="majorHAnsi"/>
          <w:color w:val="auto"/>
          <w:sz w:val="20"/>
          <w:szCs w:val="20"/>
          <w:lang w:val="es-CO"/>
        </w:rPr>
        <w:t>. Dicha</w:t>
      </w:r>
      <w:r w:rsidR="00DC6C65" w:rsidRPr="00FA39BA">
        <w:rPr>
          <w:rFonts w:asciiTheme="majorHAnsi" w:hAnsiTheme="majorHAnsi"/>
          <w:color w:val="auto"/>
          <w:sz w:val="20"/>
          <w:szCs w:val="20"/>
          <w:lang w:val="es-CO"/>
        </w:rPr>
        <w:t xml:space="preserve"> </w:t>
      </w:r>
      <w:r w:rsidR="000B017C" w:rsidRPr="00FA39BA">
        <w:rPr>
          <w:rFonts w:asciiTheme="majorHAnsi" w:hAnsiTheme="majorHAnsi"/>
          <w:color w:val="auto"/>
          <w:sz w:val="20"/>
          <w:szCs w:val="20"/>
          <w:lang w:val="es-CO"/>
        </w:rPr>
        <w:t xml:space="preserve">sentencia </w:t>
      </w:r>
      <w:r w:rsidR="00DC6C65" w:rsidRPr="00FA39BA">
        <w:rPr>
          <w:rFonts w:asciiTheme="majorHAnsi" w:hAnsiTheme="majorHAnsi"/>
          <w:sz w:val="20"/>
          <w:szCs w:val="20"/>
          <w:lang w:val="es-CO"/>
        </w:rPr>
        <w:t>fue confirmada el 5 de marzo de 2015 por el Tribunal Administrativo del Chocó</w:t>
      </w:r>
      <w:r w:rsidR="000B017C" w:rsidRPr="00FA39BA">
        <w:rPr>
          <w:rFonts w:asciiTheme="majorHAnsi" w:hAnsiTheme="majorHAnsi"/>
          <w:sz w:val="20"/>
          <w:szCs w:val="20"/>
          <w:lang w:val="es-CO"/>
        </w:rPr>
        <w:t>,</w:t>
      </w:r>
      <w:r w:rsidR="00DC6C65" w:rsidRPr="00FA39BA">
        <w:rPr>
          <w:rFonts w:asciiTheme="majorHAnsi" w:hAnsiTheme="majorHAnsi"/>
          <w:sz w:val="20"/>
          <w:szCs w:val="20"/>
          <w:lang w:val="es-CO"/>
        </w:rPr>
        <w:t xml:space="preserve"> </w:t>
      </w:r>
      <w:r w:rsidR="00496935" w:rsidRPr="00FA39BA">
        <w:rPr>
          <w:rFonts w:asciiTheme="majorHAnsi" w:hAnsiTheme="majorHAnsi"/>
          <w:color w:val="auto"/>
          <w:sz w:val="20"/>
          <w:szCs w:val="20"/>
          <w:lang w:val="es-CO"/>
        </w:rPr>
        <w:t xml:space="preserve">declarando </w:t>
      </w:r>
      <w:r w:rsidR="007F0B5C">
        <w:rPr>
          <w:rFonts w:asciiTheme="majorHAnsi" w:hAnsiTheme="majorHAnsi"/>
          <w:sz w:val="20"/>
          <w:szCs w:val="20"/>
          <w:lang w:val="es-CO"/>
        </w:rPr>
        <w:t xml:space="preserve">responsable al Estado, </w:t>
      </w:r>
      <w:r w:rsidR="00496935" w:rsidRPr="00FA39BA">
        <w:rPr>
          <w:rFonts w:asciiTheme="majorHAnsi" w:hAnsiTheme="majorHAnsi"/>
          <w:sz w:val="20"/>
          <w:szCs w:val="20"/>
          <w:lang w:val="es-CO"/>
        </w:rPr>
        <w:t>el Ministerio de Defensa, la Armada Nacional, el Ejército Nacional y la Policía Nacional por haber incumplido con su obligación de proteger, vigilar y brindar seguridad a la población de Bojay</w:t>
      </w:r>
      <w:r w:rsidR="000B017C" w:rsidRPr="00FA39BA">
        <w:rPr>
          <w:rFonts w:asciiTheme="majorHAnsi" w:hAnsiTheme="majorHAnsi"/>
          <w:sz w:val="20"/>
          <w:szCs w:val="20"/>
          <w:lang w:val="es-CO"/>
        </w:rPr>
        <w:t xml:space="preserve">á. </w:t>
      </w:r>
      <w:r>
        <w:rPr>
          <w:rFonts w:asciiTheme="majorHAnsi" w:hAnsiTheme="majorHAnsi"/>
          <w:sz w:val="20"/>
          <w:szCs w:val="20"/>
          <w:lang w:val="es-CO"/>
        </w:rPr>
        <w:t>La sentencia o</w:t>
      </w:r>
      <w:r w:rsidR="00496935" w:rsidRPr="00FA39BA">
        <w:rPr>
          <w:rFonts w:asciiTheme="majorHAnsi" w:hAnsiTheme="majorHAnsi"/>
          <w:sz w:val="20"/>
          <w:szCs w:val="20"/>
          <w:lang w:val="es-CO"/>
        </w:rPr>
        <w:t>rdenó el pago de una indemnización al haberse demostrado una masiva y sistemática violación de derechos humanos</w:t>
      </w:r>
      <w:r>
        <w:rPr>
          <w:rFonts w:asciiTheme="majorHAnsi" w:hAnsiTheme="majorHAnsi"/>
          <w:sz w:val="20"/>
          <w:szCs w:val="20"/>
          <w:lang w:val="es-CO"/>
        </w:rPr>
        <w:t>,</w:t>
      </w:r>
      <w:r w:rsidR="00496935" w:rsidRPr="00FA39BA">
        <w:rPr>
          <w:rFonts w:asciiTheme="majorHAnsi" w:hAnsiTheme="majorHAnsi"/>
          <w:sz w:val="20"/>
          <w:szCs w:val="20"/>
          <w:lang w:val="es-CO"/>
        </w:rPr>
        <w:t xml:space="preserve"> y dispuso la reapertura de la investigación penal contra las FARC</w:t>
      </w:r>
      <w:r w:rsidR="007F0B5C">
        <w:rPr>
          <w:rFonts w:asciiTheme="majorHAnsi" w:hAnsiTheme="majorHAnsi"/>
          <w:sz w:val="20"/>
          <w:szCs w:val="20"/>
          <w:lang w:val="es-CO"/>
        </w:rPr>
        <w:t>-EP y las AUC</w:t>
      </w:r>
      <w:r w:rsidR="00496935" w:rsidRPr="00FA39BA">
        <w:rPr>
          <w:rFonts w:asciiTheme="majorHAnsi" w:hAnsiTheme="majorHAnsi"/>
          <w:sz w:val="20"/>
          <w:szCs w:val="20"/>
          <w:lang w:val="es-CO"/>
        </w:rPr>
        <w:t>, así como contra autoridades militares y estatales para determinar su grado de responsabilidad.</w:t>
      </w:r>
      <w:r w:rsidR="002C1432" w:rsidRPr="00FA39BA">
        <w:rPr>
          <w:rFonts w:asciiTheme="majorHAnsi" w:hAnsiTheme="majorHAnsi"/>
          <w:sz w:val="20"/>
          <w:szCs w:val="20"/>
          <w:lang w:val="es-CO"/>
        </w:rPr>
        <w:t xml:space="preserve"> Sostienen que el fallo aún no se encuentra firme</w:t>
      </w:r>
      <w:r w:rsidR="000B017C" w:rsidRPr="00FA39BA">
        <w:rPr>
          <w:rFonts w:asciiTheme="majorHAnsi" w:hAnsiTheme="majorHAnsi"/>
          <w:sz w:val="20"/>
          <w:szCs w:val="20"/>
          <w:lang w:val="es-CO"/>
        </w:rPr>
        <w:t xml:space="preserve">, </w:t>
      </w:r>
      <w:r w:rsidR="002C1432" w:rsidRPr="00FA39BA">
        <w:rPr>
          <w:rFonts w:asciiTheme="majorHAnsi" w:hAnsiTheme="majorHAnsi"/>
          <w:sz w:val="20"/>
          <w:szCs w:val="20"/>
          <w:lang w:val="es-CO"/>
        </w:rPr>
        <w:t xml:space="preserve">debido a que </w:t>
      </w:r>
      <w:r w:rsidR="00DC6C65" w:rsidRPr="00FA39BA">
        <w:rPr>
          <w:rFonts w:asciiTheme="majorHAnsi" w:hAnsiTheme="majorHAnsi"/>
          <w:sz w:val="20"/>
          <w:szCs w:val="20"/>
          <w:lang w:val="es-CO"/>
        </w:rPr>
        <w:t xml:space="preserve">el Ministerio de Defensa </w:t>
      </w:r>
      <w:r>
        <w:rPr>
          <w:rFonts w:asciiTheme="majorHAnsi" w:hAnsiTheme="majorHAnsi"/>
          <w:sz w:val="20"/>
          <w:szCs w:val="20"/>
          <w:lang w:val="es-CO"/>
        </w:rPr>
        <w:t>instauró</w:t>
      </w:r>
      <w:r w:rsidR="00DC6C65" w:rsidRPr="00FA39BA">
        <w:rPr>
          <w:rFonts w:asciiTheme="majorHAnsi" w:hAnsiTheme="majorHAnsi"/>
          <w:sz w:val="20"/>
          <w:szCs w:val="20"/>
          <w:lang w:val="es-CO"/>
        </w:rPr>
        <w:t xml:space="preserve"> una acción de tutela contra las m</w:t>
      </w:r>
      <w:r w:rsidR="000B017C" w:rsidRPr="00FA39BA">
        <w:rPr>
          <w:rFonts w:asciiTheme="majorHAnsi" w:hAnsiTheme="majorHAnsi"/>
          <w:sz w:val="20"/>
          <w:szCs w:val="20"/>
          <w:lang w:val="es-CO"/>
        </w:rPr>
        <w:t xml:space="preserve">edidas de reparación </w:t>
      </w:r>
      <w:r w:rsidR="002C1432" w:rsidRPr="00FA39BA">
        <w:rPr>
          <w:rFonts w:asciiTheme="majorHAnsi" w:hAnsiTheme="majorHAnsi"/>
          <w:sz w:val="20"/>
          <w:szCs w:val="20"/>
          <w:lang w:val="es-CO"/>
        </w:rPr>
        <w:t>ordenadas</w:t>
      </w:r>
      <w:r w:rsidR="009B50E5" w:rsidRPr="00FA39BA">
        <w:rPr>
          <w:rFonts w:asciiTheme="majorHAnsi" w:hAnsiTheme="majorHAnsi"/>
          <w:sz w:val="20"/>
          <w:szCs w:val="20"/>
          <w:lang w:val="es-CO"/>
        </w:rPr>
        <w:t>.</w:t>
      </w:r>
    </w:p>
    <w:p w14:paraId="22839E47" w14:textId="77777777" w:rsidR="00AB5757" w:rsidRPr="00BB573B" w:rsidRDefault="00AB5757" w:rsidP="00BB573B">
      <w:pPr>
        <w:rPr>
          <w:rFonts w:asciiTheme="majorHAnsi" w:hAnsiTheme="majorHAnsi"/>
          <w:sz w:val="20"/>
          <w:szCs w:val="20"/>
          <w:lang w:val="es-CO"/>
        </w:rPr>
      </w:pPr>
    </w:p>
    <w:p w14:paraId="7522ABE1" w14:textId="297463D7" w:rsidR="00AB5757" w:rsidRPr="00AB5757" w:rsidRDefault="0003449F" w:rsidP="00AB57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Pr>
          <w:rFonts w:asciiTheme="majorHAnsi" w:hAnsiTheme="majorHAnsi"/>
          <w:sz w:val="20"/>
          <w:szCs w:val="20"/>
          <w:lang w:val="es-CO"/>
        </w:rPr>
        <w:t>Por su parte, e</w:t>
      </w:r>
      <w:r w:rsidR="00EB6239" w:rsidRPr="00AB5757">
        <w:rPr>
          <w:rFonts w:asciiTheme="majorHAnsi" w:hAnsiTheme="majorHAnsi"/>
          <w:sz w:val="20"/>
          <w:szCs w:val="20"/>
          <w:lang w:val="es-CO"/>
        </w:rPr>
        <w:t>l Estado sostiene que los hechos no caracterizan violaciones de derechos humanos pues la responsabilidad de la masacre no le es imputable por tratarse d</w:t>
      </w:r>
      <w:r w:rsidR="002965B8">
        <w:rPr>
          <w:rFonts w:asciiTheme="majorHAnsi" w:hAnsiTheme="majorHAnsi"/>
          <w:sz w:val="20"/>
          <w:szCs w:val="20"/>
          <w:lang w:val="es-CO"/>
        </w:rPr>
        <w:t>e hechos atribuibles a las FARC</w:t>
      </w:r>
      <w:r w:rsidR="00E566C9">
        <w:rPr>
          <w:rFonts w:asciiTheme="majorHAnsi" w:hAnsiTheme="majorHAnsi"/>
          <w:sz w:val="20"/>
          <w:szCs w:val="20"/>
          <w:lang w:val="es-CO"/>
        </w:rPr>
        <w:t>. S</w:t>
      </w:r>
      <w:r w:rsidR="002965B8">
        <w:rPr>
          <w:rFonts w:asciiTheme="majorHAnsi" w:hAnsiTheme="majorHAnsi"/>
          <w:sz w:val="20"/>
          <w:szCs w:val="20"/>
          <w:lang w:val="es-CO"/>
        </w:rPr>
        <w:t xml:space="preserve">ostiene </w:t>
      </w:r>
      <w:r w:rsidR="00E566C9">
        <w:rPr>
          <w:rFonts w:asciiTheme="majorHAnsi" w:hAnsiTheme="majorHAnsi"/>
          <w:sz w:val="20"/>
          <w:szCs w:val="20"/>
          <w:lang w:val="es-CO"/>
        </w:rPr>
        <w:t xml:space="preserve">además </w:t>
      </w:r>
      <w:r w:rsidR="002965B8">
        <w:rPr>
          <w:rFonts w:asciiTheme="majorHAnsi" w:hAnsiTheme="majorHAnsi"/>
          <w:sz w:val="20"/>
          <w:szCs w:val="20"/>
          <w:lang w:val="es-CO"/>
        </w:rPr>
        <w:t xml:space="preserve">que no se evidencia </w:t>
      </w:r>
      <w:r w:rsidR="00E566C9">
        <w:rPr>
          <w:rFonts w:asciiTheme="majorHAnsi" w:hAnsiTheme="majorHAnsi"/>
          <w:sz w:val="20"/>
          <w:szCs w:val="20"/>
          <w:lang w:val="es-CO"/>
        </w:rPr>
        <w:t xml:space="preserve">una situación de </w:t>
      </w:r>
      <w:r w:rsidR="002965B8">
        <w:rPr>
          <w:rFonts w:asciiTheme="majorHAnsi" w:hAnsiTheme="majorHAnsi"/>
          <w:sz w:val="20"/>
          <w:szCs w:val="20"/>
          <w:lang w:val="es-CO"/>
        </w:rPr>
        <w:t>tolerancia o aquiescencia del</w:t>
      </w:r>
      <w:r w:rsidR="00C754E7">
        <w:rPr>
          <w:rFonts w:asciiTheme="majorHAnsi" w:hAnsiTheme="majorHAnsi"/>
          <w:sz w:val="20"/>
          <w:szCs w:val="20"/>
          <w:lang w:val="es-CO"/>
        </w:rPr>
        <w:t xml:space="preserve"> Estado y que</w:t>
      </w:r>
      <w:r w:rsidR="00E566C9">
        <w:rPr>
          <w:rFonts w:asciiTheme="majorHAnsi" w:hAnsiTheme="majorHAnsi"/>
          <w:sz w:val="20"/>
          <w:szCs w:val="20"/>
          <w:lang w:val="es-CO"/>
        </w:rPr>
        <w:t>,</w:t>
      </w:r>
      <w:r w:rsidR="00C754E7">
        <w:rPr>
          <w:rFonts w:asciiTheme="majorHAnsi" w:hAnsiTheme="majorHAnsi"/>
          <w:sz w:val="20"/>
          <w:szCs w:val="20"/>
          <w:lang w:val="es-CO"/>
        </w:rPr>
        <w:t xml:space="preserve"> por el contrario</w:t>
      </w:r>
      <w:r w:rsidR="00E566C9">
        <w:rPr>
          <w:rFonts w:asciiTheme="majorHAnsi" w:hAnsiTheme="majorHAnsi"/>
          <w:sz w:val="20"/>
          <w:szCs w:val="20"/>
          <w:lang w:val="es-CO"/>
        </w:rPr>
        <w:t>,</w:t>
      </w:r>
      <w:r w:rsidR="00EB6239" w:rsidRPr="00AB5757">
        <w:rPr>
          <w:rFonts w:asciiTheme="majorHAnsi" w:hAnsiTheme="majorHAnsi"/>
          <w:sz w:val="20"/>
          <w:szCs w:val="20"/>
          <w:lang w:val="es-CO"/>
        </w:rPr>
        <w:t xml:space="preserve"> </w:t>
      </w:r>
      <w:r w:rsidR="002965B8">
        <w:rPr>
          <w:rFonts w:asciiTheme="majorHAnsi" w:hAnsiTheme="majorHAnsi"/>
          <w:sz w:val="20"/>
          <w:szCs w:val="20"/>
          <w:lang w:val="es-CO"/>
        </w:rPr>
        <w:t xml:space="preserve">se </w:t>
      </w:r>
      <w:r w:rsidR="00EB6239" w:rsidRPr="00AB5757">
        <w:rPr>
          <w:rFonts w:asciiTheme="majorHAnsi" w:hAnsiTheme="majorHAnsi"/>
          <w:sz w:val="20"/>
          <w:szCs w:val="20"/>
          <w:lang w:val="es-CO"/>
        </w:rPr>
        <w:t>ha</w:t>
      </w:r>
      <w:r w:rsidR="002965B8">
        <w:rPr>
          <w:rFonts w:asciiTheme="majorHAnsi" w:hAnsiTheme="majorHAnsi"/>
          <w:sz w:val="20"/>
          <w:szCs w:val="20"/>
          <w:lang w:val="es-CO"/>
        </w:rPr>
        <w:t>n</w:t>
      </w:r>
      <w:r w:rsidR="00EB6239" w:rsidRPr="00AB5757">
        <w:rPr>
          <w:rFonts w:asciiTheme="majorHAnsi" w:hAnsiTheme="majorHAnsi"/>
          <w:sz w:val="20"/>
          <w:szCs w:val="20"/>
          <w:lang w:val="es-CO"/>
        </w:rPr>
        <w:t xml:space="preserve"> ejecutado políticas </w:t>
      </w:r>
      <w:r w:rsidR="002C1432">
        <w:rPr>
          <w:rFonts w:asciiTheme="majorHAnsi" w:hAnsiTheme="majorHAnsi"/>
          <w:sz w:val="20"/>
          <w:szCs w:val="20"/>
          <w:lang w:val="es-CO"/>
        </w:rPr>
        <w:t xml:space="preserve">públicas </w:t>
      </w:r>
      <w:r w:rsidR="002965B8">
        <w:rPr>
          <w:rFonts w:asciiTheme="majorHAnsi" w:hAnsiTheme="majorHAnsi"/>
          <w:sz w:val="20"/>
          <w:szCs w:val="20"/>
          <w:lang w:val="es-CO"/>
        </w:rPr>
        <w:t>para lograr la</w:t>
      </w:r>
      <w:r w:rsidR="00EB6239" w:rsidRPr="00AB5757">
        <w:rPr>
          <w:rFonts w:asciiTheme="majorHAnsi" w:hAnsiTheme="majorHAnsi"/>
          <w:sz w:val="20"/>
          <w:szCs w:val="20"/>
          <w:lang w:val="es-CO"/>
        </w:rPr>
        <w:t xml:space="preserve"> desmovilización y desarticulación</w:t>
      </w:r>
      <w:r w:rsidR="002965B8">
        <w:rPr>
          <w:rFonts w:asciiTheme="majorHAnsi" w:hAnsiTheme="majorHAnsi"/>
          <w:sz w:val="20"/>
          <w:szCs w:val="20"/>
          <w:lang w:val="es-CO"/>
        </w:rPr>
        <w:t xml:space="preserve"> de los grupos proscritos que operan en Colombia</w:t>
      </w:r>
      <w:r w:rsidR="00EB6239" w:rsidRPr="00AB5757">
        <w:rPr>
          <w:rFonts w:asciiTheme="majorHAnsi" w:hAnsiTheme="majorHAnsi"/>
          <w:sz w:val="20"/>
          <w:szCs w:val="20"/>
          <w:lang w:val="es-CO"/>
        </w:rPr>
        <w:t xml:space="preserve">. </w:t>
      </w:r>
      <w:r w:rsidR="00D31E62">
        <w:rPr>
          <w:rFonts w:asciiTheme="majorHAnsi" w:hAnsiTheme="majorHAnsi"/>
          <w:sz w:val="20"/>
          <w:szCs w:val="20"/>
          <w:lang w:val="es-CO"/>
        </w:rPr>
        <w:t>A</w:t>
      </w:r>
      <w:r w:rsidR="00EB6239" w:rsidRPr="00AB5757">
        <w:rPr>
          <w:rFonts w:asciiTheme="majorHAnsi" w:hAnsiTheme="majorHAnsi"/>
          <w:sz w:val="20"/>
          <w:szCs w:val="20"/>
          <w:lang w:val="es-CO"/>
        </w:rPr>
        <w:t>firma que cumplió con su obligación de garantizar y proteger a la población al verificar la información contenida en la alerta temprana de carácter informativa, y ejecutar en menos de 24 horas</w:t>
      </w:r>
      <w:r w:rsidR="007F5266" w:rsidRPr="00AB5757">
        <w:rPr>
          <w:rFonts w:asciiTheme="majorHAnsi" w:hAnsiTheme="majorHAnsi"/>
          <w:sz w:val="20"/>
          <w:szCs w:val="20"/>
          <w:lang w:val="es-CO"/>
        </w:rPr>
        <w:t xml:space="preserve"> </w:t>
      </w:r>
      <w:r w:rsidR="00EB6239" w:rsidRPr="00AB5757">
        <w:rPr>
          <w:rFonts w:asciiTheme="majorHAnsi" w:hAnsiTheme="majorHAnsi"/>
          <w:sz w:val="20"/>
          <w:szCs w:val="20"/>
          <w:lang w:val="es-CO"/>
        </w:rPr>
        <w:t xml:space="preserve">la operación </w:t>
      </w:r>
      <w:r w:rsidR="00A14E11">
        <w:rPr>
          <w:rFonts w:asciiTheme="majorHAnsi" w:hAnsiTheme="majorHAnsi"/>
          <w:sz w:val="20"/>
          <w:szCs w:val="20"/>
          <w:lang w:val="es-CO"/>
        </w:rPr>
        <w:t xml:space="preserve">que </w:t>
      </w:r>
      <w:r w:rsidR="00EB6239" w:rsidRPr="00AB5757">
        <w:rPr>
          <w:rFonts w:asciiTheme="majorHAnsi" w:hAnsiTheme="majorHAnsi"/>
          <w:sz w:val="20"/>
          <w:szCs w:val="20"/>
          <w:lang w:val="es-CO"/>
        </w:rPr>
        <w:t xml:space="preserve">dispuso la movilización de tropas a la zona de la </w:t>
      </w:r>
      <w:r w:rsidR="00E566C9">
        <w:rPr>
          <w:rFonts w:asciiTheme="majorHAnsi" w:hAnsiTheme="majorHAnsi"/>
          <w:sz w:val="20"/>
          <w:szCs w:val="20"/>
          <w:lang w:val="es-CO"/>
        </w:rPr>
        <w:t>masacre</w:t>
      </w:r>
      <w:r w:rsidR="000326D3" w:rsidRPr="00AB5757">
        <w:rPr>
          <w:rFonts w:asciiTheme="majorHAnsi" w:hAnsiTheme="majorHAnsi"/>
          <w:sz w:val="20"/>
          <w:szCs w:val="20"/>
          <w:lang w:val="es-CO"/>
        </w:rPr>
        <w:t>.</w:t>
      </w:r>
      <w:r w:rsidR="00AB5757" w:rsidRPr="00AB5757">
        <w:rPr>
          <w:rFonts w:asciiTheme="majorHAnsi" w:hAnsiTheme="majorHAnsi"/>
          <w:color w:val="auto"/>
          <w:sz w:val="20"/>
          <w:szCs w:val="20"/>
          <w:lang w:val="es-CO"/>
        </w:rPr>
        <w:t xml:space="preserve"> </w:t>
      </w:r>
    </w:p>
    <w:p w14:paraId="11181E4D" w14:textId="77777777" w:rsidR="00AB5757" w:rsidRPr="00AB5757" w:rsidRDefault="00AB5757" w:rsidP="00AB5757">
      <w:pPr>
        <w:pStyle w:val="ListParagraph"/>
        <w:rPr>
          <w:rFonts w:asciiTheme="majorHAnsi" w:hAnsiTheme="majorHAnsi"/>
          <w:sz w:val="20"/>
          <w:szCs w:val="20"/>
          <w:lang w:val="es-CO"/>
        </w:rPr>
      </w:pPr>
    </w:p>
    <w:p w14:paraId="0CF79F62" w14:textId="51A35799" w:rsidR="00C954BD" w:rsidRDefault="001C0966" w:rsidP="00DD049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Pr>
          <w:rFonts w:asciiTheme="majorHAnsi" w:hAnsiTheme="majorHAnsi"/>
          <w:sz w:val="20"/>
          <w:szCs w:val="20"/>
          <w:lang w:val="es-CO"/>
        </w:rPr>
        <w:t xml:space="preserve">Refiere </w:t>
      </w:r>
      <w:r w:rsidR="00E566C9">
        <w:rPr>
          <w:rFonts w:asciiTheme="majorHAnsi" w:hAnsiTheme="majorHAnsi"/>
          <w:sz w:val="20"/>
          <w:szCs w:val="20"/>
          <w:lang w:val="es-CO"/>
        </w:rPr>
        <w:t xml:space="preserve">asimismo </w:t>
      </w:r>
      <w:r w:rsidR="000326D3" w:rsidRPr="00E17758">
        <w:rPr>
          <w:rFonts w:asciiTheme="majorHAnsi" w:hAnsiTheme="majorHAnsi"/>
          <w:sz w:val="20"/>
          <w:szCs w:val="20"/>
          <w:lang w:val="es-CO"/>
        </w:rPr>
        <w:t>que</w:t>
      </w:r>
      <w:r>
        <w:rPr>
          <w:rFonts w:asciiTheme="majorHAnsi" w:hAnsiTheme="majorHAnsi"/>
          <w:sz w:val="20"/>
          <w:szCs w:val="20"/>
          <w:lang w:val="es-CO"/>
        </w:rPr>
        <w:t xml:space="preserve"> las responsabilidades de agentes estatales fue</w:t>
      </w:r>
      <w:r w:rsidR="00C754E7">
        <w:rPr>
          <w:rFonts w:asciiTheme="majorHAnsi" w:hAnsiTheme="majorHAnsi"/>
          <w:sz w:val="20"/>
          <w:szCs w:val="20"/>
          <w:lang w:val="es-CO"/>
        </w:rPr>
        <w:t xml:space="preserve">ron oportunamente investigadas </w:t>
      </w:r>
      <w:r>
        <w:rPr>
          <w:rFonts w:asciiTheme="majorHAnsi" w:hAnsiTheme="majorHAnsi"/>
          <w:sz w:val="20"/>
          <w:szCs w:val="20"/>
          <w:lang w:val="es-CO"/>
        </w:rPr>
        <w:t xml:space="preserve">sin que se haya acreditado </w:t>
      </w:r>
      <w:r w:rsidR="002965B8">
        <w:rPr>
          <w:rFonts w:asciiTheme="majorHAnsi" w:hAnsiTheme="majorHAnsi"/>
          <w:sz w:val="20"/>
          <w:szCs w:val="20"/>
          <w:lang w:val="es-CO"/>
        </w:rPr>
        <w:t xml:space="preserve">participación </w:t>
      </w:r>
      <w:r>
        <w:rPr>
          <w:rFonts w:asciiTheme="majorHAnsi" w:hAnsiTheme="majorHAnsi"/>
          <w:sz w:val="20"/>
          <w:szCs w:val="20"/>
          <w:lang w:val="es-CO"/>
        </w:rPr>
        <w:t>alguna. Sostiene que</w:t>
      </w:r>
      <w:r w:rsidR="00483C43">
        <w:rPr>
          <w:rFonts w:asciiTheme="majorHAnsi" w:hAnsiTheme="majorHAnsi"/>
          <w:sz w:val="20"/>
          <w:szCs w:val="20"/>
          <w:lang w:val="es-CO"/>
        </w:rPr>
        <w:t>,</w:t>
      </w:r>
      <w:r w:rsidR="00610719" w:rsidRPr="00E17758">
        <w:rPr>
          <w:rFonts w:asciiTheme="majorHAnsi" w:hAnsiTheme="majorHAnsi"/>
          <w:sz w:val="20"/>
          <w:szCs w:val="20"/>
          <w:lang w:val="es-CO"/>
        </w:rPr>
        <w:t xml:space="preserve"> </w:t>
      </w:r>
      <w:r w:rsidR="00D31E62">
        <w:rPr>
          <w:rFonts w:asciiTheme="majorHAnsi" w:hAnsiTheme="majorHAnsi"/>
          <w:sz w:val="20"/>
          <w:szCs w:val="20"/>
          <w:lang w:val="es-CO"/>
        </w:rPr>
        <w:t>tras los hechos</w:t>
      </w:r>
      <w:r w:rsidR="00483C43">
        <w:rPr>
          <w:rFonts w:asciiTheme="majorHAnsi" w:hAnsiTheme="majorHAnsi"/>
          <w:sz w:val="20"/>
          <w:szCs w:val="20"/>
          <w:lang w:val="es-CO"/>
        </w:rPr>
        <w:t>,</w:t>
      </w:r>
      <w:r>
        <w:rPr>
          <w:rFonts w:asciiTheme="majorHAnsi" w:hAnsiTheme="majorHAnsi"/>
          <w:sz w:val="20"/>
          <w:szCs w:val="20"/>
          <w:lang w:val="es-CO"/>
        </w:rPr>
        <w:t xml:space="preserve"> </w:t>
      </w:r>
      <w:r w:rsidR="00DB181B" w:rsidRPr="00E17758">
        <w:rPr>
          <w:rFonts w:asciiTheme="majorHAnsi" w:hAnsiTheme="majorHAnsi"/>
          <w:sz w:val="20"/>
          <w:szCs w:val="20"/>
          <w:lang w:val="es-CO"/>
        </w:rPr>
        <w:t>el Juzgado 101 de Instrucción Penal Militar</w:t>
      </w:r>
      <w:r>
        <w:rPr>
          <w:rFonts w:asciiTheme="majorHAnsi" w:hAnsiTheme="majorHAnsi"/>
          <w:sz w:val="20"/>
          <w:szCs w:val="20"/>
          <w:lang w:val="es-CO"/>
        </w:rPr>
        <w:t xml:space="preserve"> inició una investigación por el posible delit</w:t>
      </w:r>
      <w:r w:rsidR="00C754E7">
        <w:rPr>
          <w:rFonts w:asciiTheme="majorHAnsi" w:hAnsiTheme="majorHAnsi"/>
          <w:sz w:val="20"/>
          <w:szCs w:val="20"/>
          <w:lang w:val="es-CO"/>
        </w:rPr>
        <w:t>o de “omisión de apoyo especial”</w:t>
      </w:r>
      <w:r w:rsidR="00DB181B" w:rsidRPr="00E17758">
        <w:rPr>
          <w:rFonts w:asciiTheme="majorHAnsi" w:hAnsiTheme="majorHAnsi"/>
          <w:sz w:val="20"/>
          <w:szCs w:val="20"/>
          <w:lang w:val="es-CO"/>
        </w:rPr>
        <w:t xml:space="preserve">, </w:t>
      </w:r>
      <w:r>
        <w:rPr>
          <w:rFonts w:asciiTheme="majorHAnsi" w:hAnsiTheme="majorHAnsi"/>
          <w:sz w:val="20"/>
          <w:szCs w:val="20"/>
          <w:lang w:val="es-CO"/>
        </w:rPr>
        <w:t>resolviendo abstenerse</w:t>
      </w:r>
      <w:r w:rsidR="00DB181B">
        <w:rPr>
          <w:rFonts w:asciiTheme="majorHAnsi" w:hAnsiTheme="majorHAnsi"/>
          <w:sz w:val="20"/>
          <w:szCs w:val="20"/>
          <w:lang w:val="es-CO"/>
        </w:rPr>
        <w:t xml:space="preserve"> de a</w:t>
      </w:r>
      <w:r w:rsidR="00610719">
        <w:rPr>
          <w:rFonts w:asciiTheme="majorHAnsi" w:hAnsiTheme="majorHAnsi"/>
          <w:sz w:val="20"/>
          <w:szCs w:val="20"/>
          <w:lang w:val="es-CO"/>
        </w:rPr>
        <w:t xml:space="preserve">brir un proceso penal. </w:t>
      </w:r>
      <w:r>
        <w:rPr>
          <w:rFonts w:asciiTheme="majorHAnsi" w:hAnsiTheme="majorHAnsi"/>
          <w:sz w:val="20"/>
          <w:szCs w:val="20"/>
          <w:lang w:val="es-CO"/>
        </w:rPr>
        <w:t xml:space="preserve">Agrega </w:t>
      </w:r>
      <w:r w:rsidR="00DB181B">
        <w:rPr>
          <w:rFonts w:asciiTheme="majorHAnsi" w:hAnsiTheme="majorHAnsi"/>
          <w:sz w:val="20"/>
          <w:szCs w:val="20"/>
          <w:lang w:val="es-CO"/>
        </w:rPr>
        <w:t xml:space="preserve">que </w:t>
      </w:r>
      <w:r w:rsidR="003212BD" w:rsidRPr="00AB5757">
        <w:rPr>
          <w:rFonts w:asciiTheme="majorHAnsi" w:hAnsiTheme="majorHAnsi"/>
          <w:sz w:val="20"/>
          <w:szCs w:val="20"/>
          <w:lang w:val="es-CO"/>
        </w:rPr>
        <w:t xml:space="preserve">la Armada Nacional </w:t>
      </w:r>
      <w:r w:rsidR="000326D3" w:rsidRPr="00AB5757">
        <w:rPr>
          <w:rFonts w:asciiTheme="majorHAnsi" w:hAnsiTheme="majorHAnsi"/>
          <w:sz w:val="20"/>
          <w:szCs w:val="20"/>
          <w:lang w:val="es-CO"/>
        </w:rPr>
        <w:t>realizó un</w:t>
      </w:r>
      <w:r w:rsidR="003212BD" w:rsidRPr="00AB5757">
        <w:rPr>
          <w:rFonts w:asciiTheme="majorHAnsi" w:hAnsiTheme="majorHAnsi"/>
          <w:sz w:val="20"/>
          <w:szCs w:val="20"/>
          <w:lang w:val="es-CO"/>
        </w:rPr>
        <w:t>a investigación disciplinaria</w:t>
      </w:r>
      <w:r w:rsidR="00DB181B">
        <w:rPr>
          <w:rFonts w:asciiTheme="majorHAnsi" w:hAnsiTheme="majorHAnsi"/>
          <w:sz w:val="20"/>
          <w:szCs w:val="20"/>
          <w:lang w:val="es-CO"/>
        </w:rPr>
        <w:t xml:space="preserve"> </w:t>
      </w:r>
      <w:r w:rsidR="00A14E11">
        <w:rPr>
          <w:rFonts w:asciiTheme="majorHAnsi" w:hAnsiTheme="majorHAnsi"/>
          <w:sz w:val="20"/>
          <w:szCs w:val="20"/>
          <w:lang w:val="es-CO"/>
        </w:rPr>
        <w:t xml:space="preserve">que </w:t>
      </w:r>
      <w:r w:rsidR="00483C43">
        <w:rPr>
          <w:rFonts w:asciiTheme="majorHAnsi" w:hAnsiTheme="majorHAnsi"/>
          <w:sz w:val="20"/>
          <w:szCs w:val="20"/>
          <w:lang w:val="es-CO"/>
        </w:rPr>
        <w:t>fue</w:t>
      </w:r>
      <w:r w:rsidR="00A14E11">
        <w:rPr>
          <w:rFonts w:asciiTheme="majorHAnsi" w:hAnsiTheme="majorHAnsi"/>
          <w:sz w:val="20"/>
          <w:szCs w:val="20"/>
          <w:lang w:val="es-CO"/>
        </w:rPr>
        <w:t xml:space="preserve"> archivada</w:t>
      </w:r>
      <w:r w:rsidR="00E17758">
        <w:rPr>
          <w:rFonts w:asciiTheme="majorHAnsi" w:hAnsiTheme="majorHAnsi"/>
          <w:sz w:val="20"/>
          <w:szCs w:val="20"/>
          <w:lang w:val="es-CO"/>
        </w:rPr>
        <w:t xml:space="preserve"> el 3 de marzo de 2003</w:t>
      </w:r>
      <w:r w:rsidR="00DB181B">
        <w:rPr>
          <w:rFonts w:asciiTheme="majorHAnsi" w:hAnsiTheme="majorHAnsi"/>
          <w:sz w:val="20"/>
          <w:szCs w:val="20"/>
          <w:lang w:val="es-CO"/>
        </w:rPr>
        <w:t>.</w:t>
      </w:r>
      <w:r w:rsidR="00127832">
        <w:rPr>
          <w:rFonts w:asciiTheme="majorHAnsi" w:hAnsiTheme="majorHAnsi"/>
          <w:sz w:val="20"/>
          <w:szCs w:val="20"/>
          <w:lang w:val="es-CO"/>
        </w:rPr>
        <w:t xml:space="preserve"> </w:t>
      </w:r>
      <w:r w:rsidR="00483C43">
        <w:rPr>
          <w:rFonts w:asciiTheme="majorHAnsi" w:hAnsiTheme="majorHAnsi"/>
          <w:sz w:val="20"/>
          <w:szCs w:val="20"/>
          <w:lang w:val="es-CO"/>
        </w:rPr>
        <w:t>Asimismo</w:t>
      </w:r>
      <w:r w:rsidR="00DB181B">
        <w:rPr>
          <w:rFonts w:asciiTheme="majorHAnsi" w:hAnsiTheme="majorHAnsi"/>
          <w:sz w:val="20"/>
          <w:szCs w:val="20"/>
          <w:lang w:val="es-CO"/>
        </w:rPr>
        <w:t xml:space="preserve">, </w:t>
      </w:r>
      <w:r w:rsidR="00D259E5">
        <w:rPr>
          <w:rFonts w:asciiTheme="majorHAnsi" w:hAnsiTheme="majorHAnsi"/>
          <w:sz w:val="20"/>
          <w:szCs w:val="20"/>
          <w:lang w:val="es-CO"/>
        </w:rPr>
        <w:t xml:space="preserve">sostiene que </w:t>
      </w:r>
      <w:r w:rsidR="00F1074D">
        <w:rPr>
          <w:rFonts w:asciiTheme="majorHAnsi" w:hAnsiTheme="majorHAnsi"/>
          <w:sz w:val="20"/>
          <w:szCs w:val="20"/>
          <w:lang w:val="es-CO"/>
        </w:rPr>
        <w:t>la Pr</w:t>
      </w:r>
      <w:r w:rsidR="00C754E7">
        <w:rPr>
          <w:rFonts w:asciiTheme="majorHAnsi" w:hAnsiTheme="majorHAnsi"/>
          <w:sz w:val="20"/>
          <w:szCs w:val="20"/>
          <w:lang w:val="es-CO"/>
        </w:rPr>
        <w:t>ocuraduría General de la Nación</w:t>
      </w:r>
      <w:r w:rsidR="00D259E5" w:rsidRPr="0066611E">
        <w:rPr>
          <w:rFonts w:asciiTheme="majorHAnsi" w:hAnsiTheme="majorHAnsi"/>
          <w:sz w:val="20"/>
          <w:szCs w:val="20"/>
          <w:lang w:val="es-CO"/>
        </w:rPr>
        <w:t xml:space="preserve"> inició una investigación </w:t>
      </w:r>
      <w:r w:rsidR="00D259E5" w:rsidRPr="00F1074D">
        <w:rPr>
          <w:rFonts w:asciiTheme="majorHAnsi" w:hAnsiTheme="majorHAnsi"/>
          <w:sz w:val="20"/>
          <w:szCs w:val="20"/>
          <w:lang w:val="es-CO"/>
        </w:rPr>
        <w:t>preliminar c</w:t>
      </w:r>
      <w:r w:rsidR="00DB181B" w:rsidRPr="00F1074D">
        <w:rPr>
          <w:rFonts w:asciiTheme="majorHAnsi" w:hAnsiTheme="majorHAnsi"/>
          <w:sz w:val="20"/>
          <w:szCs w:val="20"/>
          <w:lang w:val="es-CO"/>
        </w:rPr>
        <w:t xml:space="preserve">ontra </w:t>
      </w:r>
      <w:r w:rsidR="00A14E11" w:rsidRPr="00F1074D">
        <w:rPr>
          <w:rFonts w:asciiTheme="majorHAnsi" w:hAnsiTheme="majorHAnsi"/>
          <w:sz w:val="20"/>
          <w:szCs w:val="20"/>
          <w:lang w:val="es-CO"/>
        </w:rPr>
        <w:t xml:space="preserve">diversos integrantes </w:t>
      </w:r>
      <w:r w:rsidR="00DB181B" w:rsidRPr="00F1074D">
        <w:rPr>
          <w:rFonts w:asciiTheme="majorHAnsi" w:hAnsiTheme="majorHAnsi"/>
          <w:sz w:val="20"/>
          <w:szCs w:val="20"/>
          <w:lang w:val="es-CO"/>
        </w:rPr>
        <w:t>del Batal</w:t>
      </w:r>
      <w:r w:rsidR="00D259E5" w:rsidRPr="00F1074D">
        <w:rPr>
          <w:rFonts w:asciiTheme="majorHAnsi" w:hAnsiTheme="majorHAnsi"/>
          <w:sz w:val="20"/>
          <w:szCs w:val="20"/>
          <w:lang w:val="es-CO"/>
        </w:rPr>
        <w:t>l</w:t>
      </w:r>
      <w:r w:rsidR="00DB181B" w:rsidRPr="00F1074D">
        <w:rPr>
          <w:rFonts w:asciiTheme="majorHAnsi" w:hAnsiTheme="majorHAnsi"/>
          <w:sz w:val="20"/>
          <w:szCs w:val="20"/>
          <w:lang w:val="es-CO"/>
        </w:rPr>
        <w:t>ón de Infantería No</w:t>
      </w:r>
      <w:r w:rsidR="00610719" w:rsidRPr="00F1074D">
        <w:rPr>
          <w:rFonts w:asciiTheme="majorHAnsi" w:hAnsiTheme="majorHAnsi"/>
          <w:sz w:val="20"/>
          <w:szCs w:val="20"/>
          <w:lang w:val="es-CO"/>
        </w:rPr>
        <w:t>.</w:t>
      </w:r>
      <w:r w:rsidR="002965B8">
        <w:rPr>
          <w:rFonts w:asciiTheme="majorHAnsi" w:hAnsiTheme="majorHAnsi"/>
          <w:sz w:val="20"/>
          <w:szCs w:val="20"/>
          <w:lang w:val="es-CO"/>
        </w:rPr>
        <w:t xml:space="preserve"> 12</w:t>
      </w:r>
      <w:r w:rsidR="00127832" w:rsidRPr="00F1074D">
        <w:rPr>
          <w:rFonts w:asciiTheme="majorHAnsi" w:hAnsiTheme="majorHAnsi"/>
          <w:sz w:val="20"/>
          <w:szCs w:val="20"/>
          <w:lang w:val="es-CO"/>
        </w:rPr>
        <w:t xml:space="preserve">, </w:t>
      </w:r>
      <w:r w:rsidR="00D259E5" w:rsidRPr="00F1074D">
        <w:rPr>
          <w:rFonts w:asciiTheme="majorHAnsi" w:hAnsiTheme="majorHAnsi"/>
          <w:sz w:val="20"/>
          <w:szCs w:val="20"/>
          <w:lang w:val="es-CO"/>
        </w:rPr>
        <w:t xml:space="preserve">dictando el 16 de noviembre de 2004 un </w:t>
      </w:r>
      <w:r w:rsidR="00D31E62">
        <w:rPr>
          <w:rFonts w:asciiTheme="majorHAnsi" w:hAnsiTheme="majorHAnsi"/>
          <w:sz w:val="20"/>
          <w:szCs w:val="20"/>
          <w:lang w:val="es-CO"/>
        </w:rPr>
        <w:t xml:space="preserve">veredicto </w:t>
      </w:r>
      <w:r w:rsidR="00D259E5" w:rsidRPr="00F1074D">
        <w:rPr>
          <w:rFonts w:asciiTheme="majorHAnsi" w:hAnsiTheme="majorHAnsi"/>
          <w:sz w:val="20"/>
          <w:szCs w:val="20"/>
          <w:lang w:val="es-CO"/>
        </w:rPr>
        <w:t>absolutorio</w:t>
      </w:r>
      <w:r w:rsidR="003212BD" w:rsidRPr="00203E2F">
        <w:rPr>
          <w:rFonts w:asciiTheme="majorHAnsi" w:hAnsiTheme="majorHAnsi"/>
          <w:color w:val="auto"/>
          <w:sz w:val="20"/>
          <w:szCs w:val="20"/>
          <w:lang w:val="es-CO"/>
        </w:rPr>
        <w:t>.</w:t>
      </w:r>
      <w:r w:rsidR="00234D05" w:rsidRPr="00AB5757">
        <w:rPr>
          <w:rFonts w:asciiTheme="majorHAnsi" w:hAnsiTheme="majorHAnsi"/>
          <w:sz w:val="20"/>
          <w:szCs w:val="20"/>
          <w:lang w:val="es-CO"/>
        </w:rPr>
        <w:t xml:space="preserve"> El Estado alega que dichos procesos ya fuero</w:t>
      </w:r>
      <w:r w:rsidR="00203E2F">
        <w:rPr>
          <w:rFonts w:asciiTheme="majorHAnsi" w:hAnsiTheme="majorHAnsi"/>
          <w:sz w:val="20"/>
          <w:szCs w:val="20"/>
          <w:lang w:val="es-CO"/>
        </w:rPr>
        <w:t>n</w:t>
      </w:r>
      <w:r w:rsidR="00234D05" w:rsidRPr="00AB5757">
        <w:rPr>
          <w:rFonts w:asciiTheme="majorHAnsi" w:hAnsiTheme="majorHAnsi"/>
          <w:sz w:val="20"/>
          <w:szCs w:val="20"/>
          <w:lang w:val="es-CO"/>
        </w:rPr>
        <w:t xml:space="preserve"> resueltos y constituyen cosa juzgada.</w:t>
      </w:r>
      <w:r w:rsidR="00351B1A" w:rsidRPr="00AB5757">
        <w:rPr>
          <w:rFonts w:asciiTheme="majorHAnsi" w:hAnsiTheme="majorHAnsi"/>
          <w:sz w:val="20"/>
          <w:szCs w:val="20"/>
          <w:lang w:val="es-CO"/>
        </w:rPr>
        <w:t xml:space="preserve"> </w:t>
      </w:r>
    </w:p>
    <w:p w14:paraId="2455A102" w14:textId="77777777" w:rsidR="00C954BD" w:rsidRPr="00C954BD" w:rsidRDefault="00C954BD" w:rsidP="00C954BD">
      <w:pPr>
        <w:pStyle w:val="ListParagraph"/>
        <w:rPr>
          <w:rFonts w:asciiTheme="majorHAnsi" w:hAnsiTheme="majorHAnsi"/>
          <w:sz w:val="20"/>
          <w:szCs w:val="20"/>
          <w:lang w:val="es-CO"/>
        </w:rPr>
      </w:pPr>
    </w:p>
    <w:p w14:paraId="32A64593" w14:textId="316882F5" w:rsidR="00EA7B2D" w:rsidRPr="00E05C32" w:rsidRDefault="00203E2F" w:rsidP="00D1354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D13542">
        <w:rPr>
          <w:rFonts w:asciiTheme="majorHAnsi" w:hAnsiTheme="majorHAnsi"/>
          <w:sz w:val="20"/>
          <w:szCs w:val="20"/>
          <w:lang w:val="es-CO"/>
        </w:rPr>
        <w:t>Por otro lado, e</w:t>
      </w:r>
      <w:r w:rsidR="000326D3" w:rsidRPr="00D13542">
        <w:rPr>
          <w:rFonts w:asciiTheme="majorHAnsi" w:hAnsiTheme="majorHAnsi"/>
          <w:sz w:val="20"/>
          <w:szCs w:val="20"/>
          <w:lang w:val="es-CO"/>
        </w:rPr>
        <w:t xml:space="preserve">l Estado </w:t>
      </w:r>
      <w:r w:rsidR="00C954BD" w:rsidRPr="00D13542">
        <w:rPr>
          <w:rFonts w:asciiTheme="majorHAnsi" w:hAnsiTheme="majorHAnsi"/>
          <w:sz w:val="20"/>
          <w:szCs w:val="20"/>
          <w:lang w:val="es-CO"/>
        </w:rPr>
        <w:t xml:space="preserve">sostiene que los recursos disponibles en la jurisdicción interna no han sido agotados. Respecto de las acciones de reparación directa, </w:t>
      </w:r>
      <w:r w:rsidR="000326D3" w:rsidRPr="00D13542">
        <w:rPr>
          <w:rFonts w:asciiTheme="majorHAnsi" w:hAnsiTheme="majorHAnsi"/>
          <w:sz w:val="20"/>
          <w:szCs w:val="20"/>
          <w:lang w:val="es-CO"/>
        </w:rPr>
        <w:t>refiere que</w:t>
      </w:r>
      <w:r w:rsidR="00C954BD" w:rsidRPr="00D13542">
        <w:rPr>
          <w:rFonts w:asciiTheme="majorHAnsi" w:hAnsiTheme="majorHAnsi"/>
          <w:sz w:val="20"/>
          <w:szCs w:val="20"/>
          <w:lang w:val="es-CO"/>
        </w:rPr>
        <w:t xml:space="preserve"> múl</w:t>
      </w:r>
      <w:r w:rsidR="00C754E7">
        <w:rPr>
          <w:rFonts w:asciiTheme="majorHAnsi" w:hAnsiTheme="majorHAnsi"/>
          <w:sz w:val="20"/>
          <w:szCs w:val="20"/>
          <w:lang w:val="es-CO"/>
        </w:rPr>
        <w:t>tiples acciones han sido simultáneamente incoada</w:t>
      </w:r>
      <w:r w:rsidR="00C954BD" w:rsidRPr="00D13542">
        <w:rPr>
          <w:rFonts w:asciiTheme="majorHAnsi" w:hAnsiTheme="majorHAnsi"/>
          <w:sz w:val="20"/>
          <w:szCs w:val="20"/>
          <w:lang w:val="es-CO"/>
        </w:rPr>
        <w:t>s por los mismos hechos y presuntas víctimas</w:t>
      </w:r>
      <w:r w:rsidR="00C754E7">
        <w:rPr>
          <w:rFonts w:asciiTheme="majorHAnsi" w:hAnsiTheme="majorHAnsi"/>
          <w:sz w:val="20"/>
          <w:szCs w:val="20"/>
          <w:lang w:val="es-CO"/>
        </w:rPr>
        <w:t>,</w:t>
      </w:r>
      <w:r w:rsidR="00C954BD" w:rsidRPr="00D13542">
        <w:rPr>
          <w:rFonts w:asciiTheme="majorHAnsi" w:hAnsiTheme="majorHAnsi"/>
          <w:sz w:val="20"/>
          <w:szCs w:val="20"/>
          <w:lang w:val="es-CO"/>
        </w:rPr>
        <w:t xml:space="preserve"> muchas de las cuales </w:t>
      </w:r>
      <w:r w:rsidR="00483C43">
        <w:rPr>
          <w:rFonts w:asciiTheme="majorHAnsi" w:hAnsiTheme="majorHAnsi"/>
          <w:sz w:val="20"/>
          <w:szCs w:val="20"/>
          <w:lang w:val="es-CO"/>
        </w:rPr>
        <w:t>están aún pendientes</w:t>
      </w:r>
      <w:r w:rsidR="00C954BD" w:rsidRPr="00D13542">
        <w:rPr>
          <w:rFonts w:asciiTheme="majorHAnsi" w:hAnsiTheme="majorHAnsi"/>
          <w:sz w:val="20"/>
          <w:szCs w:val="20"/>
          <w:lang w:val="es-CO"/>
        </w:rPr>
        <w:t>.</w:t>
      </w:r>
      <w:r w:rsidR="00D13542" w:rsidRPr="00D13542">
        <w:rPr>
          <w:rFonts w:asciiTheme="majorHAnsi" w:hAnsiTheme="majorHAnsi"/>
          <w:sz w:val="20"/>
          <w:szCs w:val="20"/>
          <w:lang w:val="es-CO"/>
        </w:rPr>
        <w:t xml:space="preserve"> Respecto de la investigación penal, sostiene que </w:t>
      </w:r>
      <w:r w:rsidR="00B86523" w:rsidRPr="00D13542">
        <w:rPr>
          <w:rFonts w:asciiTheme="majorHAnsi" w:hAnsiTheme="majorHAnsi"/>
          <w:sz w:val="20"/>
          <w:szCs w:val="20"/>
          <w:lang w:val="es-CO"/>
        </w:rPr>
        <w:t>la Fiscalía Trigésima Séptima Especializada de la Dirección de Derechos Humanos y Derecho Internacional Humanitario</w:t>
      </w:r>
      <w:r w:rsidR="00D13542" w:rsidRPr="00D13542">
        <w:rPr>
          <w:rFonts w:asciiTheme="majorHAnsi" w:hAnsiTheme="majorHAnsi"/>
          <w:sz w:val="20"/>
          <w:szCs w:val="20"/>
          <w:lang w:val="es-CO"/>
        </w:rPr>
        <w:t xml:space="preserve"> </w:t>
      </w:r>
      <w:r w:rsidR="00C754E7">
        <w:rPr>
          <w:rFonts w:asciiTheme="majorHAnsi" w:hAnsiTheme="majorHAnsi"/>
          <w:sz w:val="20"/>
          <w:szCs w:val="20"/>
          <w:lang w:val="es-CO"/>
        </w:rPr>
        <w:t xml:space="preserve">adelanta la investigación 1215. Sostiene </w:t>
      </w:r>
      <w:r w:rsidR="00D13542" w:rsidRPr="00D13542">
        <w:rPr>
          <w:rFonts w:asciiTheme="majorHAnsi" w:hAnsiTheme="majorHAnsi"/>
          <w:sz w:val="20"/>
          <w:szCs w:val="20"/>
          <w:lang w:val="es-CO"/>
        </w:rPr>
        <w:t>que</w:t>
      </w:r>
      <w:r w:rsidR="00C754E7">
        <w:rPr>
          <w:rFonts w:asciiTheme="majorHAnsi" w:hAnsiTheme="majorHAnsi"/>
          <w:sz w:val="20"/>
          <w:szCs w:val="20"/>
          <w:lang w:val="es-CO"/>
        </w:rPr>
        <w:t>,</w:t>
      </w:r>
      <w:r w:rsidR="00D13542" w:rsidRPr="00D13542">
        <w:rPr>
          <w:rFonts w:asciiTheme="majorHAnsi" w:hAnsiTheme="majorHAnsi"/>
          <w:sz w:val="20"/>
          <w:szCs w:val="20"/>
          <w:lang w:val="es-CO"/>
        </w:rPr>
        <w:t xml:space="preserve"> si bien </w:t>
      </w:r>
      <w:r w:rsidR="00EA7B2D">
        <w:rPr>
          <w:rFonts w:asciiTheme="majorHAnsi" w:hAnsiTheme="majorHAnsi"/>
          <w:sz w:val="20"/>
          <w:szCs w:val="20"/>
          <w:lang w:val="es-CO"/>
        </w:rPr>
        <w:t>se encuentra</w:t>
      </w:r>
      <w:r w:rsidR="00EA7B2D" w:rsidRPr="00D13542">
        <w:rPr>
          <w:rFonts w:asciiTheme="majorHAnsi" w:hAnsiTheme="majorHAnsi"/>
          <w:sz w:val="20"/>
          <w:szCs w:val="20"/>
          <w:lang w:val="es-CO"/>
        </w:rPr>
        <w:t xml:space="preserve"> </w:t>
      </w:r>
      <w:r w:rsidR="00D13542" w:rsidRPr="00D13542">
        <w:rPr>
          <w:rFonts w:asciiTheme="majorHAnsi" w:hAnsiTheme="majorHAnsi"/>
          <w:sz w:val="20"/>
          <w:szCs w:val="20"/>
          <w:lang w:val="es-CO"/>
        </w:rPr>
        <w:t>en etapa previa</w:t>
      </w:r>
      <w:r w:rsidR="00EA7B2D">
        <w:rPr>
          <w:rFonts w:asciiTheme="majorHAnsi" w:hAnsiTheme="majorHAnsi"/>
          <w:sz w:val="20"/>
          <w:szCs w:val="20"/>
          <w:lang w:val="es-CO"/>
        </w:rPr>
        <w:t>,</w:t>
      </w:r>
      <w:r w:rsidR="00D13542" w:rsidRPr="00D13542">
        <w:rPr>
          <w:rFonts w:asciiTheme="majorHAnsi" w:hAnsiTheme="majorHAnsi"/>
          <w:sz w:val="20"/>
          <w:szCs w:val="20"/>
          <w:lang w:val="es-CO"/>
        </w:rPr>
        <w:t xml:space="preserve"> han existido sentencias dentro del proceso penal</w:t>
      </w:r>
      <w:r w:rsidR="00EA7B2D">
        <w:rPr>
          <w:rFonts w:asciiTheme="majorHAnsi" w:hAnsiTheme="majorHAnsi"/>
          <w:sz w:val="20"/>
          <w:szCs w:val="20"/>
          <w:lang w:val="es-CO"/>
        </w:rPr>
        <w:t xml:space="preserve"> y</w:t>
      </w:r>
      <w:r w:rsidR="00D13542" w:rsidRPr="00D13542">
        <w:rPr>
          <w:rFonts w:asciiTheme="majorHAnsi" w:hAnsiTheme="majorHAnsi"/>
          <w:sz w:val="20"/>
          <w:szCs w:val="20"/>
          <w:lang w:val="es-CO"/>
        </w:rPr>
        <w:t xml:space="preserve"> 18 integrantes de la FARC han sido condenados</w:t>
      </w:r>
      <w:r w:rsidR="00DD24F8" w:rsidRPr="00D13542">
        <w:rPr>
          <w:rFonts w:asciiTheme="majorHAnsi" w:eastAsia="Times New Roman" w:hAnsiTheme="majorHAnsi"/>
          <w:sz w:val="20"/>
          <w:szCs w:val="20"/>
          <w:bdr w:val="none" w:sz="0" w:space="0" w:color="auto"/>
          <w:lang w:val="es-ES_tradnl"/>
        </w:rPr>
        <w:t xml:space="preserve">. Aclara que la investigación no ha proporcionado elementos para vincular a </w:t>
      </w:r>
      <w:r w:rsidR="00846A02" w:rsidRPr="00D13542">
        <w:rPr>
          <w:rFonts w:asciiTheme="majorHAnsi" w:eastAsia="Times New Roman" w:hAnsiTheme="majorHAnsi"/>
          <w:sz w:val="20"/>
          <w:szCs w:val="20"/>
          <w:bdr w:val="none" w:sz="0" w:space="0" w:color="auto"/>
          <w:lang w:val="es-ES_tradnl"/>
        </w:rPr>
        <w:t xml:space="preserve">integrantes de </w:t>
      </w:r>
      <w:r w:rsidR="00DD24F8" w:rsidRPr="00D13542">
        <w:rPr>
          <w:rFonts w:asciiTheme="majorHAnsi" w:eastAsia="Times New Roman" w:hAnsiTheme="majorHAnsi"/>
          <w:sz w:val="20"/>
          <w:szCs w:val="20"/>
          <w:bdr w:val="none" w:sz="0" w:space="0" w:color="auto"/>
          <w:lang w:val="es-ES_tradnl"/>
        </w:rPr>
        <w:t>l</w:t>
      </w:r>
      <w:r w:rsidR="00846A02" w:rsidRPr="00D13542">
        <w:rPr>
          <w:rFonts w:asciiTheme="majorHAnsi" w:eastAsia="Times New Roman" w:hAnsiTheme="majorHAnsi"/>
          <w:sz w:val="20"/>
          <w:szCs w:val="20"/>
          <w:bdr w:val="none" w:sz="0" w:space="0" w:color="auto"/>
          <w:lang w:val="es-ES_tradnl"/>
        </w:rPr>
        <w:t>a</w:t>
      </w:r>
      <w:r w:rsidR="00C754E7">
        <w:rPr>
          <w:rFonts w:asciiTheme="majorHAnsi" w:eastAsia="Times New Roman" w:hAnsiTheme="majorHAnsi"/>
          <w:sz w:val="20"/>
          <w:szCs w:val="20"/>
          <w:bdr w:val="none" w:sz="0" w:space="0" w:color="auto"/>
          <w:lang w:val="es-ES_tradnl"/>
        </w:rPr>
        <w:t>s Autodefensas.</w:t>
      </w:r>
      <w:r w:rsidR="00846A02" w:rsidRPr="00D13542">
        <w:rPr>
          <w:rFonts w:asciiTheme="majorHAnsi" w:eastAsia="Times New Roman" w:hAnsiTheme="majorHAnsi"/>
          <w:sz w:val="20"/>
          <w:szCs w:val="20"/>
          <w:bdr w:val="none" w:sz="0" w:space="0" w:color="auto"/>
          <w:lang w:val="es-ES_tradnl"/>
        </w:rPr>
        <w:t xml:space="preserve"> </w:t>
      </w:r>
    </w:p>
    <w:p w14:paraId="24DBA3BD" w14:textId="77777777" w:rsidR="00EA7B2D" w:rsidRPr="00E05C32" w:rsidRDefault="00EA7B2D" w:rsidP="00E05C32">
      <w:pPr>
        <w:pStyle w:val="ListParagraph"/>
        <w:rPr>
          <w:rFonts w:asciiTheme="majorHAnsi" w:hAnsiTheme="majorHAnsi"/>
          <w:sz w:val="20"/>
          <w:szCs w:val="20"/>
          <w:lang w:val="es-CO"/>
        </w:rPr>
      </w:pPr>
    </w:p>
    <w:p w14:paraId="7D2C7A8E" w14:textId="2A177FF9" w:rsidR="000326D3" w:rsidRPr="00D13542" w:rsidRDefault="00B04DDF" w:rsidP="00D1354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Pr>
          <w:rFonts w:asciiTheme="majorHAnsi" w:hAnsiTheme="majorHAnsi"/>
          <w:sz w:val="20"/>
          <w:szCs w:val="20"/>
          <w:lang w:val="es-CO"/>
        </w:rPr>
        <w:t>En conclusión, el Estado alega</w:t>
      </w:r>
      <w:r w:rsidR="005A4969" w:rsidRPr="00D13542">
        <w:rPr>
          <w:rFonts w:asciiTheme="majorHAnsi" w:hAnsiTheme="majorHAnsi"/>
          <w:sz w:val="20"/>
          <w:szCs w:val="20"/>
          <w:lang w:val="es-CO"/>
        </w:rPr>
        <w:t xml:space="preserve"> que posee un ordenamiento jurídico </w:t>
      </w:r>
      <w:r>
        <w:rPr>
          <w:rFonts w:asciiTheme="majorHAnsi" w:hAnsiTheme="majorHAnsi"/>
          <w:sz w:val="20"/>
          <w:szCs w:val="20"/>
          <w:lang w:val="es-CO"/>
        </w:rPr>
        <w:t>que asegura</w:t>
      </w:r>
      <w:r w:rsidR="005A4969" w:rsidRPr="00D13542">
        <w:rPr>
          <w:rFonts w:asciiTheme="majorHAnsi" w:hAnsiTheme="majorHAnsi"/>
          <w:sz w:val="20"/>
          <w:szCs w:val="20"/>
          <w:lang w:val="es-CO"/>
        </w:rPr>
        <w:t xml:space="preserve"> el acceso a una investigación, juzgamiento, sanción y reparación integral</w:t>
      </w:r>
      <w:r w:rsidR="00345C88" w:rsidRPr="00D13542">
        <w:rPr>
          <w:rFonts w:asciiTheme="majorHAnsi" w:hAnsiTheme="majorHAnsi"/>
          <w:sz w:val="20"/>
          <w:szCs w:val="20"/>
          <w:lang w:val="es-CO"/>
        </w:rPr>
        <w:t>,</w:t>
      </w:r>
      <w:r w:rsidR="005A4969" w:rsidRPr="00D13542">
        <w:rPr>
          <w:rFonts w:asciiTheme="majorHAnsi" w:hAnsiTheme="majorHAnsi"/>
          <w:sz w:val="20"/>
          <w:szCs w:val="20"/>
          <w:lang w:val="es-CO"/>
        </w:rPr>
        <w:t xml:space="preserve"> y que en consecuencia la</w:t>
      </w:r>
      <w:r w:rsidR="00345C88" w:rsidRPr="00D13542">
        <w:rPr>
          <w:rFonts w:asciiTheme="majorHAnsi" w:hAnsiTheme="majorHAnsi"/>
          <w:sz w:val="20"/>
          <w:szCs w:val="20"/>
          <w:lang w:val="es-CO"/>
        </w:rPr>
        <w:t>s</w:t>
      </w:r>
      <w:r w:rsidR="005A4969" w:rsidRPr="00D13542">
        <w:rPr>
          <w:rFonts w:asciiTheme="majorHAnsi" w:hAnsiTheme="majorHAnsi"/>
          <w:sz w:val="20"/>
          <w:szCs w:val="20"/>
          <w:lang w:val="es-CO"/>
        </w:rPr>
        <w:t xml:space="preserve"> acci</w:t>
      </w:r>
      <w:r w:rsidR="00345C88" w:rsidRPr="00D13542">
        <w:rPr>
          <w:rFonts w:asciiTheme="majorHAnsi" w:hAnsiTheme="majorHAnsi"/>
          <w:sz w:val="20"/>
          <w:szCs w:val="20"/>
          <w:lang w:val="es-CO"/>
        </w:rPr>
        <w:t>o</w:t>
      </w:r>
      <w:r w:rsidR="005A4969" w:rsidRPr="00D13542">
        <w:rPr>
          <w:rFonts w:asciiTheme="majorHAnsi" w:hAnsiTheme="majorHAnsi"/>
          <w:sz w:val="20"/>
          <w:szCs w:val="20"/>
          <w:lang w:val="es-CO"/>
        </w:rPr>
        <w:t>n</w:t>
      </w:r>
      <w:r w:rsidR="00345C88" w:rsidRPr="00D13542">
        <w:rPr>
          <w:rFonts w:asciiTheme="majorHAnsi" w:hAnsiTheme="majorHAnsi"/>
          <w:sz w:val="20"/>
          <w:szCs w:val="20"/>
          <w:lang w:val="es-CO"/>
        </w:rPr>
        <w:t>es</w:t>
      </w:r>
      <w:r w:rsidR="005A4969" w:rsidRPr="00D13542">
        <w:rPr>
          <w:rFonts w:asciiTheme="majorHAnsi" w:hAnsiTheme="majorHAnsi"/>
          <w:sz w:val="20"/>
          <w:szCs w:val="20"/>
          <w:lang w:val="es-CO"/>
        </w:rPr>
        <w:t xml:space="preserve"> de reparación directa y el proceso penal son mecanismos idóneos </w:t>
      </w:r>
      <w:r w:rsidR="0066611E" w:rsidRPr="00D13542">
        <w:rPr>
          <w:rFonts w:asciiTheme="majorHAnsi" w:hAnsiTheme="majorHAnsi"/>
          <w:sz w:val="20"/>
          <w:szCs w:val="20"/>
          <w:lang w:val="es-CO"/>
        </w:rPr>
        <w:t xml:space="preserve">que permanecen </w:t>
      </w:r>
      <w:r w:rsidR="005A4969" w:rsidRPr="00D13542">
        <w:rPr>
          <w:rFonts w:asciiTheme="majorHAnsi" w:hAnsiTheme="majorHAnsi"/>
          <w:sz w:val="20"/>
          <w:szCs w:val="20"/>
          <w:lang w:val="es-CO"/>
        </w:rPr>
        <w:t xml:space="preserve">pendientes de </w:t>
      </w:r>
      <w:r w:rsidR="00C754E7">
        <w:rPr>
          <w:rFonts w:asciiTheme="majorHAnsi" w:hAnsiTheme="majorHAnsi"/>
          <w:sz w:val="20"/>
          <w:szCs w:val="20"/>
          <w:lang w:val="es-CO"/>
        </w:rPr>
        <w:t>ser agotado</w:t>
      </w:r>
      <w:r w:rsidR="0066611E" w:rsidRPr="00D13542">
        <w:rPr>
          <w:rFonts w:asciiTheme="majorHAnsi" w:hAnsiTheme="majorHAnsi"/>
          <w:sz w:val="20"/>
          <w:szCs w:val="20"/>
          <w:lang w:val="es-CO"/>
        </w:rPr>
        <w:t>s por las presuntas víctimas</w:t>
      </w:r>
      <w:r w:rsidR="000047AF" w:rsidRPr="00D13542">
        <w:rPr>
          <w:rFonts w:asciiTheme="majorHAnsi" w:hAnsiTheme="majorHAnsi"/>
          <w:sz w:val="20"/>
          <w:szCs w:val="20"/>
          <w:lang w:val="es-CO"/>
        </w:rPr>
        <w:t xml:space="preserve">. Agrega que la duración de los </w:t>
      </w:r>
      <w:r w:rsidR="00647561" w:rsidRPr="00D13542">
        <w:rPr>
          <w:rFonts w:asciiTheme="majorHAnsi" w:hAnsiTheme="majorHAnsi"/>
          <w:sz w:val="20"/>
          <w:szCs w:val="20"/>
          <w:lang w:val="es-CO"/>
        </w:rPr>
        <w:t xml:space="preserve">referidos procesos no puede ser </w:t>
      </w:r>
      <w:r w:rsidR="00C754E7">
        <w:rPr>
          <w:rFonts w:asciiTheme="majorHAnsi" w:hAnsiTheme="majorHAnsi"/>
          <w:sz w:val="20"/>
          <w:szCs w:val="20"/>
          <w:lang w:val="es-CO"/>
        </w:rPr>
        <w:t xml:space="preserve">considerada como una </w:t>
      </w:r>
      <w:r w:rsidR="00647561" w:rsidRPr="00D13542">
        <w:rPr>
          <w:rFonts w:asciiTheme="majorHAnsi" w:hAnsiTheme="majorHAnsi"/>
          <w:sz w:val="20"/>
          <w:szCs w:val="20"/>
          <w:lang w:val="es-CO"/>
        </w:rPr>
        <w:t>excepción</w:t>
      </w:r>
      <w:r w:rsidR="00C754E7">
        <w:rPr>
          <w:rFonts w:asciiTheme="majorHAnsi" w:hAnsiTheme="majorHAnsi"/>
          <w:sz w:val="20"/>
          <w:szCs w:val="20"/>
          <w:lang w:val="es-CO"/>
        </w:rPr>
        <w:t xml:space="preserve"> al agotamiento,</w:t>
      </w:r>
      <w:r w:rsidR="00647561" w:rsidRPr="00D13542">
        <w:rPr>
          <w:rFonts w:asciiTheme="majorHAnsi" w:hAnsiTheme="majorHAnsi"/>
          <w:sz w:val="20"/>
          <w:szCs w:val="20"/>
          <w:lang w:val="es-CO"/>
        </w:rPr>
        <w:t xml:space="preserve"> debido a las particulares características del context</w:t>
      </w:r>
      <w:r w:rsidR="00D13542">
        <w:rPr>
          <w:rFonts w:asciiTheme="majorHAnsi" w:hAnsiTheme="majorHAnsi"/>
          <w:sz w:val="20"/>
          <w:szCs w:val="20"/>
          <w:lang w:val="es-CO"/>
        </w:rPr>
        <w:t>o,</w:t>
      </w:r>
      <w:r w:rsidR="00647561" w:rsidRPr="00D13542">
        <w:rPr>
          <w:rFonts w:asciiTheme="majorHAnsi" w:hAnsiTheme="majorHAnsi"/>
          <w:sz w:val="20"/>
          <w:szCs w:val="20"/>
          <w:lang w:val="es-CO"/>
        </w:rPr>
        <w:t xml:space="preserve"> la complejidad de los delitos perpetrados</w:t>
      </w:r>
      <w:r w:rsidR="00D13542">
        <w:rPr>
          <w:rFonts w:asciiTheme="majorHAnsi" w:hAnsiTheme="majorHAnsi"/>
          <w:sz w:val="20"/>
          <w:szCs w:val="20"/>
          <w:lang w:val="es-CO"/>
        </w:rPr>
        <w:t xml:space="preserve"> y los continuos avances que </w:t>
      </w:r>
      <w:r>
        <w:rPr>
          <w:rFonts w:asciiTheme="majorHAnsi" w:hAnsiTheme="majorHAnsi"/>
          <w:sz w:val="20"/>
          <w:szCs w:val="20"/>
          <w:lang w:val="es-CO"/>
        </w:rPr>
        <w:t>se presentan en las investigaciones</w:t>
      </w:r>
      <w:r w:rsidR="00D565CA" w:rsidRPr="00D13542">
        <w:rPr>
          <w:rFonts w:asciiTheme="majorHAnsi" w:hAnsiTheme="majorHAnsi"/>
          <w:sz w:val="20"/>
          <w:szCs w:val="20"/>
          <w:lang w:val="es-CO"/>
        </w:rPr>
        <w:t xml:space="preserve">. </w:t>
      </w:r>
    </w:p>
    <w:p w14:paraId="6300DBFD" w14:textId="77777777" w:rsidR="00D12200" w:rsidRDefault="003239B8" w:rsidP="003F4A53">
      <w:pPr>
        <w:spacing w:before="240" w:after="240"/>
        <w:ind w:firstLine="720"/>
        <w:jc w:val="both"/>
        <w:rPr>
          <w:rFonts w:asciiTheme="majorHAnsi" w:eastAsia="Cambria" w:hAnsiTheme="majorHAnsi" w:cs="Cambria"/>
          <w:b/>
          <w:sz w:val="20"/>
          <w:szCs w:val="20"/>
          <w:u w:color="000000"/>
          <w:lang w:val="es-CO" w:eastAsia="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w:t>
      </w:r>
      <w:r w:rsidR="00C21FEF" w:rsidRPr="003371DE">
        <w:rPr>
          <w:rFonts w:asciiTheme="majorHAnsi" w:eastAsia="Cambria" w:hAnsiTheme="majorHAnsi" w:cs="Cambria"/>
          <w:b/>
          <w:sz w:val="20"/>
          <w:szCs w:val="20"/>
          <w:u w:color="000000"/>
          <w:lang w:val="es-CO" w:eastAsia="es-ES"/>
        </w:rPr>
        <w:t xml:space="preserve">PRESENTACIÓN </w:t>
      </w:r>
    </w:p>
    <w:p w14:paraId="65180BD0" w14:textId="788BA7E1" w:rsidR="00D12200" w:rsidRPr="003F4A53" w:rsidRDefault="003008E0" w:rsidP="003F4A53">
      <w:pPr>
        <w:pStyle w:val="ListParagraph"/>
        <w:numPr>
          <w:ilvl w:val="0"/>
          <w:numId w:val="55"/>
        </w:numPr>
        <w:jc w:val="both"/>
        <w:rPr>
          <w:rFonts w:asciiTheme="majorHAnsi" w:hAnsiTheme="majorHAnsi"/>
          <w:sz w:val="20"/>
          <w:szCs w:val="20"/>
          <w:lang w:val="es-CO"/>
        </w:rPr>
      </w:pPr>
      <w:r w:rsidRPr="003F4A53">
        <w:rPr>
          <w:rFonts w:asciiTheme="majorHAnsi" w:hAnsiTheme="majorHAnsi"/>
          <w:sz w:val="20"/>
          <w:szCs w:val="20"/>
          <w:lang w:val="es-CO"/>
        </w:rPr>
        <w:t>La parte peticionaria</w:t>
      </w:r>
      <w:r w:rsidR="003F4A53" w:rsidRPr="003F4A53">
        <w:rPr>
          <w:rFonts w:asciiTheme="majorHAnsi" w:hAnsiTheme="majorHAnsi"/>
          <w:sz w:val="20"/>
          <w:szCs w:val="20"/>
          <w:lang w:val="es-CO"/>
        </w:rPr>
        <w:t xml:space="preserve"> manifiesta</w:t>
      </w:r>
      <w:r w:rsidRPr="003F4A53">
        <w:rPr>
          <w:rFonts w:asciiTheme="majorHAnsi" w:hAnsiTheme="majorHAnsi"/>
          <w:sz w:val="20"/>
          <w:szCs w:val="20"/>
          <w:lang w:val="es-CO"/>
        </w:rPr>
        <w:t xml:space="preserve"> que</w:t>
      </w:r>
      <w:r w:rsidR="00D03CAF">
        <w:rPr>
          <w:rFonts w:asciiTheme="majorHAnsi" w:hAnsiTheme="majorHAnsi"/>
          <w:sz w:val="20"/>
          <w:szCs w:val="20"/>
          <w:lang w:val="es-CO"/>
        </w:rPr>
        <w:t>,</w:t>
      </w:r>
      <w:r w:rsidRPr="003F4A53">
        <w:rPr>
          <w:rFonts w:asciiTheme="majorHAnsi" w:hAnsiTheme="majorHAnsi"/>
          <w:sz w:val="20"/>
          <w:szCs w:val="20"/>
          <w:lang w:val="es-CO"/>
        </w:rPr>
        <w:t xml:space="preserve"> tras más de una década de ocurrida la masacre de Bojayá, </w:t>
      </w:r>
      <w:r w:rsidR="00D03CAF">
        <w:rPr>
          <w:rFonts w:asciiTheme="majorHAnsi" w:hAnsiTheme="majorHAnsi"/>
          <w:sz w:val="20"/>
          <w:szCs w:val="20"/>
          <w:lang w:val="es-CO"/>
        </w:rPr>
        <w:t>el</w:t>
      </w:r>
      <w:r w:rsidRPr="003F4A53">
        <w:rPr>
          <w:rFonts w:asciiTheme="majorHAnsi" w:hAnsiTheme="majorHAnsi"/>
          <w:sz w:val="20"/>
          <w:szCs w:val="20"/>
          <w:lang w:val="es-CO"/>
        </w:rPr>
        <w:t xml:space="preserve"> proceso</w:t>
      </w:r>
      <w:r w:rsidR="00D03CAF">
        <w:rPr>
          <w:rFonts w:asciiTheme="majorHAnsi" w:hAnsiTheme="majorHAnsi"/>
          <w:sz w:val="20"/>
          <w:szCs w:val="20"/>
          <w:lang w:val="es-CO"/>
        </w:rPr>
        <w:t xml:space="preserve"> penal</w:t>
      </w:r>
      <w:r w:rsidRPr="003F4A53">
        <w:rPr>
          <w:rFonts w:asciiTheme="majorHAnsi" w:hAnsiTheme="majorHAnsi"/>
          <w:sz w:val="20"/>
          <w:szCs w:val="20"/>
          <w:lang w:val="es-CO"/>
        </w:rPr>
        <w:t xml:space="preserve"> continú</w:t>
      </w:r>
      <w:r w:rsidR="00D03CAF">
        <w:rPr>
          <w:rFonts w:asciiTheme="majorHAnsi" w:hAnsiTheme="majorHAnsi"/>
          <w:sz w:val="20"/>
          <w:szCs w:val="20"/>
          <w:lang w:val="es-CO"/>
        </w:rPr>
        <w:t>a</w:t>
      </w:r>
      <w:r w:rsidRPr="003F4A53">
        <w:rPr>
          <w:rFonts w:asciiTheme="majorHAnsi" w:hAnsiTheme="majorHAnsi"/>
          <w:sz w:val="20"/>
          <w:szCs w:val="20"/>
          <w:lang w:val="es-CO"/>
        </w:rPr>
        <w:t xml:space="preserve"> en etapa preliminar y las autoridades aún no han esclarecido los hechos ni individualizado a todos los responsables de las muertes, lesiones y desplazamiento interno</w:t>
      </w:r>
      <w:r w:rsidR="003F4A53" w:rsidRPr="003F4A53">
        <w:rPr>
          <w:rFonts w:asciiTheme="majorHAnsi" w:hAnsiTheme="majorHAnsi"/>
          <w:sz w:val="20"/>
          <w:szCs w:val="20"/>
          <w:lang w:val="es-CO"/>
        </w:rPr>
        <w:t xml:space="preserve">. </w:t>
      </w:r>
      <w:r w:rsidR="001761EA">
        <w:rPr>
          <w:rFonts w:asciiTheme="majorHAnsi" w:hAnsiTheme="majorHAnsi"/>
          <w:sz w:val="20"/>
          <w:szCs w:val="20"/>
          <w:lang w:val="es-CO"/>
        </w:rPr>
        <w:t xml:space="preserve">Alega </w:t>
      </w:r>
      <w:r w:rsidRPr="003F4A53">
        <w:rPr>
          <w:rFonts w:asciiTheme="majorHAnsi" w:hAnsiTheme="majorHAnsi"/>
          <w:sz w:val="20"/>
          <w:szCs w:val="20"/>
          <w:lang w:val="es-CO"/>
        </w:rPr>
        <w:t>que la inacción judicial y el retardo imputable a las autoridades ha</w:t>
      </w:r>
      <w:r w:rsidR="00C754E7">
        <w:rPr>
          <w:rFonts w:asciiTheme="majorHAnsi" w:hAnsiTheme="majorHAnsi"/>
          <w:sz w:val="20"/>
          <w:szCs w:val="20"/>
          <w:lang w:val="es-CO"/>
        </w:rPr>
        <w:t>n</w:t>
      </w:r>
      <w:r w:rsidRPr="003F4A53">
        <w:rPr>
          <w:rFonts w:asciiTheme="majorHAnsi" w:hAnsiTheme="majorHAnsi"/>
          <w:sz w:val="20"/>
          <w:szCs w:val="20"/>
          <w:lang w:val="es-CO"/>
        </w:rPr>
        <w:t xml:space="preserve"> asegurado la </w:t>
      </w:r>
      <w:r w:rsidR="003F4A53" w:rsidRPr="003F4A53">
        <w:rPr>
          <w:rFonts w:asciiTheme="majorHAnsi" w:hAnsiTheme="majorHAnsi"/>
          <w:sz w:val="20"/>
          <w:szCs w:val="20"/>
          <w:lang w:val="es-CO"/>
        </w:rPr>
        <w:t>impunidad de los responsables</w:t>
      </w:r>
      <w:r w:rsidR="00DF4256" w:rsidRPr="003F4A53">
        <w:rPr>
          <w:rFonts w:asciiTheme="majorHAnsi" w:hAnsiTheme="majorHAnsi"/>
          <w:sz w:val="20"/>
          <w:szCs w:val="20"/>
          <w:lang w:val="es-CO"/>
        </w:rPr>
        <w:t>.</w:t>
      </w:r>
      <w:r w:rsidR="0042798A" w:rsidRPr="003F4A53">
        <w:rPr>
          <w:rFonts w:asciiTheme="majorHAnsi" w:hAnsiTheme="majorHAnsi"/>
          <w:sz w:val="20"/>
          <w:szCs w:val="20"/>
          <w:lang w:val="es-CO"/>
        </w:rPr>
        <w:t xml:space="preserve"> </w:t>
      </w:r>
      <w:r w:rsidR="003F4A53" w:rsidRPr="003F4A53">
        <w:rPr>
          <w:rFonts w:asciiTheme="majorHAnsi" w:hAnsiTheme="majorHAnsi"/>
          <w:sz w:val="20"/>
          <w:szCs w:val="20"/>
          <w:lang w:val="es-CO"/>
        </w:rPr>
        <w:t>Por s</w:t>
      </w:r>
      <w:r w:rsidR="003F4A53">
        <w:rPr>
          <w:rFonts w:asciiTheme="majorHAnsi" w:hAnsiTheme="majorHAnsi"/>
          <w:sz w:val="20"/>
          <w:szCs w:val="20"/>
          <w:lang w:val="es-CO"/>
        </w:rPr>
        <w:t>u parte, el Estado sostiene</w:t>
      </w:r>
      <w:r w:rsidR="003F4A53" w:rsidRPr="003F4A53">
        <w:rPr>
          <w:rFonts w:asciiTheme="majorHAnsi" w:hAnsiTheme="majorHAnsi"/>
          <w:sz w:val="20"/>
          <w:szCs w:val="20"/>
          <w:lang w:val="es-CO"/>
        </w:rPr>
        <w:t xml:space="preserve"> que los recursos </w:t>
      </w:r>
      <w:r w:rsidR="001761EA">
        <w:rPr>
          <w:rFonts w:asciiTheme="majorHAnsi" w:hAnsiTheme="majorHAnsi"/>
          <w:sz w:val="20"/>
          <w:szCs w:val="20"/>
          <w:lang w:val="es-CO"/>
        </w:rPr>
        <w:t xml:space="preserve">internos </w:t>
      </w:r>
      <w:r w:rsidR="003F4A53" w:rsidRPr="003F4A53">
        <w:rPr>
          <w:rFonts w:asciiTheme="majorHAnsi" w:hAnsiTheme="majorHAnsi"/>
          <w:sz w:val="20"/>
          <w:szCs w:val="20"/>
          <w:lang w:val="es-CO"/>
        </w:rPr>
        <w:t xml:space="preserve">no se encuentran agotados toda </w:t>
      </w:r>
      <w:r w:rsidR="003F4A53" w:rsidRPr="003F4A53">
        <w:rPr>
          <w:rFonts w:asciiTheme="majorHAnsi" w:hAnsiTheme="majorHAnsi"/>
          <w:sz w:val="20"/>
          <w:szCs w:val="20"/>
          <w:lang w:val="es-CO"/>
        </w:rPr>
        <w:lastRenderedPageBreak/>
        <w:t xml:space="preserve">vez que las investigaciones penales iniciadas por la </w:t>
      </w:r>
      <w:r w:rsidR="003F4A53">
        <w:rPr>
          <w:rFonts w:asciiTheme="majorHAnsi" w:hAnsiTheme="majorHAnsi"/>
          <w:sz w:val="20"/>
          <w:szCs w:val="20"/>
          <w:lang w:val="es-CO"/>
        </w:rPr>
        <w:t>Fiscalía continúa en desarrollo</w:t>
      </w:r>
      <w:r w:rsidR="0042798A" w:rsidRPr="003F4A53">
        <w:rPr>
          <w:rFonts w:asciiTheme="majorHAnsi" w:hAnsiTheme="majorHAnsi"/>
          <w:sz w:val="20"/>
          <w:szCs w:val="20"/>
          <w:lang w:val="es-CO"/>
        </w:rPr>
        <w:t xml:space="preserve"> </w:t>
      </w:r>
      <w:r w:rsidR="000047AF" w:rsidRPr="003F4A53">
        <w:rPr>
          <w:rFonts w:asciiTheme="majorHAnsi" w:hAnsiTheme="majorHAnsi"/>
          <w:sz w:val="20"/>
          <w:szCs w:val="20"/>
          <w:lang w:val="es-CO"/>
        </w:rPr>
        <w:t>y que</w:t>
      </w:r>
      <w:r w:rsidR="001761EA">
        <w:rPr>
          <w:rFonts w:asciiTheme="majorHAnsi" w:hAnsiTheme="majorHAnsi"/>
          <w:sz w:val="20"/>
          <w:szCs w:val="20"/>
          <w:lang w:val="es-CO"/>
        </w:rPr>
        <w:t>,</w:t>
      </w:r>
      <w:r w:rsidR="000047AF" w:rsidRPr="003F4A53">
        <w:rPr>
          <w:rFonts w:asciiTheme="majorHAnsi" w:hAnsiTheme="majorHAnsi"/>
          <w:sz w:val="20"/>
          <w:szCs w:val="20"/>
          <w:lang w:val="es-CO"/>
        </w:rPr>
        <w:t xml:space="preserve"> </w:t>
      </w:r>
      <w:r w:rsidR="0042798A" w:rsidRPr="003F4A53">
        <w:rPr>
          <w:rFonts w:asciiTheme="majorHAnsi" w:hAnsiTheme="majorHAnsi"/>
          <w:sz w:val="20"/>
          <w:szCs w:val="20"/>
          <w:lang w:val="es-CO"/>
        </w:rPr>
        <w:t>dad</w:t>
      </w:r>
      <w:r w:rsidR="000047AF" w:rsidRPr="003F4A53">
        <w:rPr>
          <w:rFonts w:asciiTheme="majorHAnsi" w:hAnsiTheme="majorHAnsi"/>
          <w:sz w:val="20"/>
          <w:szCs w:val="20"/>
          <w:lang w:val="es-CO"/>
        </w:rPr>
        <w:t xml:space="preserve">a </w:t>
      </w:r>
      <w:r w:rsidR="0042798A" w:rsidRPr="003F4A53">
        <w:rPr>
          <w:rFonts w:asciiTheme="majorHAnsi" w:hAnsiTheme="majorHAnsi"/>
          <w:sz w:val="20"/>
          <w:szCs w:val="20"/>
          <w:lang w:val="es-CO"/>
        </w:rPr>
        <w:t>la complejidad del asunto</w:t>
      </w:r>
      <w:r w:rsidR="001761EA">
        <w:rPr>
          <w:rFonts w:asciiTheme="majorHAnsi" w:hAnsiTheme="majorHAnsi"/>
          <w:sz w:val="20"/>
          <w:szCs w:val="20"/>
          <w:lang w:val="es-CO"/>
        </w:rPr>
        <w:t>,</w:t>
      </w:r>
      <w:r w:rsidR="0042798A" w:rsidRPr="003F4A53">
        <w:rPr>
          <w:rFonts w:asciiTheme="majorHAnsi" w:hAnsiTheme="majorHAnsi"/>
          <w:sz w:val="20"/>
          <w:szCs w:val="20"/>
          <w:lang w:val="es-CO"/>
        </w:rPr>
        <w:t xml:space="preserve"> no </w:t>
      </w:r>
      <w:r w:rsidR="001761EA" w:rsidRPr="003F4A53">
        <w:rPr>
          <w:rFonts w:asciiTheme="majorHAnsi" w:hAnsiTheme="majorHAnsi"/>
          <w:sz w:val="20"/>
          <w:szCs w:val="20"/>
          <w:lang w:val="es-CO"/>
        </w:rPr>
        <w:t>s</w:t>
      </w:r>
      <w:r w:rsidR="001761EA">
        <w:rPr>
          <w:rFonts w:asciiTheme="majorHAnsi" w:hAnsiTheme="majorHAnsi"/>
          <w:sz w:val="20"/>
          <w:szCs w:val="20"/>
          <w:lang w:val="es-CO"/>
        </w:rPr>
        <w:t>o</w:t>
      </w:r>
      <w:r w:rsidR="001761EA" w:rsidRPr="003F4A53">
        <w:rPr>
          <w:rFonts w:asciiTheme="majorHAnsi" w:hAnsiTheme="majorHAnsi"/>
          <w:sz w:val="20"/>
          <w:szCs w:val="20"/>
          <w:lang w:val="es-CO"/>
        </w:rPr>
        <w:t xml:space="preserve">n </w:t>
      </w:r>
      <w:r w:rsidR="0042798A" w:rsidRPr="003F4A53">
        <w:rPr>
          <w:rFonts w:asciiTheme="majorHAnsi" w:hAnsiTheme="majorHAnsi"/>
          <w:sz w:val="20"/>
          <w:szCs w:val="20"/>
          <w:lang w:val="es-CO"/>
        </w:rPr>
        <w:t>aplicables las excepciones contenidas en el artículo 46.2 de la Convención.</w:t>
      </w:r>
    </w:p>
    <w:p w14:paraId="11625580" w14:textId="00396E89" w:rsidR="00D12200" w:rsidRPr="00D12200" w:rsidRDefault="00D12200" w:rsidP="00C809B2">
      <w:pPr>
        <w:pStyle w:val="ListParagraph"/>
        <w:numPr>
          <w:ilvl w:val="0"/>
          <w:numId w:val="55"/>
        </w:numPr>
        <w:spacing w:before="240" w:after="240"/>
        <w:jc w:val="both"/>
        <w:rPr>
          <w:rFonts w:asciiTheme="majorHAnsi" w:hAnsiTheme="majorHAnsi"/>
          <w:sz w:val="20"/>
          <w:szCs w:val="20"/>
          <w:lang w:val="es-CO"/>
        </w:rPr>
      </w:pPr>
      <w:r w:rsidRPr="00D12200">
        <w:rPr>
          <w:rFonts w:asciiTheme="majorHAnsi" w:hAnsiTheme="majorHAnsi"/>
          <w:color w:val="auto"/>
          <w:sz w:val="20"/>
          <w:szCs w:val="20"/>
          <w:lang w:val="es-CO"/>
        </w:rPr>
        <w:t>Los precedentes establecidos por la CIDH señalan que toda vez que se cometa un presunto delito perseguible de oficio, el Estado tiene la obligación de promover e impulsar el proceso penal y que, éste constituye la vía idónea para esclarecer los hechos, juzgar a los responsables y establecer las sanciones penales correspondientes, además de posibilitar otros modos de reparación de tipo pecuniario. Además, la Comisión ha establecido que, como regla general, una investigación penal debe realizarse prontamente para proteger los intereses de las víctimas, preservar la prueba e incluso salvaguardar los derechos de toda persona que en el contexto de la investiga</w:t>
      </w:r>
      <w:r>
        <w:rPr>
          <w:rFonts w:asciiTheme="majorHAnsi" w:hAnsiTheme="majorHAnsi"/>
          <w:color w:val="auto"/>
          <w:sz w:val="20"/>
          <w:szCs w:val="20"/>
          <w:lang w:val="es-CO"/>
        </w:rPr>
        <w:t>ción sea considerada sospechosa</w:t>
      </w:r>
      <w:r w:rsidR="00C809B2">
        <w:rPr>
          <w:rStyle w:val="FootnoteReference"/>
          <w:rFonts w:asciiTheme="majorHAnsi" w:hAnsiTheme="majorHAnsi"/>
          <w:color w:val="auto"/>
          <w:sz w:val="20"/>
          <w:szCs w:val="20"/>
          <w:lang w:val="es-CO"/>
        </w:rPr>
        <w:footnoteReference w:id="6"/>
      </w:r>
      <w:r w:rsidRPr="00D12200">
        <w:rPr>
          <w:rFonts w:asciiTheme="majorHAnsi" w:hAnsiTheme="majorHAnsi"/>
          <w:color w:val="auto"/>
          <w:sz w:val="20"/>
          <w:szCs w:val="20"/>
          <w:lang w:val="es-CO"/>
        </w:rPr>
        <w:t>.</w:t>
      </w:r>
      <w:r>
        <w:rPr>
          <w:rFonts w:asciiTheme="majorHAnsi" w:hAnsiTheme="majorHAnsi"/>
          <w:color w:val="auto"/>
          <w:sz w:val="20"/>
          <w:szCs w:val="20"/>
          <w:lang w:val="es-CO"/>
        </w:rPr>
        <w:t xml:space="preserve"> </w:t>
      </w:r>
      <w:r w:rsidRPr="00D12200">
        <w:rPr>
          <w:rFonts w:asciiTheme="majorHAnsi" w:hAnsiTheme="majorHAnsi"/>
          <w:color w:val="auto"/>
          <w:sz w:val="20"/>
          <w:szCs w:val="20"/>
          <w:lang w:val="es-CO"/>
        </w:rPr>
        <w:t>De la información aportada por las partes,</w:t>
      </w:r>
      <w:r>
        <w:rPr>
          <w:rFonts w:asciiTheme="majorHAnsi" w:hAnsiTheme="majorHAnsi"/>
          <w:color w:val="auto"/>
          <w:sz w:val="20"/>
          <w:szCs w:val="20"/>
          <w:lang w:val="es-CO"/>
        </w:rPr>
        <w:t xml:space="preserve"> </w:t>
      </w:r>
      <w:r w:rsidR="001761EA">
        <w:rPr>
          <w:rFonts w:asciiTheme="majorHAnsi" w:hAnsiTheme="majorHAnsi"/>
          <w:color w:val="auto"/>
          <w:sz w:val="20"/>
          <w:szCs w:val="20"/>
          <w:lang w:val="es-CO"/>
        </w:rPr>
        <w:t xml:space="preserve">si bien surge que algunos integrantes de las FARC habrían sido condenados, </w:t>
      </w:r>
      <w:r w:rsidR="00690E98" w:rsidRPr="00D12200">
        <w:rPr>
          <w:rFonts w:asciiTheme="majorHAnsi" w:hAnsiTheme="majorHAnsi"/>
          <w:color w:val="auto"/>
          <w:sz w:val="20"/>
          <w:szCs w:val="20"/>
          <w:lang w:val="es-CO"/>
        </w:rPr>
        <w:t>la</w:t>
      </w:r>
      <w:r w:rsidR="00C754E7">
        <w:rPr>
          <w:rFonts w:asciiTheme="majorHAnsi" w:hAnsiTheme="majorHAnsi"/>
          <w:color w:val="auto"/>
          <w:sz w:val="20"/>
          <w:szCs w:val="20"/>
          <w:lang w:val="es-CO"/>
        </w:rPr>
        <w:t xml:space="preserve"> investigación</w:t>
      </w:r>
      <w:r w:rsidR="00690E98" w:rsidRPr="00D12200">
        <w:rPr>
          <w:rFonts w:asciiTheme="majorHAnsi" w:hAnsiTheme="majorHAnsi"/>
          <w:color w:val="auto"/>
          <w:sz w:val="20"/>
          <w:szCs w:val="20"/>
          <w:lang w:val="es-CO"/>
        </w:rPr>
        <w:t xml:space="preserve"> destinada al esclarecimiento de los hechos </w:t>
      </w:r>
      <w:r w:rsidR="001761EA">
        <w:rPr>
          <w:rFonts w:asciiTheme="majorHAnsi" w:hAnsiTheme="majorHAnsi"/>
          <w:color w:val="auto"/>
          <w:sz w:val="20"/>
          <w:szCs w:val="20"/>
          <w:lang w:val="es-CO"/>
        </w:rPr>
        <w:t>se encontraría pendiente</w:t>
      </w:r>
      <w:r w:rsidR="0080258D">
        <w:rPr>
          <w:rFonts w:asciiTheme="majorHAnsi" w:hAnsiTheme="majorHAnsi"/>
          <w:color w:val="auto"/>
          <w:sz w:val="20"/>
          <w:szCs w:val="20"/>
          <w:lang w:val="es-CO"/>
        </w:rPr>
        <w:t xml:space="preserve"> en etapa preliminar</w:t>
      </w:r>
      <w:r w:rsidR="00690E98" w:rsidRPr="00D12200">
        <w:rPr>
          <w:rFonts w:asciiTheme="majorHAnsi" w:hAnsiTheme="majorHAnsi"/>
          <w:color w:val="auto"/>
          <w:sz w:val="20"/>
          <w:szCs w:val="20"/>
          <w:lang w:val="es-CO"/>
        </w:rPr>
        <w:t xml:space="preserve">, sin que se haya </w:t>
      </w:r>
      <w:r w:rsidR="0080258D" w:rsidRPr="00D12200">
        <w:rPr>
          <w:rFonts w:asciiTheme="majorHAnsi" w:hAnsiTheme="majorHAnsi"/>
          <w:color w:val="auto"/>
          <w:sz w:val="20"/>
          <w:szCs w:val="20"/>
          <w:lang w:val="es-CO"/>
        </w:rPr>
        <w:t>determinado</w:t>
      </w:r>
      <w:r w:rsidR="00690E98" w:rsidRPr="00D12200">
        <w:rPr>
          <w:rFonts w:asciiTheme="majorHAnsi" w:hAnsiTheme="majorHAnsi"/>
          <w:color w:val="auto"/>
          <w:sz w:val="20"/>
          <w:szCs w:val="20"/>
          <w:lang w:val="es-CO"/>
        </w:rPr>
        <w:t xml:space="preserve"> la </w:t>
      </w:r>
      <w:r w:rsidR="0080258D">
        <w:rPr>
          <w:rFonts w:asciiTheme="majorHAnsi" w:hAnsiTheme="majorHAnsi"/>
          <w:color w:val="auto"/>
          <w:sz w:val="20"/>
          <w:szCs w:val="20"/>
          <w:lang w:val="es-CO"/>
        </w:rPr>
        <w:t xml:space="preserve">identidad de </w:t>
      </w:r>
      <w:r w:rsidR="001761EA">
        <w:rPr>
          <w:rFonts w:asciiTheme="majorHAnsi" w:hAnsiTheme="majorHAnsi"/>
          <w:color w:val="auto"/>
          <w:sz w:val="20"/>
          <w:szCs w:val="20"/>
          <w:lang w:val="es-CO"/>
        </w:rPr>
        <w:t>todos los</w:t>
      </w:r>
      <w:r w:rsidR="0080258D">
        <w:rPr>
          <w:rFonts w:asciiTheme="majorHAnsi" w:hAnsiTheme="majorHAnsi"/>
          <w:color w:val="auto"/>
          <w:sz w:val="20"/>
          <w:szCs w:val="20"/>
          <w:lang w:val="es-CO"/>
        </w:rPr>
        <w:t xml:space="preserve"> responsables</w:t>
      </w:r>
      <w:r w:rsidR="00690E98" w:rsidRPr="00D12200">
        <w:rPr>
          <w:rFonts w:asciiTheme="majorHAnsi" w:hAnsiTheme="majorHAnsi"/>
          <w:color w:val="auto"/>
          <w:sz w:val="20"/>
          <w:szCs w:val="20"/>
          <w:lang w:val="es-CO"/>
        </w:rPr>
        <w:t xml:space="preserve">. Por lo tanto, dadas las características de la petición y el lapso transcurrido desde los hechos materia del reclamo, </w:t>
      </w:r>
      <w:r w:rsidR="00C809B2" w:rsidRPr="00C809B2">
        <w:rPr>
          <w:rFonts w:asciiTheme="majorHAnsi" w:hAnsiTheme="majorHAnsi"/>
          <w:color w:val="auto"/>
          <w:sz w:val="20"/>
          <w:szCs w:val="20"/>
          <w:lang w:val="es-CO"/>
        </w:rPr>
        <w:t xml:space="preserve">la Comisión concluye que se </w:t>
      </w:r>
      <w:r w:rsidR="0080258D">
        <w:rPr>
          <w:rFonts w:asciiTheme="majorHAnsi" w:hAnsiTheme="majorHAnsi"/>
          <w:color w:val="auto"/>
          <w:sz w:val="20"/>
          <w:szCs w:val="20"/>
          <w:lang w:val="es-CO"/>
        </w:rPr>
        <w:t>ha configurado un retardo en la investigación penal</w:t>
      </w:r>
      <w:r w:rsidR="00C809B2" w:rsidRPr="00C809B2">
        <w:rPr>
          <w:rFonts w:asciiTheme="majorHAnsi" w:hAnsiTheme="majorHAnsi"/>
          <w:color w:val="auto"/>
          <w:sz w:val="20"/>
          <w:szCs w:val="20"/>
          <w:lang w:val="es-CO"/>
        </w:rPr>
        <w:t xml:space="preserve"> y en consecuencia resulta aplicable la excepción al agotamiento de </w:t>
      </w:r>
      <w:r w:rsidR="001761EA">
        <w:rPr>
          <w:rFonts w:asciiTheme="majorHAnsi" w:hAnsiTheme="majorHAnsi"/>
          <w:color w:val="auto"/>
          <w:sz w:val="20"/>
          <w:szCs w:val="20"/>
          <w:lang w:val="es-CO"/>
        </w:rPr>
        <w:t xml:space="preserve">los </w:t>
      </w:r>
      <w:r w:rsidR="00C809B2" w:rsidRPr="00C809B2">
        <w:rPr>
          <w:rFonts w:asciiTheme="majorHAnsi" w:hAnsiTheme="majorHAnsi"/>
          <w:color w:val="auto"/>
          <w:sz w:val="20"/>
          <w:szCs w:val="20"/>
          <w:lang w:val="es-CO"/>
        </w:rPr>
        <w:t>recursos internos prevista en el artículo 46.2.c de la Convención.</w:t>
      </w:r>
    </w:p>
    <w:p w14:paraId="3C929999" w14:textId="5BDE996B" w:rsidR="005C3567" w:rsidRPr="00D12200" w:rsidRDefault="005C0B4D" w:rsidP="00D12200">
      <w:pPr>
        <w:pStyle w:val="ListParagraph"/>
        <w:numPr>
          <w:ilvl w:val="0"/>
          <w:numId w:val="55"/>
        </w:numPr>
        <w:spacing w:before="240" w:after="240"/>
        <w:jc w:val="both"/>
        <w:rPr>
          <w:rFonts w:asciiTheme="majorHAnsi" w:hAnsiTheme="majorHAnsi"/>
          <w:sz w:val="20"/>
          <w:szCs w:val="20"/>
          <w:lang w:val="es-CO"/>
        </w:rPr>
      </w:pPr>
      <w:r w:rsidRPr="00D12200">
        <w:rPr>
          <w:rFonts w:asciiTheme="majorHAnsi" w:eastAsia="Arial Unicode MS" w:hAnsiTheme="majorHAnsi" w:cs="Times New Roman"/>
          <w:color w:val="auto"/>
          <w:sz w:val="20"/>
          <w:szCs w:val="20"/>
          <w:lang w:val="es-CO" w:eastAsia="en-US"/>
        </w:rPr>
        <w:t>Respecto al plazo de presentación de la</w:t>
      </w:r>
      <w:r w:rsidR="00E51779" w:rsidRPr="00D12200">
        <w:rPr>
          <w:rFonts w:asciiTheme="majorHAnsi" w:eastAsia="Arial Unicode MS" w:hAnsiTheme="majorHAnsi" w:cs="Times New Roman"/>
          <w:color w:val="auto"/>
          <w:sz w:val="20"/>
          <w:szCs w:val="20"/>
          <w:lang w:val="es-CO" w:eastAsia="en-US"/>
        </w:rPr>
        <w:t xml:space="preserve"> petición</w:t>
      </w:r>
      <w:r w:rsidRPr="00D12200">
        <w:rPr>
          <w:rFonts w:asciiTheme="majorHAnsi" w:eastAsia="Arial Unicode MS" w:hAnsiTheme="majorHAnsi" w:cs="Times New Roman"/>
          <w:color w:val="auto"/>
          <w:sz w:val="20"/>
          <w:szCs w:val="20"/>
          <w:lang w:val="es-CO" w:eastAsia="en-US"/>
        </w:rPr>
        <w:t>, la Comisión observa que la misma</w:t>
      </w:r>
      <w:r w:rsidR="00E51779" w:rsidRPr="00D12200">
        <w:rPr>
          <w:rFonts w:asciiTheme="majorHAnsi" w:eastAsia="Arial Unicode MS" w:hAnsiTheme="majorHAnsi" w:cs="Times New Roman"/>
          <w:color w:val="auto"/>
          <w:sz w:val="20"/>
          <w:szCs w:val="20"/>
          <w:lang w:val="es-CO" w:eastAsia="en-US"/>
        </w:rPr>
        <w:t xml:space="preserve"> fue reci</w:t>
      </w:r>
      <w:r w:rsidRPr="00D12200">
        <w:rPr>
          <w:rFonts w:asciiTheme="majorHAnsi" w:eastAsia="Arial Unicode MS" w:hAnsiTheme="majorHAnsi" w:cs="Times New Roman"/>
          <w:color w:val="auto"/>
          <w:sz w:val="20"/>
          <w:szCs w:val="20"/>
          <w:lang w:val="es-CO" w:eastAsia="en-US"/>
        </w:rPr>
        <w:t xml:space="preserve">bida el 25 de febrero de 2008, </w:t>
      </w:r>
      <w:r w:rsidR="00E51779" w:rsidRPr="00D12200">
        <w:rPr>
          <w:rFonts w:asciiTheme="majorHAnsi" w:eastAsia="Arial Unicode MS" w:hAnsiTheme="majorHAnsi" w:cs="Times New Roman"/>
          <w:color w:val="auto"/>
          <w:sz w:val="20"/>
          <w:szCs w:val="20"/>
          <w:lang w:val="es-CO" w:eastAsia="en-US"/>
        </w:rPr>
        <w:t>los alegado</w:t>
      </w:r>
      <w:r w:rsidR="00661722" w:rsidRPr="00D12200">
        <w:rPr>
          <w:rFonts w:asciiTheme="majorHAnsi" w:eastAsia="Arial Unicode MS" w:hAnsiTheme="majorHAnsi" w:cs="Times New Roman"/>
          <w:color w:val="auto"/>
          <w:sz w:val="20"/>
          <w:szCs w:val="20"/>
          <w:lang w:val="es-CO" w:eastAsia="en-US"/>
        </w:rPr>
        <w:t>s</w:t>
      </w:r>
      <w:r w:rsidR="00E51779" w:rsidRPr="00D12200">
        <w:rPr>
          <w:rFonts w:asciiTheme="majorHAnsi" w:eastAsia="Arial Unicode MS" w:hAnsiTheme="majorHAnsi" w:cs="Times New Roman"/>
          <w:color w:val="auto"/>
          <w:sz w:val="20"/>
          <w:szCs w:val="20"/>
          <w:lang w:val="es-CO" w:eastAsia="en-US"/>
        </w:rPr>
        <w:t xml:space="preserve"> hechos iniciaron </w:t>
      </w:r>
      <w:r w:rsidR="003F5832" w:rsidRPr="00D12200">
        <w:rPr>
          <w:rFonts w:asciiTheme="majorHAnsi" w:eastAsia="Arial Unicode MS" w:hAnsiTheme="majorHAnsi" w:cs="Times New Roman"/>
          <w:color w:val="auto"/>
          <w:sz w:val="20"/>
          <w:szCs w:val="20"/>
          <w:lang w:val="es-CO" w:eastAsia="en-US"/>
        </w:rPr>
        <w:t>el 2 de mayo de 2002 y</w:t>
      </w:r>
      <w:r w:rsidR="00661722" w:rsidRPr="00D12200">
        <w:rPr>
          <w:rFonts w:asciiTheme="majorHAnsi" w:eastAsia="Arial Unicode MS" w:hAnsiTheme="majorHAnsi" w:cs="Times New Roman"/>
          <w:color w:val="auto"/>
          <w:sz w:val="20"/>
          <w:szCs w:val="20"/>
          <w:lang w:val="es-CO" w:eastAsia="en-US"/>
        </w:rPr>
        <w:t>,</w:t>
      </w:r>
      <w:r w:rsidR="003F5832" w:rsidRPr="00D12200">
        <w:rPr>
          <w:rFonts w:asciiTheme="majorHAnsi" w:eastAsia="Arial Unicode MS" w:hAnsiTheme="majorHAnsi" w:cs="Times New Roman"/>
          <w:color w:val="auto"/>
          <w:sz w:val="20"/>
          <w:szCs w:val="20"/>
          <w:lang w:val="es-CO" w:eastAsia="en-US"/>
        </w:rPr>
        <w:t xml:space="preserve"> sus efectos en términos de la falta de resultados de la administración de justicia se extenderían hasta el presente. Por lo tanto, en vista del contexto y las características de la presente petición, la Comisión considera que la petición fue presentada dentro de un plazo razonable y que debe darse por satisfecho el requisito de admisibilidad referente al plazo de presentación.</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39F0CA3B" w14:textId="7D1D069D" w:rsidR="00A776B4" w:rsidRPr="005D5651" w:rsidRDefault="00571947" w:rsidP="0080258D">
      <w:pPr>
        <w:pStyle w:val="ListParagraph"/>
        <w:numPr>
          <w:ilvl w:val="0"/>
          <w:numId w:val="55"/>
        </w:numPr>
        <w:spacing w:before="240" w:after="240"/>
        <w:jc w:val="both"/>
        <w:rPr>
          <w:rFonts w:asciiTheme="majorHAnsi" w:hAnsiTheme="majorHAnsi"/>
          <w:b/>
          <w:bCs/>
          <w:sz w:val="20"/>
          <w:szCs w:val="20"/>
          <w:lang w:val="es-ES"/>
        </w:rPr>
      </w:pPr>
      <w:r w:rsidRPr="00571947">
        <w:rPr>
          <w:rFonts w:asciiTheme="majorHAnsi" w:hAnsiTheme="majorHAnsi"/>
          <w:sz w:val="20"/>
          <w:szCs w:val="20"/>
          <w:lang w:val="es-ES"/>
        </w:rPr>
        <w:t>En vista de los elementos de hecho y de derecho expuestos por las partes</w:t>
      </w:r>
      <w:r>
        <w:rPr>
          <w:rFonts w:asciiTheme="majorHAnsi" w:hAnsiTheme="majorHAnsi"/>
          <w:sz w:val="20"/>
          <w:szCs w:val="20"/>
          <w:lang w:val="es-ES"/>
        </w:rPr>
        <w:t xml:space="preserve"> </w:t>
      </w:r>
      <w:r w:rsidR="00602A83" w:rsidRPr="005D5651">
        <w:rPr>
          <w:rFonts w:asciiTheme="majorHAnsi" w:hAnsiTheme="majorHAnsi"/>
          <w:sz w:val="20"/>
          <w:szCs w:val="20"/>
          <w:lang w:val="es-ES"/>
        </w:rPr>
        <w:t>y la naturaleza del asunto puesto bajo su conocimiento,</w:t>
      </w:r>
      <w:r w:rsidR="00602A83" w:rsidRPr="002F569A">
        <w:rPr>
          <w:rFonts w:asciiTheme="majorHAnsi" w:hAnsiTheme="majorHAnsi"/>
          <w:sz w:val="20"/>
          <w:szCs w:val="20"/>
          <w:lang w:val="es-ES"/>
        </w:rPr>
        <w:t xml:space="preserve"> la Comisión considera que l</w:t>
      </w:r>
      <w:r>
        <w:rPr>
          <w:rFonts w:asciiTheme="majorHAnsi" w:hAnsiTheme="majorHAnsi"/>
          <w:sz w:val="20"/>
          <w:szCs w:val="20"/>
          <w:lang w:val="es-ES"/>
        </w:rPr>
        <w:t>a</w:t>
      </w:r>
      <w:r w:rsidR="00745BCE">
        <w:rPr>
          <w:rFonts w:asciiTheme="majorHAnsi" w:hAnsiTheme="majorHAnsi"/>
          <w:sz w:val="20"/>
          <w:szCs w:val="20"/>
          <w:lang w:val="es-ES"/>
        </w:rPr>
        <w:t xml:space="preserve"> alegada</w:t>
      </w:r>
      <w:r w:rsidR="00602A83" w:rsidRPr="002F569A">
        <w:rPr>
          <w:rFonts w:asciiTheme="majorHAnsi" w:hAnsiTheme="majorHAnsi"/>
          <w:sz w:val="20"/>
          <w:szCs w:val="20"/>
          <w:lang w:val="es-ES"/>
        </w:rPr>
        <w:t xml:space="preserve"> falta de</w:t>
      </w:r>
      <w:r w:rsidR="002E1F9D" w:rsidRPr="002F569A">
        <w:rPr>
          <w:rFonts w:asciiTheme="majorHAnsi" w:hAnsiTheme="majorHAnsi"/>
          <w:sz w:val="20"/>
          <w:szCs w:val="20"/>
          <w:lang w:val="es-ES"/>
        </w:rPr>
        <w:t xml:space="preserve"> prevención de </w:t>
      </w:r>
      <w:r w:rsidR="00C805B4">
        <w:rPr>
          <w:rFonts w:asciiTheme="majorHAnsi" w:hAnsiTheme="majorHAnsi"/>
          <w:sz w:val="20"/>
          <w:szCs w:val="20"/>
          <w:lang w:val="es-ES"/>
        </w:rPr>
        <w:t xml:space="preserve">la masacre </w:t>
      </w:r>
      <w:r w:rsidR="00745BCE">
        <w:rPr>
          <w:rFonts w:asciiTheme="majorHAnsi" w:hAnsiTheme="majorHAnsi"/>
          <w:sz w:val="20"/>
          <w:szCs w:val="20"/>
          <w:lang w:val="es-ES"/>
        </w:rPr>
        <w:t>ocurrida en Bojayá,</w:t>
      </w:r>
      <w:r w:rsidR="00C805B4">
        <w:rPr>
          <w:rFonts w:asciiTheme="majorHAnsi" w:hAnsiTheme="majorHAnsi"/>
          <w:sz w:val="20"/>
          <w:szCs w:val="20"/>
          <w:lang w:val="es-ES"/>
        </w:rPr>
        <w:t xml:space="preserve"> zona de población predominantemente afrocolombiana</w:t>
      </w:r>
      <w:r w:rsidR="002E1F9D" w:rsidRPr="002F569A">
        <w:rPr>
          <w:rFonts w:asciiTheme="majorHAnsi" w:hAnsiTheme="majorHAnsi"/>
          <w:sz w:val="20"/>
          <w:szCs w:val="20"/>
          <w:lang w:val="es-ES"/>
        </w:rPr>
        <w:t xml:space="preserve">, </w:t>
      </w:r>
      <w:r w:rsidR="00745BCE">
        <w:rPr>
          <w:rFonts w:asciiTheme="majorHAnsi" w:hAnsiTheme="majorHAnsi"/>
          <w:sz w:val="20"/>
          <w:szCs w:val="20"/>
          <w:lang w:val="es-ES"/>
        </w:rPr>
        <w:t xml:space="preserve">y el </w:t>
      </w:r>
      <w:r>
        <w:rPr>
          <w:rFonts w:asciiTheme="majorHAnsi" w:hAnsiTheme="majorHAnsi"/>
          <w:sz w:val="20"/>
          <w:szCs w:val="20"/>
          <w:lang w:val="es-ES"/>
        </w:rPr>
        <w:t>posterior</w:t>
      </w:r>
      <w:r w:rsidR="00422EBC">
        <w:rPr>
          <w:rFonts w:asciiTheme="majorHAnsi" w:hAnsiTheme="majorHAnsi"/>
          <w:sz w:val="20"/>
          <w:szCs w:val="20"/>
          <w:lang w:val="es-ES"/>
        </w:rPr>
        <w:t xml:space="preserve"> desplazamiento</w:t>
      </w:r>
      <w:r>
        <w:rPr>
          <w:rFonts w:asciiTheme="majorHAnsi" w:hAnsiTheme="majorHAnsi"/>
          <w:sz w:val="20"/>
          <w:szCs w:val="20"/>
          <w:lang w:val="es-ES"/>
        </w:rPr>
        <w:t xml:space="preserve"> </w:t>
      </w:r>
      <w:r w:rsidR="00C805B4">
        <w:rPr>
          <w:rFonts w:asciiTheme="majorHAnsi" w:hAnsiTheme="majorHAnsi"/>
          <w:sz w:val="20"/>
          <w:szCs w:val="20"/>
          <w:lang w:val="es-ES"/>
        </w:rPr>
        <w:t>de</w:t>
      </w:r>
      <w:r w:rsidR="00916AB1">
        <w:rPr>
          <w:rFonts w:asciiTheme="majorHAnsi" w:hAnsiTheme="majorHAnsi"/>
          <w:sz w:val="20"/>
          <w:szCs w:val="20"/>
          <w:lang w:val="es-ES"/>
        </w:rPr>
        <w:t xml:space="preserve"> </w:t>
      </w:r>
      <w:r>
        <w:rPr>
          <w:rFonts w:asciiTheme="majorHAnsi" w:hAnsiTheme="majorHAnsi"/>
          <w:sz w:val="20"/>
          <w:szCs w:val="20"/>
          <w:lang w:val="es-ES"/>
        </w:rPr>
        <w:t>las presuntas</w:t>
      </w:r>
      <w:r w:rsidR="00A11549">
        <w:rPr>
          <w:rFonts w:asciiTheme="majorHAnsi" w:hAnsiTheme="majorHAnsi"/>
          <w:sz w:val="20"/>
          <w:szCs w:val="20"/>
          <w:lang w:val="es-ES"/>
        </w:rPr>
        <w:t xml:space="preserve"> víctimas</w:t>
      </w:r>
      <w:r w:rsidR="00422EBC">
        <w:rPr>
          <w:rFonts w:asciiTheme="majorHAnsi" w:hAnsiTheme="majorHAnsi"/>
          <w:sz w:val="20"/>
          <w:szCs w:val="20"/>
          <w:lang w:val="es-ES"/>
        </w:rPr>
        <w:t>, entre ellas niños y niñas,</w:t>
      </w:r>
      <w:r w:rsidR="00A11549">
        <w:rPr>
          <w:rFonts w:asciiTheme="majorHAnsi" w:hAnsiTheme="majorHAnsi"/>
          <w:sz w:val="20"/>
          <w:szCs w:val="20"/>
          <w:lang w:val="es-ES"/>
        </w:rPr>
        <w:t xml:space="preserve"> como resultado del accionar de </w:t>
      </w:r>
      <w:r w:rsidRPr="00571947">
        <w:rPr>
          <w:rFonts w:asciiTheme="majorHAnsi" w:hAnsiTheme="majorHAnsi"/>
          <w:sz w:val="20"/>
          <w:szCs w:val="20"/>
          <w:lang w:val="es-ES"/>
        </w:rPr>
        <w:t xml:space="preserve">grupos armados ilegales con la </w:t>
      </w:r>
      <w:r w:rsidR="0080258D" w:rsidRPr="00571947">
        <w:rPr>
          <w:rFonts w:asciiTheme="majorHAnsi" w:hAnsiTheme="majorHAnsi"/>
          <w:sz w:val="20"/>
          <w:szCs w:val="20"/>
          <w:lang w:val="es-ES"/>
        </w:rPr>
        <w:t>aquiescencia</w:t>
      </w:r>
      <w:r w:rsidR="0080258D">
        <w:rPr>
          <w:rFonts w:asciiTheme="majorHAnsi" w:hAnsiTheme="majorHAnsi"/>
          <w:sz w:val="20"/>
          <w:szCs w:val="20"/>
          <w:lang w:val="es-ES"/>
        </w:rPr>
        <w:t xml:space="preserve"> del Estado</w:t>
      </w:r>
      <w:r w:rsidR="00916AB1">
        <w:rPr>
          <w:rFonts w:asciiTheme="majorHAnsi" w:hAnsiTheme="majorHAnsi"/>
          <w:sz w:val="20"/>
          <w:szCs w:val="20"/>
          <w:lang w:val="es-ES"/>
        </w:rPr>
        <w:t>, así como</w:t>
      </w:r>
      <w:r w:rsidRPr="00571947">
        <w:rPr>
          <w:rFonts w:asciiTheme="majorHAnsi" w:hAnsiTheme="majorHAnsi"/>
          <w:sz w:val="20"/>
          <w:szCs w:val="20"/>
          <w:lang w:val="es-ES"/>
        </w:rPr>
        <w:t xml:space="preserve"> la falta de </w:t>
      </w:r>
      <w:r w:rsidR="00A776B4" w:rsidRPr="002F569A">
        <w:rPr>
          <w:rFonts w:asciiTheme="majorHAnsi" w:hAnsiTheme="majorHAnsi"/>
          <w:sz w:val="20"/>
          <w:szCs w:val="20"/>
          <w:lang w:val="es-ES"/>
        </w:rPr>
        <w:t xml:space="preserve">una investigación penal efectiva </w:t>
      </w:r>
      <w:r w:rsidR="00916AB1">
        <w:rPr>
          <w:rFonts w:asciiTheme="majorHAnsi" w:hAnsiTheme="majorHAnsi"/>
          <w:sz w:val="20"/>
          <w:szCs w:val="20"/>
          <w:lang w:val="es-ES"/>
        </w:rPr>
        <w:t>respecto de</w:t>
      </w:r>
      <w:r w:rsidR="00A776B4" w:rsidRPr="002F569A">
        <w:rPr>
          <w:rFonts w:asciiTheme="majorHAnsi" w:hAnsiTheme="majorHAnsi"/>
          <w:sz w:val="20"/>
          <w:szCs w:val="20"/>
          <w:lang w:val="es-ES"/>
        </w:rPr>
        <w:t xml:space="preserve"> todos los </w:t>
      </w:r>
      <w:r w:rsidR="00916AB1">
        <w:rPr>
          <w:rFonts w:asciiTheme="majorHAnsi" w:hAnsiTheme="majorHAnsi"/>
          <w:sz w:val="20"/>
          <w:szCs w:val="20"/>
          <w:lang w:val="es-ES"/>
        </w:rPr>
        <w:t xml:space="preserve">posibles </w:t>
      </w:r>
      <w:r w:rsidR="00A776B4" w:rsidRPr="002F569A">
        <w:rPr>
          <w:rFonts w:asciiTheme="majorHAnsi" w:hAnsiTheme="majorHAnsi"/>
          <w:sz w:val="20"/>
          <w:szCs w:val="20"/>
          <w:lang w:val="es-ES"/>
        </w:rPr>
        <w:t>responsables materiales</w:t>
      </w:r>
      <w:r w:rsidR="008028C9" w:rsidRPr="002F569A">
        <w:rPr>
          <w:rFonts w:asciiTheme="majorHAnsi" w:hAnsiTheme="majorHAnsi"/>
          <w:sz w:val="20"/>
          <w:szCs w:val="20"/>
          <w:lang w:val="es-ES"/>
        </w:rPr>
        <w:t xml:space="preserve"> e intelectuales, </w:t>
      </w:r>
      <w:r w:rsidR="00602A83" w:rsidRPr="002F569A">
        <w:rPr>
          <w:rFonts w:asciiTheme="majorHAnsi" w:hAnsiTheme="majorHAnsi"/>
          <w:sz w:val="20"/>
          <w:szCs w:val="20"/>
          <w:lang w:val="es-ES"/>
        </w:rPr>
        <w:t xml:space="preserve">podrían caracterizar </w:t>
      </w:r>
      <w:r w:rsidR="00602A83" w:rsidRPr="005D5651">
        <w:rPr>
          <w:rFonts w:asciiTheme="majorHAnsi" w:hAnsiTheme="majorHAnsi"/>
          <w:sz w:val="20"/>
          <w:szCs w:val="20"/>
          <w:lang w:val="es-ES"/>
        </w:rPr>
        <w:t xml:space="preserve">posibles violaciones a los derechos protegidos en los </w:t>
      </w:r>
      <w:r w:rsidR="00602A83" w:rsidRPr="005D5651">
        <w:rPr>
          <w:rFonts w:asciiTheme="majorHAnsi" w:hAnsiTheme="majorHAnsi"/>
          <w:color w:val="auto"/>
          <w:sz w:val="20"/>
          <w:szCs w:val="20"/>
          <w:lang w:val="es-ES"/>
        </w:rPr>
        <w:t>artículos</w:t>
      </w:r>
      <w:r w:rsidR="00602A83" w:rsidRPr="005D5651">
        <w:rPr>
          <w:rFonts w:asciiTheme="majorHAnsi" w:hAnsiTheme="majorHAnsi"/>
          <w:color w:val="0000FF"/>
          <w:sz w:val="20"/>
          <w:szCs w:val="20"/>
          <w:lang w:val="es-ES"/>
        </w:rPr>
        <w:t xml:space="preserve"> </w:t>
      </w:r>
      <w:r w:rsidR="00602A83" w:rsidRPr="002F569A">
        <w:rPr>
          <w:rFonts w:asciiTheme="majorHAnsi" w:hAnsiTheme="majorHAnsi"/>
          <w:bCs/>
          <w:sz w:val="20"/>
          <w:szCs w:val="20"/>
          <w:lang w:val="es-CO"/>
        </w:rPr>
        <w:t>4 (vida), 5 (integridad personal), 8 (garantías judiciales)</w:t>
      </w:r>
      <w:r w:rsidR="00422EBC">
        <w:rPr>
          <w:rFonts w:asciiTheme="majorHAnsi" w:hAnsiTheme="majorHAnsi"/>
          <w:bCs/>
          <w:sz w:val="20"/>
          <w:szCs w:val="20"/>
          <w:lang w:val="es-CO"/>
        </w:rPr>
        <w:t>,</w:t>
      </w:r>
      <w:r w:rsidR="0080258D">
        <w:rPr>
          <w:rFonts w:asciiTheme="majorHAnsi" w:hAnsiTheme="majorHAnsi"/>
          <w:bCs/>
          <w:sz w:val="20"/>
          <w:szCs w:val="20"/>
          <w:lang w:val="es-CO"/>
        </w:rPr>
        <w:t xml:space="preserve"> </w:t>
      </w:r>
      <w:r w:rsidR="00422EBC">
        <w:rPr>
          <w:rFonts w:asciiTheme="majorHAnsi" w:hAnsiTheme="majorHAnsi"/>
          <w:bCs/>
          <w:sz w:val="20"/>
          <w:szCs w:val="20"/>
          <w:lang w:val="es-CO"/>
        </w:rPr>
        <w:t xml:space="preserve">19 </w:t>
      </w:r>
      <w:r w:rsidR="00422EBC" w:rsidRPr="008F4C5E">
        <w:rPr>
          <w:rFonts w:asciiTheme="majorHAnsi" w:hAnsiTheme="majorHAnsi"/>
          <w:bCs/>
          <w:sz w:val="20"/>
          <w:szCs w:val="20"/>
          <w:lang w:val="es-CO"/>
        </w:rPr>
        <w:t>(</w:t>
      </w:r>
      <w:r w:rsidR="00422EBC">
        <w:rPr>
          <w:rFonts w:asciiTheme="majorHAnsi" w:hAnsiTheme="majorHAnsi"/>
          <w:bCs/>
          <w:sz w:val="20"/>
          <w:szCs w:val="20"/>
          <w:lang w:val="es-CO"/>
        </w:rPr>
        <w:t>derechos del niño</w:t>
      </w:r>
      <w:r w:rsidR="00422EBC" w:rsidRPr="008F4C5E">
        <w:rPr>
          <w:rFonts w:asciiTheme="majorHAnsi" w:hAnsiTheme="majorHAnsi"/>
          <w:bCs/>
          <w:sz w:val="20"/>
          <w:szCs w:val="20"/>
          <w:lang w:val="es-CO"/>
        </w:rPr>
        <w:t>)</w:t>
      </w:r>
      <w:r w:rsidR="00422EBC">
        <w:rPr>
          <w:rFonts w:asciiTheme="majorHAnsi" w:hAnsiTheme="majorHAnsi"/>
          <w:bCs/>
          <w:sz w:val="20"/>
          <w:szCs w:val="20"/>
          <w:lang w:val="es-CO"/>
        </w:rPr>
        <w:t>, 22 (</w:t>
      </w:r>
      <w:r w:rsidR="00422EBC">
        <w:rPr>
          <w:bCs/>
          <w:sz w:val="20"/>
          <w:szCs w:val="20"/>
          <w:lang w:val="es-CO"/>
        </w:rPr>
        <w:t>circulación y de residencia)</w:t>
      </w:r>
      <w:r w:rsidR="00745BCE">
        <w:rPr>
          <w:bCs/>
          <w:sz w:val="20"/>
          <w:szCs w:val="20"/>
          <w:lang w:val="es-CO"/>
        </w:rPr>
        <w:t>, 24 (igualdad ante la ley)</w:t>
      </w:r>
      <w:r w:rsidR="00422EBC">
        <w:rPr>
          <w:bCs/>
          <w:sz w:val="20"/>
          <w:szCs w:val="20"/>
          <w:lang w:val="es-CO"/>
        </w:rPr>
        <w:t xml:space="preserve"> </w:t>
      </w:r>
      <w:r w:rsidR="0080258D">
        <w:rPr>
          <w:rFonts w:asciiTheme="majorHAnsi" w:hAnsiTheme="majorHAnsi"/>
          <w:bCs/>
          <w:sz w:val="20"/>
          <w:szCs w:val="20"/>
          <w:lang w:val="es-CO"/>
        </w:rPr>
        <w:t xml:space="preserve">y 25 (protección judicial) </w:t>
      </w:r>
      <w:r w:rsidR="00602A83" w:rsidRPr="002F569A">
        <w:rPr>
          <w:rFonts w:asciiTheme="majorHAnsi" w:hAnsiTheme="majorHAnsi"/>
          <w:bCs/>
          <w:sz w:val="20"/>
          <w:szCs w:val="20"/>
          <w:lang w:val="es-CO"/>
        </w:rPr>
        <w:t>de la Convención Americana</w:t>
      </w:r>
      <w:r w:rsidR="00A10956">
        <w:rPr>
          <w:rFonts w:asciiTheme="majorHAnsi" w:hAnsiTheme="majorHAnsi"/>
          <w:bCs/>
          <w:sz w:val="20"/>
          <w:szCs w:val="20"/>
          <w:lang w:val="es-CO"/>
        </w:rPr>
        <w:t>,</w:t>
      </w:r>
      <w:r w:rsidR="00602A83" w:rsidRPr="002F569A">
        <w:rPr>
          <w:rFonts w:asciiTheme="majorHAnsi" w:hAnsiTheme="majorHAnsi"/>
          <w:bCs/>
          <w:sz w:val="20"/>
          <w:szCs w:val="20"/>
          <w:lang w:val="es-CO"/>
        </w:rPr>
        <w:t xml:space="preserve"> </w:t>
      </w:r>
      <w:r w:rsidR="0080258D">
        <w:rPr>
          <w:rFonts w:asciiTheme="majorHAnsi" w:hAnsiTheme="majorHAnsi"/>
          <w:bCs/>
          <w:sz w:val="20"/>
          <w:szCs w:val="20"/>
          <w:lang w:val="es-CO"/>
        </w:rPr>
        <w:t>en relación con sus</w:t>
      </w:r>
      <w:r w:rsidR="00A11549" w:rsidRPr="00A11549">
        <w:rPr>
          <w:rFonts w:asciiTheme="majorHAnsi" w:hAnsiTheme="majorHAnsi"/>
          <w:bCs/>
          <w:sz w:val="20"/>
          <w:szCs w:val="20"/>
          <w:lang w:val="es-CO"/>
        </w:rPr>
        <w:t xml:space="preserve"> artículo</w:t>
      </w:r>
      <w:r w:rsidR="0080258D">
        <w:rPr>
          <w:rFonts w:asciiTheme="majorHAnsi" w:hAnsiTheme="majorHAnsi"/>
          <w:bCs/>
          <w:sz w:val="20"/>
          <w:szCs w:val="20"/>
          <w:lang w:val="es-CO"/>
        </w:rPr>
        <w:t>s</w:t>
      </w:r>
      <w:r w:rsidR="00A11549" w:rsidRPr="00A11549">
        <w:rPr>
          <w:rFonts w:asciiTheme="majorHAnsi" w:hAnsiTheme="majorHAnsi"/>
          <w:bCs/>
          <w:sz w:val="20"/>
          <w:szCs w:val="20"/>
          <w:lang w:val="es-CO"/>
        </w:rPr>
        <w:t xml:space="preserve"> 1.1 y 2, respecto de las presuntas víctimas y sus familiares.</w:t>
      </w:r>
    </w:p>
    <w:p w14:paraId="29BB41F5" w14:textId="77777777" w:rsidR="003239B8" w:rsidRPr="0078770A" w:rsidRDefault="003239B8" w:rsidP="008028C9">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711E036D" w:rsidR="000419AD" w:rsidRPr="002F569A" w:rsidRDefault="003239B8" w:rsidP="000419A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5D5651">
        <w:rPr>
          <w:rFonts w:asciiTheme="majorHAnsi" w:hAnsiTheme="majorHAnsi"/>
          <w:sz w:val="20"/>
          <w:szCs w:val="20"/>
          <w:lang w:val="es-ES"/>
        </w:rPr>
        <w:t xml:space="preserve">Declarar admisible la presente petición en relación con </w:t>
      </w:r>
      <w:r w:rsidR="00E420C7" w:rsidRPr="005D5651">
        <w:rPr>
          <w:rFonts w:asciiTheme="majorHAnsi" w:hAnsiTheme="majorHAnsi"/>
          <w:sz w:val="20"/>
          <w:szCs w:val="20"/>
          <w:lang w:val="es-ES"/>
        </w:rPr>
        <w:t xml:space="preserve">los artículos 4, 5, 8, </w:t>
      </w:r>
      <w:r w:rsidR="00FB5466">
        <w:rPr>
          <w:rFonts w:asciiTheme="majorHAnsi" w:hAnsiTheme="majorHAnsi"/>
          <w:sz w:val="20"/>
          <w:szCs w:val="20"/>
          <w:lang w:val="es-ES"/>
        </w:rPr>
        <w:t>19, 22</w:t>
      </w:r>
      <w:r w:rsidR="00745BCE">
        <w:rPr>
          <w:rFonts w:asciiTheme="majorHAnsi" w:hAnsiTheme="majorHAnsi"/>
          <w:sz w:val="20"/>
          <w:szCs w:val="20"/>
          <w:lang w:val="es-ES"/>
        </w:rPr>
        <w:t>, 24</w:t>
      </w:r>
      <w:r w:rsidR="00633A7D">
        <w:rPr>
          <w:rFonts w:asciiTheme="majorHAnsi" w:hAnsiTheme="majorHAnsi"/>
          <w:sz w:val="20"/>
          <w:szCs w:val="20"/>
          <w:lang w:val="es-ES"/>
        </w:rPr>
        <w:t xml:space="preserve"> y</w:t>
      </w:r>
      <w:r w:rsidR="00FB5466">
        <w:rPr>
          <w:rFonts w:asciiTheme="majorHAnsi" w:hAnsiTheme="majorHAnsi"/>
          <w:sz w:val="20"/>
          <w:szCs w:val="20"/>
          <w:lang w:val="es-ES"/>
        </w:rPr>
        <w:t xml:space="preserve"> </w:t>
      </w:r>
      <w:r w:rsidR="00E420C7" w:rsidRPr="005D5651">
        <w:rPr>
          <w:rFonts w:asciiTheme="majorHAnsi" w:hAnsiTheme="majorHAnsi"/>
          <w:sz w:val="20"/>
          <w:szCs w:val="20"/>
          <w:lang w:val="es-ES"/>
        </w:rPr>
        <w:t xml:space="preserve">25 </w:t>
      </w:r>
      <w:r w:rsidR="0080258D">
        <w:rPr>
          <w:rFonts w:asciiTheme="majorHAnsi" w:hAnsiTheme="majorHAnsi"/>
          <w:sz w:val="20"/>
          <w:szCs w:val="20"/>
          <w:lang w:val="es-ES"/>
        </w:rPr>
        <w:t>de la</w:t>
      </w:r>
      <w:r w:rsidR="00E420C7" w:rsidRPr="005D5651">
        <w:rPr>
          <w:rFonts w:asciiTheme="majorHAnsi" w:hAnsiTheme="majorHAnsi"/>
          <w:sz w:val="20"/>
          <w:szCs w:val="20"/>
          <w:lang w:val="es-ES"/>
        </w:rPr>
        <w:t xml:space="preserve"> Convenció</w:t>
      </w:r>
      <w:r w:rsidR="00E420C7" w:rsidRPr="002F569A">
        <w:rPr>
          <w:rFonts w:asciiTheme="majorHAnsi" w:hAnsiTheme="majorHAnsi"/>
          <w:sz w:val="20"/>
          <w:szCs w:val="20"/>
          <w:lang w:val="es-ES"/>
        </w:rPr>
        <w:t>n Americana en conexión con su</w:t>
      </w:r>
      <w:r w:rsidR="00EA26F2" w:rsidRPr="002F569A">
        <w:rPr>
          <w:rFonts w:asciiTheme="majorHAnsi" w:hAnsiTheme="majorHAnsi"/>
          <w:sz w:val="20"/>
          <w:szCs w:val="20"/>
          <w:lang w:val="es-ES"/>
        </w:rPr>
        <w:t>s</w:t>
      </w:r>
      <w:r w:rsidR="00E420C7" w:rsidRPr="002F569A">
        <w:rPr>
          <w:rFonts w:asciiTheme="majorHAnsi" w:hAnsiTheme="majorHAnsi"/>
          <w:sz w:val="20"/>
          <w:szCs w:val="20"/>
          <w:lang w:val="es-ES"/>
        </w:rPr>
        <w:t xml:space="preserve"> artículo</w:t>
      </w:r>
      <w:r w:rsidR="00EA26F2" w:rsidRPr="002F569A">
        <w:rPr>
          <w:rFonts w:asciiTheme="majorHAnsi" w:hAnsiTheme="majorHAnsi"/>
          <w:sz w:val="20"/>
          <w:szCs w:val="20"/>
          <w:lang w:val="es-ES"/>
        </w:rPr>
        <w:t>s</w:t>
      </w:r>
      <w:r w:rsidR="00E420C7" w:rsidRPr="002F569A">
        <w:rPr>
          <w:rFonts w:asciiTheme="majorHAnsi" w:hAnsiTheme="majorHAnsi"/>
          <w:sz w:val="20"/>
          <w:szCs w:val="20"/>
          <w:lang w:val="es-ES"/>
        </w:rPr>
        <w:t xml:space="preserve"> 1.1</w:t>
      </w:r>
      <w:r w:rsidR="00EA26F2" w:rsidRPr="002F569A">
        <w:rPr>
          <w:rFonts w:asciiTheme="majorHAnsi" w:hAnsiTheme="majorHAnsi"/>
          <w:sz w:val="20"/>
          <w:szCs w:val="20"/>
          <w:lang w:val="es-ES"/>
        </w:rPr>
        <w:t xml:space="preserve"> y 2</w:t>
      </w:r>
      <w:r w:rsidR="00E420C7" w:rsidRPr="002F569A">
        <w:rPr>
          <w:rFonts w:asciiTheme="majorHAnsi" w:hAnsiTheme="majorHAnsi"/>
          <w:sz w:val="20"/>
          <w:szCs w:val="20"/>
          <w:lang w:val="es-ES"/>
        </w:rPr>
        <w:t>; y</w:t>
      </w:r>
    </w:p>
    <w:p w14:paraId="12A7002C" w14:textId="77777777" w:rsidR="004A6A54" w:rsidRPr="002F569A" w:rsidRDefault="004A6A54" w:rsidP="007F130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F569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BB28B77" w14:textId="12AC1886" w:rsidR="00F34449" w:rsidRDefault="00F34449" w:rsidP="00F34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20</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septiembre</w:t>
      </w:r>
      <w:r w:rsidRPr="00E75191">
        <w:rPr>
          <w:rFonts w:asciiTheme="majorHAnsi" w:hAnsiTheme="majorHAnsi"/>
          <w:sz w:val="20"/>
          <w:szCs w:val="20"/>
          <w:lang w:val="es-ES"/>
        </w:rPr>
        <w:t xml:space="preserve"> de 2018.  (Firmado): Margarette May Macaulay, Presidenta; Esmeralda E. Arosemena Bernal de Troitiño, Primera Vicepresidenta; Francisco José Eguiguren Praeli, Joel Hernández García, Antonia Urrejola, y Flávia Piovesan, Miembros de la Comisión.</w:t>
      </w:r>
    </w:p>
    <w:p w14:paraId="36B0D29C" w14:textId="77777777" w:rsidR="00F34449" w:rsidRDefault="00F34449" w:rsidP="00F34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p w14:paraId="661FF826" w14:textId="741EBD5A" w:rsidR="00422EBC" w:rsidRPr="00F34449" w:rsidRDefault="00F34449" w:rsidP="00E95D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Pr>
          <w:rFonts w:asciiTheme="majorHAnsi" w:hAnsiTheme="majorHAnsi"/>
          <w:sz w:val="20"/>
          <w:szCs w:val="20"/>
          <w:lang w:val="es-ES"/>
        </w:rPr>
        <w:tab/>
      </w:r>
    </w:p>
    <w:p w14:paraId="166E83B4" w14:textId="67D15E6A" w:rsidR="00E45990" w:rsidRPr="00F34449" w:rsidRDefault="00E45990" w:rsidP="00E45990">
      <w:pPr>
        <w:jc w:val="center"/>
        <w:rPr>
          <w:rFonts w:asciiTheme="majorHAnsi" w:hAnsiTheme="majorHAnsi"/>
          <w:b/>
          <w:sz w:val="20"/>
          <w:szCs w:val="20"/>
          <w:lang w:val="pt-BR"/>
        </w:rPr>
      </w:pPr>
      <w:r w:rsidRPr="00F34449">
        <w:rPr>
          <w:rFonts w:asciiTheme="majorHAnsi" w:hAnsiTheme="majorHAnsi"/>
          <w:b/>
          <w:sz w:val="20"/>
          <w:szCs w:val="20"/>
          <w:lang w:val="pt-BR"/>
        </w:rPr>
        <w:lastRenderedPageBreak/>
        <w:t>Anexo</w:t>
      </w:r>
    </w:p>
    <w:p w14:paraId="28BF5B2C" w14:textId="25A1FA10" w:rsidR="00E45990" w:rsidRPr="00020419" w:rsidRDefault="00E45990" w:rsidP="00E45990">
      <w:pPr>
        <w:jc w:val="center"/>
        <w:rPr>
          <w:rFonts w:asciiTheme="majorHAnsi" w:hAnsiTheme="majorHAnsi"/>
          <w:b/>
          <w:sz w:val="20"/>
          <w:szCs w:val="20"/>
          <w:lang w:val="es-CO"/>
        </w:rPr>
      </w:pPr>
      <w:r w:rsidRPr="00020419">
        <w:rPr>
          <w:rFonts w:asciiTheme="majorHAnsi" w:hAnsiTheme="majorHAnsi"/>
          <w:b/>
          <w:sz w:val="20"/>
          <w:szCs w:val="20"/>
          <w:lang w:val="es-CO"/>
        </w:rPr>
        <w:t>LISTADO DE PRESUNTAS VÍCTIMAS</w:t>
      </w:r>
      <w:r w:rsidR="00917ACF" w:rsidRPr="00020419">
        <w:rPr>
          <w:rFonts w:asciiTheme="majorHAnsi" w:hAnsiTheme="majorHAnsi"/>
          <w:b/>
          <w:sz w:val="20"/>
          <w:szCs w:val="20"/>
          <w:lang w:val="es-CO"/>
        </w:rPr>
        <w:t xml:space="preserve"> Y SUS FAMILIARES</w:t>
      </w:r>
    </w:p>
    <w:p w14:paraId="20EEACC6" w14:textId="77777777" w:rsidR="00E45990" w:rsidRPr="00020419" w:rsidRDefault="00E45990" w:rsidP="00E45990">
      <w:pPr>
        <w:rPr>
          <w:rFonts w:asciiTheme="majorHAnsi" w:hAnsiTheme="majorHAnsi"/>
          <w:b/>
          <w:sz w:val="20"/>
          <w:szCs w:val="20"/>
          <w:lang w:val="es-CO"/>
        </w:rPr>
      </w:pPr>
    </w:p>
    <w:p w14:paraId="4488A9F2" w14:textId="37A8382F" w:rsidR="007C5CDA" w:rsidRPr="007C5CDA" w:rsidRDefault="007C5CDA" w:rsidP="007C5CDA">
      <w:pPr>
        <w:pStyle w:val="ListParagraph"/>
        <w:numPr>
          <w:ilvl w:val="0"/>
          <w:numId w:val="70"/>
        </w:numPr>
        <w:rPr>
          <w:rFonts w:asciiTheme="majorHAnsi" w:hAnsiTheme="majorHAnsi"/>
          <w:b/>
          <w:sz w:val="20"/>
          <w:szCs w:val="20"/>
          <w:lang w:val="es-CO"/>
        </w:rPr>
      </w:pPr>
      <w:r w:rsidRPr="007C5CDA">
        <w:rPr>
          <w:rFonts w:asciiTheme="majorHAnsi" w:eastAsia="Times New Roman" w:hAnsiTheme="majorHAnsi"/>
          <w:b/>
          <w:sz w:val="20"/>
          <w:szCs w:val="20"/>
          <w:lang w:val="es-CO"/>
        </w:rPr>
        <w:t>Delis Palacio Herrón (lesionada)</w:t>
      </w:r>
      <w:r w:rsidRPr="007C5CDA">
        <w:rPr>
          <w:rFonts w:asciiTheme="majorHAnsi" w:hAnsiTheme="majorHAnsi"/>
          <w:b/>
          <w:sz w:val="20"/>
          <w:szCs w:val="20"/>
          <w:lang w:val="es-CO"/>
        </w:rPr>
        <w:t xml:space="preserve"> </w:t>
      </w:r>
    </w:p>
    <w:p w14:paraId="49EC6F32" w14:textId="77777777" w:rsidR="007C5CDA" w:rsidRDefault="007C5CDA" w:rsidP="007C5CDA">
      <w:pPr>
        <w:rPr>
          <w:rFonts w:asciiTheme="majorHAnsi" w:eastAsia="Times New Roman" w:hAnsiTheme="majorHAnsi"/>
          <w:color w:val="000000"/>
          <w:sz w:val="20"/>
          <w:szCs w:val="20"/>
          <w:lang w:val="es-CO"/>
        </w:rPr>
      </w:pPr>
    </w:p>
    <w:p w14:paraId="6244BDF2" w14:textId="0198D613" w:rsidR="007C5CDA" w:rsidRPr="00020419" w:rsidRDefault="007C5CDA" w:rsidP="00956538">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heme="majorHAnsi" w:eastAsia="Times New Roman" w:hAnsiTheme="majorHAnsi"/>
          <w:color w:val="000000"/>
          <w:sz w:val="20"/>
          <w:szCs w:val="20"/>
          <w:lang w:val="es-CO"/>
        </w:rPr>
      </w:pPr>
      <w:r w:rsidRPr="00020419">
        <w:rPr>
          <w:rFonts w:asciiTheme="majorHAnsi" w:eastAsia="Times New Roman" w:hAnsiTheme="majorHAnsi"/>
          <w:color w:val="000000"/>
          <w:sz w:val="20"/>
          <w:szCs w:val="20"/>
          <w:lang w:val="es-CO"/>
        </w:rPr>
        <w:t>Familiares</w:t>
      </w:r>
      <w:r>
        <w:rPr>
          <w:rFonts w:asciiTheme="majorHAnsi" w:eastAsia="Times New Roman" w:hAnsiTheme="majorHAnsi"/>
          <w:color w:val="000000"/>
          <w:sz w:val="20"/>
          <w:szCs w:val="20"/>
          <w:lang w:val="es-CO"/>
        </w:rPr>
        <w:t>:</w:t>
      </w:r>
    </w:p>
    <w:p w14:paraId="0237CC74"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Manuel Ciriaco Lescano Correa (compañero permanente)</w:t>
      </w:r>
    </w:p>
    <w:p w14:paraId="31AB21F5"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Luis Hernán Palacios Asprilla (padre)</w:t>
      </w:r>
    </w:p>
    <w:p w14:paraId="0D42871B"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Elvia Tulia Herrón (madre)</w:t>
      </w:r>
    </w:p>
    <w:p w14:paraId="4C45CBC8"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Erna Palacios Herrón (hermana)</w:t>
      </w:r>
    </w:p>
    <w:p w14:paraId="2CA7A19B"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Jhojary Palacios Herrón (hermano)</w:t>
      </w:r>
    </w:p>
    <w:p w14:paraId="35EF8B01"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Jhonnier Palacios Herrón (hermano)</w:t>
      </w:r>
    </w:p>
    <w:p w14:paraId="41B47B15"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Giovanni Palacios Herrón (hermano)</w:t>
      </w:r>
    </w:p>
    <w:p w14:paraId="43E2A6AD"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rPr>
        <w:t xml:space="preserve">Yanelvis Palacios Mosquera </w:t>
      </w:r>
      <w:r w:rsidRPr="00020419">
        <w:rPr>
          <w:rFonts w:asciiTheme="majorHAnsi" w:eastAsia="Times New Roman" w:hAnsiTheme="majorHAnsi"/>
          <w:sz w:val="20"/>
          <w:szCs w:val="20"/>
          <w:lang w:val="es-CO"/>
        </w:rPr>
        <w:t>(hermana)</w:t>
      </w:r>
    </w:p>
    <w:p w14:paraId="692110B7"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rPr>
        <w:t xml:space="preserve">Yadiancy Palacios Mosquera </w:t>
      </w:r>
      <w:r w:rsidRPr="00020419">
        <w:rPr>
          <w:rFonts w:asciiTheme="majorHAnsi" w:eastAsia="Times New Roman" w:hAnsiTheme="majorHAnsi"/>
          <w:sz w:val="20"/>
          <w:szCs w:val="20"/>
          <w:lang w:val="es-CO"/>
        </w:rPr>
        <w:t>(hermana)</w:t>
      </w:r>
    </w:p>
    <w:p w14:paraId="348B1C77"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Verni Palacios Herrón(hermana)</w:t>
      </w:r>
    </w:p>
    <w:p w14:paraId="57CFCEDB"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Yasnice Palacios Herrón (hermana)</w:t>
      </w:r>
    </w:p>
    <w:p w14:paraId="5A3F884A"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Luz Nelly Palacios Herrón (hermana)</w:t>
      </w:r>
    </w:p>
    <w:p w14:paraId="525C6BD4"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proofErr w:type="spellStart"/>
      <w:r w:rsidRPr="005E4876">
        <w:rPr>
          <w:rFonts w:asciiTheme="majorHAnsi" w:eastAsia="Times New Roman" w:hAnsiTheme="majorHAnsi"/>
          <w:sz w:val="20"/>
          <w:szCs w:val="20"/>
          <w:lang w:val="es-US"/>
        </w:rPr>
        <w:t>Yanny</w:t>
      </w:r>
      <w:proofErr w:type="spellEnd"/>
      <w:r w:rsidRPr="005E4876">
        <w:rPr>
          <w:rFonts w:asciiTheme="majorHAnsi" w:eastAsia="Times New Roman" w:hAnsiTheme="majorHAnsi"/>
          <w:sz w:val="20"/>
          <w:szCs w:val="20"/>
          <w:lang w:val="es-US"/>
        </w:rPr>
        <w:t xml:space="preserve"> Maria Palacios Mosquera </w:t>
      </w:r>
      <w:r w:rsidRPr="00020419">
        <w:rPr>
          <w:rFonts w:asciiTheme="majorHAnsi" w:eastAsia="Times New Roman" w:hAnsiTheme="majorHAnsi"/>
          <w:sz w:val="20"/>
          <w:szCs w:val="20"/>
          <w:lang w:val="es-CO"/>
        </w:rPr>
        <w:t>(hermana)</w:t>
      </w:r>
    </w:p>
    <w:p w14:paraId="3EA181E7"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Yaminson Palacios Mosquera (hermano)</w:t>
      </w:r>
    </w:p>
    <w:p w14:paraId="5501453F"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rPr>
        <w:t xml:space="preserve">Paulo Palacios Orejuela </w:t>
      </w:r>
      <w:r w:rsidRPr="00020419">
        <w:rPr>
          <w:rFonts w:asciiTheme="majorHAnsi" w:eastAsia="Times New Roman" w:hAnsiTheme="majorHAnsi"/>
          <w:sz w:val="20"/>
          <w:szCs w:val="20"/>
          <w:lang w:val="es-CO"/>
        </w:rPr>
        <w:t>(hermano)</w:t>
      </w:r>
    </w:p>
    <w:p w14:paraId="2CCA62EC" w14:textId="77777777" w:rsidR="007C5CDA" w:rsidRPr="00020419" w:rsidRDefault="007C5CDA" w:rsidP="007C5CD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Eulogio  Palacios Orejuela (hermano)</w:t>
      </w:r>
    </w:p>
    <w:p w14:paraId="6B41B3D3" w14:textId="77777777" w:rsidR="007C5CDA" w:rsidRDefault="007C5CDA" w:rsidP="007C5CD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p>
    <w:p w14:paraId="363E3377" w14:textId="6D16A219" w:rsidR="007C5CDA" w:rsidRPr="007C5CDA" w:rsidRDefault="007C5CDA" w:rsidP="007C5CDA">
      <w:pPr>
        <w:pStyle w:val="ListParagraph"/>
        <w:numPr>
          <w:ilvl w:val="0"/>
          <w:numId w:val="70"/>
        </w:numPr>
        <w:rPr>
          <w:rFonts w:asciiTheme="majorHAnsi" w:eastAsia="Times New Roman" w:hAnsiTheme="majorHAnsi"/>
          <w:b/>
          <w:sz w:val="20"/>
          <w:szCs w:val="20"/>
          <w:lang w:val="es-CO"/>
        </w:rPr>
      </w:pPr>
      <w:r w:rsidRPr="007C5CDA">
        <w:rPr>
          <w:rFonts w:asciiTheme="majorHAnsi" w:eastAsia="Times New Roman" w:hAnsiTheme="majorHAnsi"/>
          <w:b/>
          <w:sz w:val="20"/>
          <w:szCs w:val="20"/>
          <w:lang w:val="es-CO"/>
        </w:rPr>
        <w:t>Yudelys Lescano Palacios (lesionada)</w:t>
      </w:r>
    </w:p>
    <w:p w14:paraId="15EFAA55" w14:textId="77777777" w:rsidR="007C5CDA" w:rsidRPr="007C5CDA" w:rsidRDefault="007C5CDA" w:rsidP="007C5CDA">
      <w:pPr>
        <w:pStyle w:val="ListParagraph"/>
        <w:rPr>
          <w:rFonts w:asciiTheme="majorHAnsi" w:eastAsia="Times New Roman" w:hAnsiTheme="majorHAnsi"/>
          <w:b/>
          <w:sz w:val="20"/>
          <w:szCs w:val="20"/>
          <w:lang w:val="es-CO"/>
        </w:rPr>
      </w:pPr>
    </w:p>
    <w:p w14:paraId="32DBE7FC" w14:textId="62FA72FA" w:rsidR="00E45990" w:rsidRPr="007C5CDA" w:rsidRDefault="00232EF3" w:rsidP="007C5CDA">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lang w:val="es-CO"/>
        </w:rPr>
      </w:pPr>
      <w:r w:rsidRPr="007C5CDA">
        <w:rPr>
          <w:rFonts w:asciiTheme="majorHAnsi" w:eastAsia="Times New Roman" w:hAnsiTheme="majorHAnsi"/>
          <w:b/>
          <w:sz w:val="20"/>
          <w:szCs w:val="20"/>
          <w:lang w:val="es-CO"/>
        </w:rPr>
        <w:t>Benjamín</w:t>
      </w:r>
      <w:r w:rsidR="00E45990" w:rsidRPr="007C5CDA">
        <w:rPr>
          <w:rFonts w:asciiTheme="majorHAnsi" w:eastAsia="Times New Roman" w:hAnsiTheme="majorHAnsi"/>
          <w:b/>
          <w:sz w:val="20"/>
          <w:szCs w:val="20"/>
          <w:lang w:val="es-CO"/>
        </w:rPr>
        <w:t xml:space="preserve"> Antonio Palacios </w:t>
      </w:r>
      <w:r w:rsidRPr="007C5CDA">
        <w:rPr>
          <w:rFonts w:asciiTheme="majorHAnsi" w:eastAsia="Times New Roman" w:hAnsiTheme="majorHAnsi"/>
          <w:b/>
          <w:sz w:val="20"/>
          <w:szCs w:val="20"/>
          <w:lang w:val="es-CO"/>
        </w:rPr>
        <w:t>Zúñiga</w:t>
      </w:r>
      <w:r w:rsidR="00E45990" w:rsidRPr="007C5CDA">
        <w:rPr>
          <w:rFonts w:asciiTheme="majorHAnsi" w:eastAsia="Times New Roman" w:hAnsiTheme="majorHAnsi"/>
          <w:b/>
          <w:sz w:val="20"/>
          <w:szCs w:val="20"/>
          <w:lang w:val="es-CO"/>
        </w:rPr>
        <w:t xml:space="preserve"> (fallecido)</w:t>
      </w:r>
    </w:p>
    <w:p w14:paraId="230DFAE3" w14:textId="77777777" w:rsidR="00E45990" w:rsidRDefault="00E45990" w:rsidP="00E4599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0"/>
          <w:szCs w:val="20"/>
          <w:lang w:val="es-CO"/>
        </w:rPr>
      </w:pPr>
    </w:p>
    <w:p w14:paraId="735F175F" w14:textId="5F59492D" w:rsidR="00D546F4" w:rsidRPr="00020419" w:rsidRDefault="00D546F4" w:rsidP="00956538">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heme="majorHAnsi" w:eastAsia="Times New Roman" w:hAnsiTheme="majorHAnsi"/>
          <w:color w:val="000000"/>
          <w:sz w:val="20"/>
          <w:szCs w:val="20"/>
          <w:lang w:val="es-CO"/>
        </w:rPr>
      </w:pPr>
      <w:r w:rsidRPr="00020419">
        <w:rPr>
          <w:rFonts w:asciiTheme="majorHAnsi" w:eastAsia="Times New Roman" w:hAnsiTheme="majorHAnsi"/>
          <w:color w:val="000000"/>
          <w:sz w:val="20"/>
          <w:szCs w:val="20"/>
          <w:lang w:val="es-CO"/>
        </w:rPr>
        <w:t>Familiares</w:t>
      </w:r>
      <w:r w:rsidR="00835BE2">
        <w:rPr>
          <w:rFonts w:asciiTheme="majorHAnsi" w:eastAsia="Times New Roman" w:hAnsiTheme="majorHAnsi"/>
          <w:color w:val="000000"/>
          <w:sz w:val="20"/>
          <w:szCs w:val="20"/>
          <w:lang w:val="es-CO"/>
        </w:rPr>
        <w:t>:</w:t>
      </w:r>
    </w:p>
    <w:p w14:paraId="5D9378BE" w14:textId="229273FB" w:rsidR="00E45990" w:rsidRPr="00020419" w:rsidRDefault="00232EF3"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Pr>
          <w:rFonts w:asciiTheme="majorHAnsi" w:eastAsia="Times New Roman" w:hAnsiTheme="majorHAnsi"/>
          <w:color w:val="000000"/>
          <w:sz w:val="20"/>
          <w:szCs w:val="20"/>
          <w:lang w:val="es-CO"/>
        </w:rPr>
        <w:t>Elvia Tulia Errón Zú</w:t>
      </w:r>
      <w:r w:rsidR="00E45990" w:rsidRPr="00020419">
        <w:rPr>
          <w:rFonts w:asciiTheme="majorHAnsi" w:eastAsia="Times New Roman" w:hAnsiTheme="majorHAnsi"/>
          <w:color w:val="000000"/>
          <w:sz w:val="20"/>
          <w:szCs w:val="20"/>
          <w:lang w:val="es-CO"/>
        </w:rPr>
        <w:t>ñiga (hermana)</w:t>
      </w:r>
    </w:p>
    <w:p w14:paraId="7D8BEA2F" w14:textId="77777777" w:rsidR="00E45990" w:rsidRPr="00020419" w:rsidRDefault="00E45990" w:rsidP="00E45990">
      <w:pPr>
        <w:rPr>
          <w:rFonts w:asciiTheme="majorHAnsi" w:hAnsiTheme="majorHAnsi"/>
          <w:b/>
          <w:sz w:val="20"/>
          <w:szCs w:val="20"/>
          <w:lang w:val="es-CO"/>
        </w:rPr>
      </w:pPr>
    </w:p>
    <w:p w14:paraId="1D067D6C" w14:textId="18A26397" w:rsidR="00E45990" w:rsidRPr="007C5CDA" w:rsidRDefault="00E45990" w:rsidP="007C5CDA">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rPr>
      </w:pPr>
      <w:r w:rsidRPr="007C5CDA">
        <w:rPr>
          <w:rFonts w:asciiTheme="majorHAnsi" w:eastAsia="Times New Roman" w:hAnsiTheme="majorHAnsi"/>
          <w:b/>
          <w:sz w:val="20"/>
          <w:szCs w:val="20"/>
        </w:rPr>
        <w:t>Eladio Moreno Torres (fallecido)</w:t>
      </w:r>
    </w:p>
    <w:p w14:paraId="6CCE6EBB" w14:textId="77777777" w:rsidR="00E45990" w:rsidRPr="00020419" w:rsidRDefault="00E45990" w:rsidP="00E4599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0"/>
          <w:szCs w:val="20"/>
        </w:rPr>
      </w:pPr>
    </w:p>
    <w:p w14:paraId="4CE24410" w14:textId="7F593EFA" w:rsidR="00835BE2" w:rsidRPr="00956538" w:rsidRDefault="00835BE2" w:rsidP="00956538">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heme="majorHAnsi" w:eastAsia="Times New Roman" w:hAnsiTheme="majorHAnsi"/>
          <w:color w:val="000000"/>
          <w:sz w:val="20"/>
          <w:szCs w:val="20"/>
          <w:lang w:val="es-CO"/>
        </w:rPr>
      </w:pPr>
      <w:r w:rsidRPr="00020419">
        <w:rPr>
          <w:rFonts w:asciiTheme="majorHAnsi" w:eastAsia="Times New Roman" w:hAnsiTheme="majorHAnsi"/>
          <w:color w:val="000000"/>
          <w:sz w:val="20"/>
          <w:szCs w:val="20"/>
          <w:lang w:val="es-CO"/>
        </w:rPr>
        <w:t>Familiares</w:t>
      </w:r>
      <w:r>
        <w:rPr>
          <w:rFonts w:asciiTheme="majorHAnsi" w:eastAsia="Times New Roman" w:hAnsiTheme="majorHAnsi"/>
          <w:color w:val="000000"/>
          <w:sz w:val="20"/>
          <w:szCs w:val="20"/>
          <w:lang w:val="es-CO"/>
        </w:rPr>
        <w:t>:</w:t>
      </w:r>
    </w:p>
    <w:p w14:paraId="6BE08809" w14:textId="6F61AAF2"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5E4876">
        <w:rPr>
          <w:rFonts w:asciiTheme="majorHAnsi" w:eastAsia="Times New Roman" w:hAnsiTheme="majorHAnsi"/>
          <w:color w:val="000000"/>
          <w:sz w:val="20"/>
          <w:szCs w:val="20"/>
          <w:lang w:val="es-US"/>
        </w:rPr>
        <w:t xml:space="preserve">Dora Maria Palacios </w:t>
      </w:r>
      <w:proofErr w:type="spellStart"/>
      <w:r w:rsidRPr="005E4876">
        <w:rPr>
          <w:rFonts w:asciiTheme="majorHAnsi" w:eastAsia="Times New Roman" w:hAnsiTheme="majorHAnsi"/>
          <w:color w:val="000000"/>
          <w:sz w:val="20"/>
          <w:szCs w:val="20"/>
          <w:lang w:val="es-US"/>
        </w:rPr>
        <w:t>Blandon</w:t>
      </w:r>
      <w:proofErr w:type="spellEnd"/>
      <w:r w:rsidRPr="005E4876">
        <w:rPr>
          <w:rFonts w:asciiTheme="majorHAnsi" w:eastAsia="Times New Roman" w:hAnsiTheme="majorHAnsi"/>
          <w:color w:val="000000"/>
          <w:sz w:val="20"/>
          <w:szCs w:val="20"/>
          <w:lang w:val="es-US"/>
        </w:rPr>
        <w:t xml:space="preserve"> (esposa)</w:t>
      </w:r>
    </w:p>
    <w:p w14:paraId="1FCFAF91"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color w:val="000000"/>
          <w:sz w:val="20"/>
          <w:szCs w:val="20"/>
        </w:rPr>
        <w:t>Dorila Moreno Palacios (hija)</w:t>
      </w:r>
    </w:p>
    <w:p w14:paraId="7D8F0F89"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color w:val="000000"/>
          <w:sz w:val="20"/>
          <w:szCs w:val="20"/>
        </w:rPr>
        <w:t>Daniel Moreno Palacios (hijo)</w:t>
      </w:r>
    </w:p>
    <w:p w14:paraId="7453EE02"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color w:val="000000"/>
          <w:sz w:val="20"/>
          <w:szCs w:val="20"/>
        </w:rPr>
        <w:t>Josue Moreno Palacios (hijo)</w:t>
      </w:r>
    </w:p>
    <w:p w14:paraId="52DEAA80"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color w:val="000000"/>
          <w:sz w:val="20"/>
          <w:szCs w:val="20"/>
        </w:rPr>
        <w:t>Hosnay Moreno Palacios (hijo)</w:t>
      </w:r>
    </w:p>
    <w:p w14:paraId="433FE05E"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color w:val="000000"/>
          <w:sz w:val="20"/>
          <w:szCs w:val="20"/>
          <w:lang w:val="es-CO"/>
        </w:rPr>
        <w:t>Edgar Antonio Moreno Palacios (hijo)</w:t>
      </w:r>
    </w:p>
    <w:p w14:paraId="048F5742"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sz w:val="20"/>
          <w:szCs w:val="20"/>
        </w:rPr>
        <w:t>Carlina Moreno Palacios (</w:t>
      </w:r>
      <w:r w:rsidRPr="00020419">
        <w:rPr>
          <w:rFonts w:asciiTheme="majorHAnsi" w:eastAsia="Times New Roman" w:hAnsiTheme="majorHAnsi"/>
          <w:color w:val="000000"/>
          <w:sz w:val="20"/>
          <w:szCs w:val="20"/>
        </w:rPr>
        <w:t>hija)</w:t>
      </w:r>
    </w:p>
    <w:p w14:paraId="0A13420A"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color w:val="000000"/>
          <w:sz w:val="20"/>
          <w:szCs w:val="20"/>
        </w:rPr>
        <w:t>Regino Moreno Mosquera (padre)</w:t>
      </w:r>
    </w:p>
    <w:p w14:paraId="1FD942EA"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5E4876">
        <w:rPr>
          <w:rFonts w:asciiTheme="majorHAnsi" w:eastAsia="Times New Roman" w:hAnsiTheme="majorHAnsi"/>
          <w:color w:val="000000"/>
          <w:sz w:val="20"/>
          <w:szCs w:val="20"/>
          <w:lang w:val="es-US"/>
        </w:rPr>
        <w:t xml:space="preserve">Luis </w:t>
      </w:r>
      <w:proofErr w:type="spellStart"/>
      <w:r w:rsidRPr="005E4876">
        <w:rPr>
          <w:rFonts w:asciiTheme="majorHAnsi" w:eastAsia="Times New Roman" w:hAnsiTheme="majorHAnsi"/>
          <w:color w:val="000000"/>
          <w:sz w:val="20"/>
          <w:szCs w:val="20"/>
          <w:lang w:val="es-US"/>
        </w:rPr>
        <w:t>Anges</w:t>
      </w:r>
      <w:proofErr w:type="spellEnd"/>
      <w:r w:rsidRPr="005E4876">
        <w:rPr>
          <w:rFonts w:asciiTheme="majorHAnsi" w:eastAsia="Times New Roman" w:hAnsiTheme="majorHAnsi"/>
          <w:color w:val="000000"/>
          <w:sz w:val="20"/>
          <w:szCs w:val="20"/>
          <w:lang w:val="es-US"/>
        </w:rPr>
        <w:t xml:space="preserve"> Palacios Torres (hermano)</w:t>
      </w:r>
    </w:p>
    <w:p w14:paraId="6CE8D735" w14:textId="690C4372"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color w:val="000000"/>
          <w:sz w:val="20"/>
          <w:szCs w:val="20"/>
          <w:lang w:val="es-CO"/>
        </w:rPr>
        <w:t xml:space="preserve">Clara </w:t>
      </w:r>
      <w:r w:rsidR="00232EF3" w:rsidRPr="00020419">
        <w:rPr>
          <w:rFonts w:asciiTheme="majorHAnsi" w:eastAsia="Times New Roman" w:hAnsiTheme="majorHAnsi"/>
          <w:color w:val="000000"/>
          <w:sz w:val="20"/>
          <w:szCs w:val="20"/>
          <w:lang w:val="es-CO"/>
        </w:rPr>
        <w:t>Inés</w:t>
      </w:r>
      <w:r w:rsidRPr="00020419">
        <w:rPr>
          <w:rFonts w:asciiTheme="majorHAnsi" w:eastAsia="Times New Roman" w:hAnsiTheme="majorHAnsi"/>
          <w:color w:val="000000"/>
          <w:sz w:val="20"/>
          <w:szCs w:val="20"/>
          <w:lang w:val="es-CO"/>
        </w:rPr>
        <w:t xml:space="preserve"> Palacios Torres (hermana)</w:t>
      </w:r>
    </w:p>
    <w:p w14:paraId="3B95020B"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color w:val="000000"/>
          <w:sz w:val="20"/>
          <w:szCs w:val="20"/>
        </w:rPr>
        <w:t>Carlina Torres Mosquera (hermana)</w:t>
      </w:r>
    </w:p>
    <w:p w14:paraId="5E7C2827"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color w:val="000000"/>
          <w:sz w:val="20"/>
          <w:szCs w:val="20"/>
        </w:rPr>
        <w:t>Modesto Palacios Torres (hermano)</w:t>
      </w:r>
    </w:p>
    <w:p w14:paraId="5C1D36EF"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color w:val="000000"/>
          <w:sz w:val="20"/>
          <w:szCs w:val="20"/>
        </w:rPr>
        <w:t>Julio Arboleda Torres (hermano)</w:t>
      </w:r>
    </w:p>
    <w:p w14:paraId="67D155B3"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color w:val="000000"/>
          <w:sz w:val="20"/>
          <w:szCs w:val="20"/>
        </w:rPr>
        <w:t>Tarsilo Moreno Ríos (hermano)</w:t>
      </w:r>
    </w:p>
    <w:p w14:paraId="64D19CED"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color w:val="000000"/>
          <w:sz w:val="20"/>
          <w:szCs w:val="20"/>
        </w:rPr>
        <w:t>Matias Moreno Ríos (hermano)</w:t>
      </w:r>
    </w:p>
    <w:p w14:paraId="587E1553" w14:textId="77777777" w:rsidR="00E45990" w:rsidRPr="00020419" w:rsidRDefault="00E45990" w:rsidP="00E45990">
      <w:pPr>
        <w:rPr>
          <w:rFonts w:asciiTheme="majorHAnsi" w:hAnsiTheme="majorHAnsi"/>
          <w:b/>
          <w:sz w:val="20"/>
          <w:szCs w:val="20"/>
          <w:lang w:val="es-CO"/>
        </w:rPr>
      </w:pPr>
    </w:p>
    <w:p w14:paraId="34C8AE2A" w14:textId="5BDAE643" w:rsidR="00D546F4" w:rsidRPr="007C5CDA" w:rsidRDefault="00E45990" w:rsidP="007C5CDA">
      <w:pPr>
        <w:pStyle w:val="ListParagraph"/>
        <w:numPr>
          <w:ilvl w:val="0"/>
          <w:numId w:val="70"/>
        </w:numPr>
        <w:rPr>
          <w:rFonts w:asciiTheme="majorHAnsi" w:eastAsia="Times New Roman" w:hAnsiTheme="majorHAnsi"/>
          <w:b/>
          <w:sz w:val="20"/>
          <w:szCs w:val="20"/>
          <w:lang w:val="pt-BR"/>
        </w:rPr>
      </w:pPr>
      <w:r w:rsidRPr="007C5CDA">
        <w:rPr>
          <w:rFonts w:asciiTheme="majorHAnsi" w:eastAsia="Times New Roman" w:hAnsiTheme="majorHAnsi"/>
          <w:b/>
          <w:sz w:val="20"/>
          <w:szCs w:val="20"/>
          <w:lang w:val="pt-BR"/>
        </w:rPr>
        <w:t>Maria Rosa Mosquera Cordoba</w:t>
      </w:r>
      <w:r w:rsidR="00D546F4" w:rsidRPr="007C5CDA">
        <w:rPr>
          <w:rFonts w:asciiTheme="majorHAnsi" w:eastAsia="Times New Roman" w:hAnsiTheme="majorHAnsi"/>
          <w:b/>
          <w:sz w:val="20"/>
          <w:szCs w:val="20"/>
          <w:lang w:val="pt-BR"/>
        </w:rPr>
        <w:t xml:space="preserve"> (fallecida)</w:t>
      </w:r>
    </w:p>
    <w:p w14:paraId="4B52D700" w14:textId="1C5FB394" w:rsidR="00835BE2" w:rsidRDefault="00835BE2" w:rsidP="009D24D7">
      <w:pPr>
        <w:pStyle w:val="ListParagraph"/>
        <w:rPr>
          <w:rFonts w:eastAsia="Times New Roman"/>
          <w:b/>
          <w:sz w:val="20"/>
          <w:szCs w:val="20"/>
          <w:lang w:val="pt-BR"/>
        </w:rPr>
      </w:pPr>
    </w:p>
    <w:p w14:paraId="3FAB0E6A" w14:textId="07DD4427" w:rsidR="00835BE2" w:rsidRPr="00956538" w:rsidRDefault="00835BE2" w:rsidP="00956538">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heme="majorHAnsi" w:eastAsia="Times New Roman" w:hAnsiTheme="majorHAnsi"/>
          <w:color w:val="000000"/>
          <w:sz w:val="20"/>
          <w:szCs w:val="20"/>
          <w:lang w:val="es-CO"/>
        </w:rPr>
      </w:pPr>
      <w:r w:rsidRPr="00020419">
        <w:rPr>
          <w:rFonts w:asciiTheme="majorHAnsi" w:eastAsia="Times New Roman" w:hAnsiTheme="majorHAnsi"/>
          <w:color w:val="000000"/>
          <w:sz w:val="20"/>
          <w:szCs w:val="20"/>
          <w:lang w:val="es-CO"/>
        </w:rPr>
        <w:t>Familiares</w:t>
      </w:r>
      <w:r>
        <w:rPr>
          <w:rFonts w:asciiTheme="majorHAnsi" w:eastAsia="Times New Roman" w:hAnsiTheme="majorHAnsi"/>
          <w:color w:val="000000"/>
          <w:sz w:val="20"/>
          <w:szCs w:val="20"/>
          <w:lang w:val="es-CO"/>
        </w:rPr>
        <w:t>:</w:t>
      </w:r>
    </w:p>
    <w:p w14:paraId="3E257812" w14:textId="77777777" w:rsidR="00835BE2" w:rsidRPr="00020419" w:rsidRDefault="00835BE2" w:rsidP="00835BE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sz w:val="20"/>
          <w:szCs w:val="20"/>
          <w:lang w:val="es-CO"/>
        </w:rPr>
        <w:t>Amalia Murillo Mosquera (</w:t>
      </w:r>
      <w:r w:rsidRPr="00020419">
        <w:rPr>
          <w:rFonts w:asciiTheme="majorHAnsi" w:eastAsia="Times New Roman" w:hAnsiTheme="majorHAnsi"/>
          <w:color w:val="000000"/>
          <w:sz w:val="20"/>
          <w:szCs w:val="20"/>
          <w:lang w:val="es-CO"/>
        </w:rPr>
        <w:t>madre)</w:t>
      </w:r>
    </w:p>
    <w:p w14:paraId="245D25EC" w14:textId="77777777" w:rsidR="00835BE2" w:rsidRPr="00020419" w:rsidRDefault="00835BE2" w:rsidP="00835BE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sz w:val="20"/>
          <w:szCs w:val="20"/>
          <w:lang w:val="es-CO"/>
        </w:rPr>
        <w:t>Walter Enrique Valencia Murillo (</w:t>
      </w:r>
      <w:r w:rsidRPr="00020419">
        <w:rPr>
          <w:rFonts w:asciiTheme="majorHAnsi" w:eastAsia="Times New Roman" w:hAnsiTheme="majorHAnsi"/>
          <w:color w:val="000000"/>
          <w:sz w:val="20"/>
          <w:szCs w:val="20"/>
          <w:lang w:val="es-CO"/>
        </w:rPr>
        <w:t>hermano)</w:t>
      </w:r>
    </w:p>
    <w:p w14:paraId="6A0C32D9" w14:textId="77777777" w:rsidR="00835BE2" w:rsidRPr="00020419" w:rsidRDefault="00835BE2" w:rsidP="00835BE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sz w:val="20"/>
          <w:szCs w:val="20"/>
          <w:lang w:val="es-CO"/>
        </w:rPr>
        <w:t>Luis Manuel Yanes Murillo (</w:t>
      </w:r>
      <w:r w:rsidRPr="00020419">
        <w:rPr>
          <w:rFonts w:asciiTheme="majorHAnsi" w:eastAsia="Times New Roman" w:hAnsiTheme="majorHAnsi"/>
          <w:color w:val="000000"/>
          <w:sz w:val="20"/>
          <w:szCs w:val="20"/>
          <w:lang w:val="es-CO"/>
        </w:rPr>
        <w:t>hermano)</w:t>
      </w:r>
    </w:p>
    <w:p w14:paraId="0B289A9C" w14:textId="77777777" w:rsidR="00835BE2" w:rsidRPr="00020419" w:rsidRDefault="00835BE2" w:rsidP="00835BE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sz w:val="20"/>
          <w:szCs w:val="20"/>
          <w:lang w:val="es-CO"/>
        </w:rPr>
        <w:t>Rafael Antonio Yanes Murillo (</w:t>
      </w:r>
      <w:r w:rsidRPr="00020419">
        <w:rPr>
          <w:rFonts w:asciiTheme="majorHAnsi" w:eastAsia="Times New Roman" w:hAnsiTheme="majorHAnsi"/>
          <w:color w:val="000000"/>
          <w:sz w:val="20"/>
          <w:szCs w:val="20"/>
          <w:lang w:val="es-CO"/>
        </w:rPr>
        <w:t>hermano)</w:t>
      </w:r>
    </w:p>
    <w:p w14:paraId="6C8A0B78" w14:textId="77777777" w:rsidR="00835BE2" w:rsidRPr="00020419" w:rsidRDefault="00835BE2" w:rsidP="00835BE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sz w:val="20"/>
          <w:szCs w:val="20"/>
          <w:lang w:val="es-CO"/>
        </w:rPr>
        <w:t>Martha Cecilia Yanes Murillo (</w:t>
      </w:r>
      <w:r w:rsidRPr="00020419">
        <w:rPr>
          <w:rFonts w:asciiTheme="majorHAnsi" w:eastAsia="Times New Roman" w:hAnsiTheme="majorHAnsi"/>
          <w:color w:val="000000"/>
          <w:sz w:val="20"/>
          <w:szCs w:val="20"/>
          <w:lang w:val="es-CO"/>
        </w:rPr>
        <w:t>hermana)</w:t>
      </w:r>
    </w:p>
    <w:p w14:paraId="1DA8088F" w14:textId="77777777" w:rsidR="00835BE2" w:rsidRPr="00020419" w:rsidRDefault="00835BE2" w:rsidP="00835BE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sz w:val="20"/>
          <w:szCs w:val="20"/>
          <w:lang w:val="es-CO"/>
        </w:rPr>
        <w:t>Piedad del Carmen Yanes Murillo (</w:t>
      </w:r>
      <w:r w:rsidRPr="00020419">
        <w:rPr>
          <w:rFonts w:asciiTheme="majorHAnsi" w:eastAsia="Times New Roman" w:hAnsiTheme="majorHAnsi"/>
          <w:color w:val="000000"/>
          <w:sz w:val="20"/>
          <w:szCs w:val="20"/>
          <w:lang w:val="es-CO"/>
        </w:rPr>
        <w:t>hermana)</w:t>
      </w:r>
    </w:p>
    <w:p w14:paraId="74859B68" w14:textId="77777777" w:rsidR="00835BE2" w:rsidRPr="00020419" w:rsidRDefault="00835BE2" w:rsidP="00835BE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5E4876">
        <w:rPr>
          <w:rFonts w:asciiTheme="majorHAnsi" w:eastAsia="Times New Roman" w:hAnsiTheme="majorHAnsi"/>
          <w:sz w:val="20"/>
          <w:szCs w:val="20"/>
          <w:lang w:val="es-US"/>
        </w:rPr>
        <w:t xml:space="preserve">Maria </w:t>
      </w:r>
      <w:proofErr w:type="spellStart"/>
      <w:r w:rsidRPr="005E4876">
        <w:rPr>
          <w:rFonts w:asciiTheme="majorHAnsi" w:eastAsia="Times New Roman" w:hAnsiTheme="majorHAnsi"/>
          <w:sz w:val="20"/>
          <w:szCs w:val="20"/>
          <w:lang w:val="es-US"/>
        </w:rPr>
        <w:t>Nuris</w:t>
      </w:r>
      <w:proofErr w:type="spellEnd"/>
      <w:r w:rsidRPr="005E4876">
        <w:rPr>
          <w:rFonts w:asciiTheme="majorHAnsi" w:eastAsia="Times New Roman" w:hAnsiTheme="majorHAnsi"/>
          <w:sz w:val="20"/>
          <w:szCs w:val="20"/>
          <w:lang w:val="es-US"/>
        </w:rPr>
        <w:t xml:space="preserve"> Palacios </w:t>
      </w:r>
      <w:proofErr w:type="spellStart"/>
      <w:r w:rsidRPr="005E4876">
        <w:rPr>
          <w:rFonts w:asciiTheme="majorHAnsi" w:eastAsia="Times New Roman" w:hAnsiTheme="majorHAnsi"/>
          <w:sz w:val="20"/>
          <w:szCs w:val="20"/>
          <w:lang w:val="es-US"/>
        </w:rPr>
        <w:t>Largacha</w:t>
      </w:r>
      <w:proofErr w:type="spellEnd"/>
      <w:r w:rsidRPr="005E4876">
        <w:rPr>
          <w:rFonts w:asciiTheme="majorHAnsi" w:eastAsia="Times New Roman" w:hAnsiTheme="majorHAnsi"/>
          <w:sz w:val="20"/>
          <w:szCs w:val="20"/>
          <w:lang w:val="es-US"/>
        </w:rPr>
        <w:t xml:space="preserve"> </w:t>
      </w:r>
      <w:r w:rsidRPr="00020419">
        <w:rPr>
          <w:rFonts w:asciiTheme="majorHAnsi" w:eastAsia="Times New Roman" w:hAnsiTheme="majorHAnsi"/>
          <w:sz w:val="20"/>
          <w:szCs w:val="20"/>
          <w:lang w:val="es-CO"/>
        </w:rPr>
        <w:t>(</w:t>
      </w:r>
      <w:r w:rsidRPr="00020419">
        <w:rPr>
          <w:rFonts w:asciiTheme="majorHAnsi" w:eastAsia="Times New Roman" w:hAnsiTheme="majorHAnsi"/>
          <w:color w:val="000000"/>
          <w:sz w:val="20"/>
          <w:szCs w:val="20"/>
          <w:lang w:val="es-CO"/>
        </w:rPr>
        <w:t>hermana)</w:t>
      </w:r>
    </w:p>
    <w:p w14:paraId="131E9A33" w14:textId="77777777" w:rsidR="00835BE2" w:rsidRPr="00020419" w:rsidRDefault="00835BE2" w:rsidP="00835BE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sz w:val="20"/>
          <w:szCs w:val="20"/>
          <w:lang w:val="es-CO"/>
        </w:rPr>
        <w:lastRenderedPageBreak/>
        <w:t>Pelegrina Zuñiga Murillo (</w:t>
      </w:r>
      <w:r w:rsidRPr="00020419">
        <w:rPr>
          <w:rFonts w:asciiTheme="majorHAnsi" w:eastAsia="Times New Roman" w:hAnsiTheme="majorHAnsi"/>
          <w:color w:val="000000"/>
          <w:sz w:val="20"/>
          <w:szCs w:val="20"/>
          <w:lang w:val="es-CO"/>
        </w:rPr>
        <w:t>hermana)</w:t>
      </w:r>
    </w:p>
    <w:p w14:paraId="1063D904" w14:textId="77777777" w:rsidR="00835BE2" w:rsidRPr="009D24D7" w:rsidRDefault="00835BE2" w:rsidP="00E05C32">
      <w:pPr>
        <w:pStyle w:val="ListParagraph"/>
        <w:rPr>
          <w:rFonts w:eastAsia="Times New Roman"/>
          <w:b/>
          <w:sz w:val="20"/>
          <w:szCs w:val="20"/>
          <w:lang w:val="es-ES"/>
        </w:rPr>
      </w:pPr>
    </w:p>
    <w:p w14:paraId="19136645" w14:textId="71C9A063" w:rsidR="00D546F4" w:rsidRPr="005E4876" w:rsidRDefault="00E45990" w:rsidP="007C5CDA">
      <w:pPr>
        <w:pStyle w:val="ListParagraph"/>
        <w:numPr>
          <w:ilvl w:val="0"/>
          <w:numId w:val="70"/>
        </w:numPr>
        <w:rPr>
          <w:rFonts w:asciiTheme="majorHAnsi" w:eastAsia="Times New Roman" w:hAnsiTheme="majorHAnsi"/>
          <w:b/>
          <w:sz w:val="20"/>
          <w:szCs w:val="20"/>
          <w:lang w:val="es-US"/>
        </w:rPr>
      </w:pPr>
      <w:r w:rsidRPr="005E4876">
        <w:rPr>
          <w:rFonts w:asciiTheme="majorHAnsi" w:eastAsia="Times New Roman" w:hAnsiTheme="majorHAnsi"/>
          <w:b/>
          <w:sz w:val="20"/>
          <w:szCs w:val="20"/>
          <w:lang w:val="es-US"/>
        </w:rPr>
        <w:t>Diana Milena Mena Mosquera</w:t>
      </w:r>
      <w:r w:rsidR="00D546F4" w:rsidRPr="005E4876">
        <w:rPr>
          <w:rFonts w:asciiTheme="majorHAnsi" w:eastAsia="Times New Roman" w:hAnsiTheme="majorHAnsi"/>
          <w:b/>
          <w:sz w:val="20"/>
          <w:szCs w:val="20"/>
          <w:lang w:val="es-US"/>
        </w:rPr>
        <w:t xml:space="preserve"> (fallecida)</w:t>
      </w:r>
    </w:p>
    <w:p w14:paraId="7AFB38DD" w14:textId="77777777" w:rsidR="00D546F4" w:rsidRPr="005E4876" w:rsidRDefault="00D546F4" w:rsidP="009D24D7">
      <w:pPr>
        <w:pStyle w:val="ListParagraph"/>
        <w:rPr>
          <w:rFonts w:eastAsia="Times New Roman"/>
          <w:b/>
          <w:sz w:val="22"/>
          <w:szCs w:val="22"/>
          <w:lang w:val="es-US"/>
        </w:rPr>
      </w:pPr>
    </w:p>
    <w:p w14:paraId="4241E682" w14:textId="634C19ED" w:rsidR="00D546F4" w:rsidRPr="005E4876" w:rsidRDefault="00E45990" w:rsidP="007C5CDA">
      <w:pPr>
        <w:pStyle w:val="ListParagraph"/>
        <w:numPr>
          <w:ilvl w:val="0"/>
          <w:numId w:val="70"/>
        </w:numPr>
        <w:rPr>
          <w:rFonts w:asciiTheme="majorHAnsi" w:eastAsia="Times New Roman" w:hAnsiTheme="majorHAnsi"/>
          <w:b/>
          <w:sz w:val="20"/>
          <w:szCs w:val="20"/>
          <w:lang w:val="es-US"/>
        </w:rPr>
      </w:pPr>
      <w:r w:rsidRPr="005E4876">
        <w:rPr>
          <w:rFonts w:asciiTheme="majorHAnsi" w:eastAsia="Times New Roman" w:hAnsiTheme="majorHAnsi"/>
          <w:b/>
          <w:sz w:val="20"/>
          <w:szCs w:val="20"/>
          <w:lang w:val="es-US"/>
        </w:rPr>
        <w:t>Ana Cecilia Mena Mosquera</w:t>
      </w:r>
      <w:r w:rsidR="00D546F4" w:rsidRPr="005E4876">
        <w:rPr>
          <w:rFonts w:asciiTheme="majorHAnsi" w:eastAsia="Times New Roman" w:hAnsiTheme="majorHAnsi"/>
          <w:b/>
          <w:sz w:val="20"/>
          <w:szCs w:val="20"/>
          <w:lang w:val="es-US"/>
        </w:rPr>
        <w:t xml:space="preserve"> (fallecida)</w:t>
      </w:r>
    </w:p>
    <w:p w14:paraId="47B3DEC6" w14:textId="77777777" w:rsidR="00835BE2" w:rsidRPr="005E4876" w:rsidRDefault="00835BE2" w:rsidP="00D36309">
      <w:pPr>
        <w:pStyle w:val="ListParagraph"/>
        <w:rPr>
          <w:rFonts w:eastAsia="Times New Roman"/>
          <w:b/>
          <w:sz w:val="20"/>
          <w:szCs w:val="20"/>
          <w:lang w:val="es-US"/>
        </w:rPr>
      </w:pPr>
    </w:p>
    <w:p w14:paraId="75786BCE" w14:textId="3EAD2695" w:rsidR="00E45990" w:rsidRPr="007C5CDA" w:rsidRDefault="00E45990" w:rsidP="007C5CDA">
      <w:pPr>
        <w:pStyle w:val="ListParagraph"/>
        <w:numPr>
          <w:ilvl w:val="0"/>
          <w:numId w:val="70"/>
        </w:numPr>
        <w:rPr>
          <w:rFonts w:asciiTheme="majorHAnsi" w:eastAsia="Times New Roman" w:hAnsiTheme="majorHAnsi"/>
          <w:b/>
          <w:sz w:val="20"/>
          <w:szCs w:val="20"/>
        </w:rPr>
      </w:pPr>
      <w:r w:rsidRPr="007C5CDA">
        <w:rPr>
          <w:rFonts w:asciiTheme="majorHAnsi" w:eastAsia="Times New Roman" w:hAnsiTheme="majorHAnsi"/>
          <w:b/>
          <w:sz w:val="20"/>
          <w:szCs w:val="20"/>
        </w:rPr>
        <w:t xml:space="preserve">Walter Mena </w:t>
      </w:r>
      <w:proofErr w:type="spellStart"/>
      <w:r w:rsidRPr="007C5CDA">
        <w:rPr>
          <w:rFonts w:asciiTheme="majorHAnsi" w:eastAsia="Times New Roman" w:hAnsiTheme="majorHAnsi"/>
          <w:b/>
          <w:sz w:val="20"/>
          <w:szCs w:val="20"/>
        </w:rPr>
        <w:t>Mosquera</w:t>
      </w:r>
      <w:proofErr w:type="spellEnd"/>
      <w:r w:rsidRPr="007C5CDA">
        <w:rPr>
          <w:rFonts w:asciiTheme="majorHAnsi" w:eastAsia="Times New Roman" w:hAnsiTheme="majorHAnsi"/>
          <w:b/>
          <w:sz w:val="20"/>
          <w:szCs w:val="20"/>
        </w:rPr>
        <w:t xml:space="preserve"> (</w:t>
      </w:r>
      <w:proofErr w:type="spellStart"/>
      <w:r w:rsidRPr="007C5CDA">
        <w:rPr>
          <w:rFonts w:asciiTheme="majorHAnsi" w:eastAsia="Times New Roman" w:hAnsiTheme="majorHAnsi"/>
          <w:b/>
          <w:sz w:val="20"/>
          <w:szCs w:val="20"/>
        </w:rPr>
        <w:t>fallecido</w:t>
      </w:r>
      <w:proofErr w:type="spellEnd"/>
      <w:r w:rsidRPr="007C5CDA">
        <w:rPr>
          <w:rFonts w:asciiTheme="majorHAnsi" w:eastAsia="Times New Roman" w:hAnsiTheme="majorHAnsi"/>
          <w:b/>
          <w:sz w:val="20"/>
          <w:szCs w:val="20"/>
        </w:rPr>
        <w:t>)</w:t>
      </w:r>
    </w:p>
    <w:p w14:paraId="625DEFDD" w14:textId="77777777" w:rsidR="00E45990" w:rsidRDefault="00E45990" w:rsidP="00E4599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0"/>
          <w:szCs w:val="20"/>
          <w:lang w:val="pt-BR"/>
        </w:rPr>
      </w:pPr>
    </w:p>
    <w:p w14:paraId="6A211613" w14:textId="5F683878" w:rsidR="00D546F4" w:rsidRPr="007C5CDA" w:rsidRDefault="004A2B02" w:rsidP="007C5CDA">
      <w:pPr>
        <w:pStyle w:val="ListParagraph"/>
        <w:numPr>
          <w:ilvl w:val="0"/>
          <w:numId w:val="70"/>
        </w:numPr>
        <w:rPr>
          <w:rFonts w:asciiTheme="majorHAnsi" w:eastAsia="Times New Roman" w:hAnsiTheme="majorHAnsi"/>
          <w:b/>
          <w:sz w:val="20"/>
          <w:szCs w:val="20"/>
        </w:rPr>
      </w:pPr>
      <w:r w:rsidRPr="007C5CDA">
        <w:rPr>
          <w:rFonts w:asciiTheme="majorHAnsi" w:eastAsia="Times New Roman" w:hAnsiTheme="majorHAnsi"/>
          <w:b/>
          <w:sz w:val="20"/>
          <w:szCs w:val="20"/>
        </w:rPr>
        <w:t xml:space="preserve">Jenny Perea Izquierda </w:t>
      </w:r>
      <w:r w:rsidR="00D546F4" w:rsidRPr="007C5CDA">
        <w:rPr>
          <w:rFonts w:asciiTheme="majorHAnsi" w:eastAsia="Times New Roman" w:hAnsiTheme="majorHAnsi"/>
          <w:b/>
          <w:sz w:val="20"/>
          <w:szCs w:val="20"/>
        </w:rPr>
        <w:t>(fallecida)</w:t>
      </w:r>
    </w:p>
    <w:p w14:paraId="6D878CB5" w14:textId="77777777" w:rsidR="00D546F4" w:rsidRDefault="00D546F4" w:rsidP="00E4599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lang w:val="es-CO"/>
        </w:rPr>
      </w:pPr>
    </w:p>
    <w:p w14:paraId="69BD0B46" w14:textId="4E8C482F" w:rsidR="00835BE2" w:rsidRPr="00956538" w:rsidRDefault="00835BE2" w:rsidP="00956538">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heme="majorHAnsi" w:eastAsia="Times New Roman" w:hAnsiTheme="majorHAnsi"/>
          <w:color w:val="000000"/>
          <w:sz w:val="20"/>
          <w:szCs w:val="20"/>
          <w:lang w:val="es-CO"/>
        </w:rPr>
      </w:pPr>
      <w:r w:rsidRPr="00020419">
        <w:rPr>
          <w:rFonts w:asciiTheme="majorHAnsi" w:eastAsia="Times New Roman" w:hAnsiTheme="majorHAnsi"/>
          <w:color w:val="000000"/>
          <w:sz w:val="20"/>
          <w:szCs w:val="20"/>
          <w:lang w:val="es-CO"/>
        </w:rPr>
        <w:t>Familiares</w:t>
      </w:r>
      <w:r>
        <w:rPr>
          <w:rFonts w:asciiTheme="majorHAnsi" w:eastAsia="Times New Roman" w:hAnsiTheme="majorHAnsi"/>
          <w:color w:val="000000"/>
          <w:sz w:val="20"/>
          <w:szCs w:val="20"/>
          <w:lang w:val="es-CO"/>
        </w:rPr>
        <w:t>:</w:t>
      </w:r>
    </w:p>
    <w:p w14:paraId="7327C13D" w14:textId="63D1654D" w:rsidR="00835BE2" w:rsidRPr="00020419" w:rsidRDefault="00835BE2" w:rsidP="00835BE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sz w:val="20"/>
          <w:szCs w:val="20"/>
          <w:lang w:val="es-CO"/>
        </w:rPr>
        <w:t>Abrahan Perea Murillo (padre)</w:t>
      </w:r>
    </w:p>
    <w:p w14:paraId="762CC7BD" w14:textId="77777777" w:rsidR="00835BE2" w:rsidRPr="00020419" w:rsidRDefault="00835BE2" w:rsidP="00835BE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sz w:val="20"/>
          <w:szCs w:val="20"/>
          <w:lang w:val="es-CO"/>
        </w:rPr>
        <w:t>Juan David Perea Hinostroza (hermano)</w:t>
      </w:r>
    </w:p>
    <w:p w14:paraId="2F39AE74" w14:textId="77777777" w:rsidR="00835BE2" w:rsidRPr="00020419" w:rsidRDefault="00835BE2" w:rsidP="00835BE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sz w:val="20"/>
          <w:szCs w:val="20"/>
          <w:lang w:val="es-CO"/>
        </w:rPr>
        <w:t>Mauricio Perea Hinostroza (hermano)</w:t>
      </w:r>
    </w:p>
    <w:p w14:paraId="67409A8F" w14:textId="77777777" w:rsidR="00835BE2" w:rsidRPr="00020419" w:rsidRDefault="00835BE2" w:rsidP="00835BE2">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020419">
        <w:rPr>
          <w:rFonts w:asciiTheme="majorHAnsi" w:eastAsia="Times New Roman" w:hAnsiTheme="majorHAnsi"/>
          <w:sz w:val="20"/>
          <w:szCs w:val="20"/>
          <w:lang w:val="es-CO"/>
        </w:rPr>
        <w:t>Seleny Perea Izquierda (hermana)</w:t>
      </w:r>
    </w:p>
    <w:p w14:paraId="7DDDA574" w14:textId="77777777" w:rsidR="00835BE2" w:rsidRDefault="00835BE2" w:rsidP="00E4599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lang w:val="es-CO"/>
        </w:rPr>
      </w:pPr>
    </w:p>
    <w:p w14:paraId="17A3275A" w14:textId="5FFC8AD6" w:rsidR="00E45990" w:rsidRPr="007C5CDA" w:rsidRDefault="00E45990" w:rsidP="007C5CDA">
      <w:pPr>
        <w:pStyle w:val="ListParagraph"/>
        <w:numPr>
          <w:ilvl w:val="0"/>
          <w:numId w:val="70"/>
        </w:numPr>
        <w:rPr>
          <w:rFonts w:asciiTheme="majorHAnsi" w:eastAsia="Times New Roman" w:hAnsiTheme="majorHAnsi"/>
          <w:b/>
          <w:sz w:val="20"/>
          <w:szCs w:val="20"/>
        </w:rPr>
      </w:pPr>
      <w:r w:rsidRPr="007C5CDA">
        <w:rPr>
          <w:rFonts w:asciiTheme="majorHAnsi" w:eastAsia="Times New Roman" w:hAnsiTheme="majorHAnsi"/>
          <w:b/>
          <w:sz w:val="20"/>
          <w:szCs w:val="20"/>
        </w:rPr>
        <w:t>Isabel Martínez Izquierda (fallecida)</w:t>
      </w:r>
    </w:p>
    <w:p w14:paraId="438C0D66" w14:textId="77777777" w:rsidR="00E45990" w:rsidRPr="00020419" w:rsidRDefault="00E45990" w:rsidP="00E45990">
      <w:pPr>
        <w:rPr>
          <w:rFonts w:asciiTheme="majorHAnsi" w:eastAsia="Times New Roman" w:hAnsiTheme="majorHAnsi"/>
          <w:sz w:val="20"/>
          <w:szCs w:val="20"/>
          <w:lang w:val="es-CO"/>
        </w:rPr>
      </w:pPr>
    </w:p>
    <w:p w14:paraId="4416A573" w14:textId="771C6AA4" w:rsidR="00E45990" w:rsidRPr="007C5CDA" w:rsidRDefault="00E45990" w:rsidP="007C5CDA">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rPr>
      </w:pPr>
      <w:r w:rsidRPr="007C5CDA">
        <w:rPr>
          <w:rFonts w:asciiTheme="majorHAnsi" w:eastAsia="Times New Roman" w:hAnsiTheme="majorHAnsi"/>
          <w:b/>
          <w:sz w:val="20"/>
          <w:szCs w:val="20"/>
        </w:rPr>
        <w:t>Willington Mosquera Palacios (fallecido)</w:t>
      </w:r>
    </w:p>
    <w:p w14:paraId="139145CC" w14:textId="77777777" w:rsidR="00E45990" w:rsidRDefault="00E45990" w:rsidP="00E4599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0"/>
          <w:szCs w:val="20"/>
        </w:rPr>
      </w:pPr>
    </w:p>
    <w:p w14:paraId="3395B52B" w14:textId="76BA1FDE" w:rsidR="00835BE2" w:rsidRPr="00956538" w:rsidRDefault="00835BE2" w:rsidP="00956538">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heme="majorHAnsi" w:eastAsia="Times New Roman" w:hAnsiTheme="majorHAnsi"/>
          <w:color w:val="000000"/>
          <w:sz w:val="20"/>
          <w:szCs w:val="20"/>
          <w:lang w:val="es-CO"/>
        </w:rPr>
      </w:pPr>
      <w:r w:rsidRPr="00020419">
        <w:rPr>
          <w:rFonts w:asciiTheme="majorHAnsi" w:eastAsia="Times New Roman" w:hAnsiTheme="majorHAnsi"/>
          <w:color w:val="000000"/>
          <w:sz w:val="20"/>
          <w:szCs w:val="20"/>
          <w:lang w:val="es-CO"/>
        </w:rPr>
        <w:t>Familiares</w:t>
      </w:r>
      <w:r>
        <w:rPr>
          <w:rFonts w:asciiTheme="majorHAnsi" w:eastAsia="Times New Roman" w:hAnsiTheme="majorHAnsi"/>
          <w:color w:val="000000"/>
          <w:sz w:val="20"/>
          <w:szCs w:val="20"/>
          <w:lang w:val="es-CO"/>
        </w:rPr>
        <w:t>:</w:t>
      </w:r>
    </w:p>
    <w:p w14:paraId="33D5FA2E" w14:textId="77777777" w:rsidR="00E45990" w:rsidRPr="00882765"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sz w:val="20"/>
          <w:szCs w:val="20"/>
          <w:lang w:val="es-CO"/>
        </w:rPr>
        <w:t>Yon Jairo Mosquera Palacios (hermano)</w:t>
      </w:r>
    </w:p>
    <w:p w14:paraId="32EB828A" w14:textId="77777777" w:rsidR="00E45990" w:rsidRPr="00020419" w:rsidRDefault="00E45990" w:rsidP="007C5CDA">
      <w:pPr>
        <w:rPr>
          <w:rFonts w:asciiTheme="majorHAnsi" w:hAnsiTheme="majorHAnsi"/>
          <w:b/>
          <w:sz w:val="20"/>
          <w:szCs w:val="20"/>
          <w:lang w:val="es-CO"/>
        </w:rPr>
      </w:pPr>
    </w:p>
    <w:p w14:paraId="4744CB07" w14:textId="21E07E7B" w:rsidR="00E45990" w:rsidRPr="007C5CDA" w:rsidRDefault="00E45990" w:rsidP="007C5CDA">
      <w:pPr>
        <w:pStyle w:val="ListParagraph"/>
        <w:numPr>
          <w:ilvl w:val="0"/>
          <w:numId w:val="70"/>
        </w:numPr>
        <w:rPr>
          <w:rFonts w:asciiTheme="majorHAnsi" w:eastAsia="Times New Roman" w:hAnsiTheme="majorHAnsi"/>
          <w:b/>
          <w:sz w:val="20"/>
          <w:szCs w:val="20"/>
        </w:rPr>
      </w:pPr>
      <w:r w:rsidRPr="007C5CDA">
        <w:rPr>
          <w:rFonts w:asciiTheme="majorHAnsi" w:eastAsia="Times New Roman" w:hAnsiTheme="majorHAnsi"/>
          <w:b/>
          <w:sz w:val="20"/>
          <w:szCs w:val="20"/>
        </w:rPr>
        <w:t>Deyner Urrutia Mosquera (lesionado)</w:t>
      </w:r>
    </w:p>
    <w:p w14:paraId="5EA5261D" w14:textId="77777777" w:rsidR="00E45990" w:rsidRDefault="00E45990" w:rsidP="007C5CDA">
      <w:pPr>
        <w:rPr>
          <w:rFonts w:asciiTheme="majorHAnsi" w:eastAsia="Times New Roman" w:hAnsiTheme="majorHAnsi"/>
          <w:color w:val="000000"/>
          <w:sz w:val="20"/>
          <w:szCs w:val="20"/>
        </w:rPr>
      </w:pPr>
    </w:p>
    <w:p w14:paraId="5C8CFC43" w14:textId="5D657DF5" w:rsidR="00835BE2" w:rsidRPr="00956538" w:rsidRDefault="00835BE2" w:rsidP="00956538">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heme="majorHAnsi" w:eastAsia="Times New Roman" w:hAnsiTheme="majorHAnsi"/>
          <w:color w:val="000000"/>
          <w:sz w:val="20"/>
          <w:szCs w:val="20"/>
          <w:lang w:val="es-CO"/>
        </w:rPr>
      </w:pPr>
      <w:r w:rsidRPr="00020419">
        <w:rPr>
          <w:rFonts w:asciiTheme="majorHAnsi" w:eastAsia="Times New Roman" w:hAnsiTheme="majorHAnsi"/>
          <w:color w:val="000000"/>
          <w:sz w:val="20"/>
          <w:szCs w:val="20"/>
          <w:lang w:val="es-CO"/>
        </w:rPr>
        <w:t>Familiares</w:t>
      </w:r>
      <w:r>
        <w:rPr>
          <w:rFonts w:asciiTheme="majorHAnsi" w:eastAsia="Times New Roman" w:hAnsiTheme="majorHAnsi"/>
          <w:color w:val="000000"/>
          <w:sz w:val="20"/>
          <w:szCs w:val="20"/>
          <w:lang w:val="es-CO"/>
        </w:rPr>
        <w:t>:</w:t>
      </w:r>
    </w:p>
    <w:p w14:paraId="352DA070" w14:textId="601FC8F8"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5E4876">
        <w:rPr>
          <w:rFonts w:asciiTheme="majorHAnsi" w:eastAsia="Times New Roman" w:hAnsiTheme="majorHAnsi"/>
          <w:color w:val="000000"/>
          <w:sz w:val="20"/>
          <w:szCs w:val="20"/>
          <w:lang w:val="es-US"/>
        </w:rPr>
        <w:t xml:space="preserve">Jose </w:t>
      </w:r>
      <w:proofErr w:type="spellStart"/>
      <w:r w:rsidRPr="005E4876">
        <w:rPr>
          <w:rFonts w:asciiTheme="majorHAnsi" w:eastAsia="Times New Roman" w:hAnsiTheme="majorHAnsi"/>
          <w:color w:val="000000"/>
          <w:sz w:val="20"/>
          <w:szCs w:val="20"/>
          <w:lang w:val="es-US"/>
        </w:rPr>
        <w:t>Dioselino</w:t>
      </w:r>
      <w:proofErr w:type="spellEnd"/>
      <w:r w:rsidRPr="005E4876">
        <w:rPr>
          <w:rFonts w:asciiTheme="majorHAnsi" w:eastAsia="Times New Roman" w:hAnsiTheme="majorHAnsi"/>
          <w:color w:val="000000"/>
          <w:sz w:val="20"/>
          <w:szCs w:val="20"/>
          <w:lang w:val="es-US"/>
        </w:rPr>
        <w:t xml:space="preserve"> Urrutia Reyes (padre)</w:t>
      </w:r>
    </w:p>
    <w:p w14:paraId="3270BACF"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proofErr w:type="spellStart"/>
      <w:r w:rsidRPr="005E4876">
        <w:rPr>
          <w:rFonts w:asciiTheme="majorHAnsi" w:eastAsia="Times New Roman" w:hAnsiTheme="majorHAnsi"/>
          <w:color w:val="000000"/>
          <w:sz w:val="20"/>
          <w:szCs w:val="20"/>
          <w:lang w:val="es-US"/>
        </w:rPr>
        <w:t>Nelia</w:t>
      </w:r>
      <w:proofErr w:type="spellEnd"/>
      <w:r w:rsidRPr="005E4876">
        <w:rPr>
          <w:rFonts w:asciiTheme="majorHAnsi" w:eastAsia="Times New Roman" w:hAnsiTheme="majorHAnsi"/>
          <w:color w:val="000000"/>
          <w:sz w:val="20"/>
          <w:szCs w:val="20"/>
          <w:lang w:val="es-US"/>
        </w:rPr>
        <w:t xml:space="preserve"> Mosquera </w:t>
      </w:r>
      <w:proofErr w:type="spellStart"/>
      <w:r w:rsidRPr="005E4876">
        <w:rPr>
          <w:rFonts w:asciiTheme="majorHAnsi" w:eastAsia="Times New Roman" w:hAnsiTheme="majorHAnsi"/>
          <w:color w:val="000000"/>
          <w:sz w:val="20"/>
          <w:szCs w:val="20"/>
          <w:lang w:val="es-US"/>
        </w:rPr>
        <w:t>Mosquera</w:t>
      </w:r>
      <w:proofErr w:type="spellEnd"/>
      <w:r w:rsidRPr="005E4876">
        <w:rPr>
          <w:rFonts w:asciiTheme="majorHAnsi" w:eastAsia="Times New Roman" w:hAnsiTheme="majorHAnsi"/>
          <w:color w:val="000000"/>
          <w:sz w:val="20"/>
          <w:szCs w:val="20"/>
          <w:lang w:val="es-US"/>
        </w:rPr>
        <w:t xml:space="preserve"> (madre de crianza)</w:t>
      </w:r>
    </w:p>
    <w:p w14:paraId="29BB7409"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Joegelino  Urrutia Moquera (hermano)</w:t>
      </w:r>
    </w:p>
    <w:p w14:paraId="175F5922"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Diocelina  Urrutia Moquera (hermano)</w:t>
      </w:r>
    </w:p>
    <w:p w14:paraId="3FEB3B5A"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Rosney  Urrutia Moquera (hermano)</w:t>
      </w:r>
    </w:p>
    <w:p w14:paraId="3E50C8E8"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Yasledi  Urrutia Moquera (hermano)</w:t>
      </w:r>
    </w:p>
    <w:p w14:paraId="3C38449F"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5E4876">
        <w:rPr>
          <w:rFonts w:asciiTheme="majorHAnsi" w:eastAsia="Times New Roman" w:hAnsiTheme="majorHAnsi"/>
          <w:color w:val="000000"/>
          <w:sz w:val="20"/>
          <w:szCs w:val="20"/>
          <w:lang w:val="es-US"/>
        </w:rPr>
        <w:t xml:space="preserve">Kevin Andres Urrutia </w:t>
      </w:r>
      <w:proofErr w:type="spellStart"/>
      <w:r w:rsidRPr="005E4876">
        <w:rPr>
          <w:rFonts w:asciiTheme="majorHAnsi" w:eastAsia="Times New Roman" w:hAnsiTheme="majorHAnsi"/>
          <w:color w:val="000000"/>
          <w:sz w:val="20"/>
          <w:szCs w:val="20"/>
          <w:lang w:val="es-US"/>
        </w:rPr>
        <w:t>Moquera</w:t>
      </w:r>
      <w:proofErr w:type="spellEnd"/>
      <w:r w:rsidRPr="005E4876">
        <w:rPr>
          <w:rFonts w:asciiTheme="majorHAnsi" w:eastAsia="Times New Roman" w:hAnsiTheme="majorHAnsi"/>
          <w:color w:val="000000"/>
          <w:sz w:val="20"/>
          <w:szCs w:val="20"/>
          <w:lang w:val="es-US"/>
        </w:rPr>
        <w:t xml:space="preserve"> (hermano)</w:t>
      </w:r>
    </w:p>
    <w:p w14:paraId="55AD6785"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Rafael  Urrutia Moquera (hermano)</w:t>
      </w:r>
    </w:p>
    <w:p w14:paraId="78693866"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Merlin  Urrutia Moquera (hermano)</w:t>
      </w:r>
    </w:p>
    <w:p w14:paraId="77A58E26"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5E4876">
        <w:rPr>
          <w:rFonts w:asciiTheme="majorHAnsi" w:eastAsia="Times New Roman" w:hAnsiTheme="majorHAnsi"/>
          <w:color w:val="000000"/>
          <w:sz w:val="20"/>
          <w:szCs w:val="20"/>
          <w:lang w:val="es-US"/>
        </w:rPr>
        <w:t xml:space="preserve">Martha Lucia Urrutia </w:t>
      </w:r>
      <w:proofErr w:type="spellStart"/>
      <w:r w:rsidRPr="005E4876">
        <w:rPr>
          <w:rFonts w:asciiTheme="majorHAnsi" w:eastAsia="Times New Roman" w:hAnsiTheme="majorHAnsi"/>
          <w:color w:val="000000"/>
          <w:sz w:val="20"/>
          <w:szCs w:val="20"/>
          <w:lang w:val="es-US"/>
        </w:rPr>
        <w:t>Moquera</w:t>
      </w:r>
      <w:proofErr w:type="spellEnd"/>
      <w:r w:rsidRPr="005E4876">
        <w:rPr>
          <w:rFonts w:asciiTheme="majorHAnsi" w:eastAsia="Times New Roman" w:hAnsiTheme="majorHAnsi"/>
          <w:color w:val="000000"/>
          <w:sz w:val="20"/>
          <w:szCs w:val="20"/>
          <w:lang w:val="es-US"/>
        </w:rPr>
        <w:t xml:space="preserve"> (hermano)</w:t>
      </w:r>
    </w:p>
    <w:p w14:paraId="254B33A1"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Yamile  Urrutia Moquera (hermano)</w:t>
      </w:r>
    </w:p>
    <w:p w14:paraId="510869A6"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Heiler  Urrutia Moquera (hermano)</w:t>
      </w:r>
    </w:p>
    <w:p w14:paraId="4AC9EE0E"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Melkin  Urrutia Moquera (hermano)</w:t>
      </w:r>
    </w:p>
    <w:p w14:paraId="3FBE6661"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Efren  Urrutia Moquera (hermano)</w:t>
      </w:r>
    </w:p>
    <w:p w14:paraId="066A622C"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Hector  Urrutia Moquera (hermano)</w:t>
      </w:r>
    </w:p>
    <w:p w14:paraId="3A44D7AD"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Yeison  Urrutia Moquera (hermano)</w:t>
      </w:r>
    </w:p>
    <w:p w14:paraId="7E12C955"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Rosmira  Urrutia Moquera (hermano)</w:t>
      </w:r>
    </w:p>
    <w:p w14:paraId="31C2B8A4"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Enith Urrutia Moquera (hermano)</w:t>
      </w:r>
    </w:p>
    <w:p w14:paraId="163241AC"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0"/>
          <w:szCs w:val="20"/>
          <w:lang w:val="es-CO"/>
        </w:rPr>
      </w:pPr>
      <w:r w:rsidRPr="00020419">
        <w:rPr>
          <w:rFonts w:asciiTheme="majorHAnsi" w:eastAsia="Times New Roman" w:hAnsiTheme="majorHAnsi"/>
          <w:color w:val="000000"/>
          <w:sz w:val="20"/>
          <w:szCs w:val="20"/>
        </w:rPr>
        <w:t>Hernestina Urrutia Cordoba (hermano)</w:t>
      </w:r>
    </w:p>
    <w:p w14:paraId="3BA0B92E" w14:textId="77777777" w:rsidR="00D546F4" w:rsidRDefault="00D546F4" w:rsidP="00E4599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p>
    <w:p w14:paraId="5BD7469D" w14:textId="2F447C12" w:rsidR="007C5CDA" w:rsidRDefault="007C5CDA" w:rsidP="007C5CDA">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7C5CDA">
        <w:rPr>
          <w:rFonts w:asciiTheme="majorHAnsi" w:eastAsia="Times New Roman" w:hAnsiTheme="majorHAnsi"/>
          <w:b/>
          <w:sz w:val="20"/>
          <w:szCs w:val="20"/>
          <w:lang w:val="es-CO"/>
        </w:rPr>
        <w:t>Estibinson Palacios Caicedo (fallecido)</w:t>
      </w:r>
      <w:r w:rsidRPr="007C5CDA">
        <w:rPr>
          <w:rFonts w:asciiTheme="majorHAnsi" w:hAnsiTheme="majorHAnsi"/>
          <w:b/>
          <w:sz w:val="20"/>
          <w:szCs w:val="20"/>
          <w:lang w:val="es-CO"/>
        </w:rPr>
        <w:t xml:space="preserve"> </w:t>
      </w:r>
    </w:p>
    <w:p w14:paraId="63B56C4E" w14:textId="77777777" w:rsidR="007C5CDA" w:rsidRDefault="007C5CDA" w:rsidP="007C5CD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u w:color="000000"/>
          <w:lang w:val="es-CO"/>
        </w:rPr>
      </w:pPr>
    </w:p>
    <w:p w14:paraId="18C2F79B" w14:textId="1447DEAD" w:rsidR="00E45990" w:rsidRPr="007C5CDA" w:rsidRDefault="00E45990" w:rsidP="007C5CDA">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0"/>
          <w:szCs w:val="20"/>
          <w:lang w:val="es-CO"/>
        </w:rPr>
      </w:pPr>
      <w:r w:rsidRPr="007C5CDA">
        <w:rPr>
          <w:rFonts w:asciiTheme="majorHAnsi" w:eastAsia="Times New Roman" w:hAnsiTheme="majorHAnsi"/>
          <w:b/>
          <w:sz w:val="20"/>
          <w:szCs w:val="20"/>
          <w:lang w:val="es-CO"/>
        </w:rPr>
        <w:t>Flora Yolita Palacios Caicedo (lesionada)</w:t>
      </w:r>
    </w:p>
    <w:p w14:paraId="4953E434" w14:textId="77777777" w:rsidR="00E45990" w:rsidRPr="00020419" w:rsidRDefault="00E45990" w:rsidP="00E4599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0"/>
          <w:szCs w:val="20"/>
          <w:lang w:val="es-CO"/>
        </w:rPr>
      </w:pPr>
    </w:p>
    <w:p w14:paraId="0F3F1A39" w14:textId="199E1904" w:rsidR="00D546F4" w:rsidRPr="00956538" w:rsidRDefault="00E45990" w:rsidP="00956538">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heme="majorHAnsi" w:eastAsia="Times New Roman" w:hAnsiTheme="majorHAnsi"/>
          <w:color w:val="000000"/>
          <w:sz w:val="20"/>
          <w:szCs w:val="20"/>
          <w:lang w:val="es-CO"/>
        </w:rPr>
      </w:pPr>
      <w:r w:rsidRPr="00020419">
        <w:rPr>
          <w:rFonts w:asciiTheme="majorHAnsi" w:eastAsia="Times New Roman" w:hAnsiTheme="majorHAnsi"/>
          <w:color w:val="000000"/>
          <w:sz w:val="20"/>
          <w:szCs w:val="20"/>
          <w:lang w:val="es-CO"/>
        </w:rPr>
        <w:t>Familiares</w:t>
      </w:r>
      <w:r w:rsidR="00835BE2">
        <w:rPr>
          <w:rFonts w:asciiTheme="majorHAnsi" w:eastAsia="Times New Roman" w:hAnsiTheme="majorHAnsi"/>
          <w:color w:val="000000"/>
          <w:sz w:val="20"/>
          <w:szCs w:val="20"/>
          <w:lang w:val="es-CO"/>
        </w:rPr>
        <w:t>:</w:t>
      </w:r>
    </w:p>
    <w:p w14:paraId="0AA1BBBF"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5E4876">
        <w:rPr>
          <w:rFonts w:asciiTheme="majorHAnsi" w:eastAsia="Times New Roman" w:hAnsiTheme="majorHAnsi"/>
          <w:color w:val="000000"/>
          <w:sz w:val="20"/>
          <w:szCs w:val="20"/>
          <w:lang w:val="es-US"/>
        </w:rPr>
        <w:t>Ana Beatriz Caicedo Cuesta (madre)</w:t>
      </w:r>
    </w:p>
    <w:p w14:paraId="79AC37F8"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5E4876">
        <w:rPr>
          <w:rFonts w:asciiTheme="majorHAnsi" w:eastAsia="Times New Roman" w:hAnsiTheme="majorHAnsi"/>
          <w:color w:val="000000"/>
          <w:sz w:val="20"/>
          <w:szCs w:val="20"/>
          <w:lang w:val="es-US"/>
        </w:rPr>
        <w:t>Ana Lucia Palacios Caicedo (hermana)</w:t>
      </w:r>
    </w:p>
    <w:p w14:paraId="5EEC1E07" w14:textId="77777777" w:rsidR="00E45990" w:rsidRPr="00020419" w:rsidRDefault="00E45990" w:rsidP="009D24D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r w:rsidRPr="005E4876">
        <w:rPr>
          <w:rFonts w:asciiTheme="majorHAnsi" w:eastAsia="Times New Roman" w:hAnsiTheme="majorHAnsi"/>
          <w:color w:val="000000"/>
          <w:sz w:val="20"/>
          <w:szCs w:val="20"/>
          <w:lang w:val="es-US"/>
        </w:rPr>
        <w:t>Vilma Cecilia Palacios Caicedo (hermana)</w:t>
      </w:r>
    </w:p>
    <w:p w14:paraId="756C9E58" w14:textId="77777777" w:rsidR="00E45990" w:rsidRPr="00020419" w:rsidRDefault="00E45990" w:rsidP="00E45990">
      <w:pPr>
        <w:rPr>
          <w:rFonts w:asciiTheme="majorHAnsi" w:eastAsia="Times New Roman" w:hAnsiTheme="majorHAnsi"/>
          <w:b/>
          <w:sz w:val="20"/>
          <w:szCs w:val="20"/>
          <w:lang w:val="es-CO"/>
        </w:rPr>
      </w:pPr>
    </w:p>
    <w:p w14:paraId="55B50825" w14:textId="77777777" w:rsidR="007047D9" w:rsidRPr="00020419" w:rsidRDefault="007047D9" w:rsidP="00E4599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CO"/>
        </w:rPr>
      </w:pPr>
    </w:p>
    <w:p w14:paraId="26B46EC4" w14:textId="77777777" w:rsidR="00E45990" w:rsidRPr="00020419" w:rsidRDefault="00E45990" w:rsidP="001D65EF">
      <w:pPr>
        <w:tabs>
          <w:tab w:val="center" w:pos="5400"/>
        </w:tabs>
        <w:suppressAutoHyphens/>
        <w:spacing w:line="276" w:lineRule="auto"/>
        <w:rPr>
          <w:rFonts w:asciiTheme="majorHAnsi" w:hAnsiTheme="majorHAnsi"/>
          <w:sz w:val="20"/>
          <w:szCs w:val="20"/>
          <w:lang w:val="es-ES"/>
        </w:rPr>
      </w:pPr>
    </w:p>
    <w:p w14:paraId="70DF161E" w14:textId="77777777" w:rsidR="00661722" w:rsidRPr="00020419" w:rsidRDefault="00661722" w:rsidP="001D65EF">
      <w:pPr>
        <w:tabs>
          <w:tab w:val="center" w:pos="5400"/>
        </w:tabs>
        <w:suppressAutoHyphens/>
        <w:spacing w:line="276" w:lineRule="auto"/>
        <w:rPr>
          <w:rFonts w:asciiTheme="majorHAnsi" w:hAnsiTheme="majorHAnsi"/>
          <w:sz w:val="20"/>
          <w:szCs w:val="20"/>
          <w:lang w:val="es-ES"/>
        </w:rPr>
      </w:pPr>
    </w:p>
    <w:p w14:paraId="3D0755FC" w14:textId="77777777" w:rsidR="00D97E47" w:rsidRPr="00F34449" w:rsidRDefault="00D97E47" w:rsidP="005806D6">
      <w:pPr>
        <w:rPr>
          <w:rFonts w:asciiTheme="majorHAnsi" w:hAnsiTheme="majorHAnsi" w:cs="Calibri"/>
          <w:b/>
          <w:sz w:val="20"/>
          <w:szCs w:val="20"/>
          <w:lang w:val="pt-BR"/>
        </w:rPr>
      </w:pPr>
    </w:p>
    <w:sectPr w:rsidR="00D97E47" w:rsidRPr="00F34449" w:rsidSect="00ED2F41">
      <w:type w:val="oddPage"/>
      <w:pgSz w:w="11907" w:h="16839"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F19CE" w14:textId="77777777" w:rsidR="001F20B0" w:rsidRDefault="001F20B0">
      <w:r>
        <w:separator/>
      </w:r>
    </w:p>
  </w:endnote>
  <w:endnote w:type="continuationSeparator" w:id="0">
    <w:p w14:paraId="5FFCF85A" w14:textId="77777777" w:rsidR="001F20B0" w:rsidRDefault="001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F78A4" w14:textId="77777777" w:rsidR="000D2922" w:rsidRDefault="000D2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C736BA" w:rsidRPr="00934A2C" w:rsidRDefault="00C736B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D2922">
          <w:rPr>
            <w:noProof/>
            <w:sz w:val="16"/>
            <w:szCs w:val="22"/>
          </w:rPr>
          <w:t>1</w:t>
        </w:r>
        <w:r w:rsidRPr="00934A2C">
          <w:rPr>
            <w:noProof/>
            <w:sz w:val="16"/>
            <w:szCs w:val="22"/>
          </w:rPr>
          <w:fldChar w:fldCharType="end"/>
        </w:r>
      </w:p>
    </w:sdtContent>
  </w:sdt>
  <w:p w14:paraId="68530E6A" w14:textId="77777777" w:rsidR="00C736BA" w:rsidRDefault="00C736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C736BA" w:rsidRPr="00934A2C" w:rsidRDefault="00C736BA">
    <w:pPr>
      <w:pStyle w:val="Footer"/>
      <w:jc w:val="center"/>
      <w:rPr>
        <w:sz w:val="16"/>
        <w:szCs w:val="22"/>
      </w:rPr>
    </w:pPr>
  </w:p>
  <w:p w14:paraId="49059CE3" w14:textId="77777777" w:rsidR="00C736BA" w:rsidRDefault="00C73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C9C56" w14:textId="77777777" w:rsidR="001F20B0" w:rsidRPr="000F35ED" w:rsidRDefault="001F20B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C75323" w14:textId="77777777" w:rsidR="001F20B0" w:rsidRPr="000F35ED" w:rsidRDefault="001F20B0" w:rsidP="000F35ED">
      <w:pPr>
        <w:rPr>
          <w:rFonts w:asciiTheme="majorHAnsi" w:hAnsiTheme="majorHAnsi"/>
          <w:sz w:val="16"/>
          <w:szCs w:val="16"/>
        </w:rPr>
      </w:pPr>
      <w:r w:rsidRPr="000F35ED">
        <w:rPr>
          <w:rFonts w:asciiTheme="majorHAnsi" w:hAnsiTheme="majorHAnsi"/>
          <w:sz w:val="16"/>
          <w:szCs w:val="16"/>
        </w:rPr>
        <w:separator/>
      </w:r>
    </w:p>
    <w:p w14:paraId="25CD2DB9" w14:textId="77777777" w:rsidR="001F20B0" w:rsidRPr="000F35ED" w:rsidRDefault="001F20B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762D764" w14:textId="77777777" w:rsidR="001F20B0" w:rsidRPr="000F35ED" w:rsidRDefault="001F20B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912845F" w14:textId="2F8D6DB4" w:rsidR="00C736BA" w:rsidRPr="005D5651" w:rsidRDefault="00C736BA" w:rsidP="00A1166E">
      <w:pPr>
        <w:pStyle w:val="FootnoteText"/>
        <w:ind w:firstLine="720"/>
        <w:jc w:val="both"/>
        <w:rPr>
          <w:rFonts w:asciiTheme="majorHAnsi" w:hAnsiTheme="majorHAnsi"/>
          <w:sz w:val="16"/>
          <w:szCs w:val="16"/>
          <w:lang w:val="es-ES"/>
        </w:rPr>
      </w:pPr>
      <w:r w:rsidRPr="00C16C2F">
        <w:rPr>
          <w:rStyle w:val="FootnoteReference"/>
          <w:rFonts w:asciiTheme="majorHAnsi" w:hAnsiTheme="majorHAnsi" w:cs="Arial"/>
          <w:sz w:val="16"/>
          <w:szCs w:val="16"/>
        </w:rPr>
        <w:footnoteRef/>
      </w:r>
      <w:r w:rsidRPr="00C16C2F">
        <w:rPr>
          <w:rFonts w:asciiTheme="majorHAnsi" w:hAnsiTheme="majorHAnsi" w:cs="Arial"/>
          <w:lang w:val="es-ES"/>
        </w:rPr>
        <w:t xml:space="preserve"> </w:t>
      </w:r>
      <w:r w:rsidRPr="005D5651">
        <w:rPr>
          <w:rFonts w:asciiTheme="majorHAnsi" w:hAnsiTheme="majorHAnsi"/>
          <w:sz w:val="16"/>
          <w:szCs w:val="16"/>
          <w:lang w:val="es-ES"/>
        </w:rPr>
        <w:t xml:space="preserve">La petición se </w:t>
      </w:r>
      <w:r>
        <w:rPr>
          <w:rFonts w:asciiTheme="majorHAnsi" w:hAnsiTheme="majorHAnsi"/>
          <w:color w:val="auto"/>
          <w:sz w:val="16"/>
          <w:szCs w:val="16"/>
          <w:lang w:val="es-ES"/>
        </w:rPr>
        <w:t>refiere a</w:t>
      </w:r>
      <w:r w:rsidRPr="005D5651">
        <w:rPr>
          <w:rFonts w:asciiTheme="majorHAnsi" w:hAnsiTheme="majorHAnsi"/>
          <w:color w:val="auto"/>
          <w:sz w:val="16"/>
          <w:szCs w:val="16"/>
          <w:lang w:val="es-ES"/>
        </w:rPr>
        <w:t xml:space="preserve"> 10 personas </w:t>
      </w:r>
      <w:r>
        <w:rPr>
          <w:rFonts w:asciiTheme="majorHAnsi" w:hAnsiTheme="majorHAnsi"/>
          <w:color w:val="auto"/>
          <w:sz w:val="16"/>
          <w:szCs w:val="16"/>
          <w:lang w:val="es-ES"/>
        </w:rPr>
        <w:t>fallecidas</w:t>
      </w:r>
      <w:r w:rsidRPr="005D5651">
        <w:rPr>
          <w:rFonts w:asciiTheme="majorHAnsi" w:hAnsiTheme="majorHAnsi"/>
          <w:color w:val="auto"/>
          <w:sz w:val="16"/>
          <w:szCs w:val="16"/>
          <w:lang w:val="es-ES"/>
        </w:rPr>
        <w:t xml:space="preserve">, 4 personas lesionadas y 67 familiares de las </w:t>
      </w:r>
      <w:r w:rsidRPr="005D5651">
        <w:rPr>
          <w:rFonts w:asciiTheme="majorHAnsi" w:hAnsiTheme="majorHAnsi"/>
          <w:sz w:val="16"/>
          <w:szCs w:val="16"/>
          <w:lang w:val="es-ES"/>
        </w:rPr>
        <w:t xml:space="preserve">presuntas víctimas, individualizadas en el </w:t>
      </w:r>
      <w:r>
        <w:rPr>
          <w:rFonts w:asciiTheme="majorHAnsi" w:hAnsiTheme="majorHAnsi"/>
          <w:sz w:val="16"/>
          <w:szCs w:val="16"/>
          <w:lang w:val="es-ES"/>
        </w:rPr>
        <w:t>a</w:t>
      </w:r>
      <w:r w:rsidRPr="005D5651">
        <w:rPr>
          <w:rFonts w:asciiTheme="majorHAnsi" w:hAnsiTheme="majorHAnsi"/>
          <w:sz w:val="16"/>
          <w:szCs w:val="16"/>
          <w:lang w:val="es-ES"/>
        </w:rPr>
        <w:t xml:space="preserve">nexo de la presente petición. </w:t>
      </w:r>
    </w:p>
  </w:footnote>
  <w:footnote w:id="3">
    <w:p w14:paraId="06C1BEFA" w14:textId="4F87B729" w:rsidR="00C736BA" w:rsidRPr="005D5651" w:rsidRDefault="00C736BA" w:rsidP="00A1166E">
      <w:pPr>
        <w:pStyle w:val="FootnoteText"/>
        <w:ind w:firstLine="720"/>
        <w:jc w:val="both"/>
        <w:rPr>
          <w:rFonts w:asciiTheme="majorHAnsi" w:hAnsiTheme="majorHAnsi"/>
          <w:sz w:val="16"/>
          <w:szCs w:val="16"/>
          <w:lang w:val="es-ES"/>
        </w:rPr>
      </w:pPr>
      <w:r w:rsidRPr="005D5651">
        <w:rPr>
          <w:rStyle w:val="FootnoteReference"/>
          <w:rFonts w:asciiTheme="majorHAnsi" w:hAnsiTheme="majorHAnsi"/>
          <w:sz w:val="16"/>
          <w:szCs w:val="16"/>
        </w:rPr>
        <w:footnoteRef/>
      </w:r>
      <w:r w:rsidRPr="005D5651">
        <w:rPr>
          <w:rFonts w:asciiTheme="majorHAnsi" w:hAnsiTheme="majorHAnsi"/>
          <w:sz w:val="16"/>
          <w:szCs w:val="16"/>
          <w:lang w:val="es-ES"/>
        </w:rPr>
        <w:t xml:space="preserve"> Conforme a lo dispuesto en el artículo 17.2.a del Reglamento de la Comisión, el Comisionado Luis Ernesto Vargas, de nacionalidad colombiana, no participó en el debate ni en la decisión del presente asunto.</w:t>
      </w:r>
    </w:p>
  </w:footnote>
  <w:footnote w:id="4">
    <w:p w14:paraId="3716BF1D" w14:textId="75EC06E7" w:rsidR="00C736BA" w:rsidRPr="005D5651" w:rsidRDefault="00C736BA" w:rsidP="00A1166E">
      <w:pPr>
        <w:pStyle w:val="FootnoteText"/>
        <w:ind w:firstLine="720"/>
        <w:jc w:val="both"/>
        <w:rPr>
          <w:rFonts w:asciiTheme="majorHAnsi" w:hAnsiTheme="majorHAnsi"/>
          <w:sz w:val="16"/>
          <w:szCs w:val="16"/>
          <w:lang w:val="es-ES"/>
        </w:rPr>
      </w:pPr>
      <w:r w:rsidRPr="005D5651">
        <w:rPr>
          <w:rStyle w:val="FootnoteReference"/>
          <w:rFonts w:asciiTheme="majorHAnsi" w:hAnsiTheme="majorHAnsi"/>
          <w:sz w:val="16"/>
          <w:szCs w:val="16"/>
        </w:rPr>
        <w:footnoteRef/>
      </w:r>
      <w:r w:rsidRPr="005D5651">
        <w:rPr>
          <w:rFonts w:asciiTheme="majorHAnsi" w:hAnsiTheme="majorHAnsi"/>
          <w:sz w:val="16"/>
          <w:szCs w:val="16"/>
          <w:lang w:val="es-ES"/>
        </w:rPr>
        <w:t xml:space="preserve"> En adelante “Convención” o “Convención Americana”.</w:t>
      </w:r>
    </w:p>
  </w:footnote>
  <w:footnote w:id="5">
    <w:p w14:paraId="79F07139" w14:textId="77777777" w:rsidR="00C736BA" w:rsidRPr="00537490" w:rsidRDefault="00C736BA" w:rsidP="00A1166E">
      <w:pPr>
        <w:pStyle w:val="FootnoteText"/>
        <w:spacing w:after="120"/>
        <w:ind w:firstLine="720"/>
        <w:jc w:val="both"/>
        <w:rPr>
          <w:rFonts w:ascii="Cambria" w:hAnsi="Cambria"/>
          <w:sz w:val="16"/>
          <w:szCs w:val="16"/>
          <w:lang w:val="es-ES"/>
        </w:rPr>
      </w:pPr>
      <w:r w:rsidRPr="005D5651">
        <w:rPr>
          <w:rStyle w:val="FootnoteReference"/>
          <w:rFonts w:asciiTheme="majorHAnsi" w:hAnsiTheme="majorHAnsi"/>
          <w:sz w:val="16"/>
          <w:szCs w:val="16"/>
        </w:rPr>
        <w:footnoteRef/>
      </w:r>
      <w:r w:rsidRPr="005D5651">
        <w:rPr>
          <w:rFonts w:asciiTheme="majorHAnsi" w:hAnsiTheme="majorHAnsi"/>
          <w:sz w:val="16"/>
          <w:szCs w:val="16"/>
          <w:lang w:val="es-ES"/>
        </w:rPr>
        <w:t xml:space="preserve"> </w:t>
      </w:r>
      <w:r w:rsidRPr="005D5651">
        <w:rPr>
          <w:rFonts w:asciiTheme="majorHAnsi" w:hAnsiTheme="majorHAnsi"/>
          <w:color w:val="auto"/>
          <w:sz w:val="16"/>
          <w:szCs w:val="16"/>
          <w:lang w:val="es-ES"/>
        </w:rPr>
        <w:t>Las observaciones de cada parte fueron debidamente trasladadas a la parte contraria.</w:t>
      </w:r>
    </w:p>
  </w:footnote>
  <w:footnote w:id="6">
    <w:p w14:paraId="0D1417DD" w14:textId="78CEB852" w:rsidR="00C736BA" w:rsidRPr="00C809B2" w:rsidRDefault="00C736BA" w:rsidP="00E05C32">
      <w:pPr>
        <w:pStyle w:val="FootnoteText"/>
        <w:ind w:firstLine="720"/>
        <w:jc w:val="both"/>
        <w:rPr>
          <w:rFonts w:asciiTheme="majorHAnsi" w:hAnsiTheme="majorHAnsi"/>
          <w:sz w:val="16"/>
          <w:szCs w:val="16"/>
          <w:lang w:val="es-CL"/>
        </w:rPr>
      </w:pPr>
      <w:r w:rsidRPr="00C809B2">
        <w:rPr>
          <w:rStyle w:val="FootnoteReference"/>
          <w:rFonts w:asciiTheme="majorHAnsi" w:hAnsiTheme="majorHAnsi"/>
          <w:sz w:val="16"/>
          <w:szCs w:val="16"/>
        </w:rPr>
        <w:footnoteRef/>
      </w:r>
      <w:r w:rsidRPr="00C809B2">
        <w:rPr>
          <w:rFonts w:asciiTheme="majorHAnsi" w:hAnsiTheme="majorHAnsi"/>
          <w:sz w:val="16"/>
          <w:szCs w:val="16"/>
          <w:lang w:val="es-ES"/>
        </w:rPr>
        <w:t xml:space="preserve"> </w:t>
      </w:r>
      <w:r>
        <w:rPr>
          <w:rFonts w:asciiTheme="majorHAnsi" w:hAnsiTheme="majorHAnsi"/>
          <w:sz w:val="16"/>
          <w:szCs w:val="16"/>
          <w:lang w:val="es-ES"/>
        </w:rPr>
        <w:t>CIDH, Informe No.113/17, Petición 1141-</w:t>
      </w:r>
      <w:r w:rsidRPr="00C809B2">
        <w:rPr>
          <w:rFonts w:asciiTheme="majorHAnsi" w:hAnsiTheme="majorHAnsi"/>
          <w:sz w:val="16"/>
          <w:szCs w:val="16"/>
          <w:lang w:val="es-ES"/>
        </w:rPr>
        <w:t>07, Admisibilidad. Alfredo Manuel Martínez Meza y otros. Colombia. 7 de septiembre de 2017</w:t>
      </w:r>
      <w:r>
        <w:rPr>
          <w:rFonts w:asciiTheme="majorHAnsi" w:hAnsiTheme="majorHAnsi"/>
          <w:sz w:val="16"/>
          <w:szCs w:val="16"/>
          <w:lang w:val="es-ES"/>
        </w:rPr>
        <w:t>, párr. 24</w:t>
      </w:r>
      <w:r w:rsidRPr="00C809B2">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C736BA" w:rsidRDefault="00C736BA" w:rsidP="001E3B7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736BA" w:rsidRDefault="00C73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C736BA" w:rsidRDefault="00C736BA"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736BA" w:rsidRPr="00EC7D62" w:rsidRDefault="001F20B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1435" w14:textId="77777777" w:rsidR="000D2922" w:rsidRDefault="000D2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BB7484"/>
    <w:multiLevelType w:val="hybridMultilevel"/>
    <w:tmpl w:val="8348EC8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E148E86"/>
    <w:lvl w:ilvl="0" w:tplc="64883D32">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B41868"/>
    <w:multiLevelType w:val="hybridMultilevel"/>
    <w:tmpl w:val="27C6286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45416"/>
    <w:multiLevelType w:val="hybridMultilevel"/>
    <w:tmpl w:val="89248C8A"/>
    <w:lvl w:ilvl="0" w:tplc="2CB202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52C0A"/>
    <w:multiLevelType w:val="hybridMultilevel"/>
    <w:tmpl w:val="89248C8A"/>
    <w:lvl w:ilvl="0" w:tplc="2CB202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D6918AB"/>
    <w:multiLevelType w:val="hybridMultilevel"/>
    <w:tmpl w:val="3B024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3F5B82"/>
    <w:multiLevelType w:val="hybridMultilevel"/>
    <w:tmpl w:val="3364F2F6"/>
    <w:lvl w:ilvl="0" w:tplc="64883D3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B7F0EA2"/>
    <w:multiLevelType w:val="hybridMultilevel"/>
    <w:tmpl w:val="B5063936"/>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B8F7027"/>
    <w:multiLevelType w:val="hybridMultilevel"/>
    <w:tmpl w:val="4FA4CA06"/>
    <w:lvl w:ilvl="0" w:tplc="E0C22CBA">
      <w:start w:val="52"/>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024A85"/>
    <w:multiLevelType w:val="hybridMultilevel"/>
    <w:tmpl w:val="A8CA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BC37487"/>
    <w:multiLevelType w:val="hybridMultilevel"/>
    <w:tmpl w:val="3364F2F6"/>
    <w:lvl w:ilvl="0" w:tplc="64883D3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9564BD"/>
    <w:multiLevelType w:val="hybridMultilevel"/>
    <w:tmpl w:val="0D10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9E3F1D"/>
    <w:multiLevelType w:val="hybridMultilevel"/>
    <w:tmpl w:val="A530CE96"/>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B7D3647"/>
    <w:multiLevelType w:val="hybridMultilevel"/>
    <w:tmpl w:val="89248C8A"/>
    <w:lvl w:ilvl="0" w:tplc="2CB202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2"/>
  </w:num>
  <w:num w:numId="4">
    <w:abstractNumId w:val="23"/>
  </w:num>
  <w:num w:numId="5">
    <w:abstractNumId w:val="53"/>
  </w:num>
  <w:num w:numId="6">
    <w:abstractNumId w:val="29"/>
  </w:num>
  <w:num w:numId="7">
    <w:abstractNumId w:val="9"/>
  </w:num>
  <w:num w:numId="8">
    <w:abstractNumId w:val="19"/>
  </w:num>
  <w:num w:numId="9">
    <w:abstractNumId w:val="47"/>
  </w:num>
  <w:num w:numId="10">
    <w:abstractNumId w:val="0"/>
  </w:num>
  <w:num w:numId="11">
    <w:abstractNumId w:val="42"/>
  </w:num>
  <w:num w:numId="12">
    <w:abstractNumId w:val="43"/>
  </w:num>
  <w:num w:numId="13">
    <w:abstractNumId w:val="50"/>
  </w:num>
  <w:num w:numId="14">
    <w:abstractNumId w:val="1"/>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8"/>
  </w:num>
  <w:num w:numId="31">
    <w:abstractNumId w:val="30"/>
  </w:num>
  <w:num w:numId="32">
    <w:abstractNumId w:val="32"/>
  </w:num>
  <w:num w:numId="33">
    <w:abstractNumId w:val="33"/>
  </w:num>
  <w:num w:numId="34">
    <w:abstractNumId w:val="34"/>
  </w:num>
  <w:num w:numId="35">
    <w:abstractNumId w:val="35"/>
  </w:num>
  <w:num w:numId="36">
    <w:abstractNumId w:val="36"/>
  </w:num>
  <w:num w:numId="37">
    <w:abstractNumId w:val="38"/>
  </w:num>
  <w:num w:numId="38">
    <w:abstractNumId w:val="39"/>
  </w:num>
  <w:num w:numId="39">
    <w:abstractNumId w:val="44"/>
  </w:num>
  <w:num w:numId="40">
    <w:abstractNumId w:val="45"/>
  </w:num>
  <w:num w:numId="41">
    <w:abstractNumId w:val="52"/>
  </w:num>
  <w:num w:numId="42">
    <w:abstractNumId w:val="54"/>
  </w:num>
  <w:num w:numId="43">
    <w:abstractNumId w:val="56"/>
  </w:num>
  <w:num w:numId="44">
    <w:abstractNumId w:val="60"/>
  </w:num>
  <w:num w:numId="45">
    <w:abstractNumId w:val="61"/>
  </w:num>
  <w:num w:numId="46">
    <w:abstractNumId w:val="63"/>
  </w:num>
  <w:num w:numId="47">
    <w:abstractNumId w:val="65"/>
  </w:num>
  <w:num w:numId="48">
    <w:abstractNumId w:val="66"/>
  </w:num>
  <w:num w:numId="49">
    <w:abstractNumId w:val="67"/>
  </w:num>
  <w:num w:numId="50">
    <w:abstractNumId w:val="68"/>
  </w:num>
  <w:num w:numId="51">
    <w:abstractNumId w:val="22"/>
  </w:num>
  <w:num w:numId="52">
    <w:abstractNumId w:val="46"/>
  </w:num>
  <w:num w:numId="53">
    <w:abstractNumId w:val="57"/>
  </w:num>
  <w:num w:numId="54">
    <w:abstractNumId w:val="51"/>
  </w:num>
  <w:num w:numId="55">
    <w:abstractNumId w:val="5"/>
  </w:num>
  <w:num w:numId="56">
    <w:abstractNumId w:val="48"/>
  </w:num>
  <w:num w:numId="57">
    <w:abstractNumId w:val="7"/>
  </w:num>
  <w:num w:numId="58">
    <w:abstractNumId w:val="49"/>
  </w:num>
  <w:num w:numId="59">
    <w:abstractNumId w:val="58"/>
  </w:num>
  <w:num w:numId="60">
    <w:abstractNumId w:val="31"/>
  </w:num>
  <w:num w:numId="61">
    <w:abstractNumId w:val="37"/>
  </w:num>
  <w:num w:numId="62">
    <w:abstractNumId w:val="55"/>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64"/>
  </w:num>
  <w:num w:numId="66">
    <w:abstractNumId w:val="41"/>
  </w:num>
  <w:num w:numId="67">
    <w:abstractNumId w:val="2"/>
  </w:num>
  <w:num w:numId="68">
    <w:abstractNumId w:val="59"/>
  </w:num>
  <w:num w:numId="69">
    <w:abstractNumId w:val="8"/>
  </w:num>
  <w:num w:numId="70">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61"/>
    <w:rsid w:val="00000CDA"/>
    <w:rsid w:val="000021C4"/>
    <w:rsid w:val="0000308A"/>
    <w:rsid w:val="000038A6"/>
    <w:rsid w:val="000044A4"/>
    <w:rsid w:val="000047AF"/>
    <w:rsid w:val="000058D4"/>
    <w:rsid w:val="00006E1F"/>
    <w:rsid w:val="000070D7"/>
    <w:rsid w:val="000077F0"/>
    <w:rsid w:val="000139C9"/>
    <w:rsid w:val="0001788C"/>
    <w:rsid w:val="00017BCF"/>
    <w:rsid w:val="00020419"/>
    <w:rsid w:val="00020761"/>
    <w:rsid w:val="000240D7"/>
    <w:rsid w:val="0002512C"/>
    <w:rsid w:val="00025856"/>
    <w:rsid w:val="000326D3"/>
    <w:rsid w:val="000337EF"/>
    <w:rsid w:val="0003449F"/>
    <w:rsid w:val="000346F2"/>
    <w:rsid w:val="00040C3A"/>
    <w:rsid w:val="000419AD"/>
    <w:rsid w:val="0004419A"/>
    <w:rsid w:val="00045136"/>
    <w:rsid w:val="00045B6F"/>
    <w:rsid w:val="00061E88"/>
    <w:rsid w:val="00062464"/>
    <w:rsid w:val="0006438F"/>
    <w:rsid w:val="000716C5"/>
    <w:rsid w:val="000733BE"/>
    <w:rsid w:val="00075E23"/>
    <w:rsid w:val="000842E8"/>
    <w:rsid w:val="0009344A"/>
    <w:rsid w:val="00093636"/>
    <w:rsid w:val="000A392E"/>
    <w:rsid w:val="000A54CE"/>
    <w:rsid w:val="000A575F"/>
    <w:rsid w:val="000B017C"/>
    <w:rsid w:val="000B143E"/>
    <w:rsid w:val="000C145F"/>
    <w:rsid w:val="000C4893"/>
    <w:rsid w:val="000C4AAE"/>
    <w:rsid w:val="000D0428"/>
    <w:rsid w:val="000D10DB"/>
    <w:rsid w:val="000D2922"/>
    <w:rsid w:val="000D353C"/>
    <w:rsid w:val="000D793D"/>
    <w:rsid w:val="000E128A"/>
    <w:rsid w:val="000E12CC"/>
    <w:rsid w:val="000E2092"/>
    <w:rsid w:val="000E240C"/>
    <w:rsid w:val="000E5EB5"/>
    <w:rsid w:val="000F35ED"/>
    <w:rsid w:val="000F3667"/>
    <w:rsid w:val="00103EFA"/>
    <w:rsid w:val="00104049"/>
    <w:rsid w:val="001059A7"/>
    <w:rsid w:val="00107131"/>
    <w:rsid w:val="0010736F"/>
    <w:rsid w:val="00113F73"/>
    <w:rsid w:val="00114131"/>
    <w:rsid w:val="00114B88"/>
    <w:rsid w:val="00115CDD"/>
    <w:rsid w:val="00121C09"/>
    <w:rsid w:val="00121CC2"/>
    <w:rsid w:val="00124C16"/>
    <w:rsid w:val="00127832"/>
    <w:rsid w:val="00133EE5"/>
    <w:rsid w:val="0014327F"/>
    <w:rsid w:val="00145A0E"/>
    <w:rsid w:val="001469C1"/>
    <w:rsid w:val="001524C0"/>
    <w:rsid w:val="0015313F"/>
    <w:rsid w:val="00157112"/>
    <w:rsid w:val="001622F8"/>
    <w:rsid w:val="00164CE4"/>
    <w:rsid w:val="00167A34"/>
    <w:rsid w:val="00174695"/>
    <w:rsid w:val="00174D6A"/>
    <w:rsid w:val="001761EA"/>
    <w:rsid w:val="00177751"/>
    <w:rsid w:val="001825C0"/>
    <w:rsid w:val="001840D4"/>
    <w:rsid w:val="00193949"/>
    <w:rsid w:val="001957BE"/>
    <w:rsid w:val="001A5159"/>
    <w:rsid w:val="001A7870"/>
    <w:rsid w:val="001B0F42"/>
    <w:rsid w:val="001B2CFA"/>
    <w:rsid w:val="001B38A8"/>
    <w:rsid w:val="001B3A00"/>
    <w:rsid w:val="001C0966"/>
    <w:rsid w:val="001C1B41"/>
    <w:rsid w:val="001C1EDD"/>
    <w:rsid w:val="001C30E7"/>
    <w:rsid w:val="001D29AB"/>
    <w:rsid w:val="001D5CB7"/>
    <w:rsid w:val="001D65EF"/>
    <w:rsid w:val="001D749E"/>
    <w:rsid w:val="001E2E0D"/>
    <w:rsid w:val="001E32B2"/>
    <w:rsid w:val="001E3B71"/>
    <w:rsid w:val="001E49E7"/>
    <w:rsid w:val="001E4C49"/>
    <w:rsid w:val="001E7EB6"/>
    <w:rsid w:val="001F20B0"/>
    <w:rsid w:val="001F2288"/>
    <w:rsid w:val="001F3244"/>
    <w:rsid w:val="001F3E60"/>
    <w:rsid w:val="001F7201"/>
    <w:rsid w:val="001F76DC"/>
    <w:rsid w:val="00203E2F"/>
    <w:rsid w:val="00205960"/>
    <w:rsid w:val="00210BD1"/>
    <w:rsid w:val="00213417"/>
    <w:rsid w:val="00213747"/>
    <w:rsid w:val="00215086"/>
    <w:rsid w:val="00215192"/>
    <w:rsid w:val="00223A29"/>
    <w:rsid w:val="00224CEE"/>
    <w:rsid w:val="002250A3"/>
    <w:rsid w:val="00231652"/>
    <w:rsid w:val="00232EF3"/>
    <w:rsid w:val="00233F7B"/>
    <w:rsid w:val="00234D05"/>
    <w:rsid w:val="00235217"/>
    <w:rsid w:val="00242A43"/>
    <w:rsid w:val="0024398E"/>
    <w:rsid w:val="00246D1F"/>
    <w:rsid w:val="00247403"/>
    <w:rsid w:val="00247542"/>
    <w:rsid w:val="00265BB3"/>
    <w:rsid w:val="00266B61"/>
    <w:rsid w:val="0026712A"/>
    <w:rsid w:val="002704DB"/>
    <w:rsid w:val="00282A6C"/>
    <w:rsid w:val="0029442F"/>
    <w:rsid w:val="0029445E"/>
    <w:rsid w:val="002965B8"/>
    <w:rsid w:val="002A0AAE"/>
    <w:rsid w:val="002A5820"/>
    <w:rsid w:val="002B7286"/>
    <w:rsid w:val="002C04C6"/>
    <w:rsid w:val="002C0B7C"/>
    <w:rsid w:val="002C1432"/>
    <w:rsid w:val="002C2BF8"/>
    <w:rsid w:val="002C4A07"/>
    <w:rsid w:val="002D0524"/>
    <w:rsid w:val="002D2B26"/>
    <w:rsid w:val="002D6805"/>
    <w:rsid w:val="002D7D73"/>
    <w:rsid w:val="002D7EA2"/>
    <w:rsid w:val="002E187C"/>
    <w:rsid w:val="002E1F9D"/>
    <w:rsid w:val="002F3895"/>
    <w:rsid w:val="002F440F"/>
    <w:rsid w:val="002F569A"/>
    <w:rsid w:val="002F7A18"/>
    <w:rsid w:val="003008E0"/>
    <w:rsid w:val="00302733"/>
    <w:rsid w:val="00305C70"/>
    <w:rsid w:val="00310B3B"/>
    <w:rsid w:val="00313960"/>
    <w:rsid w:val="00314078"/>
    <w:rsid w:val="0031535D"/>
    <w:rsid w:val="003212BD"/>
    <w:rsid w:val="00321B94"/>
    <w:rsid w:val="003233CC"/>
    <w:rsid w:val="003238FD"/>
    <w:rsid w:val="003239B8"/>
    <w:rsid w:val="00330C39"/>
    <w:rsid w:val="0033169F"/>
    <w:rsid w:val="00333764"/>
    <w:rsid w:val="003371DE"/>
    <w:rsid w:val="00341387"/>
    <w:rsid w:val="00344977"/>
    <w:rsid w:val="00345C88"/>
    <w:rsid w:val="00346324"/>
    <w:rsid w:val="00346C95"/>
    <w:rsid w:val="00351B1A"/>
    <w:rsid w:val="00356185"/>
    <w:rsid w:val="00360380"/>
    <w:rsid w:val="00370E7D"/>
    <w:rsid w:val="00373453"/>
    <w:rsid w:val="0037519E"/>
    <w:rsid w:val="00375DA6"/>
    <w:rsid w:val="00386CF0"/>
    <w:rsid w:val="0039402E"/>
    <w:rsid w:val="003B36B5"/>
    <w:rsid w:val="003B5618"/>
    <w:rsid w:val="003B70FB"/>
    <w:rsid w:val="003C51F4"/>
    <w:rsid w:val="003C55BC"/>
    <w:rsid w:val="003C676B"/>
    <w:rsid w:val="003D1CDF"/>
    <w:rsid w:val="003D3BC2"/>
    <w:rsid w:val="003E6CA1"/>
    <w:rsid w:val="003F056E"/>
    <w:rsid w:val="003F0CD8"/>
    <w:rsid w:val="003F0D66"/>
    <w:rsid w:val="003F4A53"/>
    <w:rsid w:val="003F5832"/>
    <w:rsid w:val="003F6089"/>
    <w:rsid w:val="003F77BE"/>
    <w:rsid w:val="00400D5B"/>
    <w:rsid w:val="004012C2"/>
    <w:rsid w:val="00406256"/>
    <w:rsid w:val="004065A8"/>
    <w:rsid w:val="004074F0"/>
    <w:rsid w:val="0041468D"/>
    <w:rsid w:val="004165C2"/>
    <w:rsid w:val="0042089B"/>
    <w:rsid w:val="00422EBC"/>
    <w:rsid w:val="0042385E"/>
    <w:rsid w:val="0042798A"/>
    <w:rsid w:val="00427A88"/>
    <w:rsid w:val="00433EC5"/>
    <w:rsid w:val="00436144"/>
    <w:rsid w:val="0043649C"/>
    <w:rsid w:val="004375EA"/>
    <w:rsid w:val="00440329"/>
    <w:rsid w:val="004405C9"/>
    <w:rsid w:val="00441ECB"/>
    <w:rsid w:val="004441EC"/>
    <w:rsid w:val="00445193"/>
    <w:rsid w:val="004533C6"/>
    <w:rsid w:val="00454EBA"/>
    <w:rsid w:val="00456A03"/>
    <w:rsid w:val="00456C3C"/>
    <w:rsid w:val="00457043"/>
    <w:rsid w:val="00462C1B"/>
    <w:rsid w:val="004660F9"/>
    <w:rsid w:val="00467B7E"/>
    <w:rsid w:val="00473BB4"/>
    <w:rsid w:val="00475D71"/>
    <w:rsid w:val="00477592"/>
    <w:rsid w:val="00481C18"/>
    <w:rsid w:val="0048373A"/>
    <w:rsid w:val="00483C43"/>
    <w:rsid w:val="00486F1C"/>
    <w:rsid w:val="004874B1"/>
    <w:rsid w:val="0049419D"/>
    <w:rsid w:val="004953CC"/>
    <w:rsid w:val="00496935"/>
    <w:rsid w:val="004A2B02"/>
    <w:rsid w:val="004A6A54"/>
    <w:rsid w:val="004C20D2"/>
    <w:rsid w:val="004C2312"/>
    <w:rsid w:val="004C4B62"/>
    <w:rsid w:val="004C54C9"/>
    <w:rsid w:val="004C760F"/>
    <w:rsid w:val="004D393D"/>
    <w:rsid w:val="004D4ABA"/>
    <w:rsid w:val="004D51B6"/>
    <w:rsid w:val="004D6025"/>
    <w:rsid w:val="004E0942"/>
    <w:rsid w:val="004E2649"/>
    <w:rsid w:val="004F7388"/>
    <w:rsid w:val="0050054E"/>
    <w:rsid w:val="00501399"/>
    <w:rsid w:val="00501761"/>
    <w:rsid w:val="0050633D"/>
    <w:rsid w:val="00507711"/>
    <w:rsid w:val="00507BC4"/>
    <w:rsid w:val="005128E4"/>
    <w:rsid w:val="00512F5D"/>
    <w:rsid w:val="005133DB"/>
    <w:rsid w:val="00516625"/>
    <w:rsid w:val="0052208D"/>
    <w:rsid w:val="00524EE8"/>
    <w:rsid w:val="0052549F"/>
    <w:rsid w:val="00525560"/>
    <w:rsid w:val="00535F95"/>
    <w:rsid w:val="00544C49"/>
    <w:rsid w:val="00547C76"/>
    <w:rsid w:val="005516A1"/>
    <w:rsid w:val="005567E9"/>
    <w:rsid w:val="00563557"/>
    <w:rsid w:val="00571947"/>
    <w:rsid w:val="005728F6"/>
    <w:rsid w:val="0057402A"/>
    <w:rsid w:val="005771D0"/>
    <w:rsid w:val="005772CD"/>
    <w:rsid w:val="005806D6"/>
    <w:rsid w:val="00584C89"/>
    <w:rsid w:val="00585B25"/>
    <w:rsid w:val="005916AB"/>
    <w:rsid w:val="0059191A"/>
    <w:rsid w:val="005921FF"/>
    <w:rsid w:val="00593E75"/>
    <w:rsid w:val="00596D70"/>
    <w:rsid w:val="005A02C8"/>
    <w:rsid w:val="005A1639"/>
    <w:rsid w:val="005A1D6B"/>
    <w:rsid w:val="005A24ED"/>
    <w:rsid w:val="005A29C9"/>
    <w:rsid w:val="005A2EF4"/>
    <w:rsid w:val="005A3087"/>
    <w:rsid w:val="005A4969"/>
    <w:rsid w:val="005A6D0E"/>
    <w:rsid w:val="005A786A"/>
    <w:rsid w:val="005A7F83"/>
    <w:rsid w:val="005B52B0"/>
    <w:rsid w:val="005B6806"/>
    <w:rsid w:val="005C0B4D"/>
    <w:rsid w:val="005C3567"/>
    <w:rsid w:val="005C4225"/>
    <w:rsid w:val="005C50BD"/>
    <w:rsid w:val="005C64FD"/>
    <w:rsid w:val="005C732E"/>
    <w:rsid w:val="005D095D"/>
    <w:rsid w:val="005D52A7"/>
    <w:rsid w:val="005D5651"/>
    <w:rsid w:val="005E0283"/>
    <w:rsid w:val="005E0899"/>
    <w:rsid w:val="005E4876"/>
    <w:rsid w:val="005E6EFE"/>
    <w:rsid w:val="005F0DAD"/>
    <w:rsid w:val="005F0F33"/>
    <w:rsid w:val="005F2431"/>
    <w:rsid w:val="005F5C96"/>
    <w:rsid w:val="005F78CE"/>
    <w:rsid w:val="00600DEB"/>
    <w:rsid w:val="00602A83"/>
    <w:rsid w:val="00603F87"/>
    <w:rsid w:val="0060466E"/>
    <w:rsid w:val="0060724E"/>
    <w:rsid w:val="00610719"/>
    <w:rsid w:val="00610B6F"/>
    <w:rsid w:val="00613F60"/>
    <w:rsid w:val="00614936"/>
    <w:rsid w:val="00624698"/>
    <w:rsid w:val="0062501E"/>
    <w:rsid w:val="006272E7"/>
    <w:rsid w:val="00627387"/>
    <w:rsid w:val="006273D0"/>
    <w:rsid w:val="00627C9F"/>
    <w:rsid w:val="00630191"/>
    <w:rsid w:val="006311E9"/>
    <w:rsid w:val="00632354"/>
    <w:rsid w:val="00633A5A"/>
    <w:rsid w:val="00633A7D"/>
    <w:rsid w:val="00634D88"/>
    <w:rsid w:val="00642810"/>
    <w:rsid w:val="006433ED"/>
    <w:rsid w:val="006439B1"/>
    <w:rsid w:val="00647561"/>
    <w:rsid w:val="00652333"/>
    <w:rsid w:val="0066078B"/>
    <w:rsid w:val="00661722"/>
    <w:rsid w:val="00662623"/>
    <w:rsid w:val="00662CA2"/>
    <w:rsid w:val="0066611E"/>
    <w:rsid w:val="0067033E"/>
    <w:rsid w:val="0068009E"/>
    <w:rsid w:val="00682390"/>
    <w:rsid w:val="00690E98"/>
    <w:rsid w:val="00692219"/>
    <w:rsid w:val="00694C93"/>
    <w:rsid w:val="006A17D2"/>
    <w:rsid w:val="006A73E6"/>
    <w:rsid w:val="006B2D5C"/>
    <w:rsid w:val="006B3F4E"/>
    <w:rsid w:val="006B5814"/>
    <w:rsid w:val="006B5BAA"/>
    <w:rsid w:val="006B6F90"/>
    <w:rsid w:val="006C3484"/>
    <w:rsid w:val="006C4EB1"/>
    <w:rsid w:val="006C661F"/>
    <w:rsid w:val="006D1743"/>
    <w:rsid w:val="006D1A0A"/>
    <w:rsid w:val="006E00EF"/>
    <w:rsid w:val="006E0166"/>
    <w:rsid w:val="006E7B34"/>
    <w:rsid w:val="006F052F"/>
    <w:rsid w:val="006F0CA6"/>
    <w:rsid w:val="006F146E"/>
    <w:rsid w:val="006F3B3E"/>
    <w:rsid w:val="006F3E1C"/>
    <w:rsid w:val="006F3ED6"/>
    <w:rsid w:val="006F4748"/>
    <w:rsid w:val="006F5BA5"/>
    <w:rsid w:val="007030A2"/>
    <w:rsid w:val="007047D9"/>
    <w:rsid w:val="0070697F"/>
    <w:rsid w:val="007075A9"/>
    <w:rsid w:val="0071077E"/>
    <w:rsid w:val="007131E7"/>
    <w:rsid w:val="0071703F"/>
    <w:rsid w:val="00721311"/>
    <w:rsid w:val="0072199C"/>
    <w:rsid w:val="00722C9F"/>
    <w:rsid w:val="00724A36"/>
    <w:rsid w:val="007253B8"/>
    <w:rsid w:val="00727684"/>
    <w:rsid w:val="007367DD"/>
    <w:rsid w:val="0073741F"/>
    <w:rsid w:val="00737524"/>
    <w:rsid w:val="007447C8"/>
    <w:rsid w:val="007452FD"/>
    <w:rsid w:val="00745BCE"/>
    <w:rsid w:val="00747A67"/>
    <w:rsid w:val="00751F1D"/>
    <w:rsid w:val="00756CD7"/>
    <w:rsid w:val="00757EC8"/>
    <w:rsid w:val="007649F4"/>
    <w:rsid w:val="0076643F"/>
    <w:rsid w:val="00771744"/>
    <w:rsid w:val="00771FB2"/>
    <w:rsid w:val="00777F63"/>
    <w:rsid w:val="00781812"/>
    <w:rsid w:val="007829E8"/>
    <w:rsid w:val="00784B5D"/>
    <w:rsid w:val="0079068E"/>
    <w:rsid w:val="007A4916"/>
    <w:rsid w:val="007A5817"/>
    <w:rsid w:val="007B05C4"/>
    <w:rsid w:val="007B60E9"/>
    <w:rsid w:val="007B6CC3"/>
    <w:rsid w:val="007B7842"/>
    <w:rsid w:val="007C1C4D"/>
    <w:rsid w:val="007C1DB3"/>
    <w:rsid w:val="007C3334"/>
    <w:rsid w:val="007C5CDA"/>
    <w:rsid w:val="007C5FA9"/>
    <w:rsid w:val="007C648B"/>
    <w:rsid w:val="007C7530"/>
    <w:rsid w:val="007D2B98"/>
    <w:rsid w:val="007D2E00"/>
    <w:rsid w:val="007D2EF5"/>
    <w:rsid w:val="007D3379"/>
    <w:rsid w:val="007D355E"/>
    <w:rsid w:val="007D781F"/>
    <w:rsid w:val="007E00F1"/>
    <w:rsid w:val="007E21BC"/>
    <w:rsid w:val="007E5499"/>
    <w:rsid w:val="007E5708"/>
    <w:rsid w:val="007E7C82"/>
    <w:rsid w:val="007F0B5C"/>
    <w:rsid w:val="007F130D"/>
    <w:rsid w:val="007F1DD3"/>
    <w:rsid w:val="007F4E44"/>
    <w:rsid w:val="007F5266"/>
    <w:rsid w:val="007F588D"/>
    <w:rsid w:val="007F631D"/>
    <w:rsid w:val="007F6859"/>
    <w:rsid w:val="0080258D"/>
    <w:rsid w:val="008028C9"/>
    <w:rsid w:val="0080353B"/>
    <w:rsid w:val="00803F1C"/>
    <w:rsid w:val="0080600E"/>
    <w:rsid w:val="0081609C"/>
    <w:rsid w:val="00817612"/>
    <w:rsid w:val="00821392"/>
    <w:rsid w:val="00823421"/>
    <w:rsid w:val="00824906"/>
    <w:rsid w:val="00824DE5"/>
    <w:rsid w:val="00830D55"/>
    <w:rsid w:val="00831C2C"/>
    <w:rsid w:val="00832E79"/>
    <w:rsid w:val="008338A4"/>
    <w:rsid w:val="00834D49"/>
    <w:rsid w:val="00835BE2"/>
    <w:rsid w:val="00837C45"/>
    <w:rsid w:val="00840F15"/>
    <w:rsid w:val="00844730"/>
    <w:rsid w:val="0084543F"/>
    <w:rsid w:val="008457C2"/>
    <w:rsid w:val="00846A02"/>
    <w:rsid w:val="00847A45"/>
    <w:rsid w:val="00857A82"/>
    <w:rsid w:val="008610D3"/>
    <w:rsid w:val="0086555F"/>
    <w:rsid w:val="00866730"/>
    <w:rsid w:val="00873836"/>
    <w:rsid w:val="00882765"/>
    <w:rsid w:val="00885737"/>
    <w:rsid w:val="00887341"/>
    <w:rsid w:val="00890650"/>
    <w:rsid w:val="00892565"/>
    <w:rsid w:val="00893296"/>
    <w:rsid w:val="008956FE"/>
    <w:rsid w:val="00897E12"/>
    <w:rsid w:val="008A1112"/>
    <w:rsid w:val="008A2460"/>
    <w:rsid w:val="008A52CE"/>
    <w:rsid w:val="008A6F9A"/>
    <w:rsid w:val="008A7E0F"/>
    <w:rsid w:val="008B12F5"/>
    <w:rsid w:val="008B1B20"/>
    <w:rsid w:val="008B5903"/>
    <w:rsid w:val="008B7693"/>
    <w:rsid w:val="008C3049"/>
    <w:rsid w:val="008C3101"/>
    <w:rsid w:val="008D00A0"/>
    <w:rsid w:val="008D0C0E"/>
    <w:rsid w:val="008D32B3"/>
    <w:rsid w:val="008D3DBF"/>
    <w:rsid w:val="008D4C03"/>
    <w:rsid w:val="008D768D"/>
    <w:rsid w:val="008E2837"/>
    <w:rsid w:val="008E3759"/>
    <w:rsid w:val="008E3BFE"/>
    <w:rsid w:val="008F1912"/>
    <w:rsid w:val="008F1FB8"/>
    <w:rsid w:val="008F2EBC"/>
    <w:rsid w:val="008F4C5E"/>
    <w:rsid w:val="008F6749"/>
    <w:rsid w:val="0090270B"/>
    <w:rsid w:val="00903C89"/>
    <w:rsid w:val="009041DC"/>
    <w:rsid w:val="00912C53"/>
    <w:rsid w:val="00916AB1"/>
    <w:rsid w:val="00917ACF"/>
    <w:rsid w:val="00917B5A"/>
    <w:rsid w:val="00920A58"/>
    <w:rsid w:val="00920A8C"/>
    <w:rsid w:val="0092244B"/>
    <w:rsid w:val="00923599"/>
    <w:rsid w:val="009313B9"/>
    <w:rsid w:val="0093225B"/>
    <w:rsid w:val="00934A2C"/>
    <w:rsid w:val="009354C9"/>
    <w:rsid w:val="00940405"/>
    <w:rsid w:val="009429AA"/>
    <w:rsid w:val="009471B9"/>
    <w:rsid w:val="009529E4"/>
    <w:rsid w:val="0095413A"/>
    <w:rsid w:val="009563F1"/>
    <w:rsid w:val="00956538"/>
    <w:rsid w:val="009565DE"/>
    <w:rsid w:val="00966707"/>
    <w:rsid w:val="0096706E"/>
    <w:rsid w:val="00974491"/>
    <w:rsid w:val="00975C4E"/>
    <w:rsid w:val="00976AC6"/>
    <w:rsid w:val="00977CCE"/>
    <w:rsid w:val="00981FBA"/>
    <w:rsid w:val="00982D9A"/>
    <w:rsid w:val="00983055"/>
    <w:rsid w:val="009835D3"/>
    <w:rsid w:val="00997BC5"/>
    <w:rsid w:val="009A4CEC"/>
    <w:rsid w:val="009A4F41"/>
    <w:rsid w:val="009A63F0"/>
    <w:rsid w:val="009B207E"/>
    <w:rsid w:val="009B2109"/>
    <w:rsid w:val="009B381B"/>
    <w:rsid w:val="009B50E5"/>
    <w:rsid w:val="009C0045"/>
    <w:rsid w:val="009C016A"/>
    <w:rsid w:val="009C1ACB"/>
    <w:rsid w:val="009C1B6E"/>
    <w:rsid w:val="009C45AF"/>
    <w:rsid w:val="009C6979"/>
    <w:rsid w:val="009D1753"/>
    <w:rsid w:val="009D24D7"/>
    <w:rsid w:val="009D49FD"/>
    <w:rsid w:val="009D7611"/>
    <w:rsid w:val="009D7AA5"/>
    <w:rsid w:val="009E0B61"/>
    <w:rsid w:val="009E133F"/>
    <w:rsid w:val="009E53DE"/>
    <w:rsid w:val="009F1203"/>
    <w:rsid w:val="00A00ACE"/>
    <w:rsid w:val="00A02C10"/>
    <w:rsid w:val="00A10956"/>
    <w:rsid w:val="00A11549"/>
    <w:rsid w:val="00A1166E"/>
    <w:rsid w:val="00A11E44"/>
    <w:rsid w:val="00A12213"/>
    <w:rsid w:val="00A14E11"/>
    <w:rsid w:val="00A17EC9"/>
    <w:rsid w:val="00A2029F"/>
    <w:rsid w:val="00A24114"/>
    <w:rsid w:val="00A24C2F"/>
    <w:rsid w:val="00A30B46"/>
    <w:rsid w:val="00A328B3"/>
    <w:rsid w:val="00A34F18"/>
    <w:rsid w:val="00A443F8"/>
    <w:rsid w:val="00A50909"/>
    <w:rsid w:val="00A50FCF"/>
    <w:rsid w:val="00A528D1"/>
    <w:rsid w:val="00A52DFD"/>
    <w:rsid w:val="00A55BFB"/>
    <w:rsid w:val="00A610CD"/>
    <w:rsid w:val="00A6642C"/>
    <w:rsid w:val="00A70229"/>
    <w:rsid w:val="00A758AA"/>
    <w:rsid w:val="00A776B4"/>
    <w:rsid w:val="00A807D2"/>
    <w:rsid w:val="00A83A8F"/>
    <w:rsid w:val="00A92E18"/>
    <w:rsid w:val="00AA044B"/>
    <w:rsid w:val="00AA09A2"/>
    <w:rsid w:val="00AA6342"/>
    <w:rsid w:val="00AA7996"/>
    <w:rsid w:val="00AB5757"/>
    <w:rsid w:val="00AC15FE"/>
    <w:rsid w:val="00AC19CB"/>
    <w:rsid w:val="00AC4F5D"/>
    <w:rsid w:val="00AD507C"/>
    <w:rsid w:val="00AD71BF"/>
    <w:rsid w:val="00AD7D9F"/>
    <w:rsid w:val="00AE5488"/>
    <w:rsid w:val="00AE552A"/>
    <w:rsid w:val="00AE6F91"/>
    <w:rsid w:val="00AF4627"/>
    <w:rsid w:val="00AF5571"/>
    <w:rsid w:val="00AF5A28"/>
    <w:rsid w:val="00B012DB"/>
    <w:rsid w:val="00B01826"/>
    <w:rsid w:val="00B024C8"/>
    <w:rsid w:val="00B02DDD"/>
    <w:rsid w:val="00B04DDF"/>
    <w:rsid w:val="00B07341"/>
    <w:rsid w:val="00B07A23"/>
    <w:rsid w:val="00B119EE"/>
    <w:rsid w:val="00B122F5"/>
    <w:rsid w:val="00B12DCD"/>
    <w:rsid w:val="00B30539"/>
    <w:rsid w:val="00B314DB"/>
    <w:rsid w:val="00B361F2"/>
    <w:rsid w:val="00B3718B"/>
    <w:rsid w:val="00B40858"/>
    <w:rsid w:val="00B4456B"/>
    <w:rsid w:val="00B4632A"/>
    <w:rsid w:val="00B51FF7"/>
    <w:rsid w:val="00B530F1"/>
    <w:rsid w:val="00B5643F"/>
    <w:rsid w:val="00B6098E"/>
    <w:rsid w:val="00B71A4E"/>
    <w:rsid w:val="00B81522"/>
    <w:rsid w:val="00B83E9D"/>
    <w:rsid w:val="00B85E6B"/>
    <w:rsid w:val="00B86523"/>
    <w:rsid w:val="00BA276C"/>
    <w:rsid w:val="00BA3BA6"/>
    <w:rsid w:val="00BA4B5D"/>
    <w:rsid w:val="00BA66C0"/>
    <w:rsid w:val="00BA7D8F"/>
    <w:rsid w:val="00BB0312"/>
    <w:rsid w:val="00BB032E"/>
    <w:rsid w:val="00BB2B06"/>
    <w:rsid w:val="00BB306F"/>
    <w:rsid w:val="00BB573B"/>
    <w:rsid w:val="00BB5BB9"/>
    <w:rsid w:val="00BB7590"/>
    <w:rsid w:val="00BC0137"/>
    <w:rsid w:val="00BC48A9"/>
    <w:rsid w:val="00BC52CF"/>
    <w:rsid w:val="00BC536B"/>
    <w:rsid w:val="00BD4B89"/>
    <w:rsid w:val="00BD5922"/>
    <w:rsid w:val="00BD5B50"/>
    <w:rsid w:val="00BE0CBA"/>
    <w:rsid w:val="00BE32BB"/>
    <w:rsid w:val="00BE482B"/>
    <w:rsid w:val="00BE65D2"/>
    <w:rsid w:val="00BF02CB"/>
    <w:rsid w:val="00BF030E"/>
    <w:rsid w:val="00BF525A"/>
    <w:rsid w:val="00BF5E2C"/>
    <w:rsid w:val="00BF6FD8"/>
    <w:rsid w:val="00C002DC"/>
    <w:rsid w:val="00C016E0"/>
    <w:rsid w:val="00C03680"/>
    <w:rsid w:val="00C041A9"/>
    <w:rsid w:val="00C054DF"/>
    <w:rsid w:val="00C064D9"/>
    <w:rsid w:val="00C126A6"/>
    <w:rsid w:val="00C16C2F"/>
    <w:rsid w:val="00C1742E"/>
    <w:rsid w:val="00C21228"/>
    <w:rsid w:val="00C21762"/>
    <w:rsid w:val="00C21FEF"/>
    <w:rsid w:val="00C22C7A"/>
    <w:rsid w:val="00C24543"/>
    <w:rsid w:val="00C24D64"/>
    <w:rsid w:val="00C256A2"/>
    <w:rsid w:val="00C25BC6"/>
    <w:rsid w:val="00C27514"/>
    <w:rsid w:val="00C36D3C"/>
    <w:rsid w:val="00C405D6"/>
    <w:rsid w:val="00C40811"/>
    <w:rsid w:val="00C465DF"/>
    <w:rsid w:val="00C51515"/>
    <w:rsid w:val="00C537F5"/>
    <w:rsid w:val="00C55762"/>
    <w:rsid w:val="00C5660B"/>
    <w:rsid w:val="00C64830"/>
    <w:rsid w:val="00C64D05"/>
    <w:rsid w:val="00C6588E"/>
    <w:rsid w:val="00C66B72"/>
    <w:rsid w:val="00C7026D"/>
    <w:rsid w:val="00C72BFD"/>
    <w:rsid w:val="00C736BA"/>
    <w:rsid w:val="00C739E1"/>
    <w:rsid w:val="00C754E7"/>
    <w:rsid w:val="00C7744E"/>
    <w:rsid w:val="00C805B4"/>
    <w:rsid w:val="00C809B2"/>
    <w:rsid w:val="00C87AC4"/>
    <w:rsid w:val="00C954BD"/>
    <w:rsid w:val="00C9567A"/>
    <w:rsid w:val="00CB212D"/>
    <w:rsid w:val="00CB2660"/>
    <w:rsid w:val="00CB3D59"/>
    <w:rsid w:val="00CB6DE5"/>
    <w:rsid w:val="00CB7D19"/>
    <w:rsid w:val="00CC01D1"/>
    <w:rsid w:val="00CC5E90"/>
    <w:rsid w:val="00CC6F33"/>
    <w:rsid w:val="00CC7887"/>
    <w:rsid w:val="00CD046C"/>
    <w:rsid w:val="00CD6CB8"/>
    <w:rsid w:val="00CD7186"/>
    <w:rsid w:val="00CE076C"/>
    <w:rsid w:val="00CE094B"/>
    <w:rsid w:val="00CE5199"/>
    <w:rsid w:val="00CE5B6D"/>
    <w:rsid w:val="00CE66D5"/>
    <w:rsid w:val="00CE75BD"/>
    <w:rsid w:val="00CF2A09"/>
    <w:rsid w:val="00CF637A"/>
    <w:rsid w:val="00D00DF1"/>
    <w:rsid w:val="00D029B0"/>
    <w:rsid w:val="00D03CAF"/>
    <w:rsid w:val="00D05775"/>
    <w:rsid w:val="00D059DE"/>
    <w:rsid w:val="00D05ABD"/>
    <w:rsid w:val="00D071B2"/>
    <w:rsid w:val="00D12200"/>
    <w:rsid w:val="00D13542"/>
    <w:rsid w:val="00D13C86"/>
    <w:rsid w:val="00D13FCE"/>
    <w:rsid w:val="00D17279"/>
    <w:rsid w:val="00D17E53"/>
    <w:rsid w:val="00D259E5"/>
    <w:rsid w:val="00D268C4"/>
    <w:rsid w:val="00D26B96"/>
    <w:rsid w:val="00D27114"/>
    <w:rsid w:val="00D306D1"/>
    <w:rsid w:val="00D30800"/>
    <w:rsid w:val="00D31E62"/>
    <w:rsid w:val="00D34786"/>
    <w:rsid w:val="00D36170"/>
    <w:rsid w:val="00D36309"/>
    <w:rsid w:val="00D37522"/>
    <w:rsid w:val="00D37BFC"/>
    <w:rsid w:val="00D45E89"/>
    <w:rsid w:val="00D47A8E"/>
    <w:rsid w:val="00D50E2B"/>
    <w:rsid w:val="00D50E52"/>
    <w:rsid w:val="00D52D14"/>
    <w:rsid w:val="00D53A4A"/>
    <w:rsid w:val="00D5437B"/>
    <w:rsid w:val="00D546F4"/>
    <w:rsid w:val="00D565CA"/>
    <w:rsid w:val="00D63605"/>
    <w:rsid w:val="00D66251"/>
    <w:rsid w:val="00D663C3"/>
    <w:rsid w:val="00D70616"/>
    <w:rsid w:val="00D712D3"/>
    <w:rsid w:val="00D71422"/>
    <w:rsid w:val="00D72DC6"/>
    <w:rsid w:val="00D7558D"/>
    <w:rsid w:val="00D75B11"/>
    <w:rsid w:val="00D76642"/>
    <w:rsid w:val="00D81D92"/>
    <w:rsid w:val="00D82B7E"/>
    <w:rsid w:val="00D876F9"/>
    <w:rsid w:val="00D95B24"/>
    <w:rsid w:val="00D96E86"/>
    <w:rsid w:val="00D97E47"/>
    <w:rsid w:val="00DA3A96"/>
    <w:rsid w:val="00DA7B5F"/>
    <w:rsid w:val="00DB0D1D"/>
    <w:rsid w:val="00DB134D"/>
    <w:rsid w:val="00DB181B"/>
    <w:rsid w:val="00DB39BB"/>
    <w:rsid w:val="00DC11E7"/>
    <w:rsid w:val="00DC2080"/>
    <w:rsid w:val="00DC3988"/>
    <w:rsid w:val="00DC43F1"/>
    <w:rsid w:val="00DC6C65"/>
    <w:rsid w:val="00DC7023"/>
    <w:rsid w:val="00DC769A"/>
    <w:rsid w:val="00DD0492"/>
    <w:rsid w:val="00DD04F3"/>
    <w:rsid w:val="00DD24F8"/>
    <w:rsid w:val="00DD3990"/>
    <w:rsid w:val="00DD3D86"/>
    <w:rsid w:val="00DD659E"/>
    <w:rsid w:val="00DD784C"/>
    <w:rsid w:val="00DE33CC"/>
    <w:rsid w:val="00DF03DC"/>
    <w:rsid w:val="00DF1EC4"/>
    <w:rsid w:val="00DF422A"/>
    <w:rsid w:val="00DF4256"/>
    <w:rsid w:val="00E0340B"/>
    <w:rsid w:val="00E04A90"/>
    <w:rsid w:val="00E0551F"/>
    <w:rsid w:val="00E056BE"/>
    <w:rsid w:val="00E05C32"/>
    <w:rsid w:val="00E060CC"/>
    <w:rsid w:val="00E17758"/>
    <w:rsid w:val="00E219C7"/>
    <w:rsid w:val="00E3086A"/>
    <w:rsid w:val="00E4118C"/>
    <w:rsid w:val="00E420C7"/>
    <w:rsid w:val="00E42E40"/>
    <w:rsid w:val="00E43157"/>
    <w:rsid w:val="00E44228"/>
    <w:rsid w:val="00E45990"/>
    <w:rsid w:val="00E461CE"/>
    <w:rsid w:val="00E50809"/>
    <w:rsid w:val="00E51779"/>
    <w:rsid w:val="00E566C9"/>
    <w:rsid w:val="00E639AB"/>
    <w:rsid w:val="00E63C73"/>
    <w:rsid w:val="00E720CA"/>
    <w:rsid w:val="00E72991"/>
    <w:rsid w:val="00E74364"/>
    <w:rsid w:val="00E76490"/>
    <w:rsid w:val="00E84A4B"/>
    <w:rsid w:val="00E84AC4"/>
    <w:rsid w:val="00E84EB5"/>
    <w:rsid w:val="00E85662"/>
    <w:rsid w:val="00E8657A"/>
    <w:rsid w:val="00E8789F"/>
    <w:rsid w:val="00E9424B"/>
    <w:rsid w:val="00E94848"/>
    <w:rsid w:val="00E95372"/>
    <w:rsid w:val="00E95908"/>
    <w:rsid w:val="00E95D91"/>
    <w:rsid w:val="00E97B71"/>
    <w:rsid w:val="00E97C9A"/>
    <w:rsid w:val="00EA26F2"/>
    <w:rsid w:val="00EA3D34"/>
    <w:rsid w:val="00EA5E6B"/>
    <w:rsid w:val="00EA7B2D"/>
    <w:rsid w:val="00EB3441"/>
    <w:rsid w:val="00EB454D"/>
    <w:rsid w:val="00EB4651"/>
    <w:rsid w:val="00EB6239"/>
    <w:rsid w:val="00EB73E4"/>
    <w:rsid w:val="00EC01F3"/>
    <w:rsid w:val="00EC0C0E"/>
    <w:rsid w:val="00EC2943"/>
    <w:rsid w:val="00EC33A0"/>
    <w:rsid w:val="00EC4611"/>
    <w:rsid w:val="00EC60B5"/>
    <w:rsid w:val="00ED2F41"/>
    <w:rsid w:val="00ED549D"/>
    <w:rsid w:val="00ED76BE"/>
    <w:rsid w:val="00ED7BCC"/>
    <w:rsid w:val="00EE00E9"/>
    <w:rsid w:val="00EE0A5A"/>
    <w:rsid w:val="00EE2DFB"/>
    <w:rsid w:val="00EE3044"/>
    <w:rsid w:val="00EE589E"/>
    <w:rsid w:val="00EF2EF8"/>
    <w:rsid w:val="00EF2FB4"/>
    <w:rsid w:val="00EF619B"/>
    <w:rsid w:val="00EF74E4"/>
    <w:rsid w:val="00F00B55"/>
    <w:rsid w:val="00F02565"/>
    <w:rsid w:val="00F02AD1"/>
    <w:rsid w:val="00F1074D"/>
    <w:rsid w:val="00F11259"/>
    <w:rsid w:val="00F1134C"/>
    <w:rsid w:val="00F253CC"/>
    <w:rsid w:val="00F25BFF"/>
    <w:rsid w:val="00F34449"/>
    <w:rsid w:val="00F3528F"/>
    <w:rsid w:val="00F37106"/>
    <w:rsid w:val="00F379EB"/>
    <w:rsid w:val="00F4332A"/>
    <w:rsid w:val="00F507B0"/>
    <w:rsid w:val="00F516C6"/>
    <w:rsid w:val="00F519CF"/>
    <w:rsid w:val="00F56BA5"/>
    <w:rsid w:val="00F60E22"/>
    <w:rsid w:val="00F67FB1"/>
    <w:rsid w:val="00F70821"/>
    <w:rsid w:val="00F713C7"/>
    <w:rsid w:val="00F72E00"/>
    <w:rsid w:val="00F777F3"/>
    <w:rsid w:val="00F81395"/>
    <w:rsid w:val="00F81674"/>
    <w:rsid w:val="00F81BB8"/>
    <w:rsid w:val="00F849F6"/>
    <w:rsid w:val="00F86160"/>
    <w:rsid w:val="00F87019"/>
    <w:rsid w:val="00F90BC0"/>
    <w:rsid w:val="00F917D1"/>
    <w:rsid w:val="00F92288"/>
    <w:rsid w:val="00F9360E"/>
    <w:rsid w:val="00F9653B"/>
    <w:rsid w:val="00F96D6E"/>
    <w:rsid w:val="00FA39BA"/>
    <w:rsid w:val="00FA404A"/>
    <w:rsid w:val="00FA4E16"/>
    <w:rsid w:val="00FB5466"/>
    <w:rsid w:val="00FB62CF"/>
    <w:rsid w:val="00FC4F1C"/>
    <w:rsid w:val="00FC505D"/>
    <w:rsid w:val="00FD3C3B"/>
    <w:rsid w:val="00FE07DD"/>
    <w:rsid w:val="00FE6B45"/>
    <w:rsid w:val="00FF55F3"/>
    <w:rsid w:val="00FF5851"/>
    <w:rsid w:val="00FF596A"/>
    <w:rsid w:val="00FF793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C16"/>
    <w:rPr>
      <w:sz w:val="16"/>
      <w:szCs w:val="16"/>
    </w:rPr>
  </w:style>
  <w:style w:type="paragraph" w:styleId="CommentText">
    <w:name w:val="annotation text"/>
    <w:basedOn w:val="Normal"/>
    <w:link w:val="CommentTextChar"/>
    <w:uiPriority w:val="99"/>
    <w:semiHidden/>
    <w:unhideWhenUsed/>
    <w:rsid w:val="00124C16"/>
    <w:rPr>
      <w:sz w:val="20"/>
      <w:szCs w:val="20"/>
    </w:rPr>
  </w:style>
  <w:style w:type="character" w:customStyle="1" w:styleId="CommentTextChar">
    <w:name w:val="Comment Text Char"/>
    <w:basedOn w:val="DefaultParagraphFont"/>
    <w:link w:val="CommentText"/>
    <w:uiPriority w:val="99"/>
    <w:semiHidden/>
    <w:rsid w:val="00124C16"/>
    <w:rPr>
      <w:lang w:val="en-US" w:eastAsia="en-US"/>
    </w:rPr>
  </w:style>
  <w:style w:type="paragraph" w:styleId="CommentSubject">
    <w:name w:val="annotation subject"/>
    <w:basedOn w:val="CommentText"/>
    <w:next w:val="CommentText"/>
    <w:link w:val="CommentSubjectChar"/>
    <w:uiPriority w:val="99"/>
    <w:semiHidden/>
    <w:unhideWhenUsed/>
    <w:rsid w:val="00124C16"/>
    <w:rPr>
      <w:b/>
      <w:bCs/>
    </w:rPr>
  </w:style>
  <w:style w:type="character" w:customStyle="1" w:styleId="CommentSubjectChar">
    <w:name w:val="Comment Subject Char"/>
    <w:basedOn w:val="CommentTextChar"/>
    <w:link w:val="CommentSubject"/>
    <w:uiPriority w:val="99"/>
    <w:semiHidden/>
    <w:rsid w:val="00124C16"/>
    <w:rPr>
      <w:b/>
      <w:bCs/>
      <w:lang w:val="en-US" w:eastAsia="en-US"/>
    </w:rPr>
  </w:style>
  <w:style w:type="paragraph" w:styleId="Revision">
    <w:name w:val="Revision"/>
    <w:hidden/>
    <w:uiPriority w:val="99"/>
    <w:semiHidden/>
    <w:rsid w:val="002F569A"/>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82763">
      <w:bodyDiv w:val="1"/>
      <w:marLeft w:val="0"/>
      <w:marRight w:val="0"/>
      <w:marTop w:val="0"/>
      <w:marBottom w:val="0"/>
      <w:divBdr>
        <w:top w:val="none" w:sz="0" w:space="0" w:color="auto"/>
        <w:left w:val="none" w:sz="0" w:space="0" w:color="auto"/>
        <w:bottom w:val="none" w:sz="0" w:space="0" w:color="auto"/>
        <w:right w:val="none" w:sz="0" w:space="0" w:color="auto"/>
      </w:divBdr>
    </w:div>
    <w:div w:id="404231122">
      <w:bodyDiv w:val="1"/>
      <w:marLeft w:val="0"/>
      <w:marRight w:val="0"/>
      <w:marTop w:val="0"/>
      <w:marBottom w:val="0"/>
      <w:divBdr>
        <w:top w:val="none" w:sz="0" w:space="0" w:color="auto"/>
        <w:left w:val="none" w:sz="0" w:space="0" w:color="auto"/>
        <w:bottom w:val="none" w:sz="0" w:space="0" w:color="auto"/>
        <w:right w:val="none" w:sz="0" w:space="0" w:color="auto"/>
      </w:divBdr>
    </w:div>
    <w:div w:id="407264655">
      <w:bodyDiv w:val="1"/>
      <w:marLeft w:val="0"/>
      <w:marRight w:val="0"/>
      <w:marTop w:val="0"/>
      <w:marBottom w:val="0"/>
      <w:divBdr>
        <w:top w:val="none" w:sz="0" w:space="0" w:color="auto"/>
        <w:left w:val="none" w:sz="0" w:space="0" w:color="auto"/>
        <w:bottom w:val="none" w:sz="0" w:space="0" w:color="auto"/>
        <w:right w:val="none" w:sz="0" w:space="0" w:color="auto"/>
      </w:divBdr>
    </w:div>
    <w:div w:id="630981287">
      <w:bodyDiv w:val="1"/>
      <w:marLeft w:val="0"/>
      <w:marRight w:val="0"/>
      <w:marTop w:val="0"/>
      <w:marBottom w:val="0"/>
      <w:divBdr>
        <w:top w:val="none" w:sz="0" w:space="0" w:color="auto"/>
        <w:left w:val="none" w:sz="0" w:space="0" w:color="auto"/>
        <w:bottom w:val="none" w:sz="0" w:space="0" w:color="auto"/>
        <w:right w:val="none" w:sz="0" w:space="0" w:color="auto"/>
      </w:divBdr>
    </w:div>
    <w:div w:id="1112745338">
      <w:bodyDiv w:val="1"/>
      <w:marLeft w:val="0"/>
      <w:marRight w:val="0"/>
      <w:marTop w:val="0"/>
      <w:marBottom w:val="0"/>
      <w:divBdr>
        <w:top w:val="none" w:sz="0" w:space="0" w:color="auto"/>
        <w:left w:val="none" w:sz="0" w:space="0" w:color="auto"/>
        <w:bottom w:val="none" w:sz="0" w:space="0" w:color="auto"/>
        <w:right w:val="none" w:sz="0" w:space="0" w:color="auto"/>
      </w:divBdr>
    </w:div>
    <w:div w:id="1612401037">
      <w:bodyDiv w:val="1"/>
      <w:marLeft w:val="0"/>
      <w:marRight w:val="0"/>
      <w:marTop w:val="0"/>
      <w:marBottom w:val="0"/>
      <w:divBdr>
        <w:top w:val="none" w:sz="0" w:space="0" w:color="auto"/>
        <w:left w:val="none" w:sz="0" w:space="0" w:color="auto"/>
        <w:bottom w:val="none" w:sz="0" w:space="0" w:color="auto"/>
        <w:right w:val="none" w:sz="0" w:space="0" w:color="auto"/>
      </w:divBdr>
    </w:div>
    <w:div w:id="166542679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6BBB"/>
    <w:rsid w:val="000740DC"/>
    <w:rsid w:val="00094C51"/>
    <w:rsid w:val="000B0089"/>
    <w:rsid w:val="000B4D40"/>
    <w:rsid w:val="00200821"/>
    <w:rsid w:val="00394049"/>
    <w:rsid w:val="004408AB"/>
    <w:rsid w:val="004567A1"/>
    <w:rsid w:val="004B1049"/>
    <w:rsid w:val="004F2DF8"/>
    <w:rsid w:val="0052704E"/>
    <w:rsid w:val="00547DB8"/>
    <w:rsid w:val="007B6931"/>
    <w:rsid w:val="007C726E"/>
    <w:rsid w:val="007F1AD5"/>
    <w:rsid w:val="00897873"/>
    <w:rsid w:val="008E70E5"/>
    <w:rsid w:val="009952A2"/>
    <w:rsid w:val="009A261B"/>
    <w:rsid w:val="009F19B0"/>
    <w:rsid w:val="00A37C2F"/>
    <w:rsid w:val="00A73015"/>
    <w:rsid w:val="00AC15A4"/>
    <w:rsid w:val="00B0336C"/>
    <w:rsid w:val="00B737CD"/>
    <w:rsid w:val="00C71A5F"/>
    <w:rsid w:val="00C93327"/>
    <w:rsid w:val="00CB43E4"/>
    <w:rsid w:val="00D4515B"/>
    <w:rsid w:val="00DE7283"/>
    <w:rsid w:val="00E0674B"/>
    <w:rsid w:val="00EE4443"/>
    <w:rsid w:val="00F009EA"/>
    <w:rsid w:val="00F00D2F"/>
    <w:rsid w:val="00F128DF"/>
    <w:rsid w:val="00F40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C8EA-8D90-4B7B-A751-2530CC5B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3091</Words>
  <Characters>16355</Characters>
  <Application>Microsoft Office Word</Application>
  <DocSecurity>0</DocSecurity>
  <Lines>563</Lines>
  <Paragraphs>160</Paragraphs>
  <ScaleCrop>false</ScaleCrop>
  <Company/>
  <LinksUpToDate>false</LinksUpToDate>
  <CharactersWithSpaces>19286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104/18</dc:title>
  <dc:creator/>
  <cp:lastModifiedBy/>
  <cp:revision>1</cp:revision>
  <dcterms:created xsi:type="dcterms:W3CDTF">2019-01-03T13:52:00Z</dcterms:created>
  <dcterms:modified xsi:type="dcterms:W3CDTF">2019-01-03T13:52:00Z</dcterms:modified>
</cp:coreProperties>
</file>