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B54921">
      <w:pPr>
        <w:tabs>
          <w:tab w:val="left" w:pos="720"/>
        </w:tabs>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0A58D0" wp14:editId="39FDF89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8D5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373DD4" wp14:editId="654BE0F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Default="002D1311" w:rsidP="00AE5488">
                            <w:r>
                              <w:rPr>
                                <w:noProof/>
                              </w:rPr>
                              <w:drawing>
                                <wp:inline distT="0" distB="0" distL="0" distR="0" wp14:anchorId="20F653E6" wp14:editId="24FD55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73DD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D1311" w:rsidRDefault="002D1311" w:rsidP="00AE5488">
                      <w:r>
                        <w:rPr>
                          <w:noProof/>
                        </w:rPr>
                        <w:drawing>
                          <wp:inline distT="0" distB="0" distL="0" distR="0" wp14:anchorId="20F653E6" wp14:editId="24FD55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B54921">
      <w:pPr>
        <w:tabs>
          <w:tab w:val="left" w:pos="720"/>
          <w:tab w:val="center" w:pos="5400"/>
        </w:tabs>
        <w:suppressAutoHyphens/>
        <w:jc w:val="both"/>
        <w:rPr>
          <w:rFonts w:asciiTheme="majorHAnsi" w:hAnsiTheme="majorHAnsi"/>
          <w:sz w:val="22"/>
          <w:szCs w:val="22"/>
          <w:lang w:val="es-ES"/>
        </w:rPr>
      </w:pPr>
    </w:p>
    <w:p w:rsidR="00040C3A" w:rsidRPr="0090270B" w:rsidRDefault="00040C3A" w:rsidP="00B54921">
      <w:pPr>
        <w:tabs>
          <w:tab w:val="left" w:pos="720"/>
          <w:tab w:val="center" w:pos="5400"/>
        </w:tabs>
        <w:suppressAutoHyphens/>
        <w:jc w:val="both"/>
        <w:rPr>
          <w:rFonts w:asciiTheme="majorHAnsi" w:hAnsiTheme="majorHAnsi"/>
          <w:sz w:val="22"/>
          <w:szCs w:val="22"/>
          <w:lang w:val="es-ES"/>
        </w:rPr>
      </w:pPr>
    </w:p>
    <w:p w:rsidR="005128E4" w:rsidRPr="0090270B" w:rsidRDefault="005128E4" w:rsidP="00B54921">
      <w:pPr>
        <w:tabs>
          <w:tab w:val="left" w:pos="720"/>
          <w:tab w:val="center" w:pos="5400"/>
        </w:tabs>
        <w:suppressAutoHyphens/>
        <w:rPr>
          <w:rFonts w:asciiTheme="majorHAnsi" w:hAnsiTheme="majorHAnsi"/>
          <w:sz w:val="22"/>
          <w:szCs w:val="22"/>
          <w:lang w:val="es-ES_tradnl"/>
        </w:rPr>
      </w:pPr>
    </w:p>
    <w:p w:rsidR="005128E4" w:rsidRPr="0090270B" w:rsidRDefault="005128E4" w:rsidP="00B54921">
      <w:pPr>
        <w:tabs>
          <w:tab w:val="left" w:pos="720"/>
          <w:tab w:val="center" w:pos="5400"/>
        </w:tabs>
        <w:suppressAutoHyphens/>
        <w:rPr>
          <w:rFonts w:asciiTheme="majorHAnsi" w:hAnsiTheme="majorHAnsi"/>
          <w:sz w:val="22"/>
          <w:szCs w:val="22"/>
          <w:lang w:val="es-ES_tradnl"/>
        </w:rPr>
      </w:pPr>
    </w:p>
    <w:p w:rsidR="005128E4" w:rsidRPr="0090270B" w:rsidRDefault="005128E4" w:rsidP="00B54921">
      <w:pPr>
        <w:tabs>
          <w:tab w:val="left" w:pos="720"/>
          <w:tab w:val="center" w:pos="5400"/>
        </w:tabs>
        <w:suppressAutoHyphens/>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5B52B0" w:rsidRPr="0090270B" w:rsidRDefault="005B52B0" w:rsidP="00B54921">
      <w:pPr>
        <w:tabs>
          <w:tab w:val="left" w:pos="720"/>
          <w:tab w:val="center" w:pos="5400"/>
        </w:tabs>
        <w:suppressAutoHyphens/>
        <w:jc w:val="center"/>
        <w:rPr>
          <w:rFonts w:asciiTheme="majorHAnsi" w:hAnsiTheme="majorHAnsi"/>
          <w:sz w:val="22"/>
          <w:szCs w:val="22"/>
          <w:lang w:val="es-ES_tradnl"/>
        </w:rPr>
      </w:pPr>
    </w:p>
    <w:p w:rsidR="005B52B0" w:rsidRPr="0090270B" w:rsidRDefault="005B52B0" w:rsidP="00B54921">
      <w:pPr>
        <w:tabs>
          <w:tab w:val="left" w:pos="720"/>
          <w:tab w:val="center" w:pos="5400"/>
        </w:tabs>
        <w:suppressAutoHyphens/>
        <w:jc w:val="center"/>
        <w:rPr>
          <w:rFonts w:asciiTheme="majorHAnsi" w:hAnsiTheme="majorHAnsi"/>
          <w:sz w:val="22"/>
          <w:szCs w:val="22"/>
          <w:lang w:val="es-ES_tradnl"/>
        </w:rPr>
      </w:pPr>
    </w:p>
    <w:p w:rsidR="005B52B0" w:rsidRPr="0090270B" w:rsidRDefault="005B52B0"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3D3BC2" w:rsidP="00B54921">
      <w:pPr>
        <w:tabs>
          <w:tab w:val="left" w:pos="720"/>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B01E2E8" wp14:editId="026AB83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0158FD" w:rsidRDefault="002D1311"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003F10B9">
                              <w:rPr>
                                <w:rFonts w:asciiTheme="majorHAnsi" w:hAnsiTheme="majorHAnsi" w:cs="Arial"/>
                                <w:b/>
                                <w:bCs/>
                                <w:color w:val="0D0D0D" w:themeColor="text1" w:themeTint="F2"/>
                                <w:sz w:val="36"/>
                                <w:szCs w:val="22"/>
                                <w:lang w:val="pt-BR"/>
                              </w:rPr>
                              <w:t xml:space="preserve"> 157/19</w:t>
                            </w:r>
                          </w:p>
                          <w:p w:rsidR="002D1311" w:rsidRPr="009B5FFA" w:rsidRDefault="002D1311" w:rsidP="00997BC5">
                            <w:pPr>
                              <w:spacing w:line="276" w:lineRule="auto"/>
                              <w:rPr>
                                <w:rFonts w:asciiTheme="majorHAnsi" w:hAnsiTheme="majorHAnsi" w:cs="Arial"/>
                                <w:b/>
                                <w:color w:val="0D0D0D" w:themeColor="text1" w:themeTint="F2"/>
                                <w:sz w:val="36"/>
                                <w:szCs w:val="22"/>
                                <w:lang w:val="es-CO"/>
                              </w:rPr>
                            </w:pPr>
                            <w:r w:rsidRPr="009B5FFA">
                              <w:rPr>
                                <w:rFonts w:asciiTheme="majorHAnsi" w:hAnsiTheme="majorHAnsi" w:cs="Arial"/>
                                <w:b/>
                                <w:color w:val="0D0D0D" w:themeColor="text1" w:themeTint="F2"/>
                                <w:sz w:val="36"/>
                                <w:szCs w:val="22"/>
                                <w:lang w:val="es-CO"/>
                              </w:rPr>
                              <w:t xml:space="preserve">CASO </w:t>
                            </w:r>
                            <w:r>
                              <w:rPr>
                                <w:rFonts w:asciiTheme="majorHAnsi" w:hAnsiTheme="majorHAnsi" w:cs="Arial"/>
                                <w:b/>
                                <w:color w:val="0D0D0D" w:themeColor="text1" w:themeTint="F2"/>
                                <w:sz w:val="36"/>
                                <w:szCs w:val="22"/>
                                <w:lang w:val="es-CO"/>
                              </w:rPr>
                              <w:t>12.432</w:t>
                            </w:r>
                          </w:p>
                          <w:p w:rsidR="002D1311" w:rsidRPr="0010736F" w:rsidRDefault="002D131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2D1311" w:rsidRPr="0010736F" w:rsidRDefault="002D1311" w:rsidP="00997BC5">
                            <w:pPr>
                              <w:spacing w:line="276" w:lineRule="auto"/>
                              <w:rPr>
                                <w:rFonts w:asciiTheme="majorHAnsi" w:hAnsiTheme="majorHAnsi" w:cs="Arial"/>
                                <w:color w:val="0D0D0D" w:themeColor="text1" w:themeTint="F2"/>
                                <w:szCs w:val="22"/>
                                <w:lang w:val="es-ES_tradnl"/>
                              </w:rPr>
                            </w:pPr>
                            <w:bookmarkStart w:id="1" w:name="_ftnref1"/>
                          </w:p>
                          <w:p w:rsidR="002D1311" w:rsidRPr="0010736F" w:rsidRDefault="002D13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EXTRABAJADORES DEL ORGANISMO JUDICIAL</w:t>
                            </w:r>
                          </w:p>
                          <w:bookmarkEnd w:id="1"/>
                          <w:p w:rsidR="002D1311" w:rsidRPr="0010736F" w:rsidRDefault="002D13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2D1311" w:rsidRPr="00AE5488" w:rsidRDefault="002D131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E2E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D1311" w:rsidRPr="000158FD" w:rsidRDefault="002D1311"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003F10B9">
                        <w:rPr>
                          <w:rFonts w:asciiTheme="majorHAnsi" w:hAnsiTheme="majorHAnsi" w:cs="Arial"/>
                          <w:b/>
                          <w:bCs/>
                          <w:color w:val="0D0D0D" w:themeColor="text1" w:themeTint="F2"/>
                          <w:sz w:val="36"/>
                          <w:szCs w:val="22"/>
                          <w:lang w:val="pt-BR"/>
                        </w:rPr>
                        <w:t xml:space="preserve"> 157/19</w:t>
                      </w:r>
                    </w:p>
                    <w:p w:rsidR="002D1311" w:rsidRPr="009B5FFA" w:rsidRDefault="002D1311" w:rsidP="00997BC5">
                      <w:pPr>
                        <w:spacing w:line="276" w:lineRule="auto"/>
                        <w:rPr>
                          <w:rFonts w:asciiTheme="majorHAnsi" w:hAnsiTheme="majorHAnsi" w:cs="Arial"/>
                          <w:b/>
                          <w:color w:val="0D0D0D" w:themeColor="text1" w:themeTint="F2"/>
                          <w:sz w:val="36"/>
                          <w:szCs w:val="22"/>
                          <w:lang w:val="es-CO"/>
                        </w:rPr>
                      </w:pPr>
                      <w:r w:rsidRPr="009B5FFA">
                        <w:rPr>
                          <w:rFonts w:asciiTheme="majorHAnsi" w:hAnsiTheme="majorHAnsi" w:cs="Arial"/>
                          <w:b/>
                          <w:color w:val="0D0D0D" w:themeColor="text1" w:themeTint="F2"/>
                          <w:sz w:val="36"/>
                          <w:szCs w:val="22"/>
                          <w:lang w:val="es-CO"/>
                        </w:rPr>
                        <w:t xml:space="preserve">CASO </w:t>
                      </w:r>
                      <w:r>
                        <w:rPr>
                          <w:rFonts w:asciiTheme="majorHAnsi" w:hAnsiTheme="majorHAnsi" w:cs="Arial"/>
                          <w:b/>
                          <w:color w:val="0D0D0D" w:themeColor="text1" w:themeTint="F2"/>
                          <w:sz w:val="36"/>
                          <w:szCs w:val="22"/>
                          <w:lang w:val="es-CO"/>
                        </w:rPr>
                        <w:t>12.432</w:t>
                      </w:r>
                    </w:p>
                    <w:p w:rsidR="002D1311" w:rsidRPr="0010736F" w:rsidRDefault="002D131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2D1311" w:rsidRPr="0010736F" w:rsidRDefault="002D1311" w:rsidP="00997BC5">
                      <w:pPr>
                        <w:spacing w:line="276" w:lineRule="auto"/>
                        <w:rPr>
                          <w:rFonts w:asciiTheme="majorHAnsi" w:hAnsiTheme="majorHAnsi" w:cs="Arial"/>
                          <w:color w:val="0D0D0D" w:themeColor="text1" w:themeTint="F2"/>
                          <w:szCs w:val="22"/>
                          <w:lang w:val="es-ES_tradnl"/>
                        </w:rPr>
                      </w:pPr>
                      <w:bookmarkStart w:id="2" w:name="_ftnref1"/>
                    </w:p>
                    <w:p w:rsidR="002D1311" w:rsidRPr="0010736F" w:rsidRDefault="002D13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EXTRABAJADORES DEL ORGANISMO JUDICIAL</w:t>
                      </w:r>
                    </w:p>
                    <w:bookmarkEnd w:id="2"/>
                    <w:p w:rsidR="002D1311" w:rsidRPr="0010736F" w:rsidRDefault="002D13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2D1311" w:rsidRPr="00AE5488" w:rsidRDefault="002D131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292ECE" wp14:editId="6DF56A1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4E2649" w:rsidRDefault="003F10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rsidR="002D1311" w:rsidRPr="004E2649" w:rsidRDefault="003F10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172</w:t>
                            </w:r>
                          </w:p>
                          <w:p w:rsidR="002D1311" w:rsidRPr="007C756A" w:rsidRDefault="003F10B9"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w:t>
                            </w:r>
                            <w:r w:rsidR="002D1311"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septiembre 2019</w:t>
                            </w:r>
                          </w:p>
                          <w:p w:rsidR="002D1311" w:rsidRPr="007C756A" w:rsidRDefault="002D131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2EC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D1311" w:rsidRPr="004E2649" w:rsidRDefault="003F10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rsidR="002D1311" w:rsidRPr="004E2649" w:rsidRDefault="003F10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172</w:t>
                      </w:r>
                    </w:p>
                    <w:p w:rsidR="002D1311" w:rsidRPr="007C756A" w:rsidRDefault="003F10B9"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w:t>
                      </w:r>
                      <w:r w:rsidR="002D1311"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septiembre 2019</w:t>
                      </w:r>
                    </w:p>
                    <w:p w:rsidR="002D1311" w:rsidRPr="007C756A" w:rsidRDefault="002D131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cs="Arial"/>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5128E4" w:rsidRPr="0090270B" w:rsidRDefault="005128E4"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5128E4" w:rsidRPr="0090270B" w:rsidRDefault="005128E4" w:rsidP="00B54921">
      <w:pPr>
        <w:tabs>
          <w:tab w:val="left" w:pos="720"/>
          <w:tab w:val="center" w:pos="5400"/>
        </w:tabs>
        <w:suppressAutoHyphens/>
        <w:jc w:val="center"/>
        <w:rPr>
          <w:rFonts w:asciiTheme="majorHAnsi" w:hAnsiTheme="majorHAnsi"/>
          <w:sz w:val="22"/>
          <w:szCs w:val="22"/>
          <w:lang w:val="es-ES_tradnl"/>
        </w:rPr>
      </w:pPr>
    </w:p>
    <w:p w:rsidR="005128E4" w:rsidRPr="0090270B" w:rsidRDefault="005128E4" w:rsidP="00B54921">
      <w:pPr>
        <w:tabs>
          <w:tab w:val="left" w:pos="720"/>
          <w:tab w:val="center" w:pos="5400"/>
        </w:tabs>
        <w:suppressAutoHyphens/>
        <w:jc w:val="center"/>
        <w:rPr>
          <w:rFonts w:asciiTheme="majorHAnsi" w:hAnsiTheme="majorHAnsi"/>
          <w:sz w:val="22"/>
          <w:szCs w:val="22"/>
          <w:lang w:val="es-ES_tradnl"/>
        </w:rPr>
      </w:pPr>
    </w:p>
    <w:p w:rsidR="005128E4" w:rsidRPr="0090270B" w:rsidRDefault="005128E4"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040C3A" w:rsidRPr="0090270B" w:rsidRDefault="00040C3A" w:rsidP="00B54921">
      <w:pPr>
        <w:tabs>
          <w:tab w:val="left" w:pos="720"/>
          <w:tab w:val="center" w:pos="5400"/>
        </w:tabs>
        <w:suppressAutoHyphens/>
        <w:jc w:val="center"/>
        <w:rPr>
          <w:rFonts w:asciiTheme="majorHAnsi" w:hAnsiTheme="majorHAnsi"/>
          <w:sz w:val="22"/>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90270B" w:rsidP="00B54921">
      <w:pPr>
        <w:tabs>
          <w:tab w:val="left" w:pos="720"/>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F47368" wp14:editId="0EFC68A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890650" w:rsidRDefault="002D131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F10B9">
                              <w:rPr>
                                <w:rFonts w:asciiTheme="majorHAnsi" w:hAnsiTheme="majorHAnsi"/>
                                <w:color w:val="0D0D0D" w:themeColor="text1" w:themeTint="F2"/>
                                <w:sz w:val="18"/>
                                <w:szCs w:val="20"/>
                                <w:lang w:val="es-ES"/>
                              </w:rPr>
                              <w:t xml:space="preserve"> 2154</w:t>
                            </w:r>
                            <w:r w:rsidRPr="00890650">
                              <w:rPr>
                                <w:rFonts w:asciiTheme="majorHAnsi" w:hAnsiTheme="majorHAnsi"/>
                                <w:color w:val="0D0D0D" w:themeColor="text1" w:themeTint="F2"/>
                                <w:sz w:val="18"/>
                                <w:szCs w:val="20"/>
                                <w:lang w:val="es-ES"/>
                              </w:rPr>
                              <w:t xml:space="preserve"> c</w:t>
                            </w:r>
                            <w:r w:rsidR="00E02AC9">
                              <w:rPr>
                                <w:rFonts w:asciiTheme="majorHAnsi" w:hAnsiTheme="majorHAnsi"/>
                                <w:color w:val="0D0D0D" w:themeColor="text1" w:themeTint="F2"/>
                                <w:sz w:val="18"/>
                                <w:szCs w:val="20"/>
                                <w:lang w:val="es-ES"/>
                              </w:rPr>
                              <w:t>elebrada el 28 de septiembre</w:t>
                            </w:r>
                            <w:r w:rsidRPr="00890650">
                              <w:rPr>
                                <w:rFonts w:asciiTheme="majorHAnsi" w:hAnsiTheme="majorHAnsi"/>
                                <w:color w:val="0D0D0D" w:themeColor="text1" w:themeTint="F2"/>
                                <w:sz w:val="18"/>
                                <w:szCs w:val="20"/>
                                <w:lang w:val="es-ES"/>
                              </w:rPr>
                              <w:t xml:space="preserve"> de 201</w:t>
                            </w:r>
                            <w:r w:rsidR="00E02AC9">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E02AC9">
                              <w:rPr>
                                <w:rFonts w:asciiTheme="majorHAnsi" w:hAnsiTheme="majorHAnsi" w:cs="Univers"/>
                                <w:color w:val="0D0D0D" w:themeColor="text1" w:themeTint="F2"/>
                                <w:sz w:val="18"/>
                                <w:szCs w:val="20"/>
                                <w:lang w:val="es-ES"/>
                              </w:rPr>
                              <w:t xml:space="preserve">173 </w:t>
                            </w:r>
                            <w:r w:rsidRPr="00890650">
                              <w:rPr>
                                <w:rFonts w:asciiTheme="majorHAnsi" w:hAnsiTheme="majorHAnsi" w:cs="Univers"/>
                                <w:color w:val="0D0D0D" w:themeColor="text1" w:themeTint="F2"/>
                                <w:sz w:val="18"/>
                                <w:szCs w:val="20"/>
                                <w:lang w:val="es-ES_tradnl"/>
                              </w:rPr>
                              <w:t xml:space="preserve"> período </w:t>
                            </w:r>
                            <w:r w:rsidRPr="009B2CA5">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sesiones</w:t>
                            </w:r>
                            <w:r w:rsidR="00E02AC9">
                              <w:rPr>
                                <w:rFonts w:asciiTheme="majorHAnsi" w:hAnsiTheme="majorHAnsi" w:cs="Univers"/>
                                <w:color w:val="0D0D0D" w:themeColor="text1" w:themeTint="F2"/>
                                <w:sz w:val="18"/>
                                <w:szCs w:val="20"/>
                                <w:lang w:val="es-ES_tradnl"/>
                              </w:rPr>
                              <w:t>.</w:t>
                            </w:r>
                          </w:p>
                          <w:p w:rsidR="002D1311" w:rsidRPr="007A5817" w:rsidRDefault="002D1311" w:rsidP="00247403">
                            <w:pPr>
                              <w:tabs>
                                <w:tab w:val="center" w:pos="5400"/>
                              </w:tabs>
                              <w:suppressAutoHyphens/>
                              <w:spacing w:before="60"/>
                              <w:rPr>
                                <w:rFonts w:asciiTheme="minorHAnsi" w:hAnsiTheme="minorHAnsi" w:cs="Univers"/>
                                <w:color w:val="0D0D0D" w:themeColor="text1" w:themeTint="F2"/>
                                <w:sz w:val="20"/>
                                <w:szCs w:val="20"/>
                                <w:lang w:val="es-ES"/>
                              </w:rPr>
                            </w:pPr>
                          </w:p>
                          <w:p w:rsidR="002D1311" w:rsidRPr="00167A34" w:rsidRDefault="002D131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736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D1311" w:rsidRPr="00890650" w:rsidRDefault="002D131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F10B9">
                        <w:rPr>
                          <w:rFonts w:asciiTheme="majorHAnsi" w:hAnsiTheme="majorHAnsi"/>
                          <w:color w:val="0D0D0D" w:themeColor="text1" w:themeTint="F2"/>
                          <w:sz w:val="18"/>
                          <w:szCs w:val="20"/>
                          <w:lang w:val="es-ES"/>
                        </w:rPr>
                        <w:t xml:space="preserve"> 2154</w:t>
                      </w:r>
                      <w:r w:rsidRPr="00890650">
                        <w:rPr>
                          <w:rFonts w:asciiTheme="majorHAnsi" w:hAnsiTheme="majorHAnsi"/>
                          <w:color w:val="0D0D0D" w:themeColor="text1" w:themeTint="F2"/>
                          <w:sz w:val="18"/>
                          <w:szCs w:val="20"/>
                          <w:lang w:val="es-ES"/>
                        </w:rPr>
                        <w:t xml:space="preserve"> c</w:t>
                      </w:r>
                      <w:r w:rsidR="00E02AC9">
                        <w:rPr>
                          <w:rFonts w:asciiTheme="majorHAnsi" w:hAnsiTheme="majorHAnsi"/>
                          <w:color w:val="0D0D0D" w:themeColor="text1" w:themeTint="F2"/>
                          <w:sz w:val="18"/>
                          <w:szCs w:val="20"/>
                          <w:lang w:val="es-ES"/>
                        </w:rPr>
                        <w:t>elebrada el 28 de septiembre</w:t>
                      </w:r>
                      <w:r w:rsidRPr="00890650">
                        <w:rPr>
                          <w:rFonts w:asciiTheme="majorHAnsi" w:hAnsiTheme="majorHAnsi"/>
                          <w:color w:val="0D0D0D" w:themeColor="text1" w:themeTint="F2"/>
                          <w:sz w:val="18"/>
                          <w:szCs w:val="20"/>
                          <w:lang w:val="es-ES"/>
                        </w:rPr>
                        <w:t xml:space="preserve"> de 201</w:t>
                      </w:r>
                      <w:r w:rsidR="00E02AC9">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E02AC9">
                        <w:rPr>
                          <w:rFonts w:asciiTheme="majorHAnsi" w:hAnsiTheme="majorHAnsi" w:cs="Univers"/>
                          <w:color w:val="0D0D0D" w:themeColor="text1" w:themeTint="F2"/>
                          <w:sz w:val="18"/>
                          <w:szCs w:val="20"/>
                          <w:lang w:val="es-ES"/>
                        </w:rPr>
                        <w:t xml:space="preserve">173 </w:t>
                      </w:r>
                      <w:r w:rsidRPr="00890650">
                        <w:rPr>
                          <w:rFonts w:asciiTheme="majorHAnsi" w:hAnsiTheme="majorHAnsi" w:cs="Univers"/>
                          <w:color w:val="0D0D0D" w:themeColor="text1" w:themeTint="F2"/>
                          <w:sz w:val="18"/>
                          <w:szCs w:val="20"/>
                          <w:lang w:val="es-ES_tradnl"/>
                        </w:rPr>
                        <w:t xml:space="preserve"> período </w:t>
                      </w:r>
                      <w:r w:rsidRPr="009B2CA5">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sesiones</w:t>
                      </w:r>
                      <w:r w:rsidR="00E02AC9">
                        <w:rPr>
                          <w:rFonts w:asciiTheme="majorHAnsi" w:hAnsiTheme="majorHAnsi" w:cs="Univers"/>
                          <w:color w:val="0D0D0D" w:themeColor="text1" w:themeTint="F2"/>
                          <w:sz w:val="18"/>
                          <w:szCs w:val="20"/>
                          <w:lang w:val="es-ES_tradnl"/>
                        </w:rPr>
                        <w:t>.</w:t>
                      </w:r>
                    </w:p>
                    <w:p w:rsidR="002D1311" w:rsidRPr="007A5817" w:rsidRDefault="002D1311" w:rsidP="00247403">
                      <w:pPr>
                        <w:tabs>
                          <w:tab w:val="center" w:pos="5400"/>
                        </w:tabs>
                        <w:suppressAutoHyphens/>
                        <w:spacing w:before="60"/>
                        <w:rPr>
                          <w:rFonts w:asciiTheme="minorHAnsi" w:hAnsiTheme="minorHAnsi" w:cs="Univers"/>
                          <w:color w:val="0D0D0D" w:themeColor="text1" w:themeTint="F2"/>
                          <w:sz w:val="20"/>
                          <w:szCs w:val="20"/>
                          <w:lang w:val="es-ES"/>
                        </w:rPr>
                      </w:pPr>
                    </w:p>
                    <w:p w:rsidR="002D1311" w:rsidRPr="00167A34" w:rsidRDefault="002D131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A50FCF" w:rsidRPr="0090270B" w:rsidRDefault="0090270B" w:rsidP="00B54921">
      <w:pPr>
        <w:tabs>
          <w:tab w:val="left" w:pos="720"/>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4486D1F" wp14:editId="698F018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7C756A" w:rsidRDefault="002D131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00E02AC9">
                              <w:rPr>
                                <w:rFonts w:asciiTheme="majorHAnsi" w:hAnsiTheme="majorHAnsi"/>
                                <w:color w:val="595959" w:themeColor="text1" w:themeTint="A6"/>
                                <w:sz w:val="18"/>
                                <w:szCs w:val="18"/>
                                <w:lang w:val="pt-BR"/>
                              </w:rPr>
                              <w:t xml:space="preserve"> CIDH. Informe No. 157/19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12.432. Fondo</w:t>
                            </w:r>
                            <w:r w:rsidRPr="00890650">
                              <w:rPr>
                                <w:rFonts w:asciiTheme="majorHAnsi" w:hAnsiTheme="majorHAnsi"/>
                                <w:color w:val="595959" w:themeColor="text1" w:themeTint="A6"/>
                                <w:sz w:val="18"/>
                                <w:szCs w:val="18"/>
                                <w:lang w:val="es-ES_tradnl"/>
                              </w:rPr>
                              <w:t xml:space="preserve">. </w:t>
                            </w:r>
                            <w:r w:rsidR="00E02AC9">
                              <w:rPr>
                                <w:rFonts w:asciiTheme="majorHAnsi" w:hAnsiTheme="majorHAnsi"/>
                                <w:color w:val="595959" w:themeColor="text1" w:themeTint="A6"/>
                                <w:sz w:val="18"/>
                                <w:szCs w:val="18"/>
                                <w:lang w:val="es-ES_tradnl"/>
                              </w:rPr>
                              <w:t xml:space="preserve">Ex Trabajadores </w:t>
                            </w:r>
                            <w:r>
                              <w:rPr>
                                <w:rFonts w:asciiTheme="majorHAnsi" w:hAnsiTheme="majorHAnsi"/>
                                <w:color w:val="595959" w:themeColor="text1" w:themeTint="A6"/>
                                <w:sz w:val="18"/>
                                <w:szCs w:val="18"/>
                                <w:lang w:val="es-ES_tradnl"/>
                              </w:rPr>
                              <w:t>del Organismo Judicial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00E02AC9">
                              <w:rPr>
                                <w:rFonts w:asciiTheme="majorHAnsi" w:hAnsiTheme="majorHAnsi"/>
                                <w:color w:val="595959" w:themeColor="text1" w:themeTint="A6"/>
                                <w:sz w:val="18"/>
                                <w:szCs w:val="18"/>
                                <w:lang w:val="es-ES_tradnl"/>
                              </w:rPr>
                              <w:t>. 28 de septiembre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86D1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D1311" w:rsidRPr="007C756A" w:rsidRDefault="002D131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00E02AC9">
                        <w:rPr>
                          <w:rFonts w:asciiTheme="majorHAnsi" w:hAnsiTheme="majorHAnsi"/>
                          <w:color w:val="595959" w:themeColor="text1" w:themeTint="A6"/>
                          <w:sz w:val="18"/>
                          <w:szCs w:val="18"/>
                          <w:lang w:val="pt-BR"/>
                        </w:rPr>
                        <w:t xml:space="preserve"> CIDH. Informe No. 157/19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12.432. Fondo</w:t>
                      </w:r>
                      <w:r w:rsidRPr="00890650">
                        <w:rPr>
                          <w:rFonts w:asciiTheme="majorHAnsi" w:hAnsiTheme="majorHAnsi"/>
                          <w:color w:val="595959" w:themeColor="text1" w:themeTint="A6"/>
                          <w:sz w:val="18"/>
                          <w:szCs w:val="18"/>
                          <w:lang w:val="es-ES_tradnl"/>
                        </w:rPr>
                        <w:t xml:space="preserve">. </w:t>
                      </w:r>
                      <w:r w:rsidR="00E02AC9">
                        <w:rPr>
                          <w:rFonts w:asciiTheme="majorHAnsi" w:hAnsiTheme="majorHAnsi"/>
                          <w:color w:val="595959" w:themeColor="text1" w:themeTint="A6"/>
                          <w:sz w:val="18"/>
                          <w:szCs w:val="18"/>
                          <w:lang w:val="es-ES_tradnl"/>
                        </w:rPr>
                        <w:t xml:space="preserve">Ex Trabajadores </w:t>
                      </w:r>
                      <w:r>
                        <w:rPr>
                          <w:rFonts w:asciiTheme="majorHAnsi" w:hAnsiTheme="majorHAnsi"/>
                          <w:color w:val="595959" w:themeColor="text1" w:themeTint="A6"/>
                          <w:sz w:val="18"/>
                          <w:szCs w:val="18"/>
                          <w:lang w:val="es-ES_tradnl"/>
                        </w:rPr>
                        <w:t>del Organismo Judicial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00E02AC9">
                        <w:rPr>
                          <w:rFonts w:asciiTheme="majorHAnsi" w:hAnsiTheme="majorHAnsi"/>
                          <w:color w:val="595959" w:themeColor="text1" w:themeTint="A6"/>
                          <w:sz w:val="18"/>
                          <w:szCs w:val="18"/>
                          <w:lang w:val="es-ES_tradnl"/>
                        </w:rPr>
                        <w:t>. 28 de septiembre de 2019.</w:t>
                      </w:r>
                    </w:p>
                  </w:txbxContent>
                </v:textbox>
              </v:shape>
            </w:pict>
          </mc:Fallback>
        </mc:AlternateContent>
      </w:r>
    </w:p>
    <w:p w:rsidR="00A50FCF" w:rsidRPr="0090270B" w:rsidRDefault="00A50FCF" w:rsidP="00B54921">
      <w:pPr>
        <w:tabs>
          <w:tab w:val="left" w:pos="720"/>
          <w:tab w:val="center" w:pos="5400"/>
        </w:tabs>
        <w:suppressAutoHyphens/>
        <w:jc w:val="center"/>
        <w:rPr>
          <w:rFonts w:asciiTheme="majorHAnsi" w:hAnsiTheme="majorHAnsi"/>
          <w:sz w:val="18"/>
          <w:szCs w:val="22"/>
          <w:lang w:val="es-ES_tradnl"/>
        </w:rPr>
      </w:pPr>
    </w:p>
    <w:p w:rsidR="0070697F" w:rsidRDefault="00D306D1" w:rsidP="000A4810">
      <w:pPr>
        <w:tabs>
          <w:tab w:val="left" w:pos="720"/>
          <w:tab w:val="center" w:pos="5400"/>
        </w:tabs>
        <w:suppressAutoHyphens/>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E3B360C" wp14:editId="30952A3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D72DC6" w:rsidRDefault="00697A93"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360C"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D1311" w:rsidRPr="00D72DC6" w:rsidRDefault="00697A93"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580B713" wp14:editId="15FC37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11" w:rsidRPr="004B7EB6" w:rsidRDefault="002D13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0B713"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D1311" w:rsidRPr="004B7EB6" w:rsidRDefault="002D13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8D768D" w:rsidRPr="006125C3" w:rsidRDefault="008D768D" w:rsidP="00B54921">
      <w:pPr>
        <w:tabs>
          <w:tab w:val="left" w:pos="720"/>
          <w:tab w:val="center" w:pos="5400"/>
        </w:tabs>
        <w:suppressAutoHyphens/>
        <w:spacing w:line="276" w:lineRule="auto"/>
        <w:rPr>
          <w:rFonts w:asciiTheme="majorHAnsi" w:hAnsiTheme="majorHAnsi"/>
          <w:sz w:val="20"/>
          <w:szCs w:val="20"/>
          <w:lang w:val="es-ES_tradnl"/>
        </w:rPr>
      </w:pPr>
    </w:p>
    <w:sdt>
      <w:sdtPr>
        <w:rPr>
          <w:rFonts w:ascii="Times New Roman" w:eastAsia="Arial Unicode MS" w:hAnsi="Times New Roman" w:cs="Times New Roman"/>
          <w:b w:val="0"/>
          <w:bCs w:val="0"/>
          <w:color w:val="auto"/>
          <w:sz w:val="24"/>
          <w:szCs w:val="24"/>
          <w:bdr w:val="nil"/>
          <w:lang w:eastAsia="en-US"/>
        </w:rPr>
        <w:id w:val="629979927"/>
        <w:docPartObj>
          <w:docPartGallery w:val="Table of Contents"/>
          <w:docPartUnique/>
        </w:docPartObj>
      </w:sdtPr>
      <w:sdtEndPr>
        <w:rPr>
          <w:noProof/>
        </w:rPr>
      </w:sdtEndPr>
      <w:sdtContent>
        <w:p w:rsidR="00B00A5C" w:rsidRDefault="00B00A5C" w:rsidP="00B54921">
          <w:pPr>
            <w:pStyle w:val="TOCHeading"/>
            <w:tabs>
              <w:tab w:val="left" w:pos="720"/>
            </w:tabs>
          </w:pPr>
        </w:p>
        <w:p w:rsidR="000A4810" w:rsidRPr="000A4810" w:rsidRDefault="00B00A5C">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0A4810">
            <w:rPr>
              <w:rFonts w:asciiTheme="majorHAnsi" w:hAnsiTheme="majorHAnsi"/>
              <w:sz w:val="20"/>
              <w:szCs w:val="20"/>
            </w:rPr>
            <w:fldChar w:fldCharType="begin"/>
          </w:r>
          <w:r w:rsidRPr="000A4810">
            <w:rPr>
              <w:rFonts w:asciiTheme="majorHAnsi" w:hAnsiTheme="majorHAnsi"/>
              <w:sz w:val="20"/>
              <w:szCs w:val="20"/>
            </w:rPr>
            <w:instrText xml:space="preserve"> TOC \o "1-3" \h \z \u </w:instrText>
          </w:r>
          <w:r w:rsidRPr="000A4810">
            <w:rPr>
              <w:rFonts w:asciiTheme="majorHAnsi" w:hAnsiTheme="majorHAnsi"/>
              <w:sz w:val="20"/>
              <w:szCs w:val="20"/>
            </w:rPr>
            <w:fldChar w:fldCharType="separate"/>
          </w:r>
          <w:hyperlink w:anchor="_Toc14884432" w:history="1">
            <w:r w:rsidR="000A4810" w:rsidRPr="000A4810">
              <w:rPr>
                <w:rStyle w:val="Hyperlink"/>
                <w:rFonts w:asciiTheme="majorHAnsi" w:hAnsiTheme="majorHAnsi"/>
                <w:b/>
                <w:noProof/>
                <w:sz w:val="20"/>
                <w:szCs w:val="20"/>
              </w:rPr>
              <w:t>I.</w:t>
            </w:r>
            <w:r w:rsidR="000A4810" w:rsidRPr="000A4810">
              <w:rPr>
                <w:rFonts w:asciiTheme="majorHAnsi" w:eastAsiaTheme="minorEastAsia" w:hAnsiTheme="majorHAnsi" w:cstheme="minorBidi"/>
                <w:b/>
                <w:noProof/>
                <w:sz w:val="20"/>
                <w:szCs w:val="20"/>
                <w:bdr w:val="none" w:sz="0" w:space="0" w:color="auto"/>
              </w:rPr>
              <w:tab/>
            </w:r>
            <w:r w:rsidR="000A4810" w:rsidRPr="000A4810">
              <w:rPr>
                <w:rStyle w:val="Hyperlink"/>
                <w:rFonts w:asciiTheme="majorHAnsi" w:hAnsiTheme="majorHAnsi"/>
                <w:b/>
                <w:noProof/>
                <w:sz w:val="20"/>
                <w:szCs w:val="20"/>
              </w:rPr>
              <w:t>INTRODUCCI</w:t>
            </w:r>
            <w:r w:rsidR="000A4810" w:rsidRPr="000A4810">
              <w:rPr>
                <w:rStyle w:val="Hyperlink"/>
                <w:rFonts w:asciiTheme="majorHAnsi" w:hAnsiTheme="majorHAnsi"/>
                <w:b/>
                <w:noProof/>
                <w:sz w:val="20"/>
                <w:szCs w:val="20"/>
                <w:lang w:val="es-VE"/>
              </w:rPr>
              <w:t>ÓN</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_Toc14884432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2</w:t>
            </w:r>
            <w:r w:rsidR="000A4810" w:rsidRPr="000A4810">
              <w:rPr>
                <w:rFonts w:asciiTheme="majorHAnsi" w:hAnsiTheme="majorHAnsi"/>
                <w:noProof/>
                <w:webHidden/>
                <w:sz w:val="20"/>
                <w:szCs w:val="20"/>
              </w:rPr>
              <w:fldChar w:fldCharType="end"/>
            </w:r>
          </w:hyperlink>
        </w:p>
        <w:p w:rsidR="000A4810" w:rsidRPr="000A4810" w:rsidRDefault="0091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4884433" w:history="1">
            <w:r w:rsidR="000A4810" w:rsidRPr="000A4810">
              <w:rPr>
                <w:rStyle w:val="Hyperlink"/>
                <w:rFonts w:asciiTheme="majorHAnsi" w:hAnsiTheme="majorHAnsi"/>
                <w:b/>
                <w:noProof/>
                <w:sz w:val="20"/>
                <w:szCs w:val="20"/>
              </w:rPr>
              <w:t>II.</w:t>
            </w:r>
            <w:r w:rsidR="000A4810" w:rsidRPr="000A4810">
              <w:rPr>
                <w:rFonts w:asciiTheme="majorHAnsi" w:eastAsiaTheme="minorEastAsia" w:hAnsiTheme="majorHAnsi" w:cstheme="minorBidi"/>
                <w:b/>
                <w:noProof/>
                <w:sz w:val="20"/>
                <w:szCs w:val="20"/>
                <w:bdr w:val="none" w:sz="0" w:space="0" w:color="auto"/>
              </w:rPr>
              <w:tab/>
            </w:r>
            <w:r w:rsidR="000A4810" w:rsidRPr="000A4810">
              <w:rPr>
                <w:rStyle w:val="Hyperlink"/>
                <w:rFonts w:asciiTheme="majorHAnsi" w:hAnsiTheme="majorHAnsi"/>
                <w:b/>
                <w:noProof/>
                <w:sz w:val="20"/>
                <w:szCs w:val="20"/>
              </w:rPr>
              <w:t>POSICIONES DE LAS PARTES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_Toc14884433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2</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34" w:history="1">
            <w:r w:rsidR="000A4810" w:rsidRPr="000A4810">
              <w:rPr>
                <w:rStyle w:val="Hyperlink"/>
                <w:rFonts w:asciiTheme="majorHAnsi" w:hAnsiTheme="majorHAnsi"/>
                <w:noProof/>
                <w:sz w:val="20"/>
                <w:szCs w:val="20"/>
              </w:rPr>
              <w:t>A.</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Parte peticionaria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_Toc14884434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2</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35" w:history="1">
            <w:r w:rsidR="000A4810" w:rsidRPr="000A4810">
              <w:rPr>
                <w:rStyle w:val="Hyperlink"/>
                <w:rFonts w:asciiTheme="majorHAnsi" w:hAnsiTheme="majorHAnsi"/>
                <w:noProof/>
                <w:sz w:val="20"/>
                <w:szCs w:val="20"/>
              </w:rPr>
              <w:t>B.</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Estado</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_Toc14884435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4</w:t>
            </w:r>
            <w:r w:rsidR="000A4810" w:rsidRPr="000A4810">
              <w:rPr>
                <w:rFonts w:asciiTheme="majorHAnsi" w:hAnsiTheme="majorHAnsi"/>
                <w:noProof/>
                <w:webHidden/>
                <w:sz w:val="20"/>
                <w:szCs w:val="20"/>
              </w:rPr>
              <w:fldChar w:fldCharType="end"/>
            </w:r>
          </w:hyperlink>
        </w:p>
        <w:p w:rsidR="000A4810" w:rsidRPr="000A4810" w:rsidRDefault="0091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4884436" w:history="1">
            <w:r w:rsidR="000A4810" w:rsidRPr="000A4810">
              <w:rPr>
                <w:rStyle w:val="Hyperlink"/>
                <w:rFonts w:asciiTheme="majorHAnsi" w:hAnsiTheme="majorHAnsi"/>
                <w:b/>
                <w:noProof/>
                <w:sz w:val="20"/>
                <w:szCs w:val="20"/>
              </w:rPr>
              <w:t>III.</w:t>
            </w:r>
            <w:r w:rsidR="000A4810" w:rsidRPr="000A4810">
              <w:rPr>
                <w:rFonts w:asciiTheme="majorHAnsi" w:eastAsiaTheme="minorEastAsia" w:hAnsiTheme="majorHAnsi" w:cstheme="minorBidi"/>
                <w:b/>
                <w:noProof/>
                <w:sz w:val="20"/>
                <w:szCs w:val="20"/>
                <w:bdr w:val="none" w:sz="0" w:space="0" w:color="auto"/>
              </w:rPr>
              <w:tab/>
            </w:r>
            <w:r w:rsidR="000A4810" w:rsidRPr="000A4810">
              <w:rPr>
                <w:rStyle w:val="Hyperlink"/>
                <w:rFonts w:asciiTheme="majorHAnsi" w:hAnsiTheme="majorHAnsi"/>
                <w:b/>
                <w:noProof/>
                <w:sz w:val="20"/>
                <w:szCs w:val="20"/>
              </w:rPr>
              <w:t>DETERMINACIONES DE HECHO</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_Toc14884436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5</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37" w:history="1">
            <w:r w:rsidR="000A4810" w:rsidRPr="000A4810">
              <w:rPr>
                <w:rStyle w:val="Hyperlink"/>
                <w:rFonts w:asciiTheme="majorHAnsi" w:hAnsiTheme="majorHAnsi"/>
                <w:noProof/>
                <w:sz w:val="20"/>
                <w:szCs w:val="20"/>
              </w:rPr>
              <w:t>A.</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Marco normativo relevante</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_Toc14884437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5</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38" w:history="1">
            <w:r w:rsidR="000A4810" w:rsidRPr="000A4810">
              <w:rPr>
                <w:rStyle w:val="Hyperlink"/>
                <w:rFonts w:asciiTheme="majorHAnsi" w:hAnsiTheme="majorHAnsi"/>
                <w:noProof/>
                <w:sz w:val="20"/>
                <w:szCs w:val="20"/>
              </w:rPr>
              <w:t>A.</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Sobre las presuntas víctimas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_Toc14884438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6</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39" w:history="1">
            <w:r w:rsidR="000A4810" w:rsidRPr="000A4810">
              <w:rPr>
                <w:rStyle w:val="Hyperlink"/>
                <w:rFonts w:asciiTheme="majorHAnsi" w:hAnsiTheme="majorHAnsi"/>
                <w:noProof/>
                <w:sz w:val="20"/>
                <w:szCs w:val="20"/>
              </w:rPr>
              <w:t>B.</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Procesos iniciados por las presuntas víctimas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_Toc14884439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6</w:t>
            </w:r>
            <w:r w:rsidR="000A4810" w:rsidRPr="000A4810">
              <w:rPr>
                <w:rFonts w:asciiTheme="majorHAnsi" w:hAnsiTheme="majorHAnsi"/>
                <w:noProof/>
                <w:webHidden/>
                <w:sz w:val="20"/>
                <w:szCs w:val="20"/>
              </w:rPr>
              <w:fldChar w:fldCharType="end"/>
            </w:r>
          </w:hyperlink>
        </w:p>
        <w:p w:rsidR="000A4810" w:rsidRPr="000A4810" w:rsidRDefault="009152DA">
          <w:pPr>
            <w:pStyle w:val="TOC3"/>
            <w:tabs>
              <w:tab w:val="left" w:pos="2160"/>
            </w:tabs>
            <w:rPr>
              <w:rFonts w:asciiTheme="majorHAnsi" w:eastAsiaTheme="minorEastAsia" w:hAnsiTheme="majorHAnsi" w:cstheme="minorBidi"/>
              <w:noProof/>
              <w:sz w:val="20"/>
              <w:szCs w:val="20"/>
              <w:bdr w:val="none" w:sz="0" w:space="0" w:color="auto"/>
            </w:rPr>
          </w:pPr>
          <w:hyperlink w:anchor="_Toc14884440" w:history="1">
            <w:r w:rsidR="000A4810" w:rsidRPr="000A4810">
              <w:rPr>
                <w:rStyle w:val="Hyperlink"/>
                <w:rFonts w:asciiTheme="majorHAnsi" w:hAnsiTheme="majorHAnsi"/>
                <w:noProof/>
                <w:sz w:val="20"/>
                <w:szCs w:val="20"/>
              </w:rPr>
              <w:t>1.</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Antecedentes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_Toc14884440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6</w:t>
            </w:r>
            <w:r w:rsidR="000A4810" w:rsidRPr="000A4810">
              <w:rPr>
                <w:rFonts w:asciiTheme="majorHAnsi" w:hAnsiTheme="majorHAnsi"/>
                <w:noProof/>
                <w:webHidden/>
                <w:sz w:val="20"/>
                <w:szCs w:val="20"/>
              </w:rPr>
              <w:fldChar w:fldCharType="end"/>
            </w:r>
          </w:hyperlink>
        </w:p>
        <w:p w:rsidR="000A4810" w:rsidRPr="000A4810" w:rsidRDefault="009152DA">
          <w:pPr>
            <w:pStyle w:val="TOC3"/>
            <w:tabs>
              <w:tab w:val="left" w:pos="2160"/>
            </w:tabs>
            <w:rPr>
              <w:rFonts w:asciiTheme="majorHAnsi" w:eastAsiaTheme="minorEastAsia" w:hAnsiTheme="majorHAnsi" w:cstheme="minorBidi"/>
              <w:noProof/>
              <w:sz w:val="20"/>
              <w:szCs w:val="20"/>
              <w:bdr w:val="none" w:sz="0" w:space="0" w:color="auto"/>
            </w:rPr>
          </w:pPr>
          <w:hyperlink w:anchor="_Toc14884441" w:history="1">
            <w:r w:rsidR="000A4810" w:rsidRPr="000A4810">
              <w:rPr>
                <w:rStyle w:val="Hyperlink"/>
                <w:rFonts w:asciiTheme="majorHAnsi" w:hAnsiTheme="majorHAnsi"/>
                <w:noProof/>
                <w:sz w:val="20"/>
                <w:szCs w:val="20"/>
              </w:rPr>
              <w:t>2.</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Realización de la huelga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_Toc14884441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7</w:t>
            </w:r>
            <w:r w:rsidR="000A4810" w:rsidRPr="000A4810">
              <w:rPr>
                <w:rFonts w:asciiTheme="majorHAnsi" w:hAnsiTheme="majorHAnsi"/>
                <w:noProof/>
                <w:webHidden/>
                <w:sz w:val="20"/>
                <w:szCs w:val="20"/>
              </w:rPr>
              <w:fldChar w:fldCharType="end"/>
            </w:r>
          </w:hyperlink>
        </w:p>
        <w:p w:rsidR="000A4810" w:rsidRPr="000A4810" w:rsidRDefault="009152DA">
          <w:pPr>
            <w:pStyle w:val="TOC3"/>
            <w:tabs>
              <w:tab w:val="left" w:pos="2160"/>
            </w:tabs>
            <w:rPr>
              <w:rFonts w:asciiTheme="majorHAnsi" w:eastAsiaTheme="minorEastAsia" w:hAnsiTheme="majorHAnsi" w:cstheme="minorBidi"/>
              <w:noProof/>
              <w:sz w:val="20"/>
              <w:szCs w:val="20"/>
              <w:bdr w:val="none" w:sz="0" w:space="0" w:color="auto"/>
            </w:rPr>
          </w:pPr>
          <w:hyperlink w:anchor="_Toc14884442" w:history="1">
            <w:r w:rsidR="000A4810" w:rsidRPr="000A4810">
              <w:rPr>
                <w:rStyle w:val="Hyperlink"/>
                <w:rFonts w:asciiTheme="majorHAnsi" w:hAnsiTheme="majorHAnsi"/>
                <w:noProof/>
                <w:sz w:val="20"/>
                <w:szCs w:val="20"/>
              </w:rPr>
              <w:t>3.</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Declaración de ilegitimidad de la huelga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_Toc14884442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8</w:t>
            </w:r>
            <w:r w:rsidR="000A4810" w:rsidRPr="000A4810">
              <w:rPr>
                <w:rFonts w:asciiTheme="majorHAnsi" w:hAnsiTheme="majorHAnsi"/>
                <w:noProof/>
                <w:webHidden/>
                <w:sz w:val="20"/>
                <w:szCs w:val="20"/>
              </w:rPr>
              <w:fldChar w:fldCharType="end"/>
            </w:r>
          </w:hyperlink>
        </w:p>
        <w:p w:rsidR="000A4810" w:rsidRPr="000A4810" w:rsidRDefault="009152DA">
          <w:pPr>
            <w:pStyle w:val="TOC3"/>
            <w:tabs>
              <w:tab w:val="left" w:pos="2160"/>
            </w:tabs>
            <w:rPr>
              <w:rFonts w:asciiTheme="majorHAnsi" w:eastAsiaTheme="minorEastAsia" w:hAnsiTheme="majorHAnsi" w:cstheme="minorBidi"/>
              <w:noProof/>
              <w:sz w:val="20"/>
              <w:szCs w:val="20"/>
              <w:bdr w:val="none" w:sz="0" w:space="0" w:color="auto"/>
            </w:rPr>
          </w:pPr>
          <w:hyperlink w:anchor="_Toc14884443" w:history="1">
            <w:r w:rsidR="000A4810" w:rsidRPr="000A4810">
              <w:rPr>
                <w:rStyle w:val="Hyperlink"/>
                <w:rFonts w:asciiTheme="majorHAnsi" w:hAnsiTheme="majorHAnsi"/>
                <w:noProof/>
                <w:sz w:val="20"/>
                <w:szCs w:val="20"/>
              </w:rPr>
              <w:t>4.</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Recursos  para impugnar la declaratoria de ilegitimidad de la huelga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_Toc14884443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9</w:t>
            </w:r>
            <w:r w:rsidR="000A4810" w:rsidRPr="000A4810">
              <w:rPr>
                <w:rFonts w:asciiTheme="majorHAnsi" w:hAnsiTheme="majorHAnsi"/>
                <w:noProof/>
                <w:webHidden/>
                <w:sz w:val="20"/>
                <w:szCs w:val="20"/>
              </w:rPr>
              <w:fldChar w:fldCharType="end"/>
            </w:r>
          </w:hyperlink>
        </w:p>
        <w:p w:rsidR="000A4810" w:rsidRPr="000A4810" w:rsidRDefault="009152DA">
          <w:pPr>
            <w:pStyle w:val="TOC3"/>
            <w:tabs>
              <w:tab w:val="left" w:pos="2160"/>
            </w:tabs>
            <w:rPr>
              <w:rFonts w:asciiTheme="majorHAnsi" w:eastAsiaTheme="minorEastAsia" w:hAnsiTheme="majorHAnsi" w:cstheme="minorBidi"/>
              <w:noProof/>
              <w:sz w:val="20"/>
              <w:szCs w:val="20"/>
              <w:bdr w:val="none" w:sz="0" w:space="0" w:color="auto"/>
            </w:rPr>
          </w:pPr>
          <w:hyperlink w:anchor="_Toc14884444" w:history="1">
            <w:r w:rsidR="000A4810" w:rsidRPr="000A4810">
              <w:rPr>
                <w:rStyle w:val="Hyperlink"/>
                <w:rFonts w:asciiTheme="majorHAnsi" w:hAnsiTheme="majorHAnsi"/>
                <w:noProof/>
                <w:sz w:val="20"/>
                <w:szCs w:val="20"/>
              </w:rPr>
              <w:t>5.</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Acta de despidos de la Corte Suprema de Justicia y recursos posteriores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_Toc14884444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10</w:t>
            </w:r>
            <w:r w:rsidR="000A4810" w:rsidRPr="000A4810">
              <w:rPr>
                <w:rFonts w:asciiTheme="majorHAnsi" w:hAnsiTheme="majorHAnsi"/>
                <w:noProof/>
                <w:webHidden/>
                <w:sz w:val="20"/>
                <w:szCs w:val="20"/>
              </w:rPr>
              <w:fldChar w:fldCharType="end"/>
            </w:r>
          </w:hyperlink>
        </w:p>
        <w:p w:rsidR="000A4810" w:rsidRPr="000A4810" w:rsidRDefault="0091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4884445" w:history="1">
            <w:r w:rsidR="000A4810" w:rsidRPr="000A4810">
              <w:rPr>
                <w:rStyle w:val="Hyperlink"/>
                <w:rFonts w:asciiTheme="majorHAnsi" w:hAnsiTheme="majorHAnsi"/>
                <w:b/>
                <w:noProof/>
                <w:sz w:val="20"/>
                <w:szCs w:val="20"/>
              </w:rPr>
              <w:t>IV.</w:t>
            </w:r>
            <w:r w:rsidR="000A4810" w:rsidRPr="000A4810">
              <w:rPr>
                <w:rFonts w:asciiTheme="majorHAnsi" w:eastAsiaTheme="minorEastAsia" w:hAnsiTheme="majorHAnsi" w:cstheme="minorBidi"/>
                <w:b/>
                <w:noProof/>
                <w:sz w:val="20"/>
                <w:szCs w:val="20"/>
                <w:bdr w:val="none" w:sz="0" w:space="0" w:color="auto"/>
              </w:rPr>
              <w:tab/>
            </w:r>
            <w:r w:rsidR="000A4810" w:rsidRPr="000A4810">
              <w:rPr>
                <w:rStyle w:val="Hyperlink"/>
                <w:rFonts w:asciiTheme="majorHAnsi" w:hAnsiTheme="majorHAnsi"/>
                <w:b/>
                <w:noProof/>
                <w:sz w:val="20"/>
                <w:szCs w:val="20"/>
              </w:rPr>
              <w:t>DETERMINACIONES DE DERECHO</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_Toc14884445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13</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46" w:history="1">
            <w:r w:rsidR="000A4810" w:rsidRPr="000A4810">
              <w:rPr>
                <w:rStyle w:val="Hyperlink"/>
                <w:rFonts w:asciiTheme="majorHAnsi" w:hAnsiTheme="majorHAnsi"/>
                <w:noProof/>
                <w:sz w:val="20"/>
                <w:szCs w:val="20"/>
              </w:rPr>
              <w:t>A.</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Consideraciones generales sobre las garantías aplicables a los procesos administrativos sancionatorios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_Toc14884446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13</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47" w:history="1">
            <w:r w:rsidR="000A4810" w:rsidRPr="000A4810">
              <w:rPr>
                <w:rStyle w:val="Hyperlink"/>
                <w:rFonts w:asciiTheme="majorHAnsi" w:hAnsiTheme="majorHAnsi"/>
                <w:noProof/>
                <w:sz w:val="20"/>
                <w:szCs w:val="20"/>
              </w:rPr>
              <w:t>B.</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Derecho a ser oído y derecho de defensa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_Toc14884447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13</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48" w:history="1">
            <w:r w:rsidR="000A4810" w:rsidRPr="000A4810">
              <w:rPr>
                <w:rStyle w:val="Hyperlink"/>
                <w:rFonts w:asciiTheme="majorHAnsi" w:hAnsiTheme="majorHAnsi"/>
                <w:noProof/>
                <w:sz w:val="20"/>
                <w:szCs w:val="20"/>
              </w:rPr>
              <w:t>C.</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El derecho de huelga</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_Toc14884448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15</w:t>
            </w:r>
            <w:r w:rsidR="000A4810" w:rsidRPr="000A4810">
              <w:rPr>
                <w:rFonts w:asciiTheme="majorHAnsi" w:hAnsiTheme="majorHAnsi"/>
                <w:noProof/>
                <w:webHidden/>
                <w:sz w:val="20"/>
                <w:szCs w:val="20"/>
              </w:rPr>
              <w:fldChar w:fldCharType="end"/>
            </w:r>
          </w:hyperlink>
        </w:p>
        <w:p w:rsidR="000A4810" w:rsidRPr="000A4810" w:rsidRDefault="009152DA">
          <w:pPr>
            <w:pStyle w:val="TOC2"/>
            <w:rPr>
              <w:rFonts w:asciiTheme="majorHAnsi" w:eastAsiaTheme="minorEastAsia" w:hAnsiTheme="majorHAnsi" w:cstheme="minorBidi"/>
              <w:noProof/>
              <w:sz w:val="20"/>
              <w:szCs w:val="20"/>
              <w:bdr w:val="none" w:sz="0" w:space="0" w:color="auto"/>
            </w:rPr>
          </w:pPr>
          <w:hyperlink w:anchor="_Toc14884449" w:history="1">
            <w:r w:rsidR="000A4810" w:rsidRPr="000A4810">
              <w:rPr>
                <w:rStyle w:val="Hyperlink"/>
                <w:rFonts w:asciiTheme="majorHAnsi" w:hAnsiTheme="majorHAnsi"/>
                <w:noProof/>
                <w:sz w:val="20"/>
                <w:szCs w:val="20"/>
              </w:rPr>
              <w:t>D.</w:t>
            </w:r>
            <w:r w:rsidR="000A4810" w:rsidRPr="000A4810">
              <w:rPr>
                <w:rFonts w:asciiTheme="majorHAnsi" w:eastAsiaTheme="minorEastAsia" w:hAnsiTheme="majorHAnsi" w:cstheme="minorBidi"/>
                <w:noProof/>
                <w:sz w:val="20"/>
                <w:szCs w:val="20"/>
                <w:bdr w:val="none" w:sz="0" w:space="0" w:color="auto"/>
              </w:rPr>
              <w:tab/>
            </w:r>
            <w:r w:rsidR="000A4810" w:rsidRPr="000A4810">
              <w:rPr>
                <w:rStyle w:val="Hyperlink"/>
                <w:rFonts w:asciiTheme="majorHAnsi" w:hAnsiTheme="majorHAnsi"/>
                <w:noProof/>
                <w:sz w:val="20"/>
                <w:szCs w:val="20"/>
              </w:rPr>
              <w:t>El derecho a la protección judicial</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_Toc14884449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18</w:t>
            </w:r>
            <w:r w:rsidR="000A4810" w:rsidRPr="000A4810">
              <w:rPr>
                <w:rFonts w:asciiTheme="majorHAnsi" w:hAnsiTheme="majorHAnsi"/>
                <w:noProof/>
                <w:webHidden/>
                <w:sz w:val="20"/>
                <w:szCs w:val="20"/>
              </w:rPr>
              <w:fldChar w:fldCharType="end"/>
            </w:r>
          </w:hyperlink>
        </w:p>
        <w:p w:rsidR="000A4810" w:rsidRPr="000A4810" w:rsidRDefault="0091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4884450" w:history="1">
            <w:r w:rsidR="000A4810" w:rsidRPr="000A4810">
              <w:rPr>
                <w:rStyle w:val="Hyperlink"/>
                <w:rFonts w:asciiTheme="majorHAnsi" w:hAnsiTheme="majorHAnsi"/>
                <w:b/>
                <w:noProof/>
                <w:sz w:val="20"/>
                <w:szCs w:val="20"/>
              </w:rPr>
              <w:t>V.</w:t>
            </w:r>
            <w:r w:rsidR="000A4810" w:rsidRPr="000A4810">
              <w:rPr>
                <w:rFonts w:asciiTheme="majorHAnsi" w:eastAsiaTheme="minorEastAsia" w:hAnsiTheme="majorHAnsi" w:cstheme="minorBidi"/>
                <w:b/>
                <w:noProof/>
                <w:sz w:val="20"/>
                <w:szCs w:val="20"/>
                <w:bdr w:val="none" w:sz="0" w:space="0" w:color="auto"/>
              </w:rPr>
              <w:tab/>
            </w:r>
            <w:r w:rsidR="000A4810" w:rsidRPr="000A4810">
              <w:rPr>
                <w:rStyle w:val="Hyperlink"/>
                <w:rFonts w:asciiTheme="majorHAnsi" w:hAnsiTheme="majorHAnsi"/>
                <w:b/>
                <w:noProof/>
                <w:sz w:val="20"/>
                <w:szCs w:val="20"/>
              </w:rPr>
              <w:t>CONCLUSIONES Y RECOMENDACIONES</w:t>
            </w:r>
            <w:r w:rsidR="000A4810" w:rsidRPr="000A4810">
              <w:rPr>
                <w:rFonts w:asciiTheme="majorHAnsi" w:hAnsiTheme="majorHAnsi"/>
                <w:noProof/>
                <w:webHidden/>
                <w:sz w:val="20"/>
                <w:szCs w:val="20"/>
              </w:rPr>
              <w:tab/>
            </w:r>
            <w:r w:rsidR="000A4810" w:rsidRPr="000A4810">
              <w:rPr>
                <w:rFonts w:asciiTheme="majorHAnsi" w:hAnsiTheme="majorHAnsi"/>
                <w:noProof/>
                <w:webHidden/>
                <w:sz w:val="20"/>
                <w:szCs w:val="20"/>
              </w:rPr>
              <w:fldChar w:fldCharType="begin"/>
            </w:r>
            <w:r w:rsidR="000A4810" w:rsidRPr="000A4810">
              <w:rPr>
                <w:rFonts w:asciiTheme="majorHAnsi" w:hAnsiTheme="majorHAnsi"/>
                <w:noProof/>
                <w:webHidden/>
                <w:sz w:val="20"/>
                <w:szCs w:val="20"/>
              </w:rPr>
              <w:instrText xml:space="preserve"> PAGEREF _Toc14884450 \h </w:instrText>
            </w:r>
            <w:r w:rsidR="000A4810" w:rsidRPr="000A4810">
              <w:rPr>
                <w:rFonts w:asciiTheme="majorHAnsi" w:hAnsiTheme="majorHAnsi"/>
                <w:noProof/>
                <w:webHidden/>
                <w:sz w:val="20"/>
                <w:szCs w:val="20"/>
              </w:rPr>
            </w:r>
            <w:r w:rsidR="000A4810" w:rsidRPr="000A4810">
              <w:rPr>
                <w:rFonts w:asciiTheme="majorHAnsi" w:hAnsiTheme="majorHAnsi"/>
                <w:noProof/>
                <w:webHidden/>
                <w:sz w:val="20"/>
                <w:szCs w:val="20"/>
              </w:rPr>
              <w:fldChar w:fldCharType="separate"/>
            </w:r>
            <w:r w:rsidR="000A4810" w:rsidRPr="000A4810">
              <w:rPr>
                <w:rFonts w:asciiTheme="majorHAnsi" w:hAnsiTheme="majorHAnsi"/>
                <w:noProof/>
                <w:webHidden/>
                <w:sz w:val="20"/>
                <w:szCs w:val="20"/>
              </w:rPr>
              <w:t>18</w:t>
            </w:r>
            <w:r w:rsidR="000A4810" w:rsidRPr="000A4810">
              <w:rPr>
                <w:rFonts w:asciiTheme="majorHAnsi" w:hAnsiTheme="majorHAnsi"/>
                <w:noProof/>
                <w:webHidden/>
                <w:sz w:val="20"/>
                <w:szCs w:val="20"/>
              </w:rPr>
              <w:fldChar w:fldCharType="end"/>
            </w:r>
          </w:hyperlink>
        </w:p>
        <w:p w:rsidR="00B00A5C" w:rsidRDefault="00B00A5C" w:rsidP="00B54921">
          <w:pPr>
            <w:tabs>
              <w:tab w:val="left" w:pos="720"/>
            </w:tabs>
          </w:pPr>
          <w:r w:rsidRPr="000A4810">
            <w:rPr>
              <w:rFonts w:asciiTheme="majorHAnsi" w:hAnsiTheme="majorHAnsi"/>
              <w:b/>
              <w:bCs/>
              <w:noProof/>
              <w:sz w:val="20"/>
              <w:szCs w:val="20"/>
            </w:rPr>
            <w:fldChar w:fldCharType="end"/>
          </w:r>
        </w:p>
      </w:sdtContent>
    </w:sdt>
    <w:p w:rsidR="00E909AA" w:rsidRPr="00F902EB" w:rsidRDefault="006125C3" w:rsidP="00B54921">
      <w:pPr>
        <w:tabs>
          <w:tab w:val="left" w:pos="720"/>
          <w:tab w:val="left" w:pos="1440"/>
          <w:tab w:val="right" w:leader="dot" w:pos="9350"/>
        </w:tabs>
        <w:spacing w:after="100"/>
        <w:rPr>
          <w:rFonts w:asciiTheme="majorHAnsi" w:eastAsia="Times New Roman" w:hAnsiTheme="majorHAnsi"/>
          <w:b/>
          <w:noProof/>
          <w:sz w:val="20"/>
          <w:szCs w:val="20"/>
          <w:bdr w:val="none" w:sz="0" w:space="0" w:color="auto"/>
          <w:lang w:val="es-ES"/>
        </w:rPr>
      </w:pPr>
      <w:r w:rsidRPr="00E909AA">
        <w:rPr>
          <w:rFonts w:asciiTheme="majorHAnsi" w:hAnsiTheme="majorHAnsi"/>
          <w:b/>
          <w:sz w:val="20"/>
          <w:szCs w:val="20"/>
          <w:lang w:val="es-ES_tradnl"/>
        </w:rPr>
        <w:fldChar w:fldCharType="begin"/>
      </w:r>
      <w:r w:rsidRPr="006125C3">
        <w:rPr>
          <w:rFonts w:asciiTheme="majorHAnsi" w:hAnsiTheme="majorHAnsi"/>
          <w:b/>
          <w:sz w:val="20"/>
          <w:szCs w:val="20"/>
          <w:lang w:val="es-ES_tradnl"/>
        </w:rPr>
        <w:instrText xml:space="preserve"> TOC \o "1-7" \h \z \u </w:instrText>
      </w:r>
      <w:r w:rsidRPr="00E909AA">
        <w:rPr>
          <w:rFonts w:asciiTheme="majorHAnsi" w:hAnsiTheme="majorHAnsi"/>
          <w:b/>
          <w:sz w:val="20"/>
          <w:szCs w:val="20"/>
          <w:lang w:val="es-ES_tradnl"/>
        </w:rPr>
        <w:fldChar w:fldCharType="separate"/>
      </w:r>
    </w:p>
    <w:p w:rsidR="006125C3" w:rsidRPr="00F902EB" w:rsidRDefault="006125C3" w:rsidP="00B54921">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rsidR="008D768D" w:rsidRPr="007253B8" w:rsidRDefault="006125C3" w:rsidP="00B54921">
      <w:pPr>
        <w:tabs>
          <w:tab w:val="left" w:pos="720"/>
          <w:tab w:val="center" w:pos="5400"/>
        </w:tabs>
        <w:suppressAutoHyphens/>
        <w:spacing w:line="276" w:lineRule="auto"/>
        <w:rPr>
          <w:rFonts w:asciiTheme="majorHAnsi" w:hAnsiTheme="majorHAnsi"/>
          <w:sz w:val="20"/>
          <w:szCs w:val="20"/>
          <w:lang w:val="es-ES_tradnl"/>
        </w:rPr>
      </w:pPr>
      <w:r w:rsidRPr="00E909AA">
        <w:rPr>
          <w:rFonts w:asciiTheme="majorHAnsi" w:hAnsiTheme="majorHAnsi"/>
          <w:b/>
          <w:sz w:val="20"/>
          <w:szCs w:val="20"/>
          <w:lang w:val="es-ES_tradnl"/>
        </w:rPr>
        <w:fldChar w:fldCharType="end"/>
      </w:r>
    </w:p>
    <w:p w:rsidR="001C6592" w:rsidRPr="009B2CA5" w:rsidRDefault="00722C9F" w:rsidP="009B2CA5">
      <w:pPr>
        <w:tabs>
          <w:tab w:val="left" w:pos="720"/>
        </w:tabs>
        <w:rPr>
          <w:rFonts w:ascii="Cambria" w:hAnsi="Cambria" w:cs="Calibri"/>
          <w:sz w:val="20"/>
          <w:szCs w:val="20"/>
          <w:lang w:val="es-ES"/>
        </w:rPr>
      </w:pPr>
      <w:r>
        <w:rPr>
          <w:rFonts w:ascii="Cambria" w:hAnsi="Cambria" w:cs="Calibri"/>
          <w:sz w:val="20"/>
          <w:szCs w:val="20"/>
          <w:lang w:val="es-ES"/>
        </w:rPr>
        <w:br w:type="page"/>
      </w:r>
    </w:p>
    <w:p w:rsidR="00D12193" w:rsidRPr="00FA7569" w:rsidRDefault="00831BE5" w:rsidP="00B54921">
      <w:pPr>
        <w:pStyle w:val="Heading1"/>
        <w:numPr>
          <w:ilvl w:val="0"/>
          <w:numId w:val="57"/>
        </w:numPr>
        <w:tabs>
          <w:tab w:val="left" w:pos="360"/>
          <w:tab w:val="left" w:pos="720"/>
        </w:tabs>
        <w:ind w:left="720"/>
      </w:pPr>
      <w:bookmarkStart w:id="3" w:name="_Toc14884432"/>
      <w:r>
        <w:lastRenderedPageBreak/>
        <w:t>INTRODUCCI</w:t>
      </w:r>
      <w:r>
        <w:rPr>
          <w:lang w:val="es-VE"/>
        </w:rPr>
        <w:t>ÓN</w:t>
      </w:r>
      <w:bookmarkEnd w:id="3"/>
    </w:p>
    <w:p w:rsidR="005C4CA5" w:rsidRPr="00A413E0" w:rsidRDefault="005C4CA5" w:rsidP="00B54921">
      <w:pPr>
        <w:tabs>
          <w:tab w:val="left" w:pos="720"/>
        </w:tabs>
        <w:suppressAutoHyphens/>
        <w:ind w:left="360"/>
        <w:rPr>
          <w:rFonts w:asciiTheme="majorHAnsi" w:hAnsiTheme="majorHAnsi"/>
          <w:b/>
          <w:sz w:val="20"/>
          <w:szCs w:val="20"/>
          <w:lang w:val="es-ES_tradnl"/>
        </w:rPr>
      </w:pPr>
    </w:p>
    <w:p w:rsidR="005C4459" w:rsidRDefault="005C4CA5" w:rsidP="00B54921">
      <w:pPr>
        <w:pStyle w:val="parrafos"/>
        <w:numPr>
          <w:ilvl w:val="0"/>
          <w:numId w:val="56"/>
        </w:numPr>
        <w:tabs>
          <w:tab w:val="left" w:pos="720"/>
        </w:tabs>
        <w:ind w:left="0" w:firstLine="0"/>
        <w:rPr>
          <w:rFonts w:ascii="Cambria" w:hAnsi="Cambria"/>
        </w:rPr>
      </w:pPr>
      <w:r w:rsidRPr="005572BA">
        <w:rPr>
          <w:rFonts w:ascii="Cambria" w:hAnsi="Cambria"/>
        </w:rPr>
        <w:t xml:space="preserve">El </w:t>
      </w:r>
      <w:r w:rsidR="00011678" w:rsidRPr="005572BA">
        <w:rPr>
          <w:rFonts w:ascii="Cambria" w:hAnsi="Cambria"/>
        </w:rPr>
        <w:t>7</w:t>
      </w:r>
      <w:r w:rsidRPr="005572BA">
        <w:rPr>
          <w:rFonts w:ascii="Cambria" w:hAnsi="Cambria"/>
        </w:rPr>
        <w:t xml:space="preserve"> de </w:t>
      </w:r>
      <w:r w:rsidR="00011678" w:rsidRPr="005572BA">
        <w:rPr>
          <w:rFonts w:ascii="Cambria" w:hAnsi="Cambria"/>
        </w:rPr>
        <w:t>septiembre</w:t>
      </w:r>
      <w:r w:rsidRPr="005572BA">
        <w:rPr>
          <w:rFonts w:ascii="Cambria" w:hAnsi="Cambria"/>
        </w:rPr>
        <w:t xml:space="preserve"> de </w:t>
      </w:r>
      <w:r w:rsidR="00011678" w:rsidRPr="005572BA">
        <w:rPr>
          <w:rFonts w:ascii="Cambria" w:hAnsi="Cambria"/>
        </w:rPr>
        <w:t>2000</w:t>
      </w:r>
      <w:r w:rsidRPr="005572BA">
        <w:rPr>
          <w:rFonts w:ascii="Cambria" w:hAnsi="Cambria"/>
        </w:rPr>
        <w:t xml:space="preserve"> la Comisión Interamericana de Derechos Humanos (en adelante “la Comisión Interamericana”, “la Comisión” o “la CIDH”) recibió una petición presentada por </w:t>
      </w:r>
      <w:r w:rsidR="00011678" w:rsidRPr="005572BA">
        <w:rPr>
          <w:rFonts w:ascii="Cambria" w:hAnsi="Cambria"/>
        </w:rPr>
        <w:t xml:space="preserve">el Centro para </w:t>
      </w:r>
      <w:r w:rsidR="00402801" w:rsidRPr="005572BA">
        <w:rPr>
          <w:rFonts w:ascii="Cambria" w:hAnsi="Cambria"/>
        </w:rPr>
        <w:t>Acción</w:t>
      </w:r>
      <w:r w:rsidR="00255222" w:rsidRPr="005572BA">
        <w:rPr>
          <w:rFonts w:ascii="Cambria" w:hAnsi="Cambria"/>
        </w:rPr>
        <w:t xml:space="preserve"> Legal en Derechos Humanos </w:t>
      </w:r>
      <w:r w:rsidR="00011678" w:rsidRPr="005572BA">
        <w:rPr>
          <w:rFonts w:ascii="Cambria" w:hAnsi="Cambria"/>
        </w:rPr>
        <w:t>(CALDH)</w:t>
      </w:r>
      <w:r w:rsidRPr="005572BA">
        <w:rPr>
          <w:rFonts w:ascii="Cambria" w:hAnsi="Cambria"/>
        </w:rPr>
        <w:t xml:space="preserve"> (en adelante “la parte peticionaria”) en la cual se alega la responsabilidad internacional de</w:t>
      </w:r>
      <w:r w:rsidR="001D30E7" w:rsidRPr="005572BA">
        <w:rPr>
          <w:rFonts w:ascii="Cambria" w:hAnsi="Cambria"/>
        </w:rPr>
        <w:t xml:space="preserve"> </w:t>
      </w:r>
      <w:r w:rsidR="00011678" w:rsidRPr="005572BA">
        <w:rPr>
          <w:rFonts w:ascii="Cambria" w:hAnsi="Cambria"/>
        </w:rPr>
        <w:t>la República de Guatemala</w:t>
      </w:r>
      <w:r w:rsidR="00255222" w:rsidRPr="005572BA">
        <w:rPr>
          <w:rFonts w:ascii="Cambria" w:hAnsi="Cambria"/>
        </w:rPr>
        <w:t xml:space="preserve"> </w:t>
      </w:r>
      <w:r w:rsidRPr="005572BA">
        <w:rPr>
          <w:rFonts w:ascii="Cambria" w:hAnsi="Cambria"/>
        </w:rPr>
        <w:t>(</w:t>
      </w:r>
      <w:r w:rsidR="005C1C28" w:rsidRPr="005572BA">
        <w:rPr>
          <w:rFonts w:ascii="Cambria" w:hAnsi="Cambria"/>
        </w:rPr>
        <w:t>en adelante “el Estado</w:t>
      </w:r>
      <w:r w:rsidR="00011678" w:rsidRPr="005572BA">
        <w:rPr>
          <w:rFonts w:ascii="Cambria" w:hAnsi="Cambria"/>
        </w:rPr>
        <w:t>”, “el Estado</w:t>
      </w:r>
      <w:r w:rsidR="005C1C28" w:rsidRPr="005572BA">
        <w:rPr>
          <w:rFonts w:ascii="Cambria" w:hAnsi="Cambria"/>
        </w:rPr>
        <w:t xml:space="preserve"> guatemalteco</w:t>
      </w:r>
      <w:r w:rsidR="00011678" w:rsidRPr="005572BA">
        <w:rPr>
          <w:rFonts w:ascii="Cambria" w:hAnsi="Cambria"/>
        </w:rPr>
        <w:t>” o “Guatemala</w:t>
      </w:r>
      <w:r w:rsidRPr="005572BA">
        <w:rPr>
          <w:rFonts w:ascii="Cambria" w:hAnsi="Cambria"/>
        </w:rPr>
        <w:t>”) en perjuicio de</w:t>
      </w:r>
      <w:r w:rsidR="001D30E7" w:rsidRPr="005572BA">
        <w:rPr>
          <w:rFonts w:ascii="Cambria" w:hAnsi="Cambria"/>
        </w:rPr>
        <w:t xml:space="preserve"> </w:t>
      </w:r>
      <w:r w:rsidR="005C1C28" w:rsidRPr="005572BA">
        <w:rPr>
          <w:rFonts w:ascii="Cambria" w:hAnsi="Cambria"/>
        </w:rPr>
        <w:t>ex</w:t>
      </w:r>
      <w:r w:rsidR="00820268" w:rsidRPr="005572BA">
        <w:rPr>
          <w:rFonts w:ascii="Cambria" w:hAnsi="Cambria"/>
        </w:rPr>
        <w:t xml:space="preserve"> </w:t>
      </w:r>
      <w:r w:rsidR="005C1C28" w:rsidRPr="005572BA">
        <w:rPr>
          <w:rFonts w:ascii="Cambria" w:hAnsi="Cambria"/>
        </w:rPr>
        <w:t>trabajadores del Organismo Judicial</w:t>
      </w:r>
      <w:r w:rsidR="00831BE5" w:rsidRPr="005572BA">
        <w:rPr>
          <w:rFonts w:ascii="Cambria" w:hAnsi="Cambria"/>
        </w:rPr>
        <w:t xml:space="preserve"> por su supuesta destitución derivada del ejercicio del derecho de huelga. </w:t>
      </w:r>
    </w:p>
    <w:p w:rsidR="005C4459" w:rsidRDefault="005C4459" w:rsidP="00B54921">
      <w:pPr>
        <w:pStyle w:val="parrafos"/>
        <w:tabs>
          <w:tab w:val="left" w:pos="720"/>
        </w:tabs>
        <w:rPr>
          <w:rFonts w:ascii="Cambria" w:hAnsi="Cambria"/>
        </w:rPr>
      </w:pPr>
    </w:p>
    <w:p w:rsidR="005B6FCB" w:rsidRPr="005C4459" w:rsidRDefault="009014A4" w:rsidP="00B54921">
      <w:pPr>
        <w:pStyle w:val="parrafos"/>
        <w:numPr>
          <w:ilvl w:val="0"/>
          <w:numId w:val="56"/>
        </w:numPr>
        <w:tabs>
          <w:tab w:val="left" w:pos="720"/>
        </w:tabs>
        <w:ind w:left="0" w:firstLine="0"/>
        <w:rPr>
          <w:rFonts w:ascii="Cambria" w:hAnsi="Cambria"/>
        </w:rPr>
      </w:pPr>
      <w:r w:rsidRPr="005C4459">
        <w:rPr>
          <w:rFonts w:ascii="Cambria" w:hAnsi="Cambria"/>
        </w:rPr>
        <w:t>L</w:t>
      </w:r>
      <w:r w:rsidRPr="005C4459">
        <w:rPr>
          <w:rFonts w:ascii="Cambria" w:hAnsi="Cambria"/>
          <w:lang w:val="es-ES_tradnl"/>
        </w:rPr>
        <w:t xml:space="preserve">a Comisión aprobó el informe de admisibilidad No. </w:t>
      </w:r>
      <w:r w:rsidR="005C1C28" w:rsidRPr="005C4459">
        <w:rPr>
          <w:rFonts w:ascii="Cambria" w:hAnsi="Cambria"/>
          <w:lang w:val="es-ES_tradnl"/>
        </w:rPr>
        <w:t>78</w:t>
      </w:r>
      <w:r w:rsidRPr="005C4459">
        <w:rPr>
          <w:rFonts w:ascii="Cambria" w:hAnsi="Cambria"/>
          <w:lang w:val="es-ES_tradnl"/>
        </w:rPr>
        <w:t>/</w:t>
      </w:r>
      <w:r w:rsidR="005C1C28" w:rsidRPr="005C4459">
        <w:rPr>
          <w:rFonts w:ascii="Cambria" w:hAnsi="Cambria"/>
          <w:lang w:val="es-ES_tradnl"/>
        </w:rPr>
        <w:t>03</w:t>
      </w:r>
      <w:r w:rsidRPr="005C4459">
        <w:rPr>
          <w:rFonts w:ascii="Cambria" w:hAnsi="Cambria"/>
          <w:lang w:val="es-ES_tradnl"/>
        </w:rPr>
        <w:t xml:space="preserve"> el </w:t>
      </w:r>
      <w:r w:rsidR="005C1C28" w:rsidRPr="005C4459">
        <w:rPr>
          <w:rFonts w:ascii="Cambria" w:hAnsi="Cambria"/>
          <w:lang w:val="es-ES_tradnl"/>
        </w:rPr>
        <w:t>22</w:t>
      </w:r>
      <w:r w:rsidRPr="005C4459">
        <w:rPr>
          <w:rFonts w:ascii="Cambria" w:hAnsi="Cambria"/>
          <w:lang w:val="es-ES_tradnl"/>
        </w:rPr>
        <w:t xml:space="preserve"> de </w:t>
      </w:r>
      <w:r w:rsidR="005C1C28" w:rsidRPr="005C4459">
        <w:rPr>
          <w:rFonts w:ascii="Cambria" w:hAnsi="Cambria"/>
          <w:lang w:val="es-ES_tradnl"/>
        </w:rPr>
        <w:t>octubre</w:t>
      </w:r>
      <w:r w:rsidRPr="005C4459">
        <w:rPr>
          <w:rFonts w:ascii="Cambria" w:hAnsi="Cambria"/>
          <w:lang w:val="es-ES_tradnl"/>
        </w:rPr>
        <w:t xml:space="preserve"> de </w:t>
      </w:r>
      <w:r w:rsidR="005C1C28" w:rsidRPr="005C4459">
        <w:rPr>
          <w:rFonts w:ascii="Cambria" w:hAnsi="Cambria"/>
          <w:lang w:val="es-ES_tradnl"/>
        </w:rPr>
        <w:t>2003</w:t>
      </w:r>
      <w:r w:rsidRPr="00A413E0">
        <w:rPr>
          <w:rStyle w:val="FootnoteReference"/>
          <w:rFonts w:ascii="Cambria" w:hAnsi="Cambria"/>
          <w:lang w:val="es-ES_tradnl"/>
        </w:rPr>
        <w:footnoteReference w:id="2"/>
      </w:r>
      <w:r w:rsidR="00AF7988" w:rsidRPr="005C4459">
        <w:rPr>
          <w:rFonts w:ascii="Cambria" w:hAnsi="Cambria"/>
          <w:lang w:val="es-ES_tradnl"/>
        </w:rPr>
        <w:t xml:space="preserve">. </w:t>
      </w:r>
      <w:r w:rsidRPr="005C4459">
        <w:rPr>
          <w:rFonts w:ascii="Cambria" w:hAnsi="Cambria"/>
          <w:lang w:val="es-ES_tradnl"/>
        </w:rPr>
        <w:t xml:space="preserve">El </w:t>
      </w:r>
      <w:r w:rsidR="00FE520C" w:rsidRPr="005C4459">
        <w:rPr>
          <w:rFonts w:ascii="Cambria" w:hAnsi="Cambria"/>
          <w:lang w:val="es-ES_tradnl"/>
        </w:rPr>
        <w:t>27</w:t>
      </w:r>
      <w:r w:rsidRPr="005C4459">
        <w:rPr>
          <w:rFonts w:ascii="Cambria" w:hAnsi="Cambria"/>
          <w:lang w:val="es-ES_tradnl"/>
        </w:rPr>
        <w:t xml:space="preserve"> de </w:t>
      </w:r>
      <w:r w:rsidR="00FE520C" w:rsidRPr="005C4459">
        <w:rPr>
          <w:rFonts w:ascii="Cambria" w:hAnsi="Cambria"/>
          <w:lang w:val="es-ES_tradnl"/>
        </w:rPr>
        <w:t>octubre</w:t>
      </w:r>
      <w:r w:rsidRPr="005C4459">
        <w:rPr>
          <w:rFonts w:ascii="Cambria" w:hAnsi="Cambria"/>
          <w:lang w:val="es-ES_tradnl"/>
        </w:rPr>
        <w:t xml:space="preserve"> de </w:t>
      </w:r>
      <w:r w:rsidR="00F77676" w:rsidRPr="005C4459">
        <w:rPr>
          <w:rFonts w:ascii="Cambria" w:hAnsi="Cambria"/>
          <w:lang w:val="es-ES_tradnl"/>
        </w:rPr>
        <w:t>2003</w:t>
      </w:r>
      <w:r w:rsidR="00FE520C" w:rsidRPr="005C4459">
        <w:rPr>
          <w:rFonts w:ascii="Cambria" w:hAnsi="Cambria"/>
          <w:lang w:val="es-ES_tradnl"/>
        </w:rPr>
        <w:t xml:space="preserve"> </w:t>
      </w:r>
      <w:r w:rsidRPr="005C4459">
        <w:rPr>
          <w:rFonts w:ascii="Cambria" w:hAnsi="Cambria"/>
          <w:lang w:val="es-ES_tradnl"/>
        </w:rPr>
        <w:t>la Comisión notificó dicho informe a las partes y se puso a su disposición a fin de llegar a una solución amistosa</w:t>
      </w:r>
      <w:r w:rsidR="00391C32" w:rsidRPr="005C4459">
        <w:rPr>
          <w:rFonts w:ascii="Cambria" w:hAnsi="Cambria"/>
          <w:lang w:val="es-ES_tradnl"/>
        </w:rPr>
        <w:t>, sin que se dieran las condiciones para iniciar dicho procedimiento</w:t>
      </w:r>
      <w:r w:rsidRPr="005C4459">
        <w:rPr>
          <w:rFonts w:ascii="Cambria" w:hAnsi="Cambria"/>
          <w:lang w:val="es-ES_tradnl"/>
        </w:rPr>
        <w:t xml:space="preserve">. Las partes contaron con los plazos reglamentarios para presentar sus observaciones adicionales sobre el fondo. Toda la información recibida fue debidamente trasladada entre las partes. </w:t>
      </w:r>
    </w:p>
    <w:p w:rsidR="007C756A" w:rsidRPr="00831BE5" w:rsidRDefault="007C756A" w:rsidP="00B54921">
      <w:pPr>
        <w:pStyle w:val="ListParagraph"/>
        <w:tabs>
          <w:tab w:val="left" w:pos="720"/>
        </w:tabs>
        <w:suppressAutoHyphens/>
        <w:ind w:left="1080"/>
        <w:rPr>
          <w:rFonts w:asciiTheme="majorHAnsi" w:hAnsiTheme="majorHAnsi"/>
          <w:b/>
          <w:sz w:val="20"/>
          <w:szCs w:val="20"/>
          <w:lang w:val="es-VE"/>
        </w:rPr>
      </w:pPr>
    </w:p>
    <w:p w:rsidR="00D12193" w:rsidRPr="00E909AA" w:rsidRDefault="00831BE5" w:rsidP="00B54921">
      <w:pPr>
        <w:pStyle w:val="Heading1"/>
        <w:numPr>
          <w:ilvl w:val="0"/>
          <w:numId w:val="57"/>
        </w:numPr>
        <w:tabs>
          <w:tab w:val="left" w:pos="360"/>
          <w:tab w:val="left" w:pos="720"/>
        </w:tabs>
        <w:ind w:left="720"/>
      </w:pPr>
      <w:bookmarkStart w:id="4" w:name="_Toc14884433"/>
      <w:r>
        <w:t>POSICIONES DE LAS PARTES</w:t>
      </w:r>
      <w:bookmarkEnd w:id="4"/>
    </w:p>
    <w:p w:rsidR="0008768F" w:rsidRDefault="0008768F" w:rsidP="00B54921">
      <w:pPr>
        <w:tabs>
          <w:tab w:val="left" w:pos="720"/>
        </w:tabs>
        <w:suppressAutoHyphens/>
        <w:rPr>
          <w:rFonts w:asciiTheme="majorHAnsi" w:hAnsiTheme="majorHAnsi"/>
          <w:sz w:val="20"/>
          <w:szCs w:val="20"/>
          <w:lang w:val="es-ES_tradnl"/>
        </w:rPr>
      </w:pPr>
    </w:p>
    <w:p w:rsidR="00D12193" w:rsidRPr="00A02539" w:rsidRDefault="0022273F" w:rsidP="00B54921">
      <w:pPr>
        <w:pStyle w:val="Heading2"/>
        <w:numPr>
          <w:ilvl w:val="0"/>
          <w:numId w:val="58"/>
        </w:numPr>
        <w:tabs>
          <w:tab w:val="left" w:pos="720"/>
        </w:tabs>
        <w:ind w:left="360"/>
      </w:pPr>
      <w:bookmarkStart w:id="5" w:name="_Toc14884434"/>
      <w:r w:rsidRPr="00A02539">
        <w:t>Parte peticionaria</w:t>
      </w:r>
      <w:bookmarkEnd w:id="5"/>
      <w:r w:rsidRPr="00A02539">
        <w:t xml:space="preserve"> </w:t>
      </w:r>
    </w:p>
    <w:p w:rsidR="00391C32" w:rsidRDefault="00391C3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Arial"/>
          <w:color w:val="000000" w:themeColor="text1"/>
          <w:sz w:val="20"/>
          <w:szCs w:val="20"/>
          <w:lang w:val="es-VE"/>
        </w:rPr>
      </w:pPr>
    </w:p>
    <w:p w:rsidR="005C4459" w:rsidRDefault="00933C8D" w:rsidP="00B54921">
      <w:pPr>
        <w:pStyle w:val="parrafos"/>
        <w:numPr>
          <w:ilvl w:val="0"/>
          <w:numId w:val="56"/>
        </w:numPr>
        <w:tabs>
          <w:tab w:val="left" w:pos="720"/>
        </w:tabs>
        <w:ind w:left="0" w:firstLine="0"/>
        <w:rPr>
          <w:rFonts w:cs="Arial"/>
        </w:rPr>
      </w:pPr>
      <w:r w:rsidRPr="00D06555">
        <w:rPr>
          <w:rFonts w:cs="Arial"/>
        </w:rPr>
        <w:t>L</w:t>
      </w:r>
      <w:r w:rsidR="00610511">
        <w:rPr>
          <w:rFonts w:cs="Arial"/>
        </w:rPr>
        <w:t>a parte peticionaria</w:t>
      </w:r>
      <w:r w:rsidRPr="00D06555">
        <w:rPr>
          <w:rFonts w:cs="Arial"/>
        </w:rPr>
        <w:t xml:space="preserve"> </w:t>
      </w:r>
      <w:r w:rsidR="00610511" w:rsidRPr="00D06555">
        <w:rPr>
          <w:rFonts w:cs="Arial"/>
        </w:rPr>
        <w:t>in</w:t>
      </w:r>
      <w:r w:rsidR="00610511">
        <w:rPr>
          <w:rFonts w:cs="Arial"/>
        </w:rPr>
        <w:t>dicó</w:t>
      </w:r>
      <w:r w:rsidR="00610511" w:rsidRPr="00D06555">
        <w:rPr>
          <w:rFonts w:cs="Arial"/>
        </w:rPr>
        <w:t xml:space="preserve"> </w:t>
      </w:r>
      <w:r w:rsidRPr="00D06555">
        <w:rPr>
          <w:rFonts w:cs="Arial"/>
        </w:rPr>
        <w:t xml:space="preserve">que en agosto de 1992 </w:t>
      </w:r>
      <w:r w:rsidR="00021EDE">
        <w:rPr>
          <w:rFonts w:cs="Arial"/>
        </w:rPr>
        <w:t xml:space="preserve">el Sindicato de Trabajadores del Organismo </w:t>
      </w:r>
      <w:r w:rsidR="00021EDE" w:rsidRPr="005C4459">
        <w:rPr>
          <w:rFonts w:ascii="Cambria" w:hAnsi="Cambria"/>
        </w:rPr>
        <w:t>Judicial</w:t>
      </w:r>
      <w:r w:rsidR="00A96077">
        <w:rPr>
          <w:rFonts w:cs="Arial"/>
        </w:rPr>
        <w:t xml:space="preserve"> (en adelante “el STOJ” o “el sindicato”)</w:t>
      </w:r>
      <w:r w:rsidR="00021EDE">
        <w:rPr>
          <w:rFonts w:cs="Arial"/>
        </w:rPr>
        <w:t xml:space="preserve"> y el Organismo Judicial</w:t>
      </w:r>
      <w:r w:rsidR="00246B3C">
        <w:rPr>
          <w:rFonts w:cs="Arial"/>
        </w:rPr>
        <w:t xml:space="preserve"> (en adelante </w:t>
      </w:r>
      <w:r w:rsidR="00886724">
        <w:rPr>
          <w:rFonts w:cs="Arial"/>
        </w:rPr>
        <w:t>“el OJ”)</w:t>
      </w:r>
      <w:r w:rsidR="00021EDE">
        <w:rPr>
          <w:rFonts w:cs="Arial"/>
        </w:rPr>
        <w:t xml:space="preserve"> suscribieron un “Pacto Colectivo de Co</w:t>
      </w:r>
      <w:r w:rsidR="00886724">
        <w:rPr>
          <w:rFonts w:cs="Arial"/>
        </w:rPr>
        <w:t>ndiciones de Trabajo”</w:t>
      </w:r>
      <w:r w:rsidR="00021EDE">
        <w:rPr>
          <w:rFonts w:cs="Arial"/>
        </w:rPr>
        <w:t>. Indicó que el pacto entró en vigencia en noviembre de 1992 y su duración fue de 2 años. Refirió que, transcurrido dicho plazo, el 18 de octubre de 1994 la parte peticionaria denunció ante la Inspección General de Trabajo el referido pacto, con el fin de negociar un nuevo instrumento de trabajo.</w:t>
      </w:r>
    </w:p>
    <w:p w:rsidR="005C4459" w:rsidRDefault="005C4459" w:rsidP="00B54921">
      <w:pPr>
        <w:pStyle w:val="parrafos"/>
        <w:tabs>
          <w:tab w:val="left" w:pos="720"/>
        </w:tabs>
        <w:rPr>
          <w:rFonts w:cs="Arial"/>
        </w:rPr>
      </w:pPr>
    </w:p>
    <w:p w:rsidR="005C4459" w:rsidRPr="005C4459" w:rsidRDefault="00246E90" w:rsidP="00B54921">
      <w:pPr>
        <w:pStyle w:val="parrafos"/>
        <w:numPr>
          <w:ilvl w:val="0"/>
          <w:numId w:val="56"/>
        </w:numPr>
        <w:tabs>
          <w:tab w:val="left" w:pos="720"/>
        </w:tabs>
        <w:ind w:left="0" w:firstLine="0"/>
        <w:rPr>
          <w:rFonts w:cs="Arial"/>
        </w:rPr>
      </w:pPr>
      <w:r w:rsidRPr="005C4459">
        <w:rPr>
          <w:rFonts w:cs="Arial"/>
        </w:rPr>
        <w:t>Argumentó</w:t>
      </w:r>
      <w:r w:rsidR="00021EDE" w:rsidRPr="005C4459">
        <w:rPr>
          <w:rFonts w:cs="Arial"/>
        </w:rPr>
        <w:t xml:space="preserve"> que tras </w:t>
      </w:r>
      <w:r w:rsidR="00AB1A4C" w:rsidRPr="005C4459">
        <w:rPr>
          <w:rFonts w:cs="Arial"/>
        </w:rPr>
        <w:t>infructuosas negociaciones con el Organismo Judicial, para acordar el nuevo pacto colectivo, de conformidad con la ley</w:t>
      </w:r>
      <w:r w:rsidR="000517BC" w:rsidRPr="005C4459">
        <w:rPr>
          <w:rFonts w:cs="Arial"/>
        </w:rPr>
        <w:t xml:space="preserve">, promovió un “conflicto de carácter económico y social” ante la Sala Primera de la Corte de Apelaciones de Trabajo y Previsión Social, </w:t>
      </w:r>
      <w:r w:rsidR="00F84A11" w:rsidRPr="005C4459">
        <w:rPr>
          <w:rFonts w:ascii="Cambria" w:hAnsi="Cambria"/>
        </w:rPr>
        <w:t>el cual procede cuando las partes no han llegado a un acuerdo sobre los términos del pacto colectivo de condiciones de trabajo</w:t>
      </w:r>
      <w:r w:rsidR="009B30D1" w:rsidRPr="005C4459">
        <w:rPr>
          <w:rFonts w:ascii="Cambria" w:hAnsi="Cambria"/>
        </w:rPr>
        <w:t>, y tiene por objeto q</w:t>
      </w:r>
      <w:r w:rsidR="00C27B7E" w:rsidRPr="005C4459">
        <w:rPr>
          <w:rFonts w:ascii="Cambria" w:hAnsi="Cambria"/>
        </w:rPr>
        <w:t>ue se discuta en la vía directa estableciendo</w:t>
      </w:r>
      <w:r w:rsidR="00855AED" w:rsidRPr="005C4459">
        <w:rPr>
          <w:rFonts w:ascii="Cambria" w:hAnsi="Cambria"/>
        </w:rPr>
        <w:t xml:space="preserve"> un tiempo de 30 días de negociación</w:t>
      </w:r>
      <w:r w:rsidR="00C27B7E" w:rsidRPr="005C4459">
        <w:rPr>
          <w:rFonts w:ascii="Cambria" w:hAnsi="Cambria"/>
        </w:rPr>
        <w:t>.</w:t>
      </w:r>
      <w:r w:rsidR="009B30D1" w:rsidRPr="005C4459">
        <w:rPr>
          <w:rFonts w:ascii="Cambria" w:hAnsi="Cambria"/>
        </w:rPr>
        <w:t xml:space="preserve"> </w:t>
      </w:r>
      <w:r w:rsidR="00F84A11" w:rsidRPr="005C4459">
        <w:rPr>
          <w:rFonts w:ascii="Cambria" w:hAnsi="Cambria"/>
        </w:rPr>
        <w:t xml:space="preserve">Dicho Tribunal </w:t>
      </w:r>
      <w:r w:rsidR="00610511" w:rsidRPr="005C4459">
        <w:rPr>
          <w:rFonts w:ascii="Cambria" w:hAnsi="Cambria"/>
        </w:rPr>
        <w:t xml:space="preserve">declaró con lugar la solicitud, el </w:t>
      </w:r>
      <w:r w:rsidR="00F579B8" w:rsidRPr="005C4459">
        <w:rPr>
          <w:rFonts w:ascii="Cambria" w:hAnsi="Cambria"/>
        </w:rPr>
        <w:t xml:space="preserve">21 </w:t>
      </w:r>
      <w:r w:rsidR="00610511" w:rsidRPr="005C4459">
        <w:rPr>
          <w:rFonts w:ascii="Cambria" w:hAnsi="Cambria"/>
        </w:rPr>
        <w:t xml:space="preserve">de </w:t>
      </w:r>
      <w:r w:rsidR="00F579B8" w:rsidRPr="005C4459">
        <w:rPr>
          <w:rFonts w:ascii="Cambria" w:hAnsi="Cambria"/>
        </w:rPr>
        <w:t>noviembre de 1994</w:t>
      </w:r>
      <w:r w:rsidR="00610511" w:rsidRPr="005C4459">
        <w:rPr>
          <w:rFonts w:ascii="Cambria" w:hAnsi="Cambria"/>
        </w:rPr>
        <w:t xml:space="preserve">. </w:t>
      </w:r>
      <w:r w:rsidR="00B102A0" w:rsidRPr="005C4459">
        <w:rPr>
          <w:rFonts w:ascii="Cambria" w:hAnsi="Cambria"/>
        </w:rPr>
        <w:t xml:space="preserve"> Además, la parte peticionaria expresó que c</w:t>
      </w:r>
      <w:r w:rsidR="00610511" w:rsidRPr="005C4459">
        <w:rPr>
          <w:rFonts w:ascii="Cambria" w:hAnsi="Cambria"/>
        </w:rPr>
        <w:t>on posterioridad</w:t>
      </w:r>
      <w:r w:rsidR="009B30D1" w:rsidRPr="005C4459">
        <w:rPr>
          <w:rFonts w:ascii="Cambria" w:hAnsi="Cambria"/>
        </w:rPr>
        <w:t xml:space="preserve">, </w:t>
      </w:r>
      <w:r w:rsidR="00610511" w:rsidRPr="005C4459">
        <w:rPr>
          <w:rFonts w:ascii="Cambria" w:hAnsi="Cambria"/>
        </w:rPr>
        <w:t>el Organismo Judicial</w:t>
      </w:r>
      <w:r w:rsidR="00C66564" w:rsidRPr="005C4459">
        <w:rPr>
          <w:rFonts w:ascii="Cambria" w:hAnsi="Cambria"/>
        </w:rPr>
        <w:t xml:space="preserve"> </w:t>
      </w:r>
      <w:r w:rsidR="00803767" w:rsidRPr="005C4459">
        <w:rPr>
          <w:rFonts w:ascii="Cambria" w:hAnsi="Cambria"/>
        </w:rPr>
        <w:t xml:space="preserve">representado por la Procuraduría General de la </w:t>
      </w:r>
      <w:r w:rsidR="00F336A9" w:rsidRPr="005C4459">
        <w:rPr>
          <w:rFonts w:ascii="Cambria" w:hAnsi="Cambria"/>
        </w:rPr>
        <w:t>Nación</w:t>
      </w:r>
      <w:r w:rsidR="00803767" w:rsidRPr="005C4459">
        <w:rPr>
          <w:rFonts w:ascii="Cambria" w:hAnsi="Cambria"/>
        </w:rPr>
        <w:t xml:space="preserve"> </w:t>
      </w:r>
      <w:r w:rsidR="00610511" w:rsidRPr="005C4459">
        <w:rPr>
          <w:rFonts w:ascii="Cambria" w:hAnsi="Cambria"/>
        </w:rPr>
        <w:t>planteó varias impugnaciones</w:t>
      </w:r>
      <w:r w:rsidR="00B102A0" w:rsidRPr="005C4459">
        <w:rPr>
          <w:rFonts w:ascii="Cambria" w:hAnsi="Cambria"/>
        </w:rPr>
        <w:t xml:space="preserve"> con el fin de impedir que se diera trámite al conflicto colectivo</w:t>
      </w:r>
      <w:r w:rsidR="00B102A0" w:rsidRPr="005C4459">
        <w:rPr>
          <w:rStyle w:val="CommentReference"/>
          <w:lang w:val="es-CO"/>
        </w:rPr>
        <w:t>.</w:t>
      </w:r>
      <w:r w:rsidR="00CF26CD" w:rsidRPr="005C4459">
        <w:rPr>
          <w:rFonts w:ascii="Cambria" w:hAnsi="Cambria"/>
        </w:rPr>
        <w:t xml:space="preserve"> </w:t>
      </w:r>
      <w:r w:rsidR="00610511" w:rsidRPr="005C4459">
        <w:rPr>
          <w:rFonts w:ascii="Cambria" w:hAnsi="Cambria"/>
        </w:rPr>
        <w:t xml:space="preserve"> </w:t>
      </w:r>
    </w:p>
    <w:p w:rsidR="005C4459" w:rsidRPr="005C4459" w:rsidRDefault="005C4459" w:rsidP="00B54921">
      <w:pPr>
        <w:pStyle w:val="ListParagraph"/>
        <w:tabs>
          <w:tab w:val="left" w:pos="720"/>
        </w:tabs>
        <w:rPr>
          <w:lang w:val="es-VE"/>
        </w:rPr>
      </w:pPr>
    </w:p>
    <w:p w:rsidR="005C4459" w:rsidRPr="005C4459" w:rsidRDefault="009B30D1" w:rsidP="00B54921">
      <w:pPr>
        <w:pStyle w:val="parrafos"/>
        <w:numPr>
          <w:ilvl w:val="0"/>
          <w:numId w:val="56"/>
        </w:numPr>
        <w:tabs>
          <w:tab w:val="left" w:pos="720"/>
        </w:tabs>
        <w:ind w:left="0" w:firstLine="0"/>
        <w:rPr>
          <w:rFonts w:cs="Arial"/>
        </w:rPr>
      </w:pPr>
      <w:r w:rsidRPr="005C4459">
        <w:rPr>
          <w:rFonts w:ascii="Cambria" w:hAnsi="Cambria"/>
        </w:rPr>
        <w:t xml:space="preserve">Refirió </w:t>
      </w:r>
      <w:r w:rsidR="008211E9" w:rsidRPr="005C4459">
        <w:rPr>
          <w:rFonts w:ascii="Cambria" w:hAnsi="Cambria"/>
        </w:rPr>
        <w:t xml:space="preserve">que el 28 de </w:t>
      </w:r>
      <w:r w:rsidRPr="005C4459">
        <w:rPr>
          <w:rFonts w:ascii="Cambria" w:hAnsi="Cambria"/>
        </w:rPr>
        <w:t>n</w:t>
      </w:r>
      <w:r w:rsidR="008211E9" w:rsidRPr="005C4459">
        <w:rPr>
          <w:rFonts w:ascii="Cambria" w:hAnsi="Cambria"/>
        </w:rPr>
        <w:t xml:space="preserve">oviembre </w:t>
      </w:r>
      <w:r w:rsidR="00610511" w:rsidRPr="005C4459">
        <w:rPr>
          <w:rFonts w:ascii="Cambria" w:hAnsi="Cambria"/>
        </w:rPr>
        <w:t>de 199</w:t>
      </w:r>
      <w:r w:rsidR="00E336EF" w:rsidRPr="005C4459">
        <w:rPr>
          <w:rFonts w:ascii="Cambria" w:hAnsi="Cambria"/>
        </w:rPr>
        <w:t>5</w:t>
      </w:r>
      <w:r w:rsidR="00610511" w:rsidRPr="005C4459">
        <w:rPr>
          <w:rFonts w:ascii="Cambria" w:hAnsi="Cambria"/>
        </w:rPr>
        <w:t xml:space="preserve"> </w:t>
      </w:r>
      <w:r w:rsidR="008211E9" w:rsidRPr="005C4459">
        <w:rPr>
          <w:rFonts w:ascii="Cambria" w:hAnsi="Cambria"/>
        </w:rPr>
        <w:t xml:space="preserve">la </w:t>
      </w:r>
      <w:r w:rsidR="00A7568C" w:rsidRPr="005C4459">
        <w:rPr>
          <w:rFonts w:ascii="Cambria" w:hAnsi="Cambria"/>
        </w:rPr>
        <w:t>Sala Primera de la Corte de Apelaciones de Trabajo y Previsión Social</w:t>
      </w:r>
      <w:r w:rsidR="001D30E7" w:rsidRPr="005C4459">
        <w:rPr>
          <w:rFonts w:ascii="Cambria" w:hAnsi="Cambria"/>
        </w:rPr>
        <w:t xml:space="preserve"> </w:t>
      </w:r>
      <w:r w:rsidR="004C27E0" w:rsidRPr="005C4459">
        <w:rPr>
          <w:rFonts w:ascii="Cambria" w:hAnsi="Cambria"/>
        </w:rPr>
        <w:t>declar</w:t>
      </w:r>
      <w:r w:rsidR="00D45546" w:rsidRPr="005C4459">
        <w:rPr>
          <w:rFonts w:ascii="Cambria" w:hAnsi="Cambria"/>
        </w:rPr>
        <w:t>ó</w:t>
      </w:r>
      <w:r w:rsidR="004C27E0" w:rsidRPr="005C4459">
        <w:rPr>
          <w:rFonts w:ascii="Cambria" w:hAnsi="Cambria"/>
        </w:rPr>
        <w:t xml:space="preserve"> agotad</w:t>
      </w:r>
      <w:r w:rsidR="00D45546" w:rsidRPr="005C4459">
        <w:rPr>
          <w:rFonts w:ascii="Cambria" w:hAnsi="Cambria"/>
        </w:rPr>
        <w:t>a</w:t>
      </w:r>
      <w:r w:rsidR="004C27E0" w:rsidRPr="005C4459">
        <w:rPr>
          <w:rFonts w:ascii="Cambria" w:hAnsi="Cambria"/>
        </w:rPr>
        <w:t xml:space="preserve"> la </w:t>
      </w:r>
      <w:r w:rsidR="001A573B" w:rsidRPr="005C4459">
        <w:rPr>
          <w:rFonts w:ascii="Cambria" w:hAnsi="Cambria"/>
        </w:rPr>
        <w:t>vía</w:t>
      </w:r>
      <w:r w:rsidR="004C27E0" w:rsidRPr="005C4459">
        <w:rPr>
          <w:rFonts w:ascii="Cambria" w:hAnsi="Cambria"/>
        </w:rPr>
        <w:t xml:space="preserve"> directa</w:t>
      </w:r>
      <w:r w:rsidR="001D30E7" w:rsidRPr="005C4459">
        <w:rPr>
          <w:rFonts w:ascii="Cambria" w:hAnsi="Cambria"/>
        </w:rPr>
        <w:t xml:space="preserve"> </w:t>
      </w:r>
      <w:r w:rsidR="004C27E0" w:rsidRPr="005C4459">
        <w:rPr>
          <w:rFonts w:ascii="Cambria" w:hAnsi="Cambria"/>
        </w:rPr>
        <w:t xml:space="preserve">y por lo tanto el </w:t>
      </w:r>
      <w:r w:rsidR="00F336A9" w:rsidRPr="005C4459">
        <w:rPr>
          <w:rFonts w:ascii="Cambria" w:hAnsi="Cambria"/>
        </w:rPr>
        <w:t>12</w:t>
      </w:r>
      <w:r w:rsidR="004C27E0" w:rsidRPr="005C4459">
        <w:rPr>
          <w:rFonts w:ascii="Cambria" w:hAnsi="Cambria"/>
        </w:rPr>
        <w:t xml:space="preserve"> de diciembre</w:t>
      </w:r>
      <w:r w:rsidR="00C66564" w:rsidRPr="005C4459">
        <w:rPr>
          <w:rFonts w:ascii="Cambria" w:hAnsi="Cambria"/>
        </w:rPr>
        <w:t xml:space="preserve"> </w:t>
      </w:r>
      <w:r w:rsidR="00926C5F" w:rsidRPr="005C4459">
        <w:rPr>
          <w:rFonts w:ascii="Cambria" w:hAnsi="Cambria"/>
        </w:rPr>
        <w:t xml:space="preserve">de 1995 </w:t>
      </w:r>
      <w:r w:rsidR="007C12A0" w:rsidRPr="005C4459">
        <w:rPr>
          <w:rFonts w:ascii="Cambria" w:hAnsi="Cambria"/>
        </w:rPr>
        <w:t>se constitu</w:t>
      </w:r>
      <w:r w:rsidR="004C27E0" w:rsidRPr="005C4459">
        <w:rPr>
          <w:rFonts w:ascii="Cambria" w:hAnsi="Cambria"/>
        </w:rPr>
        <w:t xml:space="preserve">yó un Tribunal de </w:t>
      </w:r>
      <w:r w:rsidR="000C04AF" w:rsidRPr="005C4459">
        <w:rPr>
          <w:rFonts w:ascii="Cambria" w:hAnsi="Cambria"/>
        </w:rPr>
        <w:t>Conciliación</w:t>
      </w:r>
      <w:r w:rsidR="00932944" w:rsidRPr="005C4459">
        <w:rPr>
          <w:rFonts w:ascii="Cambria" w:hAnsi="Cambria"/>
        </w:rPr>
        <w:t xml:space="preserve">, paso que exige la ley cuando </w:t>
      </w:r>
      <w:r w:rsidR="00255222" w:rsidRPr="005C4459">
        <w:rPr>
          <w:rFonts w:ascii="Cambria" w:hAnsi="Cambria"/>
        </w:rPr>
        <w:t xml:space="preserve">la vía directa no tiene éxito. </w:t>
      </w:r>
      <w:r w:rsidR="00932944" w:rsidRPr="005C4459">
        <w:rPr>
          <w:rFonts w:ascii="Cambria" w:hAnsi="Cambria"/>
        </w:rPr>
        <w:t xml:space="preserve">Indicó que el 14 de febrero de 1996 el Tribunal de Conciliación </w:t>
      </w:r>
      <w:r w:rsidR="00D67EF4" w:rsidRPr="005C4459">
        <w:rPr>
          <w:rFonts w:ascii="Cambria" w:hAnsi="Cambria"/>
        </w:rPr>
        <w:t xml:space="preserve">emitió recomendaciones a las partes, sugiriendo ciertas </w:t>
      </w:r>
      <w:r w:rsidR="00146566" w:rsidRPr="005C4459">
        <w:rPr>
          <w:rFonts w:ascii="Cambria" w:hAnsi="Cambria"/>
        </w:rPr>
        <w:t>modificaciones al</w:t>
      </w:r>
      <w:r w:rsidR="00583F5D" w:rsidRPr="005C4459">
        <w:rPr>
          <w:rFonts w:ascii="Cambria" w:hAnsi="Cambria"/>
        </w:rPr>
        <w:t xml:space="preserve"> nuevo</w:t>
      </w:r>
      <w:r w:rsidR="00BF7778" w:rsidRPr="005C4459">
        <w:rPr>
          <w:rFonts w:ascii="Cambria" w:hAnsi="Cambria"/>
        </w:rPr>
        <w:t xml:space="preserve"> proyecto de</w:t>
      </w:r>
      <w:r w:rsidR="00146566" w:rsidRPr="005C4459">
        <w:rPr>
          <w:rFonts w:ascii="Cambria" w:hAnsi="Cambria"/>
        </w:rPr>
        <w:t xml:space="preserve"> pacto propuesto</w:t>
      </w:r>
      <w:r w:rsidR="004C6DC2" w:rsidRPr="005C4459">
        <w:rPr>
          <w:rFonts w:ascii="Cambria" w:hAnsi="Cambria"/>
        </w:rPr>
        <w:t>.</w:t>
      </w:r>
    </w:p>
    <w:p w:rsidR="005C4459" w:rsidRPr="00B54921" w:rsidRDefault="005C4459" w:rsidP="00B54921">
      <w:pPr>
        <w:pStyle w:val="ListParagraph"/>
        <w:tabs>
          <w:tab w:val="left" w:pos="720"/>
        </w:tabs>
        <w:rPr>
          <w:lang w:val="es-VE"/>
        </w:rPr>
      </w:pPr>
    </w:p>
    <w:p w:rsidR="005C4459" w:rsidRPr="005C4459" w:rsidRDefault="00146566" w:rsidP="00B54921">
      <w:pPr>
        <w:pStyle w:val="parrafos"/>
        <w:numPr>
          <w:ilvl w:val="0"/>
          <w:numId w:val="56"/>
        </w:numPr>
        <w:tabs>
          <w:tab w:val="left" w:pos="720"/>
        </w:tabs>
        <w:ind w:left="0" w:firstLine="0"/>
        <w:rPr>
          <w:rFonts w:cs="Arial"/>
        </w:rPr>
      </w:pPr>
      <w:r w:rsidRPr="005C4459">
        <w:rPr>
          <w:rFonts w:ascii="Cambria" w:hAnsi="Cambria"/>
        </w:rPr>
        <w:t xml:space="preserve"> </w:t>
      </w:r>
      <w:r w:rsidR="00255222" w:rsidRPr="005C4459">
        <w:rPr>
          <w:rFonts w:ascii="Cambria" w:hAnsi="Cambria"/>
        </w:rPr>
        <w:t>Expresó</w:t>
      </w:r>
      <w:r w:rsidRPr="005C4459">
        <w:rPr>
          <w:rFonts w:ascii="Cambria" w:hAnsi="Cambria"/>
        </w:rPr>
        <w:t xml:space="preserve"> que el 15 de febrero de 1996 el Tribunal dio por concluido el proceso de conciliación, tomando en cuenta </w:t>
      </w:r>
      <w:r w:rsidR="00C04813" w:rsidRPr="005C4459">
        <w:rPr>
          <w:rFonts w:ascii="Cambria" w:hAnsi="Cambria"/>
        </w:rPr>
        <w:t xml:space="preserve">la </w:t>
      </w:r>
      <w:r w:rsidR="00EF3371" w:rsidRPr="005C4459">
        <w:rPr>
          <w:rFonts w:ascii="Cambria" w:hAnsi="Cambria"/>
        </w:rPr>
        <w:t>falta de acuerdo de las partes para</w:t>
      </w:r>
      <w:r w:rsidR="00C04813" w:rsidRPr="005C4459">
        <w:rPr>
          <w:rFonts w:ascii="Cambria" w:hAnsi="Cambria"/>
        </w:rPr>
        <w:t xml:space="preserve"> cumplir con las recomendaciones </w:t>
      </w:r>
      <w:r w:rsidR="00311850" w:rsidRPr="005C4459">
        <w:rPr>
          <w:rFonts w:ascii="Cambria" w:hAnsi="Cambria"/>
        </w:rPr>
        <w:t>de propuestas por dicho tribunal.</w:t>
      </w:r>
    </w:p>
    <w:p w:rsidR="005C4459" w:rsidRPr="005C4459" w:rsidRDefault="005C4459" w:rsidP="00B54921">
      <w:pPr>
        <w:pStyle w:val="parrafos"/>
        <w:tabs>
          <w:tab w:val="left" w:pos="720"/>
        </w:tabs>
        <w:rPr>
          <w:rFonts w:cs="Arial"/>
        </w:rPr>
      </w:pPr>
    </w:p>
    <w:p w:rsidR="005C4459" w:rsidRPr="00286B80" w:rsidRDefault="003D2C50" w:rsidP="00B54921">
      <w:pPr>
        <w:pStyle w:val="parrafos"/>
        <w:numPr>
          <w:ilvl w:val="0"/>
          <w:numId w:val="56"/>
        </w:numPr>
        <w:tabs>
          <w:tab w:val="left" w:pos="720"/>
        </w:tabs>
        <w:ind w:left="0" w:firstLine="0"/>
        <w:rPr>
          <w:rFonts w:cs="Arial"/>
        </w:rPr>
      </w:pPr>
      <w:r w:rsidRPr="005C4459">
        <w:rPr>
          <w:rFonts w:ascii="Cambria" w:hAnsi="Cambria"/>
        </w:rPr>
        <w:t xml:space="preserve">Argumentó </w:t>
      </w:r>
      <w:r w:rsidR="00435EAC" w:rsidRPr="005C4459">
        <w:rPr>
          <w:rFonts w:ascii="Cambria" w:hAnsi="Cambria"/>
        </w:rPr>
        <w:t>que e</w:t>
      </w:r>
      <w:r w:rsidR="00B81569" w:rsidRPr="005C4459">
        <w:rPr>
          <w:rFonts w:ascii="Cambria" w:hAnsi="Cambria"/>
        </w:rPr>
        <w:t xml:space="preserve">l 16 de </w:t>
      </w:r>
      <w:r w:rsidRPr="005C4459">
        <w:rPr>
          <w:rFonts w:ascii="Cambria" w:hAnsi="Cambria"/>
        </w:rPr>
        <w:t>f</w:t>
      </w:r>
      <w:r w:rsidR="00B81569" w:rsidRPr="005C4459">
        <w:rPr>
          <w:rFonts w:ascii="Cambria" w:hAnsi="Cambria"/>
        </w:rPr>
        <w:t xml:space="preserve">ebrero de 1996 </w:t>
      </w:r>
      <w:r w:rsidR="00A96077" w:rsidRPr="005C4459">
        <w:rPr>
          <w:rFonts w:ascii="Cambria" w:hAnsi="Cambria"/>
        </w:rPr>
        <w:t xml:space="preserve">el Sindicato </w:t>
      </w:r>
      <w:r w:rsidR="00C04813" w:rsidRPr="005C4459">
        <w:rPr>
          <w:rFonts w:ascii="Cambria" w:hAnsi="Cambria"/>
        </w:rPr>
        <w:t xml:space="preserve">presentó un memorial en la Sala </w:t>
      </w:r>
      <w:r w:rsidR="00B81569" w:rsidRPr="005C4459">
        <w:rPr>
          <w:rFonts w:ascii="Cambria" w:hAnsi="Cambria"/>
        </w:rPr>
        <w:t xml:space="preserve">Primera de la Corte de </w:t>
      </w:r>
      <w:r w:rsidR="003E0F69" w:rsidRPr="005C4459">
        <w:rPr>
          <w:rFonts w:ascii="Cambria" w:hAnsi="Cambria"/>
        </w:rPr>
        <w:t>Apelaciones</w:t>
      </w:r>
      <w:r w:rsidR="00891D02" w:rsidRPr="005C4459">
        <w:rPr>
          <w:rFonts w:ascii="Cambria" w:hAnsi="Cambria"/>
        </w:rPr>
        <w:t xml:space="preserve"> de Trabajo y Previsión Social </w:t>
      </w:r>
      <w:r w:rsidR="00526AF1" w:rsidRPr="005C4459">
        <w:rPr>
          <w:rFonts w:ascii="Cambria" w:hAnsi="Cambria"/>
        </w:rPr>
        <w:t>para que se</w:t>
      </w:r>
      <w:r w:rsidR="00891D02" w:rsidRPr="005C4459">
        <w:rPr>
          <w:rFonts w:ascii="Cambria" w:hAnsi="Cambria"/>
        </w:rPr>
        <w:t xml:space="preserve"> ordenará a la I</w:t>
      </w:r>
      <w:r w:rsidR="00255222" w:rsidRPr="005C4459">
        <w:rPr>
          <w:rFonts w:ascii="Cambria" w:hAnsi="Cambria"/>
        </w:rPr>
        <w:t>nspección General de Trabajo</w:t>
      </w:r>
      <w:r w:rsidR="00891D02" w:rsidRPr="005C4459">
        <w:rPr>
          <w:rFonts w:ascii="Cambria" w:hAnsi="Cambria"/>
        </w:rPr>
        <w:t xml:space="preserve"> </w:t>
      </w:r>
      <w:r w:rsidR="00C04813" w:rsidRPr="005C4459">
        <w:rPr>
          <w:rFonts w:ascii="Cambria" w:hAnsi="Cambria"/>
        </w:rPr>
        <w:t xml:space="preserve">que procediera a determinar, mediante conteo, </w:t>
      </w:r>
      <w:r w:rsidR="003E0F69" w:rsidRPr="005C4459">
        <w:rPr>
          <w:rFonts w:ascii="Cambria" w:hAnsi="Cambria"/>
        </w:rPr>
        <w:t xml:space="preserve">si los trabajadores que plantearon el conflicto laboral constituían </w:t>
      </w:r>
      <w:r w:rsidR="00830459" w:rsidRPr="005C4459">
        <w:rPr>
          <w:rFonts w:ascii="Cambria" w:hAnsi="Cambria"/>
        </w:rPr>
        <w:t>por lo menos las dos terceras partes del Organismo Judicial, y por ende</w:t>
      </w:r>
      <w:r w:rsidR="00A96077" w:rsidRPr="005C4459">
        <w:rPr>
          <w:rFonts w:ascii="Cambria" w:hAnsi="Cambria"/>
        </w:rPr>
        <w:t xml:space="preserve"> poder</w:t>
      </w:r>
      <w:r w:rsidR="00830459" w:rsidRPr="005C4459">
        <w:rPr>
          <w:rFonts w:ascii="Cambria" w:hAnsi="Cambria"/>
        </w:rPr>
        <w:t xml:space="preserve"> declarar la legal</w:t>
      </w:r>
      <w:r w:rsidR="00D52C9C" w:rsidRPr="005C4459">
        <w:rPr>
          <w:rFonts w:ascii="Cambria" w:hAnsi="Cambria"/>
        </w:rPr>
        <w:t>idad de una huelga como lo exigía</w:t>
      </w:r>
      <w:r w:rsidR="00830459" w:rsidRPr="005C4459">
        <w:rPr>
          <w:rFonts w:ascii="Cambria" w:hAnsi="Cambria"/>
        </w:rPr>
        <w:t xml:space="preserve"> el Código de Trabajo. </w:t>
      </w:r>
    </w:p>
    <w:p w:rsidR="005C4459" w:rsidRPr="005C4459" w:rsidRDefault="00830459" w:rsidP="00B54921">
      <w:pPr>
        <w:pStyle w:val="parrafos"/>
        <w:numPr>
          <w:ilvl w:val="0"/>
          <w:numId w:val="56"/>
        </w:numPr>
        <w:tabs>
          <w:tab w:val="left" w:pos="720"/>
        </w:tabs>
        <w:ind w:left="0" w:firstLine="0"/>
        <w:rPr>
          <w:rFonts w:cs="Arial"/>
        </w:rPr>
      </w:pPr>
      <w:r w:rsidRPr="005C4459">
        <w:rPr>
          <w:rFonts w:ascii="Cambria" w:hAnsi="Cambria"/>
        </w:rPr>
        <w:t>Expres</w:t>
      </w:r>
      <w:r w:rsidR="00A845F7" w:rsidRPr="005C4459">
        <w:rPr>
          <w:rFonts w:ascii="Cambria" w:hAnsi="Cambria"/>
        </w:rPr>
        <w:t xml:space="preserve">ó que </w:t>
      </w:r>
      <w:r w:rsidR="00B035D6" w:rsidRPr="005C4459">
        <w:rPr>
          <w:rFonts w:ascii="Cambria" w:hAnsi="Cambria"/>
        </w:rPr>
        <w:t xml:space="preserve">con posterioridad el </w:t>
      </w:r>
      <w:r w:rsidR="00A845F7" w:rsidRPr="005C4459">
        <w:rPr>
          <w:rFonts w:ascii="Cambria" w:hAnsi="Cambria"/>
        </w:rPr>
        <w:t xml:space="preserve">Organismo Judicial presentó un escrito indicando que la única forma de dirimir el conflicto era mediante arbitraje. </w:t>
      </w:r>
    </w:p>
    <w:p w:rsidR="005C4459" w:rsidRPr="005C4459" w:rsidRDefault="005C4459" w:rsidP="00B54921">
      <w:pPr>
        <w:pStyle w:val="parrafos"/>
        <w:tabs>
          <w:tab w:val="left" w:pos="720"/>
        </w:tabs>
        <w:rPr>
          <w:rFonts w:cs="Arial"/>
        </w:rPr>
      </w:pPr>
    </w:p>
    <w:p w:rsidR="005C4459" w:rsidRPr="005C4459" w:rsidRDefault="00255222" w:rsidP="00B54921">
      <w:pPr>
        <w:pStyle w:val="parrafos"/>
        <w:numPr>
          <w:ilvl w:val="0"/>
          <w:numId w:val="56"/>
        </w:numPr>
        <w:tabs>
          <w:tab w:val="left" w:pos="720"/>
        </w:tabs>
        <w:ind w:left="0" w:firstLine="0"/>
        <w:rPr>
          <w:rFonts w:cs="Arial"/>
        </w:rPr>
      </w:pPr>
      <w:r w:rsidRPr="005C4459">
        <w:rPr>
          <w:rFonts w:ascii="Cambria" w:hAnsi="Cambria"/>
        </w:rPr>
        <w:t>Alegó</w:t>
      </w:r>
      <w:r w:rsidR="00A120F1" w:rsidRPr="005C4459">
        <w:rPr>
          <w:rFonts w:ascii="Cambria" w:hAnsi="Cambria"/>
        </w:rPr>
        <w:t xml:space="preserve"> </w:t>
      </w:r>
      <w:r w:rsidR="00C415C3" w:rsidRPr="005C4459">
        <w:rPr>
          <w:rFonts w:ascii="Cambria" w:hAnsi="Cambria"/>
        </w:rPr>
        <w:t>que e</w:t>
      </w:r>
      <w:r w:rsidR="00295975" w:rsidRPr="005C4459">
        <w:rPr>
          <w:rFonts w:ascii="Cambria" w:hAnsi="Cambria"/>
        </w:rPr>
        <w:t xml:space="preserve">l 19 de </w:t>
      </w:r>
      <w:r w:rsidR="00073EEE" w:rsidRPr="005C4459">
        <w:rPr>
          <w:rFonts w:ascii="Cambria" w:hAnsi="Cambria"/>
        </w:rPr>
        <w:t>m</w:t>
      </w:r>
      <w:r w:rsidR="00295975" w:rsidRPr="005C4459">
        <w:rPr>
          <w:rFonts w:ascii="Cambria" w:hAnsi="Cambria"/>
        </w:rPr>
        <w:t>arzo de 1996</w:t>
      </w:r>
      <w:r w:rsidR="00A120F1" w:rsidRPr="005C4459">
        <w:rPr>
          <w:rFonts w:ascii="Cambria" w:hAnsi="Cambria"/>
        </w:rPr>
        <w:t>, cuando aú</w:t>
      </w:r>
      <w:r w:rsidR="00D6567A" w:rsidRPr="005C4459">
        <w:rPr>
          <w:rFonts w:ascii="Cambria" w:hAnsi="Cambria"/>
        </w:rPr>
        <w:t>n no había sido decidida la legitimidad</w:t>
      </w:r>
      <w:r w:rsidR="00A120F1" w:rsidRPr="005C4459">
        <w:rPr>
          <w:rFonts w:ascii="Cambria" w:hAnsi="Cambria"/>
        </w:rPr>
        <w:t xml:space="preserve"> </w:t>
      </w:r>
      <w:r w:rsidRPr="005C4459">
        <w:rPr>
          <w:rFonts w:ascii="Cambria" w:hAnsi="Cambria"/>
        </w:rPr>
        <w:t>de</w:t>
      </w:r>
      <w:r w:rsidR="00A120F1" w:rsidRPr="005C4459">
        <w:rPr>
          <w:rFonts w:ascii="Cambria" w:hAnsi="Cambria"/>
        </w:rPr>
        <w:t xml:space="preserve"> la huelga por parte de la Sala Primera de la Corte de Apelaciones, ciertos</w:t>
      </w:r>
      <w:r w:rsidR="00295975" w:rsidRPr="005C4459">
        <w:rPr>
          <w:rFonts w:ascii="Cambria" w:hAnsi="Cambria"/>
        </w:rPr>
        <w:t xml:space="preserve"> traba</w:t>
      </w:r>
      <w:r w:rsidR="00C415C3" w:rsidRPr="005C4459">
        <w:rPr>
          <w:rFonts w:ascii="Cambria" w:hAnsi="Cambria"/>
        </w:rPr>
        <w:t>jadores</w:t>
      </w:r>
      <w:r w:rsidR="00073EEE" w:rsidRPr="005C4459">
        <w:rPr>
          <w:rFonts w:ascii="Cambria" w:hAnsi="Cambria"/>
        </w:rPr>
        <w:t xml:space="preserve"> del STOJ</w:t>
      </w:r>
      <w:r w:rsidR="00C415C3" w:rsidRPr="005C4459">
        <w:rPr>
          <w:rFonts w:ascii="Cambria" w:hAnsi="Cambria"/>
        </w:rPr>
        <w:t xml:space="preserve"> se declararon en huelga, la cual </w:t>
      </w:r>
      <w:r w:rsidR="00295975" w:rsidRPr="005C4459">
        <w:rPr>
          <w:rFonts w:ascii="Cambria" w:hAnsi="Cambria"/>
        </w:rPr>
        <w:t>se prolongó hasta el 2 de abril del mismo año.</w:t>
      </w:r>
      <w:r w:rsidR="00C66564" w:rsidRPr="005C4459">
        <w:rPr>
          <w:rFonts w:ascii="Cambria" w:hAnsi="Cambria"/>
        </w:rPr>
        <w:t xml:space="preserve"> </w:t>
      </w:r>
      <w:r w:rsidR="00054E52" w:rsidRPr="005C4459">
        <w:rPr>
          <w:rFonts w:ascii="Cambria" w:hAnsi="Cambria"/>
        </w:rPr>
        <w:t>Refirió</w:t>
      </w:r>
      <w:r w:rsidR="00073EEE" w:rsidRPr="005C4459">
        <w:rPr>
          <w:rFonts w:ascii="Cambria" w:hAnsi="Cambria"/>
        </w:rPr>
        <w:t xml:space="preserve"> que como consecuencia, el Organismo Judicial decidió deja</w:t>
      </w:r>
      <w:r w:rsidR="009F576D" w:rsidRPr="005C4459">
        <w:rPr>
          <w:rFonts w:ascii="Cambria" w:hAnsi="Cambria"/>
        </w:rPr>
        <w:t xml:space="preserve">r de pagar el salario a </w:t>
      </w:r>
      <w:r w:rsidRPr="005C4459">
        <w:rPr>
          <w:rFonts w:ascii="Cambria" w:hAnsi="Cambria"/>
        </w:rPr>
        <w:t xml:space="preserve">los trabajadores que </w:t>
      </w:r>
      <w:r w:rsidR="004F34EF" w:rsidRPr="000A5C71">
        <w:rPr>
          <w:rFonts w:ascii="Cambria" w:hAnsi="Cambria"/>
        </w:rPr>
        <w:t>participaron en la huelga</w:t>
      </w:r>
      <w:r w:rsidRPr="000A5C71">
        <w:rPr>
          <w:rFonts w:ascii="Cambria" w:hAnsi="Cambria"/>
        </w:rPr>
        <w:t xml:space="preserve">. </w:t>
      </w:r>
      <w:r w:rsidR="009F576D" w:rsidRPr="000A5C71">
        <w:rPr>
          <w:rFonts w:ascii="Cambria" w:hAnsi="Cambria"/>
        </w:rPr>
        <w:t xml:space="preserve">Alegó que ante esta medida, </w:t>
      </w:r>
      <w:r w:rsidR="00A96077" w:rsidRPr="000A5C71">
        <w:rPr>
          <w:rFonts w:ascii="Cambria" w:hAnsi="Cambria"/>
        </w:rPr>
        <w:t xml:space="preserve">el Sindicato interpuso un amparo ante la Corte de Constitucionalidad, el cual fue resuelto favorablemente el 2 de abril de </w:t>
      </w:r>
      <w:r w:rsidR="00812924" w:rsidRPr="000A5C71">
        <w:rPr>
          <w:rFonts w:ascii="Cambria" w:hAnsi="Cambria"/>
        </w:rPr>
        <w:t>1996 ordena</w:t>
      </w:r>
      <w:r w:rsidR="008B163C" w:rsidRPr="000A5C71">
        <w:rPr>
          <w:rFonts w:ascii="Cambria" w:hAnsi="Cambria"/>
        </w:rPr>
        <w:t>n</w:t>
      </w:r>
      <w:r w:rsidR="00812924" w:rsidRPr="000A5C71">
        <w:rPr>
          <w:rFonts w:ascii="Cambria" w:hAnsi="Cambria"/>
        </w:rPr>
        <w:t>do dicho Tribunal pagar los salarios retenidos a los trabajadores durante el mes de marzo de 1996 bajo la condición de que regresen</w:t>
      </w:r>
      <w:r w:rsidRPr="000A5C71">
        <w:rPr>
          <w:rFonts w:ascii="Cambria" w:hAnsi="Cambria"/>
        </w:rPr>
        <w:t xml:space="preserve"> inmediatamente a sus labores. </w:t>
      </w:r>
      <w:r w:rsidR="00812924" w:rsidRPr="000A5C71">
        <w:rPr>
          <w:rFonts w:ascii="Cambria" w:hAnsi="Cambria"/>
        </w:rPr>
        <w:t xml:space="preserve">Manifestó que en virtud de lo </w:t>
      </w:r>
      <w:r w:rsidR="004F34EF" w:rsidRPr="000A5C71">
        <w:rPr>
          <w:rFonts w:ascii="Cambria" w:hAnsi="Cambria"/>
        </w:rPr>
        <w:t>anterior, los trabajadores que formaron parte de la huelga,</w:t>
      </w:r>
      <w:r w:rsidR="00812924" w:rsidRPr="000A5C71">
        <w:rPr>
          <w:rFonts w:ascii="Cambria" w:hAnsi="Cambria"/>
        </w:rPr>
        <w:t xml:space="preserve"> regresaron</w:t>
      </w:r>
      <w:r w:rsidR="00812924" w:rsidRPr="005C4459">
        <w:rPr>
          <w:rFonts w:ascii="Cambria" w:hAnsi="Cambria"/>
        </w:rPr>
        <w:t xml:space="preserve"> a sus </w:t>
      </w:r>
      <w:r w:rsidR="000B510E">
        <w:rPr>
          <w:rFonts w:ascii="Cambria" w:hAnsi="Cambria"/>
        </w:rPr>
        <w:t>labores el 8 de abril de 1996.</w:t>
      </w:r>
    </w:p>
    <w:p w:rsidR="005C4459" w:rsidRPr="005C4459" w:rsidRDefault="005C4459" w:rsidP="00B54921">
      <w:pPr>
        <w:pStyle w:val="ListParagraph"/>
        <w:tabs>
          <w:tab w:val="left" w:pos="720"/>
        </w:tabs>
        <w:rPr>
          <w:lang w:val="es-VE"/>
        </w:rPr>
      </w:pPr>
    </w:p>
    <w:p w:rsidR="005C4459" w:rsidRPr="005C4459" w:rsidRDefault="00255222" w:rsidP="00B54921">
      <w:pPr>
        <w:pStyle w:val="parrafos"/>
        <w:numPr>
          <w:ilvl w:val="0"/>
          <w:numId w:val="56"/>
        </w:numPr>
        <w:tabs>
          <w:tab w:val="left" w:pos="720"/>
        </w:tabs>
        <w:ind w:left="0" w:firstLine="0"/>
        <w:rPr>
          <w:rFonts w:cs="Arial"/>
        </w:rPr>
      </w:pPr>
      <w:r w:rsidRPr="005C4459">
        <w:rPr>
          <w:rFonts w:ascii="Cambria" w:hAnsi="Cambria"/>
        </w:rPr>
        <w:t>La parte peticionaria refirió</w:t>
      </w:r>
      <w:r w:rsidR="00812924" w:rsidRPr="005C4459">
        <w:rPr>
          <w:rFonts w:ascii="Cambria" w:hAnsi="Cambria"/>
        </w:rPr>
        <w:t xml:space="preserve"> que el 13 de mayo de 1996 </w:t>
      </w:r>
      <w:r w:rsidR="00C415C3" w:rsidRPr="005C4459">
        <w:t xml:space="preserve">la </w:t>
      </w:r>
      <w:r w:rsidR="00AF154A" w:rsidRPr="005C4459">
        <w:t>S</w:t>
      </w:r>
      <w:r w:rsidR="00295975" w:rsidRPr="005C4459">
        <w:t xml:space="preserve">ala </w:t>
      </w:r>
      <w:r w:rsidR="00AF154A" w:rsidRPr="005C4459">
        <w:t>P</w:t>
      </w:r>
      <w:r w:rsidR="00295975" w:rsidRPr="005C4459">
        <w:t>rimera de la Corte de Apelaciones de Tr</w:t>
      </w:r>
      <w:r w:rsidR="00C415C3" w:rsidRPr="005C4459">
        <w:t>abajo y Previsión Social declaró</w:t>
      </w:r>
      <w:r w:rsidR="00295975" w:rsidRPr="005C4459">
        <w:t xml:space="preserve"> ilegitimo </w:t>
      </w:r>
      <w:r w:rsidR="00AF154A" w:rsidRPr="005C4459">
        <w:t xml:space="preserve">el </w:t>
      </w:r>
      <w:r w:rsidR="00295975" w:rsidRPr="005C4459">
        <w:t xml:space="preserve">movimiento de huelga realizado por </w:t>
      </w:r>
      <w:r w:rsidRPr="005C4459">
        <w:t>el STOJ entre el 19 de m</w:t>
      </w:r>
      <w:r w:rsidR="00295975" w:rsidRPr="005C4459">
        <w:t xml:space="preserve">arzo y el </w:t>
      </w:r>
      <w:r w:rsidR="00311850" w:rsidRPr="005C4459">
        <w:t>2</w:t>
      </w:r>
      <w:r w:rsidR="00295975" w:rsidRPr="005C4459">
        <w:t xml:space="preserve"> de abril de 1996 </w:t>
      </w:r>
      <w:r w:rsidR="00295975" w:rsidRPr="005C4459">
        <w:rPr>
          <w:bdr w:val="none" w:sz="0" w:space="0" w:color="auto" w:frame="1"/>
          <w:lang w:val="es-AR"/>
        </w:rPr>
        <w:t xml:space="preserve">y </w:t>
      </w:r>
      <w:r w:rsidR="00CD4B67" w:rsidRPr="005C4459">
        <w:t>determin</w:t>
      </w:r>
      <w:r w:rsidR="00C415C3" w:rsidRPr="005C4459">
        <w:t>ó</w:t>
      </w:r>
      <w:r w:rsidR="00CD4B67" w:rsidRPr="005C4459">
        <w:t xml:space="preserve"> que la CSJ tenía 20 días para </w:t>
      </w:r>
      <w:r w:rsidR="00C415C3" w:rsidRPr="005C4459">
        <w:t>establecer</w:t>
      </w:r>
      <w:r w:rsidR="00CD4B67" w:rsidRPr="005C4459">
        <w:t xml:space="preserve"> quiénes habían participado de la huelga</w:t>
      </w:r>
      <w:r w:rsidR="00E94343" w:rsidRPr="005C4459">
        <w:t xml:space="preserve"> y dar por terminado</w:t>
      </w:r>
      <w:r w:rsidRPr="005C4459">
        <w:t>s</w:t>
      </w:r>
      <w:r w:rsidR="00E94343" w:rsidRPr="005C4459">
        <w:t xml:space="preserve"> </w:t>
      </w:r>
      <w:r w:rsidRPr="005C4459">
        <w:t>sus</w:t>
      </w:r>
      <w:r w:rsidR="00E94343" w:rsidRPr="005C4459">
        <w:t xml:space="preserve"> contratos de trabajo</w:t>
      </w:r>
      <w:r w:rsidR="00BA2AE3" w:rsidRPr="005C4459">
        <w:t xml:space="preserve">. </w:t>
      </w:r>
      <w:r w:rsidR="006C4AC0" w:rsidRPr="005C4459">
        <w:t>Refirió que la CSJ confeccionó un listado con diversas inconsistencias, pues aparecían en los listados personas que no participaron en la huelga</w:t>
      </w:r>
      <w:r w:rsidR="00E97CFA" w:rsidRPr="005C4459">
        <w:t xml:space="preserve">. </w:t>
      </w:r>
    </w:p>
    <w:p w:rsidR="005C4459" w:rsidRPr="005C4459" w:rsidRDefault="005C4459" w:rsidP="00B54921">
      <w:pPr>
        <w:pStyle w:val="ListParagraph"/>
        <w:tabs>
          <w:tab w:val="left" w:pos="720"/>
        </w:tabs>
        <w:rPr>
          <w:lang w:val="es-VE"/>
        </w:rPr>
      </w:pPr>
    </w:p>
    <w:p w:rsidR="005C4459" w:rsidRPr="005C4459" w:rsidRDefault="00625A00" w:rsidP="00B54921">
      <w:pPr>
        <w:pStyle w:val="parrafos"/>
        <w:numPr>
          <w:ilvl w:val="0"/>
          <w:numId w:val="56"/>
        </w:numPr>
        <w:tabs>
          <w:tab w:val="left" w:pos="720"/>
        </w:tabs>
        <w:ind w:left="0" w:firstLine="0"/>
        <w:rPr>
          <w:rFonts w:cs="Arial"/>
        </w:rPr>
      </w:pPr>
      <w:r w:rsidRPr="005C4459">
        <w:t xml:space="preserve">La parte peticionaria argumentó que a partir del año </w:t>
      </w:r>
      <w:r w:rsidR="00BC1B2A" w:rsidRPr="005C4459">
        <w:t>1996</w:t>
      </w:r>
      <w:r w:rsidRPr="005C4459">
        <w:t xml:space="preserve"> y por más de dos años, interpusieron una </w:t>
      </w:r>
      <w:r w:rsidR="00D27E2F" w:rsidRPr="005C4459">
        <w:t>serie de recursos para recusar a</w:t>
      </w:r>
      <w:r w:rsidR="00FF6232" w:rsidRPr="005C4459">
        <w:t xml:space="preserve"> todas las </w:t>
      </w:r>
      <w:r w:rsidR="00DE45B7" w:rsidRPr="005C4459">
        <w:t>Salas de las Cortes de Apelaciones</w:t>
      </w:r>
      <w:r w:rsidR="00FF6232" w:rsidRPr="005C4459">
        <w:t xml:space="preserve"> </w:t>
      </w:r>
      <w:r w:rsidR="00D27E2F" w:rsidRPr="005C4459">
        <w:t>que conoc</w:t>
      </w:r>
      <w:r w:rsidR="0001543D" w:rsidRPr="005C4459">
        <w:t>ieron de los</w:t>
      </w:r>
      <w:r w:rsidR="00D27E2F" w:rsidRPr="005C4459">
        <w:t xml:space="preserve"> incidente</w:t>
      </w:r>
      <w:r w:rsidR="0001543D" w:rsidRPr="005C4459">
        <w:t>s</w:t>
      </w:r>
      <w:r w:rsidR="00D27E2F" w:rsidRPr="005C4459">
        <w:t xml:space="preserve"> de huelga por considerar que se encontraba </w:t>
      </w:r>
      <w:r w:rsidR="0001543D" w:rsidRPr="005C4459">
        <w:t>comprometida su imparcialidad, tomando en cuenta qu</w:t>
      </w:r>
      <w:r w:rsidR="008852B6" w:rsidRPr="005C4459">
        <w:t xml:space="preserve">e se encontraban subordinadas a la Corte Suprema de Justicia. </w:t>
      </w:r>
    </w:p>
    <w:p w:rsidR="005C4459" w:rsidRPr="005C4459" w:rsidRDefault="005C4459" w:rsidP="00B54921">
      <w:pPr>
        <w:pStyle w:val="ListParagraph"/>
        <w:tabs>
          <w:tab w:val="left" w:pos="720"/>
        </w:tabs>
        <w:rPr>
          <w:lang w:val="es-VE"/>
        </w:rPr>
      </w:pPr>
    </w:p>
    <w:p w:rsidR="005C4459" w:rsidRPr="005C4459" w:rsidRDefault="0001543D" w:rsidP="00B54921">
      <w:pPr>
        <w:pStyle w:val="parrafos"/>
        <w:numPr>
          <w:ilvl w:val="0"/>
          <w:numId w:val="56"/>
        </w:numPr>
        <w:tabs>
          <w:tab w:val="left" w:pos="720"/>
        </w:tabs>
        <w:ind w:left="0" w:firstLine="0"/>
        <w:rPr>
          <w:rFonts w:cs="Arial"/>
        </w:rPr>
      </w:pPr>
      <w:r w:rsidRPr="005C4459">
        <w:t xml:space="preserve">Refirió que </w:t>
      </w:r>
      <w:r w:rsidR="008852B6" w:rsidRPr="005C4459">
        <w:t>como consecuencia de lo anterior, no existía un tribunal competente para solucionar el conflicto</w:t>
      </w:r>
      <w:r w:rsidR="00DE45B7" w:rsidRPr="005C4459">
        <w:t>, ya qu</w:t>
      </w:r>
      <w:r w:rsidR="00B4300F" w:rsidRPr="005C4459">
        <w:t xml:space="preserve">e la Corte Suprema de Justicia, que debía resolver las recusaciones, se encontraba </w:t>
      </w:r>
      <w:r w:rsidR="005572BA" w:rsidRPr="005C4459">
        <w:t>involucrado en la controversia.</w:t>
      </w:r>
    </w:p>
    <w:p w:rsidR="005C4459" w:rsidRPr="005C4459" w:rsidRDefault="005C4459" w:rsidP="00B54921">
      <w:pPr>
        <w:pStyle w:val="ListParagraph"/>
        <w:tabs>
          <w:tab w:val="left" w:pos="720"/>
        </w:tabs>
        <w:rPr>
          <w:lang w:val="es-VE"/>
        </w:rPr>
      </w:pPr>
    </w:p>
    <w:p w:rsidR="005C4459" w:rsidRPr="005C4459" w:rsidRDefault="008852B6" w:rsidP="00B54921">
      <w:pPr>
        <w:pStyle w:val="parrafos"/>
        <w:numPr>
          <w:ilvl w:val="0"/>
          <w:numId w:val="56"/>
        </w:numPr>
        <w:tabs>
          <w:tab w:val="left" w:pos="720"/>
        </w:tabs>
        <w:ind w:left="0" w:firstLine="0"/>
        <w:rPr>
          <w:rFonts w:cs="Arial"/>
        </w:rPr>
      </w:pPr>
      <w:r w:rsidRPr="005C4459">
        <w:t>Indicó que el 15 de diciembre de 1997 se publicaron</w:t>
      </w:r>
      <w:r w:rsidR="008147AF" w:rsidRPr="005C4459">
        <w:rPr>
          <w:rFonts w:ascii="Cambria" w:hAnsi="Cambria"/>
        </w:rPr>
        <w:t xml:space="preserve"> en el Diario Oficial una serie de modificaciones</w:t>
      </w:r>
      <w:r w:rsidR="007A73F5" w:rsidRPr="005C4459">
        <w:rPr>
          <w:rFonts w:ascii="Cambria" w:hAnsi="Cambria"/>
        </w:rPr>
        <w:t xml:space="preserve"> a la Ley del Organismo Judicial</w:t>
      </w:r>
      <w:r w:rsidR="008147AF" w:rsidRPr="005C4459">
        <w:rPr>
          <w:rFonts w:ascii="Cambria" w:hAnsi="Cambria"/>
        </w:rPr>
        <w:t xml:space="preserve"> </w:t>
      </w:r>
      <w:r w:rsidR="007A73F5" w:rsidRPr="005C4459">
        <w:rPr>
          <w:rFonts w:ascii="Cambria" w:hAnsi="Cambria"/>
        </w:rPr>
        <w:t>que esta</w:t>
      </w:r>
      <w:r w:rsidR="00E13343" w:rsidRPr="005C4459">
        <w:rPr>
          <w:rFonts w:ascii="Cambria" w:hAnsi="Cambria"/>
        </w:rPr>
        <w:t>blecían entre otras cuestiones</w:t>
      </w:r>
      <w:r w:rsidR="005B0F10" w:rsidRPr="005C4459">
        <w:rPr>
          <w:rFonts w:ascii="Cambria" w:hAnsi="Cambria"/>
        </w:rPr>
        <w:t xml:space="preserve"> que</w:t>
      </w:r>
      <w:r w:rsidR="00C66564" w:rsidRPr="005C4459">
        <w:rPr>
          <w:rFonts w:ascii="Cambria" w:hAnsi="Cambria"/>
        </w:rPr>
        <w:t xml:space="preserve"> </w:t>
      </w:r>
      <w:r w:rsidR="005B0F10" w:rsidRPr="005C4459">
        <w:rPr>
          <w:rFonts w:ascii="Cambria" w:hAnsi="Cambria"/>
        </w:rPr>
        <w:t>la recusación no otorga efecto</w:t>
      </w:r>
      <w:r w:rsidR="00B379FF">
        <w:rPr>
          <w:rFonts w:ascii="Cambria" w:hAnsi="Cambria"/>
        </w:rPr>
        <w:t>s</w:t>
      </w:r>
      <w:r w:rsidR="005B0F10" w:rsidRPr="005C4459">
        <w:rPr>
          <w:rFonts w:ascii="Cambria" w:hAnsi="Cambria"/>
        </w:rPr>
        <w:t xml:space="preserve"> suspensivos permitiéndole </w:t>
      </w:r>
      <w:r w:rsidR="00E13343" w:rsidRPr="005C4459">
        <w:rPr>
          <w:rFonts w:ascii="Cambria" w:hAnsi="Cambria"/>
        </w:rPr>
        <w:t xml:space="preserve">al juzgador continuar </w:t>
      </w:r>
      <w:r w:rsidR="00886724" w:rsidRPr="005C4459">
        <w:rPr>
          <w:rFonts w:ascii="Cambria" w:hAnsi="Cambria"/>
        </w:rPr>
        <w:t>conociendo de las actuaciones aun</w:t>
      </w:r>
      <w:r w:rsidR="00E13343" w:rsidRPr="005C4459">
        <w:rPr>
          <w:rFonts w:ascii="Cambria" w:hAnsi="Cambria"/>
        </w:rPr>
        <w:t xml:space="preserve"> cuando se encuentre recusado y agregaba que l</w:t>
      </w:r>
      <w:r w:rsidR="007A73F5" w:rsidRPr="005C4459">
        <w:rPr>
          <w:rFonts w:ascii="Cambria" w:hAnsi="Cambria"/>
        </w:rPr>
        <w:t>as decisiones de las Salas de la C</w:t>
      </w:r>
      <w:r w:rsidR="005B0F10" w:rsidRPr="005C4459">
        <w:rPr>
          <w:rFonts w:ascii="Cambria" w:hAnsi="Cambria"/>
        </w:rPr>
        <w:t>orte de Apelaciones en materia</w:t>
      </w:r>
      <w:r w:rsidR="000449F9" w:rsidRPr="005C4459">
        <w:rPr>
          <w:rFonts w:ascii="Cambria" w:hAnsi="Cambria"/>
        </w:rPr>
        <w:t xml:space="preserve"> de</w:t>
      </w:r>
      <w:r w:rsidR="00C66564" w:rsidRPr="005C4459">
        <w:rPr>
          <w:rFonts w:ascii="Cambria" w:hAnsi="Cambria"/>
        </w:rPr>
        <w:t xml:space="preserve"> </w:t>
      </w:r>
      <w:r w:rsidR="005B0F10" w:rsidRPr="005C4459">
        <w:rPr>
          <w:rFonts w:ascii="Cambria" w:hAnsi="Cambria"/>
        </w:rPr>
        <w:t>enmiendas procesales e</w:t>
      </w:r>
      <w:r w:rsidR="007A73F5" w:rsidRPr="005C4459">
        <w:rPr>
          <w:rFonts w:ascii="Cambria" w:hAnsi="Cambria"/>
        </w:rPr>
        <w:t xml:space="preserve">ran irrecurribles. </w:t>
      </w:r>
    </w:p>
    <w:p w:rsidR="005C4459" w:rsidRPr="005C4459" w:rsidRDefault="005C4459" w:rsidP="00B54921">
      <w:pPr>
        <w:pStyle w:val="ListParagraph"/>
        <w:tabs>
          <w:tab w:val="left" w:pos="720"/>
        </w:tabs>
        <w:rPr>
          <w:lang w:val="es-VE"/>
        </w:rPr>
      </w:pPr>
    </w:p>
    <w:p w:rsidR="005C4459" w:rsidRPr="005C4459" w:rsidRDefault="00DE45B7" w:rsidP="00B54921">
      <w:pPr>
        <w:pStyle w:val="parrafos"/>
        <w:numPr>
          <w:ilvl w:val="0"/>
          <w:numId w:val="56"/>
        </w:numPr>
        <w:tabs>
          <w:tab w:val="left" w:pos="720"/>
        </w:tabs>
        <w:ind w:left="0" w:firstLine="0"/>
        <w:rPr>
          <w:rFonts w:cs="Arial"/>
        </w:rPr>
      </w:pPr>
      <w:r w:rsidRPr="005C4459">
        <w:rPr>
          <w:rFonts w:ascii="Cambria" w:hAnsi="Cambria"/>
        </w:rPr>
        <w:t xml:space="preserve">Expresó que el 17 de marzo de 1999 la CSJ aplicando la nueva Ley del Organismo Judicial, </w:t>
      </w:r>
      <w:r w:rsidR="005202BB" w:rsidRPr="005C4459">
        <w:rPr>
          <w:rFonts w:ascii="Cambria" w:hAnsi="Cambria"/>
        </w:rPr>
        <w:t>se negó a conocer del caso dado que el acto impugnado</w:t>
      </w:r>
      <w:r w:rsidR="001D30E7" w:rsidRPr="005C4459">
        <w:rPr>
          <w:rFonts w:ascii="Cambria" w:hAnsi="Cambria"/>
        </w:rPr>
        <w:t xml:space="preserve"> </w:t>
      </w:r>
      <w:r w:rsidR="005202BB" w:rsidRPr="005C4459">
        <w:rPr>
          <w:rFonts w:ascii="Cambria" w:hAnsi="Cambria"/>
        </w:rPr>
        <w:t xml:space="preserve">había </w:t>
      </w:r>
      <w:r w:rsidR="00354188" w:rsidRPr="005C4459">
        <w:rPr>
          <w:rFonts w:ascii="Cambria" w:hAnsi="Cambria"/>
        </w:rPr>
        <w:t>sido dic</w:t>
      </w:r>
      <w:r w:rsidR="005202BB" w:rsidRPr="005C4459">
        <w:rPr>
          <w:rFonts w:ascii="Cambria" w:hAnsi="Cambria"/>
        </w:rPr>
        <w:t>t</w:t>
      </w:r>
      <w:r w:rsidR="00354188" w:rsidRPr="005C4459">
        <w:rPr>
          <w:rFonts w:ascii="Cambria" w:hAnsi="Cambria"/>
        </w:rPr>
        <w:t>ad</w:t>
      </w:r>
      <w:r w:rsidR="005202BB" w:rsidRPr="005C4459">
        <w:rPr>
          <w:rFonts w:ascii="Cambria" w:hAnsi="Cambria"/>
        </w:rPr>
        <w:t>o por un tribunal colegiado y por lo tanto no era apelable.</w:t>
      </w:r>
      <w:r w:rsidR="00354188" w:rsidRPr="005C4459">
        <w:rPr>
          <w:rFonts w:ascii="Cambria" w:hAnsi="Cambria"/>
        </w:rPr>
        <w:t xml:space="preserve"> </w:t>
      </w:r>
      <w:r w:rsidR="006E43E9">
        <w:rPr>
          <w:rFonts w:ascii="Cambria" w:hAnsi="Cambria"/>
        </w:rPr>
        <w:t>Se</w:t>
      </w:r>
      <w:proofErr w:type="spellStart"/>
      <w:r w:rsidR="006E43E9">
        <w:rPr>
          <w:rFonts w:ascii="Cambria" w:hAnsi="Cambria"/>
          <w:lang w:val="es-CO"/>
        </w:rPr>
        <w:t>ñaló</w:t>
      </w:r>
      <w:proofErr w:type="spellEnd"/>
      <w:r w:rsidR="006E43E9">
        <w:rPr>
          <w:rFonts w:ascii="Cambria" w:hAnsi="Cambria"/>
          <w:lang w:val="es-CO"/>
        </w:rPr>
        <w:t xml:space="preserve"> que </w:t>
      </w:r>
      <w:r w:rsidR="00F752CE">
        <w:rPr>
          <w:rFonts w:ascii="Cambria" w:hAnsi="Cambria"/>
        </w:rPr>
        <w:t>a</w:t>
      </w:r>
      <w:r w:rsidR="00354188" w:rsidRPr="005C4459">
        <w:rPr>
          <w:rFonts w:ascii="Cambria" w:hAnsi="Cambria"/>
        </w:rPr>
        <w:t>nte</w:t>
      </w:r>
      <w:r w:rsidR="001D30E7" w:rsidRPr="005C4459">
        <w:rPr>
          <w:rFonts w:ascii="Cambria" w:hAnsi="Cambria"/>
        </w:rPr>
        <w:t xml:space="preserve"> </w:t>
      </w:r>
      <w:r w:rsidR="00354188" w:rsidRPr="005C4459">
        <w:rPr>
          <w:rFonts w:ascii="Cambria" w:hAnsi="Cambria"/>
        </w:rPr>
        <w:t xml:space="preserve">dicha negativa, el 8 de julio de 1999 presentaron un recurso de amparo que fue denegado por la Corte </w:t>
      </w:r>
      <w:r w:rsidR="00C415C3" w:rsidRPr="005C4459">
        <w:rPr>
          <w:rFonts w:ascii="Cambria" w:hAnsi="Cambria"/>
        </w:rPr>
        <w:t>de C</w:t>
      </w:r>
      <w:r w:rsidR="00354188" w:rsidRPr="005C4459">
        <w:rPr>
          <w:rFonts w:ascii="Cambria" w:hAnsi="Cambria"/>
        </w:rPr>
        <w:t xml:space="preserve">onstitucionalidad. </w:t>
      </w:r>
      <w:r w:rsidR="007A73F5" w:rsidRPr="005C4459">
        <w:rPr>
          <w:rFonts w:ascii="Cambria" w:hAnsi="Cambria"/>
        </w:rPr>
        <w:t xml:space="preserve">El </w:t>
      </w:r>
      <w:r w:rsidR="00354188" w:rsidRPr="005C4459">
        <w:rPr>
          <w:rFonts w:ascii="Cambria" w:hAnsi="Cambria"/>
        </w:rPr>
        <w:t>23 de agosto de 1999 qued</w:t>
      </w:r>
      <w:r w:rsidR="007A73F5" w:rsidRPr="005C4459">
        <w:rPr>
          <w:rFonts w:ascii="Cambria" w:hAnsi="Cambria"/>
        </w:rPr>
        <w:t>ó</w:t>
      </w:r>
      <w:r w:rsidR="00354188" w:rsidRPr="005C4459">
        <w:rPr>
          <w:rFonts w:ascii="Cambria" w:hAnsi="Cambria"/>
        </w:rPr>
        <w:t xml:space="preserve"> firme la sentencia que </w:t>
      </w:r>
      <w:r w:rsidR="007A73F5" w:rsidRPr="005C4459">
        <w:rPr>
          <w:rFonts w:ascii="Cambria" w:hAnsi="Cambria"/>
        </w:rPr>
        <w:t xml:space="preserve">declaró la ilegalidad de la huelga. </w:t>
      </w:r>
    </w:p>
    <w:p w:rsidR="005C4459" w:rsidRPr="005C4459" w:rsidRDefault="005C4459" w:rsidP="00B54921">
      <w:pPr>
        <w:pStyle w:val="ListParagraph"/>
        <w:tabs>
          <w:tab w:val="left" w:pos="720"/>
        </w:tabs>
        <w:rPr>
          <w:lang w:val="es-VE"/>
        </w:rPr>
      </w:pPr>
    </w:p>
    <w:p w:rsidR="005C4459" w:rsidRPr="001361E8" w:rsidRDefault="007A73F5" w:rsidP="001361E8">
      <w:pPr>
        <w:pStyle w:val="parrafos"/>
        <w:numPr>
          <w:ilvl w:val="0"/>
          <w:numId w:val="56"/>
        </w:numPr>
        <w:tabs>
          <w:tab w:val="left" w:pos="720"/>
        </w:tabs>
        <w:ind w:left="0" w:firstLine="0"/>
        <w:rPr>
          <w:rFonts w:cs="Arial"/>
        </w:rPr>
      </w:pPr>
      <w:r w:rsidRPr="005C4459">
        <w:rPr>
          <w:rFonts w:ascii="Cambria" w:hAnsi="Cambria"/>
        </w:rPr>
        <w:t>Refirió que el 1 de septiembre de 1999 la CSJ procedió a ejecutar los despidos de 508 trabajadores</w:t>
      </w:r>
      <w:r w:rsidR="00142709" w:rsidRPr="005C4459">
        <w:rPr>
          <w:rFonts w:ascii="Cambria" w:hAnsi="Cambria"/>
        </w:rPr>
        <w:t>. Alegó que entre</w:t>
      </w:r>
      <w:r w:rsidR="003A7F77" w:rsidRPr="005C4459">
        <w:rPr>
          <w:rFonts w:ascii="Cambria" w:hAnsi="Cambria"/>
        </w:rPr>
        <w:t xml:space="preserve"> ellos se encontraban miembros</w:t>
      </w:r>
      <w:r w:rsidR="00BA41C3" w:rsidRPr="005C4459">
        <w:rPr>
          <w:rFonts w:ascii="Cambria" w:hAnsi="Cambria"/>
        </w:rPr>
        <w:t xml:space="preserve"> que gozaban del principio de inmovilidad por formar</w:t>
      </w:r>
      <w:r w:rsidR="00C66564" w:rsidRPr="005C4459">
        <w:rPr>
          <w:rFonts w:ascii="Cambria" w:hAnsi="Cambria"/>
        </w:rPr>
        <w:t xml:space="preserve"> </w:t>
      </w:r>
      <w:r w:rsidR="00BA41C3" w:rsidRPr="005C4459">
        <w:rPr>
          <w:rFonts w:ascii="Cambria" w:hAnsi="Cambria"/>
        </w:rPr>
        <w:t>parte</w:t>
      </w:r>
      <w:r w:rsidR="00C66564" w:rsidRPr="005C4459">
        <w:rPr>
          <w:rFonts w:ascii="Cambria" w:hAnsi="Cambria"/>
        </w:rPr>
        <w:t xml:space="preserve"> </w:t>
      </w:r>
      <w:r w:rsidR="003A7F77" w:rsidRPr="005C4459">
        <w:rPr>
          <w:rFonts w:ascii="Cambria" w:hAnsi="Cambria"/>
        </w:rPr>
        <w:t xml:space="preserve">del </w:t>
      </w:r>
      <w:r w:rsidR="00BA41C3" w:rsidRPr="005C4459">
        <w:rPr>
          <w:rFonts w:ascii="Cambria" w:hAnsi="Cambria"/>
        </w:rPr>
        <w:t>C</w:t>
      </w:r>
      <w:r w:rsidR="003A7F77" w:rsidRPr="005C4459">
        <w:rPr>
          <w:rFonts w:ascii="Cambria" w:hAnsi="Cambria"/>
        </w:rPr>
        <w:t xml:space="preserve">omité </w:t>
      </w:r>
      <w:r w:rsidR="00BA41C3" w:rsidRPr="005C4459">
        <w:rPr>
          <w:rFonts w:ascii="Cambria" w:hAnsi="Cambria"/>
        </w:rPr>
        <w:t>E</w:t>
      </w:r>
      <w:r w:rsidR="003A7F77" w:rsidRPr="005C4459">
        <w:rPr>
          <w:rFonts w:ascii="Cambria" w:hAnsi="Cambria"/>
        </w:rPr>
        <w:t xml:space="preserve">jecutivo </w:t>
      </w:r>
      <w:r w:rsidR="00BA41C3" w:rsidRPr="005C4459">
        <w:rPr>
          <w:rFonts w:ascii="Cambria" w:hAnsi="Cambria"/>
        </w:rPr>
        <w:t>y del C</w:t>
      </w:r>
      <w:r w:rsidR="003A7F77" w:rsidRPr="005C4459">
        <w:rPr>
          <w:rFonts w:ascii="Cambria" w:hAnsi="Cambria"/>
        </w:rPr>
        <w:t xml:space="preserve">onsejo </w:t>
      </w:r>
      <w:r w:rsidR="00BA41C3" w:rsidRPr="005C4459">
        <w:rPr>
          <w:rFonts w:ascii="Cambria" w:hAnsi="Cambria"/>
        </w:rPr>
        <w:t>C</w:t>
      </w:r>
      <w:r w:rsidR="003A7F77" w:rsidRPr="005C4459">
        <w:rPr>
          <w:rFonts w:ascii="Cambria" w:hAnsi="Cambria"/>
        </w:rPr>
        <w:t xml:space="preserve">onsultivo </w:t>
      </w:r>
      <w:r w:rsidR="00BA41C3" w:rsidRPr="005C4459">
        <w:rPr>
          <w:rFonts w:ascii="Cambria" w:hAnsi="Cambria"/>
        </w:rPr>
        <w:t>del sindicato</w:t>
      </w:r>
      <w:r w:rsidRPr="005C4459">
        <w:rPr>
          <w:rFonts w:ascii="Cambria" w:hAnsi="Cambria"/>
        </w:rPr>
        <w:t>.</w:t>
      </w:r>
      <w:r w:rsidR="00FC73BC" w:rsidRPr="005C4459">
        <w:rPr>
          <w:rFonts w:ascii="Cambria" w:hAnsi="Cambria"/>
        </w:rPr>
        <w:t xml:space="preserve"> Expresó que dentro de las personas destituidas se encontraban trabajadores que no participaron en la huelga. </w:t>
      </w:r>
      <w:r w:rsidRPr="001361E8">
        <w:rPr>
          <w:rFonts w:ascii="Cambria" w:hAnsi="Cambria"/>
        </w:rPr>
        <w:t xml:space="preserve">Indicó que el 24 de septiembre de 1999 presentaron un recurso de amparo ante la Corte de Constitucionalidad, el cual se denegó el 29 de febrero de 2000. </w:t>
      </w:r>
    </w:p>
    <w:p w:rsidR="005C4459" w:rsidRPr="005C4459" w:rsidRDefault="005C4459" w:rsidP="00B54921">
      <w:pPr>
        <w:pStyle w:val="parrafos"/>
        <w:tabs>
          <w:tab w:val="left" w:pos="720"/>
        </w:tabs>
        <w:rPr>
          <w:rFonts w:cs="Arial"/>
        </w:rPr>
      </w:pPr>
    </w:p>
    <w:p w:rsidR="005C4459" w:rsidRPr="005C4459" w:rsidRDefault="00311850" w:rsidP="00B54921">
      <w:pPr>
        <w:pStyle w:val="parrafos"/>
        <w:numPr>
          <w:ilvl w:val="0"/>
          <w:numId w:val="56"/>
        </w:numPr>
        <w:tabs>
          <w:tab w:val="left" w:pos="720"/>
        </w:tabs>
        <w:ind w:left="0" w:firstLine="0"/>
        <w:rPr>
          <w:rFonts w:cs="Arial"/>
        </w:rPr>
      </w:pPr>
      <w:r w:rsidRPr="005C4459">
        <w:rPr>
          <w:rFonts w:ascii="Cambria" w:hAnsi="Cambria"/>
        </w:rPr>
        <w:t>Expresó</w:t>
      </w:r>
      <w:r w:rsidR="007A73F5" w:rsidRPr="005C4459">
        <w:rPr>
          <w:rFonts w:ascii="Cambria" w:hAnsi="Cambria"/>
        </w:rPr>
        <w:t xml:space="preserve"> que </w:t>
      </w:r>
      <w:r w:rsidR="00497693" w:rsidRPr="005C4459">
        <w:rPr>
          <w:rFonts w:ascii="Cambria" w:hAnsi="Cambria"/>
        </w:rPr>
        <w:t xml:space="preserve">tras una serie de protestas, en noviembre de 1999 </w:t>
      </w:r>
      <w:r w:rsidR="007A73F5" w:rsidRPr="005C4459">
        <w:rPr>
          <w:rFonts w:ascii="Cambria" w:hAnsi="Cambria"/>
        </w:rPr>
        <w:t>el Organismo Judicial procedió a reco</w:t>
      </w:r>
      <w:r w:rsidR="00497693" w:rsidRPr="005C4459">
        <w:rPr>
          <w:rFonts w:ascii="Cambria" w:hAnsi="Cambria"/>
        </w:rPr>
        <w:t xml:space="preserve">ntratar a más de 400 ex trabajadores de los 508 que habían sido cesados por supuestamente participar en la huelga. </w:t>
      </w:r>
    </w:p>
    <w:p w:rsidR="005C4459" w:rsidRPr="005C4459" w:rsidRDefault="005C4459" w:rsidP="00B54921">
      <w:pPr>
        <w:pStyle w:val="ListParagraph"/>
        <w:tabs>
          <w:tab w:val="left" w:pos="720"/>
        </w:tabs>
        <w:rPr>
          <w:lang w:val="es-VE"/>
        </w:rPr>
      </w:pPr>
    </w:p>
    <w:p w:rsidR="005C4459" w:rsidRPr="00286B80" w:rsidRDefault="001C63C5" w:rsidP="00286B80">
      <w:pPr>
        <w:pStyle w:val="parrafos"/>
        <w:numPr>
          <w:ilvl w:val="0"/>
          <w:numId w:val="56"/>
        </w:numPr>
        <w:tabs>
          <w:tab w:val="left" w:pos="720"/>
        </w:tabs>
        <w:ind w:left="0" w:firstLine="0"/>
        <w:rPr>
          <w:rFonts w:cs="Arial"/>
        </w:rPr>
      </w:pPr>
      <w:r w:rsidRPr="005C4459">
        <w:t>Aleg</w:t>
      </w:r>
      <w:r w:rsidR="007D6483" w:rsidRPr="005C4459">
        <w:t>ó</w:t>
      </w:r>
      <w:r w:rsidR="00142709" w:rsidRPr="005C4459">
        <w:t xml:space="preserve"> la necesidad de modificar el </w:t>
      </w:r>
      <w:r w:rsidRPr="005C4459">
        <w:t xml:space="preserve">marco normativo laboral con el fin de </w:t>
      </w:r>
      <w:r w:rsidR="00142709" w:rsidRPr="005C4459">
        <w:t>brindar a los trabajadores del Organismo J</w:t>
      </w:r>
      <w:r w:rsidRPr="005C4459">
        <w:t>udicial procedimientos diferentes al resto de los trabajadores</w:t>
      </w:r>
      <w:r w:rsidR="0076428A" w:rsidRPr="005C4459">
        <w:t xml:space="preserve"> del Estado</w:t>
      </w:r>
      <w:r w:rsidR="00142709" w:rsidRPr="005C4459">
        <w:t xml:space="preserve"> ya que en este caso </w:t>
      </w:r>
      <w:r w:rsidRPr="005C4459">
        <w:t>el juzgador y el empleador son la misma persona</w:t>
      </w:r>
      <w:r w:rsidR="00DE45B7" w:rsidRPr="005C4459">
        <w:t>.</w:t>
      </w:r>
    </w:p>
    <w:p w:rsidR="005C4459" w:rsidRPr="005C4459" w:rsidRDefault="003903FC" w:rsidP="00B54921">
      <w:pPr>
        <w:pStyle w:val="parrafos"/>
        <w:numPr>
          <w:ilvl w:val="0"/>
          <w:numId w:val="56"/>
        </w:numPr>
        <w:tabs>
          <w:tab w:val="left" w:pos="720"/>
        </w:tabs>
        <w:ind w:left="0" w:firstLine="0"/>
        <w:rPr>
          <w:rFonts w:cs="Arial"/>
        </w:rPr>
      </w:pPr>
      <w:r w:rsidRPr="005C4459">
        <w:t>En cuanto al derecho, la parte peticionaria argumentó que el Estado violó</w:t>
      </w:r>
      <w:r w:rsidR="00C66564" w:rsidRPr="005C4459">
        <w:t xml:space="preserve"> </w:t>
      </w:r>
      <w:r w:rsidRPr="005C4459">
        <w:t xml:space="preserve">sus derechos a las </w:t>
      </w:r>
      <w:r w:rsidRPr="005C4459">
        <w:rPr>
          <w:b/>
        </w:rPr>
        <w:t>garantías judiciales</w:t>
      </w:r>
      <w:r w:rsidRPr="005C4459">
        <w:t xml:space="preserve"> y </w:t>
      </w:r>
      <w:r w:rsidRPr="005C4459">
        <w:rPr>
          <w:b/>
        </w:rPr>
        <w:t>protección judicial</w:t>
      </w:r>
      <w:r w:rsidRPr="005C4459">
        <w:t xml:space="preserve">, así como </w:t>
      </w:r>
      <w:r w:rsidR="005C298D" w:rsidRPr="005C4459">
        <w:t>los</w:t>
      </w:r>
      <w:r w:rsidRPr="005C4459">
        <w:t xml:space="preserve"> derecho</w:t>
      </w:r>
      <w:r w:rsidR="005C298D" w:rsidRPr="005C4459">
        <w:t>s</w:t>
      </w:r>
      <w:r w:rsidRPr="005C4459">
        <w:t xml:space="preserve"> de </w:t>
      </w:r>
      <w:r w:rsidRPr="005C4459">
        <w:rPr>
          <w:b/>
        </w:rPr>
        <w:t>libertad de asociación</w:t>
      </w:r>
      <w:r w:rsidRPr="005C4459">
        <w:t xml:space="preserve"> e </w:t>
      </w:r>
      <w:r w:rsidRPr="005C4459">
        <w:rPr>
          <w:b/>
        </w:rPr>
        <w:t>igualdad</w:t>
      </w:r>
      <w:r w:rsidR="00142709" w:rsidRPr="005C4459">
        <w:t xml:space="preserve"> </w:t>
      </w:r>
      <w:r w:rsidR="00142709" w:rsidRPr="005C4459">
        <w:rPr>
          <w:b/>
        </w:rPr>
        <w:t>ante la ley</w:t>
      </w:r>
      <w:r w:rsidR="00BA6F38" w:rsidRPr="005C4459">
        <w:t>.</w:t>
      </w:r>
    </w:p>
    <w:p w:rsidR="005C4459" w:rsidRPr="005C4459" w:rsidRDefault="005C4459" w:rsidP="00B54921">
      <w:pPr>
        <w:pStyle w:val="ListParagraph"/>
        <w:tabs>
          <w:tab w:val="left" w:pos="720"/>
        </w:tabs>
        <w:rPr>
          <w:lang w:val="es-VE"/>
        </w:rPr>
      </w:pPr>
    </w:p>
    <w:p w:rsidR="005C4459" w:rsidRPr="005C4459" w:rsidRDefault="003903FC" w:rsidP="00B54921">
      <w:pPr>
        <w:pStyle w:val="parrafos"/>
        <w:numPr>
          <w:ilvl w:val="0"/>
          <w:numId w:val="56"/>
        </w:numPr>
        <w:tabs>
          <w:tab w:val="left" w:pos="720"/>
        </w:tabs>
        <w:ind w:left="0" w:firstLine="0"/>
        <w:rPr>
          <w:rFonts w:cs="Arial"/>
        </w:rPr>
      </w:pPr>
      <w:r w:rsidRPr="005C4459">
        <w:t xml:space="preserve">En cuanto a las </w:t>
      </w:r>
      <w:r w:rsidR="00A569D3" w:rsidRPr="005C4459">
        <w:rPr>
          <w:b/>
        </w:rPr>
        <w:t>garantías judiciale</w:t>
      </w:r>
      <w:r w:rsidRPr="005C4459">
        <w:rPr>
          <w:b/>
        </w:rPr>
        <w:t>s</w:t>
      </w:r>
      <w:r w:rsidR="00F466EC" w:rsidRPr="005C4459">
        <w:t xml:space="preserve">, </w:t>
      </w:r>
      <w:r w:rsidR="00A569D3" w:rsidRPr="005C4459">
        <w:t xml:space="preserve">alegó </w:t>
      </w:r>
      <w:r w:rsidR="00F466EC" w:rsidRPr="005C4459">
        <w:t xml:space="preserve">que se violaron las garantías de independencia e imparcialidad porque la CSJ actuó como juez y parte, ya que era una de las partes del conflicto, </w:t>
      </w:r>
      <w:r w:rsidR="00DE45B7" w:rsidRPr="005C4459">
        <w:t xml:space="preserve">y sin embargo </w:t>
      </w:r>
      <w:r w:rsidR="00142709" w:rsidRPr="005C4459">
        <w:t>decidió</w:t>
      </w:r>
      <w:r w:rsidR="00F466EC" w:rsidRPr="005C4459">
        <w:t xml:space="preserve"> </w:t>
      </w:r>
      <w:r w:rsidR="003F4C8A" w:rsidRPr="005C4459">
        <w:t>sobre</w:t>
      </w:r>
      <w:r w:rsidR="00CE70B1" w:rsidRPr="005C4459">
        <w:t xml:space="preserve"> ciertos</w:t>
      </w:r>
      <w:r w:rsidR="00BA41C3" w:rsidRPr="005C4459">
        <w:t xml:space="preserve"> recursos presentados </w:t>
      </w:r>
      <w:r w:rsidR="0080121F" w:rsidRPr="005C4459">
        <w:t xml:space="preserve">en </w:t>
      </w:r>
      <w:r w:rsidR="00CE70B1" w:rsidRPr="005C4459">
        <w:t>relación al conflicto.</w:t>
      </w:r>
      <w:r w:rsidR="002271CF" w:rsidRPr="005C4459">
        <w:t xml:space="preserve"> </w:t>
      </w:r>
      <w:r w:rsidR="002560ED" w:rsidRPr="005C4459">
        <w:t>Añadió que</w:t>
      </w:r>
      <w:r w:rsidR="003F4C8A" w:rsidRPr="005C4459">
        <w:t xml:space="preserve"> adicionalmente, la CSJ obró de manera arbitraria al elaborar los listados de los trabajadores que participaron en la huelga,</w:t>
      </w:r>
      <w:r w:rsidR="00C66564" w:rsidRPr="005C4459">
        <w:t xml:space="preserve"> </w:t>
      </w:r>
      <w:r w:rsidR="003F4C8A" w:rsidRPr="005C4459">
        <w:t xml:space="preserve">sin depurar adecuadamente </w:t>
      </w:r>
      <w:r w:rsidR="0076428A" w:rsidRPr="005C4459">
        <w:t>a aquellos</w:t>
      </w:r>
      <w:r w:rsidR="003F4C8A" w:rsidRPr="005C4459">
        <w:t xml:space="preserve"> que participaron en la huelga, de los que no participaron.</w:t>
      </w:r>
      <w:r w:rsidR="00C66564" w:rsidRPr="005C4459">
        <w:t xml:space="preserve"> </w:t>
      </w:r>
    </w:p>
    <w:p w:rsidR="005C4459" w:rsidRDefault="005C4459" w:rsidP="00B54921">
      <w:pPr>
        <w:pStyle w:val="ListParagraph"/>
        <w:tabs>
          <w:tab w:val="left" w:pos="720"/>
        </w:tabs>
        <w:rPr>
          <w:lang w:val="es-AR"/>
        </w:rPr>
      </w:pPr>
    </w:p>
    <w:p w:rsidR="005C4459" w:rsidRPr="005C4459" w:rsidRDefault="00A569D3" w:rsidP="00B54921">
      <w:pPr>
        <w:pStyle w:val="parrafos"/>
        <w:numPr>
          <w:ilvl w:val="0"/>
          <w:numId w:val="56"/>
        </w:numPr>
        <w:tabs>
          <w:tab w:val="left" w:pos="720"/>
        </w:tabs>
        <w:ind w:left="0" w:firstLine="0"/>
        <w:rPr>
          <w:rFonts w:cs="Arial"/>
        </w:rPr>
      </w:pPr>
      <w:r w:rsidRPr="005C4459">
        <w:rPr>
          <w:lang w:val="es-AR"/>
        </w:rPr>
        <w:t>Además, argumentó que se violaron dichos derechos porque</w:t>
      </w:r>
      <w:r w:rsidRPr="005C4459">
        <w:t xml:space="preserve"> </w:t>
      </w:r>
      <w:r w:rsidR="003A37E6" w:rsidRPr="005C4459">
        <w:t>el Estado aplicó retroactivamente el Decreto 35-96 el cu</w:t>
      </w:r>
      <w:r w:rsidR="00FC73BC" w:rsidRPr="005C4459">
        <w:t>al reformó el artículo 4 de la L</w:t>
      </w:r>
      <w:r w:rsidR="003A37E6" w:rsidRPr="005C4459">
        <w:t xml:space="preserve">ey de Sindicalización y Regulación de Huelga para trabajadores del Estado incluyendo en la definición de servicios públicos esenciales a la Administración de Justicia y sus instituciones auxiliares. </w:t>
      </w:r>
      <w:r w:rsidR="001361E8">
        <w:t>Indicó que e</w:t>
      </w:r>
      <w:r w:rsidR="003A37E6" w:rsidRPr="005C4459">
        <w:t xml:space="preserve">l decreto fue publicado el 27 de </w:t>
      </w:r>
      <w:r w:rsidR="00355891">
        <w:t>m</w:t>
      </w:r>
      <w:r w:rsidR="003A37E6" w:rsidRPr="005C4459">
        <w:t>ayo del 1996 y el mismo fue aplicado a la huelga iniciada el 19 de marzo y finalizada el 2 de abril del mismo año.</w:t>
      </w:r>
    </w:p>
    <w:p w:rsidR="005C4459" w:rsidRDefault="005C4459" w:rsidP="00B54921">
      <w:pPr>
        <w:pStyle w:val="ListParagraph"/>
        <w:tabs>
          <w:tab w:val="left" w:pos="720"/>
        </w:tabs>
        <w:rPr>
          <w:bdr w:val="none" w:sz="0" w:space="0" w:color="auto" w:frame="1"/>
          <w:lang w:val="es-AR"/>
        </w:rPr>
      </w:pPr>
    </w:p>
    <w:p w:rsidR="005C4459" w:rsidRPr="005C4459" w:rsidRDefault="00BA6F38" w:rsidP="00B54921">
      <w:pPr>
        <w:pStyle w:val="parrafos"/>
        <w:numPr>
          <w:ilvl w:val="0"/>
          <w:numId w:val="56"/>
        </w:numPr>
        <w:tabs>
          <w:tab w:val="left" w:pos="720"/>
        </w:tabs>
        <w:ind w:left="0" w:firstLine="0"/>
        <w:rPr>
          <w:rFonts w:cs="Arial"/>
        </w:rPr>
      </w:pPr>
      <w:r w:rsidRPr="005C4459">
        <w:rPr>
          <w:bdr w:val="none" w:sz="0" w:space="0" w:color="auto" w:frame="1"/>
          <w:lang w:val="es-AR"/>
        </w:rPr>
        <w:t xml:space="preserve">Argumentó que se violó el </w:t>
      </w:r>
      <w:r w:rsidRPr="005C4459">
        <w:rPr>
          <w:b/>
          <w:bdr w:val="none" w:sz="0" w:space="0" w:color="auto" w:frame="1"/>
          <w:lang w:val="es-AR"/>
        </w:rPr>
        <w:t>deber de motivación</w:t>
      </w:r>
      <w:r w:rsidRPr="005C4459">
        <w:rPr>
          <w:bdr w:val="none" w:sz="0" w:space="0" w:color="auto" w:frame="1"/>
          <w:lang w:val="es-AR"/>
        </w:rPr>
        <w:t xml:space="preserve"> porque 72 trabajadores presentaron recursos de reconsideración frente a su despido, y 14 trabajadores otros recursos como juicios ordinarios laborales de reinstalación o amparos y todos fueron rechazados sin indicar adecuadamente las razones de la denegatoria.</w:t>
      </w:r>
    </w:p>
    <w:p w:rsidR="005C4459" w:rsidRPr="005C4459" w:rsidRDefault="005C4459" w:rsidP="00B54921">
      <w:pPr>
        <w:pStyle w:val="ListParagraph"/>
        <w:tabs>
          <w:tab w:val="left" w:pos="720"/>
        </w:tabs>
        <w:rPr>
          <w:lang w:val="es-VE"/>
        </w:rPr>
      </w:pPr>
    </w:p>
    <w:p w:rsidR="005C4459" w:rsidRPr="005C4459" w:rsidRDefault="00A569D3" w:rsidP="00B54921">
      <w:pPr>
        <w:pStyle w:val="parrafos"/>
        <w:numPr>
          <w:ilvl w:val="0"/>
          <w:numId w:val="56"/>
        </w:numPr>
        <w:tabs>
          <w:tab w:val="left" w:pos="720"/>
        </w:tabs>
        <w:ind w:left="0" w:firstLine="0"/>
        <w:rPr>
          <w:rFonts w:cs="Arial"/>
        </w:rPr>
      </w:pPr>
      <w:r w:rsidRPr="005C4459">
        <w:t xml:space="preserve">Refirió que el Estado violó el </w:t>
      </w:r>
      <w:r w:rsidRPr="005C4459">
        <w:rPr>
          <w:b/>
        </w:rPr>
        <w:t xml:space="preserve">derecho a la protección judicial </w:t>
      </w:r>
      <w:r w:rsidRPr="005C4459">
        <w:t xml:space="preserve">al no brindar un recurso rápido y eficaz para la protección de sus derechos ante un tribunal independiente e imparcial. </w:t>
      </w:r>
    </w:p>
    <w:p w:rsidR="005C4459" w:rsidRPr="005C4459" w:rsidRDefault="005C4459" w:rsidP="00B54921">
      <w:pPr>
        <w:pStyle w:val="ListParagraph"/>
        <w:tabs>
          <w:tab w:val="left" w:pos="720"/>
        </w:tabs>
        <w:rPr>
          <w:lang w:val="es-VE"/>
        </w:rPr>
      </w:pPr>
    </w:p>
    <w:p w:rsidR="004007F8" w:rsidRPr="005C4459" w:rsidRDefault="00A569D3" w:rsidP="00B54921">
      <w:pPr>
        <w:pStyle w:val="parrafos"/>
        <w:numPr>
          <w:ilvl w:val="0"/>
          <w:numId w:val="56"/>
        </w:numPr>
        <w:tabs>
          <w:tab w:val="left" w:pos="720"/>
        </w:tabs>
        <w:ind w:left="0" w:firstLine="0"/>
        <w:rPr>
          <w:rFonts w:cs="Arial"/>
        </w:rPr>
      </w:pPr>
      <w:r w:rsidRPr="005C4459">
        <w:t>Expresó</w:t>
      </w:r>
      <w:r w:rsidR="005C298D" w:rsidRPr="005C4459">
        <w:t xml:space="preserve"> que el Estado violó sus derechos a la </w:t>
      </w:r>
      <w:r w:rsidR="005C298D" w:rsidRPr="005C4459">
        <w:rPr>
          <w:b/>
        </w:rPr>
        <w:t>libertad de asociación e igualdad ante la ley</w:t>
      </w:r>
      <w:r w:rsidR="00990966" w:rsidRPr="005C4459">
        <w:t xml:space="preserve">. Refirió al respecto que el Estado violó el derecho a la inmovilidad laboral </w:t>
      </w:r>
      <w:r w:rsidR="00F87FE9" w:rsidRPr="005C4459">
        <w:t>que gozaban los miembros del Comité Ejecutivo y del Consejo Consultivo del Sindicato.</w:t>
      </w:r>
      <w:r w:rsidR="004007F8" w:rsidRPr="005C4459">
        <w:t xml:space="preserve"> Añadi</w:t>
      </w:r>
      <w:r w:rsidR="00667AA6" w:rsidRPr="005C4459">
        <w:t>ó</w:t>
      </w:r>
      <w:r w:rsidR="004007F8" w:rsidRPr="005C4459">
        <w:t xml:space="preserve"> que </w:t>
      </w:r>
      <w:r w:rsidR="00667AA6" w:rsidRPr="005C4459">
        <w:t xml:space="preserve">se violó el </w:t>
      </w:r>
      <w:r w:rsidR="00667AA6" w:rsidRPr="005C4459">
        <w:rPr>
          <w:b/>
        </w:rPr>
        <w:t>principio de igualdad</w:t>
      </w:r>
      <w:r w:rsidR="00667AA6" w:rsidRPr="005C4459">
        <w:t xml:space="preserve"> porque los dirigentes del sindicato sufrieron discriminación ya que ninguno de ellos fue recontratado y los miembros del S</w:t>
      </w:r>
      <w:r w:rsidR="006C2EB7" w:rsidRPr="005C4459">
        <w:t>indicato</w:t>
      </w:r>
      <w:r w:rsidR="00667AA6" w:rsidRPr="005C4459">
        <w:t xml:space="preserve"> que si fueron recontratados han sufrido estigmatizaciones. </w:t>
      </w:r>
    </w:p>
    <w:p w:rsidR="00B03B9D" w:rsidRPr="00A569D3" w:rsidRDefault="00B03B9D" w:rsidP="00B54921">
      <w:pPr>
        <w:tabs>
          <w:tab w:val="left" w:pos="720"/>
        </w:tabs>
        <w:rPr>
          <w:color w:val="000000" w:themeColor="text1"/>
          <w:sz w:val="20"/>
          <w:szCs w:val="20"/>
          <w:lang w:val="es-VE"/>
        </w:rPr>
      </w:pPr>
    </w:p>
    <w:p w:rsidR="00B03B9D" w:rsidRPr="00AE2141" w:rsidRDefault="00B03B9D" w:rsidP="00B54921">
      <w:pPr>
        <w:pStyle w:val="Heading2"/>
        <w:numPr>
          <w:ilvl w:val="0"/>
          <w:numId w:val="58"/>
        </w:numPr>
        <w:tabs>
          <w:tab w:val="left" w:pos="720"/>
        </w:tabs>
        <w:ind w:left="360"/>
      </w:pPr>
      <w:bookmarkStart w:id="6" w:name="_Toc14884435"/>
      <w:r w:rsidRPr="00AE2141">
        <w:t>Estado</w:t>
      </w:r>
      <w:bookmarkEnd w:id="6"/>
    </w:p>
    <w:p w:rsidR="00DF7DB4" w:rsidRDefault="00DF7DB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5C4459" w:rsidRDefault="00535FDD" w:rsidP="00B54921">
      <w:pPr>
        <w:pStyle w:val="parrafos"/>
        <w:numPr>
          <w:ilvl w:val="0"/>
          <w:numId w:val="56"/>
        </w:numPr>
        <w:tabs>
          <w:tab w:val="left" w:pos="720"/>
        </w:tabs>
        <w:ind w:left="0" w:firstLine="0"/>
        <w:rPr>
          <w:rFonts w:ascii="Cambria" w:hAnsi="Cambria"/>
        </w:rPr>
      </w:pPr>
      <w:r>
        <w:rPr>
          <w:rFonts w:ascii="Cambria" w:hAnsi="Cambria"/>
        </w:rPr>
        <w:t xml:space="preserve">El Estado de Guatemala </w:t>
      </w:r>
      <w:r w:rsidR="00FF7789">
        <w:rPr>
          <w:rFonts w:ascii="Cambria" w:hAnsi="Cambria"/>
        </w:rPr>
        <w:t xml:space="preserve">argumentó que no se violaron ninguno de los derechos aludidos por la parte </w:t>
      </w:r>
      <w:r w:rsidR="00FF7789" w:rsidRPr="005C4459">
        <w:t>peticionaria</w:t>
      </w:r>
      <w:r w:rsidR="00FF7789">
        <w:rPr>
          <w:rFonts w:ascii="Cambria" w:hAnsi="Cambria"/>
        </w:rPr>
        <w:t xml:space="preserve">, y que las resoluciones judiciales internas cumplieron con los preceptos de la Constitución Nacional y de la Convención Americana. </w:t>
      </w:r>
    </w:p>
    <w:p w:rsidR="005C4459" w:rsidRDefault="005C4459" w:rsidP="00B54921">
      <w:pPr>
        <w:pStyle w:val="parrafos"/>
        <w:tabs>
          <w:tab w:val="left" w:pos="720"/>
        </w:tabs>
        <w:rPr>
          <w:rFonts w:ascii="Cambria" w:hAnsi="Cambria"/>
        </w:rPr>
      </w:pPr>
    </w:p>
    <w:p w:rsidR="005C4459" w:rsidRPr="005C4459" w:rsidRDefault="00BA6F38" w:rsidP="00B54921">
      <w:pPr>
        <w:pStyle w:val="parrafos"/>
        <w:numPr>
          <w:ilvl w:val="0"/>
          <w:numId w:val="56"/>
        </w:numPr>
        <w:tabs>
          <w:tab w:val="left" w:pos="720"/>
        </w:tabs>
        <w:ind w:left="0" w:firstLine="0"/>
        <w:rPr>
          <w:rFonts w:ascii="Cambria" w:hAnsi="Cambria"/>
        </w:rPr>
      </w:pPr>
      <w:r w:rsidRPr="005C4459">
        <w:rPr>
          <w:rFonts w:ascii="Cambria" w:hAnsi="Cambria"/>
        </w:rPr>
        <w:t xml:space="preserve">Con respecto a las </w:t>
      </w:r>
      <w:r w:rsidRPr="005C4459">
        <w:rPr>
          <w:rFonts w:ascii="Cambria" w:hAnsi="Cambria"/>
          <w:b/>
        </w:rPr>
        <w:t>garantías judiciales</w:t>
      </w:r>
      <w:r w:rsidRPr="005C4459">
        <w:rPr>
          <w:rFonts w:ascii="Cambria" w:hAnsi="Cambria"/>
        </w:rPr>
        <w:t>, e</w:t>
      </w:r>
      <w:r w:rsidR="00EB3270" w:rsidRPr="005C4459">
        <w:rPr>
          <w:rFonts w:ascii="Cambria" w:hAnsi="Cambria"/>
        </w:rPr>
        <w:t>specíficamente,</w:t>
      </w:r>
      <w:r w:rsidR="00693395" w:rsidRPr="005C4459">
        <w:rPr>
          <w:rFonts w:ascii="Cambria" w:hAnsi="Cambria"/>
        </w:rPr>
        <w:t xml:space="preserve"> respecto de</w:t>
      </w:r>
      <w:r w:rsidR="004450D2" w:rsidRPr="005C4459">
        <w:rPr>
          <w:rFonts w:ascii="Cambria" w:hAnsi="Cambria"/>
        </w:rPr>
        <w:t xml:space="preserve">l alegato relacionado con la falta de independencia e imparcialidad de la Corte Suprema de Justicia, indicó que esta </w:t>
      </w:r>
      <w:r w:rsidR="00C93010" w:rsidRPr="005C4459">
        <w:rPr>
          <w:rFonts w:ascii="Cambria" w:hAnsi="Cambria"/>
        </w:rPr>
        <w:t>no actuó como juez y parte.</w:t>
      </w:r>
      <w:r w:rsidR="00C66564" w:rsidRPr="005C4459">
        <w:rPr>
          <w:rFonts w:ascii="Cambria" w:hAnsi="Cambria"/>
        </w:rPr>
        <w:t xml:space="preserve"> </w:t>
      </w:r>
      <w:r w:rsidR="00C93010" w:rsidRPr="005C4459">
        <w:rPr>
          <w:rFonts w:ascii="Cambria" w:hAnsi="Cambria"/>
        </w:rPr>
        <w:t xml:space="preserve">Manifestó al respecto que </w:t>
      </w:r>
      <w:r w:rsidR="00693395" w:rsidRPr="005C4459">
        <w:rPr>
          <w:rFonts w:ascii="Cambria" w:hAnsi="Cambria"/>
          <w:lang w:val="es-CO"/>
        </w:rPr>
        <w:t>fueron</w:t>
      </w:r>
      <w:r w:rsidR="008537E5" w:rsidRPr="005C4459">
        <w:rPr>
          <w:rFonts w:ascii="Cambria" w:hAnsi="Cambria"/>
        </w:rPr>
        <w:t xml:space="preserve"> </w:t>
      </w:r>
      <w:r w:rsidR="00B60252" w:rsidRPr="005C4459">
        <w:rPr>
          <w:rFonts w:ascii="Cambria" w:hAnsi="Cambria"/>
        </w:rPr>
        <w:t xml:space="preserve">los mismos jueces de la Corte Suprema </w:t>
      </w:r>
      <w:r w:rsidR="00693395" w:rsidRPr="005C4459">
        <w:rPr>
          <w:rFonts w:ascii="Cambria" w:hAnsi="Cambria"/>
        </w:rPr>
        <w:t xml:space="preserve">quienes </w:t>
      </w:r>
      <w:r w:rsidR="00B60252" w:rsidRPr="005C4459">
        <w:rPr>
          <w:rFonts w:ascii="Cambria" w:hAnsi="Cambria"/>
        </w:rPr>
        <w:t xml:space="preserve">se </w:t>
      </w:r>
      <w:r w:rsidR="00693395" w:rsidRPr="005C4459">
        <w:rPr>
          <w:rFonts w:ascii="Cambria" w:hAnsi="Cambria"/>
        </w:rPr>
        <w:t xml:space="preserve">excusaron de conocer el proceso, en cumplimiento de la ley nacional. Agregó que </w:t>
      </w:r>
      <w:r w:rsidR="0007740C" w:rsidRPr="005C4459">
        <w:rPr>
          <w:rFonts w:ascii="Cambria" w:hAnsi="Cambria"/>
          <w:lang w:val="es-CO"/>
        </w:rPr>
        <w:t>los Magistrados de la CSJ solo conocieron</w:t>
      </w:r>
      <w:r w:rsidR="001D30E7" w:rsidRPr="005C4459">
        <w:rPr>
          <w:rFonts w:ascii="Cambria" w:hAnsi="Cambria"/>
          <w:lang w:val="es-CO"/>
        </w:rPr>
        <w:t xml:space="preserve"> </w:t>
      </w:r>
      <w:r w:rsidR="0007740C" w:rsidRPr="005C4459">
        <w:rPr>
          <w:rFonts w:ascii="Cambria" w:hAnsi="Cambria"/>
          <w:lang w:val="es-CO"/>
        </w:rPr>
        <w:t>del conflicto en su calidad de representantes de</w:t>
      </w:r>
      <w:r w:rsidR="004450D2" w:rsidRPr="005C4459">
        <w:rPr>
          <w:rFonts w:ascii="Cambria" w:hAnsi="Cambria"/>
          <w:lang w:val="es-CO"/>
        </w:rPr>
        <w:t>l</w:t>
      </w:r>
      <w:r w:rsidR="0007740C" w:rsidRPr="005C4459">
        <w:rPr>
          <w:rFonts w:ascii="Cambria" w:hAnsi="Cambria"/>
          <w:lang w:val="es-CO"/>
        </w:rPr>
        <w:t xml:space="preserve"> patrono-estado al decidir y ejecutar </w:t>
      </w:r>
      <w:r w:rsidRPr="005C4459">
        <w:rPr>
          <w:rFonts w:ascii="Cambria" w:hAnsi="Cambria"/>
          <w:lang w:val="es-CO"/>
        </w:rPr>
        <w:t>el 1 de s</w:t>
      </w:r>
      <w:r w:rsidR="003A37E6" w:rsidRPr="005C4459">
        <w:rPr>
          <w:rFonts w:ascii="Cambria" w:hAnsi="Cambria"/>
          <w:lang w:val="es-CO"/>
        </w:rPr>
        <w:t>eptiembre de 1999</w:t>
      </w:r>
      <w:r w:rsidR="0007740C" w:rsidRPr="005C4459">
        <w:rPr>
          <w:rFonts w:ascii="Cambria" w:hAnsi="Cambria"/>
          <w:lang w:val="es-CO"/>
        </w:rPr>
        <w:t xml:space="preserve"> los despidos autorizados </w:t>
      </w:r>
      <w:r w:rsidRPr="005C4459">
        <w:rPr>
          <w:rFonts w:ascii="Cambria" w:hAnsi="Cambria"/>
          <w:lang w:val="es-CO"/>
        </w:rPr>
        <w:t xml:space="preserve">el </w:t>
      </w:r>
      <w:r w:rsidR="003A37E6" w:rsidRPr="005C4459">
        <w:rPr>
          <w:rFonts w:ascii="Cambria" w:hAnsi="Cambria"/>
          <w:lang w:val="es-CO"/>
        </w:rPr>
        <w:t xml:space="preserve">13 de mayo de 1996 </w:t>
      </w:r>
      <w:r w:rsidR="0007740C" w:rsidRPr="005C4459">
        <w:rPr>
          <w:rFonts w:ascii="Cambria" w:hAnsi="Cambria"/>
          <w:lang w:val="es-CO"/>
        </w:rPr>
        <w:t>por un tribunal imparcial, in</w:t>
      </w:r>
      <w:r w:rsidR="00535FDD" w:rsidRPr="005C4459">
        <w:rPr>
          <w:rFonts w:ascii="Cambria" w:hAnsi="Cambria"/>
          <w:lang w:val="es-CO"/>
        </w:rPr>
        <w:t>dependiente y competente como lo</w:t>
      </w:r>
      <w:r w:rsidR="0007740C" w:rsidRPr="005C4459">
        <w:rPr>
          <w:rFonts w:ascii="Cambria" w:hAnsi="Cambria"/>
          <w:lang w:val="es-CO"/>
        </w:rPr>
        <w:t xml:space="preserve"> fue la Sala Primera de la Corte de Apelaciones de Trabajo y Previsión Social.</w:t>
      </w:r>
    </w:p>
    <w:p w:rsidR="005C4459" w:rsidRPr="005C4459" w:rsidRDefault="005C4459" w:rsidP="00B54921">
      <w:pPr>
        <w:pStyle w:val="ListParagraph"/>
        <w:tabs>
          <w:tab w:val="left" w:pos="720"/>
        </w:tabs>
        <w:rPr>
          <w:lang w:val="es-VE"/>
        </w:rPr>
      </w:pPr>
    </w:p>
    <w:p w:rsidR="005C4459" w:rsidRDefault="00473C3C" w:rsidP="00B54921">
      <w:pPr>
        <w:pStyle w:val="parrafos"/>
        <w:numPr>
          <w:ilvl w:val="0"/>
          <w:numId w:val="56"/>
        </w:numPr>
        <w:tabs>
          <w:tab w:val="left" w:pos="720"/>
        </w:tabs>
        <w:ind w:left="0" w:firstLine="0"/>
        <w:rPr>
          <w:rFonts w:ascii="Cambria" w:hAnsi="Cambria"/>
        </w:rPr>
      </w:pPr>
      <w:r w:rsidRPr="005C4459">
        <w:rPr>
          <w:rFonts w:ascii="Cambria" w:hAnsi="Cambria"/>
        </w:rPr>
        <w:t xml:space="preserve">Argumentó </w:t>
      </w:r>
      <w:r w:rsidR="00BA6F38" w:rsidRPr="005C4459">
        <w:rPr>
          <w:rFonts w:ascii="Cambria" w:hAnsi="Cambria"/>
        </w:rPr>
        <w:t>en relación con el alegato de la parte peticionaria</w:t>
      </w:r>
      <w:r w:rsidR="00E079D2" w:rsidRPr="005C4459">
        <w:rPr>
          <w:rFonts w:ascii="Cambria" w:hAnsi="Cambria"/>
        </w:rPr>
        <w:t xml:space="preserve">, según el cual debía crearse otro tribunal para conocer del conflicto entre los trabajadores del Sindicato y el Organismo Judicial, que crear un fuero especial violaría el principio de igualdad de todo proceso judicial. Refirió que la Constitución nacional establece que </w:t>
      </w:r>
      <w:r w:rsidR="004F569A" w:rsidRPr="005C4459">
        <w:rPr>
          <w:rFonts w:ascii="Cambria" w:hAnsi="Cambria"/>
        </w:rPr>
        <w:t>todos los tribunales comunes conocerán de todas las controversias de derecho privado en las que el Estado, el municipio o cualquier otra entidad descentralizada o autónoma sea parte.</w:t>
      </w:r>
    </w:p>
    <w:p w:rsidR="005C4459" w:rsidRPr="005C4459" w:rsidRDefault="005C4459" w:rsidP="00B54921">
      <w:pPr>
        <w:pStyle w:val="ListParagraph"/>
        <w:tabs>
          <w:tab w:val="left" w:pos="720"/>
        </w:tabs>
        <w:rPr>
          <w:lang w:val="es-VE"/>
        </w:rPr>
      </w:pPr>
    </w:p>
    <w:p w:rsidR="005C4459" w:rsidRDefault="00AB6DF9" w:rsidP="00B54921">
      <w:pPr>
        <w:pStyle w:val="parrafos"/>
        <w:numPr>
          <w:ilvl w:val="0"/>
          <w:numId w:val="56"/>
        </w:numPr>
        <w:tabs>
          <w:tab w:val="left" w:pos="720"/>
        </w:tabs>
        <w:ind w:left="0" w:firstLine="0"/>
        <w:rPr>
          <w:rFonts w:ascii="Cambria" w:hAnsi="Cambria"/>
        </w:rPr>
      </w:pPr>
      <w:r w:rsidRPr="005C4459">
        <w:rPr>
          <w:rFonts w:ascii="Cambria" w:hAnsi="Cambria"/>
        </w:rPr>
        <w:t>A</w:t>
      </w:r>
      <w:r w:rsidR="00D93658" w:rsidRPr="005C4459">
        <w:rPr>
          <w:rFonts w:ascii="Cambria" w:hAnsi="Cambria"/>
        </w:rPr>
        <w:t>ñadió</w:t>
      </w:r>
      <w:r w:rsidRPr="005C4459">
        <w:rPr>
          <w:rFonts w:ascii="Cambria" w:hAnsi="Cambria"/>
        </w:rPr>
        <w:t xml:space="preserve"> </w:t>
      </w:r>
      <w:r w:rsidR="0007740C" w:rsidRPr="005C4459">
        <w:rPr>
          <w:rFonts w:ascii="Cambria" w:hAnsi="Cambria"/>
        </w:rPr>
        <w:t>que</w:t>
      </w:r>
      <w:r w:rsidR="00C66564" w:rsidRPr="005C4459">
        <w:rPr>
          <w:rFonts w:ascii="Cambria" w:hAnsi="Cambria"/>
        </w:rPr>
        <w:t xml:space="preserve"> </w:t>
      </w:r>
      <w:r w:rsidR="00D93658" w:rsidRPr="005C4459">
        <w:rPr>
          <w:rFonts w:ascii="Cambria" w:hAnsi="Cambria"/>
        </w:rPr>
        <w:t xml:space="preserve">fue </w:t>
      </w:r>
      <w:r w:rsidR="00693395" w:rsidRPr="005C4459">
        <w:rPr>
          <w:rFonts w:ascii="Cambria" w:hAnsi="Cambria"/>
        </w:rPr>
        <w:t>la</w:t>
      </w:r>
      <w:r w:rsidR="0007740C" w:rsidRPr="005C4459">
        <w:rPr>
          <w:rFonts w:ascii="Cambria" w:hAnsi="Cambria"/>
        </w:rPr>
        <w:t xml:space="preserve"> Corte </w:t>
      </w:r>
      <w:r w:rsidR="009A53D0">
        <w:rPr>
          <w:rFonts w:ascii="Cambria" w:hAnsi="Cambria"/>
        </w:rPr>
        <w:t xml:space="preserve">de </w:t>
      </w:r>
      <w:r w:rsidR="0007740C" w:rsidRPr="005C4459">
        <w:rPr>
          <w:rFonts w:ascii="Cambria" w:hAnsi="Cambria"/>
        </w:rPr>
        <w:t>Constitucionalidad,</w:t>
      </w:r>
      <w:r w:rsidR="00D93658" w:rsidRPr="005C4459">
        <w:rPr>
          <w:rFonts w:ascii="Cambria" w:hAnsi="Cambria"/>
        </w:rPr>
        <w:t xml:space="preserve"> </w:t>
      </w:r>
      <w:r w:rsidR="00693395" w:rsidRPr="005C4459">
        <w:rPr>
          <w:rFonts w:ascii="Cambria" w:hAnsi="Cambria"/>
        </w:rPr>
        <w:t xml:space="preserve">la </w:t>
      </w:r>
      <w:r w:rsidR="0007740C" w:rsidRPr="005C4459">
        <w:rPr>
          <w:rFonts w:ascii="Cambria" w:hAnsi="Cambria"/>
        </w:rPr>
        <w:t>encargad</w:t>
      </w:r>
      <w:r w:rsidR="00693395" w:rsidRPr="005C4459">
        <w:rPr>
          <w:rFonts w:ascii="Cambria" w:hAnsi="Cambria"/>
        </w:rPr>
        <w:t>a</w:t>
      </w:r>
      <w:r w:rsidR="0007740C" w:rsidRPr="005C4459">
        <w:rPr>
          <w:rFonts w:ascii="Cambria" w:hAnsi="Cambria"/>
        </w:rPr>
        <w:t xml:space="preserve"> de </w:t>
      </w:r>
      <w:r w:rsidR="00693395" w:rsidRPr="005C4459">
        <w:rPr>
          <w:rFonts w:ascii="Cambria" w:hAnsi="Cambria"/>
        </w:rPr>
        <w:t>analizar las violaciones de derechos humanos planteadas por la parte peticionaria, y que dicho órgano es totalmente ajeno al</w:t>
      </w:r>
      <w:r w:rsidR="0007740C" w:rsidRPr="005C4459">
        <w:rPr>
          <w:rFonts w:ascii="Cambria" w:hAnsi="Cambria"/>
        </w:rPr>
        <w:t xml:space="preserve"> Organismo Judicial.</w:t>
      </w:r>
      <w:r w:rsidR="007858FD" w:rsidRPr="005C4459">
        <w:rPr>
          <w:rFonts w:ascii="Cambria" w:hAnsi="Cambria"/>
        </w:rPr>
        <w:t xml:space="preserve"> </w:t>
      </w:r>
      <w:r w:rsidR="00693395" w:rsidRPr="005C4459">
        <w:rPr>
          <w:rFonts w:ascii="Cambria" w:hAnsi="Cambria"/>
        </w:rPr>
        <w:t>Refirió finalmente que</w:t>
      </w:r>
      <w:r w:rsidR="004450D2" w:rsidRPr="005C4459">
        <w:rPr>
          <w:rFonts w:ascii="Cambria" w:hAnsi="Cambria"/>
        </w:rPr>
        <w:t>,</w:t>
      </w:r>
      <w:r w:rsidR="00693395" w:rsidRPr="005C4459">
        <w:rPr>
          <w:rFonts w:ascii="Cambria" w:hAnsi="Cambria"/>
        </w:rPr>
        <w:t xml:space="preserve"> con respecto a la legalidad de </w:t>
      </w:r>
      <w:r w:rsidR="004450D2" w:rsidRPr="005C4459">
        <w:rPr>
          <w:rFonts w:ascii="Cambria" w:hAnsi="Cambria"/>
        </w:rPr>
        <w:t xml:space="preserve">los </w:t>
      </w:r>
      <w:r w:rsidR="00693395" w:rsidRPr="005C4459">
        <w:rPr>
          <w:rFonts w:ascii="Cambria" w:hAnsi="Cambria"/>
        </w:rPr>
        <w:t>despidos es la Corte de Constitucionalidad y no la Corte Suprema de Justicia la que toma la última decisión.</w:t>
      </w:r>
      <w:r w:rsidR="00C66564" w:rsidRPr="005C4459">
        <w:rPr>
          <w:rFonts w:ascii="Cambria" w:hAnsi="Cambria"/>
        </w:rPr>
        <w:t xml:space="preserve"> </w:t>
      </w:r>
    </w:p>
    <w:p w:rsidR="005C4459" w:rsidRPr="005C4459" w:rsidRDefault="005C4459" w:rsidP="00B54921">
      <w:pPr>
        <w:pStyle w:val="ListParagraph"/>
        <w:tabs>
          <w:tab w:val="left" w:pos="720"/>
        </w:tabs>
        <w:rPr>
          <w:lang w:val="es-VE"/>
        </w:rPr>
      </w:pPr>
    </w:p>
    <w:p w:rsidR="005C4459" w:rsidRDefault="004450D2" w:rsidP="00B54921">
      <w:pPr>
        <w:pStyle w:val="parrafos"/>
        <w:numPr>
          <w:ilvl w:val="0"/>
          <w:numId w:val="56"/>
        </w:numPr>
        <w:tabs>
          <w:tab w:val="left" w:pos="720"/>
        </w:tabs>
        <w:ind w:left="0" w:firstLine="0"/>
        <w:rPr>
          <w:rFonts w:ascii="Cambria" w:hAnsi="Cambria"/>
        </w:rPr>
      </w:pPr>
      <w:r w:rsidRPr="005C4459">
        <w:rPr>
          <w:rFonts w:ascii="Cambria" w:hAnsi="Cambria"/>
        </w:rPr>
        <w:lastRenderedPageBreak/>
        <w:t>Por otra parte,</w:t>
      </w:r>
      <w:r w:rsidR="00C66564" w:rsidRPr="005C4459">
        <w:rPr>
          <w:rFonts w:ascii="Cambria" w:hAnsi="Cambria"/>
        </w:rPr>
        <w:t xml:space="preserve"> </w:t>
      </w:r>
      <w:r w:rsidRPr="005C4459">
        <w:rPr>
          <w:rFonts w:ascii="Cambria" w:hAnsi="Cambria"/>
        </w:rPr>
        <w:t xml:space="preserve">con respecto a la </w:t>
      </w:r>
      <w:r w:rsidRPr="005C4459">
        <w:rPr>
          <w:rFonts w:ascii="Cambria" w:hAnsi="Cambria"/>
          <w:b/>
        </w:rPr>
        <w:t>protección judicial</w:t>
      </w:r>
      <w:r w:rsidRPr="005C4459">
        <w:rPr>
          <w:rFonts w:ascii="Cambria" w:hAnsi="Cambria"/>
        </w:rPr>
        <w:t>, indicó que la parte peticionaria tuvo la oportunidad de hacer uso de todos los recursos que se encontraban disponibles en la legislación nacional, los cuales fueron decididos por un tribunal competente.</w:t>
      </w:r>
      <w:r w:rsidR="00C66564" w:rsidRPr="005C4459">
        <w:rPr>
          <w:rFonts w:ascii="Cambria" w:hAnsi="Cambria"/>
        </w:rPr>
        <w:t xml:space="preserve"> </w:t>
      </w:r>
    </w:p>
    <w:p w:rsidR="005C4459" w:rsidRPr="005C4459" w:rsidRDefault="005C4459" w:rsidP="00B54921">
      <w:pPr>
        <w:pStyle w:val="ListParagraph"/>
        <w:tabs>
          <w:tab w:val="left" w:pos="720"/>
        </w:tabs>
        <w:rPr>
          <w:lang w:val="es-VE"/>
        </w:rPr>
      </w:pPr>
    </w:p>
    <w:p w:rsidR="005C4459" w:rsidRDefault="004450D2" w:rsidP="00B54921">
      <w:pPr>
        <w:pStyle w:val="parrafos"/>
        <w:numPr>
          <w:ilvl w:val="0"/>
          <w:numId w:val="56"/>
        </w:numPr>
        <w:tabs>
          <w:tab w:val="left" w:pos="720"/>
        </w:tabs>
        <w:ind w:left="0" w:firstLine="0"/>
        <w:rPr>
          <w:rFonts w:ascii="Cambria" w:hAnsi="Cambria"/>
        </w:rPr>
      </w:pPr>
      <w:r w:rsidRPr="005C4459">
        <w:rPr>
          <w:rFonts w:ascii="Cambria" w:hAnsi="Cambria"/>
        </w:rPr>
        <w:t xml:space="preserve">Agregó que todos los trabajadores despedidos poseían el derecho de acudir frente </w:t>
      </w:r>
      <w:r w:rsidR="00C86195" w:rsidRPr="005C4459">
        <w:rPr>
          <w:rFonts w:ascii="Cambria" w:hAnsi="Cambria"/>
        </w:rPr>
        <w:t>a un tribunal laboral con el fin de corregir cualquier ilegalidad que se hubiera cometido en su perjuicio.</w:t>
      </w:r>
      <w:r w:rsidR="00C66564" w:rsidRPr="005C4459">
        <w:rPr>
          <w:rFonts w:ascii="Cambria" w:hAnsi="Cambria"/>
        </w:rPr>
        <w:t xml:space="preserve"> </w:t>
      </w:r>
      <w:r w:rsidR="00F22CF1" w:rsidRPr="005C4459">
        <w:rPr>
          <w:rFonts w:ascii="Cambria" w:hAnsi="Cambria"/>
        </w:rPr>
        <w:t>Indicó que t</w:t>
      </w:r>
      <w:r w:rsidR="00BA2E4A" w:rsidRPr="005C4459">
        <w:rPr>
          <w:rFonts w:ascii="Cambria" w:hAnsi="Cambria"/>
        </w:rPr>
        <w:t xml:space="preserve">ranscurrieron 3 años desde el auto de declaratoria de ilegalidad de la huelga el 13 de mayo de 1996 hasta el momento de ejecución el 23 de agosto de 1999. </w:t>
      </w:r>
      <w:r w:rsidR="00BA6F38" w:rsidRPr="005C4459">
        <w:rPr>
          <w:rFonts w:ascii="Cambria" w:hAnsi="Cambria"/>
        </w:rPr>
        <w:t>Refirió</w:t>
      </w:r>
      <w:r w:rsidR="00F22CF1" w:rsidRPr="005C4459">
        <w:rPr>
          <w:rFonts w:ascii="Cambria" w:hAnsi="Cambria"/>
        </w:rPr>
        <w:t xml:space="preserve"> que d</w:t>
      </w:r>
      <w:r w:rsidR="00BA6F38" w:rsidRPr="005C4459">
        <w:rPr>
          <w:rFonts w:ascii="Cambria" w:hAnsi="Cambria"/>
        </w:rPr>
        <w:t>urante este tiempo el s</w:t>
      </w:r>
      <w:r w:rsidR="00F22CF1" w:rsidRPr="005C4459">
        <w:rPr>
          <w:rFonts w:ascii="Cambria" w:hAnsi="Cambria"/>
        </w:rPr>
        <w:t>indicato</w:t>
      </w:r>
      <w:r w:rsidR="00BA2E4A" w:rsidRPr="005C4459">
        <w:rPr>
          <w:rFonts w:ascii="Cambria" w:hAnsi="Cambria"/>
        </w:rPr>
        <w:t xml:space="preserve"> interpuso todos los medios de impugnación y</w:t>
      </w:r>
      <w:r w:rsidR="00C66564" w:rsidRPr="005C4459">
        <w:rPr>
          <w:rFonts w:ascii="Cambria" w:hAnsi="Cambria"/>
        </w:rPr>
        <w:t xml:space="preserve"> </w:t>
      </w:r>
      <w:r w:rsidR="00BA2E4A" w:rsidRPr="005C4459">
        <w:rPr>
          <w:rFonts w:ascii="Cambria" w:hAnsi="Cambria"/>
        </w:rPr>
        <w:t>acciones de amparo por los cuales fueron citados y oídos en</w:t>
      </w:r>
      <w:r w:rsidR="00C66564" w:rsidRPr="005C4459">
        <w:rPr>
          <w:rFonts w:ascii="Cambria" w:hAnsi="Cambria"/>
        </w:rPr>
        <w:t xml:space="preserve"> </w:t>
      </w:r>
      <w:r w:rsidR="00BA2E4A" w:rsidRPr="005C4459">
        <w:rPr>
          <w:rFonts w:ascii="Cambria" w:hAnsi="Cambria"/>
        </w:rPr>
        <w:t>las instancias ordinarias y extraordinarias correspondientes.</w:t>
      </w:r>
    </w:p>
    <w:p w:rsidR="005C4459" w:rsidRPr="005C4459" w:rsidRDefault="005C4459" w:rsidP="00B54921">
      <w:pPr>
        <w:pStyle w:val="ListParagraph"/>
        <w:tabs>
          <w:tab w:val="left" w:pos="720"/>
        </w:tabs>
        <w:rPr>
          <w:lang w:val="es-VE"/>
        </w:rPr>
      </w:pPr>
    </w:p>
    <w:p w:rsidR="005C4459" w:rsidRDefault="00C57174" w:rsidP="00DD6858">
      <w:pPr>
        <w:pStyle w:val="parrafos"/>
        <w:numPr>
          <w:ilvl w:val="0"/>
          <w:numId w:val="56"/>
        </w:numPr>
        <w:tabs>
          <w:tab w:val="left" w:pos="720"/>
        </w:tabs>
        <w:ind w:left="0" w:firstLine="0"/>
        <w:rPr>
          <w:rFonts w:ascii="Cambria" w:hAnsi="Cambria"/>
        </w:rPr>
      </w:pPr>
      <w:r w:rsidRPr="005C4459">
        <w:rPr>
          <w:rFonts w:ascii="Cambria" w:hAnsi="Cambria"/>
        </w:rPr>
        <w:t xml:space="preserve">Con respecto a los </w:t>
      </w:r>
      <w:r w:rsidRPr="005C4459">
        <w:rPr>
          <w:rFonts w:ascii="Cambria" w:hAnsi="Cambria"/>
          <w:b/>
        </w:rPr>
        <w:t>derechos a la libertad de asociaci</w:t>
      </w:r>
      <w:r w:rsidR="00F95083" w:rsidRPr="005C4459">
        <w:rPr>
          <w:rFonts w:ascii="Cambria" w:hAnsi="Cambria"/>
          <w:b/>
        </w:rPr>
        <w:t xml:space="preserve">ón e igualdad ante la ley, </w:t>
      </w:r>
      <w:r w:rsidR="00F95083" w:rsidRPr="005C4459">
        <w:rPr>
          <w:rFonts w:ascii="Cambria" w:hAnsi="Cambria"/>
        </w:rPr>
        <w:t xml:space="preserve">el Estado indicó que la resolución emitida por la </w:t>
      </w:r>
      <w:r w:rsidRPr="005C4459">
        <w:rPr>
          <w:rFonts w:ascii="Cambria" w:hAnsi="Cambria"/>
        </w:rPr>
        <w:t>Sala Primera de la Corte de Apelaciones</w:t>
      </w:r>
      <w:r w:rsidR="00F23ED9" w:rsidRPr="005C4459">
        <w:rPr>
          <w:rFonts w:ascii="Cambria" w:hAnsi="Cambria"/>
        </w:rPr>
        <w:t xml:space="preserve"> de Trabajo y Previsión Socia</w:t>
      </w:r>
      <w:r w:rsidR="008D0929" w:rsidRPr="005C4459">
        <w:rPr>
          <w:rFonts w:ascii="Cambria" w:hAnsi="Cambria"/>
        </w:rPr>
        <w:t>l le concedió al Estado la legitimidad para proceder con las destituciones</w:t>
      </w:r>
      <w:r w:rsidRPr="005C4459">
        <w:rPr>
          <w:rFonts w:ascii="Cambria" w:hAnsi="Cambria"/>
        </w:rPr>
        <w:t xml:space="preserve"> y</w:t>
      </w:r>
      <w:r w:rsidR="008D0929" w:rsidRPr="005C4459">
        <w:rPr>
          <w:rFonts w:ascii="Cambria" w:hAnsi="Cambria"/>
        </w:rPr>
        <w:t xml:space="preserve"> no hizo ninguna diferencia o excepción entre los dirigentes sindicales y lo</w:t>
      </w:r>
      <w:r w:rsidR="00F95083" w:rsidRPr="005C4459">
        <w:rPr>
          <w:rFonts w:ascii="Cambria" w:hAnsi="Cambria"/>
        </w:rPr>
        <w:t>s</w:t>
      </w:r>
      <w:r w:rsidR="008D0929" w:rsidRPr="005C4459">
        <w:rPr>
          <w:rFonts w:ascii="Cambria" w:hAnsi="Cambria"/>
        </w:rPr>
        <w:t xml:space="preserve"> demás trabajadores</w:t>
      </w:r>
      <w:r w:rsidR="004B7DB7" w:rsidRPr="005C4459">
        <w:rPr>
          <w:rFonts w:ascii="Cambria" w:hAnsi="Cambria"/>
        </w:rPr>
        <w:t>.</w:t>
      </w:r>
    </w:p>
    <w:p w:rsidR="00DD6858" w:rsidRPr="00DD6858" w:rsidRDefault="00DD6858" w:rsidP="00DD6858">
      <w:pPr>
        <w:pStyle w:val="parrafos"/>
        <w:tabs>
          <w:tab w:val="left" w:pos="720"/>
        </w:tabs>
        <w:rPr>
          <w:rFonts w:ascii="Cambria" w:hAnsi="Cambria"/>
        </w:rPr>
      </w:pPr>
    </w:p>
    <w:p w:rsidR="000A1EBE" w:rsidRPr="005C4459" w:rsidRDefault="00142E6C" w:rsidP="00B54921">
      <w:pPr>
        <w:pStyle w:val="parrafos"/>
        <w:numPr>
          <w:ilvl w:val="0"/>
          <w:numId w:val="56"/>
        </w:numPr>
        <w:tabs>
          <w:tab w:val="left" w:pos="720"/>
        </w:tabs>
        <w:ind w:left="0" w:firstLine="0"/>
        <w:rPr>
          <w:rFonts w:ascii="Cambria" w:hAnsi="Cambria"/>
        </w:rPr>
      </w:pPr>
      <w:r w:rsidRPr="005C4459">
        <w:rPr>
          <w:rFonts w:ascii="Cambria" w:hAnsi="Cambria"/>
        </w:rPr>
        <w:t xml:space="preserve">El Estado concluyó indicando que se cumplió con todas las leyes </w:t>
      </w:r>
      <w:r w:rsidR="00311850" w:rsidRPr="005C4459">
        <w:rPr>
          <w:rFonts w:ascii="Cambria" w:hAnsi="Cambria"/>
        </w:rPr>
        <w:t>guatemaltecas al declarar ileg</w:t>
      </w:r>
      <w:r w:rsidR="009A53D0">
        <w:rPr>
          <w:rFonts w:ascii="Cambria" w:hAnsi="Cambria"/>
        </w:rPr>
        <w:t>í</w:t>
      </w:r>
      <w:r w:rsidR="00311850" w:rsidRPr="005C4459">
        <w:rPr>
          <w:rFonts w:ascii="Cambria" w:hAnsi="Cambria"/>
        </w:rPr>
        <w:t>tima</w:t>
      </w:r>
      <w:r w:rsidRPr="005C4459">
        <w:rPr>
          <w:rFonts w:ascii="Cambria" w:hAnsi="Cambria"/>
        </w:rPr>
        <w:t xml:space="preserve"> la huelga promovida por el STOJ, ya que la misma vedó a la población el derecho y acceso a la justicia que se encuentra garantizada por la Constitución Política. </w:t>
      </w:r>
    </w:p>
    <w:p w:rsidR="001C6592" w:rsidRPr="001C6592" w:rsidRDefault="001C659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E958F1" w:rsidRPr="00AE2141" w:rsidRDefault="00E958F1" w:rsidP="00B54921">
      <w:pPr>
        <w:pStyle w:val="Heading1"/>
        <w:numPr>
          <w:ilvl w:val="0"/>
          <w:numId w:val="57"/>
        </w:numPr>
        <w:tabs>
          <w:tab w:val="left" w:pos="720"/>
        </w:tabs>
        <w:ind w:left="360" w:hanging="360"/>
      </w:pPr>
      <w:bookmarkStart w:id="7" w:name="_Toc527017122"/>
      <w:bookmarkStart w:id="8" w:name="_Toc14884436"/>
      <w:r w:rsidRPr="00AE2141">
        <w:t>DETERMINACIONES DE HECHO</w:t>
      </w:r>
      <w:bookmarkEnd w:id="7"/>
      <w:bookmarkEnd w:id="8"/>
    </w:p>
    <w:p w:rsidR="003A3E60" w:rsidRPr="003A3E60" w:rsidRDefault="003A3E60"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ES_tradnl" w:eastAsia="es-ES"/>
        </w:rPr>
      </w:pPr>
    </w:p>
    <w:p w:rsidR="00E958F1" w:rsidRPr="00D97CD8" w:rsidRDefault="00E958F1" w:rsidP="00B54921">
      <w:pPr>
        <w:pStyle w:val="Heading2"/>
        <w:numPr>
          <w:ilvl w:val="0"/>
          <w:numId w:val="63"/>
        </w:numPr>
        <w:tabs>
          <w:tab w:val="left" w:pos="720"/>
        </w:tabs>
        <w:ind w:left="360"/>
      </w:pPr>
      <w:bookmarkStart w:id="9" w:name="_Toc527017124"/>
      <w:bookmarkStart w:id="10" w:name="_Toc14884437"/>
      <w:r w:rsidRPr="00D97CD8">
        <w:t>Marco normativo relevante</w:t>
      </w:r>
      <w:bookmarkEnd w:id="9"/>
      <w:bookmarkEnd w:id="10"/>
      <w:r w:rsidRPr="00D97CD8">
        <w:t xml:space="preserve"> </w:t>
      </w:r>
    </w:p>
    <w:p w:rsidR="00E958F1" w:rsidRPr="005D1C68" w:rsidRDefault="00E958F1" w:rsidP="00B54921">
      <w:pPr>
        <w:pStyle w:val="ListParagraph"/>
        <w:tabs>
          <w:tab w:val="left" w:pos="720"/>
        </w:tabs>
        <w:ind w:left="994"/>
        <w:jc w:val="both"/>
        <w:rPr>
          <w:rFonts w:asciiTheme="majorHAnsi" w:eastAsia="Arial Unicode MS" w:hAnsiTheme="majorHAnsi" w:cs="Times New Roman"/>
          <w:color w:val="000000" w:themeColor="text1"/>
          <w:sz w:val="20"/>
          <w:szCs w:val="20"/>
          <w:lang w:val="es-VE" w:eastAsia="en-US"/>
        </w:rPr>
      </w:pPr>
    </w:p>
    <w:p w:rsidR="00E67B58" w:rsidRDefault="00E958F1" w:rsidP="00B54921">
      <w:pPr>
        <w:pStyle w:val="parrafos"/>
        <w:numPr>
          <w:ilvl w:val="0"/>
          <w:numId w:val="56"/>
        </w:numPr>
        <w:tabs>
          <w:tab w:val="left" w:pos="720"/>
        </w:tabs>
        <w:ind w:left="0" w:firstLine="0"/>
        <w:rPr>
          <w:lang w:val="es-ES_tradnl"/>
        </w:rPr>
      </w:pPr>
      <w:r w:rsidRPr="005D1C68">
        <w:rPr>
          <w:lang w:val="es-ES_tradnl"/>
        </w:rPr>
        <w:t xml:space="preserve">La Comisión toma nota que </w:t>
      </w:r>
      <w:r>
        <w:rPr>
          <w:lang w:val="es-ES_tradnl"/>
        </w:rPr>
        <w:t xml:space="preserve">el presente caso se </w:t>
      </w:r>
      <w:r w:rsidR="006745D3">
        <w:rPr>
          <w:lang w:val="es-ES_tradnl"/>
        </w:rPr>
        <w:t>relaciona con un conflicto de carácter laboral regulado en el Código de Trabajo</w:t>
      </w:r>
      <w:r w:rsidR="00B65F66">
        <w:rPr>
          <w:lang w:val="es-ES_tradnl"/>
        </w:rPr>
        <w:t xml:space="preserve"> </w:t>
      </w:r>
      <w:r w:rsidR="000A2C61">
        <w:rPr>
          <w:lang w:val="es-ES_tradnl"/>
        </w:rPr>
        <w:t xml:space="preserve">y en el propio Pacto Colectivo de Trabajo suscrito entre el Sindicato y el Organismo Judicial de Guatemala. </w:t>
      </w:r>
    </w:p>
    <w:p w:rsidR="00E67B58" w:rsidRDefault="00E67B58" w:rsidP="00B54921">
      <w:pPr>
        <w:pStyle w:val="parrafos"/>
        <w:tabs>
          <w:tab w:val="left" w:pos="720"/>
        </w:tabs>
        <w:rPr>
          <w:lang w:val="es-ES_tradnl"/>
        </w:rPr>
      </w:pPr>
    </w:p>
    <w:p w:rsidR="00E958F1" w:rsidRPr="00E67B58" w:rsidRDefault="00B65F66" w:rsidP="00B54921">
      <w:pPr>
        <w:pStyle w:val="parrafos"/>
        <w:numPr>
          <w:ilvl w:val="0"/>
          <w:numId w:val="56"/>
        </w:numPr>
        <w:tabs>
          <w:tab w:val="left" w:pos="720"/>
        </w:tabs>
        <w:ind w:left="0" w:firstLine="0"/>
        <w:rPr>
          <w:lang w:val="es-ES_tradnl"/>
        </w:rPr>
      </w:pPr>
      <w:r w:rsidRPr="00E67B58">
        <w:rPr>
          <w:lang w:val="es-ES_tradnl"/>
        </w:rPr>
        <w:t>A continuación se transcriben las normas más r</w:t>
      </w:r>
      <w:r w:rsidR="00F752CE">
        <w:rPr>
          <w:lang w:val="es-ES_tradnl"/>
        </w:rPr>
        <w:t>elevantes del Código de Trabajo:</w:t>
      </w:r>
      <w:r w:rsidR="006745D3" w:rsidRPr="00E67B58">
        <w:rPr>
          <w:lang w:val="es-ES_tradnl"/>
        </w:rPr>
        <w:t xml:space="preserve"> </w:t>
      </w:r>
    </w:p>
    <w:p w:rsidR="00E958F1"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864"/>
        <w:jc w:val="both"/>
        <w:rPr>
          <w:rFonts w:asciiTheme="majorHAnsi" w:hAnsiTheme="majorHAnsi"/>
          <w:sz w:val="20"/>
          <w:szCs w:val="20"/>
          <w:lang w:val="es-ES_tradnl"/>
        </w:rPr>
      </w:pPr>
    </w:p>
    <w:p w:rsidR="00CF387F" w:rsidRPr="005C4459" w:rsidRDefault="005A493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r>
        <w:rPr>
          <w:rFonts w:ascii="Cambria" w:eastAsia="Cambria" w:hAnsi="Cambria" w:cs="Cambria"/>
          <w:color w:val="000000"/>
          <w:sz w:val="18"/>
          <w:u w:color="000000"/>
          <w:lang w:val="es-ES" w:eastAsia="es-ES"/>
        </w:rPr>
        <w:t xml:space="preserve">Artículo 51. </w:t>
      </w:r>
      <w:r w:rsidR="00E958F1" w:rsidRPr="005C4459">
        <w:rPr>
          <w:rFonts w:ascii="Cambria" w:eastAsia="Cambria" w:hAnsi="Cambria" w:cs="Cambria"/>
          <w:color w:val="000000"/>
          <w:sz w:val="18"/>
          <w:u w:color="000000"/>
          <w:lang w:val="es-ES" w:eastAsia="es-ES"/>
        </w:rPr>
        <w:t>(…) Para la negociación de un pacto colectivo de condiciones de trabajo, el respectivo sindicato o patrono hará llegar a la otra parte para su consideración, por medio de la autoridad administrativa de trabajo más próxima, el proyecto de pacto a efecto de que se discuta en la vía directa o con la intervención de una autoridad administrativa de trabajo o cualquiera otro u otros amigables componedores. Si transcurridos treinta días después de presentada la solicitud por el respectivo sindicato o patrono, las partes no han llegado a un acuerdo pleno sobre sus estipulaciones, cualquiera de ellas puede acudir a los tribunales de trabajo, planteando el conflicto colectivo correspondiente, para que se resuelvan el punto o los puntos en discordia. (…)</w:t>
      </w:r>
    </w:p>
    <w:p w:rsidR="00CF387F" w:rsidRPr="005C4459" w:rsidRDefault="00CF387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p>
    <w:p w:rsidR="00ED7AFC" w:rsidRPr="005C4459" w:rsidRDefault="00CF387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Articulo 223</w:t>
      </w:r>
      <w:r w:rsidR="00ED7AFC" w:rsidRPr="005C4459">
        <w:rPr>
          <w:rFonts w:ascii="Cambria" w:eastAsia="Cambria" w:hAnsi="Cambria" w:cs="Cambria"/>
          <w:color w:val="000000"/>
          <w:sz w:val="18"/>
          <w:u w:color="000000"/>
          <w:lang w:val="es-ES" w:eastAsia="es-ES"/>
        </w:rPr>
        <w:t xml:space="preserve">. El funcionamiento e integración del </w:t>
      </w:r>
      <w:r w:rsidR="00153D6F">
        <w:rPr>
          <w:rFonts w:ascii="Cambria" w:eastAsia="Cambria" w:hAnsi="Cambria" w:cs="Cambria"/>
          <w:color w:val="000000"/>
          <w:sz w:val="18"/>
          <w:u w:color="000000"/>
          <w:lang w:val="es-ES" w:eastAsia="es-ES"/>
        </w:rPr>
        <w:t>C</w:t>
      </w:r>
      <w:r w:rsidR="00ED7AFC" w:rsidRPr="005C4459">
        <w:rPr>
          <w:rFonts w:ascii="Cambria" w:eastAsia="Cambria" w:hAnsi="Cambria" w:cs="Cambria"/>
          <w:color w:val="000000"/>
          <w:sz w:val="18"/>
          <w:u w:color="000000"/>
          <w:lang w:val="es-ES" w:eastAsia="es-ES"/>
        </w:rPr>
        <w:t xml:space="preserve">omité </w:t>
      </w:r>
      <w:r w:rsidR="00153D6F">
        <w:rPr>
          <w:rFonts w:ascii="Cambria" w:eastAsia="Cambria" w:hAnsi="Cambria" w:cs="Cambria"/>
          <w:color w:val="000000"/>
          <w:sz w:val="18"/>
          <w:u w:color="000000"/>
          <w:lang w:val="es-ES" w:eastAsia="es-ES"/>
        </w:rPr>
        <w:t>E</w:t>
      </w:r>
      <w:r w:rsidR="00ED7AFC" w:rsidRPr="005C4459">
        <w:rPr>
          <w:rFonts w:ascii="Cambria" w:eastAsia="Cambria" w:hAnsi="Cambria" w:cs="Cambria"/>
          <w:color w:val="000000"/>
          <w:sz w:val="18"/>
          <w:u w:color="000000"/>
          <w:lang w:val="es-ES" w:eastAsia="es-ES"/>
        </w:rPr>
        <w:t>jecutivo se rige por estas reglas:</w:t>
      </w:r>
    </w:p>
    <w:p w:rsidR="00ED7AFC" w:rsidRPr="005C4459" w:rsidRDefault="00ED7AF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p>
    <w:p w:rsidR="00E958F1" w:rsidRPr="005C4459" w:rsidRDefault="00CF387F" w:rsidP="00F444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 xml:space="preserve">(…) d) los miembros del Comité Ejecutivo [del sindicato] gozan de inamovilidad en el trabajo que desempeñen durante todo el tiempo que duren sus mandatos y hasta doce meses después de haber cesado en el desempeño de los mismos. </w:t>
      </w:r>
      <w:r w:rsidR="00ED7AFC" w:rsidRPr="005C4459">
        <w:rPr>
          <w:rFonts w:ascii="Cambria" w:eastAsia="Cambria" w:hAnsi="Cambria" w:cs="Cambria"/>
          <w:color w:val="000000"/>
          <w:sz w:val="18"/>
          <w:u w:color="000000"/>
          <w:lang w:val="es-ES" w:eastAsia="es-ES"/>
        </w:rPr>
        <w:t>D</w:t>
      </w:r>
      <w:r w:rsidRPr="005C4459">
        <w:rPr>
          <w:rFonts w:ascii="Cambria" w:eastAsia="Cambria" w:hAnsi="Cambria" w:cs="Cambria"/>
          <w:color w:val="000000"/>
          <w:sz w:val="18"/>
          <w:u w:color="000000"/>
          <w:lang w:val="es-ES" w:eastAsia="es-ES"/>
        </w:rPr>
        <w:t>ichos miembros no podrán ser despedidos a menos que incurran en</w:t>
      </w:r>
      <w:r w:rsidR="00ED7AFC" w:rsidRPr="005C4459">
        <w:rPr>
          <w:rFonts w:ascii="Cambria" w:eastAsia="Cambria" w:hAnsi="Cambria" w:cs="Cambria"/>
          <w:color w:val="000000"/>
          <w:sz w:val="18"/>
          <w:u w:color="000000"/>
          <w:lang w:val="es-ES" w:eastAsia="es-ES"/>
        </w:rPr>
        <w:t xml:space="preserve"> causa justa de despido, debidamente demostrada por el patrono en juicio ordinario ante Tribunal de Trabajo competente</w:t>
      </w:r>
      <w:r w:rsidRPr="005C4459">
        <w:rPr>
          <w:rFonts w:ascii="Cambria" w:eastAsia="Cambria" w:hAnsi="Cambria" w:cs="Cambria"/>
          <w:color w:val="000000"/>
          <w:sz w:val="18"/>
          <w:u w:color="000000"/>
          <w:vertAlign w:val="superscript"/>
          <w:lang w:val="es-ES" w:eastAsia="es-ES"/>
        </w:rPr>
        <w:footnoteReference w:id="3"/>
      </w:r>
      <w:r w:rsidRPr="005C4459">
        <w:rPr>
          <w:rFonts w:ascii="Cambria" w:eastAsia="Cambria" w:hAnsi="Cambria" w:cs="Cambria"/>
          <w:color w:val="000000"/>
          <w:sz w:val="18"/>
          <w:u w:color="000000"/>
          <w:lang w:val="es-ES" w:eastAsia="es-ES"/>
        </w:rPr>
        <w:t>.</w:t>
      </w:r>
    </w:p>
    <w:p w:rsidR="0044013E" w:rsidRDefault="0044013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p>
    <w:p w:rsidR="00E958F1" w:rsidRPr="005C4459"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 xml:space="preserve">Artículo 241. Para declarar una huelga legal, los trabajadores deben: </w:t>
      </w:r>
    </w:p>
    <w:p w:rsidR="0044013E" w:rsidRDefault="0044013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val="es-ES" w:eastAsia="es-ES"/>
        </w:rPr>
      </w:pPr>
    </w:p>
    <w:p w:rsidR="00E958F1" w:rsidRPr="005C4459"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 xml:space="preserve">a) ajustarse estrictamente a lo dispuesto en el artículo 239, párrafo primero; </w:t>
      </w:r>
    </w:p>
    <w:p w:rsidR="00E958F1" w:rsidRPr="005C4459"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 xml:space="preserve">b) agotar los procedimientos de conciliación; y </w:t>
      </w:r>
    </w:p>
    <w:p w:rsidR="00E958F1" w:rsidRPr="005C4459" w:rsidRDefault="00E958F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c) constituir por lo menos las dos terceras partes de las personas que trabajan en la respectiva empresa o centro de producción y que han iniciado su relación laboral con antelación al momento de plantearse al conflicto colectivo de carácter económico-social</w:t>
      </w:r>
      <w:r w:rsidRPr="005C4459">
        <w:rPr>
          <w:rFonts w:eastAsia="Cambria" w:cs="Cambria"/>
          <w:sz w:val="18"/>
          <w:u w:color="000000"/>
          <w:vertAlign w:val="superscript"/>
          <w:lang w:val="es-ES" w:eastAsia="es-ES"/>
        </w:rPr>
        <w:footnoteReference w:id="4"/>
      </w:r>
      <w:r w:rsidRPr="005C4459">
        <w:rPr>
          <w:rFonts w:ascii="Cambria" w:eastAsia="Cambria" w:hAnsi="Cambria" w:cs="Cambria"/>
          <w:color w:val="000000"/>
          <w:sz w:val="18"/>
          <w:u w:color="000000"/>
          <w:lang w:val="es-ES" w:eastAsia="es-ES"/>
        </w:rPr>
        <w:t>.</w:t>
      </w:r>
    </w:p>
    <w:p w:rsidR="00E958F1" w:rsidRPr="005C4459" w:rsidRDefault="00E958F1" w:rsidP="00B54921">
      <w:pPr>
        <w:tabs>
          <w:tab w:val="left" w:pos="720"/>
        </w:tabs>
        <w:ind w:left="360" w:right="360"/>
        <w:jc w:val="both"/>
        <w:rPr>
          <w:rFonts w:ascii="Cambria" w:eastAsia="Cambria" w:hAnsi="Cambria" w:cs="Cambria"/>
          <w:color w:val="000000"/>
          <w:sz w:val="18"/>
          <w:u w:color="000000"/>
          <w:lang w:val="es-ES" w:eastAsia="es-ES"/>
        </w:rPr>
      </w:pPr>
    </w:p>
    <w:p w:rsidR="00E958F1" w:rsidRPr="005C4459" w:rsidRDefault="00E958F1" w:rsidP="00B54921">
      <w:pPr>
        <w:tabs>
          <w:tab w:val="left" w:pos="72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lastRenderedPageBreak/>
        <w:t>Artículo 244. Cuando una huelga sea declarada ilegal y los trabajadores la realizaren, el Tribunal debe fijar al patrono un término de veinte días durante el cual éste, sin responsabilidad de su parte, podrá dar por terminados los contratos de trabajo de los laborantes que holgaren. Las mismas reglas rigen en los casos de huelga de hecho o ilegítima (…)</w:t>
      </w:r>
      <w:r w:rsidR="0044013E">
        <w:rPr>
          <w:rFonts w:ascii="Cambria" w:eastAsia="Cambria" w:hAnsi="Cambria" w:cs="Cambria"/>
          <w:color w:val="000000"/>
          <w:sz w:val="18"/>
          <w:u w:color="000000"/>
          <w:lang w:val="es-ES" w:eastAsia="es-ES"/>
        </w:rPr>
        <w:t>.</w:t>
      </w:r>
    </w:p>
    <w:p w:rsidR="0012364B" w:rsidRPr="005C4459" w:rsidRDefault="0012364B" w:rsidP="00B54921">
      <w:pPr>
        <w:tabs>
          <w:tab w:val="left" w:pos="720"/>
        </w:tabs>
        <w:ind w:left="360" w:right="360"/>
        <w:jc w:val="both"/>
        <w:rPr>
          <w:rFonts w:ascii="Cambria" w:eastAsia="Cambria" w:hAnsi="Cambria" w:cs="Cambria"/>
          <w:color w:val="000000"/>
          <w:sz w:val="18"/>
          <w:u w:color="000000"/>
          <w:lang w:val="es-ES" w:eastAsia="es-ES"/>
        </w:rPr>
      </w:pPr>
    </w:p>
    <w:p w:rsidR="0012364B" w:rsidRPr="005C4459" w:rsidRDefault="0012364B" w:rsidP="00B54921">
      <w:pPr>
        <w:tabs>
          <w:tab w:val="left" w:pos="720"/>
        </w:tabs>
        <w:ind w:left="360" w:right="360"/>
        <w:jc w:val="both"/>
        <w:rPr>
          <w:rFonts w:ascii="Cambria" w:eastAsia="Cambria" w:hAnsi="Cambria" w:cs="Cambria"/>
          <w:color w:val="000000"/>
          <w:sz w:val="18"/>
          <w:u w:color="000000"/>
          <w:lang w:val="es-ES" w:eastAsia="es-ES"/>
        </w:rPr>
      </w:pPr>
      <w:r w:rsidRPr="005C4459">
        <w:rPr>
          <w:rFonts w:ascii="Cambria" w:eastAsia="Cambria" w:hAnsi="Cambria" w:cs="Cambria"/>
          <w:color w:val="000000"/>
          <w:sz w:val="18"/>
          <w:u w:color="000000"/>
          <w:lang w:val="es-ES" w:eastAsia="es-ES"/>
        </w:rPr>
        <w:t>Artículo 394. En caso de que no hubiere arreglo ni compromiso de ir al arbitraje, dentro de las veinticuatro horas siguientes de fracasada la conciliación, cualquiera de los delegados puede pedir al respectivo juez de Trabajo y Previsión Social que se pronuncie sobre la legalidad o ilegalidad del movimiento, pronunciamiento que es necesario esperar antes de ir a la huelga o al paro. El auto correspondiente será dictado a reserva de que causas posteriores cambien la calificación que se haga y en él se pronunciará sobre si se han llenado los requisitos determinados en los artículos 241 y 246</w:t>
      </w:r>
      <w:r w:rsidR="00E67B58">
        <w:rPr>
          <w:rStyle w:val="FootnoteReference"/>
          <w:rFonts w:ascii="Cambria" w:eastAsia="Cambria" w:hAnsi="Cambria" w:cs="Cambria"/>
          <w:color w:val="000000"/>
          <w:sz w:val="18"/>
          <w:u w:color="000000"/>
          <w:lang w:val="es-ES" w:eastAsia="es-ES"/>
        </w:rPr>
        <w:footnoteReference w:id="5"/>
      </w:r>
      <w:r w:rsidRPr="005C4459">
        <w:rPr>
          <w:rFonts w:ascii="Cambria" w:eastAsia="Cambria" w:hAnsi="Cambria" w:cs="Cambria"/>
          <w:color w:val="000000"/>
          <w:sz w:val="18"/>
          <w:u w:color="000000"/>
          <w:lang w:val="es-ES" w:eastAsia="es-ES"/>
        </w:rPr>
        <w:t>.</w:t>
      </w:r>
    </w:p>
    <w:p w:rsidR="009F59DD" w:rsidRPr="00F4442D" w:rsidRDefault="009F59DD" w:rsidP="00F4442D">
      <w:pPr>
        <w:tabs>
          <w:tab w:val="left" w:pos="720"/>
        </w:tabs>
        <w:ind w:right="864"/>
        <w:jc w:val="both"/>
        <w:rPr>
          <w:rFonts w:asciiTheme="majorHAnsi" w:hAnsiTheme="majorHAnsi"/>
          <w:color w:val="000000" w:themeColor="text1"/>
          <w:sz w:val="20"/>
          <w:szCs w:val="20"/>
          <w:lang w:val="es-ES_tradnl"/>
        </w:rPr>
      </w:pPr>
    </w:p>
    <w:p w:rsidR="0006219D" w:rsidRDefault="0006219D" w:rsidP="00B54921">
      <w:pPr>
        <w:pStyle w:val="Heading2"/>
        <w:numPr>
          <w:ilvl w:val="0"/>
          <w:numId w:val="59"/>
        </w:numPr>
        <w:tabs>
          <w:tab w:val="left" w:pos="360"/>
          <w:tab w:val="left" w:pos="720"/>
        </w:tabs>
        <w:ind w:hanging="1440"/>
      </w:pPr>
      <w:bookmarkStart w:id="11" w:name="_Toc14884438"/>
      <w:bookmarkStart w:id="12" w:name="_Toc527017125"/>
      <w:r>
        <w:t>Sobre las presuntas víctimas</w:t>
      </w:r>
      <w:bookmarkEnd w:id="11"/>
    </w:p>
    <w:p w:rsidR="0006219D" w:rsidRDefault="0006219D" w:rsidP="00B54921">
      <w:pPr>
        <w:tabs>
          <w:tab w:val="left" w:pos="720"/>
        </w:tabs>
        <w:rPr>
          <w:lang w:val="es-ES_tradnl" w:eastAsia="es-ES"/>
        </w:rPr>
      </w:pPr>
    </w:p>
    <w:p w:rsidR="0006219D" w:rsidRPr="00C66B10" w:rsidRDefault="0006219D" w:rsidP="00B54921">
      <w:pPr>
        <w:pStyle w:val="parrafos"/>
        <w:numPr>
          <w:ilvl w:val="0"/>
          <w:numId w:val="56"/>
        </w:numPr>
        <w:tabs>
          <w:tab w:val="left" w:pos="720"/>
        </w:tabs>
        <w:ind w:left="0" w:firstLine="0"/>
        <w:rPr>
          <w:lang w:val="es-ES_tradnl" w:eastAsia="es-ES"/>
        </w:rPr>
      </w:pPr>
      <w:r w:rsidRPr="00AD709C">
        <w:t xml:space="preserve">La CIDH recuerda que en su Informe de Admisibilidad </w:t>
      </w:r>
      <w:r>
        <w:t xml:space="preserve">78/03 declaró la petición admisible respecto de 94 </w:t>
      </w:r>
      <w:r w:rsidRPr="00E67B58">
        <w:rPr>
          <w:lang w:val="es-ES_tradnl"/>
        </w:rPr>
        <w:t>personas</w:t>
      </w:r>
      <w:r>
        <w:t>.</w:t>
      </w:r>
      <w:r w:rsidR="00C66B10">
        <w:t xml:space="preserve"> La CIDH realizará su análisis respecto de dicho universo de víctimas</w:t>
      </w:r>
      <w:r w:rsidR="00472B9F">
        <w:t xml:space="preserve"> y adjunta al presente informe el listado de personas que considera como víctimas según el siguiente análisis. </w:t>
      </w:r>
    </w:p>
    <w:p w:rsidR="00E67B58" w:rsidRPr="00E67B58" w:rsidRDefault="00E67B58" w:rsidP="00B54921">
      <w:pPr>
        <w:pStyle w:val="parrafos"/>
        <w:tabs>
          <w:tab w:val="left" w:pos="720"/>
        </w:tabs>
        <w:rPr>
          <w:lang w:val="es-ES_tradnl" w:eastAsia="es-ES"/>
        </w:rPr>
      </w:pPr>
    </w:p>
    <w:p w:rsidR="00E958F1" w:rsidRDefault="00E958F1" w:rsidP="00B54921">
      <w:pPr>
        <w:pStyle w:val="Heading2"/>
        <w:numPr>
          <w:ilvl w:val="0"/>
          <w:numId w:val="59"/>
        </w:numPr>
        <w:tabs>
          <w:tab w:val="left" w:pos="360"/>
          <w:tab w:val="left" w:pos="720"/>
        </w:tabs>
        <w:ind w:hanging="1440"/>
      </w:pPr>
      <w:bookmarkStart w:id="13" w:name="_Toc14884439"/>
      <w:r>
        <w:t>Procesos iniciados por las presuntas víctimas</w:t>
      </w:r>
      <w:bookmarkEnd w:id="12"/>
      <w:bookmarkEnd w:id="13"/>
    </w:p>
    <w:p w:rsidR="00E958F1" w:rsidRDefault="00E958F1" w:rsidP="00B54921">
      <w:pPr>
        <w:tabs>
          <w:tab w:val="left" w:pos="720"/>
        </w:tabs>
        <w:rPr>
          <w:lang w:val="es-ES_tradnl" w:eastAsia="es-ES"/>
        </w:rPr>
      </w:pPr>
    </w:p>
    <w:p w:rsidR="009B1F8A" w:rsidRDefault="009B1F8A" w:rsidP="00B54921">
      <w:pPr>
        <w:pStyle w:val="Heading3"/>
        <w:numPr>
          <w:ilvl w:val="0"/>
          <w:numId w:val="60"/>
        </w:numPr>
        <w:tabs>
          <w:tab w:val="left" w:pos="360"/>
          <w:tab w:val="left" w:pos="720"/>
        </w:tabs>
        <w:ind w:left="1440" w:hanging="1440"/>
      </w:pPr>
      <w:bookmarkStart w:id="14" w:name="_Toc14884440"/>
      <w:r>
        <w:t>Antecedentes</w:t>
      </w:r>
      <w:bookmarkEnd w:id="14"/>
    </w:p>
    <w:p w:rsidR="00E958F1" w:rsidRPr="004F0D6C" w:rsidRDefault="00E958F1" w:rsidP="00B54921">
      <w:pPr>
        <w:tabs>
          <w:tab w:val="left" w:pos="720"/>
        </w:tabs>
        <w:rPr>
          <w:lang w:val="es-ES_tradnl"/>
        </w:rPr>
      </w:pPr>
    </w:p>
    <w:p w:rsidR="003F677F" w:rsidRDefault="00266377" w:rsidP="00B54921">
      <w:pPr>
        <w:pStyle w:val="parrafos"/>
        <w:numPr>
          <w:ilvl w:val="0"/>
          <w:numId w:val="56"/>
        </w:numPr>
        <w:tabs>
          <w:tab w:val="left" w:pos="720"/>
        </w:tabs>
        <w:ind w:left="0" w:firstLine="0"/>
      </w:pPr>
      <w:r w:rsidRPr="003F677F">
        <w:t>Según</w:t>
      </w:r>
      <w:r w:rsidRPr="00266377">
        <w:rPr>
          <w:lang w:val="es-ES_tradnl"/>
        </w:rPr>
        <w:t xml:space="preserve"> </w:t>
      </w:r>
      <w:r>
        <w:rPr>
          <w:lang w:val="es-ES_tradnl"/>
        </w:rPr>
        <w:t>información disponible el 17 de agosto de 1992 el Sindicato de Trabajadores del Organismo Judicial celebró un pacto colectivo de condiciones de trabajo con el Organismo Judicial, por una vigencia de dos años</w:t>
      </w:r>
      <w:r w:rsidR="00F30279">
        <w:rPr>
          <w:rStyle w:val="FootnoteReference"/>
        </w:rPr>
        <w:footnoteReference w:id="6"/>
      </w:r>
      <w:r w:rsidR="00F30279" w:rsidRPr="00266377">
        <w:t>.</w:t>
      </w:r>
    </w:p>
    <w:p w:rsidR="003F677F" w:rsidRDefault="003F677F" w:rsidP="00B54921">
      <w:pPr>
        <w:pStyle w:val="parrafos"/>
        <w:tabs>
          <w:tab w:val="left" w:pos="720"/>
        </w:tabs>
      </w:pPr>
    </w:p>
    <w:p w:rsidR="003F677F" w:rsidRDefault="00266377" w:rsidP="00B54921">
      <w:pPr>
        <w:pStyle w:val="parrafos"/>
        <w:numPr>
          <w:ilvl w:val="0"/>
          <w:numId w:val="56"/>
        </w:numPr>
        <w:tabs>
          <w:tab w:val="left" w:pos="720"/>
        </w:tabs>
        <w:ind w:left="0" w:firstLine="0"/>
      </w:pPr>
      <w:r w:rsidRPr="003F677F">
        <w:t xml:space="preserve">El 18 de octubre de 1994 el sindicato denunció dicho pacto ante la Inspección General de </w:t>
      </w:r>
      <w:r w:rsidR="004C3D7A" w:rsidRPr="003F677F">
        <w:t>Trabajo</w:t>
      </w:r>
      <w:r w:rsidRPr="003F677F">
        <w:t xml:space="preserve"> con el fin de iniciar las negociaciones por la vía directa </w:t>
      </w:r>
      <w:r w:rsidR="00A11511" w:rsidRPr="003F677F">
        <w:t xml:space="preserve">para suscribir un nuevo pacto. </w:t>
      </w:r>
      <w:r w:rsidRPr="003F677F">
        <w:t>El 21 de noviembre</w:t>
      </w:r>
      <w:r w:rsidR="00CD2D88" w:rsidRPr="003F677F">
        <w:t xml:space="preserve"> de 1995</w:t>
      </w:r>
      <w:r w:rsidRPr="003F677F">
        <w:t xml:space="preserve"> promovió un conflicto de carácter económico y social ante la Sala Primera de Apelaciones de Trabajo y Previsión Social. </w:t>
      </w:r>
      <w:r w:rsidR="00CD2D88" w:rsidRPr="003F677F">
        <w:t>El 28 de noviembre de 1995 la Sala Primera de la Corte de Apelac</w:t>
      </w:r>
      <w:r w:rsidR="009D2C5C">
        <w:t>iones declaró por agotada la ví</w:t>
      </w:r>
      <w:r w:rsidR="009D2C5C" w:rsidRPr="003F677F">
        <w:t>a</w:t>
      </w:r>
      <w:r w:rsidR="00CD2D88" w:rsidRPr="003F677F">
        <w:t xml:space="preserve"> directa</w:t>
      </w:r>
      <w:r w:rsidR="00DC3080">
        <w:rPr>
          <w:rStyle w:val="FootnoteReference"/>
          <w:lang w:val="es-ES_tradnl"/>
        </w:rPr>
        <w:footnoteReference w:id="7"/>
      </w:r>
      <w:r w:rsidR="00CD2D88" w:rsidRPr="003F677F">
        <w:t xml:space="preserve">. </w:t>
      </w:r>
    </w:p>
    <w:p w:rsidR="003F677F" w:rsidRDefault="003F677F" w:rsidP="00B54921">
      <w:pPr>
        <w:pStyle w:val="ListParagraph"/>
        <w:tabs>
          <w:tab w:val="left" w:pos="720"/>
        </w:tabs>
        <w:rPr>
          <w:lang w:val="es-ES_tradnl"/>
        </w:rPr>
      </w:pPr>
    </w:p>
    <w:p w:rsidR="003F677F" w:rsidRDefault="00E958F1" w:rsidP="00B54921">
      <w:pPr>
        <w:pStyle w:val="parrafos"/>
        <w:numPr>
          <w:ilvl w:val="0"/>
          <w:numId w:val="56"/>
        </w:numPr>
        <w:tabs>
          <w:tab w:val="left" w:pos="720"/>
        </w:tabs>
        <w:ind w:left="0" w:firstLine="0"/>
      </w:pPr>
      <w:r w:rsidRPr="003F677F">
        <w:rPr>
          <w:lang w:val="es-ES_tradnl"/>
        </w:rPr>
        <w:t>El 12 de diciembre de 1995</w:t>
      </w:r>
      <w:r w:rsidR="00EC484F" w:rsidRPr="003F677F">
        <w:rPr>
          <w:lang w:val="es-ES_tradnl"/>
        </w:rPr>
        <w:t>, agotadas las negociaciones</w:t>
      </w:r>
      <w:r w:rsidR="00DE284B" w:rsidRPr="003F677F">
        <w:rPr>
          <w:lang w:val="es-ES_tradnl"/>
        </w:rPr>
        <w:t xml:space="preserve">, </w:t>
      </w:r>
      <w:r w:rsidRPr="003F677F">
        <w:rPr>
          <w:lang w:val="es-ES_tradnl"/>
        </w:rPr>
        <w:t>se constituyó un Tribunal d</w:t>
      </w:r>
      <w:r w:rsidR="009D628C" w:rsidRPr="003F677F">
        <w:rPr>
          <w:lang w:val="es-ES_tradnl"/>
        </w:rPr>
        <w:t xml:space="preserve">e Conciliación </w:t>
      </w:r>
      <w:r w:rsidR="00CD2D88" w:rsidRPr="003F677F">
        <w:rPr>
          <w:lang w:val="es-ES_tradnl"/>
        </w:rPr>
        <w:t>compuesto por tres magistrados de la Sala Primera de Trabajo y Previsión Social, un delegado de los trabajadores y un delegado de los empleadores</w:t>
      </w:r>
      <w:r w:rsidR="00AD4668" w:rsidRPr="00AD4668">
        <w:rPr>
          <w:rStyle w:val="FootnoteReference"/>
          <w:lang w:val="es-ES_tradnl"/>
        </w:rPr>
        <w:footnoteReference w:id="8"/>
      </w:r>
      <w:r w:rsidR="00AD4668" w:rsidRPr="003F677F">
        <w:rPr>
          <w:lang w:val="es-ES_tradnl"/>
        </w:rPr>
        <w:t>.</w:t>
      </w:r>
      <w:r w:rsidR="008C18BC" w:rsidRPr="003F677F">
        <w:t xml:space="preserve"> </w:t>
      </w:r>
      <w:r w:rsidR="00CD2D88" w:rsidRPr="003F677F">
        <w:t xml:space="preserve">El 14 de febrero de 1996 </w:t>
      </w:r>
      <w:r w:rsidR="00F6780D" w:rsidRPr="003F677F">
        <w:t>dicho tribunal emitió una serie de recomendaciones relacionadas con el proyecto de pacto colectivo</w:t>
      </w:r>
      <w:r w:rsidR="00F6780D">
        <w:rPr>
          <w:rStyle w:val="FootnoteReference"/>
          <w:lang w:val="es-ES_tradnl"/>
        </w:rPr>
        <w:footnoteReference w:id="9"/>
      </w:r>
      <w:r w:rsidR="004C3D7A" w:rsidRPr="003F677F">
        <w:t xml:space="preserve">. </w:t>
      </w:r>
      <w:r w:rsidR="00647A1E" w:rsidRPr="003F677F">
        <w:t>Finalmente, e</w:t>
      </w:r>
      <w:r w:rsidR="00F6780D" w:rsidRPr="003F677F">
        <w:t xml:space="preserve">l 15 de febrero de 1996 el Tribunal dio por concluido </w:t>
      </w:r>
      <w:r w:rsidR="00F279BE" w:rsidRPr="003F677F">
        <w:t>el proceso de conciliación</w:t>
      </w:r>
      <w:r w:rsidR="008C18BC">
        <w:rPr>
          <w:rStyle w:val="FootnoteReference"/>
          <w:lang w:val="es-ES_tradnl"/>
        </w:rPr>
        <w:footnoteReference w:id="10"/>
      </w:r>
      <w:r w:rsidR="00F279BE" w:rsidRPr="003F677F">
        <w:t xml:space="preserve">. </w:t>
      </w:r>
    </w:p>
    <w:p w:rsidR="003F677F" w:rsidRPr="003F677F" w:rsidRDefault="003F677F" w:rsidP="00B54921">
      <w:pPr>
        <w:pStyle w:val="ListParagraph"/>
        <w:tabs>
          <w:tab w:val="left" w:pos="720"/>
        </w:tabs>
        <w:rPr>
          <w:lang w:val="es-VE"/>
        </w:rPr>
      </w:pPr>
    </w:p>
    <w:p w:rsidR="003F677F" w:rsidRDefault="00F279BE" w:rsidP="00B54921">
      <w:pPr>
        <w:pStyle w:val="parrafos"/>
        <w:numPr>
          <w:ilvl w:val="0"/>
          <w:numId w:val="56"/>
        </w:numPr>
        <w:tabs>
          <w:tab w:val="left" w:pos="720"/>
        </w:tabs>
        <w:ind w:left="0" w:firstLine="0"/>
      </w:pPr>
      <w:r w:rsidRPr="003F677F">
        <w:t xml:space="preserve">Según indicó la parte peticionaria, </w:t>
      </w:r>
      <w:r w:rsidR="00FD0A0D" w:rsidRPr="003F677F">
        <w:t xml:space="preserve">el </w:t>
      </w:r>
      <w:r w:rsidR="004C6DC2" w:rsidRPr="003F677F">
        <w:t>16 de febrero de 1996</w:t>
      </w:r>
      <w:r w:rsidRPr="003F677F">
        <w:t xml:space="preserve"> presentó un escrito a</w:t>
      </w:r>
      <w:r w:rsidR="00647A1E" w:rsidRPr="003F677F">
        <w:t>nte</w:t>
      </w:r>
      <w:r w:rsidRPr="003F677F">
        <w:t xml:space="preserve"> la Sala Primera de la Corte de Apelaciones soli</w:t>
      </w:r>
      <w:r w:rsidR="004C6DC2" w:rsidRPr="003F677F">
        <w:t>citando que se ordenar</w:t>
      </w:r>
      <w:r w:rsidR="0044013E">
        <w:t>a</w:t>
      </w:r>
      <w:r w:rsidR="004C6DC2" w:rsidRPr="003F677F">
        <w:t xml:space="preserve"> a la Inspección General </w:t>
      </w:r>
      <w:r w:rsidR="00647A1E" w:rsidRPr="003F677F">
        <w:t>proceder para</w:t>
      </w:r>
      <w:r w:rsidR="004C6DC2" w:rsidRPr="003F677F">
        <w:t xml:space="preserve"> determinar mediante conteo, si los trabajadores que plantearon el conflicto laboral constituían por lo menos las dos terceras partes del Organismo Judicial, y por ende declarar la legalidad de una huelga, como lo exige el Código de Trabajo</w:t>
      </w:r>
      <w:r w:rsidR="00B37CF2">
        <w:rPr>
          <w:rStyle w:val="FootnoteReference"/>
          <w:lang w:val="es-ES_tradnl"/>
        </w:rPr>
        <w:footnoteReference w:id="11"/>
      </w:r>
      <w:r w:rsidR="00E958F1" w:rsidRPr="003F677F">
        <w:rPr>
          <w:lang w:val="es-ES_tradnl"/>
        </w:rPr>
        <w:t>.</w:t>
      </w:r>
      <w:r w:rsidR="00905D06" w:rsidRPr="003F677F">
        <w:t xml:space="preserve"> </w:t>
      </w:r>
      <w:r w:rsidR="00B44F0A" w:rsidRPr="003F677F">
        <w:t xml:space="preserve"> </w:t>
      </w:r>
    </w:p>
    <w:p w:rsidR="003F677F" w:rsidRPr="003F677F" w:rsidRDefault="003F677F" w:rsidP="00B54921">
      <w:pPr>
        <w:pStyle w:val="ListParagraph"/>
        <w:tabs>
          <w:tab w:val="left" w:pos="720"/>
        </w:tabs>
        <w:rPr>
          <w:lang w:val="es-VE"/>
        </w:rPr>
      </w:pPr>
    </w:p>
    <w:p w:rsidR="003F677F" w:rsidRDefault="00E13A36" w:rsidP="00B54921">
      <w:pPr>
        <w:pStyle w:val="parrafos"/>
        <w:numPr>
          <w:ilvl w:val="0"/>
          <w:numId w:val="56"/>
        </w:numPr>
        <w:tabs>
          <w:tab w:val="left" w:pos="720"/>
        </w:tabs>
        <w:ind w:left="0" w:firstLine="0"/>
      </w:pPr>
      <w:r w:rsidRPr="003F677F">
        <w:t>En la misma fecha, la Sala Primer</w:t>
      </w:r>
      <w:r w:rsidR="008C18BC" w:rsidRPr="003F677F">
        <w:t>a</w:t>
      </w:r>
      <w:r w:rsidRPr="003F677F">
        <w:t xml:space="preserve"> de la Corte de Apelaciones de Trabajo y </w:t>
      </w:r>
      <w:r w:rsidR="005D24BE" w:rsidRPr="003F677F">
        <w:t>Previsión</w:t>
      </w:r>
      <w:r w:rsidR="00A11511" w:rsidRPr="003F677F">
        <w:t xml:space="preserve"> Social admitió el recurso </w:t>
      </w:r>
      <w:r w:rsidRPr="003F677F">
        <w:t xml:space="preserve">y ordenó a la Inspección General de Trabajo “para que por medio de su cuerpo de Inspectores de </w:t>
      </w:r>
      <w:r w:rsidRPr="003F677F">
        <w:lastRenderedPageBreak/>
        <w:t xml:space="preserve">Trabajo se practique recuento de los trabajadores del Organismo Judicial que apoyan el movimiento y de quienes no lo apoyan en todos </w:t>
      </w:r>
      <w:r w:rsidR="00A11511" w:rsidRPr="003F677F">
        <w:t xml:space="preserve">los tribunales de la República </w:t>
      </w:r>
      <w:r w:rsidRPr="003F677F">
        <w:t>y todos los servicios y dependencias administrativas, de todo orden y jerarquía que forman parte del Organismo Judicial”</w:t>
      </w:r>
      <w:r w:rsidR="00B337A8">
        <w:rPr>
          <w:rStyle w:val="FootnoteReference"/>
        </w:rPr>
        <w:footnoteReference w:id="12"/>
      </w:r>
      <w:r w:rsidRPr="003F677F">
        <w:t xml:space="preserve">. </w:t>
      </w:r>
    </w:p>
    <w:p w:rsidR="003F677F" w:rsidRPr="003F677F" w:rsidRDefault="003F677F" w:rsidP="00B54921">
      <w:pPr>
        <w:pStyle w:val="ListParagraph"/>
        <w:tabs>
          <w:tab w:val="left" w:pos="720"/>
        </w:tabs>
        <w:rPr>
          <w:lang w:val="es-VE"/>
        </w:rPr>
      </w:pPr>
    </w:p>
    <w:p w:rsidR="003F677F" w:rsidRPr="003F677F" w:rsidRDefault="004C6DC2" w:rsidP="00B54921">
      <w:pPr>
        <w:pStyle w:val="parrafos"/>
        <w:numPr>
          <w:ilvl w:val="0"/>
          <w:numId w:val="56"/>
        </w:numPr>
        <w:tabs>
          <w:tab w:val="left" w:pos="720"/>
        </w:tabs>
        <w:ind w:left="0" w:firstLine="0"/>
      </w:pPr>
      <w:r w:rsidRPr="003F677F">
        <w:t xml:space="preserve">El 19 de febrero de </w:t>
      </w:r>
      <w:r w:rsidR="007C08FA" w:rsidRPr="003F677F">
        <w:t xml:space="preserve">1996 </w:t>
      </w:r>
      <w:r w:rsidR="00E958F1" w:rsidRPr="003F677F">
        <w:rPr>
          <w:lang w:val="es-ES_tradnl"/>
        </w:rPr>
        <w:t>el O</w:t>
      </w:r>
      <w:r w:rsidR="00225A75" w:rsidRPr="003F677F">
        <w:rPr>
          <w:lang w:val="es-ES_tradnl"/>
        </w:rPr>
        <w:t xml:space="preserve">rganismo </w:t>
      </w:r>
      <w:r w:rsidR="00E958F1" w:rsidRPr="003F677F">
        <w:rPr>
          <w:lang w:val="es-ES_tradnl"/>
        </w:rPr>
        <w:t>J</w:t>
      </w:r>
      <w:r w:rsidR="00225A75" w:rsidRPr="003F677F">
        <w:rPr>
          <w:lang w:val="es-ES_tradnl"/>
        </w:rPr>
        <w:t>udicial</w:t>
      </w:r>
      <w:r w:rsidR="00E958F1" w:rsidRPr="003F677F">
        <w:rPr>
          <w:lang w:val="es-ES_tradnl"/>
        </w:rPr>
        <w:t xml:space="preserve"> interpuso un recurso de nulidad por infracción de la ley cont</w:t>
      </w:r>
      <w:r w:rsidR="003A777C" w:rsidRPr="003F677F">
        <w:rPr>
          <w:lang w:val="es-ES_tradnl"/>
        </w:rPr>
        <w:t xml:space="preserve">ra las resoluciones </w:t>
      </w:r>
      <w:r w:rsidR="005053BA" w:rsidRPr="003F677F">
        <w:rPr>
          <w:lang w:val="es-ES_tradnl"/>
        </w:rPr>
        <w:t>que admitieron el conteo para lograr la huelga legal</w:t>
      </w:r>
      <w:r w:rsidR="00E958F1">
        <w:rPr>
          <w:rStyle w:val="FootnoteReference"/>
          <w:lang w:val="es-ES_tradnl"/>
        </w:rPr>
        <w:footnoteReference w:id="13"/>
      </w:r>
      <w:r w:rsidR="00471B6F" w:rsidRPr="003F677F">
        <w:rPr>
          <w:lang w:val="es-ES_tradnl"/>
        </w:rPr>
        <w:t>. El 20 de febrero de 199</w:t>
      </w:r>
      <w:r w:rsidR="00F752CE">
        <w:rPr>
          <w:lang w:val="es-ES_tradnl"/>
        </w:rPr>
        <w:t>6</w:t>
      </w:r>
      <w:r w:rsidR="00471B6F" w:rsidRPr="003F677F">
        <w:rPr>
          <w:lang w:val="es-ES_tradnl"/>
        </w:rPr>
        <w:t xml:space="preserve"> el Organismo Judicial presentó un nuevo escrito solicitando que se tome en cuenta el perjuicio que causaría a Guatemala una huelga del Sindicato de Trabajadores del Organismo Judicial</w:t>
      </w:r>
      <w:r w:rsidR="00E958F1">
        <w:rPr>
          <w:rStyle w:val="FootnoteReference"/>
          <w:lang w:val="es-ES_tradnl"/>
        </w:rPr>
        <w:footnoteReference w:id="14"/>
      </w:r>
      <w:r w:rsidR="00471B6F" w:rsidRPr="003F677F">
        <w:rPr>
          <w:lang w:val="es-ES_tradnl"/>
        </w:rPr>
        <w:t xml:space="preserve"> . </w:t>
      </w:r>
    </w:p>
    <w:p w:rsidR="003F677F" w:rsidRPr="00472B9F" w:rsidRDefault="003F677F" w:rsidP="00472B9F">
      <w:pPr>
        <w:tabs>
          <w:tab w:val="left" w:pos="720"/>
        </w:tabs>
        <w:rPr>
          <w:lang w:val="es-ES_tradnl"/>
        </w:rPr>
      </w:pPr>
    </w:p>
    <w:p w:rsidR="003F677F" w:rsidRDefault="00FD0A0D" w:rsidP="00B54921">
      <w:pPr>
        <w:pStyle w:val="parrafos"/>
        <w:numPr>
          <w:ilvl w:val="0"/>
          <w:numId w:val="56"/>
        </w:numPr>
        <w:tabs>
          <w:tab w:val="left" w:pos="720"/>
        </w:tabs>
        <w:ind w:left="0" w:firstLine="0"/>
      </w:pPr>
      <w:r w:rsidRPr="003F677F">
        <w:rPr>
          <w:lang w:val="es-ES_tradnl"/>
        </w:rPr>
        <w:t>E</w:t>
      </w:r>
      <w:r w:rsidR="002C1841" w:rsidRPr="003F677F">
        <w:rPr>
          <w:lang w:val="es-ES_tradnl"/>
        </w:rPr>
        <w:t xml:space="preserve">l 23 de febrero de 1996 </w:t>
      </w:r>
      <w:r w:rsidR="00E958F1" w:rsidRPr="003F677F">
        <w:rPr>
          <w:lang w:val="es-ES_tradnl"/>
        </w:rPr>
        <w:t xml:space="preserve">la </w:t>
      </w:r>
      <w:r w:rsidRPr="003F677F">
        <w:rPr>
          <w:lang w:val="es-ES_tradnl"/>
        </w:rPr>
        <w:t>Sala Primera de la C</w:t>
      </w:r>
      <w:r w:rsidR="002C1841" w:rsidRPr="003F677F">
        <w:rPr>
          <w:lang w:val="es-ES_tradnl"/>
        </w:rPr>
        <w:t>orte</w:t>
      </w:r>
      <w:r w:rsidR="00E958F1" w:rsidRPr="003F677F">
        <w:rPr>
          <w:lang w:val="es-ES_tradnl"/>
        </w:rPr>
        <w:t xml:space="preserve"> </w:t>
      </w:r>
      <w:r w:rsidRPr="003F677F">
        <w:rPr>
          <w:lang w:val="es-ES_tradnl"/>
        </w:rPr>
        <w:t xml:space="preserve">de Apelaciones de </w:t>
      </w:r>
      <w:r w:rsidR="00EB1248">
        <w:rPr>
          <w:lang w:val="es-ES_tradnl"/>
        </w:rPr>
        <w:t>T</w:t>
      </w:r>
      <w:r w:rsidRPr="003F677F">
        <w:rPr>
          <w:lang w:val="es-ES_tradnl"/>
        </w:rPr>
        <w:t xml:space="preserve">rabajo y Previsión Social </w:t>
      </w:r>
      <w:r w:rsidR="00472B9F">
        <w:rPr>
          <w:lang w:val="es-ES_tradnl"/>
        </w:rPr>
        <w:t>declaró</w:t>
      </w:r>
      <w:r w:rsidR="00E958F1" w:rsidRPr="003F677F">
        <w:rPr>
          <w:lang w:val="es-ES_tradnl"/>
        </w:rPr>
        <w:t xml:space="preserve"> sin lugar el recurso de nulidad planteado por el O</w:t>
      </w:r>
      <w:r w:rsidR="002C1841" w:rsidRPr="003F677F">
        <w:rPr>
          <w:lang w:val="es-ES_tradnl"/>
        </w:rPr>
        <w:t xml:space="preserve">rganismo </w:t>
      </w:r>
      <w:r w:rsidR="00E958F1" w:rsidRPr="003F677F">
        <w:rPr>
          <w:lang w:val="es-ES_tradnl"/>
        </w:rPr>
        <w:t>J</w:t>
      </w:r>
      <w:r w:rsidR="002C1841" w:rsidRPr="003F677F">
        <w:rPr>
          <w:lang w:val="es-ES_tradnl"/>
        </w:rPr>
        <w:t>udicial</w:t>
      </w:r>
      <w:r w:rsidR="00984C41">
        <w:rPr>
          <w:rStyle w:val="FootnoteReference"/>
          <w:lang w:val="es-ES_tradnl"/>
        </w:rPr>
        <w:footnoteReference w:id="15"/>
      </w:r>
      <w:r w:rsidR="00090D18" w:rsidRPr="003F677F">
        <w:rPr>
          <w:lang w:val="es-ES_tradnl"/>
        </w:rPr>
        <w:t>.</w:t>
      </w:r>
      <w:r w:rsidR="00DC3080" w:rsidRPr="003F677F">
        <w:t xml:space="preserve"> </w:t>
      </w:r>
    </w:p>
    <w:p w:rsidR="003F677F" w:rsidRPr="003F677F" w:rsidRDefault="003F677F" w:rsidP="00B54921">
      <w:pPr>
        <w:pStyle w:val="ListParagraph"/>
        <w:tabs>
          <w:tab w:val="left" w:pos="720"/>
        </w:tabs>
        <w:rPr>
          <w:lang w:val="es-VE"/>
        </w:rPr>
      </w:pPr>
    </w:p>
    <w:p w:rsidR="003F677F" w:rsidRDefault="00FD0A0D" w:rsidP="00B54921">
      <w:pPr>
        <w:pStyle w:val="parrafos"/>
        <w:numPr>
          <w:ilvl w:val="0"/>
          <w:numId w:val="56"/>
        </w:numPr>
        <w:tabs>
          <w:tab w:val="left" w:pos="720"/>
        </w:tabs>
        <w:ind w:left="0" w:firstLine="0"/>
      </w:pPr>
      <w:r w:rsidRPr="003F677F">
        <w:t>Con posterioridad el Estado presentó un recurso de apelación contra la resolución anterior</w:t>
      </w:r>
      <w:r w:rsidR="00C8328F" w:rsidRPr="003F677F">
        <w:t xml:space="preserve"> ante la Corte Suprema de justicia</w:t>
      </w:r>
      <w:r w:rsidR="00C8328F" w:rsidRPr="00FD0A0D">
        <w:rPr>
          <w:rStyle w:val="FootnoteReference"/>
          <w:lang w:val="es-ES_tradnl"/>
        </w:rPr>
        <w:footnoteReference w:id="16"/>
      </w:r>
      <w:r w:rsidR="00C8328F" w:rsidRPr="003F677F">
        <w:t xml:space="preserve">. </w:t>
      </w:r>
      <w:r w:rsidRPr="003F677F">
        <w:t>Asimismo, consta que la Inspección General realizó una consulta a la Sala Primera para determinar si debía proceder con el conteo</w:t>
      </w:r>
      <w:r w:rsidR="00AF3F2C" w:rsidRPr="00FD0A0D">
        <w:rPr>
          <w:rStyle w:val="FootnoteReference"/>
          <w:lang w:val="es-ES_tradnl"/>
        </w:rPr>
        <w:footnoteReference w:id="17"/>
      </w:r>
      <w:r w:rsidR="00BF165E">
        <w:t xml:space="preserve">. </w:t>
      </w:r>
    </w:p>
    <w:p w:rsidR="003F677F" w:rsidRPr="003F677F" w:rsidRDefault="003F677F" w:rsidP="00B54921">
      <w:pPr>
        <w:pStyle w:val="ListParagraph"/>
        <w:tabs>
          <w:tab w:val="left" w:pos="720"/>
        </w:tabs>
        <w:rPr>
          <w:lang w:val="es-VE"/>
        </w:rPr>
      </w:pPr>
    </w:p>
    <w:p w:rsidR="00C150DC" w:rsidRPr="003F677F" w:rsidRDefault="00FD0A0D" w:rsidP="00B54921">
      <w:pPr>
        <w:pStyle w:val="parrafos"/>
        <w:numPr>
          <w:ilvl w:val="0"/>
          <w:numId w:val="56"/>
        </w:numPr>
        <w:tabs>
          <w:tab w:val="left" w:pos="720"/>
        </w:tabs>
        <w:ind w:left="0" w:firstLine="0"/>
      </w:pPr>
      <w:r w:rsidRPr="003F677F">
        <w:t xml:space="preserve">El 26 de febrero de 1996 </w:t>
      </w:r>
      <w:r w:rsidR="00AF3F2C" w:rsidRPr="003F677F">
        <w:t>la Sala Primera de la Corte de Apelaciones de Trabajo y Previsión Social</w:t>
      </w:r>
      <w:r w:rsidRPr="003F677F">
        <w:t xml:space="preserve"> determinó que se debía suspender el conteo hasta resolver las impugnaciones presentadas por el Estado</w:t>
      </w:r>
      <w:r w:rsidR="00942754" w:rsidRPr="00FD0A0D">
        <w:rPr>
          <w:rStyle w:val="FootnoteReference"/>
          <w:lang w:val="es-ES_tradnl"/>
        </w:rPr>
        <w:footnoteReference w:id="18"/>
      </w:r>
      <w:r w:rsidR="003A3E0D" w:rsidRPr="003F677F">
        <w:rPr>
          <w:lang w:val="es-ES_tradnl"/>
        </w:rPr>
        <w:t>.</w:t>
      </w:r>
    </w:p>
    <w:p w:rsidR="00CA6207" w:rsidRPr="00CA6207" w:rsidRDefault="00CA6207"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VE"/>
        </w:rPr>
      </w:pPr>
    </w:p>
    <w:p w:rsidR="009A4DF9" w:rsidRPr="00BE38A9" w:rsidRDefault="009A4DF9" w:rsidP="00B54921">
      <w:pPr>
        <w:pStyle w:val="Heading3"/>
        <w:numPr>
          <w:ilvl w:val="0"/>
          <w:numId w:val="60"/>
        </w:numPr>
        <w:tabs>
          <w:tab w:val="left" w:pos="720"/>
        </w:tabs>
        <w:ind w:left="360"/>
      </w:pPr>
      <w:bookmarkStart w:id="15" w:name="_Toc14884441"/>
      <w:r>
        <w:t>Realización de la huelga</w:t>
      </w:r>
      <w:bookmarkEnd w:id="15"/>
      <w:r>
        <w:t xml:space="preserve"> </w:t>
      </w:r>
    </w:p>
    <w:p w:rsidR="00E958F1" w:rsidRDefault="00E958F1" w:rsidP="00B54921">
      <w:pPr>
        <w:pStyle w:val="ListParagraph"/>
        <w:tabs>
          <w:tab w:val="left" w:pos="720"/>
        </w:tabs>
        <w:rPr>
          <w:rFonts w:asciiTheme="majorHAnsi" w:hAnsiTheme="majorHAnsi"/>
          <w:sz w:val="20"/>
          <w:szCs w:val="20"/>
          <w:lang w:val="es-ES_tradnl"/>
        </w:rPr>
      </w:pPr>
    </w:p>
    <w:p w:rsidR="003F677F" w:rsidRDefault="005A0CD2" w:rsidP="00B54921">
      <w:pPr>
        <w:pStyle w:val="parrafos"/>
        <w:numPr>
          <w:ilvl w:val="0"/>
          <w:numId w:val="56"/>
        </w:numPr>
        <w:tabs>
          <w:tab w:val="left" w:pos="720"/>
        </w:tabs>
        <w:ind w:left="0" w:firstLine="0"/>
        <w:rPr>
          <w:lang w:val="es-ES_tradnl"/>
        </w:rPr>
      </w:pPr>
      <w:r>
        <w:rPr>
          <w:lang w:val="es-ES_tradnl"/>
        </w:rPr>
        <w:t>Entre el 19 de marzo y 2</w:t>
      </w:r>
      <w:r w:rsidR="001C6592">
        <w:rPr>
          <w:lang w:val="es-ES_tradnl"/>
        </w:rPr>
        <w:t xml:space="preserve"> de abril de 1996 miembros del Sindicato de Trabajadores del Organismo </w:t>
      </w:r>
      <w:r w:rsidR="001C6592" w:rsidRPr="00C03842">
        <w:t>Judicial</w:t>
      </w:r>
      <w:r w:rsidR="001C6592">
        <w:rPr>
          <w:lang w:val="es-ES_tradnl"/>
        </w:rPr>
        <w:t xml:space="preserve"> realizaron una huelga. Para ese momento, el conteo seguía paralizado por lo que no se había declarado la legitimidad de la misma</w:t>
      </w:r>
      <w:r w:rsidR="005A2B6A">
        <w:rPr>
          <w:rStyle w:val="FootnoteReference"/>
          <w:lang w:val="es-ES_tradnl"/>
        </w:rPr>
        <w:footnoteReference w:id="19"/>
      </w:r>
      <w:r w:rsidR="00BF165E">
        <w:rPr>
          <w:lang w:val="es-ES_tradnl"/>
        </w:rPr>
        <w:t>.</w:t>
      </w:r>
    </w:p>
    <w:p w:rsidR="003F677F" w:rsidRDefault="003F677F" w:rsidP="00B54921">
      <w:pPr>
        <w:pStyle w:val="parrafos"/>
        <w:tabs>
          <w:tab w:val="left" w:pos="720"/>
        </w:tabs>
        <w:rPr>
          <w:lang w:val="es-ES_tradnl"/>
        </w:rPr>
      </w:pPr>
    </w:p>
    <w:p w:rsidR="003F677F" w:rsidRDefault="00C8328F" w:rsidP="00B54921">
      <w:pPr>
        <w:pStyle w:val="parrafos"/>
        <w:numPr>
          <w:ilvl w:val="0"/>
          <w:numId w:val="56"/>
        </w:numPr>
        <w:tabs>
          <w:tab w:val="left" w:pos="720"/>
        </w:tabs>
        <w:ind w:left="0" w:firstLine="0"/>
        <w:rPr>
          <w:lang w:val="es-ES_tradnl"/>
        </w:rPr>
      </w:pPr>
      <w:r w:rsidRPr="003F677F">
        <w:rPr>
          <w:lang w:val="es-ES_tradnl"/>
        </w:rPr>
        <w:t>Según informó la parte peticionaria</w:t>
      </w:r>
      <w:r w:rsidR="00BF165E">
        <w:rPr>
          <w:lang w:val="es-ES_tradnl"/>
        </w:rPr>
        <w:t>,</w:t>
      </w:r>
      <w:r w:rsidRPr="003F677F">
        <w:rPr>
          <w:lang w:val="es-ES_tradnl"/>
        </w:rPr>
        <w:t xml:space="preserve"> como consecuencia de esta huelga, el Organismo Judicial decidió dejar de pagar los salarios a los trabajadores que </w:t>
      </w:r>
      <w:r w:rsidR="004F34EF">
        <w:rPr>
          <w:lang w:val="es-ES_tradnl"/>
        </w:rPr>
        <w:t>participaron en la huelga</w:t>
      </w:r>
      <w:r w:rsidRPr="003F677F">
        <w:rPr>
          <w:lang w:val="es-ES_tradnl"/>
        </w:rPr>
        <w:t xml:space="preserve">, por lo </w:t>
      </w:r>
      <w:r w:rsidR="00640FFE" w:rsidRPr="003F677F">
        <w:rPr>
          <w:lang w:val="es-ES_tradnl"/>
        </w:rPr>
        <w:t>cual aquellos</w:t>
      </w:r>
      <w:r w:rsidRPr="003F677F">
        <w:rPr>
          <w:lang w:val="es-ES_tradnl"/>
        </w:rPr>
        <w:t xml:space="preserve"> </w:t>
      </w:r>
      <w:r w:rsidR="00301856" w:rsidRPr="003F677F">
        <w:rPr>
          <w:lang w:val="es-ES_tradnl"/>
        </w:rPr>
        <w:t>plantearon una acción de amparo ante la Corte de Constitucionalidad</w:t>
      </w:r>
      <w:r w:rsidR="00301856">
        <w:rPr>
          <w:rStyle w:val="FootnoteReference"/>
          <w:lang w:val="es-ES_tradnl"/>
        </w:rPr>
        <w:footnoteReference w:id="20"/>
      </w:r>
      <w:r w:rsidR="00BF165E">
        <w:rPr>
          <w:lang w:val="es-ES_tradnl"/>
        </w:rPr>
        <w:t>.</w:t>
      </w:r>
    </w:p>
    <w:p w:rsidR="003F677F" w:rsidRDefault="003F677F" w:rsidP="00B54921">
      <w:pPr>
        <w:pStyle w:val="ListParagraph"/>
        <w:tabs>
          <w:tab w:val="left" w:pos="720"/>
        </w:tabs>
        <w:rPr>
          <w:lang w:val="es-ES_tradnl"/>
        </w:rPr>
      </w:pPr>
    </w:p>
    <w:p w:rsidR="009713B0" w:rsidRPr="003F677F" w:rsidRDefault="00C8328F" w:rsidP="00B54921">
      <w:pPr>
        <w:pStyle w:val="parrafos"/>
        <w:numPr>
          <w:ilvl w:val="0"/>
          <w:numId w:val="56"/>
        </w:numPr>
        <w:tabs>
          <w:tab w:val="left" w:pos="720"/>
        </w:tabs>
        <w:ind w:left="0" w:firstLine="0"/>
        <w:rPr>
          <w:lang w:val="es-ES_tradnl"/>
        </w:rPr>
      </w:pPr>
      <w:r w:rsidRPr="003F677F">
        <w:rPr>
          <w:lang w:val="es-ES_tradnl"/>
        </w:rPr>
        <w:t>El 2 de abril de 1996 la Corte de Constitucionali</w:t>
      </w:r>
      <w:r w:rsidR="00640FFE" w:rsidRPr="003F677F">
        <w:rPr>
          <w:lang w:val="es-ES_tradnl"/>
        </w:rPr>
        <w:t xml:space="preserve">dad </w:t>
      </w:r>
      <w:r w:rsidR="009713B0" w:rsidRPr="003F677F">
        <w:rPr>
          <w:lang w:val="es-ES_tradnl"/>
        </w:rPr>
        <w:t>otorgó un amparo provisional a las presuntas víctimas y ordenó el pago de los salarios a los trabajadores que reanuden sus labores, en los siguientes términos:</w:t>
      </w:r>
    </w:p>
    <w:p w:rsidR="008C6036" w:rsidRPr="00C03842" w:rsidRDefault="00C8328F"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r w:rsidRPr="00C03842">
        <w:rPr>
          <w:rFonts w:asciiTheme="majorHAnsi" w:hAnsiTheme="majorHAnsi"/>
          <w:sz w:val="20"/>
          <w:szCs w:val="20"/>
          <w:lang w:val="es-ES_tradnl"/>
        </w:rPr>
        <w:t xml:space="preserve"> </w:t>
      </w:r>
    </w:p>
    <w:p w:rsidR="00B838FC" w:rsidRPr="003F677F" w:rsidRDefault="008C603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V)</w:t>
      </w:r>
      <w:r w:rsidR="00C8328F" w:rsidRPr="003F677F">
        <w:rPr>
          <w:rFonts w:asciiTheme="majorHAnsi" w:hAnsiTheme="majorHAnsi"/>
          <w:sz w:val="18"/>
          <w:szCs w:val="18"/>
          <w:lang w:val="es-ES_tradnl"/>
        </w:rPr>
        <w:t xml:space="preserve"> (…)</w:t>
      </w:r>
      <w:r w:rsidRPr="003F677F">
        <w:rPr>
          <w:rFonts w:asciiTheme="majorHAnsi" w:hAnsiTheme="majorHAnsi"/>
          <w:sz w:val="18"/>
          <w:szCs w:val="18"/>
          <w:lang w:val="es-ES_tradnl"/>
        </w:rPr>
        <w:t xml:space="preserve"> en consecuencia deberá pagarse el salario correspondiente al mes de marzo </w:t>
      </w:r>
      <w:r w:rsidR="00C8328F" w:rsidRPr="003F677F">
        <w:rPr>
          <w:rFonts w:asciiTheme="majorHAnsi" w:hAnsiTheme="majorHAnsi"/>
          <w:sz w:val="18"/>
          <w:szCs w:val="18"/>
          <w:lang w:val="es-ES_tradnl"/>
        </w:rPr>
        <w:t>de 1996 a los trabajadores del Organismo J</w:t>
      </w:r>
      <w:r w:rsidRPr="003F677F">
        <w:rPr>
          <w:rFonts w:asciiTheme="majorHAnsi" w:hAnsiTheme="majorHAnsi"/>
          <w:sz w:val="18"/>
          <w:szCs w:val="18"/>
          <w:lang w:val="es-ES_tradnl"/>
        </w:rPr>
        <w:t>udicial que reanuden inmediatamente sus labores y cumplan efectivamente con las funciones inherentes a sus cargos, sin perjuicio de lo que al respecto conforme a sus facultades legales resuelvan los tribunales competentes que conozcan del conflicto colectivo a cuyos procedimientos deben</w:t>
      </w:r>
      <w:r w:rsidR="00C8328F" w:rsidRPr="003F677F">
        <w:rPr>
          <w:rFonts w:asciiTheme="majorHAnsi" w:hAnsiTheme="majorHAnsi"/>
          <w:sz w:val="18"/>
          <w:szCs w:val="18"/>
          <w:lang w:val="es-ES_tradnl"/>
        </w:rPr>
        <w:t xml:space="preserve"> </w:t>
      </w:r>
      <w:r w:rsidR="0066017F" w:rsidRPr="003F677F">
        <w:rPr>
          <w:rFonts w:asciiTheme="majorHAnsi" w:hAnsiTheme="majorHAnsi"/>
          <w:sz w:val="18"/>
          <w:szCs w:val="18"/>
          <w:lang w:val="es-ES_tradnl"/>
        </w:rPr>
        <w:t xml:space="preserve">atenerse </w:t>
      </w:r>
      <w:r w:rsidRPr="003F677F">
        <w:rPr>
          <w:rFonts w:asciiTheme="majorHAnsi" w:hAnsiTheme="majorHAnsi"/>
          <w:sz w:val="18"/>
          <w:szCs w:val="18"/>
          <w:lang w:val="es-ES_tradnl"/>
        </w:rPr>
        <w:t>estrictamente las partes</w:t>
      </w:r>
      <w:r w:rsidRPr="003F677F">
        <w:rPr>
          <w:rStyle w:val="FootnoteReference"/>
          <w:rFonts w:asciiTheme="majorHAnsi" w:hAnsiTheme="majorHAnsi"/>
          <w:sz w:val="18"/>
          <w:szCs w:val="18"/>
          <w:lang w:val="es-ES_tradnl"/>
        </w:rPr>
        <w:footnoteReference w:id="21"/>
      </w:r>
      <w:r w:rsidRPr="003F677F">
        <w:rPr>
          <w:rFonts w:asciiTheme="majorHAnsi" w:hAnsiTheme="majorHAnsi"/>
          <w:sz w:val="18"/>
          <w:szCs w:val="18"/>
          <w:lang w:val="es-ES_tradnl"/>
        </w:rPr>
        <w:t>.</w:t>
      </w:r>
    </w:p>
    <w:p w:rsidR="00E958F1" w:rsidRDefault="00E958F1" w:rsidP="00B54921">
      <w:pPr>
        <w:pStyle w:val="ListParagraph"/>
        <w:tabs>
          <w:tab w:val="left" w:pos="720"/>
        </w:tabs>
        <w:rPr>
          <w:rFonts w:asciiTheme="majorHAnsi" w:hAnsiTheme="majorHAnsi"/>
          <w:sz w:val="20"/>
          <w:szCs w:val="20"/>
          <w:lang w:val="es-ES_tradnl"/>
        </w:rPr>
      </w:pPr>
    </w:p>
    <w:p w:rsidR="003F677F" w:rsidRPr="003F677F" w:rsidRDefault="00E958F1" w:rsidP="00B54921">
      <w:pPr>
        <w:pStyle w:val="parrafos"/>
        <w:numPr>
          <w:ilvl w:val="0"/>
          <w:numId w:val="56"/>
        </w:numPr>
        <w:tabs>
          <w:tab w:val="left" w:pos="720"/>
        </w:tabs>
        <w:ind w:left="0" w:firstLine="0"/>
        <w:rPr>
          <w:b/>
          <w:lang w:val="es-ES_tradnl"/>
        </w:rPr>
      </w:pPr>
      <w:r>
        <w:rPr>
          <w:lang w:val="es-ES_tradnl"/>
        </w:rPr>
        <w:lastRenderedPageBreak/>
        <w:t>El Estado afirmó</w:t>
      </w:r>
      <w:r w:rsidR="00F06743">
        <w:rPr>
          <w:lang w:val="es-ES_tradnl"/>
        </w:rPr>
        <w:t>, sin aportar sustento documental,</w:t>
      </w:r>
      <w:r>
        <w:rPr>
          <w:lang w:val="es-ES_tradnl"/>
        </w:rPr>
        <w:t xml:space="preserve"> que la Corte Suprema de </w:t>
      </w:r>
      <w:r w:rsidR="00EB1248">
        <w:rPr>
          <w:lang w:val="es-ES_tradnl"/>
        </w:rPr>
        <w:t>J</w:t>
      </w:r>
      <w:r>
        <w:rPr>
          <w:lang w:val="es-ES_tradnl"/>
        </w:rPr>
        <w:t>usticia pagó los salarios</w:t>
      </w:r>
      <w:r>
        <w:rPr>
          <w:rStyle w:val="FootnoteReference"/>
          <w:lang w:val="es-ES_tradnl"/>
        </w:rPr>
        <w:footnoteReference w:id="22"/>
      </w:r>
      <w:r>
        <w:rPr>
          <w:lang w:val="es-ES_tradnl"/>
        </w:rPr>
        <w:t xml:space="preserve">. Por su parte el peticionario sostuvo que solo </w:t>
      </w:r>
      <w:r w:rsidR="00EB1248">
        <w:rPr>
          <w:lang w:val="es-ES_tradnl"/>
        </w:rPr>
        <w:t>cinco</w:t>
      </w:r>
      <w:r>
        <w:rPr>
          <w:lang w:val="es-ES_tradnl"/>
        </w:rPr>
        <w:t xml:space="preserve"> de ellos recibieron el pago correspondiente por los días holgados</w:t>
      </w:r>
      <w:r>
        <w:rPr>
          <w:rStyle w:val="FootnoteReference"/>
          <w:lang w:val="es-ES_tradnl"/>
        </w:rPr>
        <w:footnoteReference w:id="23"/>
      </w:r>
      <w:r>
        <w:rPr>
          <w:lang w:val="es-ES_tradnl"/>
        </w:rPr>
        <w:t>.</w:t>
      </w:r>
    </w:p>
    <w:p w:rsidR="003F677F" w:rsidRPr="003F677F" w:rsidRDefault="003F677F" w:rsidP="00B54921">
      <w:pPr>
        <w:pStyle w:val="parrafos"/>
        <w:tabs>
          <w:tab w:val="left" w:pos="720"/>
        </w:tabs>
        <w:rPr>
          <w:b/>
          <w:lang w:val="es-ES_tradnl"/>
        </w:rPr>
      </w:pPr>
    </w:p>
    <w:p w:rsidR="004A4541" w:rsidRPr="003F677F" w:rsidRDefault="003A3E0D" w:rsidP="00B54921">
      <w:pPr>
        <w:pStyle w:val="parrafos"/>
        <w:numPr>
          <w:ilvl w:val="0"/>
          <w:numId w:val="56"/>
        </w:numPr>
        <w:tabs>
          <w:tab w:val="left" w:pos="720"/>
        </w:tabs>
        <w:ind w:left="0" w:firstLine="0"/>
        <w:rPr>
          <w:b/>
          <w:lang w:val="es-ES_tradnl"/>
        </w:rPr>
      </w:pPr>
      <w:r w:rsidRPr="003F677F">
        <w:rPr>
          <w:lang w:val="es-ES_tradnl"/>
        </w:rPr>
        <w:t>El 2 de abril de 1996 la</w:t>
      </w:r>
      <w:r w:rsidR="004A4541" w:rsidRPr="003F677F">
        <w:rPr>
          <w:lang w:val="es-ES_tradnl"/>
        </w:rPr>
        <w:t xml:space="preserve"> Cámara Civil de la Corte Suprema de Justicia </w:t>
      </w:r>
      <w:r w:rsidR="00301856" w:rsidRPr="003F677F">
        <w:rPr>
          <w:lang w:val="es-ES_tradnl"/>
        </w:rPr>
        <w:t xml:space="preserve">declaró sin lugar el recurso de apelación interpuesto contra </w:t>
      </w:r>
      <w:r w:rsidR="004A4541" w:rsidRPr="003F677F">
        <w:rPr>
          <w:lang w:val="es-ES_tradnl"/>
        </w:rPr>
        <w:t xml:space="preserve">la decisión de la Sala Primera de la Corte de Apelaciones de Trabajo y Previsión Social de 23 de febrero de 1996. </w:t>
      </w:r>
      <w:r w:rsidR="00882FBB" w:rsidRPr="003F677F">
        <w:rPr>
          <w:lang w:val="es-ES_tradnl"/>
        </w:rPr>
        <w:t xml:space="preserve">El Tribunal razonó que: </w:t>
      </w:r>
    </w:p>
    <w:p w:rsidR="003A3E0D"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3A3E0D" w:rsidRPr="003F677F" w:rsidRDefault="00C0384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(…)El T</w:t>
      </w:r>
      <w:r w:rsidR="003A3E0D" w:rsidRPr="003F677F">
        <w:rPr>
          <w:rFonts w:asciiTheme="majorHAnsi" w:hAnsiTheme="majorHAnsi"/>
          <w:sz w:val="18"/>
          <w:szCs w:val="18"/>
          <w:lang w:val="es-ES_tradnl"/>
        </w:rPr>
        <w:t>ribunal de la causa procedió en acatamiento de lo dispuesto en el artículo 394 del Código de Trabajo, a disponer que la Inspección General de Trabajo practicara el recuento de los trabajadores del Organismo Judicial que apoyan el movimiento y de quienes no lo apoyan, para estar en condiciones de pronunciarse sobre la petición ya dicha</w:t>
      </w:r>
      <w:r w:rsidR="00CB48B0" w:rsidRPr="003F677F">
        <w:rPr>
          <w:rFonts w:asciiTheme="majorHAnsi" w:hAnsiTheme="majorHAnsi"/>
          <w:sz w:val="18"/>
          <w:szCs w:val="18"/>
          <w:lang w:val="es-ES_tradnl"/>
        </w:rPr>
        <w:t xml:space="preserve">. </w:t>
      </w:r>
      <w:r w:rsidR="003A3E0D" w:rsidRPr="003F677F">
        <w:rPr>
          <w:rFonts w:asciiTheme="majorHAnsi" w:hAnsiTheme="majorHAnsi"/>
          <w:sz w:val="18"/>
          <w:szCs w:val="18"/>
          <w:lang w:val="es-ES_tradnl"/>
        </w:rPr>
        <w:t xml:space="preserve">Al haber procedido en la forma señalada, el tribunal </w:t>
      </w:r>
      <w:r w:rsidR="003A3E0D" w:rsidRPr="003F677F">
        <w:rPr>
          <w:rFonts w:asciiTheme="majorHAnsi" w:hAnsiTheme="majorHAnsi"/>
          <w:i/>
          <w:sz w:val="18"/>
          <w:szCs w:val="18"/>
          <w:lang w:val="es-ES_tradnl"/>
        </w:rPr>
        <w:t>a</w:t>
      </w:r>
      <w:r w:rsidR="00C27206" w:rsidRPr="003F677F">
        <w:rPr>
          <w:rFonts w:asciiTheme="majorHAnsi" w:hAnsiTheme="majorHAnsi"/>
          <w:i/>
          <w:sz w:val="18"/>
          <w:szCs w:val="18"/>
          <w:lang w:val="es-ES_tradnl"/>
        </w:rPr>
        <w:t xml:space="preserve"> </w:t>
      </w:r>
      <w:r w:rsidR="003A3E0D" w:rsidRPr="003F677F">
        <w:rPr>
          <w:rFonts w:asciiTheme="majorHAnsi" w:hAnsiTheme="majorHAnsi"/>
          <w:i/>
          <w:sz w:val="18"/>
          <w:szCs w:val="18"/>
          <w:lang w:val="es-ES_tradnl"/>
        </w:rPr>
        <w:t>quo</w:t>
      </w:r>
      <w:r w:rsidR="00C27206" w:rsidRPr="003F677F">
        <w:rPr>
          <w:rFonts w:asciiTheme="majorHAnsi" w:hAnsiTheme="majorHAnsi"/>
          <w:sz w:val="18"/>
          <w:szCs w:val="18"/>
          <w:lang w:val="es-ES_tradnl"/>
        </w:rPr>
        <w:t xml:space="preserve">  ajustó</w:t>
      </w:r>
      <w:r w:rsidR="003A3E0D" w:rsidRPr="003F677F">
        <w:rPr>
          <w:rFonts w:asciiTheme="majorHAnsi" w:hAnsiTheme="majorHAnsi"/>
          <w:sz w:val="18"/>
          <w:szCs w:val="18"/>
          <w:lang w:val="es-ES_tradnl"/>
        </w:rPr>
        <w:t xml:space="preserve"> su proceder a la ley de la materi</w:t>
      </w:r>
      <w:r w:rsidR="00C27206" w:rsidRPr="003F677F">
        <w:rPr>
          <w:rFonts w:asciiTheme="majorHAnsi" w:hAnsiTheme="majorHAnsi"/>
          <w:sz w:val="18"/>
          <w:szCs w:val="18"/>
          <w:lang w:val="es-ES_tradnl"/>
        </w:rPr>
        <w:t>a y por consiguiente no conculcó</w:t>
      </w:r>
      <w:r w:rsidR="003A3E0D" w:rsidRPr="003F677F">
        <w:rPr>
          <w:rFonts w:asciiTheme="majorHAnsi" w:hAnsiTheme="majorHAnsi"/>
          <w:sz w:val="18"/>
          <w:szCs w:val="18"/>
          <w:lang w:val="es-ES_tradnl"/>
        </w:rPr>
        <w:t xml:space="preserve"> el contenido de las normas constitucionales y ordinarias invocadas por el apelante y tampoco existió violación de la ley que cause nulidad de lo resuelto.</w:t>
      </w:r>
    </w:p>
    <w:p w:rsidR="003A3E0D" w:rsidRPr="003F677F"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rsidR="00E958F1" w:rsidRPr="003F677F" w:rsidRDefault="003A3E0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w:t>
      </w:r>
      <w:r w:rsidR="00D723BE" w:rsidRPr="003F677F">
        <w:rPr>
          <w:rFonts w:asciiTheme="majorHAnsi" w:hAnsiTheme="majorHAnsi"/>
          <w:sz w:val="18"/>
          <w:szCs w:val="18"/>
          <w:lang w:val="es-ES_tradnl"/>
        </w:rPr>
        <w:t>Asimismo se estima que la gestión sobre el sometimiento del conflicto colectivo al procedimiento del arbitraje fue presentada en forma prematura en vista que,</w:t>
      </w:r>
      <w:r w:rsidRPr="003F677F">
        <w:rPr>
          <w:rFonts w:asciiTheme="majorHAnsi" w:hAnsiTheme="majorHAnsi"/>
          <w:sz w:val="18"/>
          <w:szCs w:val="18"/>
          <w:lang w:val="es-ES_tradnl"/>
        </w:rPr>
        <w:t xml:space="preserve"> al practicarse la</w:t>
      </w:r>
      <w:r w:rsidR="00527E9B" w:rsidRPr="003F677F">
        <w:rPr>
          <w:rFonts w:asciiTheme="majorHAnsi" w:hAnsiTheme="majorHAnsi"/>
          <w:sz w:val="18"/>
          <w:szCs w:val="18"/>
          <w:lang w:val="es-ES_tradnl"/>
        </w:rPr>
        <w:t>s</w:t>
      </w:r>
      <w:r w:rsidRPr="003F677F">
        <w:rPr>
          <w:rFonts w:asciiTheme="majorHAnsi" w:hAnsiTheme="majorHAnsi"/>
          <w:sz w:val="18"/>
          <w:szCs w:val="18"/>
          <w:lang w:val="es-ES_tradnl"/>
        </w:rPr>
        <w:t xml:space="preserve"> diligencias ordenadas, la Sala deberá pronunciarse sobre la pretensión del Sindicato y, además, respecto de la naturaleza del servicio de administración de justicia, en relación con lo dispuesto en el segundo párrafo del artículo 116 de la Constitución Política de la Republica</w:t>
      </w:r>
      <w:r w:rsidRPr="003F677F">
        <w:rPr>
          <w:rStyle w:val="FootnoteReference"/>
          <w:rFonts w:asciiTheme="majorHAnsi" w:hAnsiTheme="majorHAnsi"/>
          <w:sz w:val="18"/>
          <w:szCs w:val="18"/>
          <w:lang w:val="es-ES_tradnl"/>
        </w:rPr>
        <w:footnoteReference w:id="24"/>
      </w:r>
      <w:r w:rsidRPr="003F677F">
        <w:rPr>
          <w:rFonts w:asciiTheme="majorHAnsi" w:hAnsiTheme="majorHAnsi"/>
          <w:sz w:val="18"/>
          <w:szCs w:val="18"/>
          <w:lang w:val="es-ES_tradnl"/>
        </w:rPr>
        <w:t>.</w:t>
      </w:r>
    </w:p>
    <w:p w:rsidR="00306F0C" w:rsidRDefault="00306F0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lang w:val="es-ES_tradnl"/>
        </w:rPr>
      </w:pPr>
    </w:p>
    <w:p w:rsidR="00306F0C" w:rsidRPr="00BE38A9" w:rsidRDefault="00306F0C" w:rsidP="00306F0C">
      <w:pPr>
        <w:pStyle w:val="Heading3"/>
        <w:numPr>
          <w:ilvl w:val="0"/>
          <w:numId w:val="60"/>
        </w:numPr>
        <w:tabs>
          <w:tab w:val="left" w:pos="720"/>
        </w:tabs>
        <w:ind w:left="360"/>
      </w:pPr>
      <w:bookmarkStart w:id="16" w:name="_Toc14884442"/>
      <w:r>
        <w:t>Declaración de ilegitimidad de la huelga</w:t>
      </w:r>
      <w:bookmarkEnd w:id="16"/>
    </w:p>
    <w:p w:rsidR="00306F0C" w:rsidRPr="00C42234" w:rsidRDefault="00306F0C" w:rsidP="00306F0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3F677F" w:rsidRPr="003F677F" w:rsidRDefault="00E958F1" w:rsidP="00B54921">
      <w:pPr>
        <w:pStyle w:val="parrafos"/>
        <w:numPr>
          <w:ilvl w:val="0"/>
          <w:numId w:val="56"/>
        </w:numPr>
        <w:tabs>
          <w:tab w:val="left" w:pos="720"/>
        </w:tabs>
        <w:ind w:left="0" w:firstLine="0"/>
        <w:rPr>
          <w:b/>
          <w:lang w:val="es-ES_tradnl"/>
        </w:rPr>
      </w:pPr>
      <w:r w:rsidRPr="008378A1">
        <w:rPr>
          <w:lang w:val="es-ES_tradnl"/>
        </w:rPr>
        <w:t xml:space="preserve">El 23 de abril de 1996 la Procuraduría General de la Nación presentó un </w:t>
      </w:r>
      <w:r w:rsidR="00E7043F">
        <w:rPr>
          <w:lang w:val="es-ES_tradnl"/>
        </w:rPr>
        <w:t>incidente</w:t>
      </w:r>
      <w:r w:rsidRPr="008378A1">
        <w:rPr>
          <w:lang w:val="es-ES_tradnl"/>
        </w:rPr>
        <w:t xml:space="preserve"> </w:t>
      </w:r>
      <w:r w:rsidR="00C27206">
        <w:rPr>
          <w:lang w:val="es-ES_tradnl"/>
        </w:rPr>
        <w:t>ante la Sala P</w:t>
      </w:r>
      <w:r w:rsidR="00E7043F" w:rsidRPr="008378A1">
        <w:rPr>
          <w:lang w:val="es-ES_tradnl"/>
        </w:rPr>
        <w:t>rimera de la Corte de Apelaci</w:t>
      </w:r>
      <w:r w:rsidR="00C27206">
        <w:rPr>
          <w:lang w:val="es-ES_tradnl"/>
        </w:rPr>
        <w:t>ones</w:t>
      </w:r>
      <w:r w:rsidR="00E7043F" w:rsidRPr="008378A1">
        <w:rPr>
          <w:lang w:val="es-ES_tradnl"/>
        </w:rPr>
        <w:t xml:space="preserve"> de Trabajo y Previsión Socia</w:t>
      </w:r>
      <w:r w:rsidR="00E7043F">
        <w:rPr>
          <w:lang w:val="es-ES_tradnl"/>
        </w:rPr>
        <w:t xml:space="preserve">l </w:t>
      </w:r>
      <w:r w:rsidR="008E5A54">
        <w:rPr>
          <w:lang w:val="es-ES_tradnl"/>
        </w:rPr>
        <w:t xml:space="preserve">con el fin de obtener </w:t>
      </w:r>
      <w:r w:rsidR="00E7043F">
        <w:rPr>
          <w:lang w:val="es-ES_tradnl"/>
        </w:rPr>
        <w:t>la declaración de</w:t>
      </w:r>
      <w:r w:rsidR="00E42AAD">
        <w:rPr>
          <w:lang w:val="es-ES_tradnl"/>
        </w:rPr>
        <w:t xml:space="preserve"> ilegitimidad</w:t>
      </w:r>
      <w:r w:rsidRPr="008378A1">
        <w:rPr>
          <w:lang w:val="es-ES_tradnl"/>
        </w:rPr>
        <w:t xml:space="preserve"> e ilegal</w:t>
      </w:r>
      <w:r w:rsidR="00E42AAD">
        <w:rPr>
          <w:lang w:val="es-ES_tradnl"/>
        </w:rPr>
        <w:t>idad de</w:t>
      </w:r>
      <w:r w:rsidRPr="008378A1">
        <w:rPr>
          <w:lang w:val="es-ES_tradnl"/>
        </w:rPr>
        <w:t xml:space="preserve"> la huelga producida por </w:t>
      </w:r>
      <w:r w:rsidR="00527E9B">
        <w:rPr>
          <w:lang w:val="es-ES_tradnl"/>
        </w:rPr>
        <w:t xml:space="preserve">el </w:t>
      </w:r>
      <w:r w:rsidRPr="008378A1">
        <w:rPr>
          <w:lang w:val="es-ES_tradnl"/>
        </w:rPr>
        <w:t>STOJ</w:t>
      </w:r>
      <w:r w:rsidR="000B1FAE" w:rsidRPr="008378A1">
        <w:rPr>
          <w:rStyle w:val="FootnoteReference"/>
          <w:lang w:val="es-ES_tradnl"/>
        </w:rPr>
        <w:footnoteReference w:id="25"/>
      </w:r>
      <w:r w:rsidR="000B1FAE">
        <w:rPr>
          <w:lang w:val="es-ES_tradnl"/>
        </w:rPr>
        <w:t>.</w:t>
      </w:r>
      <w:r w:rsidR="000B1FAE" w:rsidRPr="008378A1">
        <w:rPr>
          <w:lang w:val="es-ES_tradnl"/>
        </w:rPr>
        <w:t xml:space="preserve"> </w:t>
      </w:r>
    </w:p>
    <w:p w:rsidR="003F677F" w:rsidRPr="003F677F" w:rsidRDefault="003F677F" w:rsidP="00B54921">
      <w:pPr>
        <w:pStyle w:val="parrafos"/>
        <w:tabs>
          <w:tab w:val="left" w:pos="720"/>
        </w:tabs>
        <w:rPr>
          <w:b/>
          <w:lang w:val="es-ES_tradnl"/>
        </w:rPr>
      </w:pPr>
    </w:p>
    <w:p w:rsidR="00B65256" w:rsidRPr="003F677F" w:rsidRDefault="0057325E" w:rsidP="00B54921">
      <w:pPr>
        <w:pStyle w:val="parrafos"/>
        <w:numPr>
          <w:ilvl w:val="0"/>
          <w:numId w:val="56"/>
        </w:numPr>
        <w:tabs>
          <w:tab w:val="left" w:pos="720"/>
        </w:tabs>
        <w:ind w:left="0" w:firstLine="0"/>
        <w:rPr>
          <w:b/>
          <w:lang w:val="es-ES_tradnl"/>
        </w:rPr>
      </w:pPr>
      <w:r w:rsidRPr="003F677F">
        <w:rPr>
          <w:lang w:val="es-ES_tradnl"/>
        </w:rPr>
        <w:t>El 13 de mayo de 1996 la Sala P</w:t>
      </w:r>
      <w:r w:rsidR="00B65256" w:rsidRPr="003F677F">
        <w:rPr>
          <w:lang w:val="es-ES_tradnl"/>
        </w:rPr>
        <w:t>rimera de la Corte de Apelaci</w:t>
      </w:r>
      <w:r w:rsidRPr="003F677F">
        <w:rPr>
          <w:lang w:val="es-ES_tradnl"/>
        </w:rPr>
        <w:t>ones</w:t>
      </w:r>
      <w:r w:rsidR="00B65256" w:rsidRPr="003F677F">
        <w:rPr>
          <w:lang w:val="es-ES_tradnl"/>
        </w:rPr>
        <w:t xml:space="preserve"> de Trabajo y Previsión Social declaró</w:t>
      </w:r>
      <w:r w:rsidR="003A4ED3" w:rsidRPr="003F677F">
        <w:rPr>
          <w:lang w:val="es-ES_tradnl"/>
        </w:rPr>
        <w:t xml:space="preserve"> con lugar el incidente promovido por la Procu</w:t>
      </w:r>
      <w:r w:rsidR="00BF165E">
        <w:rPr>
          <w:lang w:val="es-ES_tradnl"/>
        </w:rPr>
        <w:t xml:space="preserve">raduría General de la Nación y </w:t>
      </w:r>
      <w:r w:rsidR="003A4ED3" w:rsidRPr="003F677F">
        <w:rPr>
          <w:lang w:val="es-ES_tradnl"/>
        </w:rPr>
        <w:t xml:space="preserve">en consecuencia determinó que era ilegítimo el </w:t>
      </w:r>
      <w:r w:rsidR="00B65256" w:rsidRPr="003F677F">
        <w:rPr>
          <w:lang w:val="es-ES_tradnl"/>
        </w:rPr>
        <w:t xml:space="preserve">movimiento de huelga sostenido por </w:t>
      </w:r>
      <w:r w:rsidRPr="003F677F">
        <w:rPr>
          <w:lang w:val="es-ES_tradnl"/>
        </w:rPr>
        <w:t>miembros del Sindicato</w:t>
      </w:r>
      <w:r w:rsidR="00B65256" w:rsidRPr="003F677F">
        <w:rPr>
          <w:lang w:val="es-ES_tradnl"/>
        </w:rPr>
        <w:t xml:space="preserve"> </w:t>
      </w:r>
      <w:r w:rsidR="00B65256" w:rsidRPr="003F677F">
        <w:rPr>
          <w:bdr w:val="none" w:sz="0" w:space="0" w:color="auto" w:frame="1"/>
          <w:lang w:val="es-AR"/>
        </w:rPr>
        <w:t>y notificó</w:t>
      </w:r>
      <w:r w:rsidR="00B65256" w:rsidRPr="003F677F">
        <w:t xml:space="preserve"> que la C</w:t>
      </w:r>
      <w:r w:rsidRPr="003F677F">
        <w:t>orte Suprema de Justicia</w:t>
      </w:r>
      <w:r w:rsidR="00B65256" w:rsidRPr="003F677F">
        <w:t xml:space="preserve"> tenía 20 días para determinar quiénes habían participado de la huelga y ejecutar los despidos</w:t>
      </w:r>
      <w:r w:rsidR="00B65256">
        <w:rPr>
          <w:rStyle w:val="FootnoteReference"/>
          <w:lang w:val="es-ES_tradnl"/>
        </w:rPr>
        <w:footnoteReference w:id="26"/>
      </w:r>
      <w:r w:rsidR="00B65256" w:rsidRPr="003F677F">
        <w:rPr>
          <w:lang w:val="es-ES_tradnl"/>
        </w:rPr>
        <w:t>.</w:t>
      </w:r>
      <w:r w:rsidRPr="003F677F">
        <w:rPr>
          <w:lang w:val="es-ES_tradnl"/>
        </w:rPr>
        <w:t xml:space="preserve"> Dicha Sala determinó que:</w:t>
      </w:r>
    </w:p>
    <w:p w:rsidR="00B65256" w:rsidRDefault="00B6525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Theme="majorHAnsi" w:hAnsiTheme="majorHAnsi"/>
          <w:sz w:val="20"/>
          <w:szCs w:val="20"/>
          <w:lang w:val="es-ES_tradnl"/>
        </w:rPr>
      </w:pPr>
    </w:p>
    <w:p w:rsidR="00B15F70" w:rsidRPr="003F677F" w:rsidRDefault="00163ACC"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VI. En el presente caso es un hecho de público conocimiento por haberse difundido por todos los medios de comunicación y haberse comprobado personalmente por el tribunal, l</w:t>
      </w:r>
      <w:r w:rsidR="00CB48B0" w:rsidRPr="003F677F">
        <w:rPr>
          <w:rFonts w:asciiTheme="majorHAnsi" w:hAnsiTheme="majorHAnsi"/>
          <w:sz w:val="18"/>
          <w:szCs w:val="18"/>
          <w:lang w:val="es-ES_tradnl"/>
        </w:rPr>
        <w:t>a suspensión colectiva de la</w:t>
      </w:r>
      <w:r w:rsidR="00B65256" w:rsidRPr="003F677F">
        <w:rPr>
          <w:rFonts w:asciiTheme="majorHAnsi" w:hAnsiTheme="majorHAnsi"/>
          <w:sz w:val="18"/>
          <w:szCs w:val="18"/>
          <w:lang w:val="es-ES_tradnl"/>
        </w:rPr>
        <w:t>s l</w:t>
      </w:r>
      <w:r w:rsidR="0057325E" w:rsidRPr="003F677F">
        <w:rPr>
          <w:rFonts w:asciiTheme="majorHAnsi" w:hAnsiTheme="majorHAnsi"/>
          <w:sz w:val="18"/>
          <w:szCs w:val="18"/>
          <w:lang w:val="es-ES_tradnl"/>
        </w:rPr>
        <w:t>abores por parte de determinado</w:t>
      </w:r>
      <w:r w:rsidR="00B65256" w:rsidRPr="003F677F">
        <w:rPr>
          <w:rFonts w:asciiTheme="majorHAnsi" w:hAnsiTheme="majorHAnsi"/>
          <w:sz w:val="18"/>
          <w:szCs w:val="18"/>
          <w:lang w:val="es-ES_tradnl"/>
        </w:rPr>
        <w:t xml:space="preserve"> grupo d</w:t>
      </w:r>
      <w:r w:rsidR="0057325E" w:rsidRPr="003F677F">
        <w:rPr>
          <w:rFonts w:asciiTheme="majorHAnsi" w:hAnsiTheme="majorHAnsi"/>
          <w:sz w:val="18"/>
          <w:szCs w:val="18"/>
          <w:lang w:val="es-ES_tradnl"/>
        </w:rPr>
        <w:t>e trabajadores del Organismo J</w:t>
      </w:r>
      <w:r w:rsidR="00B65256" w:rsidRPr="003F677F">
        <w:rPr>
          <w:rFonts w:asciiTheme="majorHAnsi" w:hAnsiTheme="majorHAnsi"/>
          <w:sz w:val="18"/>
          <w:szCs w:val="18"/>
          <w:lang w:val="es-ES_tradnl"/>
        </w:rPr>
        <w:t>udicial, que produjo la interrupción de la atención del servicio público de la administración de justicia (…) sin que al efecto se hubiera obtenido de este tribunal, que tiene a su cargo el trámite del conflicto colectivo, el pronunciamiento previo sobre la calificación del movimiento de huelga que intentaba llevar a cabo el Sindicato de Traba</w:t>
      </w:r>
      <w:r w:rsidR="00B15F70" w:rsidRPr="003F677F">
        <w:rPr>
          <w:rFonts w:asciiTheme="majorHAnsi" w:hAnsiTheme="majorHAnsi"/>
          <w:sz w:val="18"/>
          <w:szCs w:val="18"/>
          <w:lang w:val="es-ES_tradnl"/>
        </w:rPr>
        <w:t>jadores del Organismo judicial (…)</w:t>
      </w:r>
    </w:p>
    <w:p w:rsidR="00B65256" w:rsidRPr="003F677F" w:rsidRDefault="00B6525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rsidR="00163ACC" w:rsidRPr="003F677F" w:rsidRDefault="00163ACC" w:rsidP="00BF16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w:t>
      </w:r>
      <w:r w:rsidR="00F73C3E" w:rsidRPr="003F677F">
        <w:rPr>
          <w:rFonts w:asciiTheme="majorHAnsi" w:hAnsiTheme="majorHAnsi"/>
          <w:sz w:val="18"/>
          <w:szCs w:val="18"/>
          <w:lang w:val="es-ES_tradnl"/>
        </w:rPr>
        <w:t>En el presente caso a este tribunal únicamente corresponde por imperio de la citada norma</w:t>
      </w:r>
      <w:r w:rsidR="00BF165E">
        <w:rPr>
          <w:rFonts w:asciiTheme="majorHAnsi" w:hAnsiTheme="majorHAnsi"/>
          <w:sz w:val="18"/>
          <w:szCs w:val="18"/>
          <w:lang w:val="es-ES_tradnl"/>
        </w:rPr>
        <w:t xml:space="preserve"> fijar el </w:t>
      </w:r>
      <w:r w:rsidRPr="003F677F">
        <w:rPr>
          <w:rFonts w:asciiTheme="majorHAnsi" w:hAnsiTheme="majorHAnsi"/>
          <w:sz w:val="18"/>
          <w:szCs w:val="18"/>
          <w:lang w:val="es-ES_tradnl"/>
        </w:rPr>
        <w:t>término de veinte días al patrono, pues la facultad de dar por terminados los contratos de trabajo le corresponde a éste, en lo que se refiera a laborantes que efectivamente holgaron, extremo que deberá establecerse administrativamente en forma precisa luego de una depuración de los listado</w:t>
      </w:r>
      <w:r w:rsidR="00AC6797" w:rsidRPr="003F677F">
        <w:rPr>
          <w:rFonts w:asciiTheme="majorHAnsi" w:hAnsiTheme="majorHAnsi"/>
          <w:sz w:val="18"/>
          <w:szCs w:val="18"/>
          <w:lang w:val="es-ES_tradnl"/>
        </w:rPr>
        <w:t>s</w:t>
      </w:r>
      <w:r w:rsidRPr="003F677F">
        <w:rPr>
          <w:rFonts w:asciiTheme="majorHAnsi" w:hAnsiTheme="majorHAnsi"/>
          <w:sz w:val="18"/>
          <w:szCs w:val="18"/>
          <w:lang w:val="es-ES_tradnl"/>
        </w:rPr>
        <w:t xml:space="preserve"> que fueron aportados como prueba, pues del examen de los mismos se evidencian determinadas inexactitudes que podrían vulnerar derechos de laborantes que no suspendieron labores y aparecen incluidos en el listado. </w:t>
      </w:r>
    </w:p>
    <w:p w:rsidR="006A09FF" w:rsidRDefault="00163ACC" w:rsidP="00BF16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sz w:val="18"/>
          <w:szCs w:val="18"/>
          <w:lang w:val="es-VE"/>
        </w:rPr>
      </w:pPr>
      <w:r w:rsidRPr="003F677F">
        <w:rPr>
          <w:rFonts w:asciiTheme="majorHAnsi" w:hAnsiTheme="majorHAnsi"/>
          <w:sz w:val="18"/>
          <w:szCs w:val="18"/>
          <w:lang w:val="es-ES_tradnl"/>
        </w:rPr>
        <w:t>POR TANTO: Esta Sala con fundamento en lo considerado y leyes citadas: I. DECLARA ILEGIT</w:t>
      </w:r>
      <w:r w:rsidR="00AC6797" w:rsidRPr="003F677F">
        <w:rPr>
          <w:rFonts w:asciiTheme="majorHAnsi" w:hAnsiTheme="majorHAnsi"/>
          <w:sz w:val="18"/>
          <w:szCs w:val="18"/>
          <w:lang w:val="es-ES_tradnl"/>
        </w:rPr>
        <w:t>I</w:t>
      </w:r>
      <w:r w:rsidRPr="003F677F">
        <w:rPr>
          <w:rFonts w:asciiTheme="majorHAnsi" w:hAnsiTheme="majorHAnsi"/>
          <w:sz w:val="18"/>
          <w:szCs w:val="18"/>
          <w:lang w:val="es-ES_tradnl"/>
        </w:rPr>
        <w:t xml:space="preserve">MO EL MOVIMIENTO DE HUELGA DE HECHO sostenido por grupos </w:t>
      </w:r>
      <w:r w:rsidR="00A23072" w:rsidRPr="003F677F">
        <w:rPr>
          <w:rFonts w:asciiTheme="majorHAnsi" w:hAnsiTheme="majorHAnsi"/>
          <w:sz w:val="18"/>
          <w:szCs w:val="18"/>
          <w:lang w:val="es-ES_tradnl"/>
        </w:rPr>
        <w:t>de trabajadores del Organismo Judicial los días diecinueve de marzo al s</w:t>
      </w:r>
      <w:r w:rsidR="00AC6797" w:rsidRPr="003F677F">
        <w:rPr>
          <w:rFonts w:asciiTheme="majorHAnsi" w:hAnsiTheme="majorHAnsi"/>
          <w:sz w:val="18"/>
          <w:szCs w:val="18"/>
          <w:lang w:val="es-ES_tradnl"/>
        </w:rPr>
        <w:t xml:space="preserve">iete de abril del presente año </w:t>
      </w:r>
      <w:r w:rsidR="00A23072" w:rsidRPr="003F677F">
        <w:rPr>
          <w:rFonts w:asciiTheme="majorHAnsi" w:hAnsiTheme="majorHAnsi"/>
          <w:sz w:val="18"/>
          <w:szCs w:val="18"/>
          <w:lang w:val="es-ES_tradnl"/>
        </w:rPr>
        <w:t>y en consecuencia CON LUGAR el incidente promovido por la Procuraduría General de la Nación contra el Sindicato de Trabajadores del Organismo Judicial</w:t>
      </w:r>
      <w:r w:rsidR="00B65256" w:rsidRPr="003F677F">
        <w:rPr>
          <w:rStyle w:val="FootnoteReference"/>
          <w:rFonts w:asciiTheme="majorHAnsi" w:hAnsiTheme="majorHAnsi"/>
          <w:sz w:val="18"/>
          <w:szCs w:val="18"/>
          <w:lang w:val="es-ES_tradnl"/>
        </w:rPr>
        <w:footnoteReference w:id="27"/>
      </w:r>
      <w:r w:rsidR="00B65256" w:rsidRPr="003F677F">
        <w:rPr>
          <w:rFonts w:asciiTheme="majorHAnsi" w:hAnsiTheme="majorHAnsi"/>
          <w:sz w:val="18"/>
          <w:szCs w:val="18"/>
          <w:lang w:val="es-ES_tradnl"/>
        </w:rPr>
        <w:t>.</w:t>
      </w:r>
    </w:p>
    <w:p w:rsidR="00BF165E" w:rsidRPr="00BF165E" w:rsidRDefault="00BF165E" w:rsidP="00BF16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sz w:val="18"/>
          <w:szCs w:val="18"/>
          <w:lang w:val="es-VE"/>
        </w:rPr>
      </w:pPr>
    </w:p>
    <w:p w:rsidR="00D2039D" w:rsidRPr="00BE38A9" w:rsidRDefault="00D2039D" w:rsidP="00B54921">
      <w:pPr>
        <w:pStyle w:val="Heading3"/>
        <w:numPr>
          <w:ilvl w:val="0"/>
          <w:numId w:val="60"/>
        </w:numPr>
        <w:tabs>
          <w:tab w:val="left" w:pos="720"/>
        </w:tabs>
        <w:ind w:left="360"/>
      </w:pPr>
      <w:bookmarkStart w:id="17" w:name="_Toc14884443"/>
      <w:r>
        <w:t>Rec</w:t>
      </w:r>
      <w:r w:rsidR="00BF165E">
        <w:t xml:space="preserve">ursos </w:t>
      </w:r>
      <w:r w:rsidR="00730C6C">
        <w:t>para impugnar la declaratoria de ilegitimidad de la huelga</w:t>
      </w:r>
      <w:bookmarkEnd w:id="17"/>
    </w:p>
    <w:p w:rsidR="00D2039D" w:rsidRPr="006A09FF" w:rsidRDefault="00D2039D"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3F677F" w:rsidRPr="003F677F" w:rsidRDefault="00DE1A74" w:rsidP="00B54921">
      <w:pPr>
        <w:pStyle w:val="parrafos"/>
        <w:numPr>
          <w:ilvl w:val="0"/>
          <w:numId w:val="56"/>
        </w:numPr>
        <w:tabs>
          <w:tab w:val="left" w:pos="720"/>
        </w:tabs>
        <w:ind w:left="0" w:firstLine="0"/>
        <w:rPr>
          <w:b/>
          <w:lang w:val="es-ES_tradnl"/>
        </w:rPr>
      </w:pPr>
      <w:r>
        <w:rPr>
          <w:lang w:val="es-ES_tradnl"/>
        </w:rPr>
        <w:t>El 23 de mayo de 1996</w:t>
      </w:r>
      <w:r w:rsidR="00ED085F">
        <w:rPr>
          <w:lang w:val="es-ES_tradnl"/>
        </w:rPr>
        <w:t xml:space="preserve"> el Sindicato de Trabajadores </w:t>
      </w:r>
      <w:r>
        <w:rPr>
          <w:lang w:val="es-ES_tradnl"/>
        </w:rPr>
        <w:t xml:space="preserve">presentó un amparo </w:t>
      </w:r>
      <w:r w:rsidRPr="00D57D07">
        <w:rPr>
          <w:lang w:val="es-ES_tradnl"/>
        </w:rPr>
        <w:t xml:space="preserve">contra </w:t>
      </w:r>
      <w:r w:rsidR="00ED085F">
        <w:rPr>
          <w:lang w:val="es-ES_tradnl"/>
        </w:rPr>
        <w:t xml:space="preserve">la decisión </w:t>
      </w:r>
      <w:r w:rsidR="00D32AB4">
        <w:rPr>
          <w:lang w:val="es-ES_tradnl"/>
        </w:rPr>
        <w:t>de</w:t>
      </w:r>
      <w:r w:rsidR="00D32AB4" w:rsidRPr="009620DB">
        <w:rPr>
          <w:lang w:val="es-ES_tradnl"/>
        </w:rPr>
        <w:t>l 13 de mayo de 1996</w:t>
      </w:r>
      <w:r w:rsidR="00D32AB4">
        <w:rPr>
          <w:lang w:val="es-ES_tradnl"/>
        </w:rPr>
        <w:t xml:space="preserve"> de</w:t>
      </w:r>
      <w:r w:rsidR="00D32AB4" w:rsidRPr="009620DB">
        <w:rPr>
          <w:lang w:val="es-ES_tradnl"/>
        </w:rPr>
        <w:t xml:space="preserve"> la Sala Primera de la Corte de Apelaciones de Trabajo y Previsión Social</w:t>
      </w:r>
      <w:r w:rsidR="003A51D6">
        <w:rPr>
          <w:lang w:val="es-ES_tradnl"/>
        </w:rPr>
        <w:t xml:space="preserve"> en donde se declaró ilegítima</w:t>
      </w:r>
      <w:r w:rsidR="00D32AB4">
        <w:rPr>
          <w:lang w:val="es-ES_tradnl"/>
        </w:rPr>
        <w:t xml:space="preserve"> la huelga</w:t>
      </w:r>
      <w:r w:rsidR="003A51D6">
        <w:rPr>
          <w:lang w:val="es-ES_tradnl"/>
        </w:rPr>
        <w:t xml:space="preserve"> de trabajadores</w:t>
      </w:r>
      <w:r w:rsidR="001B44C6">
        <w:rPr>
          <w:rStyle w:val="FootnoteReference"/>
          <w:lang w:val="es-ES_tradnl"/>
        </w:rPr>
        <w:footnoteReference w:id="28"/>
      </w:r>
      <w:r w:rsidR="00D32AB4">
        <w:rPr>
          <w:lang w:val="es-ES_tradnl"/>
        </w:rPr>
        <w:t>.</w:t>
      </w:r>
      <w:r w:rsidR="00A97057">
        <w:rPr>
          <w:lang w:val="es-ES_tradnl"/>
        </w:rPr>
        <w:t xml:space="preserve"> </w:t>
      </w:r>
      <w:r w:rsidR="001B44C6">
        <w:rPr>
          <w:lang w:val="es-ES_tradnl"/>
        </w:rPr>
        <w:t xml:space="preserve"> </w:t>
      </w:r>
    </w:p>
    <w:p w:rsidR="003F677F" w:rsidRPr="003F677F" w:rsidRDefault="003F677F" w:rsidP="00B54921">
      <w:pPr>
        <w:pStyle w:val="parrafos"/>
        <w:tabs>
          <w:tab w:val="left" w:pos="720"/>
        </w:tabs>
        <w:rPr>
          <w:b/>
          <w:lang w:val="es-ES_tradnl"/>
        </w:rPr>
      </w:pPr>
    </w:p>
    <w:p w:rsidR="00ED085F" w:rsidRPr="003F677F" w:rsidRDefault="00ED085F" w:rsidP="00B54921">
      <w:pPr>
        <w:pStyle w:val="parrafos"/>
        <w:numPr>
          <w:ilvl w:val="0"/>
          <w:numId w:val="56"/>
        </w:numPr>
        <w:tabs>
          <w:tab w:val="left" w:pos="720"/>
        </w:tabs>
        <w:ind w:left="0" w:firstLine="0"/>
        <w:rPr>
          <w:b/>
          <w:lang w:val="es-ES_tradnl"/>
        </w:rPr>
      </w:pPr>
      <w:r w:rsidRPr="003F677F">
        <w:rPr>
          <w:lang w:val="es-ES_tradnl"/>
        </w:rPr>
        <w:t>El 18 de febrero de 1997 la Cámara de Amparo y Antejuicios de la Corte Suprema de Justicia</w:t>
      </w:r>
      <w:r w:rsidR="00E62159" w:rsidRPr="003F677F">
        <w:rPr>
          <w:lang w:val="es-ES_tradnl"/>
        </w:rPr>
        <w:t xml:space="preserve"> </w:t>
      </w:r>
      <w:r w:rsidR="00D723BE" w:rsidRPr="003F677F">
        <w:rPr>
          <w:lang w:val="es-ES_tradnl"/>
        </w:rPr>
        <w:t>declaró sin lugar</w:t>
      </w:r>
      <w:r w:rsidR="00E62159" w:rsidRPr="003F677F">
        <w:rPr>
          <w:lang w:val="es-ES_tradnl"/>
        </w:rPr>
        <w:t xml:space="preserve"> el amparo, </w:t>
      </w:r>
      <w:r w:rsidR="0053761E">
        <w:rPr>
          <w:lang w:val="es-ES_tradnl"/>
        </w:rPr>
        <w:t xml:space="preserve">fundamentando </w:t>
      </w:r>
      <w:r w:rsidR="00E62159" w:rsidRPr="003F677F">
        <w:rPr>
          <w:lang w:val="es-ES_tradnl"/>
        </w:rPr>
        <w:t>que:</w:t>
      </w:r>
      <w:r w:rsidRPr="003F677F">
        <w:rPr>
          <w:lang w:val="es-ES_tradnl"/>
        </w:rPr>
        <w:t xml:space="preserve"> </w:t>
      </w:r>
    </w:p>
    <w:p w:rsidR="00E62159" w:rsidRDefault="00E62159"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76" w:right="720"/>
        <w:jc w:val="both"/>
        <w:rPr>
          <w:rFonts w:asciiTheme="majorHAnsi" w:hAnsiTheme="majorHAnsi"/>
          <w:sz w:val="20"/>
          <w:szCs w:val="20"/>
          <w:lang w:val="es-ES_tradnl"/>
        </w:rPr>
      </w:pPr>
    </w:p>
    <w:p w:rsidR="00DE1A74" w:rsidRPr="003F677F" w:rsidRDefault="005754F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De la lectura de los argumentos</w:t>
      </w:r>
      <w:r w:rsidR="001B44C6" w:rsidRPr="003F677F">
        <w:rPr>
          <w:rFonts w:asciiTheme="majorHAnsi" w:hAnsiTheme="majorHAnsi"/>
          <w:sz w:val="18"/>
          <w:szCs w:val="18"/>
          <w:lang w:val="es-ES_tradnl"/>
        </w:rPr>
        <w:t xml:space="preserve"> transcritos se colige que los mismos son confusos por falta de claridad y por ello, el amparo promovido deviene </w:t>
      </w:r>
      <w:proofErr w:type="spellStart"/>
      <w:r w:rsidR="001B44C6" w:rsidRPr="003F677F">
        <w:rPr>
          <w:rFonts w:asciiTheme="majorHAnsi" w:hAnsiTheme="majorHAnsi"/>
          <w:sz w:val="18"/>
          <w:szCs w:val="18"/>
          <w:lang w:val="es-ES_tradnl"/>
        </w:rPr>
        <w:t>improsperable</w:t>
      </w:r>
      <w:proofErr w:type="spellEnd"/>
      <w:r w:rsidR="001B44C6" w:rsidRPr="003F677F">
        <w:rPr>
          <w:rFonts w:asciiTheme="majorHAnsi" w:hAnsiTheme="majorHAnsi"/>
          <w:sz w:val="18"/>
          <w:szCs w:val="18"/>
          <w:lang w:val="es-ES_tradnl"/>
        </w:rPr>
        <w:t xml:space="preserve"> por las siguientes razones: </w:t>
      </w:r>
      <w:r w:rsidR="001C0601" w:rsidRPr="003F677F">
        <w:rPr>
          <w:rFonts w:asciiTheme="majorHAnsi" w:hAnsiTheme="majorHAnsi"/>
          <w:sz w:val="18"/>
          <w:szCs w:val="18"/>
          <w:lang w:val="es-ES_tradnl"/>
        </w:rPr>
        <w:t>a) Afirma</w:t>
      </w:r>
      <w:r w:rsidR="00BF165E">
        <w:rPr>
          <w:rFonts w:asciiTheme="majorHAnsi" w:hAnsiTheme="majorHAnsi"/>
          <w:sz w:val="18"/>
          <w:szCs w:val="18"/>
          <w:lang w:val="es-ES_tradnl"/>
        </w:rPr>
        <w:t xml:space="preserve"> el postulante que a</w:t>
      </w:r>
      <w:r w:rsidR="00DE1A74" w:rsidRPr="003F677F">
        <w:rPr>
          <w:rFonts w:asciiTheme="majorHAnsi" w:hAnsiTheme="majorHAnsi"/>
          <w:sz w:val="18"/>
          <w:szCs w:val="18"/>
          <w:lang w:val="es-ES_tradnl"/>
        </w:rPr>
        <w:t xml:space="preserve">l </w:t>
      </w:r>
      <w:r w:rsidR="001C0601" w:rsidRPr="003F677F">
        <w:rPr>
          <w:rFonts w:asciiTheme="majorHAnsi" w:hAnsiTheme="majorHAnsi"/>
          <w:sz w:val="18"/>
          <w:szCs w:val="18"/>
          <w:lang w:val="es-ES_tradnl"/>
        </w:rPr>
        <w:t>haberse</w:t>
      </w:r>
      <w:r w:rsidR="00DE1A74" w:rsidRPr="003F677F">
        <w:rPr>
          <w:rFonts w:asciiTheme="majorHAnsi" w:hAnsiTheme="majorHAnsi"/>
          <w:sz w:val="18"/>
          <w:szCs w:val="18"/>
          <w:lang w:val="es-ES_tradnl"/>
        </w:rPr>
        <w:t xml:space="preserve"> proferido la resolución de fecha 13 de mayo de 1996 se vulneraron derecho</w:t>
      </w:r>
      <w:r w:rsidR="00BF165E">
        <w:rPr>
          <w:rFonts w:asciiTheme="majorHAnsi" w:hAnsiTheme="majorHAnsi"/>
          <w:sz w:val="18"/>
          <w:szCs w:val="18"/>
          <w:lang w:val="es-ES_tradnl"/>
        </w:rPr>
        <w:t>s</w:t>
      </w:r>
      <w:r w:rsidR="00DE1A74" w:rsidRPr="003F677F">
        <w:rPr>
          <w:rFonts w:asciiTheme="majorHAnsi" w:hAnsiTheme="majorHAnsi"/>
          <w:sz w:val="18"/>
          <w:szCs w:val="18"/>
          <w:lang w:val="es-ES_tradnl"/>
        </w:rPr>
        <w:t xml:space="preserve"> que la </w:t>
      </w:r>
      <w:r w:rsidR="001C0601" w:rsidRPr="003F677F">
        <w:rPr>
          <w:rFonts w:asciiTheme="majorHAnsi" w:hAnsiTheme="majorHAnsi"/>
          <w:sz w:val="18"/>
          <w:szCs w:val="18"/>
          <w:lang w:val="es-ES_tradnl"/>
        </w:rPr>
        <w:t>Constitución</w:t>
      </w:r>
      <w:r w:rsidR="00DE1A74" w:rsidRPr="003F677F">
        <w:rPr>
          <w:rFonts w:asciiTheme="majorHAnsi" w:hAnsiTheme="majorHAnsi"/>
          <w:sz w:val="18"/>
          <w:szCs w:val="18"/>
          <w:lang w:val="es-ES_tradnl"/>
        </w:rPr>
        <w:t xml:space="preserve"> y las leyes garantizan. Sin embargo, </w:t>
      </w:r>
      <w:r w:rsidR="001C0601" w:rsidRPr="003F677F">
        <w:rPr>
          <w:rFonts w:asciiTheme="majorHAnsi" w:hAnsiTheme="majorHAnsi"/>
          <w:sz w:val="18"/>
          <w:szCs w:val="18"/>
          <w:lang w:val="es-ES_tradnl"/>
        </w:rPr>
        <w:t>omitió</w:t>
      </w:r>
      <w:r w:rsidR="00DE1A74" w:rsidRPr="003F677F">
        <w:rPr>
          <w:rFonts w:asciiTheme="majorHAnsi" w:hAnsiTheme="majorHAnsi"/>
          <w:sz w:val="18"/>
          <w:szCs w:val="18"/>
          <w:lang w:val="es-ES_tradnl"/>
        </w:rPr>
        <w:t xml:space="preserve"> indicar de forma clara y </w:t>
      </w:r>
      <w:r w:rsidR="001C0601" w:rsidRPr="003F677F">
        <w:rPr>
          <w:rFonts w:asciiTheme="majorHAnsi" w:hAnsiTheme="majorHAnsi"/>
          <w:sz w:val="18"/>
          <w:szCs w:val="18"/>
          <w:lang w:val="es-ES_tradnl"/>
        </w:rPr>
        <w:t>precisa</w:t>
      </w:r>
      <w:r w:rsidR="00DE1A74" w:rsidRPr="003F677F">
        <w:rPr>
          <w:rFonts w:asciiTheme="majorHAnsi" w:hAnsiTheme="majorHAnsi"/>
          <w:sz w:val="18"/>
          <w:szCs w:val="18"/>
          <w:lang w:val="es-ES_tradnl"/>
        </w:rPr>
        <w:t xml:space="preserve"> en </w:t>
      </w:r>
      <w:r w:rsidR="00D32AB4" w:rsidRPr="003F677F">
        <w:rPr>
          <w:rFonts w:asciiTheme="majorHAnsi" w:hAnsiTheme="majorHAnsi"/>
          <w:sz w:val="18"/>
          <w:szCs w:val="18"/>
          <w:lang w:val="es-ES_tradnl"/>
        </w:rPr>
        <w:t>qué</w:t>
      </w:r>
      <w:r w:rsidR="00DE1A74" w:rsidRPr="003F677F">
        <w:rPr>
          <w:rFonts w:asciiTheme="majorHAnsi" w:hAnsiTheme="majorHAnsi"/>
          <w:sz w:val="18"/>
          <w:szCs w:val="18"/>
          <w:lang w:val="es-ES_tradnl"/>
        </w:rPr>
        <w:t xml:space="preserve"> consisten dichas violaciones (…)</w:t>
      </w:r>
    </w:p>
    <w:p w:rsidR="001C0601" w:rsidRPr="003F677F" w:rsidRDefault="00DE1A7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b) Argu</w:t>
      </w:r>
      <w:r w:rsidR="001C0601" w:rsidRPr="003F677F">
        <w:rPr>
          <w:rFonts w:asciiTheme="majorHAnsi" w:hAnsiTheme="majorHAnsi"/>
          <w:sz w:val="18"/>
          <w:szCs w:val="18"/>
          <w:lang w:val="es-ES_tradnl"/>
        </w:rPr>
        <w:t>menta el postulante que se violó</w:t>
      </w:r>
      <w:r w:rsidRPr="003F677F">
        <w:rPr>
          <w:rFonts w:asciiTheme="majorHAnsi" w:hAnsiTheme="majorHAnsi"/>
          <w:sz w:val="18"/>
          <w:szCs w:val="18"/>
          <w:lang w:val="es-ES_tradnl"/>
        </w:rPr>
        <w:t xml:space="preserve"> el derecho de defensa </w:t>
      </w:r>
      <w:r w:rsidR="001C0601" w:rsidRPr="003F677F">
        <w:rPr>
          <w:rFonts w:asciiTheme="majorHAnsi" w:hAnsiTheme="majorHAnsi"/>
          <w:sz w:val="18"/>
          <w:szCs w:val="18"/>
          <w:lang w:val="es-ES_tradnl"/>
        </w:rPr>
        <w:t>constitucional</w:t>
      </w:r>
      <w:r w:rsidRPr="003F677F">
        <w:rPr>
          <w:rFonts w:asciiTheme="majorHAnsi" w:hAnsiTheme="majorHAnsi"/>
          <w:sz w:val="18"/>
          <w:szCs w:val="18"/>
          <w:lang w:val="es-ES_tradnl"/>
        </w:rPr>
        <w:t xml:space="preserve"> y lo prescripto en el </w:t>
      </w:r>
      <w:r w:rsidR="00BF165E">
        <w:rPr>
          <w:rFonts w:asciiTheme="majorHAnsi" w:hAnsiTheme="majorHAnsi"/>
          <w:sz w:val="18"/>
          <w:szCs w:val="18"/>
          <w:lang w:val="es-ES_tradnl"/>
        </w:rPr>
        <w:t>artículo 15 de la L</w:t>
      </w:r>
      <w:r w:rsidR="001C0601" w:rsidRPr="003F677F">
        <w:rPr>
          <w:rFonts w:asciiTheme="majorHAnsi" w:hAnsiTheme="majorHAnsi"/>
          <w:sz w:val="18"/>
          <w:szCs w:val="18"/>
          <w:lang w:val="es-ES_tradnl"/>
        </w:rPr>
        <w:t>ey del O</w:t>
      </w:r>
      <w:r w:rsidRPr="003F677F">
        <w:rPr>
          <w:rFonts w:asciiTheme="majorHAnsi" w:hAnsiTheme="majorHAnsi"/>
          <w:sz w:val="18"/>
          <w:szCs w:val="18"/>
          <w:lang w:val="es-ES_tradnl"/>
        </w:rPr>
        <w:t>rga</w:t>
      </w:r>
      <w:r w:rsidR="001C0601" w:rsidRPr="003F677F">
        <w:rPr>
          <w:rFonts w:asciiTheme="majorHAnsi" w:hAnsiTheme="majorHAnsi"/>
          <w:sz w:val="18"/>
          <w:szCs w:val="18"/>
          <w:lang w:val="es-ES_tradnl"/>
        </w:rPr>
        <w:t>nismo J</w:t>
      </w:r>
      <w:r w:rsidRPr="003F677F">
        <w:rPr>
          <w:rFonts w:asciiTheme="majorHAnsi" w:hAnsiTheme="majorHAnsi"/>
          <w:sz w:val="18"/>
          <w:szCs w:val="18"/>
          <w:lang w:val="es-ES_tradnl"/>
        </w:rPr>
        <w:t xml:space="preserve">udicial en razón que los magistrados que </w:t>
      </w:r>
      <w:r w:rsidR="001C0601" w:rsidRPr="003F677F">
        <w:rPr>
          <w:rFonts w:asciiTheme="majorHAnsi" w:hAnsiTheme="majorHAnsi"/>
          <w:sz w:val="18"/>
          <w:szCs w:val="18"/>
          <w:lang w:val="es-ES_tradnl"/>
        </w:rPr>
        <w:t>int</w:t>
      </w:r>
      <w:r w:rsidR="00E62159" w:rsidRPr="003F677F">
        <w:rPr>
          <w:rFonts w:asciiTheme="majorHAnsi" w:hAnsiTheme="majorHAnsi"/>
          <w:sz w:val="18"/>
          <w:szCs w:val="18"/>
          <w:lang w:val="es-ES_tradnl"/>
        </w:rPr>
        <w:t>egran la Sala P</w:t>
      </w:r>
      <w:r w:rsidR="001C0601" w:rsidRPr="003F677F">
        <w:rPr>
          <w:rFonts w:asciiTheme="majorHAnsi" w:hAnsiTheme="majorHAnsi"/>
          <w:sz w:val="18"/>
          <w:szCs w:val="18"/>
          <w:lang w:val="es-ES_tradnl"/>
        </w:rPr>
        <w:t>rimera de la C</w:t>
      </w:r>
      <w:r w:rsidRPr="003F677F">
        <w:rPr>
          <w:rFonts w:asciiTheme="majorHAnsi" w:hAnsiTheme="majorHAnsi"/>
          <w:sz w:val="18"/>
          <w:szCs w:val="18"/>
          <w:lang w:val="es-ES_tradnl"/>
        </w:rPr>
        <w:t xml:space="preserve">orte de </w:t>
      </w:r>
      <w:r w:rsidR="001C0601" w:rsidRPr="003F677F">
        <w:rPr>
          <w:rFonts w:asciiTheme="majorHAnsi" w:hAnsiTheme="majorHAnsi"/>
          <w:sz w:val="18"/>
          <w:szCs w:val="18"/>
          <w:lang w:val="es-ES_tradnl"/>
        </w:rPr>
        <w:t>A</w:t>
      </w:r>
      <w:r w:rsidR="00E62159" w:rsidRPr="003F677F">
        <w:rPr>
          <w:rFonts w:asciiTheme="majorHAnsi" w:hAnsiTheme="majorHAnsi"/>
          <w:sz w:val="18"/>
          <w:szCs w:val="18"/>
          <w:lang w:val="es-ES_tradnl"/>
        </w:rPr>
        <w:t>pelaciones</w:t>
      </w:r>
      <w:r w:rsidRPr="003F677F">
        <w:rPr>
          <w:rFonts w:asciiTheme="majorHAnsi" w:hAnsiTheme="majorHAnsi"/>
          <w:sz w:val="18"/>
          <w:szCs w:val="18"/>
          <w:lang w:val="es-ES_tradnl"/>
        </w:rPr>
        <w:t xml:space="preserve"> </w:t>
      </w:r>
      <w:r w:rsidR="001C0601" w:rsidRPr="003F677F">
        <w:rPr>
          <w:rFonts w:asciiTheme="majorHAnsi" w:hAnsiTheme="majorHAnsi"/>
          <w:sz w:val="18"/>
          <w:szCs w:val="18"/>
          <w:lang w:val="es-ES_tradnl"/>
        </w:rPr>
        <w:t>de T</w:t>
      </w:r>
      <w:r w:rsidRPr="003F677F">
        <w:rPr>
          <w:rFonts w:asciiTheme="majorHAnsi" w:hAnsiTheme="majorHAnsi"/>
          <w:sz w:val="18"/>
          <w:szCs w:val="18"/>
          <w:lang w:val="es-ES_tradnl"/>
        </w:rPr>
        <w:t xml:space="preserve">rabajo y </w:t>
      </w:r>
      <w:r w:rsidR="001C0601" w:rsidRPr="003F677F">
        <w:rPr>
          <w:rFonts w:asciiTheme="majorHAnsi" w:hAnsiTheme="majorHAnsi"/>
          <w:sz w:val="18"/>
          <w:szCs w:val="18"/>
          <w:lang w:val="es-ES_tradnl"/>
        </w:rPr>
        <w:t>P</w:t>
      </w:r>
      <w:r w:rsidRPr="003F677F">
        <w:rPr>
          <w:rFonts w:asciiTheme="majorHAnsi" w:hAnsiTheme="majorHAnsi"/>
          <w:sz w:val="18"/>
          <w:szCs w:val="18"/>
          <w:lang w:val="es-ES_tradnl"/>
        </w:rPr>
        <w:t xml:space="preserve">revisión </w:t>
      </w:r>
      <w:r w:rsidR="001C0601" w:rsidRPr="003F677F">
        <w:rPr>
          <w:rFonts w:asciiTheme="majorHAnsi" w:hAnsiTheme="majorHAnsi"/>
          <w:sz w:val="18"/>
          <w:szCs w:val="18"/>
          <w:lang w:val="es-ES_tradnl"/>
        </w:rPr>
        <w:t>S</w:t>
      </w:r>
      <w:r w:rsidRPr="003F677F">
        <w:rPr>
          <w:rFonts w:asciiTheme="majorHAnsi" w:hAnsiTheme="majorHAnsi"/>
          <w:sz w:val="18"/>
          <w:szCs w:val="18"/>
          <w:lang w:val="es-ES_tradnl"/>
        </w:rPr>
        <w:t xml:space="preserve">ocial, han incurrido en responsabilidad al retardar la </w:t>
      </w:r>
      <w:r w:rsidR="001C0601" w:rsidRPr="003F677F">
        <w:rPr>
          <w:rFonts w:asciiTheme="majorHAnsi" w:hAnsiTheme="majorHAnsi"/>
          <w:sz w:val="18"/>
          <w:szCs w:val="18"/>
          <w:lang w:val="es-ES_tradnl"/>
        </w:rPr>
        <w:t>administración</w:t>
      </w:r>
      <w:r w:rsidR="006C0C0E">
        <w:rPr>
          <w:rFonts w:asciiTheme="majorHAnsi" w:hAnsiTheme="majorHAnsi"/>
          <w:sz w:val="18"/>
          <w:szCs w:val="18"/>
          <w:lang w:val="es-ES_tradnl"/>
        </w:rPr>
        <w:t xml:space="preserve"> de la justicia (…). </w:t>
      </w:r>
      <w:r w:rsidRPr="003F677F">
        <w:rPr>
          <w:rFonts w:asciiTheme="majorHAnsi" w:hAnsiTheme="majorHAnsi"/>
          <w:sz w:val="18"/>
          <w:szCs w:val="18"/>
          <w:lang w:val="es-ES_tradnl"/>
        </w:rPr>
        <w:t xml:space="preserve">Al </w:t>
      </w:r>
      <w:r w:rsidR="001C0601" w:rsidRPr="003F677F">
        <w:rPr>
          <w:rFonts w:asciiTheme="majorHAnsi" w:hAnsiTheme="majorHAnsi"/>
          <w:sz w:val="18"/>
          <w:szCs w:val="18"/>
          <w:lang w:val="es-ES_tradnl"/>
        </w:rPr>
        <w:t>respecto,</w:t>
      </w:r>
      <w:r w:rsidR="00E62159" w:rsidRPr="003F677F">
        <w:rPr>
          <w:rFonts w:asciiTheme="majorHAnsi" w:hAnsiTheme="majorHAnsi"/>
          <w:sz w:val="18"/>
          <w:szCs w:val="18"/>
          <w:lang w:val="es-ES_tradnl"/>
        </w:rPr>
        <w:t xml:space="preserve"> esta C</w:t>
      </w:r>
      <w:r w:rsidRPr="003F677F">
        <w:rPr>
          <w:rFonts w:asciiTheme="majorHAnsi" w:hAnsiTheme="majorHAnsi"/>
          <w:sz w:val="18"/>
          <w:szCs w:val="18"/>
          <w:lang w:val="es-ES_tradnl"/>
        </w:rPr>
        <w:t xml:space="preserve">ámara verifica que el </w:t>
      </w:r>
      <w:proofErr w:type="spellStart"/>
      <w:r w:rsidRPr="003F677F">
        <w:rPr>
          <w:rFonts w:asciiTheme="majorHAnsi" w:hAnsiTheme="majorHAnsi"/>
          <w:sz w:val="18"/>
          <w:szCs w:val="18"/>
          <w:lang w:val="es-ES_tradnl"/>
        </w:rPr>
        <w:t>amparista</w:t>
      </w:r>
      <w:proofErr w:type="spellEnd"/>
      <w:r w:rsidRPr="003F677F">
        <w:rPr>
          <w:rFonts w:asciiTheme="majorHAnsi" w:hAnsiTheme="majorHAnsi"/>
          <w:sz w:val="18"/>
          <w:szCs w:val="18"/>
          <w:lang w:val="es-ES_tradnl"/>
        </w:rPr>
        <w:t xml:space="preserve"> </w:t>
      </w:r>
      <w:r w:rsidR="001C0601" w:rsidRPr="003F677F">
        <w:rPr>
          <w:rFonts w:asciiTheme="majorHAnsi" w:hAnsiTheme="majorHAnsi"/>
          <w:sz w:val="18"/>
          <w:szCs w:val="18"/>
          <w:lang w:val="es-ES_tradnl"/>
        </w:rPr>
        <w:t>omitió</w:t>
      </w:r>
      <w:r w:rsidRPr="003F677F">
        <w:rPr>
          <w:rFonts w:asciiTheme="majorHAnsi" w:hAnsiTheme="majorHAnsi"/>
          <w:sz w:val="18"/>
          <w:szCs w:val="18"/>
          <w:lang w:val="es-ES_tradnl"/>
        </w:rPr>
        <w:t xml:space="preserve"> probar documentalmente que lo</w:t>
      </w:r>
      <w:r w:rsidR="001C0601" w:rsidRPr="003F677F">
        <w:rPr>
          <w:rFonts w:asciiTheme="majorHAnsi" w:hAnsiTheme="majorHAnsi"/>
          <w:sz w:val="18"/>
          <w:szCs w:val="18"/>
          <w:lang w:val="es-ES_tradnl"/>
        </w:rPr>
        <w:t>s</w:t>
      </w:r>
      <w:r w:rsidRPr="003F677F">
        <w:rPr>
          <w:rFonts w:asciiTheme="majorHAnsi" w:hAnsiTheme="majorHAnsi"/>
          <w:sz w:val="18"/>
          <w:szCs w:val="18"/>
          <w:lang w:val="es-ES_tradnl"/>
        </w:rPr>
        <w:t xml:space="preserve"> magistrados de la sala en </w:t>
      </w:r>
      <w:r w:rsidR="001C0601" w:rsidRPr="003F677F">
        <w:rPr>
          <w:rFonts w:asciiTheme="majorHAnsi" w:hAnsiTheme="majorHAnsi"/>
          <w:sz w:val="18"/>
          <w:szCs w:val="18"/>
          <w:lang w:val="es-ES_tradnl"/>
        </w:rPr>
        <w:t>mención</w:t>
      </w:r>
      <w:r w:rsidRPr="003F677F">
        <w:rPr>
          <w:rFonts w:asciiTheme="majorHAnsi" w:hAnsiTheme="majorHAnsi"/>
          <w:sz w:val="18"/>
          <w:szCs w:val="18"/>
          <w:lang w:val="es-ES_tradnl"/>
        </w:rPr>
        <w:t xml:space="preserve"> incurrieron en el retardo aludido. Tampoco </w:t>
      </w:r>
      <w:r w:rsidR="001C0601" w:rsidRPr="003F677F">
        <w:rPr>
          <w:rFonts w:asciiTheme="majorHAnsi" w:hAnsiTheme="majorHAnsi"/>
          <w:sz w:val="18"/>
          <w:szCs w:val="18"/>
          <w:lang w:val="es-ES_tradnl"/>
        </w:rPr>
        <w:t>demostró que el supuesto retardo tuvo como finalidad conculcar los derechos de los trabajadores</w:t>
      </w:r>
      <w:r w:rsidR="001B44C6" w:rsidRPr="003F677F">
        <w:rPr>
          <w:rFonts w:asciiTheme="majorHAnsi" w:hAnsiTheme="majorHAnsi"/>
          <w:sz w:val="18"/>
          <w:szCs w:val="18"/>
          <w:lang w:val="es-ES_tradnl"/>
        </w:rPr>
        <w:t xml:space="preserve"> del Organismo Judicial e impedirles la interposición de recursos. </w:t>
      </w:r>
    </w:p>
    <w:p w:rsidR="001C0601" w:rsidRPr="003F677F" w:rsidRDefault="001C060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c) No se evidenció, en forma alguna, que</w:t>
      </w:r>
      <w:r w:rsidR="00E62159" w:rsidRPr="003F677F">
        <w:rPr>
          <w:rFonts w:asciiTheme="majorHAnsi" w:hAnsiTheme="majorHAnsi"/>
          <w:sz w:val="18"/>
          <w:szCs w:val="18"/>
          <w:lang w:val="es-ES_tradnl"/>
        </w:rPr>
        <w:t xml:space="preserve"> los señores magistrados de la Sala P</w:t>
      </w:r>
      <w:r w:rsidRPr="003F677F">
        <w:rPr>
          <w:rFonts w:asciiTheme="majorHAnsi" w:hAnsiTheme="majorHAnsi"/>
          <w:sz w:val="18"/>
          <w:szCs w:val="18"/>
          <w:lang w:val="es-ES_tradnl"/>
        </w:rPr>
        <w:t>rimera de la Corte de Apelaci</w:t>
      </w:r>
      <w:r w:rsidR="00E62159" w:rsidRPr="003F677F">
        <w:rPr>
          <w:rFonts w:asciiTheme="majorHAnsi" w:hAnsiTheme="majorHAnsi"/>
          <w:sz w:val="18"/>
          <w:szCs w:val="18"/>
          <w:lang w:val="es-ES_tradnl"/>
        </w:rPr>
        <w:t>ones</w:t>
      </w:r>
      <w:r w:rsidRPr="003F677F">
        <w:rPr>
          <w:rFonts w:asciiTheme="majorHAnsi" w:hAnsiTheme="majorHAnsi"/>
          <w:sz w:val="18"/>
          <w:szCs w:val="18"/>
          <w:lang w:val="es-ES_tradnl"/>
        </w:rPr>
        <w:t xml:space="preserve"> de Trabajo y Previsión social al declarar ilegitimo el movimiento de huelga de hecho, hayan actuado con intereses y en contubernio con la Corte Suprema de Justicia para per</w:t>
      </w:r>
      <w:r w:rsidR="00E62159" w:rsidRPr="003F677F">
        <w:rPr>
          <w:rFonts w:asciiTheme="majorHAnsi" w:hAnsiTheme="majorHAnsi"/>
          <w:sz w:val="18"/>
          <w:szCs w:val="18"/>
          <w:lang w:val="es-ES_tradnl"/>
        </w:rPr>
        <w:t>judicar a los trabajadores del Organismo J</w:t>
      </w:r>
      <w:r w:rsidRPr="003F677F">
        <w:rPr>
          <w:rFonts w:asciiTheme="majorHAnsi" w:hAnsiTheme="majorHAnsi"/>
          <w:sz w:val="18"/>
          <w:szCs w:val="18"/>
          <w:lang w:val="es-ES_tradnl"/>
        </w:rPr>
        <w:t>udicial (…)</w:t>
      </w:r>
    </w:p>
    <w:p w:rsidR="00DE1A74" w:rsidRPr="003F677F" w:rsidRDefault="001C060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b/>
          <w:sz w:val="18"/>
          <w:szCs w:val="18"/>
          <w:lang w:val="es-ES_tradnl"/>
        </w:rPr>
      </w:pPr>
      <w:r w:rsidRPr="003F677F">
        <w:rPr>
          <w:rFonts w:asciiTheme="majorHAnsi" w:hAnsiTheme="majorHAnsi"/>
          <w:sz w:val="18"/>
          <w:szCs w:val="18"/>
          <w:lang w:val="es-ES_tradnl"/>
        </w:rPr>
        <w:t>Por notori</w:t>
      </w:r>
      <w:r w:rsidR="00E62159" w:rsidRPr="003F677F">
        <w:rPr>
          <w:rFonts w:asciiTheme="majorHAnsi" w:hAnsiTheme="majorHAnsi"/>
          <w:sz w:val="18"/>
          <w:szCs w:val="18"/>
          <w:lang w:val="es-ES_tradnl"/>
        </w:rPr>
        <w:t>amente improcedente s</w:t>
      </w:r>
      <w:r w:rsidRPr="003F677F">
        <w:rPr>
          <w:rFonts w:asciiTheme="majorHAnsi" w:hAnsiTheme="majorHAnsi"/>
          <w:sz w:val="18"/>
          <w:szCs w:val="18"/>
          <w:lang w:val="es-ES_tradnl"/>
        </w:rPr>
        <w:t xml:space="preserve">e deniega el amparo solicitado por los trabajadores del Organismo Judicial por </w:t>
      </w:r>
      <w:r w:rsidR="00090D18" w:rsidRPr="003F677F">
        <w:rPr>
          <w:rFonts w:asciiTheme="majorHAnsi" w:hAnsiTheme="majorHAnsi"/>
          <w:sz w:val="18"/>
          <w:szCs w:val="18"/>
          <w:lang w:val="es-ES_tradnl"/>
        </w:rPr>
        <w:t>medio de su representante legal</w:t>
      </w:r>
      <w:r w:rsidRPr="003F677F">
        <w:rPr>
          <w:rStyle w:val="FootnoteReference"/>
          <w:rFonts w:asciiTheme="majorHAnsi" w:hAnsiTheme="majorHAnsi"/>
          <w:sz w:val="18"/>
          <w:szCs w:val="18"/>
          <w:lang w:val="es-ES_tradnl"/>
        </w:rPr>
        <w:footnoteReference w:id="29"/>
      </w:r>
      <w:r w:rsidR="00090D18" w:rsidRPr="003F677F">
        <w:rPr>
          <w:rFonts w:asciiTheme="majorHAnsi" w:hAnsiTheme="majorHAnsi"/>
          <w:sz w:val="18"/>
          <w:szCs w:val="18"/>
          <w:lang w:val="es-ES_tradnl"/>
        </w:rPr>
        <w:t>.</w:t>
      </w:r>
    </w:p>
    <w:p w:rsidR="00DE1A74" w:rsidRPr="00E62159" w:rsidRDefault="00DE1A74"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E62159" w:rsidRPr="00E62159" w:rsidRDefault="005D276F" w:rsidP="00B54921">
      <w:pPr>
        <w:pStyle w:val="parrafos"/>
        <w:numPr>
          <w:ilvl w:val="0"/>
          <w:numId w:val="56"/>
        </w:numPr>
        <w:tabs>
          <w:tab w:val="left" w:pos="720"/>
        </w:tabs>
        <w:ind w:left="0" w:firstLine="0"/>
        <w:rPr>
          <w:lang w:val="es-ES_tradnl"/>
        </w:rPr>
      </w:pPr>
      <w:r>
        <w:rPr>
          <w:lang w:val="es-ES_tradnl"/>
        </w:rPr>
        <w:t xml:space="preserve">En la misma fecha, </w:t>
      </w:r>
      <w:r w:rsidR="00E62159" w:rsidRPr="00E62159">
        <w:rPr>
          <w:lang w:val="es-ES_tradnl"/>
        </w:rPr>
        <w:t>el Sindicato de Trabajadores</w:t>
      </w:r>
      <w:r w:rsidR="00D32AB4">
        <w:rPr>
          <w:lang w:val="es-ES_tradnl"/>
        </w:rPr>
        <w:t xml:space="preserve"> apeló la sentencia dictada y e</w:t>
      </w:r>
      <w:r>
        <w:rPr>
          <w:lang w:val="es-ES_tradnl"/>
        </w:rPr>
        <w:t>l 19 de junio de 1997 la Corte de Constitucionalidad confirmó la sentencia apelada, indicando que:</w:t>
      </w:r>
    </w:p>
    <w:p w:rsidR="00F76581" w:rsidRPr="00F76581" w:rsidRDefault="00F7658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F76581" w:rsidRPr="003F677F" w:rsidRDefault="0018540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 xml:space="preserve">(…) </w:t>
      </w:r>
      <w:r w:rsidR="00F76581" w:rsidRPr="003F677F">
        <w:rPr>
          <w:rFonts w:asciiTheme="majorHAnsi" w:hAnsiTheme="majorHAnsi"/>
          <w:sz w:val="18"/>
          <w:szCs w:val="18"/>
          <w:lang w:val="es-ES_tradnl"/>
        </w:rPr>
        <w:t>La autoridad impugnada en resolución de 13 de mayo de ese mismo año declar</w:t>
      </w:r>
      <w:r w:rsidR="00B4327D" w:rsidRPr="003F677F">
        <w:rPr>
          <w:rFonts w:asciiTheme="majorHAnsi" w:hAnsiTheme="majorHAnsi"/>
          <w:sz w:val="18"/>
          <w:szCs w:val="18"/>
          <w:lang w:val="es-ES_tradnl"/>
        </w:rPr>
        <w:t>ó</w:t>
      </w:r>
      <w:r w:rsidR="00F76581" w:rsidRPr="003F677F">
        <w:rPr>
          <w:rFonts w:asciiTheme="majorHAnsi" w:hAnsiTheme="majorHAnsi"/>
          <w:sz w:val="18"/>
          <w:szCs w:val="18"/>
          <w:lang w:val="es-ES_tradnl"/>
        </w:rPr>
        <w:t xml:space="preserve"> sin lugar la nulidad interpuesta y en esa misma fecha dic</w:t>
      </w:r>
      <w:r w:rsidR="00B4327D" w:rsidRPr="003F677F">
        <w:rPr>
          <w:rFonts w:asciiTheme="majorHAnsi" w:hAnsiTheme="majorHAnsi"/>
          <w:sz w:val="18"/>
          <w:szCs w:val="18"/>
          <w:lang w:val="es-ES_tradnl"/>
        </w:rPr>
        <w:t>tó</w:t>
      </w:r>
      <w:r w:rsidR="00F76581" w:rsidRPr="003F677F">
        <w:rPr>
          <w:rFonts w:asciiTheme="majorHAnsi" w:hAnsiTheme="majorHAnsi"/>
          <w:sz w:val="18"/>
          <w:szCs w:val="18"/>
          <w:lang w:val="es-ES_tradnl"/>
        </w:rPr>
        <w:t xml:space="preserve"> el acto r</w:t>
      </w:r>
      <w:r w:rsidRPr="003F677F">
        <w:rPr>
          <w:rFonts w:asciiTheme="majorHAnsi" w:hAnsiTheme="majorHAnsi"/>
          <w:sz w:val="18"/>
          <w:szCs w:val="18"/>
          <w:lang w:val="es-ES_tradnl"/>
        </w:rPr>
        <w:t>eclamado declarando ilegitima la</w:t>
      </w:r>
      <w:r w:rsidR="00F76581" w:rsidRPr="003F677F">
        <w:rPr>
          <w:rFonts w:asciiTheme="majorHAnsi" w:hAnsiTheme="majorHAnsi"/>
          <w:sz w:val="18"/>
          <w:szCs w:val="18"/>
          <w:lang w:val="es-ES_tradnl"/>
        </w:rPr>
        <w:t xml:space="preserve"> huelga de hecho mantenida por los trabajadores. Ambas resoluciones, la que denegó la nulidad solicitada y la que declaró ilegal el movimiento fueron notificadas al postulante el 14 de ese mismo mes y año.</w:t>
      </w:r>
    </w:p>
    <w:p w:rsidR="006F1AB5" w:rsidRDefault="006F1AB5"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rsidR="0018540A" w:rsidRDefault="00F7658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 xml:space="preserve">Se considera que la autoridad impugnada no debió dictar en la misma fecha las dos últimas resoluciones pues al hacerlo </w:t>
      </w:r>
      <w:r w:rsidR="005D276F" w:rsidRPr="003F677F">
        <w:rPr>
          <w:rFonts w:asciiTheme="majorHAnsi" w:hAnsiTheme="majorHAnsi"/>
          <w:sz w:val="18"/>
          <w:szCs w:val="18"/>
          <w:lang w:val="es-ES_tradnl"/>
        </w:rPr>
        <w:t>violó</w:t>
      </w:r>
      <w:r w:rsidR="0018540A" w:rsidRPr="003F677F">
        <w:rPr>
          <w:rFonts w:asciiTheme="majorHAnsi" w:hAnsiTheme="majorHAnsi"/>
          <w:sz w:val="18"/>
          <w:szCs w:val="18"/>
          <w:lang w:val="es-ES_tradnl"/>
        </w:rPr>
        <w:t xml:space="preserve"> el artículo 365 del Código de Trabajo del cual se deduce, según su interpretación, que existe la posibilidad de que en el plazo de veinticuatro horas contadas a partir de la notificación, la parte que se considere agraviada interponga apelación, y no será sino hasta que se haya transcurrido dicho plazo sin que las partes hayan hecho uso de la misma, o si fuere el caso que lo hubieran utilizado, hasta que la misma haya sido resuelta, cuando la resolución susceptible de impugnación adquiere firmeza y sólo hasta ese entonces puede dictarse la resolución subsiguiente. </w:t>
      </w:r>
    </w:p>
    <w:p w:rsidR="00DA76C5" w:rsidRPr="003F677F" w:rsidRDefault="00DA76C5"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p>
    <w:p w:rsidR="00F76581" w:rsidRPr="003F677F" w:rsidRDefault="00F76581"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No obstante lo anteriormente considerado debe señalarse que si el postul</w:t>
      </w:r>
      <w:r w:rsidR="00B4327D" w:rsidRPr="003F677F">
        <w:rPr>
          <w:rFonts w:asciiTheme="majorHAnsi" w:hAnsiTheme="majorHAnsi"/>
          <w:sz w:val="18"/>
          <w:szCs w:val="18"/>
          <w:lang w:val="es-ES_tradnl"/>
        </w:rPr>
        <w:t>ante constató</w:t>
      </w:r>
      <w:r w:rsidRPr="003F677F">
        <w:rPr>
          <w:rFonts w:asciiTheme="majorHAnsi" w:hAnsiTheme="majorHAnsi"/>
          <w:sz w:val="18"/>
          <w:szCs w:val="18"/>
          <w:lang w:val="es-ES_tradnl"/>
        </w:rPr>
        <w:t xml:space="preserve"> que la actuación de la autoridad impugnada entrañaba violación a la ley debió hacer uso del medio ordinario (nulidad) que la ley prevé para impugnar la resolución reclamada y al no hacerlo incumplió con el principio de definitividad que sujeta la petición del amparo al agotamiento previo de recursos ordinarios (…).  Por ello el amparo resulta notoriamente improcedente</w:t>
      </w:r>
      <w:r w:rsidR="006B1E94" w:rsidRPr="003F677F">
        <w:rPr>
          <w:rFonts w:asciiTheme="majorHAnsi" w:hAnsiTheme="majorHAnsi"/>
          <w:sz w:val="18"/>
          <w:szCs w:val="18"/>
          <w:lang w:val="es-ES_tradnl"/>
        </w:rPr>
        <w:t xml:space="preserve"> por lo cual debe denegarse</w:t>
      </w:r>
      <w:r w:rsidR="00E53D77" w:rsidRPr="003F677F">
        <w:rPr>
          <w:rStyle w:val="FootnoteReference"/>
          <w:rFonts w:asciiTheme="majorHAnsi" w:hAnsiTheme="majorHAnsi"/>
          <w:sz w:val="18"/>
          <w:szCs w:val="18"/>
          <w:lang w:val="es-ES_tradnl"/>
        </w:rPr>
        <w:footnoteReference w:id="30"/>
      </w:r>
      <w:r w:rsidR="00E53D77" w:rsidRPr="003F677F">
        <w:rPr>
          <w:rFonts w:asciiTheme="majorHAnsi" w:hAnsiTheme="majorHAnsi"/>
          <w:sz w:val="18"/>
          <w:szCs w:val="18"/>
          <w:lang w:val="es-ES_tradnl"/>
        </w:rPr>
        <w:t>.</w:t>
      </w:r>
    </w:p>
    <w:p w:rsidR="003F677F" w:rsidRPr="006C0C0E" w:rsidRDefault="003F677F" w:rsidP="006C0C0E">
      <w:pPr>
        <w:tabs>
          <w:tab w:val="left" w:pos="720"/>
        </w:tabs>
        <w:rPr>
          <w:lang w:val="es-ES_tradnl"/>
        </w:rPr>
      </w:pPr>
    </w:p>
    <w:p w:rsidR="003F677F" w:rsidRPr="003F677F" w:rsidRDefault="00252115" w:rsidP="00B54921">
      <w:pPr>
        <w:pStyle w:val="parrafos"/>
        <w:numPr>
          <w:ilvl w:val="0"/>
          <w:numId w:val="56"/>
        </w:numPr>
        <w:tabs>
          <w:tab w:val="left" w:pos="720"/>
        </w:tabs>
        <w:ind w:left="0" w:firstLine="0"/>
      </w:pPr>
      <w:r w:rsidRPr="003F677F">
        <w:rPr>
          <w:lang w:val="es-ES_tradnl"/>
        </w:rPr>
        <w:t>El 23 de febrero de 1999 la Sala Primera de la Corte de Apelaciones de Trabajo y Previsión Social otorgó el recurso de apelació</w:t>
      </w:r>
      <w:r w:rsidR="00487F96" w:rsidRPr="003F677F">
        <w:rPr>
          <w:lang w:val="es-ES_tradnl"/>
        </w:rPr>
        <w:t>n interpuesto por los peticionarios</w:t>
      </w:r>
      <w:r w:rsidRPr="003F677F">
        <w:rPr>
          <w:lang w:val="es-ES_tradnl"/>
        </w:rPr>
        <w:t xml:space="preserve"> en contra de la resolución del 13 de </w:t>
      </w:r>
      <w:r w:rsidR="006F1AB5">
        <w:rPr>
          <w:lang w:val="es-ES_tradnl"/>
        </w:rPr>
        <w:t>m</w:t>
      </w:r>
      <w:r w:rsidRPr="003F677F">
        <w:rPr>
          <w:lang w:val="es-ES_tradnl"/>
        </w:rPr>
        <w:t>ayo de 1996</w:t>
      </w:r>
      <w:r w:rsidR="00D2039D" w:rsidRPr="003F677F">
        <w:rPr>
          <w:lang w:val="es-ES_tradnl"/>
        </w:rPr>
        <w:t>, por lo que correspondía su conocimiento a la Corte Suprema de Justicia.</w:t>
      </w:r>
    </w:p>
    <w:p w:rsidR="003F677F" w:rsidRDefault="003F677F" w:rsidP="00B54921">
      <w:pPr>
        <w:pStyle w:val="ListParagraph"/>
        <w:tabs>
          <w:tab w:val="left" w:pos="720"/>
        </w:tabs>
        <w:rPr>
          <w:lang w:val="es-ES_tradnl"/>
        </w:rPr>
      </w:pPr>
    </w:p>
    <w:p w:rsidR="00CA6207" w:rsidRPr="003F677F" w:rsidRDefault="00F73C3E" w:rsidP="00B54921">
      <w:pPr>
        <w:pStyle w:val="parrafos"/>
        <w:numPr>
          <w:ilvl w:val="0"/>
          <w:numId w:val="56"/>
        </w:numPr>
        <w:tabs>
          <w:tab w:val="left" w:pos="720"/>
        </w:tabs>
        <w:ind w:left="0" w:firstLine="0"/>
      </w:pPr>
      <w:r w:rsidRPr="003F677F">
        <w:rPr>
          <w:lang w:val="es-ES_tradnl"/>
        </w:rPr>
        <w:lastRenderedPageBreak/>
        <w:t>E</w:t>
      </w:r>
      <w:r w:rsidR="00D2039D" w:rsidRPr="003F677F">
        <w:rPr>
          <w:lang w:val="es-ES_tradnl"/>
        </w:rPr>
        <w:t xml:space="preserve">l 17 de marzo de 1999 la </w:t>
      </w:r>
      <w:r w:rsidR="00D32AB4" w:rsidRPr="003F677F">
        <w:rPr>
          <w:lang w:val="es-ES_tradnl"/>
        </w:rPr>
        <w:t>Corte Suprema de Justicia</w:t>
      </w:r>
      <w:r w:rsidR="00D2039D" w:rsidRPr="003F677F">
        <w:rPr>
          <w:lang w:val="es-ES_tradnl"/>
        </w:rPr>
        <w:t xml:space="preserve"> decidió no entrar a conocer </w:t>
      </w:r>
      <w:r w:rsidRPr="003F677F">
        <w:rPr>
          <w:lang w:val="es-ES_tradnl"/>
        </w:rPr>
        <w:t>el recurso de apelación</w:t>
      </w:r>
      <w:r w:rsidR="0068286A" w:rsidRPr="003F677F">
        <w:rPr>
          <w:lang w:val="es-ES_tradnl"/>
        </w:rPr>
        <w:t xml:space="preserve"> </w:t>
      </w:r>
      <w:r w:rsidR="00252115" w:rsidRPr="003F677F">
        <w:rPr>
          <w:lang w:val="es-ES_tradnl"/>
        </w:rPr>
        <w:t>argumentando que el acto impugnado fue dictado por un tribunal colegiado y por lo tanto no era apel</w:t>
      </w:r>
      <w:r w:rsidR="00D2039D" w:rsidRPr="003F677F">
        <w:rPr>
          <w:lang w:val="es-ES_tradnl"/>
        </w:rPr>
        <w:t>able</w:t>
      </w:r>
      <w:r w:rsidR="00E21CC8" w:rsidRPr="003F677F">
        <w:rPr>
          <w:lang w:val="es-ES_tradnl"/>
        </w:rPr>
        <w:t>. Al respecto, refirió que:</w:t>
      </w:r>
    </w:p>
    <w:p w:rsidR="003F677F" w:rsidRPr="003F677F" w:rsidRDefault="003F677F" w:rsidP="00B54921">
      <w:pPr>
        <w:pStyle w:val="parrafos"/>
        <w:tabs>
          <w:tab w:val="left" w:pos="720"/>
        </w:tabs>
      </w:pPr>
    </w:p>
    <w:p w:rsidR="009620DB" w:rsidRPr="003F677F" w:rsidRDefault="00E21CC8"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ES_tradnl"/>
        </w:rPr>
      </w:pPr>
      <w:r w:rsidRPr="003F677F">
        <w:rPr>
          <w:rFonts w:asciiTheme="majorHAnsi" w:hAnsiTheme="majorHAnsi"/>
          <w:sz w:val="18"/>
          <w:szCs w:val="18"/>
          <w:lang w:val="es-ES_tradnl"/>
        </w:rPr>
        <w:t>Que en la parte final del primer párrafo del artículo 140 de la Ley del Organismo Judicial (Reformado por el artículo 10 del Decreto 112-97 del Congreso de la República) se establece que “La resolución será apelable salvo en aquellos casos en los que las leyes que regulan materias especiales excluyan este recurso o se trate de incidentes resueltos por los Tribunales Colegiados y como en el asunto bajo examen se constata que la resolución impugnada con el recurso de apelación fue dictada por tribunal colegiado, como lo es la Sala Primera de la Corte de Apelaciones de Trabajo y Previsión Social, se concluye que la resolución no es apelable, por lo cual no es dable a esta Corte conocer del citado recurso, y debe resolverse conforme a derecho</w:t>
      </w:r>
      <w:r w:rsidRPr="003F677F">
        <w:rPr>
          <w:rFonts w:asciiTheme="majorHAnsi" w:hAnsiTheme="majorHAnsi"/>
          <w:sz w:val="18"/>
          <w:szCs w:val="18"/>
          <w:vertAlign w:val="superscript"/>
        </w:rPr>
        <w:footnoteReference w:id="31"/>
      </w:r>
      <w:r w:rsidRPr="003F677F">
        <w:rPr>
          <w:rFonts w:asciiTheme="majorHAnsi" w:hAnsiTheme="majorHAnsi"/>
          <w:sz w:val="18"/>
          <w:szCs w:val="18"/>
          <w:lang w:val="es-ES_tradnl"/>
        </w:rPr>
        <w:t xml:space="preserve">. </w:t>
      </w:r>
    </w:p>
    <w:p w:rsidR="009620DB" w:rsidRPr="00E21CC8" w:rsidRDefault="009620DB" w:rsidP="00B54921">
      <w:pPr>
        <w:pStyle w:val="ListParagraph"/>
        <w:tabs>
          <w:tab w:val="left" w:pos="720"/>
        </w:tabs>
        <w:rPr>
          <w:rFonts w:asciiTheme="majorHAnsi" w:hAnsiTheme="majorHAnsi"/>
          <w:sz w:val="20"/>
          <w:szCs w:val="20"/>
          <w:lang w:val="es-ES_tradnl"/>
        </w:rPr>
      </w:pPr>
    </w:p>
    <w:p w:rsidR="003F677F" w:rsidRDefault="00D2039D" w:rsidP="00B54921">
      <w:pPr>
        <w:pStyle w:val="parrafos"/>
        <w:numPr>
          <w:ilvl w:val="0"/>
          <w:numId w:val="56"/>
        </w:numPr>
        <w:tabs>
          <w:tab w:val="left" w:pos="720"/>
        </w:tabs>
        <w:ind w:left="0" w:firstLine="0"/>
      </w:pPr>
      <w:r w:rsidRPr="009620DB">
        <w:t xml:space="preserve">El </w:t>
      </w:r>
      <w:r w:rsidR="008C7F1F">
        <w:t>20</w:t>
      </w:r>
      <w:r w:rsidR="008C7F1F" w:rsidRPr="009620DB">
        <w:t xml:space="preserve"> </w:t>
      </w:r>
      <w:r w:rsidRPr="009620DB">
        <w:t>de marzo de 1999</w:t>
      </w:r>
      <w:r w:rsidR="00487F96" w:rsidRPr="009620DB">
        <w:t xml:space="preserve"> </w:t>
      </w:r>
      <w:r w:rsidRPr="009620DB">
        <w:t>la parte peticionaria</w:t>
      </w:r>
      <w:r w:rsidR="00BD4E53" w:rsidRPr="009620DB">
        <w:t xml:space="preserve"> presentó un recurso de amparo </w:t>
      </w:r>
      <w:r w:rsidR="005A4334" w:rsidRPr="009620DB">
        <w:t>en la</w:t>
      </w:r>
      <w:r w:rsidR="00BD4E53" w:rsidRPr="009620DB">
        <w:t xml:space="preserve"> Corte de Constitucionalidad</w:t>
      </w:r>
      <w:r w:rsidR="001E3C2D" w:rsidRPr="009620DB">
        <w:t xml:space="preserve"> argumentando que </w:t>
      </w:r>
      <w:r w:rsidR="00A72B90" w:rsidRPr="009620DB">
        <w:t>la L</w:t>
      </w:r>
      <w:r w:rsidR="001E3C2D" w:rsidRPr="009620DB">
        <w:t>ey</w:t>
      </w:r>
      <w:r w:rsidR="00473A70" w:rsidRPr="009620DB">
        <w:rPr>
          <w:lang w:val="es-ES_tradnl"/>
        </w:rPr>
        <w:t xml:space="preserve"> del Organismo Judicial </w:t>
      </w:r>
      <w:r w:rsidR="001E3C2D" w:rsidRPr="009620DB">
        <w:t>no es aplicable  ya que su derecho a recurri</w:t>
      </w:r>
      <w:r w:rsidR="0049769D" w:rsidRPr="009620DB">
        <w:t>r</w:t>
      </w:r>
      <w:r w:rsidR="001E3C2D" w:rsidRPr="009620DB">
        <w:t xml:space="preserve"> </w:t>
      </w:r>
      <w:r w:rsidR="0049769D" w:rsidRPr="009620DB">
        <w:t>está</w:t>
      </w:r>
      <w:r w:rsidR="001E3C2D" w:rsidRPr="009620DB">
        <w:t xml:space="preserve"> contenido en el </w:t>
      </w:r>
      <w:r w:rsidR="0049769D" w:rsidRPr="009620DB">
        <w:t>artículo</w:t>
      </w:r>
      <w:r w:rsidR="001E3C2D" w:rsidRPr="009620DB">
        <w:t xml:space="preserve"> 6</w:t>
      </w:r>
      <w:r w:rsidR="00A72B90" w:rsidRPr="009620DB">
        <w:t xml:space="preserve"> de la L</w:t>
      </w:r>
      <w:r w:rsidR="00FE6BB9" w:rsidRPr="009620DB">
        <w:t>ey de Sindicalización y Regulació</w:t>
      </w:r>
      <w:r w:rsidR="00A72B90" w:rsidRPr="009620DB">
        <w:t>n de Huelga de los trabajadores</w:t>
      </w:r>
      <w:r w:rsidR="00760472">
        <w:t xml:space="preserve"> y debe regir la norma especial para el caso que es esta última. </w:t>
      </w:r>
    </w:p>
    <w:p w:rsidR="003F677F" w:rsidRDefault="003F677F" w:rsidP="00B54921">
      <w:pPr>
        <w:pStyle w:val="parrafos"/>
        <w:tabs>
          <w:tab w:val="left" w:pos="720"/>
        </w:tabs>
      </w:pPr>
    </w:p>
    <w:p w:rsidR="00252603" w:rsidRPr="003F677F" w:rsidRDefault="00A72B90" w:rsidP="00B54921">
      <w:pPr>
        <w:pStyle w:val="parrafos"/>
        <w:numPr>
          <w:ilvl w:val="0"/>
          <w:numId w:val="56"/>
        </w:numPr>
        <w:tabs>
          <w:tab w:val="left" w:pos="720"/>
        </w:tabs>
        <w:ind w:left="0" w:firstLine="0"/>
      </w:pPr>
      <w:r w:rsidRPr="003F677F">
        <w:t xml:space="preserve">El </w:t>
      </w:r>
      <w:r w:rsidR="00D94164" w:rsidRPr="003F677F">
        <w:t>8</w:t>
      </w:r>
      <w:r w:rsidR="0068286A" w:rsidRPr="003F677F">
        <w:t xml:space="preserve"> </w:t>
      </w:r>
      <w:r w:rsidRPr="003F677F">
        <w:t xml:space="preserve">de </w:t>
      </w:r>
      <w:r w:rsidR="00D94164" w:rsidRPr="003F677F">
        <w:t xml:space="preserve">julio de 1999 </w:t>
      </w:r>
      <w:r w:rsidRPr="003F677F">
        <w:t xml:space="preserve">la Corte de Constitucionalidad declaró sin lugar el recurso de amparo. </w:t>
      </w:r>
      <w:r w:rsidRPr="003F677F">
        <w:rPr>
          <w:lang w:val="es-CO"/>
        </w:rPr>
        <w:t xml:space="preserve">Al respecto argumentó que: </w:t>
      </w:r>
    </w:p>
    <w:p w:rsidR="00252603" w:rsidRPr="00CA6207" w:rsidRDefault="00252603"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rsidR="00760472" w:rsidRPr="003F677F" w:rsidRDefault="0076047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VE"/>
        </w:rPr>
      </w:pPr>
      <w:r w:rsidRPr="003F677F">
        <w:rPr>
          <w:rFonts w:asciiTheme="majorHAnsi" w:hAnsiTheme="majorHAnsi"/>
          <w:sz w:val="18"/>
          <w:szCs w:val="18"/>
          <w:lang w:val="es-VE"/>
        </w:rPr>
        <w:t>(…) De las dos tesis sustentadas en este caso, la del postulante y la de la autoridad reclamada, es la última la que la Corte encuentra ajustada a Derecho, porque, ni el Decreto 71-86 citado ni el Código de Trabajo establecen, para la cuestión accesoria de declaratoria de ilegalidad</w:t>
      </w:r>
      <w:r w:rsidR="00DE3D3D" w:rsidRPr="003F677F">
        <w:rPr>
          <w:rFonts w:asciiTheme="majorHAnsi" w:hAnsiTheme="majorHAnsi"/>
          <w:sz w:val="18"/>
          <w:szCs w:val="18"/>
          <w:lang w:val="es-VE"/>
        </w:rPr>
        <w:t xml:space="preserve"> </w:t>
      </w:r>
      <w:r w:rsidRPr="003F677F">
        <w:rPr>
          <w:rFonts w:asciiTheme="majorHAnsi" w:hAnsiTheme="majorHAnsi"/>
          <w:sz w:val="18"/>
          <w:szCs w:val="18"/>
          <w:lang w:val="es-VE"/>
        </w:rPr>
        <w:t xml:space="preserve">de una huelga, un procedimiento específico en el conflicto colectivo principal, por lo que es a la preceptiva de la Ley del Organismo Judicial a la que deben sujetarse las actuaciones y decisiones acaecidas en tal gestión, salvo que algunas pudieran estar reguladas por normas de carácter especial. </w:t>
      </w:r>
    </w:p>
    <w:p w:rsidR="00760472" w:rsidRPr="003F677F" w:rsidRDefault="00760472"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lang w:val="es-VE"/>
        </w:rPr>
      </w:pPr>
    </w:p>
    <w:p w:rsidR="001E3C2D" w:rsidRPr="003F677F" w:rsidRDefault="00A72B90"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F677F">
        <w:rPr>
          <w:rFonts w:asciiTheme="majorHAnsi" w:hAnsiTheme="majorHAnsi"/>
          <w:sz w:val="18"/>
          <w:szCs w:val="18"/>
          <w:lang w:val="es-VE"/>
        </w:rPr>
        <w:t>E</w:t>
      </w:r>
      <w:r w:rsidR="001E3C2D" w:rsidRPr="003F677F">
        <w:rPr>
          <w:rFonts w:asciiTheme="majorHAnsi" w:hAnsiTheme="majorHAnsi"/>
          <w:sz w:val="18"/>
          <w:szCs w:val="18"/>
          <w:lang w:val="es-VE"/>
        </w:rPr>
        <w:t xml:space="preserve">n el rol impugnativo de la decisión que se </w:t>
      </w:r>
      <w:r w:rsidR="0049769D" w:rsidRPr="003F677F">
        <w:rPr>
          <w:rFonts w:asciiTheme="majorHAnsi" w:hAnsiTheme="majorHAnsi"/>
          <w:sz w:val="18"/>
          <w:szCs w:val="18"/>
          <w:lang w:val="es-VE"/>
        </w:rPr>
        <w:t>involucra</w:t>
      </w:r>
      <w:r w:rsidR="001E3C2D" w:rsidRPr="003F677F">
        <w:rPr>
          <w:rFonts w:asciiTheme="majorHAnsi" w:hAnsiTheme="majorHAnsi"/>
          <w:sz w:val="18"/>
          <w:szCs w:val="18"/>
          <w:lang w:val="es-VE"/>
        </w:rPr>
        <w:t xml:space="preserve"> en los antecedentes de la presente acción, que </w:t>
      </w:r>
      <w:r w:rsidR="0049769D" w:rsidRPr="003F677F">
        <w:rPr>
          <w:rFonts w:asciiTheme="majorHAnsi" w:hAnsiTheme="majorHAnsi"/>
          <w:sz w:val="18"/>
          <w:szCs w:val="18"/>
          <w:lang w:val="es-VE"/>
        </w:rPr>
        <w:t>acogió</w:t>
      </w:r>
      <w:r w:rsidR="001E3C2D" w:rsidRPr="003F677F">
        <w:rPr>
          <w:rFonts w:asciiTheme="majorHAnsi" w:hAnsiTheme="majorHAnsi"/>
          <w:sz w:val="18"/>
          <w:szCs w:val="18"/>
          <w:lang w:val="es-VE"/>
        </w:rPr>
        <w:t xml:space="preserve"> el </w:t>
      </w:r>
      <w:r w:rsidR="0049769D" w:rsidRPr="003F677F">
        <w:rPr>
          <w:rFonts w:asciiTheme="majorHAnsi" w:hAnsiTheme="majorHAnsi"/>
          <w:sz w:val="18"/>
          <w:szCs w:val="18"/>
          <w:lang w:val="es-VE"/>
        </w:rPr>
        <w:t>incidente</w:t>
      </w:r>
      <w:r w:rsidR="001E3C2D" w:rsidRPr="003F677F">
        <w:rPr>
          <w:rFonts w:asciiTheme="majorHAnsi" w:hAnsiTheme="majorHAnsi"/>
          <w:sz w:val="18"/>
          <w:szCs w:val="18"/>
          <w:lang w:val="es-VE"/>
        </w:rPr>
        <w:t xml:space="preserve"> de ilegitimidad de huelga, debe atenderse lo </w:t>
      </w:r>
      <w:r w:rsidR="0049769D" w:rsidRPr="003F677F">
        <w:rPr>
          <w:rFonts w:asciiTheme="majorHAnsi" w:hAnsiTheme="majorHAnsi"/>
          <w:sz w:val="18"/>
          <w:szCs w:val="18"/>
          <w:lang w:val="es-VE"/>
        </w:rPr>
        <w:t>establecido</w:t>
      </w:r>
      <w:r w:rsidR="001E3C2D" w:rsidRPr="003F677F">
        <w:rPr>
          <w:rFonts w:asciiTheme="majorHAnsi" w:hAnsiTheme="majorHAnsi"/>
          <w:sz w:val="18"/>
          <w:szCs w:val="18"/>
          <w:lang w:val="es-VE"/>
        </w:rPr>
        <w:t xml:space="preserve"> en el </w:t>
      </w:r>
      <w:r w:rsidR="0049769D" w:rsidRPr="003F677F">
        <w:rPr>
          <w:rFonts w:asciiTheme="majorHAnsi" w:hAnsiTheme="majorHAnsi"/>
          <w:sz w:val="18"/>
          <w:szCs w:val="18"/>
          <w:lang w:val="es-VE"/>
        </w:rPr>
        <w:t>último</w:t>
      </w:r>
      <w:r w:rsidR="001E3C2D" w:rsidRPr="003F677F">
        <w:rPr>
          <w:rFonts w:asciiTheme="majorHAnsi" w:hAnsiTheme="majorHAnsi"/>
          <w:sz w:val="18"/>
          <w:szCs w:val="18"/>
          <w:lang w:val="es-VE"/>
        </w:rPr>
        <w:t xml:space="preserve"> párrafo del </w:t>
      </w:r>
      <w:r w:rsidR="0049769D" w:rsidRPr="003F677F">
        <w:rPr>
          <w:rFonts w:asciiTheme="majorHAnsi" w:hAnsiTheme="majorHAnsi"/>
          <w:sz w:val="18"/>
          <w:szCs w:val="18"/>
          <w:lang w:val="es-VE"/>
        </w:rPr>
        <w:t>artículo</w:t>
      </w:r>
      <w:r w:rsidR="001E3C2D" w:rsidRPr="003F677F">
        <w:rPr>
          <w:rFonts w:asciiTheme="majorHAnsi" w:hAnsiTheme="majorHAnsi"/>
          <w:sz w:val="18"/>
          <w:szCs w:val="18"/>
          <w:lang w:val="es-VE"/>
        </w:rPr>
        <w:t xml:space="preserve"> 140 citado, que excluye expresamente la utilización de la</w:t>
      </w:r>
      <w:r w:rsidRPr="003F677F">
        <w:rPr>
          <w:rFonts w:asciiTheme="majorHAnsi" w:hAnsiTheme="majorHAnsi"/>
          <w:sz w:val="18"/>
          <w:szCs w:val="18"/>
          <w:lang w:val="es-VE"/>
        </w:rPr>
        <w:t xml:space="preserve"> apelación contra las resoluciones</w:t>
      </w:r>
      <w:r w:rsidR="001E3C2D" w:rsidRPr="003F677F">
        <w:rPr>
          <w:rFonts w:asciiTheme="majorHAnsi" w:hAnsiTheme="majorHAnsi"/>
          <w:sz w:val="18"/>
          <w:szCs w:val="18"/>
          <w:lang w:val="es-VE"/>
        </w:rPr>
        <w:t xml:space="preserve"> definitivas que han dictado en aquella </w:t>
      </w:r>
      <w:r w:rsidR="0049769D" w:rsidRPr="003F677F">
        <w:rPr>
          <w:rFonts w:asciiTheme="majorHAnsi" w:hAnsiTheme="majorHAnsi"/>
          <w:sz w:val="18"/>
          <w:szCs w:val="18"/>
          <w:lang w:val="es-VE"/>
        </w:rPr>
        <w:t>vía</w:t>
      </w:r>
      <w:r w:rsidR="001E3C2D" w:rsidRPr="003F677F">
        <w:rPr>
          <w:rFonts w:asciiTheme="majorHAnsi" w:hAnsiTheme="majorHAnsi"/>
          <w:sz w:val="18"/>
          <w:szCs w:val="18"/>
          <w:lang w:val="es-VE"/>
        </w:rPr>
        <w:t xml:space="preserve"> – de los incidentes – los tribunales colegiados (…)</w:t>
      </w:r>
      <w:r w:rsidR="001E3C2D" w:rsidRPr="003F677F">
        <w:rPr>
          <w:rStyle w:val="FootnoteReference"/>
          <w:rFonts w:asciiTheme="majorHAnsi" w:hAnsiTheme="majorHAnsi"/>
          <w:sz w:val="18"/>
          <w:szCs w:val="18"/>
        </w:rPr>
        <w:footnoteReference w:id="32"/>
      </w:r>
      <w:r w:rsidR="0075234D" w:rsidRPr="003F677F">
        <w:rPr>
          <w:rFonts w:asciiTheme="majorHAnsi" w:hAnsiTheme="majorHAnsi"/>
          <w:sz w:val="18"/>
          <w:szCs w:val="18"/>
        </w:rPr>
        <w:t>.</w:t>
      </w:r>
    </w:p>
    <w:p w:rsidR="00252603" w:rsidRDefault="00252603"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VE"/>
        </w:rPr>
      </w:pPr>
    </w:p>
    <w:p w:rsidR="006C0C0E" w:rsidRPr="00BE38A9" w:rsidRDefault="006C0C0E" w:rsidP="006C0C0E">
      <w:pPr>
        <w:pStyle w:val="Heading3"/>
        <w:numPr>
          <w:ilvl w:val="0"/>
          <w:numId w:val="60"/>
        </w:numPr>
        <w:tabs>
          <w:tab w:val="left" w:pos="720"/>
        </w:tabs>
        <w:ind w:left="360"/>
      </w:pPr>
      <w:bookmarkStart w:id="18" w:name="_Toc14884444"/>
      <w:r>
        <w:t>Acta de despidos de la Corte Suprema de Justicia</w:t>
      </w:r>
      <w:r w:rsidR="00511849">
        <w:t xml:space="preserve"> y recursos posteriores</w:t>
      </w:r>
      <w:bookmarkEnd w:id="18"/>
    </w:p>
    <w:p w:rsidR="006C0C0E" w:rsidRPr="006C0C0E" w:rsidRDefault="006C0C0E"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ES_tradnl"/>
        </w:rPr>
      </w:pPr>
    </w:p>
    <w:p w:rsidR="00442D18" w:rsidRDefault="00436C85" w:rsidP="00B54921">
      <w:pPr>
        <w:pStyle w:val="parrafos"/>
        <w:numPr>
          <w:ilvl w:val="0"/>
          <w:numId w:val="56"/>
        </w:numPr>
        <w:tabs>
          <w:tab w:val="left" w:pos="720"/>
        </w:tabs>
        <w:ind w:left="0" w:firstLine="0"/>
        <w:rPr>
          <w:lang w:val="es-ES_tradnl"/>
        </w:rPr>
      </w:pPr>
      <w:r w:rsidRPr="00C51B67">
        <w:rPr>
          <w:lang w:val="es-ES_tradnl"/>
        </w:rPr>
        <w:t>El 1 de septiembre de 1999 la C</w:t>
      </w:r>
      <w:r w:rsidR="00A72B90" w:rsidRPr="00C51B67">
        <w:rPr>
          <w:lang w:val="es-ES_tradnl"/>
        </w:rPr>
        <w:t>orte Suprema de Justicia</w:t>
      </w:r>
      <w:r w:rsidRPr="00C51B67">
        <w:rPr>
          <w:lang w:val="es-ES_tradnl"/>
        </w:rPr>
        <w:t xml:space="preserve"> </w:t>
      </w:r>
      <w:r w:rsidR="00C51B67" w:rsidRPr="00C51B67">
        <w:rPr>
          <w:lang w:val="es-ES_tradnl"/>
        </w:rPr>
        <w:t>procedió a ejecutar los despidos de 404 trabajadores que h</w:t>
      </w:r>
      <w:r w:rsidR="00DE3D3D">
        <w:rPr>
          <w:lang w:val="es-ES_tradnl"/>
        </w:rPr>
        <w:t>abrían participado en la huelga</w:t>
      </w:r>
      <w:r>
        <w:rPr>
          <w:rStyle w:val="FootnoteReference"/>
          <w:lang w:val="es-ES_tradnl"/>
        </w:rPr>
        <w:footnoteReference w:id="33"/>
      </w:r>
      <w:r w:rsidRPr="00C51B67">
        <w:rPr>
          <w:lang w:val="es-ES_tradnl"/>
        </w:rPr>
        <w:t>.</w:t>
      </w:r>
      <w:r w:rsidR="00442D18" w:rsidRPr="00C51B67">
        <w:rPr>
          <w:lang w:val="es-ES_tradnl"/>
        </w:rPr>
        <w:t xml:space="preserve"> </w:t>
      </w:r>
      <w:r w:rsidR="00C51B67" w:rsidRPr="00C51B67">
        <w:rPr>
          <w:lang w:val="es-ES_tradnl"/>
        </w:rPr>
        <w:t xml:space="preserve">La Corte expresó que </w:t>
      </w:r>
      <w:r w:rsidR="00C51B67">
        <w:rPr>
          <w:lang w:val="es-ES_tradnl"/>
        </w:rPr>
        <w:t>para tomar tal decisión tuvo en cuenta los siguientes aspectos:</w:t>
      </w:r>
    </w:p>
    <w:p w:rsidR="00C51B67" w:rsidRDefault="00C51B67"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C51B67" w:rsidRPr="003F677F" w:rsidRDefault="00C51B67" w:rsidP="003E715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360" w:right="360" w:firstLine="0"/>
        <w:jc w:val="both"/>
        <w:rPr>
          <w:rFonts w:asciiTheme="majorHAnsi" w:hAnsiTheme="majorHAnsi"/>
          <w:sz w:val="18"/>
          <w:szCs w:val="18"/>
          <w:lang w:val="es-ES_tradnl"/>
        </w:rPr>
      </w:pPr>
      <w:r w:rsidRPr="003F677F">
        <w:rPr>
          <w:rFonts w:asciiTheme="majorHAnsi" w:hAnsiTheme="majorHAnsi"/>
          <w:sz w:val="18"/>
          <w:szCs w:val="18"/>
          <w:lang w:val="es-ES_tradnl"/>
        </w:rPr>
        <w:t>La actitud asumida por los trabajadores que realizaron la huelga vedó a la población el derecho y acceso a la justicia garantizados por la Constitución Política de la República de Guatemala, ya que implicó la paralización del servicio público de administración de justicia por veinte días (…)</w:t>
      </w:r>
    </w:p>
    <w:p w:rsidR="00C51B67" w:rsidRPr="003F677F" w:rsidRDefault="00C51B67" w:rsidP="003E715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360" w:right="360" w:firstLine="0"/>
        <w:jc w:val="both"/>
        <w:rPr>
          <w:rFonts w:asciiTheme="majorHAnsi" w:hAnsiTheme="majorHAnsi"/>
          <w:sz w:val="18"/>
          <w:szCs w:val="18"/>
          <w:lang w:val="es-ES_tradnl"/>
        </w:rPr>
      </w:pPr>
      <w:r w:rsidRPr="003F677F">
        <w:rPr>
          <w:rFonts w:asciiTheme="majorHAnsi" w:hAnsiTheme="majorHAnsi"/>
          <w:sz w:val="18"/>
          <w:szCs w:val="18"/>
          <w:lang w:val="es-ES_tradnl"/>
        </w:rPr>
        <w:t>El desmedro sufrido por la justicia debido a la referida huelga ilegal constituyó un golpe al Estado de Derecho.</w:t>
      </w:r>
    </w:p>
    <w:p w:rsidR="00C51B67" w:rsidRPr="003F677F" w:rsidRDefault="00C51B67" w:rsidP="003E715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360" w:right="360" w:firstLine="0"/>
        <w:jc w:val="both"/>
        <w:rPr>
          <w:rFonts w:asciiTheme="majorHAnsi" w:hAnsiTheme="majorHAnsi"/>
          <w:sz w:val="18"/>
          <w:szCs w:val="18"/>
          <w:lang w:val="es-ES_tradnl"/>
        </w:rPr>
      </w:pPr>
      <w:r w:rsidRPr="003F677F">
        <w:rPr>
          <w:rFonts w:asciiTheme="majorHAnsi" w:hAnsiTheme="majorHAnsi"/>
          <w:sz w:val="18"/>
          <w:szCs w:val="18"/>
          <w:lang w:val="es-ES_tradnl"/>
        </w:rPr>
        <w:t>Los empleados que participaron en la huelga ilegal antepusieron intereses particulares, siendo el principal afectado, el pueblo de Guatemala (…)</w:t>
      </w:r>
    </w:p>
    <w:p w:rsidR="00252603" w:rsidRPr="003F677F" w:rsidRDefault="00C51B67" w:rsidP="003E715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s>
        <w:ind w:left="360" w:right="360" w:firstLine="0"/>
        <w:jc w:val="both"/>
        <w:rPr>
          <w:rFonts w:asciiTheme="majorHAnsi" w:hAnsiTheme="majorHAnsi"/>
          <w:sz w:val="18"/>
          <w:szCs w:val="18"/>
          <w:lang w:val="es-ES_tradnl"/>
        </w:rPr>
      </w:pPr>
      <w:r w:rsidRPr="003F677F">
        <w:rPr>
          <w:rFonts w:asciiTheme="majorHAnsi" w:hAnsiTheme="majorHAnsi"/>
          <w:sz w:val="18"/>
          <w:szCs w:val="18"/>
          <w:lang w:val="es-ES_tradnl"/>
        </w:rPr>
        <w:t>(…)las medidas, también de hecho, que acompañaron a la huelga y que solas ellas merecerían una sanción especial como son: i</w:t>
      </w:r>
      <w:r w:rsidR="003E715E">
        <w:rPr>
          <w:rFonts w:asciiTheme="majorHAnsi" w:hAnsiTheme="majorHAnsi"/>
          <w:sz w:val="18"/>
          <w:szCs w:val="18"/>
          <w:lang w:val="es-ES_tradnl"/>
        </w:rPr>
        <w:t>.</w:t>
      </w:r>
      <w:r w:rsidRPr="003F677F">
        <w:rPr>
          <w:rFonts w:asciiTheme="majorHAnsi" w:hAnsiTheme="majorHAnsi"/>
          <w:sz w:val="18"/>
          <w:szCs w:val="18"/>
          <w:lang w:val="es-ES_tradnl"/>
        </w:rPr>
        <w:t xml:space="preserve"> haber tomado los procesos y haberlos utilizado como barricadas para impedir el acceso de Jueces, Magistrados y usuarios, así como colocación de procesos en los elevadores</w:t>
      </w:r>
      <w:r w:rsidR="00896927" w:rsidRPr="003F677F">
        <w:rPr>
          <w:rFonts w:asciiTheme="majorHAnsi" w:hAnsiTheme="majorHAnsi"/>
          <w:sz w:val="18"/>
          <w:szCs w:val="18"/>
          <w:lang w:val="es-ES_tradnl"/>
        </w:rPr>
        <w:t xml:space="preserve"> de la Torre de Tribunales. ii. Intentar abrir la puerta del Salón del Pleno en donde sesionaba esta Corte Suprema de Justicia. iii. Golpear la referida puerta. iv. Perturbar la celebración de las sesiones de esta Corte, mediante altoparlantes, emitiendo insultos a las autoridades. V. Acudir a amenazas contra empleados que deseaban continuar prestando sus servicios</w:t>
      </w:r>
      <w:r w:rsidR="006C0C0E" w:rsidRPr="006C0C0E">
        <w:rPr>
          <w:rStyle w:val="FootnoteReference"/>
          <w:sz w:val="18"/>
          <w:szCs w:val="18"/>
          <w:lang w:val="es-ES_tradnl"/>
        </w:rPr>
        <w:footnoteReference w:id="34"/>
      </w:r>
      <w:r w:rsidR="00896927" w:rsidRPr="003F677F">
        <w:rPr>
          <w:rFonts w:asciiTheme="majorHAnsi" w:hAnsiTheme="majorHAnsi"/>
          <w:sz w:val="18"/>
          <w:szCs w:val="18"/>
          <w:lang w:val="es-ES_tradnl"/>
        </w:rPr>
        <w:t xml:space="preserve">. </w:t>
      </w:r>
    </w:p>
    <w:p w:rsidR="000859A2" w:rsidRPr="000859A2" w:rsidRDefault="000859A2" w:rsidP="00B549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990"/>
        <w:jc w:val="both"/>
        <w:rPr>
          <w:rFonts w:asciiTheme="majorHAnsi" w:hAnsiTheme="majorHAnsi"/>
          <w:sz w:val="20"/>
          <w:szCs w:val="20"/>
          <w:lang w:val="es-ES_tradnl"/>
        </w:rPr>
      </w:pPr>
    </w:p>
    <w:p w:rsidR="00511849" w:rsidRPr="00511849" w:rsidRDefault="00511849" w:rsidP="00511849">
      <w:pPr>
        <w:pStyle w:val="parrafos"/>
        <w:numPr>
          <w:ilvl w:val="0"/>
          <w:numId w:val="56"/>
        </w:numPr>
        <w:tabs>
          <w:tab w:val="left" w:pos="720"/>
        </w:tabs>
        <w:ind w:left="0" w:firstLine="0"/>
        <w:rPr>
          <w:lang w:val="es-CO"/>
        </w:rPr>
      </w:pPr>
      <w:r>
        <w:rPr>
          <w:lang w:val="es-CO"/>
        </w:rPr>
        <w:lastRenderedPageBreak/>
        <w:t xml:space="preserve">Con posterioridad 72 miembros del sindicato presentaron recursos de reconsideración por </w:t>
      </w:r>
      <w:r w:rsidR="006F1AB5">
        <w:rPr>
          <w:lang w:val="es-CO"/>
        </w:rPr>
        <w:t xml:space="preserve">entender </w:t>
      </w:r>
      <w:r>
        <w:rPr>
          <w:lang w:val="es-CO"/>
        </w:rPr>
        <w:t xml:space="preserve">que los listados no fueron depurados adecuadamente. En particular </w:t>
      </w:r>
      <w:r w:rsidRPr="00511849">
        <w:rPr>
          <w:lang w:val="es-CO"/>
        </w:rPr>
        <w:t xml:space="preserve">la parte peticionaria informó que 20 trabajadores presentaron pruebas para comprobar que trabajaron durante el periodo de huelga. </w:t>
      </w:r>
      <w:r w:rsidRPr="0005191F">
        <w:t>La Comisión cuenta con información de 18 miembros del sindicato</w:t>
      </w:r>
      <w:r>
        <w:rPr>
          <w:rStyle w:val="FootnoteReference"/>
        </w:rPr>
        <w:footnoteReference w:id="35"/>
      </w:r>
      <w:r w:rsidRPr="0005191F">
        <w:t xml:space="preserve"> que </w:t>
      </w:r>
      <w:r w:rsidR="006C1C96">
        <w:t>presentaron</w:t>
      </w:r>
      <w:r w:rsidRPr="0005191F">
        <w:t xml:space="preserve"> medios de prueba indicando que trabajaron durante el periodo de huelga</w:t>
      </w:r>
      <w:r>
        <w:rPr>
          <w:rStyle w:val="FootnoteReference"/>
        </w:rPr>
        <w:footnoteReference w:id="36"/>
      </w:r>
      <w:r w:rsidRPr="0005191F">
        <w:t>.</w:t>
      </w:r>
    </w:p>
    <w:p w:rsidR="00511849" w:rsidRDefault="00511849" w:rsidP="00511849">
      <w:pPr>
        <w:pStyle w:val="parrafos"/>
        <w:tabs>
          <w:tab w:val="left" w:pos="720"/>
        </w:tabs>
        <w:rPr>
          <w:lang w:val="es-CO"/>
        </w:rPr>
      </w:pPr>
    </w:p>
    <w:p w:rsidR="00511849" w:rsidRPr="0005191F" w:rsidRDefault="00511849" w:rsidP="00511849">
      <w:pPr>
        <w:pStyle w:val="parrafos"/>
        <w:numPr>
          <w:ilvl w:val="0"/>
          <w:numId w:val="56"/>
        </w:numPr>
        <w:tabs>
          <w:tab w:val="left" w:pos="720"/>
        </w:tabs>
        <w:ind w:left="0" w:firstLine="0"/>
        <w:rPr>
          <w:lang w:val="es-CO"/>
        </w:rPr>
      </w:pPr>
      <w:r w:rsidRPr="0005191F">
        <w:rPr>
          <w:lang w:val="es-ES_tradnl"/>
        </w:rPr>
        <w:t>El 6 de septiembre de 1999 la Corte Suprema de Justicia amplió y corrigió la resolución del 1 de septiembre del mismo año. Mediante esta resolución la Corte Suprema de Justicia hizo notar que ciertos miembros del sindicato los cuales fueron incluidos en la lista de trabajadores que holgaron se encontraban erróneamente individualizados ya sea por error en el cargo que ocupaban o en el juzgado que trabajaban. Asimismo, el Tribunal incluyó nombres de más personas que participaron en la huelga. En particular, indicó:</w:t>
      </w:r>
    </w:p>
    <w:p w:rsidR="00511849" w:rsidRPr="00105C58" w:rsidRDefault="00511849" w:rsidP="00511849">
      <w:pPr>
        <w:pStyle w:val="NormalWeb"/>
        <w:tabs>
          <w:tab w:val="left" w:pos="720"/>
        </w:tabs>
        <w:ind w:left="360" w:right="360"/>
        <w:jc w:val="both"/>
        <w:rPr>
          <w:rFonts w:ascii="Cambria" w:hAnsi="Cambria"/>
          <w:sz w:val="18"/>
          <w:szCs w:val="18"/>
          <w:lang w:val="es-ES_tradnl"/>
        </w:rPr>
      </w:pPr>
      <w:r w:rsidRPr="00105C58">
        <w:rPr>
          <w:rFonts w:ascii="Cambria" w:hAnsi="Cambria"/>
          <w:sz w:val="18"/>
          <w:szCs w:val="18"/>
          <w:lang w:val="es-ES_tradnl"/>
        </w:rPr>
        <w:t xml:space="preserve">A) que los señores Gloria Marina Moya Ruiz, Oliverio Edmundo Roldan Castañeda y Sergio Alfredo Tobías Vazquez no se encuentran laborando en el Juzgado de Paz del municipio de Acatenango, departamento de Chimaltenango, sino en el Juzgado de Paz del Municipio de </w:t>
      </w:r>
      <w:proofErr w:type="spellStart"/>
      <w:r w:rsidRPr="00105C58">
        <w:rPr>
          <w:rFonts w:ascii="Cambria" w:hAnsi="Cambria"/>
          <w:sz w:val="18"/>
          <w:szCs w:val="18"/>
          <w:lang w:val="es-ES_tradnl"/>
        </w:rPr>
        <w:t>Patzicia</w:t>
      </w:r>
      <w:proofErr w:type="spellEnd"/>
      <w:r w:rsidRPr="00105C58">
        <w:rPr>
          <w:rFonts w:ascii="Cambria" w:hAnsi="Cambria"/>
          <w:sz w:val="18"/>
          <w:szCs w:val="18"/>
          <w:lang w:val="es-ES_tradnl"/>
        </w:rPr>
        <w:t xml:space="preserve"> del mismo departamento (…)</w:t>
      </w:r>
    </w:p>
    <w:p w:rsidR="00511849" w:rsidRPr="00105C58" w:rsidRDefault="00511849" w:rsidP="00511849">
      <w:pPr>
        <w:pStyle w:val="NormalWeb"/>
        <w:tabs>
          <w:tab w:val="left" w:pos="720"/>
        </w:tabs>
        <w:ind w:left="360" w:right="360"/>
        <w:jc w:val="both"/>
        <w:rPr>
          <w:rFonts w:ascii="Cambria" w:hAnsi="Cambria"/>
          <w:sz w:val="18"/>
          <w:szCs w:val="18"/>
        </w:rPr>
      </w:pPr>
      <w:r w:rsidRPr="00105C58">
        <w:rPr>
          <w:rFonts w:ascii="Cambria" w:hAnsi="Cambria"/>
          <w:sz w:val="18"/>
          <w:szCs w:val="18"/>
          <w:lang w:val="es-ES_tradnl"/>
        </w:rPr>
        <w:t>B)  (…) incluir otros empleados que hubieren participado en el acto ilegal referido</w:t>
      </w:r>
      <w:r w:rsidRPr="00105C58">
        <w:rPr>
          <w:rFonts w:ascii="Cambria" w:hAnsi="Cambria"/>
          <w:sz w:val="18"/>
          <w:szCs w:val="18"/>
        </w:rPr>
        <w:t xml:space="preserve"> [la huelga] por haber quedado demostrado con la documentación respectiva también se incluye a: Glenda </w:t>
      </w:r>
      <w:proofErr w:type="spellStart"/>
      <w:r w:rsidRPr="00105C58">
        <w:rPr>
          <w:rFonts w:ascii="Cambria" w:hAnsi="Cambria"/>
          <w:sz w:val="18"/>
          <w:szCs w:val="18"/>
        </w:rPr>
        <w:t>Nineth</w:t>
      </w:r>
      <w:proofErr w:type="spellEnd"/>
      <w:r w:rsidRPr="00105C58">
        <w:rPr>
          <w:rFonts w:ascii="Cambria" w:hAnsi="Cambria"/>
          <w:sz w:val="18"/>
          <w:szCs w:val="18"/>
        </w:rPr>
        <w:t xml:space="preserve"> Figueroa </w:t>
      </w:r>
      <w:proofErr w:type="spellStart"/>
      <w:r w:rsidRPr="00105C58">
        <w:rPr>
          <w:rFonts w:ascii="Cambria" w:hAnsi="Cambria"/>
          <w:sz w:val="18"/>
          <w:szCs w:val="18"/>
        </w:rPr>
        <w:t>Caceres</w:t>
      </w:r>
      <w:proofErr w:type="spellEnd"/>
      <w:r w:rsidRPr="00105C58">
        <w:rPr>
          <w:rFonts w:ascii="Cambria" w:hAnsi="Cambria"/>
          <w:sz w:val="18"/>
          <w:szCs w:val="18"/>
        </w:rPr>
        <w:t xml:space="preserve"> de Garcia, Oficial III, J. Civil/</w:t>
      </w:r>
      <w:proofErr w:type="spellStart"/>
      <w:r w:rsidRPr="00105C58">
        <w:rPr>
          <w:rFonts w:ascii="Cambria" w:hAnsi="Cambria"/>
          <w:sz w:val="18"/>
          <w:szCs w:val="18"/>
        </w:rPr>
        <w:t>Eco.Coac</w:t>
      </w:r>
      <w:proofErr w:type="spellEnd"/>
      <w:r w:rsidRPr="00105C58">
        <w:rPr>
          <w:rFonts w:ascii="Cambria" w:hAnsi="Cambria"/>
          <w:sz w:val="18"/>
          <w:szCs w:val="18"/>
        </w:rPr>
        <w:t xml:space="preserve">. </w:t>
      </w:r>
      <w:proofErr w:type="spellStart"/>
      <w:r w:rsidRPr="00105C58">
        <w:rPr>
          <w:rFonts w:ascii="Cambria" w:hAnsi="Cambria"/>
          <w:sz w:val="18"/>
          <w:szCs w:val="18"/>
        </w:rPr>
        <w:t>Such</w:t>
      </w:r>
      <w:proofErr w:type="spellEnd"/>
      <w:r w:rsidRPr="00105C58">
        <w:rPr>
          <w:rFonts w:ascii="Cambria" w:hAnsi="Cambria"/>
          <w:sz w:val="18"/>
          <w:szCs w:val="18"/>
        </w:rPr>
        <w:t>; Edgard Rolando Lopez, Ofici</w:t>
      </w:r>
      <w:r w:rsidR="003E715E">
        <w:rPr>
          <w:rFonts w:ascii="Cambria" w:hAnsi="Cambria"/>
          <w:sz w:val="18"/>
          <w:szCs w:val="18"/>
        </w:rPr>
        <w:t>al III, J. Civil/</w:t>
      </w:r>
      <w:proofErr w:type="spellStart"/>
      <w:r w:rsidR="003E715E">
        <w:rPr>
          <w:rFonts w:ascii="Cambria" w:hAnsi="Cambria"/>
          <w:sz w:val="18"/>
          <w:szCs w:val="18"/>
        </w:rPr>
        <w:t>Eco.Coac</w:t>
      </w:r>
      <w:proofErr w:type="spellEnd"/>
      <w:r w:rsidR="003E715E">
        <w:rPr>
          <w:rFonts w:ascii="Cambria" w:hAnsi="Cambria"/>
          <w:sz w:val="18"/>
          <w:szCs w:val="18"/>
        </w:rPr>
        <w:t xml:space="preserve">. </w:t>
      </w:r>
      <w:proofErr w:type="spellStart"/>
      <w:r w:rsidR="003E715E">
        <w:rPr>
          <w:rFonts w:ascii="Cambria" w:hAnsi="Cambria"/>
          <w:sz w:val="18"/>
          <w:szCs w:val="18"/>
        </w:rPr>
        <w:t>Chiq</w:t>
      </w:r>
      <w:proofErr w:type="spellEnd"/>
      <w:r w:rsidRPr="00105C58">
        <w:rPr>
          <w:rFonts w:ascii="Cambria" w:hAnsi="Cambria"/>
          <w:sz w:val="18"/>
          <w:szCs w:val="18"/>
        </w:rPr>
        <w:t xml:space="preserve">; Juan Manuel </w:t>
      </w:r>
      <w:proofErr w:type="spellStart"/>
      <w:r w:rsidRPr="00105C58">
        <w:rPr>
          <w:rFonts w:ascii="Cambria" w:hAnsi="Cambria"/>
          <w:sz w:val="18"/>
          <w:szCs w:val="18"/>
        </w:rPr>
        <w:t>Hernandez</w:t>
      </w:r>
      <w:proofErr w:type="spellEnd"/>
      <w:r w:rsidRPr="00105C58">
        <w:rPr>
          <w:rFonts w:ascii="Cambria" w:hAnsi="Cambria"/>
          <w:sz w:val="18"/>
          <w:szCs w:val="18"/>
        </w:rPr>
        <w:t xml:space="preserve"> </w:t>
      </w:r>
      <w:proofErr w:type="spellStart"/>
      <w:r w:rsidRPr="00105C58">
        <w:rPr>
          <w:rFonts w:ascii="Cambria" w:hAnsi="Cambria"/>
          <w:sz w:val="18"/>
          <w:szCs w:val="18"/>
        </w:rPr>
        <w:t>Landaverde</w:t>
      </w:r>
      <w:proofErr w:type="spellEnd"/>
      <w:r w:rsidRPr="00105C58">
        <w:rPr>
          <w:rFonts w:ascii="Cambria" w:hAnsi="Cambria"/>
          <w:sz w:val="18"/>
          <w:szCs w:val="18"/>
        </w:rPr>
        <w:t xml:space="preserve">, </w:t>
      </w:r>
      <w:proofErr w:type="spellStart"/>
      <w:r w:rsidRPr="00105C58">
        <w:rPr>
          <w:rFonts w:ascii="Cambria" w:hAnsi="Cambria"/>
          <w:sz w:val="18"/>
          <w:szCs w:val="18"/>
        </w:rPr>
        <w:t>Srio</w:t>
      </w:r>
      <w:proofErr w:type="spellEnd"/>
      <w:r w:rsidRPr="00105C58">
        <w:rPr>
          <w:rFonts w:ascii="Cambria" w:hAnsi="Cambria"/>
          <w:sz w:val="18"/>
          <w:szCs w:val="18"/>
        </w:rPr>
        <w:t xml:space="preserve">, Instancia I, Tribunal </w:t>
      </w:r>
      <w:proofErr w:type="spellStart"/>
      <w:r w:rsidRPr="00105C58">
        <w:rPr>
          <w:rFonts w:ascii="Cambria" w:hAnsi="Cambria"/>
          <w:sz w:val="18"/>
          <w:szCs w:val="18"/>
        </w:rPr>
        <w:t>Sent</w:t>
      </w:r>
      <w:proofErr w:type="spellEnd"/>
      <w:r w:rsidRPr="00105C58">
        <w:rPr>
          <w:rFonts w:ascii="Cambria" w:hAnsi="Cambria"/>
          <w:sz w:val="18"/>
          <w:szCs w:val="18"/>
        </w:rPr>
        <w:t xml:space="preserve">. </w:t>
      </w:r>
      <w:proofErr w:type="spellStart"/>
      <w:r w:rsidRPr="00105C58">
        <w:rPr>
          <w:rFonts w:ascii="Cambria" w:hAnsi="Cambria"/>
          <w:sz w:val="18"/>
          <w:szCs w:val="18"/>
        </w:rPr>
        <w:t>Quet</w:t>
      </w:r>
      <w:proofErr w:type="spellEnd"/>
      <w:r w:rsidRPr="00105C58">
        <w:rPr>
          <w:rFonts w:ascii="Cambria" w:hAnsi="Cambria"/>
          <w:sz w:val="18"/>
          <w:szCs w:val="18"/>
        </w:rPr>
        <w:t xml:space="preserve">; Juan Jose </w:t>
      </w:r>
      <w:proofErr w:type="spellStart"/>
      <w:r w:rsidRPr="00105C58">
        <w:rPr>
          <w:rFonts w:ascii="Cambria" w:hAnsi="Cambria"/>
          <w:sz w:val="18"/>
          <w:szCs w:val="18"/>
        </w:rPr>
        <w:t>Psquiy</w:t>
      </w:r>
      <w:proofErr w:type="spellEnd"/>
      <w:r w:rsidRPr="00105C58">
        <w:rPr>
          <w:rFonts w:ascii="Cambria" w:hAnsi="Cambria"/>
          <w:sz w:val="18"/>
          <w:szCs w:val="18"/>
        </w:rPr>
        <w:t xml:space="preserve"> </w:t>
      </w:r>
      <w:proofErr w:type="spellStart"/>
      <w:r w:rsidRPr="00105C58">
        <w:rPr>
          <w:rFonts w:ascii="Cambria" w:hAnsi="Cambria"/>
          <w:sz w:val="18"/>
          <w:szCs w:val="18"/>
        </w:rPr>
        <w:t>Coyoy</w:t>
      </w:r>
      <w:proofErr w:type="spellEnd"/>
      <w:r w:rsidRPr="00105C58">
        <w:rPr>
          <w:rFonts w:ascii="Cambria" w:hAnsi="Cambria"/>
          <w:sz w:val="18"/>
          <w:szCs w:val="18"/>
        </w:rPr>
        <w:t xml:space="preserve">, Oficial III, Tribunal </w:t>
      </w:r>
      <w:proofErr w:type="spellStart"/>
      <w:r w:rsidRPr="00105C58">
        <w:rPr>
          <w:rFonts w:ascii="Cambria" w:hAnsi="Cambria"/>
          <w:sz w:val="18"/>
          <w:szCs w:val="18"/>
        </w:rPr>
        <w:t>Sent</w:t>
      </w:r>
      <w:proofErr w:type="spellEnd"/>
      <w:r w:rsidRPr="00105C58">
        <w:rPr>
          <w:rFonts w:ascii="Cambria" w:hAnsi="Cambria"/>
          <w:sz w:val="18"/>
          <w:szCs w:val="18"/>
        </w:rPr>
        <w:t xml:space="preserve">. </w:t>
      </w:r>
      <w:proofErr w:type="spellStart"/>
      <w:r w:rsidRPr="00105C58">
        <w:rPr>
          <w:rFonts w:ascii="Cambria" w:hAnsi="Cambria"/>
          <w:sz w:val="18"/>
          <w:szCs w:val="18"/>
        </w:rPr>
        <w:t>Quet</w:t>
      </w:r>
      <w:proofErr w:type="spellEnd"/>
      <w:r w:rsidR="003E715E">
        <w:rPr>
          <w:rFonts w:ascii="Cambria" w:hAnsi="Cambria"/>
          <w:sz w:val="18"/>
          <w:szCs w:val="18"/>
        </w:rPr>
        <w:t xml:space="preserve">; Edwin </w:t>
      </w:r>
      <w:proofErr w:type="spellStart"/>
      <w:r w:rsidR="003E715E">
        <w:rPr>
          <w:rFonts w:ascii="Cambria" w:hAnsi="Cambria"/>
          <w:sz w:val="18"/>
          <w:szCs w:val="18"/>
        </w:rPr>
        <w:t>Osberto</w:t>
      </w:r>
      <w:proofErr w:type="spellEnd"/>
      <w:r w:rsidR="003E715E">
        <w:rPr>
          <w:rFonts w:ascii="Cambria" w:hAnsi="Cambria"/>
          <w:sz w:val="18"/>
          <w:szCs w:val="18"/>
        </w:rPr>
        <w:t xml:space="preserve"> Granados Loarca</w:t>
      </w:r>
      <w:r w:rsidRPr="00105C58">
        <w:rPr>
          <w:rFonts w:ascii="Cambria" w:hAnsi="Cambria"/>
          <w:sz w:val="18"/>
          <w:szCs w:val="18"/>
        </w:rPr>
        <w:t xml:space="preserve">, Oficial III, Tribunal </w:t>
      </w:r>
      <w:proofErr w:type="spellStart"/>
      <w:r w:rsidRPr="00105C58">
        <w:rPr>
          <w:rFonts w:ascii="Cambria" w:hAnsi="Cambria"/>
          <w:sz w:val="18"/>
          <w:szCs w:val="18"/>
        </w:rPr>
        <w:t>Sent</w:t>
      </w:r>
      <w:proofErr w:type="spellEnd"/>
      <w:r w:rsidRPr="00105C58">
        <w:rPr>
          <w:rFonts w:ascii="Cambria" w:hAnsi="Cambria"/>
          <w:sz w:val="18"/>
          <w:szCs w:val="18"/>
        </w:rPr>
        <w:t xml:space="preserve">. </w:t>
      </w:r>
      <w:proofErr w:type="spellStart"/>
      <w:r w:rsidRPr="00105C58">
        <w:rPr>
          <w:rFonts w:ascii="Cambria" w:hAnsi="Cambria"/>
          <w:sz w:val="18"/>
          <w:szCs w:val="18"/>
        </w:rPr>
        <w:t>Quet</w:t>
      </w:r>
      <w:proofErr w:type="spellEnd"/>
      <w:r w:rsidRPr="00105C58">
        <w:rPr>
          <w:rFonts w:ascii="Cambria" w:hAnsi="Cambria"/>
          <w:sz w:val="18"/>
          <w:szCs w:val="18"/>
        </w:rPr>
        <w:t>.</w:t>
      </w:r>
    </w:p>
    <w:p w:rsidR="00511849" w:rsidRPr="00511849" w:rsidRDefault="00511849" w:rsidP="00511849">
      <w:pPr>
        <w:pStyle w:val="NormalWeb"/>
        <w:tabs>
          <w:tab w:val="left" w:pos="720"/>
        </w:tabs>
        <w:ind w:left="360" w:right="360"/>
        <w:jc w:val="both"/>
        <w:rPr>
          <w:rFonts w:ascii="Cambria" w:hAnsi="Cambria"/>
          <w:sz w:val="18"/>
          <w:szCs w:val="18"/>
          <w:lang w:val="es-ES_tradnl"/>
        </w:rPr>
      </w:pPr>
      <w:r w:rsidRPr="00105C58">
        <w:rPr>
          <w:rFonts w:ascii="Cambria" w:hAnsi="Cambria"/>
          <w:sz w:val="18"/>
          <w:szCs w:val="18"/>
          <w:lang w:val="es-ES_tradnl"/>
        </w:rPr>
        <w:t>C) Por constar que el trabajador Mario Rene Calderón Salazar fue destituido como Oficinista III del Archivo de Protocolos, en la resolución respectiva de dicha Presidencia y habiéndose comprobado que el mismo se encuentra desempeñando el cargo de Secretario de Paz II en el Juzgado de Paz de Magdalena Milpas Altas, departamento de Sacatepéquez debe ponerse fin a su relación laboral en el Juzgado últimamente citado</w:t>
      </w:r>
      <w:r w:rsidRPr="00105C58">
        <w:rPr>
          <w:rStyle w:val="FootnoteReference"/>
          <w:rFonts w:ascii="Cambria" w:hAnsi="Cambria"/>
          <w:sz w:val="18"/>
          <w:szCs w:val="18"/>
          <w:lang w:val="es-ES_tradnl"/>
        </w:rPr>
        <w:footnoteReference w:id="37"/>
      </w:r>
      <w:r>
        <w:rPr>
          <w:rFonts w:ascii="Cambria" w:hAnsi="Cambria"/>
          <w:sz w:val="18"/>
          <w:szCs w:val="18"/>
          <w:lang w:val="es-ES_tradnl"/>
        </w:rPr>
        <w:t>.</w:t>
      </w:r>
    </w:p>
    <w:p w:rsidR="009620DB" w:rsidRPr="00511849" w:rsidRDefault="00A72B90" w:rsidP="00B54921">
      <w:pPr>
        <w:pStyle w:val="parrafos"/>
        <w:numPr>
          <w:ilvl w:val="0"/>
          <w:numId w:val="56"/>
        </w:numPr>
        <w:tabs>
          <w:tab w:val="left" w:pos="720"/>
        </w:tabs>
        <w:ind w:left="0" w:firstLine="0"/>
        <w:rPr>
          <w:lang w:val="es-CO"/>
        </w:rPr>
      </w:pPr>
      <w:r w:rsidRPr="00511849">
        <w:t xml:space="preserve">El 25 de septiembre de 1999 la parte peticionaria presentó un </w:t>
      </w:r>
      <w:r w:rsidR="00511849" w:rsidRPr="00511849">
        <w:t xml:space="preserve">recurso de </w:t>
      </w:r>
      <w:r w:rsidRPr="00511849">
        <w:t>am</w:t>
      </w:r>
      <w:r w:rsidR="00511849" w:rsidRPr="00511849">
        <w:t xml:space="preserve">paro </w:t>
      </w:r>
      <w:r w:rsidRPr="00511849">
        <w:t xml:space="preserve">ante la Corte de Constitucionalidad. </w:t>
      </w:r>
      <w:r w:rsidR="00B72038" w:rsidRPr="00511849">
        <w:t xml:space="preserve">En </w:t>
      </w:r>
      <w:r w:rsidR="002440F7" w:rsidRPr="00511849">
        <w:t>el marco de dicho recurso</w:t>
      </w:r>
      <w:r w:rsidR="00B72038" w:rsidRPr="00511849">
        <w:t xml:space="preserve"> argumentó que: </w:t>
      </w:r>
    </w:p>
    <w:p w:rsidR="009620DB" w:rsidRPr="00511849" w:rsidRDefault="009620DB" w:rsidP="00B54921">
      <w:pPr>
        <w:pStyle w:val="ListParagraph"/>
        <w:tabs>
          <w:tab w:val="left" w:pos="720"/>
        </w:tabs>
        <w:rPr>
          <w:rFonts w:asciiTheme="majorHAnsi" w:hAnsiTheme="majorHAnsi"/>
          <w:sz w:val="20"/>
          <w:szCs w:val="20"/>
          <w:lang w:val="es-VE"/>
        </w:rPr>
      </w:pPr>
    </w:p>
    <w:p w:rsidR="001255B8" w:rsidRPr="003F677F" w:rsidRDefault="00A52A06"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sz w:val="18"/>
          <w:szCs w:val="18"/>
          <w:lang w:val="es-CO"/>
        </w:rPr>
      </w:pPr>
      <w:r w:rsidRPr="003F677F">
        <w:rPr>
          <w:rFonts w:asciiTheme="majorHAnsi" w:hAnsiTheme="majorHAnsi"/>
          <w:sz w:val="18"/>
          <w:szCs w:val="18"/>
          <w:lang w:val="es-VE"/>
        </w:rPr>
        <w:t>B) Se viola por los magistrados que</w:t>
      </w:r>
      <w:r w:rsidR="0087583F" w:rsidRPr="003F677F">
        <w:rPr>
          <w:rFonts w:asciiTheme="majorHAnsi" w:hAnsiTheme="majorHAnsi"/>
          <w:sz w:val="18"/>
          <w:szCs w:val="18"/>
          <w:lang w:val="es-VE"/>
        </w:rPr>
        <w:t xml:space="preserve"> conforman la Corte S</w:t>
      </w:r>
      <w:r w:rsidR="00B72038" w:rsidRPr="003F677F">
        <w:rPr>
          <w:rFonts w:asciiTheme="majorHAnsi" w:hAnsiTheme="majorHAnsi"/>
          <w:sz w:val="18"/>
          <w:szCs w:val="18"/>
          <w:lang w:val="es-VE"/>
        </w:rPr>
        <w:t>uprema de J</w:t>
      </w:r>
      <w:r w:rsidRPr="003F677F">
        <w:rPr>
          <w:rFonts w:asciiTheme="majorHAnsi" w:hAnsiTheme="majorHAnsi"/>
          <w:sz w:val="18"/>
          <w:szCs w:val="18"/>
          <w:lang w:val="es-VE"/>
        </w:rPr>
        <w:t>usticia el artículo 12 de la Constitución Política de la República que establece las garantías cons</w:t>
      </w:r>
      <w:r w:rsidR="0087583F" w:rsidRPr="003F677F">
        <w:rPr>
          <w:rFonts w:asciiTheme="majorHAnsi" w:hAnsiTheme="majorHAnsi"/>
          <w:sz w:val="18"/>
          <w:szCs w:val="18"/>
          <w:lang w:val="es-VE"/>
        </w:rPr>
        <w:t>titucionales del debido proceso</w:t>
      </w:r>
      <w:r w:rsidRPr="003F677F">
        <w:rPr>
          <w:rFonts w:asciiTheme="majorHAnsi" w:hAnsiTheme="majorHAnsi"/>
          <w:sz w:val="18"/>
          <w:szCs w:val="18"/>
          <w:lang w:val="es-VE"/>
        </w:rPr>
        <w:t xml:space="preserve"> y </w:t>
      </w:r>
      <w:r w:rsidR="00B72038" w:rsidRPr="003F677F">
        <w:rPr>
          <w:rFonts w:asciiTheme="majorHAnsi" w:hAnsiTheme="majorHAnsi"/>
          <w:sz w:val="18"/>
          <w:szCs w:val="18"/>
          <w:lang w:val="es-VE"/>
        </w:rPr>
        <w:t>el derecho de defensa, por cuanto dicha C</w:t>
      </w:r>
      <w:r w:rsidRPr="003F677F">
        <w:rPr>
          <w:rFonts w:asciiTheme="majorHAnsi" w:hAnsiTheme="majorHAnsi"/>
          <w:sz w:val="18"/>
          <w:szCs w:val="18"/>
          <w:lang w:val="es-VE"/>
        </w:rPr>
        <w:t>orte, emite la resolución de fecha 1 de septiembr</w:t>
      </w:r>
      <w:r w:rsidR="003E715E">
        <w:rPr>
          <w:rFonts w:asciiTheme="majorHAnsi" w:hAnsiTheme="majorHAnsi"/>
          <w:sz w:val="18"/>
          <w:szCs w:val="18"/>
          <w:lang w:val="es-VE"/>
        </w:rPr>
        <w:t>e del presente año</w:t>
      </w:r>
      <w:r w:rsidR="002440F7" w:rsidRPr="003F677F">
        <w:rPr>
          <w:rFonts w:asciiTheme="majorHAnsi" w:hAnsiTheme="majorHAnsi"/>
          <w:sz w:val="18"/>
          <w:szCs w:val="18"/>
          <w:lang w:val="es-VE"/>
        </w:rPr>
        <w:t xml:space="preserve">, en la que </w:t>
      </w:r>
      <w:r w:rsidRPr="003F677F">
        <w:rPr>
          <w:rFonts w:asciiTheme="majorHAnsi" w:hAnsiTheme="majorHAnsi"/>
          <w:sz w:val="18"/>
          <w:szCs w:val="18"/>
          <w:lang w:val="es-VE"/>
        </w:rPr>
        <w:t xml:space="preserve">dispone destituir a 508 trabajadores del Organismo Judicial entre los que se incluyen a los </w:t>
      </w:r>
      <w:r w:rsidR="00484266" w:rsidRPr="003F677F">
        <w:rPr>
          <w:rFonts w:asciiTheme="majorHAnsi" w:hAnsiTheme="majorHAnsi"/>
          <w:sz w:val="18"/>
          <w:szCs w:val="18"/>
          <w:lang w:val="es-VE"/>
        </w:rPr>
        <w:t>dirig</w:t>
      </w:r>
      <w:r w:rsidRPr="003F677F">
        <w:rPr>
          <w:rFonts w:asciiTheme="majorHAnsi" w:hAnsiTheme="majorHAnsi"/>
          <w:sz w:val="18"/>
          <w:szCs w:val="18"/>
          <w:lang w:val="es-VE"/>
        </w:rPr>
        <w:t>entes s</w:t>
      </w:r>
      <w:r w:rsidR="0087583F" w:rsidRPr="003F677F">
        <w:rPr>
          <w:rFonts w:asciiTheme="majorHAnsi" w:hAnsiTheme="majorHAnsi"/>
          <w:sz w:val="18"/>
          <w:szCs w:val="18"/>
          <w:lang w:val="es-VE"/>
        </w:rPr>
        <w:t>indicales del Sindicato de ese o</w:t>
      </w:r>
      <w:r w:rsidRPr="003F677F">
        <w:rPr>
          <w:rFonts w:asciiTheme="majorHAnsi" w:hAnsiTheme="majorHAnsi"/>
          <w:sz w:val="18"/>
          <w:szCs w:val="18"/>
          <w:lang w:val="es-VE"/>
        </w:rPr>
        <w:t>rganismo, si</w:t>
      </w:r>
      <w:r w:rsidR="00484266" w:rsidRPr="003F677F">
        <w:rPr>
          <w:rFonts w:asciiTheme="majorHAnsi" w:hAnsiTheme="majorHAnsi"/>
          <w:sz w:val="18"/>
          <w:szCs w:val="18"/>
          <w:lang w:val="es-VE"/>
        </w:rPr>
        <w:t xml:space="preserve">n correrles previamente la  audiencia </w:t>
      </w:r>
      <w:r w:rsidRPr="003F677F">
        <w:rPr>
          <w:rFonts w:asciiTheme="majorHAnsi" w:hAnsiTheme="majorHAnsi"/>
          <w:sz w:val="18"/>
          <w:szCs w:val="18"/>
          <w:lang w:val="es-VE"/>
        </w:rPr>
        <w:t xml:space="preserve">que ordena el </w:t>
      </w:r>
      <w:r w:rsidR="00484266" w:rsidRPr="003F677F">
        <w:rPr>
          <w:rFonts w:asciiTheme="majorHAnsi" w:hAnsiTheme="majorHAnsi"/>
          <w:sz w:val="18"/>
          <w:szCs w:val="18"/>
          <w:lang w:val="es-VE"/>
        </w:rPr>
        <w:t>artículo</w:t>
      </w:r>
      <w:r w:rsidR="002440F7" w:rsidRPr="003F677F">
        <w:rPr>
          <w:rFonts w:asciiTheme="majorHAnsi" w:hAnsiTheme="majorHAnsi"/>
          <w:sz w:val="18"/>
          <w:szCs w:val="18"/>
          <w:lang w:val="es-VE"/>
        </w:rPr>
        <w:t xml:space="preserve"> 22 del Pacto Colectivo</w:t>
      </w:r>
      <w:r w:rsidRPr="003F677F">
        <w:rPr>
          <w:rFonts w:asciiTheme="majorHAnsi" w:hAnsiTheme="majorHAnsi"/>
          <w:sz w:val="18"/>
          <w:szCs w:val="18"/>
          <w:lang w:val="es-VE"/>
        </w:rPr>
        <w:t xml:space="preserve"> de Condiciones de Trabajo, e</w:t>
      </w:r>
      <w:r w:rsidR="00484266" w:rsidRPr="003F677F">
        <w:rPr>
          <w:rFonts w:asciiTheme="majorHAnsi" w:hAnsiTheme="majorHAnsi"/>
          <w:sz w:val="18"/>
          <w:szCs w:val="18"/>
          <w:lang w:val="es-VE"/>
        </w:rPr>
        <w:t xml:space="preserve">n </w:t>
      </w:r>
      <w:r w:rsidRPr="003F677F">
        <w:rPr>
          <w:rFonts w:asciiTheme="majorHAnsi" w:hAnsiTheme="majorHAnsi"/>
          <w:sz w:val="18"/>
          <w:szCs w:val="18"/>
          <w:lang w:val="es-VE"/>
        </w:rPr>
        <w:t>el caso de los primeros e irresp</w:t>
      </w:r>
      <w:r w:rsidR="00484266" w:rsidRPr="003F677F">
        <w:rPr>
          <w:rFonts w:asciiTheme="majorHAnsi" w:hAnsiTheme="majorHAnsi"/>
          <w:sz w:val="18"/>
          <w:szCs w:val="18"/>
          <w:lang w:val="es-VE"/>
        </w:rPr>
        <w:t>et</w:t>
      </w:r>
      <w:r w:rsidRPr="003F677F">
        <w:rPr>
          <w:rFonts w:asciiTheme="majorHAnsi" w:hAnsiTheme="majorHAnsi"/>
          <w:sz w:val="18"/>
          <w:szCs w:val="18"/>
          <w:lang w:val="es-VE"/>
        </w:rPr>
        <w:t xml:space="preserve">ando la inamovilidad sindical que </w:t>
      </w:r>
      <w:r w:rsidR="00484266" w:rsidRPr="003F677F">
        <w:rPr>
          <w:rFonts w:asciiTheme="majorHAnsi" w:hAnsiTheme="majorHAnsi"/>
          <w:sz w:val="18"/>
          <w:szCs w:val="18"/>
          <w:lang w:val="es-VE"/>
        </w:rPr>
        <w:t>establece</w:t>
      </w:r>
      <w:r w:rsidRPr="003F677F">
        <w:rPr>
          <w:rFonts w:asciiTheme="majorHAnsi" w:hAnsiTheme="majorHAnsi"/>
          <w:sz w:val="18"/>
          <w:szCs w:val="18"/>
          <w:lang w:val="es-VE"/>
        </w:rPr>
        <w:t xml:space="preserve"> el </w:t>
      </w:r>
      <w:r w:rsidR="00484266" w:rsidRPr="003F677F">
        <w:rPr>
          <w:rFonts w:asciiTheme="majorHAnsi" w:hAnsiTheme="majorHAnsi"/>
          <w:sz w:val="18"/>
          <w:szCs w:val="18"/>
          <w:lang w:val="es-VE"/>
        </w:rPr>
        <w:t>artículo</w:t>
      </w:r>
      <w:r w:rsidRPr="003F677F">
        <w:rPr>
          <w:rFonts w:asciiTheme="majorHAnsi" w:hAnsiTheme="majorHAnsi"/>
          <w:sz w:val="18"/>
          <w:szCs w:val="18"/>
          <w:lang w:val="es-VE"/>
        </w:rPr>
        <w:t xml:space="preserve"> 12 de aquel instrumento en </w:t>
      </w:r>
      <w:r w:rsidR="00B72038" w:rsidRPr="003F677F">
        <w:rPr>
          <w:rFonts w:asciiTheme="majorHAnsi" w:hAnsiTheme="majorHAnsi"/>
          <w:sz w:val="18"/>
          <w:szCs w:val="18"/>
          <w:lang w:val="es-VE"/>
        </w:rPr>
        <w:t>formación</w:t>
      </w:r>
      <w:r w:rsidRPr="003F677F">
        <w:rPr>
          <w:rFonts w:asciiTheme="majorHAnsi" w:hAnsiTheme="majorHAnsi"/>
          <w:sz w:val="18"/>
          <w:szCs w:val="18"/>
          <w:lang w:val="es-VE"/>
        </w:rPr>
        <w:t xml:space="preserve"> </w:t>
      </w:r>
      <w:r w:rsidR="00484266" w:rsidRPr="003F677F">
        <w:rPr>
          <w:rFonts w:asciiTheme="majorHAnsi" w:hAnsiTheme="majorHAnsi"/>
          <w:sz w:val="18"/>
          <w:szCs w:val="18"/>
          <w:lang w:val="es-VE"/>
        </w:rPr>
        <w:t>colectiva</w:t>
      </w:r>
      <w:r w:rsidRPr="003F677F">
        <w:rPr>
          <w:rFonts w:asciiTheme="majorHAnsi" w:hAnsiTheme="majorHAnsi"/>
          <w:sz w:val="18"/>
          <w:szCs w:val="18"/>
          <w:lang w:val="es-VE"/>
        </w:rPr>
        <w:t xml:space="preserve"> en el caso de los segundos</w:t>
      </w:r>
      <w:r w:rsidR="00484266" w:rsidRPr="003F677F">
        <w:rPr>
          <w:rStyle w:val="FootnoteReference"/>
          <w:rFonts w:asciiTheme="majorHAnsi" w:hAnsiTheme="majorHAnsi"/>
          <w:sz w:val="18"/>
          <w:szCs w:val="18"/>
        </w:rPr>
        <w:footnoteReference w:id="38"/>
      </w:r>
      <w:r w:rsidRPr="003F677F">
        <w:rPr>
          <w:rFonts w:asciiTheme="majorHAnsi" w:hAnsiTheme="majorHAnsi"/>
          <w:sz w:val="18"/>
          <w:szCs w:val="18"/>
          <w:lang w:val="es-VE"/>
        </w:rPr>
        <w:t xml:space="preserve">. </w:t>
      </w:r>
    </w:p>
    <w:p w:rsidR="009620DB" w:rsidRPr="009B66A1" w:rsidRDefault="009620D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i/>
          <w:sz w:val="20"/>
          <w:szCs w:val="20"/>
          <w:lang w:val="es-CO"/>
        </w:rPr>
      </w:pPr>
    </w:p>
    <w:p w:rsidR="00436C85" w:rsidRPr="009620DB" w:rsidRDefault="0043599A" w:rsidP="00B54921">
      <w:pPr>
        <w:pStyle w:val="parrafos"/>
        <w:numPr>
          <w:ilvl w:val="0"/>
          <w:numId w:val="56"/>
        </w:numPr>
        <w:tabs>
          <w:tab w:val="left" w:pos="720"/>
        </w:tabs>
        <w:ind w:left="0" w:firstLine="0"/>
        <w:rPr>
          <w:i/>
        </w:rPr>
      </w:pPr>
      <w:r>
        <w:rPr>
          <w:lang w:val="es-ES_tradnl"/>
        </w:rPr>
        <w:t>E</w:t>
      </w:r>
      <w:r w:rsidR="00436C85">
        <w:rPr>
          <w:lang w:val="es-ES_tradnl"/>
        </w:rPr>
        <w:t xml:space="preserve">l 29 de febrero del 2000 la Corte de Constitucionalidad </w:t>
      </w:r>
      <w:r w:rsidR="00320414">
        <w:rPr>
          <w:lang w:val="es-ES_tradnl"/>
        </w:rPr>
        <w:t>d</w:t>
      </w:r>
      <w:r w:rsidR="00995C8E">
        <w:rPr>
          <w:lang w:val="es-ES_tradnl"/>
        </w:rPr>
        <w:t>enegó</w:t>
      </w:r>
      <w:r>
        <w:rPr>
          <w:lang w:val="es-ES_tradnl"/>
        </w:rPr>
        <w:t xml:space="preserve"> el amparo solicitado</w:t>
      </w:r>
      <w:r w:rsidR="00B72038">
        <w:rPr>
          <w:lang w:val="es-ES_tradnl"/>
        </w:rPr>
        <w:t>.</w:t>
      </w:r>
      <w:r>
        <w:rPr>
          <w:lang w:val="es-ES_tradnl"/>
        </w:rPr>
        <w:t xml:space="preserve"> </w:t>
      </w:r>
      <w:r w:rsidR="000B36BF">
        <w:rPr>
          <w:lang w:val="es-ES_tradnl"/>
        </w:rPr>
        <w:t xml:space="preserve">La Corte </w:t>
      </w:r>
      <w:r w:rsidR="00B72038">
        <w:rPr>
          <w:lang w:val="es-ES_tradnl"/>
        </w:rPr>
        <w:t>determinó que:</w:t>
      </w:r>
    </w:p>
    <w:p w:rsidR="0043599A" w:rsidRPr="003F677F" w:rsidRDefault="00B904D2" w:rsidP="00B54921">
      <w:pPr>
        <w:pStyle w:val="NormalWeb"/>
        <w:tabs>
          <w:tab w:val="left" w:pos="720"/>
        </w:tabs>
        <w:spacing w:before="240" w:beforeAutospacing="0"/>
        <w:ind w:left="360" w:right="360"/>
        <w:jc w:val="both"/>
        <w:rPr>
          <w:rFonts w:asciiTheme="majorHAnsi" w:hAnsiTheme="majorHAnsi"/>
          <w:sz w:val="18"/>
          <w:szCs w:val="18"/>
        </w:rPr>
      </w:pPr>
      <w:r w:rsidRPr="003F677F">
        <w:rPr>
          <w:rFonts w:asciiTheme="majorHAnsi" w:hAnsiTheme="majorHAnsi"/>
          <w:sz w:val="18"/>
          <w:szCs w:val="18"/>
        </w:rPr>
        <w:t xml:space="preserve">(…) Del estudio de los antecedentes se </w:t>
      </w:r>
      <w:r w:rsidR="006A50A1" w:rsidRPr="003F677F">
        <w:rPr>
          <w:rFonts w:asciiTheme="majorHAnsi" w:hAnsiTheme="majorHAnsi"/>
          <w:sz w:val="18"/>
          <w:szCs w:val="18"/>
        </w:rPr>
        <w:t>e</w:t>
      </w:r>
      <w:r w:rsidRPr="003F677F">
        <w:rPr>
          <w:rFonts w:asciiTheme="majorHAnsi" w:hAnsiTheme="majorHAnsi"/>
          <w:sz w:val="18"/>
          <w:szCs w:val="18"/>
        </w:rPr>
        <w:t>stablece que la autoridad impugnada tomó la decisión de destituir a varios de sus trabajadores, entre quienes se encuentran miembros del Comité Ejecutivo del Sindicato de Trabajadores de ese Organismo, en atención a que, como autoridad nominadora tenía la obligación de ejecutar lo resuelto por la Sala de Trabajo que conoció del incidente en virtud del cual se declaró que el movimiento promovido por el Sindicato fue ilega</w:t>
      </w:r>
      <w:r w:rsidR="002440F7" w:rsidRPr="003F677F">
        <w:rPr>
          <w:rFonts w:asciiTheme="majorHAnsi" w:hAnsiTheme="majorHAnsi"/>
          <w:sz w:val="18"/>
          <w:szCs w:val="18"/>
        </w:rPr>
        <w:t>l</w:t>
      </w:r>
      <w:r w:rsidRPr="003F677F">
        <w:rPr>
          <w:rFonts w:asciiTheme="majorHAnsi" w:hAnsiTheme="majorHAnsi"/>
          <w:sz w:val="18"/>
          <w:szCs w:val="18"/>
        </w:rPr>
        <w:t xml:space="preserve">. </w:t>
      </w:r>
      <w:r w:rsidR="0043599A" w:rsidRPr="003F677F">
        <w:rPr>
          <w:rFonts w:asciiTheme="majorHAnsi" w:hAnsiTheme="majorHAnsi"/>
          <w:sz w:val="18"/>
          <w:szCs w:val="18"/>
        </w:rPr>
        <w:t>Siendo que aquell</w:t>
      </w:r>
      <w:r w:rsidR="00B72038" w:rsidRPr="003F677F">
        <w:rPr>
          <w:rFonts w:asciiTheme="majorHAnsi" w:hAnsiTheme="majorHAnsi"/>
          <w:sz w:val="18"/>
          <w:szCs w:val="18"/>
        </w:rPr>
        <w:t>a resolución se encontraba firme</w:t>
      </w:r>
      <w:r w:rsidR="0043599A" w:rsidRPr="003F677F">
        <w:rPr>
          <w:rFonts w:asciiTheme="majorHAnsi" w:hAnsiTheme="majorHAnsi"/>
          <w:sz w:val="18"/>
          <w:szCs w:val="18"/>
        </w:rPr>
        <w:t xml:space="preserve"> y con ella </w:t>
      </w:r>
      <w:r w:rsidR="00320414" w:rsidRPr="003F677F">
        <w:rPr>
          <w:rFonts w:asciiTheme="majorHAnsi" w:hAnsiTheme="majorHAnsi"/>
          <w:sz w:val="18"/>
          <w:szCs w:val="18"/>
        </w:rPr>
        <w:t>plenamente establec</w:t>
      </w:r>
      <w:r w:rsidR="0043599A" w:rsidRPr="003F677F">
        <w:rPr>
          <w:rFonts w:asciiTheme="majorHAnsi" w:hAnsiTheme="majorHAnsi"/>
          <w:sz w:val="18"/>
          <w:szCs w:val="18"/>
        </w:rPr>
        <w:t>i</w:t>
      </w:r>
      <w:r w:rsidR="00320414" w:rsidRPr="003F677F">
        <w:rPr>
          <w:rFonts w:asciiTheme="majorHAnsi" w:hAnsiTheme="majorHAnsi"/>
          <w:sz w:val="18"/>
          <w:szCs w:val="18"/>
        </w:rPr>
        <w:t>d</w:t>
      </w:r>
      <w:r w:rsidR="0043599A" w:rsidRPr="003F677F">
        <w:rPr>
          <w:rFonts w:asciiTheme="majorHAnsi" w:hAnsiTheme="majorHAnsi"/>
          <w:sz w:val="18"/>
          <w:szCs w:val="18"/>
        </w:rPr>
        <w:t xml:space="preserve">a la </w:t>
      </w:r>
      <w:r w:rsidR="00320414" w:rsidRPr="003F677F">
        <w:rPr>
          <w:rFonts w:asciiTheme="majorHAnsi" w:hAnsiTheme="majorHAnsi"/>
          <w:sz w:val="18"/>
          <w:szCs w:val="18"/>
        </w:rPr>
        <w:t>causal</w:t>
      </w:r>
      <w:r w:rsidR="0043599A" w:rsidRPr="003F677F">
        <w:rPr>
          <w:rFonts w:asciiTheme="majorHAnsi" w:hAnsiTheme="majorHAnsi"/>
          <w:sz w:val="18"/>
          <w:szCs w:val="18"/>
        </w:rPr>
        <w:t xml:space="preserve"> de </w:t>
      </w:r>
      <w:r w:rsidR="00320414" w:rsidRPr="003F677F">
        <w:rPr>
          <w:rFonts w:asciiTheme="majorHAnsi" w:hAnsiTheme="majorHAnsi"/>
          <w:sz w:val="18"/>
          <w:szCs w:val="18"/>
        </w:rPr>
        <w:t>destitución</w:t>
      </w:r>
      <w:r w:rsidR="0043599A" w:rsidRPr="003F677F">
        <w:rPr>
          <w:rFonts w:asciiTheme="majorHAnsi" w:hAnsiTheme="majorHAnsi"/>
          <w:sz w:val="18"/>
          <w:szCs w:val="18"/>
        </w:rPr>
        <w:t xml:space="preserve">, era innecesario promover incidente de </w:t>
      </w:r>
      <w:r w:rsidR="00320414" w:rsidRPr="003F677F">
        <w:rPr>
          <w:rFonts w:asciiTheme="majorHAnsi" w:hAnsiTheme="majorHAnsi"/>
          <w:sz w:val="18"/>
          <w:szCs w:val="18"/>
        </w:rPr>
        <w:t>destitución</w:t>
      </w:r>
      <w:r w:rsidR="00B72038" w:rsidRPr="003F677F">
        <w:rPr>
          <w:rFonts w:asciiTheme="majorHAnsi" w:hAnsiTheme="majorHAnsi"/>
          <w:sz w:val="18"/>
          <w:szCs w:val="18"/>
        </w:rPr>
        <w:t xml:space="preserve"> o juicio ordinario</w:t>
      </w:r>
      <w:r w:rsidR="0043599A" w:rsidRPr="003F677F">
        <w:rPr>
          <w:rFonts w:asciiTheme="majorHAnsi" w:hAnsiTheme="majorHAnsi"/>
          <w:sz w:val="18"/>
          <w:szCs w:val="18"/>
        </w:rPr>
        <w:t xml:space="preserve"> de determinación de contratos según el caso, pues</w:t>
      </w:r>
      <w:r w:rsidR="00320414" w:rsidRPr="003F677F">
        <w:rPr>
          <w:rFonts w:asciiTheme="majorHAnsi" w:hAnsiTheme="majorHAnsi"/>
          <w:sz w:val="18"/>
          <w:szCs w:val="18"/>
        </w:rPr>
        <w:t>t</w:t>
      </w:r>
      <w:r w:rsidR="0043599A" w:rsidRPr="003F677F">
        <w:rPr>
          <w:rFonts w:asciiTheme="majorHAnsi" w:hAnsiTheme="majorHAnsi"/>
          <w:sz w:val="18"/>
          <w:szCs w:val="18"/>
        </w:rPr>
        <w:t xml:space="preserve">o que la facultad de dar por </w:t>
      </w:r>
      <w:r w:rsidR="0043599A" w:rsidRPr="000A5C71">
        <w:rPr>
          <w:rFonts w:asciiTheme="majorHAnsi" w:hAnsiTheme="majorHAnsi"/>
          <w:sz w:val="18"/>
          <w:szCs w:val="18"/>
        </w:rPr>
        <w:t>terminadas la</w:t>
      </w:r>
      <w:r w:rsidR="00DD6858" w:rsidRPr="000A5C71">
        <w:rPr>
          <w:rFonts w:asciiTheme="majorHAnsi" w:hAnsiTheme="majorHAnsi"/>
          <w:sz w:val="18"/>
          <w:szCs w:val="18"/>
        </w:rPr>
        <w:t>s</w:t>
      </w:r>
      <w:r w:rsidR="0043599A" w:rsidRPr="000A5C71">
        <w:rPr>
          <w:rFonts w:asciiTheme="majorHAnsi" w:hAnsiTheme="majorHAnsi"/>
          <w:sz w:val="18"/>
          <w:szCs w:val="18"/>
        </w:rPr>
        <w:t xml:space="preserve"> relaciones de trabajo ya estaba </w:t>
      </w:r>
      <w:r w:rsidR="00320414" w:rsidRPr="000A5C71">
        <w:rPr>
          <w:rFonts w:asciiTheme="majorHAnsi" w:hAnsiTheme="majorHAnsi"/>
          <w:sz w:val="18"/>
          <w:szCs w:val="18"/>
        </w:rPr>
        <w:t>conferida</w:t>
      </w:r>
      <w:r w:rsidR="0043599A" w:rsidRPr="000A5C71">
        <w:rPr>
          <w:rFonts w:asciiTheme="majorHAnsi" w:hAnsiTheme="majorHAnsi"/>
          <w:sz w:val="18"/>
          <w:szCs w:val="18"/>
        </w:rPr>
        <w:t xml:space="preserve"> por autoridad judicial competente, debido a que había constatado que</w:t>
      </w:r>
      <w:r w:rsidR="0043599A" w:rsidRPr="003F677F">
        <w:rPr>
          <w:rFonts w:asciiTheme="majorHAnsi" w:hAnsiTheme="majorHAnsi"/>
          <w:sz w:val="18"/>
          <w:szCs w:val="18"/>
        </w:rPr>
        <w:t xml:space="preserve"> el </w:t>
      </w:r>
      <w:r w:rsidR="00320414" w:rsidRPr="003F677F">
        <w:rPr>
          <w:rFonts w:asciiTheme="majorHAnsi" w:hAnsiTheme="majorHAnsi"/>
          <w:sz w:val="18"/>
          <w:szCs w:val="18"/>
        </w:rPr>
        <w:t>movimiento</w:t>
      </w:r>
      <w:r w:rsidR="0043599A" w:rsidRPr="003F677F">
        <w:rPr>
          <w:rFonts w:asciiTheme="majorHAnsi" w:hAnsiTheme="majorHAnsi"/>
          <w:sz w:val="18"/>
          <w:szCs w:val="18"/>
        </w:rPr>
        <w:t xml:space="preserve"> de huelg</w:t>
      </w:r>
      <w:r w:rsidR="00B72038" w:rsidRPr="003F677F">
        <w:rPr>
          <w:rFonts w:asciiTheme="majorHAnsi" w:hAnsiTheme="majorHAnsi"/>
          <w:sz w:val="18"/>
          <w:szCs w:val="18"/>
        </w:rPr>
        <w:t xml:space="preserve">a fue ilegal y por </w:t>
      </w:r>
      <w:r w:rsidR="00B72038" w:rsidRPr="003F677F">
        <w:rPr>
          <w:rFonts w:asciiTheme="majorHAnsi" w:hAnsiTheme="majorHAnsi"/>
          <w:sz w:val="18"/>
          <w:szCs w:val="18"/>
        </w:rPr>
        <w:lastRenderedPageBreak/>
        <w:t>ello concluyó</w:t>
      </w:r>
      <w:r w:rsidR="0043599A" w:rsidRPr="003F677F">
        <w:rPr>
          <w:rFonts w:asciiTheme="majorHAnsi" w:hAnsiTheme="majorHAnsi"/>
          <w:sz w:val="18"/>
          <w:szCs w:val="18"/>
        </w:rPr>
        <w:t xml:space="preserve"> que la consecuencia que </w:t>
      </w:r>
      <w:r w:rsidR="00320414" w:rsidRPr="003F677F">
        <w:rPr>
          <w:rFonts w:asciiTheme="majorHAnsi" w:hAnsiTheme="majorHAnsi"/>
          <w:sz w:val="18"/>
          <w:szCs w:val="18"/>
        </w:rPr>
        <w:t>correspondía</w:t>
      </w:r>
      <w:r w:rsidR="0043599A" w:rsidRPr="003F677F">
        <w:rPr>
          <w:rFonts w:asciiTheme="majorHAnsi" w:hAnsiTheme="majorHAnsi"/>
          <w:sz w:val="18"/>
          <w:szCs w:val="18"/>
        </w:rPr>
        <w:t xml:space="preserve"> era la </w:t>
      </w:r>
      <w:r w:rsidR="00320414" w:rsidRPr="003F677F">
        <w:rPr>
          <w:rFonts w:asciiTheme="majorHAnsi" w:hAnsiTheme="majorHAnsi"/>
          <w:sz w:val="18"/>
          <w:szCs w:val="18"/>
        </w:rPr>
        <w:t>destitución</w:t>
      </w:r>
      <w:r w:rsidR="0043599A" w:rsidRPr="003F677F">
        <w:rPr>
          <w:rFonts w:asciiTheme="majorHAnsi" w:hAnsiTheme="majorHAnsi"/>
          <w:sz w:val="18"/>
          <w:szCs w:val="18"/>
        </w:rPr>
        <w:t xml:space="preserve"> de los trabajadores huelgui</w:t>
      </w:r>
      <w:r w:rsidR="00B72038" w:rsidRPr="003F677F">
        <w:rPr>
          <w:rFonts w:asciiTheme="majorHAnsi" w:hAnsiTheme="majorHAnsi"/>
          <w:sz w:val="18"/>
          <w:szCs w:val="18"/>
        </w:rPr>
        <w:t>s</w:t>
      </w:r>
      <w:r w:rsidR="0043599A" w:rsidRPr="003F677F">
        <w:rPr>
          <w:rFonts w:asciiTheme="majorHAnsi" w:hAnsiTheme="majorHAnsi"/>
          <w:sz w:val="18"/>
          <w:szCs w:val="18"/>
        </w:rPr>
        <w:t>ta</w:t>
      </w:r>
      <w:r w:rsidR="00B72038" w:rsidRPr="003F677F">
        <w:rPr>
          <w:rFonts w:asciiTheme="majorHAnsi" w:hAnsiTheme="majorHAnsi"/>
          <w:sz w:val="18"/>
          <w:szCs w:val="18"/>
        </w:rPr>
        <w:t>s</w:t>
      </w:r>
      <w:r w:rsidR="0043599A" w:rsidRPr="003F677F">
        <w:rPr>
          <w:rFonts w:asciiTheme="majorHAnsi" w:hAnsiTheme="majorHAnsi"/>
          <w:sz w:val="18"/>
          <w:szCs w:val="18"/>
        </w:rPr>
        <w:t xml:space="preserve">, con la única limitación de que </w:t>
      </w:r>
      <w:r w:rsidR="00320414" w:rsidRPr="003F677F">
        <w:rPr>
          <w:rFonts w:asciiTheme="majorHAnsi" w:hAnsiTheme="majorHAnsi"/>
          <w:sz w:val="18"/>
          <w:szCs w:val="18"/>
        </w:rPr>
        <w:t>previamente</w:t>
      </w:r>
      <w:r w:rsidR="0043599A" w:rsidRPr="003F677F">
        <w:rPr>
          <w:rFonts w:asciiTheme="majorHAnsi" w:hAnsiTheme="majorHAnsi"/>
          <w:sz w:val="18"/>
          <w:szCs w:val="18"/>
        </w:rPr>
        <w:t xml:space="preserve"> </w:t>
      </w:r>
      <w:r w:rsidR="00320414" w:rsidRPr="003F677F">
        <w:rPr>
          <w:rFonts w:asciiTheme="majorHAnsi" w:hAnsiTheme="majorHAnsi"/>
          <w:sz w:val="18"/>
          <w:szCs w:val="18"/>
        </w:rPr>
        <w:t>comprobara</w:t>
      </w:r>
      <w:r w:rsidR="0043599A" w:rsidRPr="003F677F">
        <w:rPr>
          <w:rFonts w:asciiTheme="majorHAnsi" w:hAnsiTheme="majorHAnsi"/>
          <w:sz w:val="18"/>
          <w:szCs w:val="18"/>
        </w:rPr>
        <w:t xml:space="preserve"> </w:t>
      </w:r>
      <w:r w:rsidR="00320414" w:rsidRPr="003F677F">
        <w:rPr>
          <w:rFonts w:asciiTheme="majorHAnsi" w:hAnsiTheme="majorHAnsi"/>
          <w:sz w:val="18"/>
          <w:szCs w:val="18"/>
        </w:rPr>
        <w:t>administrativamente</w:t>
      </w:r>
      <w:r w:rsidR="0043599A" w:rsidRPr="003F677F">
        <w:rPr>
          <w:rFonts w:asciiTheme="majorHAnsi" w:hAnsiTheme="majorHAnsi"/>
          <w:sz w:val="18"/>
          <w:szCs w:val="18"/>
        </w:rPr>
        <w:t xml:space="preserve"> si había holgado y como su proceder es un acatamiento a lo dispuesto en una r</w:t>
      </w:r>
      <w:r w:rsidR="00B72038" w:rsidRPr="003F677F">
        <w:rPr>
          <w:rFonts w:asciiTheme="majorHAnsi" w:hAnsiTheme="majorHAnsi"/>
          <w:sz w:val="18"/>
          <w:szCs w:val="18"/>
        </w:rPr>
        <w:t>esolución judicial firme, esta C</w:t>
      </w:r>
      <w:r w:rsidR="0043599A" w:rsidRPr="003F677F">
        <w:rPr>
          <w:rFonts w:asciiTheme="majorHAnsi" w:hAnsiTheme="majorHAnsi"/>
          <w:sz w:val="18"/>
          <w:szCs w:val="18"/>
        </w:rPr>
        <w:t xml:space="preserve">orte estima que se ajusta a la constancias procesales y no provoca violación constitucional alguna. </w:t>
      </w:r>
    </w:p>
    <w:p w:rsidR="00436C85" w:rsidRPr="003F677F" w:rsidRDefault="0043599A" w:rsidP="00B54921">
      <w:pPr>
        <w:pStyle w:val="NormalWeb"/>
        <w:tabs>
          <w:tab w:val="left" w:pos="720"/>
        </w:tabs>
        <w:spacing w:before="240" w:beforeAutospacing="0"/>
        <w:ind w:left="360" w:right="360"/>
        <w:jc w:val="both"/>
        <w:rPr>
          <w:rFonts w:asciiTheme="majorHAnsi" w:hAnsiTheme="majorHAnsi"/>
          <w:sz w:val="18"/>
          <w:szCs w:val="18"/>
        </w:rPr>
      </w:pPr>
      <w:r w:rsidRPr="003F677F">
        <w:rPr>
          <w:rFonts w:asciiTheme="majorHAnsi" w:hAnsiTheme="majorHAnsi"/>
          <w:sz w:val="18"/>
          <w:szCs w:val="18"/>
        </w:rPr>
        <w:t xml:space="preserve">En otras </w:t>
      </w:r>
      <w:r w:rsidR="00320414" w:rsidRPr="003F677F">
        <w:rPr>
          <w:rFonts w:asciiTheme="majorHAnsi" w:hAnsiTheme="majorHAnsi"/>
          <w:sz w:val="18"/>
          <w:szCs w:val="18"/>
        </w:rPr>
        <w:t>circunstancias,</w:t>
      </w:r>
      <w:r w:rsidRPr="003F677F">
        <w:rPr>
          <w:rFonts w:asciiTheme="majorHAnsi" w:hAnsiTheme="majorHAnsi"/>
          <w:sz w:val="18"/>
          <w:szCs w:val="18"/>
        </w:rPr>
        <w:t xml:space="preserve"> la situación personal de los miembros del Comité Ejecutivo del </w:t>
      </w:r>
      <w:r w:rsidR="00320414" w:rsidRPr="003F677F">
        <w:rPr>
          <w:rFonts w:asciiTheme="majorHAnsi" w:hAnsiTheme="majorHAnsi"/>
          <w:sz w:val="18"/>
          <w:szCs w:val="18"/>
        </w:rPr>
        <w:t>Sindicato</w:t>
      </w:r>
      <w:r w:rsidRPr="003F677F">
        <w:rPr>
          <w:rFonts w:asciiTheme="majorHAnsi" w:hAnsiTheme="majorHAnsi"/>
          <w:sz w:val="18"/>
          <w:szCs w:val="18"/>
        </w:rPr>
        <w:t xml:space="preserve"> y de sus filiales hubiera ameritado un trato </w:t>
      </w:r>
      <w:r w:rsidR="00320414" w:rsidRPr="003F677F">
        <w:rPr>
          <w:rFonts w:asciiTheme="majorHAnsi" w:hAnsiTheme="majorHAnsi"/>
          <w:sz w:val="18"/>
          <w:szCs w:val="18"/>
        </w:rPr>
        <w:t>diferente;</w:t>
      </w:r>
      <w:r w:rsidRPr="003F677F">
        <w:rPr>
          <w:rFonts w:asciiTheme="majorHAnsi" w:hAnsiTheme="majorHAnsi"/>
          <w:sz w:val="18"/>
          <w:szCs w:val="18"/>
        </w:rPr>
        <w:t xml:space="preserve"> sin embargo, como </w:t>
      </w:r>
      <w:r w:rsidR="00B72038" w:rsidRPr="003F677F">
        <w:rPr>
          <w:rFonts w:asciiTheme="majorHAnsi" w:hAnsiTheme="majorHAnsi"/>
          <w:sz w:val="18"/>
          <w:szCs w:val="18"/>
        </w:rPr>
        <w:t xml:space="preserve">en </w:t>
      </w:r>
      <w:r w:rsidRPr="003F677F">
        <w:rPr>
          <w:rFonts w:asciiTheme="majorHAnsi" w:hAnsiTheme="majorHAnsi"/>
          <w:sz w:val="18"/>
          <w:szCs w:val="18"/>
        </w:rPr>
        <w:t xml:space="preserve">este caso la causal deriva </w:t>
      </w:r>
      <w:r w:rsidR="00320414" w:rsidRPr="003F677F">
        <w:rPr>
          <w:rFonts w:asciiTheme="majorHAnsi" w:hAnsiTheme="majorHAnsi"/>
          <w:sz w:val="18"/>
          <w:szCs w:val="18"/>
        </w:rPr>
        <w:t>de</w:t>
      </w:r>
      <w:r w:rsidRPr="003F677F">
        <w:rPr>
          <w:rFonts w:asciiTheme="majorHAnsi" w:hAnsiTheme="majorHAnsi"/>
          <w:sz w:val="18"/>
          <w:szCs w:val="18"/>
        </w:rPr>
        <w:t xml:space="preserve"> un movimient</w:t>
      </w:r>
      <w:r w:rsidR="00B72038" w:rsidRPr="003F677F">
        <w:rPr>
          <w:rFonts w:asciiTheme="majorHAnsi" w:hAnsiTheme="majorHAnsi"/>
          <w:sz w:val="18"/>
          <w:szCs w:val="18"/>
        </w:rPr>
        <w:t>o sindical cuya ilegalidad quedó</w:t>
      </w:r>
      <w:r w:rsidRPr="003F677F">
        <w:rPr>
          <w:rFonts w:asciiTheme="majorHAnsi" w:hAnsiTheme="majorHAnsi"/>
          <w:sz w:val="18"/>
          <w:szCs w:val="18"/>
        </w:rPr>
        <w:t xml:space="preserve"> plenamente determinada no es aplicable el fuero sindical previsto en el </w:t>
      </w:r>
      <w:r w:rsidR="00320414" w:rsidRPr="003F677F">
        <w:rPr>
          <w:rFonts w:asciiTheme="majorHAnsi" w:hAnsiTheme="majorHAnsi"/>
          <w:sz w:val="18"/>
          <w:szCs w:val="18"/>
        </w:rPr>
        <w:t>artículo</w:t>
      </w:r>
      <w:r w:rsidRPr="003F677F">
        <w:rPr>
          <w:rFonts w:asciiTheme="majorHAnsi" w:hAnsiTheme="majorHAnsi"/>
          <w:sz w:val="18"/>
          <w:szCs w:val="18"/>
        </w:rPr>
        <w:t xml:space="preserve"> 223 inciso d) del </w:t>
      </w:r>
      <w:r w:rsidR="00320414" w:rsidRPr="003F677F">
        <w:rPr>
          <w:rFonts w:asciiTheme="majorHAnsi" w:hAnsiTheme="majorHAnsi"/>
          <w:sz w:val="18"/>
          <w:szCs w:val="18"/>
        </w:rPr>
        <w:t>Código</w:t>
      </w:r>
      <w:r w:rsidRPr="003F677F">
        <w:rPr>
          <w:rFonts w:asciiTheme="majorHAnsi" w:hAnsiTheme="majorHAnsi"/>
          <w:sz w:val="18"/>
          <w:szCs w:val="18"/>
        </w:rPr>
        <w:t xml:space="preserve"> de Trabajo(…)</w:t>
      </w:r>
      <w:r w:rsidR="00436C85" w:rsidRPr="003F677F">
        <w:rPr>
          <w:rStyle w:val="FootnoteReference"/>
          <w:rFonts w:asciiTheme="majorHAnsi" w:hAnsiTheme="majorHAnsi"/>
          <w:sz w:val="18"/>
          <w:szCs w:val="18"/>
        </w:rPr>
        <w:footnoteReference w:id="39"/>
      </w:r>
      <w:r w:rsidR="00436C85" w:rsidRPr="003F677F">
        <w:rPr>
          <w:rFonts w:asciiTheme="majorHAnsi" w:hAnsiTheme="majorHAnsi"/>
          <w:sz w:val="18"/>
          <w:szCs w:val="18"/>
        </w:rPr>
        <w:t>.</w:t>
      </w:r>
    </w:p>
    <w:p w:rsidR="00CA6207" w:rsidRDefault="00B72038" w:rsidP="00B54921">
      <w:pPr>
        <w:pStyle w:val="parrafos"/>
        <w:numPr>
          <w:ilvl w:val="0"/>
          <w:numId w:val="56"/>
        </w:numPr>
        <w:tabs>
          <w:tab w:val="left" w:pos="720"/>
        </w:tabs>
        <w:ind w:left="0" w:firstLine="0"/>
        <w:rPr>
          <w:lang w:val="es-ES_tradnl"/>
        </w:rPr>
      </w:pPr>
      <w:r>
        <w:rPr>
          <w:lang w:val="es-ES_tradnl"/>
        </w:rPr>
        <w:t>La CIDH toma nota que un magistrado emitió un v</w:t>
      </w:r>
      <w:r w:rsidR="00D9581F">
        <w:rPr>
          <w:lang w:val="es-ES_tradnl"/>
        </w:rPr>
        <w:t xml:space="preserve">oto disidente argumentando que </w:t>
      </w:r>
      <w:r w:rsidR="00436C85" w:rsidRPr="00FF38C3">
        <w:rPr>
          <w:lang w:val="es-ES_tradnl"/>
        </w:rPr>
        <w:t>“la forma en que fueron destituidos viola el debido procedimiento para destituir a un trabajador del Organismo Judicial est</w:t>
      </w:r>
      <w:r w:rsidR="00D9581F">
        <w:rPr>
          <w:lang w:val="es-ES_tradnl"/>
        </w:rPr>
        <w:t>ablecido en el artículo 22 del P</w:t>
      </w:r>
      <w:r w:rsidR="00436C85" w:rsidRPr="00FF38C3">
        <w:rPr>
          <w:lang w:val="es-ES_tradnl"/>
        </w:rPr>
        <w:t>acto Colectivo de Condiciones de Trabajo</w:t>
      </w:r>
      <w:r w:rsidR="004B2634">
        <w:rPr>
          <w:lang w:val="es-ES_tradnl"/>
        </w:rPr>
        <w:t>(…) bien pudo la autoridad nominadora imputarle al trabajador objeto de una posterior destituc</w:t>
      </w:r>
      <w:r w:rsidR="00BA70C5">
        <w:rPr>
          <w:lang w:val="es-ES_tradnl"/>
        </w:rPr>
        <w:t>ión la referida causal a efecto</w:t>
      </w:r>
      <w:r w:rsidR="004B2634">
        <w:rPr>
          <w:lang w:val="es-ES_tradnl"/>
        </w:rPr>
        <w:t xml:space="preserve"> de que conforme el debido proceso éste al evacuar la audiencia que se le hubiere conferido hubiese podido desvanecer tal causal demostrando su eventual no participación en el movimiento de huelga, evitando con ello destituciones injustas</w:t>
      </w:r>
      <w:r w:rsidR="00436C85" w:rsidRPr="00FF38C3">
        <w:rPr>
          <w:lang w:val="es-ES_tradnl"/>
        </w:rPr>
        <w:t>”</w:t>
      </w:r>
      <w:r w:rsidR="00436C85">
        <w:rPr>
          <w:rStyle w:val="FootnoteReference"/>
          <w:lang w:val="es-ES_tradnl"/>
        </w:rPr>
        <w:footnoteReference w:id="40"/>
      </w:r>
      <w:r w:rsidR="00436C85" w:rsidRPr="00FF38C3">
        <w:rPr>
          <w:lang w:val="es-ES_tradnl"/>
        </w:rPr>
        <w:t>.</w:t>
      </w:r>
      <w:r w:rsidR="000B36BF">
        <w:rPr>
          <w:lang w:val="es-ES_tradnl"/>
        </w:rPr>
        <w:t xml:space="preserve"> </w:t>
      </w:r>
    </w:p>
    <w:p w:rsidR="0005191F" w:rsidRDefault="0005191F" w:rsidP="00B54921">
      <w:pPr>
        <w:pStyle w:val="parrafos"/>
        <w:tabs>
          <w:tab w:val="left" w:pos="720"/>
        </w:tabs>
        <w:rPr>
          <w:lang w:val="es-CO"/>
        </w:rPr>
      </w:pPr>
    </w:p>
    <w:p w:rsidR="00BA73C5" w:rsidRPr="00286B80" w:rsidRDefault="000E0B5E" w:rsidP="00511849">
      <w:pPr>
        <w:pStyle w:val="parrafos"/>
        <w:numPr>
          <w:ilvl w:val="0"/>
          <w:numId w:val="56"/>
        </w:numPr>
        <w:tabs>
          <w:tab w:val="left" w:pos="720"/>
        </w:tabs>
        <w:ind w:left="0" w:firstLine="0"/>
        <w:rPr>
          <w:lang w:val="es-CO"/>
        </w:rPr>
      </w:pPr>
      <w:r w:rsidRPr="0005191F">
        <w:t>Según información disponible</w:t>
      </w:r>
      <w:r w:rsidR="00F1402A" w:rsidRPr="0005191F">
        <w:t>,</w:t>
      </w:r>
      <w:r w:rsidRPr="0005191F">
        <w:t xml:space="preserve"> del </w:t>
      </w:r>
      <w:r w:rsidR="00160CA9">
        <w:t>total de</w:t>
      </w:r>
      <w:r w:rsidR="00BA73C5">
        <w:t xml:space="preserve"> las presuntas víctimas que fueron</w:t>
      </w:r>
      <w:r w:rsidR="00160CA9">
        <w:t xml:space="preserve"> despedidas, 28</w:t>
      </w:r>
      <w:r w:rsidRPr="0005191F">
        <w:t xml:space="preserve"> fueron reincorporadas con posterioridad</w:t>
      </w:r>
      <w:r w:rsidR="00242785">
        <w:rPr>
          <w:rStyle w:val="FootnoteReference"/>
          <w:lang w:val="es-ES_tradnl"/>
        </w:rPr>
        <w:footnoteReference w:id="41"/>
      </w:r>
      <w:r w:rsidR="00AF1882" w:rsidRPr="0005191F">
        <w:t xml:space="preserve">. </w:t>
      </w:r>
      <w:r w:rsidR="003D184A" w:rsidRPr="0005191F">
        <w:t xml:space="preserve">La parte peticionaria argumentó </w:t>
      </w:r>
      <w:r w:rsidR="00AF1882" w:rsidRPr="0005191F">
        <w:t>que ninguno de los 6 miembros del Comité Ejecutivo del Sindicato fueron recontratados</w:t>
      </w:r>
      <w:r w:rsidR="00E958F1">
        <w:rPr>
          <w:rStyle w:val="FootnoteReference"/>
          <w:lang w:val="es-ES_tradnl"/>
        </w:rPr>
        <w:footnoteReference w:id="42"/>
      </w:r>
      <w:r w:rsidR="00E958F1" w:rsidRPr="0005191F">
        <w:rPr>
          <w:lang w:val="es-ES_tradnl"/>
        </w:rPr>
        <w:t>.</w:t>
      </w:r>
      <w:r w:rsidR="003D184A" w:rsidRPr="0005191F">
        <w:rPr>
          <w:lang w:val="es-ES_tradnl"/>
        </w:rPr>
        <w:t xml:space="preserve"> El Esta</w:t>
      </w:r>
      <w:r w:rsidR="00F1402A" w:rsidRPr="0005191F">
        <w:rPr>
          <w:lang w:val="es-ES_tradnl"/>
        </w:rPr>
        <w:t>do</w:t>
      </w:r>
      <w:r w:rsidR="003D184A" w:rsidRPr="0005191F">
        <w:rPr>
          <w:lang w:val="es-ES_tradnl"/>
        </w:rPr>
        <w:t xml:space="preserve"> no controvirtió dicha información. </w:t>
      </w:r>
      <w:r w:rsidR="007D0FB2" w:rsidRPr="0005191F">
        <w:rPr>
          <w:lang w:val="es-ES_tradnl"/>
        </w:rPr>
        <w:t xml:space="preserve"> </w:t>
      </w:r>
    </w:p>
    <w:p w:rsidR="0068160C" w:rsidRPr="00511849" w:rsidRDefault="0068160C" w:rsidP="00511849">
      <w:pPr>
        <w:pStyle w:val="parrafos"/>
        <w:tabs>
          <w:tab w:val="left" w:pos="720"/>
        </w:tabs>
        <w:rPr>
          <w:lang w:val="es-CO"/>
        </w:rPr>
      </w:pPr>
    </w:p>
    <w:p w:rsidR="005572BA" w:rsidRPr="00937EFE" w:rsidRDefault="005572BA" w:rsidP="00B54921">
      <w:pPr>
        <w:pStyle w:val="Heading1"/>
        <w:numPr>
          <w:ilvl w:val="0"/>
          <w:numId w:val="57"/>
        </w:numPr>
        <w:tabs>
          <w:tab w:val="left" w:pos="720"/>
        </w:tabs>
        <w:ind w:left="360" w:hanging="360"/>
      </w:pPr>
      <w:bookmarkStart w:id="19" w:name="_Toc14884445"/>
      <w:r w:rsidRPr="00937EFE">
        <w:t>DETERMINACIONES DE DERECHO</w:t>
      </w:r>
      <w:bookmarkEnd w:id="19"/>
    </w:p>
    <w:p w:rsidR="005572BA" w:rsidRDefault="005572B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2C55BC" w:rsidRDefault="002C55BC"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pPr>
      <w:bookmarkStart w:id="20" w:name="_Toc14884446"/>
      <w:r>
        <w:t>Consideraciones generales sobre las garantías aplicables a los procesos administrativos sancionatorios</w:t>
      </w:r>
      <w:bookmarkEnd w:id="20"/>
    </w:p>
    <w:p w:rsidR="002C55BC" w:rsidRDefault="002C55BC" w:rsidP="00B54921">
      <w:pPr>
        <w:tabs>
          <w:tab w:val="left" w:pos="720"/>
        </w:tabs>
        <w:rPr>
          <w:lang w:val="es-ES_tradnl" w:eastAsia="es-ES"/>
        </w:rPr>
      </w:pPr>
    </w:p>
    <w:p w:rsidR="0025752E" w:rsidRPr="0025752E" w:rsidRDefault="002C55BC" w:rsidP="00B54921">
      <w:pPr>
        <w:pStyle w:val="parrafos"/>
        <w:numPr>
          <w:ilvl w:val="0"/>
          <w:numId w:val="56"/>
        </w:numPr>
        <w:tabs>
          <w:tab w:val="left" w:pos="720"/>
        </w:tabs>
        <w:ind w:left="0" w:firstLine="0"/>
        <w:rPr>
          <w:rFonts w:ascii="Cambria" w:eastAsia="Cambria" w:hAnsi="Cambria" w:cs="Cambria"/>
          <w:b/>
          <w:u w:color="000000"/>
          <w:lang w:val="es-ES_tradnl" w:eastAsia="es-ES"/>
        </w:rPr>
      </w:pPr>
      <w:r w:rsidRPr="002C55BC">
        <w:rPr>
          <w:rFonts w:ascii="Cambria" w:hAnsi="Cambria"/>
        </w:rPr>
        <w:t>La Comisión recuerda que ambos órganos del sistema interamericano han indicado que las garantías establecidas en el artículo 8 de la Convención Americana, no se limitan a procesos penales</w:t>
      </w:r>
      <w:r w:rsidRPr="00937EFE">
        <w:rPr>
          <w:rFonts w:ascii="Cambria" w:hAnsi="Cambria"/>
          <w:lang w:val="es-ES" w:eastAsia="es-ES"/>
        </w:rPr>
        <w:t>, sino que aplican a procesos de otra naturaleza</w:t>
      </w:r>
      <w:r w:rsidRPr="00937EFE">
        <w:rPr>
          <w:rFonts w:ascii="Cambria" w:hAnsi="Cambria"/>
          <w:vertAlign w:val="superscript"/>
          <w:lang w:eastAsia="es-ES"/>
        </w:rPr>
        <w:footnoteReference w:id="43"/>
      </w:r>
      <w:r w:rsidRPr="00937EFE">
        <w:rPr>
          <w:rFonts w:ascii="Cambria" w:hAnsi="Cambria"/>
          <w:lang w:val="es-ES" w:eastAsia="es-ES"/>
        </w:rPr>
        <w:t>. Específicamente, cuando se trata de procesos sancionatorios, ambos órganos han indicado que aplican, análogamente, las garantías establecidas en el artículo 8.2 de la Convención Americana</w:t>
      </w:r>
      <w:r w:rsidRPr="00937EFE">
        <w:rPr>
          <w:rFonts w:ascii="Cambria" w:hAnsi="Cambria"/>
          <w:vertAlign w:val="superscript"/>
          <w:lang w:eastAsia="es-ES"/>
        </w:rPr>
        <w:footnoteReference w:id="44"/>
      </w:r>
      <w:r w:rsidRPr="00937EFE">
        <w:rPr>
          <w:rFonts w:ascii="Cambria" w:hAnsi="Cambria"/>
          <w:lang w:val="es-ES" w:eastAsia="es-ES"/>
        </w:rPr>
        <w:t>.</w:t>
      </w:r>
      <w:r w:rsidRPr="00937EFE">
        <w:rPr>
          <w:rFonts w:ascii="Cambria" w:eastAsia="Cambria" w:hAnsi="Cambria" w:cs="Cambria"/>
          <w:b/>
          <w:u w:color="000000"/>
          <w:lang w:val="es-ES_tradnl" w:eastAsia="es-ES"/>
        </w:rPr>
        <w:t xml:space="preserve"> </w:t>
      </w:r>
      <w:r w:rsidRPr="00937EFE">
        <w:rPr>
          <w:rFonts w:ascii="Cambria" w:eastAsia="Cambria" w:hAnsi="Cambria" w:cs="Cambria"/>
          <w:u w:color="000000"/>
          <w:lang w:val="es-ES_tradnl" w:eastAsia="es-ES"/>
        </w:rPr>
        <w:t xml:space="preserve">Igualmente, el principio de legalidad es aplicable a los procesos disciplinarios que son </w:t>
      </w:r>
      <w:r w:rsidRPr="00937EFE">
        <w:rPr>
          <w:rFonts w:ascii="Cambria" w:hAnsi="Cambria" w:cs="Verdana"/>
          <w:lang w:val="es-UY"/>
        </w:rPr>
        <w:t>“una expresión del poder punitivo del Estado” puesto que implican un menoscabo o alteración de los derechos de las personas como consecuencia de una conducta ilícita</w:t>
      </w:r>
      <w:r w:rsidRPr="00937EFE">
        <w:rPr>
          <w:rFonts w:ascii="Cambria" w:hAnsi="Cambria" w:cs="Verdana"/>
          <w:vertAlign w:val="superscript"/>
          <w:lang w:val="es-UY"/>
        </w:rPr>
        <w:footnoteReference w:id="45"/>
      </w:r>
      <w:r w:rsidRPr="00937EFE">
        <w:rPr>
          <w:rFonts w:ascii="Cambria" w:hAnsi="Cambria" w:cs="Verdana"/>
          <w:lang w:val="es-UY"/>
        </w:rPr>
        <w:t xml:space="preserve">. </w:t>
      </w:r>
    </w:p>
    <w:p w:rsidR="0025752E" w:rsidRPr="0025752E" w:rsidRDefault="0025752E" w:rsidP="00B54921">
      <w:pPr>
        <w:pStyle w:val="parrafos"/>
        <w:tabs>
          <w:tab w:val="left" w:pos="720"/>
        </w:tabs>
        <w:rPr>
          <w:rFonts w:ascii="Cambria" w:eastAsia="Cambria" w:hAnsi="Cambria" w:cs="Cambria"/>
          <w:b/>
          <w:u w:color="000000"/>
          <w:lang w:val="es-ES_tradnl" w:eastAsia="es-ES"/>
        </w:rPr>
      </w:pPr>
    </w:p>
    <w:p w:rsidR="002C55BC" w:rsidRPr="0025752E" w:rsidRDefault="002C55BC" w:rsidP="00B54921">
      <w:pPr>
        <w:pStyle w:val="parrafos"/>
        <w:numPr>
          <w:ilvl w:val="0"/>
          <w:numId w:val="56"/>
        </w:numPr>
        <w:tabs>
          <w:tab w:val="left" w:pos="720"/>
        </w:tabs>
        <w:ind w:left="0" w:firstLine="0"/>
        <w:rPr>
          <w:rFonts w:ascii="Cambria" w:eastAsia="Cambria" w:hAnsi="Cambria" w:cs="Cambria"/>
          <w:b/>
          <w:u w:color="000000"/>
          <w:lang w:val="es-ES_tradnl" w:eastAsia="es-ES"/>
        </w:rPr>
      </w:pPr>
      <w:r w:rsidRPr="0025752E">
        <w:rPr>
          <w:rFonts w:ascii="Cambria" w:hAnsi="Cambria"/>
          <w:lang w:val="es-ES" w:eastAsia="es-ES"/>
        </w:rPr>
        <w:t>Conforme a lo anterior, para la determinación de cuáles son las garantías que el Estado tenía la obligación de otorgar en el caso concreto, resulta necesario hacer referencia al car</w:t>
      </w:r>
      <w:r w:rsidR="00593F10">
        <w:rPr>
          <w:rFonts w:ascii="Cambria" w:hAnsi="Cambria"/>
          <w:lang w:val="es-ES" w:eastAsia="es-ES"/>
        </w:rPr>
        <w:t xml:space="preserve">ácter del proceso en cuestión. </w:t>
      </w:r>
      <w:r w:rsidRPr="0025752E">
        <w:rPr>
          <w:rFonts w:ascii="Cambria" w:hAnsi="Cambria"/>
          <w:lang w:val="es-ES" w:eastAsia="es-ES"/>
        </w:rPr>
        <w:t xml:space="preserve">El presente caso versa </w:t>
      </w:r>
      <w:r w:rsidR="00B82080" w:rsidRPr="0025752E">
        <w:rPr>
          <w:rFonts w:ascii="Cambria" w:hAnsi="Cambria"/>
          <w:lang w:val="es-ES" w:eastAsia="es-ES"/>
        </w:rPr>
        <w:t xml:space="preserve">sobre la destitución de </w:t>
      </w:r>
      <w:r w:rsidR="00BA73C5">
        <w:t>93</w:t>
      </w:r>
      <w:r w:rsidR="00B82080" w:rsidRPr="0025752E">
        <w:t xml:space="preserve"> empleados del Organismo Judicial de Guatemala como consecuencia de una huelga realizada en 1996. </w:t>
      </w:r>
      <w:r w:rsidR="00344D6A" w:rsidRPr="0025752E">
        <w:t>Tomando en cuenta</w:t>
      </w:r>
      <w:r w:rsidR="0058630D">
        <w:t xml:space="preserve"> la normativa aplicable</w:t>
      </w:r>
      <w:r w:rsidR="00E71AB5">
        <w:t>,</w:t>
      </w:r>
      <w:r w:rsidR="0058630D">
        <w:t xml:space="preserve"> l</w:t>
      </w:r>
      <w:r w:rsidR="00E71AB5">
        <w:t xml:space="preserve">os contenidos de las </w:t>
      </w:r>
      <w:r w:rsidR="0058630D">
        <w:t xml:space="preserve">decisiones emitidas a nivel interno al respecto y </w:t>
      </w:r>
      <w:r w:rsidR="00E71AB5">
        <w:t>los</w:t>
      </w:r>
      <w:r w:rsidR="00BA73C5">
        <w:t xml:space="preserve"> </w:t>
      </w:r>
      <w:r w:rsidR="00344D6A" w:rsidRPr="0025752E">
        <w:t>efecto</w:t>
      </w:r>
      <w:r w:rsidR="0058630D">
        <w:t>s</w:t>
      </w:r>
      <w:r w:rsidR="00344D6A" w:rsidRPr="0025752E">
        <w:t xml:space="preserve"> del procedimiento, la Comisión estima que se trató de un procedimiento de carácter sancionatorio y, por lo tanto, las garantías aplicables incluyen de manera análoga y </w:t>
      </w:r>
      <w:r w:rsidR="00344D6A" w:rsidRPr="0025752E">
        <w:rPr>
          <w:i/>
        </w:rPr>
        <w:t>mutatis mutandis</w:t>
      </w:r>
      <w:r w:rsidR="00344D6A" w:rsidRPr="0025752E">
        <w:t xml:space="preserve"> las relativas a un proceso penal. </w:t>
      </w:r>
    </w:p>
    <w:p w:rsidR="00344D6A" w:rsidRPr="00344D6A" w:rsidRDefault="00344D6A"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b/>
          <w:sz w:val="20"/>
          <w:szCs w:val="20"/>
          <w:u w:color="000000"/>
          <w:lang w:val="es-ES_tradnl" w:eastAsia="es-ES"/>
        </w:rPr>
      </w:pPr>
    </w:p>
    <w:p w:rsidR="003E0566" w:rsidRDefault="006A658F"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pPr>
      <w:bookmarkStart w:id="21" w:name="_Toc14884447"/>
      <w:r>
        <w:t>Derecho a ser oído y derecho de defensa</w:t>
      </w:r>
      <w:r>
        <w:rPr>
          <w:rStyle w:val="FootnoteReference"/>
        </w:rPr>
        <w:footnoteReference w:id="46"/>
      </w:r>
      <w:bookmarkEnd w:id="21"/>
    </w:p>
    <w:p w:rsidR="00171DEB" w:rsidRDefault="00171DEB" w:rsidP="00B54921">
      <w:pPr>
        <w:tabs>
          <w:tab w:val="left" w:pos="720"/>
        </w:tabs>
        <w:rPr>
          <w:rFonts w:asciiTheme="majorHAnsi" w:eastAsia="Cambria" w:hAnsiTheme="majorHAnsi" w:cs="Cambria"/>
          <w:b/>
          <w:color w:val="000000"/>
          <w:sz w:val="20"/>
          <w:szCs w:val="20"/>
          <w:u w:color="000000"/>
          <w:lang w:val="es-ES_tradnl" w:eastAsia="es-ES"/>
        </w:rPr>
      </w:pPr>
    </w:p>
    <w:p w:rsidR="0025752E" w:rsidRDefault="006A658F" w:rsidP="00B54921">
      <w:pPr>
        <w:pStyle w:val="parrafos"/>
        <w:numPr>
          <w:ilvl w:val="0"/>
          <w:numId w:val="56"/>
        </w:numPr>
        <w:tabs>
          <w:tab w:val="left" w:pos="720"/>
        </w:tabs>
        <w:ind w:left="0" w:firstLine="0"/>
        <w:rPr>
          <w:bCs/>
          <w:lang w:val="es-CO"/>
        </w:rPr>
      </w:pPr>
      <w:r w:rsidRPr="00640517">
        <w:rPr>
          <w:lang w:val="es-CR"/>
        </w:rPr>
        <w:t xml:space="preserve">El derecho a ser oído (artículo 8.1 de la Convención) comprende el derecho de toda persona a tener acceso al </w:t>
      </w:r>
      <w:r w:rsidRPr="006A658F">
        <w:rPr>
          <w:rFonts w:ascii="Cambria" w:hAnsi="Cambria"/>
          <w:lang w:val="es-ES" w:eastAsia="es-ES"/>
        </w:rPr>
        <w:t>tribunal</w:t>
      </w:r>
      <w:r w:rsidRPr="00640517">
        <w:rPr>
          <w:lang w:val="es-CR"/>
        </w:rPr>
        <w:t xml:space="preserve"> u órgano estatal encargado de determinar sus derechos y obligaciones</w:t>
      </w:r>
      <w:r w:rsidRPr="00640517">
        <w:rPr>
          <w:rStyle w:val="FootnoteReference"/>
          <w:lang w:val="es-CR"/>
        </w:rPr>
        <w:footnoteReference w:id="47"/>
      </w:r>
      <w:r w:rsidRPr="00640517">
        <w:rPr>
          <w:lang w:val="es-CR"/>
        </w:rPr>
        <w:t>. Por su parte el derecho de defensa incluye la obligación de comunicar previa y detalladamente la acusación formulada (artículo 8.2 b</w:t>
      </w:r>
      <w:r>
        <w:rPr>
          <w:lang w:val="es-CR"/>
        </w:rPr>
        <w:t xml:space="preserve"> </w:t>
      </w:r>
      <w:r w:rsidRPr="00640517">
        <w:rPr>
          <w:lang w:val="es-CR"/>
        </w:rPr>
        <w:t>de la Convención), así como la concesión a la persona acusada del tiempo y medios adecuados para preparar su defensa (artículo 8.2 c de la Convención). Ambos derechos -ser oído y defensa- guardan relación entre sí, puesto que “oír a una persona investigada implica permitir que se defienda con propiedad”</w:t>
      </w:r>
      <w:r w:rsidRPr="00640517">
        <w:rPr>
          <w:rStyle w:val="FootnoteReference"/>
          <w:lang w:val="es-CR"/>
        </w:rPr>
        <w:footnoteReference w:id="48"/>
      </w:r>
      <w:r w:rsidRPr="00640517">
        <w:rPr>
          <w:lang w:val="es-CR"/>
        </w:rPr>
        <w:t>.</w:t>
      </w:r>
      <w:r w:rsidRPr="00640517">
        <w:rPr>
          <w:bCs/>
          <w:lang w:val="es-CO"/>
        </w:rPr>
        <w:t xml:space="preserve"> </w:t>
      </w:r>
      <w:r w:rsidR="00C8573F">
        <w:rPr>
          <w:rFonts w:cs="Verdana"/>
          <w:lang w:val="es-UY"/>
        </w:rPr>
        <w:t>El derecho a ser o</w:t>
      </w:r>
      <w:r w:rsidRPr="00640517">
        <w:rPr>
          <w:rFonts w:cs="Verdana"/>
          <w:lang w:val="es-UY"/>
        </w:rPr>
        <w:t>ído no necesariamente implica que sea ejercido de manera oral y puede ser sustanciado de manera escrita</w:t>
      </w:r>
      <w:r w:rsidRPr="00640517">
        <w:rPr>
          <w:rStyle w:val="FootnoteReference"/>
          <w:rFonts w:cs="Verdana"/>
          <w:lang w:val="es-UY"/>
        </w:rPr>
        <w:footnoteReference w:id="49"/>
      </w:r>
      <w:r w:rsidRPr="00640517">
        <w:rPr>
          <w:rFonts w:cs="Verdana"/>
          <w:lang w:val="es-UY"/>
        </w:rPr>
        <w:t xml:space="preserve">. </w:t>
      </w:r>
      <w:r w:rsidRPr="00640517">
        <w:rPr>
          <w:lang w:val="es-ES_tradnl"/>
        </w:rPr>
        <w:t>L</w:t>
      </w:r>
      <w:r w:rsidRPr="00640517">
        <w:rPr>
          <w:lang w:val="es-UY"/>
        </w:rPr>
        <w:t>a autoridad a cargo del proceso disciplinario debe conducirse conforme el procedimiento establecido para el efecto y permitir el ejercicio del derecho de defensa</w:t>
      </w:r>
      <w:r w:rsidRPr="00640517">
        <w:rPr>
          <w:rStyle w:val="FootnoteReference"/>
        </w:rPr>
        <w:footnoteReference w:id="50"/>
      </w:r>
      <w:r w:rsidRPr="00640517">
        <w:rPr>
          <w:lang w:val="es-UY"/>
        </w:rPr>
        <w:t>.</w:t>
      </w:r>
      <w:r w:rsidRPr="00640517">
        <w:rPr>
          <w:lang w:val="es-AR"/>
        </w:rPr>
        <w:t xml:space="preserve"> </w:t>
      </w:r>
      <w:r w:rsidRPr="00640517">
        <w:rPr>
          <w:lang w:val="es-UY"/>
        </w:rPr>
        <w:t>Este derecho resulta afectado, por ejemplo, cuando la duración d</w:t>
      </w:r>
      <w:r w:rsidRPr="00640517">
        <w:rPr>
          <w:rFonts w:cs="Times"/>
          <w:lang w:val="es-ES_tradnl"/>
        </w:rPr>
        <w:t>e</w:t>
      </w:r>
      <w:r w:rsidRPr="00640517">
        <w:rPr>
          <w:lang w:val="es-UY"/>
        </w:rPr>
        <w:t>l plazo otorgado para ejercer la defensa no es adecuad</w:t>
      </w:r>
      <w:r w:rsidR="00CA225A">
        <w:rPr>
          <w:lang w:val="es-UY"/>
        </w:rPr>
        <w:t>a</w:t>
      </w:r>
      <w:r w:rsidRPr="00640517">
        <w:rPr>
          <w:lang w:val="es-UY"/>
        </w:rPr>
        <w:t xml:space="preserve"> considerando el examen de la causa y el acervo probatorio</w:t>
      </w:r>
      <w:r w:rsidRPr="00640517">
        <w:rPr>
          <w:rStyle w:val="FootnoteReference"/>
          <w:lang w:val="es-ES_tradnl"/>
        </w:rPr>
        <w:footnoteReference w:id="51"/>
      </w:r>
      <w:r w:rsidRPr="00640517">
        <w:rPr>
          <w:lang w:val="es-UY"/>
        </w:rPr>
        <w:t xml:space="preserve">. </w:t>
      </w:r>
    </w:p>
    <w:p w:rsidR="0025752E" w:rsidRDefault="0025752E" w:rsidP="00B54921">
      <w:pPr>
        <w:pStyle w:val="parrafos"/>
        <w:tabs>
          <w:tab w:val="left" w:pos="720"/>
        </w:tabs>
        <w:rPr>
          <w:bCs/>
          <w:lang w:val="es-CO"/>
        </w:rPr>
      </w:pPr>
    </w:p>
    <w:p w:rsidR="0025752E" w:rsidRPr="0025752E" w:rsidRDefault="00171DEB" w:rsidP="00B54921">
      <w:pPr>
        <w:pStyle w:val="parrafos"/>
        <w:numPr>
          <w:ilvl w:val="0"/>
          <w:numId w:val="56"/>
        </w:numPr>
        <w:tabs>
          <w:tab w:val="left" w:pos="720"/>
        </w:tabs>
        <w:ind w:left="0" w:firstLine="0"/>
        <w:rPr>
          <w:bCs/>
          <w:lang w:val="es-CO"/>
        </w:rPr>
      </w:pPr>
      <w:r w:rsidRPr="0025752E">
        <w:rPr>
          <w:lang w:val="es-ES_tradnl"/>
        </w:rPr>
        <w:t xml:space="preserve">En el caso </w:t>
      </w:r>
      <w:r w:rsidRPr="00673575">
        <w:rPr>
          <w:i/>
          <w:iCs/>
          <w:lang w:val="es-ES_tradnl"/>
        </w:rPr>
        <w:t>Baena Ricardo</w:t>
      </w:r>
      <w:r w:rsidR="00AC03E9" w:rsidRPr="00673575">
        <w:rPr>
          <w:i/>
          <w:iCs/>
          <w:lang w:val="es-ES_tradnl"/>
        </w:rPr>
        <w:t xml:space="preserve"> y otros vs. </w:t>
      </w:r>
      <w:proofErr w:type="spellStart"/>
      <w:r w:rsidR="00AC03E9" w:rsidRPr="00673575">
        <w:rPr>
          <w:i/>
          <w:iCs/>
          <w:lang w:val="es-ES_tradnl"/>
        </w:rPr>
        <w:t>Panam</w:t>
      </w:r>
      <w:proofErr w:type="spellEnd"/>
      <w:r w:rsidR="00AC03E9" w:rsidRPr="00673575">
        <w:rPr>
          <w:i/>
          <w:iCs/>
          <w:lang w:val="es-CO"/>
        </w:rPr>
        <w:t>á</w:t>
      </w:r>
      <w:r w:rsidRPr="0025752E">
        <w:rPr>
          <w:lang w:val="es-ES_tradnl"/>
        </w:rPr>
        <w:t xml:space="preserve"> la Corte declaró una violación a las garantías judiciales por la remoción de 270 trabajadores sin permitirles la oportunidad de presentar alegatos y pruebas en su defensa, previo a ser destituidos. Al respecto, la Corte consideró:</w:t>
      </w:r>
    </w:p>
    <w:p w:rsidR="0025752E" w:rsidRDefault="0025752E" w:rsidP="00B54921">
      <w:pPr>
        <w:pStyle w:val="ListParagraph"/>
        <w:tabs>
          <w:tab w:val="left" w:pos="720"/>
        </w:tabs>
        <w:rPr>
          <w:sz w:val="18"/>
          <w:lang w:val="es-ES"/>
        </w:rPr>
      </w:pPr>
    </w:p>
    <w:p w:rsidR="00171DEB" w:rsidRPr="0025752E" w:rsidRDefault="00171DEB" w:rsidP="00B54921">
      <w:pPr>
        <w:pStyle w:val="parrafos"/>
        <w:tabs>
          <w:tab w:val="left" w:pos="720"/>
        </w:tabs>
        <w:ind w:left="360" w:right="360"/>
        <w:rPr>
          <w:bCs/>
          <w:lang w:val="es-CO"/>
        </w:rPr>
      </w:pPr>
      <w:r w:rsidRPr="0025752E">
        <w:rPr>
          <w:rFonts w:ascii="Cambria" w:eastAsia="Cambria" w:hAnsi="Cambria" w:cs="Cambria"/>
          <w:color w:val="000000"/>
          <w:sz w:val="18"/>
          <w:szCs w:val="24"/>
          <w:u w:color="000000"/>
          <w:lang w:val="es-ES" w:eastAsia="es-ES"/>
        </w:rPr>
        <w:t xml:space="preserve">Las víctimas de esta causa no fueron sometidas a un procedimiento administrativo previo a la sanción de destitución. El Presidente de la República determinó que había una vinculación entre el paro de labores de los trabajadores estatales y el movimiento del Coronel Eduardo Herrera </w:t>
      </w:r>
      <w:proofErr w:type="spellStart"/>
      <w:r w:rsidRPr="0025752E">
        <w:rPr>
          <w:rFonts w:ascii="Cambria" w:eastAsia="Cambria" w:hAnsi="Cambria" w:cs="Cambria"/>
          <w:color w:val="000000"/>
          <w:sz w:val="18"/>
          <w:szCs w:val="24"/>
          <w:u w:color="000000"/>
          <w:lang w:val="es-ES" w:eastAsia="es-ES"/>
        </w:rPr>
        <w:t>Hassán</w:t>
      </w:r>
      <w:proofErr w:type="spellEnd"/>
      <w:r w:rsidRPr="0025752E">
        <w:rPr>
          <w:rFonts w:ascii="Cambria" w:eastAsia="Cambria" w:hAnsi="Cambria" w:cs="Cambria"/>
          <w:color w:val="000000"/>
          <w:sz w:val="18"/>
          <w:szCs w:val="24"/>
          <w:u w:color="000000"/>
          <w:lang w:val="es-ES" w:eastAsia="es-ES"/>
        </w:rPr>
        <w:t xml:space="preserve"> y, con base en ello, ordenó que se despidiese a los trabajadores que habían participado en dicho paro, presumiéndose su culpabilidad. Incluso, la forma utilizada para determinar quiénes habían participado en la organización, llamado o ejecución del paro nacional efectuado el 5 de diciembre de 1990, </w:t>
      </w:r>
      <w:proofErr w:type="spellStart"/>
      <w:r w:rsidRPr="0025752E">
        <w:rPr>
          <w:rFonts w:ascii="Cambria" w:eastAsia="Cambria" w:hAnsi="Cambria" w:cs="Cambria"/>
          <w:color w:val="000000"/>
          <w:sz w:val="18"/>
          <w:szCs w:val="24"/>
          <w:u w:color="000000"/>
          <w:lang w:val="es-ES" w:eastAsia="es-ES"/>
        </w:rPr>
        <w:t>ésto</w:t>
      </w:r>
      <w:proofErr w:type="spellEnd"/>
      <w:r w:rsidRPr="0025752E">
        <w:rPr>
          <w:rFonts w:ascii="Cambria" w:eastAsia="Cambria" w:hAnsi="Cambria" w:cs="Cambria"/>
          <w:color w:val="000000"/>
          <w:sz w:val="18"/>
          <w:szCs w:val="24"/>
          <w:u w:color="000000"/>
          <w:lang w:val="es-ES" w:eastAsia="es-ES"/>
        </w:rPr>
        <w:t xml:space="preserve"> es, la identificación del inculpado por parte del directivo de cada institución, utilizando en algunos casos “informes” realizados por diversos jefes de la entidad, significó la negación a los trabajadores de un proceso formal previo a la destitución. Una vez identificado el trabajador que supuestamente había infringido la norma, se procedía a despedirlo mediante la entrega de una carta, sin permitírsele presentar alegatos y pruebas en su defensa (…)</w:t>
      </w:r>
      <w:r w:rsidRPr="00893243">
        <w:rPr>
          <w:u w:color="000000"/>
          <w:vertAlign w:val="superscript"/>
          <w:lang w:val="es-ES" w:eastAsia="es-ES"/>
        </w:rPr>
        <w:footnoteReference w:id="52"/>
      </w:r>
      <w:r w:rsidRPr="00893243">
        <w:rPr>
          <w:rFonts w:ascii="Cambria" w:eastAsia="Cambria" w:hAnsi="Cambria" w:cs="Cambria"/>
          <w:color w:val="000000"/>
          <w:u w:color="000000"/>
          <w:lang w:val="es-ES" w:eastAsia="es-ES"/>
        </w:rPr>
        <w:t>.</w:t>
      </w:r>
    </w:p>
    <w:p w:rsidR="00171DEB" w:rsidRDefault="00171DEB" w:rsidP="00B549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ES_tradnl"/>
        </w:rPr>
      </w:pPr>
    </w:p>
    <w:p w:rsidR="00923219" w:rsidRDefault="00A91277" w:rsidP="00B54921">
      <w:pPr>
        <w:pStyle w:val="parrafos"/>
        <w:numPr>
          <w:ilvl w:val="0"/>
          <w:numId w:val="56"/>
        </w:numPr>
        <w:tabs>
          <w:tab w:val="left" w:pos="720"/>
        </w:tabs>
        <w:ind w:left="0" w:firstLine="0"/>
        <w:rPr>
          <w:lang w:val="es-CO"/>
        </w:rPr>
      </w:pPr>
      <w:r w:rsidRPr="00C8573F">
        <w:rPr>
          <w:lang w:val="es-ES_tradnl"/>
        </w:rPr>
        <w:lastRenderedPageBreak/>
        <w:t xml:space="preserve">En el </w:t>
      </w:r>
      <w:r>
        <w:rPr>
          <w:lang w:val="es-ES_tradnl"/>
        </w:rPr>
        <w:t>presente caso</w:t>
      </w:r>
      <w:r w:rsidR="00F6199D">
        <w:rPr>
          <w:lang w:val="es-ES_tradnl"/>
        </w:rPr>
        <w:t xml:space="preserve"> la CIDH recuerda que luego de </w:t>
      </w:r>
      <w:r w:rsidR="00650A82">
        <w:rPr>
          <w:lang w:val="es-ES_tradnl"/>
        </w:rPr>
        <w:t xml:space="preserve">la declaración de ilegitimidad de la huelga, el 13 de mayo de 1996 la Sala Primera de la Corte de Apelaciones de Trabajo y Previsión Social  fijó el término de veinte días al Organismo Judicial </w:t>
      </w:r>
      <w:r w:rsidR="00F35054">
        <w:rPr>
          <w:lang w:val="es-ES_tradnl"/>
        </w:rPr>
        <w:t xml:space="preserve">para dar por terminados los contratos de trabajo de los trabajadores que holgaron, y el 1 de septiembre de 1999 </w:t>
      </w:r>
      <w:r w:rsidR="00650A82" w:rsidRPr="004A6BB4">
        <w:rPr>
          <w:lang w:val="es-CO"/>
        </w:rPr>
        <w:t xml:space="preserve">la Corte Suprema de Justicia procedió a ejecutar los despidos de cuatrocientos cuatro trabajadores, incluyendo a las presuntas víctimas. </w:t>
      </w:r>
    </w:p>
    <w:p w:rsidR="004A6BB4" w:rsidRDefault="004A6BB4" w:rsidP="00B54921">
      <w:pPr>
        <w:pStyle w:val="parrafos"/>
        <w:tabs>
          <w:tab w:val="left" w:pos="720"/>
        </w:tabs>
        <w:rPr>
          <w:lang w:val="es-CO"/>
        </w:rPr>
      </w:pPr>
    </w:p>
    <w:p w:rsidR="00C416C2" w:rsidRDefault="004A6BB4" w:rsidP="00B54921">
      <w:pPr>
        <w:pStyle w:val="parrafos"/>
        <w:numPr>
          <w:ilvl w:val="0"/>
          <w:numId w:val="56"/>
        </w:numPr>
        <w:tabs>
          <w:tab w:val="left" w:pos="720"/>
        </w:tabs>
        <w:ind w:left="0" w:firstLine="0"/>
        <w:rPr>
          <w:lang w:val="es-CO"/>
        </w:rPr>
      </w:pPr>
      <w:r>
        <w:rPr>
          <w:lang w:val="es-CO"/>
        </w:rPr>
        <w:t>La Comisión subraya que</w:t>
      </w:r>
      <w:r w:rsidR="00782A71">
        <w:rPr>
          <w:lang w:val="es-CO"/>
        </w:rPr>
        <w:t xml:space="preserve"> </w:t>
      </w:r>
      <w:r>
        <w:rPr>
          <w:lang w:val="es-CO"/>
        </w:rPr>
        <w:t xml:space="preserve">las presuntas víctimas no fueron </w:t>
      </w:r>
      <w:r w:rsidR="00782A71">
        <w:rPr>
          <w:lang w:val="es-CO"/>
        </w:rPr>
        <w:t xml:space="preserve">sometidas a un procedimiento administrativo previo a la sanción de destitución y por ende no fueron </w:t>
      </w:r>
      <w:r>
        <w:rPr>
          <w:lang w:val="es-CO"/>
        </w:rPr>
        <w:t>notificadas del inicio de un procedimiento disciplinario en su contra ni tuvieron la oportunidad de defenderse respecto del mismo. Ello mismo generó que</w:t>
      </w:r>
      <w:r w:rsidR="00C416C2">
        <w:rPr>
          <w:lang w:val="es-CO"/>
        </w:rPr>
        <w:t xml:space="preserve"> </w:t>
      </w:r>
      <w:r w:rsidR="00012990">
        <w:rPr>
          <w:lang w:val="es-CO"/>
        </w:rPr>
        <w:t xml:space="preserve">al menos 27 </w:t>
      </w:r>
      <w:r w:rsidR="00C416C2">
        <w:rPr>
          <w:lang w:val="es-CO"/>
        </w:rPr>
        <w:t xml:space="preserve">trabajadores que no participaron en la huelga fueran destituidos por haberse incluido erróneamente sus nombres </w:t>
      </w:r>
      <w:r w:rsidR="00893243">
        <w:rPr>
          <w:lang w:val="es-CO"/>
        </w:rPr>
        <w:t>en los listados de huelguistas.</w:t>
      </w:r>
    </w:p>
    <w:p w:rsidR="00C416C2" w:rsidRDefault="00C416C2" w:rsidP="00B54921">
      <w:pPr>
        <w:pStyle w:val="ListParagraph"/>
        <w:tabs>
          <w:tab w:val="left" w:pos="720"/>
        </w:tabs>
        <w:rPr>
          <w:lang w:val="es-CO"/>
        </w:rPr>
      </w:pPr>
    </w:p>
    <w:p w:rsidR="0046072D" w:rsidRDefault="00012990" w:rsidP="00B54921">
      <w:pPr>
        <w:pStyle w:val="parrafos"/>
        <w:numPr>
          <w:ilvl w:val="0"/>
          <w:numId w:val="56"/>
        </w:numPr>
        <w:tabs>
          <w:tab w:val="left" w:pos="720"/>
        </w:tabs>
        <w:ind w:left="0" w:firstLine="0"/>
        <w:rPr>
          <w:lang w:val="es-CO"/>
        </w:rPr>
      </w:pPr>
      <w:r>
        <w:rPr>
          <w:lang w:val="es-CO"/>
        </w:rPr>
        <w:t>L</w:t>
      </w:r>
      <w:r w:rsidR="008914CC">
        <w:rPr>
          <w:lang w:val="es-CO"/>
        </w:rPr>
        <w:t>a CIDH des</w:t>
      </w:r>
      <w:r w:rsidR="00673575">
        <w:rPr>
          <w:lang w:val="es-CO"/>
        </w:rPr>
        <w:t>taca que del total de 93</w:t>
      </w:r>
      <w:r w:rsidR="008914CC">
        <w:rPr>
          <w:lang w:val="es-CO"/>
        </w:rPr>
        <w:t xml:space="preserve"> presuntas víctimas, 28 fueron recontratadas, </w:t>
      </w:r>
      <w:r w:rsidR="00893243">
        <w:rPr>
          <w:lang w:val="es-CO"/>
        </w:rPr>
        <w:t xml:space="preserve">y </w:t>
      </w:r>
      <w:r w:rsidR="008914CC">
        <w:rPr>
          <w:lang w:val="es-CO"/>
        </w:rPr>
        <w:t xml:space="preserve">65 no lo fueron, pese a que </w:t>
      </w:r>
      <w:r w:rsidR="00450207">
        <w:rPr>
          <w:lang w:val="es-CO"/>
        </w:rPr>
        <w:t xml:space="preserve">su destitución tuvo lugar en un procedimiento sin garantías de debido proceso. </w:t>
      </w:r>
      <w:r w:rsidR="0046072D">
        <w:rPr>
          <w:lang w:val="es-CO"/>
        </w:rPr>
        <w:t>La Comisión considera que el argumento conforme al cual no era necesario un procedimiento previo con las gar</w:t>
      </w:r>
      <w:r w:rsidR="001B5A6C">
        <w:rPr>
          <w:lang w:val="es-CO"/>
        </w:rPr>
        <w:t xml:space="preserve">antías del debido </w:t>
      </w:r>
      <w:r w:rsidR="001B5A6C" w:rsidRPr="00204B65">
        <w:rPr>
          <w:lang w:val="es-CO"/>
        </w:rPr>
        <w:t xml:space="preserve">proceso tomando en cuenta </w:t>
      </w:r>
      <w:r w:rsidR="0046072D" w:rsidRPr="00204B65">
        <w:rPr>
          <w:lang w:val="es-CO"/>
        </w:rPr>
        <w:t>que la causal de destitución estaba ya prevista en la normativa aplicable y era consecuencia directa de la declaratoria de ilegitimidad de la huelga, no es motivo para privar a las víctimas de su posibilidad de defenderse sobre si se encontraban inmersos en la referida causal y si la misma debía comportar o no una sanción. Esto resulta aún más evidente, tomando en cuenta que la imposición de la san</w:t>
      </w:r>
      <w:r w:rsidR="001B5A6C" w:rsidRPr="00204B65">
        <w:rPr>
          <w:lang w:val="es-CO"/>
        </w:rPr>
        <w:t>ción no era obligatoria conforme</w:t>
      </w:r>
      <w:r w:rsidR="0046072D" w:rsidRPr="00204B65">
        <w:rPr>
          <w:lang w:val="es-CO"/>
        </w:rPr>
        <w:t xml:space="preserve"> a la normativa aplicable, sino que se trataba de una facultad que, con mayor razón, debió ser analizada en el marco de un proceso con las debidas garantías en los términos expresados.</w:t>
      </w:r>
      <w:r w:rsidR="0046072D">
        <w:rPr>
          <w:lang w:val="es-CO"/>
        </w:rPr>
        <w:t xml:space="preserve"> </w:t>
      </w:r>
    </w:p>
    <w:p w:rsidR="0046072D" w:rsidRDefault="0046072D" w:rsidP="00204B65">
      <w:pPr>
        <w:pStyle w:val="ListParagraph"/>
        <w:rPr>
          <w:lang w:val="es-CO"/>
        </w:rPr>
      </w:pPr>
    </w:p>
    <w:p w:rsidR="0000255A" w:rsidRPr="00130FA6" w:rsidRDefault="008914CC" w:rsidP="00B54921">
      <w:pPr>
        <w:pStyle w:val="parrafos"/>
        <w:numPr>
          <w:ilvl w:val="0"/>
          <w:numId w:val="56"/>
        </w:numPr>
        <w:tabs>
          <w:tab w:val="left" w:pos="720"/>
        </w:tabs>
        <w:ind w:left="0" w:firstLine="0"/>
        <w:rPr>
          <w:lang w:val="es-CO"/>
        </w:rPr>
      </w:pPr>
      <w:r w:rsidRPr="00450207">
        <w:rPr>
          <w:lang w:val="es-CO"/>
        </w:rPr>
        <w:t>En virtud de lo expresado, la Comisi</w:t>
      </w:r>
      <w:r w:rsidR="0000255A">
        <w:rPr>
          <w:lang w:val="es-CO"/>
        </w:rPr>
        <w:t xml:space="preserve">ón concluye </w:t>
      </w:r>
      <w:r w:rsidR="0000255A" w:rsidRPr="0000255A">
        <w:rPr>
          <w:rFonts w:cs="Verdana"/>
          <w:lang w:val="es-UY"/>
        </w:rPr>
        <w:t>que el Estado violó el derecho a ser oído así como el derecho de defensa establecidos en los artículos 8.1 y 8.2 b) y c) de la Convención Americana, en relación con las obligaciones establecidas en el artículo 1.1 del mism</w:t>
      </w:r>
      <w:r w:rsidR="0000255A">
        <w:rPr>
          <w:rFonts w:cs="Verdana"/>
          <w:lang w:val="es-UY"/>
        </w:rPr>
        <w:t>o instrumento, en perjuicio de los 65 trabajadores del Organismo Judicial que fuero</w:t>
      </w:r>
      <w:r w:rsidR="00E515E1">
        <w:rPr>
          <w:rFonts w:cs="Verdana"/>
          <w:lang w:val="es-UY"/>
        </w:rPr>
        <w:t xml:space="preserve">n destituidos de sus cargos y que no fueron recontratados con posterioridad. </w:t>
      </w:r>
    </w:p>
    <w:p w:rsidR="00130FA6" w:rsidRDefault="00130FA6" w:rsidP="00130FA6">
      <w:pPr>
        <w:pStyle w:val="ListParagraph"/>
        <w:rPr>
          <w:lang w:val="es-CO"/>
        </w:rPr>
      </w:pPr>
    </w:p>
    <w:p w:rsidR="00130FA6" w:rsidRPr="0000255A" w:rsidRDefault="00130FA6" w:rsidP="00B54921">
      <w:pPr>
        <w:pStyle w:val="parrafos"/>
        <w:numPr>
          <w:ilvl w:val="0"/>
          <w:numId w:val="56"/>
        </w:numPr>
        <w:tabs>
          <w:tab w:val="left" w:pos="720"/>
        </w:tabs>
        <w:ind w:left="0" w:firstLine="0"/>
        <w:rPr>
          <w:lang w:val="es-CO"/>
        </w:rPr>
      </w:pPr>
      <w:r>
        <w:rPr>
          <w:lang w:val="es-CO"/>
        </w:rPr>
        <w:t>En cuanto al alegato sobre falt</w:t>
      </w:r>
      <w:r w:rsidR="00C31AC4">
        <w:rPr>
          <w:lang w:val="es-CO"/>
        </w:rPr>
        <w:t>a de independencia e imparcialidad de la Corte Suprema de Justicia para conocer del conflicto, la Comisión observa que si bien era una parte claramente interesada en el resultado del proceso, en su calidad de empleadora, las razones por las cuales dicho Tribunal denegó el recurso de apelación tuvieron que ver con que dicho recurso no procedía contra el acto recurrido. En consecuencia, la Comisión entiende que conforme a la propia normativa interna, la Corte Suprema de Justicia no estaba llamada a pronunciarse sustantivamente sobre el conflicto</w:t>
      </w:r>
      <w:r w:rsidR="00892E4F">
        <w:rPr>
          <w:lang w:val="es-CO"/>
        </w:rPr>
        <w:t xml:space="preserve"> y, por lo tanto, no encuentra que la intervención de la misma, en las circunstancias del caso, hubiera constituido una afectación a los principios de independencia e imparcialidad. </w:t>
      </w:r>
    </w:p>
    <w:p w:rsidR="00FD0030" w:rsidRPr="00FD0030" w:rsidRDefault="00FD0030" w:rsidP="00B54921">
      <w:pPr>
        <w:tabs>
          <w:tab w:val="left" w:pos="720"/>
        </w:tabs>
        <w:rPr>
          <w:lang w:val="es-CO" w:eastAsia="es-ES"/>
        </w:rPr>
      </w:pPr>
    </w:p>
    <w:p w:rsidR="008B1405" w:rsidRDefault="005D34E0"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pPr>
      <w:bookmarkStart w:id="22" w:name="_Toc14884448"/>
      <w:r>
        <w:t>El derecho de huelga</w:t>
      </w:r>
      <w:r>
        <w:rPr>
          <w:rStyle w:val="FootnoteReference"/>
        </w:rPr>
        <w:footnoteReference w:id="53"/>
      </w:r>
      <w:bookmarkEnd w:id="22"/>
      <w:r>
        <w:t xml:space="preserve"> </w:t>
      </w:r>
      <w:r w:rsidR="004B282B">
        <w:t>y el derecho al trabajo</w:t>
      </w:r>
    </w:p>
    <w:p w:rsidR="00A97927" w:rsidRPr="00A97927" w:rsidRDefault="00A97927" w:rsidP="00B54921">
      <w:pPr>
        <w:tabs>
          <w:tab w:val="left" w:pos="720"/>
        </w:tabs>
        <w:rPr>
          <w:lang w:val="es-ES_tradnl"/>
        </w:rPr>
      </w:pPr>
    </w:p>
    <w:p w:rsidR="0025752E" w:rsidRPr="00D10578" w:rsidRDefault="00BE0B86" w:rsidP="00B54921">
      <w:pPr>
        <w:pStyle w:val="parrafos"/>
        <w:numPr>
          <w:ilvl w:val="0"/>
          <w:numId w:val="56"/>
        </w:numPr>
        <w:tabs>
          <w:tab w:val="left" w:pos="720"/>
        </w:tabs>
        <w:ind w:left="0" w:firstLine="0"/>
        <w:rPr>
          <w:lang w:val="es-ES"/>
        </w:rPr>
      </w:pPr>
      <w:r w:rsidRPr="00BE0B86">
        <w:rPr>
          <w:lang w:val="es-CO"/>
        </w:rPr>
        <w:t>El artículo 26 de la Convención Americana establece una oblig</w:t>
      </w:r>
      <w:r w:rsidR="00893243">
        <w:rPr>
          <w:lang w:val="es-CO"/>
        </w:rPr>
        <w:t xml:space="preserve">ación de los Estados partes, de </w:t>
      </w:r>
      <w:r w:rsidRPr="00BE0B86">
        <w:rPr>
          <w:lang w:val="es-ES" w:eastAsia="es-ES"/>
        </w:rPr>
        <w:t>procurar</w:t>
      </w:r>
      <w:r w:rsidR="00893243">
        <w:rPr>
          <w:lang w:val="es-CO"/>
        </w:rPr>
        <w:t xml:space="preserve"> </w:t>
      </w:r>
      <w:r w:rsidRPr="00BE0B86">
        <w:rPr>
          <w:lang w:val="es-CO"/>
        </w:rPr>
        <w:t>el desarrollo progresivo de los der</w:t>
      </w:r>
      <w:r w:rsidR="00893243">
        <w:rPr>
          <w:lang w:val="es-CO"/>
        </w:rPr>
        <w:t xml:space="preserve">echos que dicha norma contiene. </w:t>
      </w:r>
      <w:r w:rsidRPr="00BE0B86">
        <w:rPr>
          <w:lang w:val="es-CO"/>
        </w:rPr>
        <w:t xml:space="preserve">Ambos órganos del sistema </w:t>
      </w:r>
      <w:r w:rsidRPr="0025752E">
        <w:rPr>
          <w:lang w:val="es-ES_tradnl"/>
        </w:rPr>
        <w:t>interamericano</w:t>
      </w:r>
      <w:r w:rsidRPr="00BE0B86">
        <w:rPr>
          <w:lang w:val="es-CO"/>
        </w:rPr>
        <w:t xml:space="preserve"> </w:t>
      </w:r>
      <w:r w:rsidRPr="00BE0B86">
        <w:rPr>
          <w:rFonts w:cs="Arial"/>
          <w:snapToGrid w:val="0"/>
          <w:lang w:val="es-CO"/>
        </w:rPr>
        <w:t xml:space="preserve">han reafirmado su competencia para pronunciarse sobre posibles violaciones del artículo 26 </w:t>
      </w:r>
      <w:r w:rsidRPr="00BE0B86">
        <w:rPr>
          <w:rFonts w:eastAsia="Batang"/>
          <w:bdr w:val="none" w:sz="0" w:space="0" w:color="auto" w:frame="1"/>
          <w:lang w:val="es-UY"/>
        </w:rPr>
        <w:t>de</w:t>
      </w:r>
      <w:r w:rsidRPr="00BE0B86">
        <w:rPr>
          <w:rFonts w:cs="Arial"/>
          <w:snapToGrid w:val="0"/>
          <w:lang w:val="es-CO"/>
        </w:rPr>
        <w:t xml:space="preserve"> la Convención Americana en el marco del sistema de peticiones y casos individuales</w:t>
      </w:r>
      <w:r w:rsidRPr="00BE0B86">
        <w:rPr>
          <w:rFonts w:cs="Arial"/>
          <w:i/>
          <w:snapToGrid w:val="0"/>
          <w:lang w:val="es-CO"/>
        </w:rPr>
        <w:t xml:space="preserve">. </w:t>
      </w:r>
      <w:r w:rsidRPr="00BE0B86">
        <w:rPr>
          <w:bdr w:val="none" w:sz="0" w:space="0" w:color="auto" w:frame="1"/>
          <w:lang w:val="es-MX"/>
        </w:rPr>
        <w:t xml:space="preserve">En sus pronunciamientos sobre la materia, la Corte ha enfatizado la </w:t>
      </w:r>
      <w:r w:rsidRPr="00BE0B86">
        <w:rPr>
          <w:rFonts w:cs="Arial"/>
          <w:snapToGrid w:val="0"/>
          <w:bdr w:val="none" w:sz="0" w:space="0" w:color="auto" w:frame="1"/>
          <w:lang w:val="es-CO"/>
        </w:rPr>
        <w:t>interdependencia e indivisibilidad de los derechos económicos, sociales y culturales respecto de los derechos civiles y políticos</w:t>
      </w:r>
      <w:r w:rsidRPr="00BE0B86">
        <w:rPr>
          <w:rStyle w:val="FootnoteReference"/>
          <w:rFonts w:cs="Arial"/>
          <w:snapToGrid w:val="0"/>
          <w:bdr w:val="none" w:sz="0" w:space="0" w:color="auto" w:frame="1"/>
          <w:lang w:val="es-CO"/>
        </w:rPr>
        <w:footnoteReference w:id="54"/>
      </w:r>
      <w:r w:rsidRPr="00BE0B86">
        <w:rPr>
          <w:rFonts w:cs="Arial"/>
          <w:snapToGrid w:val="0"/>
          <w:bdr w:val="none" w:sz="0" w:space="0" w:color="auto" w:frame="1"/>
          <w:lang w:val="es-CO"/>
        </w:rPr>
        <w:t>.</w:t>
      </w:r>
    </w:p>
    <w:p w:rsidR="00D10578" w:rsidRDefault="00D10578" w:rsidP="00D10578">
      <w:pPr>
        <w:pStyle w:val="parrafos"/>
        <w:tabs>
          <w:tab w:val="left" w:pos="720"/>
        </w:tabs>
        <w:rPr>
          <w:lang w:val="es-ES"/>
        </w:rPr>
      </w:pPr>
    </w:p>
    <w:p w:rsidR="00D10578" w:rsidRPr="0025752E" w:rsidRDefault="00C35054" w:rsidP="00C35054">
      <w:pPr>
        <w:pStyle w:val="parrafos"/>
        <w:numPr>
          <w:ilvl w:val="0"/>
          <w:numId w:val="56"/>
        </w:numPr>
        <w:tabs>
          <w:tab w:val="left" w:pos="720"/>
        </w:tabs>
        <w:ind w:left="0" w:firstLine="0"/>
        <w:rPr>
          <w:lang w:val="es-ES"/>
        </w:rPr>
      </w:pPr>
      <w:r>
        <w:rPr>
          <w:lang w:val="es-PE"/>
        </w:rPr>
        <w:lastRenderedPageBreak/>
        <w:t>L</w:t>
      </w:r>
      <w:r w:rsidR="00673575">
        <w:rPr>
          <w:lang w:val="es-PE"/>
        </w:rPr>
        <w:t>a</w:t>
      </w:r>
      <w:r w:rsidRPr="0025752E">
        <w:rPr>
          <w:lang w:val="es-PE"/>
        </w:rPr>
        <w:t xml:space="preserve"> Comisión empieza destacando que </w:t>
      </w:r>
      <w:r w:rsidRPr="0025752E">
        <w:rPr>
          <w:lang w:val="es-ES"/>
        </w:rPr>
        <w:t>el derecho a la huelga se encuentra protegido por el artículo 26 de la CADH en tanto que el artículo 45 inciso c) de la Carta de la OEA lo incorpora de manera expresa al establecer que: “</w:t>
      </w:r>
      <w:r w:rsidRPr="0025752E">
        <w:rPr>
          <w:rFonts w:cs="Tahoma"/>
          <w:shd w:val="clear" w:color="auto" w:fill="FFFFFF"/>
          <w:lang w:val="es-PE"/>
        </w:rPr>
        <w:t>Los empleadores y los trabajadores, tanto rurales como urbanos, tienen el derecho de asociarse libremente para la defensa y promoción de sus intereses, incluyendo el derecho de negociación colectiva y el de huelga por parte de los trabajadores</w:t>
      </w:r>
      <w:r w:rsidRPr="0025752E">
        <w:rPr>
          <w:lang w:val="es-ES"/>
        </w:rPr>
        <w:t>”</w:t>
      </w:r>
      <w:r>
        <w:rPr>
          <w:rStyle w:val="FootnoteReference"/>
          <w:lang w:val="es-ES_tradnl" w:eastAsia="es-ES"/>
        </w:rPr>
        <w:footnoteReference w:id="55"/>
      </w:r>
      <w:r w:rsidRPr="0025752E">
        <w:rPr>
          <w:lang w:val="es-ES"/>
        </w:rPr>
        <w:t>.</w:t>
      </w:r>
    </w:p>
    <w:p w:rsidR="0025752E" w:rsidRPr="0025752E" w:rsidRDefault="0025752E" w:rsidP="00B54921">
      <w:pPr>
        <w:pStyle w:val="parrafos"/>
        <w:tabs>
          <w:tab w:val="left" w:pos="720"/>
        </w:tabs>
        <w:rPr>
          <w:lang w:val="es-ES"/>
        </w:rPr>
      </w:pPr>
    </w:p>
    <w:p w:rsidR="0025752E" w:rsidRPr="0025752E" w:rsidRDefault="006E3921" w:rsidP="00B54921">
      <w:pPr>
        <w:pStyle w:val="parrafos"/>
        <w:numPr>
          <w:ilvl w:val="0"/>
          <w:numId w:val="56"/>
        </w:numPr>
        <w:tabs>
          <w:tab w:val="left" w:pos="720"/>
        </w:tabs>
        <w:ind w:left="0" w:firstLine="0"/>
        <w:rPr>
          <w:lang w:val="es-ES"/>
        </w:rPr>
      </w:pPr>
      <w:r w:rsidRPr="0025752E">
        <w:rPr>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w:t>
      </w:r>
      <w:r w:rsidRPr="0025752E">
        <w:rPr>
          <w:lang w:val="es-PE"/>
        </w:rPr>
        <w:t>alcance</w:t>
      </w:r>
      <w:r w:rsidRPr="0025752E">
        <w:rPr>
          <w:lang w:val="es-MX"/>
        </w:rPr>
        <w:t xml:space="preserve"> de las obligaciones exigibles al Estado bajo los artículos 1.1, 2 y 26 de la Convención, así como los contenidos del derecho de que se trate</w:t>
      </w:r>
      <w:r w:rsidRPr="006E3921">
        <w:rPr>
          <w:rStyle w:val="FootnoteReference"/>
          <w:lang w:val="es-MX"/>
        </w:rPr>
        <w:footnoteReference w:id="56"/>
      </w:r>
      <w:r w:rsidRPr="0025752E">
        <w:rPr>
          <w:lang w:val="es-MX"/>
        </w:rPr>
        <w:t>.</w:t>
      </w:r>
    </w:p>
    <w:p w:rsidR="0025752E" w:rsidRDefault="0025752E" w:rsidP="00B54921">
      <w:pPr>
        <w:pStyle w:val="ListParagraph"/>
        <w:tabs>
          <w:tab w:val="left" w:pos="720"/>
        </w:tabs>
        <w:rPr>
          <w:rFonts w:cs="Arial"/>
          <w:snapToGrid w:val="0"/>
          <w:lang w:val="es-CO"/>
        </w:rPr>
      </w:pPr>
    </w:p>
    <w:p w:rsidR="0025752E" w:rsidRPr="00673575" w:rsidRDefault="006E3921" w:rsidP="00673575">
      <w:pPr>
        <w:pStyle w:val="parrafos"/>
        <w:numPr>
          <w:ilvl w:val="0"/>
          <w:numId w:val="56"/>
        </w:numPr>
        <w:tabs>
          <w:tab w:val="left" w:pos="720"/>
        </w:tabs>
        <w:ind w:left="0" w:firstLine="0"/>
        <w:rPr>
          <w:lang w:val="es-ES"/>
        </w:rPr>
      </w:pPr>
      <w:r w:rsidRPr="0025752E">
        <w:rPr>
          <w:rFonts w:cs="Arial"/>
          <w:snapToGrid w:val="0"/>
          <w:lang w:val="es-CO"/>
        </w:rPr>
        <w:t xml:space="preserve">La Comisión ha indicado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exigibles de manera inmediata: i) obligaciones generales de respeto y garantía, ii) aplicación del principio de no discriminación a los derechos económicos, sociales y culturales, iii) obligaciones de dar pasos o adoptar medidas para </w:t>
      </w:r>
      <w:r w:rsidRPr="0025752E">
        <w:rPr>
          <w:rFonts w:cs="Helvetica"/>
          <w:lang w:val="es-CO" w:bidi="en-US"/>
        </w:rPr>
        <w:t>lograr</w:t>
      </w:r>
      <w:r w:rsidRPr="0025752E">
        <w:rPr>
          <w:rFonts w:cs="Arial"/>
          <w:snapToGrid w:val="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r w:rsidRPr="006E3921">
        <w:rPr>
          <w:rStyle w:val="FootnoteReference"/>
          <w:rFonts w:cs="Arial"/>
          <w:snapToGrid w:val="0"/>
          <w:lang w:val="es-CO"/>
        </w:rPr>
        <w:footnoteReference w:id="57"/>
      </w:r>
      <w:r w:rsidRPr="0025752E">
        <w:rPr>
          <w:rFonts w:cs="Arial"/>
          <w:snapToGrid w:val="0"/>
          <w:lang w:val="es-CO"/>
        </w:rPr>
        <w:t>. Además, e</w:t>
      </w:r>
      <w:r w:rsidRPr="0025752E">
        <w:rPr>
          <w:rFonts w:cs="Arial"/>
          <w:shd w:val="clear" w:color="auto" w:fill="FFFFFF"/>
          <w:lang w:val="es-PE"/>
        </w:rPr>
        <w:t xml:space="preserve">l Estado tiene obligaciones básicas que deben satisfacer niveles esenciales de tales derechos, las cuales no están sujetas al desarrollo </w:t>
      </w:r>
      <w:r w:rsidRPr="0025752E">
        <w:rPr>
          <w:lang w:val="es-ES"/>
        </w:rPr>
        <w:t>progresivo</w:t>
      </w:r>
      <w:r w:rsidRPr="0025752E">
        <w:rPr>
          <w:rFonts w:cs="Arial"/>
          <w:shd w:val="clear" w:color="auto" w:fill="FFFFFF"/>
          <w:lang w:val="es-PE"/>
        </w:rPr>
        <w:t xml:space="preserve"> sino que son de carácter inmediato</w:t>
      </w:r>
      <w:r w:rsidRPr="006E3921">
        <w:rPr>
          <w:rStyle w:val="FootnoteReference"/>
          <w:rFonts w:cs="Arial"/>
          <w:snapToGrid w:val="0"/>
          <w:lang w:val="es-CO"/>
        </w:rPr>
        <w:footnoteReference w:id="58"/>
      </w:r>
      <w:r w:rsidRPr="0025752E">
        <w:rPr>
          <w:rFonts w:cs="Arial"/>
          <w:shd w:val="clear" w:color="auto" w:fill="FFFFFF"/>
          <w:lang w:val="es-PE"/>
        </w:rPr>
        <w:t>.</w:t>
      </w:r>
    </w:p>
    <w:p w:rsidR="0025752E" w:rsidRDefault="0025752E" w:rsidP="00B54921">
      <w:pPr>
        <w:pStyle w:val="parrafos"/>
        <w:tabs>
          <w:tab w:val="left" w:pos="720"/>
        </w:tabs>
        <w:rPr>
          <w:lang w:val="es-ES"/>
        </w:rPr>
      </w:pPr>
    </w:p>
    <w:p w:rsidR="0025752E" w:rsidRDefault="00F85317" w:rsidP="00B54921">
      <w:pPr>
        <w:pStyle w:val="parrafos"/>
        <w:numPr>
          <w:ilvl w:val="0"/>
          <w:numId w:val="56"/>
        </w:numPr>
        <w:tabs>
          <w:tab w:val="left" w:pos="720"/>
        </w:tabs>
        <w:ind w:left="0" w:firstLine="0"/>
        <w:rPr>
          <w:lang w:val="es-ES"/>
        </w:rPr>
      </w:pPr>
      <w:r w:rsidRPr="0025752E">
        <w:rPr>
          <w:lang w:val="es-ES"/>
        </w:rPr>
        <w:t>Más allá de la referencia directa del derecho de huelga por parte de la Carta de la OEA, la CIDH estima que corresponde tomar en cuenta las fuentes, principios y criterios del derecho inter</w:t>
      </w:r>
      <w:r w:rsidR="002B2728">
        <w:rPr>
          <w:lang w:val="es-ES"/>
        </w:rPr>
        <w:t xml:space="preserve">nacional para fijar el alcance </w:t>
      </w:r>
      <w:r w:rsidRPr="0025752E">
        <w:rPr>
          <w:lang w:val="es-ES"/>
        </w:rPr>
        <w:t>y contenido de dicho derecho, tomando en cuenta el artículo 29 de la Convención Americana, el cual hace referencia expresa a las normas del derecho internacional general para su interpretación y aplicación</w:t>
      </w:r>
      <w:r>
        <w:rPr>
          <w:rStyle w:val="FootnoteReference"/>
          <w:lang w:val="es-ES"/>
        </w:rPr>
        <w:footnoteReference w:id="59"/>
      </w:r>
      <w:r w:rsidR="002B2728">
        <w:rPr>
          <w:lang w:val="es-ES"/>
        </w:rPr>
        <w:t>.</w:t>
      </w:r>
    </w:p>
    <w:p w:rsidR="0025752E" w:rsidRDefault="0025752E" w:rsidP="00B54921">
      <w:pPr>
        <w:pStyle w:val="ListParagraph"/>
        <w:tabs>
          <w:tab w:val="left" w:pos="720"/>
        </w:tabs>
        <w:rPr>
          <w:lang w:val="es-ES_tradnl"/>
        </w:rPr>
      </w:pPr>
    </w:p>
    <w:p w:rsidR="0025752E" w:rsidRPr="0025752E" w:rsidRDefault="005A7599" w:rsidP="00B54921">
      <w:pPr>
        <w:pStyle w:val="parrafos"/>
        <w:numPr>
          <w:ilvl w:val="0"/>
          <w:numId w:val="56"/>
        </w:numPr>
        <w:tabs>
          <w:tab w:val="left" w:pos="720"/>
        </w:tabs>
        <w:ind w:left="0" w:firstLine="0"/>
        <w:rPr>
          <w:lang w:val="es-ES"/>
        </w:rPr>
      </w:pPr>
      <w:r w:rsidRPr="0025752E">
        <w:rPr>
          <w:lang w:val="es-ES_tradnl"/>
        </w:rPr>
        <w:t>Al respecto, e</w:t>
      </w:r>
      <w:r w:rsidR="004F3556" w:rsidRPr="0025752E">
        <w:rPr>
          <w:lang w:val="es-ES_tradnl"/>
        </w:rPr>
        <w:t xml:space="preserve">l </w:t>
      </w:r>
      <w:proofErr w:type="spellStart"/>
      <w:r w:rsidR="004F3556" w:rsidRPr="0025752E">
        <w:rPr>
          <w:lang w:val="es-ES_tradnl"/>
        </w:rPr>
        <w:t>Comit</w:t>
      </w:r>
      <w:proofErr w:type="spellEnd"/>
      <w:r w:rsidR="004F3556" w:rsidRPr="0025752E">
        <w:t>é de Libertad Sindical</w:t>
      </w:r>
      <w:r w:rsidRPr="0025752E">
        <w:t xml:space="preserve"> de la OIT</w:t>
      </w:r>
      <w:r w:rsidR="004F3556" w:rsidRPr="0025752E">
        <w:t xml:space="preserve"> ha indicado que “el derecho de huelga constituye uno de los medios legítimos esenciales de que disponen los trabajadores y sus organizaciones para promover y defender sus intereses profesionales. El derecho de huelga solo puede restringirse o prohibirse en los siguientes casos: 1) en la función pública sólo en el caso de funcionarios que ejercen funciones de autoridad en nombre del Estado; 2) en los servicios esenciales en el sentido estricto del término (es decir aquellos servicios cuya interrupción podría poner en peligro la vida, la seguridad o la salud de la persona en toda o parte de la población); o 3) en una situación de crisis nac</w:t>
      </w:r>
      <w:r w:rsidR="003A0FF7">
        <w:t xml:space="preserve">ional aguda y por una duración </w:t>
      </w:r>
      <w:r w:rsidR="004F3556" w:rsidRPr="0025752E">
        <w:t>limitada”</w:t>
      </w:r>
      <w:r w:rsidR="004F3556">
        <w:rPr>
          <w:rStyle w:val="FootnoteReference"/>
        </w:rPr>
        <w:footnoteReference w:id="60"/>
      </w:r>
      <w:r w:rsidR="004F3556" w:rsidRPr="0025752E">
        <w:t xml:space="preserve">. </w:t>
      </w:r>
    </w:p>
    <w:p w:rsidR="0025752E" w:rsidRDefault="0025752E" w:rsidP="00B54921">
      <w:pPr>
        <w:pStyle w:val="ListParagraph"/>
        <w:tabs>
          <w:tab w:val="left" w:pos="720"/>
        </w:tabs>
        <w:rPr>
          <w:lang w:val="es-ES"/>
        </w:rPr>
      </w:pPr>
    </w:p>
    <w:p w:rsidR="0025752E" w:rsidRPr="00A55ABA" w:rsidRDefault="00B5109A" w:rsidP="00B54921">
      <w:pPr>
        <w:pStyle w:val="parrafos"/>
        <w:numPr>
          <w:ilvl w:val="0"/>
          <w:numId w:val="56"/>
        </w:numPr>
        <w:tabs>
          <w:tab w:val="left" w:pos="720"/>
        </w:tabs>
        <w:ind w:left="0" w:firstLine="0"/>
        <w:rPr>
          <w:lang w:val="es-ES"/>
        </w:rPr>
      </w:pPr>
      <w:r w:rsidRPr="00204B65">
        <w:rPr>
          <w:lang w:val="es-ES"/>
        </w:rPr>
        <w:t xml:space="preserve">Por su parte, </w:t>
      </w:r>
      <w:r w:rsidR="00901747" w:rsidRPr="00204B65">
        <w:rPr>
          <w:lang w:val="es-ES"/>
        </w:rPr>
        <w:t>la Comisión</w:t>
      </w:r>
      <w:r w:rsidR="001428BB" w:rsidRPr="00204B65">
        <w:rPr>
          <w:lang w:val="es-ES"/>
        </w:rPr>
        <w:t xml:space="preserve"> de Expertos</w:t>
      </w:r>
      <w:r w:rsidR="003B6BB2" w:rsidRPr="00204B65">
        <w:rPr>
          <w:lang w:val="es-ES"/>
        </w:rPr>
        <w:t xml:space="preserve"> de la OIT</w:t>
      </w:r>
      <w:r w:rsidR="001428BB" w:rsidRPr="0025752E">
        <w:rPr>
          <w:lang w:val="es-ES"/>
        </w:rPr>
        <w:t xml:space="preserve"> </w:t>
      </w:r>
      <w:r w:rsidR="0093421E" w:rsidRPr="0025752E">
        <w:rPr>
          <w:lang w:val="es-ES"/>
        </w:rPr>
        <w:t>ha expresado que</w:t>
      </w:r>
      <w:r w:rsidR="00901747" w:rsidRPr="0025752E">
        <w:rPr>
          <w:lang w:val="es-ES"/>
        </w:rPr>
        <w:t xml:space="preserve"> la huelga es un derecho fundamental del que disponen los trabajadores y sus organizaciones para defender sus intereses</w:t>
      </w:r>
      <w:r w:rsidR="005E3547" w:rsidRPr="0025752E">
        <w:rPr>
          <w:lang w:val="es-ES"/>
        </w:rPr>
        <w:t>. No es un fin en sí mismo sino el último recurso de que disponen las organizaciones de trabajadores, ya que sus consecuencias son graves no sólo para los empleadores sino también para los trabajadores, sus familia</w:t>
      </w:r>
      <w:r w:rsidR="004B0707">
        <w:rPr>
          <w:lang w:val="es-ES"/>
        </w:rPr>
        <w:t>s y las propias organizaciones. D</w:t>
      </w:r>
      <w:r w:rsidR="005E3547" w:rsidRPr="0025752E">
        <w:rPr>
          <w:lang w:val="es-ES"/>
        </w:rPr>
        <w:t xml:space="preserve">icho </w:t>
      </w:r>
      <w:r w:rsidR="005E3547" w:rsidRPr="0025752E">
        <w:rPr>
          <w:lang w:val="es-ES"/>
        </w:rPr>
        <w:lastRenderedPageBreak/>
        <w:t>derecho deriva de los artículos 3 y 10 del Convenio</w:t>
      </w:r>
      <w:r w:rsidR="0093421E" w:rsidRPr="0025752E">
        <w:rPr>
          <w:lang w:val="es-ES"/>
        </w:rPr>
        <w:t xml:space="preserve"> núm. 87</w:t>
      </w:r>
      <w:r w:rsidR="005E3547" w:rsidRPr="0025752E">
        <w:rPr>
          <w:lang w:val="es-ES"/>
        </w:rPr>
        <w:t xml:space="preserve"> de la OIT.</w:t>
      </w:r>
      <w:r w:rsidR="005B4ED6" w:rsidRPr="0025752E">
        <w:rPr>
          <w:lang w:val="es-ES"/>
        </w:rPr>
        <w:t xml:space="preserve"> Igualmente, ha expresado que si la legislación nacional prohíbe las huelgas durante la vigencia de los convenios colectivos, esta restricción habrá de compensarse con el derecho de recurrir a un procedimiento de arbitraje imparcial y rápido para el examen de las quejas individuales o colectivas sobre la interpretación o aplicación de los convenios colectivos</w:t>
      </w:r>
      <w:r w:rsidR="005B4ED6">
        <w:rPr>
          <w:rStyle w:val="FootnoteReference"/>
          <w:lang w:val="es-ES"/>
        </w:rPr>
        <w:footnoteReference w:id="61"/>
      </w:r>
      <w:r w:rsidR="005B4ED6" w:rsidRPr="0025752E">
        <w:rPr>
          <w:lang w:val="es-ES"/>
        </w:rPr>
        <w:t>.</w:t>
      </w:r>
      <w:r w:rsidR="005B4ED6" w:rsidRPr="0025752E">
        <w:rPr>
          <w:lang w:val="es-ES_tradnl" w:eastAsia="es-ES"/>
        </w:rPr>
        <w:t xml:space="preserve"> </w:t>
      </w:r>
    </w:p>
    <w:p w:rsidR="00A55ABA" w:rsidRPr="00A55ABA" w:rsidRDefault="00A55ABA" w:rsidP="00B54921">
      <w:pPr>
        <w:pStyle w:val="parrafos"/>
        <w:tabs>
          <w:tab w:val="left" w:pos="720"/>
        </w:tabs>
        <w:rPr>
          <w:lang w:val="es-ES"/>
        </w:rPr>
      </w:pPr>
    </w:p>
    <w:p w:rsidR="0025752E" w:rsidRDefault="005A7599" w:rsidP="00B54921">
      <w:pPr>
        <w:pStyle w:val="parrafos"/>
        <w:numPr>
          <w:ilvl w:val="0"/>
          <w:numId w:val="56"/>
        </w:numPr>
        <w:tabs>
          <w:tab w:val="left" w:pos="720"/>
        </w:tabs>
        <w:ind w:left="0" w:firstLine="0"/>
        <w:rPr>
          <w:lang w:val="es-ES"/>
        </w:rPr>
      </w:pPr>
      <w:r w:rsidRPr="0025752E">
        <w:rPr>
          <w:lang w:val="es-ES"/>
        </w:rPr>
        <w:t>Asimismo,</w:t>
      </w:r>
      <w:r w:rsidR="00FE436A" w:rsidRPr="0025752E">
        <w:rPr>
          <w:lang w:val="es-ES"/>
        </w:rPr>
        <w:t xml:space="preserve"> el Tribunal Europeo de Derechos Humanos en el c</w:t>
      </w:r>
      <w:r w:rsidR="008919C8" w:rsidRPr="0025752E">
        <w:rPr>
          <w:lang w:val="es-ES"/>
        </w:rPr>
        <w:t xml:space="preserve">aso </w:t>
      </w:r>
      <w:proofErr w:type="spellStart"/>
      <w:r w:rsidR="0033207F" w:rsidRPr="0025752E">
        <w:rPr>
          <w:lang w:val="es-ES"/>
        </w:rPr>
        <w:t>Ogvnevenko</w:t>
      </w:r>
      <w:proofErr w:type="spellEnd"/>
      <w:r w:rsidR="0033207F" w:rsidRPr="0025752E">
        <w:rPr>
          <w:lang w:val="es-ES"/>
        </w:rPr>
        <w:t xml:space="preserve"> contra Rusia reiteró que el derecho de huelga está protegido por el artículo 11 del Convenio Europeo que se refiere a libertad de reunión y de asociación, y refirió que dicho derecho no es absoluto y puede ser limitado a través de la legislación nacional. Expresó que dicho artículo no excluye a determinados grupos de su alcance y que las limitacione</w:t>
      </w:r>
      <w:r w:rsidR="002E28E3" w:rsidRPr="0025752E">
        <w:rPr>
          <w:lang w:val="es-ES"/>
        </w:rPr>
        <w:t>s al derecho de huelga deben estar fundadas en razones convincentes</w:t>
      </w:r>
      <w:r w:rsidR="002E28E3">
        <w:rPr>
          <w:rStyle w:val="FootnoteReference"/>
          <w:lang w:val="es-ES"/>
        </w:rPr>
        <w:footnoteReference w:id="62"/>
      </w:r>
      <w:r w:rsidR="002E28E3" w:rsidRPr="0025752E">
        <w:rPr>
          <w:lang w:val="es-ES"/>
        </w:rPr>
        <w:t xml:space="preserve">. </w:t>
      </w:r>
    </w:p>
    <w:p w:rsidR="00A55ABA" w:rsidRPr="00A55ABA" w:rsidRDefault="00A55ABA" w:rsidP="00B54921">
      <w:pPr>
        <w:pStyle w:val="parrafos"/>
        <w:tabs>
          <w:tab w:val="left" w:pos="720"/>
        </w:tabs>
        <w:rPr>
          <w:lang w:val="es-ES"/>
        </w:rPr>
      </w:pPr>
    </w:p>
    <w:p w:rsidR="009C722D" w:rsidRDefault="00F64514" w:rsidP="009C722D">
      <w:pPr>
        <w:pStyle w:val="parrafos"/>
        <w:numPr>
          <w:ilvl w:val="0"/>
          <w:numId w:val="56"/>
        </w:numPr>
        <w:tabs>
          <w:tab w:val="left" w:pos="720"/>
        </w:tabs>
        <w:ind w:left="0" w:firstLine="0"/>
        <w:rPr>
          <w:lang w:val="es-ES"/>
        </w:rPr>
      </w:pPr>
      <w:r w:rsidRPr="009C722D">
        <w:rPr>
          <w:lang w:val="es-ES"/>
        </w:rPr>
        <w:t xml:space="preserve">Igualmente, el Comité </w:t>
      </w:r>
      <w:r w:rsidR="00437159" w:rsidRPr="009C722D">
        <w:rPr>
          <w:lang w:val="es-ES"/>
        </w:rPr>
        <w:t>Europeo de Derechos Sociales ha reconocido el derecho de huelga de los trabajadores, y expresado que someter la posibilidad de huelga a aprobación</w:t>
      </w:r>
      <w:r w:rsidR="001F1125" w:rsidRPr="009C722D">
        <w:rPr>
          <w:lang w:val="es-ES"/>
        </w:rPr>
        <w:t xml:space="preserve"> previa</w:t>
      </w:r>
      <w:r w:rsidR="00437159" w:rsidRPr="009C722D">
        <w:rPr>
          <w:lang w:val="es-ES"/>
        </w:rPr>
        <w:t xml:space="preserve"> por determinado número de trabajadores es compatible con el artículo 6.4 de la Carta Social Europea siempre que el método de votaci</w:t>
      </w:r>
      <w:r w:rsidR="005A7599" w:rsidRPr="009C722D">
        <w:rPr>
          <w:lang w:val="es-ES"/>
        </w:rPr>
        <w:t>ón, quó</w:t>
      </w:r>
      <w:r w:rsidR="00437159" w:rsidRPr="009C722D">
        <w:rPr>
          <w:lang w:val="es-ES"/>
        </w:rPr>
        <w:t>rum y mayoría requerida no impongan limitaciones excesivas al derecho de huelga</w:t>
      </w:r>
      <w:r w:rsidR="00437159">
        <w:rPr>
          <w:rStyle w:val="FootnoteReference"/>
          <w:lang w:val="es-ES"/>
        </w:rPr>
        <w:footnoteReference w:id="63"/>
      </w:r>
      <w:r w:rsidR="00437159" w:rsidRPr="009C722D">
        <w:rPr>
          <w:lang w:val="es-ES"/>
        </w:rPr>
        <w:t xml:space="preserve">. </w:t>
      </w:r>
    </w:p>
    <w:p w:rsidR="009C722D" w:rsidRDefault="009C722D" w:rsidP="009C722D">
      <w:pPr>
        <w:pStyle w:val="ListParagraph"/>
        <w:rPr>
          <w:rFonts w:cstheme="minorHAnsi"/>
          <w:lang w:val="es-PE"/>
        </w:rPr>
      </w:pPr>
    </w:p>
    <w:p w:rsidR="009C722D" w:rsidRPr="00204B65" w:rsidRDefault="009C722D" w:rsidP="009C722D">
      <w:pPr>
        <w:pStyle w:val="parrafos"/>
        <w:numPr>
          <w:ilvl w:val="0"/>
          <w:numId w:val="56"/>
        </w:numPr>
        <w:tabs>
          <w:tab w:val="left" w:pos="720"/>
        </w:tabs>
        <w:ind w:left="0" w:firstLine="0"/>
        <w:rPr>
          <w:lang w:val="es-ES"/>
        </w:rPr>
      </w:pPr>
      <w:r w:rsidRPr="00204B65">
        <w:rPr>
          <w:rFonts w:cstheme="minorHAnsi"/>
          <w:lang w:val="es-PE"/>
        </w:rPr>
        <w:t xml:space="preserve">En suma, para la CIDH resulta claro que la protección del derecho a la huelga, junto a la libertad sindical y la negociación colectiva, son pilares fundamentales para garantizar el derecho al trabajo y sus condiciones justas y equitativas al ser </w:t>
      </w:r>
      <w:r w:rsidRPr="00204B65">
        <w:rPr>
          <w:rFonts w:cstheme="minorHAnsi"/>
          <w:lang w:val="es-ES"/>
        </w:rPr>
        <w:t>un derecho al que pueden recurrir los trabajadores y sus organizaciones en defensa de sus intereses económicos, sociales y profesionales</w:t>
      </w:r>
      <w:r w:rsidRPr="00204B65">
        <w:rPr>
          <w:rStyle w:val="FootnoteReference"/>
          <w:rFonts w:ascii="Cambria" w:hAnsi="Cambria" w:cstheme="minorHAnsi"/>
          <w:lang w:val="es-ES"/>
        </w:rPr>
        <w:footnoteReference w:id="64"/>
      </w:r>
      <w:r w:rsidRPr="00204B65">
        <w:rPr>
          <w:rFonts w:cstheme="minorHAnsi"/>
          <w:lang w:val="es-ES"/>
        </w:rPr>
        <w:t xml:space="preserve">. Teniendo en cuenta que </w:t>
      </w:r>
      <w:r w:rsidRPr="00204B65">
        <w:rPr>
          <w:rFonts w:eastAsia="Times New Roman" w:cstheme="minorHAnsi"/>
          <w:color w:val="000000"/>
          <w:lang w:val="es-ES_tradnl"/>
        </w:rPr>
        <w:t>el ejercicio del derecho a la huelga consiste en la suspensión colectiva de la actividad laboral en forma voluntaria y pacífica, por lo general a efectos de lograr la obtención de algún tipo de mejora relacionada a ciertas condiciones socioeconómicas o laborales, la CIDH subraya el componente instrumental del mismo para la consecución de otros derechos fundamentales dentro del ámbito laboral, el equilibrio en las relaciones entre empleadores y trabajadores, la resolución de conflictos colectivos laborales y la materialización del respeto de la dignidad humana y los derechos laborales, es decir se convierte en cauce del principio democrático participativo dentro de la esfera del trabajo.</w:t>
      </w:r>
    </w:p>
    <w:p w:rsidR="009C722D" w:rsidRPr="009C722D" w:rsidRDefault="009C722D" w:rsidP="009C722D">
      <w:pPr>
        <w:pStyle w:val="ListParagraph"/>
        <w:rPr>
          <w:rFonts w:cstheme="minorHAnsi"/>
          <w:iCs/>
          <w:highlight w:val="yellow"/>
          <w:bdr w:val="none" w:sz="0" w:space="0" w:color="auto" w:frame="1"/>
          <w:lang w:val="es-CO"/>
        </w:rPr>
      </w:pPr>
    </w:p>
    <w:p w:rsidR="009C722D" w:rsidRPr="00CF0E44" w:rsidRDefault="009C722D" w:rsidP="009C722D">
      <w:pPr>
        <w:pStyle w:val="parrafos"/>
        <w:numPr>
          <w:ilvl w:val="0"/>
          <w:numId w:val="56"/>
        </w:numPr>
        <w:tabs>
          <w:tab w:val="left" w:pos="720"/>
        </w:tabs>
        <w:ind w:left="0" w:firstLine="0"/>
        <w:rPr>
          <w:lang w:val="es-ES"/>
        </w:rPr>
      </w:pPr>
      <w:r w:rsidRPr="00CF0E44">
        <w:rPr>
          <w:rFonts w:ascii="Cambria" w:hAnsi="Cambria" w:cstheme="minorHAnsi"/>
          <w:iCs/>
          <w:bdr w:val="none" w:sz="0" w:space="0" w:color="auto" w:frame="1"/>
          <w:lang w:val="es-CO"/>
        </w:rPr>
        <w:t>Si bien el derecho a la huelga no es absoluto, y puede ser limitado por ley, las restricciones deberán tener en cuenta el propósito de</w:t>
      </w:r>
      <w:r w:rsidR="000C52E2" w:rsidRPr="00CF0E44">
        <w:rPr>
          <w:rFonts w:ascii="Cambria" w:hAnsi="Cambria" w:cstheme="minorHAnsi"/>
          <w:iCs/>
          <w:bdr w:val="none" w:sz="0" w:space="0" w:color="auto" w:frame="1"/>
          <w:lang w:val="es-CO"/>
        </w:rPr>
        <w:t xml:space="preserve"> dicho</w:t>
      </w:r>
      <w:r w:rsidRPr="00CF0E44">
        <w:rPr>
          <w:rFonts w:ascii="Cambria" w:hAnsi="Cambria" w:cstheme="minorHAnsi"/>
          <w:iCs/>
          <w:bdr w:val="none" w:sz="0" w:space="0" w:color="auto" w:frame="1"/>
          <w:lang w:val="es-CO"/>
        </w:rPr>
        <w:t xml:space="preserve"> derecho</w:t>
      </w:r>
      <w:r w:rsidR="000C52E2" w:rsidRPr="00CF0E44">
        <w:rPr>
          <w:rFonts w:ascii="Cambria" w:hAnsi="Cambria" w:cstheme="minorHAnsi"/>
          <w:iCs/>
          <w:bdr w:val="none" w:sz="0" w:space="0" w:color="auto" w:frame="1"/>
          <w:lang w:val="es-CO"/>
        </w:rPr>
        <w:t>,</w:t>
      </w:r>
      <w:r w:rsidRPr="00CF0E44">
        <w:rPr>
          <w:rFonts w:ascii="Cambria" w:hAnsi="Cambria" w:cstheme="minorHAnsi"/>
          <w:iCs/>
          <w:bdr w:val="none" w:sz="0" w:space="0" w:color="auto" w:frame="1"/>
          <w:lang w:val="es-CO"/>
        </w:rPr>
        <w:t xml:space="preserve"> de manera que los trabajadores y trabajadoras no vean restringido su derecho indebidamente o este </w:t>
      </w:r>
      <w:r w:rsidR="000C52E2" w:rsidRPr="00CF0E44">
        <w:rPr>
          <w:rFonts w:ascii="Cambria" w:hAnsi="Cambria" w:cstheme="minorHAnsi"/>
          <w:iCs/>
          <w:bdr w:val="none" w:sz="0" w:space="0" w:color="auto" w:frame="1"/>
          <w:lang w:val="es-CO"/>
        </w:rPr>
        <w:t>resulte</w:t>
      </w:r>
      <w:r w:rsidRPr="00CF0E44">
        <w:rPr>
          <w:rFonts w:ascii="Cambria" w:hAnsi="Cambria" w:cstheme="minorHAnsi"/>
          <w:iCs/>
          <w:bdr w:val="none" w:sz="0" w:space="0" w:color="auto" w:frame="1"/>
          <w:lang w:val="es-CO"/>
        </w:rPr>
        <w:t xml:space="preserve"> inoperante en la práctica</w:t>
      </w:r>
      <w:r w:rsidRPr="00CF0E44">
        <w:rPr>
          <w:rFonts w:ascii="Cambria" w:eastAsia="Times New Roman" w:hAnsi="Cambria" w:cstheme="minorHAnsi"/>
          <w:lang w:val="es-ES_tradnl"/>
        </w:rPr>
        <w:t xml:space="preserve">. </w:t>
      </w:r>
      <w:r w:rsidRPr="00CF0E44">
        <w:rPr>
          <w:rFonts w:ascii="Cambria" w:hAnsi="Cambria"/>
          <w:lang w:val="es-ES"/>
        </w:rPr>
        <w:t xml:space="preserve">Ahora bien, al igual que la libertad sindical y el derecho a la negociación colectiva, la CIDH entiende que el derecho a la huelga puede calificarse </w:t>
      </w:r>
      <w:r w:rsidR="000C52E2" w:rsidRPr="00CF0E44">
        <w:rPr>
          <w:rFonts w:ascii="Cambria" w:hAnsi="Cambria"/>
          <w:lang w:val="es-ES"/>
        </w:rPr>
        <w:t>como una</w:t>
      </w:r>
      <w:r w:rsidRPr="00CF0E44">
        <w:rPr>
          <w:rFonts w:ascii="Cambria" w:hAnsi="Cambria"/>
          <w:lang w:val="es-ES"/>
        </w:rPr>
        <w:t xml:space="preserve"> libertad en tanto que es necesario que el Estado se abstenga de in</w:t>
      </w:r>
      <w:r w:rsidR="000C52E2" w:rsidRPr="00CF0E44">
        <w:rPr>
          <w:rFonts w:ascii="Cambria" w:hAnsi="Cambria"/>
          <w:lang w:val="es-ES"/>
        </w:rPr>
        <w:t>terferir</w:t>
      </w:r>
      <w:r w:rsidRPr="00CF0E44">
        <w:rPr>
          <w:rFonts w:ascii="Cambria" w:hAnsi="Cambria"/>
          <w:lang w:val="es-ES"/>
        </w:rPr>
        <w:t xml:space="preserve"> indebidamente en el ejercicio de dicho derecho como de asegurar que existan las condiciones y garantías necesarias para su realización efectiva. La CIDH observa que e</w:t>
      </w:r>
      <w:r w:rsidRPr="00CF0E44">
        <w:rPr>
          <w:rFonts w:ascii="Cambria" w:hAnsi="Cambria"/>
          <w:lang w:val="es-PE"/>
        </w:rPr>
        <w:t>l disfrute del derecho a la huelga es un requisito previo, y a la vez, el resultado del disfrute de otros derechos humanos; por ejemplo, puede permitir evidenciar prácticas laborales irregulares o insatisfactorias que luego conduzcan a la realización del derecho al trabajo y sus condiciones justas y equitativas; a su vez puede ser corolario del ejercicio de las libertades de expresión y reunión, al ser una manifestación transitoria colectiva en defensa de los intereses de los trabajadores y trabajadoras, y por tanto estar directamente relacionado según los hechos de cada caso a dichos derechos.</w:t>
      </w:r>
    </w:p>
    <w:p w:rsidR="009C722D" w:rsidRPr="00CF0E44" w:rsidRDefault="009C722D" w:rsidP="009C722D">
      <w:pPr>
        <w:pStyle w:val="parrafos"/>
        <w:tabs>
          <w:tab w:val="left" w:pos="720"/>
        </w:tabs>
        <w:rPr>
          <w:lang w:val="es-ES"/>
        </w:rPr>
      </w:pPr>
    </w:p>
    <w:p w:rsidR="009C722D" w:rsidRPr="00CF0E44" w:rsidRDefault="009C722D" w:rsidP="009C722D">
      <w:pPr>
        <w:pStyle w:val="parrafos"/>
        <w:numPr>
          <w:ilvl w:val="0"/>
          <w:numId w:val="56"/>
        </w:numPr>
        <w:tabs>
          <w:tab w:val="left" w:pos="720"/>
        </w:tabs>
        <w:ind w:left="0" w:firstLine="0"/>
        <w:rPr>
          <w:lang w:val="es-ES"/>
        </w:rPr>
      </w:pPr>
      <w:r w:rsidRPr="00CF0E44">
        <w:rPr>
          <w:rFonts w:ascii="Cambria" w:hAnsi="Cambria"/>
          <w:lang w:val="es-PE"/>
        </w:rPr>
        <w:t>Sobre esa base, y al igual que la libertad sindical y el derecho de negociación colectiva, la CIDH también considera importante precisar que el elemento de progresividad presente dentro del artículo 26 de la CADH, que usualmente puede afectar la evaluación de ciertos componentes de los derechos económicos y sociales, no genera consecuencias sustantivas sobre el análisis del derecho a la huelga por la forma en que dicho derecho se materializa en la práctica, de allí que el umbral para permitir limitaciones relacionadas a la obligación de progresividad de los Estados sobre el derecho a la huelga deba ser mucho más estricto y elevado, y que de ninguna forma impliquen la falta de protección de</w:t>
      </w:r>
      <w:r w:rsidRPr="00CF0E44">
        <w:rPr>
          <w:rFonts w:ascii="Cambria" w:hAnsi="Cambria"/>
          <w:lang w:val="es-ES"/>
        </w:rPr>
        <w:t xml:space="preserve"> los trabajadores y trabajadoras contra actos de discriminación, injerencia o represalia en el ejercicio de sus derechos en el ámbito laboral.</w:t>
      </w:r>
    </w:p>
    <w:p w:rsidR="009C722D" w:rsidRPr="009C722D" w:rsidRDefault="009C722D" w:rsidP="009C722D">
      <w:pPr>
        <w:pStyle w:val="parrafos"/>
        <w:tabs>
          <w:tab w:val="left" w:pos="720"/>
        </w:tabs>
        <w:rPr>
          <w:lang w:val="es-ES"/>
        </w:rPr>
      </w:pPr>
    </w:p>
    <w:p w:rsidR="0025752E" w:rsidRDefault="00CE6252" w:rsidP="00B54921">
      <w:pPr>
        <w:pStyle w:val="parrafos"/>
        <w:numPr>
          <w:ilvl w:val="0"/>
          <w:numId w:val="56"/>
        </w:numPr>
        <w:tabs>
          <w:tab w:val="left" w:pos="720"/>
        </w:tabs>
        <w:ind w:left="0" w:firstLine="0"/>
        <w:rPr>
          <w:lang w:val="es-ES"/>
        </w:rPr>
      </w:pPr>
      <w:r w:rsidRPr="0025752E">
        <w:rPr>
          <w:lang w:val="es-ES"/>
        </w:rPr>
        <w:t xml:space="preserve">La Comisión recuerda que el presente caso se refiere a 93 trabajadores del Organismo Judicial que fueron destituidos de sus cargos por participar en una huelga entre </w:t>
      </w:r>
      <w:r w:rsidR="00607727" w:rsidRPr="0025752E">
        <w:rPr>
          <w:lang w:val="es-ES"/>
        </w:rPr>
        <w:t>el 19</w:t>
      </w:r>
      <w:r w:rsidR="007D3255" w:rsidRPr="0025752E">
        <w:rPr>
          <w:lang w:val="es-ES"/>
        </w:rPr>
        <w:t xml:space="preserve"> de marzo y 2 de abril de 1996</w:t>
      </w:r>
      <w:r w:rsidR="000D10AC" w:rsidRPr="0025752E">
        <w:rPr>
          <w:lang w:val="es-ES"/>
        </w:rPr>
        <w:t xml:space="preserve"> cuando aún no se había declara</w:t>
      </w:r>
      <w:r w:rsidR="004B0707">
        <w:rPr>
          <w:lang w:val="es-ES"/>
        </w:rPr>
        <w:t xml:space="preserve">do la legitimidad de la misma. </w:t>
      </w:r>
      <w:r w:rsidR="000D10AC" w:rsidRPr="0025752E">
        <w:rPr>
          <w:lang w:val="es-ES"/>
        </w:rPr>
        <w:t xml:space="preserve">La CIDH toma nota que </w:t>
      </w:r>
      <w:r w:rsidR="00A71112" w:rsidRPr="0025752E">
        <w:rPr>
          <w:lang w:val="es-ES"/>
        </w:rPr>
        <w:t xml:space="preserve">para </w:t>
      </w:r>
      <w:r w:rsidR="002E12CB" w:rsidRPr="0025752E">
        <w:rPr>
          <w:lang w:val="es-ES"/>
        </w:rPr>
        <w:t>declarar</w:t>
      </w:r>
      <w:r w:rsidR="00A71112" w:rsidRPr="0025752E">
        <w:rPr>
          <w:lang w:val="es-ES"/>
        </w:rPr>
        <w:t xml:space="preserve"> la legitimidad de la misma, era necesario</w:t>
      </w:r>
      <w:r w:rsidR="002E12CB" w:rsidRPr="0025752E">
        <w:rPr>
          <w:lang w:val="es-ES"/>
        </w:rPr>
        <w:t xml:space="preserve">, conforme al Código de Trabajo que los trabajadores constituyeran por lo menos las dos terceras partes del total de empleados del Organismo Judicial. </w:t>
      </w:r>
    </w:p>
    <w:p w:rsidR="00CB60F3" w:rsidRPr="00A55ABA" w:rsidRDefault="00CB60F3" w:rsidP="00B54921">
      <w:pPr>
        <w:tabs>
          <w:tab w:val="left" w:pos="720"/>
        </w:tabs>
        <w:rPr>
          <w:lang w:val="es-ES"/>
        </w:rPr>
      </w:pPr>
    </w:p>
    <w:p w:rsidR="00B54921" w:rsidRDefault="002E12CB" w:rsidP="00B54921">
      <w:pPr>
        <w:pStyle w:val="parrafos"/>
        <w:numPr>
          <w:ilvl w:val="0"/>
          <w:numId w:val="56"/>
        </w:numPr>
        <w:tabs>
          <w:tab w:val="left" w:pos="720"/>
        </w:tabs>
        <w:ind w:left="0" w:firstLine="0"/>
        <w:rPr>
          <w:lang w:val="es-ES"/>
        </w:rPr>
      </w:pPr>
      <w:r w:rsidRPr="0025752E">
        <w:rPr>
          <w:lang w:val="es-ES"/>
        </w:rPr>
        <w:t xml:space="preserve">La Comisión de Expertos de la OIT ya se pronunció en diversas ocasiones sobre la </w:t>
      </w:r>
      <w:r w:rsidRPr="0025752E">
        <w:rPr>
          <w:lang w:val="es-ES_tradnl" w:eastAsia="es-ES"/>
        </w:rPr>
        <w:t>incompatibilidad del artículo 241 c) del Código de Trabajo guatemalteco vigente al momento de los hechos que establecía que para realizar una huelga legal los trabajadores debían constituir por lo menos las dos terceras partes de la empresa o centro de producción, con el Convenio 87 sobre la libertad sindical y la protección del derecho de sindicación, tomando en cuenta el alto número requerido para realizar una huelga legal</w:t>
      </w:r>
      <w:r w:rsidRPr="001E6B33">
        <w:rPr>
          <w:rStyle w:val="FootnoteReference"/>
          <w:lang w:val="es-ES_tradnl" w:eastAsia="es-ES"/>
        </w:rPr>
        <w:footnoteReference w:id="65"/>
      </w:r>
      <w:r w:rsidR="00025B24">
        <w:rPr>
          <w:lang w:val="es-ES_tradnl" w:eastAsia="es-ES"/>
        </w:rPr>
        <w:t>.</w:t>
      </w:r>
    </w:p>
    <w:p w:rsidR="00B54921" w:rsidRDefault="00B54921" w:rsidP="00B54921">
      <w:pPr>
        <w:pStyle w:val="parrafos"/>
        <w:tabs>
          <w:tab w:val="left" w:pos="720"/>
        </w:tabs>
        <w:rPr>
          <w:lang w:val="es-ES"/>
        </w:rPr>
      </w:pPr>
    </w:p>
    <w:p w:rsidR="0025752E" w:rsidRPr="00B54921" w:rsidRDefault="00BC603B" w:rsidP="00254F59">
      <w:pPr>
        <w:pStyle w:val="parrafos"/>
        <w:numPr>
          <w:ilvl w:val="0"/>
          <w:numId w:val="56"/>
        </w:numPr>
        <w:tabs>
          <w:tab w:val="left" w:pos="450"/>
        </w:tabs>
        <w:ind w:left="0" w:firstLine="0"/>
        <w:rPr>
          <w:lang w:val="es-ES"/>
        </w:rPr>
      </w:pPr>
      <w:r w:rsidRPr="00254F59">
        <w:rPr>
          <w:lang w:val="es-ES"/>
        </w:rPr>
        <w:t xml:space="preserve">Dicha Comisión </w:t>
      </w:r>
      <w:r w:rsidR="00D075B8" w:rsidRPr="00254F59">
        <w:rPr>
          <w:lang w:val="es-ES"/>
        </w:rPr>
        <w:t>ha expresado que</w:t>
      </w:r>
      <w:r w:rsidR="00D55402" w:rsidRPr="00254F59">
        <w:rPr>
          <w:lang w:val="es-ES"/>
        </w:rPr>
        <w:t xml:space="preserve"> si un Estado considera pertinente </w:t>
      </w:r>
      <w:r w:rsidR="00B13CC2" w:rsidRPr="00254F59">
        <w:rPr>
          <w:lang w:val="es-ES"/>
        </w:rPr>
        <w:t xml:space="preserve">establecer por ley </w:t>
      </w:r>
      <w:r w:rsidR="00D55402" w:rsidRPr="00254F59">
        <w:rPr>
          <w:lang w:val="es-ES"/>
        </w:rPr>
        <w:t>que para la determinación de una huelga es necesaria la votación de los trabajadores</w:t>
      </w:r>
      <w:r w:rsidR="000F0671" w:rsidRPr="00090AF3">
        <w:rPr>
          <w:vertAlign w:val="superscript"/>
          <w:lang w:val="es-ES"/>
        </w:rPr>
        <w:footnoteReference w:id="66"/>
      </w:r>
      <w:r w:rsidR="00D55402" w:rsidRPr="00254F59">
        <w:rPr>
          <w:lang w:val="es-ES"/>
        </w:rPr>
        <w:t>,</w:t>
      </w:r>
      <w:r w:rsidR="00B13CC2" w:rsidRPr="00254F59">
        <w:rPr>
          <w:lang w:val="es-ES"/>
        </w:rPr>
        <w:t xml:space="preserve"> el número requerido debe consistir en una mayoría</w:t>
      </w:r>
      <w:r w:rsidR="00B13CC2" w:rsidRPr="00B54921">
        <w:rPr>
          <w:lang w:val="es-ES_tradnl" w:eastAsia="es-ES"/>
        </w:rPr>
        <w:t xml:space="preserve"> simple de los trabajadores presentes en la votación y el quórum </w:t>
      </w:r>
      <w:r w:rsidR="00F8175D" w:rsidRPr="00B54921">
        <w:rPr>
          <w:lang w:val="es-ES_tradnl" w:eastAsia="es-ES"/>
        </w:rPr>
        <w:t xml:space="preserve">para </w:t>
      </w:r>
      <w:r w:rsidR="007D0D83" w:rsidRPr="00B54921">
        <w:rPr>
          <w:lang w:val="es-ES_tradnl" w:eastAsia="es-ES"/>
        </w:rPr>
        <w:t>esta</w:t>
      </w:r>
      <w:r w:rsidR="00F8175D" w:rsidRPr="00B54921">
        <w:rPr>
          <w:lang w:val="es-ES_tradnl" w:eastAsia="es-ES"/>
        </w:rPr>
        <w:t xml:space="preserve"> </w:t>
      </w:r>
      <w:r w:rsidR="00B13CC2" w:rsidRPr="00B54921">
        <w:rPr>
          <w:lang w:val="es-ES_tradnl" w:eastAsia="es-ES"/>
        </w:rPr>
        <w:t>debe fijarse de manera razonable</w:t>
      </w:r>
      <w:r w:rsidR="00D55402" w:rsidRPr="00B54921">
        <w:rPr>
          <w:vertAlign w:val="superscript"/>
          <w:lang w:val="es-ES_tradnl" w:eastAsia="es-ES"/>
        </w:rPr>
        <w:footnoteReference w:id="67"/>
      </w:r>
      <w:r w:rsidR="00D55402" w:rsidRPr="00B54921">
        <w:rPr>
          <w:lang w:val="es-ES_tradnl" w:eastAsia="es-ES"/>
        </w:rPr>
        <w:t xml:space="preserve">. </w:t>
      </w:r>
    </w:p>
    <w:p w:rsidR="0025752E" w:rsidRPr="00B54921" w:rsidRDefault="0025752E" w:rsidP="00B54921">
      <w:pPr>
        <w:pStyle w:val="ListParagraph"/>
        <w:tabs>
          <w:tab w:val="left" w:pos="720"/>
        </w:tabs>
        <w:rPr>
          <w:lang w:val="es-ES"/>
        </w:rPr>
      </w:pPr>
    </w:p>
    <w:p w:rsidR="00254F59" w:rsidRDefault="006E2973" w:rsidP="00254F59">
      <w:pPr>
        <w:pStyle w:val="parrafos"/>
        <w:numPr>
          <w:ilvl w:val="0"/>
          <w:numId w:val="56"/>
        </w:numPr>
        <w:tabs>
          <w:tab w:val="left" w:pos="450"/>
        </w:tabs>
        <w:ind w:left="0" w:firstLine="0"/>
        <w:rPr>
          <w:lang w:val="es-ES"/>
        </w:rPr>
      </w:pPr>
      <w:r w:rsidRPr="0025752E">
        <w:t xml:space="preserve">La CIDH evaluará si dicha limitación legal al derecho de huelga resultaba convencionalmente aceptable. </w:t>
      </w:r>
      <w:r w:rsidR="007D0D83" w:rsidRPr="00A55ABA">
        <w:rPr>
          <w:lang w:val="es-ES"/>
        </w:rPr>
        <w:t>La</w:t>
      </w:r>
      <w:r w:rsidR="007D0D83" w:rsidRPr="0025752E">
        <w:t xml:space="preserve"> CIDH </w:t>
      </w:r>
      <w:r w:rsidRPr="0025752E">
        <w:t xml:space="preserve">recuerda que a fin de determinar si la restricción a un derecho resulta convencionalmente aceptable, tanto la Comisión como la Corte han acudido a un juicio escalonado de proporcionalidad que incluye </w:t>
      </w:r>
      <w:r w:rsidRPr="0025752E">
        <w:rPr>
          <w:lang w:val="es-ES_tradnl"/>
        </w:rPr>
        <w:t>los siguientes elementos: (i) la existencia de un fin legítimo; (ii) la idoneidad, es decir 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interés en juego y el grado de sacrificio de uno respecto del otro</w:t>
      </w:r>
      <w:r w:rsidRPr="00B56CF7">
        <w:rPr>
          <w:rStyle w:val="FootnoteReference"/>
          <w:lang w:val="es-ES_tradnl"/>
        </w:rPr>
        <w:footnoteReference w:id="68"/>
      </w:r>
      <w:r w:rsidRPr="0025752E">
        <w:rPr>
          <w:lang w:val="es-ES_tradnl"/>
        </w:rPr>
        <w:t>.</w:t>
      </w:r>
    </w:p>
    <w:p w:rsidR="00254F59" w:rsidRPr="00254F59" w:rsidRDefault="00254F59" w:rsidP="00254F59">
      <w:pPr>
        <w:pStyle w:val="ListParagraph"/>
        <w:rPr>
          <w:lang w:val="es-VE"/>
        </w:rPr>
      </w:pPr>
    </w:p>
    <w:p w:rsidR="00254F59" w:rsidRPr="00C25155" w:rsidRDefault="006E2973" w:rsidP="00C25155">
      <w:pPr>
        <w:pStyle w:val="parrafos"/>
        <w:numPr>
          <w:ilvl w:val="0"/>
          <w:numId w:val="56"/>
        </w:numPr>
        <w:tabs>
          <w:tab w:val="left" w:pos="450"/>
        </w:tabs>
        <w:ind w:left="0" w:firstLine="0"/>
        <w:rPr>
          <w:lang w:val="es-ES"/>
        </w:rPr>
      </w:pPr>
      <w:r w:rsidRPr="0025752E">
        <w:t xml:space="preserve">En cuanto al fin legítimo, la CIDH considera que </w:t>
      </w:r>
      <w:r w:rsidR="00995B45" w:rsidRPr="0025752E">
        <w:t xml:space="preserve">en principio, los requisitos de votaciones previas de trabajadores para poder realizar huelgas, tienen por objeto que </w:t>
      </w:r>
      <w:r w:rsidR="009A2DE6" w:rsidRPr="0025752E">
        <w:t>las mismas cuenten con el respaldo colectivo de trabajadores en el reclamo de derechos laborales, lo cual constituye un fin legítimo. Por otra parte, en cuanto la idoneidad, la CIDH considera que la medida contribuye en cierto modo a la consecución del fin indicado pues el sentido de la votación demuestra la voluntad de ir a la huelga.</w:t>
      </w:r>
    </w:p>
    <w:p w:rsidR="00C25155" w:rsidRPr="00C25155" w:rsidRDefault="00C25155" w:rsidP="00C25155">
      <w:pPr>
        <w:pStyle w:val="parrafos"/>
        <w:tabs>
          <w:tab w:val="left" w:pos="450"/>
        </w:tabs>
        <w:rPr>
          <w:lang w:val="es-ES"/>
        </w:rPr>
      </w:pPr>
    </w:p>
    <w:p w:rsidR="008D1220" w:rsidRPr="00CF0E44" w:rsidRDefault="009A2DE6" w:rsidP="008D1220">
      <w:pPr>
        <w:pStyle w:val="parrafos"/>
        <w:numPr>
          <w:ilvl w:val="0"/>
          <w:numId w:val="56"/>
        </w:numPr>
        <w:tabs>
          <w:tab w:val="left" w:pos="450"/>
        </w:tabs>
        <w:ind w:left="0" w:firstLine="0"/>
        <w:rPr>
          <w:lang w:val="es-ES"/>
        </w:rPr>
      </w:pPr>
      <w:r w:rsidRPr="00CF0E44">
        <w:t xml:space="preserve">Con respecto al requisito de necesidad, la CIDH subraya que existen medidas menos restrictivas para alcanzar el fin propuesto, tales como establecer </w:t>
      </w:r>
      <w:r w:rsidR="009C722D" w:rsidRPr="00CF0E44">
        <w:t>mayorías</w:t>
      </w:r>
      <w:r w:rsidRPr="00CF0E44">
        <w:t xml:space="preserve"> simples o relativas </w:t>
      </w:r>
      <w:r w:rsidR="00DF5092" w:rsidRPr="00CF0E44">
        <w:t xml:space="preserve">de los trabajadores presentes en la votación, como lo ha expresado la Comisión de Expertos de la OIT. </w:t>
      </w:r>
      <w:r w:rsidR="00905A09" w:rsidRPr="00CF0E44">
        <w:t>T</w:t>
      </w:r>
      <w:r w:rsidRPr="00CF0E44">
        <w:t xml:space="preserve">omando en cuenta que el requisito de necesidad no se encuentra satisfecho, no resultaría necesario analizar el requisito de proporcionalidad en sentido estricto, sin embargo la Comisión hace notar que </w:t>
      </w:r>
      <w:r w:rsidR="008C27E0" w:rsidRPr="00CF0E44">
        <w:t xml:space="preserve">la exigencia impuesta de </w:t>
      </w:r>
      <w:r w:rsidR="008C27E0" w:rsidRPr="00CF0E44">
        <w:rPr>
          <w:lang w:val="es-ES"/>
        </w:rPr>
        <w:t xml:space="preserve">que los trabajadores constituyeran por lo menos las dos terceras partes del total de empleados del Organismo Judicial constituía una restricción intensa al derecho de huelga que </w:t>
      </w:r>
      <w:r w:rsidR="00F37A3C" w:rsidRPr="00CF0E44">
        <w:rPr>
          <w:lang w:val="es-ES"/>
        </w:rPr>
        <w:t xml:space="preserve">podría entenderse que lo convertía, en la práctica, </w:t>
      </w:r>
      <w:r w:rsidR="008C27E0" w:rsidRPr="00CF0E44">
        <w:rPr>
          <w:lang w:val="es-ES"/>
        </w:rPr>
        <w:t>nugatorio</w:t>
      </w:r>
      <w:r w:rsidR="00CF0E44" w:rsidRPr="00CF0E44">
        <w:rPr>
          <w:lang w:val="es-ES"/>
        </w:rPr>
        <w:t>.</w:t>
      </w:r>
    </w:p>
    <w:p w:rsidR="008D1220" w:rsidRPr="008D1220" w:rsidRDefault="008D1220" w:rsidP="008D1220">
      <w:pPr>
        <w:pStyle w:val="parrafos"/>
        <w:tabs>
          <w:tab w:val="left" w:pos="450"/>
        </w:tabs>
        <w:rPr>
          <w:lang w:val="es-ES"/>
        </w:rPr>
      </w:pPr>
    </w:p>
    <w:p w:rsidR="008D1220" w:rsidRPr="00B43AB5" w:rsidRDefault="008D1220" w:rsidP="008D1220">
      <w:pPr>
        <w:pStyle w:val="parrafos"/>
        <w:numPr>
          <w:ilvl w:val="0"/>
          <w:numId w:val="56"/>
        </w:numPr>
        <w:tabs>
          <w:tab w:val="left" w:pos="450"/>
        </w:tabs>
        <w:ind w:left="0" w:firstLine="0"/>
        <w:rPr>
          <w:lang w:val="es-ES"/>
        </w:rPr>
      </w:pPr>
      <w:r w:rsidRPr="00CF0E44">
        <w:rPr>
          <w:lang w:val="es-ES"/>
        </w:rPr>
        <w:t>Teniendo en cuenta que el requisito de mayorías referido en párrafos anteriores no cumple con el principio de proporcionalidad, y que la consideración de dicho requisito era inherente y fundamental al pronunciamiento de la legalidad de la huelga por órgano competente, para la CIDH deviene en innecesario valorar si los trabajadores no esperaron a dicho pronunciamiento para realizar la huelga ya que en cualquier caso</w:t>
      </w:r>
      <w:r w:rsidR="00917DEA" w:rsidRPr="00CF0E44">
        <w:rPr>
          <w:lang w:val="es-ES"/>
        </w:rPr>
        <w:t>,</w:t>
      </w:r>
      <w:r w:rsidRPr="00CF0E44">
        <w:rPr>
          <w:lang w:val="es-ES"/>
        </w:rPr>
        <w:t xml:space="preserve"> la decisión sobre la legalidad o no de la misma se habría basado en un requisito que no cumple con los </w:t>
      </w:r>
      <w:r w:rsidRPr="00B43AB5">
        <w:rPr>
          <w:lang w:val="es-ES"/>
        </w:rPr>
        <w:t xml:space="preserve">estándares internacionales. </w:t>
      </w:r>
    </w:p>
    <w:p w:rsidR="00917DEA" w:rsidRPr="00B43AB5" w:rsidRDefault="00917DEA" w:rsidP="00917DEA">
      <w:pPr>
        <w:pStyle w:val="ListParagraph"/>
        <w:rPr>
          <w:lang w:val="es-ES"/>
        </w:rPr>
      </w:pPr>
    </w:p>
    <w:p w:rsidR="00917DEA" w:rsidRPr="00B43AB5" w:rsidRDefault="00B6694E" w:rsidP="008D1220">
      <w:pPr>
        <w:pStyle w:val="parrafos"/>
        <w:numPr>
          <w:ilvl w:val="0"/>
          <w:numId w:val="56"/>
        </w:numPr>
        <w:tabs>
          <w:tab w:val="left" w:pos="450"/>
        </w:tabs>
        <w:ind w:left="0" w:firstLine="0"/>
        <w:rPr>
          <w:lang w:val="es-ES"/>
        </w:rPr>
      </w:pPr>
      <w:r w:rsidRPr="00B43AB5">
        <w:rPr>
          <w:lang w:val="es-ES"/>
        </w:rPr>
        <w:lastRenderedPageBreak/>
        <w:t>Asimismo, para la CIDH no pasa desapercibido que la consecuencia directa de declarar ilegal la huelga fue el despido colectivo de los trabajadores identificados en esta petición. En ese sentido, teniendo en que cuenta para la CIDH el Estado vulneró el derecho a la huelga, y que las autoridades correspondientes fundamentaron los despidos en la realización de la misma, también existen elementos suficientes para declarar la vulneración al derecho al trabajo</w:t>
      </w:r>
      <w:r w:rsidRPr="00B43AB5">
        <w:rPr>
          <w:rStyle w:val="FootnoteReference"/>
          <w:lang w:val="es-ES"/>
        </w:rPr>
        <w:footnoteReference w:id="69"/>
      </w:r>
      <w:r w:rsidRPr="00B43AB5">
        <w:rPr>
          <w:lang w:val="es-ES"/>
        </w:rPr>
        <w:t xml:space="preserve"> de los trabajadores despedidos identificados en el presente informe. </w:t>
      </w:r>
    </w:p>
    <w:p w:rsidR="00C25155" w:rsidRPr="00C25155" w:rsidRDefault="00C25155" w:rsidP="00C25155">
      <w:pPr>
        <w:pStyle w:val="parrafos"/>
        <w:tabs>
          <w:tab w:val="left" w:pos="450"/>
        </w:tabs>
        <w:rPr>
          <w:highlight w:val="yellow"/>
          <w:lang w:val="es-ES"/>
        </w:rPr>
      </w:pPr>
    </w:p>
    <w:p w:rsidR="00CB60F3" w:rsidRDefault="00905A09" w:rsidP="00CB60F3">
      <w:pPr>
        <w:pStyle w:val="parrafos"/>
        <w:numPr>
          <w:ilvl w:val="0"/>
          <w:numId w:val="56"/>
        </w:numPr>
        <w:tabs>
          <w:tab w:val="left" w:pos="450"/>
        </w:tabs>
        <w:ind w:left="0" w:firstLine="0"/>
        <w:rPr>
          <w:lang w:val="es-ES"/>
        </w:rPr>
      </w:pPr>
      <w:r w:rsidRPr="0025752E">
        <w:t xml:space="preserve">No obstante lo anterior, la Comisión hace notar que el Estado subsanó dicha violación en perjuicio de las </w:t>
      </w:r>
      <w:r w:rsidR="005B14A3">
        <w:t>28</w:t>
      </w:r>
      <w:r w:rsidRPr="0025752E">
        <w:t xml:space="preserve"> personas que fueron recontratadas y cuyos nombres constan en el listado que se adjunta al presente informe.</w:t>
      </w:r>
    </w:p>
    <w:p w:rsidR="00C25155" w:rsidRPr="00C25155" w:rsidRDefault="00C25155" w:rsidP="00C25155">
      <w:pPr>
        <w:pStyle w:val="parrafos"/>
        <w:tabs>
          <w:tab w:val="left" w:pos="450"/>
        </w:tabs>
        <w:rPr>
          <w:lang w:val="es-ES"/>
        </w:rPr>
      </w:pPr>
    </w:p>
    <w:p w:rsidR="0074015B" w:rsidRPr="00B43AB5" w:rsidRDefault="00905A09" w:rsidP="00254F59">
      <w:pPr>
        <w:pStyle w:val="parrafos"/>
        <w:numPr>
          <w:ilvl w:val="0"/>
          <w:numId w:val="56"/>
        </w:numPr>
        <w:tabs>
          <w:tab w:val="left" w:pos="450"/>
        </w:tabs>
        <w:ind w:left="0" w:firstLine="0"/>
        <w:rPr>
          <w:lang w:val="es-ES"/>
        </w:rPr>
      </w:pPr>
      <w:r w:rsidRPr="00B43AB5">
        <w:t>En virtud de las anteriores consideraciones, la Comisión</w:t>
      </w:r>
      <w:r w:rsidR="008D1220" w:rsidRPr="00B43AB5">
        <w:t xml:space="preserve"> concluye que el Estado violó los</w:t>
      </w:r>
      <w:r w:rsidRPr="00B43AB5">
        <w:t xml:space="preserve"> derecho</w:t>
      </w:r>
      <w:r w:rsidR="00B6694E" w:rsidRPr="00B43AB5">
        <w:t>s</w:t>
      </w:r>
      <w:r w:rsidRPr="00B43AB5">
        <w:t xml:space="preserve"> de huelga </w:t>
      </w:r>
      <w:r w:rsidR="008D1220" w:rsidRPr="00B43AB5">
        <w:t xml:space="preserve">y al trabajo contenidos en el artículo 26 de la Convención Americana en relación con las obligaciones establecidas en los artículos 1.1 y 2 del mismo instrumento, en perjuicio de los 65 trabajadores que fueron destituidos por participar en la misma. </w:t>
      </w:r>
    </w:p>
    <w:p w:rsidR="00E70B91" w:rsidRPr="006526FC" w:rsidRDefault="00E70B91" w:rsidP="006526FC">
      <w:pPr>
        <w:tabs>
          <w:tab w:val="left" w:pos="720"/>
        </w:tabs>
        <w:rPr>
          <w:lang w:val="es-ES"/>
        </w:rPr>
      </w:pPr>
    </w:p>
    <w:p w:rsidR="00A55ABA" w:rsidRDefault="00A55ABA" w:rsidP="00B54921">
      <w:pPr>
        <w:pStyle w:val="Heading2"/>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val="0"/>
        <w:ind w:left="720" w:hanging="720"/>
        <w:jc w:val="both"/>
      </w:pPr>
      <w:bookmarkStart w:id="23" w:name="_Toc14884449"/>
      <w:r>
        <w:t>El derecho a la protección judicial</w:t>
      </w:r>
      <w:r w:rsidR="005345E0" w:rsidRPr="00A42DDB">
        <w:rPr>
          <w:vertAlign w:val="superscript"/>
        </w:rPr>
        <w:footnoteReference w:id="70"/>
      </w:r>
      <w:bookmarkEnd w:id="23"/>
      <w:r>
        <w:t xml:space="preserve"> </w:t>
      </w:r>
    </w:p>
    <w:p w:rsidR="00254F59" w:rsidRDefault="00254F59" w:rsidP="00254F59">
      <w:pPr>
        <w:pStyle w:val="parrafos"/>
        <w:tabs>
          <w:tab w:val="left" w:pos="450"/>
        </w:tabs>
        <w:rPr>
          <w:lang w:val="es-ES_tradnl"/>
        </w:rPr>
      </w:pPr>
    </w:p>
    <w:p w:rsidR="005345E0" w:rsidRDefault="005345E0" w:rsidP="005345E0">
      <w:pPr>
        <w:pStyle w:val="parrafos"/>
        <w:numPr>
          <w:ilvl w:val="0"/>
          <w:numId w:val="56"/>
        </w:numPr>
        <w:tabs>
          <w:tab w:val="left" w:pos="450"/>
        </w:tabs>
        <w:ind w:left="0" w:firstLine="0"/>
        <w:rPr>
          <w:rFonts w:ascii="Cambria" w:hAnsi="Cambria"/>
        </w:rPr>
      </w:pPr>
      <w:r w:rsidRPr="005345E0">
        <w:rPr>
          <w:rFonts w:ascii="Cambria" w:hAnsi="Cambria"/>
        </w:rPr>
        <w:t xml:space="preserve">La CIDH recuerda que el Estado está en la obligación general de proveer recursos judiciales efectivos a las personas que aleguen ser víctimas de violaciones de derechos humanos (artículo 25), los cuales deben ser </w:t>
      </w:r>
      <w:r w:rsidRPr="005345E0">
        <w:t>sustanciados</w:t>
      </w:r>
      <w:r w:rsidRPr="005345E0">
        <w:rPr>
          <w:rFonts w:ascii="Cambria" w:hAnsi="Cambria"/>
        </w:rPr>
        <w:t xml:space="preserve">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A42DDB">
        <w:rPr>
          <w:rFonts w:ascii="Cambria" w:hAnsi="Cambria"/>
          <w:vertAlign w:val="superscript"/>
        </w:rPr>
        <w:footnoteReference w:id="71"/>
      </w:r>
      <w:r w:rsidRPr="005345E0">
        <w:rPr>
          <w:rFonts w:ascii="Cambria" w:hAnsi="Cambria"/>
        </w:rPr>
        <w:t>. Al evaluar la efectividad de los recursos debe examinarse si las decisiones en los procesos judiciales han contribuido efectivamente a poner fin a una situación violatoria de derechos, a asegurar la no repetición de los actos lesivos y a garantizar el libre y pleno ejercicio de los derechos protegidos por la Convención</w:t>
      </w:r>
      <w:r w:rsidRPr="00A42DDB">
        <w:rPr>
          <w:rStyle w:val="FootnoteReference"/>
          <w:rFonts w:ascii="Cambria" w:hAnsi="Cambria"/>
        </w:rPr>
        <w:footnoteReference w:id="72"/>
      </w:r>
      <w:r w:rsidRPr="005345E0">
        <w:rPr>
          <w:rFonts w:ascii="Cambria" w:hAnsi="Cambria"/>
        </w:rPr>
        <w:t xml:space="preserve">. </w:t>
      </w:r>
    </w:p>
    <w:p w:rsidR="005345E0" w:rsidRDefault="005345E0" w:rsidP="005345E0">
      <w:pPr>
        <w:pStyle w:val="parrafos"/>
        <w:tabs>
          <w:tab w:val="left" w:pos="450"/>
        </w:tabs>
        <w:rPr>
          <w:rFonts w:ascii="Cambria" w:hAnsi="Cambria"/>
        </w:rPr>
      </w:pPr>
    </w:p>
    <w:p w:rsidR="00472E6E" w:rsidRDefault="005345E0" w:rsidP="005345E0">
      <w:pPr>
        <w:pStyle w:val="parrafos"/>
        <w:numPr>
          <w:ilvl w:val="0"/>
          <w:numId w:val="56"/>
        </w:numPr>
        <w:tabs>
          <w:tab w:val="left" w:pos="450"/>
        </w:tabs>
        <w:ind w:left="0" w:firstLine="0"/>
        <w:rPr>
          <w:rFonts w:ascii="Cambria" w:hAnsi="Cambria"/>
        </w:rPr>
      </w:pPr>
      <w:r>
        <w:rPr>
          <w:rFonts w:ascii="Cambria" w:hAnsi="Cambria"/>
        </w:rPr>
        <w:t xml:space="preserve">En el presente caso, la CIDH observa que las presuntas víctimas interpusieron </w:t>
      </w:r>
      <w:r w:rsidR="003F54FD">
        <w:rPr>
          <w:rFonts w:ascii="Cambria" w:hAnsi="Cambria"/>
        </w:rPr>
        <w:t>una serie de recursos contra la decisión de 13 de mayo de 1996 que declaró ilegítimo el movimiento de huelga</w:t>
      </w:r>
      <w:r w:rsidR="00472E6E">
        <w:rPr>
          <w:rFonts w:ascii="Cambria" w:hAnsi="Cambria"/>
        </w:rPr>
        <w:t xml:space="preserve"> argumentado violaciones a su derecho de defensa,</w:t>
      </w:r>
      <w:r w:rsidR="005C5FD2">
        <w:rPr>
          <w:rFonts w:ascii="Cambria" w:hAnsi="Cambria"/>
        </w:rPr>
        <w:t xml:space="preserve"> entre ellos un amparo ante la Cámara de Amparo y Antejuicios de la Corte Suprema de Justicia, apelación de amparo ante </w:t>
      </w:r>
      <w:r w:rsidR="00025B24">
        <w:rPr>
          <w:rFonts w:ascii="Cambria" w:hAnsi="Cambria"/>
        </w:rPr>
        <w:t xml:space="preserve">la Corte de Constitucionalidad y </w:t>
      </w:r>
      <w:r w:rsidR="005C5FD2">
        <w:rPr>
          <w:rFonts w:ascii="Cambria" w:hAnsi="Cambria"/>
        </w:rPr>
        <w:t xml:space="preserve">ampliación ante este mismo órgano. </w:t>
      </w:r>
    </w:p>
    <w:p w:rsidR="005C5FD2" w:rsidRPr="00557337" w:rsidRDefault="005C5FD2" w:rsidP="005C5FD2">
      <w:pPr>
        <w:pStyle w:val="ListParagraph"/>
        <w:rPr>
          <w:lang w:val="es-VE"/>
        </w:rPr>
      </w:pPr>
    </w:p>
    <w:p w:rsidR="005C5FD2" w:rsidRDefault="005C5FD2" w:rsidP="005345E0">
      <w:pPr>
        <w:pStyle w:val="parrafos"/>
        <w:numPr>
          <w:ilvl w:val="0"/>
          <w:numId w:val="56"/>
        </w:numPr>
        <w:tabs>
          <w:tab w:val="left" w:pos="450"/>
        </w:tabs>
        <w:ind w:left="0" w:firstLine="0"/>
        <w:rPr>
          <w:rFonts w:ascii="Cambria" w:hAnsi="Cambria"/>
        </w:rPr>
      </w:pPr>
      <w:r>
        <w:rPr>
          <w:rFonts w:ascii="Cambria" w:hAnsi="Cambria"/>
        </w:rPr>
        <w:t>Igualmente</w:t>
      </w:r>
      <w:r w:rsidR="00AE29A4">
        <w:rPr>
          <w:rFonts w:ascii="Cambria" w:hAnsi="Cambria"/>
        </w:rPr>
        <w:t xml:space="preserve">, la parte peticionaria interpuso una serie de recursos contra el acta de despidos emitida por la Corte Suprema de Justicia el 1 de septiembre de 1999, entre ellos un amparo ante la Corte de Constitucionalidad, argumentando que </w:t>
      </w:r>
      <w:r w:rsidR="00331A1E">
        <w:rPr>
          <w:rFonts w:ascii="Cambria" w:hAnsi="Cambria"/>
        </w:rPr>
        <w:t>se violaron los derechos al debido proceso y derecho de defensa de los trabajadores destituidos porque no contaron con audiencia previa a su destitución.</w:t>
      </w:r>
    </w:p>
    <w:p w:rsidR="0031359B" w:rsidRPr="00557337" w:rsidRDefault="0031359B" w:rsidP="0031359B">
      <w:pPr>
        <w:pStyle w:val="ListParagraph"/>
        <w:rPr>
          <w:lang w:val="es-VE"/>
        </w:rPr>
      </w:pPr>
    </w:p>
    <w:p w:rsidR="0003041E" w:rsidRDefault="0031359B" w:rsidP="005345E0">
      <w:pPr>
        <w:pStyle w:val="parrafos"/>
        <w:numPr>
          <w:ilvl w:val="0"/>
          <w:numId w:val="56"/>
        </w:numPr>
        <w:tabs>
          <w:tab w:val="left" w:pos="450"/>
        </w:tabs>
        <w:ind w:left="0" w:firstLine="0"/>
        <w:rPr>
          <w:rFonts w:ascii="Cambria" w:hAnsi="Cambria"/>
        </w:rPr>
      </w:pPr>
      <w:r>
        <w:rPr>
          <w:rFonts w:ascii="Cambria" w:hAnsi="Cambria"/>
        </w:rPr>
        <w:t xml:space="preserve">Finalmente, </w:t>
      </w:r>
      <w:r w:rsidR="0003041E">
        <w:rPr>
          <w:rFonts w:ascii="Cambria" w:hAnsi="Cambria"/>
        </w:rPr>
        <w:t>la Comisión toma nota que tras interponer recursos de reconsideración o de otra índole, 28 personas fueron recontratadas.</w:t>
      </w:r>
    </w:p>
    <w:p w:rsidR="006526FC" w:rsidRPr="0003041E" w:rsidRDefault="006526FC" w:rsidP="006526FC">
      <w:pPr>
        <w:pStyle w:val="ListParagraph"/>
        <w:rPr>
          <w:lang w:val="es-VE"/>
        </w:rPr>
      </w:pPr>
    </w:p>
    <w:p w:rsidR="006526FC" w:rsidRDefault="0003041E" w:rsidP="005345E0">
      <w:pPr>
        <w:pStyle w:val="parrafos"/>
        <w:numPr>
          <w:ilvl w:val="0"/>
          <w:numId w:val="56"/>
        </w:numPr>
        <w:tabs>
          <w:tab w:val="left" w:pos="450"/>
        </w:tabs>
        <w:ind w:left="0" w:firstLine="0"/>
        <w:rPr>
          <w:rFonts w:ascii="Cambria" w:hAnsi="Cambria"/>
        </w:rPr>
      </w:pPr>
      <w:r>
        <w:rPr>
          <w:rFonts w:ascii="Cambria" w:hAnsi="Cambria"/>
        </w:rPr>
        <w:t>La Comisión estima</w:t>
      </w:r>
      <w:r w:rsidR="00025B24">
        <w:rPr>
          <w:rFonts w:ascii="Cambria" w:hAnsi="Cambria"/>
        </w:rPr>
        <w:t>,</w:t>
      </w:r>
      <w:r>
        <w:rPr>
          <w:rFonts w:ascii="Cambria" w:hAnsi="Cambria"/>
        </w:rPr>
        <w:t xml:space="preserve"> en vista de ello</w:t>
      </w:r>
      <w:r w:rsidR="00025B24">
        <w:rPr>
          <w:rFonts w:ascii="Cambria" w:hAnsi="Cambria"/>
        </w:rPr>
        <w:t>,</w:t>
      </w:r>
      <w:r>
        <w:rPr>
          <w:rFonts w:ascii="Cambria" w:hAnsi="Cambria"/>
        </w:rPr>
        <w:t xml:space="preserve"> que 65 de las presuntas víctimas no contaron con un recurso efectivo para remediar las violaciones a sus derechos humanos, específicamente, </w:t>
      </w:r>
      <w:r w:rsidR="0017598B">
        <w:rPr>
          <w:rFonts w:ascii="Cambria" w:hAnsi="Cambria"/>
        </w:rPr>
        <w:t>los</w:t>
      </w:r>
      <w:r>
        <w:rPr>
          <w:rFonts w:ascii="Cambria" w:hAnsi="Cambria"/>
        </w:rPr>
        <w:t xml:space="preserve"> derecho</w:t>
      </w:r>
      <w:r w:rsidR="0017598B">
        <w:rPr>
          <w:rFonts w:ascii="Cambria" w:hAnsi="Cambria"/>
        </w:rPr>
        <w:t>s</w:t>
      </w:r>
      <w:r>
        <w:rPr>
          <w:rFonts w:ascii="Cambria" w:hAnsi="Cambria"/>
        </w:rPr>
        <w:t xml:space="preserve"> al debido proceso</w:t>
      </w:r>
      <w:r w:rsidR="0017598B">
        <w:rPr>
          <w:rFonts w:ascii="Cambria" w:hAnsi="Cambria"/>
        </w:rPr>
        <w:t>, a la defensa y a la huelga</w:t>
      </w:r>
      <w:r w:rsidR="00E03D9E">
        <w:rPr>
          <w:rFonts w:ascii="Cambria" w:hAnsi="Cambria"/>
        </w:rPr>
        <w:t xml:space="preserve"> en los términos analizados en el presente informe. </w:t>
      </w:r>
      <w:r>
        <w:rPr>
          <w:rFonts w:ascii="Cambria" w:hAnsi="Cambria"/>
        </w:rPr>
        <w:t xml:space="preserve">En virtud de lo anterior, la CIDH </w:t>
      </w:r>
      <w:r>
        <w:rPr>
          <w:rFonts w:ascii="Cambria" w:hAnsi="Cambria"/>
        </w:rPr>
        <w:lastRenderedPageBreak/>
        <w:t xml:space="preserve">concluye que el Estado violó el derecho </w:t>
      </w:r>
      <w:r w:rsidR="009A064A">
        <w:rPr>
          <w:rFonts w:ascii="Cambria" w:hAnsi="Cambria"/>
        </w:rPr>
        <w:t xml:space="preserve">a la protección judicial establecido en el artículo 25.1 de la Convención Americana en relación con el artículo 1.1 del mismo instrumento, en perjuicio de los </w:t>
      </w:r>
      <w:r w:rsidR="00911970">
        <w:rPr>
          <w:rFonts w:ascii="Cambria" w:hAnsi="Cambria"/>
        </w:rPr>
        <w:t>65</w:t>
      </w:r>
      <w:r w:rsidR="009A064A">
        <w:rPr>
          <w:rFonts w:ascii="Cambria" w:hAnsi="Cambria"/>
        </w:rPr>
        <w:t xml:space="preserve"> trabajadores cuyos nombres se identifican en el anexo al presente informe. </w:t>
      </w:r>
    </w:p>
    <w:p w:rsidR="00331A1E" w:rsidRDefault="00331A1E" w:rsidP="0031359B">
      <w:pPr>
        <w:pStyle w:val="parrafos"/>
        <w:tabs>
          <w:tab w:val="left" w:pos="450"/>
        </w:tabs>
        <w:rPr>
          <w:rFonts w:ascii="Cambria" w:hAnsi="Cambria"/>
        </w:rPr>
      </w:pPr>
    </w:p>
    <w:p w:rsidR="00C7707E" w:rsidRPr="00937EFE" w:rsidRDefault="0022110D" w:rsidP="00C7707E">
      <w:pPr>
        <w:pStyle w:val="Heading1"/>
        <w:numPr>
          <w:ilvl w:val="0"/>
          <w:numId w:val="57"/>
        </w:numPr>
        <w:tabs>
          <w:tab w:val="left" w:pos="720"/>
        </w:tabs>
        <w:ind w:left="360" w:hanging="360"/>
      </w:pPr>
      <w:bookmarkStart w:id="24" w:name="_Toc14884450"/>
      <w:r>
        <w:t>CONCLUSIONES Y RECOMENDACIONES</w:t>
      </w:r>
      <w:bookmarkEnd w:id="24"/>
    </w:p>
    <w:p w:rsidR="00047B91" w:rsidRPr="00A42DDB" w:rsidRDefault="00047B91" w:rsidP="00047B91">
      <w:pPr>
        <w:tabs>
          <w:tab w:val="left" w:pos="567"/>
          <w:tab w:val="left" w:pos="1440"/>
        </w:tabs>
        <w:jc w:val="both"/>
        <w:rPr>
          <w:rFonts w:ascii="Cambria" w:hAnsi="Cambria"/>
          <w:sz w:val="20"/>
          <w:szCs w:val="20"/>
          <w:lang w:val="es-AR"/>
        </w:rPr>
      </w:pPr>
    </w:p>
    <w:p w:rsidR="00D8148D" w:rsidRDefault="00047B91" w:rsidP="00047B91">
      <w:pPr>
        <w:pStyle w:val="parrafos"/>
        <w:numPr>
          <w:ilvl w:val="0"/>
          <w:numId w:val="56"/>
        </w:numPr>
        <w:tabs>
          <w:tab w:val="left" w:pos="450"/>
        </w:tabs>
        <w:ind w:left="0" w:firstLine="0"/>
        <w:rPr>
          <w:rFonts w:ascii="Cambria" w:hAnsi="Cambria"/>
          <w:lang w:val="es-AR"/>
        </w:rPr>
      </w:pPr>
      <w:r w:rsidRPr="00A42DDB">
        <w:rPr>
          <w:rFonts w:ascii="Cambria" w:hAnsi="Cambria"/>
          <w:lang w:val="es-AR"/>
        </w:rPr>
        <w:t xml:space="preserve">En virtud de lo indicado, la Comisión </w:t>
      </w:r>
      <w:r>
        <w:rPr>
          <w:rFonts w:ascii="Cambria" w:hAnsi="Cambria"/>
          <w:lang w:val="es-AR"/>
        </w:rPr>
        <w:t>concluye que el Estado guatemalteco</w:t>
      </w:r>
      <w:r w:rsidRPr="00A42DDB">
        <w:rPr>
          <w:rFonts w:ascii="Cambria" w:hAnsi="Cambria"/>
          <w:lang w:val="es-AR"/>
        </w:rPr>
        <w:t xml:space="preserve"> es responsable por la violación de los derechos establecidos en los artículos 8.1</w:t>
      </w:r>
      <w:r w:rsidR="00D8148D">
        <w:rPr>
          <w:rFonts w:ascii="Cambria" w:hAnsi="Cambria"/>
          <w:lang w:val="es-AR"/>
        </w:rPr>
        <w:t xml:space="preserve">, 8.2 b), 8.2 c), 25.1 y 26 de la Convención Americana en relación </w:t>
      </w:r>
      <w:r w:rsidR="006E5294">
        <w:rPr>
          <w:rFonts w:ascii="Cambria" w:hAnsi="Cambria"/>
          <w:lang w:val="es-AR"/>
        </w:rPr>
        <w:t xml:space="preserve">con </w:t>
      </w:r>
      <w:r w:rsidR="00D8148D">
        <w:rPr>
          <w:rFonts w:ascii="Cambria" w:hAnsi="Cambria"/>
          <w:lang w:val="es-AR"/>
        </w:rPr>
        <w:t xml:space="preserve">el artículo 1.1 y 2 del mismo instrumento, en perjuicio de los sesenta y cinco trabajadores que se identifican en el anexo al presente informe. </w:t>
      </w:r>
    </w:p>
    <w:p w:rsidR="00047B91" w:rsidRDefault="00047B91" w:rsidP="00047B91">
      <w:pPr>
        <w:pStyle w:val="parrafos"/>
        <w:tabs>
          <w:tab w:val="left" w:pos="450"/>
        </w:tabs>
        <w:rPr>
          <w:rFonts w:ascii="Cambria" w:hAnsi="Cambria"/>
          <w:lang w:val="es-AR"/>
        </w:rPr>
      </w:pPr>
    </w:p>
    <w:p w:rsidR="00047B91" w:rsidRPr="00047B91" w:rsidRDefault="00047B91" w:rsidP="00047B91">
      <w:pPr>
        <w:pStyle w:val="parrafos"/>
        <w:numPr>
          <w:ilvl w:val="0"/>
          <w:numId w:val="56"/>
        </w:numPr>
        <w:tabs>
          <w:tab w:val="left" w:pos="450"/>
        </w:tabs>
        <w:ind w:left="0" w:firstLine="0"/>
        <w:rPr>
          <w:rFonts w:ascii="Cambria" w:hAnsi="Cambria"/>
          <w:lang w:val="es-AR"/>
        </w:rPr>
      </w:pPr>
      <w:r w:rsidRPr="00047B91">
        <w:rPr>
          <w:rFonts w:ascii="Cambria" w:hAnsi="Cambria"/>
          <w:lang w:val="es-CL"/>
        </w:rPr>
        <w:t xml:space="preserve">Con </w:t>
      </w:r>
      <w:r w:rsidRPr="00047B91">
        <w:rPr>
          <w:rFonts w:ascii="Cambria" w:eastAsia="Times New Roman" w:hAnsi="Cambria"/>
          <w:lang w:val="es-CL" w:eastAsia="es-ES"/>
        </w:rPr>
        <w:t>fundamento</w:t>
      </w:r>
      <w:r w:rsidRPr="00047B91">
        <w:rPr>
          <w:rFonts w:ascii="Cambria" w:hAnsi="Cambria"/>
          <w:lang w:val="es-CL"/>
        </w:rPr>
        <w:t xml:space="preserve"> en el análisis y las conclusiones del presente informe,</w:t>
      </w:r>
    </w:p>
    <w:p w:rsidR="00047B91" w:rsidRPr="00047B91" w:rsidRDefault="00047B91" w:rsidP="00047B91">
      <w:pPr>
        <w:tabs>
          <w:tab w:val="left" w:pos="1440"/>
        </w:tabs>
        <w:jc w:val="both"/>
        <w:rPr>
          <w:rFonts w:ascii="Cambria" w:hAnsi="Cambria"/>
          <w:sz w:val="20"/>
          <w:szCs w:val="20"/>
          <w:lang w:val="es-VE"/>
        </w:rPr>
      </w:pPr>
    </w:p>
    <w:p w:rsidR="00047B91" w:rsidRPr="00464542" w:rsidRDefault="00047B91" w:rsidP="00047B91">
      <w:pPr>
        <w:jc w:val="center"/>
        <w:rPr>
          <w:rFonts w:ascii="Cambria" w:hAnsi="Cambria"/>
          <w:sz w:val="20"/>
          <w:szCs w:val="20"/>
          <w:lang w:val="es-ES"/>
        </w:rPr>
      </w:pPr>
      <w:r w:rsidRPr="00A42DDB">
        <w:rPr>
          <w:rFonts w:ascii="Cambria" w:hAnsi="Cambria"/>
          <w:b/>
          <w:bCs/>
          <w:sz w:val="20"/>
          <w:szCs w:val="20"/>
          <w:lang w:val="es-CL"/>
        </w:rPr>
        <w:t xml:space="preserve">LA COMISIÓN INTERAMERICANA DE DERECHOS HUMANOS </w:t>
      </w:r>
      <w:r w:rsidR="008A68CD">
        <w:rPr>
          <w:rFonts w:ascii="Cambria" w:hAnsi="Cambria"/>
          <w:b/>
          <w:bCs/>
          <w:sz w:val="20"/>
          <w:szCs w:val="20"/>
          <w:lang w:val="es-CL"/>
        </w:rPr>
        <w:t>RECOMIENDA AL ESTADO DE GUATEMALA</w:t>
      </w:r>
      <w:r w:rsidRPr="00A42DDB">
        <w:rPr>
          <w:rFonts w:ascii="Cambria" w:hAnsi="Cambria"/>
          <w:b/>
          <w:bCs/>
          <w:sz w:val="20"/>
          <w:szCs w:val="20"/>
          <w:lang w:val="es-CL"/>
        </w:rPr>
        <w:t>:</w:t>
      </w:r>
    </w:p>
    <w:p w:rsidR="00047B91" w:rsidRDefault="00047B91" w:rsidP="00047B91">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sz w:val="20"/>
          <w:szCs w:val="20"/>
          <w:lang w:val="es-VE"/>
        </w:rPr>
      </w:pPr>
    </w:p>
    <w:p w:rsidR="00047B91" w:rsidRPr="00047B91" w:rsidRDefault="00047B91" w:rsidP="00025B24">
      <w:pPr>
        <w:pStyle w:val="BodyText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450"/>
          <w:tab w:val="left" w:pos="630"/>
          <w:tab w:val="left" w:pos="1440"/>
          <w:tab w:val="left" w:pos="9360"/>
        </w:tabs>
        <w:spacing w:after="0"/>
        <w:ind w:left="0" w:firstLine="0"/>
        <w:jc w:val="both"/>
        <w:rPr>
          <w:rFonts w:ascii="Cambria" w:hAnsi="Cambria"/>
          <w:color w:val="000000" w:themeColor="text1"/>
          <w:sz w:val="20"/>
          <w:szCs w:val="20"/>
          <w:lang w:val="es-CL"/>
        </w:rPr>
      </w:pPr>
      <w:r w:rsidRPr="00047B91">
        <w:rPr>
          <w:rFonts w:ascii="Cambria" w:hAnsi="Cambria"/>
          <w:color w:val="000000" w:themeColor="text1"/>
          <w:sz w:val="20"/>
          <w:szCs w:val="20"/>
          <w:lang w:val="es-CL"/>
        </w:rPr>
        <w:t xml:space="preserve">Reparar integralmente las violaciones de derechos declaradas en el presente informe incluyendo el aspecto material e inmaterial. </w:t>
      </w:r>
    </w:p>
    <w:p w:rsidR="00047B91" w:rsidRPr="00047B91" w:rsidRDefault="00047B91" w:rsidP="00025B24">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630"/>
          <w:tab w:val="left" w:pos="1440"/>
          <w:tab w:val="left" w:pos="9360"/>
        </w:tabs>
        <w:spacing w:after="0"/>
        <w:jc w:val="both"/>
        <w:rPr>
          <w:rFonts w:ascii="Cambria" w:hAnsi="Cambria"/>
          <w:color w:val="000000" w:themeColor="text1"/>
          <w:sz w:val="20"/>
          <w:szCs w:val="20"/>
          <w:lang w:val="es-CL"/>
        </w:rPr>
      </w:pPr>
    </w:p>
    <w:p w:rsidR="00047B91" w:rsidRPr="00286B80" w:rsidRDefault="00047B91" w:rsidP="00025B24">
      <w:pPr>
        <w:pStyle w:val="BodyText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450"/>
          <w:tab w:val="left" w:pos="630"/>
          <w:tab w:val="left" w:pos="1440"/>
          <w:tab w:val="left" w:pos="9360"/>
        </w:tabs>
        <w:spacing w:after="0"/>
        <w:ind w:left="0" w:firstLine="0"/>
        <w:jc w:val="both"/>
        <w:rPr>
          <w:rFonts w:ascii="Cambria" w:hAnsi="Cambria"/>
          <w:color w:val="000000" w:themeColor="text1"/>
          <w:sz w:val="20"/>
          <w:szCs w:val="20"/>
          <w:lang w:val="es-CL"/>
        </w:rPr>
      </w:pPr>
      <w:r w:rsidRPr="00047B91">
        <w:rPr>
          <w:rFonts w:ascii="Cambria" w:hAnsi="Cambria"/>
          <w:color w:val="000000" w:themeColor="text1"/>
          <w:sz w:val="20"/>
          <w:szCs w:val="20"/>
          <w:lang w:val="es-CL"/>
        </w:rPr>
        <w:t xml:space="preserve">Adoptar medidas de no repetición necesarias para evitar que en el futuro se produzcan hechos similares. En particular, asegurar la aplicación de las reglas del debido proceso en el marco de procesos de destitución de funcionarios públicos conforme a los estándares indicados en el presente informe. </w:t>
      </w:r>
      <w:r w:rsidR="00D8148D">
        <w:rPr>
          <w:rFonts w:ascii="Cambria" w:hAnsi="Cambria"/>
          <w:color w:val="000000" w:themeColor="text1"/>
          <w:sz w:val="20"/>
          <w:szCs w:val="20"/>
          <w:lang w:val="es-CL"/>
        </w:rPr>
        <w:t xml:space="preserve">Igualmente, el Estado deberá </w:t>
      </w:r>
      <w:r w:rsidR="0030727B">
        <w:rPr>
          <w:rFonts w:ascii="Cambria" w:hAnsi="Cambria"/>
          <w:color w:val="000000" w:themeColor="text1"/>
          <w:sz w:val="20"/>
          <w:szCs w:val="20"/>
          <w:lang w:val="es-CL"/>
        </w:rPr>
        <w:t xml:space="preserve">adecuar su legislación interna y sus prácticas a fin de que </w:t>
      </w:r>
      <w:r w:rsidR="00090AF3">
        <w:rPr>
          <w:rFonts w:ascii="Cambria" w:hAnsi="Cambria"/>
          <w:color w:val="000000" w:themeColor="text1"/>
          <w:sz w:val="20"/>
          <w:szCs w:val="20"/>
          <w:lang w:val="es-CL"/>
        </w:rPr>
        <w:t>las restricciones al derecho a huelga de los trabajadores</w:t>
      </w:r>
      <w:r w:rsidR="00FF0C9E">
        <w:rPr>
          <w:rFonts w:ascii="Cambria" w:hAnsi="Cambria"/>
          <w:color w:val="000000" w:themeColor="text1"/>
          <w:sz w:val="20"/>
          <w:szCs w:val="20"/>
          <w:lang w:val="es-CL"/>
        </w:rPr>
        <w:t xml:space="preserve"> que exigen la votac</w:t>
      </w:r>
      <w:r w:rsidR="00D66A0B">
        <w:rPr>
          <w:rFonts w:ascii="Cambria" w:hAnsi="Cambria"/>
          <w:color w:val="000000" w:themeColor="text1"/>
          <w:sz w:val="20"/>
          <w:szCs w:val="20"/>
          <w:lang w:val="es-CL"/>
        </w:rPr>
        <w:t xml:space="preserve">ión previa favorable de estos, </w:t>
      </w:r>
      <w:r w:rsidR="00FF0C9E">
        <w:rPr>
          <w:rFonts w:ascii="Cambria" w:hAnsi="Cambria"/>
          <w:color w:val="000000" w:themeColor="text1"/>
          <w:sz w:val="20"/>
          <w:szCs w:val="20"/>
          <w:lang w:val="es-CL"/>
        </w:rPr>
        <w:t xml:space="preserve">cumplan con </w:t>
      </w:r>
      <w:r w:rsidR="00187D0D">
        <w:rPr>
          <w:rFonts w:ascii="Cambria" w:hAnsi="Cambria"/>
          <w:color w:val="000000" w:themeColor="text1"/>
          <w:sz w:val="20"/>
          <w:szCs w:val="20"/>
          <w:lang w:val="es-CL"/>
        </w:rPr>
        <w:t>los estándares internacionales.</w:t>
      </w:r>
    </w:p>
    <w:sectPr w:rsidR="00047B91" w:rsidRPr="00286B80" w:rsidSect="00997CF5">
      <w:type w:val="oddPage"/>
      <w:pgSz w:w="12240" w:h="15840"/>
      <w:pgMar w:top="1440" w:right="1440" w:bottom="1440" w:left="1440"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F45AE" w16cid:durableId="20E3089D"/>
  <w16cid:commentId w16cid:paraId="7D1ACE72" w16cid:durableId="20E309A8"/>
  <w16cid:commentId w16cid:paraId="684E6607" w16cid:durableId="20E309CD"/>
  <w16cid:commentId w16cid:paraId="12B611CC" w16cid:durableId="20E30A03"/>
  <w16cid:commentId w16cid:paraId="4EF97CE5" w16cid:durableId="20E30D96"/>
  <w16cid:commentId w16cid:paraId="4BBC3FD6" w16cid:durableId="20E30E67"/>
  <w16cid:commentId w16cid:paraId="35A69785" w16cid:durableId="20E30FF5"/>
  <w16cid:commentId w16cid:paraId="4A5BBA5E" w16cid:durableId="20E313C1"/>
  <w16cid:commentId w16cid:paraId="24A4A379" w16cid:durableId="20E31492"/>
  <w16cid:commentId w16cid:paraId="7B61ADAE" w16cid:durableId="20E316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DA" w:rsidRDefault="009152DA">
      <w:r>
        <w:separator/>
      </w:r>
    </w:p>
  </w:endnote>
  <w:endnote w:type="continuationSeparator" w:id="0">
    <w:p w:rsidR="009152DA" w:rsidRDefault="0091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inotype-Roman">
    <w:charset w:val="00"/>
    <w:family w:val="auto"/>
    <w:pitch w:val="variable"/>
    <w:sig w:usb0="E0000287" w:usb1="40000013" w:usb2="00000000" w:usb3="00000000" w:csb0="0000019F" w:csb1="00000000"/>
  </w:font>
  <w:font w:name="PalatinoLinotype-Italic">
    <w:charset w:val="00"/>
    <w:family w:val="auto"/>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02" w:rsidRDefault="0071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2D1311" w:rsidRPr="00934A2C" w:rsidRDefault="002D131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15302">
          <w:rPr>
            <w:noProof/>
            <w:sz w:val="16"/>
            <w:szCs w:val="22"/>
          </w:rPr>
          <w:t>3</w:t>
        </w:r>
        <w:r w:rsidRPr="00934A2C">
          <w:rPr>
            <w:noProof/>
            <w:sz w:val="16"/>
            <w:szCs w:val="22"/>
          </w:rPr>
          <w:fldChar w:fldCharType="end"/>
        </w:r>
      </w:p>
    </w:sdtContent>
  </w:sdt>
  <w:p w:rsidR="002D1311" w:rsidRDefault="002D1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11" w:rsidRPr="00934A2C" w:rsidRDefault="002D1311">
    <w:pPr>
      <w:pStyle w:val="Footer"/>
      <w:jc w:val="center"/>
      <w:rPr>
        <w:sz w:val="16"/>
        <w:szCs w:val="22"/>
      </w:rPr>
    </w:pPr>
  </w:p>
  <w:p w:rsidR="002D1311" w:rsidRDefault="002D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DA" w:rsidRPr="000F35ED" w:rsidRDefault="009152D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152DA" w:rsidRPr="000F35ED" w:rsidRDefault="009152DA" w:rsidP="000F35ED">
      <w:pPr>
        <w:rPr>
          <w:rFonts w:asciiTheme="majorHAnsi" w:hAnsiTheme="majorHAnsi"/>
          <w:sz w:val="16"/>
          <w:szCs w:val="16"/>
        </w:rPr>
      </w:pPr>
      <w:r w:rsidRPr="000F35ED">
        <w:rPr>
          <w:rFonts w:asciiTheme="majorHAnsi" w:hAnsiTheme="majorHAnsi"/>
          <w:sz w:val="16"/>
          <w:szCs w:val="16"/>
        </w:rPr>
        <w:separator/>
      </w:r>
    </w:p>
    <w:p w:rsidR="009152DA" w:rsidRPr="000F35ED" w:rsidRDefault="009152D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9152DA" w:rsidRPr="000F35ED" w:rsidRDefault="009152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D1311" w:rsidRPr="00D723BE" w:rsidRDefault="002D1311" w:rsidP="00557337">
      <w:pPr>
        <w:pStyle w:val="FootnoteText"/>
        <w:jc w:val="both"/>
        <w:rPr>
          <w:rFonts w:asciiTheme="majorHAnsi" w:hAnsiTheme="majorHAnsi"/>
          <w:color w:val="000000" w:themeColor="text1"/>
          <w:sz w:val="16"/>
          <w:szCs w:val="16"/>
          <w:lang w:val="es-VE"/>
        </w:rPr>
      </w:pPr>
      <w:r w:rsidRPr="00D723BE">
        <w:rPr>
          <w:rStyle w:val="FootnoteReference"/>
          <w:rFonts w:asciiTheme="majorHAnsi" w:hAnsiTheme="majorHAnsi"/>
          <w:color w:val="000000" w:themeColor="text1"/>
          <w:sz w:val="16"/>
          <w:szCs w:val="16"/>
        </w:rPr>
        <w:footnoteRef/>
      </w:r>
      <w:r w:rsidRPr="00D723BE">
        <w:rPr>
          <w:rFonts w:asciiTheme="majorHAnsi" w:hAnsiTheme="majorHAnsi"/>
          <w:color w:val="000000" w:themeColor="text1"/>
          <w:sz w:val="16"/>
          <w:szCs w:val="16"/>
          <w:lang w:val="es-CO"/>
        </w:rPr>
        <w:t xml:space="preserve"> CIDH. </w:t>
      </w:r>
      <w:r w:rsidRPr="00D723BE">
        <w:rPr>
          <w:rFonts w:asciiTheme="majorHAnsi" w:hAnsiTheme="majorHAnsi"/>
          <w:color w:val="000000" w:themeColor="text1"/>
          <w:sz w:val="16"/>
          <w:szCs w:val="16"/>
          <w:lang w:val="es-VE"/>
        </w:rPr>
        <w:t>Informe No. 78/03. Petición 0453/00. Ex Trabajadores del Organismo Judicial, Gu</w:t>
      </w:r>
      <w:r>
        <w:rPr>
          <w:rFonts w:asciiTheme="majorHAnsi" w:hAnsiTheme="majorHAnsi"/>
          <w:color w:val="000000" w:themeColor="text1"/>
          <w:sz w:val="16"/>
          <w:szCs w:val="16"/>
          <w:lang w:val="es-VE"/>
        </w:rPr>
        <w:t>atemala. 22 de octubre de 2003. En dicho informe la Comisión declaró admisible la petición en relación con</w:t>
      </w:r>
      <w:r w:rsidRPr="00D723BE">
        <w:rPr>
          <w:rFonts w:asciiTheme="majorHAnsi" w:hAnsiTheme="majorHAnsi"/>
          <w:color w:val="000000" w:themeColor="text1"/>
          <w:sz w:val="16"/>
          <w:szCs w:val="16"/>
          <w:lang w:val="es-VE"/>
        </w:rPr>
        <w:t xml:space="preserve"> los artículos 8, 16, 24, 25, 1(1) y 2 de la Convención Americana. </w:t>
      </w:r>
    </w:p>
    <w:p w:rsidR="002D1311" w:rsidRPr="00D723BE" w:rsidRDefault="002D1311" w:rsidP="00557337">
      <w:pPr>
        <w:pStyle w:val="FootnoteText"/>
        <w:jc w:val="both"/>
        <w:rPr>
          <w:rFonts w:asciiTheme="majorHAnsi" w:hAnsiTheme="majorHAnsi"/>
          <w:color w:val="000000" w:themeColor="text1"/>
          <w:sz w:val="16"/>
          <w:szCs w:val="16"/>
          <w:lang w:val="es-US"/>
        </w:rPr>
      </w:pPr>
      <w:r w:rsidRPr="00D723BE">
        <w:rPr>
          <w:rFonts w:asciiTheme="majorHAnsi" w:hAnsiTheme="majorHAnsi"/>
          <w:color w:val="000000" w:themeColor="text1"/>
          <w:sz w:val="16"/>
          <w:szCs w:val="16"/>
          <w:lang w:val="es-US"/>
        </w:rPr>
        <w:t xml:space="preserve"> </w:t>
      </w:r>
    </w:p>
  </w:footnote>
  <w:footnote w:id="3">
    <w:p w:rsidR="002D1311" w:rsidRPr="00E67B58" w:rsidRDefault="002D1311" w:rsidP="00557337">
      <w:pPr>
        <w:pStyle w:val="FootnoteText"/>
        <w:jc w:val="both"/>
        <w:rPr>
          <w:rFonts w:asciiTheme="majorHAnsi" w:hAnsiTheme="majorHAnsi"/>
          <w:sz w:val="16"/>
          <w:szCs w:val="16"/>
          <w:lang w:val="es-CO"/>
        </w:rPr>
      </w:pPr>
      <w:r w:rsidRPr="00E67B58">
        <w:rPr>
          <w:rStyle w:val="FootnoteReference"/>
          <w:rFonts w:asciiTheme="majorHAnsi" w:hAnsiTheme="majorHAnsi"/>
          <w:sz w:val="16"/>
          <w:szCs w:val="16"/>
        </w:rPr>
        <w:footnoteRef/>
      </w:r>
      <w:r>
        <w:rPr>
          <w:rFonts w:asciiTheme="majorHAnsi" w:hAnsiTheme="majorHAnsi"/>
          <w:sz w:val="16"/>
          <w:szCs w:val="16"/>
          <w:lang w:val="es-CO"/>
        </w:rPr>
        <w:t xml:space="preserve"> </w:t>
      </w:r>
      <w:r w:rsidRPr="00E67B58">
        <w:rPr>
          <w:rFonts w:asciiTheme="majorHAnsi" w:hAnsiTheme="majorHAnsi"/>
          <w:sz w:val="16"/>
          <w:szCs w:val="16"/>
          <w:lang w:val="es-CO"/>
        </w:rPr>
        <w:t xml:space="preserve">Decreto 1441. Reformas al </w:t>
      </w:r>
      <w:r>
        <w:rPr>
          <w:rFonts w:asciiTheme="majorHAnsi" w:hAnsiTheme="majorHAnsi"/>
          <w:sz w:val="16"/>
          <w:szCs w:val="16"/>
          <w:lang w:val="es-CO"/>
        </w:rPr>
        <w:t xml:space="preserve">Código de Trabajo. </w:t>
      </w:r>
    </w:p>
  </w:footnote>
  <w:footnote w:id="4">
    <w:p w:rsidR="002D1311" w:rsidRPr="00E67B58" w:rsidRDefault="002D1311" w:rsidP="00557337">
      <w:pPr>
        <w:pStyle w:val="FootnoteText"/>
        <w:jc w:val="both"/>
        <w:rPr>
          <w:rFonts w:asciiTheme="majorHAnsi" w:hAnsiTheme="majorHAnsi"/>
          <w:sz w:val="16"/>
          <w:szCs w:val="16"/>
          <w:lang w:val="es-VE"/>
        </w:rPr>
      </w:pPr>
      <w:r w:rsidRPr="00E67B58">
        <w:rPr>
          <w:rStyle w:val="FootnoteReference"/>
          <w:rFonts w:asciiTheme="majorHAnsi" w:hAnsiTheme="majorHAnsi"/>
          <w:sz w:val="16"/>
          <w:szCs w:val="16"/>
        </w:rPr>
        <w:footnoteRef/>
      </w:r>
      <w:r w:rsidRPr="00E67B58">
        <w:rPr>
          <w:rFonts w:asciiTheme="majorHAnsi" w:hAnsiTheme="majorHAnsi"/>
          <w:sz w:val="16"/>
          <w:szCs w:val="16"/>
          <w:lang w:val="es-VE"/>
        </w:rPr>
        <w:t xml:space="preserve"> Dicha literal fue reformada por los Decretos 64-92 y 13-2001 del Congreso de la República de Guatemala. </w:t>
      </w:r>
    </w:p>
  </w:footnote>
  <w:footnote w:id="5">
    <w:p w:rsidR="002D1311" w:rsidRPr="00E67B58" w:rsidRDefault="002D1311" w:rsidP="00557337">
      <w:pPr>
        <w:pStyle w:val="FootnoteText"/>
        <w:jc w:val="both"/>
        <w:rPr>
          <w:rFonts w:asciiTheme="majorHAnsi" w:hAnsiTheme="majorHAnsi"/>
          <w:sz w:val="16"/>
          <w:szCs w:val="16"/>
          <w:lang w:val="es-VE"/>
        </w:rPr>
      </w:pPr>
      <w:r w:rsidRPr="00E67B58">
        <w:rPr>
          <w:rStyle w:val="FootnoteReference"/>
          <w:rFonts w:asciiTheme="majorHAnsi" w:hAnsiTheme="majorHAnsi"/>
          <w:sz w:val="16"/>
          <w:szCs w:val="16"/>
        </w:rPr>
        <w:footnoteRef/>
      </w:r>
      <w:r w:rsidRPr="00E67B58">
        <w:rPr>
          <w:rFonts w:asciiTheme="majorHAnsi" w:hAnsiTheme="majorHAnsi"/>
          <w:sz w:val="16"/>
          <w:szCs w:val="16"/>
          <w:lang w:val="es-VE"/>
        </w:rPr>
        <w:t xml:space="preserve"> Código de Trabajo, Decreto 1441 del Congreso de la República de Guatemala. </w:t>
      </w:r>
    </w:p>
  </w:footnote>
  <w:footnote w:id="6">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Pr>
          <w:rFonts w:asciiTheme="majorHAnsi" w:hAnsiTheme="majorHAnsi"/>
          <w:sz w:val="16"/>
          <w:szCs w:val="16"/>
          <w:lang w:val="es-CO"/>
        </w:rPr>
        <w:t xml:space="preserve"> Anexo 1</w:t>
      </w:r>
      <w:r w:rsidRPr="00D723BE">
        <w:rPr>
          <w:rFonts w:asciiTheme="majorHAnsi" w:hAnsiTheme="majorHAnsi"/>
          <w:sz w:val="16"/>
          <w:szCs w:val="16"/>
          <w:lang w:val="es-CO"/>
        </w:rPr>
        <w:t xml:space="preserve">. Pacto Colectivo de Condiciones de Trabajo suscrito entre el Organismo Judicial y el Sindicato de Trabajadores del Organismo Judicial el 17 de agosto de 1992. Anexo 1 al Escrito </w:t>
      </w:r>
      <w:r>
        <w:rPr>
          <w:rFonts w:asciiTheme="majorHAnsi" w:hAnsiTheme="majorHAnsi"/>
          <w:sz w:val="16"/>
          <w:szCs w:val="16"/>
          <w:lang w:val="es-CO"/>
        </w:rPr>
        <w:t>de la parte peticionaria de</w:t>
      </w:r>
      <w:r w:rsidRPr="00D723BE">
        <w:rPr>
          <w:rFonts w:asciiTheme="majorHAnsi" w:hAnsiTheme="majorHAnsi"/>
          <w:sz w:val="16"/>
          <w:szCs w:val="16"/>
          <w:lang w:val="es-CO"/>
        </w:rPr>
        <w:t xml:space="preserve"> 12 de octubre de 2007.</w:t>
      </w:r>
    </w:p>
  </w:footnote>
  <w:footnote w:id="7">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Pr="00D723BE">
        <w:rPr>
          <w:rFonts w:asciiTheme="majorHAnsi" w:hAnsiTheme="majorHAnsi"/>
          <w:sz w:val="16"/>
          <w:szCs w:val="16"/>
          <w:lang w:val="es-CO"/>
        </w:rPr>
        <w:t xml:space="preserve"> Escrito de </w:t>
      </w:r>
      <w:r>
        <w:rPr>
          <w:rFonts w:asciiTheme="majorHAnsi" w:hAnsiTheme="majorHAnsi"/>
          <w:sz w:val="16"/>
          <w:szCs w:val="16"/>
          <w:lang w:val="es-CO"/>
        </w:rPr>
        <w:t>observaciones</w:t>
      </w:r>
      <w:r w:rsidRPr="00D723BE">
        <w:rPr>
          <w:rFonts w:asciiTheme="majorHAnsi" w:hAnsiTheme="majorHAnsi"/>
          <w:sz w:val="16"/>
          <w:szCs w:val="16"/>
          <w:lang w:val="es-CO"/>
        </w:rPr>
        <w:t xml:space="preserve"> </w:t>
      </w:r>
      <w:r>
        <w:rPr>
          <w:rFonts w:asciiTheme="majorHAnsi" w:hAnsiTheme="majorHAnsi"/>
          <w:sz w:val="16"/>
          <w:szCs w:val="16"/>
          <w:lang w:val="es-CO"/>
        </w:rPr>
        <w:t xml:space="preserve">de la parte peticionaria de </w:t>
      </w:r>
      <w:r w:rsidRPr="00D723BE">
        <w:rPr>
          <w:rFonts w:asciiTheme="majorHAnsi" w:hAnsiTheme="majorHAnsi"/>
          <w:sz w:val="16"/>
          <w:szCs w:val="16"/>
          <w:lang w:val="es-CO"/>
        </w:rPr>
        <w:t xml:space="preserve">28 de noviembre del 2000. </w:t>
      </w:r>
    </w:p>
  </w:footnote>
  <w:footnote w:id="8">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Pr>
          <w:rFonts w:asciiTheme="majorHAnsi" w:hAnsiTheme="majorHAnsi"/>
          <w:sz w:val="16"/>
          <w:szCs w:val="16"/>
          <w:lang w:val="es-CO"/>
        </w:rPr>
        <w:t xml:space="preserve"> Anexo 2. Resoluciones del Tribunal de Conciliación de</w:t>
      </w:r>
      <w:r w:rsidRPr="00D723BE">
        <w:rPr>
          <w:rFonts w:asciiTheme="majorHAnsi" w:hAnsiTheme="majorHAnsi"/>
          <w:sz w:val="16"/>
          <w:szCs w:val="16"/>
          <w:lang w:val="es-CO"/>
        </w:rPr>
        <w:t xml:space="preserve"> 12 de diciembre de 1995. Anexo 4</w:t>
      </w:r>
      <w:r>
        <w:rPr>
          <w:rFonts w:asciiTheme="majorHAnsi" w:hAnsiTheme="majorHAnsi"/>
          <w:sz w:val="16"/>
          <w:szCs w:val="16"/>
          <w:lang w:val="es-CO"/>
        </w:rPr>
        <w:t xml:space="preserve"> al Escrito de admisibilidad de la parte peticionaria de</w:t>
      </w:r>
      <w:r w:rsidRPr="00D723BE">
        <w:rPr>
          <w:rFonts w:asciiTheme="majorHAnsi" w:hAnsiTheme="majorHAnsi"/>
          <w:sz w:val="16"/>
          <w:szCs w:val="16"/>
          <w:lang w:val="es-CO"/>
        </w:rPr>
        <w:t xml:space="preserve"> 12 de octubre de 2007.</w:t>
      </w:r>
    </w:p>
  </w:footnote>
  <w:footnote w:id="9">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D723BE">
        <w:rPr>
          <w:rFonts w:asciiTheme="majorHAnsi" w:hAnsiTheme="majorHAnsi"/>
          <w:sz w:val="16"/>
          <w:szCs w:val="16"/>
          <w:lang w:val="es-CO"/>
        </w:rPr>
        <w:t xml:space="preserve">. Recomendaciones </w:t>
      </w:r>
      <w:r>
        <w:rPr>
          <w:rFonts w:asciiTheme="majorHAnsi" w:hAnsiTheme="majorHAnsi"/>
          <w:sz w:val="16"/>
          <w:szCs w:val="16"/>
          <w:lang w:val="es-CO"/>
        </w:rPr>
        <w:t xml:space="preserve">del Tribunal de Conciliación de </w:t>
      </w:r>
      <w:r w:rsidRPr="00D723BE">
        <w:rPr>
          <w:rFonts w:asciiTheme="majorHAnsi" w:hAnsiTheme="majorHAnsi"/>
          <w:sz w:val="16"/>
          <w:szCs w:val="16"/>
          <w:lang w:val="es-CO"/>
        </w:rPr>
        <w:t>14 de febrero de 1996. Anexo 5 al Escrito d</w:t>
      </w:r>
      <w:r>
        <w:rPr>
          <w:rFonts w:asciiTheme="majorHAnsi" w:hAnsiTheme="majorHAnsi"/>
          <w:sz w:val="16"/>
          <w:szCs w:val="16"/>
          <w:lang w:val="es-CO"/>
        </w:rPr>
        <w:t>e admisibilidad de la parte peticionaria de</w:t>
      </w:r>
      <w:r w:rsidRPr="00D723BE">
        <w:rPr>
          <w:rFonts w:asciiTheme="majorHAnsi" w:hAnsiTheme="majorHAnsi"/>
          <w:sz w:val="16"/>
          <w:szCs w:val="16"/>
          <w:lang w:val="es-CO"/>
        </w:rPr>
        <w:t xml:space="preserve"> 12 de octubre de 2007. </w:t>
      </w:r>
    </w:p>
  </w:footnote>
  <w:footnote w:id="10">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D723BE">
        <w:rPr>
          <w:rFonts w:asciiTheme="majorHAnsi" w:hAnsiTheme="majorHAnsi"/>
          <w:sz w:val="16"/>
          <w:szCs w:val="16"/>
          <w:lang w:val="es-CO"/>
        </w:rPr>
        <w:t xml:space="preserve">. Recomendaciones </w:t>
      </w:r>
      <w:r>
        <w:rPr>
          <w:rFonts w:asciiTheme="majorHAnsi" w:hAnsiTheme="majorHAnsi"/>
          <w:sz w:val="16"/>
          <w:szCs w:val="16"/>
          <w:lang w:val="es-CO"/>
        </w:rPr>
        <w:t>del T</w:t>
      </w:r>
      <w:r w:rsidRPr="00D723BE">
        <w:rPr>
          <w:rFonts w:asciiTheme="majorHAnsi" w:hAnsiTheme="majorHAnsi"/>
          <w:sz w:val="16"/>
          <w:szCs w:val="16"/>
          <w:lang w:val="es-CO"/>
        </w:rPr>
        <w:t>ribunal de Conciliación el 14 de febrero de 1996. Anexo 5 al Escrito de</w:t>
      </w:r>
      <w:r>
        <w:rPr>
          <w:rFonts w:asciiTheme="majorHAnsi" w:hAnsiTheme="majorHAnsi"/>
          <w:sz w:val="16"/>
          <w:szCs w:val="16"/>
          <w:lang w:val="es-CO"/>
        </w:rPr>
        <w:t xml:space="preserve"> admisibilidad de la parte peticionaria de</w:t>
      </w:r>
      <w:r w:rsidRPr="00D723BE">
        <w:rPr>
          <w:rFonts w:asciiTheme="majorHAnsi" w:hAnsiTheme="majorHAnsi"/>
          <w:sz w:val="16"/>
          <w:szCs w:val="16"/>
          <w:lang w:val="es-CO"/>
        </w:rPr>
        <w:t xml:space="preserve"> 12 de octubre de 2007. </w:t>
      </w:r>
    </w:p>
  </w:footnote>
  <w:footnote w:id="11">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Pr>
          <w:rFonts w:asciiTheme="majorHAnsi" w:hAnsiTheme="majorHAnsi"/>
          <w:sz w:val="16"/>
          <w:szCs w:val="16"/>
          <w:lang w:val="es-CO"/>
        </w:rPr>
        <w:t xml:space="preserve"> Anexo 4</w:t>
      </w:r>
      <w:r w:rsidRPr="00D723BE">
        <w:rPr>
          <w:rFonts w:asciiTheme="majorHAnsi" w:hAnsiTheme="majorHAnsi"/>
          <w:sz w:val="16"/>
          <w:szCs w:val="16"/>
          <w:lang w:val="es-CO"/>
        </w:rPr>
        <w:t>. Res</w:t>
      </w:r>
      <w:r>
        <w:rPr>
          <w:rFonts w:asciiTheme="majorHAnsi" w:hAnsiTheme="majorHAnsi"/>
          <w:sz w:val="16"/>
          <w:szCs w:val="16"/>
          <w:lang w:val="es-CO"/>
        </w:rPr>
        <w:t>olución de la Sala Primera de la Corte de Apelaciones</w:t>
      </w:r>
      <w:r w:rsidRPr="00D723BE">
        <w:rPr>
          <w:rFonts w:asciiTheme="majorHAnsi" w:hAnsiTheme="majorHAnsi"/>
          <w:sz w:val="16"/>
          <w:szCs w:val="16"/>
          <w:lang w:val="es-CO"/>
        </w:rPr>
        <w:t xml:space="preserve"> de Trabajo y Previsión Social del 16 de febre</w:t>
      </w:r>
      <w:r>
        <w:rPr>
          <w:rFonts w:asciiTheme="majorHAnsi" w:hAnsiTheme="majorHAnsi"/>
          <w:sz w:val="16"/>
          <w:szCs w:val="16"/>
          <w:lang w:val="es-CO"/>
        </w:rPr>
        <w:t xml:space="preserve">ro 1996. Anexo 1 al Escrito de la parte peticionaria de </w:t>
      </w:r>
      <w:r w:rsidRPr="00D723BE">
        <w:rPr>
          <w:rFonts w:asciiTheme="majorHAnsi" w:hAnsiTheme="majorHAnsi"/>
          <w:sz w:val="16"/>
          <w:szCs w:val="16"/>
          <w:lang w:val="es-CO"/>
        </w:rPr>
        <w:t>10 de febrero de 2005.</w:t>
      </w:r>
    </w:p>
  </w:footnote>
  <w:footnote w:id="12">
    <w:p w:rsidR="002D1311" w:rsidRPr="00187D0D" w:rsidRDefault="002D1311" w:rsidP="00557337">
      <w:pPr>
        <w:pStyle w:val="FootnoteText"/>
        <w:jc w:val="both"/>
        <w:rPr>
          <w:rFonts w:asciiTheme="majorHAnsi" w:hAnsiTheme="majorHAnsi"/>
          <w:sz w:val="16"/>
          <w:szCs w:val="16"/>
          <w:lang w:val="es-VE"/>
        </w:rPr>
      </w:pPr>
      <w:r w:rsidRPr="00187D0D">
        <w:rPr>
          <w:rStyle w:val="FootnoteReference"/>
          <w:rFonts w:asciiTheme="majorHAnsi" w:hAnsiTheme="majorHAnsi"/>
          <w:sz w:val="16"/>
          <w:szCs w:val="16"/>
        </w:rPr>
        <w:footnoteRef/>
      </w:r>
      <w:r w:rsidRPr="00187D0D">
        <w:rPr>
          <w:rFonts w:asciiTheme="majorHAnsi" w:hAnsiTheme="majorHAnsi"/>
          <w:sz w:val="16"/>
          <w:szCs w:val="16"/>
          <w:lang w:val="es-VE"/>
        </w:rPr>
        <w:t xml:space="preserve"> </w:t>
      </w:r>
      <w:r w:rsidRPr="00187D0D">
        <w:rPr>
          <w:rFonts w:asciiTheme="majorHAnsi" w:hAnsiTheme="majorHAnsi"/>
          <w:sz w:val="16"/>
          <w:szCs w:val="16"/>
          <w:lang w:val="es-CO"/>
        </w:rPr>
        <w:t>Anexo 4. Resolución de la Sala Primera de la Corte de Apelaciones de Trabajo y Previsión Social del 16 de febrero 1996. Anexo 1 al Escrito de la parte peticionaria de10 de febrero de 2005.</w:t>
      </w:r>
    </w:p>
  </w:footnote>
  <w:footnote w:id="13">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5. Historial del movimiento de huelga. Anexo 10 al Escrito de la parte peticionaria de 10 de marzo de 2008.</w:t>
      </w:r>
    </w:p>
  </w:footnote>
  <w:footnote w:id="14">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5. Historial del movimiento de huelga. Anexo 10 al Escrito de la parte peticionaria de 10 de marzo de 2008.</w:t>
      </w:r>
    </w:p>
  </w:footnote>
  <w:footnote w:id="15">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6. Resolución de la Sala de la Corte de Apelaciones de Trabajo y Previsión Social del 23 de febrero 1996. Anexo 2 al Escrito de la parte peticionaria  de 10 de febrero de 2005.</w:t>
      </w:r>
    </w:p>
  </w:footnote>
  <w:footnote w:id="16">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5. Historial del movimiento de huelga. Anexo 10 al Escrito de la parte peticionaria de 10 de marzo de 2008.</w:t>
      </w:r>
    </w:p>
  </w:footnote>
  <w:footnote w:id="17">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7. Resolución de la Sala de la Corte de Apelaciones de Trabajo y Previsión Social del 26 de febrero 1996. Anexo 3 al Escrito de la parte peticionaria de 10 de febrero de 2005.</w:t>
      </w:r>
    </w:p>
  </w:footnote>
  <w:footnote w:id="18">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7. Resolución de la Sala de la Corte de Apelaciones de Trabajo y Previsión Social del 26 de febrero 1996. Anexo 3 al Escrito de la parte peticionaria de 10 de febrero de 2005.</w:t>
      </w:r>
    </w:p>
  </w:footnote>
  <w:footnote w:id="19">
    <w:p w:rsidR="002D1311" w:rsidRPr="00187D0D"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8. Decisión de la Corte de Constitucionalidad del 2 de abril de 1996. Anexo 13 al Escrito de la parte peticionaria de 10 de marzo de 2008. </w:t>
      </w:r>
    </w:p>
  </w:footnote>
  <w:footnote w:id="20">
    <w:p w:rsidR="002D1311" w:rsidRPr="00D723BE" w:rsidRDefault="002D1311" w:rsidP="00557337">
      <w:pPr>
        <w:pStyle w:val="FootnoteText"/>
        <w:jc w:val="both"/>
        <w:rPr>
          <w:rFonts w:asciiTheme="majorHAnsi" w:hAnsiTheme="majorHAnsi"/>
          <w:sz w:val="16"/>
          <w:szCs w:val="16"/>
          <w:lang w:val="es-CO"/>
        </w:rPr>
      </w:pPr>
      <w:r w:rsidRPr="00187D0D">
        <w:rPr>
          <w:rStyle w:val="FootnoteReference"/>
          <w:rFonts w:asciiTheme="majorHAnsi" w:hAnsiTheme="majorHAnsi"/>
          <w:sz w:val="16"/>
          <w:szCs w:val="16"/>
        </w:rPr>
        <w:footnoteRef/>
      </w:r>
      <w:r w:rsidRPr="00187D0D">
        <w:rPr>
          <w:rFonts w:asciiTheme="majorHAnsi" w:hAnsiTheme="majorHAnsi"/>
          <w:sz w:val="16"/>
          <w:szCs w:val="16"/>
          <w:lang w:val="es-CO"/>
        </w:rPr>
        <w:t xml:space="preserve"> Anexo 8. Decisión de la Corte de Constitucionalidad del 2 de abril de 1996. Anexo 13 al Escrito de la parte peticionaria de 10 de marzo de 2008.</w:t>
      </w:r>
      <w:r w:rsidRPr="00D723BE">
        <w:rPr>
          <w:rFonts w:asciiTheme="majorHAnsi" w:hAnsiTheme="majorHAnsi"/>
          <w:sz w:val="16"/>
          <w:szCs w:val="16"/>
          <w:lang w:val="es-CO"/>
        </w:rPr>
        <w:t xml:space="preserve"> </w:t>
      </w:r>
    </w:p>
  </w:footnote>
  <w:footnote w:id="21">
    <w:p w:rsidR="002D1311" w:rsidRPr="00557337"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Pr>
          <w:rFonts w:asciiTheme="majorHAnsi" w:hAnsiTheme="majorHAnsi"/>
          <w:sz w:val="16"/>
          <w:szCs w:val="16"/>
          <w:lang w:val="es-CO"/>
        </w:rPr>
        <w:t xml:space="preserve"> Anexo 8</w:t>
      </w:r>
      <w:r w:rsidRPr="00557337">
        <w:rPr>
          <w:rFonts w:asciiTheme="majorHAnsi" w:hAnsiTheme="majorHAnsi"/>
          <w:sz w:val="16"/>
          <w:szCs w:val="16"/>
          <w:lang w:val="es-CO"/>
        </w:rPr>
        <w:t xml:space="preserve">. Decisión de la Corte de Constitucionalidad del 2 de abril de 1996. Anexo 13 al Escrito de la parte peticionaria de 10 de marzo de 2008. </w:t>
      </w:r>
    </w:p>
  </w:footnote>
  <w:footnote w:id="22">
    <w:p w:rsidR="002D1311" w:rsidRPr="00557337"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Pr>
          <w:rFonts w:asciiTheme="majorHAnsi" w:hAnsiTheme="majorHAnsi"/>
          <w:sz w:val="16"/>
          <w:szCs w:val="16"/>
          <w:lang w:val="es-CO"/>
        </w:rPr>
        <w:t xml:space="preserve"> </w:t>
      </w:r>
      <w:r w:rsidRPr="00557337">
        <w:rPr>
          <w:rFonts w:asciiTheme="majorHAnsi" w:hAnsiTheme="majorHAnsi"/>
          <w:sz w:val="16"/>
          <w:szCs w:val="16"/>
          <w:lang w:val="es-CO"/>
        </w:rPr>
        <w:t xml:space="preserve">Escrito del Estado de 11 de diciembre de 2007. </w:t>
      </w:r>
    </w:p>
  </w:footnote>
  <w:footnote w:id="23">
    <w:p w:rsidR="002D1311" w:rsidRPr="00557337"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Pr>
          <w:rFonts w:asciiTheme="majorHAnsi" w:hAnsiTheme="majorHAnsi"/>
          <w:sz w:val="16"/>
          <w:szCs w:val="16"/>
          <w:lang w:val="es-CO"/>
        </w:rPr>
        <w:t xml:space="preserve"> </w:t>
      </w:r>
      <w:r w:rsidRPr="00557337">
        <w:rPr>
          <w:rFonts w:asciiTheme="majorHAnsi" w:hAnsiTheme="majorHAnsi"/>
          <w:sz w:val="16"/>
          <w:szCs w:val="16"/>
          <w:lang w:val="es-CO"/>
        </w:rPr>
        <w:t xml:space="preserve">Escrito de la parte peticionaria de 10 de marzo de 2008, pág. 14. </w:t>
      </w:r>
    </w:p>
  </w:footnote>
  <w:footnote w:id="24">
    <w:p w:rsidR="002D1311" w:rsidRPr="00557337"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557337">
        <w:rPr>
          <w:rFonts w:asciiTheme="majorHAnsi" w:hAnsiTheme="majorHAnsi"/>
          <w:sz w:val="16"/>
          <w:szCs w:val="16"/>
          <w:lang w:val="es-CO"/>
        </w:rPr>
        <w:t>. Resolución de la Cámara Civil de la CSJ de 2 de abril de 1996. Anexo 6 al escrito  de la parte peticionaria de 1 de febrero de 2002.</w:t>
      </w:r>
    </w:p>
  </w:footnote>
  <w:footnote w:id="25">
    <w:p w:rsidR="002D1311" w:rsidRPr="00557337"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557337">
        <w:rPr>
          <w:rFonts w:asciiTheme="majorHAnsi" w:hAnsiTheme="majorHAnsi"/>
          <w:sz w:val="16"/>
          <w:szCs w:val="16"/>
          <w:lang w:val="es-CO"/>
        </w:rPr>
        <w:t>. Historial del movimiento de huelga. Anexo 10 al Escrito de la parte  peticionaria de 10 de Marzo de 2008.</w:t>
      </w:r>
    </w:p>
  </w:footnote>
  <w:footnote w:id="26">
    <w:p w:rsidR="002D1311" w:rsidRPr="00D723BE" w:rsidRDefault="002D1311" w:rsidP="00557337">
      <w:pPr>
        <w:pStyle w:val="FootnoteText"/>
        <w:jc w:val="both"/>
        <w:rPr>
          <w:rFonts w:asciiTheme="majorHAnsi" w:hAnsiTheme="majorHAnsi"/>
          <w:sz w:val="16"/>
          <w:szCs w:val="16"/>
          <w:lang w:val="es-CO"/>
        </w:rPr>
      </w:pPr>
      <w:r w:rsidRPr="00557337">
        <w:rPr>
          <w:rStyle w:val="FootnoteReference"/>
          <w:rFonts w:asciiTheme="majorHAnsi" w:hAnsiTheme="majorHAnsi"/>
          <w:sz w:val="16"/>
          <w:szCs w:val="16"/>
        </w:rPr>
        <w:footnoteRef/>
      </w:r>
      <w:r w:rsidR="00677E8F">
        <w:rPr>
          <w:rFonts w:asciiTheme="majorHAnsi" w:hAnsiTheme="majorHAnsi"/>
          <w:sz w:val="16"/>
          <w:szCs w:val="16"/>
          <w:lang w:val="es-CO"/>
        </w:rPr>
        <w:t xml:space="preserve"> Anexo 10</w:t>
      </w:r>
      <w:r w:rsidRPr="00557337">
        <w:rPr>
          <w:rFonts w:asciiTheme="majorHAnsi" w:hAnsiTheme="majorHAnsi"/>
          <w:sz w:val="16"/>
          <w:szCs w:val="16"/>
          <w:lang w:val="es-CO"/>
        </w:rPr>
        <w:t>. Resolución de la Sala Primera de la Corte de Apelaciones de Trabajo y Previsión Social del 13 de mayo de 1996. Anexo 7 al Escrito de la parte peticionaria de 28 de noviembre del 2000.</w:t>
      </w:r>
    </w:p>
  </w:footnote>
  <w:footnote w:id="27">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Anexo 10</w:t>
      </w:r>
      <w:r w:rsidRPr="00D723BE">
        <w:rPr>
          <w:rFonts w:asciiTheme="majorHAnsi" w:hAnsiTheme="majorHAnsi"/>
          <w:sz w:val="16"/>
          <w:szCs w:val="16"/>
          <w:lang w:val="es-CO"/>
        </w:rPr>
        <w:t xml:space="preserve">. Resolución de la Sala </w:t>
      </w:r>
      <w:r>
        <w:rPr>
          <w:rFonts w:asciiTheme="majorHAnsi" w:hAnsiTheme="majorHAnsi"/>
          <w:sz w:val="16"/>
          <w:szCs w:val="16"/>
          <w:lang w:val="es-CO"/>
        </w:rPr>
        <w:t>Primera de la Corte de Apelaciones</w:t>
      </w:r>
      <w:r w:rsidRPr="00D723BE">
        <w:rPr>
          <w:rFonts w:asciiTheme="majorHAnsi" w:hAnsiTheme="majorHAnsi"/>
          <w:sz w:val="16"/>
          <w:szCs w:val="16"/>
          <w:lang w:val="es-CO"/>
        </w:rPr>
        <w:t xml:space="preserve"> de Trabajo y Previsión Social del 13 de mayo de 1996. Anexo 7 al Escrito de </w:t>
      </w:r>
      <w:r>
        <w:rPr>
          <w:rFonts w:asciiTheme="majorHAnsi" w:hAnsiTheme="majorHAnsi"/>
          <w:sz w:val="16"/>
          <w:szCs w:val="16"/>
          <w:lang w:val="es-CO"/>
        </w:rPr>
        <w:t xml:space="preserve">la parte peticionaria de </w:t>
      </w:r>
      <w:r w:rsidRPr="00D723BE">
        <w:rPr>
          <w:rFonts w:asciiTheme="majorHAnsi" w:hAnsiTheme="majorHAnsi"/>
          <w:sz w:val="16"/>
          <w:szCs w:val="16"/>
          <w:lang w:val="es-CO"/>
        </w:rPr>
        <w:t>28 de noviembre del 2000.</w:t>
      </w:r>
    </w:p>
  </w:footnote>
  <w:footnote w:id="28">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Según consta en el Anexo 11</w:t>
      </w:r>
      <w:r w:rsidRPr="00D723BE">
        <w:rPr>
          <w:rFonts w:asciiTheme="majorHAnsi" w:hAnsiTheme="majorHAnsi"/>
          <w:sz w:val="16"/>
          <w:szCs w:val="16"/>
          <w:lang w:val="es-CO"/>
        </w:rPr>
        <w:t xml:space="preserve">. </w:t>
      </w:r>
      <w:r w:rsidRPr="00677E8F">
        <w:rPr>
          <w:rFonts w:asciiTheme="majorHAnsi" w:hAnsiTheme="majorHAnsi"/>
          <w:sz w:val="16"/>
          <w:szCs w:val="16"/>
          <w:lang w:val="es-CO"/>
        </w:rPr>
        <w:t>Resolución de la Corte Suprema de Justicia, Cámara de Amparo y Antejuicio del 18 de febrero de 1997. Anexo 8 al escrito de admisibilidad de la parte peticionaria de 28 de noviembre de 2000.</w:t>
      </w:r>
    </w:p>
  </w:footnote>
  <w:footnote w:id="29">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Pr="00D723BE">
        <w:rPr>
          <w:rFonts w:asciiTheme="majorHAnsi" w:hAnsiTheme="majorHAnsi"/>
          <w:sz w:val="16"/>
          <w:szCs w:val="16"/>
          <w:lang w:val="es-CO"/>
        </w:rPr>
        <w:t xml:space="preserve"> An</w:t>
      </w:r>
      <w:r w:rsidR="00677E8F">
        <w:rPr>
          <w:rFonts w:asciiTheme="majorHAnsi" w:hAnsiTheme="majorHAnsi"/>
          <w:sz w:val="16"/>
          <w:szCs w:val="16"/>
          <w:lang w:val="es-CO"/>
        </w:rPr>
        <w:t>exo 11</w:t>
      </w:r>
      <w:r w:rsidRPr="00D723BE">
        <w:rPr>
          <w:rFonts w:asciiTheme="majorHAnsi" w:hAnsiTheme="majorHAnsi"/>
          <w:sz w:val="16"/>
          <w:szCs w:val="16"/>
          <w:lang w:val="es-CO"/>
        </w:rPr>
        <w:t>. Resolución de</w:t>
      </w:r>
      <w:r>
        <w:rPr>
          <w:rFonts w:asciiTheme="majorHAnsi" w:hAnsiTheme="majorHAnsi"/>
          <w:sz w:val="16"/>
          <w:szCs w:val="16"/>
          <w:lang w:val="es-CO"/>
        </w:rPr>
        <w:t xml:space="preserve"> la Corte Suprema de Justicia, Cámara de Amparo y A</w:t>
      </w:r>
      <w:r w:rsidRPr="00D723BE">
        <w:rPr>
          <w:rFonts w:asciiTheme="majorHAnsi" w:hAnsiTheme="majorHAnsi"/>
          <w:sz w:val="16"/>
          <w:szCs w:val="16"/>
          <w:lang w:val="es-CO"/>
        </w:rPr>
        <w:t xml:space="preserve">ntejuicio del 18 de febrero de 1997. Anexo 8 al escrito de </w:t>
      </w:r>
      <w:r>
        <w:rPr>
          <w:rFonts w:asciiTheme="majorHAnsi" w:hAnsiTheme="majorHAnsi"/>
          <w:sz w:val="16"/>
          <w:szCs w:val="16"/>
          <w:lang w:val="es-CO"/>
        </w:rPr>
        <w:t>la parte peticionaria de</w:t>
      </w:r>
      <w:r w:rsidRPr="00D723BE">
        <w:rPr>
          <w:rFonts w:asciiTheme="majorHAnsi" w:hAnsiTheme="majorHAnsi"/>
          <w:sz w:val="16"/>
          <w:szCs w:val="16"/>
          <w:lang w:val="es-CO"/>
        </w:rPr>
        <w:t xml:space="preserve"> 28 de noviembre de 2000.</w:t>
      </w:r>
    </w:p>
  </w:footnote>
  <w:footnote w:id="30">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Anexo 12</w:t>
      </w:r>
      <w:r w:rsidRPr="00D723BE">
        <w:rPr>
          <w:rFonts w:asciiTheme="majorHAnsi" w:hAnsiTheme="majorHAnsi"/>
          <w:sz w:val="16"/>
          <w:szCs w:val="16"/>
          <w:lang w:val="es-CO"/>
        </w:rPr>
        <w:t xml:space="preserve">. Resolución de la Corte de Constitucionalidad de 19 de junio de 1997. Anexo 9 al escrito de </w:t>
      </w:r>
      <w:r>
        <w:rPr>
          <w:rFonts w:asciiTheme="majorHAnsi" w:hAnsiTheme="majorHAnsi"/>
          <w:sz w:val="16"/>
          <w:szCs w:val="16"/>
          <w:lang w:val="es-CO"/>
        </w:rPr>
        <w:t xml:space="preserve"> la parte peticionaria de </w:t>
      </w:r>
      <w:r w:rsidRPr="00D723BE">
        <w:rPr>
          <w:rFonts w:asciiTheme="majorHAnsi" w:hAnsiTheme="majorHAnsi"/>
          <w:sz w:val="16"/>
          <w:szCs w:val="16"/>
          <w:lang w:val="es-CO"/>
        </w:rPr>
        <w:t>28 de noviembre de 2000.</w:t>
      </w:r>
    </w:p>
  </w:footnote>
  <w:footnote w:id="31">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Anexo 13</w:t>
      </w:r>
      <w:r w:rsidRPr="00D723BE">
        <w:rPr>
          <w:rFonts w:asciiTheme="majorHAnsi" w:hAnsiTheme="majorHAnsi"/>
          <w:sz w:val="16"/>
          <w:szCs w:val="16"/>
          <w:lang w:val="es-CO"/>
        </w:rPr>
        <w:t xml:space="preserve">. Sentencia de la CSJ ejecutando los despidos. Anexo 15 </w:t>
      </w:r>
      <w:r>
        <w:rPr>
          <w:rFonts w:asciiTheme="majorHAnsi" w:hAnsiTheme="majorHAnsi"/>
          <w:sz w:val="16"/>
          <w:szCs w:val="16"/>
          <w:lang w:val="es-CO"/>
        </w:rPr>
        <w:t>de Petición inicial actualizada de</w:t>
      </w:r>
      <w:r w:rsidRPr="00D723BE">
        <w:rPr>
          <w:rFonts w:asciiTheme="majorHAnsi" w:hAnsiTheme="majorHAnsi"/>
          <w:sz w:val="16"/>
          <w:szCs w:val="16"/>
          <w:lang w:val="es-CO"/>
        </w:rPr>
        <w:t xml:space="preserve"> 28 de noviembre del 2000.</w:t>
      </w:r>
    </w:p>
  </w:footnote>
  <w:footnote w:id="32">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Anexo 14</w:t>
      </w:r>
      <w:r w:rsidRPr="00D723BE">
        <w:rPr>
          <w:rFonts w:asciiTheme="majorHAnsi" w:hAnsiTheme="majorHAnsi"/>
          <w:sz w:val="16"/>
          <w:szCs w:val="16"/>
          <w:lang w:val="es-CO"/>
        </w:rPr>
        <w:t>. Resolución de Amparo por parte de la Corte de Constitucionalidad de 8 de julio de 1999. Anexo 16 d</w:t>
      </w:r>
      <w:r>
        <w:rPr>
          <w:rFonts w:asciiTheme="majorHAnsi" w:hAnsiTheme="majorHAnsi"/>
          <w:sz w:val="16"/>
          <w:szCs w:val="16"/>
          <w:lang w:val="es-CO"/>
        </w:rPr>
        <w:t xml:space="preserve">e Petición inicial actualizada de </w:t>
      </w:r>
      <w:r w:rsidRPr="00D723BE">
        <w:rPr>
          <w:rFonts w:asciiTheme="majorHAnsi" w:hAnsiTheme="majorHAnsi"/>
          <w:sz w:val="16"/>
          <w:szCs w:val="16"/>
          <w:lang w:val="es-CO"/>
        </w:rPr>
        <w:t>28 de noviembre del 2000.</w:t>
      </w:r>
    </w:p>
  </w:footnote>
  <w:footnote w:id="33">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677E8F">
        <w:rPr>
          <w:rFonts w:asciiTheme="majorHAnsi" w:hAnsiTheme="majorHAnsi"/>
          <w:sz w:val="16"/>
          <w:szCs w:val="16"/>
          <w:lang w:val="es-CO"/>
        </w:rPr>
        <w:t xml:space="preserve"> Anexo 13</w:t>
      </w:r>
      <w:r w:rsidRPr="00D723BE">
        <w:rPr>
          <w:rFonts w:asciiTheme="majorHAnsi" w:hAnsiTheme="majorHAnsi"/>
          <w:sz w:val="16"/>
          <w:szCs w:val="16"/>
          <w:lang w:val="es-CO"/>
        </w:rPr>
        <w:t xml:space="preserve">. Sentencia de la CSJ ejecutando los despidos. Anexo 15 </w:t>
      </w:r>
      <w:r>
        <w:rPr>
          <w:rFonts w:asciiTheme="majorHAnsi" w:hAnsiTheme="majorHAnsi"/>
          <w:sz w:val="16"/>
          <w:szCs w:val="16"/>
          <w:lang w:val="es-CO"/>
        </w:rPr>
        <w:t>de Petición inicial actualizada de</w:t>
      </w:r>
      <w:r w:rsidRPr="00D723BE">
        <w:rPr>
          <w:rFonts w:asciiTheme="majorHAnsi" w:hAnsiTheme="majorHAnsi"/>
          <w:sz w:val="16"/>
          <w:szCs w:val="16"/>
          <w:lang w:val="es-CO"/>
        </w:rPr>
        <w:t xml:space="preserve"> 28 de noviembre del 2000.</w:t>
      </w:r>
    </w:p>
  </w:footnote>
  <w:footnote w:id="34">
    <w:p w:rsidR="002D1311" w:rsidRPr="00D723BE" w:rsidRDefault="002D1311" w:rsidP="003E715E">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EC3398">
        <w:rPr>
          <w:rFonts w:asciiTheme="majorHAnsi" w:hAnsiTheme="majorHAnsi"/>
          <w:sz w:val="16"/>
          <w:szCs w:val="16"/>
          <w:lang w:val="es-CO"/>
        </w:rPr>
        <w:t xml:space="preserve"> Anexo 13</w:t>
      </w:r>
      <w:r w:rsidRPr="00D723BE">
        <w:rPr>
          <w:rFonts w:asciiTheme="majorHAnsi" w:hAnsiTheme="majorHAnsi"/>
          <w:sz w:val="16"/>
          <w:szCs w:val="16"/>
          <w:lang w:val="es-CO"/>
        </w:rPr>
        <w:t xml:space="preserve">. Sentencia de la CSJ ejecutando los despidos. Anexo 15 </w:t>
      </w:r>
      <w:r>
        <w:rPr>
          <w:rFonts w:asciiTheme="majorHAnsi" w:hAnsiTheme="majorHAnsi"/>
          <w:sz w:val="16"/>
          <w:szCs w:val="16"/>
          <w:lang w:val="es-CO"/>
        </w:rPr>
        <w:t>de Petición inicial actualizada de</w:t>
      </w:r>
      <w:r w:rsidRPr="00D723BE">
        <w:rPr>
          <w:rFonts w:asciiTheme="majorHAnsi" w:hAnsiTheme="majorHAnsi"/>
          <w:sz w:val="16"/>
          <w:szCs w:val="16"/>
          <w:lang w:val="es-CO"/>
        </w:rPr>
        <w:t xml:space="preserve"> 28 de noviembre del 2000.</w:t>
      </w:r>
    </w:p>
  </w:footnote>
  <w:footnote w:id="35">
    <w:p w:rsidR="002D1311" w:rsidRPr="00105C58" w:rsidRDefault="002D1311" w:rsidP="003E715E">
      <w:pPr>
        <w:jc w:val="both"/>
        <w:rPr>
          <w:rFonts w:ascii="Cambria" w:hAnsi="Cambria"/>
          <w:sz w:val="16"/>
          <w:szCs w:val="16"/>
          <w:lang w:val="es-CO"/>
        </w:rPr>
      </w:pPr>
      <w:r w:rsidRPr="00105C58">
        <w:rPr>
          <w:rStyle w:val="FootnoteReference"/>
          <w:rFonts w:ascii="Cambria" w:hAnsi="Cambria"/>
          <w:sz w:val="16"/>
          <w:szCs w:val="16"/>
        </w:rPr>
        <w:footnoteRef/>
      </w:r>
      <w:proofErr w:type="spellStart"/>
      <w:r w:rsidRPr="00105C58">
        <w:rPr>
          <w:rFonts w:ascii="Cambria" w:hAnsi="Cambria"/>
          <w:sz w:val="16"/>
          <w:szCs w:val="16"/>
          <w:lang w:val="es-VE"/>
        </w:rPr>
        <w:t>Ajquejay</w:t>
      </w:r>
      <w:proofErr w:type="spellEnd"/>
      <w:r w:rsidRPr="00105C58">
        <w:rPr>
          <w:rFonts w:ascii="Cambria" w:hAnsi="Cambria"/>
          <w:sz w:val="16"/>
          <w:szCs w:val="16"/>
          <w:lang w:val="es-VE"/>
        </w:rPr>
        <w:t xml:space="preserve"> </w:t>
      </w:r>
      <w:proofErr w:type="spellStart"/>
      <w:r w:rsidRPr="00105C58">
        <w:rPr>
          <w:rFonts w:ascii="Cambria" w:hAnsi="Cambria"/>
          <w:sz w:val="16"/>
          <w:szCs w:val="16"/>
          <w:lang w:val="es-VE"/>
        </w:rPr>
        <w:t>Xec</w:t>
      </w:r>
      <w:proofErr w:type="spellEnd"/>
      <w:r w:rsidRPr="00105C58">
        <w:rPr>
          <w:rFonts w:ascii="Cambria" w:hAnsi="Cambria"/>
          <w:sz w:val="16"/>
          <w:szCs w:val="16"/>
          <w:lang w:val="es-VE"/>
        </w:rPr>
        <w:t xml:space="preserve"> Rafael, Arias Carlos Enrique, Arriola Conde Luis René, </w:t>
      </w:r>
      <w:proofErr w:type="spellStart"/>
      <w:r w:rsidRPr="00105C58">
        <w:rPr>
          <w:rFonts w:ascii="Cambria" w:hAnsi="Cambria"/>
          <w:sz w:val="16"/>
          <w:szCs w:val="16"/>
          <w:lang w:val="es-VE"/>
        </w:rPr>
        <w:t>Caxaj</w:t>
      </w:r>
      <w:proofErr w:type="spellEnd"/>
      <w:r w:rsidRPr="00105C58">
        <w:rPr>
          <w:rFonts w:ascii="Cambria" w:hAnsi="Cambria"/>
          <w:sz w:val="16"/>
          <w:szCs w:val="16"/>
          <w:lang w:val="es-VE"/>
        </w:rPr>
        <w:t xml:space="preserve"> </w:t>
      </w:r>
      <w:proofErr w:type="spellStart"/>
      <w:r w:rsidRPr="00105C58">
        <w:rPr>
          <w:rFonts w:ascii="Cambria" w:hAnsi="Cambria"/>
          <w:sz w:val="16"/>
          <w:szCs w:val="16"/>
          <w:lang w:val="es-VE"/>
        </w:rPr>
        <w:t>Turnil</w:t>
      </w:r>
      <w:proofErr w:type="spellEnd"/>
      <w:r w:rsidRPr="00105C58">
        <w:rPr>
          <w:rFonts w:ascii="Cambria" w:hAnsi="Cambria"/>
          <w:sz w:val="16"/>
          <w:szCs w:val="16"/>
          <w:lang w:val="es-VE"/>
        </w:rPr>
        <w:t xml:space="preserve"> Mario Juan Humberto, </w:t>
      </w:r>
      <w:proofErr w:type="spellStart"/>
      <w:r w:rsidRPr="00105C58">
        <w:rPr>
          <w:rFonts w:ascii="Cambria" w:hAnsi="Cambria"/>
          <w:sz w:val="16"/>
          <w:szCs w:val="16"/>
          <w:lang w:val="es-VE"/>
        </w:rPr>
        <w:t>Ejacalon</w:t>
      </w:r>
      <w:proofErr w:type="spellEnd"/>
      <w:r w:rsidRPr="00105C58">
        <w:rPr>
          <w:rFonts w:ascii="Cambria" w:hAnsi="Cambria"/>
          <w:sz w:val="16"/>
          <w:szCs w:val="16"/>
          <w:lang w:val="es-VE"/>
        </w:rPr>
        <w:t xml:space="preserve"> </w:t>
      </w:r>
      <w:proofErr w:type="spellStart"/>
      <w:r w:rsidRPr="00105C58">
        <w:rPr>
          <w:rFonts w:ascii="Cambria" w:hAnsi="Cambria"/>
          <w:sz w:val="16"/>
          <w:szCs w:val="16"/>
          <w:lang w:val="es-VE"/>
        </w:rPr>
        <w:t>Majzul</w:t>
      </w:r>
      <w:proofErr w:type="spellEnd"/>
      <w:r w:rsidRPr="00105C58">
        <w:rPr>
          <w:rFonts w:ascii="Cambria" w:hAnsi="Cambria"/>
          <w:sz w:val="16"/>
          <w:szCs w:val="16"/>
          <w:lang w:val="es-VE"/>
        </w:rPr>
        <w:t xml:space="preserve"> </w:t>
      </w:r>
      <w:proofErr w:type="spellStart"/>
      <w:r w:rsidRPr="00105C58">
        <w:rPr>
          <w:rFonts w:ascii="Cambria" w:hAnsi="Cambria"/>
          <w:sz w:val="16"/>
          <w:szCs w:val="16"/>
          <w:lang w:val="es-VE"/>
        </w:rPr>
        <w:t>Irrael</w:t>
      </w:r>
      <w:proofErr w:type="spellEnd"/>
      <w:r w:rsidRPr="00105C58">
        <w:rPr>
          <w:rFonts w:ascii="Cambria" w:hAnsi="Cambria"/>
          <w:sz w:val="16"/>
          <w:szCs w:val="16"/>
          <w:lang w:val="es-VE"/>
        </w:rPr>
        <w:t xml:space="preserve">, </w:t>
      </w:r>
      <w:proofErr w:type="spellStart"/>
      <w:r w:rsidRPr="00105C58">
        <w:rPr>
          <w:rFonts w:ascii="Cambria" w:hAnsi="Cambria"/>
          <w:sz w:val="16"/>
          <w:szCs w:val="16"/>
          <w:lang w:val="es-VE"/>
        </w:rPr>
        <w:t>Illescas</w:t>
      </w:r>
      <w:proofErr w:type="spellEnd"/>
      <w:r w:rsidRPr="00105C58">
        <w:rPr>
          <w:rFonts w:ascii="Cambria" w:hAnsi="Cambria"/>
          <w:sz w:val="16"/>
          <w:szCs w:val="16"/>
          <w:lang w:val="es-VE"/>
        </w:rPr>
        <w:t xml:space="preserve"> Garcia de Suarez Rosa Nelly, </w:t>
      </w:r>
      <w:r w:rsidRPr="00105C58">
        <w:rPr>
          <w:rFonts w:ascii="Cambria" w:hAnsi="Cambria"/>
          <w:sz w:val="16"/>
          <w:szCs w:val="16"/>
          <w:lang w:val="es-CO"/>
        </w:rPr>
        <w:t xml:space="preserve">Leonardo Carlos Antonio. Leonardo Oscar </w:t>
      </w:r>
      <w:proofErr w:type="spellStart"/>
      <w:r w:rsidRPr="00105C58">
        <w:rPr>
          <w:rFonts w:ascii="Cambria" w:hAnsi="Cambria"/>
          <w:sz w:val="16"/>
          <w:szCs w:val="16"/>
          <w:lang w:val="es-CO"/>
        </w:rPr>
        <w:t>Moises</w:t>
      </w:r>
      <w:proofErr w:type="spellEnd"/>
      <w:r w:rsidRPr="00105C58">
        <w:rPr>
          <w:rFonts w:ascii="Cambria" w:hAnsi="Cambria"/>
          <w:sz w:val="16"/>
          <w:szCs w:val="16"/>
          <w:lang w:val="es-CO"/>
        </w:rPr>
        <w:t xml:space="preserve">, Lopez Arias, Edgar Arturo, Lopez </w:t>
      </w:r>
      <w:proofErr w:type="spellStart"/>
      <w:r w:rsidRPr="00105C58">
        <w:rPr>
          <w:rFonts w:ascii="Cambria" w:hAnsi="Cambria"/>
          <w:sz w:val="16"/>
          <w:szCs w:val="16"/>
          <w:lang w:val="es-CO"/>
        </w:rPr>
        <w:t>Giron</w:t>
      </w:r>
      <w:proofErr w:type="spellEnd"/>
      <w:r w:rsidRPr="00105C58">
        <w:rPr>
          <w:rFonts w:ascii="Cambria" w:hAnsi="Cambria"/>
          <w:sz w:val="16"/>
          <w:szCs w:val="16"/>
          <w:lang w:val="es-CO"/>
        </w:rPr>
        <w:t xml:space="preserve"> Sandra </w:t>
      </w:r>
      <w:proofErr w:type="spellStart"/>
      <w:r w:rsidRPr="00105C58">
        <w:rPr>
          <w:rFonts w:ascii="Cambria" w:hAnsi="Cambria"/>
          <w:sz w:val="16"/>
          <w:szCs w:val="16"/>
          <w:lang w:val="es-CO"/>
        </w:rPr>
        <w:t>Nineth</w:t>
      </w:r>
      <w:proofErr w:type="spellEnd"/>
      <w:r w:rsidRPr="00105C58">
        <w:rPr>
          <w:rFonts w:ascii="Cambria" w:hAnsi="Cambria"/>
          <w:sz w:val="16"/>
          <w:szCs w:val="16"/>
          <w:lang w:val="es-CO"/>
        </w:rPr>
        <w:t xml:space="preserve">, Mendez Rodas Rolando </w:t>
      </w:r>
      <w:proofErr w:type="spellStart"/>
      <w:r w:rsidRPr="00105C58">
        <w:rPr>
          <w:rFonts w:ascii="Cambria" w:hAnsi="Cambria"/>
          <w:sz w:val="16"/>
          <w:szCs w:val="16"/>
          <w:lang w:val="es-CO"/>
        </w:rPr>
        <w:t>Efrain</w:t>
      </w:r>
      <w:proofErr w:type="spellEnd"/>
      <w:r w:rsidRPr="00105C58">
        <w:rPr>
          <w:rFonts w:ascii="Cambria" w:hAnsi="Cambria"/>
          <w:sz w:val="16"/>
          <w:szCs w:val="16"/>
          <w:lang w:val="es-CO"/>
        </w:rPr>
        <w:t xml:space="preserve">, Morales </w:t>
      </w:r>
      <w:proofErr w:type="spellStart"/>
      <w:r w:rsidRPr="00105C58">
        <w:rPr>
          <w:rFonts w:ascii="Cambria" w:hAnsi="Cambria"/>
          <w:sz w:val="16"/>
          <w:szCs w:val="16"/>
          <w:lang w:val="es-CO"/>
        </w:rPr>
        <w:t>Matias</w:t>
      </w:r>
      <w:proofErr w:type="spellEnd"/>
      <w:r w:rsidRPr="00105C58">
        <w:rPr>
          <w:rFonts w:ascii="Cambria" w:hAnsi="Cambria"/>
          <w:sz w:val="16"/>
          <w:szCs w:val="16"/>
          <w:lang w:val="es-CO"/>
        </w:rPr>
        <w:t xml:space="preserve"> Edgar Romeo, Moya Ruiz Gloria Marina, Ortiz Dominguez, Edna Araceli, Portillo Dora Carolina, Quevedo Quezada De </w:t>
      </w:r>
      <w:proofErr w:type="spellStart"/>
      <w:r w:rsidRPr="00105C58">
        <w:rPr>
          <w:rFonts w:ascii="Cambria" w:hAnsi="Cambria"/>
          <w:sz w:val="16"/>
          <w:szCs w:val="16"/>
          <w:lang w:val="es-CO"/>
        </w:rPr>
        <w:t>Marroquin</w:t>
      </w:r>
      <w:proofErr w:type="spellEnd"/>
      <w:r w:rsidRPr="00105C58">
        <w:rPr>
          <w:rFonts w:ascii="Cambria" w:hAnsi="Cambria"/>
          <w:sz w:val="16"/>
          <w:szCs w:val="16"/>
          <w:lang w:val="es-CO"/>
        </w:rPr>
        <w:t xml:space="preserve"> Evelin </w:t>
      </w:r>
      <w:proofErr w:type="spellStart"/>
      <w:r w:rsidRPr="00105C58">
        <w:rPr>
          <w:rFonts w:ascii="Cambria" w:hAnsi="Cambria"/>
          <w:sz w:val="16"/>
          <w:szCs w:val="16"/>
          <w:lang w:val="es-CO"/>
        </w:rPr>
        <w:t>Marleny</w:t>
      </w:r>
      <w:proofErr w:type="spellEnd"/>
      <w:r w:rsidRPr="00105C58">
        <w:rPr>
          <w:rFonts w:ascii="Cambria" w:hAnsi="Cambria"/>
          <w:sz w:val="16"/>
          <w:szCs w:val="16"/>
          <w:lang w:val="es-CO"/>
        </w:rPr>
        <w:t>, Reyes Martinez, Maria Victoria y Soto Godoy Sergio Eduardo.</w:t>
      </w:r>
    </w:p>
  </w:footnote>
  <w:footnote w:id="36">
    <w:p w:rsidR="002D1311" w:rsidRPr="00105C58" w:rsidRDefault="002D1311" w:rsidP="003E715E">
      <w:pPr>
        <w:pStyle w:val="FootnoteText"/>
        <w:jc w:val="both"/>
        <w:rPr>
          <w:rFonts w:ascii="Cambria" w:hAnsi="Cambria"/>
          <w:sz w:val="16"/>
          <w:szCs w:val="16"/>
          <w:lang w:val="es-CO"/>
        </w:rPr>
      </w:pPr>
      <w:r w:rsidRPr="00105C58">
        <w:rPr>
          <w:rStyle w:val="FootnoteReference"/>
          <w:rFonts w:ascii="Cambria" w:hAnsi="Cambria"/>
          <w:sz w:val="16"/>
          <w:szCs w:val="16"/>
        </w:rPr>
        <w:footnoteRef/>
      </w:r>
      <w:r w:rsidR="00EC3398">
        <w:rPr>
          <w:rFonts w:ascii="Cambria" w:hAnsi="Cambria"/>
          <w:sz w:val="16"/>
          <w:szCs w:val="16"/>
          <w:lang w:val="es-CO"/>
        </w:rPr>
        <w:t xml:space="preserve"> Anexo 15</w:t>
      </w:r>
      <w:r w:rsidRPr="00105C58">
        <w:rPr>
          <w:rFonts w:ascii="Cambria" w:hAnsi="Cambria"/>
          <w:sz w:val="16"/>
          <w:szCs w:val="16"/>
          <w:lang w:val="es-CO"/>
        </w:rPr>
        <w:t>. Fichas y Recursos de los Peticionarios. Anexo 8A a las observaciones de fondo de la parte peticionaria de 10 de Marzo de 2008</w:t>
      </w:r>
      <w:r w:rsidR="00EC3398">
        <w:rPr>
          <w:rFonts w:ascii="Cambria" w:hAnsi="Cambria"/>
          <w:sz w:val="16"/>
          <w:szCs w:val="16"/>
          <w:lang w:val="es-CO"/>
        </w:rPr>
        <w:t>.</w:t>
      </w:r>
    </w:p>
  </w:footnote>
  <w:footnote w:id="37">
    <w:p w:rsidR="002D1311" w:rsidRPr="00105C58" w:rsidRDefault="002D1311" w:rsidP="003E715E">
      <w:pPr>
        <w:pStyle w:val="FootnoteText"/>
        <w:jc w:val="both"/>
        <w:rPr>
          <w:rFonts w:ascii="Cambria" w:hAnsi="Cambria"/>
          <w:sz w:val="16"/>
          <w:szCs w:val="16"/>
          <w:lang w:val="es-CO"/>
        </w:rPr>
      </w:pPr>
      <w:r w:rsidRPr="00105C58">
        <w:rPr>
          <w:rStyle w:val="FootnoteReference"/>
          <w:rFonts w:ascii="Cambria" w:hAnsi="Cambria"/>
          <w:sz w:val="16"/>
          <w:szCs w:val="16"/>
        </w:rPr>
        <w:footnoteRef/>
      </w:r>
      <w:r w:rsidRPr="00105C58">
        <w:rPr>
          <w:rFonts w:ascii="Cambria" w:hAnsi="Cambria"/>
          <w:sz w:val="16"/>
          <w:szCs w:val="16"/>
          <w:lang w:val="es-CO"/>
        </w:rPr>
        <w:t xml:space="preserve"> A</w:t>
      </w:r>
      <w:r w:rsidR="00EC3398">
        <w:rPr>
          <w:rFonts w:ascii="Cambria" w:hAnsi="Cambria"/>
          <w:sz w:val="16"/>
          <w:szCs w:val="16"/>
          <w:lang w:val="es-CO"/>
        </w:rPr>
        <w:t>nexo 16</w:t>
      </w:r>
      <w:r w:rsidRPr="00105C58">
        <w:rPr>
          <w:rFonts w:ascii="Cambria" w:hAnsi="Cambria"/>
          <w:sz w:val="16"/>
          <w:szCs w:val="16"/>
          <w:lang w:val="es-CO"/>
        </w:rPr>
        <w:t>. Corrección de los errores en el acta de despido. Anexo 3 a las observaciones de fondo de la parte peticionaria de 10 de marzo de 2008.</w:t>
      </w:r>
    </w:p>
  </w:footnote>
  <w:footnote w:id="38">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2B6ECA">
        <w:rPr>
          <w:rFonts w:asciiTheme="majorHAnsi" w:hAnsiTheme="majorHAnsi"/>
          <w:sz w:val="16"/>
          <w:szCs w:val="16"/>
          <w:lang w:val="es-CO"/>
        </w:rPr>
        <w:t xml:space="preserve"> Anexo 17</w:t>
      </w:r>
      <w:r w:rsidRPr="00D723BE">
        <w:rPr>
          <w:rFonts w:asciiTheme="majorHAnsi" w:hAnsiTheme="majorHAnsi"/>
          <w:sz w:val="16"/>
          <w:szCs w:val="16"/>
          <w:lang w:val="es-CO"/>
        </w:rPr>
        <w:t>.</w:t>
      </w:r>
      <w:r>
        <w:rPr>
          <w:rFonts w:asciiTheme="majorHAnsi" w:hAnsiTheme="majorHAnsi"/>
          <w:sz w:val="16"/>
          <w:szCs w:val="16"/>
          <w:lang w:val="es-CO"/>
        </w:rPr>
        <w:t xml:space="preserve"> Memorial de Amparo presentado ante </w:t>
      </w:r>
      <w:r w:rsidRPr="00D723BE">
        <w:rPr>
          <w:rFonts w:asciiTheme="majorHAnsi" w:hAnsiTheme="majorHAnsi"/>
          <w:sz w:val="16"/>
          <w:szCs w:val="16"/>
          <w:lang w:val="es-CO"/>
        </w:rPr>
        <w:t xml:space="preserve">la Corte de Constitucional. Anexo 13 </w:t>
      </w:r>
      <w:r>
        <w:rPr>
          <w:rFonts w:asciiTheme="majorHAnsi" w:hAnsiTheme="majorHAnsi"/>
          <w:sz w:val="16"/>
          <w:szCs w:val="16"/>
          <w:lang w:val="es-CO"/>
        </w:rPr>
        <w:t xml:space="preserve">al escrito de la parte peticionaria de </w:t>
      </w:r>
      <w:r w:rsidRPr="00D723BE">
        <w:rPr>
          <w:rFonts w:asciiTheme="majorHAnsi" w:hAnsiTheme="majorHAnsi"/>
          <w:sz w:val="16"/>
          <w:szCs w:val="16"/>
          <w:lang w:val="es-CO"/>
        </w:rPr>
        <w:t>22 de noviembre de 2000.</w:t>
      </w:r>
    </w:p>
  </w:footnote>
  <w:footnote w:id="39">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2B6ECA">
        <w:rPr>
          <w:rFonts w:asciiTheme="majorHAnsi" w:hAnsiTheme="majorHAnsi"/>
          <w:sz w:val="16"/>
          <w:szCs w:val="16"/>
          <w:lang w:val="es-CO"/>
        </w:rPr>
        <w:t xml:space="preserve"> Anexo 18.</w:t>
      </w:r>
      <w:r w:rsidRPr="00D723BE">
        <w:rPr>
          <w:rFonts w:asciiTheme="majorHAnsi" w:hAnsiTheme="majorHAnsi"/>
          <w:sz w:val="16"/>
          <w:szCs w:val="16"/>
          <w:lang w:val="es-CO"/>
        </w:rPr>
        <w:t xml:space="preserve"> Resolución de la Corte de Constitucionalidad de 29 de febrero de 2000. Anexo 18 </w:t>
      </w:r>
      <w:r>
        <w:rPr>
          <w:rFonts w:asciiTheme="majorHAnsi" w:hAnsiTheme="majorHAnsi"/>
          <w:sz w:val="16"/>
          <w:szCs w:val="16"/>
          <w:lang w:val="es-CO"/>
        </w:rPr>
        <w:t>de Petición inicial actualizada de</w:t>
      </w:r>
      <w:r w:rsidRPr="00D723BE">
        <w:rPr>
          <w:rFonts w:asciiTheme="majorHAnsi" w:hAnsiTheme="majorHAnsi"/>
          <w:sz w:val="16"/>
          <w:szCs w:val="16"/>
          <w:lang w:val="es-CO"/>
        </w:rPr>
        <w:t xml:space="preserve"> 28 de noviembre del 2000.</w:t>
      </w:r>
    </w:p>
  </w:footnote>
  <w:footnote w:id="40">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2B6ECA">
        <w:rPr>
          <w:rFonts w:asciiTheme="majorHAnsi" w:hAnsiTheme="majorHAnsi"/>
          <w:sz w:val="16"/>
          <w:szCs w:val="16"/>
          <w:lang w:val="es-CO"/>
        </w:rPr>
        <w:t xml:space="preserve"> Anexo 19</w:t>
      </w:r>
      <w:r w:rsidRPr="00D723BE">
        <w:rPr>
          <w:rFonts w:asciiTheme="majorHAnsi" w:hAnsiTheme="majorHAnsi"/>
          <w:sz w:val="16"/>
          <w:szCs w:val="16"/>
          <w:lang w:val="es-CO"/>
        </w:rPr>
        <w:t xml:space="preserve">. Voto disidente del Magistrado Amado Gonzales Benitez. Anexo 8 al Escrito del peticionario </w:t>
      </w:r>
      <w:r>
        <w:rPr>
          <w:rFonts w:asciiTheme="majorHAnsi" w:hAnsiTheme="majorHAnsi"/>
          <w:sz w:val="16"/>
          <w:szCs w:val="16"/>
          <w:lang w:val="es-CO"/>
        </w:rPr>
        <w:t>de</w:t>
      </w:r>
      <w:r w:rsidRPr="00D723BE">
        <w:rPr>
          <w:rFonts w:asciiTheme="majorHAnsi" w:hAnsiTheme="majorHAnsi"/>
          <w:sz w:val="16"/>
          <w:szCs w:val="16"/>
          <w:lang w:val="es-CO"/>
        </w:rPr>
        <w:t xml:space="preserve"> 12 de Octubre de 2007.</w:t>
      </w:r>
    </w:p>
  </w:footnote>
  <w:footnote w:id="41">
    <w:p w:rsidR="002D1311" w:rsidRPr="00D723BE" w:rsidRDefault="002D1311" w:rsidP="00557337">
      <w:pPr>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Pr="00D723BE">
        <w:rPr>
          <w:rFonts w:asciiTheme="majorHAnsi" w:hAnsiTheme="majorHAnsi"/>
          <w:sz w:val="16"/>
          <w:szCs w:val="16"/>
          <w:lang w:val="es-CO"/>
        </w:rPr>
        <w:t xml:space="preserve"> L</w:t>
      </w:r>
      <w:r>
        <w:rPr>
          <w:rFonts w:asciiTheme="majorHAnsi" w:hAnsiTheme="majorHAnsi"/>
          <w:sz w:val="16"/>
          <w:szCs w:val="16"/>
          <w:lang w:val="es-CO"/>
        </w:rPr>
        <w:t xml:space="preserve">as personas </w:t>
      </w:r>
      <w:r w:rsidRPr="00D723BE">
        <w:rPr>
          <w:rFonts w:asciiTheme="majorHAnsi" w:hAnsiTheme="majorHAnsi"/>
          <w:sz w:val="16"/>
          <w:szCs w:val="16"/>
          <w:lang w:val="es-CO"/>
        </w:rPr>
        <w:t>recontratad</w:t>
      </w:r>
      <w:r>
        <w:rPr>
          <w:rFonts w:asciiTheme="majorHAnsi" w:hAnsiTheme="majorHAnsi"/>
          <w:sz w:val="16"/>
          <w:szCs w:val="16"/>
          <w:lang w:val="es-CO"/>
        </w:rPr>
        <w:t>a</w:t>
      </w:r>
      <w:r w:rsidRPr="00D723BE">
        <w:rPr>
          <w:rFonts w:asciiTheme="majorHAnsi" w:hAnsiTheme="majorHAnsi"/>
          <w:sz w:val="16"/>
          <w:szCs w:val="16"/>
          <w:lang w:val="es-CO"/>
        </w:rPr>
        <w:t xml:space="preserve">s son: </w:t>
      </w:r>
      <w:r w:rsidRPr="00D723BE">
        <w:rPr>
          <w:rFonts w:asciiTheme="majorHAnsi" w:hAnsiTheme="majorHAnsi"/>
          <w:sz w:val="16"/>
          <w:szCs w:val="16"/>
          <w:lang w:val="es-VE"/>
        </w:rPr>
        <w:t xml:space="preserve">Aparicio De Sagastume Ligia Irasema Estrada , </w:t>
      </w:r>
      <w:r>
        <w:rPr>
          <w:rFonts w:asciiTheme="majorHAnsi" w:hAnsiTheme="majorHAnsi"/>
          <w:sz w:val="16"/>
          <w:szCs w:val="16"/>
          <w:lang w:val="es-VE"/>
        </w:rPr>
        <w:t xml:space="preserve">Arana Rivas, Magno Reginaldo, </w:t>
      </w:r>
      <w:proofErr w:type="spellStart"/>
      <w:r w:rsidRPr="00D723BE">
        <w:rPr>
          <w:rFonts w:asciiTheme="majorHAnsi" w:hAnsiTheme="majorHAnsi"/>
          <w:sz w:val="16"/>
          <w:szCs w:val="16"/>
          <w:lang w:val="es-VE"/>
        </w:rPr>
        <w:t>Cax</w:t>
      </w:r>
      <w:r w:rsidR="002B6ECA">
        <w:rPr>
          <w:rFonts w:asciiTheme="majorHAnsi" w:hAnsiTheme="majorHAnsi"/>
          <w:sz w:val="16"/>
          <w:szCs w:val="16"/>
          <w:lang w:val="es-VE"/>
        </w:rPr>
        <w:t>aj</w:t>
      </w:r>
      <w:proofErr w:type="spellEnd"/>
      <w:r w:rsidR="002B6ECA">
        <w:rPr>
          <w:rFonts w:asciiTheme="majorHAnsi" w:hAnsiTheme="majorHAnsi"/>
          <w:sz w:val="16"/>
          <w:szCs w:val="16"/>
          <w:lang w:val="es-VE"/>
        </w:rPr>
        <w:t xml:space="preserve"> </w:t>
      </w:r>
      <w:proofErr w:type="spellStart"/>
      <w:r w:rsidR="002B6ECA">
        <w:rPr>
          <w:rFonts w:asciiTheme="majorHAnsi" w:hAnsiTheme="majorHAnsi"/>
          <w:sz w:val="16"/>
          <w:szCs w:val="16"/>
          <w:lang w:val="es-VE"/>
        </w:rPr>
        <w:t>Turnil</w:t>
      </w:r>
      <w:proofErr w:type="spellEnd"/>
      <w:r w:rsidR="002B6ECA">
        <w:rPr>
          <w:rFonts w:asciiTheme="majorHAnsi" w:hAnsiTheme="majorHAnsi"/>
          <w:sz w:val="16"/>
          <w:szCs w:val="16"/>
          <w:lang w:val="es-VE"/>
        </w:rPr>
        <w:t xml:space="preserve"> Mario Juan Humberto, </w:t>
      </w:r>
      <w:proofErr w:type="spellStart"/>
      <w:r w:rsidR="002B6ECA">
        <w:rPr>
          <w:rFonts w:asciiTheme="majorHAnsi" w:hAnsiTheme="majorHAnsi"/>
          <w:sz w:val="16"/>
          <w:szCs w:val="16"/>
          <w:lang w:val="es-VE"/>
        </w:rPr>
        <w:t>Cojti</w:t>
      </w:r>
      <w:proofErr w:type="spellEnd"/>
      <w:r w:rsidR="002B6ECA">
        <w:rPr>
          <w:rFonts w:asciiTheme="majorHAnsi" w:hAnsiTheme="majorHAnsi"/>
          <w:sz w:val="16"/>
          <w:szCs w:val="16"/>
          <w:lang w:val="es-VE"/>
        </w:rPr>
        <w:t xml:space="preserve"> Marcia </w:t>
      </w:r>
      <w:r w:rsidRPr="00D723BE">
        <w:rPr>
          <w:rFonts w:asciiTheme="majorHAnsi" w:hAnsiTheme="majorHAnsi"/>
          <w:sz w:val="16"/>
          <w:szCs w:val="16"/>
          <w:lang w:val="es-VE"/>
        </w:rPr>
        <w:t xml:space="preserve">Carmen , </w:t>
      </w:r>
      <w:proofErr w:type="spellStart"/>
      <w:r w:rsidRPr="00D723BE">
        <w:rPr>
          <w:rFonts w:asciiTheme="majorHAnsi" w:hAnsiTheme="majorHAnsi"/>
          <w:sz w:val="16"/>
          <w:szCs w:val="16"/>
          <w:lang w:val="es-VE"/>
        </w:rPr>
        <w:t>Coroy</w:t>
      </w:r>
      <w:proofErr w:type="spellEnd"/>
      <w:r w:rsidRPr="00D723BE">
        <w:rPr>
          <w:rFonts w:asciiTheme="majorHAnsi" w:hAnsiTheme="majorHAnsi"/>
          <w:sz w:val="16"/>
          <w:szCs w:val="16"/>
          <w:lang w:val="es-VE"/>
        </w:rPr>
        <w:t xml:space="preserve"> Can Irma Araceli, De </w:t>
      </w:r>
      <w:proofErr w:type="spellStart"/>
      <w:r w:rsidRPr="00D723BE">
        <w:rPr>
          <w:rFonts w:asciiTheme="majorHAnsi" w:hAnsiTheme="majorHAnsi"/>
          <w:sz w:val="16"/>
          <w:szCs w:val="16"/>
          <w:lang w:val="es-VE"/>
        </w:rPr>
        <w:t>Leon</w:t>
      </w:r>
      <w:proofErr w:type="spellEnd"/>
      <w:r w:rsidRPr="00D723BE">
        <w:rPr>
          <w:rFonts w:asciiTheme="majorHAnsi" w:hAnsiTheme="majorHAnsi"/>
          <w:sz w:val="16"/>
          <w:szCs w:val="16"/>
          <w:lang w:val="es-VE"/>
        </w:rPr>
        <w:t xml:space="preserve"> </w:t>
      </w:r>
      <w:proofErr w:type="spellStart"/>
      <w:r w:rsidRPr="00D723BE">
        <w:rPr>
          <w:rFonts w:asciiTheme="majorHAnsi" w:hAnsiTheme="majorHAnsi"/>
          <w:sz w:val="16"/>
          <w:szCs w:val="16"/>
          <w:lang w:val="es-VE"/>
        </w:rPr>
        <w:t>Estacuy</w:t>
      </w:r>
      <w:proofErr w:type="spellEnd"/>
      <w:r w:rsidRPr="00D723BE">
        <w:rPr>
          <w:rFonts w:asciiTheme="majorHAnsi" w:hAnsiTheme="majorHAnsi"/>
          <w:sz w:val="16"/>
          <w:szCs w:val="16"/>
          <w:lang w:val="es-VE"/>
        </w:rPr>
        <w:t xml:space="preserve"> Samuel Guillermo, De </w:t>
      </w:r>
      <w:proofErr w:type="spellStart"/>
      <w:r w:rsidRPr="00D723BE">
        <w:rPr>
          <w:rFonts w:asciiTheme="majorHAnsi" w:hAnsiTheme="majorHAnsi"/>
          <w:sz w:val="16"/>
          <w:szCs w:val="16"/>
          <w:lang w:val="es-VE"/>
        </w:rPr>
        <w:t>Leon</w:t>
      </w:r>
      <w:proofErr w:type="spellEnd"/>
      <w:r w:rsidRPr="00D723BE">
        <w:rPr>
          <w:rFonts w:asciiTheme="majorHAnsi" w:hAnsiTheme="majorHAnsi"/>
          <w:sz w:val="16"/>
          <w:szCs w:val="16"/>
          <w:lang w:val="es-VE"/>
        </w:rPr>
        <w:t xml:space="preserve"> Macal German Eduardo, </w:t>
      </w:r>
      <w:proofErr w:type="spellStart"/>
      <w:r w:rsidRPr="00D723BE">
        <w:rPr>
          <w:rFonts w:asciiTheme="majorHAnsi" w:hAnsiTheme="majorHAnsi"/>
          <w:sz w:val="16"/>
          <w:szCs w:val="16"/>
          <w:lang w:val="es-CO"/>
        </w:rPr>
        <w:t>Echeverria</w:t>
      </w:r>
      <w:proofErr w:type="spellEnd"/>
      <w:r w:rsidRPr="00D723BE">
        <w:rPr>
          <w:rFonts w:asciiTheme="majorHAnsi" w:hAnsiTheme="majorHAnsi"/>
          <w:sz w:val="16"/>
          <w:szCs w:val="16"/>
          <w:lang w:val="es-CO"/>
        </w:rPr>
        <w:t xml:space="preserve"> Contreras Mario </w:t>
      </w:r>
      <w:proofErr w:type="spellStart"/>
      <w:r w:rsidRPr="00D723BE">
        <w:rPr>
          <w:rFonts w:asciiTheme="majorHAnsi" w:hAnsiTheme="majorHAnsi"/>
          <w:sz w:val="16"/>
          <w:szCs w:val="16"/>
          <w:lang w:val="es-CO"/>
        </w:rPr>
        <w:t>Joaquin</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Ejcalon</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Majzul</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Irrael</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Illesca</w:t>
      </w:r>
      <w:proofErr w:type="spellEnd"/>
      <w:r w:rsidRPr="00D723BE">
        <w:rPr>
          <w:rFonts w:asciiTheme="majorHAnsi" w:hAnsiTheme="majorHAnsi"/>
          <w:sz w:val="16"/>
          <w:szCs w:val="16"/>
          <w:lang w:val="es-CO"/>
        </w:rPr>
        <w:t xml:space="preserve"> Garcia De Suarez Rosa Nelly, Gomez Morales Maria </w:t>
      </w:r>
      <w:proofErr w:type="spellStart"/>
      <w:r w:rsidRPr="00D723BE">
        <w:rPr>
          <w:rFonts w:asciiTheme="majorHAnsi" w:hAnsiTheme="majorHAnsi"/>
          <w:sz w:val="16"/>
          <w:szCs w:val="16"/>
          <w:lang w:val="es-CO"/>
        </w:rPr>
        <w:t>Coralia</w:t>
      </w:r>
      <w:proofErr w:type="spellEnd"/>
      <w:r w:rsidRPr="00D723BE">
        <w:rPr>
          <w:rFonts w:asciiTheme="majorHAnsi" w:hAnsiTheme="majorHAnsi"/>
          <w:sz w:val="16"/>
          <w:szCs w:val="16"/>
          <w:lang w:val="es-CO"/>
        </w:rPr>
        <w:t xml:space="preserve">, Herrera De </w:t>
      </w:r>
      <w:proofErr w:type="spellStart"/>
      <w:r w:rsidRPr="00D723BE">
        <w:rPr>
          <w:rFonts w:asciiTheme="majorHAnsi" w:hAnsiTheme="majorHAnsi"/>
          <w:sz w:val="16"/>
          <w:szCs w:val="16"/>
          <w:lang w:val="es-CO"/>
        </w:rPr>
        <w:t>Ogaldez</w:t>
      </w:r>
      <w:proofErr w:type="spellEnd"/>
      <w:r w:rsidRPr="00D723BE">
        <w:rPr>
          <w:rFonts w:asciiTheme="majorHAnsi" w:hAnsiTheme="majorHAnsi"/>
          <w:sz w:val="16"/>
          <w:szCs w:val="16"/>
          <w:lang w:val="es-CO"/>
        </w:rPr>
        <w:t xml:space="preserve"> Maria Isabel </w:t>
      </w:r>
      <w:proofErr w:type="spellStart"/>
      <w:r w:rsidRPr="00D723BE">
        <w:rPr>
          <w:rFonts w:asciiTheme="majorHAnsi" w:hAnsiTheme="majorHAnsi"/>
          <w:sz w:val="16"/>
          <w:szCs w:val="16"/>
          <w:lang w:val="es-CO"/>
        </w:rPr>
        <w:t>Merida</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Jutzuy</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Sanic</w:t>
      </w:r>
      <w:proofErr w:type="spellEnd"/>
      <w:r w:rsidRPr="00D723BE">
        <w:rPr>
          <w:rFonts w:asciiTheme="majorHAnsi" w:hAnsiTheme="majorHAnsi"/>
          <w:sz w:val="16"/>
          <w:szCs w:val="16"/>
          <w:lang w:val="es-CO"/>
        </w:rPr>
        <w:t xml:space="preserve"> Josefa, </w:t>
      </w:r>
      <w:proofErr w:type="spellStart"/>
      <w:r w:rsidRPr="00D723BE">
        <w:rPr>
          <w:rFonts w:asciiTheme="majorHAnsi" w:hAnsiTheme="majorHAnsi"/>
          <w:sz w:val="16"/>
          <w:szCs w:val="16"/>
          <w:lang w:val="es-CO"/>
        </w:rPr>
        <w:t>Lec</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Giron</w:t>
      </w:r>
      <w:proofErr w:type="spellEnd"/>
      <w:r w:rsidRPr="00D723BE">
        <w:rPr>
          <w:rFonts w:asciiTheme="majorHAnsi" w:hAnsiTheme="majorHAnsi"/>
          <w:sz w:val="16"/>
          <w:szCs w:val="16"/>
          <w:lang w:val="es-CO"/>
        </w:rPr>
        <w:t xml:space="preserve"> De Herrera Nidia Consuelo, Lopez </w:t>
      </w:r>
      <w:proofErr w:type="spellStart"/>
      <w:r w:rsidRPr="00D723BE">
        <w:rPr>
          <w:rFonts w:asciiTheme="majorHAnsi" w:hAnsiTheme="majorHAnsi"/>
          <w:sz w:val="16"/>
          <w:szCs w:val="16"/>
          <w:lang w:val="es-CO"/>
        </w:rPr>
        <w:t>Giron</w:t>
      </w:r>
      <w:proofErr w:type="spellEnd"/>
      <w:r w:rsidRPr="00D723BE">
        <w:rPr>
          <w:rFonts w:asciiTheme="majorHAnsi" w:hAnsiTheme="majorHAnsi"/>
          <w:sz w:val="16"/>
          <w:szCs w:val="16"/>
          <w:lang w:val="es-CO"/>
        </w:rPr>
        <w:t xml:space="preserve"> Sandra </w:t>
      </w:r>
      <w:proofErr w:type="spellStart"/>
      <w:r w:rsidRPr="00D723BE">
        <w:rPr>
          <w:rFonts w:asciiTheme="majorHAnsi" w:hAnsiTheme="majorHAnsi"/>
          <w:sz w:val="16"/>
          <w:szCs w:val="16"/>
          <w:lang w:val="es-CO"/>
        </w:rPr>
        <w:t>Nineth</w:t>
      </w:r>
      <w:proofErr w:type="spellEnd"/>
      <w:r w:rsidRPr="00D723BE">
        <w:rPr>
          <w:rFonts w:asciiTheme="majorHAnsi" w:hAnsiTheme="majorHAnsi"/>
          <w:sz w:val="16"/>
          <w:szCs w:val="16"/>
          <w:lang w:val="es-CO"/>
        </w:rPr>
        <w:t xml:space="preserve">,  Mendez Rodas Rolando </w:t>
      </w:r>
      <w:proofErr w:type="spellStart"/>
      <w:r w:rsidRPr="00D723BE">
        <w:rPr>
          <w:rFonts w:asciiTheme="majorHAnsi" w:hAnsiTheme="majorHAnsi"/>
          <w:sz w:val="16"/>
          <w:szCs w:val="16"/>
          <w:lang w:val="es-CO"/>
        </w:rPr>
        <w:t>Efrain</w:t>
      </w:r>
      <w:proofErr w:type="spellEnd"/>
      <w:r w:rsidRPr="00D723BE">
        <w:rPr>
          <w:rFonts w:asciiTheme="majorHAnsi" w:hAnsiTheme="majorHAnsi"/>
          <w:sz w:val="16"/>
          <w:szCs w:val="16"/>
          <w:lang w:val="es-CO"/>
        </w:rPr>
        <w:t xml:space="preserve">, Moya Ruiz Gloria Marina, Ortiz </w:t>
      </w:r>
      <w:proofErr w:type="spellStart"/>
      <w:r w:rsidRPr="00D723BE">
        <w:rPr>
          <w:rFonts w:asciiTheme="majorHAnsi" w:hAnsiTheme="majorHAnsi"/>
          <w:sz w:val="16"/>
          <w:szCs w:val="16"/>
          <w:lang w:val="es-CO"/>
        </w:rPr>
        <w:t>Dominguez</w:t>
      </w:r>
      <w:proofErr w:type="spellEnd"/>
      <w:r w:rsidRPr="00D723BE">
        <w:rPr>
          <w:rFonts w:asciiTheme="majorHAnsi" w:hAnsiTheme="majorHAnsi"/>
          <w:sz w:val="16"/>
          <w:szCs w:val="16"/>
          <w:lang w:val="es-CO"/>
        </w:rPr>
        <w:t xml:space="preserve"> Edna Araceli, </w:t>
      </w:r>
      <w:proofErr w:type="spellStart"/>
      <w:r w:rsidRPr="00D723BE">
        <w:rPr>
          <w:rFonts w:asciiTheme="majorHAnsi" w:hAnsiTheme="majorHAnsi"/>
          <w:sz w:val="16"/>
          <w:szCs w:val="16"/>
          <w:lang w:val="es-CO"/>
        </w:rPr>
        <w:t>Pellecer</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Cobar</w:t>
      </w:r>
      <w:proofErr w:type="spellEnd"/>
      <w:r w:rsidRPr="00D723BE">
        <w:rPr>
          <w:rFonts w:asciiTheme="majorHAnsi" w:hAnsiTheme="majorHAnsi"/>
          <w:sz w:val="16"/>
          <w:szCs w:val="16"/>
          <w:lang w:val="es-CO"/>
        </w:rPr>
        <w:t xml:space="preserve"> Jose Rene Cristian, </w:t>
      </w:r>
      <w:proofErr w:type="spellStart"/>
      <w:r w:rsidRPr="00D723BE">
        <w:rPr>
          <w:rFonts w:asciiTheme="majorHAnsi" w:hAnsiTheme="majorHAnsi"/>
          <w:sz w:val="16"/>
          <w:szCs w:val="16"/>
          <w:lang w:val="es-CO"/>
        </w:rPr>
        <w:t>Piedrasanta</w:t>
      </w:r>
      <w:proofErr w:type="spellEnd"/>
      <w:r w:rsidRPr="00D723BE">
        <w:rPr>
          <w:rFonts w:asciiTheme="majorHAnsi" w:hAnsiTheme="majorHAnsi"/>
          <w:sz w:val="16"/>
          <w:szCs w:val="16"/>
          <w:lang w:val="es-CO"/>
        </w:rPr>
        <w:t xml:space="preserve"> Ramirez De </w:t>
      </w:r>
      <w:proofErr w:type="spellStart"/>
      <w:r w:rsidRPr="00D723BE">
        <w:rPr>
          <w:rFonts w:asciiTheme="majorHAnsi" w:hAnsiTheme="majorHAnsi"/>
          <w:sz w:val="16"/>
          <w:szCs w:val="16"/>
          <w:lang w:val="es-CO"/>
        </w:rPr>
        <w:t>Leon</w:t>
      </w:r>
      <w:proofErr w:type="spellEnd"/>
      <w:r w:rsidRPr="00D723BE">
        <w:rPr>
          <w:rFonts w:asciiTheme="majorHAnsi" w:hAnsiTheme="majorHAnsi"/>
          <w:sz w:val="16"/>
          <w:szCs w:val="16"/>
          <w:lang w:val="es-CO"/>
        </w:rPr>
        <w:t xml:space="preserve"> Alba Dina, Reyes Martinez Maria Victoria, Roldan Castañeda Oliverio Edmundo, Salazar Villaseñor </w:t>
      </w:r>
      <w:proofErr w:type="spellStart"/>
      <w:r w:rsidRPr="00D723BE">
        <w:rPr>
          <w:rFonts w:asciiTheme="majorHAnsi" w:hAnsiTheme="majorHAnsi"/>
          <w:sz w:val="16"/>
          <w:szCs w:val="16"/>
          <w:lang w:val="es-CO"/>
        </w:rPr>
        <w:t>Welington</w:t>
      </w:r>
      <w:proofErr w:type="spellEnd"/>
      <w:r w:rsidRPr="00D723BE">
        <w:rPr>
          <w:rFonts w:asciiTheme="majorHAnsi" w:hAnsiTheme="majorHAnsi"/>
          <w:sz w:val="16"/>
          <w:szCs w:val="16"/>
          <w:lang w:val="es-CO"/>
        </w:rPr>
        <w:t xml:space="preserve"> Francisco, </w:t>
      </w:r>
      <w:proofErr w:type="spellStart"/>
      <w:r w:rsidRPr="00D723BE">
        <w:rPr>
          <w:rFonts w:asciiTheme="majorHAnsi" w:hAnsiTheme="majorHAnsi"/>
          <w:sz w:val="16"/>
          <w:szCs w:val="16"/>
          <w:lang w:val="es-CO"/>
        </w:rPr>
        <w:t>Sipac</w:t>
      </w:r>
      <w:proofErr w:type="spellEnd"/>
      <w:r w:rsidRPr="00D723BE">
        <w:rPr>
          <w:rFonts w:asciiTheme="majorHAnsi" w:hAnsiTheme="majorHAnsi"/>
          <w:sz w:val="16"/>
          <w:szCs w:val="16"/>
          <w:lang w:val="es-CO"/>
        </w:rPr>
        <w:t xml:space="preserve"> </w:t>
      </w:r>
      <w:proofErr w:type="spellStart"/>
      <w:r w:rsidRPr="00D723BE">
        <w:rPr>
          <w:rFonts w:asciiTheme="majorHAnsi" w:hAnsiTheme="majorHAnsi"/>
          <w:sz w:val="16"/>
          <w:szCs w:val="16"/>
          <w:lang w:val="es-CO"/>
        </w:rPr>
        <w:t>Sipac</w:t>
      </w:r>
      <w:proofErr w:type="spellEnd"/>
      <w:r w:rsidRPr="00D723BE">
        <w:rPr>
          <w:rFonts w:asciiTheme="majorHAnsi" w:hAnsiTheme="majorHAnsi"/>
          <w:sz w:val="16"/>
          <w:szCs w:val="16"/>
          <w:lang w:val="es-CO"/>
        </w:rPr>
        <w:t xml:space="preserve"> Norma Elizabeth, Trejo Castillo Hermelinda Esperanza, Valle Trinidad de Velasquez Lilian Elizabeth, Velasquez </w:t>
      </w:r>
      <w:proofErr w:type="spellStart"/>
      <w:r w:rsidRPr="00D723BE">
        <w:rPr>
          <w:rFonts w:asciiTheme="majorHAnsi" w:hAnsiTheme="majorHAnsi"/>
          <w:sz w:val="16"/>
          <w:szCs w:val="16"/>
          <w:lang w:val="es-CO"/>
        </w:rPr>
        <w:t>OvalleMaria</w:t>
      </w:r>
      <w:proofErr w:type="spellEnd"/>
      <w:r w:rsidRPr="00D723BE">
        <w:rPr>
          <w:rFonts w:asciiTheme="majorHAnsi" w:hAnsiTheme="majorHAnsi"/>
          <w:sz w:val="16"/>
          <w:szCs w:val="16"/>
          <w:lang w:val="es-CO"/>
        </w:rPr>
        <w:t xml:space="preserve"> Eugenia, Zamora Constancia Edgar Leonel.</w:t>
      </w:r>
    </w:p>
  </w:footnote>
  <w:footnote w:id="42">
    <w:p w:rsidR="002D1311" w:rsidRPr="00D723BE" w:rsidRDefault="002D1311" w:rsidP="00557337">
      <w:pPr>
        <w:pStyle w:val="FootnoteText"/>
        <w:jc w:val="both"/>
        <w:rPr>
          <w:rFonts w:asciiTheme="majorHAnsi" w:hAnsiTheme="majorHAnsi"/>
          <w:sz w:val="16"/>
          <w:szCs w:val="16"/>
          <w:lang w:val="es-CO"/>
        </w:rPr>
      </w:pPr>
      <w:r w:rsidRPr="00D723BE">
        <w:rPr>
          <w:rStyle w:val="FootnoteReference"/>
          <w:rFonts w:asciiTheme="majorHAnsi" w:hAnsiTheme="majorHAnsi"/>
          <w:sz w:val="16"/>
          <w:szCs w:val="16"/>
        </w:rPr>
        <w:footnoteRef/>
      </w:r>
      <w:r w:rsidR="002B6ECA">
        <w:rPr>
          <w:rFonts w:asciiTheme="majorHAnsi" w:hAnsiTheme="majorHAnsi"/>
          <w:sz w:val="16"/>
          <w:szCs w:val="16"/>
          <w:lang w:val="es-CO"/>
        </w:rPr>
        <w:t xml:space="preserve"> </w:t>
      </w:r>
      <w:r w:rsidRPr="00D723BE">
        <w:rPr>
          <w:rFonts w:asciiTheme="majorHAnsi" w:hAnsiTheme="majorHAnsi"/>
          <w:sz w:val="16"/>
          <w:szCs w:val="16"/>
          <w:lang w:val="es-CO"/>
        </w:rPr>
        <w:t>Escrito de observaciones de fondo</w:t>
      </w:r>
      <w:r>
        <w:rPr>
          <w:rFonts w:asciiTheme="majorHAnsi" w:hAnsiTheme="majorHAnsi"/>
          <w:sz w:val="16"/>
          <w:szCs w:val="16"/>
          <w:lang w:val="es-CO"/>
        </w:rPr>
        <w:t xml:space="preserve"> de la parte peticionaria de 10 de marzo de 2009, pág. 9.</w:t>
      </w:r>
    </w:p>
  </w:footnote>
  <w:footnote w:id="43">
    <w:p w:rsidR="002D1311" w:rsidRPr="006A658F" w:rsidRDefault="002D1311" w:rsidP="00557337">
      <w:pPr>
        <w:pStyle w:val="FootnoteText"/>
        <w:jc w:val="both"/>
        <w:rPr>
          <w:rFonts w:asciiTheme="majorHAnsi" w:hAnsiTheme="majorHAnsi"/>
          <w:sz w:val="16"/>
          <w:szCs w:val="16"/>
          <w:lang w:val="es-ES"/>
        </w:rPr>
      </w:pPr>
      <w:r w:rsidRPr="006A658F">
        <w:rPr>
          <w:rStyle w:val="FootnoteReference"/>
          <w:rFonts w:asciiTheme="majorHAnsi" w:hAnsiTheme="majorHAnsi"/>
          <w:sz w:val="16"/>
          <w:szCs w:val="16"/>
        </w:rPr>
        <w:footnoteRef/>
      </w:r>
      <w:r w:rsidRPr="006A658F">
        <w:rPr>
          <w:rFonts w:asciiTheme="majorHAnsi" w:hAnsiTheme="majorHAnsi"/>
          <w:sz w:val="16"/>
          <w:szCs w:val="16"/>
          <w:lang w:val="es-ES"/>
        </w:rPr>
        <w:t xml:space="preserve"> CIDH, Informe No. 65/11, Caso 12.600, Fondo, Hugo Quintana Coello y otros “Magistrados de la Corte Suprema de Justicia”, Ecuador, 31 de marzo de 2011, párr. 102; Corte IDH. </w:t>
      </w:r>
      <w:hyperlink r:id="rId1" w:history="1">
        <w:r w:rsidRPr="006A658F">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6A658F">
        <w:rPr>
          <w:rFonts w:asciiTheme="majorHAnsi" w:hAnsiTheme="majorHAnsi"/>
          <w:sz w:val="16"/>
          <w:szCs w:val="16"/>
          <w:lang w:val="es-ES"/>
        </w:rPr>
        <w:t xml:space="preserve">, </w:t>
      </w:r>
      <w:proofErr w:type="spellStart"/>
      <w:r w:rsidRPr="006A658F">
        <w:rPr>
          <w:rFonts w:asciiTheme="majorHAnsi" w:hAnsiTheme="majorHAnsi"/>
          <w:sz w:val="16"/>
          <w:szCs w:val="16"/>
          <w:lang w:val="es-ES"/>
        </w:rPr>
        <w:t>párrs</w:t>
      </w:r>
      <w:proofErr w:type="spellEnd"/>
      <w:r w:rsidRPr="006A658F">
        <w:rPr>
          <w:rFonts w:asciiTheme="majorHAnsi" w:hAnsiTheme="majorHAnsi"/>
          <w:sz w:val="16"/>
          <w:szCs w:val="16"/>
          <w:lang w:val="es-ES"/>
        </w:rPr>
        <w:t xml:space="preserve">. 126-127; </w:t>
      </w:r>
      <w:hyperlink r:id="rId2" w:history="1">
        <w:r w:rsidRPr="006A658F">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6A658F">
        <w:rPr>
          <w:rFonts w:asciiTheme="majorHAnsi" w:hAnsiTheme="majorHAnsi"/>
          <w:sz w:val="16"/>
          <w:szCs w:val="16"/>
          <w:lang w:val="es-ES"/>
        </w:rPr>
        <w:t xml:space="preserve">, </w:t>
      </w:r>
      <w:proofErr w:type="spellStart"/>
      <w:r w:rsidRPr="006A658F">
        <w:rPr>
          <w:rFonts w:asciiTheme="majorHAnsi" w:hAnsiTheme="majorHAnsi"/>
          <w:sz w:val="16"/>
          <w:szCs w:val="16"/>
          <w:lang w:val="es-ES"/>
        </w:rPr>
        <w:t>párrs</w:t>
      </w:r>
      <w:proofErr w:type="spellEnd"/>
      <w:r w:rsidRPr="006A658F">
        <w:rPr>
          <w:rFonts w:asciiTheme="majorHAnsi" w:hAnsiTheme="majorHAnsi"/>
          <w:sz w:val="16"/>
          <w:szCs w:val="16"/>
          <w:lang w:val="es-ES"/>
        </w:rPr>
        <w:t xml:space="preserve">. 69-70; y </w:t>
      </w:r>
      <w:hyperlink r:id="rId3" w:history="1">
        <w:r w:rsidRPr="006A658F">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sidRPr="006A658F">
        <w:rPr>
          <w:rFonts w:asciiTheme="majorHAnsi" w:hAnsiTheme="majorHAnsi"/>
          <w:sz w:val="16"/>
          <w:szCs w:val="16"/>
          <w:lang w:val="es-ES"/>
        </w:rPr>
        <w:t xml:space="preserve">, párr. 111. </w:t>
      </w:r>
    </w:p>
  </w:footnote>
  <w:footnote w:id="44">
    <w:p w:rsidR="002D1311" w:rsidRPr="006A658F" w:rsidRDefault="002D1311" w:rsidP="00557337">
      <w:pPr>
        <w:pStyle w:val="FootnoteText"/>
        <w:jc w:val="both"/>
        <w:rPr>
          <w:rFonts w:asciiTheme="majorHAnsi" w:hAnsiTheme="majorHAnsi"/>
          <w:sz w:val="16"/>
          <w:szCs w:val="16"/>
          <w:lang w:val="es-ES"/>
        </w:rPr>
      </w:pPr>
      <w:r w:rsidRPr="006A658F">
        <w:rPr>
          <w:rStyle w:val="FootnoteReference"/>
          <w:rFonts w:asciiTheme="majorHAnsi" w:hAnsiTheme="majorHAnsi"/>
          <w:sz w:val="16"/>
          <w:szCs w:val="16"/>
        </w:rPr>
        <w:footnoteRef/>
      </w:r>
      <w:r w:rsidRPr="006A658F">
        <w:rPr>
          <w:rFonts w:asciiTheme="majorHAnsi" w:hAnsiTheme="majorHAnsi"/>
          <w:sz w:val="16"/>
          <w:szCs w:val="16"/>
          <w:lang w:val="es-ES"/>
        </w:rPr>
        <w:t xml:space="preserve"> CIDH. El Acceso a la Justicia como Garantía de los Derechos Económicos, Sociales y Culturales. Estudio de los Estándares Fijados por el Sistema Interamericano de Derechos Humanos. </w:t>
      </w:r>
      <w:r w:rsidRPr="006A658F">
        <w:rPr>
          <w:rFonts w:asciiTheme="majorHAnsi" w:hAnsiTheme="majorHAnsi"/>
          <w:sz w:val="16"/>
          <w:szCs w:val="16"/>
          <w:lang w:val="es-ES_tradnl"/>
        </w:rPr>
        <w:t>OEA/</w:t>
      </w:r>
      <w:proofErr w:type="spellStart"/>
      <w:r w:rsidRPr="006A658F">
        <w:rPr>
          <w:rFonts w:asciiTheme="majorHAnsi" w:hAnsiTheme="majorHAnsi"/>
          <w:sz w:val="16"/>
          <w:szCs w:val="16"/>
          <w:lang w:val="es-ES_tradnl"/>
        </w:rPr>
        <w:t>Ser.L</w:t>
      </w:r>
      <w:proofErr w:type="spellEnd"/>
      <w:r w:rsidRPr="006A658F">
        <w:rPr>
          <w:rFonts w:asciiTheme="majorHAnsi" w:hAnsiTheme="majorHAnsi"/>
          <w:sz w:val="16"/>
          <w:szCs w:val="16"/>
          <w:lang w:val="es-ES_tradnl"/>
        </w:rPr>
        <w:t xml:space="preserve">/V/II.129. 7 de septiembre de 2007, </w:t>
      </w:r>
      <w:proofErr w:type="spellStart"/>
      <w:r w:rsidRPr="006A658F">
        <w:rPr>
          <w:rFonts w:asciiTheme="majorHAnsi" w:hAnsiTheme="majorHAnsi"/>
          <w:sz w:val="16"/>
          <w:szCs w:val="16"/>
          <w:lang w:val="es-ES_tradnl"/>
        </w:rPr>
        <w:t>párrs</w:t>
      </w:r>
      <w:proofErr w:type="spellEnd"/>
      <w:r w:rsidRPr="006A658F">
        <w:rPr>
          <w:rFonts w:asciiTheme="majorHAnsi" w:hAnsiTheme="majorHAnsi"/>
          <w:sz w:val="16"/>
          <w:szCs w:val="16"/>
          <w:lang w:val="es-ES_tradnl"/>
        </w:rPr>
        <w:t xml:space="preserve">. 98-123; y Caso No. 12.828, Informe 112/12, Marcel Granier y otros, Venezuela, Fondo, 9 de noviembre de 2012, párr. 188; </w:t>
      </w:r>
      <w:r w:rsidRPr="006A658F">
        <w:rPr>
          <w:rFonts w:asciiTheme="majorHAnsi" w:hAnsiTheme="majorHAnsi"/>
          <w:sz w:val="16"/>
          <w:szCs w:val="16"/>
          <w:lang w:val="es-ES"/>
        </w:rPr>
        <w:t xml:space="preserve">Corte IDH. </w:t>
      </w:r>
      <w:hyperlink r:id="rId4" w:history="1">
        <w:r w:rsidRPr="006A658F">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6A658F">
        <w:rPr>
          <w:rFonts w:asciiTheme="majorHAnsi" w:hAnsiTheme="majorHAnsi"/>
          <w:sz w:val="16"/>
          <w:szCs w:val="16"/>
          <w:lang w:val="es-ES"/>
        </w:rPr>
        <w:t xml:space="preserve">, </w:t>
      </w:r>
      <w:proofErr w:type="spellStart"/>
      <w:r w:rsidRPr="006A658F">
        <w:rPr>
          <w:rFonts w:asciiTheme="majorHAnsi" w:hAnsiTheme="majorHAnsi"/>
          <w:sz w:val="16"/>
          <w:szCs w:val="16"/>
          <w:lang w:val="es-ES"/>
        </w:rPr>
        <w:t>párrs</w:t>
      </w:r>
      <w:proofErr w:type="spellEnd"/>
      <w:r w:rsidRPr="006A658F">
        <w:rPr>
          <w:rFonts w:asciiTheme="majorHAnsi" w:hAnsiTheme="majorHAnsi"/>
          <w:sz w:val="16"/>
          <w:szCs w:val="16"/>
          <w:lang w:val="es-ES"/>
        </w:rPr>
        <w:t>. 126-127.</w:t>
      </w:r>
    </w:p>
  </w:footnote>
  <w:footnote w:id="45">
    <w:p w:rsidR="002D1311" w:rsidRPr="0025752E" w:rsidRDefault="002D1311" w:rsidP="00557337">
      <w:pPr>
        <w:pStyle w:val="FootnoteText"/>
        <w:tabs>
          <w:tab w:val="num" w:pos="0"/>
        </w:tabs>
        <w:jc w:val="both"/>
        <w:rPr>
          <w:rFonts w:asciiTheme="majorHAnsi" w:hAnsiTheme="majorHAnsi"/>
          <w:sz w:val="16"/>
          <w:szCs w:val="16"/>
          <w:lang w:val="es-VE"/>
        </w:rPr>
      </w:pPr>
      <w:r w:rsidRPr="0025752E">
        <w:rPr>
          <w:rStyle w:val="FootnoteReference"/>
          <w:rFonts w:asciiTheme="majorHAnsi" w:hAnsiTheme="majorHAnsi"/>
          <w:sz w:val="16"/>
          <w:szCs w:val="16"/>
        </w:rPr>
        <w:footnoteRef/>
      </w:r>
      <w:r w:rsidRPr="0025752E">
        <w:rPr>
          <w:rFonts w:asciiTheme="majorHAnsi" w:hAnsiTheme="majorHAnsi"/>
          <w:sz w:val="16"/>
          <w:szCs w:val="16"/>
          <w:lang w:val="es-VE"/>
        </w:rPr>
        <w:t xml:space="preserve"> CIDH, Informe No 99/11, Caso 12.597,  Informe de Fondo, Miguel Camba Campos y otros “Vocales del Tribunal Constitucional”, Ecuador, 22 de julio de 2011, párr.94;Corte IDH, Caso López </w:t>
      </w:r>
      <w:proofErr w:type="spellStart"/>
      <w:r w:rsidRPr="0025752E">
        <w:rPr>
          <w:rFonts w:asciiTheme="majorHAnsi" w:hAnsiTheme="majorHAnsi"/>
          <w:sz w:val="16"/>
          <w:szCs w:val="16"/>
          <w:lang w:val="es-VE"/>
        </w:rPr>
        <w:t>Lone</w:t>
      </w:r>
      <w:proofErr w:type="spellEnd"/>
      <w:r w:rsidRPr="0025752E">
        <w:rPr>
          <w:rFonts w:asciiTheme="majorHAnsi" w:hAnsiTheme="majorHAnsi"/>
          <w:sz w:val="16"/>
          <w:szCs w:val="16"/>
          <w:lang w:val="es-VE"/>
        </w:rPr>
        <w:t xml:space="preserve"> y otros Vs. </w:t>
      </w:r>
      <w:r w:rsidRPr="0025752E">
        <w:rPr>
          <w:rFonts w:asciiTheme="majorHAnsi" w:hAnsiTheme="majorHAnsi"/>
          <w:sz w:val="16"/>
          <w:szCs w:val="16"/>
          <w:lang w:val="es-CO"/>
        </w:rPr>
        <w:t xml:space="preserve">Honduras. </w:t>
      </w:r>
      <w:r w:rsidRPr="0025752E">
        <w:rPr>
          <w:rFonts w:asciiTheme="majorHAnsi" w:hAnsiTheme="majorHAnsi"/>
          <w:sz w:val="16"/>
          <w:szCs w:val="16"/>
          <w:lang w:val="es-VE"/>
        </w:rPr>
        <w:t xml:space="preserve">Excepción Preliminar, Fondo, Reparaciones y Costas. Sentencia de 05 de octubre de 2015. Serie C No. 302, párr. 257 y Caso Maldonado Ordoñez Vs. </w:t>
      </w:r>
      <w:r w:rsidRPr="0025752E">
        <w:rPr>
          <w:rFonts w:asciiTheme="majorHAnsi" w:hAnsiTheme="majorHAnsi"/>
          <w:sz w:val="16"/>
          <w:szCs w:val="16"/>
          <w:lang w:val="es-CO"/>
        </w:rPr>
        <w:t xml:space="preserve">Guatemala. </w:t>
      </w:r>
      <w:r w:rsidRPr="0025752E">
        <w:rPr>
          <w:rFonts w:asciiTheme="majorHAnsi" w:hAnsiTheme="majorHAnsi"/>
          <w:sz w:val="16"/>
          <w:szCs w:val="16"/>
          <w:lang w:val="es-VE"/>
        </w:rPr>
        <w:t xml:space="preserve">Excepción Preliminar, Fondo, Reparaciones y Costas. Sentencia de 3 de mayo de 2016. Serie C No. 311, párr. 89. </w:t>
      </w:r>
      <w:r w:rsidRPr="0025752E">
        <w:rPr>
          <w:rFonts w:asciiTheme="majorHAnsi" w:hAnsiTheme="majorHAnsi"/>
          <w:sz w:val="16"/>
          <w:szCs w:val="16"/>
          <w:lang w:val="es-US"/>
        </w:rPr>
        <w:t xml:space="preserve">Corte IDH. </w:t>
      </w:r>
      <w:r w:rsidRPr="0025752E">
        <w:rPr>
          <w:rFonts w:asciiTheme="majorHAnsi" w:hAnsiTheme="majorHAnsi"/>
          <w:bCs/>
          <w:sz w:val="16"/>
          <w:szCs w:val="16"/>
          <w:lang w:val="es-AR"/>
        </w:rPr>
        <w:t xml:space="preserve">Caso Baena Ricardo y otros Vs. Panamá. </w:t>
      </w:r>
      <w:r w:rsidRPr="0025752E">
        <w:rPr>
          <w:rFonts w:asciiTheme="majorHAnsi" w:hAnsiTheme="majorHAnsi"/>
          <w:sz w:val="16"/>
          <w:szCs w:val="16"/>
          <w:lang w:val="es-AR"/>
        </w:rPr>
        <w:t xml:space="preserve">Fondo, Reparaciones y Costas. Sentencia de 2 de febrero de 2001. Serie C No. 72, </w:t>
      </w:r>
      <w:proofErr w:type="spellStart"/>
      <w:r w:rsidRPr="0025752E">
        <w:rPr>
          <w:rFonts w:asciiTheme="majorHAnsi" w:hAnsiTheme="majorHAnsi"/>
          <w:sz w:val="16"/>
          <w:szCs w:val="16"/>
          <w:lang w:val="es-AR"/>
        </w:rPr>
        <w:t>párrs</w:t>
      </w:r>
      <w:proofErr w:type="spellEnd"/>
      <w:r w:rsidRPr="0025752E">
        <w:rPr>
          <w:rFonts w:asciiTheme="majorHAnsi" w:hAnsiTheme="majorHAnsi"/>
          <w:sz w:val="16"/>
          <w:szCs w:val="16"/>
          <w:lang w:val="es-AR"/>
        </w:rPr>
        <w:t>. 106 y 108.</w:t>
      </w:r>
    </w:p>
  </w:footnote>
  <w:footnote w:id="46">
    <w:p w:rsidR="002D1311" w:rsidRPr="0025752E" w:rsidRDefault="002D1311" w:rsidP="00557337">
      <w:pPr>
        <w:pStyle w:val="FootnoteText"/>
        <w:jc w:val="both"/>
        <w:rPr>
          <w:rFonts w:asciiTheme="majorHAnsi" w:hAnsiTheme="majorHAnsi"/>
          <w:sz w:val="16"/>
          <w:szCs w:val="16"/>
          <w:lang w:val="es-VE"/>
        </w:rPr>
      </w:pPr>
      <w:r w:rsidRPr="0025752E">
        <w:rPr>
          <w:rStyle w:val="FootnoteReference"/>
          <w:rFonts w:asciiTheme="majorHAnsi" w:hAnsiTheme="majorHAnsi"/>
          <w:sz w:val="16"/>
          <w:szCs w:val="16"/>
        </w:rPr>
        <w:footnoteRef/>
      </w:r>
      <w:r w:rsidRPr="0025752E">
        <w:rPr>
          <w:rFonts w:asciiTheme="majorHAnsi" w:hAnsiTheme="majorHAnsi"/>
          <w:sz w:val="16"/>
          <w:szCs w:val="16"/>
          <w:lang w:val="es-VE"/>
        </w:rPr>
        <w:t xml:space="preserve"> El artículo 8.2 establece que toda persona inculpada de delito tiene derecho a que se presuma su inocencia mientras no se establezca legalmente su culpabilidad. Durante el proceso, toda persona tiene derecho, en plena igualdad, a las siguientes garantías mínimas: b) comunicación previa y detallada al inculpado de la acusación formulada; c) concesión al inculpado del tiempo y de los medios adecuados para la preparación de su defensa. </w:t>
      </w:r>
    </w:p>
  </w:footnote>
  <w:footnote w:id="47">
    <w:p w:rsidR="002D1311" w:rsidRPr="0025752E" w:rsidRDefault="002D1311" w:rsidP="00557337">
      <w:pPr>
        <w:pStyle w:val="FootnoteText"/>
        <w:tabs>
          <w:tab w:val="left" w:pos="567"/>
        </w:tabs>
        <w:jc w:val="both"/>
        <w:rPr>
          <w:rFonts w:asciiTheme="majorHAnsi" w:hAnsiTheme="majorHAnsi"/>
          <w:sz w:val="16"/>
          <w:szCs w:val="16"/>
          <w:lang w:val="es-CR"/>
        </w:rPr>
      </w:pPr>
      <w:r w:rsidRPr="0025752E">
        <w:rPr>
          <w:rStyle w:val="FootnoteReference"/>
          <w:rFonts w:asciiTheme="majorHAnsi" w:hAnsiTheme="majorHAnsi"/>
          <w:sz w:val="16"/>
          <w:szCs w:val="16"/>
          <w:lang w:val="es-CR"/>
        </w:rPr>
        <w:footnoteRef/>
      </w:r>
      <w:r w:rsidRPr="0025752E">
        <w:rPr>
          <w:rFonts w:asciiTheme="majorHAnsi" w:hAnsiTheme="majorHAnsi"/>
          <w:sz w:val="16"/>
          <w:szCs w:val="16"/>
          <w:lang w:val="pt-BR"/>
        </w:rPr>
        <w:t xml:space="preserve"> Corte IDH. </w:t>
      </w:r>
      <w:r w:rsidRPr="0025752E">
        <w:rPr>
          <w:rFonts w:asciiTheme="majorHAnsi" w:hAnsiTheme="majorHAnsi" w:cs="Verdana"/>
          <w:sz w:val="16"/>
          <w:szCs w:val="16"/>
          <w:lang w:val="pt-BR" w:bidi="en-US"/>
        </w:rPr>
        <w:t xml:space="preserve">Caso Genie Lacayo Vs. </w:t>
      </w:r>
      <w:r w:rsidRPr="0025752E">
        <w:rPr>
          <w:rFonts w:asciiTheme="majorHAnsi" w:hAnsiTheme="majorHAnsi" w:cs="Verdana"/>
          <w:sz w:val="16"/>
          <w:szCs w:val="16"/>
          <w:lang w:val="es-CO" w:bidi="en-US"/>
        </w:rPr>
        <w:t xml:space="preserve">Nicaragua. </w:t>
      </w:r>
      <w:r w:rsidRPr="0025752E">
        <w:rPr>
          <w:rFonts w:asciiTheme="majorHAnsi" w:hAnsiTheme="majorHAnsi" w:cs="Verdana"/>
          <w:sz w:val="16"/>
          <w:szCs w:val="16"/>
          <w:lang w:val="es-CR" w:bidi="en-US"/>
        </w:rPr>
        <w:t xml:space="preserve">Fondo, Reparaciones y Costas. Sentencia de 29 de enero de 1997. Serie C No. 30, párr. 74, y </w:t>
      </w:r>
      <w:r w:rsidRPr="0025752E">
        <w:rPr>
          <w:rFonts w:asciiTheme="majorHAnsi" w:hAnsiTheme="majorHAnsi" w:cs="Verdana"/>
          <w:iCs/>
          <w:sz w:val="16"/>
          <w:szCs w:val="16"/>
          <w:lang w:val="es-CR" w:bidi="en-US"/>
        </w:rPr>
        <w:t xml:space="preserve">Caso Cabrera García y Montiel Flores Vs. México. Excepción Preliminar, Fondo, Reparaciones y Costas. Sentencia de 26 de noviembre de 2010. Serie C No. 220, </w:t>
      </w:r>
      <w:r w:rsidRPr="0025752E">
        <w:rPr>
          <w:rFonts w:asciiTheme="majorHAnsi" w:hAnsiTheme="majorHAnsi" w:cs="Verdana"/>
          <w:sz w:val="16"/>
          <w:szCs w:val="16"/>
          <w:lang w:val="es-CR" w:bidi="en-US"/>
        </w:rPr>
        <w:t>párr. 140.</w:t>
      </w:r>
    </w:p>
  </w:footnote>
  <w:footnote w:id="48">
    <w:p w:rsidR="002D1311" w:rsidRPr="0025752E" w:rsidRDefault="002D1311" w:rsidP="00557337">
      <w:pPr>
        <w:autoSpaceDE w:val="0"/>
        <w:autoSpaceDN w:val="0"/>
        <w:adjustRightInd w:val="0"/>
        <w:jc w:val="both"/>
        <w:rPr>
          <w:rFonts w:asciiTheme="majorHAnsi" w:hAnsiTheme="majorHAnsi"/>
          <w:sz w:val="16"/>
          <w:szCs w:val="16"/>
          <w:lang w:val="es-UY"/>
        </w:rPr>
      </w:pPr>
      <w:r w:rsidRPr="0025752E">
        <w:rPr>
          <w:rStyle w:val="FootnoteReference"/>
          <w:rFonts w:asciiTheme="majorHAnsi" w:hAnsiTheme="majorHAnsi"/>
          <w:sz w:val="16"/>
          <w:szCs w:val="16"/>
        </w:rPr>
        <w:footnoteRef/>
      </w:r>
      <w:r w:rsidRPr="0025752E">
        <w:rPr>
          <w:rFonts w:asciiTheme="majorHAnsi" w:hAnsiTheme="majorHAnsi"/>
          <w:sz w:val="16"/>
          <w:szCs w:val="16"/>
          <w:lang w:val="es-UY"/>
        </w:rPr>
        <w:t xml:space="preserve"> Así, la Comisión ha indicado que: “[o]</w:t>
      </w:r>
      <w:proofErr w:type="spellStart"/>
      <w:r w:rsidRPr="0025752E">
        <w:rPr>
          <w:rFonts w:asciiTheme="majorHAnsi" w:hAnsiTheme="majorHAnsi"/>
          <w:sz w:val="16"/>
          <w:szCs w:val="16"/>
          <w:lang w:val="es-UY"/>
        </w:rPr>
        <w:t>ír</w:t>
      </w:r>
      <w:proofErr w:type="spellEnd"/>
      <w:r w:rsidRPr="0025752E">
        <w:rPr>
          <w:rFonts w:asciiTheme="majorHAnsi" w:hAnsiTheme="majorHAnsi"/>
          <w:sz w:val="16"/>
          <w:szCs w:val="16"/>
          <w:lang w:val="es-UY"/>
        </w:rPr>
        <w:t xml:space="preserve"> a una persona investigada implica permitir que se defienda con propiedad, asistida por abogado, con conocimiento de todos los elementos que puedan obrar en su contra en el expediente; oírle es permitir su presencia en los interrogatorios de testigos que puedan declarar en su contra, permitirle tacharlos, contrainterrogarlos con el fin de desvirtuar sus declaraciones incriminatorias por contradictorias o por falsas; oír a un procesado es darle la oportunidad de desconocer, de restar valor a los documentos que se pretenden utilizar en su contra”.</w:t>
      </w:r>
      <w:r w:rsidRPr="0025752E">
        <w:rPr>
          <w:rFonts w:asciiTheme="majorHAnsi" w:hAnsiTheme="majorHAnsi"/>
          <w:bCs/>
          <w:sz w:val="16"/>
          <w:szCs w:val="16"/>
          <w:lang w:val="es-UY"/>
        </w:rPr>
        <w:t xml:space="preserve"> </w:t>
      </w:r>
      <w:r>
        <w:rPr>
          <w:rFonts w:asciiTheme="majorHAnsi" w:hAnsiTheme="majorHAnsi" w:cs="PalatinoLinotype-Roman"/>
          <w:sz w:val="16"/>
          <w:szCs w:val="16"/>
          <w:lang w:val="es-UY"/>
        </w:rPr>
        <w:t>CIDH. Informe N</w:t>
      </w:r>
      <w:r w:rsidRPr="0025752E">
        <w:rPr>
          <w:rFonts w:asciiTheme="majorHAnsi" w:hAnsiTheme="majorHAnsi" w:cs="PalatinoLinotype-Roman"/>
          <w:sz w:val="16"/>
          <w:szCs w:val="16"/>
          <w:lang w:val="es-UY"/>
        </w:rPr>
        <w:t>o</w:t>
      </w:r>
      <w:r>
        <w:rPr>
          <w:rFonts w:asciiTheme="majorHAnsi" w:hAnsiTheme="majorHAnsi" w:cs="PalatinoLinotype-Roman"/>
          <w:sz w:val="16"/>
          <w:szCs w:val="16"/>
          <w:lang w:val="es-UY"/>
        </w:rPr>
        <w:t>.</w:t>
      </w:r>
      <w:r w:rsidRPr="0025752E">
        <w:rPr>
          <w:rFonts w:asciiTheme="majorHAnsi" w:hAnsiTheme="majorHAnsi" w:cs="PalatinoLinotype-Roman"/>
          <w:sz w:val="16"/>
          <w:szCs w:val="16"/>
          <w:lang w:val="es-UY"/>
        </w:rPr>
        <w:t xml:space="preserve"> 50/00 del Caso 11.298, </w:t>
      </w:r>
      <w:r w:rsidRPr="0025752E">
        <w:rPr>
          <w:rFonts w:asciiTheme="majorHAnsi" w:hAnsiTheme="majorHAnsi" w:cs="PalatinoLinotype-Italic"/>
          <w:iCs/>
          <w:sz w:val="16"/>
          <w:szCs w:val="16"/>
          <w:lang w:val="es-UY"/>
        </w:rPr>
        <w:t>Reinaldo Figueredo Planchart Vs. Venezuela</w:t>
      </w:r>
      <w:r w:rsidRPr="0025752E">
        <w:rPr>
          <w:rFonts w:asciiTheme="majorHAnsi" w:hAnsiTheme="majorHAnsi" w:cs="PalatinoLinotype-Roman"/>
          <w:sz w:val="16"/>
          <w:szCs w:val="16"/>
          <w:lang w:val="es-UY"/>
        </w:rPr>
        <w:t>, párr.112.</w:t>
      </w:r>
    </w:p>
  </w:footnote>
  <w:footnote w:id="49">
    <w:p w:rsidR="002D1311" w:rsidRPr="0025752E" w:rsidRDefault="002D1311" w:rsidP="00557337">
      <w:pPr>
        <w:pStyle w:val="FootnoteText"/>
        <w:jc w:val="both"/>
        <w:rPr>
          <w:rFonts w:asciiTheme="majorHAnsi" w:hAnsiTheme="majorHAnsi"/>
          <w:sz w:val="16"/>
          <w:szCs w:val="16"/>
          <w:lang w:val="es-VE"/>
        </w:rPr>
      </w:pPr>
      <w:r w:rsidRPr="0025752E">
        <w:rPr>
          <w:rStyle w:val="FootnoteReference"/>
          <w:rFonts w:asciiTheme="majorHAnsi" w:hAnsiTheme="majorHAnsi"/>
          <w:sz w:val="16"/>
          <w:szCs w:val="16"/>
        </w:rPr>
        <w:footnoteRef/>
      </w:r>
      <w:r w:rsidRPr="0025752E">
        <w:rPr>
          <w:rFonts w:asciiTheme="majorHAnsi" w:hAnsiTheme="majorHAnsi"/>
          <w:sz w:val="16"/>
          <w:szCs w:val="16"/>
          <w:lang w:val="es-UY"/>
        </w:rPr>
        <w:t xml:space="preserve"> Corte IDH. </w:t>
      </w:r>
      <w:r w:rsidRPr="0025752E">
        <w:rPr>
          <w:rFonts w:asciiTheme="majorHAnsi" w:hAnsiTheme="majorHAnsi"/>
          <w:bCs/>
          <w:sz w:val="16"/>
          <w:szCs w:val="16"/>
          <w:lang w:val="es-UY"/>
        </w:rPr>
        <w:t xml:space="preserve">Caso </w:t>
      </w:r>
      <w:proofErr w:type="spellStart"/>
      <w:r w:rsidRPr="0025752E">
        <w:rPr>
          <w:rFonts w:asciiTheme="majorHAnsi" w:hAnsiTheme="majorHAnsi"/>
          <w:bCs/>
          <w:sz w:val="16"/>
          <w:szCs w:val="16"/>
          <w:lang w:val="es-UY"/>
        </w:rPr>
        <w:t>Apitz</w:t>
      </w:r>
      <w:proofErr w:type="spellEnd"/>
      <w:r w:rsidRPr="0025752E">
        <w:rPr>
          <w:rFonts w:asciiTheme="majorHAnsi" w:hAnsiTheme="majorHAnsi"/>
          <w:bCs/>
          <w:sz w:val="16"/>
          <w:szCs w:val="16"/>
          <w:lang w:val="es-UY"/>
        </w:rPr>
        <w:t xml:space="preserve"> Barbera y otros (“Corte Primera de lo Contencioso Administrativo”) Vs. </w:t>
      </w:r>
      <w:r w:rsidRPr="0025752E">
        <w:rPr>
          <w:rFonts w:asciiTheme="majorHAnsi" w:hAnsiTheme="majorHAnsi"/>
          <w:bCs/>
          <w:sz w:val="16"/>
          <w:szCs w:val="16"/>
          <w:lang w:val="es-VE"/>
        </w:rPr>
        <w:t xml:space="preserve">Venezuela. </w:t>
      </w:r>
      <w:r w:rsidRPr="0025752E">
        <w:rPr>
          <w:rFonts w:asciiTheme="majorHAnsi" w:hAnsiTheme="majorHAnsi"/>
          <w:sz w:val="16"/>
          <w:szCs w:val="16"/>
          <w:lang w:val="es-VE"/>
        </w:rPr>
        <w:t>Excepción Preliminar, Fondo, Reparaciones y Costas. Sentencia de 5 de agosto de 2008. Serie C No 182,</w:t>
      </w:r>
      <w:r w:rsidRPr="0025752E">
        <w:rPr>
          <w:rFonts w:asciiTheme="majorHAnsi" w:hAnsiTheme="majorHAnsi"/>
          <w:sz w:val="16"/>
          <w:szCs w:val="16"/>
          <w:lang w:val="es-CR"/>
        </w:rPr>
        <w:t xml:space="preserve"> párr. 75.</w:t>
      </w:r>
    </w:p>
  </w:footnote>
  <w:footnote w:id="50">
    <w:p w:rsidR="002D1311" w:rsidRPr="0025752E" w:rsidRDefault="002D1311" w:rsidP="00557337">
      <w:pPr>
        <w:pStyle w:val="FootnoteText"/>
        <w:jc w:val="both"/>
        <w:rPr>
          <w:rFonts w:asciiTheme="majorHAnsi" w:hAnsiTheme="majorHAnsi"/>
          <w:sz w:val="16"/>
          <w:szCs w:val="16"/>
          <w:lang w:val="es-ES"/>
        </w:rPr>
      </w:pPr>
      <w:r w:rsidRPr="0025752E">
        <w:rPr>
          <w:rStyle w:val="FootnoteReference"/>
          <w:rFonts w:asciiTheme="majorHAnsi" w:hAnsiTheme="majorHAnsi"/>
          <w:sz w:val="16"/>
          <w:szCs w:val="16"/>
        </w:rPr>
        <w:footnoteRef/>
      </w:r>
      <w:r>
        <w:rPr>
          <w:rFonts w:asciiTheme="majorHAnsi" w:hAnsiTheme="majorHAnsi"/>
          <w:sz w:val="16"/>
          <w:szCs w:val="16"/>
          <w:lang w:val="es-VE"/>
        </w:rPr>
        <w:t xml:space="preserve"> Corte ID</w:t>
      </w:r>
      <w:r w:rsidRPr="0025752E">
        <w:rPr>
          <w:rFonts w:asciiTheme="majorHAnsi" w:hAnsiTheme="majorHAnsi"/>
          <w:sz w:val="16"/>
          <w:szCs w:val="16"/>
          <w:lang w:val="es-VE"/>
        </w:rPr>
        <w:t xml:space="preserve">H. Caso del Tribunal Constitucional. Sentencia de 31 de enero de 2001. </w:t>
      </w:r>
      <w:r w:rsidRPr="0025752E">
        <w:rPr>
          <w:rFonts w:asciiTheme="majorHAnsi" w:hAnsiTheme="majorHAnsi"/>
          <w:sz w:val="16"/>
          <w:szCs w:val="16"/>
          <w:lang w:val="es-ES"/>
        </w:rPr>
        <w:t xml:space="preserve">Serie C No. 74, </w:t>
      </w:r>
      <w:proofErr w:type="spellStart"/>
      <w:r w:rsidRPr="0025752E">
        <w:rPr>
          <w:rFonts w:asciiTheme="majorHAnsi" w:hAnsiTheme="majorHAnsi"/>
          <w:sz w:val="16"/>
          <w:szCs w:val="16"/>
          <w:lang w:val="es-ES"/>
        </w:rPr>
        <w:t>párrs</w:t>
      </w:r>
      <w:proofErr w:type="spellEnd"/>
      <w:r w:rsidRPr="0025752E">
        <w:rPr>
          <w:rFonts w:asciiTheme="majorHAnsi" w:hAnsiTheme="majorHAnsi"/>
          <w:sz w:val="16"/>
          <w:szCs w:val="16"/>
          <w:lang w:val="es-ES"/>
        </w:rPr>
        <w:t xml:space="preserve">. </w:t>
      </w:r>
      <w:r w:rsidRPr="0025752E">
        <w:rPr>
          <w:rFonts w:asciiTheme="majorHAnsi" w:hAnsiTheme="majorHAnsi"/>
          <w:sz w:val="16"/>
          <w:szCs w:val="16"/>
          <w:lang w:val="es-MX"/>
        </w:rPr>
        <w:t xml:space="preserve">73 y 74. </w:t>
      </w:r>
      <w:r w:rsidRPr="0025752E">
        <w:rPr>
          <w:rFonts w:asciiTheme="majorHAnsi" w:hAnsiTheme="majorHAnsi"/>
          <w:sz w:val="16"/>
          <w:szCs w:val="16"/>
          <w:lang w:val="es-ES"/>
        </w:rPr>
        <w:t>CIDH, Informe No. 30/97. Caso 10.087 (Fondo) Gustavo Carranza, Argentina, 30 de septiembre de 1997, párr.68.</w:t>
      </w:r>
    </w:p>
  </w:footnote>
  <w:footnote w:id="51">
    <w:p w:rsidR="002D1311" w:rsidRPr="0092611C" w:rsidRDefault="002D1311" w:rsidP="00557337">
      <w:pPr>
        <w:jc w:val="both"/>
        <w:rPr>
          <w:rFonts w:asciiTheme="majorHAnsi" w:hAnsiTheme="majorHAnsi"/>
          <w:sz w:val="16"/>
          <w:szCs w:val="16"/>
          <w:lang w:val="es-UY"/>
        </w:rPr>
      </w:pPr>
      <w:r w:rsidRPr="0025752E">
        <w:rPr>
          <w:rStyle w:val="FootnoteReference"/>
          <w:rFonts w:asciiTheme="majorHAnsi" w:hAnsiTheme="majorHAnsi"/>
          <w:sz w:val="16"/>
          <w:szCs w:val="16"/>
        </w:rPr>
        <w:footnoteRef/>
      </w:r>
      <w:r w:rsidRPr="0025752E">
        <w:rPr>
          <w:rFonts w:asciiTheme="majorHAnsi" w:hAnsiTheme="majorHAnsi"/>
          <w:sz w:val="16"/>
          <w:szCs w:val="16"/>
          <w:lang w:val="es-ES"/>
        </w:rPr>
        <w:t xml:space="preserve"> Corte IDH, Caso del </w:t>
      </w:r>
      <w:r w:rsidRPr="0025752E">
        <w:rPr>
          <w:rFonts w:asciiTheme="majorHAnsi" w:hAnsiTheme="majorHAnsi"/>
          <w:sz w:val="16"/>
          <w:szCs w:val="16"/>
          <w:lang w:val="es-MX"/>
        </w:rPr>
        <w:t xml:space="preserve">Tribunal Constitucional Vs. </w:t>
      </w:r>
      <w:r w:rsidRPr="0025752E">
        <w:rPr>
          <w:rFonts w:asciiTheme="majorHAnsi" w:hAnsiTheme="majorHAnsi"/>
          <w:sz w:val="16"/>
          <w:szCs w:val="16"/>
          <w:lang w:val="es-UY"/>
        </w:rPr>
        <w:t>Perú. Sentencia de 31 de enero de 2001. Serie C No. 71, párr. 81-83.</w:t>
      </w:r>
    </w:p>
  </w:footnote>
  <w:footnote w:id="52">
    <w:p w:rsidR="002D1311" w:rsidRPr="0074015B" w:rsidRDefault="002D1311" w:rsidP="00557337">
      <w:pPr>
        <w:pStyle w:val="FootnoteText"/>
        <w:jc w:val="both"/>
        <w:rPr>
          <w:lang w:val="es-VE"/>
        </w:rPr>
      </w:pPr>
      <w:r w:rsidRPr="00F8175D">
        <w:rPr>
          <w:rStyle w:val="FootnoteReference"/>
          <w:rFonts w:asciiTheme="majorHAnsi" w:hAnsiTheme="majorHAnsi"/>
          <w:sz w:val="16"/>
          <w:szCs w:val="16"/>
        </w:rPr>
        <w:footnoteRef/>
      </w:r>
      <w:r w:rsidRPr="006E2973">
        <w:rPr>
          <w:rFonts w:asciiTheme="majorHAnsi" w:hAnsiTheme="majorHAnsi"/>
          <w:sz w:val="16"/>
          <w:szCs w:val="16"/>
          <w:lang w:val="es-VE"/>
        </w:rPr>
        <w:t xml:space="preserve"> Corte IDH. </w:t>
      </w:r>
      <w:r w:rsidRPr="00F8175D">
        <w:rPr>
          <w:rFonts w:asciiTheme="majorHAnsi" w:hAnsiTheme="majorHAnsi"/>
          <w:sz w:val="16"/>
          <w:szCs w:val="16"/>
          <w:lang w:val="es-VE"/>
        </w:rPr>
        <w:t xml:space="preserve">Caso Baena Ricardo y otros vs. Panamá. Fondo, Reparaciones y Costas. Sentencia de 2 de febrero de 2001. Serie C no. 72, </w:t>
      </w:r>
      <w:proofErr w:type="spellStart"/>
      <w:r w:rsidRPr="00F8175D">
        <w:rPr>
          <w:rFonts w:asciiTheme="majorHAnsi" w:hAnsiTheme="majorHAnsi"/>
          <w:sz w:val="16"/>
          <w:szCs w:val="16"/>
          <w:lang w:val="es-VE"/>
        </w:rPr>
        <w:t>párrs</w:t>
      </w:r>
      <w:proofErr w:type="spellEnd"/>
      <w:r w:rsidRPr="00F8175D">
        <w:rPr>
          <w:rFonts w:asciiTheme="majorHAnsi" w:hAnsiTheme="majorHAnsi"/>
          <w:sz w:val="16"/>
          <w:szCs w:val="16"/>
          <w:lang w:val="es-VE"/>
        </w:rPr>
        <w:t>. 132 y 133.</w:t>
      </w:r>
    </w:p>
  </w:footnote>
  <w:footnote w:id="53">
    <w:p w:rsidR="002D1311" w:rsidRPr="005439A1" w:rsidRDefault="002D1311" w:rsidP="00557337">
      <w:pPr>
        <w:pStyle w:val="FootnoteText"/>
        <w:jc w:val="both"/>
        <w:rPr>
          <w:rFonts w:asciiTheme="majorHAnsi" w:hAnsiTheme="majorHAnsi"/>
          <w:sz w:val="16"/>
          <w:szCs w:val="16"/>
          <w:lang w:val="es-VE"/>
        </w:rPr>
      </w:pPr>
      <w:r w:rsidRPr="005439A1">
        <w:rPr>
          <w:rStyle w:val="FootnoteReference"/>
          <w:rFonts w:asciiTheme="majorHAnsi" w:hAnsiTheme="majorHAnsi"/>
          <w:sz w:val="16"/>
          <w:szCs w:val="16"/>
        </w:rPr>
        <w:footnoteRef/>
      </w:r>
      <w:r w:rsidRPr="005439A1">
        <w:rPr>
          <w:rFonts w:asciiTheme="majorHAnsi" w:hAnsiTheme="majorHAnsi"/>
          <w:sz w:val="16"/>
          <w:szCs w:val="16"/>
          <w:lang w:val="es-VE"/>
        </w:rPr>
        <w:t xml:space="preserve"> El artículo 26 de la Convención Americana establece que </w:t>
      </w:r>
      <w:r w:rsidRPr="005439A1">
        <w:rPr>
          <w:rFonts w:asciiTheme="majorHAnsi" w:hAnsiTheme="majorHAnsi" w:cs="Tahoma"/>
          <w:sz w:val="16"/>
          <w:szCs w:val="16"/>
          <w:lang w:val="es-VE"/>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54">
    <w:p w:rsidR="002D1311" w:rsidRPr="005A7599" w:rsidRDefault="002D1311" w:rsidP="00557337">
      <w:pPr>
        <w:pStyle w:val="FootnoteText"/>
        <w:jc w:val="both"/>
        <w:rPr>
          <w:rFonts w:asciiTheme="majorHAnsi" w:hAnsiTheme="majorHAnsi"/>
          <w:sz w:val="16"/>
          <w:szCs w:val="16"/>
          <w:highlight w:val="green"/>
          <w:lang w:val="es-CO"/>
        </w:rPr>
      </w:pPr>
      <w:r w:rsidRPr="006E3921">
        <w:rPr>
          <w:rStyle w:val="FootnoteReference"/>
          <w:rFonts w:ascii="Cambria" w:hAnsi="Cambria"/>
          <w:b/>
          <w:sz w:val="16"/>
          <w:szCs w:val="16"/>
        </w:rPr>
        <w:footnoteRef/>
      </w:r>
      <w:r w:rsidRPr="006E3921">
        <w:rPr>
          <w:rFonts w:ascii="Cambria" w:hAnsi="Cambria"/>
          <w:b/>
          <w:sz w:val="16"/>
          <w:szCs w:val="16"/>
          <w:lang w:val="es-CO"/>
        </w:rPr>
        <w:t xml:space="preserve"> </w:t>
      </w:r>
      <w:r>
        <w:rPr>
          <w:rStyle w:val="Strong"/>
          <w:rFonts w:ascii="Cambria" w:eastAsia="Times New Roman" w:hAnsi="Cambria"/>
          <w:b w:val="0"/>
          <w:sz w:val="16"/>
          <w:szCs w:val="16"/>
          <w:lang w:val="es-PE"/>
        </w:rPr>
        <w:t>Ver, por ejemplo:</w:t>
      </w:r>
      <w:r w:rsidRPr="006E3921">
        <w:rPr>
          <w:rStyle w:val="Strong"/>
          <w:rFonts w:ascii="Cambria" w:eastAsia="Times New Roman" w:hAnsi="Cambria"/>
          <w:sz w:val="16"/>
          <w:szCs w:val="16"/>
          <w:lang w:val="es-PE"/>
        </w:rPr>
        <w:t xml:space="preserve"> </w:t>
      </w:r>
      <w:r w:rsidRPr="006E3921">
        <w:rPr>
          <w:rFonts w:ascii="Cambria" w:hAnsi="Cambria" w:cs="Times New Roman"/>
          <w:bCs/>
          <w:sz w:val="16"/>
          <w:szCs w:val="16"/>
          <w:lang w:val="es-CO"/>
        </w:rPr>
        <w:t xml:space="preserve">Corte IDH. Caso </w:t>
      </w:r>
      <w:proofErr w:type="spellStart"/>
      <w:r w:rsidRPr="006E3921">
        <w:rPr>
          <w:rFonts w:ascii="Cambria" w:hAnsi="Cambria" w:cs="Times New Roman"/>
          <w:bCs/>
          <w:sz w:val="16"/>
          <w:szCs w:val="16"/>
          <w:lang w:val="es-CO"/>
        </w:rPr>
        <w:t>Cuscul</w:t>
      </w:r>
      <w:proofErr w:type="spellEnd"/>
      <w:r w:rsidRPr="006E3921">
        <w:rPr>
          <w:rFonts w:ascii="Cambria" w:hAnsi="Cambria" w:cs="Times New Roman"/>
          <w:bCs/>
          <w:sz w:val="16"/>
          <w:szCs w:val="16"/>
          <w:lang w:val="es-CO"/>
        </w:rPr>
        <w:t xml:space="preserve"> </w:t>
      </w:r>
      <w:proofErr w:type="spellStart"/>
      <w:r w:rsidRPr="006E3921">
        <w:rPr>
          <w:rFonts w:ascii="Cambria" w:hAnsi="Cambria" w:cs="Times New Roman"/>
          <w:bCs/>
          <w:sz w:val="16"/>
          <w:szCs w:val="16"/>
          <w:lang w:val="es-CO"/>
        </w:rPr>
        <w:t>Pivaral</w:t>
      </w:r>
      <w:proofErr w:type="spellEnd"/>
      <w:r w:rsidRPr="006E3921">
        <w:rPr>
          <w:rFonts w:ascii="Cambria" w:hAnsi="Cambria" w:cs="Times New Roman"/>
          <w:bCs/>
          <w:sz w:val="16"/>
          <w:szCs w:val="16"/>
          <w:lang w:val="es-CO"/>
        </w:rPr>
        <w:t xml:space="preserve"> y otros Vs. Guatemala. Excepción Preliminar, Fondo, Reparaciones y Costas. Sentencia de 23 de agosto de 2018. Serie C No. 359. </w:t>
      </w:r>
      <w:proofErr w:type="spellStart"/>
      <w:r w:rsidRPr="006E3921">
        <w:rPr>
          <w:rFonts w:ascii="Cambria" w:hAnsi="Cambria" w:cs="Times New Roman"/>
          <w:bCs/>
          <w:sz w:val="16"/>
          <w:szCs w:val="16"/>
          <w:lang w:val="es-CO"/>
        </w:rPr>
        <w:t>Párrs</w:t>
      </w:r>
      <w:proofErr w:type="spellEnd"/>
      <w:r w:rsidRPr="006E3921">
        <w:rPr>
          <w:rFonts w:ascii="Cambria" w:hAnsi="Cambria" w:cs="Times New Roman"/>
          <w:bCs/>
          <w:sz w:val="16"/>
          <w:szCs w:val="16"/>
          <w:lang w:val="es-CO"/>
        </w:rPr>
        <w:t xml:space="preserve">. 74 – 97, </w:t>
      </w:r>
      <w:r w:rsidRPr="006E3921">
        <w:rPr>
          <w:rStyle w:val="Strong"/>
          <w:rFonts w:ascii="Cambria" w:eastAsia="Times New Roman" w:hAnsi="Cambria"/>
          <w:b w:val="0"/>
          <w:sz w:val="16"/>
          <w:szCs w:val="16"/>
          <w:lang w:val="es-PE"/>
        </w:rPr>
        <w:t xml:space="preserve">Corte IDH. Caso Lagos del Campo Vs. Perú. Excepciones Preliminares, Fondo, </w:t>
      </w:r>
      <w:r w:rsidRPr="005A7599">
        <w:rPr>
          <w:rStyle w:val="Strong"/>
          <w:rFonts w:asciiTheme="majorHAnsi" w:eastAsia="Times New Roman" w:hAnsiTheme="majorHAnsi"/>
          <w:b w:val="0"/>
          <w:sz w:val="16"/>
          <w:szCs w:val="16"/>
          <w:lang w:val="es-PE"/>
        </w:rPr>
        <w:t>Reparaciones y Costas. Sentencia de 31 de agosto de 2017. Serie C No. 340. Párr. 141</w:t>
      </w:r>
      <w:r w:rsidRPr="005A7599">
        <w:rPr>
          <w:rStyle w:val="Strong"/>
          <w:rFonts w:asciiTheme="majorHAnsi" w:eastAsia="Times New Roman" w:hAnsiTheme="majorHAnsi"/>
          <w:sz w:val="16"/>
          <w:szCs w:val="16"/>
          <w:lang w:val="es-PE"/>
        </w:rPr>
        <w:t xml:space="preserve">; y </w:t>
      </w:r>
      <w:r w:rsidRPr="005A7599">
        <w:rPr>
          <w:rFonts w:asciiTheme="majorHAnsi" w:hAnsiTheme="majorHAnsi" w:cs="Helvetica"/>
          <w:color w:val="141413"/>
          <w:sz w:val="16"/>
          <w:szCs w:val="16"/>
          <w:lang w:val="es-CO" w:bidi="en-US"/>
        </w:rPr>
        <w:t>Caso Acevedo Buendía y otros (“Cesantes y Jubilados de la Contraloría”) vs. Perú (Excepción Preliminar, Fondo, Reparaciones y Costas), Sentencia del 1 de julio de 2009. Párr. 101.</w:t>
      </w:r>
    </w:p>
  </w:footnote>
  <w:footnote w:id="55">
    <w:p w:rsidR="002D1311" w:rsidRPr="005A7599" w:rsidRDefault="002D1311" w:rsidP="00C35054">
      <w:pPr>
        <w:pStyle w:val="FootnoteText"/>
        <w:jc w:val="both"/>
        <w:rPr>
          <w:rFonts w:asciiTheme="majorHAnsi" w:hAnsiTheme="majorHAnsi"/>
          <w:sz w:val="16"/>
          <w:szCs w:val="16"/>
          <w:lang w:val="es-VE"/>
        </w:rPr>
      </w:pPr>
      <w:r w:rsidRPr="005A7599">
        <w:rPr>
          <w:rStyle w:val="FootnoteReference"/>
          <w:rFonts w:asciiTheme="majorHAnsi" w:hAnsiTheme="majorHAnsi"/>
          <w:sz w:val="16"/>
          <w:szCs w:val="16"/>
        </w:rPr>
        <w:footnoteRef/>
      </w:r>
      <w:r w:rsidRPr="005A7599">
        <w:rPr>
          <w:rFonts w:asciiTheme="majorHAnsi" w:hAnsiTheme="majorHAnsi"/>
          <w:sz w:val="16"/>
          <w:szCs w:val="16"/>
          <w:lang w:val="es-VE"/>
        </w:rPr>
        <w:t xml:space="preserve"> CIDH, La situación de los derechos humanos en Cuba, Séptimo Informe, Año 1983, OEA/</w:t>
      </w:r>
      <w:proofErr w:type="spellStart"/>
      <w:r w:rsidRPr="005A7599">
        <w:rPr>
          <w:rFonts w:asciiTheme="majorHAnsi" w:hAnsiTheme="majorHAnsi"/>
          <w:sz w:val="16"/>
          <w:szCs w:val="16"/>
          <w:lang w:val="es-VE"/>
        </w:rPr>
        <w:t>Ser.L</w:t>
      </w:r>
      <w:proofErr w:type="spellEnd"/>
      <w:r w:rsidRPr="005A7599">
        <w:rPr>
          <w:rFonts w:asciiTheme="majorHAnsi" w:hAnsiTheme="majorHAnsi"/>
          <w:sz w:val="16"/>
          <w:szCs w:val="16"/>
          <w:lang w:val="es-VE"/>
        </w:rPr>
        <w:t xml:space="preserve">/V/II.61, Doc. 29, rev.1, 4 de octubre 1983, págs. 159 y 160, paras. 52 y </w:t>
      </w:r>
      <w:r>
        <w:rPr>
          <w:rFonts w:asciiTheme="majorHAnsi" w:hAnsiTheme="majorHAnsi"/>
          <w:sz w:val="16"/>
          <w:szCs w:val="16"/>
          <w:lang w:val="es-VE"/>
        </w:rPr>
        <w:t>53.</w:t>
      </w:r>
      <w:r w:rsidRPr="005A7599">
        <w:rPr>
          <w:rFonts w:asciiTheme="majorHAnsi" w:hAnsiTheme="majorHAnsi"/>
          <w:sz w:val="16"/>
          <w:szCs w:val="16"/>
          <w:lang w:val="es-VE"/>
        </w:rPr>
        <w:t xml:space="preserve"> </w:t>
      </w:r>
    </w:p>
  </w:footnote>
  <w:footnote w:id="56">
    <w:p w:rsidR="002D1311" w:rsidRPr="005A7599" w:rsidRDefault="002D1311" w:rsidP="00557337">
      <w:pPr>
        <w:pStyle w:val="FootnoteText"/>
        <w:jc w:val="both"/>
        <w:rPr>
          <w:rFonts w:asciiTheme="majorHAnsi" w:hAnsiTheme="majorHAnsi"/>
          <w:sz w:val="16"/>
          <w:szCs w:val="16"/>
          <w:lang w:val="es-PE"/>
        </w:rPr>
      </w:pPr>
      <w:r w:rsidRPr="005A7599">
        <w:rPr>
          <w:rStyle w:val="FootnoteReference"/>
          <w:rFonts w:asciiTheme="majorHAnsi" w:hAnsiTheme="majorHAnsi"/>
          <w:sz w:val="16"/>
          <w:szCs w:val="16"/>
        </w:rPr>
        <w:footnoteRef/>
      </w:r>
      <w:r w:rsidRPr="005A7599">
        <w:rPr>
          <w:rFonts w:asciiTheme="majorHAnsi" w:hAnsiTheme="majorHAnsi"/>
          <w:sz w:val="16"/>
          <w:szCs w:val="16"/>
          <w:lang w:val="es-PE"/>
        </w:rPr>
        <w:t xml:space="preserve"> CIDH, Informe No. 25/18, Caso 12.428. Admisibilidad y Fondo. Empleados de la Fábrica de Fuegos en Santo Antonio de </w:t>
      </w:r>
      <w:proofErr w:type="spellStart"/>
      <w:r w:rsidRPr="005A7599">
        <w:rPr>
          <w:rFonts w:asciiTheme="majorHAnsi" w:hAnsiTheme="majorHAnsi"/>
          <w:sz w:val="16"/>
          <w:szCs w:val="16"/>
          <w:lang w:val="es-PE"/>
        </w:rPr>
        <w:t>Jesus</w:t>
      </w:r>
      <w:proofErr w:type="spellEnd"/>
      <w:r w:rsidRPr="005A7599">
        <w:rPr>
          <w:rFonts w:asciiTheme="majorHAnsi" w:hAnsiTheme="majorHAnsi"/>
          <w:sz w:val="16"/>
          <w:szCs w:val="16"/>
          <w:lang w:val="es-PE"/>
        </w:rPr>
        <w:t xml:space="preserve"> y sus familiares. Brasil. 2 de marzo de 2018, párr. 130.</w:t>
      </w:r>
    </w:p>
  </w:footnote>
  <w:footnote w:id="57">
    <w:p w:rsidR="002D1311" w:rsidRPr="005A7599" w:rsidRDefault="002D1311" w:rsidP="00557337">
      <w:pPr>
        <w:pStyle w:val="FootnoteText"/>
        <w:jc w:val="both"/>
        <w:rPr>
          <w:rFonts w:asciiTheme="majorHAnsi" w:hAnsiTheme="majorHAnsi"/>
          <w:sz w:val="16"/>
          <w:szCs w:val="16"/>
          <w:lang w:val="es-PE"/>
        </w:rPr>
      </w:pPr>
      <w:r w:rsidRPr="005A7599">
        <w:rPr>
          <w:rStyle w:val="FootnoteReference"/>
          <w:rFonts w:asciiTheme="majorHAnsi" w:hAnsiTheme="majorHAnsi"/>
          <w:sz w:val="16"/>
          <w:szCs w:val="16"/>
        </w:rPr>
        <w:footnoteRef/>
      </w:r>
      <w:r w:rsidRPr="005A7599">
        <w:rPr>
          <w:rFonts w:asciiTheme="majorHAnsi" w:hAnsiTheme="majorHAnsi"/>
          <w:sz w:val="16"/>
          <w:szCs w:val="16"/>
          <w:lang w:val="es-PE"/>
        </w:rPr>
        <w:t xml:space="preserve"> CIDH, Informe No. 25/18, Caso 12.428. Admisibilidad y Fondo. Empleados de la Fábrica de Fuegos en Santo Antonio de </w:t>
      </w:r>
      <w:proofErr w:type="spellStart"/>
      <w:r w:rsidRPr="005A7599">
        <w:rPr>
          <w:rFonts w:asciiTheme="majorHAnsi" w:hAnsiTheme="majorHAnsi"/>
          <w:sz w:val="16"/>
          <w:szCs w:val="16"/>
          <w:lang w:val="es-PE"/>
        </w:rPr>
        <w:t>Jesus</w:t>
      </w:r>
      <w:proofErr w:type="spellEnd"/>
      <w:r w:rsidRPr="005A7599">
        <w:rPr>
          <w:rFonts w:asciiTheme="majorHAnsi" w:hAnsiTheme="majorHAnsi"/>
          <w:sz w:val="16"/>
          <w:szCs w:val="16"/>
          <w:lang w:val="es-PE"/>
        </w:rPr>
        <w:t xml:space="preserve"> y sus familiares. Brasil. 2 de marzo de 2018, párr. 134.</w:t>
      </w:r>
    </w:p>
  </w:footnote>
  <w:footnote w:id="58">
    <w:p w:rsidR="002D1311" w:rsidRPr="005A7599" w:rsidRDefault="002D1311" w:rsidP="00557337">
      <w:pPr>
        <w:jc w:val="both"/>
        <w:rPr>
          <w:rFonts w:asciiTheme="majorHAnsi" w:eastAsia="Times New Roman" w:hAnsiTheme="majorHAnsi"/>
          <w:sz w:val="16"/>
          <w:szCs w:val="16"/>
          <w:lang w:val="es-PE"/>
        </w:rPr>
      </w:pPr>
      <w:r w:rsidRPr="005A7599">
        <w:rPr>
          <w:rStyle w:val="FootnoteReference"/>
          <w:rFonts w:asciiTheme="majorHAnsi" w:hAnsiTheme="majorHAnsi"/>
          <w:sz w:val="16"/>
          <w:szCs w:val="16"/>
        </w:rPr>
        <w:footnoteRef/>
      </w:r>
      <w:r w:rsidRPr="005A7599">
        <w:rPr>
          <w:rFonts w:asciiTheme="majorHAnsi" w:hAnsiTheme="majorHAnsi"/>
          <w:sz w:val="16"/>
          <w:szCs w:val="16"/>
          <w:lang w:val="es-PE"/>
        </w:rPr>
        <w:t xml:space="preserve"> </w:t>
      </w:r>
      <w:r w:rsidRPr="005A7599">
        <w:rPr>
          <w:rFonts w:asciiTheme="majorHAnsi" w:eastAsia="Times New Roman" w:hAnsiTheme="majorHAnsi"/>
          <w:color w:val="000000"/>
          <w:sz w:val="16"/>
          <w:szCs w:val="16"/>
          <w:lang w:val="es-PE"/>
        </w:rPr>
        <w:t>Comité de Derechos Económicos, Sociales y Culturales de Naciones Unidas,</w:t>
      </w:r>
      <w:r w:rsidRPr="005A7599">
        <w:rPr>
          <w:rStyle w:val="apple-converted-space"/>
          <w:rFonts w:asciiTheme="majorHAnsi" w:eastAsia="Times New Roman" w:hAnsiTheme="majorHAnsi"/>
          <w:sz w:val="16"/>
          <w:szCs w:val="16"/>
          <w:lang w:val="es-PE"/>
        </w:rPr>
        <w:t> </w:t>
      </w:r>
      <w:r w:rsidRPr="005A7599">
        <w:rPr>
          <w:rFonts w:asciiTheme="majorHAnsi" w:eastAsia="Times New Roman" w:hAnsiTheme="majorHAnsi"/>
          <w:iCs/>
          <w:color w:val="000000"/>
          <w:sz w:val="16"/>
          <w:szCs w:val="16"/>
          <w:lang w:val="es-PE"/>
        </w:rPr>
        <w:t>Observación general 3: La índole de las obligaciones de los Estados Partes (párrafo 1 del artículo 2 del Pacto)</w:t>
      </w:r>
      <w:r w:rsidRPr="005A7599">
        <w:rPr>
          <w:rFonts w:asciiTheme="majorHAnsi" w:eastAsia="Times New Roman" w:hAnsiTheme="majorHAnsi"/>
          <w:color w:val="000000"/>
          <w:sz w:val="16"/>
          <w:szCs w:val="16"/>
          <w:lang w:val="es-PE"/>
        </w:rPr>
        <w:t xml:space="preserve">,  1990. En ese sentido ver: </w:t>
      </w:r>
      <w:r w:rsidRPr="005A7599">
        <w:rPr>
          <w:rFonts w:asciiTheme="majorHAnsi" w:hAnsiTheme="majorHAnsi"/>
          <w:sz w:val="16"/>
          <w:szCs w:val="16"/>
          <w:lang w:val="es-PE"/>
        </w:rPr>
        <w:t>CIDH. Informe sobre pobreza y derechos humanos en las Américas OEA/</w:t>
      </w:r>
      <w:proofErr w:type="spellStart"/>
      <w:r w:rsidRPr="005A7599">
        <w:rPr>
          <w:rFonts w:asciiTheme="majorHAnsi" w:hAnsiTheme="majorHAnsi"/>
          <w:sz w:val="16"/>
          <w:szCs w:val="16"/>
          <w:lang w:val="es-PE"/>
        </w:rPr>
        <w:t>Ser.L</w:t>
      </w:r>
      <w:proofErr w:type="spellEnd"/>
      <w:r w:rsidRPr="005A7599">
        <w:rPr>
          <w:rFonts w:asciiTheme="majorHAnsi" w:hAnsiTheme="majorHAnsi"/>
          <w:sz w:val="16"/>
          <w:szCs w:val="16"/>
          <w:lang w:val="es-PE"/>
        </w:rPr>
        <w:t xml:space="preserve">/V/II.164 Doc. 147 (7 de septiembre de 2017) </w:t>
      </w:r>
      <w:proofErr w:type="spellStart"/>
      <w:r w:rsidRPr="005A7599">
        <w:rPr>
          <w:rFonts w:asciiTheme="majorHAnsi" w:hAnsiTheme="majorHAnsi"/>
          <w:sz w:val="16"/>
          <w:szCs w:val="16"/>
          <w:lang w:val="es-PE"/>
        </w:rPr>
        <w:t>párrs</w:t>
      </w:r>
      <w:proofErr w:type="spellEnd"/>
      <w:r w:rsidRPr="005A7599">
        <w:rPr>
          <w:rFonts w:asciiTheme="majorHAnsi" w:hAnsiTheme="majorHAnsi"/>
          <w:sz w:val="16"/>
          <w:szCs w:val="16"/>
          <w:lang w:val="es-PE"/>
        </w:rPr>
        <w:t>. 236 y 237.</w:t>
      </w:r>
    </w:p>
  </w:footnote>
  <w:footnote w:id="59">
    <w:p w:rsidR="002D1311" w:rsidRPr="009C722D" w:rsidRDefault="002D1311" w:rsidP="00557337">
      <w:pPr>
        <w:pStyle w:val="FootnoteText"/>
        <w:jc w:val="both"/>
        <w:rPr>
          <w:sz w:val="16"/>
          <w:szCs w:val="16"/>
          <w:lang w:val="es-VE"/>
        </w:rPr>
      </w:pPr>
      <w:r w:rsidRPr="009C722D">
        <w:rPr>
          <w:rStyle w:val="FootnoteReference"/>
          <w:rFonts w:asciiTheme="majorHAnsi" w:hAnsiTheme="majorHAnsi"/>
          <w:sz w:val="16"/>
          <w:szCs w:val="16"/>
        </w:rPr>
        <w:footnoteRef/>
      </w:r>
      <w:r w:rsidRPr="009C722D">
        <w:rPr>
          <w:rFonts w:asciiTheme="majorHAnsi" w:hAnsiTheme="majorHAnsi"/>
          <w:sz w:val="16"/>
          <w:szCs w:val="16"/>
          <w:lang w:val="es-VE"/>
        </w:rPr>
        <w:t xml:space="preserve"> Corte IDH, Caso Muelle Flores vs. Perú. Excepciones Preliminares, Fondo, Reparaciones y Costas. Sentencia de 6 de marzo de 2019. Serie C No. 375, párr.174.</w:t>
      </w:r>
    </w:p>
  </w:footnote>
  <w:footnote w:id="60">
    <w:p w:rsidR="002D1311" w:rsidRPr="009C722D" w:rsidRDefault="002D1311" w:rsidP="00557337">
      <w:pPr>
        <w:pStyle w:val="FootnoteText"/>
        <w:jc w:val="both"/>
        <w:rPr>
          <w:rFonts w:asciiTheme="majorHAnsi" w:hAnsiTheme="majorHAnsi"/>
          <w:sz w:val="16"/>
          <w:szCs w:val="16"/>
          <w:lang w:val="es-VE"/>
        </w:rPr>
      </w:pPr>
      <w:r w:rsidRPr="009C722D">
        <w:rPr>
          <w:rStyle w:val="FootnoteReference"/>
          <w:rFonts w:asciiTheme="majorHAnsi" w:hAnsiTheme="majorHAnsi"/>
          <w:sz w:val="16"/>
          <w:szCs w:val="16"/>
        </w:rPr>
        <w:footnoteRef/>
      </w:r>
      <w:r w:rsidRPr="009C722D">
        <w:rPr>
          <w:rFonts w:asciiTheme="majorHAnsi" w:hAnsiTheme="majorHAnsi"/>
          <w:sz w:val="16"/>
          <w:szCs w:val="16"/>
          <w:lang w:val="es-VE"/>
        </w:rPr>
        <w:t xml:space="preserve"> Comité de Libertad Sindical, Caso 1581 (Tailandia), Informe </w:t>
      </w:r>
      <w:proofErr w:type="spellStart"/>
      <w:r w:rsidRPr="009C722D">
        <w:rPr>
          <w:rFonts w:asciiTheme="majorHAnsi" w:hAnsiTheme="majorHAnsi"/>
          <w:sz w:val="16"/>
          <w:szCs w:val="16"/>
          <w:lang w:val="es-VE"/>
        </w:rPr>
        <w:t>Núm</w:t>
      </w:r>
      <w:proofErr w:type="spellEnd"/>
      <w:r w:rsidRPr="009C722D">
        <w:rPr>
          <w:rFonts w:asciiTheme="majorHAnsi" w:hAnsiTheme="majorHAnsi"/>
          <w:sz w:val="16"/>
          <w:szCs w:val="16"/>
          <w:lang w:val="es-VE"/>
        </w:rPr>
        <w:t xml:space="preserve"> 327, marzo 2002, párr. 111.</w:t>
      </w:r>
    </w:p>
  </w:footnote>
  <w:footnote w:id="61">
    <w:p w:rsidR="002D1311" w:rsidRPr="009C722D" w:rsidRDefault="002D1311" w:rsidP="00557337">
      <w:pPr>
        <w:pStyle w:val="FootnoteText"/>
        <w:jc w:val="both"/>
        <w:rPr>
          <w:rFonts w:asciiTheme="majorHAnsi" w:hAnsiTheme="majorHAnsi"/>
          <w:sz w:val="16"/>
          <w:szCs w:val="16"/>
          <w:lang w:val="es-VE"/>
        </w:rPr>
      </w:pPr>
      <w:r w:rsidRPr="009C722D">
        <w:rPr>
          <w:rStyle w:val="FootnoteReference"/>
          <w:rFonts w:asciiTheme="majorHAnsi" w:hAnsiTheme="majorHAnsi"/>
          <w:sz w:val="16"/>
          <w:szCs w:val="16"/>
        </w:rPr>
        <w:footnoteRef/>
      </w:r>
      <w:r w:rsidRPr="009C722D">
        <w:rPr>
          <w:rFonts w:asciiTheme="majorHAnsi" w:hAnsiTheme="majorHAnsi"/>
          <w:sz w:val="16"/>
          <w:szCs w:val="16"/>
          <w:lang w:val="es-VE"/>
        </w:rPr>
        <w:t xml:space="preserve"> Comisión de Expertos en aplicación de Convenios y Recomendaciones, Estudio general sobre los convenios fundamentales relativos a los derechos en el trabajo a la luz de la Declaración de la OIT sobre la justicia social para una globalización equitativa, 2008, pág. 48 y 60.</w:t>
      </w:r>
    </w:p>
  </w:footnote>
  <w:footnote w:id="62">
    <w:p w:rsidR="002D1311" w:rsidRPr="009C722D" w:rsidRDefault="002D1311" w:rsidP="00557337">
      <w:pPr>
        <w:pStyle w:val="FootnoteText"/>
        <w:jc w:val="both"/>
        <w:rPr>
          <w:rFonts w:asciiTheme="majorHAnsi" w:hAnsiTheme="majorHAnsi"/>
          <w:sz w:val="16"/>
          <w:szCs w:val="16"/>
        </w:rPr>
      </w:pPr>
      <w:r w:rsidRPr="009C722D">
        <w:rPr>
          <w:rStyle w:val="FootnoteReference"/>
          <w:rFonts w:asciiTheme="majorHAnsi" w:hAnsiTheme="majorHAnsi"/>
          <w:sz w:val="16"/>
          <w:szCs w:val="16"/>
        </w:rPr>
        <w:footnoteRef/>
      </w:r>
      <w:r w:rsidRPr="00715302">
        <w:rPr>
          <w:rFonts w:asciiTheme="majorHAnsi" w:hAnsiTheme="majorHAnsi"/>
          <w:sz w:val="16"/>
          <w:szCs w:val="16"/>
          <w:lang w:val="es-US"/>
        </w:rPr>
        <w:t xml:space="preserve"> TEDH, Ogvnevenko vs. Rusia, 20 de noviembre de 2018, parr. </w:t>
      </w:r>
      <w:r>
        <w:rPr>
          <w:rFonts w:asciiTheme="majorHAnsi" w:hAnsiTheme="majorHAnsi"/>
          <w:sz w:val="16"/>
          <w:szCs w:val="16"/>
        </w:rPr>
        <w:t>57-59.</w:t>
      </w:r>
      <w:r w:rsidRPr="009C722D">
        <w:rPr>
          <w:rFonts w:asciiTheme="majorHAnsi" w:hAnsiTheme="majorHAnsi"/>
          <w:sz w:val="16"/>
          <w:szCs w:val="16"/>
        </w:rPr>
        <w:t xml:space="preserve"> </w:t>
      </w:r>
    </w:p>
  </w:footnote>
  <w:footnote w:id="63">
    <w:p w:rsidR="002D1311" w:rsidRPr="009C722D" w:rsidRDefault="002D1311" w:rsidP="00557337">
      <w:pPr>
        <w:pStyle w:val="FootnoteText"/>
        <w:jc w:val="both"/>
        <w:rPr>
          <w:rFonts w:asciiTheme="majorHAnsi" w:hAnsiTheme="majorHAnsi"/>
          <w:sz w:val="16"/>
          <w:szCs w:val="16"/>
        </w:rPr>
      </w:pPr>
      <w:r w:rsidRPr="009C722D">
        <w:rPr>
          <w:rStyle w:val="FootnoteReference"/>
          <w:rFonts w:asciiTheme="majorHAnsi" w:hAnsiTheme="majorHAnsi"/>
          <w:sz w:val="16"/>
          <w:szCs w:val="16"/>
        </w:rPr>
        <w:footnoteRef/>
      </w:r>
      <w:r w:rsidRPr="009C722D">
        <w:rPr>
          <w:rFonts w:asciiTheme="majorHAnsi" w:hAnsiTheme="majorHAnsi"/>
          <w:sz w:val="16"/>
          <w:szCs w:val="16"/>
        </w:rPr>
        <w:t xml:space="preserve"> Digest of the Case Law of the European Committee of Social Rights, </w:t>
      </w:r>
      <w:proofErr w:type="spellStart"/>
      <w:r w:rsidRPr="009C722D">
        <w:rPr>
          <w:rFonts w:asciiTheme="majorHAnsi" w:hAnsiTheme="majorHAnsi"/>
          <w:sz w:val="16"/>
          <w:szCs w:val="16"/>
        </w:rPr>
        <w:t>pág</w:t>
      </w:r>
      <w:proofErr w:type="spellEnd"/>
      <w:r w:rsidRPr="009C722D">
        <w:rPr>
          <w:rFonts w:asciiTheme="majorHAnsi" w:hAnsiTheme="majorHAnsi"/>
          <w:sz w:val="16"/>
          <w:szCs w:val="16"/>
        </w:rPr>
        <w:t>. 106.</w:t>
      </w:r>
    </w:p>
  </w:footnote>
  <w:footnote w:id="64">
    <w:p w:rsidR="002D1311" w:rsidRPr="00423C43" w:rsidRDefault="002D1311" w:rsidP="009C722D">
      <w:pPr>
        <w:pStyle w:val="FootnoteText"/>
        <w:jc w:val="both"/>
        <w:rPr>
          <w:rFonts w:ascii="Cambria" w:hAnsi="Cambria"/>
          <w:sz w:val="18"/>
          <w:szCs w:val="18"/>
          <w:lang w:val="es-ES"/>
        </w:rPr>
      </w:pPr>
      <w:r w:rsidRPr="009C722D">
        <w:rPr>
          <w:rStyle w:val="FootnoteReference"/>
          <w:rFonts w:ascii="Cambria" w:hAnsi="Cambria"/>
          <w:sz w:val="16"/>
          <w:szCs w:val="16"/>
        </w:rPr>
        <w:footnoteRef/>
      </w:r>
      <w:r w:rsidRPr="009C722D">
        <w:rPr>
          <w:rFonts w:ascii="Cambria" w:hAnsi="Cambria"/>
          <w:sz w:val="16"/>
          <w:szCs w:val="16"/>
          <w:lang w:val="es-ES"/>
        </w:rPr>
        <w:t xml:space="preserve"> Comité de Libertad Sindical. Recopilación de decisiones y principios del Comité de Libertad Sindical del Consejo de Administración de la OIT (2006). párr. 521-522.</w:t>
      </w:r>
    </w:p>
  </w:footnote>
  <w:footnote w:id="65">
    <w:p w:rsidR="002D1311" w:rsidRPr="003D730A" w:rsidRDefault="002D1311" w:rsidP="00557337">
      <w:pPr>
        <w:pStyle w:val="FootnoteText"/>
        <w:jc w:val="both"/>
        <w:rPr>
          <w:rFonts w:asciiTheme="majorHAnsi" w:hAnsiTheme="majorHAnsi"/>
          <w:sz w:val="16"/>
          <w:szCs w:val="16"/>
          <w:lang w:val="es-ES"/>
        </w:rPr>
      </w:pPr>
      <w:r w:rsidRPr="00F8175D">
        <w:rPr>
          <w:rStyle w:val="FootnoteReference"/>
          <w:rFonts w:asciiTheme="majorHAnsi" w:hAnsiTheme="majorHAnsi"/>
          <w:sz w:val="16"/>
          <w:szCs w:val="16"/>
        </w:rPr>
        <w:footnoteRef/>
      </w:r>
      <w:r w:rsidRPr="003D730A">
        <w:rPr>
          <w:rFonts w:asciiTheme="majorHAnsi" w:hAnsiTheme="majorHAnsi"/>
          <w:sz w:val="16"/>
          <w:szCs w:val="16"/>
          <w:lang w:val="es-ES"/>
        </w:rPr>
        <w:t xml:space="preserve"> Observation (CEACR) adopted 1989, published 76th ILC session (1989).</w:t>
      </w:r>
    </w:p>
  </w:footnote>
  <w:footnote w:id="66">
    <w:p w:rsidR="002D1311" w:rsidRPr="00F8175D" w:rsidRDefault="002D1311" w:rsidP="00557337">
      <w:pPr>
        <w:pStyle w:val="FootnoteText"/>
        <w:jc w:val="both"/>
        <w:rPr>
          <w:rFonts w:asciiTheme="majorHAnsi" w:hAnsiTheme="majorHAnsi"/>
          <w:sz w:val="16"/>
          <w:szCs w:val="16"/>
          <w:lang w:val="es-VE"/>
        </w:rPr>
      </w:pPr>
      <w:r w:rsidRPr="00F8175D">
        <w:rPr>
          <w:rStyle w:val="FootnoteReference"/>
          <w:rFonts w:asciiTheme="majorHAnsi" w:hAnsiTheme="majorHAnsi"/>
          <w:sz w:val="16"/>
          <w:szCs w:val="16"/>
        </w:rPr>
        <w:footnoteRef/>
      </w:r>
      <w:r w:rsidRPr="00F8175D">
        <w:rPr>
          <w:rFonts w:asciiTheme="majorHAnsi" w:hAnsiTheme="majorHAnsi"/>
          <w:sz w:val="16"/>
          <w:szCs w:val="16"/>
          <w:lang w:val="es-VE"/>
        </w:rPr>
        <w:t xml:space="preserve"> Observación (CEACR) Adopción 2006, publicación 96ª Reunión CIT (2007).</w:t>
      </w:r>
    </w:p>
  </w:footnote>
  <w:footnote w:id="67">
    <w:p w:rsidR="002D1311" w:rsidRPr="006E2973" w:rsidRDefault="002D1311" w:rsidP="00557337">
      <w:pPr>
        <w:pStyle w:val="FootnoteText"/>
        <w:jc w:val="both"/>
        <w:rPr>
          <w:rFonts w:asciiTheme="majorHAnsi" w:hAnsiTheme="majorHAnsi"/>
          <w:sz w:val="16"/>
          <w:szCs w:val="16"/>
          <w:lang w:val="es-VE"/>
        </w:rPr>
      </w:pPr>
      <w:r w:rsidRPr="00F8175D">
        <w:rPr>
          <w:rStyle w:val="FootnoteReference"/>
          <w:rFonts w:asciiTheme="majorHAnsi" w:hAnsiTheme="majorHAnsi"/>
          <w:sz w:val="16"/>
          <w:szCs w:val="16"/>
        </w:rPr>
        <w:footnoteRef/>
      </w:r>
      <w:r w:rsidRPr="006E2973">
        <w:rPr>
          <w:rFonts w:asciiTheme="majorHAnsi" w:hAnsiTheme="majorHAnsi"/>
          <w:sz w:val="16"/>
          <w:szCs w:val="16"/>
          <w:lang w:val="es-VE"/>
        </w:rPr>
        <w:t xml:space="preserve"> </w:t>
      </w:r>
      <w:proofErr w:type="spellStart"/>
      <w:r w:rsidRPr="006E2973">
        <w:rPr>
          <w:rFonts w:asciiTheme="majorHAnsi" w:hAnsiTheme="majorHAnsi"/>
          <w:sz w:val="16"/>
          <w:szCs w:val="16"/>
          <w:lang w:val="es-VE"/>
        </w:rPr>
        <w:t>Observation</w:t>
      </w:r>
      <w:proofErr w:type="spellEnd"/>
      <w:r w:rsidRPr="006E2973">
        <w:rPr>
          <w:rFonts w:asciiTheme="majorHAnsi" w:hAnsiTheme="majorHAnsi"/>
          <w:sz w:val="16"/>
          <w:szCs w:val="16"/>
          <w:lang w:val="es-VE"/>
        </w:rPr>
        <w:t xml:space="preserve"> (CEACR) </w:t>
      </w:r>
      <w:proofErr w:type="spellStart"/>
      <w:r w:rsidRPr="006E2973">
        <w:rPr>
          <w:rFonts w:asciiTheme="majorHAnsi" w:hAnsiTheme="majorHAnsi"/>
          <w:sz w:val="16"/>
          <w:szCs w:val="16"/>
          <w:lang w:val="es-VE"/>
        </w:rPr>
        <w:t>adopted</w:t>
      </w:r>
      <w:proofErr w:type="spellEnd"/>
      <w:r w:rsidRPr="006E2973">
        <w:rPr>
          <w:rFonts w:asciiTheme="majorHAnsi" w:hAnsiTheme="majorHAnsi"/>
          <w:sz w:val="16"/>
          <w:szCs w:val="16"/>
          <w:lang w:val="es-VE"/>
        </w:rPr>
        <w:t xml:space="preserve"> 2006, </w:t>
      </w:r>
      <w:proofErr w:type="spellStart"/>
      <w:r w:rsidRPr="006E2973">
        <w:rPr>
          <w:rFonts w:asciiTheme="majorHAnsi" w:hAnsiTheme="majorHAnsi"/>
          <w:sz w:val="16"/>
          <w:szCs w:val="16"/>
          <w:lang w:val="es-VE"/>
        </w:rPr>
        <w:t>published</w:t>
      </w:r>
      <w:proofErr w:type="spellEnd"/>
      <w:r w:rsidRPr="006E2973">
        <w:rPr>
          <w:rFonts w:asciiTheme="majorHAnsi" w:hAnsiTheme="majorHAnsi"/>
          <w:sz w:val="16"/>
          <w:szCs w:val="16"/>
          <w:lang w:val="es-VE"/>
        </w:rPr>
        <w:t xml:space="preserve"> 96 </w:t>
      </w:r>
      <w:proofErr w:type="spellStart"/>
      <w:r w:rsidRPr="006E2973">
        <w:rPr>
          <w:rFonts w:asciiTheme="majorHAnsi" w:hAnsiTheme="majorHAnsi"/>
          <w:sz w:val="16"/>
          <w:szCs w:val="16"/>
          <w:lang w:val="es-VE"/>
        </w:rPr>
        <w:t>th</w:t>
      </w:r>
      <w:proofErr w:type="spellEnd"/>
      <w:r w:rsidRPr="006E2973">
        <w:rPr>
          <w:rFonts w:asciiTheme="majorHAnsi" w:hAnsiTheme="majorHAnsi"/>
          <w:sz w:val="16"/>
          <w:szCs w:val="16"/>
          <w:lang w:val="es-VE"/>
        </w:rPr>
        <w:t xml:space="preserve"> ILC </w:t>
      </w:r>
      <w:proofErr w:type="spellStart"/>
      <w:r w:rsidRPr="006E2973">
        <w:rPr>
          <w:rFonts w:asciiTheme="majorHAnsi" w:hAnsiTheme="majorHAnsi"/>
          <w:sz w:val="16"/>
          <w:szCs w:val="16"/>
          <w:lang w:val="es-VE"/>
        </w:rPr>
        <w:t>session</w:t>
      </w:r>
      <w:proofErr w:type="spellEnd"/>
      <w:r w:rsidRPr="006E2973">
        <w:rPr>
          <w:rFonts w:asciiTheme="majorHAnsi" w:hAnsiTheme="majorHAnsi"/>
          <w:sz w:val="16"/>
          <w:szCs w:val="16"/>
          <w:lang w:val="es-VE"/>
        </w:rPr>
        <w:t xml:space="preserve"> (2007); Observación (CEACR) adopción 2001, publicación 90 reunión CIT (2002).</w:t>
      </w:r>
    </w:p>
  </w:footnote>
  <w:footnote w:id="68">
    <w:p w:rsidR="002D1311" w:rsidRPr="0002181B" w:rsidRDefault="002D1311" w:rsidP="00557337">
      <w:pPr>
        <w:pStyle w:val="FootnoteText"/>
        <w:jc w:val="both"/>
        <w:rPr>
          <w:rFonts w:asciiTheme="majorHAnsi" w:hAnsiTheme="majorHAnsi"/>
          <w:b/>
          <w:sz w:val="16"/>
          <w:szCs w:val="16"/>
          <w:lang w:val="es-CO"/>
        </w:rPr>
      </w:pPr>
      <w:r w:rsidRPr="0002181B">
        <w:rPr>
          <w:rStyle w:val="FootnoteReference"/>
          <w:rFonts w:asciiTheme="majorHAnsi" w:hAnsiTheme="majorHAnsi"/>
          <w:b/>
          <w:sz w:val="16"/>
          <w:szCs w:val="16"/>
        </w:rPr>
        <w:footnoteRef/>
      </w:r>
      <w:r w:rsidRPr="0002181B">
        <w:rPr>
          <w:rFonts w:asciiTheme="majorHAnsi" w:hAnsiTheme="majorHAnsi"/>
          <w:b/>
          <w:sz w:val="16"/>
          <w:szCs w:val="16"/>
          <w:lang w:val="es-VE"/>
        </w:rPr>
        <w:t xml:space="preserve"> </w:t>
      </w:r>
      <w:r w:rsidRPr="0002181B">
        <w:rPr>
          <w:rFonts w:asciiTheme="majorHAnsi" w:hAnsiTheme="majorHAnsi"/>
          <w:sz w:val="16"/>
          <w:szCs w:val="16"/>
          <w:lang w:val="es-VE"/>
        </w:rPr>
        <w:t xml:space="preserve">CIDH, Demanda ante la Corte Interamericana de Derechos Humanos, Karen </w:t>
      </w:r>
      <w:proofErr w:type="spellStart"/>
      <w:r w:rsidRPr="0002181B">
        <w:rPr>
          <w:rFonts w:asciiTheme="majorHAnsi" w:hAnsiTheme="majorHAnsi"/>
          <w:sz w:val="16"/>
          <w:szCs w:val="16"/>
          <w:lang w:val="es-VE"/>
        </w:rPr>
        <w:t>Atala</w:t>
      </w:r>
      <w:proofErr w:type="spellEnd"/>
      <w:r w:rsidRPr="0002181B">
        <w:rPr>
          <w:rFonts w:asciiTheme="majorHAnsi" w:hAnsiTheme="majorHAnsi"/>
          <w:sz w:val="16"/>
          <w:szCs w:val="16"/>
          <w:lang w:val="es-VE"/>
        </w:rPr>
        <w:t xml:space="preserve"> e Hijas, 17 de septiembre de 2010,</w:t>
      </w:r>
      <w:r w:rsidRPr="0002181B">
        <w:rPr>
          <w:rFonts w:asciiTheme="majorHAnsi" w:hAnsiTheme="majorHAnsi"/>
          <w:sz w:val="16"/>
          <w:szCs w:val="16"/>
          <w:u w:val="single"/>
          <w:lang w:val="es-VE"/>
        </w:rPr>
        <w:t xml:space="preserve"> </w:t>
      </w:r>
      <w:r w:rsidRPr="0002181B">
        <w:rPr>
          <w:rFonts w:asciiTheme="majorHAnsi" w:hAnsiTheme="majorHAnsi"/>
          <w:sz w:val="16"/>
          <w:szCs w:val="16"/>
          <w:lang w:val="es-VE"/>
        </w:rPr>
        <w:t>párr.86;</w:t>
      </w:r>
      <w:r w:rsidRPr="0002181B">
        <w:rPr>
          <w:rFonts w:asciiTheme="majorHAnsi" w:hAnsiTheme="majorHAnsi"/>
          <w:b/>
          <w:sz w:val="16"/>
          <w:szCs w:val="16"/>
          <w:u w:val="single"/>
          <w:lang w:val="es-VE"/>
        </w:rPr>
        <w:t xml:space="preserve"> </w:t>
      </w:r>
      <w:r w:rsidRPr="0002181B">
        <w:rPr>
          <w:rStyle w:val="Strong"/>
          <w:rFonts w:asciiTheme="majorHAnsi" w:hAnsiTheme="majorHAnsi"/>
          <w:b w:val="0"/>
          <w:sz w:val="16"/>
          <w:szCs w:val="16"/>
          <w:lang w:val="es-CO"/>
        </w:rPr>
        <w:t xml:space="preserve">Corte IDH. Caso </w:t>
      </w:r>
      <w:proofErr w:type="spellStart"/>
      <w:r w:rsidRPr="0002181B">
        <w:rPr>
          <w:rStyle w:val="Strong"/>
          <w:rFonts w:asciiTheme="majorHAnsi" w:hAnsiTheme="majorHAnsi"/>
          <w:b w:val="0"/>
          <w:sz w:val="16"/>
          <w:szCs w:val="16"/>
          <w:lang w:val="es-CO"/>
        </w:rPr>
        <w:t>Atala</w:t>
      </w:r>
      <w:proofErr w:type="spellEnd"/>
      <w:r w:rsidRPr="0002181B">
        <w:rPr>
          <w:rStyle w:val="Strong"/>
          <w:rFonts w:asciiTheme="majorHAnsi" w:hAnsiTheme="majorHAnsi"/>
          <w:b w:val="0"/>
          <w:sz w:val="16"/>
          <w:szCs w:val="16"/>
          <w:lang w:val="es-CO"/>
        </w:rPr>
        <w:t xml:space="preserve"> </w:t>
      </w:r>
      <w:proofErr w:type="spellStart"/>
      <w:r w:rsidRPr="0002181B">
        <w:rPr>
          <w:rStyle w:val="Strong"/>
          <w:rFonts w:asciiTheme="majorHAnsi" w:hAnsiTheme="majorHAnsi"/>
          <w:b w:val="0"/>
          <w:sz w:val="16"/>
          <w:szCs w:val="16"/>
          <w:lang w:val="es-CO"/>
        </w:rPr>
        <w:t>Riffo</w:t>
      </w:r>
      <w:proofErr w:type="spellEnd"/>
      <w:r w:rsidRPr="0002181B">
        <w:rPr>
          <w:rStyle w:val="Strong"/>
          <w:rFonts w:asciiTheme="majorHAnsi" w:hAnsiTheme="majorHAnsi"/>
          <w:b w:val="0"/>
          <w:sz w:val="16"/>
          <w:szCs w:val="16"/>
          <w:lang w:val="es-CO"/>
        </w:rPr>
        <w:t xml:space="preserve"> y niñas Vs. Chile. Fondo, Reparaciones y Costas. Sentencia del 24 de febrero de 2012. Serie C No. 239. Párr. 164. </w:t>
      </w:r>
    </w:p>
  </w:footnote>
  <w:footnote w:id="69">
    <w:p w:rsidR="002D1311" w:rsidRPr="00EC393B" w:rsidRDefault="002D1311" w:rsidP="00B6694E">
      <w:pPr>
        <w:pStyle w:val="FootnoteText"/>
        <w:rPr>
          <w:rFonts w:asciiTheme="majorHAnsi" w:hAnsiTheme="majorHAnsi"/>
          <w:sz w:val="16"/>
          <w:szCs w:val="16"/>
          <w:lang w:val="es-VE"/>
        </w:rPr>
      </w:pPr>
      <w:r w:rsidRPr="000516A3">
        <w:rPr>
          <w:rStyle w:val="FootnoteReference"/>
          <w:rFonts w:asciiTheme="majorHAnsi" w:hAnsiTheme="majorHAnsi"/>
          <w:sz w:val="16"/>
          <w:szCs w:val="16"/>
        </w:rPr>
        <w:footnoteRef/>
      </w:r>
      <w:r w:rsidRPr="000516A3">
        <w:rPr>
          <w:rFonts w:asciiTheme="majorHAnsi" w:hAnsiTheme="majorHAnsi"/>
          <w:sz w:val="16"/>
          <w:szCs w:val="16"/>
          <w:lang w:val="es-VE"/>
        </w:rPr>
        <w:t xml:space="preserve"> </w:t>
      </w:r>
      <w:r w:rsidRPr="000516A3">
        <w:rPr>
          <w:rFonts w:asciiTheme="majorHAnsi" w:hAnsiTheme="majorHAnsi"/>
          <w:sz w:val="16"/>
          <w:szCs w:val="16"/>
          <w:lang w:val="es-PE"/>
        </w:rPr>
        <w:t>Tanto la Corte IDH como la CIDH han reconocido la protección del derecho al trabajo a través del artículo 26 de la C</w:t>
      </w:r>
      <w:r>
        <w:rPr>
          <w:rFonts w:asciiTheme="majorHAnsi" w:hAnsiTheme="majorHAnsi"/>
          <w:sz w:val="16"/>
          <w:szCs w:val="16"/>
          <w:lang w:val="es-PE"/>
        </w:rPr>
        <w:t>onvención Americana</w:t>
      </w:r>
      <w:r w:rsidRPr="000516A3">
        <w:rPr>
          <w:rFonts w:asciiTheme="majorHAnsi" w:hAnsiTheme="majorHAnsi"/>
          <w:sz w:val="16"/>
          <w:szCs w:val="16"/>
          <w:lang w:val="es-PE"/>
        </w:rPr>
        <w:t xml:space="preserve">. </w:t>
      </w:r>
      <w:r w:rsidRPr="00EC393B">
        <w:rPr>
          <w:rFonts w:asciiTheme="majorHAnsi" w:hAnsiTheme="majorHAnsi"/>
          <w:sz w:val="16"/>
          <w:szCs w:val="16"/>
          <w:lang w:val="es-VE"/>
        </w:rPr>
        <w:t>Ver por ejemplo, CIDH,  Informe 25/18, Caso 12.428. Admisibilidad y Fondo. E</w:t>
      </w:r>
      <w:r>
        <w:rPr>
          <w:rFonts w:asciiTheme="majorHAnsi" w:hAnsiTheme="majorHAnsi"/>
          <w:sz w:val="16"/>
          <w:szCs w:val="16"/>
          <w:lang w:val="es-VE"/>
        </w:rPr>
        <w:t xml:space="preserve">mpleados de la Fábrica de Fuegos en Santo Antonio de Jesús y sus familiares. Brasil. 2 de marzo de 2018; </w:t>
      </w:r>
      <w:r w:rsidRPr="000516A3">
        <w:rPr>
          <w:rStyle w:val="Strong"/>
          <w:rFonts w:asciiTheme="majorHAnsi" w:hAnsiTheme="majorHAnsi"/>
          <w:b w:val="0"/>
          <w:sz w:val="16"/>
          <w:szCs w:val="16"/>
          <w:shd w:val="clear" w:color="auto" w:fill="FFFFFF"/>
          <w:lang w:val="es-PE"/>
        </w:rPr>
        <w:t xml:space="preserve">Corte IDH. Caso Lagos del Campo Vs. Perú. Excepciones Preliminares, Fondo, Reparaciones y Costas. </w:t>
      </w:r>
      <w:r w:rsidRPr="000516A3">
        <w:rPr>
          <w:rStyle w:val="Strong"/>
          <w:rFonts w:asciiTheme="majorHAnsi" w:hAnsiTheme="majorHAnsi"/>
          <w:b w:val="0"/>
          <w:sz w:val="16"/>
          <w:szCs w:val="16"/>
          <w:shd w:val="clear" w:color="auto" w:fill="FFFFFF"/>
          <w:lang w:val="es-VE"/>
        </w:rPr>
        <w:t>Sentencia de 31 de agosto de 2017. Serie C No. 340.</w:t>
      </w:r>
    </w:p>
  </w:footnote>
  <w:footnote w:id="70">
    <w:p w:rsidR="002D1311" w:rsidRPr="00573462" w:rsidRDefault="002D1311" w:rsidP="00557337">
      <w:pPr>
        <w:tabs>
          <w:tab w:val="left" w:pos="720"/>
        </w:tabs>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w:t>
      </w:r>
      <w:r w:rsidRPr="00573462">
        <w:rPr>
          <w:rFonts w:ascii="Cambria" w:hAnsi="Cambria"/>
          <w:sz w:val="16"/>
          <w:szCs w:val="16"/>
          <w:lang w:val="es-AR"/>
        </w:rPr>
        <w:t>El artículo 25.1 de la Convención estipula que:</w:t>
      </w:r>
      <w:r w:rsidRPr="00573462">
        <w:rPr>
          <w:rFonts w:ascii="Cambria" w:hAnsi="Cambria"/>
          <w:sz w:val="16"/>
          <w:szCs w:val="16"/>
          <w:lang w:val="es-VE"/>
        </w:rPr>
        <w:t xml:space="preserve"> </w:t>
      </w:r>
      <w:r w:rsidRPr="00573462">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1">
    <w:p w:rsidR="002D1311" w:rsidRPr="005345E0" w:rsidRDefault="002D1311" w:rsidP="00557337">
      <w:pPr>
        <w:tabs>
          <w:tab w:val="left" w:pos="180"/>
          <w:tab w:val="left" w:pos="900"/>
          <w:tab w:val="left" w:pos="1080"/>
        </w:tabs>
        <w:jc w:val="both"/>
        <w:rPr>
          <w:rFonts w:ascii="Cambria" w:hAnsi="Cambria"/>
          <w:sz w:val="16"/>
          <w:szCs w:val="16"/>
          <w:lang w:val="es-VE"/>
        </w:rPr>
      </w:pPr>
      <w:r w:rsidRPr="003D7620">
        <w:rPr>
          <w:rStyle w:val="FootnoteReference"/>
          <w:rFonts w:ascii="Cambria" w:hAnsi="Cambria"/>
          <w:sz w:val="16"/>
          <w:szCs w:val="16"/>
        </w:rPr>
        <w:footnoteRef/>
      </w:r>
      <w:r w:rsidRPr="005345E0">
        <w:rPr>
          <w:rFonts w:ascii="Cambria" w:hAnsi="Cambria"/>
          <w:color w:val="000000"/>
          <w:sz w:val="16"/>
          <w:szCs w:val="16"/>
          <w:lang w:val="es-VE"/>
        </w:rPr>
        <w:t xml:space="preserve">Corte IDH, </w:t>
      </w:r>
      <w:r w:rsidRPr="005345E0">
        <w:rPr>
          <w:rFonts w:ascii="Cambria" w:hAnsi="Cambria"/>
          <w:bCs/>
          <w:color w:val="000000"/>
          <w:sz w:val="16"/>
          <w:szCs w:val="16"/>
          <w:lang w:val="es-VE"/>
        </w:rPr>
        <w:t xml:space="preserve">Caso Trabajadores Cesados del Congreso (Aguado Alfaro y otros). </w:t>
      </w:r>
      <w:r w:rsidRPr="005345E0">
        <w:rPr>
          <w:rFonts w:ascii="Cambria" w:hAnsi="Cambria"/>
          <w:color w:val="000000"/>
          <w:sz w:val="16"/>
          <w:szCs w:val="16"/>
          <w:lang w:val="es-VE"/>
        </w:rPr>
        <w:t xml:space="preserve">Sentencia sobre Excepciones Preliminares, Fondo, Reparaciones y Costas. Sentencia de 24 de Noviembre de 2006. Serie C No. 158. Párr. 125; Corte IDH, </w:t>
      </w:r>
      <w:r w:rsidRPr="005345E0">
        <w:rPr>
          <w:rFonts w:ascii="Cambria" w:hAnsi="Cambria"/>
          <w:bCs/>
          <w:color w:val="000000"/>
          <w:sz w:val="16"/>
          <w:szCs w:val="16"/>
          <w:lang w:val="es-VE"/>
        </w:rPr>
        <w:t xml:space="preserve">Caso Comunidad Indígena </w:t>
      </w:r>
      <w:proofErr w:type="spellStart"/>
      <w:r w:rsidRPr="005345E0">
        <w:rPr>
          <w:rFonts w:ascii="Cambria" w:hAnsi="Cambria"/>
          <w:bCs/>
          <w:color w:val="000000"/>
          <w:sz w:val="16"/>
          <w:szCs w:val="16"/>
          <w:lang w:val="es-VE"/>
        </w:rPr>
        <w:t>Yakye</w:t>
      </w:r>
      <w:proofErr w:type="spellEnd"/>
      <w:r w:rsidRPr="005345E0">
        <w:rPr>
          <w:rFonts w:ascii="Cambria" w:hAnsi="Cambria"/>
          <w:bCs/>
          <w:color w:val="000000"/>
          <w:sz w:val="16"/>
          <w:szCs w:val="16"/>
          <w:lang w:val="es-VE"/>
        </w:rPr>
        <w:t xml:space="preserve"> Axa. </w:t>
      </w:r>
      <w:r w:rsidRPr="005345E0">
        <w:rPr>
          <w:rFonts w:ascii="Cambria" w:hAnsi="Cambria"/>
          <w:color w:val="000000"/>
          <w:sz w:val="16"/>
          <w:szCs w:val="16"/>
          <w:lang w:val="es-VE"/>
        </w:rPr>
        <w:t>Sentencia 17 de junio de 2005. Serie C No. 125</w:t>
      </w:r>
      <w:r w:rsidRPr="005345E0">
        <w:rPr>
          <w:rFonts w:ascii="Cambria" w:hAnsi="Cambria"/>
          <w:sz w:val="16"/>
          <w:szCs w:val="16"/>
          <w:lang w:val="es-VE"/>
        </w:rPr>
        <w:t xml:space="preserve">. Párr.  61; </w:t>
      </w:r>
      <w:r w:rsidRPr="005345E0">
        <w:rPr>
          <w:rFonts w:ascii="Cambria" w:hAnsi="Cambria"/>
          <w:color w:val="000000"/>
          <w:sz w:val="16"/>
          <w:szCs w:val="16"/>
          <w:lang w:val="es-VE"/>
        </w:rPr>
        <w:t xml:space="preserve">Corte IDH, </w:t>
      </w:r>
      <w:r w:rsidRPr="005345E0">
        <w:rPr>
          <w:rFonts w:ascii="Cambria" w:hAnsi="Cambria"/>
          <w:bCs/>
          <w:color w:val="000000"/>
          <w:sz w:val="16"/>
          <w:szCs w:val="16"/>
          <w:lang w:val="es-VE"/>
        </w:rPr>
        <w:t xml:space="preserve">Caso "Cinco Pensionistas". </w:t>
      </w:r>
      <w:r w:rsidRPr="005345E0">
        <w:rPr>
          <w:rFonts w:ascii="Cambria" w:hAnsi="Cambria"/>
          <w:color w:val="000000"/>
          <w:sz w:val="16"/>
          <w:szCs w:val="16"/>
          <w:lang w:val="es-VE"/>
        </w:rPr>
        <w:t>Sentencia de 28 de febrero de 2003. Serie C No. 98</w:t>
      </w:r>
      <w:r w:rsidRPr="005345E0">
        <w:rPr>
          <w:rFonts w:ascii="Cambria" w:hAnsi="Cambria"/>
          <w:sz w:val="16"/>
          <w:szCs w:val="16"/>
          <w:lang w:val="es-VE"/>
        </w:rPr>
        <w:t>. Párr. 136.</w:t>
      </w:r>
    </w:p>
  </w:footnote>
  <w:footnote w:id="72">
    <w:p w:rsidR="002D1311" w:rsidRPr="003D7620" w:rsidRDefault="002D1311" w:rsidP="00557337">
      <w:pPr>
        <w:pStyle w:val="FootnoteText"/>
        <w:jc w:val="both"/>
        <w:rPr>
          <w:rFonts w:ascii="Cambria" w:hAnsi="Cambria"/>
          <w:sz w:val="16"/>
          <w:szCs w:val="16"/>
          <w:lang w:val="es-VE"/>
        </w:rPr>
      </w:pPr>
      <w:r w:rsidRPr="003D7620">
        <w:rPr>
          <w:rStyle w:val="FootnoteReference"/>
          <w:rFonts w:ascii="Cambria" w:hAnsi="Cambria"/>
          <w:sz w:val="16"/>
          <w:szCs w:val="16"/>
        </w:rPr>
        <w:footnoteRef/>
      </w:r>
      <w:r w:rsidRPr="003D7620">
        <w:rPr>
          <w:rFonts w:ascii="Cambria" w:hAnsi="Cambria"/>
          <w:sz w:val="16"/>
          <w:szCs w:val="16"/>
          <w:lang w:val="es-VE"/>
        </w:rPr>
        <w:t xml:space="preserve"> Corte IDH, Caso Ramírez Escobar y otros vs. Guatemala. Fondo, Reparaciones y Costas. Sentencia de 9 de marzo de 2018. Serie C No. 351, </w:t>
      </w:r>
      <w:proofErr w:type="spellStart"/>
      <w:r w:rsidRPr="003D7620">
        <w:rPr>
          <w:rFonts w:ascii="Cambria" w:hAnsi="Cambria"/>
          <w:sz w:val="16"/>
          <w:szCs w:val="16"/>
          <w:lang w:val="es-VE"/>
        </w:rPr>
        <w:t>párrs</w:t>
      </w:r>
      <w:proofErr w:type="spellEnd"/>
      <w:r w:rsidRPr="003D7620">
        <w:rPr>
          <w:rFonts w:ascii="Cambria" w:hAnsi="Cambria"/>
          <w:sz w:val="16"/>
          <w:szCs w:val="16"/>
          <w:lang w:val="es-VE"/>
        </w:rPr>
        <w:t>. 251-252.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11" w:rsidRDefault="002D1311" w:rsidP="003558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D1311" w:rsidRDefault="002D1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11" w:rsidRDefault="002D1311" w:rsidP="00A50FCF">
    <w:pPr>
      <w:pStyle w:val="Header"/>
      <w:tabs>
        <w:tab w:val="clear" w:pos="4320"/>
        <w:tab w:val="clear" w:pos="8640"/>
      </w:tabs>
      <w:jc w:val="center"/>
      <w:rPr>
        <w:sz w:val="22"/>
        <w:szCs w:val="22"/>
      </w:rPr>
    </w:pPr>
    <w:r>
      <w:rPr>
        <w:noProof/>
        <w:sz w:val="22"/>
        <w:szCs w:val="22"/>
      </w:rPr>
      <w:drawing>
        <wp:inline distT="0" distB="0" distL="0" distR="0" wp14:anchorId="25F883B8" wp14:editId="49E1EB8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D1311" w:rsidRPr="00EC7D62" w:rsidRDefault="009152DA" w:rsidP="00A50FCF">
    <w:pPr>
      <w:pStyle w:val="Header"/>
      <w:tabs>
        <w:tab w:val="clear" w:pos="4320"/>
        <w:tab w:val="clear" w:pos="8640"/>
      </w:tabs>
      <w:jc w:val="center"/>
      <w:rPr>
        <w:sz w:val="22"/>
        <w:szCs w:val="22"/>
      </w:rPr>
    </w:pPr>
    <w:r>
      <w:rPr>
        <w:sz w:val="22"/>
        <w:szCs w:val="22"/>
      </w:rPr>
      <w:pict w14:anchorId="7B168BE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02" w:rsidRDefault="00715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B7D"/>
    <w:multiLevelType w:val="hybridMultilevel"/>
    <w:tmpl w:val="46D6FD1A"/>
    <w:lvl w:ilvl="0" w:tplc="AE6C0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F40CCC"/>
    <w:multiLevelType w:val="hybridMultilevel"/>
    <w:tmpl w:val="3D985418"/>
    <w:lvl w:ilvl="0" w:tplc="6FFC9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2E224738"/>
    <w:lvl w:ilvl="0" w:tplc="92E4C9A2">
      <w:start w:val="1"/>
      <w:numFmt w:val="upperLetter"/>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2159BD"/>
    <w:multiLevelType w:val="hybridMultilevel"/>
    <w:tmpl w:val="3D985418"/>
    <w:lvl w:ilvl="0" w:tplc="6FFC9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FF12FC08"/>
    <w:lvl w:ilvl="0" w:tplc="599656A6">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C02C7D"/>
    <w:multiLevelType w:val="hybridMultilevel"/>
    <w:tmpl w:val="A39874B0"/>
    <w:lvl w:ilvl="0" w:tplc="AC5E40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C61D90"/>
    <w:multiLevelType w:val="hybridMultilevel"/>
    <w:tmpl w:val="5BAE7DA2"/>
    <w:lvl w:ilvl="0" w:tplc="1D98AC66">
      <w:start w:val="1"/>
      <w:numFmt w:val="decimal"/>
      <w:lvlText w:val="%1."/>
      <w:lvlJc w:val="left"/>
      <w:pPr>
        <w:tabs>
          <w:tab w:val="num" w:pos="900"/>
        </w:tabs>
        <w:ind w:left="90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10059D6"/>
    <w:multiLevelType w:val="hybridMultilevel"/>
    <w:tmpl w:val="EFAC59B6"/>
    <w:lvl w:ilvl="0" w:tplc="BD76FB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151612"/>
    <w:multiLevelType w:val="hybridMultilevel"/>
    <w:tmpl w:val="F46EA048"/>
    <w:lvl w:ilvl="0" w:tplc="A334B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372626"/>
    <w:multiLevelType w:val="hybridMultilevel"/>
    <w:tmpl w:val="D70C945E"/>
    <w:lvl w:ilvl="0" w:tplc="233E4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7D4B9D"/>
    <w:multiLevelType w:val="hybridMultilevel"/>
    <w:tmpl w:val="4EE2CB48"/>
    <w:lvl w:ilvl="0" w:tplc="A3848EE8">
      <w:start w:val="1"/>
      <w:numFmt w:val="decimal"/>
      <w:lvlText w:val="%1."/>
      <w:lvlJc w:val="left"/>
      <w:pPr>
        <w:ind w:left="54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4"/>
  </w:num>
  <w:num w:numId="6">
    <w:abstractNumId w:val="30"/>
  </w:num>
  <w:num w:numId="7">
    <w:abstractNumId w:val="7"/>
  </w:num>
  <w:num w:numId="8">
    <w:abstractNumId w:val="18"/>
  </w:num>
  <w:num w:numId="9">
    <w:abstractNumId w:val="47"/>
  </w:num>
  <w:num w:numId="10">
    <w:abstractNumId w:val="1"/>
  </w:num>
  <w:num w:numId="11">
    <w:abstractNumId w:val="42"/>
  </w:num>
  <w:num w:numId="12">
    <w:abstractNumId w:val="43"/>
  </w:num>
  <w:num w:numId="13">
    <w:abstractNumId w:val="48"/>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3"/>
  </w:num>
  <w:num w:numId="33">
    <w:abstractNumId w:val="35"/>
  </w:num>
  <w:num w:numId="34">
    <w:abstractNumId w:val="36"/>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3"/>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6"/>
  </w:num>
  <w:num w:numId="53">
    <w:abstractNumId w:val="50"/>
  </w:num>
  <w:num w:numId="54">
    <w:abstractNumId w:val="27"/>
  </w:num>
  <w:num w:numId="55">
    <w:abstractNumId w:val="17"/>
  </w:num>
  <w:num w:numId="56">
    <w:abstractNumId w:val="51"/>
  </w:num>
  <w:num w:numId="57">
    <w:abstractNumId w:val="49"/>
  </w:num>
  <w:num w:numId="58">
    <w:abstractNumId w:val="6"/>
  </w:num>
  <w:num w:numId="59">
    <w:abstractNumId w:val="34"/>
  </w:num>
  <w:num w:numId="60">
    <w:abstractNumId w:val="0"/>
  </w:num>
  <w:num w:numId="61">
    <w:abstractNumId w:val="29"/>
  </w:num>
  <w:num w:numId="62">
    <w:abstractNumId w:val="37"/>
  </w:num>
  <w:num w:numId="63">
    <w:abstractNumId w:val="21"/>
  </w:num>
  <w:num w:numId="64">
    <w:abstractNumId w:val="32"/>
  </w:num>
  <w:num w:numId="65">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55A"/>
    <w:rsid w:val="0000493B"/>
    <w:rsid w:val="00006896"/>
    <w:rsid w:val="00006CAF"/>
    <w:rsid w:val="00006E1F"/>
    <w:rsid w:val="000070D7"/>
    <w:rsid w:val="00007EB1"/>
    <w:rsid w:val="000115D2"/>
    <w:rsid w:val="0001163D"/>
    <w:rsid w:val="00011678"/>
    <w:rsid w:val="00011849"/>
    <w:rsid w:val="00012990"/>
    <w:rsid w:val="0001543D"/>
    <w:rsid w:val="000156CA"/>
    <w:rsid w:val="000158FD"/>
    <w:rsid w:val="0001788C"/>
    <w:rsid w:val="00020CBD"/>
    <w:rsid w:val="00020FD3"/>
    <w:rsid w:val="000214C9"/>
    <w:rsid w:val="0002181B"/>
    <w:rsid w:val="00021B01"/>
    <w:rsid w:val="00021DC5"/>
    <w:rsid w:val="00021EDE"/>
    <w:rsid w:val="00023F7C"/>
    <w:rsid w:val="00024C89"/>
    <w:rsid w:val="00025B24"/>
    <w:rsid w:val="0003041E"/>
    <w:rsid w:val="00031D9D"/>
    <w:rsid w:val="00033075"/>
    <w:rsid w:val="000331F1"/>
    <w:rsid w:val="00036FD0"/>
    <w:rsid w:val="00040C3A"/>
    <w:rsid w:val="000428D3"/>
    <w:rsid w:val="000449F9"/>
    <w:rsid w:val="00046C53"/>
    <w:rsid w:val="00047B91"/>
    <w:rsid w:val="00050BB8"/>
    <w:rsid w:val="00051604"/>
    <w:rsid w:val="000516A3"/>
    <w:rsid w:val="000517BC"/>
    <w:rsid w:val="000517D9"/>
    <w:rsid w:val="0005191F"/>
    <w:rsid w:val="00051F1C"/>
    <w:rsid w:val="00052492"/>
    <w:rsid w:val="00054B2D"/>
    <w:rsid w:val="00054E52"/>
    <w:rsid w:val="0006219D"/>
    <w:rsid w:val="00067A5D"/>
    <w:rsid w:val="00067A87"/>
    <w:rsid w:val="000716C5"/>
    <w:rsid w:val="00072580"/>
    <w:rsid w:val="00073872"/>
    <w:rsid w:val="00073EEE"/>
    <w:rsid w:val="00074874"/>
    <w:rsid w:val="000758FE"/>
    <w:rsid w:val="00075E23"/>
    <w:rsid w:val="0007740C"/>
    <w:rsid w:val="00077DAA"/>
    <w:rsid w:val="00080E59"/>
    <w:rsid w:val="000810FC"/>
    <w:rsid w:val="0008203F"/>
    <w:rsid w:val="0008253D"/>
    <w:rsid w:val="00082858"/>
    <w:rsid w:val="00084E01"/>
    <w:rsid w:val="000859A2"/>
    <w:rsid w:val="0008768F"/>
    <w:rsid w:val="00090AF3"/>
    <w:rsid w:val="00090D18"/>
    <w:rsid w:val="0009121F"/>
    <w:rsid w:val="00091A88"/>
    <w:rsid w:val="00092485"/>
    <w:rsid w:val="0009342D"/>
    <w:rsid w:val="0009344A"/>
    <w:rsid w:val="00094E76"/>
    <w:rsid w:val="000959DE"/>
    <w:rsid w:val="00096978"/>
    <w:rsid w:val="000A02C1"/>
    <w:rsid w:val="000A1EBE"/>
    <w:rsid w:val="000A272A"/>
    <w:rsid w:val="000A2C61"/>
    <w:rsid w:val="000A392E"/>
    <w:rsid w:val="000A4810"/>
    <w:rsid w:val="000A551E"/>
    <w:rsid w:val="000A575F"/>
    <w:rsid w:val="000A576A"/>
    <w:rsid w:val="000A5C71"/>
    <w:rsid w:val="000A5EB2"/>
    <w:rsid w:val="000A7915"/>
    <w:rsid w:val="000B139F"/>
    <w:rsid w:val="000B1FAE"/>
    <w:rsid w:val="000B36BF"/>
    <w:rsid w:val="000B3CDC"/>
    <w:rsid w:val="000B510E"/>
    <w:rsid w:val="000B62BA"/>
    <w:rsid w:val="000C04AF"/>
    <w:rsid w:val="000C2844"/>
    <w:rsid w:val="000C3427"/>
    <w:rsid w:val="000C4545"/>
    <w:rsid w:val="000C52E2"/>
    <w:rsid w:val="000C5F0C"/>
    <w:rsid w:val="000C7727"/>
    <w:rsid w:val="000D10AC"/>
    <w:rsid w:val="000D10DB"/>
    <w:rsid w:val="000D1C2F"/>
    <w:rsid w:val="000D1CDC"/>
    <w:rsid w:val="000D3A75"/>
    <w:rsid w:val="000E0B5E"/>
    <w:rsid w:val="000E2C7E"/>
    <w:rsid w:val="000E5EB5"/>
    <w:rsid w:val="000E796C"/>
    <w:rsid w:val="000E7D62"/>
    <w:rsid w:val="000F0671"/>
    <w:rsid w:val="000F0753"/>
    <w:rsid w:val="000F35ED"/>
    <w:rsid w:val="000F5B40"/>
    <w:rsid w:val="0010094C"/>
    <w:rsid w:val="001028EA"/>
    <w:rsid w:val="00102CBD"/>
    <w:rsid w:val="0010627B"/>
    <w:rsid w:val="00107131"/>
    <w:rsid w:val="0010736F"/>
    <w:rsid w:val="00113F73"/>
    <w:rsid w:val="00114F99"/>
    <w:rsid w:val="0011506D"/>
    <w:rsid w:val="00121CC2"/>
    <w:rsid w:val="001220A9"/>
    <w:rsid w:val="0012364B"/>
    <w:rsid w:val="00124CF5"/>
    <w:rsid w:val="001255B8"/>
    <w:rsid w:val="00130FA6"/>
    <w:rsid w:val="00133EE5"/>
    <w:rsid w:val="00135702"/>
    <w:rsid w:val="001361E8"/>
    <w:rsid w:val="00136D9C"/>
    <w:rsid w:val="00140104"/>
    <w:rsid w:val="001403FE"/>
    <w:rsid w:val="00141C9E"/>
    <w:rsid w:val="00142709"/>
    <w:rsid w:val="001428BB"/>
    <w:rsid w:val="00142E6C"/>
    <w:rsid w:val="00146566"/>
    <w:rsid w:val="001467C1"/>
    <w:rsid w:val="00147089"/>
    <w:rsid w:val="001517E3"/>
    <w:rsid w:val="00151CBA"/>
    <w:rsid w:val="00153D6F"/>
    <w:rsid w:val="00156656"/>
    <w:rsid w:val="00156B81"/>
    <w:rsid w:val="00160CA9"/>
    <w:rsid w:val="00162039"/>
    <w:rsid w:val="00163ACC"/>
    <w:rsid w:val="00166189"/>
    <w:rsid w:val="00167A34"/>
    <w:rsid w:val="00171DEB"/>
    <w:rsid w:val="0017598B"/>
    <w:rsid w:val="00180094"/>
    <w:rsid w:val="00180694"/>
    <w:rsid w:val="00181F34"/>
    <w:rsid w:val="0018423A"/>
    <w:rsid w:val="0018540A"/>
    <w:rsid w:val="00187D0D"/>
    <w:rsid w:val="001948B1"/>
    <w:rsid w:val="00197128"/>
    <w:rsid w:val="001A445C"/>
    <w:rsid w:val="001A573B"/>
    <w:rsid w:val="001A7870"/>
    <w:rsid w:val="001B15AF"/>
    <w:rsid w:val="001B44C6"/>
    <w:rsid w:val="001B5A6C"/>
    <w:rsid w:val="001C0601"/>
    <w:rsid w:val="001C103F"/>
    <w:rsid w:val="001C1B41"/>
    <w:rsid w:val="001C201B"/>
    <w:rsid w:val="001C4385"/>
    <w:rsid w:val="001C613C"/>
    <w:rsid w:val="001C62CD"/>
    <w:rsid w:val="001C63C5"/>
    <w:rsid w:val="001C6592"/>
    <w:rsid w:val="001C6FF9"/>
    <w:rsid w:val="001D088A"/>
    <w:rsid w:val="001D18C7"/>
    <w:rsid w:val="001D30E7"/>
    <w:rsid w:val="001D3FD9"/>
    <w:rsid w:val="001D61AD"/>
    <w:rsid w:val="001D65EF"/>
    <w:rsid w:val="001E076B"/>
    <w:rsid w:val="001E15B6"/>
    <w:rsid w:val="001E30E5"/>
    <w:rsid w:val="001E3C2D"/>
    <w:rsid w:val="001E40BA"/>
    <w:rsid w:val="001E6B33"/>
    <w:rsid w:val="001E6F9B"/>
    <w:rsid w:val="001F1125"/>
    <w:rsid w:val="001F4F03"/>
    <w:rsid w:val="001F7961"/>
    <w:rsid w:val="002028DD"/>
    <w:rsid w:val="002036E4"/>
    <w:rsid w:val="00204415"/>
    <w:rsid w:val="00204B61"/>
    <w:rsid w:val="00204B65"/>
    <w:rsid w:val="00205044"/>
    <w:rsid w:val="00205819"/>
    <w:rsid w:val="00210035"/>
    <w:rsid w:val="00211A2D"/>
    <w:rsid w:val="00216587"/>
    <w:rsid w:val="00217DF3"/>
    <w:rsid w:val="002206EB"/>
    <w:rsid w:val="0022110D"/>
    <w:rsid w:val="00221EC1"/>
    <w:rsid w:val="0022273F"/>
    <w:rsid w:val="0022356E"/>
    <w:rsid w:val="00224579"/>
    <w:rsid w:val="002250A3"/>
    <w:rsid w:val="002254F2"/>
    <w:rsid w:val="00225A75"/>
    <w:rsid w:val="00226057"/>
    <w:rsid w:val="002271CF"/>
    <w:rsid w:val="002307A9"/>
    <w:rsid w:val="00231C02"/>
    <w:rsid w:val="00235217"/>
    <w:rsid w:val="00240A63"/>
    <w:rsid w:val="00242785"/>
    <w:rsid w:val="0024350B"/>
    <w:rsid w:val="002440F7"/>
    <w:rsid w:val="00244A1A"/>
    <w:rsid w:val="00245C5D"/>
    <w:rsid w:val="00246B3C"/>
    <w:rsid w:val="00246D1F"/>
    <w:rsid w:val="00246E90"/>
    <w:rsid w:val="002472E3"/>
    <w:rsid w:val="00247403"/>
    <w:rsid w:val="00247542"/>
    <w:rsid w:val="00252115"/>
    <w:rsid w:val="00252603"/>
    <w:rsid w:val="00252918"/>
    <w:rsid w:val="00254F59"/>
    <w:rsid w:val="00255222"/>
    <w:rsid w:val="002560ED"/>
    <w:rsid w:val="0025752E"/>
    <w:rsid w:val="002609CF"/>
    <w:rsid w:val="00261379"/>
    <w:rsid w:val="00262354"/>
    <w:rsid w:val="00262C03"/>
    <w:rsid w:val="00263CA5"/>
    <w:rsid w:val="00266377"/>
    <w:rsid w:val="00266B61"/>
    <w:rsid w:val="0026712A"/>
    <w:rsid w:val="00267565"/>
    <w:rsid w:val="002704DB"/>
    <w:rsid w:val="00270CB4"/>
    <w:rsid w:val="002710C3"/>
    <w:rsid w:val="00271C65"/>
    <w:rsid w:val="00272F06"/>
    <w:rsid w:val="0027473E"/>
    <w:rsid w:val="00276DF8"/>
    <w:rsid w:val="00277EF9"/>
    <w:rsid w:val="00280E61"/>
    <w:rsid w:val="002827DD"/>
    <w:rsid w:val="00283745"/>
    <w:rsid w:val="00286B80"/>
    <w:rsid w:val="002876EE"/>
    <w:rsid w:val="002900FB"/>
    <w:rsid w:val="00291BD5"/>
    <w:rsid w:val="00292D3F"/>
    <w:rsid w:val="002932D5"/>
    <w:rsid w:val="00295975"/>
    <w:rsid w:val="00295C11"/>
    <w:rsid w:val="0029714A"/>
    <w:rsid w:val="00297434"/>
    <w:rsid w:val="002979FB"/>
    <w:rsid w:val="002A0679"/>
    <w:rsid w:val="002A06A2"/>
    <w:rsid w:val="002A0AAE"/>
    <w:rsid w:val="002A2574"/>
    <w:rsid w:val="002A5820"/>
    <w:rsid w:val="002A5E34"/>
    <w:rsid w:val="002A743A"/>
    <w:rsid w:val="002A7ABE"/>
    <w:rsid w:val="002A7C65"/>
    <w:rsid w:val="002B2728"/>
    <w:rsid w:val="002B66EE"/>
    <w:rsid w:val="002B6ECA"/>
    <w:rsid w:val="002C109D"/>
    <w:rsid w:val="002C1841"/>
    <w:rsid w:val="002C487E"/>
    <w:rsid w:val="002C4B9F"/>
    <w:rsid w:val="002C55BC"/>
    <w:rsid w:val="002D1311"/>
    <w:rsid w:val="002D2B26"/>
    <w:rsid w:val="002D30D7"/>
    <w:rsid w:val="002D5CB9"/>
    <w:rsid w:val="002D7EA2"/>
    <w:rsid w:val="002E05B1"/>
    <w:rsid w:val="002E12CB"/>
    <w:rsid w:val="002E13A5"/>
    <w:rsid w:val="002E187C"/>
    <w:rsid w:val="002E28E3"/>
    <w:rsid w:val="002E4AEA"/>
    <w:rsid w:val="002E6D85"/>
    <w:rsid w:val="002F1909"/>
    <w:rsid w:val="002F31F3"/>
    <w:rsid w:val="002F76D1"/>
    <w:rsid w:val="00300AC4"/>
    <w:rsid w:val="00301856"/>
    <w:rsid w:val="003026D2"/>
    <w:rsid w:val="00302733"/>
    <w:rsid w:val="00303D52"/>
    <w:rsid w:val="00303E12"/>
    <w:rsid w:val="00306F0C"/>
    <w:rsid w:val="0030727B"/>
    <w:rsid w:val="003077ED"/>
    <w:rsid w:val="00307ABC"/>
    <w:rsid w:val="00307E92"/>
    <w:rsid w:val="00311514"/>
    <w:rsid w:val="00311571"/>
    <w:rsid w:val="00311850"/>
    <w:rsid w:val="00311918"/>
    <w:rsid w:val="0031359B"/>
    <w:rsid w:val="00314078"/>
    <w:rsid w:val="0031535D"/>
    <w:rsid w:val="00316F08"/>
    <w:rsid w:val="00320414"/>
    <w:rsid w:val="003218C8"/>
    <w:rsid w:val="0033028D"/>
    <w:rsid w:val="0033169F"/>
    <w:rsid w:val="00331A1E"/>
    <w:rsid w:val="0033207F"/>
    <w:rsid w:val="0033233F"/>
    <w:rsid w:val="00336538"/>
    <w:rsid w:val="00336B9D"/>
    <w:rsid w:val="00342FE8"/>
    <w:rsid w:val="00344D6A"/>
    <w:rsid w:val="00346C95"/>
    <w:rsid w:val="00346D5F"/>
    <w:rsid w:val="003507D1"/>
    <w:rsid w:val="00354188"/>
    <w:rsid w:val="0035419E"/>
    <w:rsid w:val="0035572E"/>
    <w:rsid w:val="00355891"/>
    <w:rsid w:val="003558ED"/>
    <w:rsid w:val="00356185"/>
    <w:rsid w:val="00357A3D"/>
    <w:rsid w:val="00360380"/>
    <w:rsid w:val="00361415"/>
    <w:rsid w:val="003633C5"/>
    <w:rsid w:val="00365872"/>
    <w:rsid w:val="00367BDB"/>
    <w:rsid w:val="003731CF"/>
    <w:rsid w:val="003733C1"/>
    <w:rsid w:val="00373415"/>
    <w:rsid w:val="0037345D"/>
    <w:rsid w:val="0037519E"/>
    <w:rsid w:val="00376BD1"/>
    <w:rsid w:val="00380A3C"/>
    <w:rsid w:val="00381C8D"/>
    <w:rsid w:val="00384733"/>
    <w:rsid w:val="003848FF"/>
    <w:rsid w:val="0038559B"/>
    <w:rsid w:val="00386CF0"/>
    <w:rsid w:val="003903FC"/>
    <w:rsid w:val="00391C32"/>
    <w:rsid w:val="00392618"/>
    <w:rsid w:val="003929C1"/>
    <w:rsid w:val="003A0FF7"/>
    <w:rsid w:val="003A37E6"/>
    <w:rsid w:val="003A3B60"/>
    <w:rsid w:val="003A3E0D"/>
    <w:rsid w:val="003A3E60"/>
    <w:rsid w:val="003A4ED3"/>
    <w:rsid w:val="003A5083"/>
    <w:rsid w:val="003A51D6"/>
    <w:rsid w:val="003A5E0C"/>
    <w:rsid w:val="003A777C"/>
    <w:rsid w:val="003A7F77"/>
    <w:rsid w:val="003B0066"/>
    <w:rsid w:val="003B2F2E"/>
    <w:rsid w:val="003B3FC3"/>
    <w:rsid w:val="003B6BB2"/>
    <w:rsid w:val="003C0902"/>
    <w:rsid w:val="003C6234"/>
    <w:rsid w:val="003C676B"/>
    <w:rsid w:val="003C6BBD"/>
    <w:rsid w:val="003D0B67"/>
    <w:rsid w:val="003D184A"/>
    <w:rsid w:val="003D2C50"/>
    <w:rsid w:val="003D3BC2"/>
    <w:rsid w:val="003D49BC"/>
    <w:rsid w:val="003D5280"/>
    <w:rsid w:val="003D6752"/>
    <w:rsid w:val="003D67C7"/>
    <w:rsid w:val="003D6D59"/>
    <w:rsid w:val="003D730A"/>
    <w:rsid w:val="003D73AA"/>
    <w:rsid w:val="003D7B17"/>
    <w:rsid w:val="003D7C03"/>
    <w:rsid w:val="003E0197"/>
    <w:rsid w:val="003E0566"/>
    <w:rsid w:val="003E0F69"/>
    <w:rsid w:val="003E16BF"/>
    <w:rsid w:val="003E432F"/>
    <w:rsid w:val="003E4DF1"/>
    <w:rsid w:val="003E6CA1"/>
    <w:rsid w:val="003E715E"/>
    <w:rsid w:val="003E7A8B"/>
    <w:rsid w:val="003E7CB9"/>
    <w:rsid w:val="003E7F09"/>
    <w:rsid w:val="003F0081"/>
    <w:rsid w:val="003F10B9"/>
    <w:rsid w:val="003F3CEB"/>
    <w:rsid w:val="003F4C8A"/>
    <w:rsid w:val="003F5062"/>
    <w:rsid w:val="003F54FD"/>
    <w:rsid w:val="003F592C"/>
    <w:rsid w:val="003F677F"/>
    <w:rsid w:val="003F68F0"/>
    <w:rsid w:val="003F7F6C"/>
    <w:rsid w:val="00400198"/>
    <w:rsid w:val="004007F8"/>
    <w:rsid w:val="00401FE1"/>
    <w:rsid w:val="00402801"/>
    <w:rsid w:val="00403BD2"/>
    <w:rsid w:val="00407B8E"/>
    <w:rsid w:val="00410EEA"/>
    <w:rsid w:val="00414717"/>
    <w:rsid w:val="004165C2"/>
    <w:rsid w:val="00416634"/>
    <w:rsid w:val="0042232A"/>
    <w:rsid w:val="00422A5D"/>
    <w:rsid w:val="00423398"/>
    <w:rsid w:val="00423ABE"/>
    <w:rsid w:val="00426114"/>
    <w:rsid w:val="00426CA0"/>
    <w:rsid w:val="0042737A"/>
    <w:rsid w:val="00434DA4"/>
    <w:rsid w:val="0043599A"/>
    <w:rsid w:val="00435EAC"/>
    <w:rsid w:val="00436C85"/>
    <w:rsid w:val="00437159"/>
    <w:rsid w:val="00437349"/>
    <w:rsid w:val="00437655"/>
    <w:rsid w:val="0044013E"/>
    <w:rsid w:val="00441ECB"/>
    <w:rsid w:val="00442623"/>
    <w:rsid w:val="00442D18"/>
    <w:rsid w:val="004448E3"/>
    <w:rsid w:val="004450D2"/>
    <w:rsid w:val="00450207"/>
    <w:rsid w:val="00451B1E"/>
    <w:rsid w:val="00451CE0"/>
    <w:rsid w:val="00455A20"/>
    <w:rsid w:val="0046072D"/>
    <w:rsid w:val="00463E5D"/>
    <w:rsid w:val="00465877"/>
    <w:rsid w:val="0046718B"/>
    <w:rsid w:val="00467B7E"/>
    <w:rsid w:val="00467F5A"/>
    <w:rsid w:val="00471028"/>
    <w:rsid w:val="00471B6F"/>
    <w:rsid w:val="00471BEB"/>
    <w:rsid w:val="00472B9F"/>
    <w:rsid w:val="00472E6E"/>
    <w:rsid w:val="00472FA4"/>
    <w:rsid w:val="00473A70"/>
    <w:rsid w:val="00473C3C"/>
    <w:rsid w:val="00475293"/>
    <w:rsid w:val="0047544F"/>
    <w:rsid w:val="00476EE7"/>
    <w:rsid w:val="00477592"/>
    <w:rsid w:val="00482EC8"/>
    <w:rsid w:val="00483D68"/>
    <w:rsid w:val="00484266"/>
    <w:rsid w:val="004845A8"/>
    <w:rsid w:val="00484945"/>
    <w:rsid w:val="00485086"/>
    <w:rsid w:val="004862C3"/>
    <w:rsid w:val="00486F1C"/>
    <w:rsid w:val="00487108"/>
    <w:rsid w:val="00487F96"/>
    <w:rsid w:val="00491490"/>
    <w:rsid w:val="004925EB"/>
    <w:rsid w:val="00493279"/>
    <w:rsid w:val="0049419D"/>
    <w:rsid w:val="004964F6"/>
    <w:rsid w:val="00496918"/>
    <w:rsid w:val="00497693"/>
    <w:rsid w:val="0049769D"/>
    <w:rsid w:val="004A3949"/>
    <w:rsid w:val="004A4541"/>
    <w:rsid w:val="004A50BC"/>
    <w:rsid w:val="004A510B"/>
    <w:rsid w:val="004A6BB4"/>
    <w:rsid w:val="004B0707"/>
    <w:rsid w:val="004B2634"/>
    <w:rsid w:val="004B282B"/>
    <w:rsid w:val="004B553C"/>
    <w:rsid w:val="004B590C"/>
    <w:rsid w:val="004B6005"/>
    <w:rsid w:val="004B7DB7"/>
    <w:rsid w:val="004C20D2"/>
    <w:rsid w:val="004C25AE"/>
    <w:rsid w:val="004C27E0"/>
    <w:rsid w:val="004C3D7A"/>
    <w:rsid w:val="004C4B62"/>
    <w:rsid w:val="004C54C9"/>
    <w:rsid w:val="004C6DC2"/>
    <w:rsid w:val="004C790D"/>
    <w:rsid w:val="004C7DF6"/>
    <w:rsid w:val="004D083D"/>
    <w:rsid w:val="004D195F"/>
    <w:rsid w:val="004D24C0"/>
    <w:rsid w:val="004D2720"/>
    <w:rsid w:val="004D4D04"/>
    <w:rsid w:val="004D6025"/>
    <w:rsid w:val="004D6618"/>
    <w:rsid w:val="004D69C0"/>
    <w:rsid w:val="004E0797"/>
    <w:rsid w:val="004E2649"/>
    <w:rsid w:val="004E30B9"/>
    <w:rsid w:val="004E4959"/>
    <w:rsid w:val="004E6986"/>
    <w:rsid w:val="004F083B"/>
    <w:rsid w:val="004F0B6F"/>
    <w:rsid w:val="004F0D6C"/>
    <w:rsid w:val="004F131C"/>
    <w:rsid w:val="004F34EF"/>
    <w:rsid w:val="004F3556"/>
    <w:rsid w:val="004F3A0E"/>
    <w:rsid w:val="004F47A6"/>
    <w:rsid w:val="004F569A"/>
    <w:rsid w:val="004F627D"/>
    <w:rsid w:val="00501399"/>
    <w:rsid w:val="00501BA4"/>
    <w:rsid w:val="0050211E"/>
    <w:rsid w:val="005053BA"/>
    <w:rsid w:val="0050633D"/>
    <w:rsid w:val="00507BC4"/>
    <w:rsid w:val="00511849"/>
    <w:rsid w:val="0051282A"/>
    <w:rsid w:val="005128E4"/>
    <w:rsid w:val="005133DB"/>
    <w:rsid w:val="00515080"/>
    <w:rsid w:val="005202BB"/>
    <w:rsid w:val="00520E0E"/>
    <w:rsid w:val="00524F93"/>
    <w:rsid w:val="00525560"/>
    <w:rsid w:val="005260C2"/>
    <w:rsid w:val="00526AF1"/>
    <w:rsid w:val="00526F9F"/>
    <w:rsid w:val="00527E9B"/>
    <w:rsid w:val="005301A8"/>
    <w:rsid w:val="005345E0"/>
    <w:rsid w:val="005346F7"/>
    <w:rsid w:val="005354F3"/>
    <w:rsid w:val="00535FDD"/>
    <w:rsid w:val="00536923"/>
    <w:rsid w:val="00537327"/>
    <w:rsid w:val="00537582"/>
    <w:rsid w:val="0053761E"/>
    <w:rsid w:val="00540191"/>
    <w:rsid w:val="005430CE"/>
    <w:rsid w:val="005439A1"/>
    <w:rsid w:val="00544C49"/>
    <w:rsid w:val="005516A1"/>
    <w:rsid w:val="005534E1"/>
    <w:rsid w:val="00554919"/>
    <w:rsid w:val="0055497C"/>
    <w:rsid w:val="005568E8"/>
    <w:rsid w:val="00556988"/>
    <w:rsid w:val="005572BA"/>
    <w:rsid w:val="00557337"/>
    <w:rsid w:val="00560474"/>
    <w:rsid w:val="005607F7"/>
    <w:rsid w:val="005622DA"/>
    <w:rsid w:val="0056294A"/>
    <w:rsid w:val="00563B9D"/>
    <w:rsid w:val="005646E8"/>
    <w:rsid w:val="0056490C"/>
    <w:rsid w:val="00564E4A"/>
    <w:rsid w:val="00565744"/>
    <w:rsid w:val="00565F56"/>
    <w:rsid w:val="0056712C"/>
    <w:rsid w:val="0057034F"/>
    <w:rsid w:val="0057325E"/>
    <w:rsid w:val="0057402A"/>
    <w:rsid w:val="0057477E"/>
    <w:rsid w:val="005754F2"/>
    <w:rsid w:val="005771D0"/>
    <w:rsid w:val="00580C1C"/>
    <w:rsid w:val="005824E5"/>
    <w:rsid w:val="00582FE9"/>
    <w:rsid w:val="00583F5D"/>
    <w:rsid w:val="00584921"/>
    <w:rsid w:val="00584B82"/>
    <w:rsid w:val="00584DFF"/>
    <w:rsid w:val="005862A6"/>
    <w:rsid w:val="0058630D"/>
    <w:rsid w:val="0059191A"/>
    <w:rsid w:val="005921FF"/>
    <w:rsid w:val="005937F1"/>
    <w:rsid w:val="00593F10"/>
    <w:rsid w:val="00594F25"/>
    <w:rsid w:val="00595C1D"/>
    <w:rsid w:val="00596726"/>
    <w:rsid w:val="005A0CD2"/>
    <w:rsid w:val="005A1516"/>
    <w:rsid w:val="005A1D55"/>
    <w:rsid w:val="005A2B6A"/>
    <w:rsid w:val="005A4334"/>
    <w:rsid w:val="005A4932"/>
    <w:rsid w:val="005A527B"/>
    <w:rsid w:val="005A6D0E"/>
    <w:rsid w:val="005A6FFC"/>
    <w:rsid w:val="005A7599"/>
    <w:rsid w:val="005A7DC2"/>
    <w:rsid w:val="005B016E"/>
    <w:rsid w:val="005B0768"/>
    <w:rsid w:val="005B0828"/>
    <w:rsid w:val="005B0F10"/>
    <w:rsid w:val="005B13BC"/>
    <w:rsid w:val="005B14A3"/>
    <w:rsid w:val="005B16A6"/>
    <w:rsid w:val="005B1EDF"/>
    <w:rsid w:val="005B2A02"/>
    <w:rsid w:val="005B35F4"/>
    <w:rsid w:val="005B4ED6"/>
    <w:rsid w:val="005B52B0"/>
    <w:rsid w:val="005B6806"/>
    <w:rsid w:val="005B6FCB"/>
    <w:rsid w:val="005C1C28"/>
    <w:rsid w:val="005C2827"/>
    <w:rsid w:val="005C298D"/>
    <w:rsid w:val="005C32F4"/>
    <w:rsid w:val="005C37CB"/>
    <w:rsid w:val="005C4225"/>
    <w:rsid w:val="005C4459"/>
    <w:rsid w:val="005C4CA5"/>
    <w:rsid w:val="005C5FD2"/>
    <w:rsid w:val="005C7019"/>
    <w:rsid w:val="005D0DB1"/>
    <w:rsid w:val="005D1908"/>
    <w:rsid w:val="005D1C68"/>
    <w:rsid w:val="005D1CBB"/>
    <w:rsid w:val="005D24BE"/>
    <w:rsid w:val="005D276F"/>
    <w:rsid w:val="005D34E0"/>
    <w:rsid w:val="005D6253"/>
    <w:rsid w:val="005D71E2"/>
    <w:rsid w:val="005E2813"/>
    <w:rsid w:val="005E3035"/>
    <w:rsid w:val="005E3547"/>
    <w:rsid w:val="005E6E2C"/>
    <w:rsid w:val="005E7219"/>
    <w:rsid w:val="005F01FF"/>
    <w:rsid w:val="005F0DAD"/>
    <w:rsid w:val="005F0F33"/>
    <w:rsid w:val="005F2344"/>
    <w:rsid w:val="005F309E"/>
    <w:rsid w:val="005F3A30"/>
    <w:rsid w:val="005F5C3F"/>
    <w:rsid w:val="005F66D9"/>
    <w:rsid w:val="00600DEB"/>
    <w:rsid w:val="00607727"/>
    <w:rsid w:val="00610511"/>
    <w:rsid w:val="006125C3"/>
    <w:rsid w:val="00613705"/>
    <w:rsid w:val="00614F23"/>
    <w:rsid w:val="006168B9"/>
    <w:rsid w:val="006225E5"/>
    <w:rsid w:val="00623E0E"/>
    <w:rsid w:val="00625A00"/>
    <w:rsid w:val="00627C9F"/>
    <w:rsid w:val="006311E9"/>
    <w:rsid w:val="00632354"/>
    <w:rsid w:val="00633590"/>
    <w:rsid w:val="00633E6D"/>
    <w:rsid w:val="00634952"/>
    <w:rsid w:val="00640665"/>
    <w:rsid w:val="00640FFE"/>
    <w:rsid w:val="00642810"/>
    <w:rsid w:val="00644405"/>
    <w:rsid w:val="00644677"/>
    <w:rsid w:val="0064495A"/>
    <w:rsid w:val="00646640"/>
    <w:rsid w:val="00647A1E"/>
    <w:rsid w:val="00650A82"/>
    <w:rsid w:val="00650DC7"/>
    <w:rsid w:val="00651CD9"/>
    <w:rsid w:val="00652333"/>
    <w:rsid w:val="006526FC"/>
    <w:rsid w:val="006537B6"/>
    <w:rsid w:val="006553D2"/>
    <w:rsid w:val="00656F9A"/>
    <w:rsid w:val="0066017F"/>
    <w:rsid w:val="006601BB"/>
    <w:rsid w:val="006644AC"/>
    <w:rsid w:val="00664EFA"/>
    <w:rsid w:val="0066515B"/>
    <w:rsid w:val="006658E8"/>
    <w:rsid w:val="00667AA6"/>
    <w:rsid w:val="00673575"/>
    <w:rsid w:val="006736B4"/>
    <w:rsid w:val="006745D3"/>
    <w:rsid w:val="00675F51"/>
    <w:rsid w:val="00677E8F"/>
    <w:rsid w:val="0068009E"/>
    <w:rsid w:val="006801AD"/>
    <w:rsid w:val="0068160C"/>
    <w:rsid w:val="0068286A"/>
    <w:rsid w:val="00683696"/>
    <w:rsid w:val="00683730"/>
    <w:rsid w:val="006850EB"/>
    <w:rsid w:val="00686CA4"/>
    <w:rsid w:val="00686F8A"/>
    <w:rsid w:val="0069098B"/>
    <w:rsid w:val="00690EA8"/>
    <w:rsid w:val="00692219"/>
    <w:rsid w:val="00692413"/>
    <w:rsid w:val="00693395"/>
    <w:rsid w:val="006949EE"/>
    <w:rsid w:val="00694AFC"/>
    <w:rsid w:val="00696721"/>
    <w:rsid w:val="006969A7"/>
    <w:rsid w:val="00697A93"/>
    <w:rsid w:val="006A0236"/>
    <w:rsid w:val="006A081B"/>
    <w:rsid w:val="006A09FF"/>
    <w:rsid w:val="006A17D2"/>
    <w:rsid w:val="006A48D1"/>
    <w:rsid w:val="006A4B39"/>
    <w:rsid w:val="006A50A1"/>
    <w:rsid w:val="006A658F"/>
    <w:rsid w:val="006A683F"/>
    <w:rsid w:val="006A73E6"/>
    <w:rsid w:val="006B1038"/>
    <w:rsid w:val="006B1ACA"/>
    <w:rsid w:val="006B1E94"/>
    <w:rsid w:val="006B2D5C"/>
    <w:rsid w:val="006B4D40"/>
    <w:rsid w:val="006B5055"/>
    <w:rsid w:val="006C0C0E"/>
    <w:rsid w:val="006C1A1A"/>
    <w:rsid w:val="006C1A20"/>
    <w:rsid w:val="006C1C96"/>
    <w:rsid w:val="006C1E81"/>
    <w:rsid w:val="006C2EB7"/>
    <w:rsid w:val="006C4AC0"/>
    <w:rsid w:val="006C4EB1"/>
    <w:rsid w:val="006C71FD"/>
    <w:rsid w:val="006D141D"/>
    <w:rsid w:val="006D4FDC"/>
    <w:rsid w:val="006E0166"/>
    <w:rsid w:val="006E2973"/>
    <w:rsid w:val="006E3921"/>
    <w:rsid w:val="006E43E9"/>
    <w:rsid w:val="006E49F0"/>
    <w:rsid w:val="006E5294"/>
    <w:rsid w:val="006E7B34"/>
    <w:rsid w:val="006F1AB5"/>
    <w:rsid w:val="006F3EC5"/>
    <w:rsid w:val="006F4591"/>
    <w:rsid w:val="006F5211"/>
    <w:rsid w:val="006F6047"/>
    <w:rsid w:val="0070031B"/>
    <w:rsid w:val="00700F88"/>
    <w:rsid w:val="0070135C"/>
    <w:rsid w:val="00702498"/>
    <w:rsid w:val="00702FC8"/>
    <w:rsid w:val="00704518"/>
    <w:rsid w:val="007046D3"/>
    <w:rsid w:val="00704E54"/>
    <w:rsid w:val="007052A3"/>
    <w:rsid w:val="0070697F"/>
    <w:rsid w:val="00713144"/>
    <w:rsid w:val="007131C6"/>
    <w:rsid w:val="007135A4"/>
    <w:rsid w:val="007143DE"/>
    <w:rsid w:val="00715302"/>
    <w:rsid w:val="0072010D"/>
    <w:rsid w:val="007208E1"/>
    <w:rsid w:val="0072199C"/>
    <w:rsid w:val="007219CD"/>
    <w:rsid w:val="00722C9F"/>
    <w:rsid w:val="007253B8"/>
    <w:rsid w:val="00730C6C"/>
    <w:rsid w:val="00731A24"/>
    <w:rsid w:val="00734C31"/>
    <w:rsid w:val="0073631B"/>
    <w:rsid w:val="0073741F"/>
    <w:rsid w:val="0074015B"/>
    <w:rsid w:val="00740781"/>
    <w:rsid w:val="00740900"/>
    <w:rsid w:val="007431D9"/>
    <w:rsid w:val="0074356B"/>
    <w:rsid w:val="00747161"/>
    <w:rsid w:val="0074774E"/>
    <w:rsid w:val="00750078"/>
    <w:rsid w:val="0075234D"/>
    <w:rsid w:val="007527E5"/>
    <w:rsid w:val="007540D5"/>
    <w:rsid w:val="007575A0"/>
    <w:rsid w:val="00760472"/>
    <w:rsid w:val="00761740"/>
    <w:rsid w:val="00762F26"/>
    <w:rsid w:val="007640B4"/>
    <w:rsid w:val="0076428A"/>
    <w:rsid w:val="0076643F"/>
    <w:rsid w:val="00770493"/>
    <w:rsid w:val="00771C5A"/>
    <w:rsid w:val="00776083"/>
    <w:rsid w:val="007774D0"/>
    <w:rsid w:val="00777F63"/>
    <w:rsid w:val="00782A71"/>
    <w:rsid w:val="00783B89"/>
    <w:rsid w:val="00784248"/>
    <w:rsid w:val="007848F0"/>
    <w:rsid w:val="007858FD"/>
    <w:rsid w:val="00793E42"/>
    <w:rsid w:val="0079767B"/>
    <w:rsid w:val="00797AE1"/>
    <w:rsid w:val="007A08D8"/>
    <w:rsid w:val="007A1B88"/>
    <w:rsid w:val="007A2A7C"/>
    <w:rsid w:val="007A2D1A"/>
    <w:rsid w:val="007A427D"/>
    <w:rsid w:val="007A4CCC"/>
    <w:rsid w:val="007A5817"/>
    <w:rsid w:val="007A5C37"/>
    <w:rsid w:val="007A612F"/>
    <w:rsid w:val="007A6FF5"/>
    <w:rsid w:val="007A709B"/>
    <w:rsid w:val="007A73F5"/>
    <w:rsid w:val="007A7D9A"/>
    <w:rsid w:val="007B1D3B"/>
    <w:rsid w:val="007B288A"/>
    <w:rsid w:val="007B379F"/>
    <w:rsid w:val="007B60E9"/>
    <w:rsid w:val="007B6CC3"/>
    <w:rsid w:val="007C08FA"/>
    <w:rsid w:val="007C12A0"/>
    <w:rsid w:val="007C1727"/>
    <w:rsid w:val="007C2394"/>
    <w:rsid w:val="007C3334"/>
    <w:rsid w:val="007C3EC9"/>
    <w:rsid w:val="007C4500"/>
    <w:rsid w:val="007C756A"/>
    <w:rsid w:val="007D0D83"/>
    <w:rsid w:val="007D0FB2"/>
    <w:rsid w:val="007D2B98"/>
    <w:rsid w:val="007D301A"/>
    <w:rsid w:val="007D3255"/>
    <w:rsid w:val="007D3766"/>
    <w:rsid w:val="007D601F"/>
    <w:rsid w:val="007D6483"/>
    <w:rsid w:val="007D74E6"/>
    <w:rsid w:val="007D7910"/>
    <w:rsid w:val="007E17E4"/>
    <w:rsid w:val="007E21BC"/>
    <w:rsid w:val="007E258A"/>
    <w:rsid w:val="007E60E3"/>
    <w:rsid w:val="007F0BD1"/>
    <w:rsid w:val="007F12CD"/>
    <w:rsid w:val="007F1A14"/>
    <w:rsid w:val="007F20AF"/>
    <w:rsid w:val="007F3BF9"/>
    <w:rsid w:val="007F4AB6"/>
    <w:rsid w:val="007F7024"/>
    <w:rsid w:val="007F7E9A"/>
    <w:rsid w:val="0080121F"/>
    <w:rsid w:val="008016EF"/>
    <w:rsid w:val="00801C07"/>
    <w:rsid w:val="00803767"/>
    <w:rsid w:val="00803F1C"/>
    <w:rsid w:val="00804899"/>
    <w:rsid w:val="00804FCC"/>
    <w:rsid w:val="0080600E"/>
    <w:rsid w:val="008108D0"/>
    <w:rsid w:val="00810CB8"/>
    <w:rsid w:val="00811EDA"/>
    <w:rsid w:val="00812924"/>
    <w:rsid w:val="008147AF"/>
    <w:rsid w:val="00815021"/>
    <w:rsid w:val="008166FA"/>
    <w:rsid w:val="00816D6A"/>
    <w:rsid w:val="00817612"/>
    <w:rsid w:val="00817C51"/>
    <w:rsid w:val="00820268"/>
    <w:rsid w:val="008211E9"/>
    <w:rsid w:val="008217E6"/>
    <w:rsid w:val="008219EA"/>
    <w:rsid w:val="008266A7"/>
    <w:rsid w:val="0082710C"/>
    <w:rsid w:val="00830459"/>
    <w:rsid w:val="00831BE5"/>
    <w:rsid w:val="0083258F"/>
    <w:rsid w:val="008338A4"/>
    <w:rsid w:val="00834D0B"/>
    <w:rsid w:val="00835A11"/>
    <w:rsid w:val="00835F73"/>
    <w:rsid w:val="008367D2"/>
    <w:rsid w:val="008371BF"/>
    <w:rsid w:val="008378A1"/>
    <w:rsid w:val="00837C45"/>
    <w:rsid w:val="00844487"/>
    <w:rsid w:val="00844730"/>
    <w:rsid w:val="00845352"/>
    <w:rsid w:val="008457C2"/>
    <w:rsid w:val="00846111"/>
    <w:rsid w:val="008500CB"/>
    <w:rsid w:val="00850100"/>
    <w:rsid w:val="00852E52"/>
    <w:rsid w:val="00853123"/>
    <w:rsid w:val="008537E5"/>
    <w:rsid w:val="00853A78"/>
    <w:rsid w:val="00855AED"/>
    <w:rsid w:val="008560C3"/>
    <w:rsid w:val="00856E36"/>
    <w:rsid w:val="00857A82"/>
    <w:rsid w:val="00861946"/>
    <w:rsid w:val="00863C4C"/>
    <w:rsid w:val="008654B9"/>
    <w:rsid w:val="00870357"/>
    <w:rsid w:val="00873836"/>
    <w:rsid w:val="0087583F"/>
    <w:rsid w:val="00881D53"/>
    <w:rsid w:val="00882944"/>
    <w:rsid w:val="00882FBB"/>
    <w:rsid w:val="00884D79"/>
    <w:rsid w:val="00884ED6"/>
    <w:rsid w:val="008852B6"/>
    <w:rsid w:val="00885737"/>
    <w:rsid w:val="008863A4"/>
    <w:rsid w:val="00886677"/>
    <w:rsid w:val="00886724"/>
    <w:rsid w:val="00887FF6"/>
    <w:rsid w:val="00890650"/>
    <w:rsid w:val="008912FA"/>
    <w:rsid w:val="008914CC"/>
    <w:rsid w:val="008919C8"/>
    <w:rsid w:val="00891D02"/>
    <w:rsid w:val="00892CBB"/>
    <w:rsid w:val="00892E4F"/>
    <w:rsid w:val="00893243"/>
    <w:rsid w:val="00896927"/>
    <w:rsid w:val="00897411"/>
    <w:rsid w:val="00897E12"/>
    <w:rsid w:val="008A10B5"/>
    <w:rsid w:val="008A68CD"/>
    <w:rsid w:val="008A79AF"/>
    <w:rsid w:val="008A7E0F"/>
    <w:rsid w:val="008B12F5"/>
    <w:rsid w:val="008B1405"/>
    <w:rsid w:val="008B163C"/>
    <w:rsid w:val="008B25F9"/>
    <w:rsid w:val="008B543E"/>
    <w:rsid w:val="008B6231"/>
    <w:rsid w:val="008C18BC"/>
    <w:rsid w:val="008C1E12"/>
    <w:rsid w:val="008C1E70"/>
    <w:rsid w:val="008C27E0"/>
    <w:rsid w:val="008C3098"/>
    <w:rsid w:val="008C3484"/>
    <w:rsid w:val="008C395C"/>
    <w:rsid w:val="008C6036"/>
    <w:rsid w:val="008C685B"/>
    <w:rsid w:val="008C6A17"/>
    <w:rsid w:val="008C7C32"/>
    <w:rsid w:val="008C7F1F"/>
    <w:rsid w:val="008D0929"/>
    <w:rsid w:val="008D0B06"/>
    <w:rsid w:val="008D0BE0"/>
    <w:rsid w:val="008D1118"/>
    <w:rsid w:val="008D1220"/>
    <w:rsid w:val="008D381C"/>
    <w:rsid w:val="008D55EA"/>
    <w:rsid w:val="008D768D"/>
    <w:rsid w:val="008E13C3"/>
    <w:rsid w:val="008E333B"/>
    <w:rsid w:val="008E3759"/>
    <w:rsid w:val="008E4AD1"/>
    <w:rsid w:val="008E592A"/>
    <w:rsid w:val="008E5A54"/>
    <w:rsid w:val="008E5CD1"/>
    <w:rsid w:val="008E62CB"/>
    <w:rsid w:val="008E6C6A"/>
    <w:rsid w:val="008F01FB"/>
    <w:rsid w:val="008F1912"/>
    <w:rsid w:val="008F1B28"/>
    <w:rsid w:val="008F4219"/>
    <w:rsid w:val="008F604B"/>
    <w:rsid w:val="009014A4"/>
    <w:rsid w:val="009016DD"/>
    <w:rsid w:val="00901747"/>
    <w:rsid w:val="0090270B"/>
    <w:rsid w:val="00902860"/>
    <w:rsid w:val="009041DC"/>
    <w:rsid w:val="00905A09"/>
    <w:rsid w:val="00905D06"/>
    <w:rsid w:val="009072DD"/>
    <w:rsid w:val="00907B7F"/>
    <w:rsid w:val="00911970"/>
    <w:rsid w:val="00913127"/>
    <w:rsid w:val="009152DA"/>
    <w:rsid w:val="00917B5A"/>
    <w:rsid w:val="00917DEA"/>
    <w:rsid w:val="00920014"/>
    <w:rsid w:val="00920A58"/>
    <w:rsid w:val="00920A8C"/>
    <w:rsid w:val="0092111F"/>
    <w:rsid w:val="00923219"/>
    <w:rsid w:val="00926C5F"/>
    <w:rsid w:val="009277A2"/>
    <w:rsid w:val="00932944"/>
    <w:rsid w:val="00933C8D"/>
    <w:rsid w:val="0093421E"/>
    <w:rsid w:val="00934A2C"/>
    <w:rsid w:val="00937E7D"/>
    <w:rsid w:val="0094010F"/>
    <w:rsid w:val="00940515"/>
    <w:rsid w:val="0094191C"/>
    <w:rsid w:val="009419F3"/>
    <w:rsid w:val="00941DBD"/>
    <w:rsid w:val="0094228F"/>
    <w:rsid w:val="00942754"/>
    <w:rsid w:val="0094474A"/>
    <w:rsid w:val="00944811"/>
    <w:rsid w:val="00944F12"/>
    <w:rsid w:val="009466D0"/>
    <w:rsid w:val="00946725"/>
    <w:rsid w:val="00947560"/>
    <w:rsid w:val="009510CD"/>
    <w:rsid w:val="00951CBC"/>
    <w:rsid w:val="009566FE"/>
    <w:rsid w:val="00956A03"/>
    <w:rsid w:val="00957E7D"/>
    <w:rsid w:val="009609E8"/>
    <w:rsid w:val="009620DB"/>
    <w:rsid w:val="00962349"/>
    <w:rsid w:val="009658F8"/>
    <w:rsid w:val="009664B2"/>
    <w:rsid w:val="0096706E"/>
    <w:rsid w:val="00967525"/>
    <w:rsid w:val="00967595"/>
    <w:rsid w:val="00967719"/>
    <w:rsid w:val="009713B0"/>
    <w:rsid w:val="009733AF"/>
    <w:rsid w:val="00973A2A"/>
    <w:rsid w:val="00973B4F"/>
    <w:rsid w:val="00974B5D"/>
    <w:rsid w:val="00975C4E"/>
    <w:rsid w:val="00975E68"/>
    <w:rsid w:val="009765F6"/>
    <w:rsid w:val="00976CA9"/>
    <w:rsid w:val="00981FBA"/>
    <w:rsid w:val="00982ABD"/>
    <w:rsid w:val="009838B6"/>
    <w:rsid w:val="00984C41"/>
    <w:rsid w:val="00986054"/>
    <w:rsid w:val="00990966"/>
    <w:rsid w:val="0099171D"/>
    <w:rsid w:val="0099424B"/>
    <w:rsid w:val="00995B45"/>
    <w:rsid w:val="00995C8E"/>
    <w:rsid w:val="00995E33"/>
    <w:rsid w:val="00997BC5"/>
    <w:rsid w:val="00997CF5"/>
    <w:rsid w:val="009A064A"/>
    <w:rsid w:val="009A0BE3"/>
    <w:rsid w:val="009A25BC"/>
    <w:rsid w:val="009A2DE6"/>
    <w:rsid w:val="009A32C4"/>
    <w:rsid w:val="009A4DF9"/>
    <w:rsid w:val="009A4F41"/>
    <w:rsid w:val="009A50F4"/>
    <w:rsid w:val="009A53D0"/>
    <w:rsid w:val="009A5AEB"/>
    <w:rsid w:val="009B1F8A"/>
    <w:rsid w:val="009B2CA5"/>
    <w:rsid w:val="009B30D1"/>
    <w:rsid w:val="009B381B"/>
    <w:rsid w:val="009B3C99"/>
    <w:rsid w:val="009B5FFA"/>
    <w:rsid w:val="009B66A1"/>
    <w:rsid w:val="009B69C4"/>
    <w:rsid w:val="009C08A5"/>
    <w:rsid w:val="009C0D71"/>
    <w:rsid w:val="009C3316"/>
    <w:rsid w:val="009C4EAA"/>
    <w:rsid w:val="009C722D"/>
    <w:rsid w:val="009D1753"/>
    <w:rsid w:val="009D1948"/>
    <w:rsid w:val="009D2C5C"/>
    <w:rsid w:val="009D31D4"/>
    <w:rsid w:val="009D368E"/>
    <w:rsid w:val="009D628C"/>
    <w:rsid w:val="009D7611"/>
    <w:rsid w:val="009D7EB9"/>
    <w:rsid w:val="009E0B61"/>
    <w:rsid w:val="009E0FB3"/>
    <w:rsid w:val="009E1511"/>
    <w:rsid w:val="009E176F"/>
    <w:rsid w:val="009E36F7"/>
    <w:rsid w:val="009E53DE"/>
    <w:rsid w:val="009E56F2"/>
    <w:rsid w:val="009E67E9"/>
    <w:rsid w:val="009F1402"/>
    <w:rsid w:val="009F38CB"/>
    <w:rsid w:val="009F576D"/>
    <w:rsid w:val="009F59DD"/>
    <w:rsid w:val="009F7D41"/>
    <w:rsid w:val="00A01836"/>
    <w:rsid w:val="00A02539"/>
    <w:rsid w:val="00A02BBD"/>
    <w:rsid w:val="00A0441D"/>
    <w:rsid w:val="00A045A9"/>
    <w:rsid w:val="00A06BD8"/>
    <w:rsid w:val="00A11511"/>
    <w:rsid w:val="00A120F1"/>
    <w:rsid w:val="00A12653"/>
    <w:rsid w:val="00A12698"/>
    <w:rsid w:val="00A12E91"/>
    <w:rsid w:val="00A137F6"/>
    <w:rsid w:val="00A14EA9"/>
    <w:rsid w:val="00A218CE"/>
    <w:rsid w:val="00A225A8"/>
    <w:rsid w:val="00A23072"/>
    <w:rsid w:val="00A239D3"/>
    <w:rsid w:val="00A2598E"/>
    <w:rsid w:val="00A26176"/>
    <w:rsid w:val="00A26898"/>
    <w:rsid w:val="00A328B3"/>
    <w:rsid w:val="00A33B1E"/>
    <w:rsid w:val="00A36602"/>
    <w:rsid w:val="00A36AD5"/>
    <w:rsid w:val="00A413E0"/>
    <w:rsid w:val="00A42216"/>
    <w:rsid w:val="00A42BE3"/>
    <w:rsid w:val="00A432FA"/>
    <w:rsid w:val="00A44121"/>
    <w:rsid w:val="00A44C09"/>
    <w:rsid w:val="00A4522E"/>
    <w:rsid w:val="00A469E1"/>
    <w:rsid w:val="00A47817"/>
    <w:rsid w:val="00A50FCF"/>
    <w:rsid w:val="00A528D1"/>
    <w:rsid w:val="00A52A06"/>
    <w:rsid w:val="00A5306C"/>
    <w:rsid w:val="00A55ABA"/>
    <w:rsid w:val="00A569D3"/>
    <w:rsid w:val="00A610CD"/>
    <w:rsid w:val="00A62696"/>
    <w:rsid w:val="00A63D54"/>
    <w:rsid w:val="00A651DE"/>
    <w:rsid w:val="00A66FE0"/>
    <w:rsid w:val="00A709F1"/>
    <w:rsid w:val="00A71112"/>
    <w:rsid w:val="00A72B90"/>
    <w:rsid w:val="00A7568C"/>
    <w:rsid w:val="00A7581C"/>
    <w:rsid w:val="00A75D3A"/>
    <w:rsid w:val="00A75E63"/>
    <w:rsid w:val="00A77A70"/>
    <w:rsid w:val="00A814FA"/>
    <w:rsid w:val="00A82185"/>
    <w:rsid w:val="00A82B11"/>
    <w:rsid w:val="00A83403"/>
    <w:rsid w:val="00A843C2"/>
    <w:rsid w:val="00A845F7"/>
    <w:rsid w:val="00A84B8D"/>
    <w:rsid w:val="00A8517A"/>
    <w:rsid w:val="00A900EF"/>
    <w:rsid w:val="00A90C71"/>
    <w:rsid w:val="00A90CEF"/>
    <w:rsid w:val="00A91277"/>
    <w:rsid w:val="00A91F43"/>
    <w:rsid w:val="00A93165"/>
    <w:rsid w:val="00A93BA9"/>
    <w:rsid w:val="00A93D99"/>
    <w:rsid w:val="00A96077"/>
    <w:rsid w:val="00A97057"/>
    <w:rsid w:val="00A9786A"/>
    <w:rsid w:val="00A97927"/>
    <w:rsid w:val="00AA09A2"/>
    <w:rsid w:val="00AA2545"/>
    <w:rsid w:val="00AA3D56"/>
    <w:rsid w:val="00AA6BF1"/>
    <w:rsid w:val="00AA7996"/>
    <w:rsid w:val="00AA7DAE"/>
    <w:rsid w:val="00AB1A4C"/>
    <w:rsid w:val="00AB6DF9"/>
    <w:rsid w:val="00AC03E9"/>
    <w:rsid w:val="00AC19CB"/>
    <w:rsid w:val="00AC1DFB"/>
    <w:rsid w:val="00AC20AC"/>
    <w:rsid w:val="00AC4091"/>
    <w:rsid w:val="00AC55D4"/>
    <w:rsid w:val="00AC6797"/>
    <w:rsid w:val="00AC70B9"/>
    <w:rsid w:val="00AD01C6"/>
    <w:rsid w:val="00AD2DE3"/>
    <w:rsid w:val="00AD4668"/>
    <w:rsid w:val="00AD52E7"/>
    <w:rsid w:val="00AD5A09"/>
    <w:rsid w:val="00AD709C"/>
    <w:rsid w:val="00AE057A"/>
    <w:rsid w:val="00AE2141"/>
    <w:rsid w:val="00AE29A4"/>
    <w:rsid w:val="00AE48C3"/>
    <w:rsid w:val="00AE532B"/>
    <w:rsid w:val="00AE5488"/>
    <w:rsid w:val="00AE6147"/>
    <w:rsid w:val="00AE6C3C"/>
    <w:rsid w:val="00AE6F91"/>
    <w:rsid w:val="00AF006F"/>
    <w:rsid w:val="00AF154A"/>
    <w:rsid w:val="00AF1882"/>
    <w:rsid w:val="00AF2FA2"/>
    <w:rsid w:val="00AF3F2C"/>
    <w:rsid w:val="00AF5571"/>
    <w:rsid w:val="00AF7988"/>
    <w:rsid w:val="00B00A5C"/>
    <w:rsid w:val="00B00C2C"/>
    <w:rsid w:val="00B0104C"/>
    <w:rsid w:val="00B035D6"/>
    <w:rsid w:val="00B03B9D"/>
    <w:rsid w:val="00B05169"/>
    <w:rsid w:val="00B0644A"/>
    <w:rsid w:val="00B06B56"/>
    <w:rsid w:val="00B07184"/>
    <w:rsid w:val="00B07341"/>
    <w:rsid w:val="00B102A0"/>
    <w:rsid w:val="00B1384C"/>
    <w:rsid w:val="00B13CC2"/>
    <w:rsid w:val="00B14C06"/>
    <w:rsid w:val="00B15E33"/>
    <w:rsid w:val="00B15F70"/>
    <w:rsid w:val="00B229F5"/>
    <w:rsid w:val="00B22DEB"/>
    <w:rsid w:val="00B3032F"/>
    <w:rsid w:val="00B30539"/>
    <w:rsid w:val="00B30878"/>
    <w:rsid w:val="00B314DB"/>
    <w:rsid w:val="00B31CD8"/>
    <w:rsid w:val="00B322B9"/>
    <w:rsid w:val="00B337A8"/>
    <w:rsid w:val="00B34CE7"/>
    <w:rsid w:val="00B34EDC"/>
    <w:rsid w:val="00B361F2"/>
    <w:rsid w:val="00B3718B"/>
    <w:rsid w:val="00B379FF"/>
    <w:rsid w:val="00B37CF2"/>
    <w:rsid w:val="00B405AB"/>
    <w:rsid w:val="00B40639"/>
    <w:rsid w:val="00B4300F"/>
    <w:rsid w:val="00B4327D"/>
    <w:rsid w:val="00B43AB5"/>
    <w:rsid w:val="00B44F0A"/>
    <w:rsid w:val="00B4632A"/>
    <w:rsid w:val="00B47121"/>
    <w:rsid w:val="00B5109A"/>
    <w:rsid w:val="00B513B1"/>
    <w:rsid w:val="00B528E7"/>
    <w:rsid w:val="00B530F1"/>
    <w:rsid w:val="00B54921"/>
    <w:rsid w:val="00B54A0C"/>
    <w:rsid w:val="00B54C96"/>
    <w:rsid w:val="00B60252"/>
    <w:rsid w:val="00B61163"/>
    <w:rsid w:val="00B6132F"/>
    <w:rsid w:val="00B62460"/>
    <w:rsid w:val="00B62708"/>
    <w:rsid w:val="00B630E3"/>
    <w:rsid w:val="00B632D6"/>
    <w:rsid w:val="00B64977"/>
    <w:rsid w:val="00B650F0"/>
    <w:rsid w:val="00B65256"/>
    <w:rsid w:val="00B6541D"/>
    <w:rsid w:val="00B65F66"/>
    <w:rsid w:val="00B6694E"/>
    <w:rsid w:val="00B67999"/>
    <w:rsid w:val="00B70AB1"/>
    <w:rsid w:val="00B72038"/>
    <w:rsid w:val="00B734F1"/>
    <w:rsid w:val="00B753A3"/>
    <w:rsid w:val="00B75CAD"/>
    <w:rsid w:val="00B7657A"/>
    <w:rsid w:val="00B77DFE"/>
    <w:rsid w:val="00B80660"/>
    <w:rsid w:val="00B81569"/>
    <w:rsid w:val="00B82080"/>
    <w:rsid w:val="00B82E21"/>
    <w:rsid w:val="00B838FC"/>
    <w:rsid w:val="00B85300"/>
    <w:rsid w:val="00B86707"/>
    <w:rsid w:val="00B873C0"/>
    <w:rsid w:val="00B904D2"/>
    <w:rsid w:val="00B9257C"/>
    <w:rsid w:val="00B94C9B"/>
    <w:rsid w:val="00B97D18"/>
    <w:rsid w:val="00BA276C"/>
    <w:rsid w:val="00BA2AE3"/>
    <w:rsid w:val="00BA2D9C"/>
    <w:rsid w:val="00BA2E4A"/>
    <w:rsid w:val="00BA41C3"/>
    <w:rsid w:val="00BA4591"/>
    <w:rsid w:val="00BA461E"/>
    <w:rsid w:val="00BA50E8"/>
    <w:rsid w:val="00BA5A95"/>
    <w:rsid w:val="00BA6F38"/>
    <w:rsid w:val="00BA70C5"/>
    <w:rsid w:val="00BA73C5"/>
    <w:rsid w:val="00BB2D42"/>
    <w:rsid w:val="00BB306F"/>
    <w:rsid w:val="00BB405B"/>
    <w:rsid w:val="00BB4599"/>
    <w:rsid w:val="00BB4757"/>
    <w:rsid w:val="00BB5CC6"/>
    <w:rsid w:val="00BC0DE7"/>
    <w:rsid w:val="00BC1180"/>
    <w:rsid w:val="00BC1B2A"/>
    <w:rsid w:val="00BC2763"/>
    <w:rsid w:val="00BC603B"/>
    <w:rsid w:val="00BC6115"/>
    <w:rsid w:val="00BD0BDD"/>
    <w:rsid w:val="00BD1618"/>
    <w:rsid w:val="00BD2B87"/>
    <w:rsid w:val="00BD339A"/>
    <w:rsid w:val="00BD4B89"/>
    <w:rsid w:val="00BD4E53"/>
    <w:rsid w:val="00BD6D90"/>
    <w:rsid w:val="00BE0B86"/>
    <w:rsid w:val="00BE0CE7"/>
    <w:rsid w:val="00BE1C06"/>
    <w:rsid w:val="00BE2FD7"/>
    <w:rsid w:val="00BE38A9"/>
    <w:rsid w:val="00BE76D9"/>
    <w:rsid w:val="00BE78AD"/>
    <w:rsid w:val="00BE7C1C"/>
    <w:rsid w:val="00BF02CB"/>
    <w:rsid w:val="00BF0BF1"/>
    <w:rsid w:val="00BF11D3"/>
    <w:rsid w:val="00BF165E"/>
    <w:rsid w:val="00BF1664"/>
    <w:rsid w:val="00BF249D"/>
    <w:rsid w:val="00BF305E"/>
    <w:rsid w:val="00BF6FD8"/>
    <w:rsid w:val="00BF7778"/>
    <w:rsid w:val="00C00386"/>
    <w:rsid w:val="00C02939"/>
    <w:rsid w:val="00C03680"/>
    <w:rsid w:val="00C03842"/>
    <w:rsid w:val="00C04813"/>
    <w:rsid w:val="00C054DF"/>
    <w:rsid w:val="00C06B27"/>
    <w:rsid w:val="00C07EF5"/>
    <w:rsid w:val="00C10820"/>
    <w:rsid w:val="00C108EF"/>
    <w:rsid w:val="00C112E5"/>
    <w:rsid w:val="00C11611"/>
    <w:rsid w:val="00C11B26"/>
    <w:rsid w:val="00C12B05"/>
    <w:rsid w:val="00C14C70"/>
    <w:rsid w:val="00C150DC"/>
    <w:rsid w:val="00C167BA"/>
    <w:rsid w:val="00C20DE3"/>
    <w:rsid w:val="00C211CC"/>
    <w:rsid w:val="00C21762"/>
    <w:rsid w:val="00C21ED2"/>
    <w:rsid w:val="00C223AD"/>
    <w:rsid w:val="00C229D5"/>
    <w:rsid w:val="00C24543"/>
    <w:rsid w:val="00C246CC"/>
    <w:rsid w:val="00C25155"/>
    <w:rsid w:val="00C256A2"/>
    <w:rsid w:val="00C27206"/>
    <w:rsid w:val="00C27B7E"/>
    <w:rsid w:val="00C31AC4"/>
    <w:rsid w:val="00C34FE5"/>
    <w:rsid w:val="00C35054"/>
    <w:rsid w:val="00C37D98"/>
    <w:rsid w:val="00C40789"/>
    <w:rsid w:val="00C415C3"/>
    <w:rsid w:val="00C416C2"/>
    <w:rsid w:val="00C41741"/>
    <w:rsid w:val="00C41817"/>
    <w:rsid w:val="00C42234"/>
    <w:rsid w:val="00C4233A"/>
    <w:rsid w:val="00C4237A"/>
    <w:rsid w:val="00C4432A"/>
    <w:rsid w:val="00C46EE5"/>
    <w:rsid w:val="00C50A02"/>
    <w:rsid w:val="00C51515"/>
    <w:rsid w:val="00C51B67"/>
    <w:rsid w:val="00C54A68"/>
    <w:rsid w:val="00C55048"/>
    <w:rsid w:val="00C5660B"/>
    <w:rsid w:val="00C56B93"/>
    <w:rsid w:val="00C56ECD"/>
    <w:rsid w:val="00C57174"/>
    <w:rsid w:val="00C571FA"/>
    <w:rsid w:val="00C572C0"/>
    <w:rsid w:val="00C57BE4"/>
    <w:rsid w:val="00C605A2"/>
    <w:rsid w:val="00C609DE"/>
    <w:rsid w:val="00C6244A"/>
    <w:rsid w:val="00C62A75"/>
    <w:rsid w:val="00C66017"/>
    <w:rsid w:val="00C66564"/>
    <w:rsid w:val="00C66A5A"/>
    <w:rsid w:val="00C66B10"/>
    <w:rsid w:val="00C66B72"/>
    <w:rsid w:val="00C67F59"/>
    <w:rsid w:val="00C7066E"/>
    <w:rsid w:val="00C74304"/>
    <w:rsid w:val="00C74FC2"/>
    <w:rsid w:val="00C75282"/>
    <w:rsid w:val="00C7707E"/>
    <w:rsid w:val="00C77864"/>
    <w:rsid w:val="00C77D62"/>
    <w:rsid w:val="00C810D8"/>
    <w:rsid w:val="00C8328F"/>
    <w:rsid w:val="00C85362"/>
    <w:rsid w:val="00C8573F"/>
    <w:rsid w:val="00C86195"/>
    <w:rsid w:val="00C86513"/>
    <w:rsid w:val="00C8742F"/>
    <w:rsid w:val="00C902D4"/>
    <w:rsid w:val="00C92AF9"/>
    <w:rsid w:val="00C93010"/>
    <w:rsid w:val="00C9566D"/>
    <w:rsid w:val="00C9567A"/>
    <w:rsid w:val="00C97129"/>
    <w:rsid w:val="00CA0FCE"/>
    <w:rsid w:val="00CA225A"/>
    <w:rsid w:val="00CA486F"/>
    <w:rsid w:val="00CA6207"/>
    <w:rsid w:val="00CB204D"/>
    <w:rsid w:val="00CB212D"/>
    <w:rsid w:val="00CB2583"/>
    <w:rsid w:val="00CB25B7"/>
    <w:rsid w:val="00CB2660"/>
    <w:rsid w:val="00CB48B0"/>
    <w:rsid w:val="00CB4BBA"/>
    <w:rsid w:val="00CB562F"/>
    <w:rsid w:val="00CB5801"/>
    <w:rsid w:val="00CB5CD9"/>
    <w:rsid w:val="00CB60F3"/>
    <w:rsid w:val="00CC1AC6"/>
    <w:rsid w:val="00CC50C8"/>
    <w:rsid w:val="00CC5902"/>
    <w:rsid w:val="00CC5E90"/>
    <w:rsid w:val="00CC63CF"/>
    <w:rsid w:val="00CD046C"/>
    <w:rsid w:val="00CD2D88"/>
    <w:rsid w:val="00CD4B67"/>
    <w:rsid w:val="00CD7717"/>
    <w:rsid w:val="00CE054E"/>
    <w:rsid w:val="00CE076C"/>
    <w:rsid w:val="00CE13B3"/>
    <w:rsid w:val="00CE13FB"/>
    <w:rsid w:val="00CE4ECF"/>
    <w:rsid w:val="00CE5199"/>
    <w:rsid w:val="00CE6252"/>
    <w:rsid w:val="00CE649A"/>
    <w:rsid w:val="00CE66D5"/>
    <w:rsid w:val="00CE70B1"/>
    <w:rsid w:val="00CF0E44"/>
    <w:rsid w:val="00CF26CD"/>
    <w:rsid w:val="00CF387F"/>
    <w:rsid w:val="00CF3D18"/>
    <w:rsid w:val="00CF637A"/>
    <w:rsid w:val="00D059DE"/>
    <w:rsid w:val="00D06555"/>
    <w:rsid w:val="00D075B8"/>
    <w:rsid w:val="00D10578"/>
    <w:rsid w:val="00D12193"/>
    <w:rsid w:val="00D124F9"/>
    <w:rsid w:val="00D13E2E"/>
    <w:rsid w:val="00D13FCE"/>
    <w:rsid w:val="00D14528"/>
    <w:rsid w:val="00D15A70"/>
    <w:rsid w:val="00D176A5"/>
    <w:rsid w:val="00D17E93"/>
    <w:rsid w:val="00D2039D"/>
    <w:rsid w:val="00D22F7E"/>
    <w:rsid w:val="00D27E2F"/>
    <w:rsid w:val="00D3048D"/>
    <w:rsid w:val="00D306D1"/>
    <w:rsid w:val="00D30FFF"/>
    <w:rsid w:val="00D32AB4"/>
    <w:rsid w:val="00D34786"/>
    <w:rsid w:val="00D34E62"/>
    <w:rsid w:val="00D35A3F"/>
    <w:rsid w:val="00D36795"/>
    <w:rsid w:val="00D37A80"/>
    <w:rsid w:val="00D37BFC"/>
    <w:rsid w:val="00D40248"/>
    <w:rsid w:val="00D44227"/>
    <w:rsid w:val="00D45546"/>
    <w:rsid w:val="00D46513"/>
    <w:rsid w:val="00D47A8E"/>
    <w:rsid w:val="00D504DA"/>
    <w:rsid w:val="00D507E7"/>
    <w:rsid w:val="00D52C9C"/>
    <w:rsid w:val="00D52D14"/>
    <w:rsid w:val="00D53DC8"/>
    <w:rsid w:val="00D55402"/>
    <w:rsid w:val="00D570E6"/>
    <w:rsid w:val="00D57D07"/>
    <w:rsid w:val="00D620CB"/>
    <w:rsid w:val="00D64BDE"/>
    <w:rsid w:val="00D6567A"/>
    <w:rsid w:val="00D66A0B"/>
    <w:rsid w:val="00D6767C"/>
    <w:rsid w:val="00D67EF4"/>
    <w:rsid w:val="00D712D3"/>
    <w:rsid w:val="00D71422"/>
    <w:rsid w:val="00D7238F"/>
    <w:rsid w:val="00D723BE"/>
    <w:rsid w:val="00D72DC6"/>
    <w:rsid w:val="00D72FC5"/>
    <w:rsid w:val="00D74D90"/>
    <w:rsid w:val="00D7530D"/>
    <w:rsid w:val="00D7558D"/>
    <w:rsid w:val="00D76069"/>
    <w:rsid w:val="00D76124"/>
    <w:rsid w:val="00D8148D"/>
    <w:rsid w:val="00D81D92"/>
    <w:rsid w:val="00D83555"/>
    <w:rsid w:val="00D83D73"/>
    <w:rsid w:val="00D83FF2"/>
    <w:rsid w:val="00D85641"/>
    <w:rsid w:val="00D90484"/>
    <w:rsid w:val="00D909C8"/>
    <w:rsid w:val="00D91D74"/>
    <w:rsid w:val="00D92377"/>
    <w:rsid w:val="00D92566"/>
    <w:rsid w:val="00D93658"/>
    <w:rsid w:val="00D94164"/>
    <w:rsid w:val="00D9457E"/>
    <w:rsid w:val="00D94AD9"/>
    <w:rsid w:val="00D94E60"/>
    <w:rsid w:val="00D9581F"/>
    <w:rsid w:val="00D95CD2"/>
    <w:rsid w:val="00D96B56"/>
    <w:rsid w:val="00D96E66"/>
    <w:rsid w:val="00D97A45"/>
    <w:rsid w:val="00D97CD8"/>
    <w:rsid w:val="00DA1061"/>
    <w:rsid w:val="00DA5EF9"/>
    <w:rsid w:val="00DA6501"/>
    <w:rsid w:val="00DA65C7"/>
    <w:rsid w:val="00DA76C5"/>
    <w:rsid w:val="00DA7B5F"/>
    <w:rsid w:val="00DB4A9E"/>
    <w:rsid w:val="00DB65C4"/>
    <w:rsid w:val="00DB7614"/>
    <w:rsid w:val="00DB7C5B"/>
    <w:rsid w:val="00DC09D3"/>
    <w:rsid w:val="00DC11E7"/>
    <w:rsid w:val="00DC3080"/>
    <w:rsid w:val="00DC7023"/>
    <w:rsid w:val="00DC769A"/>
    <w:rsid w:val="00DD3D86"/>
    <w:rsid w:val="00DD522C"/>
    <w:rsid w:val="00DD5942"/>
    <w:rsid w:val="00DD62C3"/>
    <w:rsid w:val="00DD6858"/>
    <w:rsid w:val="00DE0FFA"/>
    <w:rsid w:val="00DE1A74"/>
    <w:rsid w:val="00DE284B"/>
    <w:rsid w:val="00DE2B37"/>
    <w:rsid w:val="00DE30E7"/>
    <w:rsid w:val="00DE3D3D"/>
    <w:rsid w:val="00DE3F84"/>
    <w:rsid w:val="00DE45B7"/>
    <w:rsid w:val="00DE5161"/>
    <w:rsid w:val="00DE66B6"/>
    <w:rsid w:val="00DF19F5"/>
    <w:rsid w:val="00DF1EC4"/>
    <w:rsid w:val="00DF3B9D"/>
    <w:rsid w:val="00DF4186"/>
    <w:rsid w:val="00DF5092"/>
    <w:rsid w:val="00DF7490"/>
    <w:rsid w:val="00DF7DB4"/>
    <w:rsid w:val="00E00A43"/>
    <w:rsid w:val="00E01130"/>
    <w:rsid w:val="00E0196F"/>
    <w:rsid w:val="00E02AC9"/>
    <w:rsid w:val="00E0340B"/>
    <w:rsid w:val="00E03679"/>
    <w:rsid w:val="00E03D9E"/>
    <w:rsid w:val="00E04A90"/>
    <w:rsid w:val="00E06354"/>
    <w:rsid w:val="00E079D2"/>
    <w:rsid w:val="00E109B3"/>
    <w:rsid w:val="00E13343"/>
    <w:rsid w:val="00E13798"/>
    <w:rsid w:val="00E13A36"/>
    <w:rsid w:val="00E15C23"/>
    <w:rsid w:val="00E219C7"/>
    <w:rsid w:val="00E21CC8"/>
    <w:rsid w:val="00E263A3"/>
    <w:rsid w:val="00E264A4"/>
    <w:rsid w:val="00E27AC0"/>
    <w:rsid w:val="00E32CC6"/>
    <w:rsid w:val="00E336EF"/>
    <w:rsid w:val="00E33AA0"/>
    <w:rsid w:val="00E4130F"/>
    <w:rsid w:val="00E42AAD"/>
    <w:rsid w:val="00E43157"/>
    <w:rsid w:val="00E4409B"/>
    <w:rsid w:val="00E461CE"/>
    <w:rsid w:val="00E50BE4"/>
    <w:rsid w:val="00E515E1"/>
    <w:rsid w:val="00E52420"/>
    <w:rsid w:val="00E532B4"/>
    <w:rsid w:val="00E53D77"/>
    <w:rsid w:val="00E5401B"/>
    <w:rsid w:val="00E54CF8"/>
    <w:rsid w:val="00E56A4A"/>
    <w:rsid w:val="00E57396"/>
    <w:rsid w:val="00E57744"/>
    <w:rsid w:val="00E61449"/>
    <w:rsid w:val="00E62159"/>
    <w:rsid w:val="00E62CF1"/>
    <w:rsid w:val="00E65515"/>
    <w:rsid w:val="00E67B58"/>
    <w:rsid w:val="00E67D37"/>
    <w:rsid w:val="00E7043F"/>
    <w:rsid w:val="00E70B91"/>
    <w:rsid w:val="00E71AB5"/>
    <w:rsid w:val="00E720CA"/>
    <w:rsid w:val="00E725E1"/>
    <w:rsid w:val="00E72F46"/>
    <w:rsid w:val="00E73242"/>
    <w:rsid w:val="00E739C7"/>
    <w:rsid w:val="00E73A6B"/>
    <w:rsid w:val="00E810C3"/>
    <w:rsid w:val="00E8247D"/>
    <w:rsid w:val="00E838EA"/>
    <w:rsid w:val="00E84EB5"/>
    <w:rsid w:val="00E85662"/>
    <w:rsid w:val="00E867EB"/>
    <w:rsid w:val="00E87278"/>
    <w:rsid w:val="00E8789F"/>
    <w:rsid w:val="00E87E47"/>
    <w:rsid w:val="00E909AA"/>
    <w:rsid w:val="00E90E95"/>
    <w:rsid w:val="00E94343"/>
    <w:rsid w:val="00E95763"/>
    <w:rsid w:val="00E958F1"/>
    <w:rsid w:val="00E96E29"/>
    <w:rsid w:val="00E97145"/>
    <w:rsid w:val="00E97B71"/>
    <w:rsid w:val="00E97CFA"/>
    <w:rsid w:val="00EA0FE7"/>
    <w:rsid w:val="00EA191F"/>
    <w:rsid w:val="00EA3B56"/>
    <w:rsid w:val="00EA3D34"/>
    <w:rsid w:val="00EA51C7"/>
    <w:rsid w:val="00EA5438"/>
    <w:rsid w:val="00EB1248"/>
    <w:rsid w:val="00EB2CFA"/>
    <w:rsid w:val="00EB3270"/>
    <w:rsid w:val="00EB454D"/>
    <w:rsid w:val="00EB4AD2"/>
    <w:rsid w:val="00EB610F"/>
    <w:rsid w:val="00EB67C8"/>
    <w:rsid w:val="00EC3398"/>
    <w:rsid w:val="00EC381D"/>
    <w:rsid w:val="00EC393B"/>
    <w:rsid w:val="00EC484F"/>
    <w:rsid w:val="00EC59D9"/>
    <w:rsid w:val="00EC5FE1"/>
    <w:rsid w:val="00ED0470"/>
    <w:rsid w:val="00ED085F"/>
    <w:rsid w:val="00ED3683"/>
    <w:rsid w:val="00ED5313"/>
    <w:rsid w:val="00ED587B"/>
    <w:rsid w:val="00ED76BE"/>
    <w:rsid w:val="00ED79A2"/>
    <w:rsid w:val="00ED7AFC"/>
    <w:rsid w:val="00EE054D"/>
    <w:rsid w:val="00EE64A7"/>
    <w:rsid w:val="00EF14F0"/>
    <w:rsid w:val="00EF2BFD"/>
    <w:rsid w:val="00EF3371"/>
    <w:rsid w:val="00EF4EE6"/>
    <w:rsid w:val="00EF588D"/>
    <w:rsid w:val="00EF60E3"/>
    <w:rsid w:val="00EF619B"/>
    <w:rsid w:val="00F00A72"/>
    <w:rsid w:val="00F00B55"/>
    <w:rsid w:val="00F015FC"/>
    <w:rsid w:val="00F02AD1"/>
    <w:rsid w:val="00F06743"/>
    <w:rsid w:val="00F06CB8"/>
    <w:rsid w:val="00F07D2D"/>
    <w:rsid w:val="00F11CD5"/>
    <w:rsid w:val="00F1402A"/>
    <w:rsid w:val="00F14F94"/>
    <w:rsid w:val="00F2017A"/>
    <w:rsid w:val="00F217CF"/>
    <w:rsid w:val="00F22CF1"/>
    <w:rsid w:val="00F23ED9"/>
    <w:rsid w:val="00F253CC"/>
    <w:rsid w:val="00F254B7"/>
    <w:rsid w:val="00F26B86"/>
    <w:rsid w:val="00F27258"/>
    <w:rsid w:val="00F278E4"/>
    <w:rsid w:val="00F279BE"/>
    <w:rsid w:val="00F30279"/>
    <w:rsid w:val="00F314AD"/>
    <w:rsid w:val="00F32361"/>
    <w:rsid w:val="00F336A9"/>
    <w:rsid w:val="00F34A4A"/>
    <w:rsid w:val="00F34CC2"/>
    <w:rsid w:val="00F35054"/>
    <w:rsid w:val="00F35B17"/>
    <w:rsid w:val="00F36FA0"/>
    <w:rsid w:val="00F37106"/>
    <w:rsid w:val="00F37A3C"/>
    <w:rsid w:val="00F41EB3"/>
    <w:rsid w:val="00F4442D"/>
    <w:rsid w:val="00F44EAD"/>
    <w:rsid w:val="00F466EC"/>
    <w:rsid w:val="00F46A02"/>
    <w:rsid w:val="00F519CF"/>
    <w:rsid w:val="00F56230"/>
    <w:rsid w:val="00F56BA5"/>
    <w:rsid w:val="00F579B8"/>
    <w:rsid w:val="00F60301"/>
    <w:rsid w:val="00F60DC0"/>
    <w:rsid w:val="00F60E22"/>
    <w:rsid w:val="00F6199D"/>
    <w:rsid w:val="00F64514"/>
    <w:rsid w:val="00F659BB"/>
    <w:rsid w:val="00F65EFB"/>
    <w:rsid w:val="00F66519"/>
    <w:rsid w:val="00F67605"/>
    <w:rsid w:val="00F6780D"/>
    <w:rsid w:val="00F73104"/>
    <w:rsid w:val="00F73C3E"/>
    <w:rsid w:val="00F74EE2"/>
    <w:rsid w:val="00F752CE"/>
    <w:rsid w:val="00F75625"/>
    <w:rsid w:val="00F76581"/>
    <w:rsid w:val="00F77503"/>
    <w:rsid w:val="00F77676"/>
    <w:rsid w:val="00F80037"/>
    <w:rsid w:val="00F805FB"/>
    <w:rsid w:val="00F80C11"/>
    <w:rsid w:val="00F81395"/>
    <w:rsid w:val="00F8175D"/>
    <w:rsid w:val="00F82904"/>
    <w:rsid w:val="00F84A11"/>
    <w:rsid w:val="00F85317"/>
    <w:rsid w:val="00F87FE9"/>
    <w:rsid w:val="00F902EB"/>
    <w:rsid w:val="00F916A2"/>
    <w:rsid w:val="00F917D1"/>
    <w:rsid w:val="00F95083"/>
    <w:rsid w:val="00F9653B"/>
    <w:rsid w:val="00F96824"/>
    <w:rsid w:val="00FA03FF"/>
    <w:rsid w:val="00FA20B6"/>
    <w:rsid w:val="00FA2F95"/>
    <w:rsid w:val="00FA4652"/>
    <w:rsid w:val="00FA5506"/>
    <w:rsid w:val="00FA6059"/>
    <w:rsid w:val="00FA634E"/>
    <w:rsid w:val="00FA63C0"/>
    <w:rsid w:val="00FA7569"/>
    <w:rsid w:val="00FB62CF"/>
    <w:rsid w:val="00FB70BB"/>
    <w:rsid w:val="00FB71D8"/>
    <w:rsid w:val="00FB77C8"/>
    <w:rsid w:val="00FC0861"/>
    <w:rsid w:val="00FC4629"/>
    <w:rsid w:val="00FC6768"/>
    <w:rsid w:val="00FC73BC"/>
    <w:rsid w:val="00FC77F8"/>
    <w:rsid w:val="00FD0030"/>
    <w:rsid w:val="00FD0A0D"/>
    <w:rsid w:val="00FD3C3B"/>
    <w:rsid w:val="00FD3D03"/>
    <w:rsid w:val="00FD4417"/>
    <w:rsid w:val="00FD5A99"/>
    <w:rsid w:val="00FD6EE8"/>
    <w:rsid w:val="00FD737C"/>
    <w:rsid w:val="00FE07DD"/>
    <w:rsid w:val="00FE0878"/>
    <w:rsid w:val="00FE3437"/>
    <w:rsid w:val="00FE436A"/>
    <w:rsid w:val="00FE4BE6"/>
    <w:rsid w:val="00FE520C"/>
    <w:rsid w:val="00FE6B45"/>
    <w:rsid w:val="00FE6BB9"/>
    <w:rsid w:val="00FF0B4F"/>
    <w:rsid w:val="00FF0C9E"/>
    <w:rsid w:val="00FF18B5"/>
    <w:rsid w:val="00FF38C3"/>
    <w:rsid w:val="00FF4D83"/>
    <w:rsid w:val="00FF55F3"/>
    <w:rsid w:val="00FF5851"/>
    <w:rsid w:val="00FF59D1"/>
    <w:rsid w:val="00FF6232"/>
    <w:rsid w:val="00FF77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AE2141"/>
    <w:pPr>
      <w:suppressAutoHyphens/>
      <w:ind w:left="1080" w:hanging="72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FA7569"/>
    <w:pPr>
      <w:numPr>
        <w:numId w:val="54"/>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A02539"/>
    <w:pPr>
      <w:numPr>
        <w:numId w:val="55"/>
      </w:numPr>
      <w:suppressAutoHyphens/>
      <w:outlineLvl w:val="2"/>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E2141"/>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A7569"/>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A02539"/>
    <w:rPr>
      <w:rFonts w:asciiTheme="majorHAnsi" w:eastAsia="Cambria" w:hAnsiTheme="majorHAnsi" w:cs="Cambria"/>
      <w:b/>
      <w:color w:val="000000"/>
      <w:u w:color="000000"/>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640665"/>
    <w:rPr>
      <w:sz w:val="16"/>
      <w:szCs w:val="16"/>
    </w:rPr>
  </w:style>
  <w:style w:type="paragraph" w:styleId="CommentText">
    <w:name w:val="annotation text"/>
    <w:basedOn w:val="Normal"/>
    <w:link w:val="CommentTextChar"/>
    <w:uiPriority w:val="99"/>
    <w:semiHidden/>
    <w:unhideWhenUsed/>
    <w:rsid w:val="00640665"/>
    <w:rPr>
      <w:sz w:val="20"/>
      <w:szCs w:val="20"/>
    </w:rPr>
  </w:style>
  <w:style w:type="character" w:customStyle="1" w:styleId="CommentTextChar">
    <w:name w:val="Comment Text Char"/>
    <w:basedOn w:val="DefaultParagraphFont"/>
    <w:link w:val="CommentText"/>
    <w:uiPriority w:val="99"/>
    <w:semiHidden/>
    <w:rsid w:val="00640665"/>
    <w:rPr>
      <w:lang w:val="en-US" w:eastAsia="en-US"/>
    </w:rPr>
  </w:style>
  <w:style w:type="paragraph" w:styleId="CommentSubject">
    <w:name w:val="annotation subject"/>
    <w:basedOn w:val="CommentText"/>
    <w:next w:val="CommentText"/>
    <w:link w:val="CommentSubjectChar"/>
    <w:uiPriority w:val="99"/>
    <w:semiHidden/>
    <w:unhideWhenUsed/>
    <w:rsid w:val="00640665"/>
    <w:rPr>
      <w:b/>
      <w:bCs/>
    </w:rPr>
  </w:style>
  <w:style w:type="character" w:customStyle="1" w:styleId="CommentSubjectChar">
    <w:name w:val="Comment Subject Char"/>
    <w:basedOn w:val="CommentTextChar"/>
    <w:link w:val="CommentSubject"/>
    <w:uiPriority w:val="99"/>
    <w:semiHidden/>
    <w:rsid w:val="00640665"/>
    <w:rPr>
      <w:b/>
      <w:bCs/>
      <w:lang w:val="en-US" w:eastAsia="en-US"/>
    </w:rPr>
  </w:style>
  <w:style w:type="paragraph" w:styleId="NormalWeb">
    <w:name w:val="Normal (Web)"/>
    <w:basedOn w:val="Normal"/>
    <w:uiPriority w:val="99"/>
    <w:unhideWhenUsed/>
    <w:rsid w:val="00A843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es-CO" w:eastAsia="es-CO"/>
    </w:rPr>
  </w:style>
  <w:style w:type="table" w:styleId="TableGrid">
    <w:name w:val="Table Grid"/>
    <w:basedOn w:val="TableNormal"/>
    <w:uiPriority w:val="59"/>
    <w:rsid w:val="0009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D70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1062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OCHeading">
    <w:name w:val="TOC Heading"/>
    <w:basedOn w:val="Heading1"/>
    <w:next w:val="Normal"/>
    <w:uiPriority w:val="39"/>
    <w:semiHidden/>
    <w:unhideWhenUsed/>
    <w:qFormat/>
    <w:rsid w:val="00B00A5C"/>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eastAsiaTheme="majorEastAsia" w:cstheme="majorBidi"/>
      <w:bCs/>
      <w:color w:val="365F91" w:themeColor="accent1" w:themeShade="BF"/>
      <w:sz w:val="28"/>
      <w:szCs w:val="28"/>
      <w:bdr w:val="none" w:sz="0" w:space="0" w:color="auto"/>
      <w:lang w:val="en-US" w:eastAsia="ja-JP"/>
    </w:rPr>
  </w:style>
  <w:style w:type="character" w:styleId="Strong">
    <w:name w:val="Strong"/>
    <w:basedOn w:val="DefaultParagraphFont"/>
    <w:uiPriority w:val="22"/>
    <w:qFormat/>
    <w:rsid w:val="00BE0B86"/>
    <w:rPr>
      <w:b/>
      <w:bCs/>
    </w:rPr>
  </w:style>
  <w:style w:type="character" w:customStyle="1" w:styleId="apple-converted-space">
    <w:name w:val="apple-converted-space"/>
    <w:rsid w:val="006E3921"/>
    <w:rPr>
      <w:rFonts w:ascii="Times New Roman" w:hAnsi="Times New Roman" w:cs="Times New Roman" w:hint="default"/>
    </w:rPr>
  </w:style>
  <w:style w:type="paragraph" w:customStyle="1" w:styleId="1">
    <w:name w:val="1"/>
    <w:basedOn w:val="Normal"/>
    <w:rsid w:val="00633E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link w:val="parrafosChar"/>
    <w:qFormat/>
    <w:rsid w:val="005C44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C4459"/>
    <w:rPr>
      <w:rFonts w:asciiTheme="majorHAnsi" w:hAnsiTheme="majorHAnsi"/>
      <w:color w:val="000000" w:themeColor="text1"/>
      <w:lang w:val="es-VE" w:eastAsia="en-US"/>
    </w:rPr>
  </w:style>
  <w:style w:type="paragraph" w:styleId="BodyText3">
    <w:name w:val="Body Text 3"/>
    <w:basedOn w:val="Normal"/>
    <w:link w:val="BodyText3Char"/>
    <w:uiPriority w:val="99"/>
    <w:unhideWhenUsed/>
    <w:rsid w:val="00047B91"/>
    <w:pPr>
      <w:spacing w:after="120"/>
    </w:pPr>
    <w:rPr>
      <w:sz w:val="16"/>
      <w:szCs w:val="16"/>
    </w:rPr>
  </w:style>
  <w:style w:type="character" w:customStyle="1" w:styleId="BodyText3Char">
    <w:name w:val="Body Text 3 Char"/>
    <w:basedOn w:val="DefaultParagraphFont"/>
    <w:link w:val="BodyText3"/>
    <w:uiPriority w:val="99"/>
    <w:rsid w:val="00047B9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035">
      <w:bodyDiv w:val="1"/>
      <w:marLeft w:val="0"/>
      <w:marRight w:val="0"/>
      <w:marTop w:val="0"/>
      <w:marBottom w:val="0"/>
      <w:divBdr>
        <w:top w:val="none" w:sz="0" w:space="0" w:color="auto"/>
        <w:left w:val="none" w:sz="0" w:space="0" w:color="auto"/>
        <w:bottom w:val="none" w:sz="0" w:space="0" w:color="auto"/>
        <w:right w:val="none" w:sz="0" w:space="0" w:color="auto"/>
      </w:divBdr>
    </w:div>
    <w:div w:id="196428762">
      <w:bodyDiv w:val="1"/>
      <w:marLeft w:val="0"/>
      <w:marRight w:val="0"/>
      <w:marTop w:val="0"/>
      <w:marBottom w:val="0"/>
      <w:divBdr>
        <w:top w:val="none" w:sz="0" w:space="0" w:color="auto"/>
        <w:left w:val="none" w:sz="0" w:space="0" w:color="auto"/>
        <w:bottom w:val="none" w:sz="0" w:space="0" w:color="auto"/>
        <w:right w:val="none" w:sz="0" w:space="0" w:color="auto"/>
      </w:divBdr>
      <w:divsChild>
        <w:div w:id="1616473861">
          <w:marLeft w:val="0"/>
          <w:marRight w:val="0"/>
          <w:marTop w:val="0"/>
          <w:marBottom w:val="0"/>
          <w:divBdr>
            <w:top w:val="none" w:sz="0" w:space="0" w:color="auto"/>
            <w:left w:val="none" w:sz="0" w:space="0" w:color="auto"/>
            <w:bottom w:val="none" w:sz="0" w:space="0" w:color="auto"/>
            <w:right w:val="none" w:sz="0" w:space="0" w:color="auto"/>
          </w:divBdr>
        </w:div>
      </w:divsChild>
    </w:div>
    <w:div w:id="443815124">
      <w:bodyDiv w:val="1"/>
      <w:marLeft w:val="0"/>
      <w:marRight w:val="0"/>
      <w:marTop w:val="0"/>
      <w:marBottom w:val="0"/>
      <w:divBdr>
        <w:top w:val="none" w:sz="0" w:space="0" w:color="auto"/>
        <w:left w:val="none" w:sz="0" w:space="0" w:color="auto"/>
        <w:bottom w:val="none" w:sz="0" w:space="0" w:color="auto"/>
        <w:right w:val="none" w:sz="0" w:space="0" w:color="auto"/>
      </w:divBdr>
    </w:div>
    <w:div w:id="498279710">
      <w:bodyDiv w:val="1"/>
      <w:marLeft w:val="0"/>
      <w:marRight w:val="0"/>
      <w:marTop w:val="0"/>
      <w:marBottom w:val="0"/>
      <w:divBdr>
        <w:top w:val="none" w:sz="0" w:space="0" w:color="auto"/>
        <w:left w:val="none" w:sz="0" w:space="0" w:color="auto"/>
        <w:bottom w:val="none" w:sz="0" w:space="0" w:color="auto"/>
        <w:right w:val="none" w:sz="0" w:space="0" w:color="auto"/>
      </w:divBdr>
    </w:div>
    <w:div w:id="712191377">
      <w:bodyDiv w:val="1"/>
      <w:marLeft w:val="0"/>
      <w:marRight w:val="0"/>
      <w:marTop w:val="0"/>
      <w:marBottom w:val="0"/>
      <w:divBdr>
        <w:top w:val="none" w:sz="0" w:space="0" w:color="auto"/>
        <w:left w:val="none" w:sz="0" w:space="0" w:color="auto"/>
        <w:bottom w:val="none" w:sz="0" w:space="0" w:color="auto"/>
        <w:right w:val="none" w:sz="0" w:space="0" w:color="auto"/>
      </w:divBdr>
    </w:div>
    <w:div w:id="892349777">
      <w:bodyDiv w:val="1"/>
      <w:marLeft w:val="0"/>
      <w:marRight w:val="0"/>
      <w:marTop w:val="0"/>
      <w:marBottom w:val="0"/>
      <w:divBdr>
        <w:top w:val="none" w:sz="0" w:space="0" w:color="auto"/>
        <w:left w:val="none" w:sz="0" w:space="0" w:color="auto"/>
        <w:bottom w:val="none" w:sz="0" w:space="0" w:color="auto"/>
        <w:right w:val="none" w:sz="0" w:space="0" w:color="auto"/>
      </w:divBdr>
    </w:div>
    <w:div w:id="1361861117">
      <w:bodyDiv w:val="1"/>
      <w:marLeft w:val="0"/>
      <w:marRight w:val="0"/>
      <w:marTop w:val="0"/>
      <w:marBottom w:val="0"/>
      <w:divBdr>
        <w:top w:val="none" w:sz="0" w:space="0" w:color="auto"/>
        <w:left w:val="none" w:sz="0" w:space="0" w:color="auto"/>
        <w:bottom w:val="none" w:sz="0" w:space="0" w:color="auto"/>
        <w:right w:val="none" w:sz="0" w:space="0" w:color="auto"/>
      </w:divBdr>
    </w:div>
    <w:div w:id="1613053601">
      <w:bodyDiv w:val="1"/>
      <w:marLeft w:val="0"/>
      <w:marRight w:val="0"/>
      <w:marTop w:val="0"/>
      <w:marBottom w:val="0"/>
      <w:divBdr>
        <w:top w:val="none" w:sz="0" w:space="0" w:color="auto"/>
        <w:left w:val="none" w:sz="0" w:space="0" w:color="auto"/>
        <w:bottom w:val="none" w:sz="0" w:space="0" w:color="auto"/>
        <w:right w:val="none" w:sz="0" w:space="0" w:color="auto"/>
      </w:divBdr>
    </w:div>
    <w:div w:id="1631739983">
      <w:bodyDiv w:val="1"/>
      <w:marLeft w:val="0"/>
      <w:marRight w:val="0"/>
      <w:marTop w:val="0"/>
      <w:marBottom w:val="0"/>
      <w:divBdr>
        <w:top w:val="none" w:sz="0" w:space="0" w:color="auto"/>
        <w:left w:val="none" w:sz="0" w:space="0" w:color="auto"/>
        <w:bottom w:val="none" w:sz="0" w:space="0" w:color="auto"/>
        <w:right w:val="none" w:sz="0" w:space="0" w:color="auto"/>
      </w:divBdr>
    </w:div>
    <w:div w:id="16519099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647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8C46-30F5-4E00-9AB4-D9B5434F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9821</Words>
  <Characters>55982</Characters>
  <Application>Microsoft Office Word</Application>
  <DocSecurity>0</DocSecurity>
  <Lines>466</Lines>
  <Paragraphs>131</Paragraphs>
  <ScaleCrop>false</ScaleCrop>
  <Company/>
  <LinksUpToDate>false</LinksUpToDate>
  <CharactersWithSpaces>65672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157/19</dc:title>
  <dc:creator/>
  <cp:lastModifiedBy/>
  <cp:revision>1</cp:revision>
  <dcterms:created xsi:type="dcterms:W3CDTF">2020-07-20T16:54:00Z</dcterms:created>
  <dcterms:modified xsi:type="dcterms:W3CDTF">2020-07-20T16:55:00Z</dcterms:modified>
</cp:coreProperties>
</file>