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05D06" w:rsidRDefault="00935AD7" w:rsidP="007B3C6B">
      <w:pPr>
        <w:tabs>
          <w:tab w:val="left" w:pos="1440"/>
        </w:tabs>
        <w:ind w:firstLine="720"/>
        <w:jc w:val="both"/>
        <w:rPr>
          <w:rFonts w:ascii="Cambria" w:hAnsi="Cambria" w:cs="Univers"/>
          <w:b/>
          <w:bCs/>
          <w:sz w:val="20"/>
          <w:szCs w:val="20"/>
          <w:lang w:val="es-ES_tradnl"/>
        </w:rPr>
      </w:pPr>
      <w:r>
        <w:rPr>
          <w:noProof/>
        </w:rPr>
        <mc:AlternateContent>
          <mc:Choice Requires="wps">
            <w:drawing>
              <wp:anchor distT="0" distB="0" distL="114300" distR="114300" simplePos="0" relativeHeight="251654656"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465BA" id="Rectangle 1" o:spid="_x0000_s1026" style="position:absolute;margin-left:-32.75pt;margin-top:-34.6pt;width:121.5pt;height:7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6A3859" w:rsidRDefault="00935AD7" w:rsidP="00AE5488">
                            <w:r>
                              <w:rPr>
                                <w:noProof/>
                              </w:rPr>
                              <w:drawing>
                                <wp:inline distT="0" distB="0" distL="0" distR="0">
                                  <wp:extent cx="2647950" cy="514350"/>
                                  <wp:effectExtent l="0" t="0" r="0" b="0"/>
                                  <wp:docPr id="3"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6A3859">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6A3859" w:rsidRDefault="00935AD7" w:rsidP="00AE5488">
                      <w:r>
                        <w:rPr>
                          <w:noProof/>
                        </w:rPr>
                        <w:drawing>
                          <wp:inline distT="0" distB="0" distL="0" distR="0">
                            <wp:extent cx="2647950" cy="514350"/>
                            <wp:effectExtent l="0" t="0" r="0" b="0"/>
                            <wp:docPr id="3"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6A3859">
                        <w:tab/>
                        <w:t xml:space="preserve">                              </w:t>
                      </w:r>
                    </w:p>
                  </w:txbxContent>
                </v:textbox>
              </v:shape>
            </w:pict>
          </mc:Fallback>
        </mc:AlternateContent>
      </w:r>
    </w:p>
    <w:p w:rsidR="00040C3A" w:rsidRPr="00C05D06" w:rsidRDefault="00040C3A" w:rsidP="007B3C6B">
      <w:pPr>
        <w:tabs>
          <w:tab w:val="left" w:pos="1440"/>
          <w:tab w:val="center" w:pos="5400"/>
        </w:tabs>
        <w:suppressAutoHyphens/>
        <w:ind w:firstLine="720"/>
        <w:jc w:val="both"/>
        <w:rPr>
          <w:rFonts w:ascii="Cambria" w:hAnsi="Cambria"/>
          <w:sz w:val="20"/>
          <w:szCs w:val="20"/>
          <w:lang w:val="es-ES"/>
        </w:rPr>
      </w:pPr>
    </w:p>
    <w:p w:rsidR="00040C3A" w:rsidRPr="00C05D06" w:rsidRDefault="00040C3A" w:rsidP="007B3C6B">
      <w:pPr>
        <w:tabs>
          <w:tab w:val="left" w:pos="1440"/>
          <w:tab w:val="center" w:pos="5400"/>
        </w:tabs>
        <w:suppressAutoHyphens/>
        <w:ind w:firstLine="720"/>
        <w:jc w:val="both"/>
        <w:rPr>
          <w:rFonts w:ascii="Cambria" w:hAnsi="Cambria"/>
          <w:sz w:val="20"/>
          <w:szCs w:val="20"/>
          <w:lang w:val="es-ES"/>
        </w:rPr>
      </w:pPr>
    </w:p>
    <w:p w:rsidR="005128E4" w:rsidRPr="00C05D06" w:rsidRDefault="005128E4" w:rsidP="007B3C6B">
      <w:pPr>
        <w:tabs>
          <w:tab w:val="left" w:pos="1440"/>
          <w:tab w:val="center" w:pos="5400"/>
        </w:tabs>
        <w:suppressAutoHyphens/>
        <w:ind w:firstLine="720"/>
        <w:rPr>
          <w:rFonts w:ascii="Cambria" w:hAnsi="Cambria"/>
          <w:sz w:val="20"/>
          <w:szCs w:val="20"/>
          <w:lang w:val="es-ES_tradnl"/>
        </w:rPr>
      </w:pPr>
    </w:p>
    <w:p w:rsidR="005128E4" w:rsidRPr="00C05D06" w:rsidRDefault="005128E4" w:rsidP="007B3C6B">
      <w:pPr>
        <w:tabs>
          <w:tab w:val="left" w:pos="1440"/>
          <w:tab w:val="center" w:pos="5400"/>
        </w:tabs>
        <w:suppressAutoHyphens/>
        <w:ind w:firstLine="720"/>
        <w:rPr>
          <w:rFonts w:ascii="Cambria" w:hAnsi="Cambria"/>
          <w:sz w:val="20"/>
          <w:szCs w:val="20"/>
          <w:lang w:val="es-ES_tradnl"/>
        </w:rPr>
      </w:pPr>
    </w:p>
    <w:p w:rsidR="005128E4" w:rsidRPr="00C05D06" w:rsidRDefault="005128E4" w:rsidP="007B3C6B">
      <w:pPr>
        <w:tabs>
          <w:tab w:val="left" w:pos="1440"/>
          <w:tab w:val="center" w:pos="5400"/>
        </w:tabs>
        <w:suppressAutoHyphens/>
        <w:ind w:firstLine="720"/>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5B52B0" w:rsidRPr="00C05D06" w:rsidRDefault="005B52B0" w:rsidP="007B3C6B">
      <w:pPr>
        <w:tabs>
          <w:tab w:val="left" w:pos="1440"/>
          <w:tab w:val="center" w:pos="5400"/>
        </w:tabs>
        <w:suppressAutoHyphens/>
        <w:ind w:firstLine="720"/>
        <w:jc w:val="center"/>
        <w:rPr>
          <w:rFonts w:ascii="Cambria" w:hAnsi="Cambria"/>
          <w:sz w:val="20"/>
          <w:szCs w:val="20"/>
          <w:lang w:val="es-ES_tradnl"/>
        </w:rPr>
      </w:pPr>
    </w:p>
    <w:p w:rsidR="005B52B0" w:rsidRPr="00C05D06" w:rsidRDefault="005B52B0" w:rsidP="007B3C6B">
      <w:pPr>
        <w:tabs>
          <w:tab w:val="left" w:pos="1440"/>
          <w:tab w:val="center" w:pos="5400"/>
        </w:tabs>
        <w:suppressAutoHyphens/>
        <w:ind w:firstLine="720"/>
        <w:jc w:val="center"/>
        <w:rPr>
          <w:rFonts w:ascii="Cambria" w:hAnsi="Cambria"/>
          <w:sz w:val="20"/>
          <w:szCs w:val="20"/>
          <w:lang w:val="es-ES_tradnl"/>
        </w:rPr>
      </w:pPr>
    </w:p>
    <w:p w:rsidR="005B52B0" w:rsidRPr="00C05D06" w:rsidRDefault="005B52B0"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935AD7" w:rsidP="007B3C6B">
      <w:pPr>
        <w:tabs>
          <w:tab w:val="left" w:pos="1440"/>
          <w:tab w:val="center" w:pos="5400"/>
        </w:tabs>
        <w:suppressAutoHyphens/>
        <w:ind w:firstLine="720"/>
        <w:jc w:val="center"/>
        <w:rPr>
          <w:rFonts w:ascii="Cambria" w:hAnsi="Cambria"/>
          <w:sz w:val="20"/>
          <w:szCs w:val="20"/>
          <w:lang w:val="es-ES_tradnl"/>
        </w:rPr>
      </w:pPr>
      <w:r>
        <w:rPr>
          <w:noProof/>
        </w:rPr>
        <mc:AlternateContent>
          <mc:Choice Requires="wps">
            <w:drawing>
              <wp:anchor distT="0" distB="0" distL="114300" distR="114300" simplePos="0" relativeHeight="251655680"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6A3859" w:rsidRPr="00C05D06" w:rsidRDefault="006A3859" w:rsidP="00997BC5">
                            <w:pPr>
                              <w:spacing w:line="276" w:lineRule="auto"/>
                              <w:rPr>
                                <w:rFonts w:ascii="Cambria" w:hAnsi="Cambria" w:cs="Arial"/>
                                <w:b/>
                                <w:bCs/>
                                <w:color w:val="0D0D0D"/>
                                <w:sz w:val="36"/>
                                <w:szCs w:val="22"/>
                                <w:lang w:val="es-CR"/>
                              </w:rPr>
                            </w:pPr>
                            <w:r w:rsidRPr="00C05D06">
                              <w:rPr>
                                <w:rFonts w:ascii="Cambria" w:hAnsi="Cambria" w:cs="Arial"/>
                                <w:b/>
                                <w:bCs/>
                                <w:color w:val="0D0D0D"/>
                                <w:sz w:val="36"/>
                                <w:szCs w:val="22"/>
                                <w:lang w:val="es-CR"/>
                              </w:rPr>
                              <w:t xml:space="preserve">INFORME </w:t>
                            </w:r>
                            <w:r w:rsidRPr="00C05D06">
                              <w:rPr>
                                <w:rFonts w:ascii="Cambria" w:hAnsi="Cambria" w:cs="Arial"/>
                                <w:b/>
                                <w:bCs/>
                                <w:color w:val="0D0D0D"/>
                                <w:sz w:val="36"/>
                                <w:szCs w:val="40"/>
                                <w:lang w:val="es-CR"/>
                              </w:rPr>
                              <w:t>No.</w:t>
                            </w:r>
                            <w:r w:rsidRPr="00C05D06">
                              <w:rPr>
                                <w:rFonts w:ascii="Cambria" w:hAnsi="Cambria" w:cs="Arial"/>
                                <w:b/>
                                <w:bCs/>
                                <w:color w:val="0D0D0D"/>
                                <w:sz w:val="36"/>
                                <w:szCs w:val="22"/>
                                <w:lang w:val="es-CR"/>
                              </w:rPr>
                              <w:t xml:space="preserve"> </w:t>
                            </w:r>
                            <w:r w:rsidR="00360085">
                              <w:rPr>
                                <w:rFonts w:ascii="Cambria" w:hAnsi="Cambria" w:cs="Arial"/>
                                <w:b/>
                                <w:bCs/>
                                <w:color w:val="0D0D0D"/>
                                <w:sz w:val="36"/>
                                <w:szCs w:val="22"/>
                                <w:lang w:val="es-CR"/>
                              </w:rPr>
                              <w:t>92</w:t>
                            </w:r>
                            <w:r w:rsidRPr="00C05D06">
                              <w:rPr>
                                <w:rFonts w:ascii="Cambria" w:hAnsi="Cambria" w:cs="Arial"/>
                                <w:b/>
                                <w:bCs/>
                                <w:color w:val="0D0D0D"/>
                                <w:sz w:val="36"/>
                                <w:szCs w:val="22"/>
                                <w:lang w:val="es-CR"/>
                              </w:rPr>
                              <w:t>/1</w:t>
                            </w:r>
                            <w:r w:rsidR="002A67A8">
                              <w:rPr>
                                <w:rFonts w:ascii="Cambria" w:hAnsi="Cambria" w:cs="Arial"/>
                                <w:b/>
                                <w:bCs/>
                                <w:color w:val="0D0D0D"/>
                                <w:sz w:val="36"/>
                                <w:szCs w:val="22"/>
                                <w:lang w:val="es-CR"/>
                              </w:rPr>
                              <w:t>9</w:t>
                            </w:r>
                          </w:p>
                          <w:p w:rsidR="006A3859" w:rsidRPr="00C05D06" w:rsidRDefault="006A3859" w:rsidP="00997BC5">
                            <w:pPr>
                              <w:spacing w:line="276" w:lineRule="auto"/>
                              <w:rPr>
                                <w:rFonts w:ascii="Cambria" w:hAnsi="Cambria" w:cs="Arial"/>
                                <w:b/>
                                <w:color w:val="0D0D0D"/>
                                <w:sz w:val="36"/>
                                <w:szCs w:val="22"/>
                                <w:lang w:val="es-CR"/>
                              </w:rPr>
                            </w:pPr>
                            <w:r w:rsidRPr="00C05D06">
                              <w:rPr>
                                <w:rFonts w:ascii="Cambria" w:hAnsi="Cambria" w:cs="Arial"/>
                                <w:b/>
                                <w:color w:val="0D0D0D"/>
                                <w:sz w:val="36"/>
                                <w:szCs w:val="22"/>
                                <w:lang w:val="es-CR"/>
                              </w:rPr>
                              <w:t>CASO 11.624</w:t>
                            </w:r>
                          </w:p>
                          <w:p w:rsidR="006A3859" w:rsidRPr="00C05D06" w:rsidRDefault="006A3859" w:rsidP="007B3C6B">
                            <w:pPr>
                              <w:spacing w:line="276" w:lineRule="auto"/>
                              <w:rPr>
                                <w:rFonts w:ascii="Cambria" w:hAnsi="Cambria" w:cs="Arial"/>
                                <w:color w:val="0D0D0D"/>
                                <w:szCs w:val="22"/>
                                <w:lang w:val="es-ES_tradnl"/>
                              </w:rPr>
                            </w:pPr>
                            <w:r w:rsidRPr="00C05D06">
                              <w:rPr>
                                <w:rFonts w:ascii="Cambria" w:hAnsi="Cambria" w:cs="Arial"/>
                                <w:color w:val="0D0D0D"/>
                                <w:szCs w:val="22"/>
                                <w:lang w:val="es-ES_tradnl"/>
                              </w:rPr>
                              <w:t>INFORME DE ADMISIBILIDAD Y FONDO</w:t>
                            </w:r>
                            <w:r w:rsidR="00982DD0">
                              <w:rPr>
                                <w:rFonts w:ascii="Cambria" w:hAnsi="Cambria" w:cs="Arial"/>
                                <w:color w:val="0D0D0D"/>
                                <w:szCs w:val="22"/>
                                <w:lang w:val="es-ES_tradnl"/>
                              </w:rPr>
                              <w:t xml:space="preserve"> (</w:t>
                            </w:r>
                            <w:r w:rsidR="00E935B6">
                              <w:rPr>
                                <w:rFonts w:ascii="Cambria" w:hAnsi="Cambria" w:cs="Arial"/>
                                <w:color w:val="0D0D0D"/>
                                <w:szCs w:val="22"/>
                                <w:lang w:val="es-ES_tradnl"/>
                              </w:rPr>
                              <w:t>PUBLICACIÓN</w:t>
                            </w:r>
                            <w:r w:rsidR="00982DD0">
                              <w:rPr>
                                <w:rFonts w:ascii="Cambria" w:hAnsi="Cambria" w:cs="Arial"/>
                                <w:color w:val="0D0D0D"/>
                                <w:szCs w:val="22"/>
                                <w:lang w:val="es-ES_tradnl"/>
                              </w:rPr>
                              <w:t>)</w:t>
                            </w:r>
                          </w:p>
                          <w:p w:rsidR="006A3859" w:rsidRPr="00C05D06" w:rsidRDefault="006A3859" w:rsidP="00997BC5">
                            <w:pPr>
                              <w:spacing w:line="276" w:lineRule="auto"/>
                              <w:rPr>
                                <w:rFonts w:ascii="Cambria" w:hAnsi="Cambria" w:cs="Arial"/>
                                <w:color w:val="0D0D0D"/>
                                <w:szCs w:val="22"/>
                                <w:lang w:val="es-ES_tradnl"/>
                              </w:rPr>
                            </w:pPr>
                            <w:bookmarkStart w:id="0" w:name="_ftnref1"/>
                          </w:p>
                          <w:p w:rsidR="006A3859" w:rsidRPr="00C05D06" w:rsidRDefault="006A3859" w:rsidP="00997BC5">
                            <w:pPr>
                              <w:spacing w:line="276" w:lineRule="auto"/>
                              <w:rPr>
                                <w:rFonts w:ascii="Cambria" w:hAnsi="Cambria" w:cs="Arial"/>
                                <w:color w:val="0D0D0D"/>
                                <w:szCs w:val="22"/>
                                <w:lang w:val="es-CR"/>
                              </w:rPr>
                            </w:pPr>
                            <w:r w:rsidRPr="00C05D06">
                              <w:rPr>
                                <w:rFonts w:ascii="Cambria" w:hAnsi="Cambria" w:cs="Arial"/>
                                <w:color w:val="0D0D0D"/>
                                <w:szCs w:val="22"/>
                                <w:lang w:val="es-ES_tradnl"/>
                              </w:rPr>
                              <w:t>JORGE DARWIN GARC</w:t>
                            </w:r>
                            <w:r w:rsidRPr="00C05D06">
                              <w:rPr>
                                <w:rFonts w:ascii="Cambria" w:hAnsi="Cambria" w:cs="Arial"/>
                                <w:color w:val="0D0D0D"/>
                                <w:szCs w:val="22"/>
                                <w:lang w:val="es-CR"/>
                              </w:rPr>
                              <w:t>ÍA Y FAMILIA</w:t>
                            </w:r>
                          </w:p>
                          <w:bookmarkEnd w:id="0"/>
                          <w:p w:rsidR="006A3859" w:rsidRPr="00C05D06" w:rsidRDefault="006A3859" w:rsidP="00997BC5">
                            <w:pPr>
                              <w:spacing w:line="276" w:lineRule="auto"/>
                              <w:rPr>
                                <w:rFonts w:ascii="Cambria" w:hAnsi="Cambria" w:cs="Arial"/>
                                <w:color w:val="0D0D0D"/>
                                <w:szCs w:val="22"/>
                                <w:lang w:val="es-ES"/>
                              </w:rPr>
                            </w:pPr>
                            <w:r w:rsidRPr="00C05D06">
                              <w:rPr>
                                <w:rFonts w:ascii="Cambria" w:hAnsi="Cambria" w:cs="Arial"/>
                                <w:color w:val="0D0D0D"/>
                                <w:szCs w:val="22"/>
                                <w:lang w:val="es-ES_tradnl"/>
                              </w:rPr>
                              <w:t>ECUADOR</w:t>
                            </w:r>
                          </w:p>
                          <w:p w:rsidR="006A3859" w:rsidRPr="00C05D06" w:rsidRDefault="006A3859"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7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qSnPuygesU2WBjGyBm+ajCjNXP+iVmcG6wCd8E/4iFbwMgwSpTU&#10;YH/97T3gkU7UUtLhHJbU/TwwKyhpv2sk+ibN8zC48ZLPvmR4sZea3aVGH9Qd4KinuHWGRzHgfXsS&#10;pQX1giuzDFFRxTTH2CX1J/HOD9uBK8fFchlBOKqG+bXeGH5iP/R7278wa0ZSPPL5AKeJZcU7bgbs&#10;wM7y4EE2kbjQ56Gr4xjhmEc+x5UMe3R5j6i3H8fiN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aLCPtAAgAAgAQA&#10;AA4AAAAAAAAAAAAAAAAALgIAAGRycy9lMm9Eb2MueG1sUEsBAi0AFAAGAAgAAAAhAPVEdxfgAAAA&#10;CgEAAA8AAAAAAAAAAAAAAAAAmgQAAGRycy9kb3ducmV2LnhtbFBLBQYAAAAABAAEAPMAAACnBQAA&#10;AAA=&#10;" filled="f" stroked="f" strokeweight=".5pt">
                <v:path arrowok="t"/>
                <v:textbox>
                  <w:txbxContent>
                    <w:p w:rsidR="006A3859" w:rsidRPr="00C05D06" w:rsidRDefault="006A3859" w:rsidP="00997BC5">
                      <w:pPr>
                        <w:spacing w:line="276" w:lineRule="auto"/>
                        <w:rPr>
                          <w:rFonts w:ascii="Cambria" w:hAnsi="Cambria" w:cs="Arial"/>
                          <w:b/>
                          <w:bCs/>
                          <w:color w:val="0D0D0D"/>
                          <w:sz w:val="36"/>
                          <w:szCs w:val="22"/>
                          <w:lang w:val="es-CR"/>
                        </w:rPr>
                      </w:pPr>
                      <w:r w:rsidRPr="00C05D06">
                        <w:rPr>
                          <w:rFonts w:ascii="Cambria" w:hAnsi="Cambria" w:cs="Arial"/>
                          <w:b/>
                          <w:bCs/>
                          <w:color w:val="0D0D0D"/>
                          <w:sz w:val="36"/>
                          <w:szCs w:val="22"/>
                          <w:lang w:val="es-CR"/>
                        </w:rPr>
                        <w:t xml:space="preserve">INFORME </w:t>
                      </w:r>
                      <w:r w:rsidRPr="00C05D06">
                        <w:rPr>
                          <w:rFonts w:ascii="Cambria" w:hAnsi="Cambria" w:cs="Arial"/>
                          <w:b/>
                          <w:bCs/>
                          <w:color w:val="0D0D0D"/>
                          <w:sz w:val="36"/>
                          <w:szCs w:val="40"/>
                          <w:lang w:val="es-CR"/>
                        </w:rPr>
                        <w:t>No.</w:t>
                      </w:r>
                      <w:r w:rsidRPr="00C05D06">
                        <w:rPr>
                          <w:rFonts w:ascii="Cambria" w:hAnsi="Cambria" w:cs="Arial"/>
                          <w:b/>
                          <w:bCs/>
                          <w:color w:val="0D0D0D"/>
                          <w:sz w:val="36"/>
                          <w:szCs w:val="22"/>
                          <w:lang w:val="es-CR"/>
                        </w:rPr>
                        <w:t xml:space="preserve"> </w:t>
                      </w:r>
                      <w:r w:rsidR="00360085">
                        <w:rPr>
                          <w:rFonts w:ascii="Cambria" w:hAnsi="Cambria" w:cs="Arial"/>
                          <w:b/>
                          <w:bCs/>
                          <w:color w:val="0D0D0D"/>
                          <w:sz w:val="36"/>
                          <w:szCs w:val="22"/>
                          <w:lang w:val="es-CR"/>
                        </w:rPr>
                        <w:t>92</w:t>
                      </w:r>
                      <w:r w:rsidRPr="00C05D06">
                        <w:rPr>
                          <w:rFonts w:ascii="Cambria" w:hAnsi="Cambria" w:cs="Arial"/>
                          <w:b/>
                          <w:bCs/>
                          <w:color w:val="0D0D0D"/>
                          <w:sz w:val="36"/>
                          <w:szCs w:val="22"/>
                          <w:lang w:val="es-CR"/>
                        </w:rPr>
                        <w:t>/1</w:t>
                      </w:r>
                      <w:r w:rsidR="002A67A8">
                        <w:rPr>
                          <w:rFonts w:ascii="Cambria" w:hAnsi="Cambria" w:cs="Arial"/>
                          <w:b/>
                          <w:bCs/>
                          <w:color w:val="0D0D0D"/>
                          <w:sz w:val="36"/>
                          <w:szCs w:val="22"/>
                          <w:lang w:val="es-CR"/>
                        </w:rPr>
                        <w:t>9</w:t>
                      </w:r>
                    </w:p>
                    <w:p w:rsidR="006A3859" w:rsidRPr="00C05D06" w:rsidRDefault="006A3859" w:rsidP="00997BC5">
                      <w:pPr>
                        <w:spacing w:line="276" w:lineRule="auto"/>
                        <w:rPr>
                          <w:rFonts w:ascii="Cambria" w:hAnsi="Cambria" w:cs="Arial"/>
                          <w:b/>
                          <w:color w:val="0D0D0D"/>
                          <w:sz w:val="36"/>
                          <w:szCs w:val="22"/>
                          <w:lang w:val="es-CR"/>
                        </w:rPr>
                      </w:pPr>
                      <w:r w:rsidRPr="00C05D06">
                        <w:rPr>
                          <w:rFonts w:ascii="Cambria" w:hAnsi="Cambria" w:cs="Arial"/>
                          <w:b/>
                          <w:color w:val="0D0D0D"/>
                          <w:sz w:val="36"/>
                          <w:szCs w:val="22"/>
                          <w:lang w:val="es-CR"/>
                        </w:rPr>
                        <w:t>CASO 11.624</w:t>
                      </w:r>
                    </w:p>
                    <w:p w:rsidR="006A3859" w:rsidRPr="00C05D06" w:rsidRDefault="006A3859" w:rsidP="007B3C6B">
                      <w:pPr>
                        <w:spacing w:line="276" w:lineRule="auto"/>
                        <w:rPr>
                          <w:rFonts w:ascii="Cambria" w:hAnsi="Cambria" w:cs="Arial"/>
                          <w:color w:val="0D0D0D"/>
                          <w:szCs w:val="22"/>
                          <w:lang w:val="es-ES_tradnl"/>
                        </w:rPr>
                      </w:pPr>
                      <w:r w:rsidRPr="00C05D06">
                        <w:rPr>
                          <w:rFonts w:ascii="Cambria" w:hAnsi="Cambria" w:cs="Arial"/>
                          <w:color w:val="0D0D0D"/>
                          <w:szCs w:val="22"/>
                          <w:lang w:val="es-ES_tradnl"/>
                        </w:rPr>
                        <w:t>INFORME DE ADMISIBILIDAD Y FONDO</w:t>
                      </w:r>
                      <w:r w:rsidR="00982DD0">
                        <w:rPr>
                          <w:rFonts w:ascii="Cambria" w:hAnsi="Cambria" w:cs="Arial"/>
                          <w:color w:val="0D0D0D"/>
                          <w:szCs w:val="22"/>
                          <w:lang w:val="es-ES_tradnl"/>
                        </w:rPr>
                        <w:t xml:space="preserve"> (</w:t>
                      </w:r>
                      <w:r w:rsidR="00E935B6">
                        <w:rPr>
                          <w:rFonts w:ascii="Cambria" w:hAnsi="Cambria" w:cs="Arial"/>
                          <w:color w:val="0D0D0D"/>
                          <w:szCs w:val="22"/>
                          <w:lang w:val="es-ES_tradnl"/>
                        </w:rPr>
                        <w:t>PUBLICACIÓN</w:t>
                      </w:r>
                      <w:r w:rsidR="00982DD0">
                        <w:rPr>
                          <w:rFonts w:ascii="Cambria" w:hAnsi="Cambria" w:cs="Arial"/>
                          <w:color w:val="0D0D0D"/>
                          <w:szCs w:val="22"/>
                          <w:lang w:val="es-ES_tradnl"/>
                        </w:rPr>
                        <w:t>)</w:t>
                      </w:r>
                    </w:p>
                    <w:p w:rsidR="006A3859" w:rsidRPr="00C05D06" w:rsidRDefault="006A3859" w:rsidP="00997BC5">
                      <w:pPr>
                        <w:spacing w:line="276" w:lineRule="auto"/>
                        <w:rPr>
                          <w:rFonts w:ascii="Cambria" w:hAnsi="Cambria" w:cs="Arial"/>
                          <w:color w:val="0D0D0D"/>
                          <w:szCs w:val="22"/>
                          <w:lang w:val="es-ES_tradnl"/>
                        </w:rPr>
                      </w:pPr>
                      <w:bookmarkStart w:id="2" w:name="_ftnref1"/>
                    </w:p>
                    <w:p w:rsidR="006A3859" w:rsidRPr="00C05D06" w:rsidRDefault="006A3859" w:rsidP="00997BC5">
                      <w:pPr>
                        <w:spacing w:line="276" w:lineRule="auto"/>
                        <w:rPr>
                          <w:rFonts w:ascii="Cambria" w:hAnsi="Cambria" w:cs="Arial"/>
                          <w:color w:val="0D0D0D"/>
                          <w:szCs w:val="22"/>
                          <w:lang w:val="es-CR"/>
                        </w:rPr>
                      </w:pPr>
                      <w:r w:rsidRPr="00C05D06">
                        <w:rPr>
                          <w:rFonts w:ascii="Cambria" w:hAnsi="Cambria" w:cs="Arial"/>
                          <w:color w:val="0D0D0D"/>
                          <w:szCs w:val="22"/>
                          <w:lang w:val="es-ES_tradnl"/>
                        </w:rPr>
                        <w:t>JORGE DARWIN GARC</w:t>
                      </w:r>
                      <w:r w:rsidRPr="00C05D06">
                        <w:rPr>
                          <w:rFonts w:ascii="Cambria" w:hAnsi="Cambria" w:cs="Arial"/>
                          <w:color w:val="0D0D0D"/>
                          <w:szCs w:val="22"/>
                          <w:lang w:val="es-CR"/>
                        </w:rPr>
                        <w:t>ÍA Y FAMILIA</w:t>
                      </w:r>
                    </w:p>
                    <w:bookmarkEnd w:id="2"/>
                    <w:p w:rsidR="006A3859" w:rsidRPr="00C05D06" w:rsidRDefault="006A3859" w:rsidP="00997BC5">
                      <w:pPr>
                        <w:spacing w:line="276" w:lineRule="auto"/>
                        <w:rPr>
                          <w:rFonts w:ascii="Cambria" w:hAnsi="Cambria" w:cs="Arial"/>
                          <w:color w:val="0D0D0D"/>
                          <w:szCs w:val="22"/>
                          <w:lang w:val="es-ES"/>
                        </w:rPr>
                      </w:pPr>
                      <w:r w:rsidRPr="00C05D06">
                        <w:rPr>
                          <w:rFonts w:ascii="Cambria" w:hAnsi="Cambria" w:cs="Arial"/>
                          <w:color w:val="0D0D0D"/>
                          <w:szCs w:val="22"/>
                          <w:lang w:val="es-ES_tradnl"/>
                        </w:rPr>
                        <w:t>ECUADOR</w:t>
                      </w:r>
                    </w:p>
                    <w:p w:rsidR="006A3859" w:rsidRPr="00C05D06" w:rsidRDefault="006A3859" w:rsidP="007A5817">
                      <w:pPr>
                        <w:rPr>
                          <w:color w:val="0D0D0D"/>
                          <w:lang w:val="es-ES_tradnl"/>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6A3859" w:rsidRPr="00360085" w:rsidRDefault="006A3859" w:rsidP="007A5817">
                            <w:pPr>
                              <w:spacing w:line="276" w:lineRule="auto"/>
                              <w:jc w:val="right"/>
                              <w:rPr>
                                <w:rFonts w:ascii="Calibri" w:hAnsi="Calibri"/>
                                <w:color w:val="FFFFFF"/>
                                <w:sz w:val="22"/>
                                <w:lang w:val="es-ES"/>
                              </w:rPr>
                            </w:pPr>
                            <w:r w:rsidRPr="00360085">
                              <w:rPr>
                                <w:rFonts w:ascii="Calibri" w:hAnsi="Calibri"/>
                                <w:color w:val="FFFFFF"/>
                                <w:sz w:val="22"/>
                                <w:lang w:val="es-ES"/>
                              </w:rPr>
                              <w:t>OEA/</w:t>
                            </w:r>
                            <w:proofErr w:type="spellStart"/>
                            <w:r w:rsidRPr="00360085">
                              <w:rPr>
                                <w:rFonts w:ascii="Calibri" w:hAnsi="Calibri"/>
                                <w:color w:val="FFFFFF"/>
                                <w:sz w:val="22"/>
                                <w:lang w:val="es-ES"/>
                              </w:rPr>
                              <w:t>Ser.L</w:t>
                            </w:r>
                            <w:proofErr w:type="spellEnd"/>
                            <w:r w:rsidRPr="00360085">
                              <w:rPr>
                                <w:rFonts w:ascii="Calibri" w:hAnsi="Calibri"/>
                                <w:color w:val="FFFFFF"/>
                                <w:sz w:val="22"/>
                                <w:lang w:val="es-ES"/>
                              </w:rPr>
                              <w:t>/V/II.</w:t>
                            </w:r>
                          </w:p>
                          <w:p w:rsidR="006A3859" w:rsidRPr="00360085" w:rsidRDefault="006A3859" w:rsidP="007A5817">
                            <w:pPr>
                              <w:spacing w:line="276" w:lineRule="auto"/>
                              <w:jc w:val="right"/>
                              <w:rPr>
                                <w:rFonts w:ascii="Calibri" w:hAnsi="Calibri"/>
                                <w:color w:val="FFFFFF"/>
                                <w:sz w:val="22"/>
                                <w:lang w:val="es-ES"/>
                              </w:rPr>
                            </w:pPr>
                            <w:r w:rsidRPr="00360085">
                              <w:rPr>
                                <w:rFonts w:ascii="Calibri" w:hAnsi="Calibri"/>
                                <w:color w:val="FFFFFF"/>
                                <w:sz w:val="22"/>
                                <w:lang w:val="es-ES"/>
                              </w:rPr>
                              <w:t xml:space="preserve">Doc. </w:t>
                            </w:r>
                            <w:r w:rsidR="00360085" w:rsidRPr="00360085">
                              <w:rPr>
                                <w:rFonts w:ascii="Calibri" w:hAnsi="Calibri"/>
                                <w:color w:val="FFFFFF"/>
                                <w:sz w:val="22"/>
                                <w:lang w:val="es-ES"/>
                              </w:rPr>
                              <w:t>101</w:t>
                            </w:r>
                          </w:p>
                          <w:p w:rsidR="006A3859" w:rsidRPr="00C40B61" w:rsidRDefault="00360085" w:rsidP="007A5817">
                            <w:pPr>
                              <w:spacing w:line="276" w:lineRule="auto"/>
                              <w:jc w:val="right"/>
                              <w:rPr>
                                <w:rFonts w:ascii="Calibri" w:hAnsi="Calibri"/>
                                <w:color w:val="FFFFFF"/>
                                <w:sz w:val="22"/>
                                <w:lang w:val="es-ES"/>
                              </w:rPr>
                            </w:pPr>
                            <w:r>
                              <w:rPr>
                                <w:rFonts w:ascii="Calibri" w:hAnsi="Calibri"/>
                                <w:color w:val="FFFFFF"/>
                                <w:sz w:val="22"/>
                                <w:lang w:val="es-ES"/>
                              </w:rPr>
                              <w:t>14 junio</w:t>
                            </w:r>
                            <w:r w:rsidR="0044415E">
                              <w:rPr>
                                <w:rFonts w:ascii="Calibri" w:hAnsi="Calibri"/>
                                <w:color w:val="FFFFFF"/>
                                <w:sz w:val="22"/>
                                <w:lang w:val="es-ES"/>
                              </w:rPr>
                              <w:t xml:space="preserve"> 201</w:t>
                            </w:r>
                            <w:r w:rsidR="00B71F01">
                              <w:rPr>
                                <w:rFonts w:ascii="Calibri" w:hAnsi="Calibri"/>
                                <w:color w:val="FFFFFF"/>
                                <w:sz w:val="22"/>
                                <w:lang w:val="es-ES"/>
                              </w:rPr>
                              <w:t>9</w:t>
                            </w:r>
                          </w:p>
                          <w:p w:rsidR="006A3859" w:rsidRPr="00C40B61" w:rsidRDefault="006A3859" w:rsidP="007A5817">
                            <w:pPr>
                              <w:spacing w:line="276" w:lineRule="auto"/>
                              <w:jc w:val="right"/>
                              <w:rPr>
                                <w:rFonts w:ascii="Calibri" w:hAnsi="Calibri"/>
                                <w:color w:val="FFFFFF"/>
                                <w:sz w:val="22"/>
                                <w:lang w:val="es-ES"/>
                              </w:rPr>
                            </w:pPr>
                            <w:r w:rsidRPr="00C40B61">
                              <w:rPr>
                                <w:rFonts w:ascii="Calibri" w:hAnsi="Calibri"/>
                                <w:color w:val="FFFFFF"/>
                                <w:sz w:val="22"/>
                                <w:lang w:val="es-ES"/>
                              </w:rPr>
                              <w:t xml:space="preserve">Original: </w:t>
                            </w:r>
                            <w:r w:rsidR="00C40B61" w:rsidRPr="00C40B61">
                              <w:rPr>
                                <w:rFonts w:ascii="Calibri" w:hAnsi="Calibri"/>
                                <w:color w:val="FFFFFF"/>
                                <w:sz w:val="22"/>
                                <w:lang w:val="es-ES"/>
                              </w:rPr>
                              <w:t>E</w:t>
                            </w:r>
                            <w:r w:rsidRPr="00C40B61">
                              <w:rPr>
                                <w:rFonts w:ascii="Calibri" w:hAnsi="Calibri"/>
                                <w:color w:val="FFFFFF"/>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6A3859" w:rsidRPr="00360085" w:rsidRDefault="006A3859" w:rsidP="007A5817">
                      <w:pPr>
                        <w:spacing w:line="276" w:lineRule="auto"/>
                        <w:jc w:val="right"/>
                        <w:rPr>
                          <w:rFonts w:ascii="Calibri" w:hAnsi="Calibri"/>
                          <w:color w:val="FFFFFF"/>
                          <w:sz w:val="22"/>
                          <w:lang w:val="es-ES"/>
                        </w:rPr>
                      </w:pPr>
                      <w:r w:rsidRPr="00360085">
                        <w:rPr>
                          <w:rFonts w:ascii="Calibri" w:hAnsi="Calibri"/>
                          <w:color w:val="FFFFFF"/>
                          <w:sz w:val="22"/>
                          <w:lang w:val="es-ES"/>
                        </w:rPr>
                        <w:t>OEA/Ser.L/V/II.</w:t>
                      </w:r>
                    </w:p>
                    <w:p w:rsidR="006A3859" w:rsidRPr="00360085" w:rsidRDefault="006A3859" w:rsidP="007A5817">
                      <w:pPr>
                        <w:spacing w:line="276" w:lineRule="auto"/>
                        <w:jc w:val="right"/>
                        <w:rPr>
                          <w:rFonts w:ascii="Calibri" w:hAnsi="Calibri"/>
                          <w:color w:val="FFFFFF"/>
                          <w:sz w:val="22"/>
                          <w:lang w:val="es-ES"/>
                        </w:rPr>
                      </w:pPr>
                      <w:r w:rsidRPr="00360085">
                        <w:rPr>
                          <w:rFonts w:ascii="Calibri" w:hAnsi="Calibri"/>
                          <w:color w:val="FFFFFF"/>
                          <w:sz w:val="22"/>
                          <w:lang w:val="es-ES"/>
                        </w:rPr>
                        <w:t xml:space="preserve">Doc. </w:t>
                      </w:r>
                      <w:r w:rsidR="00360085" w:rsidRPr="00360085">
                        <w:rPr>
                          <w:rFonts w:ascii="Calibri" w:hAnsi="Calibri"/>
                          <w:color w:val="FFFFFF"/>
                          <w:sz w:val="22"/>
                          <w:lang w:val="es-ES"/>
                        </w:rPr>
                        <w:t>101</w:t>
                      </w:r>
                    </w:p>
                    <w:p w:rsidR="006A3859" w:rsidRPr="00C40B61" w:rsidRDefault="00360085" w:rsidP="007A5817">
                      <w:pPr>
                        <w:spacing w:line="276" w:lineRule="auto"/>
                        <w:jc w:val="right"/>
                        <w:rPr>
                          <w:rFonts w:ascii="Calibri" w:hAnsi="Calibri"/>
                          <w:color w:val="FFFFFF"/>
                          <w:sz w:val="22"/>
                          <w:lang w:val="es-ES"/>
                        </w:rPr>
                      </w:pPr>
                      <w:r>
                        <w:rPr>
                          <w:rFonts w:ascii="Calibri" w:hAnsi="Calibri"/>
                          <w:color w:val="FFFFFF"/>
                          <w:sz w:val="22"/>
                          <w:lang w:val="es-ES"/>
                        </w:rPr>
                        <w:t>14 junio</w:t>
                      </w:r>
                      <w:r w:rsidR="0044415E">
                        <w:rPr>
                          <w:rFonts w:ascii="Calibri" w:hAnsi="Calibri"/>
                          <w:color w:val="FFFFFF"/>
                          <w:sz w:val="22"/>
                          <w:lang w:val="es-ES"/>
                        </w:rPr>
                        <w:t xml:space="preserve"> 201</w:t>
                      </w:r>
                      <w:r w:rsidR="00B71F01">
                        <w:rPr>
                          <w:rFonts w:ascii="Calibri" w:hAnsi="Calibri"/>
                          <w:color w:val="FFFFFF"/>
                          <w:sz w:val="22"/>
                          <w:lang w:val="es-ES"/>
                        </w:rPr>
                        <w:t>9</w:t>
                      </w:r>
                    </w:p>
                    <w:p w:rsidR="006A3859" w:rsidRPr="00C40B61" w:rsidRDefault="006A3859" w:rsidP="007A5817">
                      <w:pPr>
                        <w:spacing w:line="276" w:lineRule="auto"/>
                        <w:jc w:val="right"/>
                        <w:rPr>
                          <w:rFonts w:ascii="Calibri" w:hAnsi="Calibri"/>
                          <w:color w:val="FFFFFF"/>
                          <w:sz w:val="22"/>
                          <w:lang w:val="es-ES"/>
                        </w:rPr>
                      </w:pPr>
                      <w:r w:rsidRPr="00C40B61">
                        <w:rPr>
                          <w:rFonts w:ascii="Calibri" w:hAnsi="Calibri"/>
                          <w:color w:val="FFFFFF"/>
                          <w:sz w:val="22"/>
                          <w:lang w:val="es-ES"/>
                        </w:rPr>
                        <w:t xml:space="preserve">Original: </w:t>
                      </w:r>
                      <w:r w:rsidR="00C40B61" w:rsidRPr="00C40B61">
                        <w:rPr>
                          <w:rFonts w:ascii="Calibri" w:hAnsi="Calibri"/>
                          <w:color w:val="FFFFFF"/>
                          <w:sz w:val="22"/>
                          <w:lang w:val="es-ES"/>
                        </w:rPr>
                        <w:t>E</w:t>
                      </w:r>
                      <w:r w:rsidRPr="00C40B61">
                        <w:rPr>
                          <w:rFonts w:ascii="Calibri" w:hAnsi="Calibri"/>
                          <w:color w:val="FFFFFF"/>
                          <w:sz w:val="22"/>
                          <w:lang w:val="es-ES"/>
                        </w:rPr>
                        <w:t>spañol</w:t>
                      </w:r>
                    </w:p>
                  </w:txbxContent>
                </v:textbox>
              </v:shape>
            </w:pict>
          </mc:Fallback>
        </mc:AlternateContent>
      </w: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cs="Arial"/>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5128E4" w:rsidRPr="00C05D06" w:rsidRDefault="005128E4"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5128E4" w:rsidRPr="00C05D06" w:rsidRDefault="005128E4" w:rsidP="007B3C6B">
      <w:pPr>
        <w:tabs>
          <w:tab w:val="left" w:pos="1440"/>
          <w:tab w:val="center" w:pos="5400"/>
        </w:tabs>
        <w:suppressAutoHyphens/>
        <w:ind w:firstLine="720"/>
        <w:jc w:val="center"/>
        <w:rPr>
          <w:rFonts w:ascii="Cambria" w:hAnsi="Cambria"/>
          <w:sz w:val="20"/>
          <w:szCs w:val="20"/>
          <w:lang w:val="es-ES_tradnl"/>
        </w:rPr>
      </w:pPr>
    </w:p>
    <w:p w:rsidR="005128E4" w:rsidRPr="00C05D06" w:rsidRDefault="005128E4" w:rsidP="007B3C6B">
      <w:pPr>
        <w:tabs>
          <w:tab w:val="left" w:pos="1440"/>
          <w:tab w:val="center" w:pos="5400"/>
        </w:tabs>
        <w:suppressAutoHyphens/>
        <w:ind w:firstLine="720"/>
        <w:jc w:val="center"/>
        <w:rPr>
          <w:rFonts w:ascii="Cambria" w:hAnsi="Cambria"/>
          <w:sz w:val="20"/>
          <w:szCs w:val="20"/>
          <w:lang w:val="es-ES_tradnl"/>
        </w:rPr>
      </w:pPr>
    </w:p>
    <w:p w:rsidR="005128E4" w:rsidRPr="00C05D06" w:rsidRDefault="005128E4"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040C3A" w:rsidRPr="00C05D06" w:rsidRDefault="00040C3A"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935AD7" w:rsidP="007B3C6B">
      <w:pPr>
        <w:tabs>
          <w:tab w:val="left" w:pos="1440"/>
          <w:tab w:val="center" w:pos="5400"/>
        </w:tabs>
        <w:suppressAutoHyphens/>
        <w:ind w:firstLine="720"/>
        <w:jc w:val="center"/>
        <w:rPr>
          <w:rFonts w:ascii="Cambria" w:hAnsi="Cambria"/>
          <w:sz w:val="20"/>
          <w:szCs w:val="20"/>
          <w:lang w:val="es-ES_tradnl"/>
        </w:rPr>
      </w:pPr>
      <w:r>
        <w:rPr>
          <w:noProof/>
        </w:rPr>
        <mc:AlternateContent>
          <mc:Choice Requires="wps">
            <w:drawing>
              <wp:anchor distT="0" distB="0" distL="114300" distR="114300" simplePos="0" relativeHeight="251656704"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6A3859" w:rsidRPr="00C05D06" w:rsidRDefault="006A3859" w:rsidP="00247403">
                            <w:pPr>
                              <w:tabs>
                                <w:tab w:val="center" w:pos="5400"/>
                              </w:tabs>
                              <w:suppressAutoHyphens/>
                              <w:spacing w:before="60"/>
                              <w:rPr>
                                <w:rFonts w:ascii="Calibri" w:hAnsi="Calibri" w:cs="Univers"/>
                                <w:color w:val="0D0D0D"/>
                                <w:sz w:val="20"/>
                                <w:szCs w:val="20"/>
                                <w:lang w:val="es-ES"/>
                              </w:rPr>
                            </w:pPr>
                            <w:r w:rsidRPr="00C05D06">
                              <w:rPr>
                                <w:rFonts w:ascii="Cambria" w:hAnsi="Cambria"/>
                                <w:color w:val="0D0D0D"/>
                                <w:sz w:val="18"/>
                                <w:szCs w:val="20"/>
                                <w:lang w:val="es-ES"/>
                              </w:rPr>
                              <w:t xml:space="preserve">Aprobado </w:t>
                            </w:r>
                            <w:r w:rsidR="00360085">
                              <w:rPr>
                                <w:rFonts w:ascii="Cambria" w:hAnsi="Cambria"/>
                                <w:color w:val="0D0D0D"/>
                                <w:sz w:val="18"/>
                                <w:szCs w:val="20"/>
                                <w:lang w:val="es-ES"/>
                              </w:rPr>
                              <w:t xml:space="preserve">electrónicamente </w:t>
                            </w:r>
                            <w:r w:rsidRPr="00C05D06">
                              <w:rPr>
                                <w:rFonts w:ascii="Cambria" w:hAnsi="Cambria"/>
                                <w:color w:val="0D0D0D"/>
                                <w:sz w:val="18"/>
                                <w:szCs w:val="20"/>
                                <w:lang w:val="es-ES"/>
                              </w:rPr>
                              <w:t xml:space="preserve">por la Comisión </w:t>
                            </w:r>
                            <w:r w:rsidR="00360085">
                              <w:rPr>
                                <w:rFonts w:ascii="Cambria" w:hAnsi="Cambria"/>
                                <w:color w:val="0D0D0D"/>
                                <w:sz w:val="18"/>
                                <w:szCs w:val="20"/>
                                <w:lang w:val="es-ES"/>
                              </w:rPr>
                              <w:t>el 14 de junio de 2019</w:t>
                            </w:r>
                            <w:r w:rsidR="007033A8">
                              <w:rPr>
                                <w:rFonts w:ascii="Cambria" w:hAnsi="Cambria"/>
                                <w:color w:val="0D0D0D"/>
                                <w:sz w:val="18"/>
                                <w:szCs w:val="20"/>
                                <w:lang w:val="es-ES"/>
                              </w:rPr>
                              <w:t>.</w:t>
                            </w:r>
                            <w:r w:rsidRPr="00C05D06">
                              <w:rPr>
                                <w:rFonts w:ascii="Cambria" w:hAnsi="Cambria"/>
                                <w:color w:val="0D0D0D"/>
                                <w:sz w:val="18"/>
                                <w:szCs w:val="20"/>
                                <w:lang w:val="es-ES"/>
                              </w:rPr>
                              <w:br/>
                            </w:r>
                          </w:p>
                          <w:p w:rsidR="006A3859" w:rsidRPr="00C05D06" w:rsidRDefault="006A3859"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6A3859" w:rsidRPr="00C05D06" w:rsidRDefault="006A3859" w:rsidP="00247403">
                      <w:pPr>
                        <w:tabs>
                          <w:tab w:val="center" w:pos="5400"/>
                        </w:tabs>
                        <w:suppressAutoHyphens/>
                        <w:spacing w:before="60"/>
                        <w:rPr>
                          <w:rFonts w:ascii="Calibri" w:hAnsi="Calibri" w:cs="Univers"/>
                          <w:color w:val="0D0D0D"/>
                          <w:sz w:val="20"/>
                          <w:szCs w:val="20"/>
                          <w:lang w:val="es-ES"/>
                        </w:rPr>
                      </w:pPr>
                      <w:r w:rsidRPr="00C05D06">
                        <w:rPr>
                          <w:rFonts w:ascii="Cambria" w:hAnsi="Cambria"/>
                          <w:color w:val="0D0D0D"/>
                          <w:sz w:val="18"/>
                          <w:szCs w:val="20"/>
                          <w:lang w:val="es-ES"/>
                        </w:rPr>
                        <w:t xml:space="preserve">Aprobado </w:t>
                      </w:r>
                      <w:r w:rsidR="00360085">
                        <w:rPr>
                          <w:rFonts w:ascii="Cambria" w:hAnsi="Cambria"/>
                          <w:color w:val="0D0D0D"/>
                          <w:sz w:val="18"/>
                          <w:szCs w:val="20"/>
                          <w:lang w:val="es-ES"/>
                        </w:rPr>
                        <w:t xml:space="preserve">electrónicamente </w:t>
                      </w:r>
                      <w:r w:rsidRPr="00C05D06">
                        <w:rPr>
                          <w:rFonts w:ascii="Cambria" w:hAnsi="Cambria"/>
                          <w:color w:val="0D0D0D"/>
                          <w:sz w:val="18"/>
                          <w:szCs w:val="20"/>
                          <w:lang w:val="es-ES"/>
                        </w:rPr>
                        <w:t xml:space="preserve">por la Comisión </w:t>
                      </w:r>
                      <w:r w:rsidR="00360085">
                        <w:rPr>
                          <w:rFonts w:ascii="Cambria" w:hAnsi="Cambria"/>
                          <w:color w:val="0D0D0D"/>
                          <w:sz w:val="18"/>
                          <w:szCs w:val="20"/>
                          <w:lang w:val="es-ES"/>
                        </w:rPr>
                        <w:t>el 14 de junio de 2019</w:t>
                      </w:r>
                      <w:r w:rsidR="007033A8">
                        <w:rPr>
                          <w:rFonts w:ascii="Cambria" w:hAnsi="Cambria"/>
                          <w:color w:val="0D0D0D"/>
                          <w:sz w:val="18"/>
                          <w:szCs w:val="20"/>
                          <w:lang w:val="es-ES"/>
                        </w:rPr>
                        <w:t>.</w:t>
                      </w:r>
                      <w:r w:rsidRPr="00C05D06">
                        <w:rPr>
                          <w:rFonts w:ascii="Cambria" w:hAnsi="Cambria"/>
                          <w:color w:val="0D0D0D"/>
                          <w:sz w:val="18"/>
                          <w:szCs w:val="20"/>
                          <w:lang w:val="es-ES"/>
                        </w:rPr>
                        <w:br/>
                      </w:r>
                    </w:p>
                    <w:p w:rsidR="006A3859" w:rsidRPr="00C05D06" w:rsidRDefault="006A3859"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A50FCF" w:rsidRPr="00C05D06" w:rsidRDefault="00935AD7" w:rsidP="007B3C6B">
      <w:pPr>
        <w:tabs>
          <w:tab w:val="left" w:pos="1440"/>
          <w:tab w:val="center" w:pos="5400"/>
        </w:tabs>
        <w:suppressAutoHyphens/>
        <w:ind w:firstLine="720"/>
        <w:jc w:val="center"/>
        <w:rPr>
          <w:rFonts w:ascii="Cambria" w:hAnsi="Cambria"/>
          <w:sz w:val="20"/>
          <w:szCs w:val="20"/>
          <w:lang w:val="es-ES_tradnl"/>
        </w:rPr>
      </w:pPr>
      <w:r>
        <w:rPr>
          <w:noProof/>
        </w:rPr>
        <mc:AlternateContent>
          <mc:Choice Requires="wps">
            <w:drawing>
              <wp:anchor distT="0" distB="0" distL="114300" distR="114300" simplePos="0" relativeHeight="251659776"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6A3859" w:rsidRPr="00C05D06" w:rsidRDefault="006A3859" w:rsidP="00113F73">
                            <w:pPr>
                              <w:spacing w:line="276" w:lineRule="auto"/>
                              <w:rPr>
                                <w:rFonts w:ascii="Cambria" w:hAnsi="Cambria"/>
                                <w:color w:val="595959"/>
                                <w:sz w:val="18"/>
                                <w:szCs w:val="18"/>
                                <w:lang w:val="es-CR"/>
                              </w:rPr>
                            </w:pPr>
                            <w:r w:rsidRPr="00E935B6">
                              <w:rPr>
                                <w:rFonts w:ascii="Cambria" w:hAnsi="Cambria"/>
                                <w:b/>
                                <w:color w:val="595959"/>
                                <w:sz w:val="18"/>
                                <w:szCs w:val="18"/>
                                <w:lang w:val="es-ES"/>
                              </w:rPr>
                              <w:t>Citar como:</w:t>
                            </w:r>
                            <w:r w:rsidR="00360085">
                              <w:rPr>
                                <w:rFonts w:ascii="Cambria" w:hAnsi="Cambria"/>
                                <w:color w:val="595959"/>
                                <w:sz w:val="18"/>
                                <w:szCs w:val="18"/>
                                <w:lang w:val="es-ES"/>
                              </w:rPr>
                              <w:t xml:space="preserve"> CIDH.</w:t>
                            </w:r>
                            <w:r w:rsidRPr="00E935B6">
                              <w:rPr>
                                <w:rFonts w:ascii="Cambria" w:hAnsi="Cambria"/>
                                <w:color w:val="595959"/>
                                <w:sz w:val="18"/>
                                <w:szCs w:val="18"/>
                                <w:lang w:val="es-ES"/>
                              </w:rPr>
                              <w:t xml:space="preserve"> Informe No. </w:t>
                            </w:r>
                            <w:r w:rsidR="00360085">
                              <w:rPr>
                                <w:rFonts w:ascii="Cambria" w:hAnsi="Cambria"/>
                                <w:color w:val="595959"/>
                                <w:sz w:val="18"/>
                                <w:szCs w:val="18"/>
                                <w:lang w:val="es-ES"/>
                              </w:rPr>
                              <w:t>92</w:t>
                            </w:r>
                            <w:r w:rsidR="00C40B61" w:rsidRPr="00E935B6">
                              <w:rPr>
                                <w:rFonts w:ascii="Cambria" w:hAnsi="Cambria"/>
                                <w:color w:val="595959"/>
                                <w:sz w:val="18"/>
                                <w:szCs w:val="18"/>
                                <w:lang w:val="es-ES"/>
                              </w:rPr>
                              <w:t>/1</w:t>
                            </w:r>
                            <w:r w:rsidR="00982ABB">
                              <w:rPr>
                                <w:rFonts w:ascii="Cambria" w:hAnsi="Cambria"/>
                                <w:color w:val="595959"/>
                                <w:sz w:val="18"/>
                                <w:szCs w:val="18"/>
                                <w:lang w:val="es-ES"/>
                              </w:rPr>
                              <w:t>9</w:t>
                            </w:r>
                            <w:r w:rsidR="00360085">
                              <w:rPr>
                                <w:rFonts w:ascii="Cambria" w:hAnsi="Cambria"/>
                                <w:color w:val="595959"/>
                                <w:sz w:val="18"/>
                                <w:szCs w:val="18"/>
                                <w:lang w:val="es-ES"/>
                              </w:rPr>
                              <w:t>.</w:t>
                            </w:r>
                            <w:r w:rsidRPr="00E935B6">
                              <w:rPr>
                                <w:rFonts w:ascii="Cambria" w:hAnsi="Cambria"/>
                                <w:color w:val="595959"/>
                                <w:sz w:val="18"/>
                                <w:szCs w:val="18"/>
                                <w:lang w:val="es-ES"/>
                              </w:rPr>
                              <w:t xml:space="preserve"> Caso </w:t>
                            </w:r>
                            <w:r w:rsidR="00360085">
                              <w:rPr>
                                <w:rFonts w:ascii="Cambria" w:hAnsi="Cambria"/>
                                <w:color w:val="595959"/>
                                <w:sz w:val="18"/>
                                <w:szCs w:val="18"/>
                                <w:lang w:val="es-ES"/>
                              </w:rPr>
                              <w:t>11.624.</w:t>
                            </w:r>
                            <w:r w:rsidRPr="00E935B6">
                              <w:rPr>
                                <w:rFonts w:ascii="Cambria" w:hAnsi="Cambria"/>
                                <w:color w:val="595959"/>
                                <w:sz w:val="18"/>
                                <w:szCs w:val="18"/>
                                <w:lang w:val="es-ES"/>
                              </w:rPr>
                              <w:t xml:space="preserve"> </w:t>
                            </w:r>
                            <w:r w:rsidR="00C40B61">
                              <w:rPr>
                                <w:rFonts w:ascii="Cambria" w:hAnsi="Cambria"/>
                                <w:color w:val="595959"/>
                                <w:sz w:val="18"/>
                                <w:szCs w:val="18"/>
                                <w:lang w:val="es-ES_tradnl"/>
                              </w:rPr>
                              <w:t>Admisibilidad y Fondo</w:t>
                            </w:r>
                            <w:r w:rsidR="00982DD0">
                              <w:rPr>
                                <w:rFonts w:ascii="Cambria" w:hAnsi="Cambria"/>
                                <w:color w:val="595959"/>
                                <w:sz w:val="18"/>
                                <w:szCs w:val="18"/>
                                <w:lang w:val="es-ES_tradnl"/>
                              </w:rPr>
                              <w:t xml:space="preserve"> (</w:t>
                            </w:r>
                            <w:r w:rsidR="00360085">
                              <w:rPr>
                                <w:rFonts w:ascii="Cambria" w:hAnsi="Cambria"/>
                                <w:color w:val="595959"/>
                                <w:sz w:val="18"/>
                                <w:szCs w:val="18"/>
                                <w:lang w:val="es-ES_tradnl"/>
                              </w:rPr>
                              <w:t>Publicación). Jorge Darwin García y familia.</w:t>
                            </w:r>
                            <w:r w:rsidRPr="00C05D06">
                              <w:rPr>
                                <w:rFonts w:ascii="Cambria" w:hAnsi="Cambria"/>
                                <w:color w:val="595959"/>
                                <w:sz w:val="18"/>
                                <w:szCs w:val="18"/>
                                <w:lang w:val="es-ES_tradnl"/>
                              </w:rPr>
                              <w:t xml:space="preserve"> Ecuador</w:t>
                            </w:r>
                            <w:r w:rsidR="00360085">
                              <w:rPr>
                                <w:rFonts w:ascii="Cambria" w:hAnsi="Cambria"/>
                                <w:color w:val="595959"/>
                                <w:sz w:val="18"/>
                                <w:szCs w:val="18"/>
                                <w:lang w:val="es-ES_tradnl"/>
                              </w:rPr>
                              <w:t>. 14 de junio de 2019</w:t>
                            </w:r>
                            <w:r w:rsidR="00B86863">
                              <w:rPr>
                                <w:rFonts w:ascii="Cambria" w:hAnsi="Cambria"/>
                                <w:color w:val="595959"/>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6A3859" w:rsidRPr="00C05D06" w:rsidRDefault="006A3859" w:rsidP="00113F73">
                      <w:pPr>
                        <w:spacing w:line="276" w:lineRule="auto"/>
                        <w:rPr>
                          <w:rFonts w:ascii="Cambria" w:hAnsi="Cambria"/>
                          <w:color w:val="595959"/>
                          <w:sz w:val="18"/>
                          <w:szCs w:val="18"/>
                          <w:lang w:val="es-CR"/>
                        </w:rPr>
                      </w:pPr>
                      <w:r w:rsidRPr="00E935B6">
                        <w:rPr>
                          <w:rFonts w:ascii="Cambria" w:hAnsi="Cambria"/>
                          <w:b/>
                          <w:color w:val="595959"/>
                          <w:sz w:val="18"/>
                          <w:szCs w:val="18"/>
                          <w:lang w:val="es-ES"/>
                        </w:rPr>
                        <w:t>Citar como:</w:t>
                      </w:r>
                      <w:r w:rsidR="00360085">
                        <w:rPr>
                          <w:rFonts w:ascii="Cambria" w:hAnsi="Cambria"/>
                          <w:color w:val="595959"/>
                          <w:sz w:val="18"/>
                          <w:szCs w:val="18"/>
                          <w:lang w:val="es-ES"/>
                        </w:rPr>
                        <w:t xml:space="preserve"> CIDH.</w:t>
                      </w:r>
                      <w:r w:rsidRPr="00E935B6">
                        <w:rPr>
                          <w:rFonts w:ascii="Cambria" w:hAnsi="Cambria"/>
                          <w:color w:val="595959"/>
                          <w:sz w:val="18"/>
                          <w:szCs w:val="18"/>
                          <w:lang w:val="es-ES"/>
                        </w:rPr>
                        <w:t xml:space="preserve"> Informe No. </w:t>
                      </w:r>
                      <w:r w:rsidR="00360085">
                        <w:rPr>
                          <w:rFonts w:ascii="Cambria" w:hAnsi="Cambria"/>
                          <w:color w:val="595959"/>
                          <w:sz w:val="18"/>
                          <w:szCs w:val="18"/>
                          <w:lang w:val="es-ES"/>
                        </w:rPr>
                        <w:t>92</w:t>
                      </w:r>
                      <w:r w:rsidR="00C40B61" w:rsidRPr="00E935B6">
                        <w:rPr>
                          <w:rFonts w:ascii="Cambria" w:hAnsi="Cambria"/>
                          <w:color w:val="595959"/>
                          <w:sz w:val="18"/>
                          <w:szCs w:val="18"/>
                          <w:lang w:val="es-ES"/>
                        </w:rPr>
                        <w:t>/1</w:t>
                      </w:r>
                      <w:r w:rsidR="00982ABB">
                        <w:rPr>
                          <w:rFonts w:ascii="Cambria" w:hAnsi="Cambria"/>
                          <w:color w:val="595959"/>
                          <w:sz w:val="18"/>
                          <w:szCs w:val="18"/>
                          <w:lang w:val="es-ES"/>
                        </w:rPr>
                        <w:t>9</w:t>
                      </w:r>
                      <w:r w:rsidR="00360085">
                        <w:rPr>
                          <w:rFonts w:ascii="Cambria" w:hAnsi="Cambria"/>
                          <w:color w:val="595959"/>
                          <w:sz w:val="18"/>
                          <w:szCs w:val="18"/>
                          <w:lang w:val="es-ES"/>
                        </w:rPr>
                        <w:t>.</w:t>
                      </w:r>
                      <w:r w:rsidRPr="00E935B6">
                        <w:rPr>
                          <w:rFonts w:ascii="Cambria" w:hAnsi="Cambria"/>
                          <w:color w:val="595959"/>
                          <w:sz w:val="18"/>
                          <w:szCs w:val="18"/>
                          <w:lang w:val="es-ES"/>
                        </w:rPr>
                        <w:t xml:space="preserve"> Caso </w:t>
                      </w:r>
                      <w:r w:rsidR="00360085">
                        <w:rPr>
                          <w:rFonts w:ascii="Cambria" w:hAnsi="Cambria"/>
                          <w:color w:val="595959"/>
                          <w:sz w:val="18"/>
                          <w:szCs w:val="18"/>
                          <w:lang w:val="es-ES"/>
                        </w:rPr>
                        <w:t>11.624.</w:t>
                      </w:r>
                      <w:r w:rsidRPr="00E935B6">
                        <w:rPr>
                          <w:rFonts w:ascii="Cambria" w:hAnsi="Cambria"/>
                          <w:color w:val="595959"/>
                          <w:sz w:val="18"/>
                          <w:szCs w:val="18"/>
                          <w:lang w:val="es-ES"/>
                        </w:rPr>
                        <w:t xml:space="preserve"> </w:t>
                      </w:r>
                      <w:r w:rsidR="00C40B61">
                        <w:rPr>
                          <w:rFonts w:ascii="Cambria" w:hAnsi="Cambria"/>
                          <w:color w:val="595959"/>
                          <w:sz w:val="18"/>
                          <w:szCs w:val="18"/>
                          <w:lang w:val="es-ES_tradnl"/>
                        </w:rPr>
                        <w:t>Admisibilidad y Fondo</w:t>
                      </w:r>
                      <w:r w:rsidR="00982DD0">
                        <w:rPr>
                          <w:rFonts w:ascii="Cambria" w:hAnsi="Cambria"/>
                          <w:color w:val="595959"/>
                          <w:sz w:val="18"/>
                          <w:szCs w:val="18"/>
                          <w:lang w:val="es-ES_tradnl"/>
                        </w:rPr>
                        <w:t xml:space="preserve"> (</w:t>
                      </w:r>
                      <w:r w:rsidR="00360085">
                        <w:rPr>
                          <w:rFonts w:ascii="Cambria" w:hAnsi="Cambria"/>
                          <w:color w:val="595959"/>
                          <w:sz w:val="18"/>
                          <w:szCs w:val="18"/>
                          <w:lang w:val="es-ES_tradnl"/>
                        </w:rPr>
                        <w:t>Publicación). Jorge Darwin García y familia.</w:t>
                      </w:r>
                      <w:r w:rsidRPr="00C05D06">
                        <w:rPr>
                          <w:rFonts w:ascii="Cambria" w:hAnsi="Cambria"/>
                          <w:color w:val="595959"/>
                          <w:sz w:val="18"/>
                          <w:szCs w:val="18"/>
                          <w:lang w:val="es-ES_tradnl"/>
                        </w:rPr>
                        <w:t xml:space="preserve"> Ecuador</w:t>
                      </w:r>
                      <w:r w:rsidR="00360085">
                        <w:rPr>
                          <w:rFonts w:ascii="Cambria" w:hAnsi="Cambria"/>
                          <w:color w:val="595959"/>
                          <w:sz w:val="18"/>
                          <w:szCs w:val="18"/>
                          <w:lang w:val="es-ES_tradnl"/>
                        </w:rPr>
                        <w:t>. 14 de junio de 2019</w:t>
                      </w:r>
                      <w:r w:rsidR="00B86863">
                        <w:rPr>
                          <w:rFonts w:ascii="Cambria" w:hAnsi="Cambria"/>
                          <w:color w:val="595959"/>
                          <w:sz w:val="18"/>
                          <w:szCs w:val="18"/>
                          <w:lang w:val="es-ES_tradnl"/>
                        </w:rPr>
                        <w:t>.</w:t>
                      </w:r>
                    </w:p>
                  </w:txbxContent>
                </v:textbox>
              </v:shape>
            </w:pict>
          </mc:Fallback>
        </mc:AlternateContent>
      </w:r>
    </w:p>
    <w:p w:rsidR="00A50FCF" w:rsidRPr="00C05D06" w:rsidRDefault="00A50FCF" w:rsidP="007B3C6B">
      <w:pPr>
        <w:tabs>
          <w:tab w:val="left" w:pos="1440"/>
          <w:tab w:val="center" w:pos="5400"/>
        </w:tabs>
        <w:suppressAutoHyphens/>
        <w:ind w:firstLine="720"/>
        <w:jc w:val="center"/>
        <w:rPr>
          <w:rFonts w:ascii="Cambria" w:hAnsi="Cambria"/>
          <w:sz w:val="20"/>
          <w:szCs w:val="20"/>
          <w:lang w:val="es-ES_tradnl"/>
        </w:rPr>
      </w:pPr>
    </w:p>
    <w:p w:rsidR="00360085" w:rsidRDefault="00360085" w:rsidP="007B3C6B">
      <w:pPr>
        <w:tabs>
          <w:tab w:val="left" w:pos="1440"/>
          <w:tab w:val="center" w:pos="5400"/>
        </w:tabs>
        <w:suppressAutoHyphens/>
        <w:ind w:firstLine="720"/>
        <w:jc w:val="center"/>
        <w:rPr>
          <w:rFonts w:ascii="Cambria" w:hAnsi="Cambria"/>
          <w:b/>
          <w:sz w:val="20"/>
          <w:szCs w:val="20"/>
          <w:lang w:val="es-ES_tradnl"/>
        </w:rPr>
      </w:pPr>
    </w:p>
    <w:p w:rsidR="00360085" w:rsidRDefault="00360085" w:rsidP="007B3C6B">
      <w:pPr>
        <w:tabs>
          <w:tab w:val="left" w:pos="1440"/>
          <w:tab w:val="center" w:pos="5400"/>
        </w:tabs>
        <w:suppressAutoHyphens/>
        <w:ind w:firstLine="720"/>
        <w:jc w:val="center"/>
        <w:rPr>
          <w:noProof/>
          <w:color w:val="FFFFFF"/>
          <w:lang w:val="es-ES" w:eastAsia="es-ES"/>
        </w:rPr>
      </w:pPr>
    </w:p>
    <w:p w:rsidR="00360085" w:rsidRDefault="00360085" w:rsidP="00360085">
      <w:pPr>
        <w:tabs>
          <w:tab w:val="left" w:pos="1440"/>
          <w:tab w:val="left" w:pos="2250"/>
          <w:tab w:val="center" w:pos="5400"/>
        </w:tabs>
        <w:suppressAutoHyphens/>
        <w:ind w:firstLine="2250"/>
        <w:rPr>
          <w:noProof/>
          <w:color w:val="FFFFFF"/>
          <w:lang w:val="es-ES" w:eastAsia="es-ES"/>
        </w:rPr>
      </w:pPr>
    </w:p>
    <w:p w:rsidR="0070697F" w:rsidRDefault="00935AD7" w:rsidP="00360085">
      <w:pPr>
        <w:tabs>
          <w:tab w:val="left" w:pos="1440"/>
          <w:tab w:val="left" w:pos="2250"/>
          <w:tab w:val="center" w:pos="5400"/>
        </w:tabs>
        <w:suppressAutoHyphens/>
        <w:ind w:firstLine="2250"/>
        <w:rPr>
          <w:rFonts w:ascii="Cambria" w:hAnsi="Cambria"/>
          <w:b/>
          <w:sz w:val="20"/>
          <w:szCs w:val="20"/>
          <w:lang w:val="es-ES_tradnl"/>
        </w:rPr>
      </w:pPr>
      <w:r>
        <w:rPr>
          <w:noProof/>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94615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6A3859" w:rsidRPr="00C05D06" w:rsidRDefault="006A3859" w:rsidP="00D306D1">
                            <w:pPr>
                              <w:jc w:val="center"/>
                              <w:rPr>
                                <w:rFonts w:ascii="Calibri" w:hAnsi="Calibri"/>
                                <w:b/>
                                <w:color w:val="FFFFFF"/>
                              </w:rPr>
                            </w:pPr>
                            <w:r w:rsidRPr="00C05D06">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1.45pt;margin-top:7.4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" filled="f" stroked="f" strokeweight=".5pt">
                <v:path arrowok="t"/>
                <v:textbox>
                  <w:txbxContent>
                    <w:p w:rsidR="006A3859" w:rsidRPr="00C05D06" w:rsidRDefault="006A3859" w:rsidP="00D306D1">
                      <w:pPr>
                        <w:jc w:val="center"/>
                        <w:rPr>
                          <w:rFonts w:ascii="Calibri" w:hAnsi="Calibri"/>
                          <w:b/>
                          <w:color w:val="FFFFFF"/>
                        </w:rPr>
                      </w:pPr>
                      <w:r w:rsidRPr="00C05D06">
                        <w:rPr>
                          <w:rFonts w:ascii="Calibri" w:hAnsi="Calibri"/>
                          <w:b/>
                          <w:color w:val="FFFFFF"/>
                          <w:lang w:val="pt-BR"/>
                        </w:rPr>
                        <w:t>www.cidh.org</w:t>
                      </w:r>
                    </w:p>
                  </w:txbxContent>
                </v:textbox>
              </v:shape>
            </w:pict>
          </mc:Fallback>
        </mc:AlternateContent>
      </w:r>
      <w:r w:rsidRPr="00360085">
        <w:rPr>
          <w:noProof/>
          <w:color w:val="FFFFFF"/>
        </w:rPr>
        <w:drawing>
          <wp:inline distT="0" distB="0" distL="0" distR="0">
            <wp:extent cx="16478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p>
    <w:p w:rsidR="00360085" w:rsidRPr="00C05D06" w:rsidRDefault="00360085" w:rsidP="007B3C6B">
      <w:pPr>
        <w:tabs>
          <w:tab w:val="left" w:pos="1440"/>
          <w:tab w:val="center" w:pos="5400"/>
        </w:tabs>
        <w:suppressAutoHyphens/>
        <w:ind w:firstLine="720"/>
        <w:jc w:val="center"/>
        <w:rPr>
          <w:rFonts w:ascii="Cambria" w:hAnsi="Cambria"/>
          <w:b/>
          <w:sz w:val="20"/>
          <w:szCs w:val="20"/>
          <w:lang w:val="es-ES_tradnl"/>
        </w:rPr>
        <w:sectPr w:rsidR="00360085" w:rsidRPr="00C05D0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722C9F" w:rsidRPr="00C05D06" w:rsidRDefault="00722C9F" w:rsidP="00360085">
      <w:pPr>
        <w:tabs>
          <w:tab w:val="left" w:pos="1440"/>
          <w:tab w:val="center" w:pos="5400"/>
        </w:tabs>
        <w:suppressAutoHyphens/>
        <w:spacing w:line="276" w:lineRule="auto"/>
        <w:rPr>
          <w:rFonts w:ascii="Cambria" w:hAnsi="Cambria"/>
          <w:sz w:val="20"/>
          <w:szCs w:val="20"/>
          <w:lang w:val="es-ES_tradnl"/>
        </w:rPr>
      </w:pPr>
    </w:p>
    <w:p w:rsidR="00722C9F" w:rsidRPr="007033A8" w:rsidRDefault="00722C9F" w:rsidP="00982DD0">
      <w:pPr>
        <w:tabs>
          <w:tab w:val="left" w:pos="1440"/>
          <w:tab w:val="center" w:pos="5400"/>
        </w:tabs>
        <w:suppressAutoHyphens/>
        <w:spacing w:line="276" w:lineRule="auto"/>
        <w:ind w:firstLine="720"/>
        <w:jc w:val="center"/>
        <w:rPr>
          <w:rFonts w:ascii="Cambria" w:hAnsi="Cambria"/>
          <w:b/>
          <w:szCs w:val="20"/>
          <w:lang w:val="es-ES_tradnl"/>
        </w:rPr>
      </w:pPr>
      <w:r w:rsidRPr="007033A8">
        <w:rPr>
          <w:rFonts w:ascii="Cambria" w:hAnsi="Cambria"/>
          <w:b/>
          <w:szCs w:val="20"/>
          <w:lang w:val="es-ES_tradnl"/>
        </w:rPr>
        <w:t>ÍNDICE</w:t>
      </w:r>
    </w:p>
    <w:p w:rsidR="008D768D" w:rsidRPr="00752CD0" w:rsidRDefault="008D768D" w:rsidP="00E50AA8">
      <w:pPr>
        <w:tabs>
          <w:tab w:val="left" w:pos="1440"/>
          <w:tab w:val="center" w:pos="5400"/>
        </w:tabs>
        <w:suppressAutoHyphens/>
        <w:spacing w:line="276" w:lineRule="auto"/>
        <w:rPr>
          <w:rFonts w:ascii="Cambria" w:hAnsi="Cambria"/>
          <w:sz w:val="20"/>
          <w:szCs w:val="20"/>
          <w:lang w:val="es-ES_tradnl"/>
        </w:rPr>
      </w:pPr>
    </w:p>
    <w:p w:rsidR="00D060AD" w:rsidRPr="00752CD0" w:rsidRDefault="00D060AD">
      <w:pPr>
        <w:pStyle w:val="TOC1"/>
        <w:rPr>
          <w:rFonts w:ascii="Cambria" w:eastAsia="Times New Roman" w:hAnsi="Cambria"/>
          <w:noProof/>
          <w:sz w:val="20"/>
          <w:szCs w:val="20"/>
          <w:bdr w:val="none" w:sz="0" w:space="0" w:color="auto"/>
          <w:lang w:val="es-ES" w:eastAsia="es-ES"/>
        </w:rPr>
      </w:pPr>
      <w:r w:rsidRPr="00752CD0">
        <w:rPr>
          <w:rFonts w:ascii="Cambria" w:hAnsi="Cambria"/>
          <w:sz w:val="20"/>
          <w:szCs w:val="20"/>
          <w:lang w:val="es-ES_tradnl"/>
        </w:rPr>
        <w:fldChar w:fldCharType="begin"/>
      </w:r>
      <w:r w:rsidRPr="00752CD0">
        <w:rPr>
          <w:rFonts w:ascii="Cambria" w:hAnsi="Cambria"/>
          <w:sz w:val="20"/>
          <w:szCs w:val="20"/>
          <w:lang w:val="es-ES_tradnl"/>
        </w:rPr>
        <w:instrText xml:space="preserve"> TOC \o "1-3" \h \z \u </w:instrText>
      </w:r>
      <w:r w:rsidRPr="00752CD0">
        <w:rPr>
          <w:rFonts w:ascii="Cambria" w:hAnsi="Cambria"/>
          <w:sz w:val="20"/>
          <w:szCs w:val="20"/>
          <w:lang w:val="es-ES_tradnl"/>
        </w:rPr>
        <w:fldChar w:fldCharType="separate"/>
      </w:r>
      <w:hyperlink w:anchor="_Toc529792384" w:history="1">
        <w:r w:rsidRPr="00937132">
          <w:rPr>
            <w:rStyle w:val="Hyperlink"/>
            <w:rFonts w:ascii="Cambria" w:hAnsi="Cambria"/>
            <w:b/>
            <w:noProof/>
            <w:sz w:val="20"/>
            <w:szCs w:val="20"/>
          </w:rPr>
          <w:t>I.</w:t>
        </w:r>
        <w:r w:rsidRPr="00937132">
          <w:rPr>
            <w:rFonts w:ascii="Cambria" w:eastAsia="Times New Roman" w:hAnsi="Cambria"/>
            <w:b/>
            <w:noProof/>
            <w:sz w:val="20"/>
            <w:szCs w:val="20"/>
            <w:bdr w:val="none" w:sz="0" w:space="0" w:color="auto"/>
            <w:lang w:val="es-ES" w:eastAsia="es-ES"/>
          </w:rPr>
          <w:tab/>
        </w:r>
        <w:r w:rsidRPr="00937132">
          <w:rPr>
            <w:rStyle w:val="Hyperlink"/>
            <w:rFonts w:ascii="Cambria" w:hAnsi="Cambria"/>
            <w:b/>
            <w:noProof/>
            <w:sz w:val="20"/>
            <w:szCs w:val="20"/>
          </w:rPr>
          <w:t>RESUMEN</w:t>
        </w:r>
        <w:r w:rsidRPr="00937132">
          <w:rPr>
            <w:rFonts w:ascii="Cambria" w:hAnsi="Cambria"/>
            <w:b/>
            <w:noProof/>
            <w:webHidden/>
            <w:sz w:val="20"/>
            <w:szCs w:val="20"/>
          </w:rPr>
          <w:tab/>
        </w:r>
        <w:r w:rsidRPr="00752CD0">
          <w:rPr>
            <w:rFonts w:ascii="Cambria" w:hAnsi="Cambria"/>
            <w:noProof/>
            <w:webHidden/>
            <w:sz w:val="20"/>
            <w:szCs w:val="20"/>
          </w:rPr>
          <w:fldChar w:fldCharType="begin"/>
        </w:r>
        <w:r w:rsidRPr="00752CD0">
          <w:rPr>
            <w:rFonts w:ascii="Cambria" w:hAnsi="Cambria"/>
            <w:noProof/>
            <w:webHidden/>
            <w:sz w:val="20"/>
            <w:szCs w:val="20"/>
          </w:rPr>
          <w:instrText xml:space="preserve"> PAGEREF _Toc529792384 \h </w:instrText>
        </w:r>
        <w:r w:rsidRPr="00752CD0">
          <w:rPr>
            <w:rFonts w:ascii="Cambria" w:hAnsi="Cambria"/>
            <w:noProof/>
            <w:webHidden/>
            <w:sz w:val="20"/>
            <w:szCs w:val="20"/>
          </w:rPr>
        </w:r>
        <w:r w:rsidRPr="00752CD0">
          <w:rPr>
            <w:rFonts w:ascii="Cambria" w:hAnsi="Cambria"/>
            <w:noProof/>
            <w:webHidden/>
            <w:sz w:val="20"/>
            <w:szCs w:val="20"/>
          </w:rPr>
          <w:fldChar w:fldCharType="separate"/>
        </w:r>
        <w:r w:rsidR="00B455EB">
          <w:rPr>
            <w:rFonts w:ascii="Cambria" w:hAnsi="Cambria"/>
            <w:noProof/>
            <w:webHidden/>
            <w:sz w:val="20"/>
            <w:szCs w:val="20"/>
          </w:rPr>
          <w:t>2</w:t>
        </w:r>
        <w:r w:rsidRPr="00752CD0">
          <w:rPr>
            <w:rFonts w:ascii="Cambria" w:hAnsi="Cambria"/>
            <w:noProof/>
            <w:webHidden/>
            <w:sz w:val="20"/>
            <w:szCs w:val="20"/>
          </w:rPr>
          <w:fldChar w:fldCharType="end"/>
        </w:r>
      </w:hyperlink>
    </w:p>
    <w:p w:rsidR="00D060AD" w:rsidRPr="00752CD0" w:rsidRDefault="00AA1C07">
      <w:pPr>
        <w:pStyle w:val="TOC1"/>
        <w:rPr>
          <w:rFonts w:ascii="Cambria" w:eastAsia="Times New Roman" w:hAnsi="Cambria"/>
          <w:noProof/>
          <w:sz w:val="20"/>
          <w:szCs w:val="20"/>
          <w:bdr w:val="none" w:sz="0" w:space="0" w:color="auto"/>
          <w:lang w:val="es-ES" w:eastAsia="es-ES"/>
        </w:rPr>
      </w:pPr>
      <w:hyperlink w:anchor="_Toc529792385" w:history="1">
        <w:r w:rsidR="00D060AD" w:rsidRPr="00937132">
          <w:rPr>
            <w:rStyle w:val="Hyperlink"/>
            <w:rFonts w:ascii="Cambria" w:hAnsi="Cambria"/>
            <w:b/>
            <w:noProof/>
            <w:sz w:val="20"/>
            <w:szCs w:val="20"/>
          </w:rPr>
          <w:t>II.</w:t>
        </w:r>
        <w:r w:rsidR="00D060AD" w:rsidRPr="00937132">
          <w:rPr>
            <w:rFonts w:ascii="Cambria" w:eastAsia="Times New Roman" w:hAnsi="Cambria"/>
            <w:b/>
            <w:noProof/>
            <w:sz w:val="20"/>
            <w:szCs w:val="20"/>
            <w:bdr w:val="none" w:sz="0" w:space="0" w:color="auto"/>
            <w:lang w:val="es-ES" w:eastAsia="es-ES"/>
          </w:rPr>
          <w:tab/>
        </w:r>
        <w:r w:rsidR="00D060AD" w:rsidRPr="00937132">
          <w:rPr>
            <w:rStyle w:val="Hyperlink"/>
            <w:rFonts w:ascii="Cambria" w:hAnsi="Cambria"/>
            <w:b/>
            <w:noProof/>
            <w:sz w:val="20"/>
            <w:szCs w:val="20"/>
          </w:rPr>
          <w:t>TRÁMITE ANTE LA CIDH</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_Toc529792385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2</w:t>
        </w:r>
        <w:r w:rsidR="00D060AD" w:rsidRPr="00752CD0">
          <w:rPr>
            <w:rFonts w:ascii="Cambria" w:hAnsi="Cambria"/>
            <w:noProof/>
            <w:webHidden/>
            <w:sz w:val="20"/>
            <w:szCs w:val="20"/>
          </w:rPr>
          <w:fldChar w:fldCharType="end"/>
        </w:r>
      </w:hyperlink>
    </w:p>
    <w:p w:rsidR="00D060AD" w:rsidRPr="00752CD0" w:rsidRDefault="00AA1C07">
      <w:pPr>
        <w:pStyle w:val="TOC1"/>
        <w:rPr>
          <w:rFonts w:ascii="Cambria" w:eastAsia="Times New Roman" w:hAnsi="Cambria"/>
          <w:noProof/>
          <w:sz w:val="20"/>
          <w:szCs w:val="20"/>
          <w:bdr w:val="none" w:sz="0" w:space="0" w:color="auto"/>
          <w:lang w:val="es-ES" w:eastAsia="es-ES"/>
        </w:rPr>
      </w:pPr>
      <w:hyperlink w:anchor="_Toc529792386" w:history="1">
        <w:r w:rsidR="00D060AD" w:rsidRPr="00937132">
          <w:rPr>
            <w:rStyle w:val="Hyperlink"/>
            <w:rFonts w:ascii="Cambria" w:hAnsi="Cambria"/>
            <w:b/>
            <w:noProof/>
            <w:sz w:val="20"/>
            <w:szCs w:val="20"/>
          </w:rPr>
          <w:t>III.</w:t>
        </w:r>
        <w:r w:rsidR="00D060AD" w:rsidRPr="00937132">
          <w:rPr>
            <w:rFonts w:ascii="Cambria" w:eastAsia="Times New Roman" w:hAnsi="Cambria"/>
            <w:b/>
            <w:noProof/>
            <w:sz w:val="20"/>
            <w:szCs w:val="20"/>
            <w:bdr w:val="none" w:sz="0" w:space="0" w:color="auto"/>
            <w:lang w:val="es-ES" w:eastAsia="es-ES"/>
          </w:rPr>
          <w:tab/>
        </w:r>
        <w:r w:rsidR="00D060AD" w:rsidRPr="00937132">
          <w:rPr>
            <w:rStyle w:val="Hyperlink"/>
            <w:rFonts w:ascii="Cambria" w:hAnsi="Cambria"/>
            <w:b/>
            <w:noProof/>
            <w:sz w:val="20"/>
            <w:szCs w:val="20"/>
          </w:rPr>
          <w:t>POSICIÓN DE LAS PARTES</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_Toc529792386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3</w:t>
        </w:r>
        <w:r w:rsidR="00D060AD" w:rsidRPr="00752CD0">
          <w:rPr>
            <w:rFonts w:ascii="Cambria" w:hAnsi="Cambria"/>
            <w:noProof/>
            <w:webHidden/>
            <w:sz w:val="20"/>
            <w:szCs w:val="20"/>
          </w:rPr>
          <w:fldChar w:fldCharType="end"/>
        </w:r>
      </w:hyperlink>
    </w:p>
    <w:p w:rsidR="00D060AD" w:rsidRPr="00752CD0" w:rsidRDefault="00AA1C07">
      <w:pPr>
        <w:pStyle w:val="TOC2"/>
        <w:rPr>
          <w:rFonts w:eastAsia="Times New Roman"/>
          <w:bdr w:val="none" w:sz="0" w:space="0" w:color="auto"/>
          <w:lang w:val="es-ES" w:eastAsia="es-ES"/>
        </w:rPr>
      </w:pPr>
      <w:hyperlink w:anchor="_Toc529792387" w:history="1">
        <w:r w:rsidR="00D060AD" w:rsidRPr="00752CD0">
          <w:rPr>
            <w:rStyle w:val="Hyperlink"/>
          </w:rPr>
          <w:t>A.</w:t>
        </w:r>
        <w:r w:rsidR="00D060AD" w:rsidRPr="00752CD0">
          <w:rPr>
            <w:rFonts w:eastAsia="Times New Roman"/>
            <w:bdr w:val="none" w:sz="0" w:space="0" w:color="auto"/>
            <w:lang w:val="es-ES" w:eastAsia="es-ES"/>
          </w:rPr>
          <w:tab/>
        </w:r>
        <w:r w:rsidR="00D060AD" w:rsidRPr="00752CD0">
          <w:rPr>
            <w:rStyle w:val="Hyperlink"/>
          </w:rPr>
          <w:t>Posición de la peticionaria</w:t>
        </w:r>
        <w:r w:rsidR="00D060AD" w:rsidRPr="00752CD0">
          <w:rPr>
            <w:webHidden/>
          </w:rPr>
          <w:tab/>
        </w:r>
        <w:r w:rsidR="00D060AD" w:rsidRPr="00752CD0">
          <w:rPr>
            <w:webHidden/>
          </w:rPr>
          <w:fldChar w:fldCharType="begin"/>
        </w:r>
        <w:r w:rsidR="00D060AD" w:rsidRPr="00752CD0">
          <w:rPr>
            <w:webHidden/>
          </w:rPr>
          <w:instrText xml:space="preserve"> PAGEREF _Toc529792387 \h </w:instrText>
        </w:r>
        <w:r w:rsidR="00D060AD" w:rsidRPr="00752CD0">
          <w:rPr>
            <w:webHidden/>
          </w:rPr>
        </w:r>
        <w:r w:rsidR="00D060AD" w:rsidRPr="00752CD0">
          <w:rPr>
            <w:webHidden/>
          </w:rPr>
          <w:fldChar w:fldCharType="separate"/>
        </w:r>
        <w:r w:rsidR="00B455EB">
          <w:rPr>
            <w:webHidden/>
          </w:rPr>
          <w:t>3</w:t>
        </w:r>
        <w:r w:rsidR="00D060AD" w:rsidRPr="00752CD0">
          <w:rPr>
            <w:webHidden/>
          </w:rPr>
          <w:fldChar w:fldCharType="end"/>
        </w:r>
      </w:hyperlink>
    </w:p>
    <w:p w:rsidR="00D060AD" w:rsidRPr="00752CD0" w:rsidRDefault="00AA1C07">
      <w:pPr>
        <w:pStyle w:val="TOC2"/>
        <w:rPr>
          <w:rFonts w:eastAsia="Times New Roman"/>
          <w:bdr w:val="none" w:sz="0" w:space="0" w:color="auto"/>
          <w:lang w:val="es-ES" w:eastAsia="es-ES"/>
        </w:rPr>
      </w:pPr>
      <w:hyperlink w:anchor="_Toc529792388" w:history="1">
        <w:r w:rsidR="00D060AD" w:rsidRPr="00752CD0">
          <w:rPr>
            <w:rStyle w:val="Hyperlink"/>
          </w:rPr>
          <w:t>B.</w:t>
        </w:r>
        <w:r w:rsidR="00D060AD" w:rsidRPr="00752CD0">
          <w:rPr>
            <w:rFonts w:eastAsia="Times New Roman"/>
            <w:bdr w:val="none" w:sz="0" w:space="0" w:color="auto"/>
            <w:lang w:val="es-ES" w:eastAsia="es-ES"/>
          </w:rPr>
          <w:tab/>
        </w:r>
        <w:r w:rsidR="00D060AD" w:rsidRPr="00752CD0">
          <w:rPr>
            <w:rStyle w:val="Hyperlink"/>
          </w:rPr>
          <w:t>Posición del Estado</w:t>
        </w:r>
        <w:r w:rsidR="00D060AD" w:rsidRPr="00752CD0">
          <w:rPr>
            <w:webHidden/>
          </w:rPr>
          <w:tab/>
        </w:r>
        <w:r w:rsidR="00D060AD" w:rsidRPr="00752CD0">
          <w:rPr>
            <w:webHidden/>
          </w:rPr>
          <w:fldChar w:fldCharType="begin"/>
        </w:r>
        <w:r w:rsidR="00D060AD" w:rsidRPr="00752CD0">
          <w:rPr>
            <w:webHidden/>
          </w:rPr>
          <w:instrText xml:space="preserve"> PAGEREF _Toc529792388 \h </w:instrText>
        </w:r>
        <w:r w:rsidR="00D060AD" w:rsidRPr="00752CD0">
          <w:rPr>
            <w:webHidden/>
          </w:rPr>
        </w:r>
        <w:r w:rsidR="00D060AD" w:rsidRPr="00752CD0">
          <w:rPr>
            <w:webHidden/>
          </w:rPr>
          <w:fldChar w:fldCharType="separate"/>
        </w:r>
        <w:r w:rsidR="00B455EB">
          <w:rPr>
            <w:webHidden/>
          </w:rPr>
          <w:t>5</w:t>
        </w:r>
        <w:r w:rsidR="00D060AD" w:rsidRPr="00752CD0">
          <w:rPr>
            <w:webHidden/>
          </w:rPr>
          <w:fldChar w:fldCharType="end"/>
        </w:r>
      </w:hyperlink>
    </w:p>
    <w:p w:rsidR="00D060AD" w:rsidRPr="00752CD0" w:rsidRDefault="00AA1C07">
      <w:pPr>
        <w:pStyle w:val="TOC1"/>
        <w:rPr>
          <w:rFonts w:ascii="Cambria" w:eastAsia="Times New Roman" w:hAnsi="Cambria"/>
          <w:noProof/>
          <w:sz w:val="20"/>
          <w:szCs w:val="20"/>
          <w:bdr w:val="none" w:sz="0" w:space="0" w:color="auto"/>
          <w:lang w:val="es-ES" w:eastAsia="es-ES"/>
        </w:rPr>
      </w:pPr>
      <w:hyperlink w:anchor="_Toc529792389" w:history="1">
        <w:r w:rsidR="00D060AD" w:rsidRPr="00937132">
          <w:rPr>
            <w:rStyle w:val="Hyperlink"/>
            <w:rFonts w:ascii="Cambria" w:hAnsi="Cambria"/>
            <w:b/>
            <w:noProof/>
            <w:sz w:val="20"/>
            <w:szCs w:val="20"/>
          </w:rPr>
          <w:t>IV.</w:t>
        </w:r>
        <w:r w:rsidR="00D060AD" w:rsidRPr="00937132">
          <w:rPr>
            <w:rFonts w:ascii="Cambria" w:eastAsia="Times New Roman" w:hAnsi="Cambria"/>
            <w:b/>
            <w:noProof/>
            <w:sz w:val="20"/>
            <w:szCs w:val="20"/>
            <w:bdr w:val="none" w:sz="0" w:space="0" w:color="auto"/>
            <w:lang w:val="es-ES" w:eastAsia="es-ES"/>
          </w:rPr>
          <w:tab/>
        </w:r>
        <w:r w:rsidR="00D060AD" w:rsidRPr="00937132">
          <w:rPr>
            <w:rStyle w:val="Hyperlink"/>
            <w:rFonts w:ascii="Cambria" w:hAnsi="Cambria"/>
            <w:b/>
            <w:noProof/>
            <w:sz w:val="20"/>
            <w:szCs w:val="20"/>
          </w:rPr>
          <w:t>ANÁLISIS SOBRE ADMISIBILIDAD</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_Toc529792389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6</w:t>
        </w:r>
        <w:r w:rsidR="00D060AD" w:rsidRPr="00752CD0">
          <w:rPr>
            <w:rFonts w:ascii="Cambria" w:hAnsi="Cambria"/>
            <w:noProof/>
            <w:webHidden/>
            <w:sz w:val="20"/>
            <w:szCs w:val="20"/>
          </w:rPr>
          <w:fldChar w:fldCharType="end"/>
        </w:r>
      </w:hyperlink>
    </w:p>
    <w:p w:rsidR="00D060AD" w:rsidRPr="00752CD0" w:rsidRDefault="00AA1C07">
      <w:pPr>
        <w:pStyle w:val="TOC2"/>
        <w:rPr>
          <w:rFonts w:eastAsia="Times New Roman"/>
          <w:bdr w:val="none" w:sz="0" w:space="0" w:color="auto"/>
          <w:lang w:val="es-ES" w:eastAsia="es-ES"/>
        </w:rPr>
      </w:pPr>
      <w:hyperlink w:anchor="_Toc529792390" w:history="1">
        <w:r w:rsidR="00D060AD" w:rsidRPr="00752CD0">
          <w:rPr>
            <w:rStyle w:val="Hyperlink"/>
          </w:rPr>
          <w:t>A.</w:t>
        </w:r>
        <w:r w:rsidR="00D060AD" w:rsidRPr="00752CD0">
          <w:rPr>
            <w:rFonts w:eastAsia="Times New Roman"/>
            <w:bdr w:val="none" w:sz="0" w:space="0" w:color="auto"/>
            <w:lang w:val="es-ES" w:eastAsia="es-ES"/>
          </w:rPr>
          <w:tab/>
        </w:r>
        <w:r w:rsidR="00D060AD" w:rsidRPr="00752CD0">
          <w:rPr>
            <w:rStyle w:val="Hyperlink"/>
          </w:rPr>
          <w:t>Competencia de la Comisión</w:t>
        </w:r>
        <w:r w:rsidR="00D060AD" w:rsidRPr="00752CD0">
          <w:rPr>
            <w:rStyle w:val="Hyperlink"/>
            <w:i/>
          </w:rPr>
          <w:t xml:space="preserve"> ratione temporis, ratione personae, ratione materiae y ratione loci</w:t>
        </w:r>
        <w:r w:rsidR="00D060AD" w:rsidRPr="00752CD0">
          <w:rPr>
            <w:webHidden/>
          </w:rPr>
          <w:tab/>
        </w:r>
        <w:r w:rsidR="00D060AD" w:rsidRPr="00752CD0">
          <w:rPr>
            <w:webHidden/>
          </w:rPr>
          <w:fldChar w:fldCharType="begin"/>
        </w:r>
        <w:r w:rsidR="00D060AD" w:rsidRPr="00752CD0">
          <w:rPr>
            <w:webHidden/>
          </w:rPr>
          <w:instrText xml:space="preserve"> PAGEREF _Toc529792390 \h </w:instrText>
        </w:r>
        <w:r w:rsidR="00D060AD" w:rsidRPr="00752CD0">
          <w:rPr>
            <w:webHidden/>
          </w:rPr>
        </w:r>
        <w:r w:rsidR="00D060AD" w:rsidRPr="00752CD0">
          <w:rPr>
            <w:webHidden/>
          </w:rPr>
          <w:fldChar w:fldCharType="separate"/>
        </w:r>
        <w:r w:rsidR="00B455EB">
          <w:rPr>
            <w:webHidden/>
          </w:rPr>
          <w:t>6</w:t>
        </w:r>
        <w:r w:rsidR="00D060AD" w:rsidRPr="00752CD0">
          <w:rPr>
            <w:webHidden/>
          </w:rPr>
          <w:fldChar w:fldCharType="end"/>
        </w:r>
      </w:hyperlink>
    </w:p>
    <w:p w:rsidR="00D060AD" w:rsidRPr="00752CD0" w:rsidRDefault="00AA1C07">
      <w:pPr>
        <w:pStyle w:val="TOC2"/>
        <w:rPr>
          <w:rFonts w:eastAsia="Times New Roman"/>
          <w:bdr w:val="none" w:sz="0" w:space="0" w:color="auto"/>
          <w:lang w:val="es-ES" w:eastAsia="es-ES"/>
        </w:rPr>
      </w:pPr>
      <w:hyperlink w:anchor="_Toc529792391" w:history="1">
        <w:r w:rsidR="00D060AD" w:rsidRPr="00752CD0">
          <w:rPr>
            <w:rStyle w:val="Hyperlink"/>
          </w:rPr>
          <w:t>B.</w:t>
        </w:r>
        <w:r w:rsidR="00D060AD" w:rsidRPr="00752CD0">
          <w:rPr>
            <w:rFonts w:eastAsia="Times New Roman"/>
            <w:bdr w:val="none" w:sz="0" w:space="0" w:color="auto"/>
            <w:lang w:val="es-ES" w:eastAsia="es-ES"/>
          </w:rPr>
          <w:tab/>
        </w:r>
        <w:r w:rsidR="00D060AD" w:rsidRPr="00752CD0">
          <w:rPr>
            <w:rStyle w:val="Hyperlink"/>
          </w:rPr>
          <w:t>Agotamient</w:t>
        </w:r>
        <w:bookmarkStart w:id="1" w:name="_GoBack"/>
        <w:bookmarkEnd w:id="1"/>
        <w:r w:rsidR="00D060AD" w:rsidRPr="00752CD0">
          <w:rPr>
            <w:rStyle w:val="Hyperlink"/>
          </w:rPr>
          <w:t>o de los recursos internos</w:t>
        </w:r>
        <w:r w:rsidR="00D060AD" w:rsidRPr="00752CD0">
          <w:rPr>
            <w:webHidden/>
          </w:rPr>
          <w:tab/>
        </w:r>
        <w:r w:rsidR="00D060AD" w:rsidRPr="00752CD0">
          <w:rPr>
            <w:webHidden/>
          </w:rPr>
          <w:fldChar w:fldCharType="begin"/>
        </w:r>
        <w:r w:rsidR="00D060AD" w:rsidRPr="00752CD0">
          <w:rPr>
            <w:webHidden/>
          </w:rPr>
          <w:instrText xml:space="preserve"> PAGEREF _Toc529792391 \h </w:instrText>
        </w:r>
        <w:r w:rsidR="00D060AD" w:rsidRPr="00752CD0">
          <w:rPr>
            <w:webHidden/>
          </w:rPr>
        </w:r>
        <w:r w:rsidR="00D060AD" w:rsidRPr="00752CD0">
          <w:rPr>
            <w:webHidden/>
          </w:rPr>
          <w:fldChar w:fldCharType="separate"/>
        </w:r>
        <w:r w:rsidR="00B455EB">
          <w:rPr>
            <w:webHidden/>
          </w:rPr>
          <w:t>6</w:t>
        </w:r>
        <w:r w:rsidR="00D060AD" w:rsidRPr="00752CD0">
          <w:rPr>
            <w:webHidden/>
          </w:rPr>
          <w:fldChar w:fldCharType="end"/>
        </w:r>
      </w:hyperlink>
    </w:p>
    <w:p w:rsidR="00D060AD" w:rsidRPr="00752CD0" w:rsidRDefault="00AA1C07">
      <w:pPr>
        <w:pStyle w:val="TOC2"/>
        <w:rPr>
          <w:rFonts w:eastAsia="Times New Roman"/>
          <w:bdr w:val="none" w:sz="0" w:space="0" w:color="auto"/>
          <w:lang w:val="es-ES" w:eastAsia="es-ES"/>
        </w:rPr>
      </w:pPr>
      <w:hyperlink w:anchor="_Toc529792392" w:history="1">
        <w:r w:rsidR="00D060AD" w:rsidRPr="00752CD0">
          <w:rPr>
            <w:rStyle w:val="Hyperlink"/>
          </w:rPr>
          <w:t>C.</w:t>
        </w:r>
        <w:r w:rsidR="00D060AD" w:rsidRPr="00752CD0">
          <w:rPr>
            <w:rFonts w:eastAsia="Times New Roman"/>
            <w:bdr w:val="none" w:sz="0" w:space="0" w:color="auto"/>
            <w:lang w:val="es-ES" w:eastAsia="es-ES"/>
          </w:rPr>
          <w:tab/>
        </w:r>
        <w:r w:rsidR="00D060AD" w:rsidRPr="00752CD0">
          <w:rPr>
            <w:rStyle w:val="Hyperlink"/>
          </w:rPr>
          <w:t>Plazo de presentación</w:t>
        </w:r>
        <w:r w:rsidR="00D060AD" w:rsidRPr="00752CD0">
          <w:rPr>
            <w:webHidden/>
          </w:rPr>
          <w:tab/>
        </w:r>
        <w:r w:rsidR="00D060AD" w:rsidRPr="00752CD0">
          <w:rPr>
            <w:webHidden/>
          </w:rPr>
          <w:fldChar w:fldCharType="begin"/>
        </w:r>
        <w:r w:rsidR="00D060AD" w:rsidRPr="00752CD0">
          <w:rPr>
            <w:webHidden/>
          </w:rPr>
          <w:instrText xml:space="preserve"> PAGEREF _Toc529792392 \h </w:instrText>
        </w:r>
        <w:r w:rsidR="00D060AD" w:rsidRPr="00752CD0">
          <w:rPr>
            <w:webHidden/>
          </w:rPr>
        </w:r>
        <w:r w:rsidR="00D060AD" w:rsidRPr="00752CD0">
          <w:rPr>
            <w:webHidden/>
          </w:rPr>
          <w:fldChar w:fldCharType="separate"/>
        </w:r>
        <w:r w:rsidR="00B455EB">
          <w:rPr>
            <w:webHidden/>
          </w:rPr>
          <w:t>7</w:t>
        </w:r>
        <w:r w:rsidR="00D060AD" w:rsidRPr="00752CD0">
          <w:rPr>
            <w:webHidden/>
          </w:rPr>
          <w:fldChar w:fldCharType="end"/>
        </w:r>
      </w:hyperlink>
    </w:p>
    <w:p w:rsidR="00D060AD" w:rsidRPr="00752CD0" w:rsidRDefault="00AA1C07">
      <w:pPr>
        <w:pStyle w:val="TOC2"/>
        <w:rPr>
          <w:rFonts w:eastAsia="Times New Roman"/>
          <w:bdr w:val="none" w:sz="0" w:space="0" w:color="auto"/>
          <w:lang w:val="es-ES" w:eastAsia="es-ES"/>
        </w:rPr>
      </w:pPr>
      <w:hyperlink w:anchor="_Toc529792393" w:history="1">
        <w:r w:rsidR="00D060AD" w:rsidRPr="00752CD0">
          <w:rPr>
            <w:rStyle w:val="Hyperlink"/>
          </w:rPr>
          <w:t>D.</w:t>
        </w:r>
        <w:r w:rsidR="00D060AD" w:rsidRPr="00752CD0">
          <w:rPr>
            <w:rFonts w:eastAsia="Times New Roman"/>
            <w:bdr w:val="none" w:sz="0" w:space="0" w:color="auto"/>
            <w:lang w:val="es-ES" w:eastAsia="es-ES"/>
          </w:rPr>
          <w:tab/>
        </w:r>
        <w:r w:rsidR="00D060AD" w:rsidRPr="00752CD0">
          <w:rPr>
            <w:rStyle w:val="Hyperlink"/>
          </w:rPr>
          <w:t>Duplicación de procedimientos y cosa juzgada</w:t>
        </w:r>
        <w:r w:rsidR="00D060AD" w:rsidRPr="00752CD0">
          <w:rPr>
            <w:webHidden/>
          </w:rPr>
          <w:tab/>
        </w:r>
        <w:r w:rsidR="00D060AD" w:rsidRPr="00752CD0">
          <w:rPr>
            <w:webHidden/>
          </w:rPr>
          <w:fldChar w:fldCharType="begin"/>
        </w:r>
        <w:r w:rsidR="00D060AD" w:rsidRPr="00752CD0">
          <w:rPr>
            <w:webHidden/>
          </w:rPr>
          <w:instrText xml:space="preserve"> PAGEREF _Toc529792393 \h </w:instrText>
        </w:r>
        <w:r w:rsidR="00D060AD" w:rsidRPr="00752CD0">
          <w:rPr>
            <w:webHidden/>
          </w:rPr>
        </w:r>
        <w:r w:rsidR="00D060AD" w:rsidRPr="00752CD0">
          <w:rPr>
            <w:webHidden/>
          </w:rPr>
          <w:fldChar w:fldCharType="separate"/>
        </w:r>
        <w:r w:rsidR="00B455EB">
          <w:rPr>
            <w:webHidden/>
          </w:rPr>
          <w:t>7</w:t>
        </w:r>
        <w:r w:rsidR="00D060AD" w:rsidRPr="00752CD0">
          <w:rPr>
            <w:webHidden/>
          </w:rPr>
          <w:fldChar w:fldCharType="end"/>
        </w:r>
      </w:hyperlink>
    </w:p>
    <w:p w:rsidR="00D060AD" w:rsidRPr="00752CD0" w:rsidRDefault="00AA1C07">
      <w:pPr>
        <w:pStyle w:val="TOC2"/>
        <w:rPr>
          <w:rFonts w:eastAsia="Times New Roman"/>
          <w:bdr w:val="none" w:sz="0" w:space="0" w:color="auto"/>
          <w:lang w:val="es-ES" w:eastAsia="es-ES"/>
        </w:rPr>
      </w:pPr>
      <w:hyperlink w:anchor="_Toc529792394" w:history="1">
        <w:r w:rsidR="00D060AD" w:rsidRPr="00752CD0">
          <w:rPr>
            <w:rStyle w:val="Hyperlink"/>
          </w:rPr>
          <w:t>E.</w:t>
        </w:r>
        <w:r w:rsidR="00D060AD" w:rsidRPr="00752CD0">
          <w:rPr>
            <w:rFonts w:eastAsia="Times New Roman"/>
            <w:bdr w:val="none" w:sz="0" w:space="0" w:color="auto"/>
            <w:lang w:val="es-ES" w:eastAsia="es-ES"/>
          </w:rPr>
          <w:tab/>
        </w:r>
        <w:r w:rsidR="00D060AD" w:rsidRPr="00752CD0">
          <w:rPr>
            <w:rStyle w:val="Hyperlink"/>
          </w:rPr>
          <w:t>Caracterización de los hechos alegados</w:t>
        </w:r>
        <w:r w:rsidR="00D060AD" w:rsidRPr="00752CD0">
          <w:rPr>
            <w:webHidden/>
          </w:rPr>
          <w:tab/>
        </w:r>
        <w:r w:rsidR="00D060AD" w:rsidRPr="00752CD0">
          <w:rPr>
            <w:webHidden/>
          </w:rPr>
          <w:fldChar w:fldCharType="begin"/>
        </w:r>
        <w:r w:rsidR="00D060AD" w:rsidRPr="00752CD0">
          <w:rPr>
            <w:webHidden/>
          </w:rPr>
          <w:instrText xml:space="preserve"> PAGEREF _Toc529792394 \h </w:instrText>
        </w:r>
        <w:r w:rsidR="00D060AD" w:rsidRPr="00752CD0">
          <w:rPr>
            <w:webHidden/>
          </w:rPr>
        </w:r>
        <w:r w:rsidR="00D060AD" w:rsidRPr="00752CD0">
          <w:rPr>
            <w:webHidden/>
          </w:rPr>
          <w:fldChar w:fldCharType="separate"/>
        </w:r>
        <w:r w:rsidR="00B455EB">
          <w:rPr>
            <w:webHidden/>
          </w:rPr>
          <w:t>8</w:t>
        </w:r>
        <w:r w:rsidR="00D060AD" w:rsidRPr="00752CD0">
          <w:rPr>
            <w:webHidden/>
          </w:rPr>
          <w:fldChar w:fldCharType="end"/>
        </w:r>
      </w:hyperlink>
    </w:p>
    <w:p w:rsidR="00D060AD" w:rsidRPr="00752CD0" w:rsidRDefault="00AA1C07">
      <w:pPr>
        <w:pStyle w:val="TOC1"/>
        <w:rPr>
          <w:rFonts w:ascii="Cambria" w:eastAsia="Times New Roman" w:hAnsi="Cambria"/>
          <w:noProof/>
          <w:sz w:val="20"/>
          <w:szCs w:val="20"/>
          <w:bdr w:val="none" w:sz="0" w:space="0" w:color="auto"/>
          <w:lang w:val="es-ES" w:eastAsia="es-ES"/>
        </w:rPr>
      </w:pPr>
      <w:hyperlink w:anchor="_Toc529792395" w:history="1">
        <w:r w:rsidR="00D060AD" w:rsidRPr="00937132">
          <w:rPr>
            <w:rStyle w:val="Hyperlink"/>
            <w:rFonts w:ascii="Cambria" w:hAnsi="Cambria"/>
            <w:b/>
            <w:noProof/>
            <w:sz w:val="20"/>
            <w:szCs w:val="20"/>
          </w:rPr>
          <w:t>V.</w:t>
        </w:r>
        <w:r w:rsidR="00D060AD" w:rsidRPr="00937132">
          <w:rPr>
            <w:rFonts w:ascii="Cambria" w:eastAsia="Times New Roman" w:hAnsi="Cambria"/>
            <w:b/>
            <w:noProof/>
            <w:sz w:val="20"/>
            <w:szCs w:val="20"/>
            <w:bdr w:val="none" w:sz="0" w:space="0" w:color="auto"/>
            <w:lang w:val="es-ES" w:eastAsia="es-ES"/>
          </w:rPr>
          <w:tab/>
        </w:r>
        <w:r w:rsidR="00D060AD" w:rsidRPr="00937132">
          <w:rPr>
            <w:rStyle w:val="Hyperlink"/>
            <w:rFonts w:ascii="Cambria" w:hAnsi="Cambria"/>
            <w:b/>
            <w:noProof/>
            <w:sz w:val="20"/>
            <w:szCs w:val="20"/>
          </w:rPr>
          <w:t>ANÁLISIS DE FONDO</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_Toc529792395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8</w:t>
        </w:r>
        <w:r w:rsidR="00D060AD" w:rsidRPr="00752CD0">
          <w:rPr>
            <w:rFonts w:ascii="Cambria" w:hAnsi="Cambria"/>
            <w:noProof/>
            <w:webHidden/>
            <w:sz w:val="20"/>
            <w:szCs w:val="20"/>
          </w:rPr>
          <w:fldChar w:fldCharType="end"/>
        </w:r>
      </w:hyperlink>
    </w:p>
    <w:p w:rsidR="00D060AD" w:rsidRPr="00752CD0" w:rsidRDefault="00AA1C07">
      <w:pPr>
        <w:pStyle w:val="TOC2"/>
        <w:rPr>
          <w:rFonts w:eastAsia="Times New Roman"/>
          <w:bdr w:val="none" w:sz="0" w:space="0" w:color="auto"/>
          <w:lang w:val="es-ES" w:eastAsia="es-ES"/>
        </w:rPr>
      </w:pPr>
      <w:hyperlink w:anchor="_Toc529792396" w:history="1">
        <w:r w:rsidR="00D060AD" w:rsidRPr="00752CD0">
          <w:rPr>
            <w:rStyle w:val="Hyperlink"/>
          </w:rPr>
          <w:t>A.</w:t>
        </w:r>
        <w:r w:rsidR="00D060AD" w:rsidRPr="00752CD0">
          <w:rPr>
            <w:rFonts w:eastAsia="Times New Roman"/>
            <w:bdr w:val="none" w:sz="0" w:space="0" w:color="auto"/>
            <w:lang w:val="es-ES" w:eastAsia="es-ES"/>
          </w:rPr>
          <w:tab/>
        </w:r>
        <w:r w:rsidR="00D060AD" w:rsidRPr="00752CD0">
          <w:rPr>
            <w:rStyle w:val="Hyperlink"/>
          </w:rPr>
          <w:t>Hechos probados</w:t>
        </w:r>
        <w:r w:rsidR="00D060AD" w:rsidRPr="00752CD0">
          <w:rPr>
            <w:webHidden/>
          </w:rPr>
          <w:tab/>
        </w:r>
        <w:r w:rsidR="00D060AD" w:rsidRPr="00752CD0">
          <w:rPr>
            <w:webHidden/>
          </w:rPr>
          <w:fldChar w:fldCharType="begin"/>
        </w:r>
        <w:r w:rsidR="00D060AD" w:rsidRPr="00752CD0">
          <w:rPr>
            <w:webHidden/>
          </w:rPr>
          <w:instrText xml:space="preserve"> PAGEREF _Toc529792396 \h </w:instrText>
        </w:r>
        <w:r w:rsidR="00D060AD" w:rsidRPr="00752CD0">
          <w:rPr>
            <w:webHidden/>
          </w:rPr>
        </w:r>
        <w:r w:rsidR="00D060AD" w:rsidRPr="00752CD0">
          <w:rPr>
            <w:webHidden/>
          </w:rPr>
          <w:fldChar w:fldCharType="separate"/>
        </w:r>
        <w:r w:rsidR="00B455EB">
          <w:rPr>
            <w:webHidden/>
          </w:rPr>
          <w:t>8</w:t>
        </w:r>
        <w:r w:rsidR="00D060AD" w:rsidRPr="00752CD0">
          <w:rPr>
            <w:webHidden/>
          </w:rPr>
          <w:fldChar w:fldCharType="end"/>
        </w:r>
      </w:hyperlink>
    </w:p>
    <w:p w:rsidR="00D060AD" w:rsidRPr="00752CD0" w:rsidRDefault="00AA1C07">
      <w:pPr>
        <w:pStyle w:val="TOC3"/>
        <w:rPr>
          <w:rFonts w:ascii="Cambria" w:eastAsia="Times New Roman" w:hAnsi="Cambria"/>
          <w:noProof/>
          <w:sz w:val="20"/>
          <w:szCs w:val="20"/>
          <w:bdr w:val="none" w:sz="0" w:space="0" w:color="auto"/>
          <w:lang w:val="es-ES" w:eastAsia="es-ES"/>
        </w:rPr>
      </w:pPr>
      <w:hyperlink w:anchor="_Toc529792397" w:history="1">
        <w:r w:rsidR="00D060AD" w:rsidRPr="00752CD0">
          <w:rPr>
            <w:rStyle w:val="Hyperlink"/>
            <w:rFonts w:ascii="Cambria" w:hAnsi="Cambria"/>
            <w:noProof/>
            <w:sz w:val="20"/>
            <w:szCs w:val="20"/>
            <w:lang w:val="es-ES"/>
          </w:rPr>
          <w:t>1.</w:t>
        </w:r>
        <w:r w:rsidR="00D060AD" w:rsidRPr="00752CD0">
          <w:rPr>
            <w:rFonts w:ascii="Cambria" w:eastAsia="Times New Roman" w:hAnsi="Cambria"/>
            <w:noProof/>
            <w:sz w:val="20"/>
            <w:szCs w:val="20"/>
            <w:bdr w:val="none" w:sz="0" w:space="0" w:color="auto"/>
            <w:lang w:val="es-ES" w:eastAsia="es-ES"/>
          </w:rPr>
          <w:tab/>
        </w:r>
        <w:r w:rsidR="00D060AD" w:rsidRPr="00752CD0">
          <w:rPr>
            <w:rStyle w:val="Hyperlink"/>
            <w:rFonts w:ascii="Cambria" w:hAnsi="Cambria"/>
            <w:noProof/>
            <w:sz w:val="20"/>
            <w:szCs w:val="20"/>
            <w:lang w:val="es-ES"/>
          </w:rPr>
          <w:t>Sobre Jorge Darwin García y su familia</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_Toc529792397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8</w:t>
        </w:r>
        <w:r w:rsidR="00D060AD" w:rsidRPr="00752CD0">
          <w:rPr>
            <w:rFonts w:ascii="Cambria" w:hAnsi="Cambria"/>
            <w:noProof/>
            <w:webHidden/>
            <w:sz w:val="20"/>
            <w:szCs w:val="20"/>
          </w:rPr>
          <w:fldChar w:fldCharType="end"/>
        </w:r>
      </w:hyperlink>
    </w:p>
    <w:p w:rsidR="00D060AD" w:rsidRPr="00752CD0" w:rsidRDefault="00AA1C07">
      <w:pPr>
        <w:pStyle w:val="TOC3"/>
        <w:rPr>
          <w:rFonts w:ascii="Cambria" w:eastAsia="Times New Roman" w:hAnsi="Cambria"/>
          <w:noProof/>
          <w:sz w:val="20"/>
          <w:szCs w:val="20"/>
          <w:bdr w:val="none" w:sz="0" w:space="0" w:color="auto"/>
          <w:lang w:val="es-ES" w:eastAsia="es-ES"/>
        </w:rPr>
      </w:pPr>
      <w:hyperlink w:anchor="_Toc529792398" w:history="1">
        <w:r w:rsidR="00D060AD" w:rsidRPr="00752CD0">
          <w:rPr>
            <w:rStyle w:val="Hyperlink"/>
            <w:rFonts w:ascii="Cambria" w:hAnsi="Cambria"/>
            <w:noProof/>
            <w:sz w:val="20"/>
            <w:szCs w:val="20"/>
            <w:lang w:val="es-ES"/>
          </w:rPr>
          <w:t>2.</w:t>
        </w:r>
        <w:r w:rsidR="00D060AD" w:rsidRPr="00752CD0">
          <w:rPr>
            <w:rFonts w:ascii="Cambria" w:eastAsia="Times New Roman" w:hAnsi="Cambria"/>
            <w:noProof/>
            <w:sz w:val="20"/>
            <w:szCs w:val="20"/>
            <w:bdr w:val="none" w:sz="0" w:space="0" w:color="auto"/>
            <w:lang w:val="es-ES" w:eastAsia="es-ES"/>
          </w:rPr>
          <w:tab/>
        </w:r>
        <w:r w:rsidR="00D060AD" w:rsidRPr="00752CD0">
          <w:rPr>
            <w:rStyle w:val="Hyperlink"/>
            <w:rFonts w:ascii="Cambria" w:hAnsi="Cambria"/>
            <w:noProof/>
            <w:sz w:val="20"/>
            <w:szCs w:val="20"/>
            <w:lang w:val="es-ES"/>
          </w:rPr>
          <w:t xml:space="preserve">Sobre la muerte de Jorge Darwin García y las lesiones de </w:t>
        </w:r>
        <w:r w:rsidR="00D060AD" w:rsidRPr="00752CD0">
          <w:rPr>
            <w:rStyle w:val="Hyperlink"/>
            <w:rFonts w:ascii="Cambria" w:hAnsi="Cambria"/>
            <w:noProof/>
            <w:sz w:val="20"/>
            <w:szCs w:val="20"/>
            <w:lang w:val="es-CR"/>
          </w:rPr>
          <w:t>Franklin Plutarco</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_Toc529792398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9</w:t>
        </w:r>
        <w:r w:rsidR="00D060AD" w:rsidRPr="00752CD0">
          <w:rPr>
            <w:rFonts w:ascii="Cambria" w:hAnsi="Cambria"/>
            <w:noProof/>
            <w:webHidden/>
            <w:sz w:val="20"/>
            <w:szCs w:val="20"/>
          </w:rPr>
          <w:fldChar w:fldCharType="end"/>
        </w:r>
      </w:hyperlink>
    </w:p>
    <w:p w:rsidR="00D060AD" w:rsidRPr="00752CD0" w:rsidRDefault="00AA1C07">
      <w:pPr>
        <w:pStyle w:val="TOC3"/>
        <w:rPr>
          <w:rFonts w:ascii="Cambria" w:eastAsia="Times New Roman" w:hAnsi="Cambria"/>
          <w:noProof/>
          <w:sz w:val="20"/>
          <w:szCs w:val="20"/>
          <w:bdr w:val="none" w:sz="0" w:space="0" w:color="auto"/>
          <w:lang w:val="es-ES" w:eastAsia="es-ES"/>
        </w:rPr>
      </w:pPr>
      <w:hyperlink w:anchor="_Toc529792399" w:history="1">
        <w:r w:rsidR="00D060AD" w:rsidRPr="00752CD0">
          <w:rPr>
            <w:rStyle w:val="Hyperlink"/>
            <w:rFonts w:ascii="Cambria" w:hAnsi="Cambria"/>
            <w:noProof/>
            <w:sz w:val="20"/>
            <w:szCs w:val="20"/>
            <w:lang w:val="es-ES"/>
          </w:rPr>
          <w:t>3.</w:t>
        </w:r>
        <w:r w:rsidR="00D060AD" w:rsidRPr="00752CD0">
          <w:rPr>
            <w:rFonts w:ascii="Cambria" w:eastAsia="Times New Roman" w:hAnsi="Cambria"/>
            <w:noProof/>
            <w:sz w:val="20"/>
            <w:szCs w:val="20"/>
            <w:bdr w:val="none" w:sz="0" w:space="0" w:color="auto"/>
            <w:lang w:val="es-ES" w:eastAsia="es-ES"/>
          </w:rPr>
          <w:tab/>
        </w:r>
        <w:r w:rsidR="00D060AD" w:rsidRPr="00752CD0">
          <w:rPr>
            <w:rStyle w:val="Hyperlink"/>
            <w:rFonts w:ascii="Cambria" w:hAnsi="Cambria"/>
            <w:noProof/>
            <w:sz w:val="20"/>
            <w:szCs w:val="20"/>
            <w:lang w:val="es-ES"/>
          </w:rPr>
          <w:t>Procesos internos relacionados con la muerte de Jorge Darwin García</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_Toc529792399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10</w:t>
        </w:r>
        <w:r w:rsidR="00D060AD" w:rsidRPr="00752CD0">
          <w:rPr>
            <w:rFonts w:ascii="Cambria" w:hAnsi="Cambria"/>
            <w:noProof/>
            <w:webHidden/>
            <w:sz w:val="20"/>
            <w:szCs w:val="20"/>
          </w:rPr>
          <w:fldChar w:fldCharType="end"/>
        </w:r>
      </w:hyperlink>
    </w:p>
    <w:p w:rsidR="00D060AD" w:rsidRPr="00752CD0" w:rsidRDefault="00AA1C07">
      <w:pPr>
        <w:pStyle w:val="TOC2"/>
        <w:rPr>
          <w:rFonts w:eastAsia="Times New Roman"/>
          <w:bdr w:val="none" w:sz="0" w:space="0" w:color="auto"/>
          <w:lang w:val="es-ES" w:eastAsia="es-ES"/>
        </w:rPr>
      </w:pPr>
      <w:hyperlink w:anchor="_Toc529792402" w:history="1">
        <w:r w:rsidR="00D060AD" w:rsidRPr="00752CD0">
          <w:rPr>
            <w:rStyle w:val="Hyperlink"/>
          </w:rPr>
          <w:t>B.</w:t>
        </w:r>
        <w:r w:rsidR="00D060AD" w:rsidRPr="00752CD0">
          <w:rPr>
            <w:rFonts w:eastAsia="Times New Roman"/>
            <w:bdr w:val="none" w:sz="0" w:space="0" w:color="auto"/>
            <w:lang w:val="es-ES" w:eastAsia="es-ES"/>
          </w:rPr>
          <w:tab/>
        </w:r>
        <w:r w:rsidR="00D060AD" w:rsidRPr="00752CD0">
          <w:rPr>
            <w:rStyle w:val="Hyperlink"/>
          </w:rPr>
          <w:t>Análisis de derecho</w:t>
        </w:r>
        <w:r w:rsidR="00D060AD" w:rsidRPr="00752CD0">
          <w:rPr>
            <w:webHidden/>
          </w:rPr>
          <w:tab/>
        </w:r>
        <w:r w:rsidR="00D060AD" w:rsidRPr="00752CD0">
          <w:rPr>
            <w:webHidden/>
          </w:rPr>
          <w:fldChar w:fldCharType="begin"/>
        </w:r>
        <w:r w:rsidR="00D060AD" w:rsidRPr="00752CD0">
          <w:rPr>
            <w:webHidden/>
          </w:rPr>
          <w:instrText xml:space="preserve"> PAGEREF _Toc529792402 \h </w:instrText>
        </w:r>
        <w:r w:rsidR="00D060AD" w:rsidRPr="00752CD0">
          <w:rPr>
            <w:webHidden/>
          </w:rPr>
        </w:r>
        <w:r w:rsidR="00D060AD" w:rsidRPr="00752CD0">
          <w:rPr>
            <w:webHidden/>
          </w:rPr>
          <w:fldChar w:fldCharType="separate"/>
        </w:r>
        <w:r w:rsidR="00B455EB">
          <w:rPr>
            <w:webHidden/>
          </w:rPr>
          <w:t>15</w:t>
        </w:r>
        <w:r w:rsidR="00D060AD" w:rsidRPr="00752CD0">
          <w:rPr>
            <w:webHidden/>
          </w:rPr>
          <w:fldChar w:fldCharType="end"/>
        </w:r>
      </w:hyperlink>
    </w:p>
    <w:p w:rsidR="00D060AD" w:rsidRPr="00752CD0" w:rsidRDefault="00AA1C07">
      <w:pPr>
        <w:pStyle w:val="TOC3"/>
        <w:rPr>
          <w:rFonts w:ascii="Cambria" w:eastAsia="Times New Roman" w:hAnsi="Cambria"/>
          <w:noProof/>
          <w:sz w:val="20"/>
          <w:szCs w:val="20"/>
          <w:bdr w:val="none" w:sz="0" w:space="0" w:color="auto"/>
          <w:lang w:val="es-ES" w:eastAsia="es-ES"/>
        </w:rPr>
      </w:pPr>
      <w:hyperlink w:anchor="_Toc529792403" w:history="1">
        <w:r w:rsidR="00D060AD" w:rsidRPr="00752CD0">
          <w:rPr>
            <w:rStyle w:val="Hyperlink"/>
            <w:rFonts w:ascii="Cambria" w:hAnsi="Cambria"/>
            <w:noProof/>
            <w:sz w:val="20"/>
            <w:szCs w:val="20"/>
            <w:lang w:val="es-ES"/>
          </w:rPr>
          <w:t>1.</w:t>
        </w:r>
        <w:r w:rsidR="00D060AD" w:rsidRPr="00752CD0">
          <w:rPr>
            <w:rFonts w:ascii="Cambria" w:eastAsia="Times New Roman" w:hAnsi="Cambria"/>
            <w:noProof/>
            <w:sz w:val="20"/>
            <w:szCs w:val="20"/>
            <w:bdr w:val="none" w:sz="0" w:space="0" w:color="auto"/>
            <w:lang w:val="es-ES" w:eastAsia="es-ES"/>
          </w:rPr>
          <w:tab/>
        </w:r>
        <w:r w:rsidR="00D060AD" w:rsidRPr="00752CD0">
          <w:rPr>
            <w:rStyle w:val="Hyperlink"/>
            <w:rFonts w:ascii="Cambria" w:hAnsi="Cambria"/>
            <w:noProof/>
            <w:sz w:val="20"/>
            <w:szCs w:val="20"/>
            <w:lang w:val="es-ES"/>
          </w:rPr>
          <w:t>Los derechos a la vida e integridad personal (artículos 4 y 5 de la Convención Americana en relación con el artículo 1.1 del mismo instrumento)</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_Toc529792403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15</w:t>
        </w:r>
        <w:r w:rsidR="00D060AD" w:rsidRPr="00752CD0">
          <w:rPr>
            <w:rFonts w:ascii="Cambria" w:hAnsi="Cambria"/>
            <w:noProof/>
            <w:webHidden/>
            <w:sz w:val="20"/>
            <w:szCs w:val="20"/>
          </w:rPr>
          <w:fldChar w:fldCharType="end"/>
        </w:r>
      </w:hyperlink>
    </w:p>
    <w:p w:rsidR="00D060AD" w:rsidRPr="00752CD0" w:rsidRDefault="00AA1C07">
      <w:pPr>
        <w:pStyle w:val="TOC3"/>
        <w:rPr>
          <w:rFonts w:ascii="Cambria" w:eastAsia="Times New Roman" w:hAnsi="Cambria"/>
          <w:noProof/>
          <w:sz w:val="20"/>
          <w:szCs w:val="20"/>
          <w:bdr w:val="none" w:sz="0" w:space="0" w:color="auto"/>
          <w:lang w:val="es-ES" w:eastAsia="es-ES"/>
        </w:rPr>
      </w:pPr>
      <w:hyperlink w:anchor="_Toc529792404" w:history="1">
        <w:r w:rsidR="00D060AD" w:rsidRPr="00752CD0">
          <w:rPr>
            <w:rStyle w:val="Hyperlink"/>
            <w:rFonts w:ascii="Cambria" w:hAnsi="Cambria"/>
            <w:noProof/>
            <w:sz w:val="20"/>
            <w:szCs w:val="20"/>
            <w:lang w:val="es-ES"/>
          </w:rPr>
          <w:t>2.</w:t>
        </w:r>
        <w:r w:rsidR="00D060AD" w:rsidRPr="00752CD0">
          <w:rPr>
            <w:rFonts w:ascii="Cambria" w:eastAsia="Times New Roman" w:hAnsi="Cambria"/>
            <w:noProof/>
            <w:sz w:val="20"/>
            <w:szCs w:val="20"/>
            <w:bdr w:val="none" w:sz="0" w:space="0" w:color="auto"/>
            <w:lang w:val="es-ES" w:eastAsia="es-ES"/>
          </w:rPr>
          <w:tab/>
        </w:r>
        <w:r w:rsidR="00D060AD" w:rsidRPr="00752CD0">
          <w:rPr>
            <w:rStyle w:val="Hyperlink"/>
            <w:rFonts w:ascii="Cambria" w:hAnsi="Cambria"/>
            <w:noProof/>
            <w:sz w:val="20"/>
            <w:szCs w:val="20"/>
            <w:lang w:val="es-ES"/>
          </w:rPr>
          <w:t>Los derechos a las garantías judiciales y protección judicial respecto de las investigaciones y procesos iniciados por la muerte de Jorge Darwin García (artículos 8 y 25 de la Convención Americana en relación con los artículos 1.1 y 2 del mismo instrumento)</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_Toc529792404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16</w:t>
        </w:r>
        <w:r w:rsidR="00D060AD" w:rsidRPr="00752CD0">
          <w:rPr>
            <w:rFonts w:ascii="Cambria" w:hAnsi="Cambria"/>
            <w:noProof/>
            <w:webHidden/>
            <w:sz w:val="20"/>
            <w:szCs w:val="20"/>
          </w:rPr>
          <w:fldChar w:fldCharType="end"/>
        </w:r>
      </w:hyperlink>
    </w:p>
    <w:p w:rsidR="00D060AD" w:rsidRPr="00752CD0" w:rsidRDefault="00AA1C07">
      <w:pPr>
        <w:pStyle w:val="TOC1"/>
        <w:rPr>
          <w:rFonts w:ascii="Cambria" w:eastAsia="Times New Roman" w:hAnsi="Cambria"/>
          <w:noProof/>
          <w:sz w:val="20"/>
          <w:szCs w:val="20"/>
          <w:bdr w:val="none" w:sz="0" w:space="0" w:color="auto"/>
          <w:lang w:val="es-ES" w:eastAsia="es-ES"/>
        </w:rPr>
      </w:pPr>
      <w:hyperlink w:anchor="_Toc529792405" w:history="1">
        <w:r w:rsidR="00D060AD" w:rsidRPr="00937132">
          <w:rPr>
            <w:rStyle w:val="Hyperlink"/>
            <w:rFonts w:ascii="Cambria" w:hAnsi="Cambria"/>
            <w:b/>
            <w:noProof/>
            <w:sz w:val="20"/>
            <w:szCs w:val="20"/>
          </w:rPr>
          <w:t>VI.</w:t>
        </w:r>
        <w:r w:rsidR="00D060AD" w:rsidRPr="00937132">
          <w:rPr>
            <w:rFonts w:ascii="Cambria" w:eastAsia="Times New Roman" w:hAnsi="Cambria"/>
            <w:b/>
            <w:noProof/>
            <w:sz w:val="20"/>
            <w:szCs w:val="20"/>
            <w:bdr w:val="none" w:sz="0" w:space="0" w:color="auto"/>
            <w:lang w:val="es-ES" w:eastAsia="es-ES"/>
          </w:rPr>
          <w:tab/>
        </w:r>
        <w:r w:rsidR="00D060AD" w:rsidRPr="00937132">
          <w:rPr>
            <w:rStyle w:val="Hyperlink"/>
            <w:rFonts w:ascii="Cambria" w:hAnsi="Cambria"/>
            <w:b/>
            <w:noProof/>
            <w:sz w:val="20"/>
            <w:szCs w:val="20"/>
          </w:rPr>
          <w:t>ACTUACIONES POSTERIORES AL INFORME No. 42/15</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_Toc529792405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22</w:t>
        </w:r>
        <w:r w:rsidR="00D060AD" w:rsidRPr="00752CD0">
          <w:rPr>
            <w:rFonts w:ascii="Cambria" w:hAnsi="Cambria"/>
            <w:noProof/>
            <w:webHidden/>
            <w:sz w:val="20"/>
            <w:szCs w:val="20"/>
          </w:rPr>
          <w:fldChar w:fldCharType="end"/>
        </w:r>
      </w:hyperlink>
    </w:p>
    <w:p w:rsidR="00D060AD" w:rsidRPr="00752CD0" w:rsidRDefault="00AA1C07">
      <w:pPr>
        <w:pStyle w:val="TOC1"/>
        <w:rPr>
          <w:rFonts w:ascii="Cambria" w:eastAsia="Times New Roman" w:hAnsi="Cambria"/>
          <w:noProof/>
          <w:sz w:val="20"/>
          <w:szCs w:val="20"/>
          <w:bdr w:val="none" w:sz="0" w:space="0" w:color="auto"/>
          <w:lang w:val="es-ES" w:eastAsia="es-ES"/>
        </w:rPr>
      </w:pPr>
      <w:hyperlink w:anchor="_Toc529792406" w:history="1">
        <w:r w:rsidR="00D060AD" w:rsidRPr="00937132">
          <w:rPr>
            <w:rStyle w:val="Hyperlink"/>
            <w:rFonts w:ascii="Cambria" w:hAnsi="Cambria"/>
            <w:b/>
            <w:noProof/>
            <w:sz w:val="20"/>
            <w:szCs w:val="20"/>
          </w:rPr>
          <w:t>VII.</w:t>
        </w:r>
        <w:r w:rsidR="00D060AD" w:rsidRPr="00937132">
          <w:rPr>
            <w:rFonts w:ascii="Cambria" w:eastAsia="Times New Roman" w:hAnsi="Cambria"/>
            <w:b/>
            <w:noProof/>
            <w:sz w:val="20"/>
            <w:szCs w:val="20"/>
            <w:bdr w:val="none" w:sz="0" w:space="0" w:color="auto"/>
            <w:lang w:val="es-ES" w:eastAsia="es-ES"/>
          </w:rPr>
          <w:tab/>
        </w:r>
        <w:r w:rsidR="00D060AD" w:rsidRPr="00937132">
          <w:rPr>
            <w:rStyle w:val="Hyperlink"/>
            <w:rFonts w:ascii="Cambria" w:hAnsi="Cambria"/>
            <w:b/>
            <w:noProof/>
            <w:sz w:val="20"/>
            <w:szCs w:val="20"/>
          </w:rPr>
          <w:t>ACTUACIONES POSTERIORES AL INFORME No. 69/18</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_Toc529792406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22</w:t>
        </w:r>
        <w:r w:rsidR="00D060AD" w:rsidRPr="00752CD0">
          <w:rPr>
            <w:rFonts w:ascii="Cambria" w:hAnsi="Cambria"/>
            <w:noProof/>
            <w:webHidden/>
            <w:sz w:val="20"/>
            <w:szCs w:val="20"/>
          </w:rPr>
          <w:fldChar w:fldCharType="end"/>
        </w:r>
      </w:hyperlink>
    </w:p>
    <w:p w:rsidR="00D060AD" w:rsidRPr="00752CD0" w:rsidRDefault="00AA1C07">
      <w:pPr>
        <w:pStyle w:val="TOC1"/>
        <w:rPr>
          <w:rFonts w:ascii="Cambria" w:eastAsia="Times New Roman" w:hAnsi="Cambria"/>
          <w:noProof/>
          <w:sz w:val="20"/>
          <w:szCs w:val="20"/>
          <w:bdr w:val="none" w:sz="0" w:space="0" w:color="auto"/>
          <w:lang w:val="es-ES" w:eastAsia="es-ES"/>
        </w:rPr>
      </w:pPr>
      <w:hyperlink w:anchor="_Toc529792407" w:history="1">
        <w:r w:rsidR="00D060AD" w:rsidRPr="00937132">
          <w:rPr>
            <w:rStyle w:val="Hyperlink"/>
            <w:rFonts w:ascii="Cambria" w:hAnsi="Cambria"/>
            <w:b/>
            <w:noProof/>
            <w:sz w:val="20"/>
            <w:szCs w:val="20"/>
          </w:rPr>
          <w:t>VIII.</w:t>
        </w:r>
        <w:r w:rsidR="00D060AD" w:rsidRPr="00937132">
          <w:rPr>
            <w:rFonts w:ascii="Cambria" w:eastAsia="Times New Roman" w:hAnsi="Cambria"/>
            <w:b/>
            <w:noProof/>
            <w:sz w:val="20"/>
            <w:szCs w:val="20"/>
            <w:bdr w:val="none" w:sz="0" w:space="0" w:color="auto"/>
            <w:lang w:val="es-ES" w:eastAsia="es-ES"/>
          </w:rPr>
          <w:tab/>
        </w:r>
        <w:r w:rsidR="00D060AD" w:rsidRPr="00937132">
          <w:rPr>
            <w:rStyle w:val="Hyperlink"/>
            <w:rFonts w:ascii="Cambria" w:hAnsi="Cambria"/>
            <w:b/>
            <w:noProof/>
            <w:sz w:val="20"/>
            <w:szCs w:val="20"/>
          </w:rPr>
          <w:t>ANÁLISIS DEL CUMPLIMIENTO DE RECOMENDACIONES</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_Toc529792407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23</w:t>
        </w:r>
        <w:r w:rsidR="00D060AD" w:rsidRPr="00752CD0">
          <w:rPr>
            <w:rFonts w:ascii="Cambria" w:hAnsi="Cambria"/>
            <w:noProof/>
            <w:webHidden/>
            <w:sz w:val="20"/>
            <w:szCs w:val="20"/>
          </w:rPr>
          <w:fldChar w:fldCharType="end"/>
        </w:r>
      </w:hyperlink>
    </w:p>
    <w:p w:rsidR="00D060AD" w:rsidRPr="00752CD0" w:rsidRDefault="00AA1C07">
      <w:pPr>
        <w:pStyle w:val="TOC1"/>
        <w:rPr>
          <w:rFonts w:ascii="Cambria" w:eastAsia="Times New Roman" w:hAnsi="Cambria"/>
          <w:noProof/>
          <w:sz w:val="20"/>
          <w:szCs w:val="20"/>
          <w:bdr w:val="none" w:sz="0" w:space="0" w:color="auto"/>
          <w:lang w:val="es-ES" w:eastAsia="es-ES"/>
        </w:rPr>
      </w:pPr>
      <w:hyperlink w:anchor="_Toc529792408" w:history="1">
        <w:r w:rsidR="00D060AD" w:rsidRPr="00937132">
          <w:rPr>
            <w:rStyle w:val="Hyperlink"/>
            <w:rFonts w:ascii="Cambria" w:hAnsi="Cambria"/>
            <w:b/>
            <w:noProof/>
            <w:sz w:val="20"/>
            <w:szCs w:val="20"/>
          </w:rPr>
          <w:t>IX.</w:t>
        </w:r>
        <w:r w:rsidR="00D060AD" w:rsidRPr="00937132">
          <w:rPr>
            <w:rFonts w:ascii="Cambria" w:eastAsia="Times New Roman" w:hAnsi="Cambria"/>
            <w:b/>
            <w:noProof/>
            <w:sz w:val="20"/>
            <w:szCs w:val="20"/>
            <w:bdr w:val="none" w:sz="0" w:space="0" w:color="auto"/>
            <w:lang w:val="es-ES" w:eastAsia="es-ES"/>
          </w:rPr>
          <w:tab/>
        </w:r>
        <w:r w:rsidR="00D060AD" w:rsidRPr="00937132">
          <w:rPr>
            <w:rStyle w:val="Hyperlink"/>
            <w:rFonts w:ascii="Cambria" w:hAnsi="Cambria"/>
            <w:b/>
            <w:noProof/>
            <w:sz w:val="20"/>
            <w:szCs w:val="20"/>
          </w:rPr>
          <w:t>CONCLUSIONES FINALES Y RECOMENDACIONES</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_Toc529792408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23</w:t>
        </w:r>
        <w:r w:rsidR="00D060AD" w:rsidRPr="00752CD0">
          <w:rPr>
            <w:rFonts w:ascii="Cambria" w:hAnsi="Cambria"/>
            <w:noProof/>
            <w:webHidden/>
            <w:sz w:val="20"/>
            <w:szCs w:val="20"/>
          </w:rPr>
          <w:fldChar w:fldCharType="end"/>
        </w:r>
      </w:hyperlink>
    </w:p>
    <w:p w:rsidR="00D060AD" w:rsidRPr="00752CD0" w:rsidRDefault="00AA1C07">
      <w:pPr>
        <w:pStyle w:val="TOC1"/>
        <w:rPr>
          <w:rFonts w:ascii="Cambria" w:eastAsia="Times New Roman" w:hAnsi="Cambria"/>
          <w:noProof/>
          <w:sz w:val="20"/>
          <w:szCs w:val="20"/>
          <w:bdr w:val="none" w:sz="0" w:space="0" w:color="auto"/>
          <w:lang w:val="es-ES" w:eastAsia="es-ES"/>
        </w:rPr>
      </w:pPr>
      <w:hyperlink w:anchor="_Toc529792409" w:history="1">
        <w:r w:rsidR="00D060AD" w:rsidRPr="00937132">
          <w:rPr>
            <w:rStyle w:val="Hyperlink"/>
            <w:rFonts w:ascii="Cambria" w:hAnsi="Cambria" w:cs="Arial"/>
            <w:b/>
            <w:noProof/>
            <w:sz w:val="20"/>
            <w:szCs w:val="20"/>
            <w:lang w:val="es-AR"/>
          </w:rPr>
          <w:t>IX.</w:t>
        </w:r>
        <w:r w:rsidR="00D060AD" w:rsidRPr="00937132">
          <w:rPr>
            <w:rFonts w:ascii="Cambria" w:eastAsia="Times New Roman" w:hAnsi="Cambria"/>
            <w:b/>
            <w:noProof/>
            <w:sz w:val="20"/>
            <w:szCs w:val="20"/>
            <w:bdr w:val="none" w:sz="0" w:space="0" w:color="auto"/>
            <w:lang w:val="es-ES" w:eastAsia="es-ES"/>
          </w:rPr>
          <w:tab/>
        </w:r>
        <w:r w:rsidR="00D060AD" w:rsidRPr="00937132">
          <w:rPr>
            <w:rStyle w:val="Hyperlink"/>
            <w:rFonts w:ascii="Cambria" w:hAnsi="Cambria" w:cs="Arial"/>
            <w:b/>
            <w:noProof/>
            <w:sz w:val="20"/>
            <w:szCs w:val="20"/>
            <w:lang w:val="es-AR"/>
          </w:rPr>
          <w:t>PUBLICACIÓN</w:t>
        </w:r>
        <w:r w:rsidR="00D060AD" w:rsidRPr="00752CD0">
          <w:rPr>
            <w:rFonts w:ascii="Cambria" w:hAnsi="Cambria"/>
            <w:noProof/>
            <w:webHidden/>
            <w:sz w:val="20"/>
            <w:szCs w:val="20"/>
          </w:rPr>
          <w:tab/>
        </w:r>
        <w:r w:rsidR="00D060AD" w:rsidRPr="00752CD0">
          <w:rPr>
            <w:rFonts w:ascii="Cambria" w:hAnsi="Cambria"/>
            <w:noProof/>
            <w:webHidden/>
            <w:sz w:val="20"/>
            <w:szCs w:val="20"/>
          </w:rPr>
          <w:fldChar w:fldCharType="begin"/>
        </w:r>
        <w:r w:rsidR="00D060AD" w:rsidRPr="00752CD0">
          <w:rPr>
            <w:rFonts w:ascii="Cambria" w:hAnsi="Cambria"/>
            <w:noProof/>
            <w:webHidden/>
            <w:sz w:val="20"/>
            <w:szCs w:val="20"/>
          </w:rPr>
          <w:instrText xml:space="preserve"> PAGEREF _Toc529792409 \h </w:instrText>
        </w:r>
        <w:r w:rsidR="00D060AD" w:rsidRPr="00752CD0">
          <w:rPr>
            <w:rFonts w:ascii="Cambria" w:hAnsi="Cambria"/>
            <w:noProof/>
            <w:webHidden/>
            <w:sz w:val="20"/>
            <w:szCs w:val="20"/>
          </w:rPr>
        </w:r>
        <w:r w:rsidR="00D060AD" w:rsidRPr="00752CD0">
          <w:rPr>
            <w:rFonts w:ascii="Cambria" w:hAnsi="Cambria"/>
            <w:noProof/>
            <w:webHidden/>
            <w:sz w:val="20"/>
            <w:szCs w:val="20"/>
          </w:rPr>
          <w:fldChar w:fldCharType="separate"/>
        </w:r>
        <w:r w:rsidR="00B455EB">
          <w:rPr>
            <w:rFonts w:ascii="Cambria" w:hAnsi="Cambria"/>
            <w:noProof/>
            <w:webHidden/>
            <w:sz w:val="20"/>
            <w:szCs w:val="20"/>
          </w:rPr>
          <w:t>24</w:t>
        </w:r>
        <w:r w:rsidR="00D060AD" w:rsidRPr="00752CD0">
          <w:rPr>
            <w:rFonts w:ascii="Cambria" w:hAnsi="Cambria"/>
            <w:noProof/>
            <w:webHidden/>
            <w:sz w:val="20"/>
            <w:szCs w:val="20"/>
          </w:rPr>
          <w:fldChar w:fldCharType="end"/>
        </w:r>
      </w:hyperlink>
    </w:p>
    <w:p w:rsidR="008D768D" w:rsidRPr="00D23A6E" w:rsidRDefault="00D060AD" w:rsidP="00E50AA8">
      <w:pPr>
        <w:tabs>
          <w:tab w:val="left" w:pos="1440"/>
          <w:tab w:val="center" w:pos="5400"/>
        </w:tabs>
        <w:suppressAutoHyphens/>
        <w:spacing w:line="276" w:lineRule="auto"/>
        <w:rPr>
          <w:rFonts w:ascii="Cambria" w:hAnsi="Cambria"/>
          <w:sz w:val="20"/>
          <w:szCs w:val="20"/>
          <w:lang w:val="es-ES_tradnl"/>
        </w:rPr>
      </w:pPr>
      <w:r w:rsidRPr="00752CD0">
        <w:rPr>
          <w:rFonts w:ascii="Cambria" w:hAnsi="Cambria"/>
          <w:sz w:val="20"/>
          <w:szCs w:val="20"/>
          <w:lang w:val="es-ES_tradnl"/>
        </w:rPr>
        <w:fldChar w:fldCharType="end"/>
      </w:r>
    </w:p>
    <w:p w:rsidR="008D768D" w:rsidRPr="00D23A6E" w:rsidRDefault="008D768D" w:rsidP="00E50AA8">
      <w:pPr>
        <w:tabs>
          <w:tab w:val="left" w:pos="1440"/>
          <w:tab w:val="center" w:pos="5400"/>
        </w:tabs>
        <w:suppressAutoHyphens/>
        <w:spacing w:line="276" w:lineRule="auto"/>
        <w:rPr>
          <w:rFonts w:ascii="Cambria" w:hAnsi="Cambria"/>
          <w:sz w:val="20"/>
          <w:szCs w:val="20"/>
          <w:lang w:val="es-ES_tradnl"/>
        </w:rPr>
      </w:pPr>
    </w:p>
    <w:p w:rsidR="007B3C6B" w:rsidRPr="00360085" w:rsidRDefault="00722C9F" w:rsidP="00360085">
      <w:pPr>
        <w:tabs>
          <w:tab w:val="left" w:pos="1440"/>
        </w:tabs>
        <w:ind w:firstLine="720"/>
        <w:rPr>
          <w:rFonts w:ascii="Cambria" w:hAnsi="Cambria"/>
          <w:sz w:val="18"/>
          <w:szCs w:val="18"/>
          <w:lang w:val="es-ES_tradnl"/>
        </w:rPr>
      </w:pPr>
      <w:r w:rsidRPr="00C05D06">
        <w:rPr>
          <w:rFonts w:ascii="Cambria" w:hAnsi="Cambria" w:cs="Calibri"/>
          <w:sz w:val="20"/>
          <w:szCs w:val="20"/>
          <w:lang w:val="es-ES"/>
        </w:rPr>
        <w:br w:type="page"/>
      </w:r>
    </w:p>
    <w:p w:rsidR="007B3C6B" w:rsidRPr="00732F0C" w:rsidRDefault="007B3C6B" w:rsidP="00D060AD">
      <w:pPr>
        <w:pStyle w:val="Heading1"/>
        <w:ind w:firstLine="0"/>
        <w:jc w:val="both"/>
      </w:pPr>
      <w:bookmarkStart w:id="2" w:name="_Toc529792384"/>
      <w:r w:rsidRPr="00732F0C">
        <w:lastRenderedPageBreak/>
        <w:t>RESUMEN</w:t>
      </w:r>
      <w:bookmarkEnd w:id="2"/>
    </w:p>
    <w:p w:rsidR="007B3C6B" w:rsidRPr="00732F0C" w:rsidRDefault="007B3C6B" w:rsidP="00842D6E">
      <w:pPr>
        <w:tabs>
          <w:tab w:val="left" w:pos="1440"/>
        </w:tabs>
        <w:ind w:firstLine="720"/>
        <w:jc w:val="both"/>
        <w:rPr>
          <w:rFonts w:ascii="Cambria" w:hAnsi="Cambria"/>
          <w:sz w:val="20"/>
          <w:szCs w:val="20"/>
          <w:lang w:val="es-ES_tradnl"/>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El 9 de noviembre de 1994,</w:t>
      </w:r>
      <w:r w:rsidRPr="00732F0C">
        <w:rPr>
          <w:rFonts w:ascii="Cambria" w:hAnsi="Cambria"/>
          <w:sz w:val="20"/>
          <w:szCs w:val="20"/>
          <w:lang w:val="es-AR"/>
        </w:rPr>
        <w:t xml:space="preserve"> </w:t>
      </w:r>
      <w:r w:rsidRPr="00732F0C">
        <w:rPr>
          <w:rFonts w:ascii="Cambria" w:hAnsi="Cambria"/>
          <w:sz w:val="20"/>
          <w:szCs w:val="20"/>
          <w:lang w:val="es-CR"/>
        </w:rPr>
        <w:t xml:space="preserve">la Comisión Interamericana de Derechos Humanos (en adelante “la Comisión Interamericana”, “la Comisión” o “la CIDH”) recibió </w:t>
      </w:r>
      <w:r w:rsidR="00241DCD" w:rsidRPr="00732F0C">
        <w:rPr>
          <w:rFonts w:ascii="Cambria" w:hAnsi="Cambria"/>
          <w:sz w:val="20"/>
          <w:szCs w:val="20"/>
          <w:lang w:val="es-CR"/>
        </w:rPr>
        <w:t xml:space="preserve">una denuncia presentada por la </w:t>
      </w:r>
      <w:r w:rsidRPr="00732F0C">
        <w:rPr>
          <w:rFonts w:ascii="Cambria" w:hAnsi="Cambria"/>
          <w:sz w:val="20"/>
          <w:szCs w:val="20"/>
          <w:lang w:val="es-CR"/>
        </w:rPr>
        <w:t xml:space="preserve">Comisión Ecuménica de Derechos Humanos </w:t>
      </w:r>
      <w:r w:rsidR="00241DCD" w:rsidRPr="00732F0C">
        <w:rPr>
          <w:rFonts w:ascii="Cambria" w:hAnsi="Cambria"/>
          <w:sz w:val="20"/>
          <w:szCs w:val="20"/>
          <w:lang w:val="es-CR"/>
        </w:rPr>
        <w:t>(CEDHU) (en adelante “</w:t>
      </w:r>
      <w:r w:rsidR="0006359E" w:rsidRPr="00732F0C">
        <w:rPr>
          <w:rFonts w:ascii="Cambria" w:hAnsi="Cambria"/>
          <w:sz w:val="20"/>
          <w:szCs w:val="20"/>
          <w:lang w:val="es-CR"/>
        </w:rPr>
        <w:t>la peticionaria</w:t>
      </w:r>
      <w:r w:rsidR="00241DCD" w:rsidRPr="00732F0C">
        <w:rPr>
          <w:rFonts w:ascii="Cambria" w:hAnsi="Cambria"/>
          <w:sz w:val="20"/>
          <w:szCs w:val="20"/>
          <w:lang w:val="es-CR"/>
        </w:rPr>
        <w:t>”)</w:t>
      </w:r>
      <w:r w:rsidRPr="00732F0C">
        <w:rPr>
          <w:rFonts w:ascii="Cambria" w:hAnsi="Cambria"/>
          <w:sz w:val="20"/>
          <w:szCs w:val="20"/>
          <w:lang w:val="es-CR"/>
        </w:rPr>
        <w:t xml:space="preserve">, </w:t>
      </w:r>
      <w:r w:rsidR="00F05F26" w:rsidRPr="00732F0C">
        <w:rPr>
          <w:rFonts w:ascii="Cambria" w:hAnsi="Cambria"/>
          <w:sz w:val="20"/>
          <w:szCs w:val="20"/>
          <w:lang w:val="es-CR"/>
        </w:rPr>
        <w:t xml:space="preserve">en la cual se alegó la responsabilidad de la República de Ecuador </w:t>
      </w:r>
      <w:r w:rsidR="00F05F26" w:rsidRPr="00732F0C">
        <w:rPr>
          <w:rFonts w:ascii="Cambria" w:hAnsi="Cambria"/>
          <w:spacing w:val="-2"/>
          <w:sz w:val="20"/>
          <w:szCs w:val="20"/>
          <w:lang w:val="es-CR"/>
        </w:rPr>
        <w:t xml:space="preserve">(en adelante "el Estado ecuatoriano", “el Estado” o “Ecuador”) por el </w:t>
      </w:r>
      <w:r w:rsidR="003160E5" w:rsidRPr="00732F0C">
        <w:rPr>
          <w:rFonts w:ascii="Cambria" w:hAnsi="Cambria"/>
          <w:spacing w:val="-2"/>
          <w:sz w:val="20"/>
          <w:szCs w:val="20"/>
          <w:lang w:val="es-CR"/>
        </w:rPr>
        <w:t>homicidio de Jorge Darwin García</w:t>
      </w:r>
      <w:r w:rsidR="00F951E2" w:rsidRPr="00732F0C">
        <w:rPr>
          <w:rFonts w:ascii="Cambria" w:hAnsi="Cambria"/>
          <w:spacing w:val="-2"/>
          <w:sz w:val="20"/>
          <w:szCs w:val="20"/>
          <w:lang w:val="es-CR"/>
        </w:rPr>
        <w:t xml:space="preserve"> y las lesiones con arma de fuego a su hermano Franklin Plutarco García</w:t>
      </w:r>
      <w:r w:rsidR="00F05F26" w:rsidRPr="00732F0C">
        <w:rPr>
          <w:rFonts w:ascii="Cambria" w:hAnsi="Cambria"/>
          <w:spacing w:val="-2"/>
          <w:sz w:val="20"/>
          <w:szCs w:val="20"/>
          <w:lang w:val="es-CR"/>
        </w:rPr>
        <w:t>,</w:t>
      </w:r>
      <w:r w:rsidR="003160E5" w:rsidRPr="00732F0C">
        <w:rPr>
          <w:rFonts w:ascii="Cambria" w:hAnsi="Cambria"/>
          <w:spacing w:val="-2"/>
          <w:sz w:val="20"/>
          <w:szCs w:val="20"/>
          <w:lang w:val="es-CR"/>
        </w:rPr>
        <w:t xml:space="preserve"> </w:t>
      </w:r>
      <w:r w:rsidR="00F951E2" w:rsidRPr="00732F0C">
        <w:rPr>
          <w:rFonts w:ascii="Cambria" w:hAnsi="Cambria"/>
          <w:spacing w:val="-2"/>
          <w:sz w:val="20"/>
          <w:szCs w:val="20"/>
          <w:lang w:val="es-CR"/>
        </w:rPr>
        <w:t>presuntamente cometidas por un agente policial</w:t>
      </w:r>
      <w:r w:rsidR="000D4A81" w:rsidRPr="00732F0C">
        <w:rPr>
          <w:rFonts w:ascii="Cambria" w:hAnsi="Cambria"/>
          <w:spacing w:val="-2"/>
          <w:sz w:val="20"/>
          <w:szCs w:val="20"/>
          <w:lang w:val="es-CR"/>
        </w:rPr>
        <w:t xml:space="preserve">; </w:t>
      </w:r>
      <w:r w:rsidR="003160E5" w:rsidRPr="00732F0C">
        <w:rPr>
          <w:rFonts w:ascii="Cambria" w:hAnsi="Cambria"/>
          <w:spacing w:val="-2"/>
          <w:sz w:val="20"/>
          <w:szCs w:val="20"/>
          <w:lang w:val="es-CR"/>
        </w:rPr>
        <w:t xml:space="preserve">así </w:t>
      </w:r>
      <w:r w:rsidR="00F05F26" w:rsidRPr="00732F0C">
        <w:rPr>
          <w:rFonts w:ascii="Cambria" w:hAnsi="Cambria"/>
          <w:spacing w:val="-2"/>
          <w:sz w:val="20"/>
          <w:szCs w:val="20"/>
          <w:lang w:val="es-CR"/>
        </w:rPr>
        <w:t xml:space="preserve">como por </w:t>
      </w:r>
      <w:r w:rsidR="000D4A81" w:rsidRPr="00732F0C">
        <w:rPr>
          <w:rFonts w:ascii="Cambria" w:hAnsi="Cambria"/>
          <w:spacing w:val="-2"/>
          <w:sz w:val="20"/>
          <w:szCs w:val="20"/>
          <w:lang w:val="es-CR"/>
        </w:rPr>
        <w:t xml:space="preserve">las </w:t>
      </w:r>
      <w:r w:rsidR="000901A8" w:rsidRPr="00732F0C">
        <w:rPr>
          <w:rFonts w:ascii="Cambria" w:hAnsi="Cambria"/>
          <w:spacing w:val="-2"/>
          <w:sz w:val="20"/>
          <w:szCs w:val="20"/>
          <w:lang w:val="es-CR"/>
        </w:rPr>
        <w:t xml:space="preserve">alegadas </w:t>
      </w:r>
      <w:r w:rsidR="000D4A81" w:rsidRPr="00732F0C">
        <w:rPr>
          <w:rFonts w:ascii="Cambria" w:hAnsi="Cambria"/>
          <w:spacing w:val="-2"/>
          <w:sz w:val="20"/>
          <w:szCs w:val="20"/>
          <w:lang w:val="es-CR"/>
        </w:rPr>
        <w:t xml:space="preserve">falencias en la investigación y la demora del proceso penal.  </w:t>
      </w:r>
    </w:p>
    <w:p w:rsidR="00F05F26" w:rsidRPr="00732F0C" w:rsidRDefault="00F05F26"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rsidR="006F38F9" w:rsidRPr="00732F0C" w:rsidRDefault="006F38F9"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 xml:space="preserve">Según </w:t>
      </w:r>
      <w:r w:rsidR="000C2F82" w:rsidRPr="00732F0C">
        <w:rPr>
          <w:rFonts w:ascii="Cambria" w:hAnsi="Cambria" w:cs="Arial"/>
          <w:sz w:val="20"/>
          <w:szCs w:val="20"/>
          <w:lang w:val="es-CR"/>
        </w:rPr>
        <w:t>la peticionaria</w:t>
      </w:r>
      <w:r w:rsidRPr="00732F0C">
        <w:rPr>
          <w:rFonts w:ascii="Cambria" w:hAnsi="Cambria" w:cs="Arial"/>
          <w:sz w:val="20"/>
          <w:szCs w:val="20"/>
          <w:lang w:val="es-CR"/>
        </w:rPr>
        <w:t xml:space="preserve">, el </w:t>
      </w:r>
      <w:r w:rsidR="000C2F82" w:rsidRPr="00732F0C">
        <w:rPr>
          <w:rFonts w:ascii="Cambria" w:hAnsi="Cambria" w:cs="Arial"/>
          <w:sz w:val="20"/>
          <w:szCs w:val="20"/>
          <w:lang w:val="es-CR"/>
        </w:rPr>
        <w:t xml:space="preserve">12 de septiembre de 1993 un agente policial, en compañía de otro policía y de su hermano, habría disparado con su arma oficial a Jorge Darwin García, causándole la muerte. Asimismo, el mismo agente policial habría disparado a </w:t>
      </w:r>
      <w:r w:rsidR="000C2F82" w:rsidRPr="00732F0C">
        <w:rPr>
          <w:rFonts w:ascii="Cambria" w:hAnsi="Cambria"/>
          <w:spacing w:val="-2"/>
          <w:sz w:val="20"/>
          <w:szCs w:val="20"/>
          <w:lang w:val="es-CR"/>
        </w:rPr>
        <w:t>Franklin Plutarco García, causándole graves lesiones. La peticionaria señaló que</w:t>
      </w:r>
      <w:r w:rsidR="004569C3" w:rsidRPr="00732F0C">
        <w:rPr>
          <w:rFonts w:ascii="Cambria" w:hAnsi="Cambria"/>
          <w:spacing w:val="-2"/>
          <w:sz w:val="20"/>
          <w:szCs w:val="20"/>
          <w:lang w:val="es-CR"/>
        </w:rPr>
        <w:t xml:space="preserve"> el proceso, en el cual se condenó a un agente policial, tuvo una serie de irregularidades y falencias; y que el mismo tuvo una duración irrazonable</w:t>
      </w:r>
      <w:r w:rsidR="000C2F82" w:rsidRPr="00732F0C">
        <w:rPr>
          <w:rFonts w:ascii="Cambria" w:hAnsi="Cambria"/>
          <w:spacing w:val="-2"/>
          <w:sz w:val="20"/>
          <w:szCs w:val="20"/>
          <w:lang w:val="es-CR"/>
        </w:rPr>
        <w:t>. En cuando a los requisitos de admisibilidad, la peticionaria invocó la excepción de retardo injustificado establecida en el artículo 46.2.c) de la Convención Americana.</w:t>
      </w:r>
    </w:p>
    <w:p w:rsidR="006F38F9" w:rsidRPr="00732F0C" w:rsidRDefault="006F38F9" w:rsidP="00842D6E">
      <w:pPr>
        <w:pStyle w:val="ListParagraph"/>
        <w:jc w:val="both"/>
        <w:rPr>
          <w:spacing w:val="-2"/>
          <w:sz w:val="20"/>
          <w:szCs w:val="20"/>
          <w:lang w:val="es-CR"/>
        </w:rPr>
      </w:pPr>
    </w:p>
    <w:p w:rsidR="007B3C6B" w:rsidRPr="00732F0C" w:rsidRDefault="00295CD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spacing w:val="-2"/>
          <w:sz w:val="20"/>
          <w:szCs w:val="20"/>
          <w:lang w:val="es-CR"/>
        </w:rPr>
        <w:t>E</w:t>
      </w:r>
      <w:r w:rsidR="007B3C6B" w:rsidRPr="00732F0C">
        <w:rPr>
          <w:rFonts w:ascii="Cambria" w:hAnsi="Cambria"/>
          <w:spacing w:val="-2"/>
          <w:sz w:val="20"/>
          <w:szCs w:val="20"/>
          <w:lang w:val="es-CR"/>
        </w:rPr>
        <w:t xml:space="preserve">l Estado </w:t>
      </w:r>
      <w:r w:rsidR="000D4A81" w:rsidRPr="00732F0C">
        <w:rPr>
          <w:rFonts w:ascii="Cambria" w:hAnsi="Cambria"/>
          <w:spacing w:val="-2"/>
          <w:sz w:val="20"/>
          <w:szCs w:val="20"/>
          <w:lang w:val="es-CR"/>
        </w:rPr>
        <w:t>argumentó la in</w:t>
      </w:r>
      <w:r w:rsidR="004569C3" w:rsidRPr="00732F0C">
        <w:rPr>
          <w:rFonts w:ascii="Cambria" w:hAnsi="Cambria"/>
          <w:spacing w:val="-2"/>
          <w:sz w:val="20"/>
          <w:szCs w:val="20"/>
          <w:lang w:val="es-CR"/>
        </w:rPr>
        <w:t xml:space="preserve">admisibilidad de la petición debido a que las víctimas no habían agotado los recursos internos al momento en que se presentó la petición ante la CIDH. </w:t>
      </w:r>
      <w:r w:rsidR="001749AB" w:rsidRPr="00732F0C">
        <w:rPr>
          <w:rFonts w:ascii="Cambria" w:hAnsi="Cambria"/>
          <w:spacing w:val="-2"/>
          <w:sz w:val="20"/>
          <w:szCs w:val="20"/>
          <w:lang w:val="es-CR"/>
        </w:rPr>
        <w:t>Posteriormente indicó que el plazo del proceso es razonable por lo que no configuraría una excepción a la falta de agotamiento de recursos internos. Asimismo, el Estado indicó que los hechos del caso no caracterizan posibles violaciones a la Convención Americana en tanto se</w:t>
      </w:r>
      <w:r w:rsidR="007B3C6B" w:rsidRPr="00732F0C">
        <w:rPr>
          <w:rFonts w:ascii="Cambria" w:hAnsi="Cambria"/>
          <w:spacing w:val="-2"/>
          <w:sz w:val="20"/>
          <w:szCs w:val="20"/>
          <w:lang w:val="es-CR"/>
        </w:rPr>
        <w:t xml:space="preserve"> realizó una investigación seria, completa e imparcial</w:t>
      </w:r>
      <w:r w:rsidR="00733CE8" w:rsidRPr="00732F0C">
        <w:rPr>
          <w:rFonts w:ascii="Cambria" w:hAnsi="Cambria"/>
          <w:spacing w:val="-2"/>
          <w:sz w:val="20"/>
          <w:szCs w:val="20"/>
          <w:lang w:val="es-CR"/>
        </w:rPr>
        <w:t xml:space="preserve"> </w:t>
      </w:r>
      <w:r w:rsidR="001749AB" w:rsidRPr="00732F0C">
        <w:rPr>
          <w:rFonts w:ascii="Cambria" w:hAnsi="Cambria"/>
          <w:spacing w:val="-2"/>
          <w:sz w:val="20"/>
          <w:szCs w:val="20"/>
          <w:lang w:val="es-CR"/>
        </w:rPr>
        <w:t>que permitió</w:t>
      </w:r>
      <w:r w:rsidR="00733CE8" w:rsidRPr="00732F0C">
        <w:rPr>
          <w:rFonts w:ascii="Cambria" w:hAnsi="Cambria"/>
          <w:spacing w:val="-2"/>
          <w:sz w:val="20"/>
          <w:szCs w:val="20"/>
          <w:lang w:val="es-CR"/>
        </w:rPr>
        <w:t xml:space="preserve"> encontrar responsable a un agente policial. Sostuvo que, sin perjuicio de ello, los hechos </w:t>
      </w:r>
      <w:r w:rsidR="001749AB" w:rsidRPr="00732F0C">
        <w:rPr>
          <w:rFonts w:ascii="Cambria" w:hAnsi="Cambria"/>
          <w:spacing w:val="-2"/>
          <w:sz w:val="20"/>
          <w:szCs w:val="20"/>
          <w:lang w:val="es-CR"/>
        </w:rPr>
        <w:t xml:space="preserve">tampoco </w:t>
      </w:r>
      <w:r w:rsidR="00733CE8" w:rsidRPr="00732F0C">
        <w:rPr>
          <w:rFonts w:ascii="Cambria" w:hAnsi="Cambria"/>
          <w:spacing w:val="-2"/>
          <w:sz w:val="20"/>
          <w:szCs w:val="20"/>
          <w:lang w:val="es-CR"/>
        </w:rPr>
        <w:t>pueden ser atribuibles al Estado puesto que si bien la persona responsable</w:t>
      </w:r>
      <w:r w:rsidR="007B3C6B" w:rsidRPr="00732F0C">
        <w:rPr>
          <w:rFonts w:ascii="Cambria" w:hAnsi="Cambria"/>
          <w:spacing w:val="-2"/>
          <w:sz w:val="20"/>
          <w:szCs w:val="20"/>
          <w:lang w:val="es-CR"/>
        </w:rPr>
        <w:t xml:space="preserve"> era miembro de la Policía Nacional, no ostentaba carácter oficial al momento de comisión de los hechos. </w:t>
      </w:r>
    </w:p>
    <w:p w:rsidR="007B3C6B" w:rsidRPr="00732F0C" w:rsidRDefault="007B3C6B" w:rsidP="00842D6E">
      <w:pPr>
        <w:tabs>
          <w:tab w:val="left" w:pos="1440"/>
        </w:tabs>
        <w:ind w:firstLine="720"/>
        <w:jc w:val="both"/>
        <w:rPr>
          <w:rFonts w:ascii="Cambria" w:hAnsi="Cambria" w:cs="Arial"/>
          <w:sz w:val="20"/>
          <w:szCs w:val="20"/>
          <w:lang w:val="es-CR"/>
        </w:rPr>
      </w:pPr>
    </w:p>
    <w:p w:rsidR="007B3C6B" w:rsidRPr="00732F0C" w:rsidRDefault="00914BB4"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 xml:space="preserve">Tras analizar la información disponible la Comisión verificó el cumplimiento de los requisitos de admisibilidad consagrados en los artículos 46 y 47 de la Convención Americana y concluyó que el Estado es responsable por la violación de los derechos establecidos en los artículos </w:t>
      </w:r>
      <w:r w:rsidR="006A6785" w:rsidRPr="00732F0C">
        <w:rPr>
          <w:rFonts w:ascii="Cambria" w:hAnsi="Cambria" w:cs="Arial"/>
          <w:sz w:val="20"/>
          <w:szCs w:val="20"/>
          <w:lang w:val="es-CR"/>
        </w:rPr>
        <w:t xml:space="preserve">4, 5, </w:t>
      </w:r>
      <w:r w:rsidRPr="00732F0C">
        <w:rPr>
          <w:rFonts w:ascii="Cambria" w:hAnsi="Cambria" w:cs="Arial"/>
          <w:sz w:val="20"/>
          <w:szCs w:val="20"/>
          <w:lang w:val="es-CR"/>
        </w:rPr>
        <w:t>8</w:t>
      </w:r>
      <w:r w:rsidR="00AB5CFF" w:rsidRPr="00732F0C">
        <w:rPr>
          <w:rFonts w:ascii="Cambria" w:hAnsi="Cambria" w:cs="Arial"/>
          <w:sz w:val="20"/>
          <w:szCs w:val="20"/>
          <w:lang w:val="es-CR"/>
        </w:rPr>
        <w:t>.1</w:t>
      </w:r>
      <w:r w:rsidRPr="00732F0C">
        <w:rPr>
          <w:rFonts w:ascii="Cambria" w:hAnsi="Cambria" w:cs="Arial"/>
          <w:sz w:val="20"/>
          <w:szCs w:val="20"/>
          <w:lang w:val="es-CR"/>
        </w:rPr>
        <w:t xml:space="preserve"> y 25</w:t>
      </w:r>
      <w:r w:rsidR="00AB5CFF" w:rsidRPr="00732F0C">
        <w:rPr>
          <w:rFonts w:ascii="Cambria" w:hAnsi="Cambria" w:cs="Arial"/>
          <w:sz w:val="20"/>
          <w:szCs w:val="20"/>
          <w:lang w:val="es-CR"/>
        </w:rPr>
        <w:t>.1</w:t>
      </w:r>
      <w:r w:rsidRPr="00732F0C">
        <w:rPr>
          <w:rFonts w:ascii="Cambria" w:hAnsi="Cambria" w:cs="Arial"/>
          <w:sz w:val="20"/>
          <w:szCs w:val="20"/>
          <w:lang w:val="es-CR"/>
        </w:rPr>
        <w:t xml:space="preserve"> de la Convención Americana en relación con las</w:t>
      </w:r>
      <w:r w:rsidR="0000565A" w:rsidRPr="00732F0C">
        <w:rPr>
          <w:rFonts w:ascii="Cambria" w:hAnsi="Cambria" w:cs="Arial"/>
          <w:sz w:val="20"/>
          <w:szCs w:val="20"/>
          <w:lang w:val="es-CR"/>
        </w:rPr>
        <w:t xml:space="preserve"> obligaciones establecidas en los</w:t>
      </w:r>
      <w:r w:rsidRPr="00732F0C">
        <w:rPr>
          <w:rFonts w:ascii="Cambria" w:hAnsi="Cambria" w:cs="Arial"/>
          <w:sz w:val="20"/>
          <w:szCs w:val="20"/>
          <w:lang w:val="es-CR"/>
        </w:rPr>
        <w:t xml:space="preserve"> artículo</w:t>
      </w:r>
      <w:r w:rsidR="0000565A" w:rsidRPr="00732F0C">
        <w:rPr>
          <w:rFonts w:ascii="Cambria" w:hAnsi="Cambria" w:cs="Arial"/>
          <w:sz w:val="20"/>
          <w:szCs w:val="20"/>
          <w:lang w:val="es-CR"/>
        </w:rPr>
        <w:t>s</w:t>
      </w:r>
      <w:r w:rsidRPr="00732F0C">
        <w:rPr>
          <w:rFonts w:ascii="Cambria" w:hAnsi="Cambria" w:cs="Arial"/>
          <w:sz w:val="20"/>
          <w:szCs w:val="20"/>
          <w:lang w:val="es-CR"/>
        </w:rPr>
        <w:t xml:space="preserve"> 1.1</w:t>
      </w:r>
      <w:r w:rsidR="0000565A" w:rsidRPr="00732F0C">
        <w:rPr>
          <w:rFonts w:ascii="Cambria" w:hAnsi="Cambria" w:cs="Arial"/>
          <w:sz w:val="20"/>
          <w:szCs w:val="20"/>
          <w:lang w:val="es-CR"/>
        </w:rPr>
        <w:t xml:space="preserve"> y 2</w:t>
      </w:r>
      <w:r w:rsidRPr="00732F0C">
        <w:rPr>
          <w:rFonts w:ascii="Cambria" w:hAnsi="Cambria" w:cs="Arial"/>
          <w:sz w:val="20"/>
          <w:szCs w:val="20"/>
          <w:lang w:val="es-CR"/>
        </w:rPr>
        <w:t xml:space="preserve"> del mismo instrumento internacional, en perjuicio de </w:t>
      </w:r>
      <w:r w:rsidR="006A6785" w:rsidRPr="00732F0C">
        <w:rPr>
          <w:rFonts w:ascii="Cambria" w:hAnsi="Cambria" w:cs="Arial"/>
          <w:sz w:val="20"/>
          <w:szCs w:val="20"/>
          <w:lang w:val="es-CR"/>
        </w:rPr>
        <w:t>las personas mencionadas en las secciones correspondientes</w:t>
      </w:r>
      <w:r w:rsidRPr="00732F0C">
        <w:rPr>
          <w:rFonts w:ascii="Cambria" w:hAnsi="Cambria" w:cs="Arial"/>
          <w:sz w:val="20"/>
          <w:szCs w:val="20"/>
          <w:lang w:val="es-CR"/>
        </w:rPr>
        <w:t xml:space="preserve">. </w:t>
      </w:r>
    </w:p>
    <w:p w:rsidR="00914BB4" w:rsidRPr="00732F0C" w:rsidRDefault="00914BB4" w:rsidP="00842D6E">
      <w:pPr>
        <w:tabs>
          <w:tab w:val="left" w:pos="1440"/>
        </w:tabs>
        <w:jc w:val="both"/>
        <w:rPr>
          <w:rFonts w:ascii="Cambria" w:hAnsi="Cambria"/>
          <w:sz w:val="20"/>
          <w:szCs w:val="20"/>
          <w:lang w:val="es-CR"/>
        </w:rPr>
      </w:pPr>
    </w:p>
    <w:p w:rsidR="007B3C6B" w:rsidRPr="00732F0C" w:rsidRDefault="007B3C6B" w:rsidP="00D060AD">
      <w:pPr>
        <w:pStyle w:val="Heading1"/>
        <w:ind w:firstLine="0"/>
        <w:jc w:val="both"/>
      </w:pPr>
      <w:bookmarkStart w:id="3" w:name="_Toc529792385"/>
      <w:r w:rsidRPr="00732F0C">
        <w:t>TRÁMITE ANTE LA CIDH</w:t>
      </w:r>
      <w:bookmarkEnd w:id="3"/>
      <w:r w:rsidRPr="00732F0C">
        <w:t xml:space="preserve"> </w:t>
      </w:r>
    </w:p>
    <w:p w:rsidR="007B3C6B" w:rsidRPr="00732F0C" w:rsidRDefault="007B3C6B" w:rsidP="00842D6E">
      <w:pPr>
        <w:tabs>
          <w:tab w:val="left" w:pos="1440"/>
        </w:tabs>
        <w:ind w:firstLine="720"/>
        <w:jc w:val="both"/>
        <w:rPr>
          <w:rFonts w:ascii="Cambria" w:hAnsi="Cambria"/>
          <w:b/>
          <w:sz w:val="20"/>
          <w:szCs w:val="20"/>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El 9 de noviembre de 1994 la Comisión recibió la petición inicial que fue trasladada a</w:t>
      </w:r>
      <w:r w:rsidR="000D4A81" w:rsidRPr="00732F0C">
        <w:rPr>
          <w:rFonts w:ascii="Cambria" w:hAnsi="Cambria"/>
          <w:sz w:val="20"/>
          <w:szCs w:val="20"/>
          <w:lang w:val="es-CR"/>
        </w:rPr>
        <w:t>l Estado el 24 de abril de 1995</w:t>
      </w:r>
      <w:r w:rsidRPr="00732F0C">
        <w:rPr>
          <w:rFonts w:ascii="Cambria" w:hAnsi="Cambria"/>
          <w:sz w:val="20"/>
          <w:szCs w:val="20"/>
          <w:lang w:val="es-CR"/>
        </w:rPr>
        <w:t>.</w:t>
      </w:r>
      <w:r w:rsidR="000D4A81" w:rsidRPr="00732F0C">
        <w:rPr>
          <w:rFonts w:ascii="Cambria" w:hAnsi="Cambria"/>
          <w:sz w:val="20"/>
          <w:szCs w:val="20"/>
          <w:lang w:val="es-CR"/>
        </w:rPr>
        <w:t xml:space="preserve"> </w:t>
      </w:r>
      <w:r w:rsidR="00E33141" w:rsidRPr="00732F0C">
        <w:rPr>
          <w:rFonts w:ascii="Cambria" w:hAnsi="Cambria"/>
          <w:sz w:val="20"/>
          <w:szCs w:val="20"/>
          <w:lang w:val="es-CR"/>
        </w:rPr>
        <w:t>El 3 de agosto de 1995</w:t>
      </w:r>
      <w:r w:rsidR="000D4A81" w:rsidRPr="00732F0C">
        <w:rPr>
          <w:rFonts w:ascii="Cambria" w:hAnsi="Cambria"/>
          <w:sz w:val="20"/>
          <w:szCs w:val="20"/>
          <w:lang w:val="es-CR"/>
        </w:rPr>
        <w:t xml:space="preserve"> y </w:t>
      </w:r>
      <w:r w:rsidR="001946F1" w:rsidRPr="00732F0C">
        <w:rPr>
          <w:rFonts w:ascii="Cambria" w:hAnsi="Cambria"/>
          <w:sz w:val="20"/>
          <w:szCs w:val="20"/>
          <w:lang w:val="es-CR"/>
        </w:rPr>
        <w:t>1 de marzo</w:t>
      </w:r>
      <w:r w:rsidR="000D4A81" w:rsidRPr="00732F0C">
        <w:rPr>
          <w:rFonts w:ascii="Cambria" w:hAnsi="Cambria"/>
          <w:sz w:val="20"/>
          <w:szCs w:val="20"/>
          <w:lang w:val="es-CR"/>
        </w:rPr>
        <w:t xml:space="preserve"> de 1996</w:t>
      </w:r>
      <w:r w:rsidRPr="00732F0C">
        <w:rPr>
          <w:rFonts w:ascii="Cambria" w:hAnsi="Cambria"/>
          <w:sz w:val="20"/>
          <w:szCs w:val="20"/>
          <w:lang w:val="es-CR"/>
        </w:rPr>
        <w:t xml:space="preserve"> la peticionaria presentó información adicional</w:t>
      </w:r>
      <w:r w:rsidR="000D4A81" w:rsidRPr="00732F0C">
        <w:rPr>
          <w:rFonts w:ascii="Cambria" w:hAnsi="Cambria"/>
          <w:sz w:val="20"/>
          <w:szCs w:val="20"/>
          <w:lang w:val="es-CR"/>
        </w:rPr>
        <w:t xml:space="preserve">. </w:t>
      </w:r>
      <w:r w:rsidRPr="00732F0C">
        <w:rPr>
          <w:rFonts w:ascii="Cambria" w:hAnsi="Cambria"/>
          <w:sz w:val="20"/>
          <w:szCs w:val="20"/>
          <w:lang w:val="es-CR"/>
        </w:rPr>
        <w:t>El 6 de enero de 1999 la Comisión e</w:t>
      </w:r>
      <w:r w:rsidR="00BB4594" w:rsidRPr="00732F0C">
        <w:rPr>
          <w:rFonts w:ascii="Cambria" w:hAnsi="Cambria"/>
          <w:sz w:val="20"/>
          <w:szCs w:val="20"/>
          <w:lang w:val="es-CR"/>
        </w:rPr>
        <w:t>nvió una comunicación al Estado</w:t>
      </w:r>
      <w:r w:rsidRPr="00732F0C">
        <w:rPr>
          <w:rFonts w:ascii="Cambria" w:hAnsi="Cambria"/>
          <w:sz w:val="20"/>
          <w:szCs w:val="20"/>
          <w:lang w:val="es-CR"/>
        </w:rPr>
        <w:t xml:space="preserve"> indicando que ante la falta de respuesta a las comunicaciones </w:t>
      </w:r>
      <w:r w:rsidR="001946F1" w:rsidRPr="00732F0C">
        <w:rPr>
          <w:rFonts w:ascii="Cambria" w:hAnsi="Cambria"/>
          <w:sz w:val="20"/>
          <w:szCs w:val="20"/>
          <w:lang w:val="es-CR"/>
        </w:rPr>
        <w:t xml:space="preserve">enviadas, </w:t>
      </w:r>
      <w:r w:rsidR="00BB4594" w:rsidRPr="00732F0C">
        <w:rPr>
          <w:rFonts w:ascii="Cambria" w:hAnsi="Cambria"/>
          <w:sz w:val="20"/>
          <w:szCs w:val="20"/>
          <w:lang w:val="es-CR"/>
        </w:rPr>
        <w:t>presentara</w:t>
      </w:r>
      <w:r w:rsidRPr="00732F0C">
        <w:rPr>
          <w:rFonts w:ascii="Cambria" w:hAnsi="Cambria"/>
          <w:sz w:val="20"/>
          <w:szCs w:val="20"/>
          <w:lang w:val="es-CR"/>
        </w:rPr>
        <w:t xml:space="preserve"> información relativa al caso. </w:t>
      </w:r>
    </w:p>
    <w:p w:rsidR="007B3C6B" w:rsidRPr="00732F0C" w:rsidRDefault="007B3C6B" w:rsidP="00842D6E">
      <w:pPr>
        <w:tabs>
          <w:tab w:val="left" w:pos="1440"/>
        </w:tabs>
        <w:ind w:firstLine="720"/>
        <w:jc w:val="both"/>
        <w:rPr>
          <w:rFonts w:ascii="Cambria" w:hAnsi="Cambria"/>
          <w:sz w:val="20"/>
          <w:szCs w:val="20"/>
          <w:lang w:val="es-CR"/>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La peticionaria presentó información adicional el 31 de mayo de 1999, 2 de marzo de 2000, 19 de </w:t>
      </w:r>
      <w:r w:rsidR="001946F1" w:rsidRPr="00732F0C">
        <w:rPr>
          <w:rFonts w:ascii="Cambria" w:hAnsi="Cambria"/>
          <w:sz w:val="20"/>
          <w:szCs w:val="20"/>
          <w:lang w:val="es-CR"/>
        </w:rPr>
        <w:t>abril y 20 de diciembre de 2001</w:t>
      </w:r>
      <w:r w:rsidRPr="00732F0C">
        <w:rPr>
          <w:rFonts w:ascii="Cambria" w:hAnsi="Cambria"/>
          <w:sz w:val="20"/>
          <w:szCs w:val="20"/>
          <w:lang w:val="es-CR"/>
        </w:rPr>
        <w:t>.</w:t>
      </w:r>
      <w:r w:rsidR="001946F1" w:rsidRPr="00732F0C">
        <w:rPr>
          <w:rFonts w:ascii="Cambria" w:hAnsi="Cambria"/>
          <w:sz w:val="20"/>
          <w:szCs w:val="20"/>
          <w:lang w:val="es-CR"/>
        </w:rPr>
        <w:t xml:space="preserve"> </w:t>
      </w:r>
      <w:r w:rsidR="00473E50" w:rsidRPr="00732F0C">
        <w:rPr>
          <w:rFonts w:ascii="Cambria" w:hAnsi="Cambria"/>
          <w:sz w:val="20"/>
          <w:szCs w:val="20"/>
          <w:lang w:val="es-CR"/>
        </w:rPr>
        <w:t>Por su parte, e</w:t>
      </w:r>
      <w:r w:rsidR="00BB4594" w:rsidRPr="00732F0C">
        <w:rPr>
          <w:rFonts w:ascii="Cambria" w:hAnsi="Cambria"/>
          <w:sz w:val="20"/>
          <w:szCs w:val="20"/>
          <w:lang w:val="es-CR"/>
        </w:rPr>
        <w:t>l Estado presentó observaciones</w:t>
      </w:r>
      <w:r w:rsidRPr="00732F0C">
        <w:rPr>
          <w:rFonts w:ascii="Cambria" w:hAnsi="Cambria"/>
          <w:sz w:val="20"/>
          <w:szCs w:val="20"/>
          <w:lang w:val="es-CR"/>
        </w:rPr>
        <w:t xml:space="preserve"> el 4 de e</w:t>
      </w:r>
      <w:r w:rsidR="00BB4594" w:rsidRPr="00732F0C">
        <w:rPr>
          <w:rFonts w:ascii="Cambria" w:hAnsi="Cambria"/>
          <w:sz w:val="20"/>
          <w:szCs w:val="20"/>
          <w:lang w:val="es-CR"/>
        </w:rPr>
        <w:t>nero y 20 de septiembre de 2000;</w:t>
      </w:r>
      <w:r w:rsidRPr="00732F0C">
        <w:rPr>
          <w:rFonts w:ascii="Cambria" w:hAnsi="Cambria"/>
          <w:sz w:val="20"/>
          <w:szCs w:val="20"/>
          <w:lang w:val="es-CR"/>
        </w:rPr>
        <w:t xml:space="preserve"> y 29 de agosto de 2001.</w:t>
      </w:r>
    </w:p>
    <w:p w:rsidR="0035594E" w:rsidRPr="00732F0C" w:rsidRDefault="0035594E" w:rsidP="00360085">
      <w:pPr>
        <w:tabs>
          <w:tab w:val="left" w:pos="1440"/>
        </w:tabs>
        <w:jc w:val="both"/>
        <w:rPr>
          <w:rFonts w:ascii="Cambria" w:hAnsi="Cambria"/>
          <w:sz w:val="20"/>
          <w:szCs w:val="20"/>
          <w:lang w:val="es-CR"/>
        </w:rPr>
      </w:pPr>
    </w:p>
    <w:p w:rsidR="007B3C6B" w:rsidRPr="00732F0C" w:rsidRDefault="001946F1"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w:t>
      </w:r>
      <w:r w:rsidR="007B3C6B" w:rsidRPr="00732F0C">
        <w:rPr>
          <w:rFonts w:ascii="Cambria" w:hAnsi="Cambria"/>
          <w:sz w:val="20"/>
          <w:szCs w:val="20"/>
          <w:lang w:val="es-CR"/>
        </w:rPr>
        <w:t xml:space="preserve">l 8 de mayo de 2003 la </w:t>
      </w:r>
      <w:r w:rsidR="00473E50" w:rsidRPr="00732F0C">
        <w:rPr>
          <w:rFonts w:ascii="Cambria" w:hAnsi="Cambria"/>
          <w:sz w:val="20"/>
          <w:szCs w:val="20"/>
          <w:lang w:val="es-CR"/>
        </w:rPr>
        <w:t>CIDH</w:t>
      </w:r>
      <w:r w:rsidR="007B3C6B" w:rsidRPr="00732F0C">
        <w:rPr>
          <w:rFonts w:ascii="Cambria" w:hAnsi="Cambria"/>
          <w:sz w:val="20"/>
          <w:szCs w:val="20"/>
          <w:lang w:val="es-CR"/>
        </w:rPr>
        <w:t xml:space="preserve"> notificó a las partes la decisión de aplicar el artículo 37.3 de su Reglamento y solicitó que formularan sus observaciones sobre el fondo del asunto. La peticionaria presentó sus observaciones </w:t>
      </w:r>
      <w:r w:rsidR="00473E50" w:rsidRPr="00732F0C">
        <w:rPr>
          <w:rFonts w:ascii="Cambria" w:hAnsi="Cambria"/>
          <w:sz w:val="20"/>
          <w:szCs w:val="20"/>
          <w:lang w:val="es-CR"/>
        </w:rPr>
        <w:t>el 6 de agosto de 2003</w:t>
      </w:r>
      <w:r w:rsidR="006F38F9" w:rsidRPr="00732F0C">
        <w:rPr>
          <w:rFonts w:ascii="Cambria" w:hAnsi="Cambria"/>
          <w:sz w:val="20"/>
          <w:szCs w:val="20"/>
          <w:lang w:val="es-CR"/>
        </w:rPr>
        <w:t>;</w:t>
      </w:r>
      <w:r w:rsidRPr="00732F0C">
        <w:rPr>
          <w:rFonts w:ascii="Cambria" w:hAnsi="Cambria"/>
          <w:sz w:val="20"/>
          <w:szCs w:val="20"/>
          <w:lang w:val="es-CR"/>
        </w:rPr>
        <w:t xml:space="preserve"> 4 de noviembre de 2004</w:t>
      </w:r>
      <w:r w:rsidR="006F38F9" w:rsidRPr="00732F0C">
        <w:rPr>
          <w:rFonts w:ascii="Cambria" w:hAnsi="Cambria"/>
          <w:sz w:val="20"/>
          <w:szCs w:val="20"/>
          <w:lang w:val="es-CR"/>
        </w:rPr>
        <w:t>;</w:t>
      </w:r>
      <w:r w:rsidRPr="00732F0C">
        <w:rPr>
          <w:rFonts w:ascii="Cambria" w:hAnsi="Cambria"/>
          <w:sz w:val="20"/>
          <w:szCs w:val="20"/>
          <w:lang w:val="es-CR"/>
        </w:rPr>
        <w:t xml:space="preserve"> 7 de abril de 2006</w:t>
      </w:r>
      <w:r w:rsidR="006F38F9" w:rsidRPr="00732F0C">
        <w:rPr>
          <w:rFonts w:ascii="Cambria" w:hAnsi="Cambria"/>
          <w:sz w:val="20"/>
          <w:szCs w:val="20"/>
          <w:lang w:val="es-CR"/>
        </w:rPr>
        <w:t>;</w:t>
      </w:r>
      <w:r w:rsidRPr="00732F0C">
        <w:rPr>
          <w:rFonts w:ascii="Cambria" w:hAnsi="Cambria"/>
          <w:sz w:val="20"/>
          <w:szCs w:val="20"/>
          <w:lang w:val="es-CR"/>
        </w:rPr>
        <w:t xml:space="preserve"> 6 de febrero de 2008</w:t>
      </w:r>
      <w:r w:rsidR="006F38F9" w:rsidRPr="00732F0C">
        <w:rPr>
          <w:rFonts w:ascii="Cambria" w:hAnsi="Cambria"/>
          <w:sz w:val="20"/>
          <w:szCs w:val="20"/>
          <w:lang w:val="es-CR"/>
        </w:rPr>
        <w:t>; 16 y 19 de julio de 2013; y 7 de enero de 201</w:t>
      </w:r>
      <w:r w:rsidR="00BB4594" w:rsidRPr="00732F0C">
        <w:rPr>
          <w:rFonts w:ascii="Cambria" w:hAnsi="Cambria"/>
          <w:sz w:val="20"/>
          <w:szCs w:val="20"/>
          <w:lang w:val="es-CR"/>
        </w:rPr>
        <w:t>5</w:t>
      </w:r>
      <w:r w:rsidR="007B3C6B" w:rsidRPr="00732F0C">
        <w:rPr>
          <w:rFonts w:ascii="Cambria" w:hAnsi="Cambria"/>
          <w:sz w:val="20"/>
          <w:szCs w:val="20"/>
          <w:lang w:val="es-CR"/>
        </w:rPr>
        <w:t>.</w:t>
      </w:r>
      <w:r w:rsidRPr="00732F0C">
        <w:rPr>
          <w:rFonts w:ascii="Cambria" w:hAnsi="Cambria"/>
          <w:sz w:val="20"/>
          <w:szCs w:val="20"/>
          <w:lang w:val="es-CR"/>
        </w:rPr>
        <w:t xml:space="preserve"> Por su parte, el Estado presentó información </w:t>
      </w:r>
      <w:r w:rsidR="006F38F9" w:rsidRPr="00732F0C">
        <w:rPr>
          <w:rFonts w:ascii="Cambria" w:hAnsi="Cambria"/>
          <w:sz w:val="20"/>
          <w:szCs w:val="20"/>
          <w:lang w:val="es-CR"/>
        </w:rPr>
        <w:t>E</w:t>
      </w:r>
      <w:r w:rsidR="007B3C6B" w:rsidRPr="00732F0C">
        <w:rPr>
          <w:rFonts w:ascii="Cambria" w:hAnsi="Cambria"/>
          <w:sz w:val="20"/>
          <w:szCs w:val="20"/>
          <w:lang w:val="es-CR"/>
        </w:rPr>
        <w:t xml:space="preserve">l 25 de agosto y 14 de septiembre de 2004, y el 8 de noviembre de 2005. </w:t>
      </w:r>
    </w:p>
    <w:p w:rsidR="006F38F9" w:rsidRPr="00732F0C" w:rsidRDefault="006F38F9" w:rsidP="00842D6E">
      <w:pPr>
        <w:pStyle w:val="ListParagraph"/>
        <w:jc w:val="both"/>
        <w:rPr>
          <w:sz w:val="20"/>
          <w:szCs w:val="20"/>
          <w:lang w:val="es-CR"/>
        </w:rPr>
      </w:pPr>
    </w:p>
    <w:p w:rsidR="006F38F9" w:rsidRPr="00732F0C" w:rsidRDefault="006F38F9"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Todas las comunicaciones presentadas a la Comisión fueron debidamente trasladadas a las partes.</w:t>
      </w:r>
    </w:p>
    <w:p w:rsidR="007B3C6B" w:rsidRPr="00732F0C" w:rsidRDefault="007B3C6B" w:rsidP="00842D6E">
      <w:pPr>
        <w:tabs>
          <w:tab w:val="left" w:pos="1440"/>
        </w:tabs>
        <w:ind w:firstLine="720"/>
        <w:jc w:val="both"/>
        <w:rPr>
          <w:rFonts w:ascii="Cambria" w:hAnsi="Cambria"/>
          <w:sz w:val="20"/>
          <w:szCs w:val="20"/>
          <w:lang w:val="es-CR"/>
        </w:rPr>
      </w:pPr>
    </w:p>
    <w:p w:rsidR="007033A8" w:rsidRDefault="007033A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bCs/>
          <w:sz w:val="20"/>
          <w:szCs w:val="20"/>
          <w:lang w:val="es-ES_tradnl"/>
        </w:rPr>
      </w:pPr>
      <w:bookmarkStart w:id="4" w:name="_Toc529792386"/>
      <w:r w:rsidRPr="00675C3A">
        <w:rPr>
          <w:lang w:val="es-US"/>
        </w:rPr>
        <w:br w:type="page"/>
      </w:r>
    </w:p>
    <w:p w:rsidR="007B3C6B" w:rsidRPr="00732F0C" w:rsidRDefault="007B3C6B" w:rsidP="00D060AD">
      <w:pPr>
        <w:pStyle w:val="Heading1"/>
        <w:ind w:firstLine="0"/>
        <w:jc w:val="both"/>
      </w:pPr>
      <w:r w:rsidRPr="00732F0C">
        <w:lastRenderedPageBreak/>
        <w:t>POSICIÓN DE LAS PARTES</w:t>
      </w:r>
      <w:bookmarkEnd w:id="4"/>
    </w:p>
    <w:p w:rsidR="007B3C6B" w:rsidRPr="00732F0C" w:rsidRDefault="007B3C6B" w:rsidP="00842D6E">
      <w:pPr>
        <w:tabs>
          <w:tab w:val="left" w:pos="1440"/>
        </w:tabs>
        <w:ind w:firstLine="720"/>
        <w:jc w:val="both"/>
        <w:rPr>
          <w:rFonts w:ascii="Cambria" w:hAnsi="Cambria"/>
          <w:b/>
          <w:sz w:val="20"/>
          <w:szCs w:val="20"/>
          <w:u w:val="single"/>
        </w:rPr>
      </w:pPr>
    </w:p>
    <w:p w:rsidR="007B3C6B" w:rsidRPr="00732F0C" w:rsidRDefault="00733CE8" w:rsidP="00842D6E">
      <w:pPr>
        <w:pStyle w:val="Heading2"/>
        <w:jc w:val="both"/>
      </w:pPr>
      <w:bookmarkStart w:id="5" w:name="_Toc529792387"/>
      <w:r w:rsidRPr="00732F0C">
        <w:t>Posición de l</w:t>
      </w:r>
      <w:r w:rsidR="007B3C6B" w:rsidRPr="00732F0C">
        <w:t>a peticionaria</w:t>
      </w:r>
      <w:bookmarkEnd w:id="5"/>
    </w:p>
    <w:p w:rsidR="0006359E" w:rsidRPr="00732F0C" w:rsidRDefault="0006359E"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5541B8" w:rsidRPr="00732F0C" w:rsidRDefault="005541B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CR"/>
        </w:rPr>
        <w:t>La peticionaria indicó</w:t>
      </w:r>
      <w:r w:rsidRPr="00732F0C">
        <w:rPr>
          <w:rFonts w:ascii="Cambria" w:hAnsi="Cambria"/>
          <w:sz w:val="20"/>
          <w:szCs w:val="20"/>
          <w:lang w:val="es-ES_tradnl"/>
        </w:rPr>
        <w:t xml:space="preserve"> </w:t>
      </w:r>
      <w:r w:rsidR="007B3C6B" w:rsidRPr="00732F0C">
        <w:rPr>
          <w:rFonts w:ascii="Cambria" w:hAnsi="Cambria"/>
          <w:sz w:val="20"/>
          <w:szCs w:val="20"/>
          <w:lang w:val="es-CR"/>
        </w:rPr>
        <w:t xml:space="preserve">que el 11 de septiembre de 1993 se llevó a cabo un baile popular </w:t>
      </w:r>
      <w:r w:rsidRPr="00732F0C">
        <w:rPr>
          <w:rFonts w:ascii="Cambria" w:hAnsi="Cambria"/>
          <w:sz w:val="20"/>
          <w:szCs w:val="20"/>
          <w:lang w:val="es-CR"/>
        </w:rPr>
        <w:t>en las calles de la ciudad de Otavalo</w:t>
      </w:r>
      <w:r w:rsidR="007B3C6B" w:rsidRPr="00732F0C">
        <w:rPr>
          <w:rFonts w:ascii="Cambria" w:hAnsi="Cambria"/>
          <w:sz w:val="20"/>
          <w:szCs w:val="20"/>
          <w:lang w:val="es-CR"/>
        </w:rPr>
        <w:t xml:space="preserve">, organizado por </w:t>
      </w:r>
      <w:r w:rsidRPr="00732F0C">
        <w:rPr>
          <w:rFonts w:ascii="Cambria" w:hAnsi="Cambria"/>
          <w:sz w:val="20"/>
          <w:szCs w:val="20"/>
          <w:lang w:val="es-CR"/>
        </w:rPr>
        <w:t xml:space="preserve">la Cooperativa de Transportes “Otavalo”, en donde trabajaban Jorge Darwin y su hermano Franklin Plutarco García, </w:t>
      </w:r>
      <w:r w:rsidR="00BB4594" w:rsidRPr="00732F0C">
        <w:rPr>
          <w:rFonts w:ascii="Cambria" w:hAnsi="Cambria"/>
          <w:sz w:val="20"/>
          <w:szCs w:val="20"/>
          <w:lang w:val="es-CR"/>
        </w:rPr>
        <w:t xml:space="preserve">personas afrodescendientes </w:t>
      </w:r>
      <w:r w:rsidRPr="00732F0C">
        <w:rPr>
          <w:rFonts w:ascii="Cambria" w:hAnsi="Cambria"/>
          <w:sz w:val="20"/>
          <w:szCs w:val="20"/>
          <w:lang w:val="es-CR"/>
        </w:rPr>
        <w:t>de 31 y 20 años de edad, respectivamente. Sostuvo que los hermanos García junto con sus amigos se encontraban en la fiesta conversando y riéndose.</w:t>
      </w:r>
    </w:p>
    <w:p w:rsidR="005541B8" w:rsidRPr="00732F0C" w:rsidRDefault="005541B8" w:rsidP="00842D6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rsidR="005541B8" w:rsidRPr="00732F0C" w:rsidRDefault="005541B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ES_tradnl"/>
        </w:rPr>
        <w:t xml:space="preserve">Señaló que aproximadamente a las 2:00 a.m. del 12 de septiembre de 1993, tres personas se acercaron al grupo donde estaban los hermanos García: i) el agente policial de la </w:t>
      </w:r>
      <w:r w:rsidRPr="00732F0C">
        <w:rPr>
          <w:rFonts w:ascii="Cambria" w:hAnsi="Cambria"/>
          <w:sz w:val="20"/>
          <w:szCs w:val="20"/>
          <w:lang w:val="es-CR"/>
        </w:rPr>
        <w:t>Unidad de Investigaciones Especiales Segundo Néstor de la Cruz; ii) su hermano José de la Cruz; y iii) el agente policial Edwin Guzmán</w:t>
      </w:r>
      <w:r w:rsidR="00F05202" w:rsidRPr="00732F0C">
        <w:rPr>
          <w:rFonts w:ascii="Cambria" w:hAnsi="Cambria"/>
          <w:sz w:val="20"/>
          <w:szCs w:val="20"/>
          <w:lang w:val="es-CR"/>
        </w:rPr>
        <w:t>. Manifestó que el señor Segundo de la Cruz, quien parecía encontrarse en estado de ebriedad, apuntó con su arma a uno de los amigos de los hermanos García</w:t>
      </w:r>
      <w:r w:rsidR="00F05202" w:rsidRPr="00732F0C">
        <w:rPr>
          <w:rFonts w:ascii="Cambria" w:hAnsi="Cambria"/>
          <w:sz w:val="20"/>
          <w:szCs w:val="20"/>
          <w:lang w:val="es-AR"/>
        </w:rPr>
        <w:t>. Señaló que Segundo de la Cruz les increpó por presuntamente haberse burlado de él y que él era “un agente de la Policía”.</w:t>
      </w:r>
    </w:p>
    <w:p w:rsidR="00F05202" w:rsidRPr="00732F0C" w:rsidRDefault="00F05202" w:rsidP="00842D6E">
      <w:pPr>
        <w:pStyle w:val="ListParagraph"/>
        <w:jc w:val="both"/>
        <w:rPr>
          <w:sz w:val="20"/>
          <w:szCs w:val="20"/>
          <w:lang w:val="es-ES_tradnl"/>
        </w:rPr>
      </w:pPr>
    </w:p>
    <w:p w:rsidR="00F05202" w:rsidRPr="00732F0C" w:rsidRDefault="00F05202"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AR"/>
        </w:rPr>
        <w:t xml:space="preserve">La peticionaria sostuvo que Jorge </w:t>
      </w:r>
      <w:r w:rsidRPr="00732F0C">
        <w:rPr>
          <w:rFonts w:ascii="Cambria" w:hAnsi="Cambria"/>
          <w:sz w:val="20"/>
          <w:szCs w:val="20"/>
          <w:lang w:val="es-CR"/>
        </w:rPr>
        <w:t xml:space="preserve">Darwin García le reclamó al señor Segundo de la Cruz por lo que éste procedió a dispararle en la cabeza. Señaló que Franklin Plutarco García trató de detener al agente policial Segundo de la Cruz; no obstante, recibió dos disparos en el tórax y </w:t>
      </w:r>
      <w:r w:rsidR="00FE509B" w:rsidRPr="00732F0C">
        <w:rPr>
          <w:rFonts w:ascii="Cambria" w:hAnsi="Cambria"/>
          <w:sz w:val="20"/>
          <w:szCs w:val="20"/>
          <w:lang w:val="es-CR"/>
        </w:rPr>
        <w:t>el antebrazo</w:t>
      </w:r>
      <w:r w:rsidRPr="00732F0C">
        <w:rPr>
          <w:rFonts w:ascii="Cambria" w:hAnsi="Cambria"/>
          <w:sz w:val="20"/>
          <w:szCs w:val="20"/>
          <w:lang w:val="es-CR"/>
        </w:rPr>
        <w:t xml:space="preserve">. </w:t>
      </w:r>
      <w:r w:rsidR="00FE509B" w:rsidRPr="00732F0C">
        <w:rPr>
          <w:rFonts w:ascii="Cambria" w:hAnsi="Cambria"/>
          <w:sz w:val="20"/>
          <w:szCs w:val="20"/>
          <w:lang w:val="es-CR"/>
        </w:rPr>
        <w:t>Señaló que Jorge Darwin García fue trasladado a la ciudad de Quito, falleciendo en el trayecto. Sostuvo que Franklin Plutarco García fue trasladado al Hospital San Vicente de Paul de la ciudad de Ibarra d</w:t>
      </w:r>
      <w:proofErr w:type="spellStart"/>
      <w:r w:rsidR="00FE509B" w:rsidRPr="00732F0C">
        <w:rPr>
          <w:rFonts w:ascii="Cambria" w:hAnsi="Cambria"/>
          <w:sz w:val="20"/>
          <w:szCs w:val="20"/>
          <w:lang w:val="es-ES"/>
        </w:rPr>
        <w:t>onde</w:t>
      </w:r>
      <w:proofErr w:type="spellEnd"/>
      <w:r w:rsidR="00FE509B" w:rsidRPr="00732F0C">
        <w:rPr>
          <w:rFonts w:ascii="Cambria" w:hAnsi="Cambria"/>
          <w:sz w:val="20"/>
          <w:szCs w:val="20"/>
          <w:lang w:val="es-CR"/>
        </w:rPr>
        <w:t xml:space="preserve"> permaneció hospitalizado durante tres semanas.</w:t>
      </w:r>
    </w:p>
    <w:p w:rsidR="00D55377" w:rsidRPr="00732F0C" w:rsidRDefault="00D55377" w:rsidP="00842D6E">
      <w:pPr>
        <w:pStyle w:val="ListParagraph"/>
        <w:jc w:val="both"/>
        <w:rPr>
          <w:sz w:val="20"/>
          <w:szCs w:val="20"/>
          <w:lang w:val="es-CR"/>
        </w:rPr>
      </w:pPr>
    </w:p>
    <w:p w:rsidR="00D55377" w:rsidRPr="00732F0C" w:rsidRDefault="00D5537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Respecto de los requisitos de admisibilidad y competencia, </w:t>
      </w:r>
      <w:r w:rsidR="00593D5D" w:rsidRPr="00732F0C">
        <w:rPr>
          <w:rFonts w:ascii="Cambria" w:hAnsi="Cambria"/>
          <w:sz w:val="20"/>
          <w:szCs w:val="20"/>
          <w:lang w:val="es-CR"/>
        </w:rPr>
        <w:t>la peticionaria afirmó</w:t>
      </w:r>
      <w:r w:rsidRPr="00732F0C">
        <w:rPr>
          <w:rFonts w:ascii="Cambria" w:hAnsi="Cambria"/>
          <w:sz w:val="20"/>
          <w:szCs w:val="20"/>
          <w:lang w:val="es-CR"/>
        </w:rPr>
        <w:t xml:space="preserve"> que los hechos del caso ocurrieron en el territorio de la República de Ecuador, Estado parte de la Convención desde el 28 de diciembre de 1977. En cuanto a la competencia </w:t>
      </w:r>
      <w:proofErr w:type="spellStart"/>
      <w:r w:rsidRPr="00732F0C">
        <w:rPr>
          <w:rFonts w:ascii="Cambria" w:hAnsi="Cambria"/>
          <w:i/>
          <w:sz w:val="20"/>
          <w:szCs w:val="20"/>
          <w:lang w:val="es-CR"/>
        </w:rPr>
        <w:t>ratione</w:t>
      </w:r>
      <w:proofErr w:type="spellEnd"/>
      <w:r w:rsidRPr="00732F0C">
        <w:rPr>
          <w:rFonts w:ascii="Cambria" w:hAnsi="Cambria"/>
          <w:i/>
          <w:sz w:val="20"/>
          <w:szCs w:val="20"/>
          <w:lang w:val="es-CR"/>
        </w:rPr>
        <w:t xml:space="preserve"> </w:t>
      </w:r>
      <w:proofErr w:type="spellStart"/>
      <w:r w:rsidRPr="00732F0C">
        <w:rPr>
          <w:rFonts w:ascii="Cambria" w:hAnsi="Cambria"/>
          <w:i/>
          <w:sz w:val="20"/>
          <w:szCs w:val="20"/>
          <w:lang w:val="es-CR"/>
        </w:rPr>
        <w:t>materiae</w:t>
      </w:r>
      <w:proofErr w:type="spellEnd"/>
      <w:r w:rsidRPr="00732F0C">
        <w:rPr>
          <w:rFonts w:ascii="Cambria" w:hAnsi="Cambria"/>
          <w:sz w:val="20"/>
          <w:szCs w:val="20"/>
          <w:lang w:val="es-CR"/>
        </w:rPr>
        <w:t xml:space="preserve"> </w:t>
      </w:r>
      <w:r w:rsidR="00593D5D" w:rsidRPr="00732F0C">
        <w:rPr>
          <w:rFonts w:ascii="Cambria" w:hAnsi="Cambria"/>
          <w:sz w:val="20"/>
          <w:szCs w:val="20"/>
          <w:lang w:val="es-CR"/>
        </w:rPr>
        <w:t>alegó</w:t>
      </w:r>
      <w:r w:rsidRPr="00732F0C">
        <w:rPr>
          <w:rFonts w:ascii="Cambria" w:hAnsi="Cambria"/>
          <w:sz w:val="20"/>
          <w:szCs w:val="20"/>
          <w:lang w:val="es-CR"/>
        </w:rPr>
        <w:t xml:space="preserve"> que las acciones y omisiones cometidas por un agente de la policía se configuraron violaciones a la Convención Americana. </w:t>
      </w:r>
    </w:p>
    <w:p w:rsidR="00F05202" w:rsidRPr="00732F0C" w:rsidRDefault="00F05202" w:rsidP="00842D6E">
      <w:pPr>
        <w:tabs>
          <w:tab w:val="left" w:pos="1440"/>
        </w:tabs>
        <w:ind w:firstLine="720"/>
        <w:jc w:val="both"/>
        <w:rPr>
          <w:rFonts w:ascii="Cambria" w:hAnsi="Cambria"/>
          <w:sz w:val="20"/>
          <w:szCs w:val="20"/>
          <w:lang w:val="es-CR"/>
        </w:rPr>
      </w:pPr>
    </w:p>
    <w:p w:rsidR="00AD37AD" w:rsidRPr="00732F0C" w:rsidRDefault="00D5537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CR"/>
        </w:rPr>
        <w:t xml:space="preserve">Respecto </w:t>
      </w:r>
      <w:r w:rsidRPr="00732F0C">
        <w:rPr>
          <w:rFonts w:ascii="Cambria" w:hAnsi="Cambria"/>
          <w:sz w:val="20"/>
          <w:szCs w:val="20"/>
          <w:lang w:val="es-ES"/>
        </w:rPr>
        <w:t xml:space="preserve">del requisito de agotamiento de los recursos internos, </w:t>
      </w:r>
      <w:r w:rsidR="00593D5D" w:rsidRPr="00732F0C">
        <w:rPr>
          <w:rFonts w:ascii="Cambria" w:hAnsi="Cambria" w:cs="Bookman Old Style"/>
          <w:sz w:val="20"/>
          <w:szCs w:val="20"/>
          <w:lang w:val="es-ES_tradnl"/>
        </w:rPr>
        <w:t>la peticionaria señaló</w:t>
      </w:r>
      <w:r w:rsidR="00AD37AD" w:rsidRPr="00732F0C">
        <w:rPr>
          <w:rFonts w:ascii="Cambria" w:hAnsi="Cambria" w:cs="Bookman Old Style"/>
          <w:sz w:val="20"/>
          <w:szCs w:val="20"/>
          <w:lang w:val="es-ES_tradnl"/>
        </w:rPr>
        <w:t xml:space="preserve"> que el Estado incurrió en un retardo injustificado al resolver el juicio penal instaurado en el ámbito interno. Sostuvo que el 28 de enero de 1998 la Corte Suprema confirmó la sentencia condenatoria de primera instancia, es decir, casi cuatro años y medio después de ocurridos los hechos, lo cual, según </w:t>
      </w:r>
      <w:r w:rsidR="00D742B8" w:rsidRPr="00732F0C">
        <w:rPr>
          <w:rFonts w:ascii="Cambria" w:hAnsi="Cambria" w:cs="Bookman Old Style"/>
          <w:sz w:val="20"/>
          <w:szCs w:val="20"/>
          <w:lang w:val="es-ES_tradnl"/>
        </w:rPr>
        <w:t>la peticionaria</w:t>
      </w:r>
      <w:r w:rsidR="00AD37AD" w:rsidRPr="00732F0C">
        <w:rPr>
          <w:rFonts w:ascii="Cambria" w:hAnsi="Cambria" w:cs="Bookman Old Style"/>
          <w:sz w:val="20"/>
          <w:szCs w:val="20"/>
          <w:lang w:val="es-ES_tradnl"/>
        </w:rPr>
        <w:t xml:space="preserve">, </w:t>
      </w:r>
      <w:r w:rsidR="009319D4" w:rsidRPr="00732F0C">
        <w:rPr>
          <w:rFonts w:ascii="Cambria" w:hAnsi="Cambria" w:cs="Bookman Old Style"/>
          <w:sz w:val="20"/>
          <w:szCs w:val="20"/>
          <w:lang w:val="es-ES_tradnl"/>
        </w:rPr>
        <w:t>constituye un plazo irrazonable</w:t>
      </w:r>
      <w:r w:rsidR="00AD37AD" w:rsidRPr="00732F0C">
        <w:rPr>
          <w:rFonts w:ascii="Cambria" w:hAnsi="Cambria" w:cs="Bookman Old Style"/>
          <w:sz w:val="20"/>
          <w:szCs w:val="20"/>
          <w:lang w:val="es-ES_tradnl"/>
        </w:rPr>
        <w:t xml:space="preserve">. </w:t>
      </w:r>
      <w:r w:rsidR="009319D4" w:rsidRPr="00732F0C">
        <w:rPr>
          <w:rFonts w:ascii="Cambria" w:hAnsi="Cambria"/>
          <w:sz w:val="20"/>
          <w:szCs w:val="20"/>
          <w:lang w:val="es-ES_tradnl"/>
        </w:rPr>
        <w:t>Asimismo</w:t>
      </w:r>
      <w:r w:rsidR="00AD37AD" w:rsidRPr="00732F0C">
        <w:rPr>
          <w:rFonts w:ascii="Cambria" w:hAnsi="Cambria"/>
          <w:sz w:val="20"/>
          <w:szCs w:val="20"/>
          <w:lang w:val="es-ES_tradnl"/>
        </w:rPr>
        <w:t xml:space="preserve">, </w:t>
      </w:r>
      <w:r w:rsidR="009319D4" w:rsidRPr="00732F0C">
        <w:rPr>
          <w:rFonts w:ascii="Cambria" w:hAnsi="Cambria"/>
          <w:sz w:val="20"/>
          <w:szCs w:val="20"/>
          <w:lang w:val="es-ES_tradnl"/>
        </w:rPr>
        <w:t>la peticionaria indicó</w:t>
      </w:r>
      <w:r w:rsidR="00AD37AD" w:rsidRPr="00732F0C">
        <w:rPr>
          <w:rFonts w:ascii="Cambria" w:hAnsi="Cambria"/>
          <w:sz w:val="20"/>
          <w:szCs w:val="20"/>
          <w:lang w:val="es-ES_tradnl"/>
        </w:rPr>
        <w:t xml:space="preserve"> que el agente policial sentenciado presentó un recurso de revisión en febrero de 1998 y que, de acuerdo a su escrito de enero de 2015, no habría sido resuelto</w:t>
      </w:r>
      <w:r w:rsidR="009319D4" w:rsidRPr="00732F0C">
        <w:rPr>
          <w:rFonts w:ascii="Cambria" w:hAnsi="Cambria"/>
          <w:sz w:val="20"/>
          <w:szCs w:val="20"/>
          <w:lang w:val="es-ES_tradnl"/>
        </w:rPr>
        <w:t xml:space="preserve"> hasta esa fecha.</w:t>
      </w:r>
      <w:r w:rsidR="00AD37AD" w:rsidRPr="00732F0C">
        <w:rPr>
          <w:rFonts w:ascii="Cambria" w:hAnsi="Cambria"/>
          <w:sz w:val="20"/>
          <w:szCs w:val="20"/>
          <w:lang w:val="es-ES_tradnl"/>
        </w:rPr>
        <w:t xml:space="preserve"> </w:t>
      </w:r>
    </w:p>
    <w:p w:rsidR="002F6896" w:rsidRPr="00732F0C" w:rsidRDefault="002F6896" w:rsidP="00842D6E">
      <w:pPr>
        <w:pStyle w:val="ListParagraph"/>
        <w:jc w:val="both"/>
        <w:rPr>
          <w:sz w:val="20"/>
          <w:szCs w:val="20"/>
          <w:lang w:val="es-ES_tradnl"/>
        </w:rPr>
      </w:pPr>
    </w:p>
    <w:p w:rsidR="002F6896" w:rsidRPr="00732F0C" w:rsidRDefault="002F6896"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CR"/>
        </w:rPr>
        <w:t>La peticionaria sostuvo que el Estado no hizo valer la excepción de no agotamiento de los recursos internos en el momento en que recibió la comunicación formal de la petición, como medio para oponerse a la admisibilidad. Según la peticionaria, la interposición de la excepción de no agotamiento de los recursos internos por parte del Estado al momento de presentar sus alegatos sobre el fondo resulta extemporánea, ya que se produjo una renuncia tácita a ese derecho en las primeras comunicaciones estatales. Por otra parte, indicó que el Estado en ningún momento refirió específicamente qué recurso interno se encontraría pendiente de agotamiento.</w:t>
      </w:r>
    </w:p>
    <w:p w:rsidR="0035594E" w:rsidRPr="00732F0C" w:rsidRDefault="0035594E" w:rsidP="00842D6E">
      <w:pPr>
        <w:jc w:val="both"/>
        <w:rPr>
          <w:rFonts w:ascii="Cambria" w:hAnsi="Cambria"/>
          <w:sz w:val="20"/>
          <w:szCs w:val="20"/>
          <w:lang w:val="es-ES_tradnl"/>
        </w:rPr>
      </w:pPr>
    </w:p>
    <w:p w:rsidR="00ED6A52" w:rsidRPr="00732F0C" w:rsidRDefault="00ED6A52"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Bookman Old Style"/>
          <w:sz w:val="20"/>
          <w:szCs w:val="20"/>
          <w:lang w:val="es-ES_tradnl"/>
        </w:rPr>
      </w:pPr>
      <w:r w:rsidRPr="00732F0C">
        <w:rPr>
          <w:rFonts w:ascii="Cambria" w:hAnsi="Cambria" w:cs="Bookman Old Style"/>
          <w:sz w:val="20"/>
          <w:szCs w:val="20"/>
          <w:lang w:val="es-ES_tradnl"/>
        </w:rPr>
        <w:t xml:space="preserve">En cuanto al requisito de presentación oportuna de la petición, la peticionaria señaló que la misma fue </w:t>
      </w:r>
      <w:r w:rsidRPr="00732F0C">
        <w:rPr>
          <w:rFonts w:ascii="Cambria" w:hAnsi="Cambria"/>
          <w:sz w:val="20"/>
          <w:szCs w:val="20"/>
          <w:lang w:val="es-ES"/>
        </w:rPr>
        <w:t xml:space="preserve">presentada </w:t>
      </w:r>
      <w:r w:rsidRPr="00732F0C">
        <w:rPr>
          <w:rFonts w:ascii="Cambria" w:hAnsi="Cambria"/>
          <w:sz w:val="20"/>
          <w:szCs w:val="20"/>
          <w:lang w:val="es-CR"/>
        </w:rPr>
        <w:t>en noviembre de 1994, un año y dos meses después de ocurridos los hechos, sin que para esa fecha hubiera existido una decisión de primera instancia</w:t>
      </w:r>
      <w:r w:rsidRPr="00732F0C">
        <w:rPr>
          <w:rFonts w:ascii="Cambria" w:hAnsi="Cambria"/>
          <w:sz w:val="20"/>
          <w:szCs w:val="20"/>
          <w:lang w:val="es-ES"/>
        </w:rPr>
        <w:t>. Con base en lo anterior, argumentó que el plazo de seis meses no opera, puesto que corresponde dar aplicación a las excepciones al agotamiento de los recursos internos.</w:t>
      </w:r>
    </w:p>
    <w:p w:rsidR="00ED6A52" w:rsidRPr="00732F0C" w:rsidRDefault="00ED6A52" w:rsidP="00842D6E">
      <w:pPr>
        <w:jc w:val="both"/>
        <w:rPr>
          <w:rFonts w:ascii="Cambria" w:hAnsi="Cambria"/>
          <w:sz w:val="20"/>
          <w:szCs w:val="20"/>
          <w:lang w:val="es-ES_tradnl"/>
        </w:rPr>
      </w:pPr>
    </w:p>
    <w:p w:rsidR="00ED6A52" w:rsidRPr="00732F0C" w:rsidRDefault="00ED6A52"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ES_tradnl"/>
        </w:rPr>
        <w:t xml:space="preserve">La peticionaria también indicó </w:t>
      </w:r>
      <w:r w:rsidRPr="00732F0C">
        <w:rPr>
          <w:rFonts w:ascii="Cambria" w:hAnsi="Cambria"/>
          <w:sz w:val="20"/>
          <w:szCs w:val="20"/>
          <w:lang w:val="es-ES"/>
        </w:rPr>
        <w:t>que el presente caso no se encuentra pendiente ante otro procedimiento de arreglo internacional y su materia no es reproducción de una petición anteriormente resuelta por la Comisión ni otro órgano internacional.</w:t>
      </w:r>
    </w:p>
    <w:p w:rsidR="00ED6A52" w:rsidRPr="00732F0C" w:rsidRDefault="00ED6A52" w:rsidP="00842D6E">
      <w:pPr>
        <w:jc w:val="both"/>
        <w:rPr>
          <w:rFonts w:ascii="Cambria" w:hAnsi="Cambria"/>
          <w:sz w:val="20"/>
          <w:szCs w:val="20"/>
          <w:lang w:val="es-ES_tradnl"/>
        </w:rPr>
      </w:pPr>
    </w:p>
    <w:p w:rsidR="009319D4" w:rsidRPr="00732F0C" w:rsidRDefault="00ED6A52"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ES_tradnl"/>
        </w:rPr>
        <w:lastRenderedPageBreak/>
        <w:t>Respecto del</w:t>
      </w:r>
      <w:r w:rsidR="009319D4" w:rsidRPr="00732F0C">
        <w:rPr>
          <w:rFonts w:ascii="Cambria" w:hAnsi="Cambria"/>
          <w:sz w:val="20"/>
          <w:szCs w:val="20"/>
          <w:lang w:val="es-ES_tradnl"/>
        </w:rPr>
        <w:t xml:space="preserve"> argumento estatal relacionado con la fórmula de la cuarta instancia, </w:t>
      </w:r>
      <w:r w:rsidR="009B7057" w:rsidRPr="00732F0C">
        <w:rPr>
          <w:rFonts w:ascii="Cambria" w:hAnsi="Cambria"/>
          <w:sz w:val="20"/>
          <w:szCs w:val="20"/>
          <w:lang w:val="es-ES_tradnl"/>
        </w:rPr>
        <w:t>la peticionaria aclaró que no pretende</w:t>
      </w:r>
      <w:r w:rsidR="009319D4" w:rsidRPr="00732F0C">
        <w:rPr>
          <w:rFonts w:ascii="Cambria" w:hAnsi="Cambria"/>
          <w:sz w:val="20"/>
          <w:szCs w:val="20"/>
          <w:lang w:val="es-ES_tradnl"/>
        </w:rPr>
        <w:t xml:space="preserve"> que la Comisión revise la sentencia emitida en el ámbito interno, sino que el Estado violó el derecho a contar con tribunales independientes e imparciales y el derecho a que se resuelva una contienda judicial en un plazo razonable. Aleg</w:t>
      </w:r>
      <w:r w:rsidR="009B7057" w:rsidRPr="00732F0C">
        <w:rPr>
          <w:rFonts w:ascii="Cambria" w:hAnsi="Cambria"/>
          <w:sz w:val="20"/>
          <w:szCs w:val="20"/>
          <w:lang w:val="es-ES_tradnl"/>
        </w:rPr>
        <w:t>ó</w:t>
      </w:r>
      <w:r w:rsidR="009319D4" w:rsidRPr="00732F0C">
        <w:rPr>
          <w:rFonts w:ascii="Cambria" w:hAnsi="Cambria"/>
          <w:sz w:val="20"/>
          <w:szCs w:val="20"/>
          <w:lang w:val="es-ES_tradnl"/>
        </w:rPr>
        <w:t xml:space="preserve"> que las demoras y falencias en la investigación, así como la falta de resolución del recurso de revisión presentado por la persona responsable, no han permitido a los familiares de la presunta víctima conocer la verdad sobre lo sucedido. </w:t>
      </w:r>
    </w:p>
    <w:p w:rsidR="009319D4" w:rsidRPr="00732F0C" w:rsidRDefault="009319D4"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9B7057" w:rsidRPr="00732F0C" w:rsidRDefault="009B705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cs="Bookman Old Style"/>
          <w:sz w:val="20"/>
          <w:szCs w:val="20"/>
          <w:lang w:val="es-ES_tradnl"/>
        </w:rPr>
        <w:t>En relación con el derecho a la vida, la peticionaria reiteró la jurisprudencia de la Corte sobre el</w:t>
      </w:r>
      <w:r w:rsidRPr="00732F0C">
        <w:rPr>
          <w:rFonts w:ascii="Cambria" w:hAnsi="Cambria"/>
          <w:sz w:val="20"/>
          <w:szCs w:val="20"/>
          <w:lang w:val="es-ES_tradnl"/>
        </w:rPr>
        <w:t xml:space="preserve"> deber </w:t>
      </w:r>
      <w:r w:rsidR="006A3859" w:rsidRPr="00732F0C">
        <w:rPr>
          <w:rFonts w:ascii="Cambria" w:hAnsi="Cambria"/>
          <w:sz w:val="20"/>
          <w:szCs w:val="20"/>
          <w:lang w:val="es-ES_tradnl"/>
        </w:rPr>
        <w:t xml:space="preserve">del Estado </w:t>
      </w:r>
      <w:r w:rsidRPr="00732F0C">
        <w:rPr>
          <w:rFonts w:ascii="Cambria" w:hAnsi="Cambria"/>
          <w:sz w:val="20"/>
          <w:szCs w:val="20"/>
          <w:lang w:val="es-ES_tradnl"/>
        </w:rPr>
        <w:t>de impedir que sus agentes atenten contra dicho derecho. Mencionó que la responsabilidad del Estado en este caso no est</w:t>
      </w:r>
      <w:r w:rsidRPr="00732F0C">
        <w:rPr>
          <w:rFonts w:ascii="Cambria" w:hAnsi="Cambria" w:cs="Arial"/>
          <w:sz w:val="20"/>
          <w:szCs w:val="20"/>
          <w:lang w:val="es-ES_tradnl"/>
        </w:rPr>
        <w:t>á</w:t>
      </w:r>
      <w:r w:rsidRPr="00732F0C">
        <w:rPr>
          <w:rFonts w:ascii="Cambria" w:hAnsi="Cambria"/>
          <w:sz w:val="20"/>
          <w:szCs w:val="20"/>
          <w:lang w:val="es-ES_tradnl"/>
        </w:rPr>
        <w:t xml:space="preserve"> dada sólo porque uno de sus agentes privó arbitrariamente de la vida a </w:t>
      </w:r>
      <w:r w:rsidRPr="00732F0C">
        <w:rPr>
          <w:rFonts w:ascii="Cambria" w:hAnsi="Cambria"/>
          <w:sz w:val="20"/>
          <w:szCs w:val="20"/>
          <w:lang w:val="es-CR"/>
        </w:rPr>
        <w:t>Jorge Darwin García</w:t>
      </w:r>
      <w:r w:rsidRPr="00732F0C">
        <w:rPr>
          <w:rFonts w:ascii="Cambria" w:hAnsi="Cambria"/>
          <w:sz w:val="20"/>
          <w:szCs w:val="20"/>
          <w:lang w:val="es-ES_tradnl"/>
        </w:rPr>
        <w:t xml:space="preserve">, sino además porque la administración de justicia omitió investigar seriamente. </w:t>
      </w:r>
      <w:r w:rsidR="009D72AD" w:rsidRPr="00732F0C">
        <w:rPr>
          <w:rFonts w:ascii="Cambria" w:hAnsi="Cambria"/>
          <w:sz w:val="20"/>
          <w:szCs w:val="20"/>
          <w:lang w:val="es-ES_tradnl"/>
        </w:rPr>
        <w:t xml:space="preserve"> </w:t>
      </w:r>
    </w:p>
    <w:p w:rsidR="009B7057" w:rsidRPr="00732F0C" w:rsidRDefault="009B7057"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D1330A" w:rsidRPr="00732F0C" w:rsidRDefault="009D72AD"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cs="Bookman Old Style"/>
          <w:sz w:val="20"/>
          <w:szCs w:val="20"/>
          <w:lang w:val="es-ES_tradnl"/>
        </w:rPr>
        <w:t>Respecto de los derechos a las garantías judiciales y protección judicial, la peticionaria alegó</w:t>
      </w:r>
      <w:r w:rsidR="00D1330A" w:rsidRPr="00732F0C">
        <w:rPr>
          <w:rFonts w:ascii="Cambria" w:hAnsi="Cambria" w:cs="Bookman Old Style"/>
          <w:sz w:val="20"/>
          <w:szCs w:val="20"/>
          <w:lang w:val="es-ES_tradnl"/>
        </w:rPr>
        <w:t xml:space="preserve"> que en el marco de la jurisdicción interna se presentaron una serie de obst</w:t>
      </w:r>
      <w:r w:rsidR="000F2469" w:rsidRPr="00732F0C">
        <w:rPr>
          <w:rFonts w:ascii="Cambria" w:hAnsi="Cambria" w:cs="Bookman Old Style"/>
          <w:sz w:val="20"/>
          <w:szCs w:val="20"/>
          <w:lang w:val="es-ES_tradnl"/>
        </w:rPr>
        <w:t xml:space="preserve">áculos </w:t>
      </w:r>
      <w:r w:rsidR="00D1330A" w:rsidRPr="00732F0C">
        <w:rPr>
          <w:rFonts w:ascii="Cambria" w:hAnsi="Cambria" w:cs="Bookman Old Style"/>
          <w:sz w:val="20"/>
          <w:szCs w:val="20"/>
          <w:lang w:val="es-ES_tradnl"/>
        </w:rPr>
        <w:t>y demoras. Señaló que la investigación estuvo en un primer momento a cargo del fuero policial. Sostuvo que conforme a un documento pericial se habrían encontrado falencias en la realización de la autopsia así como en los exámenes balísticos.</w:t>
      </w:r>
      <w:r w:rsidR="002F6896" w:rsidRPr="00732F0C">
        <w:rPr>
          <w:rFonts w:ascii="Cambria" w:hAnsi="Cambria"/>
          <w:sz w:val="20"/>
          <w:szCs w:val="20"/>
          <w:lang w:val="es-CR"/>
        </w:rPr>
        <w:t xml:space="preserve"> </w:t>
      </w:r>
      <w:r w:rsidR="00D1330A" w:rsidRPr="00732F0C">
        <w:rPr>
          <w:rFonts w:ascii="Cambria" w:hAnsi="Cambria" w:cs="Bookman Old Style"/>
          <w:sz w:val="20"/>
          <w:szCs w:val="20"/>
          <w:lang w:val="es-ES_tradnl"/>
        </w:rPr>
        <w:t>Sostuvo que</w:t>
      </w:r>
      <w:r w:rsidRPr="00732F0C">
        <w:rPr>
          <w:rFonts w:ascii="Cambria" w:hAnsi="Cambria" w:cs="Bookman Old Style"/>
          <w:sz w:val="20"/>
          <w:szCs w:val="20"/>
          <w:lang w:val="es-ES_tradnl"/>
        </w:rPr>
        <w:t xml:space="preserve"> </w:t>
      </w:r>
      <w:r w:rsidR="00D1330A" w:rsidRPr="00732F0C">
        <w:rPr>
          <w:rFonts w:ascii="Cambria" w:hAnsi="Cambria" w:cs="Bookman Old Style"/>
          <w:sz w:val="20"/>
          <w:szCs w:val="20"/>
          <w:lang w:val="es-ES_tradnl"/>
        </w:rPr>
        <w:t xml:space="preserve">durante la investigación se sobreseyó al agente policial Edwin Guzmán y a </w:t>
      </w:r>
      <w:r w:rsidR="00D1330A" w:rsidRPr="00732F0C">
        <w:rPr>
          <w:rFonts w:ascii="Cambria" w:hAnsi="Cambria"/>
          <w:sz w:val="20"/>
          <w:szCs w:val="20"/>
          <w:lang w:val="es-CR"/>
        </w:rPr>
        <w:t>José de la Cruz, quienes estuvieron junto al señor Segundo de la Cruz</w:t>
      </w:r>
      <w:r w:rsidR="002F6896" w:rsidRPr="00732F0C">
        <w:rPr>
          <w:rFonts w:ascii="Cambria" w:hAnsi="Cambria"/>
          <w:sz w:val="20"/>
          <w:szCs w:val="20"/>
          <w:lang w:val="es-CR"/>
        </w:rPr>
        <w:t xml:space="preserve"> al momento de los hechos.</w:t>
      </w:r>
    </w:p>
    <w:p w:rsidR="002F6896" w:rsidRPr="00732F0C" w:rsidRDefault="002F6896" w:rsidP="00842D6E">
      <w:pPr>
        <w:pStyle w:val="ListParagraph"/>
        <w:jc w:val="both"/>
        <w:rPr>
          <w:sz w:val="20"/>
          <w:szCs w:val="20"/>
          <w:lang w:val="es-CR"/>
        </w:rPr>
      </w:pPr>
    </w:p>
    <w:p w:rsidR="002F6896" w:rsidRPr="00732F0C" w:rsidRDefault="002F6896"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La peticionaria informó que el 3 de septiembre de 1995, el Tribunal Penal de Imbabura dictó sentencia condenatoria contra Segundo de la Cruz a </w:t>
      </w:r>
      <w:r w:rsidR="000F2469" w:rsidRPr="00732F0C">
        <w:rPr>
          <w:rFonts w:ascii="Cambria" w:hAnsi="Cambria"/>
          <w:sz w:val="20"/>
          <w:szCs w:val="20"/>
          <w:lang w:val="es-CR"/>
        </w:rPr>
        <w:t>seis</w:t>
      </w:r>
      <w:r w:rsidRPr="00732F0C">
        <w:rPr>
          <w:rFonts w:ascii="Cambria" w:hAnsi="Cambria"/>
          <w:sz w:val="20"/>
          <w:szCs w:val="20"/>
          <w:lang w:val="es-CR"/>
        </w:rPr>
        <w:t xml:space="preserve"> años de prisión, por considerarlo responsable del homicidio de Jorge Darwin García y de las lesiones a su hermano Franklin. Sostuvo que el señor de la Cruz apeló dicha sentencia, la cual fue confirmada por la Sala de Casación de la Corte Suprema de Justicia el 28 de enero de 1998. Asimismo, la peticionaria indicó que el señor de la Cruz presentó un recurso de revisión contra la sentencia, el cual, de acuerdo a su escrito de enero de 2015, no habría sido resuelto.</w:t>
      </w:r>
    </w:p>
    <w:p w:rsidR="008E0909" w:rsidRPr="00732F0C" w:rsidRDefault="008E0909" w:rsidP="00842D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R"/>
        </w:rPr>
      </w:pPr>
    </w:p>
    <w:p w:rsidR="008E0909" w:rsidRPr="00732F0C" w:rsidRDefault="008E0909"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La peticionaria señaló</w:t>
      </w:r>
      <w:r w:rsidRPr="00732F0C">
        <w:rPr>
          <w:rFonts w:ascii="Cambria" w:hAnsi="Cambria"/>
          <w:sz w:val="20"/>
          <w:szCs w:val="20"/>
          <w:lang w:val="es-ES_tradnl"/>
        </w:rPr>
        <w:t xml:space="preserve"> que el proceso no cumplió con los plazos legalmente establecidos en el Código de Procedimiento Penal.</w:t>
      </w:r>
      <w:r w:rsidRPr="00732F0C">
        <w:rPr>
          <w:rFonts w:ascii="Cambria" w:hAnsi="Cambria"/>
          <w:sz w:val="20"/>
          <w:szCs w:val="20"/>
          <w:lang w:val="es-CR"/>
        </w:rPr>
        <w:t xml:space="preserve"> Indicó que </w:t>
      </w:r>
      <w:r w:rsidR="00D051FE" w:rsidRPr="00732F0C">
        <w:rPr>
          <w:rFonts w:ascii="Cambria" w:hAnsi="Cambria"/>
          <w:sz w:val="20"/>
          <w:szCs w:val="20"/>
          <w:lang w:val="es-CR"/>
        </w:rPr>
        <w:t>la duración</w:t>
      </w:r>
      <w:r w:rsidRPr="00732F0C">
        <w:rPr>
          <w:rFonts w:ascii="Cambria" w:hAnsi="Cambria"/>
          <w:sz w:val="20"/>
          <w:szCs w:val="20"/>
          <w:lang w:val="es-CR"/>
        </w:rPr>
        <w:t xml:space="preserve"> del proceso </w:t>
      </w:r>
      <w:r w:rsidR="00080830" w:rsidRPr="00732F0C">
        <w:rPr>
          <w:rFonts w:ascii="Cambria" w:hAnsi="Cambria"/>
          <w:sz w:val="20"/>
          <w:szCs w:val="20"/>
          <w:lang w:val="es-CR"/>
        </w:rPr>
        <w:t>-</w:t>
      </w:r>
      <w:r w:rsidR="000F2469" w:rsidRPr="00732F0C">
        <w:rPr>
          <w:rFonts w:ascii="Cambria" w:hAnsi="Cambria"/>
          <w:sz w:val="20"/>
          <w:szCs w:val="20"/>
          <w:lang w:val="es-CR"/>
        </w:rPr>
        <w:t xml:space="preserve">casi </w:t>
      </w:r>
      <w:r w:rsidRPr="00732F0C">
        <w:rPr>
          <w:rFonts w:ascii="Cambria" w:hAnsi="Cambria"/>
          <w:sz w:val="20"/>
          <w:szCs w:val="20"/>
          <w:lang w:val="es-CR"/>
        </w:rPr>
        <w:t xml:space="preserve">4 años y medio desde ocurridos los hechos- constituye una violación al derecho de los familiares de la víctima a obtener justicia en un plazo razonable. Alegó que </w:t>
      </w:r>
      <w:r w:rsidR="000F2469" w:rsidRPr="00732F0C">
        <w:rPr>
          <w:rFonts w:ascii="Cambria" w:hAnsi="Cambria"/>
          <w:sz w:val="20"/>
          <w:szCs w:val="20"/>
          <w:lang w:val="es-CR"/>
        </w:rPr>
        <w:t>en caso</w:t>
      </w:r>
      <w:r w:rsidRPr="00732F0C">
        <w:rPr>
          <w:rFonts w:ascii="Cambria" w:hAnsi="Cambria"/>
          <w:sz w:val="20"/>
          <w:szCs w:val="20"/>
          <w:lang w:val="es-CR"/>
        </w:rPr>
        <w:t xml:space="preserve"> la Comisión no aceptara su argumento relativo al incumplimiento de los plazos establecidos en la legislación interna, el análisis debe tomar en cuenta los elementos de: a) la complejidad del asunto; b) la actividad procesal del interesado; y c) la conducta de las autoridades judiciales.</w:t>
      </w:r>
    </w:p>
    <w:p w:rsidR="008E0909" w:rsidRPr="00732F0C" w:rsidRDefault="008E0909" w:rsidP="00842D6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R"/>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En cuanto al primer elemento, la peticionaria consideró que “únicamente requería que haya voluntad de la administración de justicia y de la fiscalía para despachar el proceso y descubrir la verdad”. Segú</w:t>
      </w:r>
      <w:r w:rsidR="000F2469" w:rsidRPr="00732F0C">
        <w:rPr>
          <w:rFonts w:ascii="Cambria" w:hAnsi="Cambria"/>
          <w:sz w:val="20"/>
          <w:szCs w:val="20"/>
          <w:lang w:val="es-CR"/>
        </w:rPr>
        <w:t>n la peticionaria en este caso</w:t>
      </w:r>
      <w:r w:rsidRPr="00732F0C">
        <w:rPr>
          <w:rFonts w:ascii="Cambria" w:hAnsi="Cambria"/>
          <w:sz w:val="20"/>
          <w:szCs w:val="20"/>
          <w:lang w:val="es-CR"/>
        </w:rPr>
        <w:t xml:space="preserve"> no se configuran circunstancias de complejidad o investigaciones extensas, ya que desde el inicio de la investigación judicial estuvo identificado el autor del homicidio como un </w:t>
      </w:r>
      <w:r w:rsidR="000F2469" w:rsidRPr="00732F0C">
        <w:rPr>
          <w:rFonts w:ascii="Cambria" w:hAnsi="Cambria"/>
          <w:sz w:val="20"/>
          <w:szCs w:val="20"/>
          <w:lang w:val="es-CR"/>
        </w:rPr>
        <w:t xml:space="preserve">agente policial </w:t>
      </w:r>
      <w:r w:rsidRPr="00732F0C">
        <w:rPr>
          <w:rFonts w:ascii="Cambria" w:hAnsi="Cambria"/>
          <w:sz w:val="20"/>
          <w:szCs w:val="20"/>
          <w:lang w:val="es-CR"/>
        </w:rPr>
        <w:t xml:space="preserve">que cometió el hecho con el arma de dotación que le entregó el Estado. </w:t>
      </w:r>
    </w:p>
    <w:p w:rsidR="007B3C6B" w:rsidRPr="00732F0C" w:rsidRDefault="007B3C6B" w:rsidP="00842D6E">
      <w:pPr>
        <w:tabs>
          <w:tab w:val="left" w:pos="1440"/>
        </w:tabs>
        <w:ind w:firstLine="720"/>
        <w:jc w:val="both"/>
        <w:rPr>
          <w:rFonts w:ascii="Cambria" w:hAnsi="Cambria"/>
          <w:sz w:val="20"/>
          <w:szCs w:val="20"/>
          <w:lang w:val="es-CR"/>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En cuanto al segundo elemento, la peticionaria indicó que “no consta de autos que la familia de Jorge Darwin García hubiera tenido una conducta incompatible con su carácter de parte procesal” o que “hayan entorpecido la tramitación de la causa o hayan realizado acciones dilatorias”. Puntualmente, consideró que en el proceso no existen hechos que demuestren que los familiares de Jorge Darwin García realizaron actos tendientes a obstruir la investigación judicial y retardar su desarrollo y tampoco hubo falta de cooperación de ellos durante el trámite del proceso, pues acusaron e identificaron al responsable, inmediatamente </w:t>
      </w:r>
      <w:r w:rsidR="006837F3">
        <w:rPr>
          <w:rFonts w:ascii="Cambria" w:hAnsi="Cambria"/>
          <w:sz w:val="20"/>
          <w:szCs w:val="20"/>
          <w:lang w:val="es-CR"/>
        </w:rPr>
        <w:t>después de que</w:t>
      </w:r>
      <w:r w:rsidRPr="00732F0C">
        <w:rPr>
          <w:rFonts w:ascii="Cambria" w:hAnsi="Cambria"/>
          <w:sz w:val="20"/>
          <w:szCs w:val="20"/>
          <w:lang w:val="es-CR"/>
        </w:rPr>
        <w:t xml:space="preserve"> ocurrieron los hechos, con el fin de que sea sancionado. </w:t>
      </w:r>
    </w:p>
    <w:p w:rsidR="007B3C6B" w:rsidRPr="00732F0C" w:rsidRDefault="007B3C6B" w:rsidP="00842D6E">
      <w:pPr>
        <w:tabs>
          <w:tab w:val="left" w:pos="1440"/>
        </w:tabs>
        <w:ind w:firstLine="720"/>
        <w:jc w:val="both"/>
        <w:rPr>
          <w:rFonts w:ascii="Cambria" w:hAnsi="Cambria"/>
          <w:sz w:val="20"/>
          <w:szCs w:val="20"/>
          <w:lang w:val="es-CR"/>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Respecto al tercer elemento, la peticionaria alegó que </w:t>
      </w:r>
      <w:r w:rsidRPr="00732F0C">
        <w:rPr>
          <w:rFonts w:ascii="Cambria" w:hAnsi="Cambria"/>
          <w:sz w:val="20"/>
          <w:szCs w:val="20"/>
          <w:lang w:val="es-AR"/>
        </w:rPr>
        <w:t xml:space="preserve">el caso tardó 4 años y 4 meses en resolverse debido a la lentitud que caracteriza a la administración de justicia y su dilación en </w:t>
      </w:r>
      <w:r w:rsidRPr="00732F0C">
        <w:rPr>
          <w:rFonts w:ascii="Cambria" w:hAnsi="Cambria"/>
          <w:sz w:val="20"/>
          <w:szCs w:val="20"/>
          <w:lang w:val="es-CR"/>
        </w:rPr>
        <w:t>forma innecesaria, ya que la apelación que se resuelve en el plazo de 15 días, en la especie se tardó 10 meses, el plenario demoró 11 meses y el recurso de casación se tardó 16 meses.</w:t>
      </w:r>
    </w:p>
    <w:p w:rsidR="007B3C6B" w:rsidRDefault="007B3C6B" w:rsidP="00842D6E">
      <w:pPr>
        <w:tabs>
          <w:tab w:val="left" w:pos="1440"/>
        </w:tabs>
        <w:jc w:val="both"/>
        <w:rPr>
          <w:rFonts w:ascii="Cambria" w:hAnsi="Cambria"/>
          <w:sz w:val="20"/>
          <w:szCs w:val="20"/>
          <w:lang w:val="es-CR"/>
        </w:rPr>
      </w:pPr>
    </w:p>
    <w:p w:rsidR="00360085" w:rsidRPr="00732F0C" w:rsidRDefault="00360085" w:rsidP="00842D6E">
      <w:pPr>
        <w:tabs>
          <w:tab w:val="left" w:pos="1440"/>
        </w:tabs>
        <w:jc w:val="both"/>
        <w:rPr>
          <w:rFonts w:ascii="Cambria" w:hAnsi="Cambria"/>
          <w:sz w:val="20"/>
          <w:szCs w:val="20"/>
          <w:lang w:val="es-CR"/>
        </w:rPr>
      </w:pPr>
    </w:p>
    <w:p w:rsidR="007033A8" w:rsidRDefault="007033A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bCs/>
          <w:sz w:val="20"/>
          <w:szCs w:val="20"/>
          <w:lang w:val="es-ES_tradnl"/>
        </w:rPr>
      </w:pPr>
      <w:bookmarkStart w:id="6" w:name="_Toc529792388"/>
      <w:r w:rsidRPr="00675C3A">
        <w:rPr>
          <w:lang w:val="es-US"/>
        </w:rPr>
        <w:br w:type="page"/>
      </w:r>
    </w:p>
    <w:p w:rsidR="007B3C6B" w:rsidRPr="00732F0C" w:rsidRDefault="00733CE8" w:rsidP="00842D6E">
      <w:pPr>
        <w:pStyle w:val="Heading2"/>
        <w:jc w:val="both"/>
      </w:pPr>
      <w:r w:rsidRPr="00732F0C">
        <w:lastRenderedPageBreak/>
        <w:t>Posición del</w:t>
      </w:r>
      <w:r w:rsidR="007B3C6B" w:rsidRPr="00732F0C">
        <w:t xml:space="preserve"> Estado</w:t>
      </w:r>
      <w:bookmarkEnd w:id="6"/>
    </w:p>
    <w:p w:rsidR="007B3C6B" w:rsidRPr="00732F0C" w:rsidRDefault="007B3C6B" w:rsidP="00842D6E">
      <w:pPr>
        <w:tabs>
          <w:tab w:val="left" w:pos="1440"/>
        </w:tabs>
        <w:ind w:firstLine="720"/>
        <w:jc w:val="both"/>
        <w:rPr>
          <w:rFonts w:ascii="Cambria" w:hAnsi="Cambria"/>
          <w:sz w:val="20"/>
          <w:szCs w:val="20"/>
          <w:lang w:val="es-ES_tradnl"/>
        </w:rPr>
      </w:pPr>
    </w:p>
    <w:p w:rsidR="003769E3" w:rsidRPr="00732F0C" w:rsidRDefault="00E72761"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El Estado señaló que el caso d</w:t>
      </w:r>
      <w:r w:rsidR="003769E3" w:rsidRPr="00732F0C">
        <w:rPr>
          <w:rFonts w:ascii="Cambria" w:hAnsi="Cambria" w:cs="Arial"/>
          <w:sz w:val="20"/>
          <w:szCs w:val="20"/>
          <w:lang w:val="es-CR"/>
        </w:rPr>
        <w:t>ebe ser considerado inadmisible</w:t>
      </w:r>
      <w:r w:rsidRPr="00732F0C">
        <w:rPr>
          <w:rFonts w:ascii="Cambria" w:hAnsi="Cambria" w:cs="Arial"/>
          <w:sz w:val="20"/>
          <w:szCs w:val="20"/>
          <w:lang w:val="es-CR"/>
        </w:rPr>
        <w:t xml:space="preserve"> en vista de que los hechos alegados no constituyen una violación a derechos humanos </w:t>
      </w:r>
      <w:r w:rsidR="000F2469" w:rsidRPr="00732F0C">
        <w:rPr>
          <w:rFonts w:ascii="Cambria" w:hAnsi="Cambria" w:cs="Arial"/>
          <w:sz w:val="20"/>
          <w:szCs w:val="20"/>
          <w:lang w:val="es-CR"/>
        </w:rPr>
        <w:t>establecidos en la Convención Americana que le pueda ser imputado</w:t>
      </w:r>
      <w:r w:rsidRPr="00732F0C">
        <w:rPr>
          <w:rFonts w:ascii="Cambria" w:hAnsi="Cambria" w:cs="Arial"/>
          <w:sz w:val="20"/>
          <w:szCs w:val="20"/>
          <w:lang w:val="es-CR"/>
        </w:rPr>
        <w:t xml:space="preserve">. </w:t>
      </w:r>
      <w:r w:rsidR="003769E3" w:rsidRPr="00732F0C">
        <w:rPr>
          <w:rFonts w:ascii="Cambria" w:hAnsi="Cambria" w:cs="Arial"/>
          <w:sz w:val="20"/>
          <w:szCs w:val="20"/>
          <w:lang w:val="es-CR"/>
        </w:rPr>
        <w:t>Consideró que no se le puede atribuir responsabilidad internacional por hechos que no fueron cometidos por sus agentes. El Estado indicó que si bien ha existido una violación a</w:t>
      </w:r>
      <w:r w:rsidR="001813D7" w:rsidRPr="00732F0C">
        <w:rPr>
          <w:rFonts w:ascii="Cambria" w:hAnsi="Cambria" w:cs="Arial"/>
          <w:sz w:val="20"/>
          <w:szCs w:val="20"/>
          <w:lang w:val="es-CR"/>
        </w:rPr>
        <w:t>l derecho a la vida de</w:t>
      </w:r>
      <w:r w:rsidR="003769E3" w:rsidRPr="00732F0C">
        <w:rPr>
          <w:rFonts w:ascii="Cambria" w:hAnsi="Cambria" w:cs="Arial"/>
          <w:sz w:val="20"/>
          <w:szCs w:val="20"/>
          <w:lang w:val="es-CR"/>
        </w:rPr>
        <w:t xml:space="preserve"> Jorge Darwin García cometida por un ciudadano que no gozaba del apoyo o tolerancia de las autoridades gubernamentales o se encont</w:t>
      </w:r>
      <w:r w:rsidR="001813D7" w:rsidRPr="00732F0C">
        <w:rPr>
          <w:rFonts w:ascii="Cambria" w:hAnsi="Cambria" w:cs="Arial"/>
          <w:sz w:val="20"/>
          <w:szCs w:val="20"/>
          <w:lang w:val="es-CR"/>
        </w:rPr>
        <w:t>raba prevalido del poder público</w:t>
      </w:r>
      <w:r w:rsidR="003769E3" w:rsidRPr="00732F0C">
        <w:rPr>
          <w:rFonts w:ascii="Cambria" w:hAnsi="Cambria" w:cs="Arial"/>
          <w:sz w:val="20"/>
          <w:szCs w:val="20"/>
          <w:lang w:val="es-CR"/>
        </w:rPr>
        <w:t xml:space="preserve">, el sistema judicial ecuatoriano reparó dicha violación en el momento en que sancionó </w:t>
      </w:r>
      <w:r w:rsidR="001813D7" w:rsidRPr="00732F0C">
        <w:rPr>
          <w:rFonts w:ascii="Cambria" w:hAnsi="Cambria" w:cs="Arial"/>
          <w:sz w:val="20"/>
          <w:szCs w:val="20"/>
          <w:lang w:val="es-CR"/>
        </w:rPr>
        <w:t>al responsable.</w:t>
      </w:r>
    </w:p>
    <w:p w:rsidR="003769E3" w:rsidRPr="00732F0C" w:rsidRDefault="003769E3" w:rsidP="00842D6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CR"/>
        </w:rPr>
      </w:pPr>
    </w:p>
    <w:p w:rsidR="00E72761" w:rsidRPr="00732F0C" w:rsidRDefault="003769E3"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Adicionalmente, alegó</w:t>
      </w:r>
      <w:r w:rsidR="00E72761" w:rsidRPr="00732F0C">
        <w:rPr>
          <w:rFonts w:ascii="Cambria" w:hAnsi="Cambria" w:cs="Arial"/>
          <w:sz w:val="20"/>
          <w:szCs w:val="20"/>
          <w:lang w:val="es-CR"/>
        </w:rPr>
        <w:t xml:space="preserve"> que la peticionaria pretende acudir ante la Comisión para obtener una revisión de las actuaciones de los tribunales internos y que se determine si existieron o no errores de hecho o de derecho en su dictamen. En este sentido, señaló que la Comisión no puede actuar como un tribunal de alzada o de cuarta instancia y revisar las decisiones emitidas por los tribunales internos en observancia del  debido proceso. </w:t>
      </w:r>
    </w:p>
    <w:p w:rsidR="00E72761" w:rsidRPr="00732F0C" w:rsidRDefault="00E72761" w:rsidP="00842D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R"/>
        </w:rPr>
      </w:pPr>
    </w:p>
    <w:p w:rsidR="007B3C6B" w:rsidRPr="00732F0C" w:rsidRDefault="00E72761"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cs="Arial"/>
          <w:sz w:val="20"/>
          <w:szCs w:val="20"/>
          <w:lang w:val="es-CR"/>
        </w:rPr>
        <w:t xml:space="preserve">Al respecto, </w:t>
      </w:r>
      <w:r w:rsidR="007B3C6B" w:rsidRPr="00732F0C">
        <w:rPr>
          <w:rFonts w:ascii="Cambria" w:hAnsi="Cambria" w:cs="Arial"/>
          <w:sz w:val="20"/>
          <w:szCs w:val="20"/>
          <w:lang w:val="es-CR"/>
        </w:rPr>
        <w:t xml:space="preserve">indicó que </w:t>
      </w:r>
      <w:r w:rsidR="007B3C6B" w:rsidRPr="00732F0C">
        <w:rPr>
          <w:rFonts w:ascii="Cambria" w:hAnsi="Cambria"/>
          <w:sz w:val="20"/>
          <w:szCs w:val="20"/>
          <w:lang w:val="es-CR"/>
        </w:rPr>
        <w:t xml:space="preserve">el Tribunal Penal de Imbabura sentenció a Segundo Néstor de la Cruz </w:t>
      </w:r>
      <w:r w:rsidR="007B3C6B" w:rsidRPr="00732F0C">
        <w:rPr>
          <w:rFonts w:ascii="Cambria" w:hAnsi="Cambria" w:cs="Arial"/>
          <w:sz w:val="20"/>
          <w:szCs w:val="20"/>
          <w:lang w:val="es-CR"/>
        </w:rPr>
        <w:t xml:space="preserve">a </w:t>
      </w:r>
      <w:r w:rsidR="007B3C6B" w:rsidRPr="00732F0C">
        <w:rPr>
          <w:rFonts w:ascii="Cambria" w:hAnsi="Cambria"/>
          <w:sz w:val="20"/>
          <w:szCs w:val="20"/>
          <w:lang w:val="es-CR"/>
        </w:rPr>
        <w:t xml:space="preserve">6 años de reclusión y dispuso que cumpliera su condena en el Centro de Rehabilitación Social de la ciudad de Ibarra. El Estado también señaló que Segundo de la Cruz interpuso un recurso de casación ante la Corte Suprema de Justicia, que lo declaró improcedente el 28 de enero de 1998, como así también un recurso de revisión, que fue elevado a la Corte Suprema de Justicia el 25 de febrero de 1998. </w:t>
      </w:r>
      <w:r w:rsidRPr="00732F0C">
        <w:rPr>
          <w:rFonts w:ascii="Cambria" w:hAnsi="Cambria"/>
          <w:sz w:val="20"/>
          <w:szCs w:val="20"/>
          <w:lang w:val="es-CR"/>
        </w:rPr>
        <w:t>La Comisión toma nota de que el Estado no presentó información sobre si este recurso habría sido resuelto.</w:t>
      </w:r>
      <w:r w:rsidR="001813D7" w:rsidRPr="00732F0C">
        <w:rPr>
          <w:rFonts w:ascii="Cambria" w:hAnsi="Cambria"/>
          <w:sz w:val="20"/>
          <w:szCs w:val="20"/>
          <w:lang w:val="es-CR"/>
        </w:rPr>
        <w:t xml:space="preserve"> E</w:t>
      </w:r>
      <w:r w:rsidR="007B3C6B" w:rsidRPr="00732F0C">
        <w:rPr>
          <w:rFonts w:ascii="Cambria" w:hAnsi="Cambria"/>
          <w:sz w:val="20"/>
          <w:szCs w:val="20"/>
          <w:lang w:val="es-CR"/>
        </w:rPr>
        <w:t>l Estado informó que el Director del Centro de Rehabilitación N° 4 de la ciudad de Quito concedió rebajas por el tiempo de 480 días a favor de Segundo de la Cruz, por lo que cumplió su condena el 12 de mayo de 1998 y se encuentra en libertad desde el 21 de mayo de 1998.</w:t>
      </w:r>
    </w:p>
    <w:p w:rsidR="007B3C6B" w:rsidRPr="00732F0C" w:rsidRDefault="007B3C6B" w:rsidP="00842D6E">
      <w:pPr>
        <w:tabs>
          <w:tab w:val="left" w:pos="1440"/>
        </w:tabs>
        <w:jc w:val="both"/>
        <w:rPr>
          <w:rFonts w:ascii="Cambria" w:hAnsi="Cambria" w:cs="Arial"/>
          <w:sz w:val="20"/>
          <w:szCs w:val="20"/>
          <w:lang w:val="es-CR"/>
        </w:rPr>
      </w:pPr>
    </w:p>
    <w:p w:rsidR="007B3C6B" w:rsidRPr="00732F0C" w:rsidRDefault="001813D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Por otro lado</w:t>
      </w:r>
      <w:r w:rsidR="007B3C6B" w:rsidRPr="00732F0C">
        <w:rPr>
          <w:rFonts w:ascii="Cambria" w:hAnsi="Cambria" w:cs="Arial"/>
          <w:sz w:val="20"/>
          <w:szCs w:val="20"/>
          <w:lang w:val="es-CR"/>
        </w:rPr>
        <w:t xml:space="preserve">, el Estado alegó la excepción de no agotamiento de los recursos de jurisdicción interna y consideró que la petición no puede ser admitida. </w:t>
      </w:r>
      <w:r w:rsidRPr="00732F0C">
        <w:rPr>
          <w:rFonts w:ascii="Cambria" w:hAnsi="Cambria" w:cs="Arial"/>
          <w:sz w:val="20"/>
          <w:szCs w:val="20"/>
          <w:lang w:val="es-CR"/>
        </w:rPr>
        <w:t>S</w:t>
      </w:r>
      <w:r w:rsidR="007B3C6B" w:rsidRPr="00732F0C">
        <w:rPr>
          <w:rFonts w:ascii="Cambria" w:hAnsi="Cambria" w:cs="Arial"/>
          <w:sz w:val="20"/>
          <w:szCs w:val="20"/>
          <w:lang w:val="es-CR"/>
        </w:rPr>
        <w:t xml:space="preserve">eñaló que cuando la </w:t>
      </w:r>
      <w:r w:rsidRPr="00732F0C">
        <w:rPr>
          <w:rFonts w:ascii="Cambria" w:hAnsi="Cambria" w:cs="Arial"/>
          <w:sz w:val="20"/>
          <w:szCs w:val="20"/>
          <w:lang w:val="es-CR"/>
        </w:rPr>
        <w:t>petición</w:t>
      </w:r>
      <w:r w:rsidR="007B3C6B" w:rsidRPr="00732F0C">
        <w:rPr>
          <w:rFonts w:ascii="Cambria" w:hAnsi="Cambria" w:cs="Arial"/>
          <w:sz w:val="20"/>
          <w:szCs w:val="20"/>
          <w:lang w:val="es-CR"/>
        </w:rPr>
        <w:t xml:space="preserve"> fue presentada</w:t>
      </w:r>
      <w:r w:rsidR="00E71DB2" w:rsidRPr="00732F0C">
        <w:rPr>
          <w:rFonts w:ascii="Cambria" w:hAnsi="Cambria" w:cs="Arial"/>
          <w:sz w:val="20"/>
          <w:szCs w:val="20"/>
          <w:lang w:val="es-CR"/>
        </w:rPr>
        <w:t xml:space="preserve"> ante la CIDH</w:t>
      </w:r>
      <w:r w:rsidR="007B3C6B" w:rsidRPr="00732F0C">
        <w:rPr>
          <w:rFonts w:ascii="Cambria" w:hAnsi="Cambria" w:cs="Arial"/>
          <w:sz w:val="20"/>
          <w:szCs w:val="20"/>
          <w:lang w:val="es-CR"/>
        </w:rPr>
        <w:t>, todavía estaba pendiente que los tribunales de Ibarra resolvieran la causa pertinente, por lo que la Comisión debió esperar a que ese proceso se resolviera.</w:t>
      </w:r>
    </w:p>
    <w:p w:rsidR="007B3C6B" w:rsidRPr="00732F0C" w:rsidRDefault="007B3C6B" w:rsidP="00842D6E">
      <w:pPr>
        <w:tabs>
          <w:tab w:val="left" w:pos="1440"/>
        </w:tabs>
        <w:ind w:firstLine="720"/>
        <w:jc w:val="both"/>
        <w:rPr>
          <w:rFonts w:ascii="Cambria" w:hAnsi="Cambria" w:cs="Arial"/>
          <w:sz w:val="20"/>
          <w:szCs w:val="20"/>
          <w:lang w:val="es-CR"/>
        </w:rPr>
      </w:pPr>
    </w:p>
    <w:p w:rsidR="001813D7"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Respecto de la violación del derecho a la vida, el Estado consideró que son muy excepcionales los casos en que un Estado puede ser declarado responsable po</w:t>
      </w:r>
      <w:r w:rsidR="00E71DB2" w:rsidRPr="00732F0C">
        <w:rPr>
          <w:rFonts w:ascii="Cambria" w:hAnsi="Cambria" w:cs="Arial"/>
          <w:sz w:val="20"/>
          <w:szCs w:val="20"/>
          <w:lang w:val="es-CR"/>
        </w:rPr>
        <w:t xml:space="preserve">r la violación de este derecho </w:t>
      </w:r>
      <w:r w:rsidRPr="00732F0C">
        <w:rPr>
          <w:rFonts w:ascii="Cambria" w:hAnsi="Cambria" w:cs="Arial"/>
          <w:sz w:val="20"/>
          <w:szCs w:val="20"/>
          <w:lang w:val="es-CR"/>
        </w:rPr>
        <w:t xml:space="preserve">únicamente por haber fallado en responder con debida diligencia. Según el Estado, la justificación para que proceda la declaración de responsabilidad debería fundarse, en principio, en que la participación de los agentes del Estado no haya podido ser esclarecida porque el Estado permitió la obstrucción de justicia. </w:t>
      </w:r>
    </w:p>
    <w:p w:rsidR="001813D7" w:rsidRPr="00732F0C" w:rsidRDefault="001813D7" w:rsidP="00842D6E">
      <w:pPr>
        <w:pStyle w:val="ListParagraph"/>
        <w:jc w:val="both"/>
        <w:rPr>
          <w:rFonts w:cs="Arial"/>
          <w:sz w:val="20"/>
          <w:szCs w:val="20"/>
          <w:lang w:val="es-CR"/>
        </w:rPr>
      </w:pPr>
    </w:p>
    <w:p w:rsidR="007B3C6B" w:rsidRPr="00732F0C" w:rsidRDefault="001813D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E</w:t>
      </w:r>
      <w:r w:rsidR="007B3C6B" w:rsidRPr="00732F0C">
        <w:rPr>
          <w:rFonts w:ascii="Cambria" w:hAnsi="Cambria" w:cs="Arial"/>
          <w:sz w:val="20"/>
          <w:szCs w:val="20"/>
          <w:lang w:val="es-CR"/>
        </w:rPr>
        <w:t>l Estado consideró que la información aportada revela que Ecuador realizó sus mejores esfuer</w:t>
      </w:r>
      <w:r w:rsidR="00E71DB2" w:rsidRPr="00732F0C">
        <w:rPr>
          <w:rFonts w:ascii="Cambria" w:hAnsi="Cambria" w:cs="Arial"/>
          <w:sz w:val="20"/>
          <w:szCs w:val="20"/>
          <w:lang w:val="es-CR"/>
        </w:rPr>
        <w:t>zos para esclarecer los hechos</w:t>
      </w:r>
      <w:r w:rsidR="007B3C6B" w:rsidRPr="00732F0C">
        <w:rPr>
          <w:rFonts w:ascii="Cambria" w:hAnsi="Cambria" w:cs="Arial"/>
          <w:sz w:val="20"/>
          <w:szCs w:val="20"/>
          <w:lang w:val="es-CR"/>
        </w:rPr>
        <w:t xml:space="preserve">. En particular, señaló que respondió </w:t>
      </w:r>
      <w:r w:rsidR="00D051FE" w:rsidRPr="00732F0C">
        <w:rPr>
          <w:rFonts w:ascii="Cambria" w:hAnsi="Cambria" w:cs="Arial"/>
          <w:sz w:val="20"/>
          <w:szCs w:val="20"/>
          <w:lang w:val="es-CR"/>
        </w:rPr>
        <w:t>de manera ágil</w:t>
      </w:r>
      <w:r w:rsidR="007B3C6B" w:rsidRPr="00732F0C">
        <w:rPr>
          <w:rFonts w:ascii="Cambria" w:hAnsi="Cambria" w:cs="Arial"/>
          <w:sz w:val="20"/>
          <w:szCs w:val="20"/>
          <w:lang w:val="es-CR"/>
        </w:rPr>
        <w:t xml:space="preserve"> ante el crimen perpetrado y detuvo al sospechoso, de quien finalme</w:t>
      </w:r>
      <w:r w:rsidR="0088670E" w:rsidRPr="00732F0C">
        <w:rPr>
          <w:rFonts w:ascii="Cambria" w:hAnsi="Cambria" w:cs="Arial"/>
          <w:sz w:val="20"/>
          <w:szCs w:val="20"/>
          <w:lang w:val="es-CR"/>
        </w:rPr>
        <w:t>nte se demostró su culpabilidad. Sostuvo que</w:t>
      </w:r>
      <w:r w:rsidR="007B3C6B" w:rsidRPr="00732F0C">
        <w:rPr>
          <w:rFonts w:ascii="Cambria" w:hAnsi="Cambria" w:cs="Arial"/>
          <w:sz w:val="20"/>
          <w:szCs w:val="20"/>
          <w:lang w:val="es-CR"/>
        </w:rPr>
        <w:t xml:space="preserve"> existió una investigación seria, completa e imparcial que evitó que este delito quede impune, estableciéndose la verdad procesal sobre la forma en que ocurrieron los hechos. </w:t>
      </w:r>
      <w:r w:rsidR="0088670E" w:rsidRPr="00732F0C">
        <w:rPr>
          <w:rFonts w:ascii="Cambria" w:hAnsi="Cambria" w:cs="Arial"/>
          <w:sz w:val="20"/>
          <w:szCs w:val="20"/>
          <w:lang w:val="es-CR"/>
        </w:rPr>
        <w:t xml:space="preserve">Agregó que </w:t>
      </w:r>
      <w:r w:rsidR="007B3C6B" w:rsidRPr="00732F0C">
        <w:rPr>
          <w:rFonts w:ascii="Cambria" w:hAnsi="Cambria" w:cs="Arial"/>
          <w:sz w:val="20"/>
          <w:szCs w:val="20"/>
          <w:lang w:val="es-CR"/>
        </w:rPr>
        <w:t>cumplió con su obligación de investigar y sancionar una violación cometida en su territorio por una persona que, si bien era miembro de la Policía Nacional, no ostentaba en esos momentos el carácter oficial que conllevan sus funciones.</w:t>
      </w:r>
    </w:p>
    <w:p w:rsidR="0035594E" w:rsidRPr="00732F0C" w:rsidRDefault="0035594E" w:rsidP="00842D6E">
      <w:pPr>
        <w:tabs>
          <w:tab w:val="left" w:pos="1440"/>
        </w:tabs>
        <w:jc w:val="both"/>
        <w:rPr>
          <w:rFonts w:ascii="Cambria" w:hAnsi="Cambria" w:cs="Arial"/>
          <w:sz w:val="20"/>
          <w:szCs w:val="20"/>
          <w:lang w:val="es-CR"/>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 xml:space="preserve">En cuanto a la violación del plazo razonable, el Estado consideró que debe tenerse en cuenta: i) la complejidad del caso, ii) la conducta de la parte lesionada en relación a su cooperación con el curso del proceso, iii) la forma en que ha tramitado la etapa de instrucción del proceso, y iv) la actuación de las autoridades judiciales. </w:t>
      </w:r>
      <w:r w:rsidR="0088670E" w:rsidRPr="00732F0C">
        <w:rPr>
          <w:rFonts w:ascii="Cambria" w:hAnsi="Cambria" w:cs="Arial"/>
          <w:sz w:val="20"/>
          <w:szCs w:val="20"/>
          <w:lang w:val="es-CR"/>
        </w:rPr>
        <w:t>E</w:t>
      </w:r>
      <w:r w:rsidRPr="00732F0C">
        <w:rPr>
          <w:rFonts w:ascii="Cambria" w:hAnsi="Cambria" w:cs="Arial"/>
          <w:sz w:val="20"/>
          <w:szCs w:val="20"/>
          <w:lang w:val="es-CR"/>
        </w:rPr>
        <w:t xml:space="preserve">n cuanto al primer elemento, el Estado consideró que en toda investigación, en especial aquellas que involucran la determinación de la responsabilidad de las personas acusadas de cometer delitos contra la vida, se envuelve un grado especialísimo de complejidad, que requiere el mayor de los análisis hasta que el juzgador tenga la certeza absoluta de la comisión de la infracción y de que los acusados son responsables de la misma. En virtud de lo anterior, el Estado consideró que tomando en cuenta la complejidad del caso en cuestión, el retardo de 4 años </w:t>
      </w:r>
      <w:r w:rsidR="0088670E" w:rsidRPr="00732F0C">
        <w:rPr>
          <w:rFonts w:ascii="Cambria" w:hAnsi="Cambria" w:cs="Arial"/>
          <w:sz w:val="20"/>
          <w:szCs w:val="20"/>
          <w:lang w:val="es-CR"/>
        </w:rPr>
        <w:t>y medio</w:t>
      </w:r>
      <w:r w:rsidRPr="00732F0C">
        <w:rPr>
          <w:rFonts w:ascii="Cambria" w:hAnsi="Cambria" w:cs="Arial"/>
          <w:sz w:val="20"/>
          <w:szCs w:val="20"/>
          <w:lang w:val="es-CR"/>
        </w:rPr>
        <w:t xml:space="preserve"> es justificable.</w:t>
      </w:r>
    </w:p>
    <w:p w:rsidR="007B3C6B" w:rsidRPr="00732F0C" w:rsidRDefault="007B3C6B" w:rsidP="00842D6E">
      <w:pPr>
        <w:tabs>
          <w:tab w:val="left" w:pos="1440"/>
        </w:tabs>
        <w:ind w:firstLine="720"/>
        <w:jc w:val="both"/>
        <w:rPr>
          <w:rFonts w:ascii="Cambria" w:hAnsi="Cambria" w:cs="Arial"/>
          <w:sz w:val="20"/>
          <w:szCs w:val="20"/>
          <w:lang w:val="es-CR"/>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lastRenderedPageBreak/>
        <w:t>En relación con el segundo elemento, sostuvo que “las partes interesadas nunca cooperaron con las investigaciones que los agentes del Estado se encontraban realizando, por un lado por la dila</w:t>
      </w:r>
      <w:r w:rsidR="006837F3">
        <w:rPr>
          <w:rFonts w:ascii="Cambria" w:hAnsi="Cambria" w:cs="Arial"/>
          <w:sz w:val="20"/>
          <w:szCs w:val="20"/>
          <w:lang w:val="es-CR"/>
        </w:rPr>
        <w:t>ción</w:t>
      </w:r>
      <w:r w:rsidRPr="00732F0C">
        <w:rPr>
          <w:rFonts w:ascii="Cambria" w:hAnsi="Cambria" w:cs="Arial"/>
          <w:sz w:val="20"/>
          <w:szCs w:val="20"/>
          <w:lang w:val="es-CR"/>
        </w:rPr>
        <w:t xml:space="preserve"> del proceso por parte de los acusados y por otro, por la falta de una actitud activa por parte de los agraviados”.</w:t>
      </w:r>
      <w:r w:rsidR="0088670E" w:rsidRPr="00732F0C">
        <w:rPr>
          <w:rFonts w:ascii="Cambria" w:hAnsi="Cambria" w:cs="Arial"/>
          <w:sz w:val="20"/>
          <w:szCs w:val="20"/>
          <w:lang w:val="es-CR"/>
        </w:rPr>
        <w:t xml:space="preserve"> Respecto del tercer elemento</w:t>
      </w:r>
      <w:r w:rsidRPr="00732F0C">
        <w:rPr>
          <w:rFonts w:ascii="Cambria" w:hAnsi="Cambria" w:cs="Arial"/>
          <w:sz w:val="20"/>
          <w:szCs w:val="20"/>
          <w:lang w:val="es-CR"/>
        </w:rPr>
        <w:t xml:space="preserve">, el Estado refirió que el Tribunal Europeo de Derechos Humanos consideró que “un atasco temporal de la tarea de un tribunal no compromete la responsabilidad internacional del Estado afectado” y que ese mismo Tribunal, consideró violado el derecho a un plazo razonable en casos en que el proceso habría demorado </w:t>
      </w:r>
      <w:r w:rsidR="0088670E" w:rsidRPr="00732F0C">
        <w:rPr>
          <w:rFonts w:ascii="Cambria" w:hAnsi="Cambria" w:cs="Arial"/>
          <w:sz w:val="20"/>
          <w:szCs w:val="20"/>
          <w:lang w:val="es-CR"/>
        </w:rPr>
        <w:t xml:space="preserve">más de diez años, situación que no se da en el presente asunto. </w:t>
      </w:r>
    </w:p>
    <w:p w:rsidR="007B3C6B" w:rsidRPr="00732F0C" w:rsidRDefault="007B3C6B" w:rsidP="00842D6E">
      <w:pPr>
        <w:tabs>
          <w:tab w:val="left" w:pos="1440"/>
        </w:tabs>
        <w:ind w:firstLine="720"/>
        <w:jc w:val="both"/>
        <w:rPr>
          <w:rFonts w:ascii="Cambria" w:hAnsi="Cambria" w:cs="Arial"/>
          <w:sz w:val="20"/>
          <w:szCs w:val="20"/>
          <w:lang w:val="es-CR"/>
        </w:rPr>
      </w:pPr>
    </w:p>
    <w:p w:rsidR="007B3C6B" w:rsidRPr="00732F0C" w:rsidRDefault="0088670E"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Finalmente,</w:t>
      </w:r>
      <w:r w:rsidR="007B3C6B" w:rsidRPr="00732F0C">
        <w:rPr>
          <w:rFonts w:ascii="Cambria" w:hAnsi="Cambria" w:cs="Arial"/>
          <w:sz w:val="20"/>
          <w:szCs w:val="20"/>
          <w:lang w:val="es-CR"/>
        </w:rPr>
        <w:t xml:space="preserve"> el Estado consideró que los plazos establecidos en las legislaciones domésticas no pue</w:t>
      </w:r>
      <w:r w:rsidR="00E71DB2" w:rsidRPr="00732F0C">
        <w:rPr>
          <w:rFonts w:ascii="Cambria" w:hAnsi="Cambria" w:cs="Arial"/>
          <w:sz w:val="20"/>
          <w:szCs w:val="20"/>
          <w:lang w:val="es-CR"/>
        </w:rPr>
        <w:t>den considerarse “fatales”</w:t>
      </w:r>
      <w:r w:rsidR="007B3C6B" w:rsidRPr="00732F0C">
        <w:rPr>
          <w:rFonts w:ascii="Cambria" w:hAnsi="Cambria" w:cs="Arial"/>
          <w:sz w:val="20"/>
          <w:szCs w:val="20"/>
          <w:lang w:val="es-CR"/>
        </w:rPr>
        <w:t xml:space="preserve">. </w:t>
      </w:r>
      <w:r w:rsidR="00E71DB2" w:rsidRPr="00732F0C">
        <w:rPr>
          <w:rFonts w:ascii="Cambria" w:hAnsi="Cambria" w:cs="Arial"/>
          <w:sz w:val="20"/>
          <w:szCs w:val="20"/>
          <w:lang w:val="es-CR"/>
        </w:rPr>
        <w:t>Señaló que</w:t>
      </w:r>
      <w:r w:rsidR="007B3C6B" w:rsidRPr="00732F0C">
        <w:rPr>
          <w:rFonts w:ascii="Cambria" w:hAnsi="Cambria" w:cs="Arial"/>
          <w:sz w:val="20"/>
          <w:szCs w:val="20"/>
          <w:lang w:val="es-CR"/>
        </w:rPr>
        <w:t xml:space="preserve"> si bien el proceso duró un poco más de 4 años</w:t>
      </w:r>
      <w:r w:rsidR="00E71DB2" w:rsidRPr="00732F0C">
        <w:rPr>
          <w:rFonts w:ascii="Cambria" w:hAnsi="Cambria" w:cs="Arial"/>
          <w:sz w:val="20"/>
          <w:szCs w:val="20"/>
          <w:lang w:val="es-CR"/>
        </w:rPr>
        <w:t xml:space="preserve"> y no se cumplieron los plazos legalmente establecidos</w:t>
      </w:r>
      <w:r w:rsidR="007B3C6B" w:rsidRPr="00732F0C">
        <w:rPr>
          <w:rFonts w:ascii="Cambria" w:hAnsi="Cambria" w:cs="Arial"/>
          <w:sz w:val="20"/>
          <w:szCs w:val="20"/>
          <w:lang w:val="es-CR"/>
        </w:rPr>
        <w:t xml:space="preserve">, ese lapso no conlleva </w:t>
      </w:r>
      <w:r w:rsidR="007B3C6B" w:rsidRPr="00732F0C">
        <w:rPr>
          <w:rFonts w:ascii="Cambria" w:hAnsi="Cambria" w:cs="Arial"/>
          <w:i/>
          <w:sz w:val="20"/>
          <w:szCs w:val="20"/>
          <w:lang w:val="es-CR"/>
        </w:rPr>
        <w:t>per se</w:t>
      </w:r>
      <w:r w:rsidR="007B3C6B" w:rsidRPr="00732F0C">
        <w:rPr>
          <w:rFonts w:ascii="Cambria" w:hAnsi="Cambria" w:cs="Arial"/>
          <w:sz w:val="20"/>
          <w:szCs w:val="20"/>
          <w:lang w:val="es-CR"/>
        </w:rPr>
        <w:t xml:space="preserve"> una violación del artículo 8 de la Convención, ya que existen varios elementos que provocaron esa dilación, en particular, que los acusados utilizaron los recursos previstos en la legislación interna. </w:t>
      </w:r>
    </w:p>
    <w:p w:rsidR="007B3C6B" w:rsidRPr="00732F0C" w:rsidRDefault="007B3C6B" w:rsidP="00842D6E">
      <w:pPr>
        <w:jc w:val="both"/>
        <w:rPr>
          <w:rFonts w:ascii="Cambria" w:hAnsi="Cambria"/>
          <w:sz w:val="20"/>
          <w:szCs w:val="20"/>
          <w:lang w:val="es-ES"/>
        </w:rPr>
      </w:pPr>
    </w:p>
    <w:p w:rsidR="007B3C6B" w:rsidRPr="00732F0C" w:rsidRDefault="007B3C6B" w:rsidP="00D060AD">
      <w:pPr>
        <w:pStyle w:val="Heading1"/>
        <w:ind w:firstLine="0"/>
        <w:jc w:val="both"/>
      </w:pPr>
      <w:bookmarkStart w:id="7" w:name="_Toc529792389"/>
      <w:r w:rsidRPr="00732F0C">
        <w:t>ANÁLISIS SOBRE ADMISIBILIDAD</w:t>
      </w:r>
      <w:bookmarkEnd w:id="7"/>
    </w:p>
    <w:p w:rsidR="007B3C6B" w:rsidRPr="00732F0C" w:rsidRDefault="007B3C6B" w:rsidP="00842D6E">
      <w:pPr>
        <w:tabs>
          <w:tab w:val="left" w:pos="1440"/>
        </w:tabs>
        <w:ind w:firstLine="720"/>
        <w:jc w:val="both"/>
        <w:rPr>
          <w:rFonts w:ascii="Cambria" w:hAnsi="Cambria" w:cs="Arial"/>
          <w:sz w:val="20"/>
          <w:szCs w:val="20"/>
        </w:rPr>
      </w:pPr>
    </w:p>
    <w:p w:rsidR="007B3C6B" w:rsidRPr="00732F0C" w:rsidRDefault="007B3C6B" w:rsidP="00842D6E">
      <w:pPr>
        <w:pStyle w:val="Heading2"/>
        <w:numPr>
          <w:ilvl w:val="0"/>
          <w:numId w:val="57"/>
        </w:numPr>
        <w:jc w:val="both"/>
        <w:rPr>
          <w:i/>
        </w:rPr>
      </w:pPr>
      <w:bookmarkStart w:id="8" w:name="_Toc529792390"/>
      <w:r w:rsidRPr="00732F0C">
        <w:t>Competencia de la Comisión</w:t>
      </w:r>
      <w:r w:rsidRPr="00732F0C">
        <w:rPr>
          <w:i/>
        </w:rPr>
        <w:t xml:space="preserve"> </w:t>
      </w:r>
      <w:proofErr w:type="spellStart"/>
      <w:r w:rsidRPr="00732F0C">
        <w:rPr>
          <w:i/>
        </w:rPr>
        <w:t>ratione</w:t>
      </w:r>
      <w:proofErr w:type="spellEnd"/>
      <w:r w:rsidRPr="00732F0C">
        <w:rPr>
          <w:i/>
        </w:rPr>
        <w:t xml:space="preserve"> </w:t>
      </w:r>
      <w:proofErr w:type="spellStart"/>
      <w:r w:rsidRPr="00732F0C">
        <w:rPr>
          <w:i/>
        </w:rPr>
        <w:t>temporis</w:t>
      </w:r>
      <w:proofErr w:type="spellEnd"/>
      <w:r w:rsidRPr="00732F0C">
        <w:rPr>
          <w:i/>
        </w:rPr>
        <w:t xml:space="preserve">, </w:t>
      </w:r>
      <w:proofErr w:type="spellStart"/>
      <w:r w:rsidRPr="00732F0C">
        <w:rPr>
          <w:i/>
        </w:rPr>
        <w:t>ratione</w:t>
      </w:r>
      <w:proofErr w:type="spellEnd"/>
      <w:r w:rsidRPr="00732F0C">
        <w:rPr>
          <w:i/>
        </w:rPr>
        <w:t xml:space="preserve"> </w:t>
      </w:r>
      <w:proofErr w:type="spellStart"/>
      <w:r w:rsidRPr="00732F0C">
        <w:rPr>
          <w:i/>
        </w:rPr>
        <w:t>personae</w:t>
      </w:r>
      <w:proofErr w:type="spellEnd"/>
      <w:r w:rsidRPr="00732F0C">
        <w:rPr>
          <w:i/>
        </w:rPr>
        <w:t xml:space="preserve">, </w:t>
      </w:r>
      <w:proofErr w:type="spellStart"/>
      <w:r w:rsidRPr="00732F0C">
        <w:rPr>
          <w:i/>
        </w:rPr>
        <w:t>ratione</w:t>
      </w:r>
      <w:proofErr w:type="spellEnd"/>
      <w:r w:rsidRPr="00732F0C">
        <w:rPr>
          <w:i/>
        </w:rPr>
        <w:t xml:space="preserve"> </w:t>
      </w:r>
      <w:proofErr w:type="spellStart"/>
      <w:r w:rsidRPr="00732F0C">
        <w:rPr>
          <w:i/>
        </w:rPr>
        <w:t>materia</w:t>
      </w:r>
      <w:r w:rsidR="00C33CE5" w:rsidRPr="00732F0C">
        <w:rPr>
          <w:i/>
        </w:rPr>
        <w:t>e</w:t>
      </w:r>
      <w:proofErr w:type="spellEnd"/>
      <w:r w:rsidRPr="00732F0C">
        <w:rPr>
          <w:i/>
        </w:rPr>
        <w:t xml:space="preserve"> y </w:t>
      </w:r>
      <w:proofErr w:type="spellStart"/>
      <w:r w:rsidRPr="00732F0C">
        <w:rPr>
          <w:i/>
        </w:rPr>
        <w:t>ratione</w:t>
      </w:r>
      <w:proofErr w:type="spellEnd"/>
      <w:r w:rsidRPr="00732F0C">
        <w:rPr>
          <w:i/>
        </w:rPr>
        <w:t xml:space="preserve"> </w:t>
      </w:r>
      <w:proofErr w:type="spellStart"/>
      <w:r w:rsidRPr="00732F0C">
        <w:rPr>
          <w:i/>
        </w:rPr>
        <w:t>loci</w:t>
      </w:r>
      <w:bookmarkEnd w:id="8"/>
      <w:proofErr w:type="spellEnd"/>
      <w:r w:rsidRPr="00732F0C">
        <w:rPr>
          <w:i/>
        </w:rPr>
        <w:t xml:space="preserve"> </w:t>
      </w:r>
    </w:p>
    <w:p w:rsidR="007B3C6B" w:rsidRPr="00732F0C" w:rsidRDefault="007B3C6B" w:rsidP="00842D6E">
      <w:pPr>
        <w:tabs>
          <w:tab w:val="left" w:pos="1440"/>
        </w:tabs>
        <w:ind w:firstLine="720"/>
        <w:jc w:val="both"/>
        <w:rPr>
          <w:rFonts w:ascii="Cambria" w:hAnsi="Cambria" w:cs="Arial"/>
          <w:b/>
          <w:sz w:val="20"/>
          <w:szCs w:val="20"/>
          <w:lang w:val="es-CR"/>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 xml:space="preserve">La peticionaria se encuentra facultada por el artículo 44 de la Convención para presentar </w:t>
      </w:r>
      <w:r w:rsidR="00E71DB2" w:rsidRPr="00732F0C">
        <w:rPr>
          <w:rFonts w:ascii="Cambria" w:hAnsi="Cambria" w:cs="Arial"/>
          <w:sz w:val="20"/>
          <w:szCs w:val="20"/>
          <w:lang w:val="es-CR"/>
        </w:rPr>
        <w:t>peticiones</w:t>
      </w:r>
      <w:r w:rsidRPr="00732F0C">
        <w:rPr>
          <w:rFonts w:ascii="Cambria" w:hAnsi="Cambria" w:cs="Arial"/>
          <w:sz w:val="20"/>
          <w:szCs w:val="20"/>
          <w:lang w:val="es-CR"/>
        </w:rPr>
        <w:t>. Las presuntas víctimas son personas naturales que se encontraban bajo la jurisdicción del Estado ecuatoriano a la fecha de los hechos denunciados. Por su parte, Ecuador ratificó la Convención el 28 de diciembre de 1977. En consecuencia, la C</w:t>
      </w:r>
      <w:r w:rsidR="002E25EF" w:rsidRPr="00732F0C">
        <w:rPr>
          <w:rFonts w:ascii="Cambria" w:hAnsi="Cambria" w:cs="Arial"/>
          <w:sz w:val="20"/>
          <w:szCs w:val="20"/>
          <w:lang w:val="es-CR"/>
        </w:rPr>
        <w:t>IDH</w:t>
      </w:r>
      <w:r w:rsidRPr="00732F0C">
        <w:rPr>
          <w:rFonts w:ascii="Cambria" w:hAnsi="Cambria" w:cs="Arial"/>
          <w:sz w:val="20"/>
          <w:szCs w:val="20"/>
          <w:lang w:val="es-CR"/>
        </w:rPr>
        <w:t xml:space="preserve"> tiene competencia </w:t>
      </w:r>
      <w:proofErr w:type="spellStart"/>
      <w:r w:rsidRPr="00732F0C">
        <w:rPr>
          <w:rFonts w:ascii="Cambria" w:hAnsi="Cambria" w:cs="Arial"/>
          <w:i/>
          <w:sz w:val="20"/>
          <w:szCs w:val="20"/>
          <w:lang w:val="es-CR"/>
        </w:rPr>
        <w:t>ratione</w:t>
      </w:r>
      <w:proofErr w:type="spellEnd"/>
      <w:r w:rsidRPr="00732F0C">
        <w:rPr>
          <w:rFonts w:ascii="Cambria" w:hAnsi="Cambria" w:cs="Arial"/>
          <w:i/>
          <w:sz w:val="20"/>
          <w:szCs w:val="20"/>
          <w:lang w:val="es-CR"/>
        </w:rPr>
        <w:t xml:space="preserve"> </w:t>
      </w:r>
      <w:proofErr w:type="spellStart"/>
      <w:r w:rsidRPr="00732F0C">
        <w:rPr>
          <w:rFonts w:ascii="Cambria" w:hAnsi="Cambria" w:cs="Arial"/>
          <w:i/>
          <w:sz w:val="20"/>
          <w:szCs w:val="20"/>
          <w:lang w:val="es-CR"/>
        </w:rPr>
        <w:t>personae</w:t>
      </w:r>
      <w:proofErr w:type="spellEnd"/>
      <w:r w:rsidRPr="00732F0C">
        <w:rPr>
          <w:rFonts w:ascii="Cambria" w:hAnsi="Cambria" w:cs="Arial"/>
          <w:i/>
          <w:sz w:val="20"/>
          <w:szCs w:val="20"/>
          <w:lang w:val="es-CR"/>
        </w:rPr>
        <w:t xml:space="preserve"> </w:t>
      </w:r>
      <w:r w:rsidRPr="00732F0C">
        <w:rPr>
          <w:rFonts w:ascii="Cambria" w:hAnsi="Cambria" w:cs="Arial"/>
          <w:sz w:val="20"/>
          <w:szCs w:val="20"/>
          <w:lang w:val="es-CR"/>
        </w:rPr>
        <w:t xml:space="preserve">para examinar la petición. </w:t>
      </w:r>
    </w:p>
    <w:p w:rsidR="007B3C6B" w:rsidRPr="00732F0C" w:rsidRDefault="007B3C6B" w:rsidP="00842D6E">
      <w:pPr>
        <w:tabs>
          <w:tab w:val="left" w:pos="1440"/>
        </w:tabs>
        <w:ind w:firstLine="720"/>
        <w:jc w:val="both"/>
        <w:rPr>
          <w:rFonts w:ascii="Cambria" w:hAnsi="Cambria" w:cs="Arial"/>
          <w:sz w:val="20"/>
          <w:szCs w:val="20"/>
          <w:lang w:val="es-CR"/>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 xml:space="preserve">La Comisión tiene competencia </w:t>
      </w:r>
      <w:proofErr w:type="spellStart"/>
      <w:r w:rsidRPr="00732F0C">
        <w:rPr>
          <w:rFonts w:ascii="Cambria" w:hAnsi="Cambria" w:cs="Arial"/>
          <w:i/>
          <w:sz w:val="20"/>
          <w:szCs w:val="20"/>
          <w:lang w:val="es-CR"/>
        </w:rPr>
        <w:t>ratione</w:t>
      </w:r>
      <w:proofErr w:type="spellEnd"/>
      <w:r w:rsidRPr="00732F0C">
        <w:rPr>
          <w:rFonts w:ascii="Cambria" w:hAnsi="Cambria" w:cs="Arial"/>
          <w:i/>
          <w:sz w:val="20"/>
          <w:szCs w:val="20"/>
          <w:lang w:val="es-CR"/>
        </w:rPr>
        <w:t xml:space="preserve"> </w:t>
      </w:r>
      <w:proofErr w:type="spellStart"/>
      <w:r w:rsidRPr="00732F0C">
        <w:rPr>
          <w:rFonts w:ascii="Cambria" w:hAnsi="Cambria" w:cs="Arial"/>
          <w:i/>
          <w:sz w:val="20"/>
          <w:szCs w:val="20"/>
          <w:lang w:val="es-CR"/>
        </w:rPr>
        <w:t>loci</w:t>
      </w:r>
      <w:proofErr w:type="spellEnd"/>
      <w:r w:rsidRPr="00732F0C">
        <w:rPr>
          <w:rFonts w:ascii="Cambria" w:hAnsi="Cambria" w:cs="Arial"/>
          <w:i/>
          <w:sz w:val="20"/>
          <w:szCs w:val="20"/>
          <w:lang w:val="es-CR"/>
        </w:rPr>
        <w:t xml:space="preserve"> </w:t>
      </w:r>
      <w:r w:rsidRPr="00732F0C">
        <w:rPr>
          <w:rFonts w:ascii="Cambria" w:hAnsi="Cambria" w:cs="Arial"/>
          <w:sz w:val="20"/>
          <w:szCs w:val="20"/>
          <w:lang w:val="es-CR"/>
        </w:rPr>
        <w:t>para conocer la petición, por cuanto en ella se alegan violaciones de derechos protegidos por la Convención que habrían tenido lugar dentro del territorio de un Estado parte de dicho tratado.</w:t>
      </w:r>
      <w:r w:rsidR="00094228" w:rsidRPr="00732F0C">
        <w:rPr>
          <w:rFonts w:ascii="Cambria" w:hAnsi="Cambria" w:cs="Arial"/>
          <w:sz w:val="20"/>
          <w:szCs w:val="20"/>
          <w:lang w:val="es-CR"/>
        </w:rPr>
        <w:t xml:space="preserve">  </w:t>
      </w:r>
      <w:r w:rsidRPr="00732F0C">
        <w:rPr>
          <w:rFonts w:ascii="Cambria" w:hAnsi="Cambria" w:cs="Arial"/>
          <w:sz w:val="20"/>
          <w:szCs w:val="20"/>
          <w:lang w:val="es-CR"/>
        </w:rPr>
        <w:t xml:space="preserve">Asimismo, la Comisión tiene competencia </w:t>
      </w:r>
      <w:proofErr w:type="spellStart"/>
      <w:r w:rsidRPr="00732F0C">
        <w:rPr>
          <w:rFonts w:ascii="Cambria" w:hAnsi="Cambria" w:cs="Arial"/>
          <w:i/>
          <w:sz w:val="20"/>
          <w:szCs w:val="20"/>
          <w:lang w:val="es-CR"/>
        </w:rPr>
        <w:t>ratione</w:t>
      </w:r>
      <w:proofErr w:type="spellEnd"/>
      <w:r w:rsidRPr="00732F0C">
        <w:rPr>
          <w:rFonts w:ascii="Cambria" w:hAnsi="Cambria" w:cs="Arial"/>
          <w:i/>
          <w:sz w:val="20"/>
          <w:szCs w:val="20"/>
          <w:lang w:val="es-CR"/>
        </w:rPr>
        <w:t xml:space="preserve"> </w:t>
      </w:r>
      <w:proofErr w:type="spellStart"/>
      <w:r w:rsidRPr="00732F0C">
        <w:rPr>
          <w:rFonts w:ascii="Cambria" w:hAnsi="Cambria" w:cs="Arial"/>
          <w:i/>
          <w:sz w:val="20"/>
          <w:szCs w:val="20"/>
          <w:lang w:val="es-CR"/>
        </w:rPr>
        <w:t>materiae</w:t>
      </w:r>
      <w:proofErr w:type="spellEnd"/>
      <w:r w:rsidRPr="00732F0C">
        <w:rPr>
          <w:rFonts w:ascii="Cambria" w:hAnsi="Cambria" w:cs="Arial"/>
          <w:i/>
          <w:sz w:val="20"/>
          <w:szCs w:val="20"/>
          <w:lang w:val="es-CR"/>
        </w:rPr>
        <w:t xml:space="preserve"> </w:t>
      </w:r>
      <w:r w:rsidRPr="00732F0C">
        <w:rPr>
          <w:rFonts w:ascii="Cambria" w:hAnsi="Cambria" w:cs="Arial"/>
          <w:sz w:val="20"/>
          <w:szCs w:val="20"/>
          <w:lang w:val="es-CR"/>
        </w:rPr>
        <w:t xml:space="preserve">porque en la petición se alega la violación de derechos protegidos en la Convención Americana. Finalmente, la </w:t>
      </w:r>
      <w:r w:rsidR="00094228" w:rsidRPr="00732F0C">
        <w:rPr>
          <w:rFonts w:ascii="Cambria" w:hAnsi="Cambria" w:cs="Arial"/>
          <w:sz w:val="20"/>
          <w:szCs w:val="20"/>
          <w:lang w:val="es-CR"/>
        </w:rPr>
        <w:t>CIDH</w:t>
      </w:r>
      <w:r w:rsidRPr="00732F0C">
        <w:rPr>
          <w:rFonts w:ascii="Cambria" w:hAnsi="Cambria" w:cs="Arial"/>
          <w:sz w:val="20"/>
          <w:szCs w:val="20"/>
          <w:lang w:val="es-CR"/>
        </w:rPr>
        <w:t xml:space="preserve"> tiene competencia </w:t>
      </w:r>
      <w:proofErr w:type="spellStart"/>
      <w:r w:rsidRPr="00732F0C">
        <w:rPr>
          <w:rFonts w:ascii="Cambria" w:hAnsi="Cambria" w:cs="Arial"/>
          <w:i/>
          <w:sz w:val="20"/>
          <w:szCs w:val="20"/>
          <w:lang w:val="es-CR"/>
        </w:rPr>
        <w:t>ratione</w:t>
      </w:r>
      <w:proofErr w:type="spellEnd"/>
      <w:r w:rsidRPr="00732F0C">
        <w:rPr>
          <w:rFonts w:ascii="Cambria" w:hAnsi="Cambria" w:cs="Arial"/>
          <w:i/>
          <w:sz w:val="20"/>
          <w:szCs w:val="20"/>
          <w:lang w:val="es-CR"/>
        </w:rPr>
        <w:t xml:space="preserve"> </w:t>
      </w:r>
      <w:proofErr w:type="spellStart"/>
      <w:r w:rsidRPr="00732F0C">
        <w:rPr>
          <w:rFonts w:ascii="Cambria" w:hAnsi="Cambria" w:cs="Arial"/>
          <w:i/>
          <w:sz w:val="20"/>
          <w:szCs w:val="20"/>
          <w:lang w:val="es-CR"/>
        </w:rPr>
        <w:t>temporis</w:t>
      </w:r>
      <w:proofErr w:type="spellEnd"/>
      <w:r w:rsidRPr="00732F0C">
        <w:rPr>
          <w:rFonts w:ascii="Cambria" w:hAnsi="Cambria" w:cs="Arial"/>
          <w:i/>
          <w:sz w:val="20"/>
          <w:szCs w:val="20"/>
          <w:lang w:val="es-CR"/>
        </w:rPr>
        <w:t xml:space="preserve"> </w:t>
      </w:r>
      <w:r w:rsidRPr="00732F0C">
        <w:rPr>
          <w:rFonts w:ascii="Cambria" w:hAnsi="Cambria" w:cs="Arial"/>
          <w:sz w:val="20"/>
          <w:szCs w:val="20"/>
          <w:lang w:val="es-CR"/>
        </w:rPr>
        <w:t xml:space="preserve">pues las obligaciones derivadas de la Convención Americana ya se encontraban en vigor para el Estado en la fecha en que habrían ocurrido los hechos. </w:t>
      </w:r>
    </w:p>
    <w:p w:rsidR="007B3C6B" w:rsidRPr="00732F0C" w:rsidRDefault="007B3C6B" w:rsidP="00842D6E">
      <w:pPr>
        <w:tabs>
          <w:tab w:val="left" w:pos="1440"/>
        </w:tabs>
        <w:ind w:firstLine="720"/>
        <w:jc w:val="both"/>
        <w:rPr>
          <w:rFonts w:ascii="Cambria" w:hAnsi="Cambria" w:cs="Arial"/>
          <w:sz w:val="20"/>
          <w:szCs w:val="20"/>
          <w:lang w:val="es-CR"/>
        </w:rPr>
      </w:pPr>
    </w:p>
    <w:p w:rsidR="007B3C6B" w:rsidRPr="00732F0C" w:rsidRDefault="007B3C6B" w:rsidP="00842D6E">
      <w:pPr>
        <w:pStyle w:val="Heading2"/>
        <w:jc w:val="both"/>
      </w:pPr>
      <w:bookmarkStart w:id="9" w:name="_Toc529792391"/>
      <w:r w:rsidRPr="00732F0C">
        <w:t>Agotamiento de los recursos internos</w:t>
      </w:r>
      <w:bookmarkEnd w:id="9"/>
    </w:p>
    <w:p w:rsidR="007B3C6B" w:rsidRPr="00732F0C" w:rsidRDefault="007B3C6B" w:rsidP="00842D6E">
      <w:pPr>
        <w:tabs>
          <w:tab w:val="left" w:pos="1440"/>
        </w:tabs>
        <w:ind w:firstLine="720"/>
        <w:jc w:val="both"/>
        <w:rPr>
          <w:rFonts w:ascii="Cambria" w:hAnsi="Cambria" w:cs="Arial"/>
          <w:b/>
          <w:sz w:val="20"/>
          <w:szCs w:val="20"/>
          <w:lang w:val="es-CR"/>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 </w:t>
      </w:r>
    </w:p>
    <w:p w:rsidR="007B3C6B" w:rsidRPr="00732F0C" w:rsidRDefault="007B3C6B" w:rsidP="00842D6E">
      <w:pPr>
        <w:tabs>
          <w:tab w:val="left" w:pos="1440"/>
        </w:tabs>
        <w:ind w:firstLine="720"/>
        <w:jc w:val="both"/>
        <w:rPr>
          <w:rFonts w:ascii="Cambria" w:hAnsi="Cambria" w:cs="Arial"/>
          <w:sz w:val="20"/>
          <w:szCs w:val="20"/>
          <w:lang w:val="es-CR"/>
        </w:rPr>
      </w:pPr>
    </w:p>
    <w:p w:rsidR="00905864" w:rsidRPr="00732F0C" w:rsidRDefault="0088670E"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E</w:t>
      </w:r>
      <w:r w:rsidR="007B3C6B" w:rsidRPr="00732F0C">
        <w:rPr>
          <w:rFonts w:ascii="Cambria" w:hAnsi="Cambria" w:cs="Arial"/>
          <w:sz w:val="20"/>
          <w:szCs w:val="20"/>
          <w:lang w:val="es-CR"/>
        </w:rPr>
        <w:t xml:space="preserve">l Estado alegó que los recursos de jurisdicción interna no habían sido agotados en este caso, por cuanto al momento de presentación de la denuncia, todavía se encontraba pendiente que los tribunales resolvieran la causa pertinente, por lo que la Comisión debió esperar a que ese proceso se resolviera. </w:t>
      </w:r>
      <w:r w:rsidR="00905864" w:rsidRPr="00732F0C">
        <w:rPr>
          <w:rFonts w:ascii="Cambria" w:hAnsi="Cambria" w:cs="Arial"/>
          <w:sz w:val="20"/>
          <w:szCs w:val="20"/>
          <w:lang w:val="es-CR"/>
        </w:rPr>
        <w:t xml:space="preserve">Por su parte, la peticionaria señaló que para la fecha de presentación de la petición, </w:t>
      </w:r>
      <w:r w:rsidR="008952D8" w:rsidRPr="00732F0C">
        <w:rPr>
          <w:rFonts w:ascii="Cambria" w:hAnsi="Cambria" w:cs="Arial"/>
          <w:sz w:val="20"/>
          <w:szCs w:val="20"/>
          <w:lang w:val="es-CR"/>
        </w:rPr>
        <w:t xml:space="preserve">un año y medio después de </w:t>
      </w:r>
      <w:r w:rsidR="00905864" w:rsidRPr="00732F0C">
        <w:rPr>
          <w:rFonts w:ascii="Cambria" w:hAnsi="Cambria" w:cs="Arial"/>
          <w:sz w:val="20"/>
          <w:szCs w:val="20"/>
          <w:lang w:val="es-CR"/>
        </w:rPr>
        <w:t>ocurridos los hechos, aún no existía sentencia de primera instancia</w:t>
      </w:r>
      <w:r w:rsidR="008952D8" w:rsidRPr="00732F0C">
        <w:rPr>
          <w:rFonts w:ascii="Cambria" w:hAnsi="Cambria" w:cs="Arial"/>
          <w:sz w:val="20"/>
          <w:szCs w:val="20"/>
          <w:lang w:val="es-CR"/>
        </w:rPr>
        <w:t>. Alegó que, sin perjuicio de ello, el proceso penal dur</w:t>
      </w:r>
      <w:r w:rsidR="00E71DB2" w:rsidRPr="00732F0C">
        <w:rPr>
          <w:rFonts w:ascii="Cambria" w:hAnsi="Cambria" w:cs="Arial"/>
          <w:sz w:val="20"/>
          <w:szCs w:val="20"/>
          <w:lang w:val="es-CR"/>
        </w:rPr>
        <w:t>ó cerca de cuatro años y medio; y que incluso el recurso de revisión no habría sido resuelto,</w:t>
      </w:r>
      <w:r w:rsidR="008952D8" w:rsidRPr="00732F0C">
        <w:rPr>
          <w:rFonts w:ascii="Cambria" w:hAnsi="Cambria" w:cs="Arial"/>
          <w:sz w:val="20"/>
          <w:szCs w:val="20"/>
          <w:lang w:val="es-CR"/>
        </w:rPr>
        <w:t xml:space="preserve"> lo cual constituye un plazo irrazonable por lo cual operaría la excepción de retardo injustificado establecida en el artículo 46.2.c) de la Convención Americana.</w:t>
      </w:r>
    </w:p>
    <w:p w:rsidR="0088670E" w:rsidRPr="00732F0C" w:rsidRDefault="0088670E" w:rsidP="00842D6E">
      <w:pPr>
        <w:pStyle w:val="ListParagraph"/>
        <w:jc w:val="both"/>
        <w:rPr>
          <w:rFonts w:cs="Arial"/>
          <w:sz w:val="20"/>
          <w:szCs w:val="20"/>
          <w:lang w:val="es-CR"/>
        </w:rPr>
      </w:pPr>
    </w:p>
    <w:p w:rsidR="008952D8" w:rsidRPr="00732F0C" w:rsidRDefault="008952D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Bookman Old Style"/>
          <w:sz w:val="20"/>
          <w:szCs w:val="20"/>
          <w:lang w:val="es-ES_tradnl"/>
        </w:rPr>
      </w:pPr>
      <w:r w:rsidRPr="00732F0C">
        <w:rPr>
          <w:rFonts w:ascii="Cambria" w:hAnsi="Cambria"/>
          <w:sz w:val="20"/>
          <w:szCs w:val="20"/>
          <w:lang w:val="es-ES"/>
        </w:rPr>
        <w:t>Tal como la Comisión ha señalado, para analizar el cumplimiento del requisito de agota</w:t>
      </w:r>
      <w:r w:rsidR="00E71DB2" w:rsidRPr="00732F0C">
        <w:rPr>
          <w:rFonts w:ascii="Cambria" w:hAnsi="Cambria"/>
          <w:sz w:val="20"/>
          <w:szCs w:val="20"/>
          <w:lang w:val="es-ES"/>
        </w:rPr>
        <w:t>miento de los recursos internos</w:t>
      </w:r>
      <w:r w:rsidRPr="00732F0C">
        <w:rPr>
          <w:rFonts w:ascii="Cambria" w:hAnsi="Cambria"/>
          <w:sz w:val="20"/>
          <w:szCs w:val="20"/>
          <w:lang w:val="es-ES"/>
        </w:rPr>
        <w:t xml:space="preserve"> debe determinar cuál es el recurso adecuado a agotarse según las circunstancias del caso, entendiendo por tal, aquél que pueda solucionar la situación jurídica infringida</w:t>
      </w:r>
      <w:r w:rsidRPr="00732F0C">
        <w:rPr>
          <w:rStyle w:val="FootnoteReference"/>
          <w:rFonts w:ascii="Cambria" w:hAnsi="Cambria"/>
          <w:sz w:val="20"/>
          <w:szCs w:val="20"/>
          <w:lang w:val="es-ES"/>
        </w:rPr>
        <w:footnoteReference w:id="2"/>
      </w:r>
      <w:r w:rsidRPr="00732F0C">
        <w:rPr>
          <w:rFonts w:ascii="Cambria" w:hAnsi="Cambria"/>
          <w:sz w:val="20"/>
          <w:szCs w:val="20"/>
          <w:lang w:val="es-ES"/>
        </w:rPr>
        <w:t xml:space="preserve">.  En los casos de </w:t>
      </w:r>
      <w:r w:rsidRPr="00732F0C">
        <w:rPr>
          <w:rFonts w:ascii="Cambria" w:hAnsi="Cambria"/>
          <w:sz w:val="20"/>
          <w:szCs w:val="20"/>
          <w:lang w:val="es-ES"/>
        </w:rPr>
        <w:lastRenderedPageBreak/>
        <w:t>presuntas privaciones arbitrarias del derecho a la vida</w:t>
      </w:r>
      <w:r w:rsidR="00987FC2" w:rsidRPr="00732F0C">
        <w:rPr>
          <w:rFonts w:ascii="Cambria" w:hAnsi="Cambria"/>
          <w:sz w:val="20"/>
          <w:szCs w:val="20"/>
          <w:lang w:val="es-ES"/>
        </w:rPr>
        <w:t xml:space="preserve"> así como afectaciones a la integridad personal</w:t>
      </w:r>
      <w:r w:rsidRPr="00732F0C">
        <w:rPr>
          <w:rFonts w:ascii="Cambria" w:hAnsi="Cambria"/>
          <w:sz w:val="20"/>
          <w:szCs w:val="20"/>
          <w:lang w:val="es-ES"/>
        </w:rPr>
        <w:t>, el recurso adecuado es la investigación y el proceso penal iniciado e impulsado de oficio por el Estado para identificar a los responsables e imponer las sanciones correspondientes</w:t>
      </w:r>
      <w:r w:rsidRPr="00732F0C">
        <w:rPr>
          <w:rStyle w:val="FootnoteReference"/>
          <w:rFonts w:ascii="Cambria" w:hAnsi="Cambria"/>
          <w:sz w:val="20"/>
          <w:szCs w:val="20"/>
          <w:lang w:val="es-ES"/>
        </w:rPr>
        <w:footnoteReference w:id="3"/>
      </w:r>
      <w:r w:rsidRPr="00732F0C">
        <w:rPr>
          <w:rFonts w:ascii="Cambria" w:hAnsi="Cambria"/>
          <w:sz w:val="20"/>
          <w:szCs w:val="20"/>
          <w:lang w:val="es-ES"/>
        </w:rPr>
        <w:t>.</w:t>
      </w:r>
    </w:p>
    <w:p w:rsidR="0088670E" w:rsidRPr="00732F0C" w:rsidRDefault="0088670E" w:rsidP="00842D6E">
      <w:pPr>
        <w:pStyle w:val="ListParagraph"/>
        <w:jc w:val="both"/>
        <w:rPr>
          <w:rFonts w:cs="Arial"/>
          <w:sz w:val="20"/>
          <w:szCs w:val="20"/>
          <w:lang w:val="es-ES_tradnl"/>
        </w:rPr>
      </w:pPr>
    </w:p>
    <w:p w:rsidR="00996052" w:rsidRPr="00732F0C" w:rsidRDefault="00987FC2"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ES_tradnl"/>
        </w:rPr>
      </w:pPr>
      <w:r w:rsidRPr="00732F0C">
        <w:rPr>
          <w:rFonts w:ascii="Cambria" w:hAnsi="Cambria" w:cs="Arial"/>
          <w:sz w:val="20"/>
          <w:szCs w:val="20"/>
          <w:lang w:val="es-ES_tradnl"/>
        </w:rPr>
        <w:t xml:space="preserve">La Comisión observa que desde la presentación de la petición hubo una evolución en los procesos internos iniciados con ocasión de los hechos. Así, el proceso interno tuvo inicio el </w:t>
      </w:r>
      <w:r w:rsidR="00112CE1" w:rsidRPr="00732F0C">
        <w:rPr>
          <w:rFonts w:ascii="Cambria" w:hAnsi="Cambria" w:cs="Arial"/>
          <w:sz w:val="20"/>
          <w:szCs w:val="20"/>
          <w:lang w:val="es-ES_tradnl"/>
        </w:rPr>
        <w:t>15</w:t>
      </w:r>
      <w:r w:rsidRPr="00732F0C">
        <w:rPr>
          <w:rFonts w:ascii="Cambria" w:hAnsi="Cambria" w:cs="Arial"/>
          <w:sz w:val="20"/>
          <w:szCs w:val="20"/>
          <w:lang w:val="es-ES_tradnl"/>
        </w:rPr>
        <w:t xml:space="preserve"> de septiembre de 199</w:t>
      </w:r>
      <w:r w:rsidR="00112CE1" w:rsidRPr="00732F0C">
        <w:rPr>
          <w:rFonts w:ascii="Cambria" w:hAnsi="Cambria" w:cs="Arial"/>
          <w:sz w:val="20"/>
          <w:szCs w:val="20"/>
          <w:lang w:val="es-ES_tradnl"/>
        </w:rPr>
        <w:t>3</w:t>
      </w:r>
      <w:r w:rsidRPr="00732F0C">
        <w:rPr>
          <w:rFonts w:ascii="Cambria" w:hAnsi="Cambria" w:cs="Arial"/>
          <w:sz w:val="20"/>
          <w:szCs w:val="20"/>
          <w:lang w:val="es-ES_tradnl"/>
        </w:rPr>
        <w:t xml:space="preserve"> mediante </w:t>
      </w:r>
      <w:r w:rsidR="00112CE1" w:rsidRPr="00732F0C">
        <w:rPr>
          <w:rFonts w:ascii="Cambria" w:hAnsi="Cambria" w:cs="Arial"/>
          <w:sz w:val="20"/>
          <w:szCs w:val="20"/>
          <w:lang w:val="es-ES_tradnl"/>
        </w:rPr>
        <w:t>la investigación</w:t>
      </w:r>
      <w:r w:rsidRPr="00732F0C">
        <w:rPr>
          <w:rFonts w:ascii="Cambria" w:hAnsi="Cambria" w:cs="Arial"/>
          <w:sz w:val="20"/>
          <w:szCs w:val="20"/>
          <w:lang w:val="es-ES_tradnl"/>
        </w:rPr>
        <w:t xml:space="preserve"> por parte de la Comisaría de Policía</w:t>
      </w:r>
      <w:r w:rsidR="00112CE1" w:rsidRPr="00732F0C">
        <w:rPr>
          <w:rFonts w:ascii="Cambria" w:hAnsi="Cambria" w:cs="Arial"/>
          <w:sz w:val="20"/>
          <w:szCs w:val="20"/>
          <w:lang w:val="es-ES_tradnl"/>
        </w:rPr>
        <w:t xml:space="preserve"> de Imbabura</w:t>
      </w:r>
      <w:r w:rsidRPr="00732F0C">
        <w:rPr>
          <w:rFonts w:ascii="Cambria" w:hAnsi="Cambria" w:cs="Arial"/>
          <w:sz w:val="20"/>
          <w:szCs w:val="20"/>
          <w:lang w:val="es-ES_tradnl"/>
        </w:rPr>
        <w:t xml:space="preserve">. La petición fue presentada el </w:t>
      </w:r>
      <w:r w:rsidR="00112CE1" w:rsidRPr="00732F0C">
        <w:rPr>
          <w:rFonts w:ascii="Cambria" w:hAnsi="Cambria" w:cs="Arial"/>
          <w:sz w:val="20"/>
          <w:szCs w:val="20"/>
          <w:lang w:val="es-ES_tradnl"/>
        </w:rPr>
        <w:t>9</w:t>
      </w:r>
      <w:r w:rsidRPr="00732F0C">
        <w:rPr>
          <w:rFonts w:ascii="Cambria" w:hAnsi="Cambria" w:cs="Arial"/>
          <w:sz w:val="20"/>
          <w:szCs w:val="20"/>
          <w:lang w:val="es-ES_tradnl"/>
        </w:rPr>
        <w:t xml:space="preserve"> de noviembre de 1994 y, durante la tramitación del caso ante la Comisión Interamericana, el proceso penal interno se resolvió de manera definitiva el </w:t>
      </w:r>
      <w:r w:rsidR="00112CE1" w:rsidRPr="00732F0C">
        <w:rPr>
          <w:rFonts w:ascii="Cambria" w:hAnsi="Cambria" w:cs="Arial"/>
          <w:sz w:val="20"/>
          <w:szCs w:val="20"/>
          <w:lang w:val="es-ES_tradnl"/>
        </w:rPr>
        <w:t>28 de enero de 1998</w:t>
      </w:r>
      <w:r w:rsidRPr="00732F0C">
        <w:rPr>
          <w:rFonts w:ascii="Cambria" w:hAnsi="Cambria" w:cs="Arial"/>
          <w:sz w:val="20"/>
          <w:szCs w:val="20"/>
          <w:lang w:val="es-ES_tradnl"/>
        </w:rPr>
        <w:t>, mediante la resolución del recurso de casación emitida por la Corte Suprema de Justicia. En situaciones en las cuales la evolución de los hechos inicialmente presentados a nivel interno, implica un cambio en el cumplimiento o incumplimiento de los requisitos de admisibilidad, la Comisión ha señalado que su análisis debe hacerse a partir de la situación vigente al momento del pronunciamiento de admisibilidad</w:t>
      </w:r>
      <w:r w:rsidRPr="00732F0C">
        <w:rPr>
          <w:rStyle w:val="FootnoteReference"/>
          <w:rFonts w:ascii="Cambria" w:hAnsi="Cambria"/>
          <w:sz w:val="20"/>
          <w:szCs w:val="20"/>
          <w:lang w:val="es-AR"/>
        </w:rPr>
        <w:footnoteReference w:id="4"/>
      </w:r>
      <w:r w:rsidRPr="00732F0C">
        <w:rPr>
          <w:rFonts w:ascii="Cambria" w:hAnsi="Cambria" w:cs="Arial"/>
          <w:sz w:val="20"/>
          <w:szCs w:val="20"/>
          <w:lang w:val="es-ES_tradnl"/>
        </w:rPr>
        <w:t>.</w:t>
      </w:r>
      <w:r w:rsidR="00112CE1" w:rsidRPr="00732F0C">
        <w:rPr>
          <w:rFonts w:ascii="Cambria" w:hAnsi="Cambria" w:cs="Arial"/>
          <w:sz w:val="20"/>
          <w:szCs w:val="20"/>
          <w:lang w:val="es-ES_tradnl"/>
        </w:rPr>
        <w:t xml:space="preserve"> </w:t>
      </w:r>
    </w:p>
    <w:p w:rsidR="00996052" w:rsidRPr="00732F0C" w:rsidRDefault="00996052" w:rsidP="00842D6E">
      <w:pPr>
        <w:pStyle w:val="ListParagraph"/>
        <w:jc w:val="both"/>
        <w:rPr>
          <w:rFonts w:cs="Arial"/>
          <w:sz w:val="20"/>
          <w:szCs w:val="20"/>
          <w:lang w:val="es-ES_tradnl"/>
        </w:rPr>
      </w:pPr>
    </w:p>
    <w:p w:rsidR="00987FC2" w:rsidRPr="00732F0C" w:rsidRDefault="00996052"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ES_tradnl"/>
        </w:rPr>
      </w:pPr>
      <w:r w:rsidRPr="00732F0C">
        <w:rPr>
          <w:rFonts w:ascii="Cambria" w:hAnsi="Cambria" w:cs="Arial"/>
          <w:sz w:val="20"/>
          <w:szCs w:val="20"/>
          <w:lang w:val="es-ES_tradnl"/>
        </w:rPr>
        <w:t xml:space="preserve">En relación con el recurso de revisión presentado por la persona sentenciada y que, de acuerdo a lo informado por las partes, no habría sido resuelto a la fecha, la Comisión considera que dicho recurso es extraordinario en tanto sólo procede cuando la sentencia ya se encuentra firme. </w:t>
      </w:r>
      <w:r w:rsidR="00D051FE" w:rsidRPr="00732F0C">
        <w:rPr>
          <w:rFonts w:ascii="Cambria" w:hAnsi="Cambria" w:cs="Arial"/>
          <w:sz w:val="20"/>
          <w:szCs w:val="20"/>
          <w:lang w:val="es-ES_tradnl"/>
        </w:rPr>
        <w:t>La CIDH considera que en la</w:t>
      </w:r>
      <w:r w:rsidR="006837F3">
        <w:rPr>
          <w:rFonts w:ascii="Cambria" w:hAnsi="Cambria" w:cs="Arial"/>
          <w:sz w:val="20"/>
          <w:szCs w:val="20"/>
          <w:lang w:val="es-ES_tradnl"/>
        </w:rPr>
        <w:t>s</w:t>
      </w:r>
      <w:r w:rsidR="00D051FE" w:rsidRPr="00732F0C">
        <w:rPr>
          <w:rFonts w:ascii="Cambria" w:hAnsi="Cambria" w:cs="Arial"/>
          <w:sz w:val="20"/>
          <w:szCs w:val="20"/>
          <w:lang w:val="es-ES_tradnl"/>
        </w:rPr>
        <w:t xml:space="preserve"> circunstancias del presente caso el agotamiento de los recursos ordinarios cumple con los requerimientos de la Convención Americana.</w:t>
      </w:r>
      <w:r w:rsidRPr="00732F0C">
        <w:rPr>
          <w:rFonts w:ascii="Cambria" w:hAnsi="Cambria" w:cs="Arial"/>
          <w:sz w:val="20"/>
          <w:szCs w:val="20"/>
          <w:lang w:val="es-ES_tradnl"/>
        </w:rPr>
        <w:t xml:space="preserve"> </w:t>
      </w:r>
    </w:p>
    <w:p w:rsidR="00987FC2" w:rsidRPr="00732F0C" w:rsidRDefault="00987FC2" w:rsidP="00842D6E">
      <w:pPr>
        <w:pStyle w:val="ListParagraph"/>
        <w:jc w:val="both"/>
        <w:rPr>
          <w:rFonts w:cs="Arial"/>
          <w:sz w:val="20"/>
          <w:szCs w:val="20"/>
          <w:lang w:val="es-ES_tradnl"/>
        </w:rPr>
      </w:pPr>
    </w:p>
    <w:p w:rsidR="00987FC2" w:rsidRPr="00732F0C" w:rsidRDefault="00112CE1"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ES_tradnl"/>
        </w:rPr>
      </w:pPr>
      <w:r w:rsidRPr="00732F0C">
        <w:rPr>
          <w:rFonts w:ascii="Cambria" w:hAnsi="Cambria" w:cs="Arial"/>
          <w:sz w:val="20"/>
          <w:szCs w:val="20"/>
          <w:lang w:val="es-ES_tradnl"/>
        </w:rPr>
        <w:t>Por las consideraciones expuestas, l</w:t>
      </w:r>
      <w:r w:rsidR="00987FC2" w:rsidRPr="00732F0C">
        <w:rPr>
          <w:rFonts w:ascii="Cambria" w:hAnsi="Cambria" w:cs="Arial"/>
          <w:sz w:val="20"/>
          <w:szCs w:val="20"/>
          <w:lang w:val="es-ES_tradnl"/>
        </w:rPr>
        <w:t xml:space="preserve">a Comisión observa que a la fecha del presente pronunciamiento, el proceso penal  se encuentra definitivamente cerrado en la jurisdicción interna, tras la resolución de la Corte Suprema de Justicia de </w:t>
      </w:r>
      <w:r w:rsidRPr="00732F0C">
        <w:rPr>
          <w:rFonts w:ascii="Cambria" w:hAnsi="Cambria" w:cs="Arial"/>
          <w:sz w:val="20"/>
          <w:szCs w:val="20"/>
          <w:lang w:val="es-ES_tradnl"/>
        </w:rPr>
        <w:t xml:space="preserve">28 de enero de 1998 </w:t>
      </w:r>
      <w:r w:rsidR="00987FC2" w:rsidRPr="00732F0C">
        <w:rPr>
          <w:rFonts w:ascii="Cambria" w:hAnsi="Cambria" w:cs="Arial"/>
          <w:sz w:val="20"/>
          <w:szCs w:val="20"/>
          <w:lang w:val="es-ES_tradnl"/>
        </w:rPr>
        <w:t>relativa a</w:t>
      </w:r>
      <w:r w:rsidRPr="00732F0C">
        <w:rPr>
          <w:rFonts w:ascii="Cambria" w:hAnsi="Cambria" w:cs="Arial"/>
          <w:sz w:val="20"/>
          <w:szCs w:val="20"/>
          <w:lang w:val="es-ES_tradnl"/>
        </w:rPr>
        <w:t>l</w:t>
      </w:r>
      <w:r w:rsidR="00987FC2" w:rsidRPr="00732F0C">
        <w:rPr>
          <w:rFonts w:ascii="Cambria" w:hAnsi="Cambria" w:cs="Arial"/>
          <w:sz w:val="20"/>
          <w:szCs w:val="20"/>
          <w:lang w:val="es-ES_tradnl"/>
        </w:rPr>
        <w:t xml:space="preserve"> </w:t>
      </w:r>
      <w:r w:rsidRPr="00732F0C">
        <w:rPr>
          <w:rFonts w:ascii="Cambria" w:hAnsi="Cambria" w:cs="Arial"/>
          <w:sz w:val="20"/>
          <w:szCs w:val="20"/>
          <w:lang w:val="es-ES_tradnl"/>
        </w:rPr>
        <w:t>recurso</w:t>
      </w:r>
      <w:r w:rsidR="00987FC2" w:rsidRPr="00732F0C">
        <w:rPr>
          <w:rFonts w:ascii="Cambria" w:hAnsi="Cambria" w:cs="Arial"/>
          <w:sz w:val="20"/>
          <w:szCs w:val="20"/>
          <w:lang w:val="es-ES_tradnl"/>
        </w:rPr>
        <w:t xml:space="preserve"> de casación. En ese sentido, la Comisión Interamericana considera innecesario efectuar un pronunciamiento sobre el retardo injustificado alegado inicialmente por </w:t>
      </w:r>
      <w:r w:rsidR="00D742B8" w:rsidRPr="00732F0C">
        <w:rPr>
          <w:rFonts w:ascii="Cambria" w:hAnsi="Cambria" w:cs="Arial"/>
          <w:sz w:val="20"/>
          <w:szCs w:val="20"/>
          <w:lang w:val="es-ES_tradnl"/>
        </w:rPr>
        <w:t>la peticionaria</w:t>
      </w:r>
      <w:r w:rsidR="00987FC2" w:rsidRPr="00732F0C">
        <w:rPr>
          <w:rFonts w:ascii="Cambria" w:hAnsi="Cambria" w:cs="Arial"/>
          <w:sz w:val="20"/>
          <w:szCs w:val="20"/>
          <w:lang w:val="es-ES_tradnl"/>
        </w:rPr>
        <w:t xml:space="preserve"> y declara que a la fecha los recursos internos se encuentran definitivamente agotados en cumplimiento del artículo 46.1.a</w:t>
      </w:r>
      <w:r w:rsidRPr="00732F0C">
        <w:rPr>
          <w:rFonts w:ascii="Cambria" w:hAnsi="Cambria" w:cs="Arial"/>
          <w:sz w:val="20"/>
          <w:szCs w:val="20"/>
          <w:lang w:val="es-ES_tradnl"/>
        </w:rPr>
        <w:t>)</w:t>
      </w:r>
      <w:r w:rsidR="00987FC2" w:rsidRPr="00732F0C">
        <w:rPr>
          <w:rFonts w:ascii="Cambria" w:hAnsi="Cambria" w:cs="Arial"/>
          <w:sz w:val="20"/>
          <w:szCs w:val="20"/>
          <w:lang w:val="es-ES_tradnl"/>
        </w:rPr>
        <w:t xml:space="preserve"> de la Convención Americana.</w:t>
      </w:r>
    </w:p>
    <w:p w:rsidR="007B3C6B" w:rsidRPr="00732F0C" w:rsidRDefault="007B3C6B" w:rsidP="00842D6E">
      <w:pPr>
        <w:tabs>
          <w:tab w:val="left" w:pos="1440"/>
        </w:tabs>
        <w:jc w:val="both"/>
        <w:rPr>
          <w:rFonts w:ascii="Cambria" w:hAnsi="Cambria" w:cs="Arial"/>
          <w:sz w:val="20"/>
          <w:szCs w:val="20"/>
          <w:lang w:val="es-CR"/>
        </w:rPr>
      </w:pPr>
    </w:p>
    <w:p w:rsidR="007B3C6B" w:rsidRPr="00732F0C" w:rsidRDefault="007B3C6B" w:rsidP="00842D6E">
      <w:pPr>
        <w:pStyle w:val="Heading2"/>
        <w:jc w:val="both"/>
      </w:pPr>
      <w:bookmarkStart w:id="10" w:name="_Toc529792392"/>
      <w:r w:rsidRPr="00732F0C">
        <w:t>Plazo de presentación</w:t>
      </w:r>
      <w:bookmarkEnd w:id="10"/>
    </w:p>
    <w:p w:rsidR="007B3C6B" w:rsidRPr="00732F0C" w:rsidRDefault="007B3C6B" w:rsidP="00842D6E">
      <w:pPr>
        <w:tabs>
          <w:tab w:val="left" w:pos="1440"/>
        </w:tabs>
        <w:ind w:firstLine="720"/>
        <w:jc w:val="both"/>
        <w:rPr>
          <w:rFonts w:ascii="Cambria" w:hAnsi="Cambria" w:cs="Arial"/>
          <w:b/>
          <w:sz w:val="20"/>
          <w:szCs w:val="20"/>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 xml:space="preserve">Conforme lo dispuesto en el artículo 46.1.b) de la Convención, para que se admita una petición ésta debe presentarse dentro del plazo </w:t>
      </w:r>
      <w:r w:rsidR="00094228" w:rsidRPr="00732F0C">
        <w:rPr>
          <w:rFonts w:ascii="Cambria" w:hAnsi="Cambria" w:cs="Arial"/>
          <w:sz w:val="20"/>
          <w:szCs w:val="20"/>
          <w:lang w:val="es-CR"/>
        </w:rPr>
        <w:t xml:space="preserve">de </w:t>
      </w:r>
      <w:r w:rsidRPr="00732F0C">
        <w:rPr>
          <w:rFonts w:ascii="Cambria" w:hAnsi="Cambria" w:cs="Arial"/>
          <w:sz w:val="20"/>
          <w:szCs w:val="20"/>
          <w:lang w:val="es-CR"/>
        </w:rPr>
        <w:t xml:space="preserve">seis meses contados a partir de la fecha en que el presunto lesionado en sus derechos haya sido notificado de la decisión definitiva dictada a nivel nacional. </w:t>
      </w:r>
    </w:p>
    <w:p w:rsidR="007B3C6B" w:rsidRPr="00732F0C" w:rsidRDefault="007B3C6B" w:rsidP="00842D6E">
      <w:pPr>
        <w:tabs>
          <w:tab w:val="left" w:pos="1440"/>
        </w:tabs>
        <w:ind w:firstLine="720"/>
        <w:jc w:val="both"/>
        <w:rPr>
          <w:rFonts w:ascii="Cambria" w:hAnsi="Cambria" w:cs="Arial"/>
          <w:sz w:val="20"/>
          <w:szCs w:val="20"/>
          <w:lang w:val="es-CR"/>
        </w:rPr>
      </w:pPr>
    </w:p>
    <w:p w:rsidR="00112CE1" w:rsidRPr="00732F0C" w:rsidRDefault="00112CE1"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ES"/>
        </w:rPr>
        <w:t xml:space="preserve">La Comisión estableció en la sección anterior que los recursos internos se encuentran agotados a través de la sentencia definitiva de </w:t>
      </w:r>
      <w:r w:rsidR="00C011DE" w:rsidRPr="00732F0C">
        <w:rPr>
          <w:rFonts w:ascii="Cambria" w:hAnsi="Cambria"/>
          <w:sz w:val="20"/>
          <w:szCs w:val="20"/>
          <w:lang w:val="es-ES"/>
        </w:rPr>
        <w:t>28 de enero de 1998</w:t>
      </w:r>
      <w:r w:rsidRPr="00732F0C">
        <w:rPr>
          <w:rFonts w:ascii="Cambria" w:hAnsi="Cambria"/>
          <w:sz w:val="20"/>
          <w:szCs w:val="20"/>
          <w:lang w:val="es-ES"/>
        </w:rPr>
        <w:t xml:space="preserve"> emitida por la Corte Suprema de Justicia. El cumplimiento del requisito de agotamiento de los recursos internos de dio durante la tramitación de la admisibilidad y fondo del presente caso. En estas circunstancias, ha sido criterio constante de la Comisión que el cumplimiento del requisito de presentación de la petición en plazo se encuentra intrínsecamente ligado al agotamiento de los recursos internos y, por lo tanto, corresponde darlo por cumplido</w:t>
      </w:r>
      <w:r w:rsidRPr="00732F0C">
        <w:rPr>
          <w:rStyle w:val="FootnoteReference"/>
          <w:rFonts w:ascii="Cambria" w:hAnsi="Cambria"/>
          <w:sz w:val="20"/>
          <w:szCs w:val="20"/>
          <w:lang w:val="es-ES_tradnl"/>
        </w:rPr>
        <w:footnoteReference w:id="5"/>
      </w:r>
      <w:r w:rsidRPr="00732F0C">
        <w:rPr>
          <w:rFonts w:ascii="Cambria" w:hAnsi="Cambria"/>
          <w:sz w:val="20"/>
          <w:szCs w:val="20"/>
          <w:lang w:val="es-ES"/>
        </w:rPr>
        <w:t xml:space="preserve">. </w:t>
      </w:r>
    </w:p>
    <w:p w:rsidR="007B3C6B" w:rsidRPr="00732F0C" w:rsidRDefault="007B3C6B" w:rsidP="00842D6E">
      <w:pPr>
        <w:tabs>
          <w:tab w:val="left" w:pos="1440"/>
        </w:tabs>
        <w:ind w:firstLine="720"/>
        <w:jc w:val="both"/>
        <w:rPr>
          <w:rFonts w:ascii="Cambria" w:hAnsi="Cambria" w:cs="Arial"/>
          <w:sz w:val="20"/>
          <w:szCs w:val="20"/>
          <w:lang w:val="es-ES_tradnl"/>
        </w:rPr>
      </w:pPr>
    </w:p>
    <w:p w:rsidR="007B3C6B" w:rsidRPr="00732F0C" w:rsidRDefault="007B3C6B" w:rsidP="00842D6E">
      <w:pPr>
        <w:pStyle w:val="Heading2"/>
        <w:jc w:val="both"/>
      </w:pPr>
      <w:bookmarkStart w:id="11" w:name="_Toc529792393"/>
      <w:r w:rsidRPr="00732F0C">
        <w:t>Duplicación de procedimientos</w:t>
      </w:r>
      <w:r w:rsidR="00C011DE" w:rsidRPr="00732F0C">
        <w:t xml:space="preserve"> y cosa juzgada</w:t>
      </w:r>
      <w:bookmarkEnd w:id="11"/>
    </w:p>
    <w:p w:rsidR="007B3C6B" w:rsidRPr="00732F0C" w:rsidRDefault="007B3C6B" w:rsidP="00842D6E">
      <w:pPr>
        <w:tabs>
          <w:tab w:val="left" w:pos="1440"/>
        </w:tabs>
        <w:ind w:firstLine="720"/>
        <w:jc w:val="both"/>
        <w:rPr>
          <w:rFonts w:ascii="Cambria" w:hAnsi="Cambria" w:cs="Arial"/>
          <w:b/>
          <w:sz w:val="20"/>
          <w:szCs w:val="20"/>
          <w:lang w:val="es-ES"/>
        </w:rPr>
      </w:pPr>
    </w:p>
    <w:p w:rsidR="00C011DE" w:rsidRPr="00732F0C" w:rsidRDefault="00C011DE"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732F0C">
        <w:rPr>
          <w:rFonts w:ascii="Cambria" w:hAnsi="Cambria"/>
          <w:bCs/>
          <w:sz w:val="20"/>
          <w:szCs w:val="20"/>
          <w:lang w:val="es-ES"/>
        </w:rPr>
        <w:t>El artículo 46.1.c</w:t>
      </w:r>
      <w:r w:rsidR="00A85C77" w:rsidRPr="00732F0C">
        <w:rPr>
          <w:rFonts w:ascii="Cambria" w:hAnsi="Cambria"/>
          <w:bCs/>
          <w:sz w:val="20"/>
          <w:szCs w:val="20"/>
          <w:lang w:val="es-ES"/>
        </w:rPr>
        <w:t>)</w:t>
      </w:r>
      <w:r w:rsidRPr="00732F0C">
        <w:rPr>
          <w:rFonts w:ascii="Cambria" w:hAnsi="Cambria"/>
          <w:bCs/>
          <w:sz w:val="20"/>
          <w:szCs w:val="20"/>
          <w:lang w:val="es-ES"/>
        </w:rPr>
        <w:t xml:space="preserve"> de la Convención dispone que la admisión de una petición está sujeta al requisito de que la materia </w:t>
      </w:r>
      <w:r w:rsidRPr="00732F0C">
        <w:rPr>
          <w:rFonts w:ascii="Cambria" w:hAnsi="Cambria" w:cs="Arial"/>
          <w:sz w:val="20"/>
          <w:szCs w:val="20"/>
          <w:lang w:val="es-ES"/>
        </w:rPr>
        <w:t>"</w:t>
      </w:r>
      <w:r w:rsidRPr="00732F0C">
        <w:rPr>
          <w:rFonts w:ascii="Cambria" w:hAnsi="Cambria"/>
          <w:bCs/>
          <w:sz w:val="20"/>
          <w:szCs w:val="20"/>
          <w:lang w:val="es-ES"/>
        </w:rPr>
        <w:t>no esté pendiente de otro procedimiento de arreglo internacional</w:t>
      </w:r>
      <w:r w:rsidRPr="00732F0C">
        <w:rPr>
          <w:rFonts w:ascii="Cambria" w:hAnsi="Cambria" w:cs="Arial"/>
          <w:sz w:val="20"/>
          <w:szCs w:val="20"/>
          <w:lang w:val="es-ES"/>
        </w:rPr>
        <w:t>"</w:t>
      </w:r>
      <w:r w:rsidRPr="00732F0C">
        <w:rPr>
          <w:rFonts w:ascii="Cambria" w:hAnsi="Cambria"/>
          <w:bCs/>
          <w:sz w:val="20"/>
          <w:szCs w:val="20"/>
          <w:lang w:val="es-ES"/>
        </w:rPr>
        <w:t xml:space="preserve"> y en el artículo 47.d) de la Convención se estipula que la Comisión no admitirá la petición que sea sustancialmente la reproducción de petición o comunicación anterior ya examinada por la Comisión o por otro organismo internacional. Las partes no han esgrimido la existencia de ninguna de esas dos circunstancias, ni ellas se deducen del expediente.</w:t>
      </w:r>
    </w:p>
    <w:p w:rsidR="007B3C6B" w:rsidRPr="00732F0C" w:rsidRDefault="007B3C6B" w:rsidP="00842D6E">
      <w:pPr>
        <w:pStyle w:val="Heading2"/>
        <w:jc w:val="both"/>
      </w:pPr>
      <w:bookmarkStart w:id="12" w:name="_Toc529792394"/>
      <w:r w:rsidRPr="00732F0C">
        <w:lastRenderedPageBreak/>
        <w:t>Caracterización de los hechos alegados</w:t>
      </w:r>
      <w:bookmarkEnd w:id="12"/>
    </w:p>
    <w:p w:rsidR="007B3C6B" w:rsidRPr="007033A8" w:rsidRDefault="007B3C6B" w:rsidP="00842D6E">
      <w:pPr>
        <w:tabs>
          <w:tab w:val="left" w:pos="1440"/>
        </w:tabs>
        <w:ind w:firstLine="720"/>
        <w:jc w:val="both"/>
        <w:rPr>
          <w:rFonts w:ascii="Cambria" w:hAnsi="Cambria" w:cs="Arial"/>
          <w:b/>
          <w:sz w:val="20"/>
          <w:szCs w:val="20"/>
          <w:lang w:val="es-US"/>
        </w:rPr>
      </w:pPr>
    </w:p>
    <w:p w:rsidR="007B3C6B" w:rsidRPr="00732F0C" w:rsidRDefault="007B3C6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 xml:space="preserve">A los fines de la admisibilidad, la Comisión debe decidir si en la petición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w:t>
      </w:r>
      <w:r w:rsidRPr="00732F0C">
        <w:rPr>
          <w:rFonts w:ascii="Cambria" w:hAnsi="Cambria" w:cs="Arial"/>
          <w:i/>
          <w:sz w:val="20"/>
          <w:szCs w:val="20"/>
          <w:lang w:val="es-CR"/>
        </w:rPr>
        <w:t>prima facie</w:t>
      </w:r>
      <w:r w:rsidRPr="00732F0C">
        <w:rPr>
          <w:rFonts w:ascii="Cambria" w:hAnsi="Cambria"/>
          <w:i/>
          <w:sz w:val="20"/>
          <w:szCs w:val="20"/>
          <w:lang w:val="es-CR"/>
        </w:rPr>
        <w:t xml:space="preserve"> </w:t>
      </w:r>
      <w:r w:rsidRPr="00732F0C">
        <w:rPr>
          <w:rFonts w:ascii="Cambria" w:hAnsi="Cambria"/>
          <w:sz w:val="20"/>
          <w:szCs w:val="20"/>
          <w:lang w:val="es-CR"/>
        </w:rPr>
        <w:t>para examinar si la denuncia fundamenta la aparente o potencial violación de un derecho garantizado por la Convención y no para establecer la existencia de una violación.</w:t>
      </w:r>
      <w:r w:rsidR="00972814" w:rsidRPr="00732F0C">
        <w:rPr>
          <w:rFonts w:ascii="Cambria" w:hAnsi="Cambria"/>
          <w:sz w:val="20"/>
          <w:szCs w:val="20"/>
          <w:lang w:val="es-CR"/>
        </w:rPr>
        <w:t xml:space="preserve"> </w:t>
      </w:r>
      <w:r w:rsidR="00972814" w:rsidRPr="00732F0C">
        <w:rPr>
          <w:rFonts w:ascii="Cambria" w:hAnsi="Cambria"/>
          <w:sz w:val="20"/>
          <w:szCs w:val="20"/>
          <w:lang w:val="es-ES"/>
        </w:rPr>
        <w:t>Tal examen es un análisis sumario que no implica un prejuicio o un avance de opinión sobre el fondo.</w:t>
      </w:r>
    </w:p>
    <w:p w:rsidR="00094228" w:rsidRPr="00732F0C" w:rsidRDefault="00094228"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094228" w:rsidRPr="00732F0C" w:rsidRDefault="0009422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iCs/>
          <w:sz w:val="20"/>
          <w:szCs w:val="20"/>
          <w:lang w:val="es-ES_tradnl"/>
        </w:rPr>
        <w:t xml:space="preserve">Por otra parte, ni la Convención Americana ni el Reglamento de la CIDH exigen a los peticionarios identificar los derechos específicos que se alegan violados por parte del Estado en el asunto sometido a la Comisión, aunque los peticionarios pueden hacerlo.  En cambio, corresponde a la Comisión, con base en la jurisprudencia del sistema, </w:t>
      </w:r>
      <w:r w:rsidRPr="00732F0C">
        <w:rPr>
          <w:rFonts w:ascii="Cambria" w:hAnsi="Cambria"/>
          <w:sz w:val="20"/>
          <w:szCs w:val="20"/>
          <w:lang w:val="es-CR"/>
        </w:rPr>
        <w:t>determinar</w:t>
      </w:r>
      <w:r w:rsidRPr="00732F0C">
        <w:rPr>
          <w:rFonts w:ascii="Cambria" w:hAnsi="Cambria"/>
          <w:iCs/>
          <w:sz w:val="20"/>
          <w:szCs w:val="20"/>
          <w:lang w:val="es-ES_tradnl"/>
        </w:rPr>
        <w:t xml:space="preserve"> en sus informes de admisibilidad, qué disposición de los instrumentos interamericanos relevantes es aplicable y podría establecerse su violación si los hechos alegados son probados mediante elementos suficientes.</w:t>
      </w:r>
    </w:p>
    <w:p w:rsidR="007B3C6B" w:rsidRPr="00732F0C" w:rsidRDefault="007B3C6B" w:rsidP="00842D6E">
      <w:pPr>
        <w:tabs>
          <w:tab w:val="left" w:pos="1440"/>
        </w:tabs>
        <w:ind w:firstLine="720"/>
        <w:jc w:val="both"/>
        <w:rPr>
          <w:rFonts w:ascii="Cambria" w:hAnsi="Cambria" w:cs="Arial"/>
          <w:sz w:val="20"/>
          <w:szCs w:val="20"/>
          <w:lang w:val="es-CR"/>
        </w:rPr>
      </w:pPr>
    </w:p>
    <w:p w:rsidR="00972814" w:rsidRPr="00732F0C" w:rsidRDefault="00972814"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El Estado alegó que la Comisión no es un tribunal de alzada para analizar los errores de hecho o de derecho en que pudieran haber incurrido las autoridades judiciales internas dentro del ámbito de su competencia y en cumplimiento de las garantías del debido proceso. Sostuvo que frente al homicidio de Jorge Darwin y las lesiones de su hermano Franklin, adoptó las medidas necesarias a fin de identificar a la persona responsable, la cual fue sentenciada a seis años de prisi</w:t>
      </w:r>
      <w:r w:rsidR="00793A4F" w:rsidRPr="00732F0C">
        <w:rPr>
          <w:rFonts w:ascii="Cambria" w:hAnsi="Cambria" w:cs="Arial"/>
          <w:sz w:val="20"/>
          <w:szCs w:val="20"/>
          <w:lang w:val="es-CR"/>
        </w:rPr>
        <w:t>ón.</w:t>
      </w:r>
    </w:p>
    <w:p w:rsidR="00972814" w:rsidRPr="00732F0C" w:rsidRDefault="00972814" w:rsidP="00842D6E">
      <w:pPr>
        <w:tabs>
          <w:tab w:val="left" w:pos="1440"/>
        </w:tabs>
        <w:ind w:firstLine="720"/>
        <w:jc w:val="both"/>
        <w:rPr>
          <w:rFonts w:ascii="Cambria" w:hAnsi="Cambria" w:cs="Arial"/>
          <w:sz w:val="20"/>
          <w:szCs w:val="20"/>
          <w:lang w:val="es-CR"/>
        </w:rPr>
      </w:pPr>
    </w:p>
    <w:p w:rsidR="00972814" w:rsidRPr="00732F0C" w:rsidRDefault="00972814"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La Comisión recuerda que según la jurisprudencia consolidada de los órganos del sistema interamericano “el esclarecimiento de si el Estado ha violado o no sus obligaciones internacionales en virtud de las actuaciones de sus órganos judiciales, puede conducir a que” la Comisión y la Corte Interamericanas se ocupen de “examinar los respectivos procesos internos para establecer su compatibilidad con la Convención Americana, lo cual incluye, eventualmente, las decisiones de tribunales superiores”</w:t>
      </w:r>
      <w:r w:rsidRPr="00732F0C">
        <w:rPr>
          <w:rStyle w:val="FootnoteReference"/>
          <w:rFonts w:ascii="Cambria" w:hAnsi="Cambria" w:cs="Verdana"/>
          <w:sz w:val="20"/>
          <w:szCs w:val="20"/>
          <w:lang w:val="es-ES_tradnl"/>
        </w:rPr>
        <w:footnoteReference w:id="6"/>
      </w:r>
      <w:r w:rsidRPr="00732F0C">
        <w:rPr>
          <w:rFonts w:ascii="Cambria" w:hAnsi="Cambria" w:cs="Arial"/>
          <w:sz w:val="20"/>
          <w:szCs w:val="20"/>
          <w:lang w:val="es-CR"/>
        </w:rPr>
        <w:t xml:space="preserve"> . </w:t>
      </w:r>
    </w:p>
    <w:p w:rsidR="00972814" w:rsidRPr="00732F0C" w:rsidRDefault="00972814" w:rsidP="00842D6E">
      <w:pPr>
        <w:tabs>
          <w:tab w:val="left" w:pos="1440"/>
        </w:tabs>
        <w:ind w:firstLine="720"/>
        <w:jc w:val="both"/>
        <w:rPr>
          <w:rFonts w:ascii="Cambria" w:hAnsi="Cambria" w:cs="Arial"/>
          <w:sz w:val="20"/>
          <w:szCs w:val="20"/>
          <w:lang w:val="es-CR"/>
        </w:rPr>
      </w:pPr>
    </w:p>
    <w:p w:rsidR="00972814" w:rsidRPr="00732F0C" w:rsidRDefault="00972814"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 xml:space="preserve">En ese sentido, la Comisión resalta que el objeto de la presente petición no es la revisión de decisiones internas sino la determinación de si las alegadas acciones y omisiones de diversas autoridades estatales, incluyendo autoridades de policía y autoridades encargadas de la investigación y proceso penal, comprometieron la responsabilidad internacional del Estado de Ecuador. </w:t>
      </w:r>
    </w:p>
    <w:p w:rsidR="0035594E" w:rsidRPr="00732F0C" w:rsidRDefault="0035594E" w:rsidP="00842D6E">
      <w:pPr>
        <w:pStyle w:val="ListParagraph"/>
        <w:jc w:val="both"/>
        <w:rPr>
          <w:rFonts w:cs="Arial"/>
          <w:sz w:val="20"/>
          <w:szCs w:val="20"/>
          <w:lang w:val="es-CR"/>
        </w:rPr>
      </w:pPr>
    </w:p>
    <w:p w:rsidR="003338FE" w:rsidRPr="00732F0C" w:rsidRDefault="003338FE"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732F0C">
        <w:rPr>
          <w:rFonts w:ascii="Cambria" w:hAnsi="Cambria" w:cs="Arial"/>
          <w:sz w:val="20"/>
          <w:szCs w:val="20"/>
          <w:lang w:val="es-CR"/>
        </w:rPr>
        <w:t>En virtud de lo anterior, la Comisión considera que los hechos descritos podrían caracterizar violación de los derechos a la vida, integridad persona</w:t>
      </w:r>
      <w:r w:rsidR="006837F3">
        <w:rPr>
          <w:rFonts w:ascii="Cambria" w:hAnsi="Cambria" w:cs="Arial"/>
          <w:sz w:val="20"/>
          <w:szCs w:val="20"/>
          <w:lang w:val="es-CR"/>
        </w:rPr>
        <w:t>l</w:t>
      </w:r>
      <w:r w:rsidRPr="00732F0C">
        <w:rPr>
          <w:rFonts w:ascii="Cambria" w:hAnsi="Cambria" w:cs="Arial"/>
          <w:sz w:val="20"/>
          <w:szCs w:val="20"/>
          <w:lang w:val="es-CR"/>
        </w:rPr>
        <w:t xml:space="preserve">, garantías judiciales y protección judicial establecidos en los artículos 4.1, 5.1, 8.1 y 25.1 de la Convención Americana en relación con las obligaciones establecidas en los artículos 1.1 y 2 del mismo instrumento. </w:t>
      </w:r>
    </w:p>
    <w:p w:rsidR="0029397F" w:rsidRPr="00732F0C" w:rsidRDefault="0029397F" w:rsidP="00842D6E">
      <w:pPr>
        <w:suppressAutoHyphens/>
        <w:jc w:val="both"/>
        <w:rPr>
          <w:rFonts w:ascii="Cambria" w:hAnsi="Cambria"/>
          <w:b/>
          <w:sz w:val="20"/>
          <w:szCs w:val="20"/>
          <w:lang w:val="es-MX"/>
        </w:rPr>
      </w:pPr>
    </w:p>
    <w:p w:rsidR="00CA3FD9" w:rsidRPr="00732F0C" w:rsidRDefault="00CA3FD9" w:rsidP="00D060AD">
      <w:pPr>
        <w:pStyle w:val="Heading1"/>
        <w:ind w:firstLine="0"/>
        <w:jc w:val="both"/>
      </w:pPr>
      <w:bookmarkStart w:id="13" w:name="_Toc529792395"/>
      <w:bookmarkStart w:id="14" w:name="_Toc338770517"/>
      <w:r w:rsidRPr="00732F0C">
        <w:t>ANÁLISIS DE FONDO</w:t>
      </w:r>
      <w:bookmarkEnd w:id="13"/>
    </w:p>
    <w:p w:rsidR="00CA3FD9" w:rsidRPr="00732F0C" w:rsidRDefault="00CA3FD9" w:rsidP="00842D6E">
      <w:pPr>
        <w:pStyle w:val="Heading1"/>
        <w:numPr>
          <w:ilvl w:val="0"/>
          <w:numId w:val="0"/>
        </w:numPr>
        <w:ind w:left="1440"/>
        <w:jc w:val="both"/>
      </w:pPr>
    </w:p>
    <w:p w:rsidR="00CA3FD9" w:rsidRPr="00732F0C" w:rsidRDefault="00CA3FD9" w:rsidP="00842D6E">
      <w:pPr>
        <w:pStyle w:val="Heading2"/>
        <w:numPr>
          <w:ilvl w:val="2"/>
          <w:numId w:val="55"/>
        </w:numPr>
        <w:tabs>
          <w:tab w:val="left" w:pos="1440"/>
        </w:tabs>
        <w:ind w:hanging="2340"/>
        <w:jc w:val="both"/>
      </w:pPr>
      <w:bookmarkStart w:id="15" w:name="_Toc529792396"/>
      <w:r w:rsidRPr="00732F0C">
        <w:t>Hechos probados</w:t>
      </w:r>
      <w:bookmarkEnd w:id="15"/>
    </w:p>
    <w:p w:rsidR="00A24688" w:rsidRPr="00732F0C" w:rsidRDefault="00A24688" w:rsidP="00842D6E">
      <w:pPr>
        <w:jc w:val="both"/>
        <w:rPr>
          <w:rFonts w:ascii="Cambria" w:hAnsi="Cambria"/>
          <w:sz w:val="20"/>
          <w:szCs w:val="20"/>
          <w:lang w:val="es-ES_tradnl"/>
        </w:rPr>
      </w:pPr>
    </w:p>
    <w:p w:rsidR="00863BE3" w:rsidRPr="00732F0C" w:rsidRDefault="00F4597D" w:rsidP="00842D6E">
      <w:pPr>
        <w:pStyle w:val="Heading3"/>
        <w:numPr>
          <w:ilvl w:val="6"/>
          <w:numId w:val="55"/>
        </w:numPr>
        <w:tabs>
          <w:tab w:val="clear" w:pos="5400"/>
          <w:tab w:val="left" w:pos="720"/>
          <w:tab w:val="num" w:pos="1440"/>
        </w:tabs>
        <w:ind w:hanging="4680"/>
        <w:rPr>
          <w:lang w:val="es-ES"/>
        </w:rPr>
      </w:pPr>
      <w:bookmarkStart w:id="16" w:name="_Toc529792397"/>
      <w:r w:rsidRPr="00732F0C">
        <w:rPr>
          <w:lang w:val="es-ES"/>
        </w:rPr>
        <w:t>Sobre Jo</w:t>
      </w:r>
      <w:r w:rsidR="00554F0B" w:rsidRPr="00732F0C">
        <w:rPr>
          <w:lang w:val="es-ES"/>
        </w:rPr>
        <w:t>rge</w:t>
      </w:r>
      <w:r w:rsidRPr="00732F0C">
        <w:rPr>
          <w:lang w:val="es-ES"/>
        </w:rPr>
        <w:t xml:space="preserve"> Darwin García y su familia</w:t>
      </w:r>
      <w:bookmarkEnd w:id="16"/>
    </w:p>
    <w:p w:rsidR="00A24688" w:rsidRPr="00732F0C" w:rsidRDefault="00A24688" w:rsidP="00842D6E">
      <w:pPr>
        <w:jc w:val="both"/>
        <w:rPr>
          <w:rFonts w:ascii="Cambria" w:hAnsi="Cambria"/>
          <w:sz w:val="20"/>
          <w:szCs w:val="20"/>
          <w:lang w:val="es-ES_tradnl"/>
        </w:rPr>
      </w:pPr>
    </w:p>
    <w:p w:rsidR="00F4597D" w:rsidRPr="00732F0C" w:rsidRDefault="00F4597D"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ES_tradnl"/>
        </w:rPr>
        <w:t xml:space="preserve">Durante la época de los hechos </w:t>
      </w:r>
      <w:r w:rsidRPr="00732F0C">
        <w:rPr>
          <w:rFonts w:ascii="Cambria" w:hAnsi="Cambria"/>
          <w:sz w:val="20"/>
          <w:szCs w:val="20"/>
          <w:lang w:val="es-CR"/>
        </w:rPr>
        <w:t>Jorge Darwin García</w:t>
      </w:r>
      <w:r w:rsidR="00A24688" w:rsidRPr="00732F0C">
        <w:rPr>
          <w:rFonts w:ascii="Cambria" w:hAnsi="Cambria"/>
          <w:sz w:val="20"/>
          <w:szCs w:val="20"/>
          <w:lang w:val="es-CR"/>
        </w:rPr>
        <w:t xml:space="preserve"> </w:t>
      </w:r>
      <w:r w:rsidRPr="00732F0C">
        <w:rPr>
          <w:rFonts w:ascii="Cambria" w:hAnsi="Cambria"/>
          <w:sz w:val="20"/>
          <w:szCs w:val="20"/>
          <w:lang w:val="es-CR"/>
        </w:rPr>
        <w:t>tenía</w:t>
      </w:r>
      <w:r w:rsidR="00A24688" w:rsidRPr="00732F0C">
        <w:rPr>
          <w:rFonts w:ascii="Cambria" w:hAnsi="Cambria"/>
          <w:sz w:val="20"/>
          <w:szCs w:val="20"/>
          <w:lang w:val="es-CR"/>
        </w:rPr>
        <w:t xml:space="preserve"> 31 años de edad</w:t>
      </w:r>
      <w:r w:rsidRPr="00732F0C">
        <w:rPr>
          <w:rStyle w:val="FootnoteReference"/>
          <w:rFonts w:ascii="Cambria" w:hAnsi="Cambria"/>
          <w:sz w:val="20"/>
          <w:szCs w:val="20"/>
        </w:rPr>
        <w:footnoteReference w:id="7"/>
      </w:r>
      <w:r w:rsidR="00863BE3" w:rsidRPr="00732F0C">
        <w:rPr>
          <w:rFonts w:ascii="Cambria" w:hAnsi="Cambria"/>
          <w:sz w:val="20"/>
          <w:szCs w:val="20"/>
          <w:lang w:val="es-CR"/>
        </w:rPr>
        <w:t>. Era una persona afrodescendiente</w:t>
      </w:r>
      <w:r w:rsidRPr="00732F0C">
        <w:rPr>
          <w:rFonts w:ascii="Cambria" w:hAnsi="Cambria"/>
          <w:sz w:val="20"/>
          <w:szCs w:val="20"/>
          <w:lang w:val="es-CR"/>
        </w:rPr>
        <w:t xml:space="preserve"> y trabajaba como chofer profesional de la Cooperativa de Transportes “Otavalo”</w:t>
      </w:r>
      <w:r w:rsidRPr="00732F0C">
        <w:rPr>
          <w:rStyle w:val="FootnoteReference"/>
          <w:rFonts w:ascii="Cambria" w:hAnsi="Cambria"/>
          <w:sz w:val="20"/>
          <w:szCs w:val="20"/>
        </w:rPr>
        <w:footnoteReference w:id="8"/>
      </w:r>
      <w:r w:rsidRPr="00732F0C">
        <w:rPr>
          <w:rFonts w:ascii="Cambria" w:hAnsi="Cambria"/>
          <w:sz w:val="20"/>
          <w:szCs w:val="20"/>
          <w:lang w:val="es-CR"/>
        </w:rPr>
        <w:t>. Su hermano Franklin Plutarco García tenía 20 años de edad.</w:t>
      </w:r>
      <w:r w:rsidR="00863BE3" w:rsidRPr="00732F0C">
        <w:rPr>
          <w:rFonts w:ascii="Cambria" w:hAnsi="Cambria"/>
          <w:sz w:val="20"/>
          <w:szCs w:val="20"/>
          <w:lang w:val="es-CR"/>
        </w:rPr>
        <w:t xml:space="preserve"> </w:t>
      </w:r>
      <w:r w:rsidRPr="00732F0C">
        <w:rPr>
          <w:rFonts w:ascii="Cambria" w:hAnsi="Cambria"/>
          <w:sz w:val="20"/>
          <w:szCs w:val="20"/>
          <w:lang w:val="es-CR"/>
        </w:rPr>
        <w:t xml:space="preserve">En el expediente ante la CIDH constan los siguientes familiares de </w:t>
      </w:r>
      <w:r w:rsidR="00863BE3" w:rsidRPr="00732F0C">
        <w:rPr>
          <w:rFonts w:ascii="Cambria" w:hAnsi="Cambria"/>
          <w:sz w:val="20"/>
          <w:szCs w:val="20"/>
          <w:lang w:val="es-CR"/>
        </w:rPr>
        <w:t xml:space="preserve">los hermanos </w:t>
      </w:r>
      <w:r w:rsidRPr="00732F0C">
        <w:rPr>
          <w:rFonts w:ascii="Cambria" w:hAnsi="Cambria"/>
          <w:sz w:val="20"/>
          <w:szCs w:val="20"/>
          <w:lang w:val="es-CR"/>
        </w:rPr>
        <w:t xml:space="preserve">Darwin García: Luis Enrique García (padre); Olga María Espinoza (madre); </w:t>
      </w:r>
      <w:proofErr w:type="spellStart"/>
      <w:r w:rsidRPr="00732F0C">
        <w:rPr>
          <w:rFonts w:ascii="Cambria" w:hAnsi="Cambria"/>
          <w:sz w:val="20"/>
          <w:szCs w:val="20"/>
          <w:lang w:val="es-CR"/>
        </w:rPr>
        <w:t>Elsida</w:t>
      </w:r>
      <w:proofErr w:type="spellEnd"/>
      <w:r w:rsidRPr="00732F0C">
        <w:rPr>
          <w:rFonts w:ascii="Cambria" w:hAnsi="Cambria"/>
          <w:sz w:val="20"/>
          <w:szCs w:val="20"/>
          <w:lang w:val="es-CR"/>
        </w:rPr>
        <w:t xml:space="preserve"> María, Víctor </w:t>
      </w:r>
      <w:r w:rsidRPr="00732F0C">
        <w:rPr>
          <w:rFonts w:ascii="Cambria" w:hAnsi="Cambria"/>
          <w:sz w:val="20"/>
          <w:szCs w:val="20"/>
          <w:lang w:val="es-CR"/>
        </w:rPr>
        <w:lastRenderedPageBreak/>
        <w:t xml:space="preserve">Enrique, </w:t>
      </w:r>
      <w:proofErr w:type="spellStart"/>
      <w:r w:rsidRPr="00732F0C">
        <w:rPr>
          <w:rFonts w:ascii="Cambria" w:hAnsi="Cambria"/>
          <w:sz w:val="20"/>
          <w:szCs w:val="20"/>
          <w:lang w:val="es-CR"/>
        </w:rPr>
        <w:t>Flaiter</w:t>
      </w:r>
      <w:proofErr w:type="spellEnd"/>
      <w:r w:rsidRPr="00732F0C">
        <w:rPr>
          <w:rFonts w:ascii="Cambria" w:hAnsi="Cambria"/>
          <w:sz w:val="20"/>
          <w:szCs w:val="20"/>
          <w:lang w:val="es-CR"/>
        </w:rPr>
        <w:t xml:space="preserve"> </w:t>
      </w:r>
      <w:proofErr w:type="spellStart"/>
      <w:r w:rsidRPr="00732F0C">
        <w:rPr>
          <w:rFonts w:ascii="Cambria" w:hAnsi="Cambria"/>
          <w:sz w:val="20"/>
          <w:szCs w:val="20"/>
          <w:lang w:val="es-CR"/>
        </w:rPr>
        <w:t>Wladimir</w:t>
      </w:r>
      <w:proofErr w:type="spellEnd"/>
      <w:r w:rsidRPr="00732F0C">
        <w:rPr>
          <w:rFonts w:ascii="Cambria" w:hAnsi="Cambria"/>
          <w:sz w:val="20"/>
          <w:szCs w:val="20"/>
          <w:lang w:val="es-CR"/>
        </w:rPr>
        <w:t xml:space="preserve">, Fabio Tarquino, Nelly Beatriz, Miriam Judith y Aida Marina García Espinoza (hermanos/as); y Darwin </w:t>
      </w:r>
      <w:proofErr w:type="spellStart"/>
      <w:r w:rsidRPr="00732F0C">
        <w:rPr>
          <w:rFonts w:ascii="Cambria" w:hAnsi="Cambria"/>
          <w:sz w:val="20"/>
          <w:szCs w:val="20"/>
          <w:lang w:val="es-CR"/>
        </w:rPr>
        <w:t>Wladimir</w:t>
      </w:r>
      <w:proofErr w:type="spellEnd"/>
      <w:r w:rsidRPr="00732F0C">
        <w:rPr>
          <w:rFonts w:ascii="Cambria" w:hAnsi="Cambria"/>
          <w:sz w:val="20"/>
          <w:szCs w:val="20"/>
          <w:lang w:val="es-CR"/>
        </w:rPr>
        <w:t xml:space="preserve"> y </w:t>
      </w:r>
      <w:proofErr w:type="spellStart"/>
      <w:r w:rsidRPr="00732F0C">
        <w:rPr>
          <w:rFonts w:ascii="Cambria" w:hAnsi="Cambria"/>
          <w:sz w:val="20"/>
          <w:szCs w:val="20"/>
          <w:lang w:val="es-CR"/>
        </w:rPr>
        <w:t>Jhonny</w:t>
      </w:r>
      <w:proofErr w:type="spellEnd"/>
      <w:r w:rsidRPr="00732F0C">
        <w:rPr>
          <w:rFonts w:ascii="Cambria" w:hAnsi="Cambria"/>
          <w:sz w:val="20"/>
          <w:szCs w:val="20"/>
          <w:lang w:val="es-CR"/>
        </w:rPr>
        <w:t xml:space="preserve"> Sebastián García </w:t>
      </w:r>
      <w:proofErr w:type="spellStart"/>
      <w:r w:rsidRPr="00732F0C">
        <w:rPr>
          <w:rFonts w:ascii="Cambria" w:hAnsi="Cambria"/>
          <w:sz w:val="20"/>
          <w:szCs w:val="20"/>
          <w:lang w:val="es-CR"/>
        </w:rPr>
        <w:t>Anangono</w:t>
      </w:r>
      <w:proofErr w:type="spellEnd"/>
      <w:r w:rsidRPr="00732F0C">
        <w:rPr>
          <w:rFonts w:ascii="Cambria" w:hAnsi="Cambria"/>
          <w:sz w:val="20"/>
          <w:szCs w:val="20"/>
          <w:lang w:val="es-CR"/>
        </w:rPr>
        <w:t xml:space="preserve"> (hijos</w:t>
      </w:r>
      <w:r w:rsidR="00863BE3" w:rsidRPr="00732F0C">
        <w:rPr>
          <w:rFonts w:ascii="Cambria" w:hAnsi="Cambria"/>
          <w:sz w:val="20"/>
          <w:szCs w:val="20"/>
          <w:lang w:val="es-CR"/>
        </w:rPr>
        <w:t xml:space="preserve"> de Jorge</w:t>
      </w:r>
      <w:r w:rsidRPr="00732F0C">
        <w:rPr>
          <w:rFonts w:ascii="Cambria" w:hAnsi="Cambria"/>
          <w:sz w:val="20"/>
          <w:szCs w:val="20"/>
          <w:lang w:val="es-CR"/>
        </w:rPr>
        <w:t>).</w:t>
      </w:r>
    </w:p>
    <w:p w:rsidR="00F4597D" w:rsidRPr="00732F0C" w:rsidRDefault="00F4597D"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863BE3" w:rsidRPr="00732F0C" w:rsidRDefault="00863BE3" w:rsidP="00842D6E">
      <w:pPr>
        <w:pStyle w:val="Heading3"/>
        <w:numPr>
          <w:ilvl w:val="0"/>
          <w:numId w:val="58"/>
        </w:numPr>
        <w:ind w:hanging="4680"/>
        <w:rPr>
          <w:lang w:val="es-ES"/>
        </w:rPr>
      </w:pPr>
      <w:bookmarkStart w:id="17" w:name="_Toc529792398"/>
      <w:r w:rsidRPr="00732F0C">
        <w:rPr>
          <w:lang w:val="es-ES"/>
        </w:rPr>
        <w:t>Sobre la muerte de Jo</w:t>
      </w:r>
      <w:r w:rsidR="00554F0B" w:rsidRPr="00732F0C">
        <w:rPr>
          <w:lang w:val="es-ES"/>
        </w:rPr>
        <w:t>rge</w:t>
      </w:r>
      <w:r w:rsidRPr="00732F0C">
        <w:rPr>
          <w:lang w:val="es-ES"/>
        </w:rPr>
        <w:t xml:space="preserve"> Darwin García y las lesiones de </w:t>
      </w:r>
      <w:r w:rsidRPr="00732F0C">
        <w:rPr>
          <w:lang w:val="es-CR"/>
        </w:rPr>
        <w:t>Franklin Plutarco</w:t>
      </w:r>
      <w:bookmarkEnd w:id="17"/>
    </w:p>
    <w:p w:rsidR="00F4597D" w:rsidRPr="00732F0C" w:rsidRDefault="00F4597D"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rsidR="00A24688" w:rsidRPr="00732F0C" w:rsidRDefault="00A2468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El 11 de septiembre de 1993 se llevó a cabo un baile popular en la</w:t>
      </w:r>
      <w:r w:rsidR="009F05D0" w:rsidRPr="00732F0C">
        <w:rPr>
          <w:rFonts w:ascii="Cambria" w:hAnsi="Cambria"/>
          <w:sz w:val="20"/>
          <w:szCs w:val="20"/>
          <w:lang w:val="es-CR"/>
        </w:rPr>
        <w:t>s calles de la ciudad de</w:t>
      </w:r>
      <w:r w:rsidRPr="00732F0C">
        <w:rPr>
          <w:rFonts w:ascii="Cambria" w:hAnsi="Cambria"/>
          <w:sz w:val="20"/>
          <w:szCs w:val="20"/>
          <w:lang w:val="es-CR"/>
        </w:rPr>
        <w:t xml:space="preserve"> Otavalo, </w:t>
      </w:r>
      <w:r w:rsidR="009F05D0" w:rsidRPr="00732F0C">
        <w:rPr>
          <w:rFonts w:ascii="Cambria" w:hAnsi="Cambria"/>
          <w:sz w:val="20"/>
          <w:szCs w:val="20"/>
          <w:lang w:val="es-CR"/>
        </w:rPr>
        <w:t>organizado por la Cooperativa de Transportes “Otavalo”</w:t>
      </w:r>
      <w:r w:rsidR="009F05D0" w:rsidRPr="00732F0C">
        <w:rPr>
          <w:rStyle w:val="FootnoteReference"/>
          <w:rFonts w:ascii="Cambria" w:hAnsi="Cambria"/>
          <w:sz w:val="20"/>
          <w:szCs w:val="20"/>
        </w:rPr>
        <w:footnoteReference w:id="9"/>
      </w:r>
      <w:r w:rsidR="009F05D0" w:rsidRPr="00732F0C">
        <w:rPr>
          <w:rFonts w:ascii="Cambria" w:hAnsi="Cambria"/>
          <w:sz w:val="20"/>
          <w:szCs w:val="20"/>
          <w:lang w:val="es-ES"/>
        </w:rPr>
        <w:t xml:space="preserve">. A dicha fiesta asistieron </w:t>
      </w:r>
      <w:r w:rsidR="009F05D0" w:rsidRPr="00732F0C">
        <w:rPr>
          <w:rFonts w:ascii="Cambria" w:hAnsi="Cambria"/>
          <w:sz w:val="20"/>
          <w:szCs w:val="20"/>
          <w:lang w:val="es-CR"/>
        </w:rPr>
        <w:t>Jorge Darwin García, su hermano</w:t>
      </w:r>
      <w:r w:rsidRPr="00732F0C">
        <w:rPr>
          <w:rFonts w:ascii="Cambria" w:hAnsi="Cambria"/>
          <w:sz w:val="20"/>
          <w:szCs w:val="20"/>
          <w:lang w:val="es-CR"/>
        </w:rPr>
        <w:t xml:space="preserve"> Franklin Plutarco García y otros amigos</w:t>
      </w:r>
      <w:r w:rsidR="009F05D0" w:rsidRPr="00732F0C">
        <w:rPr>
          <w:rFonts w:ascii="Cambria" w:hAnsi="Cambria"/>
          <w:sz w:val="20"/>
          <w:szCs w:val="20"/>
          <w:lang w:val="es-CR"/>
        </w:rPr>
        <w:t xml:space="preserve"> suyos</w:t>
      </w:r>
      <w:r w:rsidRPr="00732F0C">
        <w:rPr>
          <w:rStyle w:val="FootnoteReference"/>
          <w:rFonts w:ascii="Cambria" w:hAnsi="Cambria"/>
          <w:sz w:val="20"/>
          <w:szCs w:val="20"/>
        </w:rPr>
        <w:footnoteReference w:id="10"/>
      </w:r>
      <w:r w:rsidRPr="00732F0C">
        <w:rPr>
          <w:rFonts w:ascii="Cambria" w:hAnsi="Cambria"/>
          <w:sz w:val="20"/>
          <w:szCs w:val="20"/>
          <w:lang w:val="es-CR"/>
        </w:rPr>
        <w:t>.</w:t>
      </w:r>
    </w:p>
    <w:p w:rsidR="009F05D0" w:rsidRPr="00732F0C" w:rsidRDefault="009F05D0"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rsidR="007C1AF5" w:rsidRPr="00732F0C" w:rsidRDefault="007C1AF5"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ES_tradnl"/>
        </w:rPr>
        <w:t xml:space="preserve">Aproximadamente a las 2:40 a.m. del 12 de septiembre de 1993, tres personas se acercaron al grupo donde estaban los hermanos García: i) el agente policial de la </w:t>
      </w:r>
      <w:r w:rsidRPr="00732F0C">
        <w:rPr>
          <w:rFonts w:ascii="Cambria" w:hAnsi="Cambria"/>
          <w:sz w:val="20"/>
          <w:szCs w:val="20"/>
          <w:lang w:val="es-CR"/>
        </w:rPr>
        <w:t>Unidad de Investigaciones Especiales Segundo Néstor de la Cruz; ii) su hermano José de la Cruz; y iii) el agente policial Edwin Guzmán</w:t>
      </w:r>
      <w:r w:rsidRPr="00732F0C">
        <w:rPr>
          <w:rStyle w:val="FootnoteReference"/>
          <w:rFonts w:ascii="Cambria" w:hAnsi="Cambria"/>
          <w:sz w:val="20"/>
          <w:szCs w:val="20"/>
        </w:rPr>
        <w:footnoteReference w:id="11"/>
      </w:r>
      <w:r w:rsidRPr="00732F0C">
        <w:rPr>
          <w:rFonts w:ascii="Cambria" w:hAnsi="Cambria"/>
          <w:sz w:val="20"/>
          <w:szCs w:val="20"/>
          <w:lang w:val="es-CR"/>
        </w:rPr>
        <w:t xml:space="preserve">. </w:t>
      </w:r>
    </w:p>
    <w:p w:rsidR="007C1AF5" w:rsidRPr="00732F0C" w:rsidRDefault="007C1AF5" w:rsidP="00842D6E">
      <w:pPr>
        <w:pStyle w:val="ListParagraph"/>
        <w:jc w:val="both"/>
        <w:rPr>
          <w:sz w:val="20"/>
          <w:szCs w:val="20"/>
          <w:lang w:val="es-CR"/>
        </w:rPr>
      </w:pPr>
    </w:p>
    <w:p w:rsidR="0020510E" w:rsidRPr="00732F0C" w:rsidRDefault="0020510E"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CR"/>
        </w:rPr>
        <w:t xml:space="preserve">El señor Franklin Plutarco manifestó </w:t>
      </w:r>
      <w:r w:rsidR="007C1AF5" w:rsidRPr="00732F0C">
        <w:rPr>
          <w:rFonts w:ascii="Cambria" w:hAnsi="Cambria"/>
          <w:sz w:val="20"/>
          <w:szCs w:val="20"/>
          <w:lang w:val="es-CR"/>
        </w:rPr>
        <w:t xml:space="preserve">que Segundo de la Cruz, quien parecía encontrarse en estado de ebriedad, apuntó con su arma a uno de </w:t>
      </w:r>
      <w:r w:rsidRPr="00732F0C">
        <w:rPr>
          <w:rFonts w:ascii="Cambria" w:hAnsi="Cambria"/>
          <w:sz w:val="20"/>
          <w:szCs w:val="20"/>
          <w:lang w:val="es-CR"/>
        </w:rPr>
        <w:t>sus amigos</w:t>
      </w:r>
      <w:r w:rsidRPr="00732F0C">
        <w:rPr>
          <w:rStyle w:val="FootnoteReference"/>
          <w:rFonts w:ascii="Cambria" w:hAnsi="Cambria"/>
          <w:sz w:val="20"/>
          <w:szCs w:val="20"/>
          <w:lang w:val="es-AR"/>
        </w:rPr>
        <w:footnoteReference w:id="12"/>
      </w:r>
      <w:r w:rsidR="007C1AF5" w:rsidRPr="00732F0C">
        <w:rPr>
          <w:rFonts w:ascii="Cambria" w:hAnsi="Cambria"/>
          <w:sz w:val="20"/>
          <w:szCs w:val="20"/>
          <w:lang w:val="es-AR"/>
        </w:rPr>
        <w:t>. Señaló que Segundo de la Cruz les increpó por presuntamente haberse burlado de él</w:t>
      </w:r>
      <w:r w:rsidRPr="00732F0C">
        <w:rPr>
          <w:rStyle w:val="FootnoteReference"/>
          <w:rFonts w:ascii="Cambria" w:hAnsi="Cambria"/>
          <w:sz w:val="20"/>
          <w:szCs w:val="20"/>
          <w:lang w:val="es-AR"/>
        </w:rPr>
        <w:footnoteReference w:id="13"/>
      </w:r>
      <w:r w:rsidR="007C1AF5" w:rsidRPr="00732F0C">
        <w:rPr>
          <w:rFonts w:ascii="Cambria" w:hAnsi="Cambria"/>
          <w:sz w:val="20"/>
          <w:szCs w:val="20"/>
          <w:lang w:val="es-AR"/>
        </w:rPr>
        <w:t>.</w:t>
      </w:r>
      <w:r w:rsidRPr="00732F0C">
        <w:rPr>
          <w:rFonts w:ascii="Cambria" w:hAnsi="Cambria"/>
          <w:sz w:val="20"/>
          <w:szCs w:val="20"/>
          <w:lang w:val="es-AR"/>
        </w:rPr>
        <w:t xml:space="preserve"> Sostuvo que su hermano Jorge </w:t>
      </w:r>
      <w:r w:rsidRPr="00732F0C">
        <w:rPr>
          <w:rFonts w:ascii="Cambria" w:hAnsi="Cambria"/>
          <w:sz w:val="20"/>
          <w:szCs w:val="20"/>
          <w:lang w:val="es-CR"/>
        </w:rPr>
        <w:t>Darwin García le reclamó al señor Segundo de la Cruz y éste le disparó en la cabeza</w:t>
      </w:r>
      <w:r w:rsidRPr="00732F0C">
        <w:rPr>
          <w:rStyle w:val="FootnoteReference"/>
          <w:rFonts w:ascii="Cambria" w:hAnsi="Cambria"/>
          <w:sz w:val="20"/>
          <w:szCs w:val="20"/>
          <w:lang w:val="es-AR"/>
        </w:rPr>
        <w:footnoteReference w:id="14"/>
      </w:r>
      <w:r w:rsidRPr="00732F0C">
        <w:rPr>
          <w:rFonts w:ascii="Cambria" w:hAnsi="Cambria"/>
          <w:sz w:val="20"/>
          <w:szCs w:val="20"/>
          <w:lang w:val="es-CR"/>
        </w:rPr>
        <w:t>. Señaló que al ver ello trató de detener al señor de la Cruz pero fue disparado en un par de ocasiones</w:t>
      </w:r>
      <w:r w:rsidRPr="00732F0C">
        <w:rPr>
          <w:rStyle w:val="FootnoteReference"/>
          <w:rFonts w:ascii="Cambria" w:hAnsi="Cambria"/>
          <w:sz w:val="20"/>
          <w:szCs w:val="20"/>
          <w:lang w:val="es-AR"/>
        </w:rPr>
        <w:footnoteReference w:id="15"/>
      </w:r>
      <w:r w:rsidRPr="00732F0C">
        <w:rPr>
          <w:rFonts w:ascii="Cambria" w:hAnsi="Cambria"/>
          <w:sz w:val="20"/>
          <w:szCs w:val="20"/>
          <w:lang w:val="es-CR"/>
        </w:rPr>
        <w:t xml:space="preserve">. </w:t>
      </w:r>
    </w:p>
    <w:p w:rsidR="0020510E" w:rsidRPr="00732F0C" w:rsidRDefault="0020510E" w:rsidP="00842D6E">
      <w:pPr>
        <w:jc w:val="both"/>
        <w:rPr>
          <w:rFonts w:ascii="Cambria" w:hAnsi="Cambria"/>
          <w:sz w:val="20"/>
          <w:szCs w:val="20"/>
          <w:lang w:val="es-CR"/>
        </w:rPr>
      </w:pPr>
    </w:p>
    <w:p w:rsidR="009F05D0" w:rsidRPr="00732F0C" w:rsidRDefault="009F05D0"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De acuerdo con testimonios de</w:t>
      </w:r>
      <w:r w:rsidR="0031398D" w:rsidRPr="00732F0C">
        <w:rPr>
          <w:rFonts w:ascii="Cambria" w:hAnsi="Cambria"/>
          <w:sz w:val="20"/>
          <w:szCs w:val="20"/>
          <w:lang w:val="es-CR"/>
        </w:rPr>
        <w:t xml:space="preserve"> sus</w:t>
      </w:r>
      <w:r w:rsidRPr="00732F0C">
        <w:rPr>
          <w:rFonts w:ascii="Cambria" w:hAnsi="Cambria"/>
          <w:sz w:val="20"/>
          <w:szCs w:val="20"/>
          <w:lang w:val="es-CR"/>
        </w:rPr>
        <w:t xml:space="preserve"> amigos</w:t>
      </w:r>
      <w:r w:rsidR="007C1AF5" w:rsidRPr="00732F0C">
        <w:rPr>
          <w:rFonts w:ascii="Cambria" w:hAnsi="Cambria"/>
          <w:sz w:val="20"/>
          <w:szCs w:val="20"/>
          <w:lang w:val="es-CR"/>
        </w:rPr>
        <w:t>:</w:t>
      </w:r>
    </w:p>
    <w:p w:rsidR="007C1AF5" w:rsidRPr="00732F0C" w:rsidRDefault="007C1AF5" w:rsidP="00842D6E">
      <w:pPr>
        <w:tabs>
          <w:tab w:val="left" w:pos="1440"/>
        </w:tabs>
        <w:jc w:val="both"/>
        <w:rPr>
          <w:rFonts w:ascii="Cambria" w:hAnsi="Cambria"/>
          <w:sz w:val="20"/>
          <w:szCs w:val="20"/>
          <w:lang w:val="es-CR"/>
        </w:rPr>
      </w:pPr>
    </w:p>
    <w:p w:rsidR="00A24688" w:rsidRPr="00732F0C" w:rsidRDefault="0031398D" w:rsidP="00842D6E">
      <w:pPr>
        <w:tabs>
          <w:tab w:val="left" w:pos="1440"/>
        </w:tabs>
        <w:ind w:left="720" w:right="720"/>
        <w:jc w:val="both"/>
        <w:rPr>
          <w:rFonts w:ascii="Cambria" w:hAnsi="Cambria"/>
          <w:sz w:val="20"/>
          <w:szCs w:val="20"/>
          <w:lang w:val="es-CR"/>
        </w:rPr>
      </w:pPr>
      <w:r w:rsidRPr="00732F0C">
        <w:rPr>
          <w:rFonts w:ascii="Cambria" w:hAnsi="Cambria"/>
          <w:sz w:val="20"/>
          <w:szCs w:val="20"/>
          <w:lang w:val="es-CR"/>
        </w:rPr>
        <w:t xml:space="preserve">(…) </w:t>
      </w:r>
      <w:r w:rsidR="007C1AF5" w:rsidRPr="00732F0C">
        <w:rPr>
          <w:rFonts w:ascii="Cambria" w:hAnsi="Cambria"/>
          <w:sz w:val="20"/>
          <w:szCs w:val="20"/>
          <w:lang w:val="es-CR"/>
        </w:rPr>
        <w:t xml:space="preserve">en un determinado momento por las conversaciones que teníamos nos reíamos, pero sucede que de pronto se asomaron otras personas entre ellos el que hoy se sabe que se llama Segundo Néstor de la Cruz </w:t>
      </w:r>
      <w:proofErr w:type="spellStart"/>
      <w:r w:rsidR="007C1AF5" w:rsidRPr="00732F0C">
        <w:rPr>
          <w:rFonts w:ascii="Cambria" w:hAnsi="Cambria"/>
          <w:sz w:val="20"/>
          <w:szCs w:val="20"/>
          <w:lang w:val="es-CR"/>
        </w:rPr>
        <w:t>Chicaiza</w:t>
      </w:r>
      <w:proofErr w:type="spellEnd"/>
      <w:r w:rsidR="007C1AF5" w:rsidRPr="00732F0C">
        <w:rPr>
          <w:rFonts w:ascii="Cambria" w:hAnsi="Cambria"/>
          <w:sz w:val="20"/>
          <w:szCs w:val="20"/>
          <w:lang w:val="es-CR"/>
        </w:rPr>
        <w:t xml:space="preserve"> quien sorpresivamente sacó un revólver que tenía en el cinturón y le puso en la sien derecha de Mesías</w:t>
      </w:r>
      <w:r w:rsidR="007C1AF5" w:rsidRPr="00732F0C">
        <w:rPr>
          <w:rFonts w:ascii="Cambria" w:hAnsi="Cambria"/>
          <w:sz w:val="20"/>
          <w:szCs w:val="20"/>
          <w:lang w:val="es-AR"/>
        </w:rPr>
        <w:t xml:space="preserve"> Espinoza, manifestando que es agente de la Policía y por qué se burlaban de él, reclamándole inmediatamente Jorge García en el sentido de que era policía debe tener buenos modales, a esto reaccionó Segundo Néstor de la Cruz </w:t>
      </w:r>
      <w:proofErr w:type="spellStart"/>
      <w:r w:rsidR="007C1AF5" w:rsidRPr="00732F0C">
        <w:rPr>
          <w:rFonts w:ascii="Cambria" w:hAnsi="Cambria"/>
          <w:sz w:val="20"/>
          <w:szCs w:val="20"/>
          <w:lang w:val="es-AR"/>
        </w:rPr>
        <w:t>Chicaiza</w:t>
      </w:r>
      <w:proofErr w:type="spellEnd"/>
      <w:r w:rsidR="007C1AF5" w:rsidRPr="00732F0C">
        <w:rPr>
          <w:rFonts w:ascii="Cambria" w:hAnsi="Cambria"/>
          <w:sz w:val="20"/>
          <w:szCs w:val="20"/>
          <w:lang w:val="es-AR"/>
        </w:rPr>
        <w:t xml:space="preserve"> a quien lo conoce físicamente y le disparó a Jorge García a la altura de la sien izquierda, cayendo inmediatamente éste al suelo, para acto </w:t>
      </w:r>
      <w:r w:rsidRPr="00732F0C">
        <w:rPr>
          <w:rFonts w:ascii="Cambria" w:hAnsi="Cambria"/>
          <w:sz w:val="20"/>
          <w:szCs w:val="20"/>
          <w:lang w:val="es-AR"/>
        </w:rPr>
        <w:t>seguido su hermano Franklin Gar</w:t>
      </w:r>
      <w:r w:rsidR="007C1AF5" w:rsidRPr="00732F0C">
        <w:rPr>
          <w:rFonts w:ascii="Cambria" w:hAnsi="Cambria"/>
          <w:sz w:val="20"/>
          <w:szCs w:val="20"/>
          <w:lang w:val="es-AR"/>
        </w:rPr>
        <w:t xml:space="preserve">cía darle un trompón a Segundo Néstor de la Cruz </w:t>
      </w:r>
      <w:proofErr w:type="spellStart"/>
      <w:r w:rsidR="007C1AF5" w:rsidRPr="00732F0C">
        <w:rPr>
          <w:rFonts w:ascii="Cambria" w:hAnsi="Cambria"/>
          <w:sz w:val="20"/>
          <w:szCs w:val="20"/>
          <w:lang w:val="es-AR"/>
        </w:rPr>
        <w:t>Chicaiza</w:t>
      </w:r>
      <w:proofErr w:type="spellEnd"/>
      <w:r w:rsidR="007C1AF5" w:rsidRPr="00732F0C">
        <w:rPr>
          <w:rFonts w:ascii="Cambria" w:hAnsi="Cambria"/>
          <w:sz w:val="20"/>
          <w:szCs w:val="20"/>
          <w:lang w:val="es-AR"/>
        </w:rPr>
        <w:t xml:space="preserve"> para recibir de éste dos disparos, el uno en el tórax y el otro en la mano izquierda, luego de lo cual los dos policías trataron de huir amenazando y disparando por lo que no fue posible cogerles</w:t>
      </w:r>
      <w:r w:rsidR="007C1AF5" w:rsidRPr="00732F0C">
        <w:rPr>
          <w:rStyle w:val="FootnoteReference"/>
          <w:rFonts w:ascii="Cambria" w:hAnsi="Cambria"/>
          <w:sz w:val="20"/>
          <w:szCs w:val="20"/>
          <w:lang w:val="es-AR"/>
        </w:rPr>
        <w:footnoteReference w:id="16"/>
      </w:r>
      <w:r w:rsidR="007C1AF5" w:rsidRPr="00732F0C">
        <w:rPr>
          <w:rFonts w:ascii="Cambria" w:hAnsi="Cambria"/>
          <w:sz w:val="20"/>
          <w:szCs w:val="20"/>
          <w:lang w:val="es-AR"/>
        </w:rPr>
        <w:t>.</w:t>
      </w:r>
    </w:p>
    <w:p w:rsidR="000E25C1" w:rsidRPr="00732F0C" w:rsidRDefault="000E25C1" w:rsidP="00842D6E">
      <w:pPr>
        <w:tabs>
          <w:tab w:val="left" w:pos="1440"/>
        </w:tabs>
        <w:ind w:firstLine="720"/>
        <w:jc w:val="both"/>
        <w:rPr>
          <w:rFonts w:ascii="Cambria" w:hAnsi="Cambria"/>
          <w:sz w:val="20"/>
          <w:szCs w:val="20"/>
          <w:lang w:val="es-CR"/>
        </w:rPr>
      </w:pPr>
    </w:p>
    <w:p w:rsidR="00A52460" w:rsidRPr="00732F0C" w:rsidRDefault="000E25C1"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Como resultado de los disparos efectuados por Segundo de la Cruz con su arma reglamentaria</w:t>
      </w:r>
      <w:r w:rsidRPr="00732F0C">
        <w:rPr>
          <w:rStyle w:val="FootnoteReference"/>
          <w:rFonts w:ascii="Cambria" w:hAnsi="Cambria"/>
          <w:sz w:val="20"/>
          <w:szCs w:val="20"/>
        </w:rPr>
        <w:footnoteReference w:id="17"/>
      </w:r>
      <w:r w:rsidRPr="00732F0C">
        <w:rPr>
          <w:rFonts w:ascii="Cambria" w:hAnsi="Cambria"/>
          <w:sz w:val="20"/>
          <w:szCs w:val="20"/>
          <w:lang w:val="es-CR"/>
        </w:rPr>
        <w:t xml:space="preserve">, </w:t>
      </w:r>
      <w:r w:rsidR="00393C9F" w:rsidRPr="00732F0C">
        <w:rPr>
          <w:rFonts w:ascii="Cambria" w:hAnsi="Cambria"/>
          <w:sz w:val="20"/>
          <w:szCs w:val="20"/>
          <w:lang w:val="es-CR"/>
        </w:rPr>
        <w:t>Jorge Darwin García sufrió una herida de arma de fuego en el costado izquierdo de la cabeza</w:t>
      </w:r>
      <w:r w:rsidR="00393C9F" w:rsidRPr="00732F0C">
        <w:rPr>
          <w:rStyle w:val="FootnoteReference"/>
          <w:rFonts w:ascii="Cambria" w:hAnsi="Cambria"/>
          <w:sz w:val="20"/>
          <w:szCs w:val="20"/>
        </w:rPr>
        <w:footnoteReference w:id="18"/>
      </w:r>
      <w:r w:rsidR="00393C9F" w:rsidRPr="00732F0C">
        <w:rPr>
          <w:rFonts w:ascii="Cambria" w:hAnsi="Cambria"/>
          <w:sz w:val="20"/>
          <w:szCs w:val="20"/>
          <w:lang w:val="es-ES"/>
        </w:rPr>
        <w:t xml:space="preserve">. El señor Darwin fue trasladado </w:t>
      </w:r>
      <w:r w:rsidR="00393C9F" w:rsidRPr="00732F0C">
        <w:rPr>
          <w:rFonts w:ascii="Cambria" w:hAnsi="Cambria"/>
          <w:sz w:val="20"/>
          <w:szCs w:val="20"/>
          <w:lang w:val="es-CR"/>
        </w:rPr>
        <w:t>a la ciudad de Quito y falleció en el trayecto</w:t>
      </w:r>
      <w:r w:rsidR="00393C9F" w:rsidRPr="00732F0C">
        <w:rPr>
          <w:rStyle w:val="FootnoteReference"/>
          <w:rFonts w:ascii="Cambria" w:hAnsi="Cambria"/>
          <w:sz w:val="20"/>
          <w:szCs w:val="20"/>
        </w:rPr>
        <w:footnoteReference w:id="19"/>
      </w:r>
      <w:r w:rsidR="00393C9F" w:rsidRPr="00732F0C">
        <w:rPr>
          <w:rFonts w:ascii="Cambria" w:hAnsi="Cambria"/>
          <w:sz w:val="20"/>
          <w:szCs w:val="20"/>
          <w:lang w:val="es-ES"/>
        </w:rPr>
        <w:t xml:space="preserve">. </w:t>
      </w:r>
      <w:r w:rsidR="00393C9F" w:rsidRPr="00732F0C">
        <w:rPr>
          <w:rFonts w:ascii="Cambria" w:hAnsi="Cambria"/>
          <w:sz w:val="20"/>
          <w:szCs w:val="20"/>
          <w:lang w:val="es-CR"/>
        </w:rPr>
        <w:t xml:space="preserve">Su cadáver fue depositado en la </w:t>
      </w:r>
      <w:r w:rsidR="00393C9F" w:rsidRPr="00732F0C">
        <w:rPr>
          <w:rFonts w:ascii="Cambria" w:hAnsi="Cambria"/>
          <w:sz w:val="20"/>
          <w:szCs w:val="20"/>
          <w:lang w:val="es-CR"/>
        </w:rPr>
        <w:lastRenderedPageBreak/>
        <w:t>Morgue del Hospital San Luis de Otavalo</w:t>
      </w:r>
      <w:r w:rsidR="00393C9F" w:rsidRPr="00732F0C">
        <w:rPr>
          <w:rStyle w:val="FootnoteReference"/>
          <w:rFonts w:ascii="Cambria" w:hAnsi="Cambria"/>
          <w:sz w:val="20"/>
          <w:szCs w:val="20"/>
        </w:rPr>
        <w:footnoteReference w:id="20"/>
      </w:r>
      <w:r w:rsidR="00393C9F" w:rsidRPr="00732F0C">
        <w:rPr>
          <w:rFonts w:ascii="Cambria" w:hAnsi="Cambria"/>
          <w:sz w:val="20"/>
          <w:szCs w:val="20"/>
          <w:lang w:val="es-CR"/>
        </w:rPr>
        <w:t>.</w:t>
      </w:r>
      <w:r w:rsidR="00A52460" w:rsidRPr="00732F0C">
        <w:rPr>
          <w:rFonts w:ascii="Cambria" w:hAnsi="Cambria"/>
          <w:sz w:val="20"/>
          <w:szCs w:val="20"/>
          <w:lang w:val="es-CR"/>
        </w:rPr>
        <w:t xml:space="preserve"> Conforme consta en el protocolo de necropsia realizado el 12 de septiembre de 1993, la causa de muerte de Jorge García fue “herida por arma de fuego en cabeza, hemorragia </w:t>
      </w:r>
      <w:proofErr w:type="spellStart"/>
      <w:r w:rsidR="00A52460" w:rsidRPr="00732F0C">
        <w:rPr>
          <w:rFonts w:ascii="Cambria" w:hAnsi="Cambria"/>
          <w:sz w:val="20"/>
          <w:szCs w:val="20"/>
          <w:lang w:val="es-CR"/>
        </w:rPr>
        <w:t>intracraneana</w:t>
      </w:r>
      <w:proofErr w:type="spellEnd"/>
      <w:r w:rsidR="00A52460" w:rsidRPr="00732F0C">
        <w:rPr>
          <w:rFonts w:ascii="Cambria" w:hAnsi="Cambria"/>
          <w:sz w:val="20"/>
          <w:szCs w:val="20"/>
          <w:lang w:val="es-CR"/>
        </w:rPr>
        <w:t xml:space="preserve">, paro </w:t>
      </w:r>
      <w:proofErr w:type="spellStart"/>
      <w:r w:rsidR="00A52460" w:rsidRPr="00732F0C">
        <w:rPr>
          <w:rFonts w:ascii="Cambria" w:hAnsi="Cambria"/>
          <w:sz w:val="20"/>
          <w:szCs w:val="20"/>
          <w:lang w:val="es-CR"/>
        </w:rPr>
        <w:t>cariorespiratorio</w:t>
      </w:r>
      <w:proofErr w:type="spellEnd"/>
      <w:r w:rsidR="00A52460" w:rsidRPr="00732F0C">
        <w:rPr>
          <w:rFonts w:ascii="Cambria" w:hAnsi="Cambria"/>
          <w:sz w:val="20"/>
          <w:szCs w:val="20"/>
          <w:lang w:val="es-CR"/>
        </w:rPr>
        <w:t>”</w:t>
      </w:r>
      <w:r w:rsidR="00A52460" w:rsidRPr="00732F0C">
        <w:rPr>
          <w:rStyle w:val="FootnoteReference"/>
          <w:rFonts w:ascii="Cambria" w:hAnsi="Cambria"/>
          <w:sz w:val="20"/>
          <w:szCs w:val="20"/>
          <w:lang w:val="es-CR"/>
        </w:rPr>
        <w:footnoteReference w:id="21"/>
      </w:r>
      <w:r w:rsidR="00A52460" w:rsidRPr="00732F0C">
        <w:rPr>
          <w:rFonts w:ascii="Cambria" w:hAnsi="Cambria"/>
          <w:sz w:val="20"/>
          <w:szCs w:val="20"/>
          <w:lang w:val="es-CR"/>
        </w:rPr>
        <w:t>.</w:t>
      </w:r>
    </w:p>
    <w:p w:rsidR="00393C9F" w:rsidRPr="00732F0C" w:rsidRDefault="00393C9F"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rsidR="000B2415" w:rsidRPr="00732F0C" w:rsidRDefault="00393C9F"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Por su parte, Franklin Plutarco García, quien había recibido un disparo a la altura del tórax y otro en el antebrazo de la mano derecha, fue trasladado al Hospital San Vicente de Paul de la ciudad de Ibarra</w:t>
      </w:r>
      <w:r w:rsidRPr="00732F0C">
        <w:rPr>
          <w:rStyle w:val="FootnoteReference"/>
          <w:rFonts w:ascii="Cambria" w:hAnsi="Cambria"/>
          <w:sz w:val="20"/>
          <w:szCs w:val="20"/>
        </w:rPr>
        <w:footnoteReference w:id="22"/>
      </w:r>
      <w:r w:rsidRPr="00732F0C">
        <w:rPr>
          <w:rFonts w:ascii="Cambria" w:hAnsi="Cambria"/>
          <w:sz w:val="20"/>
          <w:szCs w:val="20"/>
          <w:lang w:val="es-CR"/>
        </w:rPr>
        <w:t xml:space="preserve">. Franklin permaneció </w:t>
      </w:r>
      <w:r w:rsidR="008D236F" w:rsidRPr="00732F0C">
        <w:rPr>
          <w:rFonts w:ascii="Cambria" w:hAnsi="Cambria"/>
          <w:sz w:val="20"/>
          <w:szCs w:val="20"/>
          <w:lang w:val="es-CR"/>
        </w:rPr>
        <w:t>incapacitado en el hospital durante diez días</w:t>
      </w:r>
      <w:r w:rsidR="008D236F" w:rsidRPr="00732F0C">
        <w:rPr>
          <w:rStyle w:val="FootnoteReference"/>
          <w:rFonts w:ascii="Cambria" w:hAnsi="Cambria"/>
          <w:sz w:val="20"/>
          <w:szCs w:val="20"/>
          <w:lang w:val="es-AR"/>
        </w:rPr>
        <w:footnoteReference w:id="23"/>
      </w:r>
      <w:r w:rsidR="008D236F" w:rsidRPr="00732F0C">
        <w:rPr>
          <w:rFonts w:ascii="Cambria" w:hAnsi="Cambria"/>
          <w:sz w:val="20"/>
          <w:szCs w:val="20"/>
          <w:lang w:val="es-CR"/>
        </w:rPr>
        <w:t xml:space="preserve">. </w:t>
      </w:r>
    </w:p>
    <w:p w:rsidR="00291DB4" w:rsidRPr="00732F0C" w:rsidRDefault="00291DB4" w:rsidP="00842D6E">
      <w:pPr>
        <w:pStyle w:val="ListParagraph"/>
        <w:jc w:val="both"/>
        <w:rPr>
          <w:sz w:val="20"/>
          <w:szCs w:val="20"/>
          <w:lang w:val="es-CR"/>
        </w:rPr>
      </w:pPr>
    </w:p>
    <w:p w:rsidR="00291DB4" w:rsidRPr="00732F0C" w:rsidRDefault="00291DB4"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El mismo 12 de septiembre de 1993 Segundo de la Cruz acudió a su reparto policial y le informó al teniente Iván Velasco que “fue asaltado por una pandilla de morenos e hizo uso de su arm</w:t>
      </w:r>
      <w:r w:rsidR="00900460" w:rsidRPr="00732F0C">
        <w:rPr>
          <w:rFonts w:ascii="Cambria" w:hAnsi="Cambria"/>
          <w:sz w:val="20"/>
          <w:szCs w:val="20"/>
          <w:lang w:val="es-CR"/>
        </w:rPr>
        <w:t>a</w:t>
      </w:r>
      <w:r w:rsidRPr="00732F0C">
        <w:rPr>
          <w:rFonts w:ascii="Cambria" w:hAnsi="Cambria"/>
          <w:sz w:val="20"/>
          <w:szCs w:val="20"/>
          <w:lang w:val="es-CR"/>
        </w:rPr>
        <w:t>”</w:t>
      </w:r>
      <w:r w:rsidR="00900460" w:rsidRPr="00732F0C">
        <w:rPr>
          <w:rFonts w:ascii="Cambria" w:hAnsi="Cambria"/>
          <w:sz w:val="20"/>
          <w:szCs w:val="20"/>
          <w:lang w:val="es-CR"/>
        </w:rPr>
        <w:t xml:space="preserve"> por lo que fue detenido</w:t>
      </w:r>
      <w:r w:rsidR="00900460" w:rsidRPr="00732F0C">
        <w:rPr>
          <w:rStyle w:val="FootnoteReference"/>
          <w:rFonts w:ascii="Cambria" w:hAnsi="Cambria"/>
          <w:sz w:val="20"/>
          <w:szCs w:val="20"/>
          <w:lang w:val="es-CR"/>
        </w:rPr>
        <w:footnoteReference w:id="24"/>
      </w:r>
      <w:r w:rsidR="00900460" w:rsidRPr="00732F0C">
        <w:rPr>
          <w:rFonts w:ascii="Cambria" w:hAnsi="Cambria"/>
          <w:sz w:val="20"/>
          <w:szCs w:val="20"/>
          <w:lang w:val="es-CR"/>
        </w:rPr>
        <w:t xml:space="preserve">. </w:t>
      </w:r>
    </w:p>
    <w:p w:rsidR="00A24688" w:rsidRPr="00732F0C" w:rsidRDefault="00A24688" w:rsidP="00842D6E">
      <w:pPr>
        <w:tabs>
          <w:tab w:val="left" w:pos="1440"/>
        </w:tabs>
        <w:jc w:val="both"/>
        <w:rPr>
          <w:rFonts w:ascii="Cambria" w:hAnsi="Cambria"/>
          <w:sz w:val="20"/>
          <w:szCs w:val="20"/>
          <w:lang w:val="es-CR"/>
        </w:rPr>
      </w:pPr>
    </w:p>
    <w:p w:rsidR="00A24688" w:rsidRPr="00732F0C" w:rsidRDefault="00A24688" w:rsidP="00842D6E">
      <w:pPr>
        <w:pStyle w:val="Heading3"/>
        <w:numPr>
          <w:ilvl w:val="0"/>
          <w:numId w:val="58"/>
        </w:numPr>
        <w:ind w:hanging="4680"/>
        <w:rPr>
          <w:lang w:val="es-ES"/>
        </w:rPr>
      </w:pPr>
      <w:bookmarkStart w:id="18" w:name="_Toc408466849"/>
      <w:bookmarkStart w:id="19" w:name="_Toc529792399"/>
      <w:r w:rsidRPr="00732F0C">
        <w:rPr>
          <w:lang w:val="es-ES"/>
        </w:rPr>
        <w:t>Procesos internos relacionados con la muerte de Jorge Darwin García</w:t>
      </w:r>
      <w:bookmarkEnd w:id="18"/>
      <w:bookmarkEnd w:id="19"/>
      <w:r w:rsidRPr="00732F0C">
        <w:rPr>
          <w:lang w:val="es-ES"/>
        </w:rPr>
        <w:t xml:space="preserve"> </w:t>
      </w:r>
    </w:p>
    <w:p w:rsidR="00A24688" w:rsidRPr="00732F0C" w:rsidRDefault="00A24688" w:rsidP="00842D6E">
      <w:pPr>
        <w:tabs>
          <w:tab w:val="left" w:pos="1440"/>
        </w:tabs>
        <w:ind w:firstLine="720"/>
        <w:jc w:val="both"/>
        <w:rPr>
          <w:rFonts w:ascii="Cambria" w:hAnsi="Cambria"/>
          <w:b/>
          <w:sz w:val="20"/>
          <w:szCs w:val="20"/>
          <w:lang w:val="es-CR"/>
        </w:rPr>
      </w:pPr>
    </w:p>
    <w:p w:rsidR="00A24688" w:rsidRPr="00732F0C" w:rsidRDefault="00A2468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R"/>
        </w:rPr>
      </w:pPr>
      <w:r w:rsidRPr="00732F0C">
        <w:rPr>
          <w:rFonts w:ascii="Cambria" w:hAnsi="Cambria"/>
          <w:sz w:val="20"/>
          <w:szCs w:val="20"/>
          <w:lang w:val="es-CR"/>
        </w:rPr>
        <w:t xml:space="preserve">La Comisión no cuenta con copia de la totalidad de los expedientes de los procesos internos vinculados con los hechos de este caso. Sin embargo, las partes coinciden en la información proporcionada </w:t>
      </w:r>
      <w:r w:rsidR="009C3197" w:rsidRPr="00732F0C">
        <w:rPr>
          <w:rFonts w:ascii="Cambria" w:hAnsi="Cambria"/>
          <w:sz w:val="20"/>
          <w:szCs w:val="20"/>
          <w:lang w:val="es-CR"/>
        </w:rPr>
        <w:t xml:space="preserve">con </w:t>
      </w:r>
      <w:r w:rsidRPr="00732F0C">
        <w:rPr>
          <w:rFonts w:ascii="Cambria" w:hAnsi="Cambria"/>
          <w:sz w:val="20"/>
          <w:szCs w:val="20"/>
          <w:lang w:val="es-CR"/>
        </w:rPr>
        <w:t xml:space="preserve">respecto tanto a la investigación policial como al proceso penal desarrollado en relación con los hechos, razón por la cual se basará en esa información para acreditar los hechos probados. </w:t>
      </w:r>
    </w:p>
    <w:p w:rsidR="00A24688" w:rsidRPr="00732F0C" w:rsidRDefault="00A24688" w:rsidP="00842D6E">
      <w:pPr>
        <w:tabs>
          <w:tab w:val="left" w:pos="1440"/>
        </w:tabs>
        <w:ind w:firstLine="720"/>
        <w:jc w:val="both"/>
        <w:rPr>
          <w:rFonts w:ascii="Cambria" w:hAnsi="Cambria"/>
          <w:b/>
          <w:sz w:val="20"/>
          <w:szCs w:val="20"/>
          <w:lang w:val="es-CR"/>
        </w:rPr>
      </w:pPr>
    </w:p>
    <w:p w:rsidR="00A24688" w:rsidRPr="00732F0C" w:rsidRDefault="00A91CA8" w:rsidP="00842D6E">
      <w:pPr>
        <w:pStyle w:val="Heading3"/>
      </w:pPr>
      <w:bookmarkStart w:id="20" w:name="_Toc408466850"/>
      <w:bookmarkStart w:id="21" w:name="_Toc423956219"/>
      <w:bookmarkStart w:id="22" w:name="_Toc424914225"/>
      <w:bookmarkStart w:id="23" w:name="_Toc511223102"/>
      <w:bookmarkStart w:id="24" w:name="_Toc529792400"/>
      <w:r w:rsidRPr="00732F0C">
        <w:t>3.</w:t>
      </w:r>
      <w:r w:rsidR="00A24688" w:rsidRPr="00732F0C">
        <w:t>1.</w:t>
      </w:r>
      <w:r w:rsidR="00A24688" w:rsidRPr="00732F0C">
        <w:tab/>
      </w:r>
      <w:proofErr w:type="spellStart"/>
      <w:r w:rsidR="00A24688" w:rsidRPr="00732F0C">
        <w:t>Investigación</w:t>
      </w:r>
      <w:proofErr w:type="spellEnd"/>
      <w:r w:rsidR="00A24688" w:rsidRPr="00732F0C">
        <w:t xml:space="preserve"> </w:t>
      </w:r>
      <w:proofErr w:type="spellStart"/>
      <w:r w:rsidR="00A24688" w:rsidRPr="00732F0C">
        <w:t>policial</w:t>
      </w:r>
      <w:bookmarkEnd w:id="20"/>
      <w:bookmarkEnd w:id="21"/>
      <w:bookmarkEnd w:id="22"/>
      <w:bookmarkEnd w:id="23"/>
      <w:bookmarkEnd w:id="24"/>
      <w:proofErr w:type="spellEnd"/>
    </w:p>
    <w:p w:rsidR="00A24688" w:rsidRPr="00732F0C" w:rsidRDefault="00A24688" w:rsidP="00842D6E">
      <w:pPr>
        <w:tabs>
          <w:tab w:val="left" w:pos="1440"/>
        </w:tabs>
        <w:ind w:firstLine="720"/>
        <w:jc w:val="both"/>
        <w:rPr>
          <w:rFonts w:ascii="Cambria" w:hAnsi="Cambria"/>
          <w:b/>
          <w:sz w:val="20"/>
          <w:szCs w:val="20"/>
        </w:rPr>
      </w:pPr>
    </w:p>
    <w:p w:rsidR="00A91CA8" w:rsidRPr="00732F0C" w:rsidRDefault="00A91CA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R"/>
        </w:rPr>
      </w:pPr>
      <w:r w:rsidRPr="00732F0C">
        <w:rPr>
          <w:rFonts w:ascii="Cambria" w:hAnsi="Cambria"/>
          <w:sz w:val="20"/>
          <w:szCs w:val="20"/>
          <w:lang w:val="es-CR"/>
        </w:rPr>
        <w:t>El 15 de septiembre de 1993</w:t>
      </w:r>
      <w:r w:rsidR="00A24688" w:rsidRPr="00732F0C">
        <w:rPr>
          <w:rFonts w:ascii="Cambria" w:hAnsi="Cambria"/>
          <w:sz w:val="20"/>
          <w:szCs w:val="20"/>
          <w:lang w:val="es-CR"/>
        </w:rPr>
        <w:t xml:space="preserve"> la Comisaría de Policía de Imbabura inició una investigación por la muerte de Jorge Darwin García y las lesiones de Franklin Plutarco García</w:t>
      </w:r>
      <w:r w:rsidR="00A24688" w:rsidRPr="00732F0C">
        <w:rPr>
          <w:rStyle w:val="FootnoteReference"/>
          <w:rFonts w:ascii="Cambria" w:hAnsi="Cambria"/>
          <w:sz w:val="20"/>
          <w:szCs w:val="20"/>
        </w:rPr>
        <w:footnoteReference w:id="25"/>
      </w:r>
      <w:r w:rsidR="00A24688" w:rsidRPr="00732F0C">
        <w:rPr>
          <w:rFonts w:ascii="Cambria" w:hAnsi="Cambria"/>
          <w:sz w:val="20"/>
          <w:szCs w:val="20"/>
          <w:lang w:val="es-CR"/>
        </w:rPr>
        <w:t xml:space="preserve">. Durante esa investigación, la Policía tomó las declaraciones de Segundo Néstor de la Cruz </w:t>
      </w:r>
      <w:proofErr w:type="spellStart"/>
      <w:r w:rsidR="00A24688" w:rsidRPr="00732F0C">
        <w:rPr>
          <w:rFonts w:ascii="Cambria" w:hAnsi="Cambria"/>
          <w:sz w:val="20"/>
          <w:szCs w:val="20"/>
          <w:lang w:val="es-CR"/>
        </w:rPr>
        <w:t>Chicaiza</w:t>
      </w:r>
      <w:proofErr w:type="spellEnd"/>
      <w:r w:rsidR="00A24688" w:rsidRPr="00732F0C">
        <w:rPr>
          <w:rStyle w:val="FootnoteReference"/>
          <w:rFonts w:ascii="Cambria" w:hAnsi="Cambria"/>
          <w:sz w:val="20"/>
          <w:szCs w:val="20"/>
        </w:rPr>
        <w:footnoteReference w:id="26"/>
      </w:r>
      <w:r w:rsidRPr="00732F0C">
        <w:rPr>
          <w:rFonts w:ascii="Cambria" w:hAnsi="Cambria"/>
          <w:sz w:val="20"/>
          <w:szCs w:val="20"/>
          <w:lang w:val="es-CR"/>
        </w:rPr>
        <w:t>, Edwin Ramiro Guzmá</w:t>
      </w:r>
      <w:r w:rsidR="00A24688" w:rsidRPr="00732F0C">
        <w:rPr>
          <w:rFonts w:ascii="Cambria" w:hAnsi="Cambria"/>
          <w:sz w:val="20"/>
          <w:szCs w:val="20"/>
          <w:lang w:val="es-CR"/>
        </w:rPr>
        <w:t>n Carrera</w:t>
      </w:r>
      <w:r w:rsidR="00A24688" w:rsidRPr="00732F0C">
        <w:rPr>
          <w:rStyle w:val="FootnoteReference"/>
          <w:rFonts w:ascii="Cambria" w:hAnsi="Cambria"/>
          <w:sz w:val="20"/>
          <w:szCs w:val="20"/>
        </w:rPr>
        <w:footnoteReference w:id="27"/>
      </w:r>
      <w:r w:rsidRPr="00732F0C">
        <w:rPr>
          <w:rFonts w:ascii="Cambria" w:hAnsi="Cambria"/>
          <w:sz w:val="20"/>
          <w:szCs w:val="20"/>
          <w:lang w:val="es-CR"/>
        </w:rPr>
        <w:t xml:space="preserve"> y</w:t>
      </w:r>
      <w:r w:rsidR="00A24688" w:rsidRPr="00732F0C">
        <w:rPr>
          <w:rFonts w:ascii="Cambria" w:hAnsi="Cambria"/>
          <w:sz w:val="20"/>
          <w:szCs w:val="20"/>
          <w:lang w:val="es-CR"/>
        </w:rPr>
        <w:t xml:space="preserve"> Franklin Plutarco García</w:t>
      </w:r>
      <w:r w:rsidR="00A24688" w:rsidRPr="00732F0C">
        <w:rPr>
          <w:rStyle w:val="FootnoteReference"/>
          <w:rFonts w:ascii="Cambria" w:hAnsi="Cambria"/>
          <w:sz w:val="20"/>
          <w:szCs w:val="20"/>
        </w:rPr>
        <w:footnoteReference w:id="28"/>
      </w:r>
      <w:r w:rsidRPr="00732F0C">
        <w:rPr>
          <w:rFonts w:ascii="Cambria" w:hAnsi="Cambria"/>
          <w:sz w:val="20"/>
          <w:szCs w:val="20"/>
          <w:lang w:val="es-CR"/>
        </w:rPr>
        <w:t>.</w:t>
      </w:r>
    </w:p>
    <w:p w:rsidR="00A91CA8" w:rsidRPr="00732F0C" w:rsidRDefault="00A91CA8"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
          <w:sz w:val="20"/>
          <w:szCs w:val="20"/>
          <w:lang w:val="es-CR"/>
        </w:rPr>
      </w:pPr>
    </w:p>
    <w:p w:rsidR="00BE24EB" w:rsidRPr="00732F0C" w:rsidRDefault="00A91CA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R"/>
        </w:rPr>
      </w:pPr>
      <w:r w:rsidRPr="00732F0C">
        <w:rPr>
          <w:rFonts w:ascii="Cambria" w:hAnsi="Cambria"/>
          <w:sz w:val="20"/>
          <w:szCs w:val="20"/>
          <w:lang w:val="es-CR"/>
        </w:rPr>
        <w:t>Asimismo, la Policía</w:t>
      </w:r>
      <w:r w:rsidR="00A24688" w:rsidRPr="00732F0C">
        <w:rPr>
          <w:rFonts w:ascii="Cambria" w:hAnsi="Cambria"/>
          <w:sz w:val="20"/>
          <w:szCs w:val="20"/>
          <w:lang w:val="es-CR"/>
        </w:rPr>
        <w:t xml:space="preserve"> </w:t>
      </w:r>
      <w:r w:rsidRPr="00732F0C">
        <w:rPr>
          <w:rFonts w:ascii="Cambria" w:hAnsi="Cambria"/>
          <w:sz w:val="20"/>
          <w:szCs w:val="20"/>
          <w:lang w:val="es-CR"/>
        </w:rPr>
        <w:t xml:space="preserve">i) </w:t>
      </w:r>
      <w:r w:rsidR="00A24688" w:rsidRPr="00732F0C">
        <w:rPr>
          <w:rFonts w:ascii="Cambria" w:hAnsi="Cambria"/>
          <w:sz w:val="20"/>
          <w:szCs w:val="20"/>
          <w:lang w:val="es-CR"/>
        </w:rPr>
        <w:t xml:space="preserve">recibió las armas reglamentarias de los policías </w:t>
      </w:r>
      <w:proofErr w:type="spellStart"/>
      <w:r w:rsidR="00A24688" w:rsidRPr="00732F0C">
        <w:rPr>
          <w:rFonts w:ascii="Cambria" w:hAnsi="Cambria"/>
          <w:sz w:val="20"/>
          <w:szCs w:val="20"/>
          <w:lang w:val="es-CR"/>
        </w:rPr>
        <w:t>Chicaiza</w:t>
      </w:r>
      <w:proofErr w:type="spellEnd"/>
      <w:r w:rsidR="00A24688" w:rsidRPr="00732F0C">
        <w:rPr>
          <w:rFonts w:ascii="Cambria" w:hAnsi="Cambria"/>
          <w:sz w:val="20"/>
          <w:szCs w:val="20"/>
          <w:lang w:val="es-CR"/>
        </w:rPr>
        <w:t xml:space="preserve"> y Guz</w:t>
      </w:r>
      <w:r w:rsidRPr="00732F0C">
        <w:rPr>
          <w:rFonts w:ascii="Cambria" w:hAnsi="Cambria"/>
          <w:sz w:val="20"/>
          <w:szCs w:val="20"/>
          <w:lang w:val="es-CR"/>
        </w:rPr>
        <w:t>má</w:t>
      </w:r>
      <w:r w:rsidR="00A24688" w:rsidRPr="00732F0C">
        <w:rPr>
          <w:rFonts w:ascii="Cambria" w:hAnsi="Cambria"/>
          <w:sz w:val="20"/>
          <w:szCs w:val="20"/>
          <w:lang w:val="es-CR"/>
        </w:rPr>
        <w:t xml:space="preserve">n; </w:t>
      </w:r>
      <w:r w:rsidRPr="00732F0C">
        <w:rPr>
          <w:rFonts w:ascii="Cambria" w:hAnsi="Cambria"/>
          <w:sz w:val="20"/>
          <w:szCs w:val="20"/>
          <w:lang w:val="es-CR"/>
        </w:rPr>
        <w:t xml:space="preserve">ii) </w:t>
      </w:r>
      <w:r w:rsidR="00A24688" w:rsidRPr="00732F0C">
        <w:rPr>
          <w:rFonts w:ascii="Cambria" w:hAnsi="Cambria"/>
          <w:sz w:val="20"/>
          <w:szCs w:val="20"/>
          <w:lang w:val="es-CR"/>
        </w:rPr>
        <w:t>adjuntó la historia clín</w:t>
      </w:r>
      <w:r w:rsidRPr="00732F0C">
        <w:rPr>
          <w:rFonts w:ascii="Cambria" w:hAnsi="Cambria"/>
          <w:sz w:val="20"/>
          <w:szCs w:val="20"/>
          <w:lang w:val="es-CR"/>
        </w:rPr>
        <w:t>ica de Franklin Plutarco García y</w:t>
      </w:r>
      <w:r w:rsidR="00A24688" w:rsidRPr="00732F0C">
        <w:rPr>
          <w:rFonts w:ascii="Cambria" w:hAnsi="Cambria"/>
          <w:sz w:val="20"/>
          <w:szCs w:val="20"/>
          <w:lang w:val="es-CR"/>
        </w:rPr>
        <w:t xml:space="preserve"> el protocolo de N</w:t>
      </w:r>
      <w:r w:rsidRPr="00732F0C">
        <w:rPr>
          <w:rFonts w:ascii="Cambria" w:hAnsi="Cambria"/>
          <w:sz w:val="20"/>
          <w:szCs w:val="20"/>
          <w:lang w:val="es-CR"/>
        </w:rPr>
        <w:t>ecropsia de Jorge Darwin García; iii)</w:t>
      </w:r>
      <w:r w:rsidR="00A24688" w:rsidRPr="00732F0C">
        <w:rPr>
          <w:rFonts w:ascii="Cambria" w:hAnsi="Cambria"/>
          <w:sz w:val="20"/>
          <w:szCs w:val="20"/>
          <w:lang w:val="es-CR"/>
        </w:rPr>
        <w:t xml:space="preserve"> </w:t>
      </w:r>
      <w:r w:rsidRPr="00732F0C">
        <w:rPr>
          <w:rFonts w:ascii="Cambria" w:hAnsi="Cambria"/>
          <w:sz w:val="20"/>
          <w:szCs w:val="20"/>
          <w:lang w:val="es-CR"/>
        </w:rPr>
        <w:t>tomó muestras</w:t>
      </w:r>
      <w:r w:rsidR="00A24688" w:rsidRPr="00732F0C">
        <w:rPr>
          <w:rFonts w:ascii="Cambria" w:hAnsi="Cambria"/>
          <w:sz w:val="20"/>
          <w:szCs w:val="20"/>
          <w:lang w:val="es-CR"/>
        </w:rPr>
        <w:t xml:space="preserve"> </w:t>
      </w:r>
      <w:r w:rsidRPr="00732F0C">
        <w:rPr>
          <w:rFonts w:ascii="Cambria" w:hAnsi="Cambria"/>
          <w:sz w:val="20"/>
          <w:szCs w:val="20"/>
          <w:lang w:val="es-CR"/>
        </w:rPr>
        <w:t xml:space="preserve">y </w:t>
      </w:r>
      <w:r w:rsidR="00A24688" w:rsidRPr="00732F0C">
        <w:rPr>
          <w:rFonts w:ascii="Cambria" w:hAnsi="Cambria"/>
          <w:sz w:val="20"/>
          <w:szCs w:val="20"/>
          <w:lang w:val="es-CR"/>
        </w:rPr>
        <w:t xml:space="preserve">realizó la prueba de parafina a los policías </w:t>
      </w:r>
      <w:proofErr w:type="spellStart"/>
      <w:r w:rsidR="00A24688" w:rsidRPr="00732F0C">
        <w:rPr>
          <w:rFonts w:ascii="Cambria" w:hAnsi="Cambria"/>
          <w:sz w:val="20"/>
          <w:szCs w:val="20"/>
          <w:lang w:val="es-CR"/>
        </w:rPr>
        <w:t>Chicaiza</w:t>
      </w:r>
      <w:proofErr w:type="spellEnd"/>
      <w:r w:rsidR="00A24688" w:rsidRPr="00732F0C">
        <w:rPr>
          <w:rFonts w:ascii="Cambria" w:hAnsi="Cambria"/>
          <w:sz w:val="20"/>
          <w:szCs w:val="20"/>
          <w:lang w:val="es-CR"/>
        </w:rPr>
        <w:t xml:space="preserve"> y Guzmán</w:t>
      </w:r>
      <w:r w:rsidR="00A24688" w:rsidRPr="00732F0C">
        <w:rPr>
          <w:rStyle w:val="FootnoteReference"/>
          <w:rFonts w:ascii="Cambria" w:hAnsi="Cambria"/>
          <w:sz w:val="20"/>
          <w:szCs w:val="20"/>
        </w:rPr>
        <w:footnoteReference w:id="29"/>
      </w:r>
      <w:r w:rsidRPr="00732F0C">
        <w:rPr>
          <w:rFonts w:ascii="Cambria" w:hAnsi="Cambria"/>
          <w:sz w:val="20"/>
          <w:szCs w:val="20"/>
          <w:lang w:val="es-CR"/>
        </w:rPr>
        <w:t xml:space="preserve">; </w:t>
      </w:r>
      <w:r w:rsidR="00BE24EB" w:rsidRPr="00732F0C">
        <w:rPr>
          <w:rFonts w:ascii="Cambria" w:hAnsi="Cambria"/>
          <w:sz w:val="20"/>
          <w:szCs w:val="20"/>
          <w:lang w:val="es-CR"/>
        </w:rPr>
        <w:t xml:space="preserve">y </w:t>
      </w:r>
      <w:r w:rsidRPr="00732F0C">
        <w:rPr>
          <w:rFonts w:ascii="Cambria" w:hAnsi="Cambria"/>
          <w:sz w:val="20"/>
          <w:szCs w:val="20"/>
          <w:lang w:val="es-CR"/>
        </w:rPr>
        <w:t>iv)</w:t>
      </w:r>
      <w:r w:rsidR="00BE24EB" w:rsidRPr="00732F0C">
        <w:rPr>
          <w:rFonts w:ascii="Cambria" w:hAnsi="Cambria"/>
          <w:sz w:val="20"/>
          <w:szCs w:val="20"/>
          <w:lang w:val="es-CR"/>
        </w:rPr>
        <w:t xml:space="preserve"> </w:t>
      </w:r>
      <w:r w:rsidR="00A24688" w:rsidRPr="00732F0C">
        <w:rPr>
          <w:rFonts w:ascii="Cambria" w:hAnsi="Cambria"/>
          <w:sz w:val="20"/>
          <w:szCs w:val="20"/>
          <w:lang w:val="es-CR"/>
        </w:rPr>
        <w:t>realizó el análisis balístico de los proyectiles que fueron extraídos del cadáver de Jorge Darwin García</w:t>
      </w:r>
      <w:r w:rsidR="00A24688" w:rsidRPr="00732F0C">
        <w:rPr>
          <w:rStyle w:val="FootnoteReference"/>
          <w:rFonts w:ascii="Cambria" w:hAnsi="Cambria"/>
          <w:sz w:val="20"/>
          <w:szCs w:val="20"/>
        </w:rPr>
        <w:footnoteReference w:id="30"/>
      </w:r>
      <w:r w:rsidR="00A24688" w:rsidRPr="00732F0C">
        <w:rPr>
          <w:rFonts w:ascii="Cambria" w:hAnsi="Cambria"/>
          <w:sz w:val="20"/>
          <w:szCs w:val="20"/>
          <w:lang w:val="es-CR"/>
        </w:rPr>
        <w:t xml:space="preserve"> y el análisis balístico de las armas reglamentarias</w:t>
      </w:r>
      <w:r w:rsidR="00A24688" w:rsidRPr="00732F0C">
        <w:rPr>
          <w:rStyle w:val="FootnoteReference"/>
          <w:rFonts w:ascii="Cambria" w:hAnsi="Cambria"/>
          <w:sz w:val="20"/>
          <w:szCs w:val="20"/>
        </w:rPr>
        <w:footnoteReference w:id="31"/>
      </w:r>
      <w:r w:rsidR="00A24688" w:rsidRPr="00732F0C">
        <w:rPr>
          <w:rFonts w:ascii="Cambria" w:hAnsi="Cambria"/>
          <w:sz w:val="20"/>
          <w:szCs w:val="20"/>
          <w:lang w:val="es-CR"/>
        </w:rPr>
        <w:t xml:space="preserve">. </w:t>
      </w:r>
    </w:p>
    <w:p w:rsidR="00BE24EB" w:rsidRPr="00732F0C" w:rsidRDefault="00BE24EB" w:rsidP="00842D6E">
      <w:pPr>
        <w:pStyle w:val="ListParagraph"/>
        <w:jc w:val="both"/>
        <w:rPr>
          <w:sz w:val="20"/>
          <w:szCs w:val="20"/>
          <w:lang w:val="es-CR"/>
        </w:rPr>
      </w:pPr>
    </w:p>
    <w:p w:rsidR="00F82540" w:rsidRPr="00732F0C" w:rsidRDefault="00F82540"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lastRenderedPageBreak/>
        <w:t xml:space="preserve">Segundo Néstor de la Cruz </w:t>
      </w:r>
      <w:proofErr w:type="spellStart"/>
      <w:r w:rsidRPr="00732F0C">
        <w:rPr>
          <w:rFonts w:ascii="Cambria" w:hAnsi="Cambria"/>
          <w:sz w:val="20"/>
          <w:szCs w:val="20"/>
          <w:lang w:val="es-CR"/>
        </w:rPr>
        <w:t>Chicaiza</w:t>
      </w:r>
      <w:proofErr w:type="spellEnd"/>
      <w:r w:rsidRPr="00732F0C">
        <w:rPr>
          <w:rFonts w:ascii="Cambria" w:hAnsi="Cambria"/>
          <w:sz w:val="20"/>
          <w:szCs w:val="20"/>
          <w:lang w:val="es-CR"/>
        </w:rPr>
        <w:t>, de 29 años de edad, declaró que era policía de la Unidad de Investigaciones Especiales del</w:t>
      </w:r>
      <w:r w:rsidR="008226FE" w:rsidRPr="00732F0C">
        <w:rPr>
          <w:rFonts w:ascii="Cambria" w:hAnsi="Cambria"/>
          <w:sz w:val="20"/>
          <w:szCs w:val="20"/>
          <w:lang w:val="es-CR"/>
        </w:rPr>
        <w:t xml:space="preserve"> Comando de Policía “Imbabura No.</w:t>
      </w:r>
      <w:r w:rsidRPr="00732F0C">
        <w:rPr>
          <w:rFonts w:ascii="Cambria" w:hAnsi="Cambria"/>
          <w:sz w:val="20"/>
          <w:szCs w:val="20"/>
          <w:lang w:val="es-CR"/>
        </w:rPr>
        <w:t xml:space="preserve"> 12”</w:t>
      </w:r>
      <w:r w:rsidRPr="00732F0C">
        <w:rPr>
          <w:rStyle w:val="FootnoteReference"/>
          <w:rFonts w:ascii="Cambria" w:hAnsi="Cambria"/>
          <w:sz w:val="20"/>
          <w:szCs w:val="20"/>
        </w:rPr>
        <w:footnoteReference w:id="32"/>
      </w:r>
      <w:r w:rsidRPr="00732F0C">
        <w:rPr>
          <w:rFonts w:ascii="Cambria" w:hAnsi="Cambria"/>
          <w:sz w:val="20"/>
          <w:szCs w:val="20"/>
          <w:lang w:val="es-CR"/>
        </w:rPr>
        <w:t>. Sostuvo que por disposición de su superior, se trasladó a la ciudad de Otavalo, donde trató de inmiscuirse en un grupo de dirigentes indígenas para “recabar información sobre el movimiento</w:t>
      </w:r>
      <w:r w:rsidR="008226FE" w:rsidRPr="00732F0C">
        <w:rPr>
          <w:rFonts w:ascii="Cambria" w:hAnsi="Cambria"/>
          <w:sz w:val="20"/>
          <w:szCs w:val="20"/>
          <w:lang w:val="es-CR"/>
        </w:rPr>
        <w:t xml:space="preserve"> indígena</w:t>
      </w:r>
      <w:r w:rsidRPr="00732F0C">
        <w:rPr>
          <w:rStyle w:val="FootnoteReference"/>
          <w:rFonts w:ascii="Cambria" w:hAnsi="Cambria"/>
          <w:sz w:val="20"/>
          <w:szCs w:val="20"/>
        </w:rPr>
        <w:footnoteReference w:id="33"/>
      </w:r>
      <w:r w:rsidRPr="00732F0C">
        <w:rPr>
          <w:rFonts w:ascii="Cambria" w:hAnsi="Cambria"/>
          <w:sz w:val="20"/>
          <w:szCs w:val="20"/>
          <w:lang w:val="es-CR"/>
        </w:rPr>
        <w:t>”. Indicó que alrededor de las 11:00 p.m. del 11 de septiembre de 1993, se encontró con un grupo de los principales dirigentes indígenas, con quienes permaneció por una hora sirviéndose “hervidos”</w:t>
      </w:r>
      <w:r w:rsidRPr="00732F0C">
        <w:rPr>
          <w:rStyle w:val="FootnoteReference"/>
          <w:rFonts w:ascii="Cambria" w:hAnsi="Cambria"/>
          <w:sz w:val="20"/>
          <w:szCs w:val="20"/>
        </w:rPr>
        <w:footnoteReference w:id="34"/>
      </w:r>
      <w:r w:rsidRPr="00732F0C">
        <w:rPr>
          <w:rFonts w:ascii="Cambria" w:hAnsi="Cambria"/>
          <w:sz w:val="20"/>
          <w:szCs w:val="20"/>
          <w:lang w:val="es-CR"/>
        </w:rPr>
        <w:t xml:space="preserve">.  Manifestó que posteriormente se retiró con su hermano </w:t>
      </w:r>
      <w:r w:rsidRPr="00732F0C">
        <w:rPr>
          <w:rFonts w:ascii="Cambria" w:hAnsi="Cambria" w:cs="Arial"/>
          <w:sz w:val="20"/>
          <w:szCs w:val="20"/>
          <w:lang w:val="es-CR"/>
        </w:rPr>
        <w:t xml:space="preserve">José Ignacio de la Cruz </w:t>
      </w:r>
      <w:proofErr w:type="spellStart"/>
      <w:r w:rsidRPr="00732F0C">
        <w:rPr>
          <w:rFonts w:ascii="Cambria" w:hAnsi="Cambria" w:cs="Arial"/>
          <w:sz w:val="20"/>
          <w:szCs w:val="20"/>
          <w:lang w:val="es-CR"/>
        </w:rPr>
        <w:t>Chicaiza</w:t>
      </w:r>
      <w:proofErr w:type="spellEnd"/>
      <w:r w:rsidRPr="00732F0C">
        <w:rPr>
          <w:rFonts w:ascii="Cambria" w:hAnsi="Cambria" w:cs="Arial"/>
          <w:sz w:val="20"/>
          <w:szCs w:val="20"/>
          <w:lang w:val="es-CR"/>
        </w:rPr>
        <w:t xml:space="preserve"> y el policía </w:t>
      </w:r>
      <w:r w:rsidRPr="00732F0C">
        <w:rPr>
          <w:rFonts w:ascii="Cambria" w:hAnsi="Cambria"/>
          <w:sz w:val="20"/>
          <w:szCs w:val="20"/>
          <w:lang w:val="es-CR"/>
        </w:rPr>
        <w:t>Edwin Ramiro Guzmán, y transitaron por donde se realizaba el baile popular de la Cooperativa</w:t>
      </w:r>
      <w:r w:rsidRPr="00732F0C">
        <w:rPr>
          <w:rStyle w:val="FootnoteReference"/>
          <w:rFonts w:ascii="Cambria" w:hAnsi="Cambria"/>
          <w:sz w:val="20"/>
          <w:szCs w:val="20"/>
        </w:rPr>
        <w:footnoteReference w:id="35"/>
      </w:r>
      <w:r w:rsidRPr="00732F0C">
        <w:rPr>
          <w:rFonts w:ascii="Cambria" w:hAnsi="Cambria"/>
          <w:sz w:val="20"/>
          <w:szCs w:val="20"/>
          <w:lang w:val="es-CR"/>
        </w:rPr>
        <w:t>. En su declaración indicó lo siguiente:</w:t>
      </w:r>
    </w:p>
    <w:p w:rsidR="00F82540" w:rsidRPr="00732F0C" w:rsidRDefault="00F82540" w:rsidP="00842D6E">
      <w:pPr>
        <w:tabs>
          <w:tab w:val="left" w:pos="1440"/>
        </w:tabs>
        <w:ind w:firstLine="720"/>
        <w:jc w:val="both"/>
        <w:rPr>
          <w:rFonts w:ascii="Cambria" w:hAnsi="Cambria"/>
          <w:sz w:val="20"/>
          <w:szCs w:val="20"/>
          <w:lang w:val="es-CR"/>
        </w:rPr>
      </w:pPr>
    </w:p>
    <w:p w:rsidR="00F82540" w:rsidRPr="00732F0C" w:rsidRDefault="00F82540" w:rsidP="00842D6E">
      <w:pPr>
        <w:tabs>
          <w:tab w:val="left" w:pos="1440"/>
        </w:tabs>
        <w:ind w:left="720" w:right="720"/>
        <w:jc w:val="both"/>
        <w:rPr>
          <w:rFonts w:ascii="Cambria" w:hAnsi="Cambria"/>
          <w:sz w:val="20"/>
          <w:szCs w:val="20"/>
          <w:lang w:val="es-CR"/>
        </w:rPr>
      </w:pPr>
      <w:r w:rsidRPr="00732F0C">
        <w:rPr>
          <w:rFonts w:ascii="Cambria" w:hAnsi="Cambria"/>
          <w:sz w:val="20"/>
          <w:szCs w:val="20"/>
          <w:lang w:val="es-CR"/>
        </w:rPr>
        <w:t xml:space="preserve">(…) antes de tomar la calle Bolívar fueron sorprendidos por un grupo de personas de color en el número aproximado de seis o siete personas, recibiendo un golpe a la altura de la nuca, perdiendo la estabilidad por lo que cayó al suelo, pero que al sobreponerse pudo ver a su compañero que se encontraba también en el suelo, en cuyos momentos procedieron tales individuos a rebuscarle en todo su cuerpo, recibiendo al mismo tiempo golpes en el rostro, hasta perder el conocimiento, para más tarde recordarse en el domicilio de la hermana de su compañero Ramiro Guzmán quien estuvo en su compañía. </w:t>
      </w:r>
      <w:r w:rsidR="002528A8" w:rsidRPr="00732F0C">
        <w:rPr>
          <w:rFonts w:ascii="Cambria" w:hAnsi="Cambria"/>
          <w:sz w:val="20"/>
          <w:szCs w:val="20"/>
          <w:lang w:val="es-CR"/>
        </w:rPr>
        <w:t xml:space="preserve">(…) </w:t>
      </w:r>
      <w:r w:rsidR="002528A8" w:rsidRPr="00732F0C">
        <w:rPr>
          <w:rFonts w:ascii="Cambria" w:hAnsi="Cambria" w:cs="Arial"/>
          <w:sz w:val="20"/>
          <w:szCs w:val="20"/>
          <w:lang w:val="es-CR"/>
        </w:rPr>
        <w:t>[</w:t>
      </w:r>
      <w:r w:rsidR="002528A8" w:rsidRPr="00732F0C">
        <w:rPr>
          <w:rFonts w:ascii="Cambria" w:hAnsi="Cambria"/>
          <w:sz w:val="20"/>
          <w:szCs w:val="20"/>
          <w:lang w:val="es-CR"/>
        </w:rPr>
        <w:t>E</w:t>
      </w:r>
      <w:r w:rsidR="002528A8" w:rsidRPr="00732F0C">
        <w:rPr>
          <w:rFonts w:ascii="Cambria" w:hAnsi="Cambria" w:cs="Arial"/>
          <w:sz w:val="20"/>
          <w:szCs w:val="20"/>
          <w:lang w:val="es-CR"/>
        </w:rPr>
        <w:t>]</w:t>
      </w:r>
      <w:proofErr w:type="spellStart"/>
      <w:r w:rsidRPr="00732F0C">
        <w:rPr>
          <w:rFonts w:ascii="Cambria" w:hAnsi="Cambria"/>
          <w:sz w:val="20"/>
          <w:szCs w:val="20"/>
          <w:lang w:val="es-CR"/>
        </w:rPr>
        <w:t>sa</w:t>
      </w:r>
      <w:proofErr w:type="spellEnd"/>
      <w:r w:rsidRPr="00732F0C">
        <w:rPr>
          <w:rFonts w:ascii="Cambria" w:hAnsi="Cambria"/>
          <w:sz w:val="20"/>
          <w:szCs w:val="20"/>
          <w:lang w:val="es-CR"/>
        </w:rPr>
        <w:t xml:space="preserve"> noche se encontraba portando un revólver calibre 38, marca Smith </w:t>
      </w:r>
      <w:proofErr w:type="spellStart"/>
      <w:r w:rsidRPr="00732F0C">
        <w:rPr>
          <w:rFonts w:ascii="Cambria" w:hAnsi="Cambria"/>
          <w:sz w:val="20"/>
          <w:szCs w:val="20"/>
          <w:lang w:val="es-CR"/>
        </w:rPr>
        <w:t>Wesson</w:t>
      </w:r>
      <w:proofErr w:type="spellEnd"/>
      <w:r w:rsidRPr="00732F0C">
        <w:rPr>
          <w:rFonts w:ascii="Cambria" w:hAnsi="Cambria"/>
          <w:sz w:val="20"/>
          <w:szCs w:val="20"/>
          <w:lang w:val="es-CR"/>
        </w:rPr>
        <w:t xml:space="preserve"> que le dieron en calidad de prenda para el cumplimiento de sus funciones de policía, revólver que posiblemente le fue arrancado por los ciudadanos de color, siendo recuperado posteriormente por su compañero Ramiro Guzmán</w:t>
      </w:r>
      <w:r w:rsidRPr="00732F0C">
        <w:rPr>
          <w:rStyle w:val="FootnoteReference"/>
          <w:rFonts w:ascii="Cambria" w:hAnsi="Cambria"/>
          <w:sz w:val="20"/>
          <w:szCs w:val="20"/>
        </w:rPr>
        <w:footnoteReference w:id="36"/>
      </w:r>
      <w:r w:rsidRPr="00732F0C">
        <w:rPr>
          <w:rFonts w:ascii="Cambria" w:hAnsi="Cambria"/>
          <w:sz w:val="20"/>
          <w:szCs w:val="20"/>
          <w:lang w:val="es-CR"/>
        </w:rPr>
        <w:t xml:space="preserve">. </w:t>
      </w:r>
    </w:p>
    <w:p w:rsidR="00F82540" w:rsidRPr="00732F0C" w:rsidRDefault="00F82540" w:rsidP="00842D6E">
      <w:pPr>
        <w:tabs>
          <w:tab w:val="left" w:pos="1440"/>
        </w:tabs>
        <w:ind w:firstLine="720"/>
        <w:jc w:val="both"/>
        <w:rPr>
          <w:rFonts w:ascii="Cambria" w:hAnsi="Cambria"/>
          <w:sz w:val="20"/>
          <w:szCs w:val="20"/>
          <w:lang w:val="es-CR"/>
        </w:rPr>
      </w:pPr>
    </w:p>
    <w:p w:rsidR="00F82540" w:rsidRPr="00732F0C" w:rsidRDefault="00F82540"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CR"/>
        </w:rPr>
        <w:t>Por su parte, el policía Edwin Ramiro Guzmán declaró lo siguiente:</w:t>
      </w:r>
    </w:p>
    <w:p w:rsidR="00F82540" w:rsidRPr="00732F0C" w:rsidRDefault="00F82540" w:rsidP="00842D6E">
      <w:pPr>
        <w:tabs>
          <w:tab w:val="left" w:pos="1440"/>
        </w:tabs>
        <w:ind w:firstLine="720"/>
        <w:jc w:val="both"/>
        <w:rPr>
          <w:rFonts w:ascii="Cambria" w:hAnsi="Cambria"/>
          <w:sz w:val="20"/>
          <w:szCs w:val="20"/>
          <w:lang w:val="es-CR"/>
        </w:rPr>
      </w:pPr>
    </w:p>
    <w:p w:rsidR="00771457" w:rsidRPr="00732F0C" w:rsidRDefault="003B48B9" w:rsidP="00842D6E">
      <w:pPr>
        <w:tabs>
          <w:tab w:val="left" w:pos="1440"/>
        </w:tabs>
        <w:ind w:left="720" w:right="720"/>
        <w:jc w:val="both"/>
        <w:rPr>
          <w:rFonts w:ascii="Cambria" w:hAnsi="Cambria"/>
          <w:sz w:val="20"/>
          <w:szCs w:val="20"/>
          <w:lang w:val="es-CR"/>
        </w:rPr>
      </w:pPr>
      <w:r w:rsidRPr="00732F0C">
        <w:rPr>
          <w:rFonts w:ascii="Cambria" w:hAnsi="Cambria"/>
          <w:sz w:val="20"/>
          <w:szCs w:val="20"/>
          <w:lang w:val="es-CR"/>
        </w:rPr>
        <w:t xml:space="preserve">(…) </w:t>
      </w:r>
      <w:r w:rsidR="00F82540" w:rsidRPr="00732F0C">
        <w:rPr>
          <w:rFonts w:ascii="Cambria" w:hAnsi="Cambria"/>
          <w:sz w:val="20"/>
          <w:szCs w:val="20"/>
          <w:lang w:val="es-CR"/>
        </w:rPr>
        <w:t xml:space="preserve">como ya estaban avanzadas las horas y tenía que trasladarme a González Suárez fuimos en busca del carro siendo cerrado el paso por un grupo de ciudadanos de color que se encontraban en el baile, entre los cuales estaba el hoy occiso, quien primeramente le dio un golpe quedando noqueado en el suelo, pero posteriormente reaccionó y vio que su compañero Segundo Néstor de la Cruz </w:t>
      </w:r>
      <w:proofErr w:type="spellStart"/>
      <w:r w:rsidR="00F82540" w:rsidRPr="00732F0C">
        <w:rPr>
          <w:rFonts w:ascii="Cambria" w:hAnsi="Cambria"/>
          <w:sz w:val="20"/>
          <w:szCs w:val="20"/>
          <w:lang w:val="es-CR"/>
        </w:rPr>
        <w:t>Chicaiza</w:t>
      </w:r>
      <w:proofErr w:type="spellEnd"/>
      <w:r w:rsidR="00F82540" w:rsidRPr="00732F0C">
        <w:rPr>
          <w:rFonts w:ascii="Cambria" w:hAnsi="Cambria"/>
          <w:sz w:val="20"/>
          <w:szCs w:val="20"/>
          <w:lang w:val="es-CR"/>
        </w:rPr>
        <w:t xml:space="preserve"> estaba sangrando abundantemente</w:t>
      </w:r>
      <w:r w:rsidR="00F82540" w:rsidRPr="00732F0C">
        <w:rPr>
          <w:rStyle w:val="FootnoteReference"/>
          <w:rFonts w:ascii="Cambria" w:hAnsi="Cambria"/>
          <w:sz w:val="20"/>
          <w:szCs w:val="20"/>
        </w:rPr>
        <w:footnoteReference w:id="37"/>
      </w:r>
      <w:r w:rsidR="00F73585" w:rsidRPr="00732F0C">
        <w:rPr>
          <w:rFonts w:ascii="Cambria" w:hAnsi="Cambria"/>
          <w:sz w:val="20"/>
          <w:szCs w:val="20"/>
          <w:lang w:val="es-CR"/>
        </w:rPr>
        <w:t>.</w:t>
      </w:r>
    </w:p>
    <w:p w:rsidR="00771457" w:rsidRPr="00732F0C" w:rsidRDefault="00771457"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
          <w:sz w:val="20"/>
          <w:szCs w:val="20"/>
          <w:lang w:val="es-CR"/>
        </w:rPr>
      </w:pPr>
    </w:p>
    <w:p w:rsidR="00BE24EB" w:rsidRPr="00732F0C" w:rsidRDefault="00BE24E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R"/>
        </w:rPr>
      </w:pPr>
      <w:r w:rsidRPr="00732F0C">
        <w:rPr>
          <w:rFonts w:ascii="Cambria" w:hAnsi="Cambria"/>
          <w:sz w:val="20"/>
          <w:szCs w:val="20"/>
          <w:lang w:val="es-CR"/>
        </w:rPr>
        <w:t>El 1 de octubre de 1995 la Policía emitió un informe en donde concluyó que no pudieron establecerse los motivos que originaron “la discusión y enfrentamiento entre los dos bandos”</w:t>
      </w:r>
      <w:r w:rsidRPr="00732F0C">
        <w:rPr>
          <w:rStyle w:val="FootnoteReference"/>
          <w:rFonts w:ascii="Cambria" w:hAnsi="Cambria"/>
          <w:sz w:val="20"/>
          <w:szCs w:val="20"/>
        </w:rPr>
        <w:footnoteReference w:id="38"/>
      </w:r>
      <w:r w:rsidRPr="00732F0C">
        <w:rPr>
          <w:rFonts w:ascii="Cambria" w:hAnsi="Cambria"/>
          <w:sz w:val="20"/>
          <w:szCs w:val="20"/>
          <w:lang w:val="es-CR"/>
        </w:rPr>
        <w:t>. Indicó que</w:t>
      </w:r>
      <w:r w:rsidR="000E2716" w:rsidRPr="00732F0C">
        <w:rPr>
          <w:rFonts w:ascii="Cambria" w:hAnsi="Cambria"/>
          <w:sz w:val="20"/>
          <w:szCs w:val="20"/>
          <w:lang w:val="es-CR"/>
        </w:rPr>
        <w:t>,</w:t>
      </w:r>
      <w:r w:rsidRPr="00732F0C">
        <w:rPr>
          <w:rFonts w:ascii="Cambria" w:hAnsi="Cambria"/>
          <w:sz w:val="20"/>
          <w:szCs w:val="20"/>
          <w:lang w:val="es-CR"/>
        </w:rPr>
        <w:t xml:space="preserve"> sin perjuicio de ello, no se descarta “la posibilidad de que pudo haber existido alguna represalia contra los miembros de la Institución Policial, por cuanto presumiblemente fueron reconocidos como tales”</w:t>
      </w:r>
      <w:r w:rsidRPr="00732F0C">
        <w:rPr>
          <w:rStyle w:val="FootnoteReference"/>
          <w:rFonts w:ascii="Cambria" w:hAnsi="Cambria"/>
          <w:sz w:val="20"/>
          <w:szCs w:val="20"/>
        </w:rPr>
        <w:footnoteReference w:id="39"/>
      </w:r>
      <w:r w:rsidRPr="00732F0C">
        <w:rPr>
          <w:rFonts w:ascii="Cambria" w:hAnsi="Cambria"/>
          <w:sz w:val="20"/>
          <w:szCs w:val="20"/>
          <w:lang w:val="es-CR"/>
        </w:rPr>
        <w:t>.</w:t>
      </w:r>
    </w:p>
    <w:p w:rsidR="00BE24EB" w:rsidRPr="00732F0C" w:rsidRDefault="00BE24EB" w:rsidP="00842D6E">
      <w:pPr>
        <w:pStyle w:val="ListParagraph"/>
        <w:jc w:val="both"/>
        <w:rPr>
          <w:b/>
          <w:sz w:val="20"/>
          <w:szCs w:val="20"/>
          <w:lang w:val="es-CR"/>
        </w:rPr>
      </w:pPr>
    </w:p>
    <w:p w:rsidR="002771BB" w:rsidRPr="00732F0C" w:rsidRDefault="00BE24E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R"/>
        </w:rPr>
      </w:pPr>
      <w:r w:rsidRPr="00732F0C">
        <w:rPr>
          <w:rFonts w:ascii="Cambria" w:hAnsi="Cambria"/>
          <w:sz w:val="20"/>
          <w:szCs w:val="20"/>
          <w:lang w:val="es-CR"/>
        </w:rPr>
        <w:t xml:space="preserve">El informe determinó que </w:t>
      </w:r>
      <w:r w:rsidR="000E2716" w:rsidRPr="00732F0C">
        <w:rPr>
          <w:rFonts w:ascii="Cambria" w:hAnsi="Cambria"/>
          <w:sz w:val="20"/>
          <w:szCs w:val="20"/>
          <w:lang w:val="es-CR"/>
        </w:rPr>
        <w:t>d</w:t>
      </w:r>
      <w:r w:rsidRPr="00732F0C">
        <w:rPr>
          <w:rFonts w:ascii="Cambria" w:hAnsi="Cambria"/>
          <w:sz w:val="20"/>
          <w:szCs w:val="20"/>
          <w:lang w:val="es-CR"/>
        </w:rPr>
        <w:t xml:space="preserve">el análisis de balística practicado a las armas reglamentarias de los policías surgió que “las dos esquirlas de cobre forman parte de unidades de proyectil calibre 38 y que fueron disparadas por el revólver marca Smith </w:t>
      </w:r>
      <w:proofErr w:type="spellStart"/>
      <w:r w:rsidRPr="00732F0C">
        <w:rPr>
          <w:rFonts w:ascii="Cambria" w:hAnsi="Cambria"/>
          <w:sz w:val="20"/>
          <w:szCs w:val="20"/>
          <w:lang w:val="es-CR"/>
        </w:rPr>
        <w:t>Wesson</w:t>
      </w:r>
      <w:proofErr w:type="spellEnd"/>
      <w:r w:rsidRPr="00732F0C">
        <w:rPr>
          <w:rFonts w:ascii="Cambria" w:hAnsi="Cambria"/>
          <w:sz w:val="20"/>
          <w:szCs w:val="20"/>
          <w:lang w:val="es-CR"/>
        </w:rPr>
        <w:t xml:space="preserve"> N°. J-334461, entregado en dotación al Policía </w:t>
      </w:r>
      <w:r w:rsidR="00F82540" w:rsidRPr="00732F0C">
        <w:rPr>
          <w:rFonts w:ascii="Cambria" w:hAnsi="Cambria" w:cs="Arial"/>
          <w:sz w:val="20"/>
          <w:szCs w:val="20"/>
          <w:lang w:val="es-CR"/>
        </w:rPr>
        <w:t xml:space="preserve">[Segundo] </w:t>
      </w:r>
      <w:r w:rsidRPr="00732F0C">
        <w:rPr>
          <w:rFonts w:ascii="Cambria" w:hAnsi="Cambria"/>
          <w:sz w:val="20"/>
          <w:szCs w:val="20"/>
          <w:lang w:val="es-CR"/>
        </w:rPr>
        <w:t xml:space="preserve">Néstor de la Cruz </w:t>
      </w:r>
      <w:proofErr w:type="spellStart"/>
      <w:r w:rsidRPr="00732F0C">
        <w:rPr>
          <w:rFonts w:ascii="Cambria" w:hAnsi="Cambria"/>
          <w:sz w:val="20"/>
          <w:szCs w:val="20"/>
          <w:lang w:val="es-CR"/>
        </w:rPr>
        <w:t>Chicaiza</w:t>
      </w:r>
      <w:proofErr w:type="spellEnd"/>
      <w:r w:rsidRPr="00732F0C">
        <w:rPr>
          <w:rFonts w:ascii="Cambria" w:hAnsi="Cambria"/>
          <w:sz w:val="20"/>
          <w:szCs w:val="20"/>
          <w:lang w:val="es-CR"/>
        </w:rPr>
        <w:t>”</w:t>
      </w:r>
      <w:r w:rsidRPr="00732F0C">
        <w:rPr>
          <w:rStyle w:val="FootnoteReference"/>
          <w:rFonts w:ascii="Cambria" w:hAnsi="Cambria"/>
          <w:sz w:val="20"/>
          <w:szCs w:val="20"/>
        </w:rPr>
        <w:footnoteReference w:id="40"/>
      </w:r>
      <w:r w:rsidRPr="00732F0C">
        <w:rPr>
          <w:rFonts w:ascii="Cambria" w:hAnsi="Cambria"/>
          <w:sz w:val="20"/>
          <w:szCs w:val="20"/>
          <w:lang w:val="es-CR"/>
        </w:rPr>
        <w:t xml:space="preserve">. Al respecto, se indicó que “presumiblemente ha existido una tercera persona que aprovechando la confusión y amotinamiento de personas, ha tomado el revólver para realizar los disparos y </w:t>
      </w:r>
      <w:r w:rsidRPr="00732F0C">
        <w:rPr>
          <w:rFonts w:ascii="Cambria" w:hAnsi="Cambria"/>
          <w:sz w:val="20"/>
          <w:szCs w:val="20"/>
          <w:lang w:val="es-CR"/>
        </w:rPr>
        <w:lastRenderedPageBreak/>
        <w:t>consigo causar la muerte del ciudadano Jorge Darwin García, desconociendo hasta la presente su identidad”</w:t>
      </w:r>
      <w:r w:rsidRPr="00732F0C">
        <w:rPr>
          <w:rStyle w:val="FootnoteReference"/>
          <w:rFonts w:ascii="Cambria" w:hAnsi="Cambria"/>
          <w:sz w:val="20"/>
          <w:szCs w:val="20"/>
        </w:rPr>
        <w:footnoteReference w:id="41"/>
      </w:r>
      <w:r w:rsidRPr="00732F0C">
        <w:rPr>
          <w:rFonts w:ascii="Cambria" w:hAnsi="Cambria"/>
          <w:sz w:val="20"/>
          <w:szCs w:val="20"/>
          <w:lang w:val="es-CR"/>
        </w:rPr>
        <w:t>. El informe determinó que quedaba pendiente la localización de otros testigos de los hechos</w:t>
      </w:r>
      <w:r w:rsidRPr="00732F0C">
        <w:rPr>
          <w:rStyle w:val="FootnoteReference"/>
          <w:rFonts w:ascii="Cambria" w:hAnsi="Cambria"/>
          <w:sz w:val="20"/>
          <w:szCs w:val="20"/>
        </w:rPr>
        <w:footnoteReference w:id="42"/>
      </w:r>
      <w:r w:rsidRPr="00732F0C">
        <w:rPr>
          <w:rFonts w:ascii="Cambria" w:hAnsi="Cambria"/>
          <w:sz w:val="20"/>
          <w:szCs w:val="20"/>
          <w:lang w:val="es-CR"/>
        </w:rPr>
        <w:t>.</w:t>
      </w:r>
    </w:p>
    <w:p w:rsidR="002771BB" w:rsidRPr="00732F0C" w:rsidRDefault="002771BB" w:rsidP="00842D6E">
      <w:pPr>
        <w:pStyle w:val="ListParagraph"/>
        <w:jc w:val="both"/>
        <w:rPr>
          <w:sz w:val="20"/>
          <w:szCs w:val="20"/>
          <w:lang w:val="es-CR"/>
        </w:rPr>
      </w:pPr>
    </w:p>
    <w:p w:rsidR="00A24688" w:rsidRPr="00732F0C" w:rsidRDefault="002771B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R"/>
        </w:rPr>
      </w:pPr>
      <w:r w:rsidRPr="00732F0C">
        <w:rPr>
          <w:rFonts w:ascii="Cambria" w:hAnsi="Cambria"/>
          <w:sz w:val="20"/>
          <w:szCs w:val="20"/>
          <w:lang w:val="es-CR"/>
        </w:rPr>
        <w:t xml:space="preserve">De acuerdo a un dictamen Fiscal ante el Juzgado Tercero penal de Imbabura, </w:t>
      </w:r>
      <w:r w:rsidR="00853FBE" w:rsidRPr="00732F0C">
        <w:rPr>
          <w:rFonts w:ascii="Cambria" w:hAnsi="Cambria"/>
          <w:sz w:val="20"/>
          <w:szCs w:val="20"/>
          <w:lang w:val="es-CR"/>
        </w:rPr>
        <w:t xml:space="preserve">Otavalo, </w:t>
      </w:r>
      <w:r w:rsidRPr="00732F0C">
        <w:rPr>
          <w:rFonts w:ascii="Cambria" w:hAnsi="Cambria"/>
          <w:sz w:val="20"/>
          <w:szCs w:val="20"/>
          <w:lang w:val="es-CR"/>
        </w:rPr>
        <w:t>la causa fue remitida al fuero penal ordinario</w:t>
      </w:r>
      <w:r w:rsidRPr="00732F0C">
        <w:rPr>
          <w:rStyle w:val="FootnoteReference"/>
          <w:rFonts w:ascii="Cambria" w:hAnsi="Cambria"/>
          <w:sz w:val="20"/>
          <w:szCs w:val="20"/>
        </w:rPr>
        <w:footnoteReference w:id="43"/>
      </w:r>
      <w:r w:rsidRPr="00732F0C">
        <w:rPr>
          <w:rFonts w:ascii="Cambria" w:hAnsi="Cambria"/>
          <w:sz w:val="20"/>
          <w:szCs w:val="20"/>
          <w:lang w:val="es-CR"/>
        </w:rPr>
        <w:t xml:space="preserve">.  Ello debido a que se habría establecido que los dos policías imputados, </w:t>
      </w:r>
      <w:r w:rsidR="00A24688" w:rsidRPr="00732F0C">
        <w:rPr>
          <w:rFonts w:ascii="Cambria" w:hAnsi="Cambria"/>
          <w:sz w:val="20"/>
          <w:szCs w:val="20"/>
          <w:lang w:val="es-CR"/>
        </w:rPr>
        <w:t xml:space="preserve">si bien eran miembros activos de la Policía Nacional, se encontraban haciendo uso de sus respectivas licencias al momento de producirse </w:t>
      </w:r>
      <w:r w:rsidRPr="00732F0C">
        <w:rPr>
          <w:rFonts w:ascii="Cambria" w:hAnsi="Cambria"/>
          <w:sz w:val="20"/>
          <w:szCs w:val="20"/>
          <w:lang w:val="es-CR"/>
        </w:rPr>
        <w:t>los hechos</w:t>
      </w:r>
      <w:r w:rsidR="00A24688" w:rsidRPr="00732F0C">
        <w:rPr>
          <w:rStyle w:val="FootnoteReference"/>
          <w:rFonts w:ascii="Cambria" w:hAnsi="Cambria"/>
          <w:sz w:val="20"/>
          <w:szCs w:val="20"/>
        </w:rPr>
        <w:footnoteReference w:id="44"/>
      </w:r>
      <w:r w:rsidR="00A24688" w:rsidRPr="00732F0C">
        <w:rPr>
          <w:rFonts w:ascii="Cambria" w:hAnsi="Cambria"/>
          <w:sz w:val="20"/>
          <w:szCs w:val="20"/>
          <w:lang w:val="es-CR"/>
        </w:rPr>
        <w:t>.</w:t>
      </w:r>
    </w:p>
    <w:p w:rsidR="00A24688" w:rsidRPr="00732F0C" w:rsidRDefault="00A24688" w:rsidP="00842D6E">
      <w:pPr>
        <w:tabs>
          <w:tab w:val="left" w:pos="1440"/>
        </w:tabs>
        <w:ind w:firstLine="720"/>
        <w:jc w:val="both"/>
        <w:rPr>
          <w:rFonts w:ascii="Cambria" w:hAnsi="Cambria"/>
          <w:sz w:val="20"/>
          <w:szCs w:val="20"/>
          <w:lang w:val="es-CR"/>
        </w:rPr>
      </w:pPr>
    </w:p>
    <w:p w:rsidR="00A24688" w:rsidRPr="00732F0C" w:rsidRDefault="00C156BB" w:rsidP="00842D6E">
      <w:pPr>
        <w:pStyle w:val="Heading3"/>
      </w:pPr>
      <w:bookmarkStart w:id="25" w:name="_Toc408466851"/>
      <w:bookmarkStart w:id="26" w:name="_Toc423956220"/>
      <w:bookmarkStart w:id="27" w:name="_Toc424914226"/>
      <w:bookmarkStart w:id="28" w:name="_Toc511223103"/>
      <w:bookmarkStart w:id="29" w:name="_Toc529792401"/>
      <w:r w:rsidRPr="00732F0C">
        <w:t>3.</w:t>
      </w:r>
      <w:r w:rsidR="00A24688" w:rsidRPr="00732F0C">
        <w:t>2.</w:t>
      </w:r>
      <w:r w:rsidR="00A24688" w:rsidRPr="00732F0C">
        <w:tab/>
      </w:r>
      <w:proofErr w:type="spellStart"/>
      <w:r w:rsidR="00A24688" w:rsidRPr="00732F0C">
        <w:t>Proceso</w:t>
      </w:r>
      <w:proofErr w:type="spellEnd"/>
      <w:r w:rsidR="00A24688" w:rsidRPr="00732F0C">
        <w:t xml:space="preserve"> penal 208-93</w:t>
      </w:r>
      <w:bookmarkEnd w:id="25"/>
      <w:bookmarkEnd w:id="26"/>
      <w:bookmarkEnd w:id="27"/>
      <w:bookmarkEnd w:id="28"/>
      <w:bookmarkEnd w:id="29"/>
    </w:p>
    <w:p w:rsidR="00A24688" w:rsidRPr="00732F0C" w:rsidRDefault="00A24688" w:rsidP="00842D6E">
      <w:pPr>
        <w:tabs>
          <w:tab w:val="left" w:pos="1440"/>
        </w:tabs>
        <w:ind w:firstLine="720"/>
        <w:jc w:val="both"/>
        <w:rPr>
          <w:rFonts w:ascii="Cambria" w:hAnsi="Cambria"/>
          <w:sz w:val="20"/>
          <w:szCs w:val="20"/>
        </w:rPr>
      </w:pPr>
    </w:p>
    <w:p w:rsidR="00A24688" w:rsidRPr="00732F0C" w:rsidRDefault="00A2468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R"/>
        </w:rPr>
      </w:pPr>
      <w:r w:rsidRPr="00732F0C">
        <w:rPr>
          <w:rFonts w:ascii="Cambria" w:hAnsi="Cambria"/>
          <w:sz w:val="20"/>
          <w:szCs w:val="20"/>
          <w:lang w:val="es-CR"/>
        </w:rPr>
        <w:t xml:space="preserve">La causa penal por el asesinato de Jorge Darwin García </w:t>
      </w:r>
      <w:r w:rsidR="00853FBE" w:rsidRPr="00732F0C">
        <w:rPr>
          <w:rFonts w:ascii="Cambria" w:hAnsi="Cambria"/>
          <w:sz w:val="20"/>
          <w:szCs w:val="20"/>
          <w:lang w:val="es-CR"/>
        </w:rPr>
        <w:t xml:space="preserve">se </w:t>
      </w:r>
      <w:r w:rsidRPr="00732F0C">
        <w:rPr>
          <w:rFonts w:ascii="Cambria" w:hAnsi="Cambria"/>
          <w:sz w:val="20"/>
          <w:szCs w:val="20"/>
          <w:lang w:val="es-CR"/>
        </w:rPr>
        <w:t>tramitó ante el Juzgado Ter</w:t>
      </w:r>
      <w:r w:rsidR="00853FBE" w:rsidRPr="00732F0C">
        <w:rPr>
          <w:rFonts w:ascii="Cambria" w:hAnsi="Cambria"/>
          <w:sz w:val="20"/>
          <w:szCs w:val="20"/>
          <w:lang w:val="es-CR"/>
        </w:rPr>
        <w:t>cero Penal de Imbabura, Otavalo. El 22 de octubre de 1993 el fiscal a cargo</w:t>
      </w:r>
      <w:r w:rsidRPr="00732F0C">
        <w:rPr>
          <w:rFonts w:ascii="Cambria" w:hAnsi="Cambria"/>
          <w:sz w:val="20"/>
          <w:szCs w:val="20"/>
          <w:lang w:val="es-CR"/>
        </w:rPr>
        <w:t xml:space="preserve"> sindicó a Segundo </w:t>
      </w:r>
      <w:r w:rsidR="00853FBE" w:rsidRPr="00732F0C">
        <w:rPr>
          <w:rFonts w:ascii="Cambria" w:hAnsi="Cambria"/>
          <w:sz w:val="20"/>
          <w:szCs w:val="20"/>
          <w:lang w:val="es-CR"/>
        </w:rPr>
        <w:t xml:space="preserve">Néstor de la Cruz </w:t>
      </w:r>
      <w:proofErr w:type="spellStart"/>
      <w:r w:rsidR="00853FBE" w:rsidRPr="00732F0C">
        <w:rPr>
          <w:rFonts w:ascii="Cambria" w:hAnsi="Cambria"/>
          <w:sz w:val="20"/>
          <w:szCs w:val="20"/>
          <w:lang w:val="es-CR"/>
        </w:rPr>
        <w:t>Chicaiza</w:t>
      </w:r>
      <w:proofErr w:type="spellEnd"/>
      <w:r w:rsidR="00853FBE" w:rsidRPr="00732F0C">
        <w:rPr>
          <w:rFonts w:ascii="Cambria" w:hAnsi="Cambria"/>
          <w:sz w:val="20"/>
          <w:szCs w:val="20"/>
          <w:lang w:val="es-CR"/>
        </w:rPr>
        <w:t>, Edw</w:t>
      </w:r>
      <w:r w:rsidRPr="00732F0C">
        <w:rPr>
          <w:rFonts w:ascii="Cambria" w:hAnsi="Cambria"/>
          <w:sz w:val="20"/>
          <w:szCs w:val="20"/>
          <w:lang w:val="es-CR"/>
        </w:rPr>
        <w:t xml:space="preserve">in Ramiro Guzmán Carrera y José Ignacio de la Cruz </w:t>
      </w:r>
      <w:proofErr w:type="spellStart"/>
      <w:r w:rsidRPr="00732F0C">
        <w:rPr>
          <w:rFonts w:ascii="Cambria" w:hAnsi="Cambria"/>
          <w:sz w:val="20"/>
          <w:szCs w:val="20"/>
          <w:lang w:val="es-CR"/>
        </w:rPr>
        <w:t>Chicaiza</w:t>
      </w:r>
      <w:proofErr w:type="spellEnd"/>
      <w:r w:rsidR="00AE3B1E" w:rsidRPr="00732F0C">
        <w:rPr>
          <w:rFonts w:ascii="Cambria" w:hAnsi="Cambria"/>
          <w:sz w:val="20"/>
          <w:szCs w:val="20"/>
          <w:lang w:val="es-CR"/>
        </w:rPr>
        <w:t xml:space="preserve"> por la muerte de Jorge Darwin y las lesiones de Franklin Plutarco</w:t>
      </w:r>
      <w:r w:rsidR="00AE3B1E" w:rsidRPr="00732F0C">
        <w:rPr>
          <w:rStyle w:val="FootnoteReference"/>
          <w:rFonts w:ascii="Cambria" w:hAnsi="Cambria"/>
          <w:sz w:val="20"/>
          <w:szCs w:val="20"/>
        </w:rPr>
        <w:footnoteReference w:id="45"/>
      </w:r>
      <w:r w:rsidR="00AE3B1E" w:rsidRPr="00732F0C">
        <w:rPr>
          <w:rFonts w:ascii="Cambria" w:hAnsi="Cambria"/>
          <w:sz w:val="20"/>
          <w:szCs w:val="20"/>
          <w:lang w:val="es-CR"/>
        </w:rPr>
        <w:t>. S</w:t>
      </w:r>
      <w:r w:rsidR="00691D79" w:rsidRPr="00732F0C">
        <w:rPr>
          <w:rFonts w:ascii="Cambria" w:hAnsi="Cambria"/>
          <w:sz w:val="20"/>
          <w:szCs w:val="20"/>
          <w:lang w:val="es-CR"/>
        </w:rPr>
        <w:t>olicitó</w:t>
      </w:r>
      <w:r w:rsidRPr="00732F0C">
        <w:rPr>
          <w:rFonts w:ascii="Cambria" w:hAnsi="Cambria"/>
          <w:sz w:val="20"/>
          <w:szCs w:val="20"/>
          <w:lang w:val="es-CR"/>
        </w:rPr>
        <w:t xml:space="preserve"> la prisión provisional de </w:t>
      </w:r>
      <w:r w:rsidR="00691D79" w:rsidRPr="00732F0C">
        <w:rPr>
          <w:rFonts w:ascii="Cambria" w:hAnsi="Cambria"/>
          <w:sz w:val="20"/>
          <w:szCs w:val="20"/>
          <w:lang w:val="es-CR"/>
        </w:rPr>
        <w:t>los dos primeros</w:t>
      </w:r>
      <w:r w:rsidRPr="00732F0C">
        <w:rPr>
          <w:rStyle w:val="FootnoteReference"/>
          <w:rFonts w:ascii="Cambria" w:hAnsi="Cambria"/>
          <w:sz w:val="20"/>
          <w:szCs w:val="20"/>
        </w:rPr>
        <w:footnoteReference w:id="46"/>
      </w:r>
      <w:r w:rsidRPr="00732F0C">
        <w:rPr>
          <w:rFonts w:ascii="Cambria" w:hAnsi="Cambria"/>
          <w:sz w:val="20"/>
          <w:szCs w:val="20"/>
          <w:lang w:val="es-CR"/>
        </w:rPr>
        <w:t>.</w:t>
      </w:r>
      <w:r w:rsidR="00691D79" w:rsidRPr="00732F0C">
        <w:rPr>
          <w:rFonts w:ascii="Cambria" w:hAnsi="Cambria"/>
          <w:sz w:val="20"/>
          <w:szCs w:val="20"/>
          <w:lang w:val="es-AR"/>
        </w:rPr>
        <w:t xml:space="preserve"> El 5 de noviembre de 1993</w:t>
      </w:r>
      <w:r w:rsidRPr="00732F0C">
        <w:rPr>
          <w:rFonts w:ascii="Cambria" w:hAnsi="Cambria"/>
          <w:sz w:val="20"/>
          <w:szCs w:val="20"/>
          <w:lang w:val="es-AR"/>
        </w:rPr>
        <w:t xml:space="preserve"> Franklin Plutarco García presentó un escrito de constitución de querella civil y penal</w:t>
      </w:r>
      <w:r w:rsidRPr="00732F0C">
        <w:rPr>
          <w:rStyle w:val="FootnoteReference"/>
          <w:rFonts w:ascii="Cambria" w:hAnsi="Cambria"/>
          <w:sz w:val="20"/>
          <w:szCs w:val="20"/>
          <w:lang w:val="es-AR"/>
        </w:rPr>
        <w:footnoteReference w:id="47"/>
      </w:r>
      <w:r w:rsidRPr="00732F0C">
        <w:rPr>
          <w:rFonts w:ascii="Cambria" w:hAnsi="Cambria"/>
          <w:sz w:val="20"/>
          <w:szCs w:val="20"/>
          <w:lang w:val="es-AR"/>
        </w:rPr>
        <w:t xml:space="preserve">. </w:t>
      </w:r>
    </w:p>
    <w:p w:rsidR="00A24688" w:rsidRPr="00732F0C" w:rsidRDefault="00A24688" w:rsidP="00842D6E">
      <w:pPr>
        <w:tabs>
          <w:tab w:val="left" w:pos="1440"/>
        </w:tabs>
        <w:ind w:firstLine="720"/>
        <w:jc w:val="both"/>
        <w:rPr>
          <w:rFonts w:ascii="Cambria" w:hAnsi="Cambria"/>
          <w:sz w:val="20"/>
          <w:szCs w:val="20"/>
          <w:lang w:val="es-CR"/>
        </w:rPr>
      </w:pPr>
    </w:p>
    <w:p w:rsidR="002E618A" w:rsidRPr="00732F0C" w:rsidRDefault="00691D79"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El 1 de julio de 1994</w:t>
      </w:r>
      <w:r w:rsidR="00A24688" w:rsidRPr="00732F0C">
        <w:rPr>
          <w:rFonts w:ascii="Cambria" w:hAnsi="Cambria"/>
          <w:sz w:val="20"/>
          <w:szCs w:val="20"/>
          <w:lang w:val="es-CR"/>
        </w:rPr>
        <w:t xml:space="preserve"> la peticionaria solicitó al Fiscal General de la Nación que “haga cuanto esté a su alcance para supervigilar el caso y demostrar que la función jurisdic</w:t>
      </w:r>
      <w:r w:rsidR="008226FE" w:rsidRPr="00732F0C">
        <w:rPr>
          <w:rFonts w:ascii="Cambria" w:hAnsi="Cambria"/>
          <w:sz w:val="20"/>
          <w:szCs w:val="20"/>
          <w:lang w:val="es-CR"/>
        </w:rPr>
        <w:t>cional actúa con independencia (…)</w:t>
      </w:r>
      <w:r w:rsidR="00A24688" w:rsidRPr="00732F0C">
        <w:rPr>
          <w:rFonts w:ascii="Cambria" w:hAnsi="Cambria"/>
          <w:sz w:val="20"/>
          <w:szCs w:val="20"/>
          <w:lang w:val="es-CR"/>
        </w:rPr>
        <w:t xml:space="preserve"> ante el fenómeno de la impunidad que ampara el cometimiento de tan graves delitos y va en detrimento de la justicia”</w:t>
      </w:r>
      <w:r w:rsidR="00A24688" w:rsidRPr="00732F0C">
        <w:rPr>
          <w:rStyle w:val="FootnoteReference"/>
          <w:rFonts w:ascii="Cambria" w:hAnsi="Cambria"/>
          <w:sz w:val="20"/>
          <w:szCs w:val="20"/>
        </w:rPr>
        <w:footnoteReference w:id="48"/>
      </w:r>
      <w:r w:rsidR="00A24688" w:rsidRPr="00732F0C">
        <w:rPr>
          <w:rFonts w:ascii="Cambria" w:hAnsi="Cambria"/>
          <w:sz w:val="20"/>
          <w:szCs w:val="20"/>
          <w:lang w:val="es-CR"/>
        </w:rPr>
        <w:t>.</w:t>
      </w:r>
    </w:p>
    <w:p w:rsidR="002E618A" w:rsidRPr="00732F0C" w:rsidRDefault="002E618A" w:rsidP="00842D6E">
      <w:pPr>
        <w:pStyle w:val="ListParagraph"/>
        <w:jc w:val="both"/>
        <w:rPr>
          <w:sz w:val="20"/>
          <w:szCs w:val="20"/>
          <w:lang w:val="es-CR"/>
        </w:rPr>
      </w:pPr>
    </w:p>
    <w:p w:rsidR="000B2415" w:rsidRPr="00732F0C" w:rsidRDefault="002E618A"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El 1 de septiembre de 1994 el fiscal a cargo acusó a Segundo Néstor de la Cruz </w:t>
      </w:r>
      <w:proofErr w:type="spellStart"/>
      <w:r w:rsidRPr="00732F0C">
        <w:rPr>
          <w:rFonts w:ascii="Cambria" w:hAnsi="Cambria"/>
          <w:sz w:val="20"/>
          <w:szCs w:val="20"/>
          <w:lang w:val="es-CR"/>
        </w:rPr>
        <w:t>Chicaiza</w:t>
      </w:r>
      <w:proofErr w:type="spellEnd"/>
      <w:r w:rsidRPr="00732F0C">
        <w:rPr>
          <w:rStyle w:val="FootnoteReference"/>
          <w:rFonts w:ascii="Cambria" w:hAnsi="Cambria"/>
          <w:sz w:val="20"/>
          <w:szCs w:val="20"/>
          <w:lang w:val="es-CR"/>
        </w:rPr>
        <w:t xml:space="preserve"> </w:t>
      </w:r>
      <w:r w:rsidRPr="00732F0C">
        <w:rPr>
          <w:rFonts w:ascii="Cambria" w:hAnsi="Cambria"/>
          <w:sz w:val="20"/>
          <w:szCs w:val="20"/>
          <w:lang w:val="es-CR"/>
        </w:rPr>
        <w:t>por el delito de homicidio</w:t>
      </w:r>
      <w:r w:rsidRPr="00732F0C">
        <w:rPr>
          <w:rStyle w:val="FootnoteReference"/>
          <w:rFonts w:ascii="Cambria" w:hAnsi="Cambria"/>
          <w:sz w:val="20"/>
          <w:szCs w:val="20"/>
          <w:lang w:val="es-CR"/>
        </w:rPr>
        <w:footnoteReference w:id="49"/>
      </w:r>
      <w:r w:rsidRPr="00732F0C">
        <w:rPr>
          <w:rFonts w:ascii="Cambria" w:hAnsi="Cambria"/>
          <w:sz w:val="20"/>
          <w:szCs w:val="20"/>
          <w:lang w:val="es-CR"/>
        </w:rPr>
        <w:t xml:space="preserve">. </w:t>
      </w:r>
      <w:r w:rsidR="000B2415" w:rsidRPr="00732F0C">
        <w:rPr>
          <w:rFonts w:ascii="Cambria" w:hAnsi="Cambria"/>
          <w:sz w:val="20"/>
          <w:szCs w:val="20"/>
          <w:lang w:val="es-CR"/>
        </w:rPr>
        <w:t>En su informe señaló que se dio un careo entre los dos policías procesados “en el que Guzmán reclama a su compañero de la Cruz el por qué se trata de involucrarlo en este hecho (…) acusándole a de la Cruz de ser el autor de la muerte y heridas a los hermanos Garcí</w:t>
      </w:r>
      <w:r w:rsidR="00291DB4" w:rsidRPr="00732F0C">
        <w:rPr>
          <w:rFonts w:ascii="Cambria" w:hAnsi="Cambria"/>
          <w:sz w:val="20"/>
          <w:szCs w:val="20"/>
          <w:lang w:val="es-CR"/>
        </w:rPr>
        <w:t>a; éste último procede a disculparse con Guzmán por tratar de involucrarlo y expresando además ‘si soy de hundirme me hundo solo, sin involucrar a nadie’</w:t>
      </w:r>
      <w:r w:rsidR="000B2415" w:rsidRPr="00732F0C">
        <w:rPr>
          <w:rFonts w:ascii="Cambria" w:hAnsi="Cambria"/>
          <w:sz w:val="20"/>
          <w:szCs w:val="20"/>
          <w:lang w:val="es-CR"/>
        </w:rPr>
        <w:t>”</w:t>
      </w:r>
      <w:r w:rsidR="00291DB4" w:rsidRPr="00732F0C">
        <w:rPr>
          <w:rStyle w:val="FootnoteReference"/>
          <w:rFonts w:ascii="Cambria" w:hAnsi="Cambria"/>
          <w:sz w:val="20"/>
          <w:szCs w:val="20"/>
          <w:lang w:val="es-CR"/>
        </w:rPr>
        <w:footnoteReference w:id="50"/>
      </w:r>
      <w:r w:rsidR="00291DB4" w:rsidRPr="00732F0C">
        <w:rPr>
          <w:rFonts w:ascii="Cambria" w:hAnsi="Cambria"/>
          <w:sz w:val="20"/>
          <w:szCs w:val="20"/>
          <w:lang w:val="es-CR"/>
        </w:rPr>
        <w:t>. El fiscal sostuvo que el señor de la Cruz manifestó que “está tratando de arreglar con los perjudicados ofreciendo la cantidad de un millón y medio de sucres”</w:t>
      </w:r>
      <w:r w:rsidR="00291DB4" w:rsidRPr="00732F0C">
        <w:rPr>
          <w:rStyle w:val="FootnoteReference"/>
          <w:rFonts w:ascii="Cambria" w:hAnsi="Cambria"/>
          <w:sz w:val="20"/>
          <w:szCs w:val="20"/>
          <w:lang w:val="es-CR"/>
        </w:rPr>
        <w:footnoteReference w:id="51"/>
      </w:r>
      <w:r w:rsidR="00291DB4" w:rsidRPr="00732F0C">
        <w:rPr>
          <w:rFonts w:ascii="Cambria" w:hAnsi="Cambria"/>
          <w:sz w:val="20"/>
          <w:szCs w:val="20"/>
          <w:lang w:val="es-CR"/>
        </w:rPr>
        <w:t>.</w:t>
      </w:r>
    </w:p>
    <w:p w:rsidR="000B2415" w:rsidRPr="00732F0C" w:rsidRDefault="000B2415" w:rsidP="00842D6E">
      <w:pPr>
        <w:pStyle w:val="ListParagraph"/>
        <w:jc w:val="both"/>
        <w:rPr>
          <w:sz w:val="20"/>
          <w:szCs w:val="20"/>
          <w:lang w:val="es-CR"/>
        </w:rPr>
      </w:pPr>
    </w:p>
    <w:p w:rsidR="002E618A" w:rsidRPr="00732F0C" w:rsidRDefault="002E618A"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Asimismo, </w:t>
      </w:r>
      <w:r w:rsidR="000B2415" w:rsidRPr="00732F0C">
        <w:rPr>
          <w:rFonts w:ascii="Cambria" w:hAnsi="Cambria"/>
          <w:sz w:val="20"/>
          <w:szCs w:val="20"/>
          <w:lang w:val="es-CR"/>
        </w:rPr>
        <w:t xml:space="preserve">el fiscal </w:t>
      </w:r>
      <w:r w:rsidRPr="00732F0C">
        <w:rPr>
          <w:rFonts w:ascii="Cambria" w:hAnsi="Cambria"/>
          <w:sz w:val="20"/>
          <w:szCs w:val="20"/>
          <w:lang w:val="es-CR"/>
        </w:rPr>
        <w:t xml:space="preserve">se abstuvo de acusar a Edwin Ramiro Guzmán Carrera y José Ignacio de la Cruz </w:t>
      </w:r>
      <w:proofErr w:type="spellStart"/>
      <w:r w:rsidRPr="00732F0C">
        <w:rPr>
          <w:rFonts w:ascii="Cambria" w:hAnsi="Cambria"/>
          <w:sz w:val="20"/>
          <w:szCs w:val="20"/>
          <w:lang w:val="es-CR"/>
        </w:rPr>
        <w:t>Chicaiza</w:t>
      </w:r>
      <w:proofErr w:type="spellEnd"/>
      <w:r w:rsidRPr="00732F0C">
        <w:rPr>
          <w:rFonts w:ascii="Cambria" w:hAnsi="Cambria"/>
          <w:sz w:val="20"/>
          <w:szCs w:val="20"/>
          <w:lang w:val="es-CR"/>
        </w:rPr>
        <w:t xml:space="preserve"> “por falta de prueba”</w:t>
      </w:r>
      <w:r w:rsidRPr="00732F0C">
        <w:rPr>
          <w:rStyle w:val="FootnoteReference"/>
          <w:rFonts w:ascii="Cambria" w:hAnsi="Cambria"/>
          <w:sz w:val="20"/>
          <w:szCs w:val="20"/>
          <w:lang w:val="es-CR"/>
        </w:rPr>
        <w:footnoteReference w:id="52"/>
      </w:r>
      <w:r w:rsidRPr="00732F0C">
        <w:rPr>
          <w:rFonts w:ascii="Cambria" w:hAnsi="Cambria"/>
          <w:sz w:val="20"/>
          <w:szCs w:val="20"/>
          <w:lang w:val="es-CR"/>
        </w:rPr>
        <w:t>.</w:t>
      </w:r>
      <w:r w:rsidR="007B047A" w:rsidRPr="00732F0C">
        <w:rPr>
          <w:rFonts w:ascii="Cambria" w:hAnsi="Cambria"/>
          <w:sz w:val="20"/>
          <w:szCs w:val="20"/>
          <w:lang w:val="es-CR"/>
        </w:rPr>
        <w:t xml:space="preserve"> Sostuvo que al señor Guzmán “no se lo puede señalar como cómplice puesto que no se ha probado que haya colaborado directa o indirectamente en la ejecución de las </w:t>
      </w:r>
      <w:r w:rsidR="007B047A" w:rsidRPr="00732F0C">
        <w:rPr>
          <w:rFonts w:ascii="Cambria" w:hAnsi="Cambria"/>
          <w:sz w:val="20"/>
          <w:szCs w:val="20"/>
          <w:lang w:val="es-CR"/>
        </w:rPr>
        <w:lastRenderedPageBreak/>
        <w:t>infracciones”</w:t>
      </w:r>
      <w:r w:rsidR="007B047A" w:rsidRPr="00732F0C">
        <w:rPr>
          <w:rStyle w:val="FootnoteReference"/>
          <w:rFonts w:ascii="Cambria" w:hAnsi="Cambria"/>
          <w:sz w:val="20"/>
          <w:szCs w:val="20"/>
          <w:lang w:val="es-CR"/>
        </w:rPr>
        <w:footnoteReference w:id="53"/>
      </w:r>
      <w:r w:rsidR="007B047A" w:rsidRPr="00732F0C">
        <w:rPr>
          <w:rFonts w:ascii="Cambria" w:hAnsi="Cambria"/>
          <w:sz w:val="20"/>
          <w:szCs w:val="20"/>
          <w:lang w:val="es-CR"/>
        </w:rPr>
        <w:t>. Agregó que tampoco se ha probado que José Ignacio de la Cruz “sea responsable como autor cómplice ni encubridor”</w:t>
      </w:r>
      <w:r w:rsidR="007B047A" w:rsidRPr="00732F0C">
        <w:rPr>
          <w:rStyle w:val="FootnoteReference"/>
          <w:rFonts w:ascii="Cambria" w:hAnsi="Cambria"/>
          <w:sz w:val="20"/>
          <w:szCs w:val="20"/>
          <w:lang w:val="es-CR"/>
        </w:rPr>
        <w:footnoteReference w:id="54"/>
      </w:r>
      <w:r w:rsidR="007B047A" w:rsidRPr="00732F0C">
        <w:rPr>
          <w:rFonts w:ascii="Cambria" w:hAnsi="Cambria"/>
          <w:sz w:val="20"/>
          <w:szCs w:val="20"/>
          <w:lang w:val="es-CR"/>
        </w:rPr>
        <w:t>.</w:t>
      </w:r>
    </w:p>
    <w:p w:rsidR="002832AC" w:rsidRPr="00732F0C" w:rsidRDefault="002832AC"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rsidR="002832AC" w:rsidRPr="00732F0C" w:rsidRDefault="00691D79"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El</w:t>
      </w:r>
      <w:r w:rsidRPr="00732F0C">
        <w:rPr>
          <w:rFonts w:ascii="Cambria" w:hAnsi="Cambria"/>
          <w:sz w:val="20"/>
          <w:szCs w:val="20"/>
          <w:lang w:val="es-AR"/>
        </w:rPr>
        <w:t xml:space="preserve"> 16 de septiembre de 1994 el médico legista designado por</w:t>
      </w:r>
      <w:r w:rsidR="00A24688" w:rsidRPr="00732F0C">
        <w:rPr>
          <w:rFonts w:ascii="Cambria" w:hAnsi="Cambria"/>
          <w:sz w:val="20"/>
          <w:szCs w:val="20"/>
          <w:lang w:val="es-AR"/>
        </w:rPr>
        <w:t xml:space="preserve"> </w:t>
      </w:r>
      <w:r w:rsidRPr="00732F0C">
        <w:rPr>
          <w:rFonts w:ascii="Cambria" w:hAnsi="Cambria"/>
          <w:sz w:val="20"/>
          <w:szCs w:val="20"/>
          <w:lang w:val="es-AR"/>
        </w:rPr>
        <w:t>el</w:t>
      </w:r>
      <w:r w:rsidR="00A24688" w:rsidRPr="00732F0C">
        <w:rPr>
          <w:rFonts w:ascii="Cambria" w:hAnsi="Cambria"/>
          <w:sz w:val="20"/>
          <w:szCs w:val="20"/>
          <w:lang w:val="es-AR"/>
        </w:rPr>
        <w:t xml:space="preserve"> Juez Tercero en lo Penal de Imbabura, realizó un examen del protocolo de autopsia médico legal de Jorge Darwin García y los peritajes balísticos obrantes en la causa</w:t>
      </w:r>
      <w:r w:rsidR="00382C9C" w:rsidRPr="00732F0C">
        <w:rPr>
          <w:rStyle w:val="FootnoteReference"/>
          <w:rFonts w:ascii="Cambria" w:hAnsi="Cambria"/>
          <w:sz w:val="20"/>
          <w:szCs w:val="20"/>
        </w:rPr>
        <w:footnoteReference w:id="55"/>
      </w:r>
      <w:r w:rsidR="00A24688" w:rsidRPr="00732F0C">
        <w:rPr>
          <w:rFonts w:ascii="Cambria" w:hAnsi="Cambria"/>
          <w:sz w:val="20"/>
          <w:szCs w:val="20"/>
          <w:lang w:val="es-AR"/>
        </w:rPr>
        <w:t>. En cuanto al protocolo de au</w:t>
      </w:r>
      <w:r w:rsidR="00382C9C" w:rsidRPr="00732F0C">
        <w:rPr>
          <w:rFonts w:ascii="Cambria" w:hAnsi="Cambria"/>
          <w:sz w:val="20"/>
          <w:szCs w:val="20"/>
          <w:lang w:val="es-AR"/>
        </w:rPr>
        <w:t>topsia, el médico identificó las siguientes irregularidades</w:t>
      </w:r>
      <w:r w:rsidR="00A24688" w:rsidRPr="00732F0C">
        <w:rPr>
          <w:rFonts w:ascii="Cambria" w:hAnsi="Cambria"/>
          <w:sz w:val="20"/>
          <w:szCs w:val="20"/>
          <w:lang w:val="es-AR"/>
        </w:rPr>
        <w:t>: i) los</w:t>
      </w:r>
      <w:r w:rsidR="00A24688" w:rsidRPr="00732F0C">
        <w:rPr>
          <w:rFonts w:ascii="Cambria" w:hAnsi="Cambria"/>
          <w:sz w:val="20"/>
          <w:szCs w:val="20"/>
          <w:lang w:val="es-CR"/>
        </w:rPr>
        <w:t xml:space="preserve"> orificios de entrada po</w:t>
      </w:r>
      <w:r w:rsidR="002832AC" w:rsidRPr="00732F0C">
        <w:rPr>
          <w:rFonts w:ascii="Cambria" w:hAnsi="Cambria"/>
          <w:sz w:val="20"/>
          <w:szCs w:val="20"/>
          <w:lang w:val="es-CR"/>
        </w:rPr>
        <w:t>r un proyectil de arma de fuego</w:t>
      </w:r>
      <w:r w:rsidR="00A24688" w:rsidRPr="00732F0C">
        <w:rPr>
          <w:rFonts w:ascii="Cambria" w:hAnsi="Cambria"/>
          <w:sz w:val="20"/>
          <w:szCs w:val="20"/>
          <w:lang w:val="es-CR"/>
        </w:rPr>
        <w:t xml:space="preserve"> se miden en milímetros y no en centímetros para ser más exacto</w:t>
      </w:r>
      <w:r w:rsidR="002832AC" w:rsidRPr="00732F0C">
        <w:rPr>
          <w:rFonts w:ascii="Cambria" w:hAnsi="Cambria"/>
          <w:sz w:val="20"/>
          <w:szCs w:val="20"/>
          <w:lang w:val="es-CR"/>
        </w:rPr>
        <w:t>s</w:t>
      </w:r>
      <w:r w:rsidR="00A24688" w:rsidRPr="00732F0C">
        <w:rPr>
          <w:rFonts w:ascii="Cambria" w:hAnsi="Cambria"/>
          <w:sz w:val="20"/>
          <w:szCs w:val="20"/>
          <w:lang w:val="es-CR"/>
        </w:rPr>
        <w:t xml:space="preserve"> y para poderlos relacionar con el “diámetro” </w:t>
      </w:r>
      <w:r w:rsidR="00382C9C" w:rsidRPr="00732F0C">
        <w:rPr>
          <w:rFonts w:ascii="Cambria" w:hAnsi="Cambria"/>
          <w:sz w:val="20"/>
          <w:szCs w:val="20"/>
          <w:lang w:val="es-CR"/>
        </w:rPr>
        <w:t>del proyectil medido en su base;</w:t>
      </w:r>
      <w:r w:rsidR="00A24688" w:rsidRPr="00732F0C">
        <w:rPr>
          <w:rFonts w:ascii="Cambria" w:hAnsi="Cambria"/>
          <w:sz w:val="20"/>
          <w:szCs w:val="20"/>
          <w:lang w:val="es-CR"/>
        </w:rPr>
        <w:t xml:space="preserve"> ii) en los orificios no se descr</w:t>
      </w:r>
      <w:r w:rsidR="00382C9C" w:rsidRPr="00732F0C">
        <w:rPr>
          <w:rFonts w:ascii="Cambria" w:hAnsi="Cambria"/>
          <w:sz w:val="20"/>
          <w:szCs w:val="20"/>
          <w:lang w:val="es-CR"/>
        </w:rPr>
        <w:t xml:space="preserve">ibe ni tatuaje ni halo de </w:t>
      </w:r>
      <w:proofErr w:type="spellStart"/>
      <w:r w:rsidR="00382C9C" w:rsidRPr="00732F0C">
        <w:rPr>
          <w:rFonts w:ascii="Cambria" w:hAnsi="Cambria"/>
          <w:sz w:val="20"/>
          <w:szCs w:val="20"/>
          <w:lang w:val="es-CR"/>
        </w:rPr>
        <w:t>Fisch</w:t>
      </w:r>
      <w:proofErr w:type="spellEnd"/>
      <w:r w:rsidR="00382C9C" w:rsidRPr="00732F0C">
        <w:rPr>
          <w:rFonts w:ascii="Cambria" w:hAnsi="Cambria"/>
          <w:sz w:val="20"/>
          <w:szCs w:val="20"/>
          <w:lang w:val="es-CR"/>
        </w:rPr>
        <w:t>;</w:t>
      </w:r>
      <w:r w:rsidR="00A24688" w:rsidRPr="00732F0C">
        <w:rPr>
          <w:rFonts w:ascii="Cambria" w:hAnsi="Cambria"/>
          <w:sz w:val="20"/>
          <w:szCs w:val="20"/>
          <w:lang w:val="es-CR"/>
        </w:rPr>
        <w:t xml:space="preserve"> iii) en el examen interno no se des</w:t>
      </w:r>
      <w:r w:rsidR="00382C9C" w:rsidRPr="00732F0C">
        <w:rPr>
          <w:rFonts w:ascii="Cambria" w:hAnsi="Cambria"/>
          <w:sz w:val="20"/>
          <w:szCs w:val="20"/>
          <w:lang w:val="es-CR"/>
        </w:rPr>
        <w:t>cribe el trayecto del proyectil;</w:t>
      </w:r>
      <w:r w:rsidR="00A24688" w:rsidRPr="00732F0C">
        <w:rPr>
          <w:rFonts w:ascii="Cambria" w:hAnsi="Cambria"/>
          <w:sz w:val="20"/>
          <w:szCs w:val="20"/>
          <w:lang w:val="es-CR"/>
        </w:rPr>
        <w:t xml:space="preserve"> iv) no se indica la causa de la fractura del brazo izquierdo, ni se describe el orificio de entrada ni las características </w:t>
      </w:r>
      <w:r w:rsidR="00382C9C" w:rsidRPr="00732F0C">
        <w:rPr>
          <w:rFonts w:ascii="Cambria" w:hAnsi="Cambria"/>
          <w:sz w:val="20"/>
          <w:szCs w:val="20"/>
          <w:lang w:val="es-CR"/>
        </w:rPr>
        <w:t>del proyectil</w:t>
      </w:r>
      <w:r w:rsidR="002832AC" w:rsidRPr="00732F0C">
        <w:rPr>
          <w:rFonts w:ascii="Cambria" w:hAnsi="Cambria"/>
          <w:sz w:val="20"/>
          <w:szCs w:val="20"/>
          <w:lang w:val="es-CR"/>
        </w:rPr>
        <w:t xml:space="preserve"> que habría estado en dicho brazo</w:t>
      </w:r>
      <w:r w:rsidR="00382C9C" w:rsidRPr="00732F0C">
        <w:rPr>
          <w:rFonts w:ascii="Cambria" w:hAnsi="Cambria"/>
          <w:sz w:val="20"/>
          <w:szCs w:val="20"/>
          <w:lang w:val="es-CR"/>
        </w:rPr>
        <w:t>;</w:t>
      </w:r>
      <w:r w:rsidR="00A24688" w:rsidRPr="00732F0C">
        <w:rPr>
          <w:rFonts w:ascii="Cambria" w:hAnsi="Cambria"/>
          <w:sz w:val="20"/>
          <w:szCs w:val="20"/>
          <w:lang w:val="es-CR"/>
        </w:rPr>
        <w:t xml:space="preserve"> v) no se indica cuál fue el orificio de entra</w:t>
      </w:r>
      <w:r w:rsidR="00382C9C" w:rsidRPr="00732F0C">
        <w:rPr>
          <w:rFonts w:ascii="Cambria" w:hAnsi="Cambria"/>
          <w:sz w:val="20"/>
          <w:szCs w:val="20"/>
          <w:lang w:val="es-CR"/>
        </w:rPr>
        <w:t>da ni el de salida en la cabeza;</w:t>
      </w:r>
      <w:r w:rsidR="00A24688" w:rsidRPr="00732F0C">
        <w:rPr>
          <w:rFonts w:ascii="Cambria" w:hAnsi="Cambria"/>
          <w:sz w:val="20"/>
          <w:szCs w:val="20"/>
          <w:lang w:val="es-CR"/>
        </w:rPr>
        <w:t xml:space="preserve"> </w:t>
      </w:r>
      <w:r w:rsidR="002832AC" w:rsidRPr="00732F0C">
        <w:rPr>
          <w:rFonts w:ascii="Cambria" w:hAnsi="Cambria"/>
          <w:sz w:val="20"/>
          <w:szCs w:val="20"/>
          <w:lang w:val="es-CR"/>
        </w:rPr>
        <w:t xml:space="preserve">y </w:t>
      </w:r>
      <w:r w:rsidR="00A24688" w:rsidRPr="00732F0C">
        <w:rPr>
          <w:rFonts w:ascii="Cambria" w:hAnsi="Cambria"/>
          <w:sz w:val="20"/>
          <w:szCs w:val="20"/>
          <w:lang w:val="es-CR"/>
        </w:rPr>
        <w:t>vi) se describen en el examen externo orificios</w:t>
      </w:r>
      <w:r w:rsidR="002832AC" w:rsidRPr="00732F0C">
        <w:rPr>
          <w:rFonts w:ascii="Cambria" w:hAnsi="Cambria"/>
          <w:sz w:val="20"/>
          <w:szCs w:val="20"/>
          <w:lang w:val="es-CR"/>
        </w:rPr>
        <w:t xml:space="preserve"> de proyectil de arma de fuego </w:t>
      </w:r>
      <w:r w:rsidR="00A24688" w:rsidRPr="00732F0C">
        <w:rPr>
          <w:rFonts w:ascii="Cambria" w:hAnsi="Cambria"/>
          <w:sz w:val="20"/>
          <w:szCs w:val="20"/>
          <w:lang w:val="es-CR"/>
        </w:rPr>
        <w:t>pero no s</w:t>
      </w:r>
      <w:r w:rsidR="002832AC" w:rsidRPr="00732F0C">
        <w:rPr>
          <w:rFonts w:ascii="Cambria" w:hAnsi="Cambria"/>
          <w:sz w:val="20"/>
          <w:szCs w:val="20"/>
          <w:lang w:val="es-CR"/>
        </w:rPr>
        <w:t>e los describe en el plano óseo</w:t>
      </w:r>
      <w:r w:rsidR="0031398D" w:rsidRPr="00732F0C">
        <w:rPr>
          <w:rStyle w:val="FootnoteReference"/>
          <w:rFonts w:ascii="Cambria" w:hAnsi="Cambria"/>
          <w:sz w:val="20"/>
          <w:szCs w:val="20"/>
        </w:rPr>
        <w:footnoteReference w:id="56"/>
      </w:r>
      <w:r w:rsidR="002832AC" w:rsidRPr="00732F0C">
        <w:rPr>
          <w:rFonts w:ascii="Cambria" w:hAnsi="Cambria"/>
          <w:sz w:val="20"/>
          <w:szCs w:val="20"/>
          <w:lang w:val="es-CR"/>
        </w:rPr>
        <w:t>.</w:t>
      </w:r>
    </w:p>
    <w:p w:rsidR="00A24688" w:rsidRPr="00732F0C" w:rsidRDefault="00A24688" w:rsidP="00842D6E">
      <w:pPr>
        <w:tabs>
          <w:tab w:val="left" w:pos="1440"/>
        </w:tabs>
        <w:jc w:val="both"/>
        <w:rPr>
          <w:rFonts w:ascii="Cambria" w:hAnsi="Cambria"/>
          <w:sz w:val="20"/>
          <w:szCs w:val="20"/>
          <w:lang w:val="es-CR"/>
        </w:rPr>
      </w:pPr>
    </w:p>
    <w:p w:rsidR="00A24688" w:rsidRPr="00732F0C" w:rsidRDefault="00382C9C"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El 20 de octubre de 1994 </w:t>
      </w:r>
      <w:r w:rsidR="00A24688" w:rsidRPr="00732F0C">
        <w:rPr>
          <w:rFonts w:ascii="Cambria" w:hAnsi="Cambria"/>
          <w:sz w:val="20"/>
          <w:szCs w:val="20"/>
          <w:lang w:val="es-CR"/>
        </w:rPr>
        <w:t xml:space="preserve">el Juez Tercero en lo Penal de Imbabura emitió auto de llamamiento a plenario contra Segundo Néstor de la Cruz </w:t>
      </w:r>
      <w:proofErr w:type="spellStart"/>
      <w:r w:rsidR="00A24688" w:rsidRPr="00732F0C">
        <w:rPr>
          <w:rFonts w:ascii="Cambria" w:hAnsi="Cambria"/>
          <w:sz w:val="20"/>
          <w:szCs w:val="20"/>
          <w:lang w:val="es-CR"/>
        </w:rPr>
        <w:t>Chicaiza</w:t>
      </w:r>
      <w:proofErr w:type="spellEnd"/>
      <w:r w:rsidRPr="00732F0C">
        <w:rPr>
          <w:rFonts w:ascii="Cambria" w:hAnsi="Cambria"/>
          <w:sz w:val="20"/>
          <w:szCs w:val="20"/>
          <w:lang w:val="es-CR"/>
        </w:rPr>
        <w:t>,</w:t>
      </w:r>
      <w:r w:rsidR="00A24688" w:rsidRPr="00732F0C">
        <w:rPr>
          <w:rFonts w:ascii="Cambria" w:hAnsi="Cambria"/>
          <w:sz w:val="20"/>
          <w:szCs w:val="20"/>
          <w:lang w:val="es-CR"/>
        </w:rPr>
        <w:t xml:space="preserve"> como presunto autor</w:t>
      </w:r>
      <w:r w:rsidRPr="00732F0C">
        <w:rPr>
          <w:rFonts w:ascii="Cambria" w:hAnsi="Cambria"/>
          <w:sz w:val="20"/>
          <w:szCs w:val="20"/>
          <w:lang w:val="es-CR"/>
        </w:rPr>
        <w:t>,</w:t>
      </w:r>
      <w:r w:rsidR="00A24688" w:rsidRPr="00732F0C">
        <w:rPr>
          <w:rFonts w:ascii="Cambria" w:hAnsi="Cambria"/>
          <w:sz w:val="20"/>
          <w:szCs w:val="20"/>
          <w:lang w:val="es-CR"/>
        </w:rPr>
        <w:t xml:space="preserve"> y Edwin Ramiro Guzmán Carrera</w:t>
      </w:r>
      <w:r w:rsidRPr="00732F0C">
        <w:rPr>
          <w:rFonts w:ascii="Cambria" w:hAnsi="Cambria"/>
          <w:sz w:val="20"/>
          <w:szCs w:val="20"/>
          <w:lang w:val="es-CR"/>
        </w:rPr>
        <w:t>,</w:t>
      </w:r>
      <w:r w:rsidR="00A24688" w:rsidRPr="00732F0C">
        <w:rPr>
          <w:rFonts w:ascii="Cambria" w:hAnsi="Cambria"/>
          <w:sz w:val="20"/>
          <w:szCs w:val="20"/>
          <w:lang w:val="es-CR"/>
        </w:rPr>
        <w:t xml:space="preserve"> como presunto cómplice</w:t>
      </w:r>
      <w:r w:rsidRPr="00732F0C">
        <w:rPr>
          <w:rFonts w:ascii="Cambria" w:hAnsi="Cambria"/>
          <w:sz w:val="20"/>
          <w:szCs w:val="20"/>
          <w:lang w:val="es-CR"/>
        </w:rPr>
        <w:t>,</w:t>
      </w:r>
      <w:r w:rsidR="00A24688" w:rsidRPr="00732F0C">
        <w:rPr>
          <w:rFonts w:ascii="Cambria" w:hAnsi="Cambria"/>
          <w:sz w:val="20"/>
          <w:szCs w:val="20"/>
          <w:lang w:val="es-CR"/>
        </w:rPr>
        <w:t xml:space="preserve"> del delito de homicidio</w:t>
      </w:r>
      <w:r w:rsidRPr="00732F0C">
        <w:rPr>
          <w:rStyle w:val="FootnoteReference"/>
          <w:rFonts w:ascii="Cambria" w:hAnsi="Cambria"/>
          <w:sz w:val="20"/>
          <w:szCs w:val="20"/>
        </w:rPr>
        <w:footnoteReference w:id="57"/>
      </w:r>
      <w:r w:rsidRPr="00732F0C">
        <w:rPr>
          <w:rFonts w:ascii="Cambria" w:hAnsi="Cambria"/>
          <w:sz w:val="20"/>
          <w:szCs w:val="20"/>
          <w:lang w:val="es-CR"/>
        </w:rPr>
        <w:t>. Asimismo,</w:t>
      </w:r>
      <w:r w:rsidR="00A24688" w:rsidRPr="00732F0C">
        <w:rPr>
          <w:rFonts w:ascii="Cambria" w:hAnsi="Cambria"/>
          <w:sz w:val="20"/>
          <w:szCs w:val="20"/>
          <w:lang w:val="es-CR"/>
        </w:rPr>
        <w:t xml:space="preserve"> sobreseyó provisionalmente a J</w:t>
      </w:r>
      <w:r w:rsidR="001C77C1" w:rsidRPr="00732F0C">
        <w:rPr>
          <w:rFonts w:ascii="Cambria" w:hAnsi="Cambria"/>
          <w:sz w:val="20"/>
          <w:szCs w:val="20"/>
          <w:lang w:val="es-CR"/>
        </w:rPr>
        <w:t xml:space="preserve">osé Ignacio de la Cruz </w:t>
      </w:r>
      <w:proofErr w:type="spellStart"/>
      <w:r w:rsidR="001C77C1" w:rsidRPr="00732F0C">
        <w:rPr>
          <w:rFonts w:ascii="Cambria" w:hAnsi="Cambria"/>
          <w:sz w:val="20"/>
          <w:szCs w:val="20"/>
          <w:lang w:val="es-CR"/>
        </w:rPr>
        <w:t>Chicaiza</w:t>
      </w:r>
      <w:proofErr w:type="spellEnd"/>
      <w:r w:rsidR="00A24688" w:rsidRPr="00732F0C">
        <w:rPr>
          <w:rStyle w:val="FootnoteReference"/>
          <w:rFonts w:ascii="Cambria" w:hAnsi="Cambria"/>
          <w:sz w:val="20"/>
          <w:szCs w:val="20"/>
        </w:rPr>
        <w:footnoteReference w:id="58"/>
      </w:r>
      <w:r w:rsidR="00A24688" w:rsidRPr="00732F0C">
        <w:rPr>
          <w:rFonts w:ascii="Cambria" w:hAnsi="Cambria"/>
          <w:sz w:val="20"/>
          <w:szCs w:val="20"/>
          <w:lang w:val="es-CR"/>
        </w:rPr>
        <w:t xml:space="preserve">. </w:t>
      </w:r>
    </w:p>
    <w:p w:rsidR="00A24688" w:rsidRPr="00732F0C" w:rsidRDefault="00A24688" w:rsidP="00842D6E">
      <w:pPr>
        <w:tabs>
          <w:tab w:val="left" w:pos="1440"/>
        </w:tabs>
        <w:ind w:firstLine="720"/>
        <w:jc w:val="both"/>
        <w:rPr>
          <w:rFonts w:ascii="Cambria" w:hAnsi="Cambria"/>
          <w:sz w:val="20"/>
          <w:szCs w:val="20"/>
          <w:lang w:val="es-CR"/>
        </w:rPr>
      </w:pPr>
    </w:p>
    <w:p w:rsidR="00A24688" w:rsidRPr="00732F0C" w:rsidRDefault="001C77C1"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El 29 de agosto de 1995</w:t>
      </w:r>
      <w:r w:rsidR="00A24688" w:rsidRPr="00732F0C">
        <w:rPr>
          <w:rFonts w:ascii="Cambria" w:hAnsi="Cambria"/>
          <w:sz w:val="20"/>
          <w:szCs w:val="20"/>
          <w:lang w:val="es-CR"/>
        </w:rPr>
        <w:t xml:space="preserve"> la Sala Segunda de la Corte Superior de Justicia de Ibarra confirmó el auto de sobreseimiento</w:t>
      </w:r>
      <w:r w:rsidRPr="00732F0C">
        <w:rPr>
          <w:rFonts w:ascii="Cambria" w:hAnsi="Cambria"/>
          <w:sz w:val="20"/>
          <w:szCs w:val="20"/>
          <w:lang w:val="es-CR"/>
        </w:rPr>
        <w:t xml:space="preserve"> de José de la Cruz</w:t>
      </w:r>
      <w:r w:rsidR="00A24688" w:rsidRPr="00732F0C">
        <w:rPr>
          <w:rFonts w:ascii="Cambria" w:hAnsi="Cambria"/>
          <w:sz w:val="20"/>
          <w:szCs w:val="20"/>
          <w:lang w:val="es-CR"/>
        </w:rPr>
        <w:t xml:space="preserve"> y el auto de llamamiento a plenario solamente respecto de Segundo Néstor de la Cruz </w:t>
      </w:r>
      <w:proofErr w:type="spellStart"/>
      <w:r w:rsidR="00A24688" w:rsidRPr="00732F0C">
        <w:rPr>
          <w:rFonts w:ascii="Cambria" w:hAnsi="Cambria"/>
          <w:sz w:val="20"/>
          <w:szCs w:val="20"/>
          <w:lang w:val="es-CR"/>
        </w:rPr>
        <w:t>Chicaiza</w:t>
      </w:r>
      <w:proofErr w:type="spellEnd"/>
      <w:r w:rsidR="00A24688" w:rsidRPr="00732F0C">
        <w:rPr>
          <w:rFonts w:ascii="Cambria" w:hAnsi="Cambria"/>
          <w:sz w:val="20"/>
          <w:szCs w:val="20"/>
          <w:lang w:val="es-CR"/>
        </w:rPr>
        <w:t>, por entender que no existían graves indicios de responsabilidad en contra de Edwin Ramiro Guzmán</w:t>
      </w:r>
      <w:r w:rsidR="00A24688" w:rsidRPr="00732F0C">
        <w:rPr>
          <w:rStyle w:val="FootnoteReference"/>
          <w:rFonts w:ascii="Cambria" w:hAnsi="Cambria"/>
          <w:sz w:val="20"/>
          <w:szCs w:val="20"/>
        </w:rPr>
        <w:footnoteReference w:id="59"/>
      </w:r>
      <w:r w:rsidR="00A24688" w:rsidRPr="00732F0C">
        <w:rPr>
          <w:rFonts w:ascii="Cambria" w:hAnsi="Cambria"/>
          <w:sz w:val="20"/>
          <w:szCs w:val="20"/>
          <w:lang w:val="es-CR"/>
        </w:rPr>
        <w:t xml:space="preserve">. </w:t>
      </w:r>
    </w:p>
    <w:p w:rsidR="00A24688" w:rsidRPr="00732F0C" w:rsidRDefault="00A24688" w:rsidP="00842D6E">
      <w:pPr>
        <w:tabs>
          <w:tab w:val="left" w:pos="1440"/>
        </w:tabs>
        <w:ind w:firstLine="720"/>
        <w:jc w:val="both"/>
        <w:rPr>
          <w:rFonts w:ascii="Cambria" w:hAnsi="Cambria"/>
          <w:sz w:val="20"/>
          <w:szCs w:val="20"/>
          <w:lang w:val="es-CR"/>
        </w:rPr>
      </w:pPr>
    </w:p>
    <w:p w:rsidR="00971A9F" w:rsidRPr="00732F0C" w:rsidRDefault="001C77C1"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El 3 de septiembre de 1995</w:t>
      </w:r>
      <w:r w:rsidR="00A24688" w:rsidRPr="00732F0C">
        <w:rPr>
          <w:rFonts w:ascii="Cambria" w:hAnsi="Cambria"/>
          <w:sz w:val="20"/>
          <w:szCs w:val="20"/>
          <w:lang w:val="es-CR"/>
        </w:rPr>
        <w:t xml:space="preserve"> el Tribunal Penal de Imbabura declaró que Segundo Néstor de la Cruz </w:t>
      </w:r>
      <w:proofErr w:type="spellStart"/>
      <w:r w:rsidR="00A24688" w:rsidRPr="00732F0C">
        <w:rPr>
          <w:rFonts w:ascii="Cambria" w:hAnsi="Cambria"/>
          <w:sz w:val="20"/>
          <w:szCs w:val="20"/>
          <w:lang w:val="es-CR"/>
        </w:rPr>
        <w:t>Chicaiza</w:t>
      </w:r>
      <w:proofErr w:type="spellEnd"/>
      <w:r w:rsidR="00A24688" w:rsidRPr="00732F0C">
        <w:rPr>
          <w:rFonts w:ascii="Cambria" w:hAnsi="Cambria"/>
          <w:sz w:val="20"/>
          <w:szCs w:val="20"/>
          <w:lang w:val="es-CR"/>
        </w:rPr>
        <w:t xml:space="preserve"> </w:t>
      </w:r>
      <w:r w:rsidR="008959FA" w:rsidRPr="00732F0C">
        <w:rPr>
          <w:rFonts w:ascii="Cambria" w:hAnsi="Cambria"/>
          <w:sz w:val="20"/>
          <w:szCs w:val="20"/>
          <w:lang w:val="es-CR"/>
        </w:rPr>
        <w:t>es responsable del homicidio de Jorge Darwin conforme el artículo 449 del Código Penal, y del intento de homicidio de Franklin Plutarco conforme a los artículos 16, 49 y 449 del Código Penal</w:t>
      </w:r>
      <w:r w:rsidR="008959FA" w:rsidRPr="00732F0C">
        <w:rPr>
          <w:rStyle w:val="FootnoteReference"/>
          <w:rFonts w:ascii="Cambria" w:hAnsi="Cambria"/>
          <w:sz w:val="20"/>
          <w:szCs w:val="20"/>
          <w:lang w:val="es-AR"/>
        </w:rPr>
        <w:footnoteReference w:id="60"/>
      </w:r>
      <w:r w:rsidR="008959FA" w:rsidRPr="00732F0C">
        <w:rPr>
          <w:rFonts w:ascii="Cambria" w:hAnsi="Cambria"/>
          <w:sz w:val="20"/>
          <w:szCs w:val="20"/>
          <w:lang w:val="es-CR"/>
        </w:rPr>
        <w:t xml:space="preserve">.  </w:t>
      </w:r>
      <w:r w:rsidR="00971A9F" w:rsidRPr="00732F0C">
        <w:rPr>
          <w:rFonts w:ascii="Cambria" w:hAnsi="Cambria"/>
          <w:sz w:val="20"/>
          <w:szCs w:val="20"/>
          <w:lang w:val="es-CR"/>
        </w:rPr>
        <w:t>Sostuvo que conforme a los informes realizados, los disparos en contra de Jorge Darwin fueron realizados de frente y a poca distancia por lo que rechazó las declaraciones del señor de la Cruz relacionadas a que habría sido golpeado y haya estado en el suelo</w:t>
      </w:r>
      <w:r w:rsidR="00971A9F" w:rsidRPr="00732F0C">
        <w:rPr>
          <w:rStyle w:val="FootnoteReference"/>
          <w:rFonts w:ascii="Cambria" w:hAnsi="Cambria"/>
          <w:sz w:val="20"/>
          <w:szCs w:val="20"/>
          <w:lang w:val="es-AR"/>
        </w:rPr>
        <w:footnoteReference w:id="61"/>
      </w:r>
      <w:r w:rsidR="00971A9F" w:rsidRPr="00732F0C">
        <w:rPr>
          <w:rFonts w:ascii="Cambria" w:hAnsi="Cambria"/>
          <w:sz w:val="20"/>
          <w:szCs w:val="20"/>
          <w:lang w:val="es-CR"/>
        </w:rPr>
        <w:t>.</w:t>
      </w:r>
    </w:p>
    <w:p w:rsidR="00971A9F" w:rsidRPr="00732F0C" w:rsidRDefault="00971A9F" w:rsidP="00842D6E">
      <w:pPr>
        <w:pStyle w:val="ListParagraph"/>
        <w:jc w:val="both"/>
        <w:rPr>
          <w:sz w:val="20"/>
          <w:szCs w:val="20"/>
          <w:lang w:val="es-CR"/>
        </w:rPr>
      </w:pPr>
    </w:p>
    <w:p w:rsidR="00A24688" w:rsidRPr="00732F0C" w:rsidRDefault="00971A9F"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El Tribunal concluyó que el señor de la Cruz </w:t>
      </w:r>
      <w:r w:rsidR="00A24688" w:rsidRPr="00732F0C">
        <w:rPr>
          <w:rFonts w:ascii="Cambria" w:hAnsi="Cambria"/>
          <w:sz w:val="20"/>
          <w:szCs w:val="20"/>
          <w:lang w:val="es-CR"/>
        </w:rPr>
        <w:t xml:space="preserve">“es responsable del delito tipificado y sancionado en el artículo 449 del Código Penal que es el delito más grave, y como ha justificado las atenuantes </w:t>
      </w:r>
      <w:r w:rsidR="00A24688" w:rsidRPr="00732F0C">
        <w:rPr>
          <w:rFonts w:ascii="Cambria" w:hAnsi="Cambria"/>
          <w:sz w:val="20"/>
          <w:szCs w:val="20"/>
          <w:lang w:val="es-AR"/>
        </w:rPr>
        <w:t>[6 y 7 del artículo 29 del Código Penal</w:t>
      </w:r>
      <w:r w:rsidR="00A24688" w:rsidRPr="00732F0C">
        <w:rPr>
          <w:rStyle w:val="FootnoteReference"/>
          <w:rFonts w:ascii="Cambria" w:hAnsi="Cambria"/>
          <w:sz w:val="20"/>
          <w:szCs w:val="20"/>
          <w:lang w:val="es-AR"/>
        </w:rPr>
        <w:footnoteReference w:id="62"/>
      </w:r>
      <w:r w:rsidR="00A24688" w:rsidRPr="00732F0C">
        <w:rPr>
          <w:rFonts w:ascii="Cambria" w:hAnsi="Cambria"/>
          <w:sz w:val="20"/>
          <w:szCs w:val="20"/>
          <w:lang w:val="es-AR"/>
        </w:rPr>
        <w:t xml:space="preserve">], atento a lo dispuesto en el inciso tercero del Art. 72 del Código citado, se le </w:t>
      </w:r>
      <w:r w:rsidR="00A24688" w:rsidRPr="00732F0C">
        <w:rPr>
          <w:rFonts w:ascii="Cambria" w:hAnsi="Cambria"/>
          <w:sz w:val="20"/>
          <w:szCs w:val="20"/>
          <w:lang w:val="es-AR"/>
        </w:rPr>
        <w:lastRenderedPageBreak/>
        <w:t>impone la pena modificada de SEIS AÑOS de reclusión menor que deberá cumplir en el Penal García Moreno de la ciudad de Quito, debiendo descontarse el tiempo que ha permanecido detenido por esta causa”</w:t>
      </w:r>
      <w:r w:rsidR="00A24688" w:rsidRPr="00732F0C">
        <w:rPr>
          <w:rStyle w:val="FootnoteReference"/>
          <w:rFonts w:ascii="Cambria" w:hAnsi="Cambria"/>
          <w:sz w:val="20"/>
          <w:szCs w:val="20"/>
          <w:lang w:val="es-AR"/>
        </w:rPr>
        <w:footnoteReference w:id="63"/>
      </w:r>
      <w:r w:rsidR="00A24688" w:rsidRPr="00732F0C">
        <w:rPr>
          <w:rFonts w:ascii="Cambria" w:hAnsi="Cambria"/>
          <w:sz w:val="20"/>
          <w:szCs w:val="20"/>
          <w:lang w:val="es-AR"/>
        </w:rPr>
        <w:t>.</w:t>
      </w:r>
      <w:r w:rsidR="00A24688" w:rsidRPr="00732F0C">
        <w:rPr>
          <w:rFonts w:ascii="Cambria" w:hAnsi="Cambria"/>
          <w:sz w:val="20"/>
          <w:szCs w:val="20"/>
          <w:lang w:val="es-CR"/>
        </w:rPr>
        <w:t xml:space="preserve"> </w:t>
      </w:r>
    </w:p>
    <w:p w:rsidR="00A24688" w:rsidRPr="00732F0C" w:rsidRDefault="00A24688" w:rsidP="00842D6E">
      <w:pPr>
        <w:tabs>
          <w:tab w:val="left" w:pos="1440"/>
        </w:tabs>
        <w:ind w:firstLine="720"/>
        <w:jc w:val="both"/>
        <w:rPr>
          <w:rFonts w:ascii="Cambria" w:hAnsi="Cambria"/>
          <w:sz w:val="20"/>
          <w:szCs w:val="20"/>
          <w:lang w:val="es-CR"/>
        </w:rPr>
      </w:pPr>
    </w:p>
    <w:p w:rsidR="00A24688" w:rsidRPr="00732F0C" w:rsidRDefault="001C77C1"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w:t>
      </w:r>
      <w:r w:rsidR="00A24688" w:rsidRPr="00732F0C">
        <w:rPr>
          <w:rFonts w:ascii="Cambria" w:hAnsi="Cambria"/>
          <w:sz w:val="20"/>
          <w:szCs w:val="20"/>
          <w:lang w:val="es-CR"/>
        </w:rPr>
        <w:t xml:space="preserve">l Tribunal </w:t>
      </w:r>
      <w:r w:rsidRPr="00732F0C">
        <w:rPr>
          <w:rFonts w:ascii="Cambria" w:hAnsi="Cambria"/>
          <w:sz w:val="20"/>
          <w:szCs w:val="20"/>
          <w:lang w:val="es-CR"/>
        </w:rPr>
        <w:t xml:space="preserve">señaló que </w:t>
      </w:r>
      <w:r w:rsidR="00A24688" w:rsidRPr="00732F0C">
        <w:rPr>
          <w:rFonts w:ascii="Cambria" w:hAnsi="Cambria"/>
          <w:sz w:val="20"/>
          <w:szCs w:val="20"/>
          <w:lang w:val="es-CR"/>
        </w:rPr>
        <w:t xml:space="preserve">tuvo en cuenta </w:t>
      </w:r>
      <w:r w:rsidRPr="00732F0C">
        <w:rPr>
          <w:rFonts w:ascii="Cambria" w:hAnsi="Cambria"/>
          <w:sz w:val="20"/>
          <w:szCs w:val="20"/>
          <w:lang w:val="es-CR"/>
        </w:rPr>
        <w:t>los siguientes elementos de prueba a efectos de emitir su sentencia</w:t>
      </w:r>
      <w:r w:rsidR="00A24688" w:rsidRPr="00732F0C">
        <w:rPr>
          <w:rFonts w:ascii="Cambria" w:hAnsi="Cambria"/>
          <w:sz w:val="20"/>
          <w:szCs w:val="20"/>
          <w:lang w:val="es-CR"/>
        </w:rPr>
        <w:t xml:space="preserve">: la identificación del cadáver, el protocolo de autopsia, la ampliación pericial obrante en la causa, la partida de defunción de Jorge Darwin García, la historia clínica de Franklin Plutarco García, el reconocimiento médico legal de Néstor de la Cruz </w:t>
      </w:r>
      <w:proofErr w:type="spellStart"/>
      <w:r w:rsidR="00A24688" w:rsidRPr="00732F0C">
        <w:rPr>
          <w:rFonts w:ascii="Cambria" w:hAnsi="Cambria"/>
          <w:sz w:val="20"/>
          <w:szCs w:val="20"/>
          <w:lang w:val="es-CR"/>
        </w:rPr>
        <w:t>Chicaiza</w:t>
      </w:r>
      <w:proofErr w:type="spellEnd"/>
      <w:r w:rsidR="00A24688" w:rsidRPr="00732F0C">
        <w:rPr>
          <w:rFonts w:ascii="Cambria" w:hAnsi="Cambria"/>
          <w:sz w:val="20"/>
          <w:szCs w:val="20"/>
          <w:lang w:val="es-CR"/>
        </w:rPr>
        <w:t xml:space="preserve">, el examen de laboratorio de proyectiles, la declaración de Edwin Ramiro Guzman Carrera, la prueba recolectada en la investigación policial, la declaración indagatoria de Néstor de la Cruz </w:t>
      </w:r>
      <w:proofErr w:type="spellStart"/>
      <w:r w:rsidR="00A24688" w:rsidRPr="00732F0C">
        <w:rPr>
          <w:rFonts w:ascii="Cambria" w:hAnsi="Cambria"/>
          <w:sz w:val="20"/>
          <w:szCs w:val="20"/>
          <w:lang w:val="es-CR"/>
        </w:rPr>
        <w:t>Chicaiza</w:t>
      </w:r>
      <w:proofErr w:type="spellEnd"/>
      <w:r w:rsidR="00A24688" w:rsidRPr="00732F0C">
        <w:rPr>
          <w:rFonts w:ascii="Cambria" w:hAnsi="Cambria"/>
          <w:sz w:val="20"/>
          <w:szCs w:val="20"/>
          <w:lang w:val="es-CR"/>
        </w:rPr>
        <w:t xml:space="preserve">, el testimonio de Segundo Mesías Espinoza Méndez, Edgar Silvio Torres </w:t>
      </w:r>
      <w:proofErr w:type="spellStart"/>
      <w:r w:rsidR="00A24688" w:rsidRPr="00732F0C">
        <w:rPr>
          <w:rFonts w:ascii="Cambria" w:hAnsi="Cambria"/>
          <w:sz w:val="20"/>
          <w:szCs w:val="20"/>
          <w:lang w:val="es-CR"/>
        </w:rPr>
        <w:t>Carcelen</w:t>
      </w:r>
      <w:proofErr w:type="spellEnd"/>
      <w:r w:rsidR="00A24688" w:rsidRPr="00732F0C">
        <w:rPr>
          <w:rFonts w:ascii="Cambria" w:hAnsi="Cambria"/>
          <w:sz w:val="20"/>
          <w:szCs w:val="20"/>
          <w:lang w:val="es-CR"/>
        </w:rPr>
        <w:t xml:space="preserve">, Segundo Eliecer </w:t>
      </w:r>
      <w:proofErr w:type="spellStart"/>
      <w:r w:rsidR="00A24688" w:rsidRPr="00732F0C">
        <w:rPr>
          <w:rFonts w:ascii="Cambria" w:hAnsi="Cambria"/>
          <w:sz w:val="20"/>
          <w:szCs w:val="20"/>
          <w:lang w:val="es-CR"/>
        </w:rPr>
        <w:t>Pijal</w:t>
      </w:r>
      <w:proofErr w:type="spellEnd"/>
      <w:r w:rsidR="00A24688" w:rsidRPr="00732F0C">
        <w:rPr>
          <w:rFonts w:ascii="Cambria" w:hAnsi="Cambria"/>
          <w:sz w:val="20"/>
          <w:szCs w:val="20"/>
          <w:lang w:val="es-CR"/>
        </w:rPr>
        <w:t xml:space="preserve"> </w:t>
      </w:r>
      <w:proofErr w:type="spellStart"/>
      <w:r w:rsidR="00A24688" w:rsidRPr="00732F0C">
        <w:rPr>
          <w:rFonts w:ascii="Cambria" w:hAnsi="Cambria"/>
          <w:sz w:val="20"/>
          <w:szCs w:val="20"/>
          <w:lang w:val="es-CR"/>
        </w:rPr>
        <w:t>Chicaiza</w:t>
      </w:r>
      <w:proofErr w:type="spellEnd"/>
      <w:r w:rsidR="00A24688" w:rsidRPr="00732F0C">
        <w:rPr>
          <w:rFonts w:ascii="Cambria" w:hAnsi="Cambria"/>
          <w:sz w:val="20"/>
          <w:szCs w:val="20"/>
          <w:lang w:val="es-CR"/>
        </w:rPr>
        <w:t xml:space="preserve"> y Cesar Manuel </w:t>
      </w:r>
      <w:proofErr w:type="spellStart"/>
      <w:r w:rsidR="00A24688" w:rsidRPr="00732F0C">
        <w:rPr>
          <w:rFonts w:ascii="Cambria" w:hAnsi="Cambria"/>
          <w:sz w:val="20"/>
          <w:szCs w:val="20"/>
          <w:lang w:val="es-CR"/>
        </w:rPr>
        <w:t>Farinango</w:t>
      </w:r>
      <w:proofErr w:type="spellEnd"/>
      <w:r w:rsidR="00A24688" w:rsidRPr="00732F0C">
        <w:rPr>
          <w:rFonts w:ascii="Cambria" w:hAnsi="Cambria"/>
          <w:sz w:val="20"/>
          <w:szCs w:val="20"/>
          <w:lang w:val="es-CR"/>
        </w:rPr>
        <w:t xml:space="preserve"> </w:t>
      </w:r>
      <w:proofErr w:type="spellStart"/>
      <w:r w:rsidR="00A24688" w:rsidRPr="00732F0C">
        <w:rPr>
          <w:rFonts w:ascii="Cambria" w:hAnsi="Cambria"/>
          <w:sz w:val="20"/>
          <w:szCs w:val="20"/>
          <w:lang w:val="es-CR"/>
        </w:rPr>
        <w:t>Caiza</w:t>
      </w:r>
      <w:proofErr w:type="spellEnd"/>
      <w:r w:rsidR="00A24688" w:rsidRPr="00732F0C">
        <w:rPr>
          <w:rStyle w:val="FootnoteReference"/>
          <w:rFonts w:ascii="Cambria" w:hAnsi="Cambria"/>
          <w:sz w:val="20"/>
          <w:szCs w:val="20"/>
        </w:rPr>
        <w:footnoteReference w:id="64"/>
      </w:r>
      <w:r w:rsidR="00A24688" w:rsidRPr="00732F0C">
        <w:rPr>
          <w:rFonts w:ascii="Cambria" w:hAnsi="Cambria"/>
          <w:sz w:val="20"/>
          <w:szCs w:val="20"/>
          <w:lang w:val="es-CR"/>
        </w:rPr>
        <w:t>. En particular, destacó que el examen realizado sobre la parafina, que resultó negativo, posiblemente se debía a que había sido realizado a los 17 días de los acontecimientos</w:t>
      </w:r>
      <w:r w:rsidR="00A24688" w:rsidRPr="00732F0C">
        <w:rPr>
          <w:rStyle w:val="FootnoteReference"/>
          <w:rFonts w:ascii="Cambria" w:hAnsi="Cambria"/>
          <w:sz w:val="20"/>
          <w:szCs w:val="20"/>
        </w:rPr>
        <w:footnoteReference w:id="65"/>
      </w:r>
      <w:r w:rsidR="00A24688" w:rsidRPr="00732F0C">
        <w:rPr>
          <w:rFonts w:ascii="Cambria" w:hAnsi="Cambria"/>
          <w:sz w:val="20"/>
          <w:szCs w:val="20"/>
          <w:lang w:val="es-CR"/>
        </w:rPr>
        <w:t>.</w:t>
      </w:r>
    </w:p>
    <w:p w:rsidR="00A24688" w:rsidRPr="00732F0C" w:rsidRDefault="00A24688" w:rsidP="00842D6E">
      <w:pPr>
        <w:tabs>
          <w:tab w:val="left" w:pos="1440"/>
        </w:tabs>
        <w:ind w:firstLine="720"/>
        <w:jc w:val="both"/>
        <w:rPr>
          <w:rFonts w:ascii="Cambria" w:hAnsi="Cambria"/>
          <w:sz w:val="20"/>
          <w:szCs w:val="20"/>
          <w:lang w:val="es-CR"/>
        </w:rPr>
      </w:pPr>
    </w:p>
    <w:p w:rsidR="00A24688" w:rsidRPr="00732F0C" w:rsidRDefault="00A2468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Asimismo, el Tribunal analizó el testimonio de José Vicente Ruiz </w:t>
      </w:r>
      <w:proofErr w:type="spellStart"/>
      <w:r w:rsidRPr="00732F0C">
        <w:rPr>
          <w:rFonts w:ascii="Cambria" w:hAnsi="Cambria"/>
          <w:sz w:val="20"/>
          <w:szCs w:val="20"/>
          <w:lang w:val="es-CR"/>
        </w:rPr>
        <w:t>Teran</w:t>
      </w:r>
      <w:proofErr w:type="spellEnd"/>
      <w:r w:rsidRPr="00732F0C">
        <w:rPr>
          <w:rFonts w:ascii="Cambria" w:hAnsi="Cambria"/>
          <w:sz w:val="20"/>
          <w:szCs w:val="20"/>
          <w:lang w:val="es-CR"/>
        </w:rPr>
        <w:t xml:space="preserve">, quien </w:t>
      </w:r>
      <w:r w:rsidR="001C77C1" w:rsidRPr="00732F0C">
        <w:rPr>
          <w:rFonts w:ascii="Cambria" w:hAnsi="Cambria"/>
          <w:sz w:val="20"/>
          <w:szCs w:val="20"/>
          <w:lang w:val="es-CR"/>
        </w:rPr>
        <w:t xml:space="preserve">sostuvo que </w:t>
      </w:r>
      <w:proofErr w:type="gramStart"/>
      <w:r w:rsidRPr="00732F0C">
        <w:rPr>
          <w:rFonts w:ascii="Cambria" w:hAnsi="Cambria"/>
          <w:sz w:val="20"/>
          <w:szCs w:val="20"/>
          <w:lang w:val="es-CR"/>
        </w:rPr>
        <w:t xml:space="preserve">“ </w:t>
      </w:r>
      <w:r w:rsidR="001C77C1" w:rsidRPr="00732F0C">
        <w:rPr>
          <w:rFonts w:ascii="Cambria" w:hAnsi="Cambria"/>
          <w:sz w:val="20"/>
          <w:szCs w:val="20"/>
          <w:lang w:val="es-CR"/>
        </w:rPr>
        <w:t>(</w:t>
      </w:r>
      <w:proofErr w:type="gramEnd"/>
      <w:r w:rsidR="001C77C1" w:rsidRPr="00732F0C">
        <w:rPr>
          <w:rFonts w:ascii="Cambria" w:hAnsi="Cambria"/>
          <w:sz w:val="20"/>
          <w:szCs w:val="20"/>
          <w:lang w:val="es-CR"/>
        </w:rPr>
        <w:t>…)</w:t>
      </w:r>
      <w:r w:rsidRPr="00732F0C">
        <w:rPr>
          <w:rFonts w:ascii="Cambria" w:hAnsi="Cambria"/>
          <w:sz w:val="20"/>
          <w:szCs w:val="20"/>
          <w:lang w:val="es-CR"/>
        </w:rPr>
        <w:t xml:space="preserve"> el día de los hechos escuchó el comentario que hacía Segundo Néstor de la Cruz </w:t>
      </w:r>
      <w:proofErr w:type="spellStart"/>
      <w:r w:rsidRPr="00732F0C">
        <w:rPr>
          <w:rFonts w:ascii="Cambria" w:hAnsi="Cambria"/>
          <w:sz w:val="20"/>
          <w:szCs w:val="20"/>
          <w:lang w:val="es-CR"/>
        </w:rPr>
        <w:t>Chicaiza</w:t>
      </w:r>
      <w:proofErr w:type="spellEnd"/>
      <w:r w:rsidRPr="00732F0C">
        <w:rPr>
          <w:rFonts w:ascii="Cambria" w:hAnsi="Cambria"/>
          <w:sz w:val="20"/>
          <w:szCs w:val="20"/>
          <w:lang w:val="es-CR"/>
        </w:rPr>
        <w:t xml:space="preserve"> cuando manifestaba: ‘ya vengo matando a dos, yo hice uso de mi revólver’”</w:t>
      </w:r>
      <w:r w:rsidR="001C77C1" w:rsidRPr="00732F0C">
        <w:rPr>
          <w:rStyle w:val="FootnoteReference"/>
          <w:rFonts w:ascii="Cambria" w:hAnsi="Cambria"/>
          <w:sz w:val="20"/>
          <w:szCs w:val="20"/>
        </w:rPr>
        <w:footnoteReference w:id="66"/>
      </w:r>
      <w:r w:rsidR="001C77C1" w:rsidRPr="00732F0C">
        <w:rPr>
          <w:rFonts w:ascii="Cambria" w:hAnsi="Cambria"/>
          <w:sz w:val="20"/>
          <w:szCs w:val="20"/>
          <w:lang w:val="es-CR"/>
        </w:rPr>
        <w:t>.</w:t>
      </w:r>
      <w:r w:rsidR="00C40B61" w:rsidRPr="00732F0C">
        <w:rPr>
          <w:rFonts w:ascii="Cambria" w:hAnsi="Cambria"/>
          <w:sz w:val="20"/>
          <w:szCs w:val="20"/>
          <w:lang w:val="es-CR"/>
        </w:rPr>
        <w:t xml:space="preserve"> Asimismo, el Tribunal tomó en cuenta</w:t>
      </w:r>
      <w:r w:rsidR="001C77C1" w:rsidRPr="00732F0C">
        <w:rPr>
          <w:rFonts w:ascii="Cambria" w:hAnsi="Cambria"/>
          <w:sz w:val="20"/>
          <w:szCs w:val="20"/>
          <w:lang w:val="es-CR"/>
        </w:rPr>
        <w:t xml:space="preserve"> </w:t>
      </w:r>
      <w:r w:rsidRPr="00732F0C">
        <w:rPr>
          <w:rFonts w:ascii="Cambria" w:hAnsi="Cambria"/>
          <w:sz w:val="20"/>
          <w:szCs w:val="20"/>
          <w:lang w:val="es-CR"/>
        </w:rPr>
        <w:t xml:space="preserve">el testimonio de María Mónica Carmela Nogales Robes, quien “oyó de Segundo Néstor de la Cruz </w:t>
      </w:r>
      <w:proofErr w:type="spellStart"/>
      <w:r w:rsidRPr="00732F0C">
        <w:rPr>
          <w:rFonts w:ascii="Cambria" w:hAnsi="Cambria"/>
          <w:sz w:val="20"/>
          <w:szCs w:val="20"/>
          <w:lang w:val="es-CR"/>
        </w:rPr>
        <w:t>Chicaiza</w:t>
      </w:r>
      <w:proofErr w:type="spellEnd"/>
      <w:r w:rsidRPr="00732F0C">
        <w:rPr>
          <w:rFonts w:ascii="Cambria" w:hAnsi="Cambria"/>
          <w:sz w:val="20"/>
          <w:szCs w:val="20"/>
          <w:lang w:val="es-CR"/>
        </w:rPr>
        <w:t xml:space="preserve"> que había sido asaltado por unos morenos y que en defensa propia había sacado un revólver y había disparado, resaltando estas palabras: ‘vengo matando a dos’”</w:t>
      </w:r>
      <w:r w:rsidRPr="00732F0C">
        <w:rPr>
          <w:rStyle w:val="FootnoteReference"/>
          <w:rFonts w:ascii="Cambria" w:hAnsi="Cambria"/>
          <w:sz w:val="20"/>
          <w:szCs w:val="20"/>
        </w:rPr>
        <w:footnoteReference w:id="67"/>
      </w:r>
      <w:r w:rsidRPr="00732F0C">
        <w:rPr>
          <w:rFonts w:ascii="Cambria" w:hAnsi="Cambria"/>
          <w:sz w:val="20"/>
          <w:szCs w:val="20"/>
          <w:lang w:val="es-CR"/>
        </w:rPr>
        <w:t xml:space="preserve">. </w:t>
      </w:r>
    </w:p>
    <w:p w:rsidR="00A24688" w:rsidRPr="00732F0C" w:rsidRDefault="00A24688" w:rsidP="00842D6E">
      <w:pPr>
        <w:tabs>
          <w:tab w:val="left" w:pos="1440"/>
        </w:tabs>
        <w:ind w:firstLine="720"/>
        <w:jc w:val="both"/>
        <w:rPr>
          <w:rFonts w:ascii="Cambria" w:hAnsi="Cambria"/>
          <w:sz w:val="20"/>
          <w:szCs w:val="20"/>
          <w:lang w:val="es-CR"/>
        </w:rPr>
      </w:pPr>
    </w:p>
    <w:p w:rsidR="00A24688" w:rsidRPr="00732F0C" w:rsidRDefault="00A2468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El Tribunal también consideró el parte informativo elevado al Comandante Provincial de Policía en el que figura que </w:t>
      </w:r>
      <w:r w:rsidR="00B266E7" w:rsidRPr="00732F0C">
        <w:rPr>
          <w:rFonts w:ascii="Cambria" w:hAnsi="Cambria"/>
          <w:sz w:val="20"/>
          <w:szCs w:val="20"/>
          <w:lang w:val="es-CR"/>
        </w:rPr>
        <w:t xml:space="preserve">Segundo </w:t>
      </w:r>
      <w:r w:rsidRPr="00732F0C">
        <w:rPr>
          <w:rFonts w:ascii="Cambria" w:hAnsi="Cambria"/>
          <w:sz w:val="20"/>
          <w:szCs w:val="20"/>
          <w:lang w:val="es-CR"/>
        </w:rPr>
        <w:t xml:space="preserve">Néstor de la Cruz </w:t>
      </w:r>
      <w:proofErr w:type="spellStart"/>
      <w:r w:rsidRPr="00732F0C">
        <w:rPr>
          <w:rFonts w:ascii="Cambria" w:hAnsi="Cambria"/>
          <w:sz w:val="20"/>
          <w:szCs w:val="20"/>
          <w:lang w:val="es-CR"/>
        </w:rPr>
        <w:t>Chicaiza</w:t>
      </w:r>
      <w:proofErr w:type="spellEnd"/>
      <w:r w:rsidRPr="00732F0C">
        <w:rPr>
          <w:rFonts w:ascii="Cambria" w:hAnsi="Cambria"/>
          <w:sz w:val="20"/>
          <w:szCs w:val="20"/>
          <w:lang w:val="es-CR"/>
        </w:rPr>
        <w:t xml:space="preserve"> indicó “que había hecho uso del arma de Estado es decir del revólver marca Smith </w:t>
      </w:r>
      <w:proofErr w:type="spellStart"/>
      <w:r w:rsidRPr="00732F0C">
        <w:rPr>
          <w:rFonts w:ascii="Cambria" w:hAnsi="Cambria"/>
          <w:sz w:val="20"/>
          <w:szCs w:val="20"/>
          <w:lang w:val="es-CR"/>
        </w:rPr>
        <w:t>Wesson</w:t>
      </w:r>
      <w:proofErr w:type="spellEnd"/>
      <w:r w:rsidRPr="00732F0C">
        <w:rPr>
          <w:rFonts w:ascii="Cambria" w:hAnsi="Cambria"/>
          <w:sz w:val="20"/>
          <w:szCs w:val="20"/>
          <w:lang w:val="es-CR"/>
        </w:rPr>
        <w:t xml:space="preserve"> calibre 38 corto que le fue entregado en dotación ‘sin recordar si ha impactado o no algún tiro a persona alguna por el estado de embriaguez en que se ha encontrado’”</w:t>
      </w:r>
      <w:r w:rsidRPr="00732F0C">
        <w:rPr>
          <w:rStyle w:val="FootnoteReference"/>
          <w:rFonts w:ascii="Cambria" w:hAnsi="Cambria"/>
          <w:sz w:val="20"/>
          <w:szCs w:val="20"/>
        </w:rPr>
        <w:footnoteReference w:id="68"/>
      </w:r>
      <w:r w:rsidRPr="00732F0C">
        <w:rPr>
          <w:rFonts w:ascii="Cambria" w:hAnsi="Cambria"/>
          <w:sz w:val="20"/>
          <w:szCs w:val="20"/>
          <w:lang w:val="es-CR"/>
        </w:rPr>
        <w:t>.</w:t>
      </w:r>
    </w:p>
    <w:p w:rsidR="00A24688" w:rsidRPr="00732F0C" w:rsidRDefault="00A24688" w:rsidP="00842D6E">
      <w:pPr>
        <w:tabs>
          <w:tab w:val="left" w:pos="1440"/>
        </w:tabs>
        <w:ind w:firstLine="720"/>
        <w:jc w:val="both"/>
        <w:rPr>
          <w:rFonts w:ascii="Cambria" w:hAnsi="Cambria"/>
          <w:sz w:val="20"/>
          <w:szCs w:val="20"/>
          <w:lang w:val="es-CR"/>
        </w:rPr>
      </w:pPr>
    </w:p>
    <w:p w:rsidR="00A24688" w:rsidRPr="00732F0C" w:rsidRDefault="00A2468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Por otra parte, el Tribunal consideró que en el careo llevado a cabo entre </w:t>
      </w:r>
      <w:r w:rsidR="00B266E7" w:rsidRPr="00732F0C">
        <w:rPr>
          <w:rFonts w:ascii="Cambria" w:hAnsi="Cambria"/>
          <w:sz w:val="20"/>
          <w:szCs w:val="20"/>
          <w:lang w:val="es-CR"/>
        </w:rPr>
        <w:t>los policías  Edwin Ramiro Guzmá</w:t>
      </w:r>
      <w:r w:rsidRPr="00732F0C">
        <w:rPr>
          <w:rFonts w:ascii="Cambria" w:hAnsi="Cambria"/>
          <w:sz w:val="20"/>
          <w:szCs w:val="20"/>
          <w:lang w:val="es-CR"/>
        </w:rPr>
        <w:t xml:space="preserve">n y Segundo Néstor de la Cruz </w:t>
      </w:r>
      <w:proofErr w:type="spellStart"/>
      <w:r w:rsidRPr="00732F0C">
        <w:rPr>
          <w:rFonts w:ascii="Cambria" w:hAnsi="Cambria"/>
          <w:sz w:val="20"/>
          <w:szCs w:val="20"/>
          <w:lang w:val="es-CR"/>
        </w:rPr>
        <w:t>Chicaiza</w:t>
      </w:r>
      <w:proofErr w:type="spellEnd"/>
      <w:r w:rsidRPr="00732F0C">
        <w:rPr>
          <w:rFonts w:ascii="Cambria" w:hAnsi="Cambria"/>
          <w:sz w:val="20"/>
          <w:szCs w:val="20"/>
          <w:lang w:val="es-CR"/>
        </w:rPr>
        <w:t>, éste último le pidió disculpas manifestando “en forma clara y precisa que él es el único responsable de la muerte de Jorge Darwin García Espinoza”, como así también que “está tratando de arreglar con los familiares del occiso a quienes les ha ofrecido un millón quinientos mil sucres”</w:t>
      </w:r>
      <w:r w:rsidRPr="00732F0C">
        <w:rPr>
          <w:rStyle w:val="FootnoteReference"/>
          <w:rFonts w:ascii="Cambria" w:hAnsi="Cambria"/>
          <w:sz w:val="20"/>
          <w:szCs w:val="20"/>
        </w:rPr>
        <w:footnoteReference w:id="69"/>
      </w:r>
      <w:r w:rsidRPr="00732F0C">
        <w:rPr>
          <w:rFonts w:ascii="Cambria" w:hAnsi="Cambria"/>
          <w:sz w:val="20"/>
          <w:szCs w:val="20"/>
          <w:lang w:val="es-CR"/>
        </w:rPr>
        <w:t>.</w:t>
      </w:r>
    </w:p>
    <w:p w:rsidR="00A24688" w:rsidRPr="00732F0C" w:rsidRDefault="00A24688" w:rsidP="00842D6E">
      <w:pPr>
        <w:tabs>
          <w:tab w:val="left" w:pos="1440"/>
        </w:tabs>
        <w:ind w:firstLine="720"/>
        <w:jc w:val="both"/>
        <w:rPr>
          <w:rFonts w:ascii="Cambria" w:hAnsi="Cambria"/>
          <w:sz w:val="20"/>
          <w:szCs w:val="20"/>
          <w:lang w:val="es-CR"/>
        </w:rPr>
      </w:pPr>
    </w:p>
    <w:p w:rsidR="00A24688" w:rsidRPr="00732F0C" w:rsidRDefault="00A2468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Segundo Néstor de la Cruz </w:t>
      </w:r>
      <w:proofErr w:type="spellStart"/>
      <w:r w:rsidRPr="00732F0C">
        <w:rPr>
          <w:rFonts w:ascii="Cambria" w:hAnsi="Cambria"/>
          <w:sz w:val="20"/>
          <w:szCs w:val="20"/>
          <w:lang w:val="es-CR"/>
        </w:rPr>
        <w:t>Chicaiza</w:t>
      </w:r>
      <w:proofErr w:type="spellEnd"/>
      <w:r w:rsidRPr="00732F0C">
        <w:rPr>
          <w:rFonts w:ascii="Cambria" w:hAnsi="Cambria"/>
          <w:sz w:val="20"/>
          <w:szCs w:val="20"/>
          <w:lang w:val="es-CR"/>
        </w:rPr>
        <w:t xml:space="preserve"> presentó un recurso de casación contra la sentencia condenatoria ante la Corte Suprema, que fue confirmada el 28 de enero de 1998</w:t>
      </w:r>
      <w:r w:rsidRPr="00732F0C">
        <w:rPr>
          <w:rStyle w:val="FootnoteReference"/>
          <w:rFonts w:ascii="Cambria" w:hAnsi="Cambria"/>
          <w:sz w:val="20"/>
          <w:szCs w:val="20"/>
        </w:rPr>
        <w:footnoteReference w:id="70"/>
      </w:r>
      <w:r w:rsidRPr="00732F0C">
        <w:rPr>
          <w:rFonts w:ascii="Cambria" w:hAnsi="Cambria"/>
          <w:sz w:val="20"/>
          <w:szCs w:val="20"/>
          <w:lang w:val="es-CR"/>
        </w:rPr>
        <w:t>. Asimismo, el imputado presentó un recurso de revisión, que fue concedido el 25 de febrero de 1998 y que todavía se encuentra pendiente de resolución</w:t>
      </w:r>
      <w:r w:rsidRPr="00732F0C">
        <w:rPr>
          <w:rStyle w:val="FootnoteReference"/>
          <w:rFonts w:ascii="Cambria" w:hAnsi="Cambria"/>
          <w:sz w:val="20"/>
          <w:szCs w:val="20"/>
        </w:rPr>
        <w:footnoteReference w:id="71"/>
      </w:r>
      <w:r w:rsidRPr="00732F0C">
        <w:rPr>
          <w:rFonts w:ascii="Cambria" w:hAnsi="Cambria"/>
          <w:sz w:val="20"/>
          <w:szCs w:val="20"/>
          <w:lang w:val="es-CR"/>
        </w:rPr>
        <w:t>.</w:t>
      </w:r>
    </w:p>
    <w:p w:rsidR="00A24688" w:rsidRPr="00732F0C" w:rsidRDefault="00A24688" w:rsidP="00842D6E">
      <w:pPr>
        <w:tabs>
          <w:tab w:val="left" w:pos="1440"/>
        </w:tabs>
        <w:ind w:firstLine="720"/>
        <w:jc w:val="both"/>
        <w:rPr>
          <w:rFonts w:ascii="Cambria" w:hAnsi="Cambria"/>
          <w:sz w:val="20"/>
          <w:szCs w:val="20"/>
          <w:lang w:val="es-CR"/>
        </w:rPr>
      </w:pPr>
    </w:p>
    <w:p w:rsidR="00A24688" w:rsidRPr="00732F0C" w:rsidRDefault="00A2468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De acuerdo con la información provista por el Director</w:t>
      </w:r>
      <w:r w:rsidR="00C52858" w:rsidRPr="00732F0C">
        <w:rPr>
          <w:rFonts w:ascii="Cambria" w:hAnsi="Cambria"/>
          <w:sz w:val="20"/>
          <w:szCs w:val="20"/>
          <w:lang w:val="es-CR"/>
        </w:rPr>
        <w:t xml:space="preserve"> del Centro de Rehabilitación No.</w:t>
      </w:r>
      <w:r w:rsidRPr="00732F0C">
        <w:rPr>
          <w:rFonts w:ascii="Cambria" w:hAnsi="Cambria"/>
          <w:sz w:val="20"/>
          <w:szCs w:val="20"/>
          <w:lang w:val="es-CR"/>
        </w:rPr>
        <w:t xml:space="preserve"> 4 de la ciudad de Quito, éste concedió rebajas por el tiempo de 480 días a favor de </w:t>
      </w:r>
      <w:r w:rsidR="00C52858" w:rsidRPr="00732F0C">
        <w:rPr>
          <w:rFonts w:ascii="Cambria" w:hAnsi="Cambria"/>
          <w:sz w:val="20"/>
          <w:szCs w:val="20"/>
          <w:lang w:val="es-CR"/>
        </w:rPr>
        <w:t>Segundo</w:t>
      </w:r>
      <w:r w:rsidRPr="00732F0C">
        <w:rPr>
          <w:rFonts w:ascii="Cambria" w:hAnsi="Cambria"/>
          <w:sz w:val="20"/>
          <w:szCs w:val="20"/>
          <w:lang w:val="es-CR"/>
        </w:rPr>
        <w:t xml:space="preserve"> </w:t>
      </w:r>
      <w:r w:rsidR="006837F3">
        <w:rPr>
          <w:rFonts w:ascii="Cambria" w:hAnsi="Cambria"/>
          <w:sz w:val="20"/>
          <w:szCs w:val="20"/>
          <w:lang w:val="es-CR"/>
        </w:rPr>
        <w:t xml:space="preserve">de </w:t>
      </w:r>
      <w:r w:rsidRPr="00732F0C">
        <w:rPr>
          <w:rFonts w:ascii="Cambria" w:hAnsi="Cambria"/>
          <w:sz w:val="20"/>
          <w:szCs w:val="20"/>
          <w:lang w:val="es-CR"/>
        </w:rPr>
        <w:t xml:space="preserve">la Cruz </w:t>
      </w:r>
      <w:proofErr w:type="spellStart"/>
      <w:r w:rsidRPr="00732F0C">
        <w:rPr>
          <w:rFonts w:ascii="Cambria" w:hAnsi="Cambria"/>
          <w:sz w:val="20"/>
          <w:szCs w:val="20"/>
          <w:lang w:val="es-CR"/>
        </w:rPr>
        <w:t>Chicaiza</w:t>
      </w:r>
      <w:proofErr w:type="spellEnd"/>
      <w:r w:rsidRPr="00732F0C">
        <w:rPr>
          <w:rFonts w:ascii="Cambria" w:hAnsi="Cambria"/>
          <w:sz w:val="20"/>
          <w:szCs w:val="20"/>
          <w:lang w:val="es-CR"/>
        </w:rPr>
        <w:t>, por lo que se encuentra en libertad desde el 21 de mayo de 1998</w:t>
      </w:r>
      <w:r w:rsidRPr="00732F0C">
        <w:rPr>
          <w:rStyle w:val="FootnoteReference"/>
          <w:rFonts w:ascii="Cambria" w:hAnsi="Cambria"/>
          <w:sz w:val="20"/>
          <w:szCs w:val="20"/>
        </w:rPr>
        <w:footnoteReference w:id="72"/>
      </w:r>
      <w:r w:rsidRPr="00732F0C">
        <w:rPr>
          <w:rFonts w:ascii="Cambria" w:hAnsi="Cambria"/>
          <w:sz w:val="20"/>
          <w:szCs w:val="20"/>
          <w:lang w:val="es-CR"/>
        </w:rPr>
        <w:t>.</w:t>
      </w:r>
    </w:p>
    <w:p w:rsidR="0035594E" w:rsidRPr="00732F0C" w:rsidRDefault="0035594E" w:rsidP="00360085">
      <w:pPr>
        <w:pStyle w:val="ListParagraph"/>
        <w:ind w:left="0"/>
        <w:jc w:val="both"/>
        <w:rPr>
          <w:sz w:val="20"/>
          <w:szCs w:val="20"/>
          <w:lang w:val="es-CR"/>
        </w:rPr>
      </w:pPr>
    </w:p>
    <w:p w:rsidR="001C77C1" w:rsidRPr="00732F0C" w:rsidRDefault="00C52858" w:rsidP="00842D6E">
      <w:pPr>
        <w:pStyle w:val="Heading2"/>
        <w:numPr>
          <w:ilvl w:val="0"/>
          <w:numId w:val="59"/>
        </w:numPr>
        <w:ind w:left="1440" w:hanging="720"/>
        <w:jc w:val="both"/>
      </w:pPr>
      <w:bookmarkStart w:id="30" w:name="_Toc529792402"/>
      <w:r w:rsidRPr="00732F0C">
        <w:lastRenderedPageBreak/>
        <w:t>Análisis de derecho</w:t>
      </w:r>
      <w:bookmarkEnd w:id="30"/>
    </w:p>
    <w:p w:rsidR="00B266E7" w:rsidRPr="00732F0C" w:rsidRDefault="00B266E7" w:rsidP="00842D6E">
      <w:pPr>
        <w:jc w:val="both"/>
        <w:rPr>
          <w:rFonts w:ascii="Cambria" w:hAnsi="Cambria"/>
          <w:sz w:val="20"/>
          <w:szCs w:val="20"/>
          <w:lang w:val="es-ES_tradnl"/>
        </w:rPr>
      </w:pPr>
    </w:p>
    <w:p w:rsidR="00AA7257" w:rsidRPr="00732F0C" w:rsidRDefault="00AA7257" w:rsidP="00842D6E">
      <w:pPr>
        <w:pStyle w:val="Heading3"/>
        <w:numPr>
          <w:ilvl w:val="6"/>
          <w:numId w:val="55"/>
        </w:numPr>
        <w:tabs>
          <w:tab w:val="clear" w:pos="5400"/>
          <w:tab w:val="num" w:pos="1440"/>
        </w:tabs>
        <w:ind w:left="1440" w:hanging="720"/>
        <w:rPr>
          <w:lang w:val="es-ES"/>
        </w:rPr>
      </w:pPr>
      <w:bookmarkStart w:id="31" w:name="_Toc529792403"/>
      <w:bookmarkStart w:id="32" w:name="_Toc338770515"/>
      <w:bookmarkStart w:id="33" w:name="_Toc408466854"/>
      <w:r w:rsidRPr="00732F0C">
        <w:rPr>
          <w:lang w:val="es-ES"/>
        </w:rPr>
        <w:t>Los derechos a la vida e integridad personal (artículos 4 y 5 de la Convención Americana en relación con el artículo 1.1 del mismo instrumento)</w:t>
      </w:r>
      <w:bookmarkEnd w:id="31"/>
    </w:p>
    <w:p w:rsidR="00895A86" w:rsidRPr="00732F0C" w:rsidRDefault="00895A86"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4D17CA" w:rsidRPr="00732F0C" w:rsidRDefault="004D17CA"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32F0C">
        <w:rPr>
          <w:rFonts w:ascii="Cambria" w:hAnsi="Cambria"/>
          <w:sz w:val="20"/>
          <w:szCs w:val="20"/>
          <w:lang w:val="es-ES"/>
        </w:rPr>
        <w:t>El derecho a la vida es prerrequisito del disfrute de todos los demás derechos humanos y sin cuyo respeto todos los demás carecen de sentido</w:t>
      </w:r>
      <w:r w:rsidRPr="00732F0C">
        <w:rPr>
          <w:rStyle w:val="FootnoteReference"/>
          <w:rFonts w:ascii="Cambria" w:hAnsi="Cambria"/>
          <w:sz w:val="20"/>
          <w:szCs w:val="20"/>
          <w:lang w:val="es-ES"/>
        </w:rPr>
        <w:footnoteReference w:id="73"/>
      </w:r>
      <w:r w:rsidRPr="00732F0C">
        <w:rPr>
          <w:rFonts w:ascii="Cambria" w:hAnsi="Cambria"/>
          <w:sz w:val="20"/>
          <w:szCs w:val="20"/>
          <w:lang w:val="es-ES"/>
        </w:rPr>
        <w:t>. Como ha señalado la Corte Interamericana, el cumplimiento de las obligaciones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732F0C">
        <w:rPr>
          <w:rStyle w:val="FootnoteReference"/>
          <w:rFonts w:ascii="Cambria" w:hAnsi="Cambria"/>
          <w:sz w:val="20"/>
          <w:szCs w:val="20"/>
          <w:lang w:val="es-ES"/>
        </w:rPr>
        <w:footnoteReference w:id="74"/>
      </w:r>
      <w:r w:rsidRPr="00732F0C">
        <w:rPr>
          <w:rFonts w:ascii="Cambria" w:hAnsi="Cambria"/>
          <w:sz w:val="20"/>
          <w:szCs w:val="20"/>
          <w:lang w:val="es-ES"/>
        </w:rPr>
        <w:t>.</w:t>
      </w:r>
    </w:p>
    <w:p w:rsidR="004D17CA" w:rsidRPr="00732F0C" w:rsidRDefault="004D17CA"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4D17CA" w:rsidRPr="00732F0C" w:rsidRDefault="004D17CA"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AR"/>
        </w:rPr>
        <w:t>En relación con el uso de la fuerza letal por parte de agentes estatales, la Comisión ha señalado que dicha facultad debe estar restringida a cuando tenga una finalidad legítima, sea necesaria y proporcional</w:t>
      </w:r>
      <w:r w:rsidRPr="00732F0C">
        <w:rPr>
          <w:rStyle w:val="FootnoteReference"/>
          <w:rFonts w:ascii="Cambria" w:hAnsi="Cambria"/>
          <w:sz w:val="20"/>
          <w:szCs w:val="20"/>
        </w:rPr>
        <w:footnoteReference w:id="75"/>
      </w:r>
      <w:r w:rsidRPr="00732F0C">
        <w:rPr>
          <w:rFonts w:ascii="Cambria" w:hAnsi="Cambria"/>
          <w:sz w:val="20"/>
          <w:szCs w:val="20"/>
          <w:lang w:val="es-AR"/>
        </w:rPr>
        <w:t xml:space="preserve">. Ello implica que </w:t>
      </w:r>
      <w:r w:rsidRPr="00732F0C">
        <w:rPr>
          <w:rFonts w:ascii="Cambria" w:hAnsi="Cambria"/>
          <w:sz w:val="20"/>
          <w:szCs w:val="20"/>
          <w:lang w:val="es-ES_tradnl"/>
        </w:rPr>
        <w:t>si una persona pierde la vida como consecuencia del uso de la fuerza por parte de los funcionarios encargados de hacer cumplir la ley</w:t>
      </w:r>
      <w:r w:rsidR="00FB1FDE" w:rsidRPr="00732F0C">
        <w:rPr>
          <w:rFonts w:ascii="Cambria" w:hAnsi="Cambria"/>
          <w:sz w:val="20"/>
          <w:szCs w:val="20"/>
          <w:lang w:val="es-ES_tradnl"/>
        </w:rPr>
        <w:t xml:space="preserve"> sin los requisitos antes mencionados</w:t>
      </w:r>
      <w:r w:rsidRPr="00732F0C">
        <w:rPr>
          <w:rFonts w:ascii="Cambria" w:hAnsi="Cambria"/>
          <w:sz w:val="20"/>
          <w:szCs w:val="20"/>
          <w:lang w:val="es-ES_tradnl"/>
        </w:rPr>
        <w:t>, ese hecho equivaldrá a una privación arbitraria de la vida</w:t>
      </w:r>
      <w:r w:rsidRPr="00732F0C">
        <w:rPr>
          <w:rStyle w:val="FootnoteReference"/>
          <w:rFonts w:ascii="Cambria" w:hAnsi="Cambria"/>
          <w:sz w:val="20"/>
          <w:szCs w:val="20"/>
        </w:rPr>
        <w:footnoteReference w:id="76"/>
      </w:r>
      <w:r w:rsidRPr="00732F0C">
        <w:rPr>
          <w:rFonts w:ascii="Cambria" w:hAnsi="Cambria"/>
          <w:sz w:val="20"/>
          <w:szCs w:val="20"/>
          <w:lang w:val="es-ES_tradnl"/>
        </w:rPr>
        <w:t xml:space="preserve">. </w:t>
      </w:r>
      <w:r w:rsidRPr="00732F0C">
        <w:rPr>
          <w:rFonts w:ascii="Cambria" w:hAnsi="Cambria"/>
          <w:sz w:val="20"/>
          <w:szCs w:val="20"/>
          <w:lang w:val="es-AR"/>
        </w:rPr>
        <w:t xml:space="preserve"> La Corte ha señalado que tales requisitos implican lo siguiente:</w:t>
      </w:r>
    </w:p>
    <w:p w:rsidR="004D17CA" w:rsidRPr="00732F0C" w:rsidRDefault="004D17CA" w:rsidP="00842D6E">
      <w:pPr>
        <w:pStyle w:val="ListParagraph"/>
        <w:ind w:right="720"/>
        <w:jc w:val="both"/>
        <w:rPr>
          <w:sz w:val="20"/>
          <w:szCs w:val="20"/>
          <w:lang w:val="es-ES"/>
        </w:rPr>
      </w:pPr>
    </w:p>
    <w:p w:rsidR="004D17CA" w:rsidRPr="00732F0C" w:rsidRDefault="004D17CA"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rPr>
      </w:pPr>
      <w:r w:rsidRPr="00732F0C">
        <w:rPr>
          <w:rFonts w:ascii="Cambria" w:hAnsi="Cambria"/>
          <w:sz w:val="20"/>
          <w:szCs w:val="20"/>
          <w:lang w:val="es-ES"/>
        </w:rPr>
        <w:t xml:space="preserve">i) </w:t>
      </w:r>
      <w:r w:rsidRPr="00732F0C">
        <w:rPr>
          <w:rFonts w:ascii="Cambria" w:hAnsi="Cambria"/>
          <w:i/>
          <w:sz w:val="20"/>
          <w:szCs w:val="20"/>
          <w:u w:val="single"/>
          <w:lang w:val="es-ES"/>
        </w:rPr>
        <w:t>Finalidad legítima</w:t>
      </w:r>
      <w:r w:rsidRPr="00732F0C">
        <w:rPr>
          <w:rFonts w:ascii="Cambria" w:hAnsi="Cambria"/>
          <w:sz w:val="20"/>
          <w:szCs w:val="20"/>
          <w:lang w:val="es-ES"/>
        </w:rPr>
        <w:t>: el uso de la fuerza debe estar dirigido a lograr un objetivo legítimo. (…)</w:t>
      </w:r>
    </w:p>
    <w:p w:rsidR="004D17CA" w:rsidRPr="00732F0C" w:rsidRDefault="004D17CA"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rPr>
      </w:pPr>
    </w:p>
    <w:p w:rsidR="004D17CA" w:rsidRPr="00732F0C" w:rsidRDefault="004D17CA"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rPr>
      </w:pPr>
      <w:r w:rsidRPr="00732F0C">
        <w:rPr>
          <w:rFonts w:ascii="Cambria" w:hAnsi="Cambria"/>
          <w:sz w:val="20"/>
          <w:szCs w:val="20"/>
          <w:lang w:val="es-ES"/>
        </w:rPr>
        <w:t xml:space="preserve">ii) </w:t>
      </w:r>
      <w:r w:rsidRPr="00732F0C">
        <w:rPr>
          <w:rFonts w:ascii="Cambria" w:hAnsi="Cambria"/>
          <w:i/>
          <w:sz w:val="20"/>
          <w:szCs w:val="20"/>
          <w:u w:val="single"/>
          <w:lang w:val="es-ES"/>
        </w:rPr>
        <w:t>Absoluta necesidad</w:t>
      </w:r>
      <w:r w:rsidRPr="00732F0C">
        <w:rPr>
          <w:rFonts w:ascii="Cambria" w:hAnsi="Cambria"/>
          <w:sz w:val="20"/>
          <w:szCs w:val="20"/>
          <w:lang w:val="es-ES"/>
        </w:rPr>
        <w:t>: es preciso verificar si existen otros medios disponibles menos lesivos para tutelar la vida e integridad de la persona o situación que se pretende proteger, de conformidad con las circunstancias del caso. Esta Corte ha señalado que no se puede concluir que quede acreditado el requisito de “absoluta necesidad” para utilizar la fuerza contra personas, cuando estas no representan un peligro directo, “inclusive cuando la falta del uso de la fuerza resultare en la pérdida de la oportunidad de captura”. (…)</w:t>
      </w:r>
    </w:p>
    <w:p w:rsidR="004D17CA" w:rsidRPr="00732F0C" w:rsidRDefault="004D17CA"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rPr>
      </w:pPr>
    </w:p>
    <w:p w:rsidR="004D17CA" w:rsidRPr="00732F0C" w:rsidRDefault="004D17CA"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rPr>
      </w:pPr>
      <w:r w:rsidRPr="00732F0C">
        <w:rPr>
          <w:rFonts w:ascii="Cambria" w:hAnsi="Cambria"/>
          <w:sz w:val="20"/>
          <w:szCs w:val="20"/>
          <w:lang w:val="es-ES"/>
        </w:rPr>
        <w:t xml:space="preserve">iii) </w:t>
      </w:r>
      <w:r w:rsidRPr="00732F0C">
        <w:rPr>
          <w:rFonts w:ascii="Cambria" w:hAnsi="Cambria"/>
          <w:i/>
          <w:sz w:val="20"/>
          <w:szCs w:val="20"/>
          <w:u w:val="single"/>
          <w:lang w:val="es-ES"/>
        </w:rPr>
        <w:t>Proporcionalidad</w:t>
      </w:r>
      <w:r w:rsidRPr="00732F0C">
        <w:rPr>
          <w:rFonts w:ascii="Cambria" w:hAnsi="Cambria"/>
          <w:sz w:val="20"/>
          <w:szCs w:val="20"/>
          <w:lang w:val="es-ES"/>
        </w:rPr>
        <w:t>: el nivel de fuerza utilizado debe ser acorde con el nivel de resistencia ofrecido, lo cual implica un equilibrio entre la situación a la que se enfrenta el funcionario y su respuesta, considerando el daño potencial que podría ser ocasionado. Así, los agentes deben aplicar un criterio de uso diferenciado de la fuerza, determinando el grado de cooperación, resistencia o agresión de parte del sujeto al cual se pretende intervenir y, con ello, emplear tácticas de negociación, control o uso</w:t>
      </w:r>
      <w:r w:rsidR="003E53AD" w:rsidRPr="00732F0C">
        <w:rPr>
          <w:rFonts w:ascii="Cambria" w:hAnsi="Cambria"/>
          <w:sz w:val="20"/>
          <w:szCs w:val="20"/>
          <w:lang w:val="es-ES"/>
        </w:rPr>
        <w:t xml:space="preserve"> de fuerza, según corresponda</w:t>
      </w:r>
      <w:r w:rsidR="003E53AD" w:rsidRPr="00732F0C">
        <w:rPr>
          <w:rStyle w:val="FootnoteReference"/>
          <w:rFonts w:ascii="Cambria" w:hAnsi="Cambria"/>
          <w:sz w:val="20"/>
          <w:szCs w:val="20"/>
          <w:lang w:val="es-ES"/>
        </w:rPr>
        <w:footnoteReference w:id="77"/>
      </w:r>
      <w:r w:rsidRPr="00732F0C">
        <w:rPr>
          <w:rFonts w:ascii="Cambria" w:hAnsi="Cambria"/>
          <w:sz w:val="20"/>
          <w:szCs w:val="20"/>
          <w:lang w:val="es-ES"/>
        </w:rPr>
        <w:t>.</w:t>
      </w:r>
    </w:p>
    <w:p w:rsidR="004D17CA" w:rsidRPr="00732F0C" w:rsidRDefault="004D17CA"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895A86" w:rsidRPr="00732F0C" w:rsidRDefault="00895A86"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ES"/>
        </w:rPr>
        <w:t>En el presente asunto, la Comisión observa que no es un hecho controvertido</w:t>
      </w:r>
      <w:r w:rsidR="006A6785" w:rsidRPr="00732F0C">
        <w:rPr>
          <w:rFonts w:ascii="Cambria" w:hAnsi="Cambria"/>
          <w:sz w:val="20"/>
          <w:szCs w:val="20"/>
          <w:lang w:val="es-ES"/>
        </w:rPr>
        <w:t xml:space="preserve"> por las partes</w:t>
      </w:r>
      <w:r w:rsidRPr="00732F0C">
        <w:rPr>
          <w:rFonts w:ascii="Cambria" w:hAnsi="Cambria"/>
          <w:sz w:val="20"/>
          <w:szCs w:val="20"/>
          <w:lang w:val="es-ES"/>
        </w:rPr>
        <w:t xml:space="preserve"> que Jorge Darwin García falleció</w:t>
      </w:r>
      <w:r w:rsidR="004D17CA" w:rsidRPr="00732F0C">
        <w:rPr>
          <w:rFonts w:ascii="Cambria" w:hAnsi="Cambria"/>
          <w:sz w:val="20"/>
          <w:szCs w:val="20"/>
          <w:lang w:val="es-ES"/>
        </w:rPr>
        <w:t xml:space="preserve"> en el trayecto hacia el hospital</w:t>
      </w:r>
      <w:r w:rsidRPr="00732F0C">
        <w:rPr>
          <w:rFonts w:ascii="Cambria" w:hAnsi="Cambria"/>
          <w:sz w:val="20"/>
          <w:szCs w:val="20"/>
          <w:lang w:val="es-ES"/>
        </w:rPr>
        <w:t xml:space="preserve"> y </w:t>
      </w:r>
      <w:r w:rsidR="006A6785" w:rsidRPr="00732F0C">
        <w:rPr>
          <w:rFonts w:ascii="Cambria" w:hAnsi="Cambria"/>
          <w:spacing w:val="-2"/>
          <w:sz w:val="20"/>
          <w:szCs w:val="20"/>
          <w:lang w:val="es-CR"/>
        </w:rPr>
        <w:t>Franklin Plutarco García</w:t>
      </w:r>
      <w:r w:rsidR="006A6785" w:rsidRPr="00732F0C">
        <w:rPr>
          <w:rFonts w:ascii="Cambria" w:hAnsi="Cambria"/>
          <w:sz w:val="20"/>
          <w:szCs w:val="20"/>
          <w:lang w:val="es-ES"/>
        </w:rPr>
        <w:t xml:space="preserve"> resultó herido </w:t>
      </w:r>
      <w:r w:rsidRPr="00732F0C">
        <w:rPr>
          <w:rFonts w:ascii="Cambria" w:hAnsi="Cambria"/>
          <w:sz w:val="20"/>
          <w:szCs w:val="20"/>
          <w:lang w:val="es-ES"/>
        </w:rPr>
        <w:t>como consecuencia de disparos efectuados por el agente policial Segundo de la Cruz</w:t>
      </w:r>
      <w:r w:rsidR="006A6785" w:rsidRPr="00732F0C">
        <w:rPr>
          <w:rFonts w:ascii="Cambria" w:hAnsi="Cambria"/>
          <w:sz w:val="20"/>
          <w:szCs w:val="20"/>
          <w:lang w:val="es-ES"/>
        </w:rPr>
        <w:t xml:space="preserve"> el 12 de septiembre de 1993</w:t>
      </w:r>
      <w:r w:rsidRPr="00732F0C">
        <w:rPr>
          <w:rFonts w:ascii="Cambria" w:hAnsi="Cambria"/>
          <w:sz w:val="20"/>
          <w:szCs w:val="20"/>
          <w:lang w:val="es-ES"/>
        </w:rPr>
        <w:t xml:space="preserve">. </w:t>
      </w:r>
      <w:r w:rsidR="006A6785" w:rsidRPr="00732F0C">
        <w:rPr>
          <w:rFonts w:ascii="Cambria" w:hAnsi="Cambria"/>
          <w:sz w:val="20"/>
          <w:szCs w:val="20"/>
          <w:lang w:val="es-ES"/>
        </w:rPr>
        <w:t>Tales acontecimientos fueron confirmados a nivel interno mediante la sentencia condenatoria del señor de la Cruz el 3 de septiembre de 1995 y confirmada e</w:t>
      </w:r>
      <w:r w:rsidR="004D17CA" w:rsidRPr="00732F0C">
        <w:rPr>
          <w:rFonts w:ascii="Cambria" w:hAnsi="Cambria"/>
          <w:sz w:val="20"/>
          <w:szCs w:val="20"/>
          <w:lang w:val="es-ES"/>
        </w:rPr>
        <w:t>l 28 de enero de 1998.</w:t>
      </w:r>
      <w:r w:rsidR="00964920" w:rsidRPr="00732F0C">
        <w:rPr>
          <w:rFonts w:ascii="Cambria" w:hAnsi="Cambria"/>
          <w:sz w:val="20"/>
          <w:szCs w:val="20"/>
          <w:lang w:val="es-ES"/>
        </w:rPr>
        <w:t xml:space="preserve"> </w:t>
      </w:r>
      <w:r w:rsidR="00433F2B" w:rsidRPr="00732F0C">
        <w:rPr>
          <w:rFonts w:ascii="Cambria" w:hAnsi="Cambria"/>
          <w:sz w:val="20"/>
          <w:szCs w:val="20"/>
          <w:lang w:val="es-ES"/>
        </w:rPr>
        <w:t>En dicha sentencia se consideró que existió responsabilidad penal del señor de la Cruz y se descartó la versión de que los disparos hayan sido realizados en legítima defensa o incluso realizados por un tercero.</w:t>
      </w:r>
    </w:p>
    <w:p w:rsidR="006A6785" w:rsidRPr="00732F0C" w:rsidRDefault="006A6785" w:rsidP="00842D6E">
      <w:pPr>
        <w:pStyle w:val="ListParagraph"/>
        <w:jc w:val="both"/>
        <w:rPr>
          <w:sz w:val="20"/>
          <w:szCs w:val="20"/>
          <w:lang w:val="es-ES"/>
        </w:rPr>
      </w:pPr>
    </w:p>
    <w:p w:rsidR="0089604C" w:rsidRPr="00732F0C" w:rsidRDefault="006A6785"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ES"/>
        </w:rPr>
        <w:t xml:space="preserve">En vista de lo </w:t>
      </w:r>
      <w:r w:rsidR="00964920" w:rsidRPr="00732F0C">
        <w:rPr>
          <w:rFonts w:ascii="Cambria" w:hAnsi="Cambria"/>
          <w:sz w:val="20"/>
          <w:szCs w:val="20"/>
          <w:lang w:val="es-ES"/>
        </w:rPr>
        <w:t>expuesto en los hechos probados</w:t>
      </w:r>
      <w:r w:rsidRPr="00732F0C">
        <w:rPr>
          <w:rFonts w:ascii="Cambria" w:hAnsi="Cambria"/>
          <w:sz w:val="20"/>
          <w:szCs w:val="20"/>
          <w:lang w:val="es-ES"/>
        </w:rPr>
        <w:t xml:space="preserve">, la Comisión </w:t>
      </w:r>
      <w:r w:rsidR="00433F2B" w:rsidRPr="00732F0C">
        <w:rPr>
          <w:rFonts w:ascii="Cambria" w:hAnsi="Cambria"/>
          <w:sz w:val="20"/>
          <w:szCs w:val="20"/>
          <w:lang w:val="es-ES"/>
        </w:rPr>
        <w:t>considera</w:t>
      </w:r>
      <w:r w:rsidR="003B48B9" w:rsidRPr="00732F0C">
        <w:rPr>
          <w:rFonts w:ascii="Cambria" w:hAnsi="Cambria"/>
          <w:sz w:val="20"/>
          <w:szCs w:val="20"/>
          <w:lang w:val="es-ES"/>
        </w:rPr>
        <w:t xml:space="preserve"> que</w:t>
      </w:r>
      <w:r w:rsidRPr="00732F0C">
        <w:rPr>
          <w:rFonts w:ascii="Cambria" w:hAnsi="Cambria"/>
          <w:sz w:val="20"/>
          <w:szCs w:val="20"/>
          <w:lang w:val="es-ES"/>
        </w:rPr>
        <w:t xml:space="preserve"> </w:t>
      </w:r>
      <w:r w:rsidR="00964920" w:rsidRPr="00732F0C">
        <w:rPr>
          <w:rFonts w:ascii="Cambria" w:hAnsi="Cambria"/>
          <w:sz w:val="20"/>
          <w:szCs w:val="20"/>
          <w:lang w:val="es-ES"/>
        </w:rPr>
        <w:t xml:space="preserve">queda claramente demostrado </w:t>
      </w:r>
      <w:r w:rsidRPr="00732F0C">
        <w:rPr>
          <w:rFonts w:ascii="Cambria" w:hAnsi="Cambria"/>
          <w:sz w:val="20"/>
          <w:szCs w:val="20"/>
          <w:lang w:val="es-ES"/>
        </w:rPr>
        <w:t>que el uso de la fuerza letal</w:t>
      </w:r>
      <w:r w:rsidR="00433F2B" w:rsidRPr="00732F0C">
        <w:rPr>
          <w:rFonts w:ascii="Cambria" w:hAnsi="Cambria"/>
          <w:sz w:val="20"/>
          <w:szCs w:val="20"/>
          <w:lang w:val="es-ES"/>
        </w:rPr>
        <w:t xml:space="preserve"> empleado por el agente policial Segundo de la Cruz fue </w:t>
      </w:r>
      <w:r w:rsidR="003B48B9" w:rsidRPr="00732F0C">
        <w:rPr>
          <w:rFonts w:ascii="Cambria" w:hAnsi="Cambria"/>
          <w:sz w:val="20"/>
          <w:szCs w:val="20"/>
          <w:lang w:val="es-ES"/>
        </w:rPr>
        <w:t>injustificado</w:t>
      </w:r>
      <w:r w:rsidR="00433F2B" w:rsidRPr="00732F0C">
        <w:rPr>
          <w:rFonts w:ascii="Cambria" w:hAnsi="Cambria"/>
          <w:sz w:val="20"/>
          <w:szCs w:val="20"/>
          <w:lang w:val="es-ES"/>
        </w:rPr>
        <w:t xml:space="preserve"> y desproporcional. </w:t>
      </w:r>
      <w:r w:rsidR="0089604C" w:rsidRPr="00732F0C">
        <w:rPr>
          <w:rFonts w:ascii="Cambria" w:hAnsi="Cambria"/>
          <w:sz w:val="20"/>
          <w:szCs w:val="20"/>
          <w:lang w:val="es-ES"/>
        </w:rPr>
        <w:t xml:space="preserve">Asimismo, la CIDH toma en cuenta que, como se indicará en la sección </w:t>
      </w:r>
      <w:r w:rsidR="0089604C" w:rsidRPr="00732F0C">
        <w:rPr>
          <w:rFonts w:ascii="Cambria" w:hAnsi="Cambria"/>
          <w:i/>
          <w:sz w:val="20"/>
          <w:szCs w:val="20"/>
          <w:lang w:val="es-ES"/>
        </w:rPr>
        <w:t>infra</w:t>
      </w:r>
      <w:r w:rsidR="0089604C" w:rsidRPr="00732F0C">
        <w:rPr>
          <w:rFonts w:ascii="Cambria" w:hAnsi="Cambria"/>
          <w:sz w:val="20"/>
          <w:szCs w:val="20"/>
          <w:lang w:val="es-ES"/>
        </w:rPr>
        <w:t xml:space="preserve">, la investigación estuvo inicialmente bajo la jurisdicción policial, existieron distintas irregularidades en la misma, el plazo del </w:t>
      </w:r>
      <w:r w:rsidR="0089604C" w:rsidRPr="00732F0C">
        <w:rPr>
          <w:rFonts w:ascii="Cambria" w:hAnsi="Cambria"/>
          <w:sz w:val="20"/>
          <w:szCs w:val="20"/>
          <w:lang w:val="es-ES"/>
        </w:rPr>
        <w:lastRenderedPageBreak/>
        <w:t xml:space="preserve">proceso no fue razonable, e incluso un recurso de revisión no habría sido resuelto a la fecha. Finalmente, la Comisión nota que de la información aportada por las partes no se evidencia que el señor García o sus familiares hayan recibido el pago de una indemnización por las lesiones cometidas en su contra o por la muerte de su hermano Jorge Darwin. </w:t>
      </w:r>
    </w:p>
    <w:p w:rsidR="0089604C" w:rsidRPr="00732F0C" w:rsidRDefault="0089604C" w:rsidP="00842D6E">
      <w:pPr>
        <w:pStyle w:val="ListParagraph"/>
        <w:ind w:left="0"/>
        <w:jc w:val="both"/>
        <w:rPr>
          <w:sz w:val="20"/>
          <w:szCs w:val="20"/>
          <w:lang w:val="es-ES"/>
        </w:rPr>
      </w:pPr>
    </w:p>
    <w:p w:rsidR="006A6785" w:rsidRPr="00732F0C" w:rsidRDefault="00433F2B"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ES"/>
        </w:rPr>
        <w:t xml:space="preserve">En consecuencia, la CIDH concluye que el Estado violó el derecho a la integridad personal y vida de Jorge Darwin García, establecidos en los artículos 4.1 y 5.1 de la Convención Americana, en relación con el artículo 1.1 del mismo instrumento. Asimismo, la Comisión concluye que el Estado violó el derecho a la integridad personal de </w:t>
      </w:r>
      <w:r w:rsidRPr="00732F0C">
        <w:rPr>
          <w:rFonts w:ascii="Cambria" w:hAnsi="Cambria"/>
          <w:spacing w:val="-2"/>
          <w:sz w:val="20"/>
          <w:szCs w:val="20"/>
          <w:lang w:val="es-CR"/>
        </w:rPr>
        <w:t>Franklin Plutarco García</w:t>
      </w:r>
      <w:r w:rsidRPr="00732F0C">
        <w:rPr>
          <w:rFonts w:ascii="Cambria" w:hAnsi="Cambria"/>
          <w:sz w:val="20"/>
          <w:szCs w:val="20"/>
          <w:lang w:val="es-ES"/>
        </w:rPr>
        <w:t>, establecido en el artículo 5.1 de la Convención Americana, en relación con el artículo 1.1 del mismo instrumento.</w:t>
      </w:r>
    </w:p>
    <w:p w:rsidR="00AA7257" w:rsidRPr="00732F0C" w:rsidRDefault="00AA7257" w:rsidP="00842D6E">
      <w:pPr>
        <w:jc w:val="both"/>
        <w:rPr>
          <w:rFonts w:ascii="Cambria" w:hAnsi="Cambria"/>
          <w:sz w:val="20"/>
          <w:szCs w:val="20"/>
          <w:lang w:val="es-ES"/>
        </w:rPr>
      </w:pPr>
    </w:p>
    <w:p w:rsidR="00B266E7" w:rsidRPr="00732F0C" w:rsidRDefault="00B266E7" w:rsidP="00842D6E">
      <w:pPr>
        <w:pStyle w:val="Heading3"/>
        <w:numPr>
          <w:ilvl w:val="0"/>
          <w:numId w:val="63"/>
        </w:numPr>
        <w:ind w:left="1440" w:hanging="720"/>
        <w:rPr>
          <w:lang w:val="es-ES"/>
        </w:rPr>
      </w:pPr>
      <w:bookmarkStart w:id="34" w:name="_Toc529792404"/>
      <w:r w:rsidRPr="00732F0C">
        <w:rPr>
          <w:lang w:val="es-ES"/>
        </w:rPr>
        <w:t xml:space="preserve">Los derechos a las garantías judiciales y protección judicial respecto de las investigaciones y procesos iniciados por la muerte </w:t>
      </w:r>
      <w:bookmarkEnd w:id="32"/>
      <w:bookmarkEnd w:id="33"/>
      <w:r w:rsidRPr="00732F0C">
        <w:rPr>
          <w:lang w:val="es-ES"/>
        </w:rPr>
        <w:t>de Jorge Darwin García</w:t>
      </w:r>
      <w:r w:rsidR="00AA7257" w:rsidRPr="00732F0C">
        <w:rPr>
          <w:lang w:val="es-ES"/>
        </w:rPr>
        <w:t xml:space="preserve"> (artículos 8 y 25 de la Convención Americana en relación con los artículos 1.1 y 2 del mismo instrumento)</w:t>
      </w:r>
      <w:bookmarkEnd w:id="34"/>
    </w:p>
    <w:p w:rsidR="00B266E7" w:rsidRPr="00732F0C" w:rsidRDefault="00B266E7" w:rsidP="00842D6E">
      <w:pPr>
        <w:jc w:val="both"/>
        <w:rPr>
          <w:rFonts w:ascii="Cambria" w:hAnsi="Cambria"/>
          <w:sz w:val="20"/>
          <w:szCs w:val="20"/>
          <w:lang w:val="es-ES_tradnl"/>
        </w:rPr>
      </w:pPr>
    </w:p>
    <w:p w:rsidR="00B266E7"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Cambria" w:hAnsi="Cambria"/>
          <w:sz w:val="20"/>
          <w:szCs w:val="20"/>
          <w:lang w:val="es-ES_tradnl"/>
        </w:rPr>
      </w:pPr>
      <w:r w:rsidRPr="00732F0C">
        <w:rPr>
          <w:rFonts w:ascii="Cambria" w:hAnsi="Cambria"/>
          <w:sz w:val="20"/>
          <w:szCs w:val="20"/>
          <w:lang w:val="es-ES_tradnl"/>
        </w:rPr>
        <w:t xml:space="preserve">El artículo 8.1 de la Convención Americana indica lo siguiente: </w:t>
      </w:r>
    </w:p>
    <w:p w:rsidR="00B266E7" w:rsidRPr="00732F0C" w:rsidRDefault="00B266E7" w:rsidP="00842D6E">
      <w:pPr>
        <w:jc w:val="both"/>
        <w:rPr>
          <w:rFonts w:ascii="Cambria" w:hAnsi="Cambria"/>
          <w:sz w:val="20"/>
          <w:szCs w:val="20"/>
          <w:lang w:val="es-ES_tradnl"/>
        </w:rPr>
      </w:pPr>
    </w:p>
    <w:p w:rsidR="00B266E7" w:rsidRPr="00732F0C" w:rsidRDefault="00B266E7" w:rsidP="00842D6E">
      <w:pPr>
        <w:ind w:left="720" w:right="720"/>
        <w:jc w:val="both"/>
        <w:rPr>
          <w:rFonts w:ascii="Cambria" w:hAnsi="Cambria"/>
          <w:b/>
          <w:sz w:val="20"/>
          <w:szCs w:val="20"/>
          <w:lang w:val="es-ES_tradnl"/>
        </w:rPr>
      </w:pPr>
      <w:r w:rsidRPr="00732F0C">
        <w:rPr>
          <w:rFonts w:ascii="Cambria" w:hAnsi="Cambria"/>
          <w:sz w:val="20"/>
          <w:szCs w:val="20"/>
          <w:lang w:val="es-ES_tradnl"/>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B266E7" w:rsidRPr="00732F0C" w:rsidRDefault="00B266E7" w:rsidP="00842D6E">
      <w:pPr>
        <w:ind w:left="720" w:right="720"/>
        <w:jc w:val="both"/>
        <w:rPr>
          <w:rFonts w:ascii="Cambria" w:hAnsi="Cambria"/>
          <w:b/>
          <w:sz w:val="20"/>
          <w:szCs w:val="20"/>
          <w:lang w:val="es-ES_tradnl"/>
        </w:rPr>
      </w:pPr>
    </w:p>
    <w:p w:rsidR="00B266E7"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Cambria" w:hAnsi="Cambria"/>
          <w:sz w:val="20"/>
          <w:szCs w:val="20"/>
          <w:lang w:val="es-ES_tradnl"/>
        </w:rPr>
      </w:pPr>
      <w:r w:rsidRPr="00732F0C">
        <w:rPr>
          <w:rFonts w:ascii="Cambria" w:hAnsi="Cambria"/>
          <w:sz w:val="20"/>
          <w:szCs w:val="20"/>
          <w:lang w:val="es-ES_tradnl"/>
        </w:rPr>
        <w:t xml:space="preserve">Por su parte, el artículo 25.1 de la Convención Americana establece lo siguiente: </w:t>
      </w:r>
    </w:p>
    <w:p w:rsidR="00B266E7" w:rsidRPr="00732F0C" w:rsidRDefault="00B266E7" w:rsidP="00842D6E">
      <w:pPr>
        <w:jc w:val="both"/>
        <w:rPr>
          <w:rFonts w:ascii="Cambria" w:hAnsi="Cambria"/>
          <w:sz w:val="20"/>
          <w:szCs w:val="20"/>
          <w:lang w:val="es-ES_tradnl"/>
        </w:rPr>
      </w:pPr>
    </w:p>
    <w:p w:rsidR="00B266E7" w:rsidRPr="00732F0C" w:rsidRDefault="00B266E7" w:rsidP="00842D6E">
      <w:pPr>
        <w:ind w:left="720" w:right="720"/>
        <w:jc w:val="both"/>
        <w:rPr>
          <w:rFonts w:ascii="Cambria" w:hAnsi="Cambria"/>
          <w:sz w:val="20"/>
          <w:szCs w:val="20"/>
          <w:lang w:val="es-ES_tradnl"/>
        </w:rPr>
      </w:pPr>
      <w:r w:rsidRPr="00732F0C">
        <w:rPr>
          <w:rFonts w:ascii="Cambria" w:hAnsi="Cambria"/>
          <w:sz w:val="20"/>
          <w:szCs w:val="20"/>
          <w:lang w:val="es-ES_tradnl"/>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B266E7" w:rsidRPr="00732F0C" w:rsidRDefault="00B266E7" w:rsidP="00842D6E">
      <w:pPr>
        <w:ind w:right="720"/>
        <w:jc w:val="both"/>
        <w:rPr>
          <w:rFonts w:ascii="Cambria" w:hAnsi="Cambria"/>
          <w:b/>
          <w:sz w:val="20"/>
          <w:szCs w:val="20"/>
          <w:lang w:val="es-ES_tradnl"/>
        </w:rPr>
      </w:pPr>
    </w:p>
    <w:p w:rsidR="00B266E7"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732F0C">
        <w:rPr>
          <w:rFonts w:ascii="Cambria" w:hAnsi="Cambria" w:cs="Verdana"/>
          <w:sz w:val="20"/>
          <w:szCs w:val="20"/>
          <w:lang w:val="es-ES_tradnl" w:eastAsia="es-ES"/>
        </w:rPr>
        <w:t xml:space="preserve">De manera preliminar, la Comisión recuerda la jurisprudencia constante respecto de la </w:t>
      </w:r>
      <w:r w:rsidRPr="00732F0C">
        <w:rPr>
          <w:rFonts w:ascii="Cambria" w:hAnsi="Cambria" w:cs="Verdana"/>
          <w:sz w:val="20"/>
          <w:szCs w:val="20"/>
          <w:lang w:val="es-ES" w:eastAsia="es-ES"/>
        </w:rPr>
        <w:t>posibilidad de los ór</w:t>
      </w:r>
      <w:r w:rsidR="00871FD8">
        <w:rPr>
          <w:rFonts w:ascii="Cambria" w:hAnsi="Cambria" w:cs="Verdana"/>
          <w:sz w:val="20"/>
          <w:szCs w:val="20"/>
          <w:lang w:val="es-ES" w:eastAsia="es-ES"/>
        </w:rPr>
        <w:t>ganos del sistema interamericano</w:t>
      </w:r>
      <w:r w:rsidRPr="00732F0C">
        <w:rPr>
          <w:rFonts w:ascii="Cambria" w:hAnsi="Cambria" w:cs="Verdana"/>
          <w:sz w:val="20"/>
          <w:szCs w:val="20"/>
          <w:lang w:val="es-ES" w:eastAsia="es-ES"/>
        </w:rPr>
        <w:t xml:space="preserve"> de analizar los procesos internos. En palabras de la Corte Interamericana: </w:t>
      </w:r>
    </w:p>
    <w:p w:rsidR="00B266E7" w:rsidRPr="00732F0C" w:rsidRDefault="00B266E7" w:rsidP="00842D6E">
      <w:pPr>
        <w:autoSpaceDE w:val="0"/>
        <w:autoSpaceDN w:val="0"/>
        <w:adjustRightInd w:val="0"/>
        <w:jc w:val="both"/>
        <w:rPr>
          <w:rFonts w:ascii="Cambria" w:hAnsi="Cambria" w:cs="Verdana"/>
          <w:sz w:val="20"/>
          <w:szCs w:val="20"/>
          <w:lang w:val="es-ES" w:eastAsia="es-ES"/>
        </w:rPr>
      </w:pPr>
    </w:p>
    <w:p w:rsidR="00B266E7" w:rsidRPr="00732F0C" w:rsidRDefault="00B266E7" w:rsidP="00842D6E">
      <w:pPr>
        <w:autoSpaceDE w:val="0"/>
        <w:autoSpaceDN w:val="0"/>
        <w:adjustRightInd w:val="0"/>
        <w:ind w:left="720" w:right="720"/>
        <w:jc w:val="both"/>
        <w:rPr>
          <w:rFonts w:ascii="Cambria" w:hAnsi="Cambria" w:cs="Verdana"/>
          <w:i/>
          <w:iCs/>
          <w:sz w:val="20"/>
          <w:szCs w:val="20"/>
          <w:lang w:val="es-ES" w:eastAsia="es-ES"/>
        </w:rPr>
      </w:pPr>
      <w:r w:rsidRPr="00732F0C">
        <w:rPr>
          <w:rFonts w:ascii="Cambria" w:hAnsi="Cambria" w:cs="Verdana"/>
          <w:sz w:val="20"/>
          <w:szCs w:val="20"/>
          <w:lang w:val="es-ES" w:eastAsia="es-ES"/>
        </w:rPr>
        <w:t>[E]l esclarecimiento de presuntas violaciones por parte de un Estado de sus obligaciones internacionales a través de sus órganos judiciales, puede conducir a que [la Comisión y la Corte] deba[n] ocuparse de examinar los respectivos procesos internos. A la luz de lo anterior, se deben considerar los procedimientos internos como un todo y que la función del tribunal internacional es determinar si la integralidad de los procedimientos fue conforme a las disposiciones internacionales</w:t>
      </w:r>
      <w:r w:rsidRPr="00732F0C">
        <w:rPr>
          <w:rStyle w:val="FootnoteReference"/>
          <w:rFonts w:ascii="Cambria" w:hAnsi="Cambria" w:cs="Verdana"/>
          <w:sz w:val="20"/>
          <w:szCs w:val="20"/>
          <w:lang w:val="es-ES" w:eastAsia="es-ES"/>
        </w:rPr>
        <w:footnoteReference w:id="78"/>
      </w:r>
      <w:r w:rsidRPr="00732F0C">
        <w:rPr>
          <w:rFonts w:ascii="Cambria" w:hAnsi="Cambria" w:cs="Verdana"/>
          <w:i/>
          <w:iCs/>
          <w:sz w:val="20"/>
          <w:szCs w:val="20"/>
          <w:lang w:val="es-ES" w:eastAsia="es-ES"/>
        </w:rPr>
        <w:t xml:space="preserve">. </w:t>
      </w:r>
    </w:p>
    <w:p w:rsidR="0035594E" w:rsidRPr="00732F0C" w:rsidRDefault="0035594E"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lang w:val="es-ES"/>
        </w:rPr>
      </w:pPr>
    </w:p>
    <w:p w:rsidR="00C04F0C" w:rsidRPr="00732F0C" w:rsidRDefault="00265E3C"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Cambria" w:hAnsi="Cambria"/>
          <w:b/>
          <w:sz w:val="20"/>
          <w:szCs w:val="20"/>
          <w:lang w:val="es-ES_tradnl"/>
        </w:rPr>
      </w:pPr>
      <w:r w:rsidRPr="00732F0C">
        <w:rPr>
          <w:rFonts w:ascii="Cambria" w:hAnsi="Cambria"/>
          <w:sz w:val="20"/>
          <w:szCs w:val="20"/>
          <w:lang w:val="es-ES_tradnl"/>
        </w:rPr>
        <w:t>Asimismo, l</w:t>
      </w:r>
      <w:r w:rsidR="00C04F0C" w:rsidRPr="00732F0C">
        <w:rPr>
          <w:rFonts w:ascii="Cambria" w:hAnsi="Cambria"/>
          <w:sz w:val="20"/>
          <w:szCs w:val="20"/>
          <w:lang w:val="es-ES_tradnl"/>
        </w:rPr>
        <w:t>a</w:t>
      </w:r>
      <w:r w:rsidR="00C04F0C" w:rsidRPr="00732F0C">
        <w:rPr>
          <w:rFonts w:ascii="Cambria" w:hAnsi="Cambria" w:cs="Verdana"/>
          <w:sz w:val="20"/>
          <w:szCs w:val="20"/>
          <w:lang w:val="es-ES"/>
        </w:rPr>
        <w:t xml:space="preserve"> Corte ha señalado que:</w:t>
      </w:r>
    </w:p>
    <w:p w:rsidR="00C04F0C" w:rsidRPr="00732F0C" w:rsidRDefault="00C04F0C" w:rsidP="00842D6E">
      <w:pPr>
        <w:autoSpaceDE w:val="0"/>
        <w:autoSpaceDN w:val="0"/>
        <w:adjustRightInd w:val="0"/>
        <w:ind w:right="540" w:firstLine="720"/>
        <w:jc w:val="both"/>
        <w:rPr>
          <w:rFonts w:ascii="Cambria" w:hAnsi="Cambria" w:cs="Verdana"/>
          <w:sz w:val="20"/>
          <w:szCs w:val="20"/>
          <w:lang w:val="es-ES"/>
        </w:rPr>
      </w:pPr>
    </w:p>
    <w:p w:rsidR="00C04F0C" w:rsidRPr="00732F0C" w:rsidRDefault="00C04F0C" w:rsidP="00842D6E">
      <w:pPr>
        <w:tabs>
          <w:tab w:val="left" w:pos="8640"/>
        </w:tabs>
        <w:autoSpaceDE w:val="0"/>
        <w:autoSpaceDN w:val="0"/>
        <w:adjustRightInd w:val="0"/>
        <w:ind w:left="720" w:right="720"/>
        <w:jc w:val="both"/>
        <w:rPr>
          <w:rFonts w:ascii="Cambria" w:hAnsi="Cambria" w:cs="Verdana"/>
          <w:sz w:val="20"/>
          <w:szCs w:val="20"/>
          <w:lang w:val="es-ES"/>
        </w:rPr>
      </w:pPr>
      <w:r w:rsidRPr="00732F0C">
        <w:rPr>
          <w:rFonts w:ascii="Cambria" w:hAnsi="Cambria" w:cs="Verdana"/>
          <w:sz w:val="20"/>
          <w:szCs w:val="20"/>
          <w:lang w:val="es-ES"/>
        </w:rPr>
        <w:t xml:space="preserve">Los Estados Partes están obligados a suministrar recursos judiciales efectivos a las víctimas de violaciones de los derechos humanos (artículo 25), recursos que deben ser sustanciados de conformidad con las reglas del debido proceso legal (artículo 8.1), todo ello dentro de la obligación general, a cargo de los mismos Estados, de garantizar el libre y pleno ejercicio de </w:t>
      </w:r>
      <w:r w:rsidRPr="00732F0C">
        <w:rPr>
          <w:rFonts w:ascii="Cambria" w:hAnsi="Cambria" w:cs="Verdana"/>
          <w:sz w:val="20"/>
          <w:szCs w:val="20"/>
          <w:lang w:val="es-ES"/>
        </w:rPr>
        <w:lastRenderedPageBreak/>
        <w:t>los derechos reconocidos por la Convención a toda persona que se encuentre bajo su jurisdicción (artículo 1.1)</w:t>
      </w:r>
      <w:r w:rsidRPr="00732F0C">
        <w:rPr>
          <w:rStyle w:val="FootnoteReference"/>
          <w:rFonts w:ascii="Cambria" w:hAnsi="Cambria" w:cs="Arial"/>
          <w:sz w:val="20"/>
          <w:szCs w:val="20"/>
          <w:lang w:val="es-ES"/>
        </w:rPr>
        <w:footnoteReference w:id="79"/>
      </w:r>
      <w:r w:rsidRPr="00732F0C">
        <w:rPr>
          <w:rFonts w:ascii="Cambria" w:hAnsi="Cambria" w:cs="Verdana"/>
          <w:sz w:val="20"/>
          <w:szCs w:val="20"/>
          <w:lang w:val="es-ES"/>
        </w:rPr>
        <w:t>.</w:t>
      </w:r>
    </w:p>
    <w:p w:rsidR="00C04F0C" w:rsidRPr="00732F0C" w:rsidRDefault="00C04F0C"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lang w:val="es-ES"/>
        </w:rPr>
      </w:pPr>
    </w:p>
    <w:p w:rsidR="00B266E7" w:rsidRPr="00732F0C" w:rsidRDefault="00A07D7F"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ES"/>
        </w:rPr>
      </w:pPr>
      <w:r w:rsidRPr="00732F0C">
        <w:rPr>
          <w:rFonts w:ascii="Cambria" w:hAnsi="Cambria"/>
          <w:sz w:val="20"/>
          <w:szCs w:val="20"/>
          <w:lang w:val="es-CL"/>
        </w:rPr>
        <w:t xml:space="preserve">De esta forma, </w:t>
      </w:r>
      <w:r w:rsidR="00B266E7" w:rsidRPr="00732F0C">
        <w:rPr>
          <w:rFonts w:ascii="Cambria" w:hAnsi="Cambria"/>
          <w:sz w:val="20"/>
          <w:szCs w:val="20"/>
          <w:lang w:val="es-CL"/>
        </w:rPr>
        <w:t xml:space="preserve">los Estados </w:t>
      </w:r>
      <w:r w:rsidRPr="00732F0C">
        <w:rPr>
          <w:rFonts w:ascii="Cambria" w:hAnsi="Cambria"/>
          <w:sz w:val="20"/>
          <w:szCs w:val="20"/>
          <w:lang w:val="es-CL"/>
        </w:rPr>
        <w:t>tienen</w:t>
      </w:r>
      <w:r w:rsidR="00B266E7" w:rsidRPr="00732F0C">
        <w:rPr>
          <w:rFonts w:ascii="Cambria" w:hAnsi="Cambria"/>
          <w:sz w:val="20"/>
          <w:szCs w:val="20"/>
          <w:lang w:val="es-CL"/>
        </w:rPr>
        <w:t xml:space="preserve"> </w:t>
      </w:r>
      <w:r w:rsidR="00B266E7" w:rsidRPr="00732F0C">
        <w:rPr>
          <w:rFonts w:ascii="Cambria" w:hAnsi="Cambria"/>
          <w:sz w:val="20"/>
          <w:szCs w:val="20"/>
          <w:lang w:val="es-ES_tradnl"/>
        </w:rPr>
        <w:t>el deber de investigar las violaciones a los derechos humanos reconocidos en ese instrumento, como las alegadas en el presente caso y procurar, además, el restablecimiento, si es posible, del derecho conculcado y, en su caso, la reparación de los daños producidos por las violaciones de los derechos humanos</w:t>
      </w:r>
      <w:r w:rsidR="00B266E7" w:rsidRPr="00732F0C">
        <w:rPr>
          <w:rStyle w:val="FootnoteReference"/>
          <w:rFonts w:ascii="Cambria" w:hAnsi="Cambria"/>
          <w:sz w:val="20"/>
          <w:szCs w:val="20"/>
          <w:lang w:val="es-ES_tradnl"/>
        </w:rPr>
        <w:footnoteReference w:id="80"/>
      </w:r>
      <w:r w:rsidR="00B266E7" w:rsidRPr="00732F0C">
        <w:rPr>
          <w:rFonts w:ascii="Cambria" w:hAnsi="Cambria"/>
          <w:sz w:val="20"/>
          <w:szCs w:val="20"/>
          <w:lang w:val="es-ES_tradnl"/>
        </w:rPr>
        <w:t>.</w:t>
      </w:r>
      <w:r w:rsidR="00B266E7" w:rsidRPr="00732F0C">
        <w:rPr>
          <w:rFonts w:ascii="Cambria" w:hAnsi="Cambria" w:cs="Verdana"/>
          <w:sz w:val="20"/>
          <w:szCs w:val="20"/>
          <w:lang w:val="es-ES"/>
        </w:rPr>
        <w:t xml:space="preserve"> </w:t>
      </w:r>
      <w:r w:rsidR="00D273D3" w:rsidRPr="00732F0C">
        <w:rPr>
          <w:rFonts w:ascii="Cambria" w:hAnsi="Cambria" w:cs="Verdana"/>
          <w:sz w:val="20"/>
          <w:szCs w:val="20"/>
          <w:lang w:val="es-ES"/>
        </w:rPr>
        <w:t>L</w:t>
      </w:r>
      <w:r w:rsidRPr="00732F0C">
        <w:rPr>
          <w:rFonts w:ascii="Cambria" w:hAnsi="Cambria" w:cs="Verdana"/>
          <w:sz w:val="20"/>
          <w:szCs w:val="20"/>
          <w:lang w:val="es-ES"/>
        </w:rPr>
        <w:t>a Comisión resalta que l</w:t>
      </w:r>
      <w:r w:rsidR="00B266E7" w:rsidRPr="00732F0C">
        <w:rPr>
          <w:rFonts w:ascii="Cambria" w:hAnsi="Cambria" w:cs="Verdana"/>
          <w:sz w:val="20"/>
          <w:szCs w:val="20"/>
          <w:lang w:val="es-ES"/>
        </w:rPr>
        <w:t xml:space="preserve">os artículos 8.1 y 25.1 de la Convención Americana </w:t>
      </w:r>
      <w:r w:rsidRPr="00732F0C">
        <w:rPr>
          <w:rFonts w:ascii="Cambria" w:hAnsi="Cambria" w:cs="Verdana"/>
          <w:sz w:val="20"/>
          <w:szCs w:val="20"/>
          <w:lang w:val="es-ES"/>
        </w:rPr>
        <w:t xml:space="preserve">también </w:t>
      </w:r>
      <w:r w:rsidR="00B266E7" w:rsidRPr="00732F0C">
        <w:rPr>
          <w:rFonts w:ascii="Cambria" w:hAnsi="Cambria" w:cs="Verdana"/>
          <w:sz w:val="20"/>
          <w:szCs w:val="20"/>
          <w:lang w:val="es-ES"/>
        </w:rPr>
        <w:t>consagran</w:t>
      </w:r>
      <w:r w:rsidRPr="00732F0C">
        <w:rPr>
          <w:rFonts w:ascii="Cambria" w:hAnsi="Cambria" w:cs="Verdana"/>
          <w:sz w:val="20"/>
          <w:szCs w:val="20"/>
          <w:lang w:val="es-ES"/>
        </w:rPr>
        <w:t xml:space="preserve"> </w:t>
      </w:r>
      <w:r w:rsidR="00B266E7" w:rsidRPr="00732F0C">
        <w:rPr>
          <w:rFonts w:ascii="Cambria" w:hAnsi="Cambria"/>
          <w:sz w:val="20"/>
          <w:szCs w:val="20"/>
          <w:lang w:val="es-CL"/>
        </w:rPr>
        <w:t xml:space="preserve">el derecho de los familiares de las víctimas de estas violaciones de ser oídos a lo largo de los procesos internos así como de obtener la verdad de los hechos y, de ser el caso, una sanción adecuada a los responsables y una reparación integral.   </w:t>
      </w:r>
    </w:p>
    <w:p w:rsidR="00B266E7" w:rsidRPr="00732F0C" w:rsidRDefault="00B266E7" w:rsidP="00842D6E">
      <w:pPr>
        <w:jc w:val="both"/>
        <w:outlineLvl w:val="0"/>
        <w:rPr>
          <w:rFonts w:ascii="Cambria" w:hAnsi="Cambria"/>
          <w:b/>
          <w:sz w:val="20"/>
          <w:szCs w:val="20"/>
          <w:lang w:val="es-ES_tradnl"/>
        </w:rPr>
      </w:pPr>
    </w:p>
    <w:p w:rsidR="00B266E7"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ES_tradnl"/>
        </w:rPr>
      </w:pPr>
      <w:r w:rsidRPr="00732F0C">
        <w:rPr>
          <w:rFonts w:ascii="Cambria" w:hAnsi="Cambria" w:cs="Arial"/>
          <w:sz w:val="20"/>
          <w:szCs w:val="20"/>
          <w:lang w:val="es-ES_tradnl"/>
        </w:rPr>
        <w:t xml:space="preserve">La jurisprudencia del </w:t>
      </w:r>
      <w:r w:rsidR="00C04F0C" w:rsidRPr="00732F0C">
        <w:rPr>
          <w:rFonts w:ascii="Cambria" w:hAnsi="Cambria" w:cs="Arial"/>
          <w:sz w:val="20"/>
          <w:szCs w:val="20"/>
          <w:lang w:val="es-ES_tradnl"/>
        </w:rPr>
        <w:t>sistema i</w:t>
      </w:r>
      <w:r w:rsidRPr="00732F0C">
        <w:rPr>
          <w:rFonts w:ascii="Cambria" w:hAnsi="Cambria" w:cs="Arial"/>
          <w:sz w:val="20"/>
          <w:szCs w:val="20"/>
          <w:lang w:val="es-ES_tradnl"/>
        </w:rPr>
        <w:t xml:space="preserve">nteramericano ha establecido que si bien la obligación de investigar </w:t>
      </w:r>
      <w:r w:rsidRPr="00732F0C">
        <w:rPr>
          <w:rFonts w:ascii="Cambria" w:hAnsi="Cambria"/>
          <w:sz w:val="20"/>
          <w:szCs w:val="20"/>
          <w:lang w:val="es-ES_tradnl"/>
        </w:rPr>
        <w:t xml:space="preserve">es una obligación de medios, y no de resultado, ésta debe ser </w:t>
      </w:r>
      <w:r w:rsidRPr="00732F0C">
        <w:rPr>
          <w:rFonts w:ascii="Cambria" w:hAnsi="Cambria" w:cs="Arial"/>
          <w:sz w:val="20"/>
          <w:szCs w:val="20"/>
          <w:lang w:val="es-ES_tradnl"/>
        </w:rPr>
        <w:t>asumida</w:t>
      </w:r>
      <w:r w:rsidRPr="00732F0C">
        <w:rPr>
          <w:rFonts w:ascii="Cambria" w:hAnsi="Cambria"/>
          <w:sz w:val="20"/>
          <w:szCs w:val="20"/>
          <w:lang w:val="es-ES_tradnl"/>
        </w:rPr>
        <w:t xml:space="preserve"> por el Estado como un deber jurídico propio y no como una simple formalidad condenada de antemano a ser infructuosa</w:t>
      </w:r>
      <w:r w:rsidRPr="00732F0C">
        <w:rPr>
          <w:rFonts w:ascii="Cambria" w:hAnsi="Cambria"/>
          <w:sz w:val="20"/>
          <w:szCs w:val="20"/>
          <w:vertAlign w:val="superscript"/>
        </w:rPr>
        <w:footnoteReference w:id="81"/>
      </w:r>
      <w:r w:rsidRPr="00732F0C">
        <w:rPr>
          <w:rFonts w:ascii="Cambria" w:hAnsi="Cambria"/>
          <w:sz w:val="20"/>
          <w:szCs w:val="20"/>
          <w:lang w:val="es-ES_tradnl"/>
        </w:rPr>
        <w:t>, o como una mera gestión de intereses particulares, que dependa de la iniciativa procesal de las víctimas o de sus familiares o de la aportación privada de elementos probatorios</w:t>
      </w:r>
      <w:r w:rsidRPr="00732F0C">
        <w:rPr>
          <w:rFonts w:ascii="Cambria" w:hAnsi="Cambria"/>
          <w:sz w:val="20"/>
          <w:szCs w:val="20"/>
          <w:vertAlign w:val="superscript"/>
        </w:rPr>
        <w:footnoteReference w:id="82"/>
      </w:r>
      <w:r w:rsidRPr="00732F0C">
        <w:rPr>
          <w:rFonts w:ascii="Cambria" w:hAnsi="Cambria"/>
          <w:sz w:val="20"/>
          <w:szCs w:val="20"/>
          <w:lang w:val="es-ES_tradnl"/>
        </w:rPr>
        <w:t>.</w:t>
      </w:r>
      <w:r w:rsidR="00265E3C" w:rsidRPr="00732F0C">
        <w:rPr>
          <w:rFonts w:ascii="Cambria" w:hAnsi="Cambria"/>
          <w:sz w:val="20"/>
          <w:szCs w:val="20"/>
          <w:lang w:val="es-ES_tradnl"/>
        </w:rPr>
        <w:t xml:space="preserve"> </w:t>
      </w:r>
      <w:r w:rsidR="00D5687F" w:rsidRPr="00732F0C">
        <w:rPr>
          <w:rFonts w:ascii="Cambria" w:hAnsi="Cambria"/>
          <w:sz w:val="20"/>
          <w:szCs w:val="20"/>
          <w:lang w:val="es-ES_tradnl"/>
        </w:rPr>
        <w:t>Del mismo modo</w:t>
      </w:r>
      <w:r w:rsidR="00265E3C" w:rsidRPr="00732F0C">
        <w:rPr>
          <w:rFonts w:ascii="Cambria" w:hAnsi="Cambria"/>
          <w:sz w:val="20"/>
          <w:szCs w:val="20"/>
          <w:lang w:val="es-ES_tradnl"/>
        </w:rPr>
        <w:t>, la Comisión resalta</w:t>
      </w:r>
      <w:r w:rsidR="00D5687F" w:rsidRPr="00732F0C">
        <w:rPr>
          <w:rFonts w:ascii="Cambria" w:hAnsi="Cambria"/>
          <w:sz w:val="20"/>
          <w:szCs w:val="20"/>
          <w:lang w:val="es-ES_tradnl"/>
        </w:rPr>
        <w:t xml:space="preserve"> que, </w:t>
      </w:r>
      <w:r w:rsidR="00F26370" w:rsidRPr="00732F0C">
        <w:rPr>
          <w:rFonts w:ascii="Cambria" w:hAnsi="Cambria"/>
          <w:sz w:val="20"/>
          <w:szCs w:val="20"/>
          <w:lang w:val="es-ES_tradnl"/>
        </w:rPr>
        <w:t>al margen de que el Estado emita una sentencia condenatoria en contra de los responsables</w:t>
      </w:r>
      <w:r w:rsidR="00D5687F" w:rsidRPr="00732F0C">
        <w:rPr>
          <w:rFonts w:ascii="Cambria" w:hAnsi="Cambria"/>
          <w:sz w:val="20"/>
          <w:szCs w:val="20"/>
          <w:lang w:val="es-ES_tradnl"/>
        </w:rPr>
        <w:t xml:space="preserve">, las irregularidades y omisiones producidas durante la investigación y </w:t>
      </w:r>
      <w:r w:rsidR="00F26370" w:rsidRPr="00732F0C">
        <w:rPr>
          <w:rFonts w:ascii="Cambria" w:hAnsi="Cambria"/>
          <w:sz w:val="20"/>
          <w:szCs w:val="20"/>
          <w:lang w:val="es-ES_tradnl"/>
        </w:rPr>
        <w:t>la demora injustificada del</w:t>
      </w:r>
      <w:r w:rsidR="00D5687F" w:rsidRPr="00732F0C">
        <w:rPr>
          <w:rFonts w:ascii="Cambria" w:hAnsi="Cambria"/>
          <w:sz w:val="20"/>
          <w:szCs w:val="20"/>
          <w:lang w:val="es-ES_tradnl"/>
        </w:rPr>
        <w:t xml:space="preserve"> proceso </w:t>
      </w:r>
      <w:r w:rsidR="006D53C9" w:rsidRPr="00732F0C">
        <w:rPr>
          <w:rFonts w:ascii="Cambria" w:hAnsi="Cambria"/>
          <w:sz w:val="20"/>
          <w:szCs w:val="20"/>
          <w:lang w:val="es-ES_tradnl"/>
        </w:rPr>
        <w:t>pueden constituir</w:t>
      </w:r>
      <w:r w:rsidR="00D5687F" w:rsidRPr="00732F0C">
        <w:rPr>
          <w:rFonts w:ascii="Cambria" w:hAnsi="Cambria"/>
          <w:sz w:val="20"/>
          <w:szCs w:val="20"/>
          <w:lang w:val="es-ES_tradnl"/>
        </w:rPr>
        <w:t xml:space="preserve"> violaciones autónomas a los derechos a las garantías judiciales y protección judicial.</w:t>
      </w:r>
    </w:p>
    <w:p w:rsidR="00B266E7" w:rsidRPr="00732F0C" w:rsidRDefault="00B266E7" w:rsidP="00842D6E">
      <w:pPr>
        <w:jc w:val="both"/>
        <w:rPr>
          <w:rFonts w:ascii="Cambria" w:hAnsi="Cambria"/>
          <w:sz w:val="20"/>
          <w:szCs w:val="20"/>
          <w:lang w:val="es-ES_tradnl"/>
        </w:rPr>
      </w:pPr>
    </w:p>
    <w:p w:rsidR="00B266E7" w:rsidRPr="00732F0C" w:rsidRDefault="00A07D7F"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cs="Arial"/>
          <w:sz w:val="20"/>
          <w:szCs w:val="20"/>
          <w:lang w:val="es-ES_tradnl"/>
        </w:rPr>
        <w:t xml:space="preserve">En ese sentido, </w:t>
      </w:r>
      <w:r w:rsidR="00B266E7" w:rsidRPr="00732F0C">
        <w:rPr>
          <w:rFonts w:ascii="Cambria" w:hAnsi="Cambria" w:cs="Arial"/>
          <w:sz w:val="20"/>
          <w:szCs w:val="20"/>
          <w:lang w:val="es-ES_tradnl"/>
        </w:rPr>
        <w:t>las investigaciones efectuadas por el Estado deben ser realizadas  con la debida diligencia de forma que las averiguaciones se realicen por todos los medios disponibles y estén direccionada a la determinación de la verdad</w:t>
      </w:r>
      <w:r w:rsidR="00B266E7" w:rsidRPr="00732F0C">
        <w:rPr>
          <w:rFonts w:ascii="Cambria" w:hAnsi="Cambria"/>
          <w:sz w:val="20"/>
          <w:szCs w:val="20"/>
          <w:vertAlign w:val="superscript"/>
        </w:rPr>
        <w:footnoteReference w:id="83"/>
      </w:r>
      <w:r w:rsidR="00B266E7" w:rsidRPr="00732F0C">
        <w:rPr>
          <w:rFonts w:ascii="Cambria" w:hAnsi="Cambria"/>
          <w:sz w:val="20"/>
          <w:szCs w:val="20"/>
          <w:lang w:val="es-ES_tradnl"/>
        </w:rPr>
        <w:t>.</w:t>
      </w:r>
      <w:r w:rsidR="00B266E7" w:rsidRPr="00732F0C">
        <w:rPr>
          <w:rFonts w:ascii="Cambria" w:hAnsi="Cambria" w:cs="Arial"/>
          <w:sz w:val="20"/>
          <w:szCs w:val="20"/>
          <w:lang w:val="es-ES_tradnl"/>
        </w:rPr>
        <w:t xml:space="preserve">  </w:t>
      </w:r>
      <w:r w:rsidRPr="00732F0C">
        <w:rPr>
          <w:rFonts w:ascii="Cambria" w:hAnsi="Cambria"/>
          <w:sz w:val="20"/>
          <w:szCs w:val="20"/>
          <w:lang w:val="es-ES_tradnl"/>
        </w:rPr>
        <w:t>Por ello,</w:t>
      </w:r>
      <w:r w:rsidR="00B266E7" w:rsidRPr="00732F0C">
        <w:rPr>
          <w:rFonts w:ascii="Cambria" w:hAnsi="Cambria"/>
          <w:sz w:val="20"/>
          <w:szCs w:val="20"/>
          <w:lang w:val="es-ES_tradnl"/>
        </w:rPr>
        <w:t xml:space="preserve"> </w:t>
      </w:r>
      <w:r w:rsidR="00B266E7" w:rsidRPr="00732F0C">
        <w:rPr>
          <w:rFonts w:ascii="Cambria" w:hAnsi="Cambria"/>
          <w:sz w:val="20"/>
          <w:szCs w:val="20"/>
          <w:lang w:val="es-ES"/>
        </w:rPr>
        <w:t xml:space="preserve">la CIDH ha señalado </w:t>
      </w:r>
      <w:r w:rsidRPr="00732F0C">
        <w:rPr>
          <w:rFonts w:ascii="Cambria" w:hAnsi="Cambria"/>
          <w:sz w:val="20"/>
          <w:szCs w:val="20"/>
          <w:lang w:val="es-ES"/>
        </w:rPr>
        <w:t>lo siguiente:</w:t>
      </w:r>
    </w:p>
    <w:p w:rsidR="00B266E7" w:rsidRPr="00732F0C" w:rsidRDefault="00B266E7" w:rsidP="00842D6E">
      <w:pPr>
        <w:jc w:val="both"/>
        <w:rPr>
          <w:rFonts w:ascii="Cambria" w:hAnsi="Cambria"/>
          <w:sz w:val="20"/>
          <w:szCs w:val="20"/>
          <w:lang w:val="es-ES"/>
        </w:rPr>
      </w:pPr>
    </w:p>
    <w:p w:rsidR="00B266E7" w:rsidRPr="00732F0C" w:rsidRDefault="00B266E7" w:rsidP="00842D6E">
      <w:pPr>
        <w:ind w:left="720" w:right="720"/>
        <w:jc w:val="both"/>
        <w:rPr>
          <w:rFonts w:ascii="Cambria" w:hAnsi="Cambria"/>
          <w:sz w:val="20"/>
          <w:szCs w:val="20"/>
          <w:lang w:val="es-ES"/>
        </w:rPr>
      </w:pPr>
      <w:r w:rsidRPr="00732F0C">
        <w:rPr>
          <w:rFonts w:ascii="Cambria" w:hAnsi="Cambria"/>
          <w:sz w:val="20"/>
          <w:szCs w:val="20"/>
          <w:lang w:val="es-ES"/>
        </w:rPr>
        <w:t>La obligación de investigar no se incumple solamente porque no exista una persona condenada en la causa o por la circunstancia de que, pese a los esfuerzos realizados, sea imposible la acreditación de los hechos. Sin embargo, para establecer en forma convincente y creíble que este resultado no ha sido producto de la ejecución mecánica de ciertas formalidades procesales sin que el Estado busque efectivamente la verdad, éste debe demostrar que ha realizado una investigación inmediata, exhaustiva, seria e imparcial</w:t>
      </w:r>
      <w:r w:rsidRPr="00732F0C">
        <w:rPr>
          <w:rStyle w:val="FootnoteReference"/>
          <w:rFonts w:ascii="Cambria" w:hAnsi="Cambria"/>
          <w:sz w:val="20"/>
          <w:szCs w:val="20"/>
          <w:lang w:val="es-ES"/>
        </w:rPr>
        <w:footnoteReference w:id="84"/>
      </w:r>
      <w:r w:rsidRPr="00732F0C">
        <w:rPr>
          <w:rFonts w:ascii="Cambria" w:hAnsi="Cambria"/>
          <w:sz w:val="20"/>
          <w:szCs w:val="20"/>
          <w:lang w:val="es-ES"/>
        </w:rPr>
        <w:t xml:space="preserve">. </w:t>
      </w:r>
    </w:p>
    <w:p w:rsidR="00B266E7" w:rsidRDefault="00B266E7" w:rsidP="00842D6E">
      <w:pPr>
        <w:ind w:left="720" w:right="720"/>
        <w:jc w:val="both"/>
        <w:rPr>
          <w:rFonts w:ascii="Cambria" w:hAnsi="Cambria" w:cs="Arial"/>
          <w:sz w:val="20"/>
          <w:szCs w:val="20"/>
          <w:lang w:val="es-ES_tradnl"/>
        </w:rPr>
      </w:pPr>
    </w:p>
    <w:p w:rsidR="00B266E7" w:rsidRPr="00732F0C" w:rsidRDefault="00D742B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cs="Arial"/>
          <w:sz w:val="20"/>
          <w:szCs w:val="20"/>
          <w:lang w:val="es-ES_tradnl"/>
        </w:rPr>
        <w:t>Respecto de</w:t>
      </w:r>
      <w:r w:rsidR="00B266E7" w:rsidRPr="00732F0C">
        <w:rPr>
          <w:rFonts w:ascii="Cambria" w:hAnsi="Cambria" w:cs="Arial"/>
          <w:sz w:val="20"/>
          <w:szCs w:val="20"/>
          <w:lang w:val="es-ES_tradnl"/>
        </w:rPr>
        <w:t xml:space="preserve"> casos relacionados con el uso de la fuerza letal por parte de agentes estatales, la Corte ha indicado que </w:t>
      </w:r>
      <w:r w:rsidR="00B266E7" w:rsidRPr="00732F0C">
        <w:rPr>
          <w:rFonts w:ascii="Cambria" w:hAnsi="Cambria" w:cs="Verdana"/>
          <w:sz w:val="20"/>
          <w:szCs w:val="20"/>
          <w:lang w:val="es-ES_tradnl"/>
        </w:rPr>
        <w:t xml:space="preserve">“la prohibición general a los agentes del Estado de </w:t>
      </w:r>
      <w:r w:rsidR="00B266E7" w:rsidRPr="00732F0C">
        <w:rPr>
          <w:rFonts w:ascii="Cambria" w:hAnsi="Cambria" w:cs="Arial"/>
          <w:sz w:val="20"/>
          <w:szCs w:val="20"/>
          <w:lang w:val="es-ES_tradnl"/>
        </w:rPr>
        <w:t>privar</w:t>
      </w:r>
      <w:r w:rsidR="00B266E7" w:rsidRPr="00732F0C">
        <w:rPr>
          <w:rFonts w:ascii="Cambria" w:hAnsi="Cambria" w:cs="Verdana"/>
          <w:sz w:val="20"/>
          <w:szCs w:val="20"/>
          <w:lang w:val="es-ES_tradnl"/>
        </w:rPr>
        <w:t xml:space="preserve"> de la vida arbitrariamente sería ineficaz si no existieran procedimientos para verificar la legalidad” de dicho uso</w:t>
      </w:r>
      <w:r w:rsidR="00B266E7" w:rsidRPr="00732F0C">
        <w:rPr>
          <w:rStyle w:val="FootnoteReference"/>
          <w:rFonts w:ascii="Cambria" w:hAnsi="Cambria"/>
          <w:sz w:val="20"/>
          <w:szCs w:val="20"/>
        </w:rPr>
        <w:footnoteReference w:id="85"/>
      </w:r>
      <w:r w:rsidR="00B266E7" w:rsidRPr="00732F0C">
        <w:rPr>
          <w:rFonts w:ascii="Cambria" w:hAnsi="Cambria" w:cs="Verdana"/>
          <w:sz w:val="20"/>
          <w:szCs w:val="20"/>
          <w:lang w:val="es-ES_tradnl"/>
        </w:rPr>
        <w:t>.</w:t>
      </w:r>
      <w:r w:rsidR="00B266E7" w:rsidRPr="00732F0C">
        <w:rPr>
          <w:rFonts w:ascii="Cambria" w:hAnsi="Cambria"/>
          <w:sz w:val="20"/>
          <w:szCs w:val="20"/>
          <w:lang w:val="es-ES_tradnl"/>
        </w:rPr>
        <w:t xml:space="preserve"> </w:t>
      </w:r>
    </w:p>
    <w:p w:rsidR="00B266E7" w:rsidRPr="00732F0C" w:rsidRDefault="00B266E7" w:rsidP="00842D6E">
      <w:pPr>
        <w:suppressAutoHyphens/>
        <w:jc w:val="both"/>
        <w:rPr>
          <w:rFonts w:ascii="Cambria" w:hAnsi="Cambria"/>
          <w:sz w:val="20"/>
          <w:szCs w:val="20"/>
          <w:lang w:val="es-ES_tradnl"/>
        </w:rPr>
      </w:pPr>
    </w:p>
    <w:p w:rsidR="00B266E7"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ES_tradnl"/>
        </w:rPr>
        <w:t>De esta manera, la obligación general de garantía de los derechos “se ve especialmente acentuada en casos de uso de la fuerza letal”</w:t>
      </w:r>
      <w:r w:rsidRPr="00732F0C">
        <w:rPr>
          <w:rStyle w:val="FootnoteReference"/>
          <w:rFonts w:ascii="Cambria" w:hAnsi="Cambria"/>
          <w:sz w:val="20"/>
          <w:szCs w:val="20"/>
          <w:lang w:val="es-ES_tradnl"/>
        </w:rPr>
        <w:footnoteReference w:id="86"/>
      </w:r>
      <w:r w:rsidRPr="00732F0C">
        <w:rPr>
          <w:rFonts w:ascii="Cambria" w:hAnsi="Cambria"/>
          <w:sz w:val="20"/>
          <w:szCs w:val="20"/>
          <w:lang w:val="es-ES_tradnl"/>
        </w:rPr>
        <w:t xml:space="preserve">.  </w:t>
      </w:r>
      <w:r w:rsidR="00D742B8" w:rsidRPr="00732F0C">
        <w:rPr>
          <w:rFonts w:ascii="Cambria" w:hAnsi="Cambria"/>
          <w:sz w:val="20"/>
          <w:szCs w:val="20"/>
          <w:lang w:val="es-ES_tradnl"/>
        </w:rPr>
        <w:t>La Corte ha remarcado lo siguiente:</w:t>
      </w:r>
    </w:p>
    <w:p w:rsidR="00B266E7" w:rsidRPr="00732F0C" w:rsidRDefault="00B266E7" w:rsidP="00842D6E">
      <w:pPr>
        <w:suppressAutoHyphens/>
        <w:jc w:val="both"/>
        <w:rPr>
          <w:rFonts w:ascii="Cambria" w:hAnsi="Cambria"/>
          <w:sz w:val="20"/>
          <w:szCs w:val="20"/>
          <w:lang w:val="es-ES_tradnl"/>
        </w:rPr>
      </w:pPr>
    </w:p>
    <w:p w:rsidR="00B266E7" w:rsidRPr="00732F0C" w:rsidRDefault="00B266E7" w:rsidP="00842D6E">
      <w:pPr>
        <w:suppressAutoHyphens/>
        <w:ind w:left="720" w:right="540"/>
        <w:jc w:val="both"/>
        <w:rPr>
          <w:rFonts w:ascii="Cambria" w:hAnsi="Cambria"/>
          <w:sz w:val="20"/>
          <w:szCs w:val="20"/>
          <w:lang w:val="es-ES_tradnl"/>
        </w:rPr>
      </w:pPr>
      <w:r w:rsidRPr="00732F0C">
        <w:rPr>
          <w:rFonts w:ascii="Cambria" w:hAnsi="Cambria"/>
          <w:sz w:val="20"/>
          <w:szCs w:val="20"/>
          <w:lang w:val="es-ES_tradnl"/>
        </w:rPr>
        <w:t>Una</w:t>
      </w:r>
      <w:r w:rsidRPr="00732F0C">
        <w:rPr>
          <w:rFonts w:ascii="Cambria" w:hAnsi="Cambria" w:cs="Verdana"/>
          <w:sz w:val="20"/>
          <w:szCs w:val="20"/>
          <w:lang w:val="es-ES_tradnl"/>
        </w:rPr>
        <w:t xml:space="preserve"> vez que se tenga conocimiento de que sus agentes de seguridad han hecho uso de armas de fuego con consecuencias letales, el Estado está obligado a iniciar </w:t>
      </w:r>
      <w:r w:rsidRPr="00732F0C">
        <w:rPr>
          <w:rFonts w:ascii="Cambria" w:hAnsi="Cambria" w:cs="Verdana"/>
          <w:i/>
          <w:iCs/>
          <w:sz w:val="20"/>
          <w:szCs w:val="20"/>
          <w:lang w:val="es-ES_tradnl"/>
        </w:rPr>
        <w:t xml:space="preserve">ex </w:t>
      </w:r>
      <w:proofErr w:type="spellStart"/>
      <w:r w:rsidRPr="00732F0C">
        <w:rPr>
          <w:rFonts w:ascii="Cambria" w:hAnsi="Cambria" w:cs="Verdana"/>
          <w:i/>
          <w:iCs/>
          <w:sz w:val="20"/>
          <w:szCs w:val="20"/>
          <w:lang w:val="es-ES_tradnl"/>
        </w:rPr>
        <w:t>officio</w:t>
      </w:r>
      <w:proofErr w:type="spellEnd"/>
      <w:r w:rsidRPr="00732F0C">
        <w:rPr>
          <w:rFonts w:ascii="Cambria" w:hAnsi="Cambria" w:cs="Verdana"/>
          <w:sz w:val="20"/>
          <w:szCs w:val="20"/>
          <w:lang w:val="es-ES_tradnl"/>
        </w:rPr>
        <w:t xml:space="preserve"> y sin dilación, una </w:t>
      </w:r>
      <w:r w:rsidRPr="00732F0C">
        <w:rPr>
          <w:rFonts w:ascii="Cambria" w:hAnsi="Cambria" w:cs="Verdana"/>
          <w:sz w:val="20"/>
          <w:szCs w:val="20"/>
          <w:lang w:val="es-ES_tradnl"/>
        </w:rPr>
        <w:lastRenderedPageBreak/>
        <w:t>investigación seria, independiente, imparcial y efectiva</w:t>
      </w:r>
      <w:r w:rsidRPr="00732F0C">
        <w:rPr>
          <w:rFonts w:ascii="Cambria" w:hAnsi="Cambria" w:cs="Verdana"/>
          <w:sz w:val="20"/>
          <w:szCs w:val="20"/>
          <w:vertAlign w:val="superscript"/>
        </w:rPr>
        <w:footnoteReference w:id="87"/>
      </w:r>
      <w:r w:rsidRPr="00732F0C">
        <w:rPr>
          <w:rFonts w:ascii="Cambria" w:hAnsi="Cambria" w:cs="Verdana"/>
          <w:sz w:val="20"/>
          <w:szCs w:val="20"/>
          <w:lang w:val="es-ES_tradnl"/>
        </w:rPr>
        <w:t>. Esta obligación constituye</w:t>
      </w:r>
      <w:r w:rsidRPr="00732F0C">
        <w:rPr>
          <w:rFonts w:ascii="Cambria" w:hAnsi="Cambria"/>
          <w:sz w:val="20"/>
          <w:szCs w:val="20"/>
          <w:lang w:val="es-ES_tradnl"/>
        </w:rPr>
        <w:t xml:space="preserve"> un elemento fundamental y condicionante para la protección del derecho a la vida que se ve anulado en esas situaciones</w:t>
      </w:r>
      <w:r w:rsidRPr="00732F0C">
        <w:rPr>
          <w:rStyle w:val="FootnoteReference"/>
          <w:rFonts w:ascii="Cambria" w:hAnsi="Cambria"/>
          <w:sz w:val="20"/>
          <w:szCs w:val="20"/>
          <w:lang w:val="es-ES_tradnl"/>
        </w:rPr>
        <w:footnoteReference w:id="88"/>
      </w:r>
      <w:r w:rsidRPr="00732F0C">
        <w:rPr>
          <w:rFonts w:ascii="Cambria" w:hAnsi="Cambria"/>
          <w:sz w:val="20"/>
          <w:szCs w:val="20"/>
          <w:lang w:val="es-ES_tradnl"/>
        </w:rPr>
        <w:t>.</w:t>
      </w:r>
    </w:p>
    <w:p w:rsidR="00B266E7" w:rsidRPr="00732F0C" w:rsidRDefault="00B266E7" w:rsidP="00842D6E">
      <w:pPr>
        <w:jc w:val="both"/>
        <w:rPr>
          <w:rFonts w:ascii="Cambria" w:hAnsi="Cambria" w:cs="Verdana"/>
          <w:sz w:val="20"/>
          <w:szCs w:val="20"/>
          <w:lang w:val="es-ES_tradnl"/>
        </w:rPr>
      </w:pPr>
    </w:p>
    <w:p w:rsidR="00B266E7"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cs="Verdana"/>
          <w:sz w:val="20"/>
          <w:szCs w:val="20"/>
          <w:lang w:val="es-ES_tradnl"/>
        </w:rPr>
        <w:t>En la misma línea, el R</w:t>
      </w:r>
      <w:r w:rsidRPr="00732F0C">
        <w:rPr>
          <w:rFonts w:ascii="Cambria" w:hAnsi="Cambria"/>
          <w:sz w:val="20"/>
          <w:szCs w:val="20"/>
          <w:lang w:val="es-ES_tradnl"/>
        </w:rPr>
        <w:t xml:space="preserve">elator Especial de Naciones Unidas sobre Ejecuciones Extrajudiciales, </w:t>
      </w:r>
      <w:r w:rsidRPr="00732F0C">
        <w:rPr>
          <w:rFonts w:ascii="Cambria" w:hAnsi="Cambria" w:cs="Arial"/>
          <w:sz w:val="20"/>
          <w:szCs w:val="20"/>
          <w:lang w:val="es-ES_tradnl"/>
        </w:rPr>
        <w:t>Sumarias</w:t>
      </w:r>
      <w:r w:rsidR="00D742B8" w:rsidRPr="00732F0C">
        <w:rPr>
          <w:rFonts w:ascii="Cambria" w:hAnsi="Cambria"/>
          <w:sz w:val="20"/>
          <w:szCs w:val="20"/>
          <w:lang w:val="es-ES_tradnl"/>
        </w:rPr>
        <w:t xml:space="preserve"> y Arbitrarias ha indicado lo siguiente</w:t>
      </w:r>
      <w:r w:rsidRPr="00732F0C">
        <w:rPr>
          <w:rFonts w:ascii="Cambria" w:hAnsi="Cambria"/>
          <w:sz w:val="20"/>
          <w:szCs w:val="20"/>
          <w:lang w:val="es-ES_tradnl"/>
        </w:rPr>
        <w:t xml:space="preserve">: </w:t>
      </w:r>
    </w:p>
    <w:p w:rsidR="00B266E7" w:rsidRPr="00732F0C" w:rsidRDefault="00B266E7" w:rsidP="00842D6E">
      <w:pPr>
        <w:jc w:val="both"/>
        <w:rPr>
          <w:rFonts w:ascii="Cambria" w:hAnsi="Cambria"/>
          <w:sz w:val="20"/>
          <w:szCs w:val="20"/>
          <w:lang w:val="es-ES_tradnl"/>
        </w:rPr>
      </w:pPr>
    </w:p>
    <w:p w:rsidR="00B266E7" w:rsidRPr="00732F0C" w:rsidRDefault="00B266E7" w:rsidP="00842D6E">
      <w:pPr>
        <w:autoSpaceDE w:val="0"/>
        <w:autoSpaceDN w:val="0"/>
        <w:adjustRightInd w:val="0"/>
        <w:ind w:left="720" w:right="720"/>
        <w:jc w:val="both"/>
        <w:rPr>
          <w:rFonts w:ascii="Cambria" w:hAnsi="Cambria" w:cs="Arial"/>
          <w:sz w:val="20"/>
          <w:szCs w:val="20"/>
          <w:lang w:val="es-ES_tradnl"/>
        </w:rPr>
      </w:pPr>
      <w:r w:rsidRPr="00732F0C">
        <w:rPr>
          <w:rFonts w:ascii="Cambria" w:hAnsi="Cambria" w:cs="Arial"/>
          <w:sz w:val="20"/>
          <w:szCs w:val="20"/>
          <w:lang w:val="es-ES_tradnl"/>
        </w:rPr>
        <w:t>Las normas de derechos humanos sobre el uso de la fuerza surgen del entendimiento de que la irreversibilidad de la muerte justifica rigurosas salvaguardas del derecho a la vida, especialmente en lo que hace a las garantías procesales debidas. Un procedimiento jurídico que respete las garantías procesales debidas y llegue a una sentencia definitiva es un requisito esencial sin el cual la decisión de un Estado y de sus agentes de dar muerte a alguien viola el principio de “nadie podrá ser privado de la vida arbitrariamente”</w:t>
      </w:r>
      <w:r w:rsidRPr="00732F0C">
        <w:rPr>
          <w:rStyle w:val="FootnoteReference"/>
          <w:rFonts w:ascii="Cambria" w:hAnsi="Cambria" w:cs="Arial"/>
          <w:sz w:val="20"/>
          <w:szCs w:val="20"/>
        </w:rPr>
        <w:footnoteReference w:id="89"/>
      </w:r>
      <w:r w:rsidRPr="00732F0C">
        <w:rPr>
          <w:rFonts w:ascii="Cambria" w:hAnsi="Cambria" w:cs="Arial"/>
          <w:sz w:val="20"/>
          <w:szCs w:val="20"/>
          <w:lang w:val="es-ES_tradnl"/>
        </w:rPr>
        <w:t>.</w:t>
      </w:r>
    </w:p>
    <w:p w:rsidR="00B266E7" w:rsidRPr="00732F0C" w:rsidRDefault="00B266E7" w:rsidP="00842D6E">
      <w:pPr>
        <w:ind w:right="720"/>
        <w:jc w:val="both"/>
        <w:rPr>
          <w:rFonts w:ascii="Cambria" w:hAnsi="Cambria" w:cs="Arial"/>
          <w:sz w:val="20"/>
          <w:szCs w:val="20"/>
          <w:lang w:val="es-ES_tradnl"/>
        </w:rPr>
      </w:pPr>
    </w:p>
    <w:p w:rsidR="00B266E7" w:rsidRPr="00732F0C" w:rsidRDefault="00D742B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cs="Arial"/>
          <w:sz w:val="20"/>
          <w:szCs w:val="20"/>
          <w:lang w:val="es-ES_tradnl"/>
        </w:rPr>
        <w:t>E</w:t>
      </w:r>
      <w:r w:rsidR="00B266E7" w:rsidRPr="00732F0C">
        <w:rPr>
          <w:rFonts w:ascii="Cambria" w:hAnsi="Cambria" w:cs="Arial"/>
          <w:sz w:val="20"/>
          <w:szCs w:val="20"/>
          <w:lang w:val="es-ES_tradnl"/>
        </w:rPr>
        <w:t>n cumplimiento del deber de investigar con la debida diligencia una violación del derecho a la vida, los Estados se encuentran obligados a actuar, desde las</w:t>
      </w:r>
      <w:r w:rsidR="00B266E7" w:rsidRPr="00732F0C">
        <w:rPr>
          <w:rFonts w:ascii="Cambria" w:hAnsi="Cambria"/>
          <w:sz w:val="20"/>
          <w:szCs w:val="20"/>
          <w:lang w:val="es-ES_tradnl"/>
        </w:rPr>
        <w:t xml:space="preserve"> primeras diligencias, con toda acuciosidad</w:t>
      </w:r>
      <w:r w:rsidR="00B266E7" w:rsidRPr="00732F0C">
        <w:rPr>
          <w:rStyle w:val="FootnoteReference"/>
          <w:rFonts w:ascii="Cambria" w:hAnsi="Cambria"/>
          <w:sz w:val="20"/>
          <w:szCs w:val="20"/>
          <w:lang w:val="es-ES_tradnl"/>
        </w:rPr>
        <w:footnoteReference w:id="90"/>
      </w:r>
      <w:r w:rsidR="00B266E7" w:rsidRPr="00732F0C">
        <w:rPr>
          <w:rFonts w:ascii="Cambria" w:hAnsi="Cambria"/>
          <w:sz w:val="20"/>
          <w:szCs w:val="20"/>
          <w:lang w:val="es-ES_tradnl"/>
        </w:rPr>
        <w:t xml:space="preserve">.  Al respecto, </w:t>
      </w:r>
      <w:r w:rsidRPr="00732F0C">
        <w:rPr>
          <w:rFonts w:ascii="Cambria" w:hAnsi="Cambria"/>
          <w:sz w:val="20"/>
          <w:szCs w:val="20"/>
          <w:lang w:val="es-ES_tradnl"/>
        </w:rPr>
        <w:t xml:space="preserve">tanto la Comisión como </w:t>
      </w:r>
      <w:r w:rsidR="00B266E7" w:rsidRPr="00732F0C">
        <w:rPr>
          <w:rFonts w:ascii="Cambria" w:hAnsi="Cambria"/>
          <w:sz w:val="20"/>
          <w:szCs w:val="20"/>
          <w:lang w:val="es-ES_tradnl"/>
        </w:rPr>
        <w:t>la Corte Interamericana ha</w:t>
      </w:r>
      <w:r w:rsidRPr="00732F0C">
        <w:rPr>
          <w:rFonts w:ascii="Cambria" w:hAnsi="Cambria"/>
          <w:sz w:val="20"/>
          <w:szCs w:val="20"/>
          <w:lang w:val="es-ES_tradnl"/>
        </w:rPr>
        <w:t>n</w:t>
      </w:r>
      <w:r w:rsidR="00B266E7" w:rsidRPr="00732F0C">
        <w:rPr>
          <w:rFonts w:ascii="Cambria" w:hAnsi="Cambria"/>
          <w:sz w:val="20"/>
          <w:szCs w:val="20"/>
          <w:lang w:val="es-ES_tradnl"/>
        </w:rPr>
        <w:t xml:space="preserve"> tomado en consideración el Manual sobre la Prevención e Investigación Efectiva de Ejecuciones Extrajudiciales, Arbitrarias y Sumarias de Naciones Unidas, especificando que: </w:t>
      </w:r>
    </w:p>
    <w:p w:rsidR="00B266E7" w:rsidRPr="00732F0C" w:rsidRDefault="00B266E7" w:rsidP="00842D6E">
      <w:pPr>
        <w:suppressAutoHyphens/>
        <w:jc w:val="both"/>
        <w:rPr>
          <w:rFonts w:ascii="Cambria" w:hAnsi="Cambria"/>
          <w:sz w:val="20"/>
          <w:szCs w:val="20"/>
          <w:lang w:val="es-ES_tradnl"/>
        </w:rPr>
      </w:pPr>
    </w:p>
    <w:p w:rsidR="00B266E7" w:rsidRPr="00732F0C" w:rsidRDefault="00B266E7" w:rsidP="00842D6E">
      <w:pPr>
        <w:suppressAutoHyphens/>
        <w:ind w:left="720" w:right="720"/>
        <w:jc w:val="both"/>
        <w:rPr>
          <w:rFonts w:ascii="Cambria" w:hAnsi="Cambria"/>
          <w:sz w:val="20"/>
          <w:szCs w:val="20"/>
          <w:lang w:val="es-ES_tradnl"/>
        </w:rPr>
      </w:pPr>
      <w:r w:rsidRPr="00732F0C">
        <w:rPr>
          <w:rFonts w:ascii="Cambria" w:hAnsi="Cambria"/>
          <w:sz w:val="20"/>
          <w:szCs w:val="20"/>
          <w:lang w:val="es-ES_tradnl"/>
        </w:rPr>
        <w:t xml:space="preserve">Las autoridades estatales que conducen una investigación deben, </w:t>
      </w:r>
      <w:r w:rsidRPr="00732F0C">
        <w:rPr>
          <w:rFonts w:ascii="Cambria" w:hAnsi="Cambria"/>
          <w:i/>
          <w:sz w:val="20"/>
          <w:szCs w:val="20"/>
          <w:lang w:val="es-ES_tradnl"/>
        </w:rPr>
        <w:t xml:space="preserve">inter </w:t>
      </w:r>
      <w:proofErr w:type="spellStart"/>
      <w:r w:rsidRPr="00732F0C">
        <w:rPr>
          <w:rFonts w:ascii="Cambria" w:hAnsi="Cambria"/>
          <w:i/>
          <w:sz w:val="20"/>
          <w:szCs w:val="20"/>
          <w:lang w:val="es-ES_tradnl"/>
        </w:rPr>
        <w:t>alia</w:t>
      </w:r>
      <w:proofErr w:type="spellEnd"/>
      <w:r w:rsidRPr="00732F0C">
        <w:rPr>
          <w:rFonts w:ascii="Cambria" w:hAnsi="Cambria"/>
          <w:i/>
          <w:sz w:val="20"/>
          <w:szCs w:val="20"/>
          <w:lang w:val="es-ES_tradnl"/>
        </w:rPr>
        <w:t>,</w:t>
      </w:r>
      <w:r w:rsidRPr="00732F0C">
        <w:rPr>
          <w:rFonts w:ascii="Cambria" w:hAnsi="Cambria"/>
          <w:sz w:val="20"/>
          <w:szCs w:val="20"/>
          <w:lang w:val="es-ES_tradnl"/>
        </w:rPr>
        <w:t xml:space="preserve"> a) identificar a la víctima; b) recuperar y preservar el material probatorio relacionado con la muerte, con el fin de ayudar en cualquier investigación; c) identificar posibles testigos y obtener sus declaraciones en relación con la muerte que se investiga; d) determinar la causa, forma, lugar y momento de la muerte, así como cualquier procedimiento o práctica que pueda haberla provocado, y e)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r w:rsidRPr="00732F0C">
        <w:rPr>
          <w:rStyle w:val="FootnoteReference"/>
          <w:rFonts w:ascii="Cambria" w:hAnsi="Cambria" w:cs="Verdana"/>
          <w:sz w:val="20"/>
          <w:szCs w:val="20"/>
        </w:rPr>
        <w:footnoteReference w:id="91"/>
      </w:r>
      <w:r w:rsidRPr="00732F0C">
        <w:rPr>
          <w:rFonts w:ascii="Cambria" w:hAnsi="Cambria"/>
          <w:sz w:val="20"/>
          <w:szCs w:val="20"/>
          <w:lang w:val="es-ES_tradnl"/>
        </w:rPr>
        <w:t>.</w:t>
      </w:r>
    </w:p>
    <w:p w:rsidR="00B266E7" w:rsidRDefault="00B266E7" w:rsidP="00842D6E">
      <w:pPr>
        <w:ind w:left="720" w:right="720"/>
        <w:jc w:val="both"/>
        <w:rPr>
          <w:rFonts w:ascii="Cambria" w:hAnsi="Cambria" w:cs="Arial"/>
          <w:sz w:val="20"/>
          <w:szCs w:val="20"/>
          <w:lang w:val="es-ES_tradnl"/>
        </w:rPr>
      </w:pPr>
    </w:p>
    <w:p w:rsidR="00937132" w:rsidRPr="00732F0C" w:rsidRDefault="00937132" w:rsidP="00842D6E">
      <w:pPr>
        <w:ind w:left="720" w:right="720"/>
        <w:jc w:val="both"/>
        <w:rPr>
          <w:rFonts w:ascii="Cambria" w:hAnsi="Cambria" w:cs="Arial"/>
          <w:sz w:val="20"/>
          <w:szCs w:val="20"/>
          <w:lang w:val="es-ES_tradnl"/>
        </w:rPr>
      </w:pPr>
    </w:p>
    <w:p w:rsidR="00B266E7"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cs="Arial"/>
          <w:sz w:val="20"/>
          <w:szCs w:val="20"/>
          <w:lang w:val="es-ES_tradnl"/>
        </w:rPr>
        <w:t xml:space="preserve">La Corte </w:t>
      </w:r>
      <w:r w:rsidRPr="00732F0C">
        <w:rPr>
          <w:rFonts w:ascii="Cambria" w:hAnsi="Cambria"/>
          <w:sz w:val="20"/>
          <w:szCs w:val="20"/>
          <w:lang w:val="es-ES_tradnl"/>
        </w:rPr>
        <w:t>también</w:t>
      </w:r>
      <w:r w:rsidRPr="00732F0C">
        <w:rPr>
          <w:rFonts w:ascii="Cambria" w:hAnsi="Cambria" w:cs="Arial"/>
          <w:sz w:val="20"/>
          <w:szCs w:val="20"/>
          <w:lang w:val="es-ES_tradnl"/>
        </w:rPr>
        <w:t xml:space="preserve"> ha dicho que las autoridades deben adoptar las medidas razonables que permitan asegurar el material probatorio necesario para llevar a cabo la investigación</w:t>
      </w:r>
      <w:r w:rsidRPr="00732F0C">
        <w:rPr>
          <w:rStyle w:val="FootnoteReference"/>
          <w:rFonts w:ascii="Cambria" w:hAnsi="Cambria" w:cs="Arial"/>
          <w:sz w:val="20"/>
          <w:szCs w:val="20"/>
          <w:lang w:val="es-ES_tradnl"/>
        </w:rPr>
        <w:footnoteReference w:id="92"/>
      </w:r>
      <w:r w:rsidRPr="00732F0C">
        <w:rPr>
          <w:rFonts w:ascii="Cambria" w:hAnsi="Cambria" w:cs="Arial"/>
          <w:sz w:val="20"/>
          <w:szCs w:val="20"/>
          <w:lang w:val="es-ES_tradnl"/>
        </w:rPr>
        <w:t xml:space="preserve">. </w:t>
      </w:r>
      <w:r w:rsidRPr="00732F0C">
        <w:rPr>
          <w:rFonts w:ascii="Cambria" w:hAnsi="Cambria"/>
          <w:sz w:val="20"/>
          <w:szCs w:val="20"/>
          <w:lang w:val="es-ES"/>
        </w:rPr>
        <w:t xml:space="preserve">En particular, respecto de la actuación de los agentes de las fuerzas de seguridad, la Comisión ha sostenido </w:t>
      </w:r>
      <w:r w:rsidR="00D742B8" w:rsidRPr="00732F0C">
        <w:rPr>
          <w:rFonts w:ascii="Cambria" w:hAnsi="Cambria"/>
          <w:sz w:val="20"/>
          <w:szCs w:val="20"/>
          <w:lang w:val="es-ES"/>
        </w:rPr>
        <w:t>lo siguiente:</w:t>
      </w:r>
      <w:r w:rsidRPr="00732F0C">
        <w:rPr>
          <w:rFonts w:ascii="Cambria" w:hAnsi="Cambria"/>
          <w:sz w:val="20"/>
          <w:szCs w:val="20"/>
          <w:lang w:val="es-ES"/>
        </w:rPr>
        <w:t xml:space="preserve"> </w:t>
      </w:r>
    </w:p>
    <w:p w:rsidR="00B266E7" w:rsidRPr="00732F0C" w:rsidRDefault="00B266E7" w:rsidP="00842D6E">
      <w:pPr>
        <w:tabs>
          <w:tab w:val="left" w:pos="1440"/>
        </w:tabs>
        <w:ind w:firstLine="720"/>
        <w:jc w:val="both"/>
        <w:rPr>
          <w:rFonts w:ascii="Cambria" w:hAnsi="Cambria" w:cs="Arial"/>
          <w:sz w:val="20"/>
          <w:szCs w:val="20"/>
          <w:lang w:val="es-CR"/>
        </w:rPr>
      </w:pPr>
    </w:p>
    <w:p w:rsidR="00B266E7" w:rsidRPr="00732F0C" w:rsidRDefault="00CF187B" w:rsidP="00842D6E">
      <w:pPr>
        <w:tabs>
          <w:tab w:val="left" w:pos="1440"/>
        </w:tabs>
        <w:ind w:left="720" w:right="720"/>
        <w:jc w:val="both"/>
        <w:rPr>
          <w:rFonts w:ascii="Cambria" w:hAnsi="Cambria"/>
          <w:sz w:val="20"/>
          <w:szCs w:val="20"/>
          <w:lang w:val="es-CR"/>
        </w:rPr>
      </w:pPr>
      <w:r w:rsidRPr="00732F0C">
        <w:rPr>
          <w:rFonts w:ascii="Cambria" w:hAnsi="Cambria" w:cs="Arial"/>
          <w:sz w:val="20"/>
          <w:szCs w:val="20"/>
          <w:lang w:val="es-CR"/>
        </w:rPr>
        <w:t>(…)</w:t>
      </w:r>
      <w:r w:rsidR="00B266E7" w:rsidRPr="00732F0C">
        <w:rPr>
          <w:rFonts w:ascii="Cambria" w:hAnsi="Cambria"/>
          <w:sz w:val="20"/>
          <w:szCs w:val="20"/>
          <w:lang w:val="es-CR"/>
        </w:rPr>
        <w:t xml:space="preserve"> los procesos deben ser tramitados y resueltos por autoridades independientes; los funcionarios o agencias directa o indirectamente involucradas en los hechos investigados no deben participar de la instrucción; y las víctimas deben tener la oportuni</w:t>
      </w:r>
      <w:r w:rsidRPr="00732F0C">
        <w:rPr>
          <w:rFonts w:ascii="Cambria" w:hAnsi="Cambria"/>
          <w:sz w:val="20"/>
          <w:szCs w:val="20"/>
          <w:lang w:val="es-CR"/>
        </w:rPr>
        <w:t>dad de participar del proceso</w:t>
      </w:r>
      <w:r w:rsidR="00B266E7" w:rsidRPr="00732F0C">
        <w:rPr>
          <w:rStyle w:val="FootnoteReference"/>
          <w:rFonts w:ascii="Cambria" w:hAnsi="Cambria"/>
          <w:sz w:val="20"/>
          <w:szCs w:val="20"/>
        </w:rPr>
        <w:footnoteReference w:id="93"/>
      </w:r>
      <w:r w:rsidR="00B266E7" w:rsidRPr="00732F0C">
        <w:rPr>
          <w:rFonts w:ascii="Cambria" w:hAnsi="Cambria"/>
          <w:sz w:val="20"/>
          <w:szCs w:val="20"/>
          <w:lang w:val="es-CR"/>
        </w:rPr>
        <w:t>.</w:t>
      </w:r>
    </w:p>
    <w:p w:rsidR="00B266E7" w:rsidRPr="00732F0C" w:rsidRDefault="00B266E7" w:rsidP="00842D6E">
      <w:pPr>
        <w:jc w:val="both"/>
        <w:rPr>
          <w:rFonts w:ascii="Cambria" w:hAnsi="Cambria" w:cs="Arial"/>
          <w:sz w:val="20"/>
          <w:szCs w:val="20"/>
          <w:lang w:val="es-ES_tradnl"/>
        </w:rPr>
      </w:pPr>
    </w:p>
    <w:p w:rsidR="00B266E7"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L"/>
        </w:rPr>
      </w:pPr>
      <w:r w:rsidRPr="00732F0C">
        <w:rPr>
          <w:rFonts w:ascii="Cambria" w:hAnsi="Cambria" w:cs="Arial"/>
          <w:sz w:val="20"/>
          <w:szCs w:val="20"/>
          <w:lang w:val="es-ES_tradnl"/>
        </w:rPr>
        <w:lastRenderedPageBreak/>
        <w:t>En cuanto a la importancia de la actuación de las autoridades que llevan a cabo las diligencias iniciales de investigación, la Corte ha dicho que “la debida diligencia y los criterios de</w:t>
      </w:r>
      <w:r w:rsidRPr="00732F0C">
        <w:rPr>
          <w:rFonts w:ascii="Cambria" w:hAnsi="Cambria"/>
          <w:sz w:val="20"/>
          <w:szCs w:val="20"/>
          <w:lang w:val="es-CL"/>
        </w:rPr>
        <w:t xml:space="preserve"> </w:t>
      </w:r>
      <w:r w:rsidRPr="00732F0C">
        <w:rPr>
          <w:rFonts w:ascii="Cambria" w:hAnsi="Cambria"/>
          <w:sz w:val="20"/>
          <w:szCs w:val="20"/>
          <w:lang w:val="es-ES_tradnl"/>
        </w:rPr>
        <w:t>independencia</w:t>
      </w:r>
      <w:r w:rsidRPr="00732F0C">
        <w:rPr>
          <w:rFonts w:ascii="Cambria" w:hAnsi="Cambria"/>
          <w:sz w:val="20"/>
          <w:szCs w:val="20"/>
          <w:lang w:val="es-CL"/>
        </w:rPr>
        <w:t xml:space="preserve"> e imparcialidad, se extienden también a los órganos no judiciales a los que corresponda la investigación previa al proceso judicial, realizada para determinar las circunstancias de una muerte y la existencia de suficientes indicios para interponer una acción penal.  Sin el cumplimiento de estas exigencias, el Estado no podrá posteriormente ejercer de manera efectiva y eficiente su facultad acusatoria y los tribunales no podrán llevar a cabo el proceso judicial que este tipo de violaciones requiere”</w:t>
      </w:r>
      <w:r w:rsidRPr="00732F0C">
        <w:rPr>
          <w:rStyle w:val="FootnoteReference"/>
          <w:rFonts w:ascii="Cambria" w:hAnsi="Cambria"/>
          <w:sz w:val="20"/>
          <w:szCs w:val="20"/>
          <w:lang w:val="es-CL"/>
        </w:rPr>
        <w:footnoteReference w:id="94"/>
      </w:r>
      <w:r w:rsidRPr="00732F0C">
        <w:rPr>
          <w:rFonts w:ascii="Cambria" w:hAnsi="Cambria"/>
          <w:sz w:val="20"/>
          <w:szCs w:val="20"/>
          <w:lang w:val="es-CL"/>
        </w:rPr>
        <w:t xml:space="preserve">. </w:t>
      </w:r>
    </w:p>
    <w:p w:rsidR="00B266E7" w:rsidRPr="00732F0C" w:rsidRDefault="00B266E7" w:rsidP="00842D6E">
      <w:pPr>
        <w:suppressAutoHyphens/>
        <w:jc w:val="both"/>
        <w:rPr>
          <w:rFonts w:ascii="Cambria" w:hAnsi="Cambria"/>
          <w:sz w:val="20"/>
          <w:szCs w:val="20"/>
          <w:lang w:val="es-CL"/>
        </w:rPr>
      </w:pPr>
    </w:p>
    <w:p w:rsidR="00265E3C" w:rsidRPr="00732F0C" w:rsidRDefault="00265E3C"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Univers"/>
          <w:sz w:val="20"/>
          <w:szCs w:val="20"/>
          <w:lang w:val="es-ES"/>
        </w:rPr>
      </w:pPr>
      <w:r w:rsidRPr="00732F0C">
        <w:rPr>
          <w:rFonts w:ascii="Cambria" w:hAnsi="Cambria"/>
          <w:sz w:val="20"/>
          <w:szCs w:val="20"/>
          <w:lang w:val="es-ES_tradnl"/>
        </w:rPr>
        <w:t xml:space="preserve">Tomando en cuenta </w:t>
      </w:r>
      <w:r w:rsidR="00E51F46" w:rsidRPr="00732F0C">
        <w:rPr>
          <w:rFonts w:ascii="Cambria" w:hAnsi="Cambria"/>
          <w:sz w:val="20"/>
          <w:szCs w:val="20"/>
          <w:lang w:val="es-ES_tradnl"/>
        </w:rPr>
        <w:t xml:space="preserve">los hechos del presente caso, </w:t>
      </w:r>
      <w:r w:rsidRPr="00732F0C">
        <w:rPr>
          <w:rFonts w:ascii="Cambria" w:hAnsi="Cambria"/>
          <w:sz w:val="20"/>
          <w:szCs w:val="20"/>
          <w:lang w:val="es-ES_tradnl"/>
        </w:rPr>
        <w:t xml:space="preserve">la CIDH analizará si en el presente caso el Estado ecuatoriano llevó a cabo una </w:t>
      </w:r>
      <w:r w:rsidR="00E51F46" w:rsidRPr="00732F0C">
        <w:rPr>
          <w:rFonts w:ascii="Cambria" w:hAnsi="Cambria"/>
          <w:sz w:val="20"/>
          <w:szCs w:val="20"/>
          <w:lang w:val="es-ES_tradnl"/>
        </w:rPr>
        <w:t>investigación seria y diligente a efectos de esclarecer los hechos de la muerte de Jorge Darwin y las lesiones de Franklin Plutarco, y</w:t>
      </w:r>
      <w:r w:rsidRPr="00732F0C">
        <w:rPr>
          <w:rFonts w:ascii="Cambria" w:hAnsi="Cambria"/>
          <w:sz w:val="20"/>
          <w:szCs w:val="20"/>
          <w:lang w:val="es-ES_tradnl"/>
        </w:rPr>
        <w:t xml:space="preserve"> </w:t>
      </w:r>
      <w:r w:rsidR="00E51F46" w:rsidRPr="00732F0C">
        <w:rPr>
          <w:rFonts w:ascii="Cambria" w:hAnsi="Cambria"/>
          <w:sz w:val="20"/>
          <w:szCs w:val="20"/>
          <w:lang w:val="es-ES_tradnl"/>
        </w:rPr>
        <w:t xml:space="preserve">si ésta se realizó </w:t>
      </w:r>
      <w:r w:rsidRPr="00732F0C">
        <w:rPr>
          <w:rFonts w:ascii="Cambria" w:hAnsi="Cambria"/>
          <w:sz w:val="20"/>
          <w:szCs w:val="20"/>
          <w:lang w:val="es-ES_tradnl"/>
        </w:rPr>
        <w:t xml:space="preserve">en un plazo razonable. </w:t>
      </w:r>
    </w:p>
    <w:p w:rsidR="00265E3C" w:rsidRPr="00732F0C" w:rsidRDefault="00265E3C" w:rsidP="00842D6E">
      <w:pPr>
        <w:suppressAutoHyphens/>
        <w:jc w:val="both"/>
        <w:rPr>
          <w:rFonts w:ascii="Cambria" w:hAnsi="Cambria"/>
          <w:sz w:val="20"/>
          <w:szCs w:val="20"/>
          <w:lang w:val="es-CL"/>
        </w:rPr>
      </w:pPr>
    </w:p>
    <w:p w:rsidR="008A10CC" w:rsidRPr="00732F0C" w:rsidRDefault="008A10CC" w:rsidP="00842D6E">
      <w:pPr>
        <w:numPr>
          <w:ilvl w:val="1"/>
          <w:numId w:val="62"/>
        </w:numPr>
        <w:suppressAutoHyphens/>
        <w:ind w:left="1440" w:hanging="720"/>
        <w:jc w:val="both"/>
        <w:rPr>
          <w:rFonts w:ascii="Cambria" w:hAnsi="Cambria"/>
          <w:b/>
          <w:sz w:val="20"/>
          <w:szCs w:val="20"/>
          <w:lang w:val="es-CL"/>
        </w:rPr>
      </w:pPr>
      <w:r w:rsidRPr="00732F0C">
        <w:rPr>
          <w:rFonts w:ascii="Cambria" w:hAnsi="Cambria"/>
          <w:b/>
          <w:sz w:val="20"/>
          <w:szCs w:val="20"/>
          <w:lang w:val="es-CL"/>
        </w:rPr>
        <w:t>En cuanto al deber de investigar de manera independiente e imparcial y con la debida diligencia</w:t>
      </w:r>
    </w:p>
    <w:p w:rsidR="008A10CC" w:rsidRPr="00732F0C" w:rsidRDefault="008A10CC" w:rsidP="00842D6E">
      <w:pPr>
        <w:suppressAutoHyphens/>
        <w:jc w:val="both"/>
        <w:rPr>
          <w:rFonts w:ascii="Cambria" w:hAnsi="Cambria"/>
          <w:sz w:val="20"/>
          <w:szCs w:val="20"/>
          <w:lang w:val="es-CL"/>
        </w:rPr>
      </w:pPr>
    </w:p>
    <w:p w:rsidR="00436E8A" w:rsidRPr="00732F0C" w:rsidRDefault="00FA4B34"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ES"/>
        </w:rPr>
      </w:pPr>
      <w:r w:rsidRPr="00732F0C">
        <w:rPr>
          <w:rFonts w:ascii="Cambria" w:hAnsi="Cambria"/>
          <w:sz w:val="20"/>
          <w:szCs w:val="20"/>
          <w:lang w:val="es-CR"/>
        </w:rPr>
        <w:t>En primer lugar, l</w:t>
      </w:r>
      <w:r w:rsidR="00436E8A" w:rsidRPr="00732F0C">
        <w:rPr>
          <w:rFonts w:ascii="Cambria" w:hAnsi="Cambria"/>
          <w:sz w:val="20"/>
          <w:szCs w:val="20"/>
          <w:lang w:val="es-CR"/>
        </w:rPr>
        <w:t>a Comisión</w:t>
      </w:r>
      <w:r w:rsidR="008A10CC" w:rsidRPr="00732F0C">
        <w:rPr>
          <w:rFonts w:ascii="Cambria" w:hAnsi="Cambria"/>
          <w:sz w:val="20"/>
          <w:szCs w:val="20"/>
          <w:lang w:val="es-CR"/>
        </w:rPr>
        <w:t xml:space="preserve"> </w:t>
      </w:r>
      <w:r w:rsidR="00436E8A" w:rsidRPr="00732F0C">
        <w:rPr>
          <w:rFonts w:ascii="Cambria" w:hAnsi="Cambria"/>
          <w:sz w:val="20"/>
          <w:szCs w:val="20"/>
          <w:lang w:val="es-CR"/>
        </w:rPr>
        <w:t xml:space="preserve">resalta que luego de ocurridos los hechos la investigación fue adelantada en el fuero policial y no en el fuero ordinario. La Comisión remarca que </w:t>
      </w:r>
      <w:r w:rsidR="00436E8A" w:rsidRPr="00732F0C">
        <w:rPr>
          <w:rFonts w:ascii="Cambria" w:hAnsi="Cambria" w:cs="Verdana"/>
          <w:sz w:val="20"/>
          <w:szCs w:val="20"/>
          <w:lang w:val="es-ES"/>
        </w:rPr>
        <w:t xml:space="preserve">los </w:t>
      </w:r>
      <w:r w:rsidR="00436E8A" w:rsidRPr="00732F0C">
        <w:rPr>
          <w:rFonts w:ascii="Cambria" w:hAnsi="Cambria" w:cs="Arial"/>
          <w:sz w:val="20"/>
          <w:szCs w:val="20"/>
          <w:lang w:val="es-AR"/>
        </w:rPr>
        <w:t>fueros</w:t>
      </w:r>
      <w:r w:rsidR="00436E8A" w:rsidRPr="00732F0C">
        <w:rPr>
          <w:rFonts w:ascii="Cambria" w:hAnsi="Cambria" w:cs="Verdana"/>
          <w:sz w:val="20"/>
          <w:szCs w:val="20"/>
          <w:lang w:val="es-ES"/>
        </w:rPr>
        <w:t xml:space="preserve"> especiales, como la justicia penal policial, deben tener un alcance restrictivo y excepcional y estar encaminados a la protección de intereses jurídicos especiales, vinculados a la propia entidad. Así, la Corte ha tenido la oportunidad de analizar la estructura y composición de tribunales especiales, como los militares, a la luz de los Principios Básicos de Naciones Unidas relativos a la Independencia de la Judicatura. Algunos factores relevantes son: i) el hecho de que sus integrantes sean oficiales en servicio activo y estén subordinados jerárquicamente a sus superiores a través de la cadena de mando; ii) el hecho de que su nombramiento no dependa de su competencia profesional e idoneidad para ejercer las funciones judiciales; y iii) el hecho de que no cuenten con garantías suficientes de inamovilidad</w:t>
      </w:r>
      <w:r w:rsidR="00436E8A" w:rsidRPr="00732F0C">
        <w:rPr>
          <w:rStyle w:val="FootnoteReference"/>
          <w:rFonts w:ascii="Cambria" w:hAnsi="Cambria" w:cs="Verdana"/>
          <w:sz w:val="20"/>
          <w:szCs w:val="20"/>
        </w:rPr>
        <w:footnoteReference w:id="95"/>
      </w:r>
      <w:r w:rsidR="00436E8A" w:rsidRPr="00732F0C">
        <w:rPr>
          <w:rFonts w:ascii="Cambria" w:hAnsi="Cambria" w:cs="Verdana"/>
          <w:sz w:val="20"/>
          <w:szCs w:val="20"/>
          <w:lang w:val="es-ES"/>
        </w:rPr>
        <w:t xml:space="preserve">. </w:t>
      </w:r>
      <w:r w:rsidR="002D2B20" w:rsidRPr="00732F0C">
        <w:rPr>
          <w:rFonts w:ascii="Cambria" w:hAnsi="Cambria" w:cs="Verdana"/>
          <w:sz w:val="20"/>
          <w:szCs w:val="20"/>
          <w:lang w:val="es-ES"/>
        </w:rPr>
        <w:t>La Comisión resalta que</w:t>
      </w:r>
      <w:r w:rsidR="00436E8A" w:rsidRPr="00732F0C">
        <w:rPr>
          <w:rFonts w:ascii="Cambria" w:hAnsi="Cambria" w:cs="Verdana"/>
          <w:sz w:val="20"/>
          <w:szCs w:val="20"/>
          <w:lang w:val="es-ES"/>
        </w:rPr>
        <w:t xml:space="preserve"> dichos tribunales, y de manera análoga los tribunales policiales, carecen de independencia e imparcialidad para conocer de violaciones de derechos humanos.  </w:t>
      </w:r>
    </w:p>
    <w:p w:rsidR="00554F0B" w:rsidRPr="00732F0C" w:rsidRDefault="00554F0B"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384A38" w:rsidRPr="00732F0C" w:rsidRDefault="002D2B20"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ES_tradnl"/>
        </w:rPr>
        <w:t xml:space="preserve">En el presente asunto, </w:t>
      </w:r>
      <w:r w:rsidR="00EB4FE4" w:rsidRPr="00732F0C">
        <w:rPr>
          <w:rFonts w:ascii="Cambria" w:hAnsi="Cambria"/>
          <w:sz w:val="20"/>
          <w:szCs w:val="20"/>
          <w:lang w:val="es-ES_tradnl"/>
        </w:rPr>
        <w:t xml:space="preserve">la CIDH considera que la participación de miembros de la Policía, en funciones jurisdiccionales y de investigación, hace que dicho fuero no haya proveído las salvaguardas de independencia e imparcialidad para conocer de casos que podrían involucrar violaciones de derechos humanos. La Comisión resalta que </w:t>
      </w:r>
      <w:r w:rsidR="00437C3A" w:rsidRPr="00732F0C">
        <w:rPr>
          <w:rFonts w:ascii="Cambria" w:hAnsi="Cambria"/>
          <w:sz w:val="20"/>
          <w:szCs w:val="20"/>
          <w:lang w:val="es-ES_tradnl"/>
        </w:rPr>
        <w:t>la casi totalidad de la actividad probatoria se realizó en el fuero policial. Asimismo, la CIDH considera que las diligencias realizadas</w:t>
      </w:r>
      <w:r w:rsidR="00521666" w:rsidRPr="00732F0C">
        <w:rPr>
          <w:rFonts w:ascii="Cambria" w:hAnsi="Cambria"/>
          <w:sz w:val="20"/>
          <w:szCs w:val="20"/>
          <w:lang w:val="es-ES_tradnl"/>
        </w:rPr>
        <w:t xml:space="preserve"> ante dicho fuero</w:t>
      </w:r>
      <w:r w:rsidR="00437C3A" w:rsidRPr="00732F0C">
        <w:rPr>
          <w:rFonts w:ascii="Cambria" w:hAnsi="Cambria"/>
          <w:sz w:val="20"/>
          <w:szCs w:val="20"/>
          <w:lang w:val="es-ES_tradnl"/>
        </w:rPr>
        <w:t xml:space="preserve"> se orientaron a la hipótesis de que los agentes policiales habrían sido agredidos y que una tercera persona habría disparado el arma oficial de </w:t>
      </w:r>
      <w:r w:rsidR="00437C3A" w:rsidRPr="00732F0C">
        <w:rPr>
          <w:rFonts w:ascii="Cambria" w:hAnsi="Cambria"/>
          <w:sz w:val="20"/>
          <w:szCs w:val="20"/>
          <w:lang w:val="es-CR"/>
        </w:rPr>
        <w:t>Segundo Néstor de la Cruz.</w:t>
      </w:r>
      <w:r w:rsidR="00384A38" w:rsidRPr="00732F0C">
        <w:rPr>
          <w:rFonts w:ascii="Cambria" w:hAnsi="Cambria"/>
          <w:sz w:val="20"/>
          <w:szCs w:val="20"/>
          <w:lang w:val="es-CR"/>
        </w:rPr>
        <w:t xml:space="preserve"> La Comisión también remarca que la propia investigación policial concluyó que no se tomaron las declaraciones de todos los testigos de los hechos. Igualmente, el informe del médico legis</w:t>
      </w:r>
      <w:r w:rsidR="00521666" w:rsidRPr="00732F0C">
        <w:rPr>
          <w:rFonts w:ascii="Cambria" w:hAnsi="Cambria"/>
          <w:sz w:val="20"/>
          <w:szCs w:val="20"/>
          <w:lang w:val="es-CR"/>
        </w:rPr>
        <w:t>t</w:t>
      </w:r>
      <w:r w:rsidR="00384A38" w:rsidRPr="00732F0C">
        <w:rPr>
          <w:rFonts w:ascii="Cambria" w:hAnsi="Cambria"/>
          <w:sz w:val="20"/>
          <w:szCs w:val="20"/>
          <w:lang w:val="es-CR"/>
        </w:rPr>
        <w:t>a identificó numerosas irregularidades en la autopsia practicada a Jorge Darwin García y la demora en realizar la prueba de parafina al señor de la Cruz.</w:t>
      </w:r>
    </w:p>
    <w:p w:rsidR="00437C3A" w:rsidRPr="00732F0C" w:rsidRDefault="00437C3A" w:rsidP="00842D6E">
      <w:pPr>
        <w:jc w:val="both"/>
        <w:rPr>
          <w:rFonts w:ascii="Cambria" w:hAnsi="Cambria"/>
          <w:sz w:val="20"/>
          <w:szCs w:val="20"/>
          <w:lang w:val="es-ES_tradnl"/>
        </w:rPr>
      </w:pPr>
    </w:p>
    <w:p w:rsidR="00554F0B" w:rsidRPr="00732F0C" w:rsidRDefault="00EB4FE4"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732F0C">
        <w:rPr>
          <w:rFonts w:ascii="Cambria" w:hAnsi="Cambria"/>
          <w:sz w:val="20"/>
          <w:szCs w:val="20"/>
          <w:lang w:val="es-ES_tradnl"/>
        </w:rPr>
        <w:t>De esta forma,</w:t>
      </w:r>
      <w:r w:rsidR="00521666" w:rsidRPr="00732F0C">
        <w:rPr>
          <w:rFonts w:ascii="Cambria" w:hAnsi="Cambria"/>
          <w:sz w:val="20"/>
          <w:szCs w:val="20"/>
          <w:lang w:val="es-ES_tradnl"/>
        </w:rPr>
        <w:t xml:space="preserve"> el hecho de que las principales </w:t>
      </w:r>
      <w:r w:rsidR="00436E8A" w:rsidRPr="00732F0C">
        <w:rPr>
          <w:rFonts w:ascii="Cambria" w:hAnsi="Cambria"/>
          <w:sz w:val="20"/>
          <w:szCs w:val="20"/>
          <w:lang w:val="es-ES_tradnl"/>
        </w:rPr>
        <w:t>actuaciones y diligencias</w:t>
      </w:r>
      <w:r w:rsidR="00521666" w:rsidRPr="00732F0C">
        <w:rPr>
          <w:rFonts w:ascii="Cambria" w:hAnsi="Cambria"/>
          <w:sz w:val="20"/>
          <w:szCs w:val="20"/>
          <w:lang w:val="es-ES_tradnl"/>
        </w:rPr>
        <w:t xml:space="preserve"> hubieran sido realizadas por la justicia policial y la omisión de las autoridades de dicha jurisdicción en practicar otras pruebas importantes constituye, en sí mismo, un incumplimiento del deber de investigar de manera independiente e imparcial y con la debida diligencia. </w:t>
      </w:r>
    </w:p>
    <w:p w:rsidR="00436E8A" w:rsidRPr="00732F0C" w:rsidRDefault="00436E8A" w:rsidP="00842D6E">
      <w:pPr>
        <w:pStyle w:val="ListParagraph"/>
        <w:jc w:val="both"/>
        <w:rPr>
          <w:sz w:val="20"/>
          <w:szCs w:val="20"/>
          <w:lang w:val="es-ES_tradnl"/>
        </w:rPr>
      </w:pPr>
    </w:p>
    <w:p w:rsidR="00B266E7" w:rsidRPr="00732F0C" w:rsidRDefault="005139D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ES"/>
        </w:rPr>
      </w:pPr>
      <w:r w:rsidRPr="00732F0C">
        <w:rPr>
          <w:rFonts w:ascii="Cambria" w:hAnsi="Cambria"/>
          <w:sz w:val="20"/>
          <w:szCs w:val="20"/>
          <w:lang w:val="es-ES_tradnl"/>
        </w:rPr>
        <w:t>En segundo lugar y ya respecto del fuero ordinario,</w:t>
      </w:r>
      <w:r w:rsidR="005071C5" w:rsidRPr="00732F0C">
        <w:rPr>
          <w:rFonts w:ascii="Cambria" w:hAnsi="Cambria"/>
          <w:sz w:val="20"/>
          <w:szCs w:val="20"/>
          <w:lang w:val="es-ES_tradnl"/>
        </w:rPr>
        <w:t xml:space="preserve"> </w:t>
      </w:r>
      <w:r w:rsidR="00437C3A" w:rsidRPr="00732F0C">
        <w:rPr>
          <w:rFonts w:ascii="Cambria" w:hAnsi="Cambria"/>
          <w:sz w:val="20"/>
          <w:szCs w:val="20"/>
          <w:lang w:val="es-ES_tradnl"/>
        </w:rPr>
        <w:t>l</w:t>
      </w:r>
      <w:r w:rsidR="00B266E7" w:rsidRPr="00732F0C">
        <w:rPr>
          <w:rFonts w:ascii="Cambria" w:hAnsi="Cambria"/>
          <w:sz w:val="20"/>
          <w:szCs w:val="20"/>
          <w:lang w:val="es-CR"/>
        </w:rPr>
        <w:t xml:space="preserve">a CIDH advierte que </w:t>
      </w:r>
      <w:r w:rsidRPr="00732F0C">
        <w:rPr>
          <w:rFonts w:ascii="Cambria" w:hAnsi="Cambria"/>
          <w:sz w:val="20"/>
          <w:szCs w:val="20"/>
          <w:lang w:val="es-CR"/>
        </w:rPr>
        <w:t xml:space="preserve">hubo </w:t>
      </w:r>
      <w:r w:rsidR="009E1328" w:rsidRPr="00732F0C">
        <w:rPr>
          <w:rFonts w:ascii="Cambria" w:hAnsi="Cambria"/>
          <w:sz w:val="20"/>
          <w:szCs w:val="20"/>
          <w:lang w:val="es-CR"/>
        </w:rPr>
        <w:t>omisiones</w:t>
      </w:r>
      <w:r w:rsidRPr="00732F0C">
        <w:rPr>
          <w:rFonts w:ascii="Cambria" w:hAnsi="Cambria"/>
          <w:sz w:val="20"/>
          <w:szCs w:val="20"/>
          <w:lang w:val="es-CR"/>
        </w:rPr>
        <w:t xml:space="preserve"> en la investigación que, desde la perspectiva de los familiares, no han permitido un esclarecimiento integral de lo ocurrido. Así por ejemplo, </w:t>
      </w:r>
      <w:r w:rsidR="00B266E7" w:rsidRPr="00732F0C">
        <w:rPr>
          <w:rFonts w:ascii="Cambria" w:hAnsi="Cambria"/>
          <w:sz w:val="20"/>
          <w:szCs w:val="20"/>
          <w:lang w:val="es-CR"/>
        </w:rPr>
        <w:t>no</w:t>
      </w:r>
      <w:r w:rsidRPr="00732F0C">
        <w:rPr>
          <w:rFonts w:ascii="Cambria" w:hAnsi="Cambria"/>
          <w:sz w:val="20"/>
          <w:szCs w:val="20"/>
          <w:lang w:val="es-CR"/>
        </w:rPr>
        <w:t xml:space="preserve"> se</w:t>
      </w:r>
      <w:r w:rsidR="00B266E7" w:rsidRPr="00732F0C">
        <w:rPr>
          <w:rFonts w:ascii="Cambria" w:hAnsi="Cambria"/>
          <w:sz w:val="20"/>
          <w:szCs w:val="20"/>
          <w:lang w:val="es-CR"/>
        </w:rPr>
        <w:t xml:space="preserve"> </w:t>
      </w:r>
      <w:r w:rsidR="00437C3A" w:rsidRPr="00732F0C">
        <w:rPr>
          <w:rFonts w:ascii="Cambria" w:hAnsi="Cambria"/>
          <w:sz w:val="20"/>
          <w:szCs w:val="20"/>
          <w:lang w:val="es-CR"/>
        </w:rPr>
        <w:t xml:space="preserve">determinó </w:t>
      </w:r>
      <w:r w:rsidR="00B266E7" w:rsidRPr="00732F0C">
        <w:rPr>
          <w:rFonts w:ascii="Cambria" w:hAnsi="Cambria"/>
          <w:sz w:val="20"/>
          <w:szCs w:val="20"/>
          <w:lang w:val="es-CR"/>
        </w:rPr>
        <w:t>el contexto y circunstancias específic</w:t>
      </w:r>
      <w:r w:rsidR="002D2B20" w:rsidRPr="00732F0C">
        <w:rPr>
          <w:rFonts w:ascii="Cambria" w:hAnsi="Cambria"/>
          <w:sz w:val="20"/>
          <w:szCs w:val="20"/>
          <w:lang w:val="es-CR"/>
        </w:rPr>
        <w:t>a</w:t>
      </w:r>
      <w:r w:rsidR="00B266E7" w:rsidRPr="00732F0C">
        <w:rPr>
          <w:rFonts w:ascii="Cambria" w:hAnsi="Cambria"/>
          <w:sz w:val="20"/>
          <w:szCs w:val="20"/>
          <w:lang w:val="es-CR"/>
        </w:rPr>
        <w:t>s en los que se produjo la muerte de Jorge Darwin García y las lesio</w:t>
      </w:r>
      <w:r w:rsidR="00437C3A" w:rsidRPr="00732F0C">
        <w:rPr>
          <w:rFonts w:ascii="Cambria" w:hAnsi="Cambria"/>
          <w:sz w:val="20"/>
          <w:szCs w:val="20"/>
          <w:lang w:val="es-CR"/>
        </w:rPr>
        <w:t xml:space="preserve">nes de Franklin Plutarco García. En particular, </w:t>
      </w:r>
      <w:r w:rsidR="005071C5" w:rsidRPr="00732F0C">
        <w:rPr>
          <w:rFonts w:ascii="Cambria" w:hAnsi="Cambria"/>
          <w:sz w:val="20"/>
          <w:szCs w:val="20"/>
          <w:lang w:val="es-CR"/>
        </w:rPr>
        <w:t xml:space="preserve">no se efectuaron determinaciones sobre si </w:t>
      </w:r>
      <w:r w:rsidR="00B266E7" w:rsidRPr="00732F0C">
        <w:rPr>
          <w:rFonts w:ascii="Cambria" w:hAnsi="Cambria"/>
          <w:sz w:val="20"/>
          <w:szCs w:val="20"/>
          <w:lang w:val="es-CR"/>
        </w:rPr>
        <w:t xml:space="preserve">Segundo Néstor de la Cruz </w:t>
      </w:r>
      <w:proofErr w:type="spellStart"/>
      <w:r w:rsidR="00B266E7" w:rsidRPr="00732F0C">
        <w:rPr>
          <w:rFonts w:ascii="Cambria" w:hAnsi="Cambria"/>
          <w:sz w:val="20"/>
          <w:szCs w:val="20"/>
          <w:lang w:val="es-CR"/>
        </w:rPr>
        <w:t>Chicaiza</w:t>
      </w:r>
      <w:proofErr w:type="spellEnd"/>
      <w:r w:rsidR="00B266E7" w:rsidRPr="00732F0C">
        <w:rPr>
          <w:rFonts w:ascii="Cambria" w:hAnsi="Cambria"/>
          <w:sz w:val="20"/>
          <w:szCs w:val="20"/>
          <w:lang w:val="es-CR"/>
        </w:rPr>
        <w:t xml:space="preserve"> se encontraba en el marco de un operativo policial, si se trató de un acto deliberado de</w:t>
      </w:r>
      <w:r w:rsidR="005071C5" w:rsidRPr="00732F0C">
        <w:rPr>
          <w:rFonts w:ascii="Cambria" w:hAnsi="Cambria"/>
          <w:sz w:val="20"/>
          <w:szCs w:val="20"/>
          <w:lang w:val="es-CR"/>
        </w:rPr>
        <w:t xml:space="preserve"> uso letal de la fuerza o si </w:t>
      </w:r>
      <w:r w:rsidR="00B266E7" w:rsidRPr="00732F0C">
        <w:rPr>
          <w:rFonts w:ascii="Cambria" w:hAnsi="Cambria"/>
          <w:sz w:val="20"/>
          <w:szCs w:val="20"/>
          <w:lang w:val="es-CR"/>
        </w:rPr>
        <w:t xml:space="preserve">la muerte se produjo en el contexto de una pelea. </w:t>
      </w:r>
      <w:r w:rsidR="005071C5" w:rsidRPr="00732F0C">
        <w:rPr>
          <w:rFonts w:ascii="Cambria" w:hAnsi="Cambria"/>
          <w:sz w:val="20"/>
          <w:szCs w:val="20"/>
          <w:lang w:val="es-CR"/>
        </w:rPr>
        <w:t xml:space="preserve">La Comisión nota además que </w:t>
      </w:r>
      <w:r w:rsidR="00B266E7" w:rsidRPr="00732F0C">
        <w:rPr>
          <w:rFonts w:ascii="Cambria" w:hAnsi="Cambria"/>
          <w:sz w:val="20"/>
          <w:szCs w:val="20"/>
          <w:lang w:val="es-CR"/>
        </w:rPr>
        <w:t xml:space="preserve">la investigación no esclareció si existió una motivación o componente racial en el asesinato, tomando en consideración que las víctimas eran afrodescendientes y las reiteradas </w:t>
      </w:r>
      <w:r w:rsidR="00B266E7" w:rsidRPr="00732F0C">
        <w:rPr>
          <w:rFonts w:ascii="Cambria" w:hAnsi="Cambria"/>
          <w:sz w:val="20"/>
          <w:szCs w:val="20"/>
          <w:lang w:val="es-CR"/>
        </w:rPr>
        <w:lastRenderedPageBreak/>
        <w:t xml:space="preserve">referencias a “personas de color” </w:t>
      </w:r>
      <w:r w:rsidR="00437C3A" w:rsidRPr="00732F0C">
        <w:rPr>
          <w:rFonts w:ascii="Cambria" w:hAnsi="Cambria"/>
          <w:sz w:val="20"/>
          <w:szCs w:val="20"/>
          <w:lang w:val="es-CR"/>
        </w:rPr>
        <w:t xml:space="preserve">en las declaraciones de Segundo Néstor de la Cruz. </w:t>
      </w:r>
      <w:r w:rsidR="00C22EE4" w:rsidRPr="00732F0C">
        <w:rPr>
          <w:rFonts w:ascii="Cambria" w:hAnsi="Cambria"/>
          <w:sz w:val="20"/>
          <w:szCs w:val="20"/>
          <w:lang w:val="es-CR"/>
        </w:rPr>
        <w:t xml:space="preserve">Otro aspecto no profundizado en la investigación tiene que ver con la ausencia de </w:t>
      </w:r>
      <w:r w:rsidR="00B266E7" w:rsidRPr="00732F0C">
        <w:rPr>
          <w:rFonts w:ascii="Cambria" w:hAnsi="Cambria"/>
          <w:sz w:val="20"/>
          <w:szCs w:val="20"/>
          <w:lang w:val="es-CR"/>
        </w:rPr>
        <w:t>diligencia</w:t>
      </w:r>
      <w:r w:rsidR="00C22EE4" w:rsidRPr="00732F0C">
        <w:rPr>
          <w:rFonts w:ascii="Cambria" w:hAnsi="Cambria"/>
          <w:sz w:val="20"/>
          <w:szCs w:val="20"/>
          <w:lang w:val="es-CR"/>
        </w:rPr>
        <w:t>s</w:t>
      </w:r>
      <w:r w:rsidR="00B266E7" w:rsidRPr="00732F0C">
        <w:rPr>
          <w:rFonts w:ascii="Cambria" w:hAnsi="Cambria"/>
          <w:sz w:val="20"/>
          <w:szCs w:val="20"/>
          <w:lang w:val="es-CR"/>
        </w:rPr>
        <w:t xml:space="preserve"> vinculada</w:t>
      </w:r>
      <w:r w:rsidR="009E1328" w:rsidRPr="00732F0C">
        <w:rPr>
          <w:rFonts w:ascii="Cambria" w:hAnsi="Cambria"/>
          <w:sz w:val="20"/>
          <w:szCs w:val="20"/>
          <w:lang w:val="es-CR"/>
        </w:rPr>
        <w:t>s</w:t>
      </w:r>
      <w:r w:rsidR="00B266E7" w:rsidRPr="00732F0C">
        <w:rPr>
          <w:rFonts w:ascii="Cambria" w:hAnsi="Cambria"/>
          <w:sz w:val="20"/>
          <w:szCs w:val="20"/>
          <w:lang w:val="es-CR"/>
        </w:rPr>
        <w:t xml:space="preserve"> con el supuesto estado de alcoholismo en el que se encontraba</w:t>
      </w:r>
      <w:r w:rsidR="00C22EE4" w:rsidRPr="00732F0C">
        <w:rPr>
          <w:rFonts w:ascii="Cambria" w:hAnsi="Cambria"/>
          <w:sz w:val="20"/>
          <w:szCs w:val="20"/>
          <w:lang w:val="es-CR"/>
        </w:rPr>
        <w:t xml:space="preserve"> en agente policial</w:t>
      </w:r>
      <w:r w:rsidR="00B266E7" w:rsidRPr="00732F0C">
        <w:rPr>
          <w:rFonts w:ascii="Cambria" w:hAnsi="Cambria"/>
          <w:sz w:val="20"/>
          <w:szCs w:val="20"/>
          <w:lang w:val="es-CR"/>
        </w:rPr>
        <w:t xml:space="preserve"> al momento de los hechos ni</w:t>
      </w:r>
      <w:r w:rsidR="00C22EE4" w:rsidRPr="00732F0C">
        <w:rPr>
          <w:rFonts w:ascii="Cambria" w:hAnsi="Cambria"/>
          <w:sz w:val="20"/>
          <w:szCs w:val="20"/>
          <w:lang w:val="es-CR"/>
        </w:rPr>
        <w:t xml:space="preserve"> con </w:t>
      </w:r>
      <w:r w:rsidR="00B266E7" w:rsidRPr="00732F0C">
        <w:rPr>
          <w:rFonts w:ascii="Cambria" w:hAnsi="Cambria"/>
          <w:sz w:val="20"/>
          <w:szCs w:val="20"/>
          <w:lang w:val="es-CR"/>
        </w:rPr>
        <w:t xml:space="preserve">la falta </w:t>
      </w:r>
      <w:r w:rsidR="00B14C22">
        <w:rPr>
          <w:rFonts w:ascii="Cambria" w:hAnsi="Cambria"/>
          <w:sz w:val="20"/>
          <w:szCs w:val="20"/>
          <w:lang w:val="es-CR"/>
        </w:rPr>
        <w:t xml:space="preserve">de </w:t>
      </w:r>
      <w:r w:rsidR="00B266E7" w:rsidRPr="00732F0C">
        <w:rPr>
          <w:rFonts w:ascii="Cambria" w:hAnsi="Cambria"/>
          <w:sz w:val="20"/>
          <w:szCs w:val="20"/>
          <w:lang w:val="es-CR"/>
        </w:rPr>
        <w:t xml:space="preserve">asistencia oportuna a los heridos. </w:t>
      </w:r>
      <w:r w:rsidR="000E2B98" w:rsidRPr="00732F0C">
        <w:rPr>
          <w:rFonts w:ascii="Cambria" w:hAnsi="Cambria"/>
          <w:sz w:val="20"/>
          <w:szCs w:val="20"/>
          <w:lang w:val="es-CR"/>
        </w:rPr>
        <w:t xml:space="preserve">Un esclarecimiento completo de todas estas circunstancias, o bien en el contexto de la investigación penal, o bien en el contexto de investigaciones administrativas o disciplinarias, podrían haber activado </w:t>
      </w:r>
      <w:r w:rsidR="00B266E7" w:rsidRPr="00732F0C">
        <w:rPr>
          <w:rFonts w:ascii="Cambria" w:hAnsi="Cambria"/>
          <w:sz w:val="20"/>
          <w:szCs w:val="20"/>
          <w:lang w:val="es-CR"/>
        </w:rPr>
        <w:t xml:space="preserve">medidas </w:t>
      </w:r>
      <w:r w:rsidR="000E2B98" w:rsidRPr="00732F0C">
        <w:rPr>
          <w:rFonts w:ascii="Cambria" w:hAnsi="Cambria"/>
          <w:sz w:val="20"/>
          <w:szCs w:val="20"/>
          <w:lang w:val="es-CR"/>
        </w:rPr>
        <w:t xml:space="preserve">más allá de la condena penal, </w:t>
      </w:r>
      <w:r w:rsidR="00B266E7" w:rsidRPr="00732F0C">
        <w:rPr>
          <w:rFonts w:ascii="Cambria" w:hAnsi="Cambria"/>
          <w:sz w:val="20"/>
          <w:szCs w:val="20"/>
          <w:lang w:val="es-CR"/>
        </w:rPr>
        <w:t>para</w:t>
      </w:r>
      <w:r w:rsidR="000E2B98" w:rsidRPr="00732F0C">
        <w:rPr>
          <w:rFonts w:ascii="Cambria" w:hAnsi="Cambria"/>
          <w:sz w:val="20"/>
          <w:szCs w:val="20"/>
          <w:lang w:val="es-CR"/>
        </w:rPr>
        <w:t xml:space="preserve"> asegurar la efectividad de los mecanismos de rendición de cuentas</w:t>
      </w:r>
      <w:r w:rsidR="003025F0" w:rsidRPr="00732F0C">
        <w:rPr>
          <w:rFonts w:ascii="Cambria" w:hAnsi="Cambria"/>
          <w:sz w:val="20"/>
          <w:szCs w:val="20"/>
          <w:lang w:val="es-CR"/>
        </w:rPr>
        <w:t xml:space="preserve"> y la no repetición de hechos similares.</w:t>
      </w:r>
    </w:p>
    <w:p w:rsidR="00B266E7" w:rsidRPr="00732F0C" w:rsidRDefault="00B266E7" w:rsidP="00842D6E">
      <w:pPr>
        <w:tabs>
          <w:tab w:val="left" w:pos="1440"/>
        </w:tabs>
        <w:jc w:val="both"/>
        <w:rPr>
          <w:rFonts w:ascii="Cambria" w:hAnsi="Cambria"/>
          <w:sz w:val="20"/>
          <w:szCs w:val="20"/>
          <w:lang w:val="es-ES"/>
        </w:rPr>
      </w:pPr>
    </w:p>
    <w:p w:rsidR="00B266E7"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En</w:t>
      </w:r>
      <w:r w:rsidR="00F77D70" w:rsidRPr="00732F0C">
        <w:rPr>
          <w:rFonts w:ascii="Cambria" w:hAnsi="Cambria"/>
          <w:sz w:val="20"/>
          <w:szCs w:val="20"/>
          <w:lang w:val="es-CR"/>
        </w:rPr>
        <w:t xml:space="preserve"> virtud de lo anterior, </w:t>
      </w:r>
      <w:r w:rsidRPr="00732F0C">
        <w:rPr>
          <w:rFonts w:ascii="Cambria" w:hAnsi="Cambria"/>
          <w:sz w:val="20"/>
          <w:szCs w:val="20"/>
          <w:lang w:val="es-CR"/>
        </w:rPr>
        <w:t xml:space="preserve">la Comisión concluye que si bien el responsable de la muerte de Jorge Darwin García y las lesiones de Franklin Plutarco García fue condenado a una pena de reclusión por parte de las </w:t>
      </w:r>
      <w:r w:rsidR="00F77D70" w:rsidRPr="00732F0C">
        <w:rPr>
          <w:rFonts w:ascii="Cambria" w:hAnsi="Cambria"/>
          <w:sz w:val="20"/>
          <w:szCs w:val="20"/>
          <w:lang w:val="es-CR"/>
        </w:rPr>
        <w:t xml:space="preserve">autoridades internas de Ecuador </w:t>
      </w:r>
      <w:r w:rsidRPr="00732F0C">
        <w:rPr>
          <w:rFonts w:ascii="Cambria" w:hAnsi="Cambria"/>
          <w:sz w:val="20"/>
          <w:szCs w:val="20"/>
          <w:lang w:val="es-CR"/>
        </w:rPr>
        <w:t>se configuraron</w:t>
      </w:r>
      <w:r w:rsidR="009E1328" w:rsidRPr="00732F0C">
        <w:rPr>
          <w:rFonts w:ascii="Cambria" w:hAnsi="Cambria"/>
          <w:sz w:val="20"/>
          <w:szCs w:val="20"/>
          <w:lang w:val="es-CR"/>
        </w:rPr>
        <w:t xml:space="preserve"> en su conjunto</w:t>
      </w:r>
      <w:r w:rsidRPr="00732F0C">
        <w:rPr>
          <w:rFonts w:ascii="Cambria" w:hAnsi="Cambria"/>
          <w:sz w:val="20"/>
          <w:szCs w:val="20"/>
          <w:lang w:val="es-CR"/>
        </w:rPr>
        <w:t xml:space="preserve"> ciertas deficiencias e irregularidades en los procesos inte</w:t>
      </w:r>
      <w:r w:rsidR="00F77D70" w:rsidRPr="00732F0C">
        <w:rPr>
          <w:rFonts w:ascii="Cambria" w:hAnsi="Cambria"/>
          <w:sz w:val="20"/>
          <w:szCs w:val="20"/>
          <w:lang w:val="es-CR"/>
        </w:rPr>
        <w:t xml:space="preserve">rnos que llevaron a esa condena, las cuales constituyen violaciones autónomas de los </w:t>
      </w:r>
      <w:r w:rsidRPr="00732F0C">
        <w:rPr>
          <w:rFonts w:ascii="Cambria" w:hAnsi="Cambria"/>
          <w:sz w:val="20"/>
          <w:szCs w:val="20"/>
          <w:lang w:val="es-CR"/>
        </w:rPr>
        <w:t>derechos a las garantías judici</w:t>
      </w:r>
      <w:r w:rsidR="00F77D70" w:rsidRPr="00732F0C">
        <w:rPr>
          <w:rFonts w:ascii="Cambria" w:hAnsi="Cambria"/>
          <w:sz w:val="20"/>
          <w:szCs w:val="20"/>
          <w:lang w:val="es-CR"/>
        </w:rPr>
        <w:t>ales y a la protección judicial</w:t>
      </w:r>
      <w:r w:rsidRPr="00732F0C">
        <w:rPr>
          <w:rFonts w:ascii="Cambria" w:hAnsi="Cambria"/>
          <w:sz w:val="20"/>
          <w:szCs w:val="20"/>
          <w:lang w:val="es-CR"/>
        </w:rPr>
        <w:t xml:space="preserve"> es</w:t>
      </w:r>
      <w:r w:rsidR="00F77D70" w:rsidRPr="00732F0C">
        <w:rPr>
          <w:rFonts w:ascii="Cambria" w:hAnsi="Cambria"/>
          <w:sz w:val="20"/>
          <w:szCs w:val="20"/>
          <w:lang w:val="es-CR"/>
        </w:rPr>
        <w:t>tablecidos en los artículos 8.1 y</w:t>
      </w:r>
      <w:r w:rsidRPr="00732F0C">
        <w:rPr>
          <w:rFonts w:ascii="Cambria" w:hAnsi="Cambria"/>
          <w:sz w:val="20"/>
          <w:szCs w:val="20"/>
          <w:lang w:val="es-CR"/>
        </w:rPr>
        <w:t xml:space="preserve"> 25.1</w:t>
      </w:r>
      <w:r w:rsidR="00CF187B" w:rsidRPr="00732F0C">
        <w:rPr>
          <w:rFonts w:ascii="Cambria" w:hAnsi="Cambria"/>
          <w:sz w:val="20"/>
          <w:szCs w:val="20"/>
          <w:lang w:val="es-CR"/>
        </w:rPr>
        <w:t xml:space="preserve"> de la Convenci</w:t>
      </w:r>
      <w:r w:rsidR="00E67C61" w:rsidRPr="00732F0C">
        <w:rPr>
          <w:rFonts w:ascii="Cambria" w:hAnsi="Cambria"/>
          <w:sz w:val="20"/>
          <w:szCs w:val="20"/>
          <w:lang w:val="es-CR"/>
        </w:rPr>
        <w:t>ón Americana, en relación con los</w:t>
      </w:r>
      <w:r w:rsidR="00CF187B" w:rsidRPr="00732F0C">
        <w:rPr>
          <w:rFonts w:ascii="Cambria" w:hAnsi="Cambria"/>
          <w:sz w:val="20"/>
          <w:szCs w:val="20"/>
          <w:lang w:val="es-CR"/>
        </w:rPr>
        <w:t xml:space="preserve"> artículo</w:t>
      </w:r>
      <w:r w:rsidR="00E67C61" w:rsidRPr="00732F0C">
        <w:rPr>
          <w:rFonts w:ascii="Cambria" w:hAnsi="Cambria"/>
          <w:sz w:val="20"/>
          <w:szCs w:val="20"/>
          <w:lang w:val="es-CR"/>
        </w:rPr>
        <w:t>s</w:t>
      </w:r>
      <w:r w:rsidRPr="00732F0C">
        <w:rPr>
          <w:rFonts w:ascii="Cambria" w:hAnsi="Cambria"/>
          <w:sz w:val="20"/>
          <w:szCs w:val="20"/>
          <w:lang w:val="es-CR"/>
        </w:rPr>
        <w:t xml:space="preserve"> 1.1</w:t>
      </w:r>
      <w:r w:rsidR="00E67C61" w:rsidRPr="00732F0C">
        <w:rPr>
          <w:rFonts w:ascii="Cambria" w:hAnsi="Cambria"/>
          <w:sz w:val="20"/>
          <w:szCs w:val="20"/>
          <w:lang w:val="es-CR"/>
        </w:rPr>
        <w:t xml:space="preserve"> y 2</w:t>
      </w:r>
      <w:r w:rsidRPr="00732F0C">
        <w:rPr>
          <w:rFonts w:ascii="Cambria" w:hAnsi="Cambria"/>
          <w:sz w:val="20"/>
          <w:szCs w:val="20"/>
          <w:lang w:val="es-CR"/>
        </w:rPr>
        <w:t xml:space="preserve"> del mismo instrumento,</w:t>
      </w:r>
      <w:r w:rsidRPr="00732F0C">
        <w:rPr>
          <w:rFonts w:ascii="Cambria" w:hAnsi="Cambria"/>
          <w:sz w:val="20"/>
          <w:szCs w:val="20"/>
          <w:lang w:val="es-HN"/>
        </w:rPr>
        <w:t xml:space="preserve"> en perjuicio de </w:t>
      </w:r>
      <w:r w:rsidR="00CF187B" w:rsidRPr="00732F0C">
        <w:rPr>
          <w:rFonts w:ascii="Cambria" w:hAnsi="Cambria"/>
          <w:sz w:val="20"/>
          <w:szCs w:val="20"/>
          <w:lang w:val="es-HN"/>
        </w:rPr>
        <w:t>Franklin Plutarco y sus</w:t>
      </w:r>
      <w:r w:rsidRPr="00732F0C">
        <w:rPr>
          <w:rFonts w:ascii="Cambria" w:hAnsi="Cambria"/>
          <w:sz w:val="20"/>
          <w:szCs w:val="20"/>
          <w:lang w:val="es-HN"/>
        </w:rPr>
        <w:t xml:space="preserve"> familiares</w:t>
      </w:r>
      <w:r w:rsidRPr="00732F0C">
        <w:rPr>
          <w:rFonts w:ascii="Cambria" w:hAnsi="Cambria"/>
          <w:sz w:val="20"/>
          <w:szCs w:val="20"/>
          <w:lang w:val="es-CR"/>
        </w:rPr>
        <w:t xml:space="preserve">. </w:t>
      </w:r>
      <w:r w:rsidR="00E67C61" w:rsidRPr="00732F0C">
        <w:rPr>
          <w:rFonts w:ascii="Cambria" w:hAnsi="Cambria"/>
          <w:sz w:val="20"/>
          <w:szCs w:val="20"/>
          <w:lang w:val="es-CR"/>
        </w:rPr>
        <w:t xml:space="preserve">La determinación </w:t>
      </w:r>
      <w:r w:rsidR="00DE48EB" w:rsidRPr="00732F0C">
        <w:rPr>
          <w:rFonts w:ascii="Cambria" w:hAnsi="Cambria"/>
          <w:sz w:val="20"/>
          <w:szCs w:val="20"/>
          <w:lang w:val="es-CR"/>
        </w:rPr>
        <w:t>de la violación del artículo 2 de la Convención Americana obedece a la normativa interna que, en su momento, permitió que parte de los procesos internos fueran llevados a cabo por la justicia policial.</w:t>
      </w:r>
    </w:p>
    <w:p w:rsidR="00B266E7" w:rsidRPr="00732F0C" w:rsidRDefault="00B266E7" w:rsidP="00842D6E">
      <w:pPr>
        <w:tabs>
          <w:tab w:val="left" w:pos="1440"/>
        </w:tabs>
        <w:ind w:firstLine="720"/>
        <w:jc w:val="both"/>
        <w:rPr>
          <w:rFonts w:ascii="Cambria" w:hAnsi="Cambria"/>
          <w:sz w:val="20"/>
          <w:szCs w:val="20"/>
          <w:lang w:val="es-CR"/>
        </w:rPr>
      </w:pPr>
    </w:p>
    <w:p w:rsidR="00E055ED" w:rsidRPr="00732F0C" w:rsidRDefault="009E4F4C" w:rsidP="00842D6E">
      <w:pPr>
        <w:numPr>
          <w:ilvl w:val="1"/>
          <w:numId w:val="62"/>
        </w:numPr>
        <w:suppressAutoHyphens/>
        <w:ind w:left="1440" w:hanging="720"/>
        <w:jc w:val="both"/>
        <w:rPr>
          <w:rFonts w:ascii="Cambria" w:hAnsi="Cambria"/>
          <w:b/>
          <w:sz w:val="20"/>
          <w:szCs w:val="20"/>
          <w:lang w:val="es-CR"/>
        </w:rPr>
      </w:pPr>
      <w:r w:rsidRPr="00732F0C">
        <w:rPr>
          <w:rFonts w:ascii="Cambria" w:hAnsi="Cambria"/>
          <w:b/>
          <w:sz w:val="20"/>
          <w:szCs w:val="20"/>
          <w:lang w:val="es-CR"/>
        </w:rPr>
        <w:t>En cuanto al p</w:t>
      </w:r>
      <w:r w:rsidR="00E055ED" w:rsidRPr="00732F0C">
        <w:rPr>
          <w:rFonts w:ascii="Cambria" w:hAnsi="Cambria"/>
          <w:b/>
          <w:sz w:val="20"/>
          <w:szCs w:val="20"/>
          <w:lang w:val="es-CR"/>
        </w:rPr>
        <w:t>lazo razonable</w:t>
      </w:r>
    </w:p>
    <w:p w:rsidR="00E055ED" w:rsidRPr="00732F0C" w:rsidRDefault="00E055ED" w:rsidP="00842D6E">
      <w:pPr>
        <w:tabs>
          <w:tab w:val="left" w:pos="1440"/>
        </w:tabs>
        <w:ind w:firstLine="720"/>
        <w:jc w:val="both"/>
        <w:rPr>
          <w:rFonts w:ascii="Cambria" w:hAnsi="Cambria"/>
          <w:sz w:val="20"/>
          <w:szCs w:val="20"/>
          <w:lang w:val="es-CR"/>
        </w:rPr>
      </w:pPr>
    </w:p>
    <w:p w:rsidR="00E055ED" w:rsidRPr="00732F0C" w:rsidRDefault="00E055ED"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ES"/>
        </w:rPr>
        <w:t>L</w:t>
      </w:r>
      <w:r w:rsidRPr="00732F0C">
        <w:rPr>
          <w:rFonts w:ascii="Cambria" w:hAnsi="Cambria"/>
          <w:sz w:val="20"/>
          <w:szCs w:val="20"/>
          <w:lang w:val="es-CR"/>
        </w:rPr>
        <w:t xml:space="preserve">a CIDH recuerda que la muerte de Jorge Darwin García se produjo el 12 de septiembre de 1993 y la investigación policial comenzó el 15 de septiembre de 1993. Posteriormente, el 30 de septiembre de 1993 la causa fue remitida al Juzgado Tercero Penal de Imbabura, el cual discó una sentencia condenatoria en contra de Segundo Néstor de la Cruz el 3 de septiembre de 1995. Dicha </w:t>
      </w:r>
      <w:r w:rsidR="000726A2" w:rsidRPr="00732F0C">
        <w:rPr>
          <w:rFonts w:ascii="Cambria" w:hAnsi="Cambria"/>
          <w:sz w:val="20"/>
          <w:szCs w:val="20"/>
          <w:lang w:val="es-CR"/>
        </w:rPr>
        <w:t xml:space="preserve">sentencia </w:t>
      </w:r>
      <w:r w:rsidRPr="00732F0C">
        <w:rPr>
          <w:rFonts w:ascii="Cambria" w:hAnsi="Cambria"/>
          <w:sz w:val="20"/>
          <w:szCs w:val="20"/>
          <w:lang w:val="es-CR"/>
        </w:rPr>
        <w:t>fue confirmada por la Corte Suprema el 28 de enero de 1998. Asimismo, el señor de la Cruz presentó un recurso de revisión de la sentencia condenatoria, el cual fue concedido el 25 de febrero de 1998. De acuerdo con el escrito de l</w:t>
      </w:r>
      <w:r w:rsidR="000726A2" w:rsidRPr="00732F0C">
        <w:rPr>
          <w:rFonts w:ascii="Cambria" w:hAnsi="Cambria"/>
          <w:sz w:val="20"/>
          <w:szCs w:val="20"/>
          <w:lang w:val="es-CR"/>
        </w:rPr>
        <w:t xml:space="preserve">a peticionaria de enero de 2015 </w:t>
      </w:r>
      <w:r w:rsidR="00B14C22">
        <w:rPr>
          <w:rFonts w:ascii="Cambria" w:hAnsi="Cambria"/>
          <w:sz w:val="20"/>
          <w:szCs w:val="20"/>
          <w:lang w:val="es-CR"/>
        </w:rPr>
        <w:t xml:space="preserve">y </w:t>
      </w:r>
      <w:r w:rsidR="000726A2" w:rsidRPr="00732F0C">
        <w:rPr>
          <w:rFonts w:ascii="Cambria" w:hAnsi="Cambria"/>
          <w:sz w:val="20"/>
          <w:szCs w:val="20"/>
          <w:lang w:val="es-CR"/>
        </w:rPr>
        <w:t>no controvertido por el Estado,</w:t>
      </w:r>
      <w:r w:rsidRPr="00732F0C">
        <w:rPr>
          <w:rFonts w:ascii="Cambria" w:hAnsi="Cambria"/>
          <w:sz w:val="20"/>
          <w:szCs w:val="20"/>
          <w:lang w:val="es-CR"/>
        </w:rPr>
        <w:t xml:space="preserve"> dicho recurso no habría sido resuelto.</w:t>
      </w:r>
    </w:p>
    <w:p w:rsidR="00E055ED" w:rsidRPr="00732F0C" w:rsidRDefault="00E055ED" w:rsidP="00842D6E">
      <w:pPr>
        <w:tabs>
          <w:tab w:val="left" w:pos="1440"/>
        </w:tabs>
        <w:ind w:firstLine="720"/>
        <w:jc w:val="both"/>
        <w:rPr>
          <w:rFonts w:ascii="Cambria" w:hAnsi="Cambria"/>
          <w:sz w:val="20"/>
          <w:szCs w:val="20"/>
          <w:lang w:val="es-CR"/>
        </w:rPr>
      </w:pPr>
    </w:p>
    <w:p w:rsidR="00E055ED" w:rsidRPr="00732F0C" w:rsidRDefault="00E055ED"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La peticionaria alegó que la demora de cuatro años y cuatro meses en la tramitación del proceso constituyó un retardo injustificado y violó el derecho de los familiares de la víctima a que el proceso se resolviera en un plazo razonable, tanto a la luz de los plazos establecidos en la legislación interna como  de los estándares internacionales. Por su parte, el Estado consideró que los plazos establecidos en las legislaciones domésticas no pueden considerarse “fatales”. Destacó que los casos sobre delitos contra la vida revisten un grado “especialísimo de complejidad” y sostuvo que la dilación del proceso se vinculó con el hecho de que los acusados utilizaron los recursos previstos en la legislación interna. </w:t>
      </w:r>
    </w:p>
    <w:p w:rsidR="00E055ED" w:rsidRPr="00732F0C" w:rsidRDefault="00E055ED"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E055ED" w:rsidRPr="00732F0C" w:rsidRDefault="00E055ED"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ES"/>
        </w:rPr>
        <w:t>Al respecto, 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732F0C">
        <w:rPr>
          <w:rStyle w:val="FootnoteReference"/>
          <w:rFonts w:ascii="Cambria" w:hAnsi="Cambria"/>
          <w:sz w:val="20"/>
          <w:szCs w:val="20"/>
          <w:lang w:val="es-ES_tradnl"/>
        </w:rPr>
        <w:footnoteReference w:id="96"/>
      </w:r>
      <w:r w:rsidRPr="00732F0C">
        <w:rPr>
          <w:rFonts w:ascii="Cambria" w:hAnsi="Cambria"/>
          <w:sz w:val="20"/>
          <w:szCs w:val="20"/>
          <w:lang w:val="es-ES"/>
        </w:rPr>
        <w:t>, por lo que corresponde al Estado exponer y probar la razón por la cual se ha requerido más tiempo del razonable para dictar sentencia definitiva en un caso particular</w:t>
      </w:r>
      <w:r w:rsidRPr="00732F0C">
        <w:rPr>
          <w:rStyle w:val="FootnoteReference"/>
          <w:rFonts w:ascii="Cambria" w:hAnsi="Cambria"/>
          <w:sz w:val="20"/>
          <w:szCs w:val="20"/>
          <w:lang w:val="es-ES_tradnl"/>
        </w:rPr>
        <w:footnoteReference w:id="97"/>
      </w:r>
      <w:r w:rsidRPr="00732F0C">
        <w:rPr>
          <w:rFonts w:ascii="Cambria" w:hAnsi="Cambria"/>
          <w:sz w:val="20"/>
          <w:szCs w:val="20"/>
          <w:lang w:val="es-ES"/>
        </w:rPr>
        <w:t xml:space="preserve">. </w:t>
      </w:r>
    </w:p>
    <w:p w:rsidR="00E055ED" w:rsidRPr="00732F0C" w:rsidRDefault="00E055ED" w:rsidP="00842D6E">
      <w:pPr>
        <w:pStyle w:val="BodyTextIndent"/>
        <w:tabs>
          <w:tab w:val="left" w:pos="1440"/>
        </w:tabs>
        <w:ind w:firstLine="0"/>
        <w:jc w:val="both"/>
        <w:rPr>
          <w:rFonts w:ascii="Cambria" w:hAnsi="Cambria"/>
          <w:sz w:val="20"/>
          <w:szCs w:val="20"/>
          <w:lang w:val="es-ES"/>
        </w:rPr>
      </w:pPr>
    </w:p>
    <w:p w:rsidR="00E055ED" w:rsidRPr="00732F0C" w:rsidRDefault="00E055ED"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ES"/>
        </w:rPr>
        <w:t>En ese sentido, la razonabilidad del plazo se debe apreciar en relación con la duración total del procedimiento penal</w:t>
      </w:r>
      <w:r w:rsidRPr="00732F0C">
        <w:rPr>
          <w:rStyle w:val="FootnoteReference"/>
          <w:rFonts w:ascii="Cambria" w:hAnsi="Cambria"/>
          <w:sz w:val="20"/>
          <w:szCs w:val="20"/>
          <w:lang w:val="es-ES_tradnl"/>
        </w:rPr>
        <w:footnoteReference w:id="98"/>
      </w:r>
      <w:r w:rsidRPr="00732F0C">
        <w:rPr>
          <w:rFonts w:ascii="Cambria" w:hAnsi="Cambria"/>
          <w:sz w:val="20"/>
          <w:szCs w:val="20"/>
          <w:lang w:val="es-ES"/>
        </w:rPr>
        <w:t xml:space="preserve">. </w:t>
      </w:r>
      <w:r w:rsidRPr="00732F0C">
        <w:rPr>
          <w:rFonts w:ascii="Cambria" w:hAnsi="Cambria"/>
          <w:sz w:val="20"/>
          <w:szCs w:val="20"/>
          <w:lang w:val="es-ES_tradnl"/>
        </w:rPr>
        <w:t>Según los términos del artículo 8.1 de la Convención Americana, la Comisión tomará en consideración, a la luz de las circunstancias concretas del caso, los elementos que los órganos del sistema interamericano han tomado en cuenta, a saber</w:t>
      </w:r>
      <w:r w:rsidRPr="00732F0C">
        <w:rPr>
          <w:rFonts w:ascii="Cambria" w:hAnsi="Cambria"/>
          <w:sz w:val="20"/>
          <w:szCs w:val="20"/>
          <w:lang w:val="es-ES"/>
        </w:rPr>
        <w:t xml:space="preserve">: i) la complejidad del asunto; ii) la actividad procesal del </w:t>
      </w:r>
      <w:r w:rsidRPr="00732F0C">
        <w:rPr>
          <w:rFonts w:ascii="Cambria" w:hAnsi="Cambria"/>
          <w:sz w:val="20"/>
          <w:szCs w:val="20"/>
          <w:lang w:val="es-ES"/>
        </w:rPr>
        <w:lastRenderedPageBreak/>
        <w:t>interesado; y iii) la conducta de las autoridades judiciales;</w:t>
      </w:r>
      <w:r w:rsidRPr="00732F0C">
        <w:rPr>
          <w:rFonts w:ascii="Cambria" w:hAnsi="Cambria"/>
          <w:sz w:val="20"/>
          <w:szCs w:val="20"/>
          <w:lang w:val="es-ES_tradnl"/>
        </w:rPr>
        <w:t xml:space="preserve"> y iv) afectación generada en la situación jurídica de la persona involucrada en el proceso</w:t>
      </w:r>
      <w:r w:rsidRPr="00732F0C">
        <w:rPr>
          <w:rStyle w:val="FootnoteReference"/>
          <w:rFonts w:ascii="Cambria" w:hAnsi="Cambria"/>
          <w:sz w:val="20"/>
          <w:szCs w:val="20"/>
          <w:lang w:val="es-ES_tradnl"/>
        </w:rPr>
        <w:footnoteReference w:id="99"/>
      </w:r>
      <w:r w:rsidRPr="00732F0C">
        <w:rPr>
          <w:rFonts w:ascii="Cambria" w:hAnsi="Cambria"/>
          <w:sz w:val="20"/>
          <w:szCs w:val="20"/>
          <w:lang w:val="es-ES"/>
        </w:rPr>
        <w:t>.</w:t>
      </w:r>
    </w:p>
    <w:p w:rsidR="00E055ED" w:rsidRPr="00732F0C" w:rsidRDefault="00E055ED" w:rsidP="00842D6E">
      <w:pPr>
        <w:jc w:val="both"/>
        <w:rPr>
          <w:rFonts w:ascii="Cambria" w:hAnsi="Cambria"/>
          <w:sz w:val="20"/>
          <w:szCs w:val="20"/>
          <w:lang w:val="es-CR"/>
        </w:rPr>
      </w:pPr>
    </w:p>
    <w:p w:rsidR="003B77D8"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CR"/>
        </w:rPr>
        <w:t xml:space="preserve">En cuanto a la complejidad del asunto, </w:t>
      </w:r>
      <w:r w:rsidR="003B77D8" w:rsidRPr="00732F0C">
        <w:rPr>
          <w:rFonts w:ascii="Cambria" w:hAnsi="Cambria" w:cs="Univers"/>
          <w:sz w:val="20"/>
          <w:szCs w:val="20"/>
          <w:lang w:val="es-ES" w:eastAsia="es-ES_tradnl"/>
        </w:rPr>
        <w:t>l</w:t>
      </w:r>
      <w:r w:rsidR="003B77D8" w:rsidRPr="00732F0C">
        <w:rPr>
          <w:rFonts w:ascii="Cambria" w:hAnsi="Cambria"/>
          <w:sz w:val="20"/>
          <w:szCs w:val="20"/>
          <w:lang w:val="es-ES_tradnl"/>
        </w:rPr>
        <w:t xml:space="preserve">a Comisión considera que el retardo en el desarrollo de la investigación no </w:t>
      </w:r>
      <w:r w:rsidR="003B77D8" w:rsidRPr="00732F0C">
        <w:rPr>
          <w:rFonts w:ascii="Cambria" w:hAnsi="Cambria" w:cs="Univers"/>
          <w:sz w:val="20"/>
          <w:szCs w:val="20"/>
          <w:lang w:val="es-ES" w:eastAsia="es-ES_tradnl"/>
        </w:rPr>
        <w:t>puede</w:t>
      </w:r>
      <w:r w:rsidR="003B77D8" w:rsidRPr="00732F0C">
        <w:rPr>
          <w:rFonts w:ascii="Cambria" w:hAnsi="Cambria"/>
          <w:sz w:val="20"/>
          <w:szCs w:val="20"/>
          <w:lang w:val="es-ES_tradnl"/>
        </w:rPr>
        <w:t xml:space="preserve"> justificarse en razón de la complejidad del asunto cuando i) hay individualización de posibles autores; ii) consta la existencia de testigos; y iii) existen posibles líneas de investigación</w:t>
      </w:r>
      <w:r w:rsidR="003B77D8" w:rsidRPr="00732F0C">
        <w:rPr>
          <w:rStyle w:val="FootnoteReference"/>
          <w:rFonts w:ascii="Cambria" w:hAnsi="Cambria"/>
          <w:sz w:val="20"/>
          <w:szCs w:val="20"/>
          <w:lang w:val="es-ES_tradnl"/>
        </w:rPr>
        <w:footnoteReference w:id="100"/>
      </w:r>
      <w:r w:rsidR="003B77D8" w:rsidRPr="00732F0C">
        <w:rPr>
          <w:rFonts w:ascii="Cambria" w:hAnsi="Cambria"/>
          <w:sz w:val="20"/>
          <w:szCs w:val="20"/>
          <w:lang w:val="es-ES_tradnl"/>
        </w:rPr>
        <w:t>. En todo caso, a fin de que un argumento de complejidad sea procedente, no es suficiente con que los Estados invoquen en términos genéri</w:t>
      </w:r>
      <w:r w:rsidR="009E0846" w:rsidRPr="00732F0C">
        <w:rPr>
          <w:rFonts w:ascii="Cambria" w:hAnsi="Cambria"/>
          <w:sz w:val="20"/>
          <w:szCs w:val="20"/>
          <w:lang w:val="es-ES_tradnl"/>
        </w:rPr>
        <w:t>cos la complejidad de un asunto sino que vinculen los elementos específicos de la alegada complejidad con las demoras concretas en la investigación.</w:t>
      </w:r>
    </w:p>
    <w:p w:rsidR="003B77D8" w:rsidRPr="00732F0C" w:rsidRDefault="003B77D8" w:rsidP="00842D6E">
      <w:pPr>
        <w:pStyle w:val="ListParagraph"/>
        <w:jc w:val="both"/>
        <w:rPr>
          <w:sz w:val="20"/>
          <w:szCs w:val="20"/>
          <w:lang w:val="es-CR"/>
        </w:rPr>
      </w:pPr>
    </w:p>
    <w:p w:rsidR="00B266E7" w:rsidRPr="00732F0C" w:rsidRDefault="003B77D8"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CR"/>
        </w:rPr>
        <w:t>Al respecto, l</w:t>
      </w:r>
      <w:r w:rsidR="00B266E7" w:rsidRPr="00732F0C">
        <w:rPr>
          <w:rFonts w:ascii="Cambria" w:hAnsi="Cambria"/>
          <w:sz w:val="20"/>
          <w:szCs w:val="20"/>
          <w:lang w:val="es-CR"/>
        </w:rPr>
        <w:t xml:space="preserve">a Comisión advierte que </w:t>
      </w:r>
      <w:r w:rsidRPr="00732F0C">
        <w:rPr>
          <w:rFonts w:ascii="Cambria" w:hAnsi="Cambria"/>
          <w:sz w:val="20"/>
          <w:szCs w:val="20"/>
          <w:lang w:val="es-CR"/>
        </w:rPr>
        <w:t>el presunto responsable</w:t>
      </w:r>
      <w:r w:rsidR="00B266E7" w:rsidRPr="00732F0C">
        <w:rPr>
          <w:rFonts w:ascii="Cambria" w:hAnsi="Cambria"/>
          <w:sz w:val="20"/>
          <w:szCs w:val="20"/>
          <w:lang w:val="es-CR"/>
        </w:rPr>
        <w:t xml:space="preserve"> por la muerte de Jorge Darwin García y las lesiones de Franklin Plutarco García </w:t>
      </w:r>
      <w:r w:rsidRPr="00732F0C">
        <w:rPr>
          <w:rFonts w:ascii="Cambria" w:hAnsi="Cambria"/>
          <w:sz w:val="20"/>
          <w:szCs w:val="20"/>
          <w:lang w:val="es-CR"/>
        </w:rPr>
        <w:t>fue identificado</w:t>
      </w:r>
      <w:r w:rsidR="00B266E7" w:rsidRPr="00732F0C">
        <w:rPr>
          <w:rFonts w:ascii="Cambria" w:hAnsi="Cambria"/>
          <w:sz w:val="20"/>
          <w:szCs w:val="20"/>
          <w:lang w:val="es-CR"/>
        </w:rPr>
        <w:t xml:space="preserve"> desde el primer momento, tanto en la investigación policial como en el proceso penal. </w:t>
      </w:r>
      <w:r w:rsidR="00B266E7" w:rsidRPr="00732F0C">
        <w:rPr>
          <w:rFonts w:ascii="Cambria" w:hAnsi="Cambria"/>
          <w:sz w:val="20"/>
          <w:szCs w:val="20"/>
          <w:lang w:val="es-ES"/>
        </w:rPr>
        <w:t>Asimismo, los testigos también fueron identificados desde el inicio.</w:t>
      </w:r>
    </w:p>
    <w:p w:rsidR="00B266E7" w:rsidRPr="00732F0C" w:rsidRDefault="00B266E7" w:rsidP="00842D6E">
      <w:pPr>
        <w:tabs>
          <w:tab w:val="left" w:pos="1440"/>
        </w:tabs>
        <w:ind w:firstLine="720"/>
        <w:jc w:val="both"/>
        <w:rPr>
          <w:rFonts w:ascii="Cambria" w:hAnsi="Cambria"/>
          <w:sz w:val="20"/>
          <w:szCs w:val="20"/>
          <w:lang w:val="es-ES"/>
        </w:rPr>
      </w:pPr>
    </w:p>
    <w:p w:rsidR="00374A3A"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Respecto de la conducta de las autoridades judiciales, la Comisión advierte que casi la totalidad de la prueba se recabó durante la investigación policial</w:t>
      </w:r>
      <w:r w:rsidR="003B77D8" w:rsidRPr="00732F0C">
        <w:rPr>
          <w:rFonts w:ascii="Cambria" w:hAnsi="Cambria"/>
          <w:sz w:val="20"/>
          <w:szCs w:val="20"/>
          <w:lang w:val="es-CR"/>
        </w:rPr>
        <w:t xml:space="preserve">. De esta forma, con excepción de algunas declaraciones testimoniales, en el fuero ordinario </w:t>
      </w:r>
      <w:r w:rsidRPr="00732F0C">
        <w:rPr>
          <w:rFonts w:ascii="Cambria" w:hAnsi="Cambria"/>
          <w:sz w:val="20"/>
          <w:szCs w:val="20"/>
          <w:lang w:val="es-CR"/>
        </w:rPr>
        <w:t xml:space="preserve">no se ordenaron diligencias adicionales cuya producción pudiera prolongarse en el tiempo. En efecto, tal como se desprende de la sentencia del Tribunal Penal de Imbabura, los elementos a tener en cuenta para determinar la responsabilidad penal del imputado fueron </w:t>
      </w:r>
      <w:r w:rsidR="00374A3A" w:rsidRPr="00732F0C">
        <w:rPr>
          <w:rFonts w:ascii="Cambria" w:hAnsi="Cambria"/>
          <w:sz w:val="20"/>
          <w:szCs w:val="20"/>
          <w:lang w:val="es-CR"/>
        </w:rPr>
        <w:t>principalmente</w:t>
      </w:r>
      <w:r w:rsidRPr="00732F0C">
        <w:rPr>
          <w:rFonts w:ascii="Cambria" w:hAnsi="Cambria"/>
          <w:sz w:val="20"/>
          <w:szCs w:val="20"/>
          <w:lang w:val="es-CR"/>
        </w:rPr>
        <w:t xml:space="preserve"> las pruebas obtenidas durante la investigación policial. </w:t>
      </w:r>
    </w:p>
    <w:p w:rsidR="00374A3A" w:rsidRPr="00732F0C" w:rsidRDefault="00374A3A" w:rsidP="00842D6E">
      <w:pPr>
        <w:pStyle w:val="ListParagraph"/>
        <w:jc w:val="both"/>
        <w:rPr>
          <w:sz w:val="20"/>
          <w:szCs w:val="20"/>
          <w:lang w:val="es-CR"/>
        </w:rPr>
      </w:pPr>
    </w:p>
    <w:p w:rsidR="00374A3A" w:rsidRPr="00732F0C" w:rsidRDefault="00B266E7"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 xml:space="preserve">En relación con la </w:t>
      </w:r>
      <w:r w:rsidR="00374A3A" w:rsidRPr="00732F0C">
        <w:rPr>
          <w:rFonts w:ascii="Cambria" w:hAnsi="Cambria"/>
          <w:sz w:val="20"/>
          <w:szCs w:val="20"/>
          <w:lang w:val="es-CR"/>
        </w:rPr>
        <w:t>participación de los interesados</w:t>
      </w:r>
      <w:r w:rsidRPr="00732F0C">
        <w:rPr>
          <w:rFonts w:ascii="Cambria" w:hAnsi="Cambria"/>
          <w:sz w:val="20"/>
          <w:szCs w:val="20"/>
          <w:lang w:val="es-CR"/>
        </w:rPr>
        <w:t>, la Comisión advierte que los familiares denunc</w:t>
      </w:r>
      <w:r w:rsidR="00374A3A" w:rsidRPr="00732F0C">
        <w:rPr>
          <w:rFonts w:ascii="Cambria" w:hAnsi="Cambria"/>
          <w:sz w:val="20"/>
          <w:szCs w:val="20"/>
          <w:lang w:val="es-CR"/>
        </w:rPr>
        <w:t>iaron inmediatamente los hechos. Asimismo,</w:t>
      </w:r>
      <w:r w:rsidRPr="00732F0C">
        <w:rPr>
          <w:rFonts w:ascii="Cambria" w:hAnsi="Cambria"/>
          <w:sz w:val="20"/>
          <w:szCs w:val="20"/>
          <w:lang w:val="es-CR"/>
        </w:rPr>
        <w:t xml:space="preserve"> Franklin Plutarco García se const</w:t>
      </w:r>
      <w:r w:rsidR="00374A3A" w:rsidRPr="00732F0C">
        <w:rPr>
          <w:rFonts w:ascii="Cambria" w:hAnsi="Cambria"/>
          <w:sz w:val="20"/>
          <w:szCs w:val="20"/>
          <w:lang w:val="es-CR"/>
        </w:rPr>
        <w:t xml:space="preserve">ituyó como acusador particular. La peticionaria también </w:t>
      </w:r>
      <w:r w:rsidRPr="00732F0C">
        <w:rPr>
          <w:rFonts w:ascii="Cambria" w:hAnsi="Cambria"/>
          <w:sz w:val="20"/>
          <w:szCs w:val="20"/>
          <w:lang w:val="es-CR"/>
        </w:rPr>
        <w:t>solicitó al Fiscal General de la Nación que supervigile el caso</w:t>
      </w:r>
      <w:r w:rsidR="00374A3A" w:rsidRPr="00732F0C">
        <w:rPr>
          <w:rFonts w:ascii="Cambria" w:hAnsi="Cambria"/>
          <w:sz w:val="20"/>
          <w:szCs w:val="20"/>
          <w:lang w:val="es-CR"/>
        </w:rPr>
        <w:t xml:space="preserve">. De esta forma, </w:t>
      </w:r>
      <w:r w:rsidR="00374A3A" w:rsidRPr="00732F0C">
        <w:rPr>
          <w:rFonts w:ascii="Cambria" w:hAnsi="Cambria"/>
          <w:sz w:val="20"/>
          <w:szCs w:val="20"/>
          <w:lang w:val="es-ES_tradnl"/>
        </w:rPr>
        <w:t>la Comisión nota que los representantes legales dieron seguimiento e impulso a la investigación</w:t>
      </w:r>
      <w:r w:rsidRPr="00732F0C">
        <w:rPr>
          <w:rFonts w:ascii="Cambria" w:hAnsi="Cambria"/>
          <w:sz w:val="20"/>
          <w:szCs w:val="20"/>
          <w:lang w:val="es-CR"/>
        </w:rPr>
        <w:t xml:space="preserve"> y no existen elementos que indiquen que hubieran obstaculizado el proceso. </w:t>
      </w:r>
    </w:p>
    <w:p w:rsidR="0057096B" w:rsidRPr="00732F0C" w:rsidRDefault="0057096B" w:rsidP="00842D6E">
      <w:pPr>
        <w:jc w:val="both"/>
        <w:rPr>
          <w:rFonts w:ascii="Cambria" w:hAnsi="Cambria"/>
          <w:sz w:val="20"/>
          <w:szCs w:val="20"/>
          <w:lang w:val="es-CR"/>
        </w:rPr>
      </w:pPr>
    </w:p>
    <w:p w:rsidR="00B266E7" w:rsidRPr="00732F0C" w:rsidRDefault="005D1963"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732F0C">
        <w:rPr>
          <w:rFonts w:ascii="Cambria" w:hAnsi="Cambria"/>
          <w:sz w:val="20"/>
          <w:szCs w:val="20"/>
          <w:lang w:val="es-CR"/>
        </w:rPr>
        <w:t>Adicionalmente</w:t>
      </w:r>
      <w:r w:rsidR="00B266E7" w:rsidRPr="00732F0C">
        <w:rPr>
          <w:rFonts w:ascii="Cambria" w:hAnsi="Cambria"/>
          <w:sz w:val="20"/>
          <w:szCs w:val="20"/>
          <w:lang w:val="es-CR"/>
        </w:rPr>
        <w:t xml:space="preserve">, </w:t>
      </w:r>
      <w:r w:rsidRPr="00732F0C">
        <w:rPr>
          <w:rFonts w:ascii="Cambria" w:hAnsi="Cambria"/>
          <w:sz w:val="20"/>
          <w:szCs w:val="20"/>
          <w:lang w:val="es-CR"/>
        </w:rPr>
        <w:t>la Comisión nota que e</w:t>
      </w:r>
      <w:r w:rsidR="00B266E7" w:rsidRPr="00732F0C">
        <w:rPr>
          <w:rFonts w:ascii="Cambria" w:hAnsi="Cambria"/>
          <w:sz w:val="20"/>
          <w:szCs w:val="20"/>
          <w:lang w:val="es-CR"/>
        </w:rPr>
        <w:t>l i</w:t>
      </w:r>
      <w:r w:rsidRPr="00732F0C">
        <w:rPr>
          <w:rFonts w:ascii="Cambria" w:hAnsi="Cambria"/>
          <w:sz w:val="20"/>
          <w:szCs w:val="20"/>
          <w:lang w:val="es-CR"/>
        </w:rPr>
        <w:t xml:space="preserve">mputado </w:t>
      </w:r>
      <w:r w:rsidR="00B266E7" w:rsidRPr="00732F0C">
        <w:rPr>
          <w:rFonts w:ascii="Cambria" w:hAnsi="Cambria"/>
          <w:sz w:val="20"/>
          <w:szCs w:val="20"/>
          <w:lang w:val="es-CR"/>
        </w:rPr>
        <w:t xml:space="preserve">interpuso un recurso de apelación contra el auto de llamamiento a juicio y un recurso de casación contra la sentencia condenatoria, sin que las partes hayan brindado elementos sobre una posible actitud dilatoria del proceso de su parte. En estas circunstancias, la Comisión considera que el plazo de más de un año para el dictado del auto de llamamiento a plenario, el plazo de más de un año para el dictado de la sentencia condenatoria y el transcurso de más de dos años para el dictado de la sentencia definitiva </w:t>
      </w:r>
      <w:r w:rsidR="009E0846" w:rsidRPr="00732F0C">
        <w:rPr>
          <w:rFonts w:ascii="Cambria" w:hAnsi="Cambria"/>
          <w:sz w:val="20"/>
          <w:szCs w:val="20"/>
          <w:lang w:val="es-CR"/>
        </w:rPr>
        <w:t xml:space="preserve">no han sido justificados por el Estado </w:t>
      </w:r>
      <w:r w:rsidR="00B266E7" w:rsidRPr="00732F0C">
        <w:rPr>
          <w:rFonts w:ascii="Cambria" w:hAnsi="Cambria"/>
          <w:sz w:val="20"/>
          <w:szCs w:val="20"/>
          <w:lang w:val="es-CR"/>
        </w:rPr>
        <w:t xml:space="preserve">a la luz de las particularidades específicas de este caso. </w:t>
      </w:r>
    </w:p>
    <w:p w:rsidR="00B266E7" w:rsidRPr="00732F0C" w:rsidRDefault="00B266E7" w:rsidP="00842D6E">
      <w:pPr>
        <w:tabs>
          <w:tab w:val="left" w:pos="1440"/>
        </w:tabs>
        <w:ind w:firstLine="720"/>
        <w:jc w:val="both"/>
        <w:rPr>
          <w:rFonts w:ascii="Cambria" w:hAnsi="Cambria"/>
          <w:sz w:val="20"/>
          <w:szCs w:val="20"/>
          <w:lang w:val="es-CR"/>
        </w:rPr>
      </w:pPr>
    </w:p>
    <w:p w:rsidR="005D1963" w:rsidRPr="00732F0C" w:rsidRDefault="005D1963"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ES_tradnl"/>
        </w:rPr>
        <w:t>En</w:t>
      </w:r>
      <w:r w:rsidR="009E0846" w:rsidRPr="00732F0C">
        <w:rPr>
          <w:rFonts w:ascii="Cambria" w:hAnsi="Cambria"/>
          <w:sz w:val="20"/>
          <w:szCs w:val="20"/>
          <w:lang w:val="es-ES_tradnl"/>
        </w:rPr>
        <w:t xml:space="preserve"> virtud de lo anterior, </w:t>
      </w:r>
      <w:r w:rsidRPr="00732F0C">
        <w:rPr>
          <w:rFonts w:ascii="Cambria" w:hAnsi="Cambria"/>
          <w:sz w:val="20"/>
          <w:szCs w:val="20"/>
          <w:lang w:val="es-ES_tradnl"/>
        </w:rPr>
        <w:t>la Comisión considera que</w:t>
      </w:r>
      <w:r w:rsidR="009E0846" w:rsidRPr="00732F0C">
        <w:rPr>
          <w:rFonts w:ascii="Cambria" w:hAnsi="Cambria"/>
          <w:sz w:val="20"/>
          <w:szCs w:val="20"/>
          <w:lang w:val="es-ES_tradnl"/>
        </w:rPr>
        <w:t xml:space="preserve"> en el presente caso </w:t>
      </w:r>
      <w:r w:rsidRPr="00732F0C">
        <w:rPr>
          <w:rFonts w:ascii="Cambria" w:hAnsi="Cambria"/>
          <w:sz w:val="20"/>
          <w:szCs w:val="20"/>
          <w:lang w:val="es-ES_tradnl"/>
        </w:rPr>
        <w:t>el lapso de cuatro años y medio que</w:t>
      </w:r>
      <w:r w:rsidR="009E0846" w:rsidRPr="00732F0C">
        <w:rPr>
          <w:rFonts w:ascii="Cambria" w:hAnsi="Cambria"/>
          <w:sz w:val="20"/>
          <w:szCs w:val="20"/>
          <w:lang w:val="es-ES_tradnl"/>
        </w:rPr>
        <w:t xml:space="preserve"> demoró </w:t>
      </w:r>
      <w:r w:rsidRPr="00732F0C">
        <w:rPr>
          <w:rFonts w:ascii="Cambria" w:hAnsi="Cambria"/>
          <w:sz w:val="20"/>
          <w:szCs w:val="20"/>
          <w:lang w:val="es-ES_tradnl"/>
        </w:rPr>
        <w:t>la justicia interna</w:t>
      </w:r>
      <w:r w:rsidR="009E0846" w:rsidRPr="00732F0C">
        <w:rPr>
          <w:rFonts w:ascii="Cambria" w:hAnsi="Cambria"/>
          <w:sz w:val="20"/>
          <w:szCs w:val="20"/>
          <w:lang w:val="es-ES_tradnl"/>
        </w:rPr>
        <w:t xml:space="preserve"> para emitir una sentencia definitiva, no resulta razonable. </w:t>
      </w:r>
      <w:r w:rsidR="00937132">
        <w:rPr>
          <w:rFonts w:ascii="Cambria" w:hAnsi="Cambria"/>
          <w:sz w:val="20"/>
          <w:szCs w:val="20"/>
          <w:lang w:val="es-ES_tradnl"/>
        </w:rPr>
        <w:t>Asimismo, la CIDH nota que</w:t>
      </w:r>
      <w:r w:rsidR="009E0846" w:rsidRPr="00732F0C">
        <w:rPr>
          <w:rFonts w:ascii="Cambria" w:hAnsi="Cambria"/>
          <w:sz w:val="20"/>
          <w:szCs w:val="20"/>
          <w:lang w:val="es-ES_tradnl"/>
        </w:rPr>
        <w:t xml:space="preserve"> conforme a la información aportada por la peticionaria, no controvertida por el Estado, </w:t>
      </w:r>
      <w:r w:rsidRPr="00732F0C">
        <w:rPr>
          <w:rFonts w:ascii="Cambria" w:hAnsi="Cambria"/>
          <w:sz w:val="20"/>
          <w:szCs w:val="20"/>
          <w:lang w:val="es-ES_tradnl"/>
        </w:rPr>
        <w:t>el recurso de revisión presentado por el señor de la Cruz hace más de dieciséis años no h</w:t>
      </w:r>
      <w:r w:rsidR="009E0846" w:rsidRPr="00732F0C">
        <w:rPr>
          <w:rFonts w:ascii="Cambria" w:hAnsi="Cambria"/>
          <w:sz w:val="20"/>
          <w:szCs w:val="20"/>
          <w:lang w:val="es-ES_tradnl"/>
        </w:rPr>
        <w:t>abría sido resuelto a la fecha</w:t>
      </w:r>
      <w:r w:rsidRPr="00732F0C">
        <w:rPr>
          <w:rFonts w:ascii="Cambria" w:hAnsi="Cambria"/>
          <w:sz w:val="20"/>
          <w:szCs w:val="20"/>
          <w:lang w:val="es-ES_tradnl"/>
        </w:rPr>
        <w:t xml:space="preserve">. Al respecto, la Comisión considera que el </w:t>
      </w:r>
      <w:r w:rsidR="009E0846" w:rsidRPr="00732F0C">
        <w:rPr>
          <w:rFonts w:ascii="Cambria" w:hAnsi="Cambria"/>
          <w:sz w:val="20"/>
          <w:szCs w:val="20"/>
          <w:lang w:val="es-ES_tradnl"/>
        </w:rPr>
        <w:t xml:space="preserve">hecho de que se mantenga </w:t>
      </w:r>
      <w:r w:rsidRPr="00732F0C">
        <w:rPr>
          <w:rFonts w:ascii="Cambria" w:hAnsi="Cambria"/>
          <w:sz w:val="20"/>
          <w:szCs w:val="20"/>
          <w:lang w:val="es-ES_tradnl"/>
        </w:rPr>
        <w:t xml:space="preserve">pendiente </w:t>
      </w:r>
      <w:r w:rsidR="009E0846" w:rsidRPr="00732F0C">
        <w:rPr>
          <w:rFonts w:ascii="Cambria" w:hAnsi="Cambria"/>
          <w:sz w:val="20"/>
          <w:szCs w:val="20"/>
          <w:lang w:val="es-ES_tradnl"/>
        </w:rPr>
        <w:t>la resolución de dich</w:t>
      </w:r>
      <w:r w:rsidR="00F70C97" w:rsidRPr="00732F0C">
        <w:rPr>
          <w:rFonts w:ascii="Cambria" w:hAnsi="Cambria"/>
          <w:sz w:val="20"/>
          <w:szCs w:val="20"/>
          <w:lang w:val="es-ES_tradnl"/>
        </w:rPr>
        <w:t>os</w:t>
      </w:r>
      <w:r w:rsidR="009E0846" w:rsidRPr="00732F0C">
        <w:rPr>
          <w:rFonts w:ascii="Cambria" w:hAnsi="Cambria"/>
          <w:sz w:val="20"/>
          <w:szCs w:val="20"/>
          <w:lang w:val="es-ES_tradnl"/>
        </w:rPr>
        <w:t xml:space="preserve"> recursos </w:t>
      </w:r>
      <w:r w:rsidRPr="00732F0C">
        <w:rPr>
          <w:rFonts w:ascii="Cambria" w:hAnsi="Cambria"/>
          <w:sz w:val="20"/>
          <w:szCs w:val="20"/>
          <w:lang w:val="es-ES_tradnl"/>
        </w:rPr>
        <w:t xml:space="preserve">por un tiempo </w:t>
      </w:r>
      <w:r w:rsidR="009E0846" w:rsidRPr="00732F0C">
        <w:rPr>
          <w:rFonts w:ascii="Cambria" w:hAnsi="Cambria"/>
          <w:sz w:val="20"/>
          <w:szCs w:val="20"/>
          <w:lang w:val="es-ES_tradnl"/>
        </w:rPr>
        <w:t xml:space="preserve">irrazonable </w:t>
      </w:r>
      <w:r w:rsidRPr="00732F0C">
        <w:rPr>
          <w:rFonts w:ascii="Cambria" w:hAnsi="Cambria"/>
          <w:sz w:val="20"/>
          <w:szCs w:val="20"/>
          <w:lang w:val="es-ES_tradnl"/>
        </w:rPr>
        <w:t>ha generado una situación de incertid</w:t>
      </w:r>
      <w:r w:rsidR="009E0846" w:rsidRPr="00732F0C">
        <w:rPr>
          <w:rFonts w:ascii="Cambria" w:hAnsi="Cambria"/>
          <w:sz w:val="20"/>
          <w:szCs w:val="20"/>
          <w:lang w:val="es-ES_tradnl"/>
        </w:rPr>
        <w:t>umbre en perjuicio de los familiares de Jorge Darwin García sobre si el resultado de proceso penal puede ser modificado</w:t>
      </w:r>
      <w:r w:rsidR="000F5550" w:rsidRPr="00732F0C">
        <w:rPr>
          <w:rFonts w:ascii="Cambria" w:hAnsi="Cambria"/>
          <w:sz w:val="20"/>
          <w:szCs w:val="20"/>
          <w:lang w:val="es-ES_tradnl"/>
        </w:rPr>
        <w:t>.</w:t>
      </w:r>
    </w:p>
    <w:p w:rsidR="005D1963" w:rsidRPr="00732F0C" w:rsidRDefault="005D1963" w:rsidP="00842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5D1963" w:rsidRPr="00732F0C" w:rsidRDefault="005D1963" w:rsidP="00842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732F0C">
        <w:rPr>
          <w:rFonts w:ascii="Cambria" w:hAnsi="Cambria"/>
          <w:sz w:val="20"/>
          <w:szCs w:val="20"/>
          <w:lang w:val="es-ES_tradnl"/>
        </w:rPr>
        <w:t>En consecuencia, la</w:t>
      </w:r>
      <w:r w:rsidR="00F90C73" w:rsidRPr="00732F0C">
        <w:rPr>
          <w:rFonts w:ascii="Cambria" w:hAnsi="Cambria"/>
          <w:sz w:val="20"/>
          <w:szCs w:val="20"/>
          <w:lang w:val="es-ES_tradnl"/>
        </w:rPr>
        <w:t xml:space="preserve"> Comisión concluye que el Estado violó los derechos a las garantías judiciales y </w:t>
      </w:r>
      <w:proofErr w:type="gramStart"/>
      <w:r w:rsidR="00F90C73" w:rsidRPr="00732F0C">
        <w:rPr>
          <w:rFonts w:ascii="Cambria" w:hAnsi="Cambria"/>
          <w:sz w:val="20"/>
          <w:szCs w:val="20"/>
          <w:lang w:val="es-ES_tradnl"/>
        </w:rPr>
        <w:t>protección judicial establecidos</w:t>
      </w:r>
      <w:proofErr w:type="gramEnd"/>
      <w:r w:rsidR="00F90C73" w:rsidRPr="00732F0C">
        <w:rPr>
          <w:rFonts w:ascii="Cambria" w:hAnsi="Cambria"/>
          <w:sz w:val="20"/>
          <w:szCs w:val="20"/>
          <w:lang w:val="es-ES_tradnl"/>
        </w:rPr>
        <w:t xml:space="preserve"> en los artículos 8.1 y 25.1 de la Convención</w:t>
      </w:r>
      <w:r w:rsidR="00BD1450" w:rsidRPr="00732F0C">
        <w:rPr>
          <w:rFonts w:ascii="Cambria" w:hAnsi="Cambria"/>
          <w:sz w:val="20"/>
          <w:szCs w:val="20"/>
          <w:lang w:val="es-ES_tradnl"/>
        </w:rPr>
        <w:t xml:space="preserve"> en relación con las obligaciones establecidas en el artículo 1.1 del mismo instrumento, </w:t>
      </w:r>
      <w:r w:rsidR="00F90C73" w:rsidRPr="00732F0C">
        <w:rPr>
          <w:rFonts w:ascii="Cambria" w:hAnsi="Cambria"/>
          <w:sz w:val="20"/>
          <w:szCs w:val="20"/>
          <w:lang w:val="es-ES_tradnl"/>
        </w:rPr>
        <w:t>por el incumplimiento de la garantía de plazo razonable en per</w:t>
      </w:r>
      <w:r w:rsidR="000F5550" w:rsidRPr="00732F0C">
        <w:rPr>
          <w:rFonts w:ascii="Cambria" w:hAnsi="Cambria"/>
          <w:sz w:val="20"/>
          <w:szCs w:val="20"/>
          <w:lang w:val="es-ES_tradnl"/>
        </w:rPr>
        <w:t xml:space="preserve">juicio de </w:t>
      </w:r>
      <w:r w:rsidR="000F5550" w:rsidRPr="00732F0C">
        <w:rPr>
          <w:rFonts w:ascii="Cambria" w:hAnsi="Cambria" w:cs="Arial"/>
          <w:sz w:val="20"/>
          <w:szCs w:val="20"/>
          <w:lang w:val="es-ES"/>
        </w:rPr>
        <w:t>Franklin Plutarco y sus familiares.</w:t>
      </w:r>
    </w:p>
    <w:p w:rsidR="00CA3FD9" w:rsidRPr="00732F0C" w:rsidRDefault="00A24688" w:rsidP="00842D6E">
      <w:pPr>
        <w:tabs>
          <w:tab w:val="num" w:pos="1440"/>
        </w:tabs>
        <w:ind w:hanging="2340"/>
        <w:jc w:val="both"/>
        <w:rPr>
          <w:rFonts w:ascii="Cambria" w:hAnsi="Cambria"/>
          <w:sz w:val="20"/>
          <w:szCs w:val="20"/>
          <w:lang w:val="es-ES_tradnl"/>
        </w:rPr>
      </w:pPr>
      <w:r w:rsidRPr="00732F0C">
        <w:rPr>
          <w:rFonts w:ascii="Cambria" w:hAnsi="Cambria"/>
          <w:sz w:val="20"/>
          <w:szCs w:val="20"/>
          <w:lang w:val="es-ES_tradnl"/>
        </w:rPr>
        <w:t>´</w:t>
      </w:r>
      <w:proofErr w:type="spellStart"/>
      <w:r w:rsidRPr="00732F0C">
        <w:rPr>
          <w:rFonts w:ascii="Cambria" w:hAnsi="Cambria"/>
          <w:sz w:val="20"/>
          <w:szCs w:val="20"/>
          <w:lang w:val="es-ES_tradnl"/>
        </w:rPr>
        <w:t>ññllll</w:t>
      </w:r>
      <w:proofErr w:type="spellEnd"/>
    </w:p>
    <w:p w:rsidR="00982DD0" w:rsidRPr="0035594E" w:rsidRDefault="00982DD0" w:rsidP="00982DD0">
      <w:pPr>
        <w:pStyle w:val="Heading1"/>
        <w:ind w:firstLine="0"/>
        <w:jc w:val="both"/>
      </w:pPr>
      <w:bookmarkStart w:id="35" w:name="_Toc529792405"/>
      <w:r w:rsidRPr="0035594E">
        <w:lastRenderedPageBreak/>
        <w:t>ACTUACIONES POSTERIORES AL INFORME No. 42/15</w:t>
      </w:r>
      <w:bookmarkEnd w:id="35"/>
    </w:p>
    <w:p w:rsidR="00982DD0" w:rsidRPr="0035594E" w:rsidRDefault="00982DD0" w:rsidP="00982DD0">
      <w:pPr>
        <w:pStyle w:val="Heading1"/>
        <w:numPr>
          <w:ilvl w:val="0"/>
          <w:numId w:val="0"/>
        </w:numPr>
        <w:ind w:left="1440"/>
        <w:jc w:val="both"/>
      </w:pPr>
    </w:p>
    <w:bookmarkEnd w:id="14"/>
    <w:p w:rsidR="00982DD0" w:rsidRPr="0035594E" w:rsidRDefault="00982DD0" w:rsidP="00982D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ES"/>
        </w:rPr>
      </w:pPr>
      <w:r w:rsidRPr="0035594E">
        <w:rPr>
          <w:rFonts w:ascii="Cambria" w:hAnsi="Cambria"/>
          <w:sz w:val="20"/>
          <w:szCs w:val="20"/>
          <w:lang w:val="es-ES"/>
        </w:rPr>
        <w:t>La</w:t>
      </w:r>
      <w:r w:rsidRPr="0035594E">
        <w:rPr>
          <w:rFonts w:ascii="Cambria" w:hAnsi="Cambria" w:cs="Verdana"/>
          <w:sz w:val="20"/>
          <w:szCs w:val="20"/>
          <w:lang w:val="es-ES" w:bidi="en-US"/>
        </w:rPr>
        <w:t xml:space="preserve"> Comisión adoptó el informe de admisibilidad y fondo No. 42</w:t>
      </w:r>
      <w:r w:rsidRPr="0035594E">
        <w:rPr>
          <w:rFonts w:ascii="Cambria" w:hAnsi="Cambria"/>
          <w:sz w:val="20"/>
          <w:szCs w:val="20"/>
          <w:lang w:val="es-VE"/>
        </w:rPr>
        <w:t>/</w:t>
      </w:r>
      <w:r w:rsidRPr="0035594E">
        <w:rPr>
          <w:rFonts w:ascii="Cambria" w:hAnsi="Cambria" w:cs="Verdana"/>
          <w:sz w:val="20"/>
          <w:szCs w:val="20"/>
          <w:lang w:val="es-ES" w:bidi="en-US"/>
        </w:rPr>
        <w:t xml:space="preserve">15 el 28 de julio de 2015 y lo transmitió al Estado el </w:t>
      </w:r>
      <w:r w:rsidR="002E62E7" w:rsidRPr="0035594E">
        <w:rPr>
          <w:rFonts w:ascii="Cambria" w:hAnsi="Cambria" w:cs="Verdana"/>
          <w:sz w:val="20"/>
          <w:szCs w:val="20"/>
          <w:lang w:val="es-ES" w:bidi="en-US"/>
        </w:rPr>
        <w:t>21 de septiembre del mismo año</w:t>
      </w:r>
      <w:r w:rsidRPr="0035594E">
        <w:rPr>
          <w:rFonts w:ascii="Cambria" w:hAnsi="Cambria" w:cs="Verdana"/>
          <w:sz w:val="20"/>
          <w:szCs w:val="20"/>
          <w:lang w:val="es-ES" w:bidi="en-US"/>
        </w:rPr>
        <w:t>. En dicho informe la Comisión recomendó:</w:t>
      </w:r>
    </w:p>
    <w:p w:rsidR="0029397F" w:rsidRPr="0035594E" w:rsidRDefault="0029397F" w:rsidP="00982DD0">
      <w:pPr>
        <w:pStyle w:val="BodyText3"/>
        <w:spacing w:after="0"/>
        <w:jc w:val="both"/>
        <w:rPr>
          <w:rFonts w:ascii="Cambria" w:hAnsi="Cambria" w:cs="Arial"/>
          <w:b/>
          <w:sz w:val="20"/>
          <w:szCs w:val="20"/>
          <w:lang w:val="es-ES_tradnl"/>
        </w:rPr>
      </w:pPr>
    </w:p>
    <w:p w:rsidR="00C52858" w:rsidRPr="0035594E" w:rsidRDefault="00C52858" w:rsidP="00982DD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num" w:pos="1440"/>
        </w:tabs>
        <w:suppressAutoHyphens/>
        <w:ind w:left="1440" w:right="720" w:hanging="720"/>
        <w:jc w:val="both"/>
        <w:rPr>
          <w:rFonts w:ascii="Cambria" w:hAnsi="Cambria" w:cs="BookAntiqua"/>
          <w:sz w:val="20"/>
          <w:szCs w:val="20"/>
          <w:lang w:val="es-ES_tradnl"/>
        </w:rPr>
      </w:pPr>
      <w:r w:rsidRPr="0035594E">
        <w:rPr>
          <w:rFonts w:ascii="Cambria" w:hAnsi="Cambria"/>
          <w:sz w:val="20"/>
          <w:szCs w:val="20"/>
          <w:lang w:val="es-ES_tradnl"/>
        </w:rPr>
        <w:t xml:space="preserve">Reparar </w:t>
      </w:r>
      <w:r w:rsidR="00A9022C" w:rsidRPr="0035594E">
        <w:rPr>
          <w:rFonts w:ascii="Cambria" w:hAnsi="Cambria"/>
          <w:sz w:val="20"/>
          <w:szCs w:val="20"/>
          <w:lang w:val="es-ES_tradnl"/>
        </w:rPr>
        <w:t xml:space="preserve">integralmente las </w:t>
      </w:r>
      <w:r w:rsidRPr="0035594E">
        <w:rPr>
          <w:rFonts w:ascii="Cambria" w:hAnsi="Cambria"/>
          <w:sz w:val="20"/>
          <w:szCs w:val="20"/>
          <w:lang w:val="es-ES_tradnl"/>
        </w:rPr>
        <w:t>violaciones de derechos humanos declaradas en el presente informe</w:t>
      </w:r>
      <w:r w:rsidR="00A9022C" w:rsidRPr="0035594E">
        <w:rPr>
          <w:rFonts w:ascii="Cambria" w:hAnsi="Cambria"/>
          <w:sz w:val="20"/>
          <w:szCs w:val="20"/>
          <w:lang w:val="es-ES_tradnl"/>
        </w:rPr>
        <w:t>, incluyendo tanto</w:t>
      </w:r>
      <w:r w:rsidRPr="0035594E">
        <w:rPr>
          <w:rFonts w:ascii="Cambria" w:hAnsi="Cambria"/>
          <w:sz w:val="20"/>
          <w:szCs w:val="20"/>
          <w:lang w:val="es-ES_tradnl"/>
        </w:rPr>
        <w:t xml:space="preserve"> el aspecto material como moral. </w:t>
      </w:r>
    </w:p>
    <w:p w:rsidR="00C52858" w:rsidRPr="0035594E" w:rsidRDefault="00C52858" w:rsidP="00982DD0">
      <w:pPr>
        <w:tabs>
          <w:tab w:val="num" w:pos="0"/>
        </w:tabs>
        <w:autoSpaceDE w:val="0"/>
        <w:autoSpaceDN w:val="0"/>
        <w:adjustRightInd w:val="0"/>
        <w:ind w:right="720" w:firstLine="720"/>
        <w:jc w:val="both"/>
        <w:rPr>
          <w:rFonts w:ascii="Cambria" w:hAnsi="Cambria" w:cs="BookAntiqua"/>
          <w:sz w:val="20"/>
          <w:szCs w:val="20"/>
          <w:lang w:val="es-ES_tradnl"/>
        </w:rPr>
      </w:pPr>
    </w:p>
    <w:p w:rsidR="00C52858" w:rsidRPr="0035594E" w:rsidRDefault="00C52858" w:rsidP="00982DD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num" w:pos="1440"/>
        </w:tabs>
        <w:suppressAutoHyphens/>
        <w:ind w:left="1440" w:right="720" w:hanging="720"/>
        <w:jc w:val="both"/>
        <w:rPr>
          <w:rFonts w:ascii="Cambria" w:hAnsi="Cambria" w:cs="BookAntiqua"/>
          <w:sz w:val="20"/>
          <w:szCs w:val="20"/>
          <w:lang w:val="es-ES_tradnl"/>
        </w:rPr>
      </w:pPr>
      <w:r w:rsidRPr="0035594E">
        <w:rPr>
          <w:rFonts w:ascii="Cambria" w:hAnsi="Cambria" w:cs="BookAntiqua"/>
          <w:sz w:val="20"/>
          <w:szCs w:val="20"/>
          <w:lang w:val="es-ES_tradnl"/>
        </w:rPr>
        <w:t xml:space="preserve">Disponer mecanismos de no repetición que incluyan: i) programas de capacitación sobre los estándares internacionales de derechos humanos en general, dirigidos a la Policía Nacional; ii) medidas para asegurar la efectiva rendición de cuentas en el fuero penal, disciplinario o administrativo, en casos de presunto abuso de poder por parte de agentes del Estado a cargo de la seguridad pública; y iii) medidas legislativas, administrativas y de otra índole para investigar con la debida diligencia y de conformidad con los estándares internacionales relevantes, la necesidad y proporcionalidad del uso letal de la fuerza por parte de funcionarios policiales, de manera que existan protocolos eficaces que permitan implementar mecanismos adecuados de control y rendición de cuentas frente al actuar de dichos funcionarios. </w:t>
      </w:r>
    </w:p>
    <w:p w:rsidR="0029397F" w:rsidRPr="0035594E" w:rsidRDefault="0029397F" w:rsidP="00C33C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BookAntiqua"/>
          <w:sz w:val="20"/>
          <w:szCs w:val="20"/>
          <w:lang w:val="es-ES_tradnl"/>
        </w:rPr>
      </w:pPr>
    </w:p>
    <w:p w:rsidR="002E62E7" w:rsidRPr="0035594E" w:rsidRDefault="002E62E7" w:rsidP="002E62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ES" w:bidi="en-US"/>
        </w:rPr>
      </w:pPr>
      <w:r w:rsidRPr="0035594E">
        <w:rPr>
          <w:rFonts w:ascii="Cambria" w:hAnsi="Cambria" w:cs="Verdana"/>
          <w:sz w:val="20"/>
          <w:szCs w:val="20"/>
          <w:lang w:val="es-ES" w:bidi="en-US"/>
        </w:rPr>
        <w:t>En el trámite seguido con posterioridad a la notificación del informe de admisibilidad y fondo, la Comisión recibió varios informes del Estado y escritos de la parte peticionaria sobre el cumplimiento de las recomendaciones establecidas por la CIDH. Durante este periodo la Comisión otorgó un total de diez prórrogas al Estado para la suspensión del plazo previsto en el artículo 51 de la Convención Americana. En dichas solicitudes de prórroga el Estado ecuatoriano</w:t>
      </w:r>
      <w:r w:rsidR="002536A1" w:rsidRPr="0035594E">
        <w:rPr>
          <w:rFonts w:ascii="Cambria" w:hAnsi="Cambria" w:cs="Verdana"/>
          <w:sz w:val="20"/>
          <w:szCs w:val="20"/>
          <w:lang w:val="es-ES" w:bidi="en-US"/>
        </w:rPr>
        <w:t xml:space="preserve"> reiteró su voluntad de c</w:t>
      </w:r>
      <w:r w:rsidR="00D060AD">
        <w:rPr>
          <w:rFonts w:ascii="Cambria" w:hAnsi="Cambria" w:cs="Verdana"/>
          <w:sz w:val="20"/>
          <w:szCs w:val="20"/>
          <w:lang w:val="es-ES" w:bidi="en-US"/>
        </w:rPr>
        <w:t xml:space="preserve">umplir con las recomendaciones. </w:t>
      </w:r>
      <w:r w:rsidR="002536A1" w:rsidRPr="0035594E">
        <w:rPr>
          <w:rFonts w:ascii="Cambria" w:hAnsi="Cambria" w:cs="Verdana"/>
          <w:sz w:val="20"/>
          <w:szCs w:val="20"/>
          <w:lang w:val="es-ES" w:bidi="en-US"/>
        </w:rPr>
        <w:t>Asimismo,</w:t>
      </w:r>
      <w:r w:rsidRPr="0035594E">
        <w:rPr>
          <w:rFonts w:ascii="Cambria" w:hAnsi="Cambria" w:cs="Verdana"/>
          <w:sz w:val="20"/>
          <w:szCs w:val="20"/>
          <w:lang w:val="es-ES" w:bidi="en-US"/>
        </w:rPr>
        <w:t xml:space="preserve"> renunció expresamente a interponer excepciones preliminares por incumplimiento del referido plazo en la eventualidad de que el caso fuera sometido a la Corte Interamericana.</w:t>
      </w:r>
    </w:p>
    <w:p w:rsidR="000C6739" w:rsidRPr="0035594E" w:rsidRDefault="000C6739" w:rsidP="00D060AD">
      <w:pPr>
        <w:pStyle w:val="ListParagraph"/>
        <w:ind w:left="0"/>
        <w:rPr>
          <w:rFonts w:cs="Verdana"/>
          <w:sz w:val="20"/>
          <w:szCs w:val="20"/>
          <w:lang w:val="es-ES" w:bidi="en-US"/>
        </w:rPr>
      </w:pPr>
    </w:p>
    <w:p w:rsidR="002E62E7" w:rsidRPr="00360085" w:rsidRDefault="002E62E7" w:rsidP="002E62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ES" w:bidi="en-US"/>
        </w:rPr>
      </w:pPr>
      <w:r w:rsidRPr="00360085">
        <w:rPr>
          <w:rFonts w:ascii="Cambria" w:hAnsi="Cambria" w:cs="Verdana"/>
          <w:sz w:val="20"/>
          <w:szCs w:val="20"/>
          <w:lang w:val="es-ES" w:bidi="en-US"/>
        </w:rPr>
        <w:t xml:space="preserve">Tras evaluar la información disponible sobre el estado de cumplimiento de las recomendaciones, la Comisión decidió el 21 de febrero de 2018 por mayoría absoluta no enviar el caso a la Corte Interamericana y proceder hacia la publicación del informe de admisibilidad y fondo. </w:t>
      </w:r>
    </w:p>
    <w:p w:rsidR="002E62E7" w:rsidRPr="00360085" w:rsidRDefault="002E62E7" w:rsidP="002E62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BookAntiqua"/>
          <w:sz w:val="20"/>
          <w:szCs w:val="20"/>
          <w:lang w:val="es-ES_tradnl"/>
        </w:rPr>
      </w:pPr>
    </w:p>
    <w:p w:rsidR="00E935B6" w:rsidRPr="00360085" w:rsidRDefault="00E935B6" w:rsidP="00E935B6">
      <w:pPr>
        <w:pStyle w:val="Heading1"/>
        <w:ind w:firstLine="0"/>
        <w:jc w:val="both"/>
      </w:pPr>
      <w:bookmarkStart w:id="36" w:name="_Toc529792406"/>
      <w:bookmarkStart w:id="37" w:name="_Toc433385290"/>
      <w:bookmarkStart w:id="38" w:name="_Toc433804573"/>
      <w:bookmarkStart w:id="39" w:name="_Toc467143215"/>
      <w:r w:rsidRPr="00360085">
        <w:t>ACTUACIONES POSTERIORES AL INFORME No. 69/18</w:t>
      </w:r>
      <w:bookmarkEnd w:id="36"/>
    </w:p>
    <w:p w:rsidR="00E935B6" w:rsidRPr="00360085" w:rsidRDefault="00E935B6" w:rsidP="00E935B6">
      <w:pPr>
        <w:pStyle w:val="Heading1"/>
        <w:numPr>
          <w:ilvl w:val="0"/>
          <w:numId w:val="0"/>
        </w:numPr>
        <w:ind w:left="1440"/>
        <w:jc w:val="both"/>
      </w:pPr>
    </w:p>
    <w:p w:rsidR="00E935B6" w:rsidRPr="00360085" w:rsidRDefault="00E935B6" w:rsidP="00FE66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pacing w:val="-3"/>
          <w:sz w:val="20"/>
          <w:szCs w:val="20"/>
          <w:lang w:val="es-ES"/>
        </w:rPr>
      </w:pPr>
      <w:r w:rsidRPr="00360085">
        <w:rPr>
          <w:rFonts w:ascii="Cambria" w:hAnsi="Cambria"/>
          <w:sz w:val="20"/>
          <w:szCs w:val="20"/>
          <w:lang w:val="es-ES"/>
        </w:rPr>
        <w:t>La Comisión aprobó el informe No. 69/18 el 10 de mayo de 2018</w:t>
      </w:r>
      <w:r w:rsidR="00FE6693" w:rsidRPr="00360085">
        <w:rPr>
          <w:rFonts w:ascii="Cambria" w:hAnsi="Cambria"/>
          <w:sz w:val="20"/>
          <w:szCs w:val="20"/>
          <w:lang w:val="es-ES"/>
        </w:rPr>
        <w:t xml:space="preserve">. </w:t>
      </w:r>
      <w:r w:rsidR="00FE6693" w:rsidRPr="00360085">
        <w:rPr>
          <w:rFonts w:ascii="Cambria" w:hAnsi="Cambria"/>
          <w:spacing w:val="-3"/>
          <w:sz w:val="20"/>
          <w:szCs w:val="20"/>
          <w:lang w:val="es-ES"/>
        </w:rPr>
        <w:t>En dicho inform</w:t>
      </w:r>
      <w:r w:rsidR="00741530" w:rsidRPr="00360085">
        <w:rPr>
          <w:rFonts w:ascii="Cambria" w:hAnsi="Cambria"/>
          <w:spacing w:val="-3"/>
          <w:sz w:val="20"/>
          <w:szCs w:val="20"/>
          <w:lang w:val="es-ES"/>
        </w:rPr>
        <w:t>e</w:t>
      </w:r>
      <w:r w:rsidR="00FE6693" w:rsidRPr="00360085">
        <w:rPr>
          <w:rFonts w:ascii="Cambria" w:hAnsi="Cambria"/>
          <w:spacing w:val="-3"/>
          <w:sz w:val="20"/>
          <w:szCs w:val="20"/>
          <w:lang w:val="es-ES"/>
        </w:rPr>
        <w:t xml:space="preserve"> la Comisión consideró que el Estado dio cumplimiento total a la primera recomendación. Ello en tanto </w:t>
      </w:r>
      <w:r w:rsidR="00FE6693" w:rsidRPr="00360085">
        <w:rPr>
          <w:rFonts w:ascii="Cambria" w:hAnsi="Cambria" w:cs="Verdana"/>
          <w:sz w:val="20"/>
          <w:szCs w:val="20"/>
          <w:lang w:val="es-ES" w:bidi="en-US"/>
        </w:rPr>
        <w:t xml:space="preserve">el Estado informó que se realizó una propuesta de indemnización, la cual fue aceptada por la parte peticionaria. Ecuador agregó que el monto de la indemnización se hizo efectivo en febrero de 2018 y la parte peticionaria confirmó dicha información. En vista de ello, en su informe </w:t>
      </w:r>
      <w:r w:rsidR="00FE6693" w:rsidRPr="00360085">
        <w:rPr>
          <w:rFonts w:ascii="Cambria" w:hAnsi="Cambria"/>
          <w:spacing w:val="-3"/>
          <w:sz w:val="20"/>
          <w:szCs w:val="20"/>
          <w:lang w:val="es-ES"/>
        </w:rPr>
        <w:t xml:space="preserve">la CIDH </w:t>
      </w:r>
      <w:r w:rsidRPr="00360085">
        <w:rPr>
          <w:rFonts w:ascii="Cambria" w:hAnsi="Cambria"/>
          <w:sz w:val="20"/>
          <w:szCs w:val="20"/>
          <w:lang w:val="es-ES"/>
        </w:rPr>
        <w:t>reiter</w:t>
      </w:r>
      <w:r w:rsidR="00FE6693" w:rsidRPr="00360085">
        <w:rPr>
          <w:rFonts w:ascii="Cambria" w:hAnsi="Cambria"/>
          <w:sz w:val="20"/>
          <w:szCs w:val="20"/>
          <w:lang w:val="es-ES"/>
        </w:rPr>
        <w:t>ó</w:t>
      </w:r>
      <w:r w:rsidRPr="00360085">
        <w:rPr>
          <w:rFonts w:ascii="Cambria" w:hAnsi="Cambria"/>
          <w:sz w:val="20"/>
          <w:szCs w:val="20"/>
          <w:lang w:val="es-ES"/>
        </w:rPr>
        <w:t xml:space="preserve"> una recomendaci</w:t>
      </w:r>
      <w:r w:rsidR="00FE6693" w:rsidRPr="00360085">
        <w:rPr>
          <w:rFonts w:ascii="Cambria" w:hAnsi="Cambria"/>
          <w:sz w:val="20"/>
          <w:szCs w:val="20"/>
          <w:lang w:val="es-ES"/>
        </w:rPr>
        <w:t xml:space="preserve">ón </w:t>
      </w:r>
      <w:r w:rsidRPr="00360085">
        <w:rPr>
          <w:rFonts w:ascii="Cambria" w:hAnsi="Cambria"/>
          <w:sz w:val="20"/>
          <w:szCs w:val="20"/>
          <w:lang w:val="es-ES"/>
        </w:rPr>
        <w:t>contenida en el informe No. 42/15:</w:t>
      </w:r>
    </w:p>
    <w:p w:rsidR="00E935B6" w:rsidRPr="00360085" w:rsidRDefault="00E935B6" w:rsidP="00E935B6">
      <w:pPr>
        <w:tabs>
          <w:tab w:val="num" w:pos="0"/>
        </w:tabs>
        <w:autoSpaceDE w:val="0"/>
        <w:autoSpaceDN w:val="0"/>
        <w:adjustRightInd w:val="0"/>
        <w:ind w:right="720"/>
        <w:jc w:val="both"/>
        <w:rPr>
          <w:rFonts w:ascii="Cambria" w:hAnsi="Cambria" w:cs="BookAntiqua"/>
          <w:sz w:val="20"/>
          <w:szCs w:val="20"/>
          <w:lang w:val="es-ES_tradnl"/>
        </w:rPr>
      </w:pPr>
    </w:p>
    <w:p w:rsidR="00E935B6" w:rsidRPr="00360085" w:rsidRDefault="00E935B6" w:rsidP="00E935B6">
      <w:pPr>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0"/>
          <w:tab w:val="num" w:pos="1440"/>
        </w:tabs>
        <w:suppressAutoHyphens/>
        <w:ind w:left="1440" w:right="720" w:hanging="720"/>
        <w:jc w:val="both"/>
        <w:rPr>
          <w:rFonts w:ascii="Cambria" w:hAnsi="Cambria" w:cs="BookAntiqua"/>
          <w:sz w:val="20"/>
          <w:szCs w:val="20"/>
          <w:lang w:val="es-ES_tradnl"/>
        </w:rPr>
      </w:pPr>
      <w:r w:rsidRPr="00360085">
        <w:rPr>
          <w:rFonts w:ascii="Cambria" w:hAnsi="Cambria" w:cs="BookAntiqua"/>
          <w:sz w:val="20"/>
          <w:szCs w:val="20"/>
          <w:lang w:val="es-ES_tradnl"/>
        </w:rPr>
        <w:t xml:space="preserve">Disponer mecanismos de no repetición que incluyan: i) programas de capacitación sobre los estándares internacionales de derechos humanos en general, dirigidos a la Policía Nacional; ii) medidas para asegurar la efectiva rendición de cuentas en el fuero penal, disciplinario o administrativo, en casos de presunto abuso de poder por parte de agentes del Estado a cargo de la seguridad pública; y iii) medidas legislativas, administrativas y de otra índole para investigar con la debida diligencia y de conformidad con los estándares internacionales relevantes, la necesidad y proporcionalidad del uso letal de la fuerza por parte de funcionarios policiales, de manera que existan protocolos eficaces que permitan implementar mecanismos adecuados de control y rendición de cuentas frente al actuar de dichos funcionarios. </w:t>
      </w:r>
    </w:p>
    <w:p w:rsidR="00E935B6" w:rsidRPr="00360085" w:rsidRDefault="00E935B6" w:rsidP="00E935B6">
      <w:pPr>
        <w:rPr>
          <w:lang w:val="es-ES_tradnl"/>
        </w:rPr>
      </w:pPr>
    </w:p>
    <w:p w:rsidR="00E935B6" w:rsidRPr="00360085" w:rsidRDefault="00E935B6" w:rsidP="00E935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lang w:val="es-ES"/>
        </w:rPr>
      </w:pPr>
      <w:r w:rsidRPr="00360085">
        <w:rPr>
          <w:rFonts w:ascii="Cambria" w:hAnsi="Cambria"/>
          <w:sz w:val="20"/>
          <w:szCs w:val="20"/>
          <w:lang w:val="es-AR"/>
        </w:rPr>
        <w:t>Dicho informe fue notificado a las partes el 21 de agosto de 2018 y, con base en el artículo 51 de la Convención Americana, la CIDH les otorgó un plazo de un mes para presentar informació</w:t>
      </w:r>
      <w:r w:rsidR="00FE6693" w:rsidRPr="00360085">
        <w:rPr>
          <w:rFonts w:ascii="Cambria" w:hAnsi="Cambria"/>
          <w:sz w:val="20"/>
          <w:szCs w:val="20"/>
          <w:lang w:val="es-AR"/>
        </w:rPr>
        <w:t>n acerca del cumplimiento de la</w:t>
      </w:r>
      <w:r w:rsidRPr="00360085">
        <w:rPr>
          <w:rFonts w:ascii="Cambria" w:hAnsi="Cambria"/>
          <w:sz w:val="20"/>
          <w:szCs w:val="20"/>
          <w:lang w:val="es-AR"/>
        </w:rPr>
        <w:t xml:space="preserve"> recomendaci</w:t>
      </w:r>
      <w:r w:rsidR="00FE6693" w:rsidRPr="00360085">
        <w:rPr>
          <w:rFonts w:ascii="Cambria" w:hAnsi="Cambria"/>
          <w:sz w:val="20"/>
          <w:szCs w:val="20"/>
          <w:lang w:val="es-AR"/>
        </w:rPr>
        <w:t>ón final</w:t>
      </w:r>
      <w:r w:rsidRPr="00360085">
        <w:rPr>
          <w:rFonts w:ascii="Cambria" w:hAnsi="Cambria"/>
          <w:sz w:val="20"/>
          <w:szCs w:val="20"/>
          <w:lang w:val="es-AR"/>
        </w:rPr>
        <w:t xml:space="preserve"> contenidas en el mismo. La Comisión nota que las partes no presentaron información con posterioridad a la emisión del informe No. </w:t>
      </w:r>
      <w:r w:rsidR="00D060AD" w:rsidRPr="00360085">
        <w:rPr>
          <w:rFonts w:ascii="Cambria" w:hAnsi="Cambria"/>
          <w:sz w:val="20"/>
          <w:szCs w:val="20"/>
          <w:lang w:val="es-AR"/>
        </w:rPr>
        <w:t>69/18</w:t>
      </w:r>
      <w:r w:rsidRPr="00360085">
        <w:rPr>
          <w:rFonts w:ascii="Cambria" w:hAnsi="Cambria"/>
          <w:sz w:val="20"/>
          <w:szCs w:val="20"/>
          <w:lang w:val="es-AR"/>
        </w:rPr>
        <w:t xml:space="preserve">. </w:t>
      </w:r>
      <w:r w:rsidRPr="00360085">
        <w:rPr>
          <w:rFonts w:ascii="Cambria" w:hAnsi="Cambria" w:cs="Verdana"/>
          <w:sz w:val="20"/>
          <w:szCs w:val="20"/>
          <w:lang w:val="es-ES" w:bidi="en-US"/>
        </w:rPr>
        <w:t xml:space="preserve">En la sección que se incluye a </w:t>
      </w:r>
      <w:r w:rsidRPr="00360085">
        <w:rPr>
          <w:rFonts w:ascii="Cambria" w:hAnsi="Cambria" w:cs="Verdana"/>
          <w:sz w:val="20"/>
          <w:szCs w:val="20"/>
          <w:lang w:val="es-ES" w:bidi="en-US"/>
        </w:rPr>
        <w:lastRenderedPageBreak/>
        <w:t>continuación, la Comisión reitera sus determinaciones efectuadas anteriormente sobre el cumplimiento de sus recomendaciones.</w:t>
      </w:r>
    </w:p>
    <w:p w:rsidR="00E935B6" w:rsidRPr="00360085" w:rsidRDefault="00E935B6" w:rsidP="00E935B6">
      <w:pPr>
        <w:rPr>
          <w:lang w:val="es-ES_tradnl"/>
        </w:rPr>
      </w:pPr>
    </w:p>
    <w:p w:rsidR="00982DD0" w:rsidRPr="00360085" w:rsidRDefault="00982DD0" w:rsidP="00982DD0">
      <w:pPr>
        <w:pStyle w:val="Heading1"/>
        <w:ind w:left="1440" w:hanging="720"/>
        <w:jc w:val="both"/>
      </w:pPr>
      <w:bookmarkStart w:id="40" w:name="_Toc529792407"/>
      <w:r w:rsidRPr="00360085">
        <w:t>ANÁLISIS DEL CUMPLIMIENTO DE RECOMENDACIONES</w:t>
      </w:r>
      <w:bookmarkEnd w:id="37"/>
      <w:bookmarkEnd w:id="38"/>
      <w:bookmarkEnd w:id="39"/>
      <w:bookmarkEnd w:id="40"/>
      <w:r w:rsidRPr="00360085">
        <w:t xml:space="preserve"> </w:t>
      </w:r>
    </w:p>
    <w:p w:rsidR="00982DD0" w:rsidRPr="00360085" w:rsidRDefault="00982DD0" w:rsidP="00982DD0">
      <w:pPr>
        <w:rPr>
          <w:lang w:val="es-ES_tradnl"/>
        </w:rPr>
      </w:pPr>
    </w:p>
    <w:p w:rsidR="00645C3D" w:rsidRPr="00360085" w:rsidRDefault="00645C3D" w:rsidP="00645C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pacing w:val="-3"/>
          <w:sz w:val="20"/>
          <w:szCs w:val="20"/>
          <w:lang w:val="es-ES"/>
        </w:rPr>
      </w:pPr>
      <w:r w:rsidRPr="00360085">
        <w:rPr>
          <w:rFonts w:ascii="Cambria" w:hAnsi="Cambria"/>
          <w:spacing w:val="-3"/>
          <w:sz w:val="20"/>
          <w:szCs w:val="20"/>
          <w:lang w:val="es-ES"/>
        </w:rPr>
        <w:t xml:space="preserve">La CIDH toma nota de que el 15 de noviembre de 2017 las partes firmaron un “Acuerdo de Cumplimiento Total” del informe de admisibilidad y fondo No.  42/15. </w:t>
      </w:r>
    </w:p>
    <w:p w:rsidR="00645C3D" w:rsidRPr="00360085" w:rsidRDefault="00645C3D" w:rsidP="00FE66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pacing w:val="-3"/>
          <w:sz w:val="20"/>
          <w:szCs w:val="20"/>
          <w:lang w:val="es-ES"/>
        </w:rPr>
      </w:pPr>
    </w:p>
    <w:p w:rsidR="00974742" w:rsidRPr="00360085" w:rsidRDefault="00687DB3" w:rsidP="009747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360085">
        <w:rPr>
          <w:rFonts w:ascii="Cambria" w:hAnsi="Cambria"/>
          <w:spacing w:val="-3"/>
          <w:sz w:val="20"/>
          <w:szCs w:val="20"/>
          <w:lang w:val="es-ES"/>
        </w:rPr>
        <w:t>Respecto de</w:t>
      </w:r>
      <w:r w:rsidR="00AA0074" w:rsidRPr="00360085">
        <w:rPr>
          <w:rFonts w:ascii="Cambria" w:hAnsi="Cambria"/>
          <w:spacing w:val="-3"/>
          <w:sz w:val="20"/>
          <w:szCs w:val="20"/>
          <w:lang w:val="es-ES"/>
        </w:rPr>
        <w:t xml:space="preserve"> la segunda recomendación, </w:t>
      </w:r>
      <w:r w:rsidRPr="00360085">
        <w:rPr>
          <w:rFonts w:ascii="Cambria" w:hAnsi="Cambria"/>
          <w:spacing w:val="-3"/>
          <w:sz w:val="20"/>
          <w:szCs w:val="20"/>
          <w:lang w:val="es-ES"/>
        </w:rPr>
        <w:t>el Estado indicó</w:t>
      </w:r>
      <w:r w:rsidR="00645C3D" w:rsidRPr="00360085">
        <w:rPr>
          <w:rFonts w:ascii="Cambria" w:hAnsi="Cambria"/>
          <w:spacing w:val="-3"/>
          <w:sz w:val="20"/>
          <w:szCs w:val="20"/>
          <w:lang w:val="es-ES"/>
        </w:rPr>
        <w:t xml:space="preserve"> que </w:t>
      </w:r>
      <w:r w:rsidR="006404AD" w:rsidRPr="00360085">
        <w:rPr>
          <w:rFonts w:ascii="Cambria" w:hAnsi="Cambria"/>
          <w:spacing w:val="-3"/>
          <w:sz w:val="20"/>
          <w:szCs w:val="20"/>
          <w:lang w:val="es-ES"/>
        </w:rPr>
        <w:t xml:space="preserve">en los cursos </w:t>
      </w:r>
      <w:r w:rsidR="009433FB" w:rsidRPr="00360085">
        <w:rPr>
          <w:rFonts w:ascii="Cambria" w:hAnsi="Cambria"/>
          <w:sz w:val="20"/>
          <w:szCs w:val="20"/>
          <w:lang w:val="es-CO"/>
        </w:rPr>
        <w:t xml:space="preserve">“Estándares internacionales de derechos humanos” y “Código de ética policial” del programa de capacitación integral continua de la Policía Nacional </w:t>
      </w:r>
      <w:r w:rsidR="00483BC8" w:rsidRPr="00360085">
        <w:rPr>
          <w:rFonts w:ascii="Cambria" w:hAnsi="Cambria"/>
          <w:sz w:val="20"/>
          <w:szCs w:val="20"/>
          <w:lang w:val="es-CO"/>
        </w:rPr>
        <w:t>se in</w:t>
      </w:r>
      <w:r w:rsidR="002536A1" w:rsidRPr="00360085">
        <w:rPr>
          <w:rFonts w:ascii="Cambria" w:hAnsi="Cambria"/>
          <w:sz w:val="20"/>
          <w:szCs w:val="20"/>
          <w:lang w:val="es-CO"/>
        </w:rPr>
        <w:t>cluyó el estudio del informe de</w:t>
      </w:r>
      <w:r w:rsidR="00483BC8" w:rsidRPr="00360085">
        <w:rPr>
          <w:rFonts w:ascii="Cambria" w:hAnsi="Cambria"/>
          <w:spacing w:val="-3"/>
          <w:sz w:val="20"/>
          <w:szCs w:val="20"/>
          <w:lang w:val="es-ES"/>
        </w:rPr>
        <w:t xml:space="preserve"> admisibilidad y fondo No.  42/15. Agregó que el Reglamento de uso legal, adecuado y proporcional de la fuerza para la Policía Nacional, y el Reglamento </w:t>
      </w:r>
      <w:r w:rsidR="00974742" w:rsidRPr="00360085">
        <w:rPr>
          <w:rFonts w:ascii="Cambria" w:hAnsi="Cambria"/>
          <w:spacing w:val="-3"/>
          <w:sz w:val="20"/>
          <w:szCs w:val="20"/>
          <w:lang w:val="es-ES"/>
        </w:rPr>
        <w:t>d</w:t>
      </w:r>
      <w:r w:rsidR="00483BC8" w:rsidRPr="00360085">
        <w:rPr>
          <w:rFonts w:ascii="Cambria" w:hAnsi="Cambria"/>
          <w:spacing w:val="-3"/>
          <w:sz w:val="20"/>
          <w:szCs w:val="20"/>
          <w:lang w:val="es-ES"/>
        </w:rPr>
        <w:t xml:space="preserve">isciplinario de la Policía Nacional </w:t>
      </w:r>
      <w:r w:rsidR="007C23EA" w:rsidRPr="00360085">
        <w:rPr>
          <w:rFonts w:ascii="Cambria" w:hAnsi="Cambria"/>
          <w:spacing w:val="-3"/>
          <w:sz w:val="20"/>
          <w:szCs w:val="20"/>
          <w:lang w:val="es-ES"/>
        </w:rPr>
        <w:t xml:space="preserve">cumplen con la recomendación de la CIDH. </w:t>
      </w:r>
      <w:r w:rsidR="00974742" w:rsidRPr="00360085">
        <w:rPr>
          <w:rFonts w:ascii="Cambria" w:hAnsi="Cambria"/>
          <w:sz w:val="20"/>
          <w:szCs w:val="20"/>
          <w:lang w:val="es-CO"/>
        </w:rPr>
        <w:t>Por su parte, la parte peticionaria sostuvo que “la familia de Jorge Darwin está de acuerdo con las acciones que se encuentra desarrollando el Estado a fin de dar estricto cumplimiento” a esta recomendación.</w:t>
      </w:r>
    </w:p>
    <w:p w:rsidR="00974742" w:rsidRPr="00360085" w:rsidRDefault="00974742" w:rsidP="00483BC8">
      <w:pPr>
        <w:pStyle w:val="ListParagraph"/>
        <w:ind w:left="0"/>
        <w:rPr>
          <w:sz w:val="20"/>
          <w:szCs w:val="20"/>
          <w:lang w:val="es-CO"/>
        </w:rPr>
      </w:pPr>
    </w:p>
    <w:p w:rsidR="00974742" w:rsidRPr="00360085" w:rsidRDefault="006364D7" w:rsidP="007C23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ES"/>
        </w:rPr>
      </w:pPr>
      <w:r w:rsidRPr="00360085">
        <w:rPr>
          <w:rFonts w:ascii="Cambria" w:hAnsi="Cambria"/>
          <w:sz w:val="20"/>
          <w:szCs w:val="20"/>
          <w:lang w:val="es-CO"/>
        </w:rPr>
        <w:t>Al respecto, la Comisión valora las medidas implementadas por el Estado ecuatoriano</w:t>
      </w:r>
      <w:r w:rsidR="00974742" w:rsidRPr="00360085">
        <w:rPr>
          <w:rFonts w:ascii="Cambria" w:hAnsi="Cambria"/>
          <w:sz w:val="20"/>
          <w:szCs w:val="20"/>
          <w:lang w:val="es-CO"/>
        </w:rPr>
        <w:t xml:space="preserve">, en particular sobre la inclusión de los estándares del informe de </w:t>
      </w:r>
      <w:r w:rsidR="00974742" w:rsidRPr="00360085">
        <w:rPr>
          <w:rFonts w:ascii="Cambria" w:hAnsi="Cambria"/>
          <w:spacing w:val="-3"/>
          <w:sz w:val="20"/>
          <w:szCs w:val="20"/>
          <w:lang w:val="es-ES"/>
        </w:rPr>
        <w:t>de admisibilidad y fondo No.  42/15 en los cursos de capacitación permanente a miembros de la Policía Nacional</w:t>
      </w:r>
      <w:r w:rsidRPr="00360085">
        <w:rPr>
          <w:rFonts w:ascii="Cambria" w:hAnsi="Cambria"/>
          <w:sz w:val="20"/>
          <w:szCs w:val="20"/>
          <w:lang w:val="es-CO"/>
        </w:rPr>
        <w:t>.</w:t>
      </w:r>
      <w:r w:rsidR="00974742" w:rsidRPr="00360085">
        <w:rPr>
          <w:rFonts w:ascii="Cambria" w:hAnsi="Cambria"/>
          <w:sz w:val="20"/>
          <w:szCs w:val="20"/>
          <w:lang w:val="es-CO"/>
        </w:rPr>
        <w:t xml:space="preserve"> </w:t>
      </w:r>
      <w:r w:rsidR="009227AA" w:rsidRPr="00360085">
        <w:rPr>
          <w:rFonts w:ascii="Cambria" w:hAnsi="Cambria"/>
          <w:sz w:val="20"/>
          <w:szCs w:val="20"/>
          <w:lang w:val="es-CO"/>
        </w:rPr>
        <w:t xml:space="preserve">La Comisión espera recibir información más detallada sobre el impacto de las medidas de no repetición implementadas por el Estado ecuatoriano, </w:t>
      </w:r>
      <w:r w:rsidR="00B5103D" w:rsidRPr="00360085">
        <w:rPr>
          <w:rFonts w:ascii="Cambria" w:hAnsi="Cambria"/>
          <w:sz w:val="20"/>
          <w:szCs w:val="20"/>
          <w:lang w:val="es-CO"/>
        </w:rPr>
        <w:t xml:space="preserve">en relación con cada uno de los extremos de </w:t>
      </w:r>
      <w:r w:rsidR="00FE6693" w:rsidRPr="00360085">
        <w:rPr>
          <w:rFonts w:ascii="Cambria" w:hAnsi="Cambria"/>
          <w:sz w:val="20"/>
          <w:szCs w:val="20"/>
          <w:lang w:val="es-CO"/>
        </w:rPr>
        <w:t>esta</w:t>
      </w:r>
      <w:r w:rsidR="00B5103D" w:rsidRPr="00360085">
        <w:rPr>
          <w:rFonts w:ascii="Cambria" w:hAnsi="Cambria"/>
          <w:sz w:val="20"/>
          <w:szCs w:val="20"/>
          <w:lang w:val="es-CO"/>
        </w:rPr>
        <w:t xml:space="preserve"> recomendaci</w:t>
      </w:r>
      <w:r w:rsidR="00620BB7" w:rsidRPr="00360085">
        <w:rPr>
          <w:rFonts w:ascii="Cambria" w:hAnsi="Cambria"/>
          <w:sz w:val="20"/>
          <w:szCs w:val="20"/>
          <w:lang w:val="es-CO"/>
        </w:rPr>
        <w:t xml:space="preserve">ón. </w:t>
      </w:r>
    </w:p>
    <w:p w:rsidR="006364D7" w:rsidRPr="00360085" w:rsidRDefault="006364D7" w:rsidP="00982DD0">
      <w:pPr>
        <w:rPr>
          <w:lang w:val="es-ES"/>
        </w:rPr>
      </w:pPr>
    </w:p>
    <w:p w:rsidR="00982DD0" w:rsidRPr="00360085" w:rsidRDefault="00982DD0" w:rsidP="00982DD0">
      <w:pPr>
        <w:pStyle w:val="Heading1"/>
        <w:ind w:left="1440" w:hanging="720"/>
        <w:jc w:val="both"/>
      </w:pPr>
      <w:bookmarkStart w:id="41" w:name="_Toc529792408"/>
      <w:r w:rsidRPr="00360085">
        <w:t>CONCLUSIONES FINALES Y RECOMENDACIONES</w:t>
      </w:r>
      <w:bookmarkEnd w:id="41"/>
      <w:r w:rsidRPr="00360085">
        <w:t xml:space="preserve"> </w:t>
      </w:r>
    </w:p>
    <w:p w:rsidR="00982DD0" w:rsidRPr="00360085" w:rsidRDefault="00982DD0" w:rsidP="00982DD0">
      <w:pPr>
        <w:rPr>
          <w:lang w:val="es-ES_tradnl"/>
        </w:rPr>
      </w:pPr>
    </w:p>
    <w:p w:rsidR="00D060AD" w:rsidRPr="00360085" w:rsidRDefault="00687DB3" w:rsidP="00D060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ES" w:bidi="en-US"/>
        </w:rPr>
      </w:pPr>
      <w:r w:rsidRPr="00360085">
        <w:rPr>
          <w:rFonts w:ascii="Cambria" w:hAnsi="Cambria"/>
          <w:sz w:val="20"/>
          <w:szCs w:val="20"/>
          <w:lang w:val="es-ES"/>
        </w:rPr>
        <w:t xml:space="preserve">De acuerdo a las consideraciones de hecho y de derecho expuestas a lo largo del presente informe, la Comisión concluye que la República del Ecuador es responsable por la violación de los siguientes derechos: </w:t>
      </w:r>
    </w:p>
    <w:p w:rsidR="00982DD0" w:rsidRPr="00360085" w:rsidRDefault="00982DD0" w:rsidP="00C33C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BookAntiqua"/>
          <w:sz w:val="20"/>
          <w:szCs w:val="20"/>
          <w:lang w:val="es-ES"/>
        </w:rPr>
      </w:pPr>
    </w:p>
    <w:p w:rsidR="00687DB3" w:rsidRPr="00360085" w:rsidRDefault="00687DB3" w:rsidP="00687DB3">
      <w:pPr>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num" w:pos="1440"/>
        </w:tabs>
        <w:suppressAutoHyphens/>
        <w:ind w:left="1440" w:right="630" w:hanging="720"/>
        <w:jc w:val="both"/>
        <w:rPr>
          <w:rFonts w:ascii="Cambria" w:hAnsi="Cambria" w:cs="BookAntiqua"/>
          <w:sz w:val="20"/>
          <w:szCs w:val="20"/>
          <w:lang w:val="es-ES"/>
        </w:rPr>
      </w:pPr>
      <w:r w:rsidRPr="00360085">
        <w:rPr>
          <w:rFonts w:ascii="Cambria" w:hAnsi="Cambria"/>
          <w:sz w:val="20"/>
          <w:szCs w:val="20"/>
          <w:lang w:val="es-ES"/>
        </w:rPr>
        <w:t>Derechos a la vida e integridad personal, consagrados en los artículos 4.1 y 5.1 de la Convención Americana en relación con el artículo 1.1 del mismo instrumento, en perjuicio de Jorge Darwin García.</w:t>
      </w:r>
    </w:p>
    <w:p w:rsidR="00687DB3" w:rsidRPr="00360085" w:rsidRDefault="00687DB3" w:rsidP="00687DB3">
      <w:pPr>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num" w:pos="1440"/>
        </w:tabs>
        <w:suppressAutoHyphens/>
        <w:ind w:left="1440" w:right="630" w:hanging="720"/>
        <w:jc w:val="both"/>
        <w:rPr>
          <w:rFonts w:ascii="Cambria" w:hAnsi="Cambria" w:cs="BookAntiqua"/>
          <w:sz w:val="20"/>
          <w:szCs w:val="20"/>
          <w:lang w:val="es-ES"/>
        </w:rPr>
      </w:pPr>
      <w:r w:rsidRPr="00360085">
        <w:rPr>
          <w:rFonts w:ascii="Cambria" w:hAnsi="Cambria" w:cs="BookAntiqua"/>
          <w:sz w:val="20"/>
          <w:szCs w:val="20"/>
          <w:lang w:val="es-ES"/>
        </w:rPr>
        <w:t xml:space="preserve">Derecho a la integridad personal, </w:t>
      </w:r>
      <w:r w:rsidRPr="00360085">
        <w:rPr>
          <w:rFonts w:ascii="Cambria" w:hAnsi="Cambria"/>
          <w:sz w:val="20"/>
          <w:szCs w:val="20"/>
          <w:lang w:val="es-ES"/>
        </w:rPr>
        <w:t xml:space="preserve">consagrado en el artículo 5.1 de la Convención Americana en relación con el artículo 1.1 del mismo instrumento, en perjuicio de </w:t>
      </w:r>
      <w:r w:rsidRPr="00360085">
        <w:rPr>
          <w:rFonts w:ascii="Cambria" w:hAnsi="Cambria"/>
          <w:spacing w:val="-2"/>
          <w:sz w:val="20"/>
          <w:szCs w:val="20"/>
          <w:lang w:val="es-CR"/>
        </w:rPr>
        <w:t>Franklin Plutarco García</w:t>
      </w:r>
      <w:r w:rsidRPr="00360085">
        <w:rPr>
          <w:rFonts w:ascii="Cambria" w:hAnsi="Cambria"/>
          <w:sz w:val="20"/>
          <w:szCs w:val="20"/>
          <w:lang w:val="es-ES"/>
        </w:rPr>
        <w:t>.</w:t>
      </w:r>
    </w:p>
    <w:p w:rsidR="00687DB3" w:rsidRPr="00360085" w:rsidRDefault="00687DB3" w:rsidP="00687DB3">
      <w:pPr>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num" w:pos="1440"/>
        </w:tabs>
        <w:suppressAutoHyphens/>
        <w:ind w:left="1440" w:right="630" w:hanging="720"/>
        <w:jc w:val="both"/>
        <w:rPr>
          <w:rFonts w:ascii="Cambria" w:hAnsi="Cambria" w:cs="BookAntiqua"/>
          <w:sz w:val="20"/>
          <w:szCs w:val="20"/>
          <w:lang w:val="es-ES"/>
        </w:rPr>
      </w:pPr>
      <w:r w:rsidRPr="00360085">
        <w:rPr>
          <w:rFonts w:ascii="Cambria" w:hAnsi="Cambria"/>
          <w:sz w:val="20"/>
          <w:szCs w:val="20"/>
          <w:lang w:val="es-ES"/>
        </w:rPr>
        <w:t xml:space="preserve">Derechos a las garantías judiciales y protección judicial, consagrados en los artículos 8.1 y 25.1 de la Convención Americana en relación con los artículo 1.1 y 2 del mismo instrumento, </w:t>
      </w:r>
      <w:r w:rsidRPr="00360085">
        <w:rPr>
          <w:rFonts w:ascii="Cambria" w:hAnsi="Cambria"/>
          <w:sz w:val="20"/>
          <w:szCs w:val="20"/>
          <w:lang w:val="es-HN"/>
        </w:rPr>
        <w:t>en perjuicio de Franklin Plutarco y sus familiares.</w:t>
      </w:r>
    </w:p>
    <w:p w:rsidR="00D060AD" w:rsidRPr="00360085" w:rsidRDefault="00D060AD" w:rsidP="00D060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BookAntiqua"/>
          <w:sz w:val="20"/>
          <w:szCs w:val="20"/>
          <w:lang w:val="es-ES"/>
        </w:rPr>
      </w:pPr>
    </w:p>
    <w:p w:rsidR="006364D7" w:rsidRPr="00360085" w:rsidRDefault="006364D7" w:rsidP="006364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BookAntiqua"/>
          <w:sz w:val="20"/>
          <w:szCs w:val="20"/>
          <w:lang w:val="es-ES"/>
        </w:rPr>
      </w:pPr>
      <w:r w:rsidRPr="00360085">
        <w:rPr>
          <w:rFonts w:ascii="Cambria" w:hAnsi="Cambria" w:cs="BookAntiqua"/>
          <w:sz w:val="20"/>
          <w:szCs w:val="20"/>
          <w:lang w:val="es-ES"/>
        </w:rPr>
        <w:t>En virtud de las anteriores conclusiones,</w:t>
      </w:r>
    </w:p>
    <w:p w:rsidR="006364D7" w:rsidRPr="00360085" w:rsidRDefault="006364D7" w:rsidP="00687D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630"/>
        <w:jc w:val="both"/>
        <w:rPr>
          <w:rFonts w:ascii="Cambria" w:hAnsi="Cambria" w:cs="BookAntiqua"/>
          <w:sz w:val="20"/>
          <w:szCs w:val="20"/>
          <w:lang w:val="es-ES"/>
        </w:rPr>
      </w:pPr>
    </w:p>
    <w:p w:rsidR="006364D7" w:rsidRPr="00360085" w:rsidRDefault="006364D7" w:rsidP="006364D7">
      <w:pPr>
        <w:jc w:val="center"/>
        <w:rPr>
          <w:rFonts w:ascii="Cambria" w:hAnsi="Cambria"/>
          <w:b/>
          <w:sz w:val="20"/>
          <w:szCs w:val="20"/>
          <w:lang w:val="es-ES"/>
        </w:rPr>
      </w:pPr>
      <w:r w:rsidRPr="00360085">
        <w:rPr>
          <w:rFonts w:ascii="Cambria" w:hAnsi="Cambria"/>
          <w:b/>
          <w:sz w:val="20"/>
          <w:szCs w:val="20"/>
          <w:lang w:val="es-ES"/>
        </w:rPr>
        <w:t>LA COMISIÓN INTERAMERICANA DE DERECHOS HUMANOS RECOMIENDA AL ESTADO ECUATORIANO CONTINUAR DESPLEGANDO LOS ESFUERZOS NECESARIOS PARA LOGRAR UN CUMPLIMIENTO TOTAL DE LA SIGUIENTE RECOMENDACIÓN,</w:t>
      </w:r>
    </w:p>
    <w:p w:rsidR="006364D7" w:rsidRPr="00360085" w:rsidRDefault="006364D7" w:rsidP="006364D7">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630"/>
        <w:jc w:val="both"/>
        <w:rPr>
          <w:rFonts w:ascii="Cambria" w:hAnsi="Cambria" w:cs="BookAntiqua"/>
          <w:sz w:val="20"/>
          <w:szCs w:val="20"/>
          <w:lang w:val="es-ES"/>
        </w:rPr>
      </w:pPr>
    </w:p>
    <w:p w:rsidR="006364D7" w:rsidRPr="00360085" w:rsidRDefault="006364D7" w:rsidP="006364D7">
      <w:pPr>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0"/>
          <w:tab w:val="num" w:pos="720"/>
          <w:tab w:val="left" w:pos="1440"/>
          <w:tab w:val="num" w:pos="5760"/>
        </w:tabs>
        <w:suppressAutoHyphens/>
        <w:ind w:left="1440" w:right="720" w:hanging="720"/>
        <w:jc w:val="both"/>
        <w:rPr>
          <w:rFonts w:ascii="Cambria" w:hAnsi="Cambria" w:cs="BookAntiqua"/>
          <w:sz w:val="20"/>
          <w:szCs w:val="20"/>
          <w:lang w:val="es-ES_tradnl"/>
        </w:rPr>
      </w:pPr>
      <w:r w:rsidRPr="00360085">
        <w:rPr>
          <w:rFonts w:ascii="Cambria" w:hAnsi="Cambria" w:cs="BookAntiqua"/>
          <w:sz w:val="20"/>
          <w:szCs w:val="20"/>
          <w:lang w:val="es-ES_tradnl"/>
        </w:rPr>
        <w:t xml:space="preserve">Disponer mecanismos de no repetición que incluyan: i) programas de capacitación sobre los estándares internacionales de derechos humanos en general, dirigidos a la Policía Nacional; ii) medidas para asegurar la efectiva rendición de cuentas en el fuero penal, disciplinario o administrativo, en casos de presunto abuso de poder por parte de agentes del Estado a cargo de la seguridad pública; y iii) medidas legislativas, administrativas y de otra índole para investigar con la debida diligencia y de conformidad con los estándares internacionales relevantes, la necesidad y proporcionalidad del uso letal de la fuerza por parte de funcionarios policiales, de manera que existan protocolos eficaces que permitan implementar mecanismos adecuados de control y rendición de cuentas frente al actuar de dichos funcionarios. </w:t>
      </w:r>
    </w:p>
    <w:p w:rsidR="00D060AD" w:rsidRPr="00360085" w:rsidRDefault="00D060AD" w:rsidP="00D060AD">
      <w:pPr>
        <w:pStyle w:val="Heading1"/>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rPr>
          <w:rFonts w:cs="Arial"/>
          <w:bCs w:val="0"/>
          <w:lang w:val="es-AR"/>
        </w:rPr>
      </w:pPr>
      <w:bookmarkStart w:id="42" w:name="_Toc489881862"/>
      <w:bookmarkStart w:id="43" w:name="_Toc529792409"/>
      <w:r w:rsidRPr="00360085">
        <w:rPr>
          <w:rFonts w:cs="Arial"/>
          <w:bCs w:val="0"/>
          <w:lang w:val="es-AR"/>
        </w:rPr>
        <w:lastRenderedPageBreak/>
        <w:t>PUBLICACIÓN</w:t>
      </w:r>
      <w:bookmarkEnd w:id="42"/>
      <w:bookmarkEnd w:id="43"/>
    </w:p>
    <w:p w:rsidR="00D060AD" w:rsidRPr="00360085" w:rsidRDefault="00D060AD" w:rsidP="00D060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rsidR="00D060AD" w:rsidRPr="00360085" w:rsidRDefault="00D060AD" w:rsidP="00D060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360085">
        <w:rPr>
          <w:rFonts w:ascii="Cambria" w:hAnsi="Cambria"/>
          <w:sz w:val="20"/>
          <w:szCs w:val="20"/>
          <w:lang w:val="es-ES"/>
        </w:rPr>
        <w:t xml:space="preserve">Con base en las consideraciones presentadas y de conformidad con el artículo 47.3 de su Reglamento, la CIDH decide publicar el presente informe e incluirlo en su Informe Anual a la Asamblea General de la Organización de los Estados Americanos. La Comisión Interamericana, conforme a las normas de los instrumentos que rigen su mandato, seguirá evaluando las medidas adoptadas por el Estado ecuatoriano respeto a la </w:t>
      </w:r>
      <w:r w:rsidR="00C84F23" w:rsidRPr="00360085">
        <w:rPr>
          <w:rFonts w:ascii="Cambria" w:hAnsi="Cambria"/>
          <w:sz w:val="20"/>
          <w:szCs w:val="20"/>
          <w:lang w:val="es-ES"/>
        </w:rPr>
        <w:t xml:space="preserve">recomendación referida </w:t>
      </w:r>
      <w:r w:rsidRPr="00360085">
        <w:rPr>
          <w:rFonts w:ascii="Cambria" w:hAnsi="Cambria"/>
          <w:sz w:val="20"/>
          <w:szCs w:val="20"/>
          <w:lang w:val="es-ES"/>
        </w:rPr>
        <w:t>hasta que determine que la misma se ha cumplido de forma plena.</w:t>
      </w:r>
    </w:p>
    <w:p w:rsidR="00403B88" w:rsidRPr="00403B88" w:rsidRDefault="00403B88" w:rsidP="00403B88">
      <w:pPr>
        <w:jc w:val="both"/>
        <w:rPr>
          <w:rFonts w:ascii="Cambria" w:hAnsi="Cambria" w:cs="Verdana"/>
          <w:sz w:val="20"/>
          <w:szCs w:val="20"/>
          <w:lang w:val="es-ES" w:bidi="en-US"/>
        </w:rPr>
      </w:pPr>
    </w:p>
    <w:p w:rsidR="0015073A" w:rsidRPr="007033A8" w:rsidRDefault="00403B88" w:rsidP="007033A8">
      <w:pPr>
        <w:ind w:firstLine="720"/>
        <w:jc w:val="both"/>
        <w:rPr>
          <w:rFonts w:ascii="Cambria" w:hAnsi="Cambria" w:cs="Arial"/>
          <w:noProof/>
          <w:spacing w:val="-2"/>
          <w:sz w:val="20"/>
          <w:szCs w:val="20"/>
          <w:lang w:val="es-CL"/>
        </w:rPr>
      </w:pPr>
      <w:r w:rsidRPr="00403B88">
        <w:rPr>
          <w:rFonts w:ascii="Cambria" w:hAnsi="Cambria" w:cs="Arial"/>
          <w:noProof/>
          <w:spacing w:val="-2"/>
          <w:sz w:val="20"/>
          <w:szCs w:val="20"/>
          <w:lang w:val="es-CL"/>
        </w:rPr>
        <w:t>Aprobado por la Comisión Interamericana de Derechos Humanos a los 14 días del mes de junio de 2019.  (Firmado): Esmeralda E. Arosemena Bernal de Troitiño, Presidenta; Joel Hernández, Primer Vicepresidente; Antonia Urrejola, Segunda Vicepresidenta; Margarette May Macaulay, Francisco José Eguiguren, Luis Ernesto Vargas Silva, y Flávia Piovesan, Miembros de la Comisión.</w:t>
      </w:r>
      <w:r w:rsidRPr="00403B88">
        <w:rPr>
          <w:rFonts w:ascii="Cambria" w:hAnsi="Cambria" w:cs="Arial"/>
          <w:noProof/>
          <w:sz w:val="20"/>
          <w:szCs w:val="20"/>
          <w:lang w:val="es-CL"/>
        </w:rPr>
        <w:t xml:space="preserve"> </w:t>
      </w:r>
    </w:p>
    <w:sectPr w:rsidR="0015073A" w:rsidRPr="007033A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07" w:rsidRDefault="00AA1C07">
      <w:r>
        <w:separator/>
      </w:r>
    </w:p>
  </w:endnote>
  <w:endnote w:type="continuationSeparator" w:id="0">
    <w:p w:rsidR="00AA1C07" w:rsidRDefault="00AA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60409020205020404"/>
    <w:charset w:val="00"/>
    <w:family w:val="modern"/>
    <w:pitch w:val="fixed"/>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E2" w:rsidRDefault="00FC2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59" w:rsidRPr="00934A2C" w:rsidRDefault="006A385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455EB">
      <w:rPr>
        <w:noProof/>
        <w:sz w:val="16"/>
        <w:szCs w:val="22"/>
      </w:rPr>
      <w:t>21</w:t>
    </w:r>
    <w:r w:rsidRPr="00934A2C">
      <w:rPr>
        <w:noProof/>
        <w:sz w:val="16"/>
        <w:szCs w:val="22"/>
      </w:rPr>
      <w:fldChar w:fldCharType="end"/>
    </w:r>
  </w:p>
  <w:p w:rsidR="006A3859" w:rsidRDefault="006A3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59" w:rsidRPr="00934A2C" w:rsidRDefault="006A3859">
    <w:pPr>
      <w:pStyle w:val="Footer"/>
      <w:jc w:val="center"/>
      <w:rPr>
        <w:sz w:val="16"/>
        <w:szCs w:val="22"/>
      </w:rPr>
    </w:pPr>
  </w:p>
  <w:p w:rsidR="006A3859" w:rsidRDefault="006A3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07" w:rsidRPr="00C05D06" w:rsidRDefault="00AA1C07">
      <w:pPr>
        <w:rPr>
          <w:rFonts w:ascii="Cambria" w:hAnsi="Cambria"/>
          <w:sz w:val="16"/>
          <w:szCs w:val="16"/>
        </w:rPr>
      </w:pPr>
      <w:r w:rsidRPr="00C05D06">
        <w:rPr>
          <w:rFonts w:ascii="Cambria" w:hAnsi="Cambria"/>
          <w:sz w:val="16"/>
          <w:szCs w:val="16"/>
        </w:rPr>
        <w:separator/>
      </w:r>
    </w:p>
  </w:footnote>
  <w:footnote w:type="continuationSeparator" w:id="0">
    <w:p w:rsidR="00AA1C07" w:rsidRPr="00C05D06" w:rsidRDefault="00AA1C07" w:rsidP="000F35ED">
      <w:pPr>
        <w:rPr>
          <w:rFonts w:ascii="Cambria" w:hAnsi="Cambria"/>
          <w:sz w:val="16"/>
          <w:szCs w:val="16"/>
        </w:rPr>
      </w:pPr>
      <w:r w:rsidRPr="00C05D06">
        <w:rPr>
          <w:rFonts w:ascii="Cambria" w:hAnsi="Cambria"/>
          <w:sz w:val="16"/>
          <w:szCs w:val="16"/>
        </w:rPr>
        <w:separator/>
      </w:r>
    </w:p>
    <w:p w:rsidR="00AA1C07" w:rsidRPr="00C05D06" w:rsidRDefault="00AA1C07" w:rsidP="000F35ED">
      <w:pPr>
        <w:pStyle w:val="Footer"/>
        <w:rPr>
          <w:sz w:val="16"/>
          <w:szCs w:val="16"/>
        </w:rPr>
      </w:pPr>
      <w:r w:rsidRPr="00C05D06">
        <w:rPr>
          <w:sz w:val="16"/>
          <w:szCs w:val="16"/>
        </w:rPr>
        <w:t xml:space="preserve">[… </w:t>
      </w:r>
      <w:proofErr w:type="spellStart"/>
      <w:proofErr w:type="gramStart"/>
      <w:r w:rsidRPr="00C05D06">
        <w:rPr>
          <w:sz w:val="16"/>
          <w:szCs w:val="16"/>
        </w:rPr>
        <w:t>continuación</w:t>
      </w:r>
      <w:proofErr w:type="spellEnd"/>
      <w:proofErr w:type="gramEnd"/>
      <w:r w:rsidRPr="00C05D06">
        <w:rPr>
          <w:sz w:val="16"/>
          <w:szCs w:val="16"/>
        </w:rPr>
        <w:t>]</w:t>
      </w:r>
    </w:p>
  </w:footnote>
  <w:footnote w:type="continuationNotice" w:id="1">
    <w:p w:rsidR="00AA1C07" w:rsidRPr="00C05D06" w:rsidRDefault="00AA1C07" w:rsidP="000F35ED">
      <w:pPr>
        <w:jc w:val="right"/>
        <w:rPr>
          <w:rFonts w:ascii="Cambria" w:hAnsi="Cambria"/>
          <w:sz w:val="16"/>
          <w:szCs w:val="16"/>
          <w:lang w:val="es-ES"/>
        </w:rPr>
      </w:pPr>
      <w:r w:rsidRPr="00C05D06">
        <w:rPr>
          <w:rFonts w:ascii="Cambria" w:hAnsi="Cambria"/>
          <w:sz w:val="16"/>
          <w:szCs w:val="16"/>
          <w:lang w:val="es-ES"/>
        </w:rPr>
        <w:t>[</w:t>
      </w:r>
      <w:proofErr w:type="gramStart"/>
      <w:r w:rsidRPr="00C05D06">
        <w:rPr>
          <w:rFonts w:ascii="Cambria" w:hAnsi="Cambria"/>
          <w:sz w:val="16"/>
          <w:szCs w:val="16"/>
          <w:lang w:val="es-ES"/>
        </w:rPr>
        <w:t>continúa</w:t>
      </w:r>
      <w:proofErr w:type="gramEnd"/>
      <w:r w:rsidRPr="00C05D06">
        <w:rPr>
          <w:rFonts w:ascii="Cambria" w:hAnsi="Cambria"/>
          <w:sz w:val="16"/>
          <w:szCs w:val="16"/>
          <w:lang w:val="es-ES"/>
        </w:rPr>
        <w:t>…]</w:t>
      </w:r>
    </w:p>
  </w:footnote>
  <w:footnote w:id="2">
    <w:p w:rsidR="006A3859" w:rsidRPr="006C459C" w:rsidRDefault="006A3859" w:rsidP="00D060AD">
      <w:pPr>
        <w:pStyle w:val="FootnoteText"/>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CIDH, Informe No. 51/08, Petición 299-07, Admisibilidad, Robert Ignacio Díaz Loreto y otros, Venezuela, 24 de julio de 2008; e</w:t>
      </w:r>
      <w:r w:rsidRPr="006C459C">
        <w:rPr>
          <w:rFonts w:ascii="Cambria" w:hAnsi="Cambria"/>
          <w:sz w:val="16"/>
          <w:szCs w:val="16"/>
          <w:lang w:val="es-CO"/>
        </w:rPr>
        <w:t xml:space="preserve"> Informe No. 23/07, Petición 435-2006, Admisibilidad, </w:t>
      </w:r>
      <w:r w:rsidRPr="006C459C">
        <w:rPr>
          <w:rFonts w:ascii="Cambria" w:hAnsi="Cambria"/>
          <w:iCs/>
          <w:sz w:val="16"/>
          <w:szCs w:val="16"/>
          <w:lang w:val="es-CO"/>
        </w:rPr>
        <w:t>Eduardo José Landaeta Mejías y otros, Venezuela,</w:t>
      </w:r>
      <w:r w:rsidRPr="006C459C">
        <w:rPr>
          <w:rFonts w:ascii="Cambria" w:hAnsi="Cambria"/>
          <w:sz w:val="16"/>
          <w:szCs w:val="16"/>
          <w:lang w:val="es-CO"/>
        </w:rPr>
        <w:t xml:space="preserve"> 9 de marzo de 2007.</w:t>
      </w:r>
    </w:p>
  </w:footnote>
  <w:footnote w:id="3">
    <w:p w:rsidR="006A3859" w:rsidRPr="006C459C" w:rsidRDefault="006A3859" w:rsidP="00D060AD">
      <w:pPr>
        <w:pStyle w:val="FootnoteText"/>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CIDH, Informe No. 23/07, </w:t>
      </w:r>
      <w:r w:rsidRPr="006C459C">
        <w:rPr>
          <w:rFonts w:ascii="Cambria" w:hAnsi="Cambria"/>
          <w:sz w:val="16"/>
          <w:szCs w:val="16"/>
          <w:lang w:val="es-CO"/>
        </w:rPr>
        <w:t xml:space="preserve">Petición 435-2006, Admisibilidad, </w:t>
      </w:r>
      <w:r w:rsidRPr="006C459C">
        <w:rPr>
          <w:rFonts w:ascii="Cambria" w:hAnsi="Cambria"/>
          <w:iCs/>
          <w:sz w:val="16"/>
          <w:szCs w:val="16"/>
          <w:lang w:val="es-CO"/>
        </w:rPr>
        <w:t>Eduardo José Landaeta Mejías y otros, Venezuela,</w:t>
      </w:r>
      <w:r w:rsidRPr="006C459C">
        <w:rPr>
          <w:rFonts w:ascii="Cambria" w:hAnsi="Cambria"/>
          <w:sz w:val="16"/>
          <w:szCs w:val="16"/>
          <w:lang w:val="es-CO"/>
        </w:rPr>
        <w:t xml:space="preserve"> 9 de marzo de 2007</w:t>
      </w:r>
      <w:r w:rsidRPr="006C459C">
        <w:rPr>
          <w:rFonts w:ascii="Cambria" w:hAnsi="Cambria"/>
          <w:sz w:val="16"/>
          <w:szCs w:val="16"/>
          <w:lang w:val="es-ES_tradnl"/>
        </w:rPr>
        <w:t xml:space="preserve">, párr. 43; e Informe No. 15/06, Petición 618-01, Admisibilidad, </w:t>
      </w:r>
      <w:r w:rsidRPr="006C459C">
        <w:rPr>
          <w:rFonts w:ascii="Cambria" w:hAnsi="Cambria"/>
          <w:iCs/>
          <w:sz w:val="16"/>
          <w:szCs w:val="16"/>
          <w:lang w:val="es-ES_tradnl"/>
        </w:rPr>
        <w:t>Maria Emilia González, Paula Micaela González y María Verónica Villar, Argentina</w:t>
      </w:r>
      <w:r w:rsidRPr="006C459C">
        <w:rPr>
          <w:rFonts w:ascii="Cambria" w:hAnsi="Cambria"/>
          <w:sz w:val="16"/>
          <w:szCs w:val="16"/>
          <w:lang w:val="es-ES"/>
        </w:rPr>
        <w:t xml:space="preserve">, 2 de marzo de 2006, </w:t>
      </w:r>
      <w:r w:rsidRPr="006C459C">
        <w:rPr>
          <w:rFonts w:ascii="Cambria" w:hAnsi="Cambria"/>
          <w:sz w:val="16"/>
          <w:szCs w:val="16"/>
          <w:lang w:val="es-ES_tradnl"/>
        </w:rPr>
        <w:t xml:space="preserve">párr. </w:t>
      </w:r>
      <w:r w:rsidRPr="006C459C">
        <w:rPr>
          <w:rFonts w:ascii="Cambria" w:hAnsi="Cambria"/>
          <w:sz w:val="16"/>
          <w:szCs w:val="16"/>
          <w:lang w:val="es-ES"/>
        </w:rPr>
        <w:t xml:space="preserve">34. </w:t>
      </w:r>
    </w:p>
  </w:footnote>
  <w:footnote w:id="4">
    <w:p w:rsidR="006A3859" w:rsidRPr="006C459C" w:rsidRDefault="006A3859" w:rsidP="00D060AD">
      <w:pPr>
        <w:pStyle w:val="FootnoteText"/>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
        </w:rPr>
        <w:t xml:space="preserve"> CIDH, Informe No. 2/08, Petición 506-05, Admisibilidad, José Rodríguez </w:t>
      </w:r>
      <w:proofErr w:type="spellStart"/>
      <w:r w:rsidRPr="006C459C">
        <w:rPr>
          <w:rFonts w:ascii="Cambria" w:hAnsi="Cambria"/>
          <w:sz w:val="16"/>
          <w:szCs w:val="16"/>
          <w:lang w:val="es-ES"/>
        </w:rPr>
        <w:t>Dañín</w:t>
      </w:r>
      <w:proofErr w:type="spellEnd"/>
      <w:r w:rsidRPr="006C459C">
        <w:rPr>
          <w:rFonts w:ascii="Cambria" w:hAnsi="Cambria"/>
          <w:sz w:val="16"/>
          <w:szCs w:val="16"/>
          <w:lang w:val="es-ES"/>
        </w:rPr>
        <w:t xml:space="preserve">, Bolivia, 6 de marzo de 2008, párr. 56; e Informe No. 25/04, Caso 12.361, Admisibilidad, Ana Victoria Sánchez Villalobos y otros, Costa Rica, 11 de marzo de 2004, párr. 45. </w:t>
      </w:r>
    </w:p>
  </w:footnote>
  <w:footnote w:id="5">
    <w:p w:rsidR="006A3859" w:rsidRPr="006C459C" w:rsidRDefault="006A3859" w:rsidP="00D060AD">
      <w:pPr>
        <w:pStyle w:val="FootnoteText"/>
        <w:jc w:val="both"/>
        <w:rPr>
          <w:rFonts w:ascii="Cambria" w:hAnsi="Cambria"/>
          <w:sz w:val="16"/>
          <w:szCs w:val="16"/>
          <w:lang w:val="pt-BR"/>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CIDH, Informe No. 8/10, Caso 12.374, Admisibilidad, Jorge Enrique Patiño Palacios y otros, Paraguay, 16 de marzo de 2010, párr. 31; e Informe No. 20/05, Petición 716/00, Admisibilidad, Rafael Correa Díaz, Perú, 25 de febrero de 2005, párr. </w:t>
      </w:r>
      <w:r w:rsidRPr="006C459C">
        <w:rPr>
          <w:rFonts w:ascii="Cambria" w:hAnsi="Cambria"/>
          <w:sz w:val="16"/>
          <w:szCs w:val="16"/>
          <w:lang w:val="pt-BR"/>
        </w:rPr>
        <w:t>34.</w:t>
      </w:r>
    </w:p>
  </w:footnote>
  <w:footnote w:id="6">
    <w:p w:rsidR="006A3859" w:rsidRPr="006C459C" w:rsidRDefault="006A3859" w:rsidP="00D060AD">
      <w:pPr>
        <w:jc w:val="both"/>
        <w:rPr>
          <w:rFonts w:ascii="Cambria" w:hAnsi="Cambria"/>
          <w:color w:val="000000"/>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pt-BR"/>
        </w:rPr>
        <w:t xml:space="preserve"> </w:t>
      </w:r>
      <w:r w:rsidRPr="006C459C">
        <w:rPr>
          <w:rFonts w:ascii="Cambria" w:hAnsi="Cambria"/>
          <w:sz w:val="16"/>
          <w:szCs w:val="16"/>
          <w:lang w:val="pt-BR"/>
        </w:rPr>
        <w:t xml:space="preserve">Corte IDH. </w:t>
      </w:r>
      <w:r w:rsidRPr="006C459C">
        <w:rPr>
          <w:rFonts w:ascii="Cambria" w:hAnsi="Cambria"/>
          <w:bCs/>
          <w:i/>
          <w:sz w:val="16"/>
          <w:szCs w:val="16"/>
          <w:lang w:val="pt-BR"/>
        </w:rPr>
        <w:t xml:space="preserve">Caso Gomes Lund y otros (Guerrilha do Araguaia) Vs. </w:t>
      </w:r>
      <w:r w:rsidRPr="006C459C">
        <w:rPr>
          <w:rFonts w:ascii="Cambria" w:hAnsi="Cambria"/>
          <w:bCs/>
          <w:i/>
          <w:sz w:val="16"/>
          <w:szCs w:val="16"/>
          <w:lang w:val="es-ES_tradnl"/>
        </w:rPr>
        <w:t>Brasil.</w:t>
      </w:r>
      <w:r w:rsidRPr="006C459C">
        <w:rPr>
          <w:rFonts w:ascii="Cambria" w:hAnsi="Cambria"/>
          <w:bCs/>
          <w:sz w:val="16"/>
          <w:szCs w:val="16"/>
          <w:lang w:val="es-ES_tradnl"/>
        </w:rPr>
        <w:t xml:space="preserve"> </w:t>
      </w:r>
      <w:r w:rsidRPr="006C459C">
        <w:rPr>
          <w:rFonts w:ascii="Cambria" w:hAnsi="Cambria"/>
          <w:sz w:val="16"/>
          <w:szCs w:val="16"/>
          <w:lang w:val="es-ES_tradnl"/>
        </w:rPr>
        <w:t xml:space="preserve">Excepciones Preliminares, Fondo, Reparaciones y Costas. Sentencia de 24 de noviembre de 2010. Serie C No. 219, párr. 49. </w:t>
      </w:r>
    </w:p>
  </w:footnote>
  <w:footnote w:id="7">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AR"/>
        </w:rPr>
        <w:t xml:space="preserve"> Anexo</w:t>
      </w:r>
      <w:r w:rsidR="009E1328" w:rsidRPr="006C459C">
        <w:rPr>
          <w:rFonts w:ascii="Cambria" w:hAnsi="Cambria"/>
          <w:sz w:val="16"/>
          <w:szCs w:val="16"/>
          <w:lang w:val="es-AR"/>
        </w:rPr>
        <w:t xml:space="preserve"> 1</w:t>
      </w:r>
      <w:r w:rsidRPr="006C459C">
        <w:rPr>
          <w:rFonts w:ascii="Cambria" w:hAnsi="Cambria"/>
          <w:sz w:val="16"/>
          <w:szCs w:val="16"/>
          <w:lang w:val="es-AR"/>
        </w:rPr>
        <w:t>. Protocolo de Necrop</w:t>
      </w:r>
      <w:r w:rsidR="009E1328" w:rsidRPr="006C459C">
        <w:rPr>
          <w:rFonts w:ascii="Cambria" w:hAnsi="Cambria"/>
          <w:sz w:val="16"/>
          <w:szCs w:val="16"/>
          <w:lang w:val="es-AR"/>
        </w:rPr>
        <w:t>s</w:t>
      </w:r>
      <w:r w:rsidRPr="006C459C">
        <w:rPr>
          <w:rFonts w:ascii="Cambria" w:hAnsi="Cambria"/>
          <w:sz w:val="16"/>
          <w:szCs w:val="16"/>
          <w:lang w:val="es-AR"/>
        </w:rPr>
        <w:t>ia de 12 de septiembre de 1993. Anexo a la petición inicial de la peticionaria.</w:t>
      </w:r>
    </w:p>
  </w:footnote>
  <w:footnote w:id="8">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2</w:t>
      </w:r>
      <w:r w:rsidRPr="006C459C">
        <w:rPr>
          <w:rFonts w:ascii="Cambria" w:hAnsi="Cambria"/>
          <w:sz w:val="16"/>
          <w:szCs w:val="16"/>
          <w:lang w:val="es-AR"/>
        </w:rPr>
        <w:t>. Certificación de la Cooperativa de Transportes “Otavalo” de 16 de noviembre de 1993. Anexo a la petición inicial de la peticionaria.</w:t>
      </w:r>
    </w:p>
  </w:footnote>
  <w:footnote w:id="9">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3</w:t>
      </w:r>
      <w:r w:rsidRPr="006C459C">
        <w:rPr>
          <w:rFonts w:ascii="Cambria" w:hAnsi="Cambria"/>
          <w:sz w:val="16"/>
          <w:szCs w:val="16"/>
          <w:lang w:val="es-AR"/>
        </w:rPr>
        <w:t>. Escrito de querella civil y penal de Franklin Plutarco García Espinosa de 5 de noviembre de 1993. Anexo al escrito de la peticionaria de 3 de agosto de 1995.</w:t>
      </w:r>
    </w:p>
  </w:footnote>
  <w:footnote w:id="10">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3</w:t>
      </w:r>
      <w:r w:rsidRPr="006C459C">
        <w:rPr>
          <w:rFonts w:ascii="Cambria" w:hAnsi="Cambria"/>
          <w:sz w:val="16"/>
          <w:szCs w:val="16"/>
          <w:lang w:val="es-AR"/>
        </w:rPr>
        <w:t>. Escrito de querella civil y penal de Franklin Plutarco García Espinosa de 5 de noviembre de 1993. Anexo al escrito de la peticionaria de 3 de agosto de 1995.</w:t>
      </w:r>
    </w:p>
  </w:footnote>
  <w:footnote w:id="11">
    <w:p w:rsidR="006A3859" w:rsidRPr="006C459C" w:rsidRDefault="006A3859" w:rsidP="00D060AD">
      <w:pPr>
        <w:jc w:val="both"/>
        <w:rPr>
          <w:rFonts w:ascii="Cambria" w:hAnsi="Cambria"/>
          <w:sz w:val="16"/>
          <w:szCs w:val="16"/>
          <w:lang w:val="es-CO"/>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9E132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1995. Anexo al escrito de la peticionaria de 11 de junio de 1999.</w:t>
      </w:r>
    </w:p>
  </w:footnote>
  <w:footnote w:id="12">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9E1328" w:rsidRPr="006C459C">
        <w:rPr>
          <w:rFonts w:ascii="Cambria" w:hAnsi="Cambria"/>
          <w:sz w:val="16"/>
          <w:szCs w:val="16"/>
          <w:lang w:val="es-AR"/>
        </w:rPr>
        <w:t>3</w:t>
      </w:r>
      <w:r w:rsidRPr="006C459C">
        <w:rPr>
          <w:rFonts w:ascii="Cambria" w:hAnsi="Cambria"/>
          <w:sz w:val="16"/>
          <w:szCs w:val="16"/>
          <w:lang w:val="es-AR"/>
        </w:rPr>
        <w:t>. Escrito de querella civil y penal de Franklin Plutarco García Espinosa de 5 de noviembre de 1993. Anexo al escrito de la peticionaria de 3 de agosto de 1995.</w:t>
      </w:r>
    </w:p>
  </w:footnote>
  <w:footnote w:id="13">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9E1328" w:rsidRPr="006C459C">
        <w:rPr>
          <w:rFonts w:ascii="Cambria" w:hAnsi="Cambria"/>
          <w:sz w:val="16"/>
          <w:szCs w:val="16"/>
          <w:lang w:val="es-AR"/>
        </w:rPr>
        <w:t>3</w:t>
      </w:r>
      <w:r w:rsidRPr="006C459C">
        <w:rPr>
          <w:rFonts w:ascii="Cambria" w:hAnsi="Cambria"/>
          <w:sz w:val="16"/>
          <w:szCs w:val="16"/>
          <w:lang w:val="es-AR"/>
        </w:rPr>
        <w:t>. Escrito de querella civil y penal de Franklin Plutarco García Espinosa de 5 de noviembre de 1993. Anexo al escrito de la peticionaria de 3 de agosto de 1995.</w:t>
      </w:r>
    </w:p>
  </w:footnote>
  <w:footnote w:id="14">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9E1328" w:rsidRPr="006C459C">
        <w:rPr>
          <w:rFonts w:ascii="Cambria" w:hAnsi="Cambria"/>
          <w:sz w:val="16"/>
          <w:szCs w:val="16"/>
          <w:lang w:val="es-AR"/>
        </w:rPr>
        <w:t>3</w:t>
      </w:r>
      <w:r w:rsidRPr="006C459C">
        <w:rPr>
          <w:rFonts w:ascii="Cambria" w:hAnsi="Cambria"/>
          <w:sz w:val="16"/>
          <w:szCs w:val="16"/>
          <w:lang w:val="es-AR"/>
        </w:rPr>
        <w:t>. Escrito de querella civil y penal de Franklin Plutarco García Espinosa de 5 de noviembre de 1993. Anexo al escrito de la peticionaria de 3 de agosto de 1995.</w:t>
      </w:r>
    </w:p>
  </w:footnote>
  <w:footnote w:id="15">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9E1328" w:rsidRPr="006C459C">
        <w:rPr>
          <w:rFonts w:ascii="Cambria" w:hAnsi="Cambria"/>
          <w:sz w:val="16"/>
          <w:szCs w:val="16"/>
          <w:lang w:val="es-AR"/>
        </w:rPr>
        <w:t>3</w:t>
      </w:r>
      <w:r w:rsidRPr="006C459C">
        <w:rPr>
          <w:rFonts w:ascii="Cambria" w:hAnsi="Cambria"/>
          <w:sz w:val="16"/>
          <w:szCs w:val="16"/>
          <w:lang w:val="es-AR"/>
        </w:rPr>
        <w:t>. Escrito de querella civil y penal de Franklin Plutarco García Espinosa de 5 de noviembre de 1993. Anexo al escrito de la peticionaria de 3 de agosto de 1995.</w:t>
      </w:r>
    </w:p>
  </w:footnote>
  <w:footnote w:id="16">
    <w:p w:rsidR="006A3859" w:rsidRPr="006C459C" w:rsidRDefault="006A3859" w:rsidP="00D060AD">
      <w:pPr>
        <w:jc w:val="both"/>
        <w:rPr>
          <w:rFonts w:ascii="Cambria" w:hAnsi="Cambria"/>
          <w:sz w:val="16"/>
          <w:szCs w:val="16"/>
          <w:lang w:val="es-C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9E132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1995. Anexo al escrito de la peticionaria de 11 de junio de 1999.</w:t>
      </w:r>
    </w:p>
  </w:footnote>
  <w:footnote w:id="17">
    <w:p w:rsidR="006A3859" w:rsidRPr="006C459C" w:rsidRDefault="006A3859" w:rsidP="00D060AD">
      <w:pPr>
        <w:jc w:val="both"/>
        <w:rPr>
          <w:rFonts w:ascii="Cambria" w:hAnsi="Cambria"/>
          <w:sz w:val="16"/>
          <w:szCs w:val="16"/>
          <w:lang w:val="es-CO"/>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9E132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1995. Anexo al escrito de la peticionaria de 11 de junio de 1999.</w:t>
      </w:r>
    </w:p>
  </w:footnote>
  <w:footnote w:id="18">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O"/>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5</w:t>
      </w:r>
      <w:r w:rsidRPr="006C459C">
        <w:rPr>
          <w:rFonts w:ascii="Cambria" w:hAnsi="Cambria"/>
          <w:sz w:val="16"/>
          <w:szCs w:val="16"/>
          <w:lang w:val="es-AR"/>
        </w:rPr>
        <w:t>.  Sentencia de la Segunda Sala de la Corte Superior de Justicia de Ibarra de 29 de agosto de 1995. Anexo al escrito de la peticionaria de 21 de marzo de 1996.</w:t>
      </w:r>
    </w:p>
  </w:footnote>
  <w:footnote w:id="19">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O"/>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5</w:t>
      </w:r>
      <w:r w:rsidRPr="006C459C">
        <w:rPr>
          <w:rFonts w:ascii="Cambria" w:hAnsi="Cambria"/>
          <w:sz w:val="16"/>
          <w:szCs w:val="16"/>
          <w:lang w:val="es-AR"/>
        </w:rPr>
        <w:t>.  Sentencia de la Segunda Sala de la Corte Superior de Justicia de Ibarra de 29 de agosto de 1995. Anexo al escrito de la peticionaria de 21 de marzo de 1996.</w:t>
      </w:r>
    </w:p>
  </w:footnote>
  <w:footnote w:id="20">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O"/>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5</w:t>
      </w:r>
      <w:r w:rsidRPr="006C459C">
        <w:rPr>
          <w:rFonts w:ascii="Cambria" w:hAnsi="Cambria"/>
          <w:sz w:val="16"/>
          <w:szCs w:val="16"/>
          <w:lang w:val="es-AR"/>
        </w:rPr>
        <w:t>.  Sentencia de la Segunda Sala de la Corte Superior de Justicia de Ibarra de 29 de agosto de 1995. Anexo al escrito de la peticionaria de 21 de marzo de 1996.</w:t>
      </w:r>
    </w:p>
  </w:footnote>
  <w:footnote w:id="21">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AR"/>
        </w:rPr>
        <w:t xml:space="preserve"> </w:t>
      </w:r>
      <w:r w:rsidRPr="006C459C">
        <w:rPr>
          <w:rFonts w:ascii="Cambria" w:hAnsi="Cambria"/>
          <w:sz w:val="16"/>
          <w:szCs w:val="16"/>
          <w:lang w:val="es-ES"/>
        </w:rPr>
        <w:t xml:space="preserve">Anexo </w:t>
      </w:r>
      <w:r w:rsidR="009E1328" w:rsidRPr="006C459C">
        <w:rPr>
          <w:rFonts w:ascii="Cambria" w:hAnsi="Cambria"/>
          <w:sz w:val="16"/>
          <w:szCs w:val="16"/>
          <w:lang w:val="es-ES"/>
        </w:rPr>
        <w:t>1</w:t>
      </w:r>
      <w:r w:rsidRPr="006C459C">
        <w:rPr>
          <w:rFonts w:ascii="Cambria" w:hAnsi="Cambria"/>
          <w:sz w:val="16"/>
          <w:szCs w:val="16"/>
          <w:lang w:val="es-ES"/>
        </w:rPr>
        <w:t xml:space="preserve">. Protocolo de necropsia, de 12 de septiembre de 1993. </w:t>
      </w:r>
      <w:r w:rsidRPr="006C459C">
        <w:rPr>
          <w:rFonts w:ascii="Cambria" w:hAnsi="Cambria"/>
          <w:sz w:val="16"/>
          <w:szCs w:val="16"/>
          <w:lang w:val="es-AR"/>
        </w:rPr>
        <w:t>Anexo a la petición inicial de la peticionaria.</w:t>
      </w:r>
    </w:p>
  </w:footnote>
  <w:footnote w:id="22">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9E1328" w:rsidRPr="006C459C">
        <w:rPr>
          <w:rFonts w:ascii="Cambria" w:hAnsi="Cambria"/>
          <w:sz w:val="16"/>
          <w:szCs w:val="16"/>
          <w:lang w:val="es-AR"/>
        </w:rPr>
        <w:t xml:space="preserve"> 6</w:t>
      </w:r>
      <w:r w:rsidRPr="006C459C">
        <w:rPr>
          <w:rFonts w:ascii="Cambria" w:hAnsi="Cambria"/>
          <w:sz w:val="16"/>
          <w:szCs w:val="16"/>
          <w:lang w:val="es-AR"/>
        </w:rPr>
        <w:t>.  Informe policial de 1 de octubre de 1993. Anexo al escrito de la peticionaria de 22 de noviembre de 1995.</w:t>
      </w:r>
    </w:p>
  </w:footnote>
  <w:footnote w:id="23">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009E1328" w:rsidRPr="006C459C">
        <w:rPr>
          <w:rFonts w:ascii="Cambria" w:hAnsi="Cambria"/>
          <w:sz w:val="16"/>
          <w:szCs w:val="16"/>
          <w:lang w:val="es-CR"/>
        </w:rPr>
        <w:t xml:space="preserve"> Anexo 4.</w:t>
      </w:r>
      <w:r w:rsidRPr="006C459C">
        <w:rPr>
          <w:rFonts w:ascii="Cambria" w:hAnsi="Cambria"/>
          <w:sz w:val="16"/>
          <w:szCs w:val="16"/>
          <w:lang w:val="es-CR"/>
        </w:rPr>
        <w:t xml:space="preserve"> Sentencia del Tribunal Penal de Imbabura de 3 de septiembre de 1996. Anexo al escrito de la peticionaria de 11 de junio de 1999.</w:t>
      </w:r>
    </w:p>
  </w:footnote>
  <w:footnote w:id="24">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25">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26">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8</w:t>
      </w:r>
      <w:r w:rsidRPr="006C459C">
        <w:rPr>
          <w:rFonts w:ascii="Cambria" w:hAnsi="Cambria"/>
          <w:sz w:val="16"/>
          <w:szCs w:val="16"/>
          <w:lang w:val="es-AR"/>
        </w:rPr>
        <w:t xml:space="preserve">. Declaración de Segundo Néstor de la Cruz </w:t>
      </w:r>
      <w:proofErr w:type="spellStart"/>
      <w:r w:rsidRPr="006C459C">
        <w:rPr>
          <w:rFonts w:ascii="Cambria" w:hAnsi="Cambria"/>
          <w:sz w:val="16"/>
          <w:szCs w:val="16"/>
          <w:lang w:val="es-AR"/>
        </w:rPr>
        <w:t>Chicaiza</w:t>
      </w:r>
      <w:proofErr w:type="spellEnd"/>
      <w:r w:rsidRPr="006C459C">
        <w:rPr>
          <w:rFonts w:ascii="Cambria" w:hAnsi="Cambria"/>
          <w:sz w:val="16"/>
          <w:szCs w:val="16"/>
          <w:lang w:val="es-AR"/>
        </w:rPr>
        <w:t xml:space="preserve"> ante la Dirección Nacional de Investigaciones de la Policía de Otavalo de 17 de septiembre de 1993. Anexo a la petición inicial de la peticionaria.</w:t>
      </w:r>
    </w:p>
  </w:footnote>
  <w:footnote w:id="27">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9</w:t>
      </w:r>
      <w:r w:rsidRPr="006C459C">
        <w:rPr>
          <w:rFonts w:ascii="Cambria" w:hAnsi="Cambria"/>
          <w:sz w:val="16"/>
          <w:szCs w:val="16"/>
          <w:lang w:val="es-AR"/>
        </w:rPr>
        <w:t>. Declaración Edwin Ramiro Guzman Carrera ante la Dirección Nacional de Investigaciones de la Policía de Otavalo de 17 de septiembre de 1993. Anexo al escrito de la peticionaria de 22 de noviembre de 1995.</w:t>
      </w:r>
    </w:p>
  </w:footnote>
  <w:footnote w:id="28">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9E1328" w:rsidRPr="006C459C">
        <w:rPr>
          <w:rFonts w:ascii="Cambria" w:hAnsi="Cambria"/>
          <w:sz w:val="16"/>
          <w:szCs w:val="16"/>
          <w:lang w:val="es-AR"/>
        </w:rPr>
        <w:t>10</w:t>
      </w:r>
      <w:r w:rsidRPr="006C459C">
        <w:rPr>
          <w:rFonts w:ascii="Cambria" w:hAnsi="Cambria"/>
          <w:sz w:val="16"/>
          <w:szCs w:val="16"/>
          <w:lang w:val="es-AR"/>
        </w:rPr>
        <w:t>. Declaración de Franklin Plutarco García Espinosa de 17 de septiembre de 1993. Anexo al escrito de la peticionaria de 22 de noviembre de 1995.</w:t>
      </w:r>
    </w:p>
  </w:footnote>
  <w:footnote w:id="29">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pt-BR"/>
        </w:rPr>
        <w:t xml:space="preserve"> </w:t>
      </w:r>
      <w:r w:rsidRPr="006C459C">
        <w:rPr>
          <w:rFonts w:ascii="Cambria" w:hAnsi="Cambria"/>
          <w:sz w:val="16"/>
          <w:szCs w:val="16"/>
          <w:lang w:val="pt-BR"/>
        </w:rPr>
        <w:t xml:space="preserve">Anexo </w:t>
      </w:r>
      <w:r w:rsidR="009E1328" w:rsidRPr="006C459C">
        <w:rPr>
          <w:rFonts w:ascii="Cambria" w:hAnsi="Cambria"/>
          <w:sz w:val="16"/>
          <w:szCs w:val="16"/>
          <w:lang w:val="pt-BR"/>
        </w:rPr>
        <w:t>11</w:t>
      </w:r>
      <w:r w:rsidRPr="006C459C">
        <w:rPr>
          <w:rFonts w:ascii="Cambria" w:hAnsi="Cambria"/>
          <w:sz w:val="16"/>
          <w:szCs w:val="16"/>
          <w:lang w:val="pt-BR"/>
        </w:rPr>
        <w:t xml:space="preserve">. Oficio N° 600-LC-PN. </w:t>
      </w:r>
      <w:r w:rsidRPr="006C459C">
        <w:rPr>
          <w:rFonts w:ascii="Cambria" w:hAnsi="Cambria"/>
          <w:sz w:val="16"/>
          <w:szCs w:val="16"/>
          <w:lang w:val="es-AR"/>
        </w:rPr>
        <w:t xml:space="preserve">Laboratorio Central y Peritajes. Examen de guantes de parafina y análisis balístico de 29 de septiembre de 1993. Anexo al escrito de la peticionaria de 22 de noviembre de 1995. De acuerdo con este informe, la prueba de parafina respecto de Néstor de la Cruz </w:t>
      </w:r>
      <w:proofErr w:type="spellStart"/>
      <w:r w:rsidRPr="006C459C">
        <w:rPr>
          <w:rFonts w:ascii="Cambria" w:hAnsi="Cambria"/>
          <w:sz w:val="16"/>
          <w:szCs w:val="16"/>
          <w:lang w:val="es-AR"/>
        </w:rPr>
        <w:t>Chicaiza</w:t>
      </w:r>
      <w:proofErr w:type="spellEnd"/>
      <w:r w:rsidRPr="006C459C">
        <w:rPr>
          <w:rFonts w:ascii="Cambria" w:hAnsi="Cambria"/>
          <w:sz w:val="16"/>
          <w:szCs w:val="16"/>
          <w:lang w:val="es-AR"/>
        </w:rPr>
        <w:t xml:space="preserve"> y Edwin Guzman Carrera fue negativa. </w:t>
      </w:r>
    </w:p>
  </w:footnote>
  <w:footnote w:id="30">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pt-BR"/>
        </w:rPr>
        <w:t xml:space="preserve"> </w:t>
      </w:r>
      <w:r w:rsidRPr="006C459C">
        <w:rPr>
          <w:rFonts w:ascii="Cambria" w:hAnsi="Cambria"/>
          <w:sz w:val="16"/>
          <w:szCs w:val="16"/>
          <w:lang w:val="pt-BR"/>
        </w:rPr>
        <w:t xml:space="preserve">Anexo </w:t>
      </w:r>
      <w:r w:rsidR="009E1328" w:rsidRPr="006C459C">
        <w:rPr>
          <w:rFonts w:ascii="Cambria" w:hAnsi="Cambria"/>
          <w:sz w:val="16"/>
          <w:szCs w:val="16"/>
          <w:lang w:val="pt-BR"/>
        </w:rPr>
        <w:t>12</w:t>
      </w:r>
      <w:r w:rsidRPr="006C459C">
        <w:rPr>
          <w:rFonts w:ascii="Cambria" w:hAnsi="Cambria"/>
          <w:sz w:val="16"/>
          <w:szCs w:val="16"/>
          <w:lang w:val="pt-BR"/>
        </w:rPr>
        <w:t xml:space="preserve">. Oficio N° 607-LC-PN-03. </w:t>
      </w:r>
      <w:r w:rsidRPr="006C459C">
        <w:rPr>
          <w:rFonts w:ascii="Cambria" w:hAnsi="Cambria"/>
          <w:sz w:val="16"/>
          <w:szCs w:val="16"/>
          <w:lang w:val="es-AR"/>
        </w:rPr>
        <w:t xml:space="preserve">Laboratorio Central y Peritajes. Examen de proyectiles de 29 de septiembre de 1993. Anexo al escrito de la peticionaria de 22 de noviembre de 1995. </w:t>
      </w:r>
    </w:p>
  </w:footnote>
  <w:footnote w:id="31">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1B62A3" w:rsidRPr="006C459C">
        <w:rPr>
          <w:rFonts w:ascii="Cambria" w:hAnsi="Cambria"/>
          <w:sz w:val="16"/>
          <w:szCs w:val="16"/>
          <w:lang w:val="es-AR"/>
        </w:rPr>
        <w:t>13</w:t>
      </w:r>
      <w:r w:rsidRPr="006C459C">
        <w:rPr>
          <w:rFonts w:ascii="Cambria" w:hAnsi="Cambria"/>
          <w:sz w:val="16"/>
          <w:szCs w:val="16"/>
          <w:lang w:val="es-AR"/>
        </w:rPr>
        <w:t>. Informe policial de 1 de octubre de 1993. Anexo al escrito de la peticionaria de 22 de noviembre de 1995. Anexo</w:t>
      </w:r>
      <w:r w:rsidR="001B62A3" w:rsidRPr="006C459C">
        <w:rPr>
          <w:rFonts w:ascii="Cambria" w:hAnsi="Cambria"/>
          <w:sz w:val="16"/>
          <w:szCs w:val="16"/>
          <w:lang w:val="es-AR"/>
        </w:rPr>
        <w:t xml:space="preserve"> 14</w:t>
      </w:r>
      <w:r w:rsidRPr="006C459C">
        <w:rPr>
          <w:rFonts w:ascii="Cambria" w:hAnsi="Cambria"/>
          <w:sz w:val="16"/>
          <w:szCs w:val="16"/>
          <w:lang w:val="es-AR"/>
        </w:rPr>
        <w:t xml:space="preserve">. Oficio N° 600-LC-PN. Laboratorio Central y Peritajes. Examen de guantes de parafina y análisis balístico de 29 de septiembre de 1993. Anexo al escrito de la peticionaria de 22 de noviembre de 1995. De acuerdo con este informe, los revólveres habían sido disparados, sin poder </w:t>
      </w:r>
      <w:proofErr w:type="spellStart"/>
      <w:r w:rsidRPr="006C459C">
        <w:rPr>
          <w:rFonts w:ascii="Cambria" w:hAnsi="Cambria"/>
          <w:sz w:val="16"/>
          <w:szCs w:val="16"/>
          <w:lang w:val="es-AR"/>
        </w:rPr>
        <w:t>determina</w:t>
      </w:r>
      <w:proofErr w:type="spellEnd"/>
      <w:r w:rsidRPr="006C459C">
        <w:rPr>
          <w:rFonts w:ascii="Cambria" w:hAnsi="Cambria"/>
          <w:sz w:val="16"/>
          <w:szCs w:val="16"/>
          <w:lang w:val="es-AR"/>
        </w:rPr>
        <w:t xml:space="preserve"> el tiempo exacto del último disparo.</w:t>
      </w:r>
    </w:p>
  </w:footnote>
  <w:footnote w:id="32">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Anexo</w:t>
      </w:r>
      <w:r w:rsidR="001B62A3" w:rsidRPr="006C459C">
        <w:rPr>
          <w:rFonts w:ascii="Cambria" w:hAnsi="Cambria"/>
          <w:sz w:val="16"/>
          <w:szCs w:val="16"/>
          <w:lang w:val="es-AR"/>
        </w:rPr>
        <w:t xml:space="preserve"> 8</w:t>
      </w:r>
      <w:r w:rsidRPr="006C459C">
        <w:rPr>
          <w:rFonts w:ascii="Cambria" w:hAnsi="Cambria"/>
          <w:sz w:val="16"/>
          <w:szCs w:val="16"/>
          <w:lang w:val="es-AR"/>
        </w:rPr>
        <w:t xml:space="preserve">. Declaración de Segundo Néstor de la Cruz </w:t>
      </w:r>
      <w:proofErr w:type="spellStart"/>
      <w:r w:rsidRPr="006C459C">
        <w:rPr>
          <w:rFonts w:ascii="Cambria" w:hAnsi="Cambria"/>
          <w:sz w:val="16"/>
          <w:szCs w:val="16"/>
          <w:lang w:val="es-AR"/>
        </w:rPr>
        <w:t>Chicaiza</w:t>
      </w:r>
      <w:proofErr w:type="spellEnd"/>
      <w:r w:rsidRPr="006C459C">
        <w:rPr>
          <w:rFonts w:ascii="Cambria" w:hAnsi="Cambria"/>
          <w:sz w:val="16"/>
          <w:szCs w:val="16"/>
          <w:lang w:val="es-AR"/>
        </w:rPr>
        <w:t xml:space="preserve"> ante la Dirección Nacional de Investigaciones de la Policía de Otavalo de 17 de septiembre de 1993. Anexo a la petición inicial de la peticionaria.</w:t>
      </w:r>
    </w:p>
  </w:footnote>
  <w:footnote w:id="33">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1B62A3" w:rsidRPr="006C459C">
        <w:rPr>
          <w:rFonts w:ascii="Cambria" w:hAnsi="Cambria"/>
          <w:sz w:val="16"/>
          <w:szCs w:val="16"/>
          <w:lang w:val="es-AR"/>
        </w:rPr>
        <w:t>8</w:t>
      </w:r>
      <w:r w:rsidRPr="006C459C">
        <w:rPr>
          <w:rFonts w:ascii="Cambria" w:hAnsi="Cambria"/>
          <w:sz w:val="16"/>
          <w:szCs w:val="16"/>
          <w:lang w:val="es-AR"/>
        </w:rPr>
        <w:t xml:space="preserve">. Declaración de Segundo Néstor de la Cruz </w:t>
      </w:r>
      <w:proofErr w:type="spellStart"/>
      <w:r w:rsidRPr="006C459C">
        <w:rPr>
          <w:rFonts w:ascii="Cambria" w:hAnsi="Cambria"/>
          <w:sz w:val="16"/>
          <w:szCs w:val="16"/>
          <w:lang w:val="es-AR"/>
        </w:rPr>
        <w:t>Chicaiza</w:t>
      </w:r>
      <w:proofErr w:type="spellEnd"/>
      <w:r w:rsidRPr="006C459C">
        <w:rPr>
          <w:rFonts w:ascii="Cambria" w:hAnsi="Cambria"/>
          <w:sz w:val="16"/>
          <w:szCs w:val="16"/>
          <w:lang w:val="es-AR"/>
        </w:rPr>
        <w:t xml:space="preserve"> ante la Dirección Nacional de Investigaciones de la Policía de Otavalo de 17 de septiembre de 1993. Anexo a la petición inicial de la peticionaria.</w:t>
      </w:r>
    </w:p>
  </w:footnote>
  <w:footnote w:id="34">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1B62A3" w:rsidRPr="006C459C">
        <w:rPr>
          <w:rFonts w:ascii="Cambria" w:hAnsi="Cambria"/>
          <w:sz w:val="16"/>
          <w:szCs w:val="16"/>
          <w:lang w:val="es-AR"/>
        </w:rPr>
        <w:t>8</w:t>
      </w:r>
      <w:r w:rsidRPr="006C459C">
        <w:rPr>
          <w:rFonts w:ascii="Cambria" w:hAnsi="Cambria"/>
          <w:sz w:val="16"/>
          <w:szCs w:val="16"/>
          <w:lang w:val="es-AR"/>
        </w:rPr>
        <w:t xml:space="preserve">. Declaración de Segundo Néstor de la Cruz </w:t>
      </w:r>
      <w:proofErr w:type="spellStart"/>
      <w:r w:rsidRPr="006C459C">
        <w:rPr>
          <w:rFonts w:ascii="Cambria" w:hAnsi="Cambria"/>
          <w:sz w:val="16"/>
          <w:szCs w:val="16"/>
          <w:lang w:val="es-AR"/>
        </w:rPr>
        <w:t>Chicaiza</w:t>
      </w:r>
      <w:proofErr w:type="spellEnd"/>
      <w:r w:rsidRPr="006C459C">
        <w:rPr>
          <w:rFonts w:ascii="Cambria" w:hAnsi="Cambria"/>
          <w:sz w:val="16"/>
          <w:szCs w:val="16"/>
          <w:lang w:val="es-AR"/>
        </w:rPr>
        <w:t xml:space="preserve"> ante la Dirección Nacional de Investigaciones de la Policía de Otavalo de 17 de septiembre de 1993. Anexo a la petición inicial de la peticionaria.</w:t>
      </w:r>
    </w:p>
  </w:footnote>
  <w:footnote w:id="35">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1B62A3"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1995. Anexo al escrito de la peticionaria de 11 de junio de 1999.</w:t>
      </w:r>
    </w:p>
  </w:footnote>
  <w:footnote w:id="36">
    <w:p w:rsidR="006A3859" w:rsidRPr="006C459C" w:rsidRDefault="006A3859" w:rsidP="00D060AD">
      <w:pPr>
        <w:jc w:val="both"/>
        <w:rPr>
          <w:rFonts w:ascii="Cambria" w:hAnsi="Cambria"/>
          <w:sz w:val="16"/>
          <w:szCs w:val="16"/>
          <w:lang w:val="es-C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FB4384"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1995. Anexo al escrito de la peticionaria de 11 de junio de 1999.</w:t>
      </w:r>
    </w:p>
  </w:footnote>
  <w:footnote w:id="37">
    <w:p w:rsidR="006A3859" w:rsidRPr="006C459C" w:rsidRDefault="006A3859" w:rsidP="00D060AD">
      <w:pPr>
        <w:jc w:val="both"/>
        <w:rPr>
          <w:rFonts w:ascii="Cambria" w:hAnsi="Cambria"/>
          <w:sz w:val="16"/>
          <w:szCs w:val="16"/>
          <w:lang w:val="es-C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FB4384"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1995. Anexo al escrito de la peticionaria de 11 de junio de 1999.</w:t>
      </w:r>
    </w:p>
  </w:footnote>
  <w:footnote w:id="38">
    <w:p w:rsidR="006A3859" w:rsidRPr="006C459C" w:rsidRDefault="006A3859" w:rsidP="00D060AD">
      <w:pPr>
        <w:jc w:val="both"/>
        <w:rPr>
          <w:rFonts w:ascii="Cambria" w:hAnsi="Cambria"/>
          <w:sz w:val="16"/>
          <w:szCs w:val="16"/>
          <w:lang w:val="es-CO"/>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FB4384" w:rsidRPr="006C459C">
        <w:rPr>
          <w:rFonts w:ascii="Cambria" w:hAnsi="Cambria"/>
          <w:sz w:val="16"/>
          <w:szCs w:val="16"/>
          <w:lang w:val="es-AR"/>
        </w:rPr>
        <w:t xml:space="preserve"> 13</w:t>
      </w:r>
      <w:r w:rsidRPr="006C459C">
        <w:rPr>
          <w:rFonts w:ascii="Cambria" w:hAnsi="Cambria"/>
          <w:sz w:val="16"/>
          <w:szCs w:val="16"/>
          <w:lang w:val="es-AR"/>
        </w:rPr>
        <w:t>. Informe policial de 1 de octubre de 1993. Anexo al escrito de la peticionaria de 22 de noviembre de 1995.</w:t>
      </w:r>
    </w:p>
  </w:footnote>
  <w:footnote w:id="39">
    <w:p w:rsidR="006A3859" w:rsidRPr="006C459C" w:rsidRDefault="006A3859" w:rsidP="00D060AD">
      <w:pPr>
        <w:jc w:val="both"/>
        <w:rPr>
          <w:rFonts w:ascii="Cambria" w:hAnsi="Cambria"/>
          <w:sz w:val="16"/>
          <w:szCs w:val="16"/>
          <w:lang w:val="es-CO"/>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FB4384" w:rsidRPr="006C459C">
        <w:rPr>
          <w:rFonts w:ascii="Cambria" w:hAnsi="Cambria"/>
          <w:sz w:val="16"/>
          <w:szCs w:val="16"/>
          <w:lang w:val="es-AR"/>
        </w:rPr>
        <w:t>13</w:t>
      </w:r>
      <w:r w:rsidRPr="006C459C">
        <w:rPr>
          <w:rFonts w:ascii="Cambria" w:hAnsi="Cambria"/>
          <w:sz w:val="16"/>
          <w:szCs w:val="16"/>
          <w:lang w:val="es-AR"/>
        </w:rPr>
        <w:t>. Informe policial de 1 de octubre de 1993. Anexo al escrito de la peticionaria de 22 de noviembre de 1995.</w:t>
      </w:r>
    </w:p>
  </w:footnote>
  <w:footnote w:id="40">
    <w:p w:rsidR="006A3859" w:rsidRPr="006C459C" w:rsidRDefault="006A3859" w:rsidP="00D060AD">
      <w:pPr>
        <w:jc w:val="both"/>
        <w:rPr>
          <w:rFonts w:ascii="Cambria" w:hAnsi="Cambria"/>
          <w:sz w:val="16"/>
          <w:szCs w:val="16"/>
          <w:lang w:val="es-CO"/>
        </w:rPr>
      </w:pPr>
      <w:r w:rsidRPr="006C459C">
        <w:rPr>
          <w:rStyle w:val="FootnoteReference"/>
          <w:rFonts w:ascii="Cambria" w:hAnsi="Cambria"/>
          <w:sz w:val="16"/>
          <w:szCs w:val="16"/>
        </w:rPr>
        <w:footnoteRef/>
      </w:r>
      <w:r w:rsidRPr="006C459C">
        <w:rPr>
          <w:rFonts w:ascii="Cambria" w:hAnsi="Cambria"/>
          <w:sz w:val="16"/>
          <w:szCs w:val="16"/>
          <w:lang w:val="es-CO"/>
        </w:rPr>
        <w:t xml:space="preserve"> </w:t>
      </w:r>
      <w:r w:rsidRPr="006C459C">
        <w:rPr>
          <w:rFonts w:ascii="Cambria" w:hAnsi="Cambria"/>
          <w:sz w:val="16"/>
          <w:szCs w:val="16"/>
          <w:lang w:val="es-AR"/>
        </w:rPr>
        <w:t xml:space="preserve">Anexo </w:t>
      </w:r>
      <w:r w:rsidR="00FB4384" w:rsidRPr="006C459C">
        <w:rPr>
          <w:rFonts w:ascii="Cambria" w:hAnsi="Cambria"/>
          <w:sz w:val="16"/>
          <w:szCs w:val="16"/>
          <w:lang w:val="es-AR"/>
        </w:rPr>
        <w:t>13</w:t>
      </w:r>
      <w:r w:rsidRPr="006C459C">
        <w:rPr>
          <w:rFonts w:ascii="Cambria" w:hAnsi="Cambria"/>
          <w:sz w:val="16"/>
          <w:szCs w:val="16"/>
          <w:lang w:val="es-AR"/>
        </w:rPr>
        <w:t>. Informe policial de 1 de octubre de 1993. Anexo al escrito de la peticionaria de 22 de noviembre de 1995.</w:t>
      </w:r>
    </w:p>
  </w:footnote>
  <w:footnote w:id="41">
    <w:p w:rsidR="006A3859" w:rsidRPr="006C459C" w:rsidRDefault="006A3859" w:rsidP="00D060AD">
      <w:pPr>
        <w:jc w:val="both"/>
        <w:rPr>
          <w:rFonts w:ascii="Cambria" w:hAnsi="Cambria"/>
          <w:sz w:val="16"/>
          <w:szCs w:val="16"/>
          <w:lang w:val="es-CR"/>
        </w:rPr>
      </w:pPr>
      <w:r w:rsidRPr="006C459C">
        <w:rPr>
          <w:rStyle w:val="FootnoteReference"/>
          <w:rFonts w:ascii="Cambria" w:hAnsi="Cambria"/>
          <w:sz w:val="16"/>
          <w:szCs w:val="16"/>
        </w:rPr>
        <w:footnoteRef/>
      </w:r>
      <w:r w:rsidRPr="006C459C">
        <w:rPr>
          <w:rFonts w:ascii="Cambria" w:hAnsi="Cambria"/>
          <w:sz w:val="16"/>
          <w:szCs w:val="16"/>
          <w:lang w:val="es-CO"/>
        </w:rPr>
        <w:t xml:space="preserve"> </w:t>
      </w:r>
      <w:r w:rsidRPr="006C459C">
        <w:rPr>
          <w:rFonts w:ascii="Cambria" w:hAnsi="Cambria"/>
          <w:sz w:val="16"/>
          <w:szCs w:val="16"/>
          <w:lang w:val="es-AR"/>
        </w:rPr>
        <w:t xml:space="preserve">Anexo </w:t>
      </w:r>
      <w:r w:rsidR="00FB4384" w:rsidRPr="006C459C">
        <w:rPr>
          <w:rFonts w:ascii="Cambria" w:hAnsi="Cambria"/>
          <w:sz w:val="16"/>
          <w:szCs w:val="16"/>
          <w:lang w:val="es-AR"/>
        </w:rPr>
        <w:t>13</w:t>
      </w:r>
      <w:r w:rsidRPr="006C459C">
        <w:rPr>
          <w:rFonts w:ascii="Cambria" w:hAnsi="Cambria"/>
          <w:sz w:val="16"/>
          <w:szCs w:val="16"/>
          <w:lang w:val="es-AR"/>
        </w:rPr>
        <w:t>. Informe policial de 1 de octubre de 1993. Anexo al escrito de la peticionaria de 22 de noviembre de 1995.</w:t>
      </w:r>
    </w:p>
  </w:footnote>
  <w:footnote w:id="42">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FB4384" w:rsidRPr="006C459C">
        <w:rPr>
          <w:rFonts w:ascii="Cambria" w:hAnsi="Cambria"/>
          <w:sz w:val="16"/>
          <w:szCs w:val="16"/>
          <w:lang w:val="es-AR"/>
        </w:rPr>
        <w:t>13</w:t>
      </w:r>
      <w:r w:rsidRPr="006C459C">
        <w:rPr>
          <w:rFonts w:ascii="Cambria" w:hAnsi="Cambria"/>
          <w:sz w:val="16"/>
          <w:szCs w:val="16"/>
          <w:lang w:val="es-AR"/>
        </w:rPr>
        <w:t>. Informe policial de 1 de octubre de 1993. Anexo al escrito de la peticionaria de 22 de noviembre de 1995.</w:t>
      </w:r>
    </w:p>
  </w:footnote>
  <w:footnote w:id="43">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Anexo</w:t>
      </w:r>
      <w:r w:rsidR="00FB4384" w:rsidRPr="006C459C">
        <w:rPr>
          <w:rFonts w:ascii="Cambria" w:hAnsi="Cambria"/>
          <w:sz w:val="16"/>
          <w:szCs w:val="16"/>
          <w:lang w:val="es-AR"/>
        </w:rPr>
        <w:t xml:space="preserve"> 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44">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Anexo</w:t>
      </w:r>
      <w:r w:rsidR="00FB4384" w:rsidRPr="006C459C">
        <w:rPr>
          <w:rFonts w:ascii="Cambria" w:hAnsi="Cambria"/>
          <w:sz w:val="16"/>
          <w:szCs w:val="16"/>
          <w:lang w:val="es-AR"/>
        </w:rPr>
        <w:t xml:space="preserve"> 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45">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Anexo</w:t>
      </w:r>
      <w:r w:rsidR="00FB4384" w:rsidRPr="006C459C">
        <w:rPr>
          <w:rFonts w:ascii="Cambria" w:hAnsi="Cambria"/>
          <w:sz w:val="16"/>
          <w:szCs w:val="16"/>
          <w:lang w:val="es-AR"/>
        </w:rPr>
        <w:t xml:space="preserve"> 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46">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Anexo</w:t>
      </w:r>
      <w:r w:rsidR="00FB4384" w:rsidRPr="006C459C">
        <w:rPr>
          <w:rFonts w:ascii="Cambria" w:hAnsi="Cambria"/>
          <w:sz w:val="16"/>
          <w:szCs w:val="16"/>
          <w:lang w:val="es-AR"/>
        </w:rPr>
        <w:t xml:space="preserve"> 7</w:t>
      </w:r>
      <w:r w:rsidRPr="006C459C">
        <w:rPr>
          <w:rFonts w:ascii="Cambria" w:hAnsi="Cambria"/>
          <w:sz w:val="16"/>
          <w:szCs w:val="16"/>
          <w:lang w:val="es-AR"/>
        </w:rPr>
        <w:t>. Dictamen Fiscal Dictamen Fiscal ante el Juzgado Tercero penal de Imbabura de 1 de septiembre de 1994. Anexo al escrito de la peticionaria recibido el 22 de noviembre de 1995.</w:t>
      </w:r>
    </w:p>
  </w:footnote>
  <w:footnote w:id="47">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AR"/>
        </w:rPr>
        <w:t xml:space="preserve"> Anexo</w:t>
      </w:r>
      <w:r w:rsidR="00FB4384" w:rsidRPr="006C459C">
        <w:rPr>
          <w:rFonts w:ascii="Cambria" w:hAnsi="Cambria"/>
          <w:sz w:val="16"/>
          <w:szCs w:val="16"/>
          <w:lang w:val="es-AR"/>
        </w:rPr>
        <w:t xml:space="preserve"> 3</w:t>
      </w:r>
      <w:r w:rsidRPr="006C459C">
        <w:rPr>
          <w:rFonts w:ascii="Cambria" w:hAnsi="Cambria"/>
          <w:sz w:val="16"/>
          <w:szCs w:val="16"/>
          <w:lang w:val="es-AR"/>
        </w:rPr>
        <w:t>. Escrito de querella civil y penal de Franklin Plutarco García Espinosa de 5 de noviembre de 1993. Anexo al escrito de la peticionaria de 3 de agosto de 1995.</w:t>
      </w:r>
    </w:p>
  </w:footnote>
  <w:footnote w:id="48">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sz w:val="16"/>
          <w:szCs w:val="16"/>
          <w:lang w:val="es-AR"/>
        </w:rPr>
        <w:t xml:space="preserve">Anexo </w:t>
      </w:r>
      <w:r w:rsidR="00FB4384" w:rsidRPr="006C459C">
        <w:rPr>
          <w:rFonts w:ascii="Cambria" w:hAnsi="Cambria"/>
          <w:sz w:val="16"/>
          <w:szCs w:val="16"/>
          <w:lang w:val="es-AR"/>
        </w:rPr>
        <w:t>14</w:t>
      </w:r>
      <w:r w:rsidRPr="006C459C">
        <w:rPr>
          <w:rFonts w:ascii="Cambria" w:hAnsi="Cambria"/>
          <w:sz w:val="16"/>
          <w:szCs w:val="16"/>
          <w:lang w:val="es-AR"/>
        </w:rPr>
        <w:t>. Escrito de CEDHU dirigido al Fiscal General de la Nación de 1 de junio de 1994. Anexo a la petición inicial de la peticionaria.</w:t>
      </w:r>
    </w:p>
  </w:footnote>
  <w:footnote w:id="49">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w:t>
      </w:r>
      <w:r w:rsidRPr="006C459C">
        <w:rPr>
          <w:rFonts w:ascii="Cambria" w:hAnsi="Cambria"/>
          <w:sz w:val="16"/>
          <w:szCs w:val="16"/>
          <w:lang w:val="es-AR"/>
        </w:rPr>
        <w:t xml:space="preserve">Anexo </w:t>
      </w:r>
      <w:r w:rsidR="00FB4384" w:rsidRPr="006C459C">
        <w:rPr>
          <w:rFonts w:ascii="Cambria" w:hAnsi="Cambria"/>
          <w:sz w:val="16"/>
          <w:szCs w:val="16"/>
          <w:lang w:val="es-AR"/>
        </w:rPr>
        <w:t>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50">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w:t>
      </w:r>
      <w:r w:rsidRPr="006C459C">
        <w:rPr>
          <w:rFonts w:ascii="Cambria" w:hAnsi="Cambria"/>
          <w:sz w:val="16"/>
          <w:szCs w:val="16"/>
          <w:lang w:val="es-AR"/>
        </w:rPr>
        <w:t xml:space="preserve">Anexo </w:t>
      </w:r>
      <w:r w:rsidR="00FB4384" w:rsidRPr="006C459C">
        <w:rPr>
          <w:rFonts w:ascii="Cambria" w:hAnsi="Cambria"/>
          <w:sz w:val="16"/>
          <w:szCs w:val="16"/>
          <w:lang w:val="es-AR"/>
        </w:rPr>
        <w:t>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51">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w:t>
      </w:r>
      <w:r w:rsidRPr="006C459C">
        <w:rPr>
          <w:rFonts w:ascii="Cambria" w:hAnsi="Cambria"/>
          <w:sz w:val="16"/>
          <w:szCs w:val="16"/>
          <w:lang w:val="es-AR"/>
        </w:rPr>
        <w:t xml:space="preserve">Anexo </w:t>
      </w:r>
      <w:r w:rsidR="00FB4384" w:rsidRPr="006C459C">
        <w:rPr>
          <w:rFonts w:ascii="Cambria" w:hAnsi="Cambria"/>
          <w:sz w:val="16"/>
          <w:szCs w:val="16"/>
          <w:lang w:val="es-AR"/>
        </w:rPr>
        <w:t>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52">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w:t>
      </w:r>
      <w:r w:rsidRPr="006C459C">
        <w:rPr>
          <w:rFonts w:ascii="Cambria" w:hAnsi="Cambria"/>
          <w:sz w:val="16"/>
          <w:szCs w:val="16"/>
          <w:lang w:val="es-AR"/>
        </w:rPr>
        <w:t xml:space="preserve">Anexo </w:t>
      </w:r>
      <w:r w:rsidR="00FB4384" w:rsidRPr="006C459C">
        <w:rPr>
          <w:rFonts w:ascii="Cambria" w:hAnsi="Cambria"/>
          <w:sz w:val="16"/>
          <w:szCs w:val="16"/>
          <w:lang w:val="es-AR"/>
        </w:rPr>
        <w:t>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53">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w:t>
      </w:r>
      <w:r w:rsidRPr="006C459C">
        <w:rPr>
          <w:rFonts w:ascii="Cambria" w:hAnsi="Cambria"/>
          <w:sz w:val="16"/>
          <w:szCs w:val="16"/>
          <w:lang w:val="es-AR"/>
        </w:rPr>
        <w:t xml:space="preserve">Anexo </w:t>
      </w:r>
      <w:r w:rsidR="00FB4384" w:rsidRPr="006C459C">
        <w:rPr>
          <w:rFonts w:ascii="Cambria" w:hAnsi="Cambria"/>
          <w:sz w:val="16"/>
          <w:szCs w:val="16"/>
          <w:lang w:val="es-AR"/>
        </w:rPr>
        <w:t>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54">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w:t>
      </w:r>
      <w:r w:rsidRPr="006C459C">
        <w:rPr>
          <w:rFonts w:ascii="Cambria" w:hAnsi="Cambria"/>
          <w:sz w:val="16"/>
          <w:szCs w:val="16"/>
          <w:lang w:val="es-AR"/>
        </w:rPr>
        <w:t xml:space="preserve">Anexo </w:t>
      </w:r>
      <w:r w:rsidR="00FB4384" w:rsidRPr="006C459C">
        <w:rPr>
          <w:rFonts w:ascii="Cambria" w:hAnsi="Cambria"/>
          <w:sz w:val="16"/>
          <w:szCs w:val="16"/>
          <w:lang w:val="es-AR"/>
        </w:rPr>
        <w:t>7</w:t>
      </w:r>
      <w:r w:rsidRPr="006C459C">
        <w:rPr>
          <w:rFonts w:ascii="Cambria" w:hAnsi="Cambria"/>
          <w:sz w:val="16"/>
          <w:szCs w:val="16"/>
          <w:lang w:val="es-AR"/>
        </w:rPr>
        <w:t>. Dictamen Fiscal ante el Juzgado Tercero penal de Imbabura de 1 de septiembre de 1994. Anexo al escrito de la peticionaria recibido el 22 de noviembre de 1995.</w:t>
      </w:r>
    </w:p>
  </w:footnote>
  <w:footnote w:id="55">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FB4384" w:rsidRPr="006C459C">
        <w:rPr>
          <w:rFonts w:ascii="Cambria" w:hAnsi="Cambria"/>
          <w:sz w:val="16"/>
          <w:szCs w:val="16"/>
          <w:lang w:val="es-CR"/>
        </w:rPr>
        <w:t>15</w:t>
      </w:r>
      <w:r w:rsidRPr="006C459C">
        <w:rPr>
          <w:rFonts w:ascii="Cambria" w:hAnsi="Cambria"/>
          <w:sz w:val="16"/>
          <w:szCs w:val="16"/>
          <w:lang w:val="es-CR"/>
        </w:rPr>
        <w:t xml:space="preserve">. Comunicación de 16 de septiembre de 1994 dirigida al Juez Tercero de lo Penal. </w:t>
      </w:r>
      <w:r w:rsidRPr="006C459C">
        <w:rPr>
          <w:rFonts w:ascii="Cambria" w:hAnsi="Cambria"/>
          <w:sz w:val="16"/>
          <w:szCs w:val="16"/>
          <w:lang w:val="es-AR"/>
        </w:rPr>
        <w:t>Anexo al escrito de la peticionaria recibido el 22 de noviembre de 1995.</w:t>
      </w:r>
    </w:p>
  </w:footnote>
  <w:footnote w:id="56">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FB4384" w:rsidRPr="006C459C">
        <w:rPr>
          <w:rFonts w:ascii="Cambria" w:hAnsi="Cambria"/>
          <w:sz w:val="16"/>
          <w:szCs w:val="16"/>
          <w:lang w:val="es-CR"/>
        </w:rPr>
        <w:t>15</w:t>
      </w:r>
      <w:r w:rsidRPr="006C459C">
        <w:rPr>
          <w:rFonts w:ascii="Cambria" w:hAnsi="Cambria"/>
          <w:sz w:val="16"/>
          <w:szCs w:val="16"/>
          <w:lang w:val="es-CR"/>
        </w:rPr>
        <w:t xml:space="preserve">. Comunicación de 16 de septiembre de 1994 dirigida al Juez Tercero de lo Penal. </w:t>
      </w:r>
      <w:r w:rsidRPr="006C459C">
        <w:rPr>
          <w:rFonts w:ascii="Cambria" w:hAnsi="Cambria"/>
          <w:sz w:val="16"/>
          <w:szCs w:val="16"/>
          <w:lang w:val="es-AR"/>
        </w:rPr>
        <w:t>Anexo al escrito de la peticionaria recibido el 22 de noviembre de 1995.</w:t>
      </w:r>
    </w:p>
  </w:footnote>
  <w:footnote w:id="57">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FB4384"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58">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FB4384"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59">
    <w:p w:rsidR="006A3859" w:rsidRPr="006C459C" w:rsidRDefault="006A3859" w:rsidP="00D060AD">
      <w:pPr>
        <w:jc w:val="both"/>
        <w:rPr>
          <w:rFonts w:ascii="Cambria" w:hAnsi="Cambria"/>
          <w:sz w:val="16"/>
          <w:szCs w:val="16"/>
          <w:lang w:val="es-CO"/>
        </w:rPr>
      </w:pPr>
      <w:r w:rsidRPr="006C459C">
        <w:rPr>
          <w:rStyle w:val="FootnoteReference"/>
          <w:rFonts w:ascii="Cambria" w:hAnsi="Cambria"/>
          <w:sz w:val="16"/>
          <w:szCs w:val="16"/>
        </w:rPr>
        <w:footnoteRef/>
      </w:r>
      <w:r w:rsidRPr="006C459C">
        <w:rPr>
          <w:rFonts w:ascii="Cambria" w:hAnsi="Cambria"/>
          <w:sz w:val="16"/>
          <w:szCs w:val="16"/>
          <w:lang w:val="es-AR"/>
        </w:rPr>
        <w:t xml:space="preserve"> Anexo </w:t>
      </w:r>
      <w:r w:rsidR="005A4708" w:rsidRPr="006C459C">
        <w:rPr>
          <w:rFonts w:ascii="Cambria" w:hAnsi="Cambria"/>
          <w:sz w:val="16"/>
          <w:szCs w:val="16"/>
          <w:lang w:val="es-AR"/>
        </w:rPr>
        <w:t>5</w:t>
      </w:r>
      <w:r w:rsidRPr="006C459C">
        <w:rPr>
          <w:rFonts w:ascii="Cambria" w:hAnsi="Cambria"/>
          <w:sz w:val="16"/>
          <w:szCs w:val="16"/>
          <w:lang w:val="es-AR"/>
        </w:rPr>
        <w:t>. Sentencia de la Segunda Sala de la Corte Superior de Justicia de Ibarra, de 29 de agosto de 1995. Anexo al escrito de la peticionaria de 21 de marzo de 1996.</w:t>
      </w:r>
    </w:p>
  </w:footnote>
  <w:footnote w:id="60">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FB4384"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61">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FB4384"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62">
    <w:p w:rsidR="006A3859" w:rsidRPr="006C459C" w:rsidRDefault="006A3859" w:rsidP="00D060AD">
      <w:pPr>
        <w:autoSpaceDE w:val="0"/>
        <w:autoSpaceDN w:val="0"/>
        <w:adjustRightInd w:val="0"/>
        <w:jc w:val="both"/>
        <w:rPr>
          <w:rFonts w:ascii="Cambria" w:hAnsi="Cambria" w:cs="Courier"/>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w:t>
      </w:r>
      <w:r w:rsidRPr="006C459C">
        <w:rPr>
          <w:rFonts w:ascii="Cambria" w:hAnsi="Cambria" w:cs="Courier"/>
          <w:sz w:val="16"/>
          <w:szCs w:val="16"/>
          <w:lang w:val="es-AR"/>
        </w:rPr>
        <w:t>Código Penal de Ecuador. Registro Oficial Suplemento 147 de 22 de Enero de 1971.</w:t>
      </w:r>
    </w:p>
    <w:p w:rsidR="006A3859" w:rsidRPr="006C459C" w:rsidRDefault="006A3859" w:rsidP="00360085">
      <w:pPr>
        <w:autoSpaceDE w:val="0"/>
        <w:autoSpaceDN w:val="0"/>
        <w:adjustRightInd w:val="0"/>
        <w:jc w:val="both"/>
        <w:rPr>
          <w:rFonts w:ascii="Cambria" w:hAnsi="Cambria" w:cs="Courier"/>
          <w:sz w:val="16"/>
          <w:szCs w:val="16"/>
          <w:lang w:val="es-AR"/>
        </w:rPr>
      </w:pPr>
      <w:r w:rsidRPr="006C459C">
        <w:rPr>
          <w:rFonts w:ascii="Cambria" w:hAnsi="Cambria" w:cs="Courier"/>
          <w:sz w:val="16"/>
          <w:szCs w:val="16"/>
          <w:lang w:val="es-AR"/>
        </w:rPr>
        <w:t>Art. 29.- Son circunstancias atenuantes todas las que, refiriéndose a las causas impulsivas de la infracción, al estado y capacidad física e intelectual del delincuente, a su conducta con respecto al acto y sus consecuencias, disminuyen la gravedad de la infracción, o la alarma ocasionada en la sociedad, o dan a conocer la poca o ninguna peligrosidad del autor, como en los casos siguientes:</w:t>
      </w:r>
    </w:p>
    <w:p w:rsidR="006A3859" w:rsidRPr="006C459C" w:rsidRDefault="006A3859" w:rsidP="00D060AD">
      <w:pPr>
        <w:autoSpaceDE w:val="0"/>
        <w:autoSpaceDN w:val="0"/>
        <w:adjustRightInd w:val="0"/>
        <w:jc w:val="both"/>
        <w:rPr>
          <w:rFonts w:ascii="Cambria" w:hAnsi="Cambria" w:cs="Courier"/>
          <w:sz w:val="16"/>
          <w:szCs w:val="16"/>
          <w:lang w:val="es-AR"/>
        </w:rPr>
      </w:pPr>
      <w:r w:rsidRPr="006C459C">
        <w:rPr>
          <w:rFonts w:ascii="Cambria" w:hAnsi="Cambria" w:cs="Courier"/>
          <w:sz w:val="16"/>
          <w:szCs w:val="16"/>
          <w:lang w:val="es-AR"/>
        </w:rPr>
        <w:t>[…]6o.- Ejemplar conducta observada por el culpado con posterioridad a la infracción;</w:t>
      </w:r>
    </w:p>
    <w:p w:rsidR="006A3859" w:rsidRPr="006C459C" w:rsidRDefault="006A3859" w:rsidP="00D060AD">
      <w:pPr>
        <w:autoSpaceDE w:val="0"/>
        <w:autoSpaceDN w:val="0"/>
        <w:adjustRightInd w:val="0"/>
        <w:jc w:val="both"/>
        <w:rPr>
          <w:rFonts w:ascii="Cambria" w:hAnsi="Cambria"/>
          <w:sz w:val="16"/>
          <w:szCs w:val="16"/>
          <w:lang w:val="es-AR"/>
        </w:rPr>
      </w:pPr>
      <w:r w:rsidRPr="006C459C">
        <w:rPr>
          <w:rFonts w:ascii="Cambria" w:hAnsi="Cambria"/>
          <w:sz w:val="16"/>
          <w:szCs w:val="16"/>
          <w:lang w:val="es-AR"/>
        </w:rPr>
        <w:t>7o.- Conducta anterior del delincuente que revele claramente no tratarse de un individuo peligroso</w:t>
      </w:r>
      <w:proofErr w:type="gramStart"/>
      <w:r w:rsidRPr="006C459C">
        <w:rPr>
          <w:rFonts w:ascii="Cambria" w:hAnsi="Cambria"/>
          <w:sz w:val="16"/>
          <w:szCs w:val="16"/>
          <w:lang w:val="es-AR"/>
        </w:rPr>
        <w:t>;[</w:t>
      </w:r>
      <w:proofErr w:type="gramEnd"/>
      <w:r w:rsidRPr="006C459C">
        <w:rPr>
          <w:rFonts w:ascii="Cambria" w:hAnsi="Cambria"/>
          <w:sz w:val="16"/>
          <w:szCs w:val="16"/>
          <w:lang w:val="es-AR"/>
        </w:rPr>
        <w:t>…]</w:t>
      </w:r>
    </w:p>
  </w:footnote>
  <w:footnote w:id="63">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5A470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64">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5A470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65">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5A470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66">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5A470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67">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5A470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68">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5A470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69">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5A4708" w:rsidRPr="006C459C">
        <w:rPr>
          <w:rFonts w:ascii="Cambria" w:hAnsi="Cambria"/>
          <w:sz w:val="16"/>
          <w:szCs w:val="16"/>
          <w:lang w:val="es-CR"/>
        </w:rPr>
        <w:t>4</w:t>
      </w:r>
      <w:r w:rsidRPr="006C459C">
        <w:rPr>
          <w:rFonts w:ascii="Cambria" w:hAnsi="Cambria"/>
          <w:sz w:val="16"/>
          <w:szCs w:val="16"/>
          <w:lang w:val="es-CR"/>
        </w:rPr>
        <w:t>. Sentencia del Tribunal Penal de Imbabura de 3 de septiembre de 1996. Anexo al escrito de la peticionaria de 11 de junio de 1999.</w:t>
      </w:r>
    </w:p>
  </w:footnote>
  <w:footnote w:id="70">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Información presentada por l</w:t>
      </w:r>
      <w:r w:rsidRPr="006C459C">
        <w:rPr>
          <w:rFonts w:ascii="Cambria" w:hAnsi="Cambria"/>
          <w:sz w:val="16"/>
          <w:szCs w:val="16"/>
          <w:lang w:val="es-AR"/>
        </w:rPr>
        <w:t>a peticionaria y el Estado.</w:t>
      </w:r>
    </w:p>
  </w:footnote>
  <w:footnote w:id="71">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Información presentada por l</w:t>
      </w:r>
      <w:r w:rsidRPr="006C459C">
        <w:rPr>
          <w:rFonts w:ascii="Cambria" w:hAnsi="Cambria"/>
          <w:sz w:val="16"/>
          <w:szCs w:val="16"/>
          <w:lang w:val="es-AR"/>
        </w:rPr>
        <w:t xml:space="preserve">a peticionaria y el Estado. </w:t>
      </w:r>
    </w:p>
  </w:footnote>
  <w:footnote w:id="72">
    <w:p w:rsidR="006A3859" w:rsidRPr="006C459C" w:rsidRDefault="006A3859" w:rsidP="00D060AD">
      <w:pPr>
        <w:jc w:val="both"/>
        <w:rPr>
          <w:rFonts w:ascii="Cambria" w:hAnsi="Cambria"/>
          <w:sz w:val="16"/>
          <w:szCs w:val="16"/>
          <w:lang w:val="es-AR"/>
        </w:rPr>
      </w:pPr>
      <w:r w:rsidRPr="006C459C">
        <w:rPr>
          <w:rStyle w:val="FootnoteReference"/>
          <w:rFonts w:ascii="Cambria" w:hAnsi="Cambria"/>
          <w:sz w:val="16"/>
          <w:szCs w:val="16"/>
        </w:rPr>
        <w:footnoteRef/>
      </w:r>
      <w:r w:rsidRPr="006C459C">
        <w:rPr>
          <w:rFonts w:ascii="Cambria" w:hAnsi="Cambria"/>
          <w:sz w:val="16"/>
          <w:szCs w:val="16"/>
          <w:lang w:val="es-CR"/>
        </w:rPr>
        <w:t xml:space="preserve"> Anexo </w:t>
      </w:r>
      <w:r w:rsidR="005A4708" w:rsidRPr="006C459C">
        <w:rPr>
          <w:rFonts w:ascii="Cambria" w:hAnsi="Cambria"/>
          <w:sz w:val="16"/>
          <w:szCs w:val="16"/>
          <w:lang w:val="es-CR"/>
        </w:rPr>
        <w:t>16</w:t>
      </w:r>
      <w:r w:rsidRPr="006C459C">
        <w:rPr>
          <w:rFonts w:ascii="Cambria" w:hAnsi="Cambria"/>
          <w:sz w:val="16"/>
          <w:szCs w:val="16"/>
          <w:lang w:val="es-CR"/>
        </w:rPr>
        <w:t xml:space="preserve">. Escrito del Estado de 20 de septiembre de 2000. </w:t>
      </w:r>
    </w:p>
  </w:footnote>
  <w:footnote w:id="73">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Corte I.D.H., </w:t>
      </w:r>
      <w:r w:rsidRPr="006C459C">
        <w:rPr>
          <w:rFonts w:ascii="Cambria" w:hAnsi="Cambria"/>
          <w:i/>
          <w:iCs/>
          <w:sz w:val="16"/>
          <w:szCs w:val="16"/>
          <w:lang w:val="es-ES"/>
        </w:rPr>
        <w:t>Caso de los “Niños de la Calle” (Villagrán Morales y otros) Vs. Guatemala.</w:t>
      </w:r>
      <w:r w:rsidRPr="006C459C">
        <w:rPr>
          <w:rFonts w:ascii="Cambria" w:hAnsi="Cambria"/>
          <w:sz w:val="16"/>
          <w:szCs w:val="16"/>
          <w:lang w:val="es-ES"/>
        </w:rPr>
        <w:t xml:space="preserve"> Fondo. Sentencia de 19 de noviembre de 1999. Serie C No. 63, párr. 144.</w:t>
      </w:r>
    </w:p>
  </w:footnote>
  <w:footnote w:id="74">
    <w:p w:rsidR="006A3859" w:rsidRPr="006C459C" w:rsidRDefault="006A3859" w:rsidP="00D060AD">
      <w:pPr>
        <w:pStyle w:val="FootnoteText"/>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w:t>
      </w:r>
      <w:r w:rsidRPr="006C459C">
        <w:rPr>
          <w:rFonts w:ascii="Cambria" w:hAnsi="Cambria"/>
          <w:sz w:val="16"/>
          <w:szCs w:val="16"/>
          <w:lang w:val="es-ES_tradnl"/>
        </w:rPr>
        <w:t xml:space="preserve">Corte I.D.H., </w:t>
      </w:r>
      <w:r w:rsidRPr="006C459C">
        <w:rPr>
          <w:rFonts w:ascii="Cambria" w:hAnsi="Cambria"/>
          <w:i/>
          <w:iCs/>
          <w:sz w:val="16"/>
          <w:szCs w:val="16"/>
          <w:lang w:val="es-ES_tradnl"/>
        </w:rPr>
        <w:t>Caso Zambrano Vélez y otros Vs. Ecuador.</w:t>
      </w:r>
      <w:r w:rsidRPr="006C459C">
        <w:rPr>
          <w:rFonts w:ascii="Cambria" w:hAnsi="Cambria"/>
          <w:b/>
          <w:bCs/>
          <w:sz w:val="16"/>
          <w:szCs w:val="16"/>
          <w:lang w:val="es-ES_tradnl"/>
        </w:rPr>
        <w:t xml:space="preserve"> </w:t>
      </w:r>
      <w:r w:rsidRPr="006C459C">
        <w:rPr>
          <w:rFonts w:ascii="Cambria" w:hAnsi="Cambria"/>
          <w:sz w:val="16"/>
          <w:szCs w:val="16"/>
          <w:lang w:val="es-ES_tradnl"/>
        </w:rPr>
        <w:t xml:space="preserve">Fondo, Reparaciones y Costas. Sentencia de 4 de julio de 2007. Serie C No. 166, párr. 80; </w:t>
      </w:r>
      <w:r w:rsidRPr="006C459C">
        <w:rPr>
          <w:rFonts w:ascii="Cambria" w:hAnsi="Cambria"/>
          <w:i/>
          <w:iCs/>
          <w:sz w:val="16"/>
          <w:szCs w:val="16"/>
          <w:lang w:val="es-ES_tradnl"/>
        </w:rPr>
        <w:t>Caso de los “Niños de la Calle” (Villagrán Morales y otros)</w:t>
      </w:r>
      <w:r w:rsidR="00871FD8" w:rsidRPr="006C459C">
        <w:rPr>
          <w:rFonts w:ascii="Cambria" w:hAnsi="Cambria"/>
          <w:i/>
          <w:iCs/>
          <w:sz w:val="16"/>
          <w:szCs w:val="16"/>
          <w:lang w:val="es-ES_tradnl"/>
        </w:rPr>
        <w:t xml:space="preserve"> Vs. Guatemala</w:t>
      </w:r>
      <w:r w:rsidRPr="006C459C">
        <w:rPr>
          <w:rFonts w:ascii="Cambria" w:hAnsi="Cambria"/>
          <w:i/>
          <w:iCs/>
          <w:sz w:val="16"/>
          <w:szCs w:val="16"/>
          <w:lang w:val="es-ES_tradnl"/>
        </w:rPr>
        <w:t>.</w:t>
      </w:r>
      <w:r w:rsidRPr="006C459C">
        <w:rPr>
          <w:rFonts w:ascii="Cambria" w:hAnsi="Cambria"/>
          <w:sz w:val="16"/>
          <w:szCs w:val="16"/>
          <w:lang w:val="es-ES_tradnl"/>
        </w:rPr>
        <w:t xml:space="preserve"> </w:t>
      </w:r>
      <w:r w:rsidR="00871FD8" w:rsidRPr="006C459C">
        <w:rPr>
          <w:rFonts w:ascii="Cambria" w:hAnsi="Cambria"/>
          <w:sz w:val="16"/>
          <w:szCs w:val="16"/>
          <w:lang w:val="es-ES_tradnl"/>
        </w:rPr>
        <w:t xml:space="preserve">Sentencia de </w:t>
      </w:r>
      <w:r w:rsidRPr="006C459C">
        <w:rPr>
          <w:rFonts w:ascii="Cambria" w:hAnsi="Cambria"/>
          <w:sz w:val="16"/>
          <w:szCs w:val="16"/>
          <w:lang w:val="es-ES_tradnl"/>
        </w:rPr>
        <w:t>Fondo. Sentencia de 19 de noviembre de 1999. Serie C No. 63, párr. </w:t>
      </w:r>
      <w:r w:rsidRPr="006C459C">
        <w:rPr>
          <w:rFonts w:ascii="Cambria" w:hAnsi="Cambria"/>
          <w:sz w:val="16"/>
          <w:szCs w:val="16"/>
          <w:lang w:val="es-ES"/>
        </w:rPr>
        <w:t>144.</w:t>
      </w:r>
    </w:p>
  </w:footnote>
  <w:footnote w:id="75">
    <w:p w:rsidR="006A3859" w:rsidRPr="006C459C" w:rsidRDefault="006A3859" w:rsidP="00D060AD">
      <w:pPr>
        <w:jc w:val="both"/>
        <w:rPr>
          <w:rFonts w:ascii="Cambria" w:hAnsi="Cambria"/>
          <w:sz w:val="16"/>
          <w:szCs w:val="16"/>
          <w:lang w:val="pt-BR"/>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CIDH. Informe sobre Terrorismo y Derechos Humanos. </w:t>
      </w:r>
      <w:r w:rsidRPr="006C459C">
        <w:rPr>
          <w:rFonts w:ascii="Cambria" w:hAnsi="Cambria"/>
          <w:spacing w:val="-3"/>
          <w:sz w:val="16"/>
          <w:szCs w:val="16"/>
          <w:lang w:val="es-ES"/>
        </w:rPr>
        <w:t>OEA/</w:t>
      </w:r>
      <w:proofErr w:type="spellStart"/>
      <w:r w:rsidRPr="006C459C">
        <w:rPr>
          <w:rFonts w:ascii="Cambria" w:hAnsi="Cambria"/>
          <w:spacing w:val="-3"/>
          <w:sz w:val="16"/>
          <w:szCs w:val="16"/>
          <w:lang w:val="es-ES"/>
        </w:rPr>
        <w:t>Ser.L</w:t>
      </w:r>
      <w:proofErr w:type="spellEnd"/>
      <w:r w:rsidRPr="006C459C">
        <w:rPr>
          <w:rFonts w:ascii="Cambria" w:hAnsi="Cambria"/>
          <w:spacing w:val="-3"/>
          <w:sz w:val="16"/>
          <w:szCs w:val="16"/>
          <w:lang w:val="es-ES"/>
        </w:rPr>
        <w:t>/V/II.116, doc. 5,</w:t>
      </w:r>
      <w:r w:rsidRPr="006C459C">
        <w:rPr>
          <w:rFonts w:ascii="Cambria" w:hAnsi="Cambria"/>
          <w:sz w:val="16"/>
          <w:szCs w:val="16"/>
          <w:lang w:val="es-ES"/>
        </w:rPr>
        <w:t xml:space="preserve"> párr. </w:t>
      </w:r>
      <w:r w:rsidRPr="006C459C">
        <w:rPr>
          <w:rFonts w:ascii="Cambria" w:hAnsi="Cambria"/>
          <w:sz w:val="16"/>
          <w:szCs w:val="16"/>
          <w:lang w:val="pt-BR"/>
        </w:rPr>
        <w:t xml:space="preserve">88. </w:t>
      </w:r>
    </w:p>
  </w:footnote>
  <w:footnote w:id="76">
    <w:p w:rsidR="006A3859" w:rsidRPr="006C459C" w:rsidRDefault="006A3859" w:rsidP="00D060AD">
      <w:pPr>
        <w:jc w:val="both"/>
        <w:rPr>
          <w:rFonts w:ascii="Cambria" w:hAnsi="Cambria"/>
          <w:sz w:val="16"/>
          <w:szCs w:val="16"/>
          <w:lang w:val="es-ES"/>
        </w:rPr>
      </w:pPr>
      <w:r w:rsidRPr="006C459C">
        <w:rPr>
          <w:rStyle w:val="FootnoteReference"/>
          <w:rFonts w:ascii="Cambria" w:hAnsi="Cambria"/>
          <w:sz w:val="16"/>
          <w:szCs w:val="16"/>
        </w:rPr>
        <w:footnoteRef/>
      </w:r>
      <w:r w:rsidR="00871FD8" w:rsidRPr="006C459C">
        <w:rPr>
          <w:rFonts w:ascii="Cambria" w:hAnsi="Cambria"/>
          <w:sz w:val="16"/>
          <w:szCs w:val="16"/>
          <w:lang w:val="pt-BR"/>
        </w:rPr>
        <w:t xml:space="preserve"> </w:t>
      </w:r>
      <w:r w:rsidR="00871FD8" w:rsidRPr="006C459C">
        <w:rPr>
          <w:rFonts w:ascii="Cambria" w:hAnsi="Cambria"/>
          <w:sz w:val="16"/>
          <w:szCs w:val="16"/>
          <w:lang w:val="pt-BR"/>
        </w:rPr>
        <w:t xml:space="preserve">CIDH. </w:t>
      </w:r>
      <w:r w:rsidR="00871FD8" w:rsidRPr="006C459C">
        <w:rPr>
          <w:rFonts w:ascii="Cambria" w:hAnsi="Cambria"/>
          <w:sz w:val="16"/>
          <w:szCs w:val="16"/>
          <w:lang w:val="pt-BR"/>
        </w:rPr>
        <w:t>Informe No.</w:t>
      </w:r>
      <w:r w:rsidRPr="006C459C">
        <w:rPr>
          <w:rFonts w:ascii="Cambria" w:hAnsi="Cambria"/>
          <w:sz w:val="16"/>
          <w:szCs w:val="16"/>
          <w:lang w:val="pt-BR"/>
        </w:rPr>
        <w:t xml:space="preserve"> 1</w:t>
      </w:r>
      <w:r w:rsidR="00871FD8" w:rsidRPr="006C459C">
        <w:rPr>
          <w:rFonts w:ascii="Cambria" w:hAnsi="Cambria"/>
          <w:sz w:val="16"/>
          <w:szCs w:val="16"/>
          <w:lang w:val="pt-BR"/>
        </w:rPr>
        <w:t>/96, Caso 10.559, Chumbivilcas, Perú,</w:t>
      </w:r>
      <w:r w:rsidRPr="006C459C">
        <w:rPr>
          <w:rFonts w:ascii="Cambria" w:hAnsi="Cambria"/>
          <w:sz w:val="16"/>
          <w:szCs w:val="16"/>
          <w:lang w:val="pt-BR"/>
        </w:rPr>
        <w:t xml:space="preserve"> 1 de marzo de 1996; Infor</w:t>
      </w:r>
      <w:r w:rsidR="00871FD8" w:rsidRPr="006C459C">
        <w:rPr>
          <w:rFonts w:ascii="Cambria" w:hAnsi="Cambria"/>
          <w:sz w:val="16"/>
          <w:szCs w:val="16"/>
          <w:lang w:val="pt-BR"/>
        </w:rPr>
        <w:t>me No. 34/00, Caso 11.291, Carandiru, Brasil,</w:t>
      </w:r>
      <w:r w:rsidRPr="006C459C">
        <w:rPr>
          <w:rFonts w:ascii="Cambria" w:hAnsi="Cambria"/>
          <w:sz w:val="16"/>
          <w:szCs w:val="16"/>
          <w:lang w:val="pt-BR"/>
        </w:rPr>
        <w:t xml:space="preserve"> </w:t>
      </w:r>
      <w:r w:rsidRPr="006C459C">
        <w:rPr>
          <w:rFonts w:ascii="Cambria" w:hAnsi="Cambria"/>
          <w:sz w:val="16"/>
          <w:szCs w:val="16"/>
          <w:lang w:val="es-ES"/>
        </w:rPr>
        <w:t xml:space="preserve">13 </w:t>
      </w:r>
      <w:r w:rsidR="00871FD8" w:rsidRPr="006C459C">
        <w:rPr>
          <w:rFonts w:ascii="Cambria" w:hAnsi="Cambria"/>
          <w:sz w:val="16"/>
          <w:szCs w:val="16"/>
          <w:lang w:val="es-ES"/>
        </w:rPr>
        <w:t xml:space="preserve">de abril de 2000, </w:t>
      </w:r>
      <w:proofErr w:type="spellStart"/>
      <w:r w:rsidR="00871FD8" w:rsidRPr="006C459C">
        <w:rPr>
          <w:rFonts w:ascii="Cambria" w:hAnsi="Cambria"/>
          <w:sz w:val="16"/>
          <w:szCs w:val="16"/>
          <w:lang w:val="es-ES"/>
        </w:rPr>
        <w:t>párrs</w:t>
      </w:r>
      <w:proofErr w:type="spellEnd"/>
      <w:r w:rsidR="00871FD8" w:rsidRPr="006C459C">
        <w:rPr>
          <w:rFonts w:ascii="Cambria" w:hAnsi="Cambria"/>
          <w:sz w:val="16"/>
          <w:szCs w:val="16"/>
          <w:lang w:val="es-ES"/>
        </w:rPr>
        <w:t>. 63, 67 y</w:t>
      </w:r>
      <w:r w:rsidRPr="006C459C">
        <w:rPr>
          <w:rFonts w:ascii="Cambria" w:hAnsi="Cambria"/>
          <w:sz w:val="16"/>
          <w:szCs w:val="16"/>
          <w:lang w:val="es-ES"/>
        </w:rPr>
        <w:t xml:space="preserve"> 91.</w:t>
      </w:r>
    </w:p>
  </w:footnote>
  <w:footnote w:id="77">
    <w:p w:rsidR="006A3859" w:rsidRPr="006C459C" w:rsidRDefault="006A3859" w:rsidP="00D060AD">
      <w:pPr>
        <w:pStyle w:val="FootnoteText"/>
        <w:jc w:val="both"/>
        <w:rPr>
          <w:rFonts w:ascii="Cambria" w:hAnsi="Cambria"/>
          <w:b/>
          <w:sz w:val="16"/>
          <w:szCs w:val="16"/>
          <w:lang w:val="es-ES"/>
        </w:rPr>
      </w:pPr>
      <w:r w:rsidRPr="006C459C">
        <w:rPr>
          <w:rStyle w:val="FootnoteReference"/>
          <w:rFonts w:ascii="Cambria" w:hAnsi="Cambria"/>
          <w:b/>
          <w:sz w:val="16"/>
          <w:szCs w:val="16"/>
        </w:rPr>
        <w:footnoteRef/>
      </w:r>
      <w:r w:rsidRPr="006C459C">
        <w:rPr>
          <w:rFonts w:ascii="Cambria" w:hAnsi="Cambria"/>
          <w:b/>
          <w:sz w:val="16"/>
          <w:szCs w:val="16"/>
          <w:lang w:val="es-ES"/>
        </w:rPr>
        <w:t xml:space="preserve"> </w:t>
      </w:r>
      <w:r w:rsidRPr="006C459C">
        <w:rPr>
          <w:rStyle w:val="Strong"/>
          <w:rFonts w:ascii="Cambria" w:hAnsi="Cambria"/>
          <w:b w:val="0"/>
          <w:sz w:val="16"/>
          <w:szCs w:val="16"/>
          <w:shd w:val="clear" w:color="auto" w:fill="FFFFFF"/>
          <w:lang w:val="es-ES"/>
        </w:rPr>
        <w:t xml:space="preserve">Corte I.DH., </w:t>
      </w:r>
      <w:r w:rsidRPr="006C459C">
        <w:rPr>
          <w:rStyle w:val="Strong"/>
          <w:rFonts w:ascii="Cambria" w:hAnsi="Cambria"/>
          <w:b w:val="0"/>
          <w:i/>
          <w:sz w:val="16"/>
          <w:szCs w:val="16"/>
          <w:shd w:val="clear" w:color="auto" w:fill="FFFFFF"/>
          <w:lang w:val="es-ES"/>
        </w:rPr>
        <w:t>Caso Hermanos Landaeta Mejías y otros Vs. Venezuela</w:t>
      </w:r>
      <w:r w:rsidRPr="006C459C">
        <w:rPr>
          <w:rStyle w:val="Strong"/>
          <w:rFonts w:ascii="Cambria" w:hAnsi="Cambria"/>
          <w:b w:val="0"/>
          <w:sz w:val="16"/>
          <w:szCs w:val="16"/>
          <w:shd w:val="clear" w:color="auto" w:fill="FFFFFF"/>
          <w:lang w:val="es-ES"/>
        </w:rPr>
        <w:t>. Excepciones Preliminares, Fondo, Reparaciones y Costas. Sentencia de 27 de agosto de 2014. Serie C No. 281, párr. 134.</w:t>
      </w:r>
    </w:p>
  </w:footnote>
  <w:footnote w:id="78">
    <w:p w:rsidR="006A3859" w:rsidRPr="006C459C" w:rsidRDefault="006A3859" w:rsidP="00D060AD">
      <w:pPr>
        <w:jc w:val="both"/>
        <w:rPr>
          <w:rFonts w:ascii="Cambria" w:hAnsi="Cambria"/>
          <w:sz w:val="16"/>
          <w:szCs w:val="16"/>
          <w:lang w:val="pt-BR"/>
        </w:rPr>
      </w:pPr>
      <w:r w:rsidRPr="006C459C">
        <w:rPr>
          <w:rStyle w:val="FootnoteReference"/>
          <w:rFonts w:ascii="Cambria" w:hAnsi="Cambria"/>
          <w:sz w:val="16"/>
          <w:szCs w:val="16"/>
        </w:rPr>
        <w:footnoteRef/>
      </w:r>
      <w:r w:rsidRPr="006C459C">
        <w:rPr>
          <w:rFonts w:ascii="Cambria" w:hAnsi="Cambria"/>
          <w:sz w:val="16"/>
          <w:szCs w:val="16"/>
          <w:lang w:val="es-ES"/>
        </w:rPr>
        <w:t xml:space="preserve"> Corte I.D.H., </w:t>
      </w:r>
      <w:r w:rsidRPr="006C459C">
        <w:rPr>
          <w:rFonts w:ascii="Cambria" w:hAnsi="Cambria"/>
          <w:bCs/>
          <w:i/>
          <w:sz w:val="16"/>
          <w:szCs w:val="16"/>
          <w:lang w:val="es-ES"/>
        </w:rPr>
        <w:t>Caso Zambrano Vélez y otros Vs. Ecuador</w:t>
      </w:r>
      <w:r w:rsidRPr="006C459C">
        <w:rPr>
          <w:rFonts w:ascii="Cambria" w:hAnsi="Cambria"/>
          <w:bCs/>
          <w:sz w:val="16"/>
          <w:szCs w:val="16"/>
          <w:lang w:val="es-ES"/>
        </w:rPr>
        <w:t xml:space="preserve">. </w:t>
      </w:r>
      <w:r w:rsidRPr="006C459C">
        <w:rPr>
          <w:rFonts w:ascii="Cambria" w:hAnsi="Cambria"/>
          <w:sz w:val="16"/>
          <w:szCs w:val="16"/>
          <w:lang w:val="es-ES"/>
        </w:rPr>
        <w:t>Fondo, Reparaciones y Costas. Sentencia de 4 de julio de 2007. Serie C No. 166, párr. 142;</w:t>
      </w:r>
      <w:r w:rsidRPr="006C459C">
        <w:rPr>
          <w:rFonts w:ascii="Cambria" w:hAnsi="Cambria"/>
          <w:sz w:val="16"/>
          <w:szCs w:val="16"/>
          <w:lang w:val="es-ES_tradnl"/>
        </w:rPr>
        <w:t xml:space="preserve"> </w:t>
      </w:r>
      <w:r w:rsidRPr="006C459C">
        <w:rPr>
          <w:rFonts w:ascii="Cambria" w:hAnsi="Cambria"/>
          <w:bCs/>
          <w:i/>
          <w:sz w:val="16"/>
          <w:szCs w:val="16"/>
          <w:lang w:val="es-ES_tradnl"/>
        </w:rPr>
        <w:t xml:space="preserve">Caso </w:t>
      </w:r>
      <w:proofErr w:type="spellStart"/>
      <w:r w:rsidRPr="006C459C">
        <w:rPr>
          <w:rFonts w:ascii="Cambria" w:hAnsi="Cambria"/>
          <w:bCs/>
          <w:i/>
          <w:sz w:val="16"/>
          <w:szCs w:val="16"/>
          <w:lang w:val="es-ES_tradnl"/>
        </w:rPr>
        <w:t>Lori</w:t>
      </w:r>
      <w:proofErr w:type="spellEnd"/>
      <w:r w:rsidRPr="006C459C">
        <w:rPr>
          <w:rFonts w:ascii="Cambria" w:hAnsi="Cambria"/>
          <w:bCs/>
          <w:i/>
          <w:sz w:val="16"/>
          <w:szCs w:val="16"/>
          <w:lang w:val="es-ES_tradnl"/>
        </w:rPr>
        <w:t xml:space="preserve"> </w:t>
      </w:r>
      <w:proofErr w:type="spellStart"/>
      <w:r w:rsidRPr="006C459C">
        <w:rPr>
          <w:rFonts w:ascii="Cambria" w:hAnsi="Cambria"/>
          <w:bCs/>
          <w:i/>
          <w:sz w:val="16"/>
          <w:szCs w:val="16"/>
          <w:lang w:val="es-ES_tradnl"/>
        </w:rPr>
        <w:t>Berenson</w:t>
      </w:r>
      <w:proofErr w:type="spellEnd"/>
      <w:r w:rsidRPr="006C459C">
        <w:rPr>
          <w:rFonts w:ascii="Cambria" w:hAnsi="Cambria"/>
          <w:bCs/>
          <w:i/>
          <w:sz w:val="16"/>
          <w:szCs w:val="16"/>
          <w:lang w:val="es-ES_tradnl"/>
        </w:rPr>
        <w:t xml:space="preserve"> Mejía Vs. Perú</w:t>
      </w:r>
      <w:r w:rsidRPr="006C459C">
        <w:rPr>
          <w:rFonts w:ascii="Cambria" w:hAnsi="Cambria"/>
          <w:bCs/>
          <w:sz w:val="16"/>
          <w:szCs w:val="16"/>
          <w:lang w:val="es-ES_tradnl"/>
        </w:rPr>
        <w:t xml:space="preserve">. </w:t>
      </w:r>
      <w:r w:rsidRPr="006C459C">
        <w:rPr>
          <w:rFonts w:ascii="Cambria" w:hAnsi="Cambria"/>
          <w:sz w:val="16"/>
          <w:szCs w:val="16"/>
          <w:lang w:val="es-ES_tradnl"/>
        </w:rPr>
        <w:t>Fondo, Reparaciones y Costas. Sentencia de 25 de noviembre de 2004. Serie C No. 119</w:t>
      </w:r>
      <w:r w:rsidRPr="006C459C">
        <w:rPr>
          <w:rFonts w:ascii="Cambria" w:hAnsi="Cambria"/>
          <w:iCs/>
          <w:sz w:val="16"/>
          <w:szCs w:val="16"/>
          <w:lang w:val="es-ES" w:eastAsia="es-ES"/>
        </w:rPr>
        <w:t xml:space="preserve">, </w:t>
      </w:r>
      <w:r w:rsidRPr="006C459C">
        <w:rPr>
          <w:rFonts w:ascii="Cambria" w:hAnsi="Cambria"/>
          <w:sz w:val="16"/>
          <w:szCs w:val="16"/>
          <w:lang w:val="es-ES" w:eastAsia="es-ES"/>
        </w:rPr>
        <w:t>párr. 133;</w:t>
      </w:r>
      <w:r w:rsidRPr="006C459C">
        <w:rPr>
          <w:rFonts w:ascii="Cambria" w:hAnsi="Cambria"/>
          <w:iCs/>
          <w:sz w:val="16"/>
          <w:szCs w:val="16"/>
          <w:lang w:val="es-ES" w:eastAsia="es-ES"/>
        </w:rPr>
        <w:t xml:space="preserve"> </w:t>
      </w:r>
      <w:r w:rsidRPr="006C459C">
        <w:rPr>
          <w:rFonts w:ascii="Cambria" w:hAnsi="Cambria"/>
          <w:bCs/>
          <w:i/>
          <w:sz w:val="16"/>
          <w:szCs w:val="16"/>
          <w:lang w:val="es-ES_tradnl"/>
        </w:rPr>
        <w:t xml:space="preserve">Caso Myrna </w:t>
      </w:r>
      <w:proofErr w:type="spellStart"/>
      <w:r w:rsidRPr="006C459C">
        <w:rPr>
          <w:rFonts w:ascii="Cambria" w:hAnsi="Cambria"/>
          <w:bCs/>
          <w:i/>
          <w:sz w:val="16"/>
          <w:szCs w:val="16"/>
          <w:lang w:val="es-ES_tradnl"/>
        </w:rPr>
        <w:t>Mack</w:t>
      </w:r>
      <w:proofErr w:type="spellEnd"/>
      <w:r w:rsidRPr="006C459C">
        <w:rPr>
          <w:rFonts w:ascii="Cambria" w:hAnsi="Cambria"/>
          <w:bCs/>
          <w:i/>
          <w:sz w:val="16"/>
          <w:szCs w:val="16"/>
          <w:lang w:val="es-ES_tradnl"/>
        </w:rPr>
        <w:t xml:space="preserve"> Chang Vs. Guatemala</w:t>
      </w:r>
      <w:r w:rsidRPr="006C459C">
        <w:rPr>
          <w:rFonts w:ascii="Cambria" w:hAnsi="Cambria"/>
          <w:bCs/>
          <w:sz w:val="16"/>
          <w:szCs w:val="16"/>
          <w:lang w:val="es-ES_tradnl"/>
        </w:rPr>
        <w:t xml:space="preserve">. </w:t>
      </w:r>
      <w:r w:rsidRPr="006C459C">
        <w:rPr>
          <w:rFonts w:ascii="Cambria" w:hAnsi="Cambria"/>
          <w:sz w:val="16"/>
          <w:szCs w:val="16"/>
          <w:lang w:val="es-ES_tradnl"/>
        </w:rPr>
        <w:t xml:space="preserve">Fondo, Reparaciones y Costas. </w:t>
      </w:r>
      <w:r w:rsidRPr="006C459C">
        <w:rPr>
          <w:rFonts w:ascii="Cambria" w:hAnsi="Cambria"/>
          <w:sz w:val="16"/>
          <w:szCs w:val="16"/>
          <w:lang w:val="es-ES"/>
        </w:rPr>
        <w:t>Sentencia de 25 de noviembre de 2003. Serie C No. 101</w:t>
      </w:r>
      <w:r w:rsidRPr="006C459C">
        <w:rPr>
          <w:rFonts w:ascii="Cambria" w:hAnsi="Cambria"/>
          <w:iCs/>
          <w:sz w:val="16"/>
          <w:szCs w:val="16"/>
          <w:lang w:val="es-ES" w:eastAsia="es-ES"/>
        </w:rPr>
        <w:t xml:space="preserve">, </w:t>
      </w:r>
      <w:r w:rsidRPr="006C459C">
        <w:rPr>
          <w:rFonts w:ascii="Cambria" w:hAnsi="Cambria"/>
          <w:sz w:val="16"/>
          <w:szCs w:val="16"/>
          <w:lang w:val="es-ES" w:eastAsia="es-ES"/>
        </w:rPr>
        <w:t xml:space="preserve">párr. 200; y </w:t>
      </w:r>
      <w:r w:rsidRPr="006C459C">
        <w:rPr>
          <w:rFonts w:ascii="Cambria" w:hAnsi="Cambria"/>
          <w:bCs/>
          <w:i/>
          <w:sz w:val="16"/>
          <w:szCs w:val="16"/>
          <w:lang w:val="es-ES_tradnl"/>
        </w:rPr>
        <w:t>Caso Juan</w:t>
      </w:r>
      <w:r w:rsidRPr="006C459C">
        <w:rPr>
          <w:rFonts w:ascii="Cambria" w:hAnsi="Cambria"/>
          <w:bCs/>
          <w:sz w:val="16"/>
          <w:szCs w:val="16"/>
          <w:lang w:val="es-ES_tradnl"/>
        </w:rPr>
        <w:t xml:space="preserve"> </w:t>
      </w:r>
      <w:r w:rsidRPr="006C459C">
        <w:rPr>
          <w:rFonts w:ascii="Cambria" w:hAnsi="Cambria"/>
          <w:bCs/>
          <w:i/>
          <w:sz w:val="16"/>
          <w:szCs w:val="16"/>
          <w:lang w:val="es-ES_tradnl"/>
        </w:rPr>
        <w:t>Humberto Sánchez Vs. Honduras</w:t>
      </w:r>
      <w:r w:rsidRPr="006C459C">
        <w:rPr>
          <w:rFonts w:ascii="Cambria" w:hAnsi="Cambria"/>
          <w:bCs/>
          <w:sz w:val="16"/>
          <w:szCs w:val="16"/>
          <w:lang w:val="es-ES_tradnl"/>
        </w:rPr>
        <w:t xml:space="preserve">. </w:t>
      </w:r>
      <w:r w:rsidRPr="006C459C">
        <w:rPr>
          <w:rFonts w:ascii="Cambria" w:hAnsi="Cambria"/>
          <w:sz w:val="16"/>
          <w:szCs w:val="16"/>
          <w:lang w:val="es-ES_tradnl"/>
        </w:rPr>
        <w:t xml:space="preserve">Excepción Preliminar, Fondo, Reparaciones y Costas. Sentencia de 7 de junio de 2003. </w:t>
      </w:r>
      <w:r w:rsidRPr="006C459C">
        <w:rPr>
          <w:rFonts w:ascii="Cambria" w:hAnsi="Cambria"/>
          <w:sz w:val="16"/>
          <w:szCs w:val="16"/>
          <w:lang w:val="pt-BR"/>
        </w:rPr>
        <w:t>Serie C No. 99</w:t>
      </w:r>
      <w:r w:rsidRPr="006C459C">
        <w:rPr>
          <w:rFonts w:ascii="Cambria" w:hAnsi="Cambria"/>
          <w:iCs/>
          <w:sz w:val="16"/>
          <w:szCs w:val="16"/>
          <w:lang w:val="pt-BR" w:eastAsia="es-ES"/>
        </w:rPr>
        <w:t xml:space="preserve">, </w:t>
      </w:r>
      <w:r w:rsidRPr="006C459C">
        <w:rPr>
          <w:rFonts w:ascii="Cambria" w:hAnsi="Cambria"/>
          <w:sz w:val="16"/>
          <w:szCs w:val="16"/>
          <w:lang w:val="pt-BR" w:eastAsia="es-ES"/>
        </w:rPr>
        <w:t>párr. 120.</w:t>
      </w:r>
      <w:r w:rsidRPr="006C459C">
        <w:rPr>
          <w:rFonts w:ascii="Cambria" w:hAnsi="Cambria"/>
          <w:sz w:val="16"/>
          <w:szCs w:val="16"/>
          <w:lang w:val="pt-BR"/>
        </w:rPr>
        <w:t xml:space="preserve"> </w:t>
      </w:r>
    </w:p>
  </w:footnote>
  <w:footnote w:id="79">
    <w:p w:rsidR="006A3859" w:rsidRPr="006C459C" w:rsidRDefault="006A3859" w:rsidP="00D060AD">
      <w:pPr>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pt-BR"/>
        </w:rPr>
        <w:t xml:space="preserve"> </w:t>
      </w:r>
      <w:r w:rsidRPr="006C459C">
        <w:rPr>
          <w:rFonts w:ascii="Cambria" w:hAnsi="Cambria"/>
          <w:sz w:val="16"/>
          <w:szCs w:val="16"/>
          <w:lang w:val="pt-BR"/>
        </w:rPr>
        <w:t xml:space="preserve">Corte I.D.H., </w:t>
      </w:r>
      <w:r w:rsidRPr="006C459C">
        <w:rPr>
          <w:rFonts w:ascii="Cambria" w:hAnsi="Cambria"/>
          <w:i/>
          <w:iCs/>
          <w:sz w:val="16"/>
          <w:szCs w:val="16"/>
          <w:lang w:val="pt-BR"/>
        </w:rPr>
        <w:t xml:space="preserve">Caso Godínez Cruz Vs. </w:t>
      </w:r>
      <w:r w:rsidRPr="006C459C">
        <w:rPr>
          <w:rFonts w:ascii="Cambria" w:hAnsi="Cambria"/>
          <w:i/>
          <w:iCs/>
          <w:sz w:val="16"/>
          <w:szCs w:val="16"/>
          <w:lang w:val="es-ES_tradnl"/>
        </w:rPr>
        <w:t xml:space="preserve">Honduras. </w:t>
      </w:r>
      <w:r w:rsidRPr="006C459C">
        <w:rPr>
          <w:rFonts w:ascii="Cambria" w:hAnsi="Cambria"/>
          <w:iCs/>
          <w:sz w:val="16"/>
          <w:szCs w:val="16"/>
          <w:lang w:val="es-ES_tradnl"/>
        </w:rPr>
        <w:t>Excepciones Preliminares.</w:t>
      </w:r>
      <w:r w:rsidRPr="006C459C">
        <w:rPr>
          <w:rFonts w:ascii="Cambria" w:hAnsi="Cambria"/>
          <w:i/>
          <w:iCs/>
          <w:sz w:val="16"/>
          <w:szCs w:val="16"/>
          <w:lang w:val="es-ES_tradnl"/>
        </w:rPr>
        <w:t xml:space="preserve"> </w:t>
      </w:r>
      <w:r w:rsidRPr="006C459C">
        <w:rPr>
          <w:rFonts w:ascii="Cambria" w:hAnsi="Cambria"/>
          <w:sz w:val="16"/>
          <w:szCs w:val="16"/>
          <w:lang w:val="es-ES"/>
        </w:rPr>
        <w:t>Sentencia de 26 de junio de</w:t>
      </w:r>
      <w:r w:rsidR="00CF0DBC" w:rsidRPr="006C459C">
        <w:rPr>
          <w:rFonts w:ascii="Cambria" w:hAnsi="Cambria"/>
          <w:sz w:val="16"/>
          <w:szCs w:val="16"/>
          <w:lang w:val="es-ES"/>
        </w:rPr>
        <w:t xml:space="preserve"> 1987. Serie C No. 3, párr. 93; </w:t>
      </w:r>
      <w:r w:rsidRPr="006C459C">
        <w:rPr>
          <w:rFonts w:ascii="Cambria" w:hAnsi="Cambria"/>
          <w:sz w:val="16"/>
          <w:szCs w:val="16"/>
          <w:lang w:val="es-ES"/>
        </w:rPr>
        <w:t xml:space="preserve">y </w:t>
      </w:r>
      <w:r w:rsidRPr="006C459C">
        <w:rPr>
          <w:rFonts w:ascii="Cambria" w:hAnsi="Cambria"/>
          <w:i/>
          <w:iCs/>
          <w:sz w:val="16"/>
          <w:szCs w:val="16"/>
          <w:lang w:val="es-ES"/>
        </w:rPr>
        <w:t xml:space="preserve">Caso del Penal Miguel Castro </w:t>
      </w:r>
      <w:proofErr w:type="spellStart"/>
      <w:r w:rsidRPr="006C459C">
        <w:rPr>
          <w:rFonts w:ascii="Cambria" w:hAnsi="Cambria"/>
          <w:i/>
          <w:iCs/>
          <w:sz w:val="16"/>
          <w:szCs w:val="16"/>
          <w:lang w:val="es-ES"/>
        </w:rPr>
        <w:t>Castro</w:t>
      </w:r>
      <w:proofErr w:type="spellEnd"/>
      <w:r w:rsidRPr="006C459C">
        <w:rPr>
          <w:rFonts w:ascii="Cambria" w:hAnsi="Cambria"/>
          <w:i/>
          <w:iCs/>
          <w:sz w:val="16"/>
          <w:szCs w:val="16"/>
          <w:lang w:val="es-ES"/>
        </w:rPr>
        <w:t xml:space="preserve"> V</w:t>
      </w:r>
      <w:r w:rsidR="00CF0DBC" w:rsidRPr="006C459C">
        <w:rPr>
          <w:rFonts w:ascii="Cambria" w:hAnsi="Cambria"/>
          <w:i/>
          <w:iCs/>
          <w:sz w:val="16"/>
          <w:szCs w:val="16"/>
          <w:lang w:val="es-ES"/>
        </w:rPr>
        <w:t>s</w:t>
      </w:r>
      <w:r w:rsidRPr="006C459C">
        <w:rPr>
          <w:rFonts w:ascii="Cambria" w:hAnsi="Cambria"/>
          <w:i/>
          <w:iCs/>
          <w:sz w:val="16"/>
          <w:szCs w:val="16"/>
          <w:lang w:val="es-ES"/>
        </w:rPr>
        <w:t>. Perú</w:t>
      </w:r>
      <w:r w:rsidRPr="006C459C">
        <w:rPr>
          <w:rFonts w:ascii="Cambria" w:hAnsi="Cambria"/>
          <w:sz w:val="16"/>
          <w:szCs w:val="16"/>
          <w:lang w:val="es-ES"/>
        </w:rPr>
        <w:t xml:space="preserve">, Sentencia de 25 de noviembre de 2006. Serie C No. 160, </w:t>
      </w:r>
      <w:proofErr w:type="spellStart"/>
      <w:r w:rsidRPr="006C459C">
        <w:rPr>
          <w:rFonts w:ascii="Cambria" w:hAnsi="Cambria"/>
          <w:sz w:val="16"/>
          <w:szCs w:val="16"/>
          <w:lang w:val="es-ES"/>
        </w:rPr>
        <w:t>párrs</w:t>
      </w:r>
      <w:proofErr w:type="spellEnd"/>
      <w:r w:rsidRPr="006C459C">
        <w:rPr>
          <w:rFonts w:ascii="Cambria" w:hAnsi="Cambria"/>
          <w:sz w:val="16"/>
          <w:szCs w:val="16"/>
          <w:lang w:val="es-ES"/>
        </w:rPr>
        <w:t>. 183.</w:t>
      </w:r>
    </w:p>
  </w:footnote>
  <w:footnote w:id="80">
    <w:p w:rsidR="006A3859" w:rsidRPr="006C459C" w:rsidRDefault="006A3859" w:rsidP="00D060AD">
      <w:pPr>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Corte I.D.H., </w:t>
      </w:r>
      <w:r w:rsidRPr="006C459C">
        <w:rPr>
          <w:rFonts w:ascii="Cambria" w:hAnsi="Cambria"/>
          <w:bCs/>
          <w:i/>
          <w:sz w:val="16"/>
          <w:szCs w:val="16"/>
          <w:lang w:val="es-ES_tradnl"/>
        </w:rPr>
        <w:t>Caso García Prieto y otros Vs. El Salvador.</w:t>
      </w:r>
      <w:r w:rsidRPr="006C459C">
        <w:rPr>
          <w:rFonts w:ascii="Cambria" w:hAnsi="Cambria"/>
          <w:bCs/>
          <w:sz w:val="16"/>
          <w:szCs w:val="16"/>
          <w:lang w:val="es-ES_tradnl"/>
        </w:rPr>
        <w:t xml:space="preserve"> </w:t>
      </w:r>
      <w:r w:rsidRPr="006C459C">
        <w:rPr>
          <w:rFonts w:ascii="Cambria" w:hAnsi="Cambria"/>
          <w:sz w:val="16"/>
          <w:szCs w:val="16"/>
          <w:lang w:val="es-ES_tradnl"/>
        </w:rPr>
        <w:t>Excepción Preliminar, Fondo, Reparaciones y Costas. Sentencia de 20 de noviembre de 2007. Serie C No. 168. Párr. 99.</w:t>
      </w:r>
    </w:p>
  </w:footnote>
  <w:footnote w:id="81">
    <w:p w:rsidR="006A3859" w:rsidRPr="006C459C" w:rsidRDefault="006A3859" w:rsidP="00D060AD">
      <w:pPr>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Corte I.D.H., </w:t>
      </w:r>
      <w:r w:rsidRPr="006C459C">
        <w:rPr>
          <w:rFonts w:ascii="Cambria" w:hAnsi="Cambria"/>
          <w:i/>
          <w:sz w:val="16"/>
          <w:szCs w:val="16"/>
          <w:lang w:val="es-ES_tradnl"/>
        </w:rPr>
        <w:t>Caso Velásquez Rodríguez Vs. Honduras</w:t>
      </w:r>
      <w:r w:rsidRPr="006C459C">
        <w:rPr>
          <w:rFonts w:ascii="Cambria" w:hAnsi="Cambria"/>
          <w:sz w:val="16"/>
          <w:szCs w:val="16"/>
          <w:lang w:val="es-ES_tradnl"/>
        </w:rPr>
        <w:t xml:space="preserve">. Sentencia de 29 de julio de 1988. Serie C No. 4, párr. 177; </w:t>
      </w:r>
      <w:r w:rsidRPr="006C459C">
        <w:rPr>
          <w:rFonts w:ascii="Cambria" w:hAnsi="Cambria"/>
          <w:bCs/>
          <w:i/>
          <w:sz w:val="16"/>
          <w:szCs w:val="16"/>
          <w:lang w:val="es-ES_tradnl"/>
        </w:rPr>
        <w:t xml:space="preserve">Caso Cantoral </w:t>
      </w:r>
      <w:proofErr w:type="spellStart"/>
      <w:r w:rsidRPr="006C459C">
        <w:rPr>
          <w:rFonts w:ascii="Cambria" w:hAnsi="Cambria"/>
          <w:bCs/>
          <w:i/>
          <w:sz w:val="16"/>
          <w:szCs w:val="16"/>
          <w:lang w:val="es-ES_tradnl"/>
        </w:rPr>
        <w:t>Huamaní</w:t>
      </w:r>
      <w:proofErr w:type="spellEnd"/>
      <w:r w:rsidRPr="006C459C">
        <w:rPr>
          <w:rFonts w:ascii="Cambria" w:hAnsi="Cambria"/>
          <w:bCs/>
          <w:i/>
          <w:sz w:val="16"/>
          <w:szCs w:val="16"/>
          <w:lang w:val="es-ES_tradnl"/>
        </w:rPr>
        <w:t xml:space="preserve"> y García Santa Cruz Vs. Perú.</w:t>
      </w:r>
      <w:r w:rsidRPr="006C459C">
        <w:rPr>
          <w:rFonts w:ascii="Cambria" w:hAnsi="Cambria"/>
          <w:bCs/>
          <w:sz w:val="16"/>
          <w:szCs w:val="16"/>
          <w:lang w:val="es-ES_tradnl"/>
        </w:rPr>
        <w:t xml:space="preserve"> </w:t>
      </w:r>
      <w:r w:rsidRPr="006C459C">
        <w:rPr>
          <w:rFonts w:ascii="Cambria" w:hAnsi="Cambria"/>
          <w:sz w:val="16"/>
          <w:szCs w:val="16"/>
          <w:lang w:val="es-ES_tradnl"/>
        </w:rPr>
        <w:t>Excepción Preliminar, Fondo, Reparaciones y Costas. Sentencia de 10 de julio de 2007. Serie C No. 167, p</w:t>
      </w:r>
      <w:proofErr w:type="spellStart"/>
      <w:r w:rsidRPr="006C459C">
        <w:rPr>
          <w:rFonts w:ascii="Cambria" w:hAnsi="Cambria"/>
          <w:sz w:val="16"/>
          <w:szCs w:val="16"/>
          <w:lang w:val="es-ES"/>
        </w:rPr>
        <w:t>árr</w:t>
      </w:r>
      <w:proofErr w:type="spellEnd"/>
      <w:r w:rsidRPr="006C459C">
        <w:rPr>
          <w:rFonts w:ascii="Cambria" w:hAnsi="Cambria"/>
          <w:sz w:val="16"/>
          <w:szCs w:val="16"/>
          <w:lang w:val="es-ES"/>
        </w:rPr>
        <w:t>.</w:t>
      </w:r>
      <w:r w:rsidRPr="006C459C">
        <w:rPr>
          <w:rFonts w:ascii="Cambria" w:hAnsi="Cambria"/>
          <w:sz w:val="16"/>
          <w:szCs w:val="16"/>
          <w:lang w:val="es-ES_tradnl"/>
        </w:rPr>
        <w:t xml:space="preserve"> 131; y </w:t>
      </w:r>
      <w:r w:rsidRPr="006C459C">
        <w:rPr>
          <w:rFonts w:ascii="Cambria" w:hAnsi="Cambria"/>
          <w:bCs/>
          <w:i/>
          <w:sz w:val="16"/>
          <w:szCs w:val="16"/>
          <w:lang w:val="es-ES_tradnl"/>
        </w:rPr>
        <w:t>Caso Zambrano Vélez y otros Vs. Ecuador.</w:t>
      </w:r>
      <w:r w:rsidRPr="006C459C">
        <w:rPr>
          <w:rFonts w:ascii="Cambria" w:hAnsi="Cambria"/>
          <w:bCs/>
          <w:sz w:val="16"/>
          <w:szCs w:val="16"/>
          <w:lang w:val="es-ES_tradnl"/>
        </w:rPr>
        <w:t xml:space="preserve"> </w:t>
      </w:r>
      <w:r w:rsidRPr="006C459C">
        <w:rPr>
          <w:rFonts w:ascii="Cambria" w:hAnsi="Cambria"/>
          <w:sz w:val="16"/>
          <w:szCs w:val="16"/>
          <w:lang w:val="es-ES_tradnl"/>
        </w:rPr>
        <w:t xml:space="preserve">Fondo, Reparaciones y Costas. Sentencia de 4 de julio de 2007. Serie C No. 166, párr. 120. </w:t>
      </w:r>
    </w:p>
  </w:footnote>
  <w:footnote w:id="82">
    <w:p w:rsidR="006A3859" w:rsidRPr="006C459C" w:rsidRDefault="006A3859" w:rsidP="00D060AD">
      <w:pPr>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Corte I.D.H., </w:t>
      </w:r>
      <w:r w:rsidRPr="006C459C">
        <w:rPr>
          <w:rFonts w:ascii="Cambria" w:hAnsi="Cambria"/>
          <w:i/>
          <w:sz w:val="16"/>
          <w:szCs w:val="16"/>
          <w:lang w:val="es-ES_tradnl"/>
        </w:rPr>
        <w:t>Caso Velásquez Rodríguez Vs. Honduras</w:t>
      </w:r>
      <w:r w:rsidRPr="006C459C">
        <w:rPr>
          <w:rFonts w:ascii="Cambria" w:hAnsi="Cambria"/>
          <w:sz w:val="16"/>
          <w:szCs w:val="16"/>
          <w:lang w:val="es-ES_tradnl"/>
        </w:rPr>
        <w:t xml:space="preserve">. Sentencia de 29 de julio de 1988. Serie C No. 4, párr. 177; </w:t>
      </w:r>
      <w:r w:rsidRPr="006C459C">
        <w:rPr>
          <w:rFonts w:ascii="Cambria" w:hAnsi="Cambria"/>
          <w:bCs/>
          <w:i/>
          <w:sz w:val="16"/>
          <w:szCs w:val="16"/>
          <w:lang w:val="es-ES_tradnl"/>
        </w:rPr>
        <w:t>Caso Zambrano Vélez y otros Vs. Ecuador.</w:t>
      </w:r>
      <w:r w:rsidRPr="006C459C">
        <w:rPr>
          <w:rFonts w:ascii="Cambria" w:hAnsi="Cambria"/>
          <w:bCs/>
          <w:sz w:val="16"/>
          <w:szCs w:val="16"/>
          <w:lang w:val="es-ES_tradnl"/>
        </w:rPr>
        <w:t xml:space="preserve"> </w:t>
      </w:r>
      <w:r w:rsidRPr="006C459C">
        <w:rPr>
          <w:rFonts w:ascii="Cambria" w:hAnsi="Cambria"/>
          <w:sz w:val="16"/>
          <w:szCs w:val="16"/>
          <w:lang w:val="es-ES_tradnl"/>
        </w:rPr>
        <w:t>Fondo, Reparaciones y Costas. Sentencia de 4 de julio de 2007. Serie C No. 166, párr. 120.</w:t>
      </w:r>
    </w:p>
  </w:footnote>
  <w:footnote w:id="83">
    <w:p w:rsidR="006A3859" w:rsidRPr="006C459C" w:rsidRDefault="006A3859" w:rsidP="00D060AD">
      <w:pPr>
        <w:tabs>
          <w:tab w:val="left" w:pos="720"/>
          <w:tab w:val="left" w:pos="1080"/>
        </w:tabs>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Corte I.D.H., </w:t>
      </w:r>
      <w:r w:rsidRPr="006C459C">
        <w:rPr>
          <w:rFonts w:ascii="Cambria" w:hAnsi="Cambria"/>
          <w:bCs/>
          <w:i/>
          <w:sz w:val="16"/>
          <w:szCs w:val="16"/>
          <w:lang w:val="es-ES_tradnl"/>
        </w:rPr>
        <w:t>Caso García Prieto y otros Vs. El Salvador.</w:t>
      </w:r>
      <w:r w:rsidRPr="006C459C">
        <w:rPr>
          <w:rFonts w:ascii="Cambria" w:hAnsi="Cambria"/>
          <w:bCs/>
          <w:sz w:val="16"/>
          <w:szCs w:val="16"/>
          <w:lang w:val="es-ES_tradnl"/>
        </w:rPr>
        <w:t xml:space="preserve"> </w:t>
      </w:r>
      <w:r w:rsidRPr="006C459C">
        <w:rPr>
          <w:rFonts w:ascii="Cambria" w:hAnsi="Cambria"/>
          <w:sz w:val="16"/>
          <w:szCs w:val="16"/>
          <w:lang w:val="es-ES_tradnl"/>
        </w:rPr>
        <w:t xml:space="preserve">Excepción Preliminar, Fondo, Reparaciones y Costas. Sentencia de 20 de noviembre de 2007. Serie C No. 168, párr. 101. </w:t>
      </w:r>
      <w:r w:rsidRPr="006C459C">
        <w:rPr>
          <w:rFonts w:ascii="Cambria" w:hAnsi="Cambria"/>
          <w:i/>
          <w:sz w:val="16"/>
          <w:szCs w:val="16"/>
          <w:lang w:val="es-ES_tradnl"/>
        </w:rPr>
        <w:t xml:space="preserve"> </w:t>
      </w:r>
    </w:p>
  </w:footnote>
  <w:footnote w:id="84">
    <w:p w:rsidR="006A3859" w:rsidRPr="006C459C" w:rsidRDefault="006A3859" w:rsidP="00D060AD">
      <w:pPr>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_tradnl"/>
        </w:rPr>
        <w:t xml:space="preserve"> </w:t>
      </w:r>
      <w:r w:rsidRPr="006C459C">
        <w:rPr>
          <w:rFonts w:ascii="Cambria" w:hAnsi="Cambria"/>
          <w:sz w:val="16"/>
          <w:szCs w:val="16"/>
          <w:lang w:val="es-ES"/>
        </w:rPr>
        <w:t xml:space="preserve">CIDH, </w:t>
      </w:r>
      <w:r w:rsidR="00CF0DBC" w:rsidRPr="006C459C">
        <w:rPr>
          <w:rFonts w:ascii="Cambria" w:hAnsi="Cambria"/>
          <w:sz w:val="16"/>
          <w:szCs w:val="16"/>
          <w:lang w:val="es-ES"/>
        </w:rPr>
        <w:t xml:space="preserve">Informe No. 55/97, Caso 11.137, </w:t>
      </w:r>
      <w:r w:rsidRPr="006C459C">
        <w:rPr>
          <w:rFonts w:ascii="Cambria" w:hAnsi="Cambria"/>
          <w:sz w:val="16"/>
          <w:szCs w:val="16"/>
          <w:lang w:val="es-ES"/>
        </w:rPr>
        <w:t>Juan C</w:t>
      </w:r>
      <w:r w:rsidR="00CF0DBC" w:rsidRPr="006C459C">
        <w:rPr>
          <w:rFonts w:ascii="Cambria" w:hAnsi="Cambria"/>
          <w:sz w:val="16"/>
          <w:szCs w:val="16"/>
          <w:lang w:val="es-ES"/>
        </w:rPr>
        <w:t>arlos Abella y otros</w:t>
      </w:r>
      <w:r w:rsidRPr="006C459C">
        <w:rPr>
          <w:rFonts w:ascii="Cambria" w:hAnsi="Cambria"/>
          <w:sz w:val="16"/>
          <w:szCs w:val="16"/>
          <w:lang w:val="es-ES"/>
        </w:rPr>
        <w:t>, Argentina, párr.</w:t>
      </w:r>
      <w:r w:rsidRPr="006C459C">
        <w:rPr>
          <w:rStyle w:val="apple-converted-space"/>
          <w:rFonts w:ascii="Cambria" w:hAnsi="Cambria"/>
          <w:sz w:val="16"/>
          <w:szCs w:val="16"/>
          <w:lang w:val="es-ES"/>
        </w:rPr>
        <w:t> </w:t>
      </w:r>
      <w:r w:rsidR="00CF0DBC" w:rsidRPr="006C459C">
        <w:rPr>
          <w:rFonts w:ascii="Cambria" w:hAnsi="Cambria"/>
          <w:sz w:val="16"/>
          <w:szCs w:val="16"/>
          <w:lang w:val="pt-BR"/>
        </w:rPr>
        <w:t>412; e Informe No. 52/97, Caso 11.218, Arges Sequeira Mangas</w:t>
      </w:r>
      <w:r w:rsidRPr="006C459C">
        <w:rPr>
          <w:rFonts w:ascii="Cambria" w:hAnsi="Cambria"/>
          <w:sz w:val="16"/>
          <w:szCs w:val="16"/>
          <w:lang w:val="pt-BR"/>
        </w:rPr>
        <w:t>, Nicaragua, párrs.</w:t>
      </w:r>
      <w:r w:rsidRPr="006C459C">
        <w:rPr>
          <w:rStyle w:val="apple-converted-space"/>
          <w:rFonts w:ascii="Cambria" w:hAnsi="Cambria"/>
          <w:sz w:val="16"/>
          <w:szCs w:val="16"/>
          <w:lang w:val="pt-BR"/>
        </w:rPr>
        <w:t> </w:t>
      </w:r>
      <w:r w:rsidRPr="006C459C">
        <w:rPr>
          <w:rFonts w:ascii="Cambria" w:hAnsi="Cambria"/>
          <w:sz w:val="16"/>
          <w:szCs w:val="16"/>
          <w:lang w:val="es-ES"/>
        </w:rPr>
        <w:t>96 y 97.</w:t>
      </w:r>
    </w:p>
  </w:footnote>
  <w:footnote w:id="85">
    <w:p w:rsidR="006A3859" w:rsidRPr="006C459C" w:rsidRDefault="006A3859" w:rsidP="00D060AD">
      <w:pPr>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Corte I.D.H., </w:t>
      </w:r>
      <w:r w:rsidRPr="006C459C">
        <w:rPr>
          <w:rFonts w:ascii="Cambria" w:hAnsi="Cambria"/>
          <w:bCs/>
          <w:i/>
          <w:sz w:val="16"/>
          <w:szCs w:val="16"/>
          <w:lang w:val="es-ES"/>
        </w:rPr>
        <w:t>Caso Zambrano Vélez y otros Vs. Ecuador.</w:t>
      </w:r>
      <w:r w:rsidRPr="006C459C">
        <w:rPr>
          <w:rFonts w:ascii="Cambria" w:hAnsi="Cambria"/>
          <w:b/>
          <w:bCs/>
          <w:sz w:val="16"/>
          <w:szCs w:val="16"/>
          <w:lang w:val="es-ES"/>
        </w:rPr>
        <w:t xml:space="preserve"> </w:t>
      </w:r>
      <w:r w:rsidRPr="006C459C">
        <w:rPr>
          <w:rFonts w:ascii="Cambria" w:hAnsi="Cambria"/>
          <w:sz w:val="16"/>
          <w:szCs w:val="16"/>
          <w:lang w:val="es-ES"/>
        </w:rPr>
        <w:t xml:space="preserve">Fondo, Reparaciones y Costas. </w:t>
      </w:r>
      <w:r w:rsidRPr="006C459C">
        <w:rPr>
          <w:rFonts w:ascii="Cambria" w:hAnsi="Cambria"/>
          <w:sz w:val="16"/>
          <w:szCs w:val="16"/>
          <w:lang w:val="es-ES_tradnl"/>
        </w:rPr>
        <w:t>Sentencia de 4 de julio de 2007. Serie C No. 166, párr.</w:t>
      </w:r>
      <w:r w:rsidRPr="006C459C">
        <w:rPr>
          <w:rFonts w:ascii="Cambria" w:hAnsi="Cambria"/>
          <w:sz w:val="16"/>
          <w:szCs w:val="16"/>
          <w:lang w:val="es-ES"/>
        </w:rPr>
        <w:t xml:space="preserve"> 88. </w:t>
      </w:r>
    </w:p>
  </w:footnote>
  <w:footnote w:id="86">
    <w:p w:rsidR="006A3859" w:rsidRPr="006C459C" w:rsidRDefault="006A3859" w:rsidP="00D060AD">
      <w:pPr>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
        </w:rPr>
        <w:t xml:space="preserve"> Corte I.D.H., </w:t>
      </w:r>
      <w:r w:rsidRPr="006C459C">
        <w:rPr>
          <w:rFonts w:ascii="Cambria" w:hAnsi="Cambria"/>
          <w:bCs/>
          <w:i/>
          <w:sz w:val="16"/>
          <w:szCs w:val="16"/>
          <w:lang w:val="es-ES"/>
        </w:rPr>
        <w:t>Caso Zambrano Vélez y otros Vs. Ecuador.</w:t>
      </w:r>
      <w:r w:rsidRPr="006C459C">
        <w:rPr>
          <w:rFonts w:ascii="Cambria" w:hAnsi="Cambria"/>
          <w:b/>
          <w:bCs/>
          <w:sz w:val="16"/>
          <w:szCs w:val="16"/>
          <w:lang w:val="es-ES"/>
        </w:rPr>
        <w:t xml:space="preserve"> </w:t>
      </w:r>
      <w:r w:rsidRPr="006C459C">
        <w:rPr>
          <w:rFonts w:ascii="Cambria" w:hAnsi="Cambria"/>
          <w:sz w:val="16"/>
          <w:szCs w:val="16"/>
          <w:lang w:val="es-ES"/>
        </w:rPr>
        <w:t xml:space="preserve">Fondo, Reparaciones y Costas. Sentencia de 4 de julio de 2007. Serie C No. 166, párr. 88. </w:t>
      </w:r>
    </w:p>
  </w:footnote>
  <w:footnote w:id="87">
    <w:p w:rsidR="006A3859" w:rsidRPr="006C459C" w:rsidRDefault="006A3859" w:rsidP="00D060AD">
      <w:pPr>
        <w:jc w:val="both"/>
        <w:rPr>
          <w:rFonts w:ascii="Cambria" w:hAnsi="Cambria"/>
          <w:sz w:val="16"/>
          <w:szCs w:val="16"/>
          <w:lang w:val="es-ES"/>
        </w:rPr>
      </w:pPr>
      <w:r w:rsidRPr="006C459C">
        <w:rPr>
          <w:rStyle w:val="FootnoteReference"/>
          <w:rFonts w:ascii="Cambria" w:hAnsi="Cambria" w:cs="Verdana"/>
          <w:sz w:val="16"/>
          <w:szCs w:val="16"/>
        </w:rPr>
        <w:footnoteRef/>
      </w:r>
      <w:r w:rsidRPr="006C459C">
        <w:rPr>
          <w:rFonts w:ascii="Cambria" w:hAnsi="Cambria" w:cs="Verdana"/>
          <w:sz w:val="16"/>
          <w:szCs w:val="16"/>
          <w:lang w:val="es-ES"/>
        </w:rPr>
        <w:t xml:space="preserve"> </w:t>
      </w:r>
      <w:r w:rsidRPr="006C459C">
        <w:rPr>
          <w:rFonts w:ascii="Cambria" w:hAnsi="Cambria"/>
          <w:sz w:val="16"/>
          <w:szCs w:val="16"/>
          <w:lang w:val="es-ES"/>
        </w:rPr>
        <w:t xml:space="preserve">Corte I.D.H., </w:t>
      </w:r>
      <w:r w:rsidRPr="006C459C">
        <w:rPr>
          <w:rFonts w:ascii="Cambria" w:hAnsi="Cambria"/>
          <w:bCs/>
          <w:i/>
          <w:sz w:val="16"/>
          <w:szCs w:val="16"/>
          <w:lang w:val="es-ES"/>
        </w:rPr>
        <w:t>Caso Zambrano Vélez y otros Vs. Ecuador.</w:t>
      </w:r>
      <w:r w:rsidRPr="006C459C">
        <w:rPr>
          <w:rFonts w:ascii="Cambria" w:hAnsi="Cambria"/>
          <w:b/>
          <w:bCs/>
          <w:sz w:val="16"/>
          <w:szCs w:val="16"/>
          <w:lang w:val="es-ES"/>
        </w:rPr>
        <w:t xml:space="preserve"> </w:t>
      </w:r>
      <w:r w:rsidRPr="006C459C">
        <w:rPr>
          <w:rFonts w:ascii="Cambria" w:hAnsi="Cambria"/>
          <w:sz w:val="16"/>
          <w:szCs w:val="16"/>
          <w:lang w:val="es-ES"/>
        </w:rPr>
        <w:t xml:space="preserve">Fondo, Reparaciones y Costas. </w:t>
      </w:r>
      <w:r w:rsidRPr="006C459C">
        <w:rPr>
          <w:rFonts w:ascii="Cambria" w:hAnsi="Cambria"/>
          <w:sz w:val="16"/>
          <w:szCs w:val="16"/>
          <w:lang w:val="es-ES_tradnl"/>
        </w:rPr>
        <w:t xml:space="preserve">Sentencia de 4 de julio de 2007. Serie C No. 166, párr. </w:t>
      </w:r>
      <w:r w:rsidRPr="006C459C">
        <w:rPr>
          <w:rFonts w:ascii="Cambria" w:hAnsi="Cambria" w:cs="Verdana"/>
          <w:sz w:val="16"/>
          <w:szCs w:val="16"/>
          <w:lang w:val="es-ES"/>
        </w:rPr>
        <w:t xml:space="preserve">88. </w:t>
      </w:r>
      <w:r w:rsidRPr="006C459C">
        <w:rPr>
          <w:rFonts w:ascii="Cambria" w:hAnsi="Cambria" w:cs="Arial"/>
          <w:sz w:val="16"/>
          <w:szCs w:val="16"/>
          <w:lang w:val="es-ES"/>
        </w:rPr>
        <w:t xml:space="preserve">En similar sentido véase también </w:t>
      </w:r>
      <w:r w:rsidRPr="006C459C">
        <w:rPr>
          <w:rFonts w:ascii="Cambria" w:hAnsi="Cambria" w:cs="Verdana"/>
          <w:iCs/>
          <w:sz w:val="16"/>
          <w:szCs w:val="16"/>
          <w:lang w:val="es-ES"/>
        </w:rPr>
        <w:t>ECHR</w:t>
      </w:r>
      <w:r w:rsidRPr="006C459C">
        <w:rPr>
          <w:rFonts w:ascii="Cambria" w:hAnsi="Cambria" w:cs="Verdana"/>
          <w:i/>
          <w:iCs/>
          <w:sz w:val="16"/>
          <w:szCs w:val="16"/>
          <w:lang w:val="es-ES"/>
        </w:rPr>
        <w:t xml:space="preserve">, </w:t>
      </w:r>
      <w:proofErr w:type="spellStart"/>
      <w:r w:rsidRPr="006C459C">
        <w:rPr>
          <w:rFonts w:ascii="Cambria" w:hAnsi="Cambria" w:cs="Verdana"/>
          <w:i/>
          <w:iCs/>
          <w:sz w:val="16"/>
          <w:szCs w:val="16"/>
          <w:lang w:val="es-ES"/>
        </w:rPr>
        <w:t>Erdogan</w:t>
      </w:r>
      <w:proofErr w:type="spellEnd"/>
      <w:r w:rsidRPr="006C459C">
        <w:rPr>
          <w:rFonts w:ascii="Cambria" w:hAnsi="Cambria" w:cs="Verdana"/>
          <w:i/>
          <w:iCs/>
          <w:sz w:val="16"/>
          <w:szCs w:val="16"/>
          <w:lang w:val="es-ES"/>
        </w:rPr>
        <w:t xml:space="preserve"> and </w:t>
      </w:r>
      <w:proofErr w:type="spellStart"/>
      <w:r w:rsidRPr="006C459C">
        <w:rPr>
          <w:rFonts w:ascii="Cambria" w:hAnsi="Cambria" w:cs="Verdana"/>
          <w:i/>
          <w:iCs/>
          <w:sz w:val="16"/>
          <w:szCs w:val="16"/>
          <w:lang w:val="es-ES"/>
        </w:rPr>
        <w:t>Others</w:t>
      </w:r>
      <w:proofErr w:type="spellEnd"/>
      <w:r w:rsidRPr="006C459C">
        <w:rPr>
          <w:rFonts w:ascii="Cambria" w:hAnsi="Cambria" w:cs="Verdana"/>
          <w:i/>
          <w:iCs/>
          <w:sz w:val="16"/>
          <w:szCs w:val="16"/>
          <w:lang w:val="es-ES"/>
        </w:rPr>
        <w:t xml:space="preserve"> v. </w:t>
      </w:r>
      <w:proofErr w:type="spellStart"/>
      <w:r w:rsidRPr="006C459C">
        <w:rPr>
          <w:rFonts w:ascii="Cambria" w:hAnsi="Cambria" w:cs="Verdana"/>
          <w:i/>
          <w:iCs/>
          <w:sz w:val="16"/>
          <w:szCs w:val="16"/>
          <w:lang w:val="es-ES"/>
        </w:rPr>
        <w:t>Turkey</w:t>
      </w:r>
      <w:proofErr w:type="spellEnd"/>
      <w:r w:rsidRPr="006C459C">
        <w:rPr>
          <w:rFonts w:ascii="Cambria" w:hAnsi="Cambria" w:cs="Verdana"/>
          <w:sz w:val="16"/>
          <w:szCs w:val="16"/>
          <w:lang w:val="es-ES"/>
        </w:rPr>
        <w:t xml:space="preserve">, </w:t>
      </w:r>
      <w:proofErr w:type="spellStart"/>
      <w:r w:rsidRPr="006C459C">
        <w:rPr>
          <w:rFonts w:ascii="Cambria" w:hAnsi="Cambria" w:cs="Verdana"/>
          <w:sz w:val="16"/>
          <w:szCs w:val="16"/>
          <w:lang w:val="es-ES"/>
        </w:rPr>
        <w:t>párrs</w:t>
      </w:r>
      <w:proofErr w:type="spellEnd"/>
      <w:r w:rsidRPr="006C459C">
        <w:rPr>
          <w:rFonts w:ascii="Cambria" w:hAnsi="Cambria" w:cs="Verdana"/>
          <w:sz w:val="16"/>
          <w:szCs w:val="16"/>
          <w:lang w:val="es-ES"/>
        </w:rPr>
        <w:t xml:space="preserve">. </w:t>
      </w:r>
      <w:r w:rsidRPr="00675C3A">
        <w:rPr>
          <w:rFonts w:ascii="Cambria" w:hAnsi="Cambria" w:cs="Verdana"/>
          <w:sz w:val="16"/>
          <w:szCs w:val="16"/>
        </w:rPr>
        <w:t xml:space="preserve">88-89; </w:t>
      </w:r>
      <w:proofErr w:type="spellStart"/>
      <w:r w:rsidRPr="00675C3A">
        <w:rPr>
          <w:rFonts w:ascii="Cambria" w:hAnsi="Cambria" w:cs="Verdana"/>
          <w:i/>
          <w:iCs/>
          <w:sz w:val="16"/>
          <w:szCs w:val="16"/>
        </w:rPr>
        <w:t>Kakoulli</w:t>
      </w:r>
      <w:proofErr w:type="spellEnd"/>
      <w:r w:rsidRPr="00675C3A">
        <w:rPr>
          <w:rFonts w:ascii="Cambria" w:hAnsi="Cambria" w:cs="Verdana"/>
          <w:i/>
          <w:iCs/>
          <w:sz w:val="16"/>
          <w:szCs w:val="16"/>
        </w:rPr>
        <w:t xml:space="preserve"> v. Turkey,</w:t>
      </w:r>
      <w:r w:rsidRPr="00675C3A">
        <w:rPr>
          <w:rFonts w:ascii="Cambria" w:hAnsi="Cambria" w:cs="Verdana"/>
          <w:sz w:val="16"/>
          <w:szCs w:val="16"/>
        </w:rPr>
        <w:t xml:space="preserve"> </w:t>
      </w:r>
      <w:proofErr w:type="spellStart"/>
      <w:r w:rsidR="00C80F41" w:rsidRPr="00675C3A">
        <w:rPr>
          <w:rFonts w:ascii="Cambria" w:hAnsi="Cambria" w:cs="Verdana"/>
          <w:sz w:val="16"/>
          <w:szCs w:val="16"/>
        </w:rPr>
        <w:t>párrs</w:t>
      </w:r>
      <w:proofErr w:type="spellEnd"/>
      <w:r w:rsidR="00C80F41" w:rsidRPr="00675C3A">
        <w:rPr>
          <w:rFonts w:ascii="Cambria" w:hAnsi="Cambria" w:cs="Verdana"/>
          <w:sz w:val="16"/>
          <w:szCs w:val="16"/>
        </w:rPr>
        <w:t xml:space="preserve">. </w:t>
      </w:r>
      <w:r w:rsidR="00C80F41" w:rsidRPr="006C459C">
        <w:rPr>
          <w:rFonts w:ascii="Cambria" w:hAnsi="Cambria" w:cs="Verdana"/>
          <w:sz w:val="16"/>
          <w:szCs w:val="16"/>
        </w:rPr>
        <w:t xml:space="preserve">122-123; </w:t>
      </w:r>
      <w:r w:rsidRPr="006C459C">
        <w:rPr>
          <w:rFonts w:ascii="Cambria" w:hAnsi="Cambria" w:cs="Verdana"/>
          <w:sz w:val="16"/>
          <w:szCs w:val="16"/>
        </w:rPr>
        <w:t xml:space="preserve">y </w:t>
      </w:r>
      <w:proofErr w:type="spellStart"/>
      <w:r w:rsidR="00C80F41" w:rsidRPr="006C459C">
        <w:rPr>
          <w:rFonts w:ascii="Cambria" w:hAnsi="Cambria" w:cs="Verdana"/>
          <w:i/>
          <w:iCs/>
          <w:sz w:val="16"/>
          <w:szCs w:val="16"/>
        </w:rPr>
        <w:t>Nachova</w:t>
      </w:r>
      <w:proofErr w:type="spellEnd"/>
      <w:r w:rsidR="00C80F41" w:rsidRPr="006C459C">
        <w:rPr>
          <w:rFonts w:ascii="Cambria" w:hAnsi="Cambria" w:cs="Verdana"/>
          <w:i/>
          <w:iCs/>
          <w:sz w:val="16"/>
          <w:szCs w:val="16"/>
        </w:rPr>
        <w:t xml:space="preserve"> and Others v. Bulgaria, </w:t>
      </w:r>
      <w:proofErr w:type="spellStart"/>
      <w:r w:rsidRPr="006C459C">
        <w:rPr>
          <w:rFonts w:ascii="Cambria" w:hAnsi="Cambria" w:cs="Verdana"/>
          <w:iCs/>
          <w:sz w:val="16"/>
          <w:szCs w:val="16"/>
        </w:rPr>
        <w:t>párrs</w:t>
      </w:r>
      <w:proofErr w:type="spellEnd"/>
      <w:r w:rsidRPr="006C459C">
        <w:rPr>
          <w:rFonts w:ascii="Cambria" w:hAnsi="Cambria" w:cs="Verdana"/>
          <w:iCs/>
          <w:sz w:val="16"/>
          <w:szCs w:val="16"/>
        </w:rPr>
        <w:t xml:space="preserve">. </w:t>
      </w:r>
      <w:r w:rsidR="00C80F41" w:rsidRPr="006C459C">
        <w:rPr>
          <w:rFonts w:ascii="Cambria" w:hAnsi="Cambria" w:cs="Verdana"/>
          <w:iCs/>
          <w:sz w:val="16"/>
          <w:szCs w:val="16"/>
          <w:lang w:val="es-ES"/>
        </w:rPr>
        <w:t>111-112.</w:t>
      </w:r>
    </w:p>
  </w:footnote>
  <w:footnote w:id="88">
    <w:p w:rsidR="006A3859" w:rsidRPr="006C459C" w:rsidRDefault="006A3859" w:rsidP="00D060AD">
      <w:pPr>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w:t>
      </w:r>
      <w:r w:rsidRPr="006C459C">
        <w:rPr>
          <w:rFonts w:ascii="Cambria" w:hAnsi="Cambria"/>
          <w:sz w:val="16"/>
          <w:szCs w:val="16"/>
          <w:lang w:val="es-ES"/>
        </w:rPr>
        <w:t xml:space="preserve">Corte I.D.H., </w:t>
      </w:r>
      <w:r w:rsidRPr="006C459C">
        <w:rPr>
          <w:rFonts w:ascii="Cambria" w:hAnsi="Cambria"/>
          <w:bCs/>
          <w:i/>
          <w:sz w:val="16"/>
          <w:szCs w:val="16"/>
          <w:lang w:val="es-ES"/>
        </w:rPr>
        <w:t>Caso Zambrano Vélez y otros Vs. Ecuador.</w:t>
      </w:r>
      <w:r w:rsidRPr="006C459C">
        <w:rPr>
          <w:rFonts w:ascii="Cambria" w:hAnsi="Cambria"/>
          <w:b/>
          <w:bCs/>
          <w:sz w:val="16"/>
          <w:szCs w:val="16"/>
          <w:lang w:val="es-ES"/>
        </w:rPr>
        <w:t xml:space="preserve"> </w:t>
      </w:r>
      <w:r w:rsidRPr="006C459C">
        <w:rPr>
          <w:rFonts w:ascii="Cambria" w:hAnsi="Cambria"/>
          <w:sz w:val="16"/>
          <w:szCs w:val="16"/>
          <w:lang w:val="es-ES"/>
        </w:rPr>
        <w:t xml:space="preserve">Fondo, Reparaciones y Costas. Sentencia de 4 de julio de 2007. Serie C No. 166, párr. </w:t>
      </w:r>
      <w:r w:rsidRPr="006C459C">
        <w:rPr>
          <w:rFonts w:ascii="Cambria" w:hAnsi="Cambria"/>
          <w:sz w:val="16"/>
          <w:szCs w:val="16"/>
          <w:lang w:val="es-ES_tradnl"/>
        </w:rPr>
        <w:t>88.</w:t>
      </w:r>
    </w:p>
  </w:footnote>
  <w:footnote w:id="89">
    <w:p w:rsidR="006A3859" w:rsidRPr="006C459C" w:rsidRDefault="006A3859" w:rsidP="00D060AD">
      <w:pPr>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w:t>
      </w:r>
      <w:r w:rsidR="00C80F41" w:rsidRPr="006C459C">
        <w:rPr>
          <w:rFonts w:ascii="Cambria" w:hAnsi="Cambria"/>
          <w:sz w:val="16"/>
          <w:szCs w:val="16"/>
          <w:lang w:val="es-ES_tradnl"/>
        </w:rPr>
        <w:t xml:space="preserve">ONU, </w:t>
      </w:r>
      <w:r w:rsidRPr="006C459C">
        <w:rPr>
          <w:rFonts w:ascii="Cambria" w:hAnsi="Cambria" w:cs="Arial"/>
          <w:sz w:val="16"/>
          <w:szCs w:val="16"/>
          <w:lang w:val="es-ES_tradnl"/>
        </w:rPr>
        <w:t xml:space="preserve">Informe provisional sobre la situación mundial con respecto a las ejecuciones extrajudiciales, sumarias o arbitrarias presentado por el Relator Especial Philip </w:t>
      </w:r>
      <w:proofErr w:type="spellStart"/>
      <w:r w:rsidRPr="006C459C">
        <w:rPr>
          <w:rFonts w:ascii="Cambria" w:hAnsi="Cambria" w:cs="Arial"/>
          <w:sz w:val="16"/>
          <w:szCs w:val="16"/>
          <w:lang w:val="es-ES_tradnl"/>
        </w:rPr>
        <w:t>Alston</w:t>
      </w:r>
      <w:proofErr w:type="spellEnd"/>
      <w:r w:rsidRPr="006C459C">
        <w:rPr>
          <w:rFonts w:ascii="Cambria" w:hAnsi="Cambria" w:cs="Arial"/>
          <w:sz w:val="16"/>
          <w:szCs w:val="16"/>
          <w:lang w:val="es-ES_tradnl"/>
        </w:rPr>
        <w:t>.</w:t>
      </w:r>
      <w:r w:rsidRPr="006C459C">
        <w:rPr>
          <w:rFonts w:ascii="Cambria" w:hAnsi="Cambria" w:cs="Arial"/>
          <w:i/>
          <w:sz w:val="16"/>
          <w:szCs w:val="16"/>
          <w:lang w:val="es-ES_tradnl"/>
        </w:rPr>
        <w:t xml:space="preserve"> </w:t>
      </w:r>
      <w:r w:rsidRPr="006C459C">
        <w:rPr>
          <w:rFonts w:ascii="Cambria" w:hAnsi="Cambria"/>
          <w:sz w:val="16"/>
          <w:szCs w:val="16"/>
          <w:lang w:val="es-ES_tradnl"/>
        </w:rPr>
        <w:t xml:space="preserve">Asamblea General de Naciones Unidas. </w:t>
      </w:r>
      <w:r w:rsidRPr="006C459C">
        <w:rPr>
          <w:rFonts w:ascii="Cambria" w:hAnsi="Cambria" w:cs="Arial"/>
          <w:sz w:val="16"/>
          <w:szCs w:val="16"/>
          <w:lang w:val="es-ES_tradnl"/>
        </w:rPr>
        <w:t>(Doc. A/61/311)</w:t>
      </w:r>
      <w:r w:rsidRPr="006C459C">
        <w:rPr>
          <w:rFonts w:ascii="Cambria" w:hAnsi="Cambria" w:cs="Arial"/>
          <w:sz w:val="16"/>
          <w:szCs w:val="16"/>
          <w:lang w:val="es-ES"/>
        </w:rPr>
        <w:t>, LIX período de sesiones, 5 de septiembre de 2006, párr. 36.</w:t>
      </w:r>
    </w:p>
  </w:footnote>
  <w:footnote w:id="90">
    <w:p w:rsidR="006A3859" w:rsidRPr="006C459C" w:rsidRDefault="006A3859" w:rsidP="00D060AD">
      <w:pPr>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
        </w:rPr>
        <w:t xml:space="preserve"> Corte I.D.H., </w:t>
      </w:r>
      <w:r w:rsidRPr="006C459C">
        <w:rPr>
          <w:rFonts w:ascii="Cambria" w:hAnsi="Cambria"/>
          <w:bCs/>
          <w:i/>
          <w:sz w:val="16"/>
          <w:szCs w:val="16"/>
          <w:lang w:val="es-ES_tradnl"/>
        </w:rPr>
        <w:t>Caso Zambrano Vélez y otros Vs. Ecuador.</w:t>
      </w:r>
      <w:r w:rsidRPr="006C459C">
        <w:rPr>
          <w:rFonts w:ascii="Cambria" w:hAnsi="Cambria"/>
          <w:bCs/>
          <w:sz w:val="16"/>
          <w:szCs w:val="16"/>
          <w:lang w:val="es-ES_tradnl"/>
        </w:rPr>
        <w:t xml:space="preserve"> </w:t>
      </w:r>
      <w:r w:rsidRPr="006C459C">
        <w:rPr>
          <w:rFonts w:ascii="Cambria" w:hAnsi="Cambria"/>
          <w:sz w:val="16"/>
          <w:szCs w:val="16"/>
          <w:lang w:val="es-ES_tradnl"/>
        </w:rPr>
        <w:t xml:space="preserve">Fondo, Reparaciones y Costas. Sentencia de 4 de julio de 2007. Serie C No. 166, párr. 121. </w:t>
      </w:r>
    </w:p>
  </w:footnote>
  <w:footnote w:id="91">
    <w:p w:rsidR="006A3859" w:rsidRPr="006C459C" w:rsidRDefault="006A3859" w:rsidP="00D060AD">
      <w:pPr>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Corte I.D.H., </w:t>
      </w:r>
      <w:r w:rsidRPr="006C459C">
        <w:rPr>
          <w:rFonts w:ascii="Cambria" w:hAnsi="Cambria"/>
          <w:i/>
          <w:sz w:val="16"/>
          <w:szCs w:val="16"/>
          <w:lang w:val="es-ES_tradnl"/>
        </w:rPr>
        <w:t xml:space="preserve">Caso de la Comunidad </w:t>
      </w:r>
      <w:proofErr w:type="spellStart"/>
      <w:r w:rsidRPr="006C459C">
        <w:rPr>
          <w:rFonts w:ascii="Cambria" w:hAnsi="Cambria"/>
          <w:i/>
          <w:sz w:val="16"/>
          <w:szCs w:val="16"/>
          <w:lang w:val="es-ES_tradnl"/>
        </w:rPr>
        <w:t>Moiwana</w:t>
      </w:r>
      <w:proofErr w:type="spellEnd"/>
      <w:r w:rsidRPr="006C459C">
        <w:rPr>
          <w:rFonts w:ascii="Cambria" w:hAnsi="Cambria"/>
          <w:i/>
          <w:sz w:val="16"/>
          <w:szCs w:val="16"/>
          <w:lang w:val="es-ES_tradnl"/>
        </w:rPr>
        <w:t xml:space="preserve"> Vs. Surinam</w:t>
      </w:r>
      <w:r w:rsidRPr="006C459C">
        <w:rPr>
          <w:rFonts w:ascii="Cambria" w:hAnsi="Cambria"/>
          <w:sz w:val="16"/>
          <w:szCs w:val="16"/>
          <w:lang w:val="es-ES_tradnl"/>
        </w:rPr>
        <w:t xml:space="preserve">. Sentencia de 15 de junio de 2005. Serie C No. 124, párr. 149; </w:t>
      </w:r>
      <w:r w:rsidR="009555F5" w:rsidRPr="006C459C">
        <w:rPr>
          <w:rFonts w:ascii="Cambria" w:hAnsi="Cambria"/>
          <w:sz w:val="16"/>
          <w:szCs w:val="16"/>
          <w:lang w:val="es-ES"/>
        </w:rPr>
        <w:t xml:space="preserve">y </w:t>
      </w:r>
      <w:r w:rsidRPr="006C459C">
        <w:rPr>
          <w:rFonts w:ascii="Cambria" w:hAnsi="Cambria"/>
          <w:bCs/>
          <w:i/>
          <w:sz w:val="16"/>
          <w:szCs w:val="16"/>
          <w:lang w:val="es-ES_tradnl"/>
        </w:rPr>
        <w:t xml:space="preserve">Caso del Penal Miguel Castro </w:t>
      </w:r>
      <w:proofErr w:type="spellStart"/>
      <w:r w:rsidRPr="006C459C">
        <w:rPr>
          <w:rFonts w:ascii="Cambria" w:hAnsi="Cambria"/>
          <w:bCs/>
          <w:i/>
          <w:sz w:val="16"/>
          <w:szCs w:val="16"/>
          <w:lang w:val="es-ES_tradnl"/>
        </w:rPr>
        <w:t>Castro</w:t>
      </w:r>
      <w:proofErr w:type="spellEnd"/>
      <w:r w:rsidRPr="006C459C">
        <w:rPr>
          <w:rFonts w:ascii="Cambria" w:hAnsi="Cambria"/>
          <w:bCs/>
          <w:i/>
          <w:sz w:val="16"/>
          <w:szCs w:val="16"/>
          <w:lang w:val="es-ES_tradnl"/>
        </w:rPr>
        <w:t xml:space="preserve"> Vs. Perú</w:t>
      </w:r>
      <w:r w:rsidRPr="006C459C">
        <w:rPr>
          <w:rFonts w:ascii="Cambria" w:hAnsi="Cambria"/>
          <w:bCs/>
          <w:sz w:val="16"/>
          <w:szCs w:val="16"/>
          <w:lang w:val="es-ES_tradnl"/>
        </w:rPr>
        <w:t xml:space="preserve">. </w:t>
      </w:r>
      <w:r w:rsidRPr="006C459C">
        <w:rPr>
          <w:rFonts w:ascii="Cambria" w:hAnsi="Cambria"/>
          <w:sz w:val="16"/>
          <w:szCs w:val="16"/>
          <w:lang w:val="es-ES_tradnl"/>
        </w:rPr>
        <w:t xml:space="preserve">Sentencia de 25 de noviembre de 2006. Serie C No. 160, párr. 383. </w:t>
      </w:r>
    </w:p>
  </w:footnote>
  <w:footnote w:id="92">
    <w:p w:rsidR="006A3859" w:rsidRPr="006C459C" w:rsidRDefault="006A3859" w:rsidP="00D060AD">
      <w:pPr>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Corte I.D.H., </w:t>
      </w:r>
      <w:r w:rsidRPr="006C459C">
        <w:rPr>
          <w:rFonts w:ascii="Cambria" w:hAnsi="Cambria"/>
          <w:bCs/>
          <w:i/>
          <w:sz w:val="16"/>
          <w:szCs w:val="16"/>
          <w:lang w:val="es-ES_tradnl"/>
        </w:rPr>
        <w:t>Caso Zambrano Vélez y otros Vs. Ecuador.</w:t>
      </w:r>
      <w:r w:rsidRPr="006C459C">
        <w:rPr>
          <w:rFonts w:ascii="Cambria" w:hAnsi="Cambria"/>
          <w:bCs/>
          <w:sz w:val="16"/>
          <w:szCs w:val="16"/>
          <w:lang w:val="es-ES_tradnl"/>
        </w:rPr>
        <w:t xml:space="preserve"> </w:t>
      </w:r>
      <w:r w:rsidRPr="006C459C">
        <w:rPr>
          <w:rFonts w:ascii="Cambria" w:hAnsi="Cambria"/>
          <w:sz w:val="16"/>
          <w:szCs w:val="16"/>
          <w:lang w:val="es-ES_tradnl"/>
        </w:rPr>
        <w:t>Fondo, Reparaciones y Costas. Sentencia de 4 de julio de 2007. Serie C No. 166, párr. 122.</w:t>
      </w:r>
    </w:p>
  </w:footnote>
  <w:footnote w:id="93">
    <w:p w:rsidR="006A3859" w:rsidRPr="006C459C" w:rsidRDefault="006A3859" w:rsidP="00D060AD">
      <w:pPr>
        <w:jc w:val="both"/>
        <w:rPr>
          <w:rFonts w:ascii="Cambria" w:hAnsi="Cambria"/>
          <w:sz w:val="16"/>
          <w:szCs w:val="16"/>
          <w:lang w:val="es-ES_tradnl"/>
        </w:rPr>
      </w:pPr>
      <w:r w:rsidRPr="006C459C">
        <w:rPr>
          <w:rStyle w:val="FootnoteReference"/>
          <w:rFonts w:ascii="Cambria" w:hAnsi="Cambria"/>
          <w:sz w:val="16"/>
          <w:szCs w:val="16"/>
        </w:rPr>
        <w:footnoteRef/>
      </w:r>
      <w:r w:rsidRPr="006C459C">
        <w:rPr>
          <w:rFonts w:ascii="Cambria" w:hAnsi="Cambria"/>
          <w:sz w:val="16"/>
          <w:szCs w:val="16"/>
          <w:lang w:val="es-ES_tradnl"/>
        </w:rPr>
        <w:t xml:space="preserve"> </w:t>
      </w:r>
      <w:r w:rsidRPr="006C459C">
        <w:rPr>
          <w:rFonts w:ascii="Cambria" w:hAnsi="Cambria"/>
          <w:sz w:val="16"/>
          <w:szCs w:val="16"/>
          <w:lang w:val="es-AR"/>
        </w:rPr>
        <w:t>CIDH, Informe sobre Seguridad Ciudadana y Derechos Humanos, OEA/</w:t>
      </w:r>
      <w:proofErr w:type="spellStart"/>
      <w:r w:rsidRPr="006C459C">
        <w:rPr>
          <w:rFonts w:ascii="Cambria" w:hAnsi="Cambria"/>
          <w:sz w:val="16"/>
          <w:szCs w:val="16"/>
          <w:lang w:val="es-AR"/>
        </w:rPr>
        <w:t>Ser.L</w:t>
      </w:r>
      <w:proofErr w:type="spellEnd"/>
      <w:r w:rsidRPr="006C459C">
        <w:rPr>
          <w:rFonts w:ascii="Cambria" w:hAnsi="Cambria"/>
          <w:sz w:val="16"/>
          <w:szCs w:val="16"/>
          <w:lang w:val="es-AR"/>
        </w:rPr>
        <w:t>/V/II., Doc. 57, 31 diciembre 2009, párr. 163</w:t>
      </w:r>
      <w:r w:rsidR="00B14C22" w:rsidRPr="006C459C">
        <w:rPr>
          <w:rFonts w:ascii="Cambria" w:hAnsi="Cambria"/>
          <w:sz w:val="16"/>
          <w:szCs w:val="16"/>
          <w:lang w:val="es-AR"/>
        </w:rPr>
        <w:t>.</w:t>
      </w:r>
      <w:r w:rsidRPr="006C459C">
        <w:rPr>
          <w:rFonts w:ascii="Cambria" w:hAnsi="Cambria"/>
          <w:sz w:val="16"/>
          <w:szCs w:val="16"/>
          <w:lang w:val="es-AR"/>
        </w:rPr>
        <w:t xml:space="preserve"> </w:t>
      </w:r>
    </w:p>
  </w:footnote>
  <w:footnote w:id="94">
    <w:p w:rsidR="006A3859" w:rsidRPr="006C459C" w:rsidRDefault="006A3859" w:rsidP="00D060AD">
      <w:pPr>
        <w:jc w:val="both"/>
        <w:rPr>
          <w:rFonts w:ascii="Cambria" w:hAnsi="Cambria"/>
          <w:sz w:val="16"/>
          <w:szCs w:val="16"/>
          <w:lang w:val="es-ES"/>
        </w:rPr>
      </w:pPr>
      <w:r w:rsidRPr="006C459C">
        <w:rPr>
          <w:rStyle w:val="FootnoteReference"/>
          <w:rFonts w:ascii="Cambria" w:hAnsi="Cambria"/>
          <w:sz w:val="16"/>
          <w:szCs w:val="16"/>
        </w:rPr>
        <w:footnoteRef/>
      </w:r>
      <w:r w:rsidRPr="006C459C">
        <w:rPr>
          <w:rFonts w:ascii="Cambria" w:hAnsi="Cambria"/>
          <w:sz w:val="16"/>
          <w:szCs w:val="16"/>
          <w:lang w:val="es-ES_tradnl"/>
        </w:rPr>
        <w:t xml:space="preserve"> Corte I.D.H., </w:t>
      </w:r>
      <w:r w:rsidRPr="006C459C">
        <w:rPr>
          <w:rFonts w:ascii="Cambria" w:hAnsi="Cambria"/>
          <w:bCs/>
          <w:i/>
          <w:sz w:val="16"/>
          <w:szCs w:val="16"/>
          <w:lang w:val="es-ES_tradnl"/>
        </w:rPr>
        <w:t xml:space="preserve">Caso Cantoral </w:t>
      </w:r>
      <w:proofErr w:type="spellStart"/>
      <w:r w:rsidRPr="006C459C">
        <w:rPr>
          <w:rFonts w:ascii="Cambria" w:hAnsi="Cambria"/>
          <w:bCs/>
          <w:i/>
          <w:sz w:val="16"/>
          <w:szCs w:val="16"/>
          <w:lang w:val="es-ES_tradnl"/>
        </w:rPr>
        <w:t>Huamaní</w:t>
      </w:r>
      <w:proofErr w:type="spellEnd"/>
      <w:r w:rsidRPr="006C459C">
        <w:rPr>
          <w:rFonts w:ascii="Cambria" w:hAnsi="Cambria"/>
          <w:bCs/>
          <w:i/>
          <w:sz w:val="16"/>
          <w:szCs w:val="16"/>
          <w:lang w:val="es-ES_tradnl"/>
        </w:rPr>
        <w:t xml:space="preserve"> y García Santa Cruz Vs. Perú.</w:t>
      </w:r>
      <w:r w:rsidRPr="006C459C">
        <w:rPr>
          <w:rFonts w:ascii="Cambria" w:hAnsi="Cambria"/>
          <w:bCs/>
          <w:sz w:val="16"/>
          <w:szCs w:val="16"/>
          <w:lang w:val="es-ES_tradnl"/>
        </w:rPr>
        <w:t xml:space="preserve"> </w:t>
      </w:r>
      <w:r w:rsidRPr="006C459C">
        <w:rPr>
          <w:rFonts w:ascii="Cambria" w:hAnsi="Cambria"/>
          <w:sz w:val="16"/>
          <w:szCs w:val="16"/>
          <w:lang w:val="es-ES_tradnl"/>
        </w:rPr>
        <w:t xml:space="preserve">Excepción Preliminar, Fondo, Reparaciones y Costas. Sentencia de 10 de julio de 2007. </w:t>
      </w:r>
      <w:r w:rsidR="00B14C22" w:rsidRPr="006C459C">
        <w:rPr>
          <w:rFonts w:ascii="Cambria" w:hAnsi="Cambria"/>
          <w:sz w:val="16"/>
          <w:szCs w:val="16"/>
          <w:lang w:val="es-ES"/>
        </w:rPr>
        <w:t>Serie C No. 167, p</w:t>
      </w:r>
      <w:r w:rsidRPr="006C459C">
        <w:rPr>
          <w:rFonts w:ascii="Cambria" w:hAnsi="Cambria"/>
          <w:sz w:val="16"/>
          <w:szCs w:val="16"/>
          <w:lang w:val="es-ES"/>
        </w:rPr>
        <w:t>árr. 166.</w:t>
      </w:r>
    </w:p>
  </w:footnote>
  <w:footnote w:id="95">
    <w:p w:rsidR="006A3859" w:rsidRPr="006C459C" w:rsidRDefault="006A3859" w:rsidP="00D060AD">
      <w:pPr>
        <w:pStyle w:val="FootnoteText"/>
        <w:jc w:val="both"/>
        <w:rPr>
          <w:rFonts w:ascii="Cambria" w:hAnsi="Cambria"/>
          <w:sz w:val="16"/>
          <w:szCs w:val="16"/>
          <w:lang w:val="es-CR"/>
        </w:rPr>
      </w:pPr>
      <w:r w:rsidRPr="006C459C">
        <w:rPr>
          <w:rStyle w:val="FootnoteReference"/>
          <w:rFonts w:ascii="Cambria" w:hAnsi="Cambria"/>
          <w:sz w:val="16"/>
          <w:szCs w:val="16"/>
        </w:rPr>
        <w:footnoteRef/>
      </w:r>
      <w:r w:rsidRPr="006C459C">
        <w:rPr>
          <w:rFonts w:ascii="Cambria" w:hAnsi="Cambria"/>
          <w:sz w:val="16"/>
          <w:szCs w:val="16"/>
          <w:lang w:val="es-ES"/>
        </w:rPr>
        <w:t xml:space="preserve"> Corte I.D.H., </w:t>
      </w:r>
      <w:r w:rsidRPr="006C459C">
        <w:rPr>
          <w:rFonts w:ascii="Cambria" w:hAnsi="Cambria"/>
          <w:i/>
          <w:sz w:val="16"/>
          <w:szCs w:val="16"/>
          <w:lang w:val="es-ES"/>
        </w:rPr>
        <w:t>Caso </w:t>
      </w:r>
      <w:proofErr w:type="spellStart"/>
      <w:r w:rsidRPr="006C459C">
        <w:rPr>
          <w:rFonts w:ascii="Cambria" w:hAnsi="Cambria"/>
          <w:bCs/>
          <w:i/>
          <w:sz w:val="16"/>
          <w:szCs w:val="16"/>
          <w:lang w:val="es-ES"/>
        </w:rPr>
        <w:t>Palamara</w:t>
      </w:r>
      <w:proofErr w:type="spellEnd"/>
      <w:r w:rsidRPr="006C459C">
        <w:rPr>
          <w:rFonts w:ascii="Cambria" w:hAnsi="Cambria"/>
          <w:i/>
          <w:sz w:val="16"/>
          <w:szCs w:val="16"/>
          <w:lang w:val="es-ES"/>
        </w:rPr>
        <w:t xml:space="preserve"> Iribarne Vs. </w:t>
      </w:r>
      <w:r w:rsidRPr="006C459C">
        <w:rPr>
          <w:rFonts w:ascii="Cambria" w:hAnsi="Cambria"/>
          <w:i/>
          <w:sz w:val="16"/>
          <w:szCs w:val="16"/>
          <w:lang w:val="es-ES_tradnl"/>
        </w:rPr>
        <w:t>Chile</w:t>
      </w:r>
      <w:r w:rsidRPr="006C459C">
        <w:rPr>
          <w:rFonts w:ascii="Cambria" w:hAnsi="Cambria"/>
          <w:sz w:val="16"/>
          <w:szCs w:val="16"/>
          <w:lang w:val="es-ES_tradnl"/>
        </w:rPr>
        <w:t xml:space="preserve">. Fondo, Reparaciones y Costas, Sentencia del 22 de noviembre de 2005, Serie C, No. 135. </w:t>
      </w:r>
      <w:r w:rsidRPr="006C459C">
        <w:rPr>
          <w:rFonts w:ascii="Cambria" w:hAnsi="Cambria"/>
          <w:sz w:val="16"/>
          <w:szCs w:val="16"/>
          <w:lang w:val="es-MX"/>
        </w:rPr>
        <w:t xml:space="preserve">Párr. 155 y 156. </w:t>
      </w:r>
    </w:p>
  </w:footnote>
  <w:footnote w:id="96">
    <w:p w:rsidR="006A3859" w:rsidRPr="006C459C" w:rsidRDefault="006A3859" w:rsidP="00D060AD">
      <w:pPr>
        <w:pStyle w:val="FootnoteText"/>
        <w:jc w:val="both"/>
        <w:rPr>
          <w:rFonts w:ascii="Cambria" w:hAnsi="Cambria"/>
          <w:color w:val="auto"/>
          <w:sz w:val="16"/>
          <w:szCs w:val="16"/>
          <w:lang w:val="es-ES"/>
        </w:rPr>
      </w:pPr>
      <w:r w:rsidRPr="006C459C">
        <w:rPr>
          <w:rStyle w:val="FootnoteReference"/>
          <w:rFonts w:ascii="Cambria" w:hAnsi="Cambria"/>
          <w:color w:val="auto"/>
          <w:sz w:val="16"/>
          <w:szCs w:val="16"/>
        </w:rPr>
        <w:footnoteRef/>
      </w:r>
      <w:r w:rsidRPr="006C459C">
        <w:rPr>
          <w:rFonts w:ascii="Cambria" w:hAnsi="Cambria" w:cs="Arial"/>
          <w:color w:val="auto"/>
          <w:sz w:val="16"/>
          <w:szCs w:val="16"/>
          <w:lang w:val="es-ES"/>
        </w:rPr>
        <w:t xml:space="preserve"> </w:t>
      </w:r>
      <w:r w:rsidRPr="006C459C">
        <w:rPr>
          <w:rFonts w:ascii="Cambria" w:hAnsi="Cambria"/>
          <w:color w:val="auto"/>
          <w:sz w:val="16"/>
          <w:szCs w:val="16"/>
          <w:lang w:val="es-ES_tradnl"/>
        </w:rPr>
        <w:t xml:space="preserve">Corte I.D.H., </w:t>
      </w:r>
      <w:r w:rsidRPr="006C459C">
        <w:rPr>
          <w:rFonts w:ascii="Cambria" w:hAnsi="Cambria"/>
          <w:i/>
          <w:color w:val="auto"/>
          <w:sz w:val="16"/>
          <w:szCs w:val="16"/>
          <w:lang w:val="es-ES_tradnl"/>
        </w:rPr>
        <w:t xml:space="preserve">Caso García </w:t>
      </w:r>
      <w:proofErr w:type="spellStart"/>
      <w:r w:rsidRPr="006C459C">
        <w:rPr>
          <w:rFonts w:ascii="Cambria" w:hAnsi="Cambria"/>
          <w:i/>
          <w:color w:val="auto"/>
          <w:sz w:val="16"/>
          <w:szCs w:val="16"/>
          <w:lang w:val="es-ES_tradnl"/>
        </w:rPr>
        <w:t>Asto</w:t>
      </w:r>
      <w:proofErr w:type="spellEnd"/>
      <w:r w:rsidRPr="006C459C">
        <w:rPr>
          <w:rFonts w:ascii="Cambria" w:hAnsi="Cambria"/>
          <w:i/>
          <w:color w:val="auto"/>
          <w:sz w:val="16"/>
          <w:szCs w:val="16"/>
          <w:lang w:val="es-ES_tradnl"/>
        </w:rPr>
        <w:t xml:space="preserve"> y Ramírez Rojas Vs. Perú</w:t>
      </w:r>
      <w:r w:rsidRPr="006C459C">
        <w:rPr>
          <w:rFonts w:ascii="Cambria" w:hAnsi="Cambria"/>
          <w:color w:val="auto"/>
          <w:sz w:val="16"/>
          <w:szCs w:val="16"/>
          <w:lang w:val="es-ES_tradnl"/>
        </w:rPr>
        <w:t>. Sentencia de 25 de noviembre de 2005. Serie C No. 137</w:t>
      </w:r>
      <w:r w:rsidRPr="006C459C">
        <w:rPr>
          <w:rFonts w:ascii="Cambria" w:hAnsi="Cambria" w:cs="Arial"/>
          <w:iCs/>
          <w:color w:val="auto"/>
          <w:sz w:val="16"/>
          <w:szCs w:val="16"/>
          <w:lang w:val="es-ES"/>
        </w:rPr>
        <w:t xml:space="preserve">, párr. 166; </w:t>
      </w:r>
      <w:r w:rsidRPr="006C459C">
        <w:rPr>
          <w:rFonts w:ascii="Cambria" w:hAnsi="Cambria"/>
          <w:i/>
          <w:color w:val="auto"/>
          <w:sz w:val="16"/>
          <w:szCs w:val="16"/>
          <w:lang w:val="es-ES_tradnl"/>
        </w:rPr>
        <w:t xml:space="preserve">Caso Gómez Palomino Vs. Perú. </w:t>
      </w:r>
      <w:hyperlink r:id="rId1" w:history="1">
        <w:r w:rsidRPr="006C459C">
          <w:rPr>
            <w:rStyle w:val="Hyperlink"/>
            <w:rFonts w:ascii="Cambria" w:hAnsi="Cambria"/>
            <w:color w:val="auto"/>
            <w:sz w:val="16"/>
            <w:szCs w:val="16"/>
            <w:u w:val="none"/>
            <w:shd w:val="clear" w:color="auto" w:fill="FFFFFF"/>
            <w:lang w:val="es-ES"/>
          </w:rPr>
          <w:t>Fondo, Reparaciones y Costas. Sentencia de 22 de noviembre de 2005. Serie C No. 136</w:t>
        </w:r>
      </w:hyperlink>
      <w:r w:rsidRPr="006C459C">
        <w:rPr>
          <w:rFonts w:ascii="Cambria" w:hAnsi="Cambria"/>
          <w:color w:val="auto"/>
          <w:sz w:val="16"/>
          <w:szCs w:val="16"/>
          <w:lang w:val="es-ES_tradnl"/>
        </w:rPr>
        <w:t>,</w:t>
      </w:r>
      <w:r w:rsidRPr="006C459C">
        <w:rPr>
          <w:rFonts w:ascii="Cambria" w:hAnsi="Cambria"/>
          <w:i/>
          <w:color w:val="auto"/>
          <w:sz w:val="16"/>
          <w:szCs w:val="16"/>
          <w:lang w:val="es-ES_tradnl"/>
        </w:rPr>
        <w:t xml:space="preserve"> </w:t>
      </w:r>
      <w:r w:rsidRPr="006C459C">
        <w:rPr>
          <w:rFonts w:ascii="Cambria" w:hAnsi="Cambria"/>
          <w:color w:val="auto"/>
          <w:sz w:val="16"/>
          <w:szCs w:val="16"/>
          <w:lang w:val="es-ES_tradnl"/>
        </w:rPr>
        <w:t xml:space="preserve">párr. </w:t>
      </w:r>
      <w:r w:rsidRPr="006C459C">
        <w:rPr>
          <w:rFonts w:ascii="Cambria" w:hAnsi="Cambria" w:cs="Arial"/>
          <w:color w:val="auto"/>
          <w:sz w:val="16"/>
          <w:szCs w:val="16"/>
          <w:lang w:val="es-ES"/>
        </w:rPr>
        <w:t xml:space="preserve">85; y </w:t>
      </w:r>
      <w:r w:rsidRPr="006C459C">
        <w:rPr>
          <w:rFonts w:ascii="Cambria" w:hAnsi="Cambria"/>
          <w:i/>
          <w:color w:val="auto"/>
          <w:sz w:val="16"/>
          <w:szCs w:val="16"/>
          <w:lang w:val="es-ES"/>
        </w:rPr>
        <w:t xml:space="preserve">Caso de la Comunidad </w:t>
      </w:r>
      <w:proofErr w:type="spellStart"/>
      <w:r w:rsidRPr="006C459C">
        <w:rPr>
          <w:rFonts w:ascii="Cambria" w:hAnsi="Cambria"/>
          <w:i/>
          <w:color w:val="auto"/>
          <w:sz w:val="16"/>
          <w:szCs w:val="16"/>
          <w:lang w:val="es-ES"/>
        </w:rPr>
        <w:t>Moiwana</w:t>
      </w:r>
      <w:proofErr w:type="spellEnd"/>
      <w:r w:rsidRPr="006C459C">
        <w:rPr>
          <w:rFonts w:ascii="Cambria" w:hAnsi="Cambria"/>
          <w:i/>
          <w:color w:val="auto"/>
          <w:sz w:val="16"/>
          <w:szCs w:val="16"/>
          <w:lang w:val="es-ES"/>
        </w:rPr>
        <w:t xml:space="preserve"> Vs. Surinam</w:t>
      </w:r>
      <w:r w:rsidRPr="006C459C">
        <w:rPr>
          <w:rFonts w:ascii="Cambria" w:hAnsi="Cambria"/>
          <w:color w:val="auto"/>
          <w:sz w:val="16"/>
          <w:szCs w:val="16"/>
          <w:lang w:val="es-ES"/>
        </w:rPr>
        <w:t>. Sentencia de 15 de junio de 2005. Serie C No. 124</w:t>
      </w:r>
      <w:r w:rsidRPr="006C459C">
        <w:rPr>
          <w:rFonts w:ascii="Cambria" w:hAnsi="Cambria" w:cs="Arial"/>
          <w:color w:val="auto"/>
          <w:sz w:val="16"/>
          <w:szCs w:val="16"/>
          <w:lang w:val="es-ES"/>
        </w:rPr>
        <w:t>, párr. 160.</w:t>
      </w:r>
    </w:p>
  </w:footnote>
  <w:footnote w:id="97">
    <w:p w:rsidR="006A3859" w:rsidRPr="006C459C" w:rsidRDefault="006A3859" w:rsidP="00D060AD">
      <w:pPr>
        <w:pStyle w:val="FootnoteText"/>
        <w:jc w:val="both"/>
        <w:rPr>
          <w:rFonts w:ascii="Cambria" w:hAnsi="Cambria"/>
          <w:color w:val="auto"/>
          <w:sz w:val="16"/>
          <w:szCs w:val="16"/>
          <w:lang w:val="es-ES_tradnl"/>
        </w:rPr>
      </w:pPr>
      <w:r w:rsidRPr="006C459C">
        <w:rPr>
          <w:rStyle w:val="FootnoteReference"/>
          <w:rFonts w:ascii="Cambria" w:hAnsi="Cambria"/>
          <w:color w:val="auto"/>
          <w:sz w:val="16"/>
          <w:szCs w:val="16"/>
        </w:rPr>
        <w:footnoteRef/>
      </w:r>
      <w:r w:rsidRPr="006C459C">
        <w:rPr>
          <w:rFonts w:ascii="Cambria" w:hAnsi="Cambria"/>
          <w:color w:val="auto"/>
          <w:sz w:val="16"/>
          <w:szCs w:val="16"/>
          <w:lang w:val="es-ES_tradnl"/>
        </w:rPr>
        <w:t xml:space="preserve">Corte I.D.H., </w:t>
      </w:r>
      <w:r w:rsidRPr="006C459C">
        <w:rPr>
          <w:rFonts w:ascii="Cambria" w:hAnsi="Cambria"/>
          <w:i/>
          <w:color w:val="auto"/>
          <w:sz w:val="16"/>
          <w:szCs w:val="16"/>
          <w:lang w:val="es-ES_tradnl"/>
        </w:rPr>
        <w:t xml:space="preserve">Caso Ricardo </w:t>
      </w:r>
      <w:proofErr w:type="spellStart"/>
      <w:r w:rsidRPr="006C459C">
        <w:rPr>
          <w:rFonts w:ascii="Cambria" w:hAnsi="Cambria"/>
          <w:i/>
          <w:color w:val="auto"/>
          <w:sz w:val="16"/>
          <w:szCs w:val="16"/>
          <w:lang w:val="es-ES_tradnl"/>
        </w:rPr>
        <w:t>Canese</w:t>
      </w:r>
      <w:proofErr w:type="spellEnd"/>
      <w:r w:rsidRPr="006C459C">
        <w:rPr>
          <w:rFonts w:ascii="Cambria" w:hAnsi="Cambria"/>
          <w:i/>
          <w:color w:val="auto"/>
          <w:sz w:val="16"/>
          <w:szCs w:val="16"/>
          <w:lang w:val="es-ES_tradnl"/>
        </w:rPr>
        <w:t xml:space="preserve"> Vs. </w:t>
      </w:r>
      <w:r w:rsidRPr="006C459C">
        <w:rPr>
          <w:rFonts w:ascii="Cambria" w:hAnsi="Cambria"/>
          <w:i/>
          <w:color w:val="auto"/>
          <w:sz w:val="16"/>
          <w:szCs w:val="16"/>
          <w:lang w:val="es-ES"/>
        </w:rPr>
        <w:t>Paraguay</w:t>
      </w:r>
      <w:r w:rsidRPr="006C459C">
        <w:rPr>
          <w:rFonts w:ascii="Cambria" w:hAnsi="Cambria"/>
          <w:color w:val="auto"/>
          <w:sz w:val="16"/>
          <w:szCs w:val="16"/>
          <w:lang w:val="es-ES"/>
        </w:rPr>
        <w:t>. Sentencia de 31 de agosto de 2004. Serie C No. 111</w:t>
      </w:r>
      <w:r w:rsidRPr="006C459C">
        <w:rPr>
          <w:rFonts w:ascii="Cambria" w:hAnsi="Cambria" w:cs="Arial"/>
          <w:color w:val="auto"/>
          <w:sz w:val="16"/>
          <w:szCs w:val="16"/>
          <w:lang w:val="es-ES"/>
        </w:rPr>
        <w:t>, párr. 142.</w:t>
      </w:r>
    </w:p>
  </w:footnote>
  <w:footnote w:id="98">
    <w:p w:rsidR="006A3859" w:rsidRPr="006C459C" w:rsidRDefault="006A3859" w:rsidP="00D060AD">
      <w:pPr>
        <w:pStyle w:val="FootnoteText"/>
        <w:jc w:val="both"/>
        <w:rPr>
          <w:rFonts w:ascii="Cambria" w:hAnsi="Cambria"/>
          <w:color w:val="auto"/>
          <w:sz w:val="16"/>
          <w:szCs w:val="16"/>
          <w:lang w:val="es-ES"/>
        </w:rPr>
      </w:pPr>
      <w:r w:rsidRPr="006C459C">
        <w:rPr>
          <w:rStyle w:val="FootnoteReference"/>
          <w:rFonts w:ascii="Cambria" w:hAnsi="Cambria"/>
          <w:color w:val="auto"/>
          <w:sz w:val="16"/>
          <w:szCs w:val="16"/>
        </w:rPr>
        <w:footnoteRef/>
      </w:r>
      <w:r w:rsidRPr="006C459C">
        <w:rPr>
          <w:rFonts w:ascii="Cambria" w:hAnsi="Cambria" w:cs="Arial"/>
          <w:color w:val="auto"/>
          <w:sz w:val="16"/>
          <w:szCs w:val="16"/>
          <w:lang w:val="es-ES"/>
        </w:rPr>
        <w:t xml:space="preserve"> </w:t>
      </w:r>
      <w:r w:rsidRPr="006C459C">
        <w:rPr>
          <w:rFonts w:ascii="Cambria" w:hAnsi="Cambria"/>
          <w:color w:val="auto"/>
          <w:sz w:val="16"/>
          <w:szCs w:val="16"/>
          <w:lang w:val="es-ES_tradnl"/>
        </w:rPr>
        <w:t xml:space="preserve">Corte I.D.H., </w:t>
      </w:r>
      <w:r w:rsidRPr="006C459C">
        <w:rPr>
          <w:rFonts w:ascii="Cambria" w:hAnsi="Cambria"/>
          <w:i/>
          <w:color w:val="auto"/>
          <w:sz w:val="16"/>
          <w:szCs w:val="16"/>
          <w:lang w:val="es-ES_tradnl"/>
        </w:rPr>
        <w:t>Caso</w:t>
      </w:r>
      <w:r w:rsidRPr="006C459C">
        <w:rPr>
          <w:rFonts w:ascii="Cambria" w:hAnsi="Cambria"/>
          <w:color w:val="auto"/>
          <w:sz w:val="16"/>
          <w:szCs w:val="16"/>
          <w:lang w:val="es-ES_tradnl"/>
        </w:rPr>
        <w:t xml:space="preserve"> </w:t>
      </w:r>
      <w:r w:rsidRPr="006C459C">
        <w:rPr>
          <w:rFonts w:ascii="Cambria" w:hAnsi="Cambria"/>
          <w:i/>
          <w:color w:val="auto"/>
          <w:sz w:val="16"/>
          <w:szCs w:val="16"/>
          <w:lang w:val="es-ES_tradnl"/>
        </w:rPr>
        <w:t>López Álvarez Vs. Honduras</w:t>
      </w:r>
      <w:r w:rsidRPr="006C459C">
        <w:rPr>
          <w:rFonts w:ascii="Cambria" w:hAnsi="Cambria"/>
          <w:color w:val="auto"/>
          <w:sz w:val="16"/>
          <w:szCs w:val="16"/>
          <w:lang w:val="es-ES_tradnl"/>
        </w:rPr>
        <w:t>. Sentencia de 1 de febrero de 2006. Serie C No. 141</w:t>
      </w:r>
      <w:r w:rsidRPr="006C459C">
        <w:rPr>
          <w:rFonts w:ascii="Cambria" w:hAnsi="Cambria" w:cs="Arial"/>
          <w:color w:val="auto"/>
          <w:sz w:val="16"/>
          <w:szCs w:val="16"/>
          <w:lang w:val="es-ES"/>
        </w:rPr>
        <w:t xml:space="preserve">, párr. 129; </w:t>
      </w:r>
      <w:r w:rsidRPr="006C459C">
        <w:rPr>
          <w:rFonts w:ascii="Cambria" w:hAnsi="Cambria"/>
          <w:i/>
          <w:color w:val="auto"/>
          <w:sz w:val="16"/>
          <w:szCs w:val="16"/>
          <w:lang w:val="es-ES_tradnl"/>
        </w:rPr>
        <w:t>Caso Acosta Calderón Vs. Ecuador</w:t>
      </w:r>
      <w:r w:rsidRPr="006C459C">
        <w:rPr>
          <w:rFonts w:ascii="Cambria" w:hAnsi="Cambria"/>
          <w:color w:val="auto"/>
          <w:sz w:val="16"/>
          <w:szCs w:val="16"/>
          <w:lang w:val="es-ES_tradnl"/>
        </w:rPr>
        <w:t>. Sentencia de 24 de junio de 2005. Serie C No. 129</w:t>
      </w:r>
      <w:r w:rsidRPr="006C459C">
        <w:rPr>
          <w:rFonts w:ascii="Cambria" w:hAnsi="Cambria" w:cs="Arial"/>
          <w:color w:val="auto"/>
          <w:sz w:val="16"/>
          <w:szCs w:val="16"/>
          <w:lang w:val="es-ES"/>
        </w:rPr>
        <w:t>, párr. 104; y</w:t>
      </w:r>
      <w:r w:rsidRPr="006C459C">
        <w:rPr>
          <w:rFonts w:ascii="Cambria" w:hAnsi="Cambria"/>
          <w:color w:val="auto"/>
          <w:sz w:val="16"/>
          <w:szCs w:val="16"/>
          <w:lang w:val="es-ES_tradnl"/>
        </w:rPr>
        <w:t xml:space="preserve"> </w:t>
      </w:r>
      <w:r w:rsidRPr="006C459C">
        <w:rPr>
          <w:rFonts w:ascii="Cambria" w:hAnsi="Cambria"/>
          <w:i/>
          <w:color w:val="auto"/>
          <w:sz w:val="16"/>
          <w:szCs w:val="16"/>
          <w:lang w:val="es-ES_tradnl"/>
        </w:rPr>
        <w:t>Caso Tibi Vs. Ecuador</w:t>
      </w:r>
      <w:r w:rsidRPr="006C459C">
        <w:rPr>
          <w:rFonts w:ascii="Cambria" w:hAnsi="Cambria"/>
          <w:color w:val="auto"/>
          <w:sz w:val="16"/>
          <w:szCs w:val="16"/>
          <w:lang w:val="es-ES_tradnl"/>
        </w:rPr>
        <w:t>. Sentencia de 7 de septiembre de 2004. Serie C No. 114</w:t>
      </w:r>
      <w:r w:rsidRPr="006C459C">
        <w:rPr>
          <w:rFonts w:ascii="Cambria" w:hAnsi="Cambria" w:cs="Arial"/>
          <w:color w:val="auto"/>
          <w:sz w:val="16"/>
          <w:szCs w:val="16"/>
          <w:lang w:val="es-ES"/>
        </w:rPr>
        <w:t xml:space="preserve">, párr. 168. Asimismo, véase: CIDH, Informe No. 77/02, Caso 11.506, Fondo, </w:t>
      </w:r>
      <w:proofErr w:type="spellStart"/>
      <w:r w:rsidRPr="006C459C">
        <w:rPr>
          <w:rFonts w:ascii="Cambria" w:hAnsi="Cambria" w:cs="Arial"/>
          <w:color w:val="auto"/>
          <w:sz w:val="16"/>
          <w:szCs w:val="16"/>
          <w:lang w:val="es-ES"/>
        </w:rPr>
        <w:t>Waldemar</w:t>
      </w:r>
      <w:proofErr w:type="spellEnd"/>
      <w:r w:rsidRPr="006C459C">
        <w:rPr>
          <w:rFonts w:ascii="Cambria" w:hAnsi="Cambria" w:cs="Arial"/>
          <w:color w:val="auto"/>
          <w:sz w:val="16"/>
          <w:szCs w:val="16"/>
          <w:lang w:val="es-ES"/>
        </w:rPr>
        <w:t xml:space="preserve"> Gerónimo </w:t>
      </w:r>
      <w:proofErr w:type="spellStart"/>
      <w:r w:rsidRPr="006C459C">
        <w:rPr>
          <w:rFonts w:ascii="Cambria" w:hAnsi="Cambria" w:cs="Arial"/>
          <w:color w:val="auto"/>
          <w:sz w:val="16"/>
          <w:szCs w:val="16"/>
          <w:lang w:val="es-ES"/>
        </w:rPr>
        <w:t>Pinheiro</w:t>
      </w:r>
      <w:proofErr w:type="spellEnd"/>
      <w:r w:rsidRPr="006C459C">
        <w:rPr>
          <w:rFonts w:ascii="Cambria" w:hAnsi="Cambria" w:cs="Arial"/>
          <w:color w:val="auto"/>
          <w:sz w:val="16"/>
          <w:szCs w:val="16"/>
          <w:lang w:val="es-ES"/>
        </w:rPr>
        <w:t xml:space="preserve"> y José Víctor dos Santos, Paraguay, 27 de diciembre de 2002, párr. 76.</w:t>
      </w:r>
    </w:p>
  </w:footnote>
  <w:footnote w:id="99">
    <w:p w:rsidR="006A3859" w:rsidRPr="006C459C" w:rsidRDefault="006A3859" w:rsidP="00D060AD">
      <w:pPr>
        <w:pStyle w:val="FootnoteText"/>
        <w:jc w:val="both"/>
        <w:rPr>
          <w:rFonts w:ascii="Cambria" w:hAnsi="Cambria"/>
          <w:color w:val="auto"/>
          <w:sz w:val="16"/>
          <w:szCs w:val="16"/>
          <w:lang w:val="es-ES_tradnl"/>
        </w:rPr>
      </w:pPr>
      <w:r w:rsidRPr="006C459C">
        <w:rPr>
          <w:rStyle w:val="FootnoteReference"/>
          <w:rFonts w:ascii="Cambria" w:hAnsi="Cambria"/>
          <w:color w:val="auto"/>
          <w:sz w:val="16"/>
          <w:szCs w:val="16"/>
        </w:rPr>
        <w:footnoteRef/>
      </w:r>
      <w:r w:rsidRPr="006C459C">
        <w:rPr>
          <w:rFonts w:ascii="Cambria" w:hAnsi="Cambria" w:cs="Arial"/>
          <w:color w:val="auto"/>
          <w:sz w:val="16"/>
          <w:szCs w:val="16"/>
          <w:lang w:val="es-ES"/>
        </w:rPr>
        <w:t xml:space="preserve"> CIDH, Informe No. 111/10, Caso 12.539, Fondo, Sebastián Claus </w:t>
      </w:r>
      <w:proofErr w:type="spellStart"/>
      <w:r w:rsidRPr="006C459C">
        <w:rPr>
          <w:rFonts w:ascii="Cambria" w:hAnsi="Cambria" w:cs="Arial"/>
          <w:color w:val="auto"/>
          <w:sz w:val="16"/>
          <w:szCs w:val="16"/>
          <w:lang w:val="es-ES"/>
        </w:rPr>
        <w:t>Furlan</w:t>
      </w:r>
      <w:proofErr w:type="spellEnd"/>
      <w:r w:rsidRPr="006C459C">
        <w:rPr>
          <w:rFonts w:ascii="Cambria" w:hAnsi="Cambria" w:cs="Arial"/>
          <w:color w:val="auto"/>
          <w:sz w:val="16"/>
          <w:szCs w:val="16"/>
          <w:lang w:val="es-ES"/>
        </w:rPr>
        <w:t xml:space="preserve"> y familia, Argentina, 21 de octubre de 2010, párr. </w:t>
      </w:r>
      <w:r w:rsidRPr="006C459C">
        <w:rPr>
          <w:rFonts w:ascii="Cambria" w:hAnsi="Cambria" w:cs="Arial"/>
          <w:color w:val="auto"/>
          <w:sz w:val="16"/>
          <w:szCs w:val="16"/>
          <w:lang w:val="pt-BR"/>
        </w:rPr>
        <w:t xml:space="preserve">100. Corte I.D.H., </w:t>
      </w:r>
      <w:r w:rsidRPr="006C459C">
        <w:rPr>
          <w:rFonts w:ascii="Cambria" w:hAnsi="Cambria" w:cs="Arial"/>
          <w:i/>
          <w:color w:val="auto"/>
          <w:sz w:val="16"/>
          <w:szCs w:val="16"/>
          <w:shd w:val="clear" w:color="auto" w:fill="FFFFFF"/>
          <w:lang w:val="pt-BR"/>
        </w:rPr>
        <w:t xml:space="preserve">Caso Masacre de Santo Domingo Vs. </w:t>
      </w:r>
      <w:r w:rsidRPr="006C459C">
        <w:rPr>
          <w:rFonts w:ascii="Cambria" w:hAnsi="Cambria" w:cs="Arial"/>
          <w:i/>
          <w:color w:val="auto"/>
          <w:sz w:val="16"/>
          <w:szCs w:val="16"/>
          <w:shd w:val="clear" w:color="auto" w:fill="FFFFFF"/>
          <w:lang w:val="es-ES_tradnl"/>
        </w:rPr>
        <w:t>Colombia</w:t>
      </w:r>
      <w:r w:rsidRPr="006C459C">
        <w:rPr>
          <w:rFonts w:ascii="Cambria" w:hAnsi="Cambria" w:cs="Arial"/>
          <w:color w:val="auto"/>
          <w:sz w:val="16"/>
          <w:szCs w:val="16"/>
          <w:shd w:val="clear" w:color="auto" w:fill="FFFFFF"/>
          <w:lang w:val="es-ES_tradnl"/>
        </w:rPr>
        <w:t>. Excepciones Preliminares, Fondo y Reparaciones. Sentencia de 30 de noviembre de 2012. Serie C No. 259,</w:t>
      </w:r>
      <w:r w:rsidRPr="006C459C">
        <w:rPr>
          <w:rFonts w:ascii="Cambria" w:hAnsi="Cambria" w:cs="Arial"/>
          <w:color w:val="auto"/>
          <w:sz w:val="16"/>
          <w:szCs w:val="16"/>
          <w:lang w:val="es-ES_tradnl"/>
        </w:rPr>
        <w:t xml:space="preserve"> párr. </w:t>
      </w:r>
      <w:r w:rsidRPr="006C459C">
        <w:rPr>
          <w:rFonts w:ascii="Cambria" w:hAnsi="Cambria" w:cs="Arial"/>
          <w:color w:val="auto"/>
          <w:sz w:val="16"/>
          <w:szCs w:val="16"/>
          <w:lang w:val="es-ES"/>
        </w:rPr>
        <w:t>164.</w:t>
      </w:r>
    </w:p>
  </w:footnote>
  <w:footnote w:id="100">
    <w:p w:rsidR="006A3859" w:rsidRPr="006C459C" w:rsidRDefault="006A3859" w:rsidP="00D060AD">
      <w:pPr>
        <w:pStyle w:val="FootnoteText"/>
        <w:jc w:val="both"/>
        <w:rPr>
          <w:rFonts w:ascii="Cambria" w:hAnsi="Cambria"/>
          <w:color w:val="auto"/>
          <w:sz w:val="16"/>
          <w:szCs w:val="16"/>
          <w:lang w:val="es-ES_tradnl"/>
        </w:rPr>
      </w:pPr>
      <w:r w:rsidRPr="006C459C">
        <w:rPr>
          <w:rStyle w:val="FootnoteReference"/>
          <w:rFonts w:ascii="Cambria" w:hAnsi="Cambria"/>
          <w:color w:val="auto"/>
          <w:sz w:val="16"/>
          <w:szCs w:val="16"/>
        </w:rPr>
        <w:footnoteRef/>
      </w:r>
      <w:r w:rsidRPr="006C459C">
        <w:rPr>
          <w:rFonts w:ascii="Cambria" w:hAnsi="Cambria"/>
          <w:color w:val="auto"/>
          <w:sz w:val="16"/>
          <w:szCs w:val="16"/>
          <w:lang w:val="es-CO"/>
        </w:rPr>
        <w:t xml:space="preserve"> Corte I.D.H., </w:t>
      </w:r>
      <w:r w:rsidRPr="006C459C">
        <w:rPr>
          <w:rFonts w:ascii="Cambria" w:hAnsi="Cambria"/>
          <w:i/>
          <w:color w:val="auto"/>
          <w:sz w:val="16"/>
          <w:szCs w:val="16"/>
          <w:lang w:val="es-CO"/>
        </w:rPr>
        <w:t xml:space="preserve">Caso Familia Barrios Vs. </w:t>
      </w:r>
      <w:r w:rsidRPr="006C459C">
        <w:rPr>
          <w:rFonts w:ascii="Cambria" w:hAnsi="Cambria"/>
          <w:i/>
          <w:color w:val="auto"/>
          <w:sz w:val="16"/>
          <w:szCs w:val="16"/>
          <w:lang w:val="es-ES_tradnl"/>
        </w:rPr>
        <w:t>Venezuela</w:t>
      </w:r>
      <w:r w:rsidRPr="006C459C">
        <w:rPr>
          <w:rFonts w:ascii="Cambria" w:hAnsi="Cambria"/>
          <w:color w:val="auto"/>
          <w:sz w:val="16"/>
          <w:szCs w:val="16"/>
          <w:lang w:val="es-ES_tradnl"/>
        </w:rPr>
        <w:t xml:space="preserve">. </w:t>
      </w:r>
      <w:r w:rsidRPr="006C459C">
        <w:rPr>
          <w:rFonts w:ascii="Cambria" w:hAnsi="Cambria" w:cs="Arial"/>
          <w:color w:val="auto"/>
          <w:sz w:val="16"/>
          <w:szCs w:val="16"/>
          <w:shd w:val="clear" w:color="auto" w:fill="FFFFFF"/>
          <w:lang w:val="es-ES_tradnl"/>
        </w:rPr>
        <w:t>Fondo, Reparaciones y Costas</w:t>
      </w:r>
      <w:r w:rsidRPr="006C459C">
        <w:rPr>
          <w:rFonts w:ascii="Cambria" w:hAnsi="Cambria"/>
          <w:color w:val="auto"/>
          <w:sz w:val="16"/>
          <w:szCs w:val="16"/>
          <w:lang w:val="es-ES_tradnl"/>
        </w:rPr>
        <w:t>. Sentencia de 24 de noviembre de 2011. Serie C No. 237, párr. 275.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59" w:rsidRDefault="006A3859" w:rsidP="007B3C6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A3859" w:rsidRDefault="006A3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59" w:rsidRDefault="00935AD7" w:rsidP="00A50FCF">
    <w:pPr>
      <w:pStyle w:val="Header"/>
      <w:tabs>
        <w:tab w:val="clear" w:pos="4320"/>
        <w:tab w:val="clear" w:pos="8640"/>
      </w:tabs>
      <w:jc w:val="center"/>
      <w:rPr>
        <w:sz w:val="22"/>
        <w:szCs w:val="22"/>
      </w:rPr>
    </w:pPr>
    <w:r>
      <w:rPr>
        <w:noProof/>
        <w:sz w:val="22"/>
        <w:szCs w:val="22"/>
      </w:rPr>
      <w:drawing>
        <wp:inline distT="0" distB="0" distL="0" distR="0">
          <wp:extent cx="1981200" cy="95250"/>
          <wp:effectExtent l="0" t="0" r="0" b="0"/>
          <wp:docPr id="4"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5250"/>
                  </a:xfrm>
                  <a:prstGeom prst="rect">
                    <a:avLst/>
                  </a:prstGeom>
                  <a:noFill/>
                  <a:ln>
                    <a:noFill/>
                  </a:ln>
                </pic:spPr>
              </pic:pic>
            </a:graphicData>
          </a:graphic>
        </wp:inline>
      </w:drawing>
    </w:r>
  </w:p>
  <w:p w:rsidR="006A3859" w:rsidRPr="00EC7D62" w:rsidRDefault="00AA1C0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E2" w:rsidRDefault="00FC2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C18"/>
    <w:multiLevelType w:val="multilevel"/>
    <w:tmpl w:val="55ECD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2D23FE"/>
    <w:multiLevelType w:val="hybridMultilevel"/>
    <w:tmpl w:val="1C3CA652"/>
    <w:lvl w:ilvl="0" w:tplc="0B7877B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795779"/>
    <w:multiLevelType w:val="singleLevel"/>
    <w:tmpl w:val="15BAE0F8"/>
    <w:lvl w:ilvl="0">
      <w:start w:val="1"/>
      <w:numFmt w:val="decimal"/>
      <w:lvlText w:val="%1."/>
      <w:lvlJc w:val="left"/>
      <w:pPr>
        <w:tabs>
          <w:tab w:val="num" w:pos="720"/>
        </w:tabs>
        <w:ind w:left="0" w:firstLine="720"/>
      </w:pPr>
      <w:rPr>
        <w:rFonts w:hint="default"/>
        <w:b w:val="0"/>
        <w:i w:val="0"/>
        <w:sz w:val="20"/>
        <w:szCs w:val="20"/>
        <w:lang w:val="es-ES"/>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E1620F"/>
    <w:multiLevelType w:val="hybridMultilevel"/>
    <w:tmpl w:val="3FE46490"/>
    <w:lvl w:ilvl="0" w:tplc="2C762AF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BA7DE2"/>
    <w:multiLevelType w:val="hybridMultilevel"/>
    <w:tmpl w:val="650C0E9E"/>
    <w:lvl w:ilvl="0" w:tplc="02AE0C5E">
      <w:start w:val="1"/>
      <w:numFmt w:val="decimal"/>
      <w:lvlText w:val="%1."/>
      <w:lvlJc w:val="left"/>
      <w:pPr>
        <w:tabs>
          <w:tab w:val="num" w:pos="1980"/>
        </w:tabs>
        <w:ind w:left="1980" w:hanging="360"/>
      </w:pPr>
      <w:rPr>
        <w:rFonts w:ascii="Cambria" w:hAnsi="Cambria" w:hint="default"/>
        <w:b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F13EE8"/>
    <w:multiLevelType w:val="hybridMultilevel"/>
    <w:tmpl w:val="8DC2AEEE"/>
    <w:lvl w:ilvl="0" w:tplc="85AA4A90">
      <w:start w:val="1"/>
      <w:numFmt w:val="upperLetter"/>
      <w:pStyle w:val="Heading2"/>
      <w:lvlText w:val="%1."/>
      <w:lvlJc w:val="left"/>
      <w:pPr>
        <w:tabs>
          <w:tab w:val="num" w:pos="1440"/>
        </w:tabs>
        <w:ind w:left="1440" w:hanging="720"/>
      </w:pPr>
      <w:rPr>
        <w:i w:val="0"/>
        <w:lang w:val="en-US"/>
      </w:rPr>
    </w:lvl>
    <w:lvl w:ilvl="1" w:tplc="D92C12E8">
      <w:start w:val="1"/>
      <w:numFmt w:val="decimal"/>
      <w:lvlText w:val="%2."/>
      <w:lvlJc w:val="left"/>
      <w:pPr>
        <w:tabs>
          <w:tab w:val="num" w:pos="1860"/>
        </w:tabs>
        <w:ind w:left="1860" w:hanging="420"/>
      </w:pPr>
    </w:lvl>
    <w:lvl w:ilvl="2" w:tplc="99CCD1F2">
      <w:start w:val="2"/>
      <w:numFmt w:val="lowerLetter"/>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B9D14FF"/>
    <w:multiLevelType w:val="hybridMultilevel"/>
    <w:tmpl w:val="CCB4D422"/>
    <w:lvl w:ilvl="0" w:tplc="FA6EF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CA6AF3"/>
    <w:multiLevelType w:val="hybridMultilevel"/>
    <w:tmpl w:val="8B94511A"/>
    <w:lvl w:ilvl="0" w:tplc="75C21848">
      <w:start w:val="2"/>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3E6E522E"/>
    <w:lvl w:ilvl="0" w:tplc="4866CD24">
      <w:start w:val="1"/>
      <w:numFmt w:val="upperRoman"/>
      <w:pStyle w:val="Heading1"/>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BEC71AE"/>
    <w:multiLevelType w:val="hybridMultilevel"/>
    <w:tmpl w:val="04161E62"/>
    <w:lvl w:ilvl="0" w:tplc="30E8B4CE">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333825"/>
    <w:multiLevelType w:val="hybridMultilevel"/>
    <w:tmpl w:val="751E6BDC"/>
    <w:lvl w:ilvl="0" w:tplc="697A03EA">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CC36F6"/>
    <w:multiLevelType w:val="hybridMultilevel"/>
    <w:tmpl w:val="EE6427A4"/>
    <w:lvl w:ilvl="0" w:tplc="26C24E96">
      <w:start w:val="1"/>
      <w:numFmt w:val="decimal"/>
      <w:lvlText w:val="%1."/>
      <w:lvlJc w:val="left"/>
      <w:pPr>
        <w:tabs>
          <w:tab w:val="num" w:pos="2160"/>
        </w:tabs>
        <w:ind w:left="2160" w:hanging="144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b/>
      </w:rPr>
    </w:lvl>
    <w:lvl w:ilvl="2" w:tplc="ECA8A366">
      <w:start w:val="1"/>
      <w:numFmt w:val="upperLetter"/>
      <w:lvlText w:val="%3."/>
      <w:lvlJc w:val="left"/>
      <w:pPr>
        <w:tabs>
          <w:tab w:val="num" w:pos="3060"/>
        </w:tabs>
        <w:ind w:left="3060" w:hanging="720"/>
      </w:pPr>
      <w:rPr>
        <w:b/>
      </w:rPr>
    </w:lvl>
    <w:lvl w:ilvl="3" w:tplc="CFE897F8">
      <w:start w:val="1"/>
      <w:numFmt w:val="lowerLetter"/>
      <w:lvlText w:val="%4."/>
      <w:lvlJc w:val="left"/>
      <w:pPr>
        <w:tabs>
          <w:tab w:val="num" w:pos="3240"/>
        </w:tabs>
        <w:ind w:left="3240" w:hanging="360"/>
      </w:p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6"/>
  </w:num>
  <w:num w:numId="4">
    <w:abstractNumId w:val="21"/>
  </w:num>
  <w:num w:numId="5">
    <w:abstractNumId w:val="50"/>
  </w:num>
  <w:num w:numId="6">
    <w:abstractNumId w:val="28"/>
  </w:num>
  <w:num w:numId="7">
    <w:abstractNumId w:val="7"/>
  </w:num>
  <w:num w:numId="8">
    <w:abstractNumId w:val="17"/>
  </w:num>
  <w:num w:numId="9">
    <w:abstractNumId w:val="45"/>
  </w:num>
  <w:num w:numId="10">
    <w:abstractNumId w:val="1"/>
  </w:num>
  <w:num w:numId="11">
    <w:abstractNumId w:val="40"/>
  </w:num>
  <w:num w:numId="12">
    <w:abstractNumId w:val="41"/>
  </w:num>
  <w:num w:numId="13">
    <w:abstractNumId w:val="46"/>
  </w:num>
  <w:num w:numId="14">
    <w:abstractNumId w:val="2"/>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1"/>
  </w:num>
  <w:num w:numId="33">
    <w:abstractNumId w:val="32"/>
  </w:num>
  <w:num w:numId="34">
    <w:abstractNumId w:val="33"/>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9"/>
  </w:num>
  <w:num w:numId="48">
    <w:abstractNumId w:val="60"/>
  </w:num>
  <w:num w:numId="49">
    <w:abstractNumId w:val="62"/>
  </w:num>
  <w:num w:numId="50">
    <w:abstractNumId w:val="64"/>
  </w:num>
  <w:num w:numId="51">
    <w:abstractNumId w:val="20"/>
  </w:num>
  <w:num w:numId="52">
    <w:abstractNumId w:val="44"/>
  </w:num>
  <w:num w:numId="53">
    <w:abstractNumId w:val="53"/>
  </w:num>
  <w:num w:numId="54">
    <w:abstractNumId w:val="47"/>
  </w:num>
  <w:num w:numId="55">
    <w:abstractNumId w:val="63"/>
  </w:num>
  <w:num w:numId="56">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num>
  <w:num w:numId="58">
    <w:abstractNumId w:val="58"/>
  </w:num>
  <w:num w:numId="59">
    <w:abstractNumId w:val="49"/>
  </w:num>
  <w:num w:numId="60">
    <w:abstractNumId w:val="30"/>
  </w:num>
  <w:num w:numId="61">
    <w:abstractNumId w:val="39"/>
  </w:num>
  <w:num w:numId="62">
    <w:abstractNumId w:val="0"/>
  </w:num>
  <w:num w:numId="63">
    <w:abstractNumId w:val="27"/>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53"/>
  </w:num>
  <w:num w:numId="67">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65A"/>
    <w:rsid w:val="00006E1F"/>
    <w:rsid w:val="000070D7"/>
    <w:rsid w:val="0001407B"/>
    <w:rsid w:val="000156C9"/>
    <w:rsid w:val="0001788C"/>
    <w:rsid w:val="0002098E"/>
    <w:rsid w:val="00026436"/>
    <w:rsid w:val="00040C3A"/>
    <w:rsid w:val="00052D07"/>
    <w:rsid w:val="0006359E"/>
    <w:rsid w:val="000716C5"/>
    <w:rsid w:val="000726A2"/>
    <w:rsid w:val="00075E23"/>
    <w:rsid w:val="00077ED3"/>
    <w:rsid w:val="00080830"/>
    <w:rsid w:val="00086E44"/>
    <w:rsid w:val="000901A8"/>
    <w:rsid w:val="0009344A"/>
    <w:rsid w:val="00094228"/>
    <w:rsid w:val="000972CE"/>
    <w:rsid w:val="000A392E"/>
    <w:rsid w:val="000A575F"/>
    <w:rsid w:val="000B2415"/>
    <w:rsid w:val="000B4270"/>
    <w:rsid w:val="000B7C3A"/>
    <w:rsid w:val="000C2F82"/>
    <w:rsid w:val="000C6739"/>
    <w:rsid w:val="000D10DB"/>
    <w:rsid w:val="000D4A81"/>
    <w:rsid w:val="000D7D5C"/>
    <w:rsid w:val="000E25C1"/>
    <w:rsid w:val="000E25E0"/>
    <w:rsid w:val="000E2716"/>
    <w:rsid w:val="000E2B98"/>
    <w:rsid w:val="000E5EB5"/>
    <w:rsid w:val="000F2469"/>
    <w:rsid w:val="000F35ED"/>
    <w:rsid w:val="000F52C4"/>
    <w:rsid w:val="000F5550"/>
    <w:rsid w:val="000F7D4A"/>
    <w:rsid w:val="00103AA3"/>
    <w:rsid w:val="0010596F"/>
    <w:rsid w:val="00107131"/>
    <w:rsid w:val="0010736F"/>
    <w:rsid w:val="00112328"/>
    <w:rsid w:val="00112CE1"/>
    <w:rsid w:val="00113F73"/>
    <w:rsid w:val="00121CC2"/>
    <w:rsid w:val="001221C4"/>
    <w:rsid w:val="00133EE5"/>
    <w:rsid w:val="00144FFD"/>
    <w:rsid w:val="0015073A"/>
    <w:rsid w:val="00164156"/>
    <w:rsid w:val="00167A34"/>
    <w:rsid w:val="001707A0"/>
    <w:rsid w:val="001749AB"/>
    <w:rsid w:val="00180541"/>
    <w:rsid w:val="001813D7"/>
    <w:rsid w:val="001946F1"/>
    <w:rsid w:val="001A7870"/>
    <w:rsid w:val="001B62A3"/>
    <w:rsid w:val="001B7CD9"/>
    <w:rsid w:val="001C050C"/>
    <w:rsid w:val="001C1B41"/>
    <w:rsid w:val="001C4AE2"/>
    <w:rsid w:val="001C77C1"/>
    <w:rsid w:val="001D65EF"/>
    <w:rsid w:val="0020510E"/>
    <w:rsid w:val="00213B6C"/>
    <w:rsid w:val="002250A3"/>
    <w:rsid w:val="00235217"/>
    <w:rsid w:val="00241DCD"/>
    <w:rsid w:val="0024503A"/>
    <w:rsid w:val="00246D1F"/>
    <w:rsid w:val="00247403"/>
    <w:rsid w:val="00247542"/>
    <w:rsid w:val="00252190"/>
    <w:rsid w:val="002528A8"/>
    <w:rsid w:val="002536A1"/>
    <w:rsid w:val="00253E7A"/>
    <w:rsid w:val="00265E3C"/>
    <w:rsid w:val="00266B61"/>
    <w:rsid w:val="0026712A"/>
    <w:rsid w:val="002704DB"/>
    <w:rsid w:val="0027213C"/>
    <w:rsid w:val="002771BB"/>
    <w:rsid w:val="002832AC"/>
    <w:rsid w:val="00290BA5"/>
    <w:rsid w:val="00291DB4"/>
    <w:rsid w:val="0029397F"/>
    <w:rsid w:val="00295CD7"/>
    <w:rsid w:val="002A0AAE"/>
    <w:rsid w:val="002A5820"/>
    <w:rsid w:val="002A67A8"/>
    <w:rsid w:val="002C55A1"/>
    <w:rsid w:val="002D2B20"/>
    <w:rsid w:val="002D2B26"/>
    <w:rsid w:val="002D7EA2"/>
    <w:rsid w:val="002E0233"/>
    <w:rsid w:val="002E187C"/>
    <w:rsid w:val="002E25EF"/>
    <w:rsid w:val="002E618A"/>
    <w:rsid w:val="002E62E7"/>
    <w:rsid w:val="002F60B6"/>
    <w:rsid w:val="002F6896"/>
    <w:rsid w:val="002F6D4A"/>
    <w:rsid w:val="002F7615"/>
    <w:rsid w:val="002F7C65"/>
    <w:rsid w:val="003025F0"/>
    <w:rsid w:val="00302733"/>
    <w:rsid w:val="003056F4"/>
    <w:rsid w:val="00312918"/>
    <w:rsid w:val="0031398D"/>
    <w:rsid w:val="00314078"/>
    <w:rsid w:val="0031535D"/>
    <w:rsid w:val="003160E5"/>
    <w:rsid w:val="0033169F"/>
    <w:rsid w:val="003332AF"/>
    <w:rsid w:val="003338FE"/>
    <w:rsid w:val="00340032"/>
    <w:rsid w:val="00346C95"/>
    <w:rsid w:val="00354E78"/>
    <w:rsid w:val="0035594E"/>
    <w:rsid w:val="00356185"/>
    <w:rsid w:val="00360085"/>
    <w:rsid w:val="00360380"/>
    <w:rsid w:val="00361420"/>
    <w:rsid w:val="00374A3A"/>
    <w:rsid w:val="0037519E"/>
    <w:rsid w:val="003769E3"/>
    <w:rsid w:val="0038033A"/>
    <w:rsid w:val="00382C9C"/>
    <w:rsid w:val="00384A38"/>
    <w:rsid w:val="00386CF0"/>
    <w:rsid w:val="00393C9F"/>
    <w:rsid w:val="00396EA2"/>
    <w:rsid w:val="003A13C9"/>
    <w:rsid w:val="003A6852"/>
    <w:rsid w:val="003B48B9"/>
    <w:rsid w:val="003B77D8"/>
    <w:rsid w:val="003C676B"/>
    <w:rsid w:val="003D3BC2"/>
    <w:rsid w:val="003D5569"/>
    <w:rsid w:val="003E53AD"/>
    <w:rsid w:val="003E6CA1"/>
    <w:rsid w:val="00403B88"/>
    <w:rsid w:val="004165C2"/>
    <w:rsid w:val="00433F2B"/>
    <w:rsid w:val="00436E8A"/>
    <w:rsid w:val="00437C3A"/>
    <w:rsid w:val="00441ECB"/>
    <w:rsid w:val="0044415E"/>
    <w:rsid w:val="004569C3"/>
    <w:rsid w:val="00465547"/>
    <w:rsid w:val="00467B7E"/>
    <w:rsid w:val="00473E50"/>
    <w:rsid w:val="00477592"/>
    <w:rsid w:val="00483BC8"/>
    <w:rsid w:val="00486F1C"/>
    <w:rsid w:val="00493883"/>
    <w:rsid w:val="00493D87"/>
    <w:rsid w:val="0049419D"/>
    <w:rsid w:val="004B1B9D"/>
    <w:rsid w:val="004C20D2"/>
    <w:rsid w:val="004C4B62"/>
    <w:rsid w:val="004C54C9"/>
    <w:rsid w:val="004D17CA"/>
    <w:rsid w:val="004D6025"/>
    <w:rsid w:val="004E2649"/>
    <w:rsid w:val="004E4E28"/>
    <w:rsid w:val="004E4F04"/>
    <w:rsid w:val="004F1FEC"/>
    <w:rsid w:val="00501399"/>
    <w:rsid w:val="0050633D"/>
    <w:rsid w:val="005071C5"/>
    <w:rsid w:val="00507BC4"/>
    <w:rsid w:val="005128E4"/>
    <w:rsid w:val="005133DB"/>
    <w:rsid w:val="005139D8"/>
    <w:rsid w:val="0051536C"/>
    <w:rsid w:val="00517624"/>
    <w:rsid w:val="00520F88"/>
    <w:rsid w:val="00521666"/>
    <w:rsid w:val="00525560"/>
    <w:rsid w:val="00544C49"/>
    <w:rsid w:val="005516A1"/>
    <w:rsid w:val="005541B8"/>
    <w:rsid w:val="00554F0B"/>
    <w:rsid w:val="0057096B"/>
    <w:rsid w:val="005710B1"/>
    <w:rsid w:val="0057402A"/>
    <w:rsid w:val="00576AC6"/>
    <w:rsid w:val="005771D0"/>
    <w:rsid w:val="0059191A"/>
    <w:rsid w:val="005921FF"/>
    <w:rsid w:val="00593D5D"/>
    <w:rsid w:val="005A02C5"/>
    <w:rsid w:val="005A4708"/>
    <w:rsid w:val="005A6D0E"/>
    <w:rsid w:val="005B52B0"/>
    <w:rsid w:val="005B59E8"/>
    <w:rsid w:val="005B6806"/>
    <w:rsid w:val="005C4225"/>
    <w:rsid w:val="005C60B1"/>
    <w:rsid w:val="005D1963"/>
    <w:rsid w:val="005D5342"/>
    <w:rsid w:val="005D6064"/>
    <w:rsid w:val="005D7968"/>
    <w:rsid w:val="005F0DAD"/>
    <w:rsid w:val="005F0F33"/>
    <w:rsid w:val="005F1952"/>
    <w:rsid w:val="00600DEB"/>
    <w:rsid w:val="00620BB7"/>
    <w:rsid w:val="00627C9F"/>
    <w:rsid w:val="006311E9"/>
    <w:rsid w:val="00632354"/>
    <w:rsid w:val="006364D7"/>
    <w:rsid w:val="006404AD"/>
    <w:rsid w:val="00642810"/>
    <w:rsid w:val="00645C3D"/>
    <w:rsid w:val="006475D9"/>
    <w:rsid w:val="00652333"/>
    <w:rsid w:val="00663E6A"/>
    <w:rsid w:val="006653EA"/>
    <w:rsid w:val="00675C3A"/>
    <w:rsid w:val="0068009E"/>
    <w:rsid w:val="006837F3"/>
    <w:rsid w:val="0068459F"/>
    <w:rsid w:val="00687DB3"/>
    <w:rsid w:val="006906E7"/>
    <w:rsid w:val="00691D79"/>
    <w:rsid w:val="00692219"/>
    <w:rsid w:val="006971B4"/>
    <w:rsid w:val="006A17D2"/>
    <w:rsid w:val="006A3859"/>
    <w:rsid w:val="006A6785"/>
    <w:rsid w:val="006A73AA"/>
    <w:rsid w:val="006A73E6"/>
    <w:rsid w:val="006A790A"/>
    <w:rsid w:val="006B1FF8"/>
    <w:rsid w:val="006B2D5C"/>
    <w:rsid w:val="006B798F"/>
    <w:rsid w:val="006B7F7E"/>
    <w:rsid w:val="006C459C"/>
    <w:rsid w:val="006C4EB1"/>
    <w:rsid w:val="006D53C9"/>
    <w:rsid w:val="006E0166"/>
    <w:rsid w:val="006E2FF3"/>
    <w:rsid w:val="006E7B34"/>
    <w:rsid w:val="006F38F9"/>
    <w:rsid w:val="006F700C"/>
    <w:rsid w:val="007033A8"/>
    <w:rsid w:val="0070697F"/>
    <w:rsid w:val="00716E56"/>
    <w:rsid w:val="0072199C"/>
    <w:rsid w:val="00722C9F"/>
    <w:rsid w:val="00724F9D"/>
    <w:rsid w:val="007253B8"/>
    <w:rsid w:val="00732F0C"/>
    <w:rsid w:val="00733CE8"/>
    <w:rsid w:val="0073741F"/>
    <w:rsid w:val="00741530"/>
    <w:rsid w:val="0074457C"/>
    <w:rsid w:val="00752CD0"/>
    <w:rsid w:val="007558AF"/>
    <w:rsid w:val="00756BF0"/>
    <w:rsid w:val="00756E50"/>
    <w:rsid w:val="0076643F"/>
    <w:rsid w:val="00771457"/>
    <w:rsid w:val="00777F63"/>
    <w:rsid w:val="00792A81"/>
    <w:rsid w:val="00793A4F"/>
    <w:rsid w:val="00797468"/>
    <w:rsid w:val="007A3EAA"/>
    <w:rsid w:val="007A5817"/>
    <w:rsid w:val="007A5B08"/>
    <w:rsid w:val="007B047A"/>
    <w:rsid w:val="007B3C6B"/>
    <w:rsid w:val="007B51C8"/>
    <w:rsid w:val="007B60E9"/>
    <w:rsid w:val="007B6CC3"/>
    <w:rsid w:val="007C1AF5"/>
    <w:rsid w:val="007C23EA"/>
    <w:rsid w:val="007C3334"/>
    <w:rsid w:val="007D2B98"/>
    <w:rsid w:val="007D59A6"/>
    <w:rsid w:val="007D6283"/>
    <w:rsid w:val="007E21BC"/>
    <w:rsid w:val="007F1F8C"/>
    <w:rsid w:val="008003DF"/>
    <w:rsid w:val="00800C94"/>
    <w:rsid w:val="00803F1C"/>
    <w:rsid w:val="0080600E"/>
    <w:rsid w:val="0081141A"/>
    <w:rsid w:val="00817612"/>
    <w:rsid w:val="008226FE"/>
    <w:rsid w:val="008247F7"/>
    <w:rsid w:val="008338A4"/>
    <w:rsid w:val="008347C0"/>
    <w:rsid w:val="008357B7"/>
    <w:rsid w:val="00837C45"/>
    <w:rsid w:val="008402AD"/>
    <w:rsid w:val="00842D6E"/>
    <w:rsid w:val="00844730"/>
    <w:rsid w:val="008457C2"/>
    <w:rsid w:val="00853FBE"/>
    <w:rsid w:val="00857A82"/>
    <w:rsid w:val="00863BE3"/>
    <w:rsid w:val="00863EA5"/>
    <w:rsid w:val="00866EDB"/>
    <w:rsid w:val="00871FD8"/>
    <w:rsid w:val="00873836"/>
    <w:rsid w:val="00885737"/>
    <w:rsid w:val="0088670E"/>
    <w:rsid w:val="00890650"/>
    <w:rsid w:val="008952D8"/>
    <w:rsid w:val="008959FA"/>
    <w:rsid w:val="00895A86"/>
    <w:rsid w:val="0089604C"/>
    <w:rsid w:val="00896D58"/>
    <w:rsid w:val="00897E12"/>
    <w:rsid w:val="008A10CC"/>
    <w:rsid w:val="008A70B4"/>
    <w:rsid w:val="008A7E0F"/>
    <w:rsid w:val="008B12F5"/>
    <w:rsid w:val="008C61B9"/>
    <w:rsid w:val="008D236F"/>
    <w:rsid w:val="008D768D"/>
    <w:rsid w:val="008E0909"/>
    <w:rsid w:val="008E1622"/>
    <w:rsid w:val="008E3759"/>
    <w:rsid w:val="008E4FC7"/>
    <w:rsid w:val="008F1912"/>
    <w:rsid w:val="00900460"/>
    <w:rsid w:val="00901BA1"/>
    <w:rsid w:val="0090270B"/>
    <w:rsid w:val="009041DC"/>
    <w:rsid w:val="00905864"/>
    <w:rsid w:val="00914BB4"/>
    <w:rsid w:val="00917B5A"/>
    <w:rsid w:val="00920A58"/>
    <w:rsid w:val="00920A8C"/>
    <w:rsid w:val="009227AA"/>
    <w:rsid w:val="00926F93"/>
    <w:rsid w:val="009319D4"/>
    <w:rsid w:val="00933C2D"/>
    <w:rsid w:val="00934A2C"/>
    <w:rsid w:val="00935AD7"/>
    <w:rsid w:val="0093666E"/>
    <w:rsid w:val="00937132"/>
    <w:rsid w:val="009433FB"/>
    <w:rsid w:val="009555F5"/>
    <w:rsid w:val="00956175"/>
    <w:rsid w:val="00964920"/>
    <w:rsid w:val="0096706E"/>
    <w:rsid w:val="00971A9F"/>
    <w:rsid w:val="00972054"/>
    <w:rsid w:val="00972814"/>
    <w:rsid w:val="00974742"/>
    <w:rsid w:val="00975C4E"/>
    <w:rsid w:val="00981FBA"/>
    <w:rsid w:val="00982ABB"/>
    <w:rsid w:val="00982DD0"/>
    <w:rsid w:val="00985150"/>
    <w:rsid w:val="009868F9"/>
    <w:rsid w:val="00987FC2"/>
    <w:rsid w:val="00994DFD"/>
    <w:rsid w:val="00996052"/>
    <w:rsid w:val="00997BC5"/>
    <w:rsid w:val="009A230D"/>
    <w:rsid w:val="009A4F41"/>
    <w:rsid w:val="009A7B30"/>
    <w:rsid w:val="009B3187"/>
    <w:rsid w:val="009B381B"/>
    <w:rsid w:val="009B7057"/>
    <w:rsid w:val="009C3197"/>
    <w:rsid w:val="009C696F"/>
    <w:rsid w:val="009D1753"/>
    <w:rsid w:val="009D4BAD"/>
    <w:rsid w:val="009D72AD"/>
    <w:rsid w:val="009D7611"/>
    <w:rsid w:val="009E0846"/>
    <w:rsid w:val="009E0B61"/>
    <w:rsid w:val="009E1328"/>
    <w:rsid w:val="009E4F4C"/>
    <w:rsid w:val="009E53DE"/>
    <w:rsid w:val="009F015B"/>
    <w:rsid w:val="009F05D0"/>
    <w:rsid w:val="009F3F0D"/>
    <w:rsid w:val="009F5E6C"/>
    <w:rsid w:val="00A01CD9"/>
    <w:rsid w:val="00A02A99"/>
    <w:rsid w:val="00A07D7F"/>
    <w:rsid w:val="00A20995"/>
    <w:rsid w:val="00A24688"/>
    <w:rsid w:val="00A328B3"/>
    <w:rsid w:val="00A371DE"/>
    <w:rsid w:val="00A50FCF"/>
    <w:rsid w:val="00A52460"/>
    <w:rsid w:val="00A528D1"/>
    <w:rsid w:val="00A54917"/>
    <w:rsid w:val="00A610CD"/>
    <w:rsid w:val="00A73D13"/>
    <w:rsid w:val="00A85C77"/>
    <w:rsid w:val="00A9022C"/>
    <w:rsid w:val="00A90BA8"/>
    <w:rsid w:val="00A91CA8"/>
    <w:rsid w:val="00AA0074"/>
    <w:rsid w:val="00AA09A2"/>
    <w:rsid w:val="00AA1C07"/>
    <w:rsid w:val="00AA7257"/>
    <w:rsid w:val="00AA7996"/>
    <w:rsid w:val="00AB5CFF"/>
    <w:rsid w:val="00AC19CB"/>
    <w:rsid w:val="00AD37AD"/>
    <w:rsid w:val="00AE0298"/>
    <w:rsid w:val="00AE3B1E"/>
    <w:rsid w:val="00AE5488"/>
    <w:rsid w:val="00AE664E"/>
    <w:rsid w:val="00AE6F91"/>
    <w:rsid w:val="00AF5571"/>
    <w:rsid w:val="00B07341"/>
    <w:rsid w:val="00B1161C"/>
    <w:rsid w:val="00B142CC"/>
    <w:rsid w:val="00B14C22"/>
    <w:rsid w:val="00B266E7"/>
    <w:rsid w:val="00B30539"/>
    <w:rsid w:val="00B31019"/>
    <w:rsid w:val="00B314DB"/>
    <w:rsid w:val="00B361F2"/>
    <w:rsid w:val="00B3718B"/>
    <w:rsid w:val="00B40E61"/>
    <w:rsid w:val="00B455EB"/>
    <w:rsid w:val="00B4632A"/>
    <w:rsid w:val="00B5103D"/>
    <w:rsid w:val="00B530F1"/>
    <w:rsid w:val="00B71F01"/>
    <w:rsid w:val="00B73C72"/>
    <w:rsid w:val="00B801DC"/>
    <w:rsid w:val="00B86863"/>
    <w:rsid w:val="00B9747E"/>
    <w:rsid w:val="00BA276C"/>
    <w:rsid w:val="00BB306F"/>
    <w:rsid w:val="00BB4594"/>
    <w:rsid w:val="00BB5943"/>
    <w:rsid w:val="00BC357E"/>
    <w:rsid w:val="00BD09B3"/>
    <w:rsid w:val="00BD1450"/>
    <w:rsid w:val="00BD4B89"/>
    <w:rsid w:val="00BE0C53"/>
    <w:rsid w:val="00BE1463"/>
    <w:rsid w:val="00BE24EB"/>
    <w:rsid w:val="00BF56CF"/>
    <w:rsid w:val="00BF6FD8"/>
    <w:rsid w:val="00C011DE"/>
    <w:rsid w:val="00C02E82"/>
    <w:rsid w:val="00C03680"/>
    <w:rsid w:val="00C04F0C"/>
    <w:rsid w:val="00C054DF"/>
    <w:rsid w:val="00C05D06"/>
    <w:rsid w:val="00C1009E"/>
    <w:rsid w:val="00C156BB"/>
    <w:rsid w:val="00C21762"/>
    <w:rsid w:val="00C22EE4"/>
    <w:rsid w:val="00C24543"/>
    <w:rsid w:val="00C256A2"/>
    <w:rsid w:val="00C3239E"/>
    <w:rsid w:val="00C33CE5"/>
    <w:rsid w:val="00C36C2F"/>
    <w:rsid w:val="00C40B61"/>
    <w:rsid w:val="00C51515"/>
    <w:rsid w:val="00C52858"/>
    <w:rsid w:val="00C53FEE"/>
    <w:rsid w:val="00C5660B"/>
    <w:rsid w:val="00C569A7"/>
    <w:rsid w:val="00C62CE4"/>
    <w:rsid w:val="00C66B72"/>
    <w:rsid w:val="00C767F3"/>
    <w:rsid w:val="00C80F41"/>
    <w:rsid w:val="00C84F23"/>
    <w:rsid w:val="00C850FB"/>
    <w:rsid w:val="00C93100"/>
    <w:rsid w:val="00C9567A"/>
    <w:rsid w:val="00CA3D31"/>
    <w:rsid w:val="00CA3FD9"/>
    <w:rsid w:val="00CA6F91"/>
    <w:rsid w:val="00CB212D"/>
    <w:rsid w:val="00CB2660"/>
    <w:rsid w:val="00CC5E90"/>
    <w:rsid w:val="00CD046C"/>
    <w:rsid w:val="00CD18BE"/>
    <w:rsid w:val="00CD34F3"/>
    <w:rsid w:val="00CD41C7"/>
    <w:rsid w:val="00CE076C"/>
    <w:rsid w:val="00CE2074"/>
    <w:rsid w:val="00CE5199"/>
    <w:rsid w:val="00CE66D5"/>
    <w:rsid w:val="00CF0DBC"/>
    <w:rsid w:val="00CF187B"/>
    <w:rsid w:val="00CF637A"/>
    <w:rsid w:val="00D00EA2"/>
    <w:rsid w:val="00D051FE"/>
    <w:rsid w:val="00D052B7"/>
    <w:rsid w:val="00D059DE"/>
    <w:rsid w:val="00D060AD"/>
    <w:rsid w:val="00D06EB6"/>
    <w:rsid w:val="00D073A1"/>
    <w:rsid w:val="00D1330A"/>
    <w:rsid w:val="00D13FCE"/>
    <w:rsid w:val="00D165AC"/>
    <w:rsid w:val="00D23A6E"/>
    <w:rsid w:val="00D273D3"/>
    <w:rsid w:val="00D306D1"/>
    <w:rsid w:val="00D34786"/>
    <w:rsid w:val="00D37BFC"/>
    <w:rsid w:val="00D47A8E"/>
    <w:rsid w:val="00D52D14"/>
    <w:rsid w:val="00D546D0"/>
    <w:rsid w:val="00D55377"/>
    <w:rsid w:val="00D5687F"/>
    <w:rsid w:val="00D56A08"/>
    <w:rsid w:val="00D606C9"/>
    <w:rsid w:val="00D6110E"/>
    <w:rsid w:val="00D674F3"/>
    <w:rsid w:val="00D712D3"/>
    <w:rsid w:val="00D71422"/>
    <w:rsid w:val="00D72D3B"/>
    <w:rsid w:val="00D72DC6"/>
    <w:rsid w:val="00D742B8"/>
    <w:rsid w:val="00D7558D"/>
    <w:rsid w:val="00D81D92"/>
    <w:rsid w:val="00DA7B5F"/>
    <w:rsid w:val="00DB35DF"/>
    <w:rsid w:val="00DC11E7"/>
    <w:rsid w:val="00DC28FC"/>
    <w:rsid w:val="00DC4DBB"/>
    <w:rsid w:val="00DC7023"/>
    <w:rsid w:val="00DC769A"/>
    <w:rsid w:val="00DD1CCD"/>
    <w:rsid w:val="00DD3D86"/>
    <w:rsid w:val="00DD6DDC"/>
    <w:rsid w:val="00DE48EB"/>
    <w:rsid w:val="00DF1EC4"/>
    <w:rsid w:val="00E0340B"/>
    <w:rsid w:val="00E04A90"/>
    <w:rsid w:val="00E055ED"/>
    <w:rsid w:val="00E219C7"/>
    <w:rsid w:val="00E30665"/>
    <w:rsid w:val="00E32587"/>
    <w:rsid w:val="00E33141"/>
    <w:rsid w:val="00E40347"/>
    <w:rsid w:val="00E41C43"/>
    <w:rsid w:val="00E43157"/>
    <w:rsid w:val="00E461CE"/>
    <w:rsid w:val="00E50AA8"/>
    <w:rsid w:val="00E51F46"/>
    <w:rsid w:val="00E57BBF"/>
    <w:rsid w:val="00E66154"/>
    <w:rsid w:val="00E67C61"/>
    <w:rsid w:val="00E71DB2"/>
    <w:rsid w:val="00E720CA"/>
    <w:rsid w:val="00E72761"/>
    <w:rsid w:val="00E84EB5"/>
    <w:rsid w:val="00E85662"/>
    <w:rsid w:val="00E86EB9"/>
    <w:rsid w:val="00E8789F"/>
    <w:rsid w:val="00E907C0"/>
    <w:rsid w:val="00E935B6"/>
    <w:rsid w:val="00E97B71"/>
    <w:rsid w:val="00EA32C0"/>
    <w:rsid w:val="00EA3D34"/>
    <w:rsid w:val="00EB454D"/>
    <w:rsid w:val="00EB4FE4"/>
    <w:rsid w:val="00EC7C4A"/>
    <w:rsid w:val="00ED0DAE"/>
    <w:rsid w:val="00ED2DB0"/>
    <w:rsid w:val="00ED6A52"/>
    <w:rsid w:val="00ED76BE"/>
    <w:rsid w:val="00EE08B8"/>
    <w:rsid w:val="00EE4BF6"/>
    <w:rsid w:val="00EF08AF"/>
    <w:rsid w:val="00EF2C72"/>
    <w:rsid w:val="00EF619B"/>
    <w:rsid w:val="00F00B55"/>
    <w:rsid w:val="00F01581"/>
    <w:rsid w:val="00F02AD1"/>
    <w:rsid w:val="00F05202"/>
    <w:rsid w:val="00F05F26"/>
    <w:rsid w:val="00F253CC"/>
    <w:rsid w:val="00F26370"/>
    <w:rsid w:val="00F37106"/>
    <w:rsid w:val="00F4597D"/>
    <w:rsid w:val="00F519CF"/>
    <w:rsid w:val="00F51F4E"/>
    <w:rsid w:val="00F56BA5"/>
    <w:rsid w:val="00F60E22"/>
    <w:rsid w:val="00F70C97"/>
    <w:rsid w:val="00F73585"/>
    <w:rsid w:val="00F73864"/>
    <w:rsid w:val="00F73B86"/>
    <w:rsid w:val="00F77D70"/>
    <w:rsid w:val="00F81395"/>
    <w:rsid w:val="00F82540"/>
    <w:rsid w:val="00F83672"/>
    <w:rsid w:val="00F85967"/>
    <w:rsid w:val="00F86BAE"/>
    <w:rsid w:val="00F90C73"/>
    <w:rsid w:val="00F917D1"/>
    <w:rsid w:val="00F951E2"/>
    <w:rsid w:val="00F95AF4"/>
    <w:rsid w:val="00F9653B"/>
    <w:rsid w:val="00FA4B34"/>
    <w:rsid w:val="00FB1FDE"/>
    <w:rsid w:val="00FB4384"/>
    <w:rsid w:val="00FB62CF"/>
    <w:rsid w:val="00FC2FE2"/>
    <w:rsid w:val="00FD3C3B"/>
    <w:rsid w:val="00FE509B"/>
    <w:rsid w:val="00FE669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956175"/>
    <w:pPr>
      <w:keepNext/>
      <w:keepLines/>
      <w:numPr>
        <w:numId w:val="53"/>
      </w:numPr>
      <w:outlineLvl w:val="0"/>
    </w:pPr>
    <w:rPr>
      <w:rFonts w:ascii="Cambria" w:eastAsia="Times New Roman" w:hAnsi="Cambria"/>
      <w:b/>
      <w:bCs/>
      <w:sz w:val="20"/>
      <w:szCs w:val="20"/>
      <w:lang w:val="es-ES_tradnl"/>
    </w:rPr>
  </w:style>
  <w:style w:type="paragraph" w:styleId="Heading2">
    <w:name w:val="heading 2"/>
    <w:basedOn w:val="Heading1"/>
    <w:next w:val="Normal"/>
    <w:link w:val="Heading2Char"/>
    <w:qFormat/>
    <w:rsid w:val="00896D58"/>
    <w:pPr>
      <w:numPr>
        <w:numId w:val="56"/>
      </w:numPr>
      <w:outlineLvl w:val="1"/>
    </w:pPr>
  </w:style>
  <w:style w:type="paragraph" w:styleId="Heading3">
    <w:name w:val="heading 3"/>
    <w:basedOn w:val="Normal"/>
    <w:next w:val="Normal"/>
    <w:link w:val="Heading3Char"/>
    <w:qFormat/>
    <w:rsid w:val="00896D58"/>
    <w:pPr>
      <w:tabs>
        <w:tab w:val="left" w:pos="1440"/>
      </w:tabs>
      <w:ind w:firstLine="720"/>
      <w:jc w:val="both"/>
      <w:outlineLvl w:val="2"/>
    </w:pPr>
    <w:rPr>
      <w:rFonts w:ascii="Cambria" w:hAnsi="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List Paragraph2"/>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956175"/>
    <w:rPr>
      <w:rFonts w:ascii="Cambria" w:eastAsia="Times New Roman" w:hAnsi="Cambria"/>
      <w:b/>
      <w:bCs/>
      <w:bdr w:val="nil"/>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4457C"/>
    <w:pPr>
      <w:tabs>
        <w:tab w:val="left" w:pos="900"/>
        <w:tab w:val="left" w:pos="1170"/>
        <w:tab w:val="right" w:leader="dot" w:pos="9350"/>
      </w:tabs>
      <w:spacing w:after="100"/>
      <w:ind w:firstLine="540"/>
    </w:pPr>
    <w:rPr>
      <w:rFonts w:ascii="Cambria" w:hAnsi="Cambria"/>
      <w:noProof/>
      <w:sz w:val="20"/>
      <w:szCs w:val="20"/>
    </w:rPr>
  </w:style>
  <w:style w:type="paragraph" w:styleId="TOC1">
    <w:name w:val="toc 1"/>
    <w:basedOn w:val="Normal"/>
    <w:next w:val="Normal"/>
    <w:autoRedefine/>
    <w:uiPriority w:val="39"/>
    <w:unhideWhenUsed/>
    <w:rsid w:val="00E50AA8"/>
    <w:pPr>
      <w:tabs>
        <w:tab w:val="left" w:pos="54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74457C"/>
    <w:pPr>
      <w:tabs>
        <w:tab w:val="left" w:pos="880"/>
        <w:tab w:val="left" w:pos="2160"/>
        <w:tab w:val="right" w:leader="dot" w:pos="9350"/>
      </w:tabs>
      <w:spacing w:after="100"/>
      <w:ind w:left="900" w:hanging="36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896D58"/>
    <w:rPr>
      <w:rFonts w:ascii="Cambria" w:eastAsia="Times New Roman" w:hAnsi="Cambria"/>
      <w:b/>
      <w:bCs/>
      <w:color w:val="365F91"/>
      <w:bdr w:val="nil"/>
      <w:lang w:val="es-ES_tradnl"/>
    </w:rPr>
  </w:style>
  <w:style w:type="character" w:customStyle="1" w:styleId="Heading3Char">
    <w:name w:val="Heading 3 Char"/>
    <w:link w:val="Heading3"/>
    <w:rsid w:val="00896D58"/>
    <w:rPr>
      <w:rFonts w:ascii="Cambria" w:hAnsi="Cambria"/>
      <w:b/>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List2">
    <w:name w:val="List 2"/>
    <w:basedOn w:val="Normal"/>
    <w:semiHidden/>
    <w:unhideWhenUsed/>
    <w:rsid w:val="007B3C6B"/>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character" w:customStyle="1" w:styleId="apple-converted-space">
    <w:name w:val="apple-converted-space"/>
    <w:basedOn w:val="DefaultParagraphFont"/>
    <w:rsid w:val="007B3C6B"/>
  </w:style>
  <w:style w:type="character" w:customStyle="1" w:styleId="Smbolodenotaalpie">
    <w:name w:val="Símbolo de nota al pie"/>
    <w:rsid w:val="007B3C6B"/>
    <w:rPr>
      <w:vertAlign w:val="superscript"/>
    </w:rPr>
  </w:style>
  <w:style w:type="character" w:customStyle="1" w:styleId="s6b621b36">
    <w:name w:val="s6b621b36"/>
    <w:basedOn w:val="DefaultParagraphFont"/>
    <w:rsid w:val="00CD18BE"/>
  </w:style>
  <w:style w:type="paragraph" w:customStyle="1" w:styleId="Style2">
    <w:name w:val="Style 2"/>
    <w:basedOn w:val="Normal"/>
    <w:rsid w:val="002939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Times New Roman"/>
      <w:bdr w:val="none" w:sz="0" w:space="0" w:color="auto"/>
    </w:rPr>
  </w:style>
  <w:style w:type="paragraph" w:styleId="BodyTextIndent3">
    <w:name w:val="Body Text Indent 3"/>
    <w:basedOn w:val="Normal"/>
    <w:link w:val="BodyTextIndent3Char"/>
    <w:rsid w:val="0029397F"/>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link w:val="BodyTextIndent3"/>
    <w:rsid w:val="0029397F"/>
    <w:rPr>
      <w:rFonts w:eastAsia="Times New Roman"/>
      <w:sz w:val="16"/>
      <w:szCs w:val="16"/>
      <w:bdr w:val="none" w:sz="0" w:space="0" w:color="auto"/>
      <w:lang w:val="en-US" w:eastAsia="en-US"/>
    </w:rPr>
  </w:style>
  <w:style w:type="paragraph" w:styleId="BodyText3">
    <w:name w:val="Body Text 3"/>
    <w:basedOn w:val="Normal"/>
    <w:link w:val="BodyText3Char"/>
    <w:rsid w:val="0029397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link w:val="BodyText3"/>
    <w:rsid w:val="0029397F"/>
    <w:rPr>
      <w:rFonts w:eastAsia="Times New Roman"/>
      <w:sz w:val="16"/>
      <w:szCs w:val="16"/>
      <w:bdr w:val="none" w:sz="0" w:space="0" w:color="auto"/>
      <w:lang w:val="en-US" w:eastAsia="en-US"/>
    </w:rPr>
  </w:style>
  <w:style w:type="character" w:styleId="PlaceholderText">
    <w:name w:val="Placeholder Text"/>
    <w:uiPriority w:val="99"/>
    <w:semiHidden/>
    <w:rsid w:val="00086E44"/>
    <w:rPr>
      <w:color w:val="808080"/>
    </w:rPr>
  </w:style>
  <w:style w:type="character" w:customStyle="1" w:styleId="BodyTextIndentChar">
    <w:name w:val="Body Text Indent Char"/>
    <w:link w:val="BodyTextIndent"/>
    <w:rsid w:val="00E055ED"/>
    <w:rPr>
      <w:rFonts w:eastAsia="Times New Roman"/>
      <w:color w:val="000000"/>
      <w:sz w:val="24"/>
      <w:szCs w:val="24"/>
      <w:u w:color="000000"/>
      <w:lang w:val="es-ES_tradnl"/>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4D17CA"/>
    <w:rPr>
      <w:rFonts w:ascii="Cambria" w:eastAsia="Cambria" w:hAnsi="Cambria" w:cs="Cambria"/>
      <w:color w:val="000000"/>
      <w:sz w:val="24"/>
      <w:szCs w:val="24"/>
      <w:u w:color="000000"/>
      <w:bdr w:val="nil"/>
      <w:lang w:eastAsia="es-ES"/>
    </w:rPr>
  </w:style>
  <w:style w:type="character" w:styleId="Strong">
    <w:name w:val="Strong"/>
    <w:uiPriority w:val="22"/>
    <w:qFormat/>
    <w:rsid w:val="003E5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8754">
      <w:bodyDiv w:val="1"/>
      <w:marLeft w:val="0"/>
      <w:marRight w:val="0"/>
      <w:marTop w:val="0"/>
      <w:marBottom w:val="0"/>
      <w:divBdr>
        <w:top w:val="none" w:sz="0" w:space="0" w:color="auto"/>
        <w:left w:val="none" w:sz="0" w:space="0" w:color="auto"/>
        <w:bottom w:val="none" w:sz="0" w:space="0" w:color="auto"/>
        <w:right w:val="none" w:sz="0" w:space="0" w:color="auto"/>
      </w:divBdr>
    </w:div>
    <w:div w:id="175095734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5217902">
      <w:bodyDiv w:val="1"/>
      <w:marLeft w:val="0"/>
      <w:marRight w:val="0"/>
      <w:marTop w:val="0"/>
      <w:marBottom w:val="0"/>
      <w:divBdr>
        <w:top w:val="none" w:sz="0" w:space="0" w:color="auto"/>
        <w:left w:val="none" w:sz="0" w:space="0" w:color="auto"/>
        <w:bottom w:val="none" w:sz="0" w:space="0" w:color="auto"/>
        <w:right w:val="none" w:sz="0" w:space="0" w:color="auto"/>
      </w:divBdr>
    </w:div>
    <w:div w:id="209396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casos-contenciosos/38-jurisprudencia/698-corte-idh-caso-gomez-palomino-vs-peru-fondo-reparaciones-y-costas-sentencia-de-22-de-noviembre-de-2005-serie-c-no-1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E26F-1649-459D-9C71-DA6C41F1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13082</Words>
  <Characters>67247</Characters>
  <Application>Microsoft Office Word</Application>
  <DocSecurity>0</DocSecurity>
  <Lines>1120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80082</CharactersWithSpaces>
  <SharedDoc>false</SharedDoc>
  <HLinks>
    <vt:vector size="150" baseType="variant">
      <vt:variant>
        <vt:i4>1048625</vt:i4>
      </vt:variant>
      <vt:variant>
        <vt:i4>140</vt:i4>
      </vt:variant>
      <vt:variant>
        <vt:i4>0</vt:i4>
      </vt:variant>
      <vt:variant>
        <vt:i4>5</vt:i4>
      </vt:variant>
      <vt:variant>
        <vt:lpwstr/>
      </vt:variant>
      <vt:variant>
        <vt:lpwstr>_Toc529792409</vt:lpwstr>
      </vt:variant>
      <vt:variant>
        <vt:i4>1048625</vt:i4>
      </vt:variant>
      <vt:variant>
        <vt:i4>134</vt:i4>
      </vt:variant>
      <vt:variant>
        <vt:i4>0</vt:i4>
      </vt:variant>
      <vt:variant>
        <vt:i4>5</vt:i4>
      </vt:variant>
      <vt:variant>
        <vt:lpwstr/>
      </vt:variant>
      <vt:variant>
        <vt:lpwstr>_Toc529792408</vt:lpwstr>
      </vt:variant>
      <vt:variant>
        <vt:i4>1048625</vt:i4>
      </vt:variant>
      <vt:variant>
        <vt:i4>128</vt:i4>
      </vt:variant>
      <vt:variant>
        <vt:i4>0</vt:i4>
      </vt:variant>
      <vt:variant>
        <vt:i4>5</vt:i4>
      </vt:variant>
      <vt:variant>
        <vt:lpwstr/>
      </vt:variant>
      <vt:variant>
        <vt:lpwstr>_Toc529792407</vt:lpwstr>
      </vt:variant>
      <vt:variant>
        <vt:i4>1048625</vt:i4>
      </vt:variant>
      <vt:variant>
        <vt:i4>122</vt:i4>
      </vt:variant>
      <vt:variant>
        <vt:i4>0</vt:i4>
      </vt:variant>
      <vt:variant>
        <vt:i4>5</vt:i4>
      </vt:variant>
      <vt:variant>
        <vt:lpwstr/>
      </vt:variant>
      <vt:variant>
        <vt:lpwstr>_Toc529792406</vt:lpwstr>
      </vt:variant>
      <vt:variant>
        <vt:i4>1048625</vt:i4>
      </vt:variant>
      <vt:variant>
        <vt:i4>116</vt:i4>
      </vt:variant>
      <vt:variant>
        <vt:i4>0</vt:i4>
      </vt:variant>
      <vt:variant>
        <vt:i4>5</vt:i4>
      </vt:variant>
      <vt:variant>
        <vt:lpwstr/>
      </vt:variant>
      <vt:variant>
        <vt:lpwstr>_Toc529792405</vt:lpwstr>
      </vt:variant>
      <vt:variant>
        <vt:i4>1048625</vt:i4>
      </vt:variant>
      <vt:variant>
        <vt:i4>110</vt:i4>
      </vt:variant>
      <vt:variant>
        <vt:i4>0</vt:i4>
      </vt:variant>
      <vt:variant>
        <vt:i4>5</vt:i4>
      </vt:variant>
      <vt:variant>
        <vt:lpwstr/>
      </vt:variant>
      <vt:variant>
        <vt:lpwstr>_Toc529792404</vt:lpwstr>
      </vt:variant>
      <vt:variant>
        <vt:i4>1048625</vt:i4>
      </vt:variant>
      <vt:variant>
        <vt:i4>104</vt:i4>
      </vt:variant>
      <vt:variant>
        <vt:i4>0</vt:i4>
      </vt:variant>
      <vt:variant>
        <vt:i4>5</vt:i4>
      </vt:variant>
      <vt:variant>
        <vt:lpwstr/>
      </vt:variant>
      <vt:variant>
        <vt:lpwstr>_Toc529792403</vt:lpwstr>
      </vt:variant>
      <vt:variant>
        <vt:i4>1048625</vt:i4>
      </vt:variant>
      <vt:variant>
        <vt:i4>98</vt:i4>
      </vt:variant>
      <vt:variant>
        <vt:i4>0</vt:i4>
      </vt:variant>
      <vt:variant>
        <vt:i4>5</vt:i4>
      </vt:variant>
      <vt:variant>
        <vt:lpwstr/>
      </vt:variant>
      <vt:variant>
        <vt:lpwstr>_Toc529792402</vt:lpwstr>
      </vt:variant>
      <vt:variant>
        <vt:i4>1638454</vt:i4>
      </vt:variant>
      <vt:variant>
        <vt:i4>92</vt:i4>
      </vt:variant>
      <vt:variant>
        <vt:i4>0</vt:i4>
      </vt:variant>
      <vt:variant>
        <vt:i4>5</vt:i4>
      </vt:variant>
      <vt:variant>
        <vt:lpwstr/>
      </vt:variant>
      <vt:variant>
        <vt:lpwstr>_Toc529792399</vt:lpwstr>
      </vt:variant>
      <vt:variant>
        <vt:i4>1638454</vt:i4>
      </vt:variant>
      <vt:variant>
        <vt:i4>86</vt:i4>
      </vt:variant>
      <vt:variant>
        <vt:i4>0</vt:i4>
      </vt:variant>
      <vt:variant>
        <vt:i4>5</vt:i4>
      </vt:variant>
      <vt:variant>
        <vt:lpwstr/>
      </vt:variant>
      <vt:variant>
        <vt:lpwstr>_Toc529792398</vt:lpwstr>
      </vt:variant>
      <vt:variant>
        <vt:i4>1638454</vt:i4>
      </vt:variant>
      <vt:variant>
        <vt:i4>80</vt:i4>
      </vt:variant>
      <vt:variant>
        <vt:i4>0</vt:i4>
      </vt:variant>
      <vt:variant>
        <vt:i4>5</vt:i4>
      </vt:variant>
      <vt:variant>
        <vt:lpwstr/>
      </vt:variant>
      <vt:variant>
        <vt:lpwstr>_Toc529792397</vt:lpwstr>
      </vt:variant>
      <vt:variant>
        <vt:i4>1638454</vt:i4>
      </vt:variant>
      <vt:variant>
        <vt:i4>74</vt:i4>
      </vt:variant>
      <vt:variant>
        <vt:i4>0</vt:i4>
      </vt:variant>
      <vt:variant>
        <vt:i4>5</vt:i4>
      </vt:variant>
      <vt:variant>
        <vt:lpwstr/>
      </vt:variant>
      <vt:variant>
        <vt:lpwstr>_Toc529792396</vt:lpwstr>
      </vt:variant>
      <vt:variant>
        <vt:i4>1638454</vt:i4>
      </vt:variant>
      <vt:variant>
        <vt:i4>68</vt:i4>
      </vt:variant>
      <vt:variant>
        <vt:i4>0</vt:i4>
      </vt:variant>
      <vt:variant>
        <vt:i4>5</vt:i4>
      </vt:variant>
      <vt:variant>
        <vt:lpwstr/>
      </vt:variant>
      <vt:variant>
        <vt:lpwstr>_Toc529792395</vt:lpwstr>
      </vt:variant>
      <vt:variant>
        <vt:i4>1638454</vt:i4>
      </vt:variant>
      <vt:variant>
        <vt:i4>62</vt:i4>
      </vt:variant>
      <vt:variant>
        <vt:i4>0</vt:i4>
      </vt:variant>
      <vt:variant>
        <vt:i4>5</vt:i4>
      </vt:variant>
      <vt:variant>
        <vt:lpwstr/>
      </vt:variant>
      <vt:variant>
        <vt:lpwstr>_Toc529792394</vt:lpwstr>
      </vt:variant>
      <vt:variant>
        <vt:i4>1638454</vt:i4>
      </vt:variant>
      <vt:variant>
        <vt:i4>56</vt:i4>
      </vt:variant>
      <vt:variant>
        <vt:i4>0</vt:i4>
      </vt:variant>
      <vt:variant>
        <vt:i4>5</vt:i4>
      </vt:variant>
      <vt:variant>
        <vt:lpwstr/>
      </vt:variant>
      <vt:variant>
        <vt:lpwstr>_Toc529792393</vt:lpwstr>
      </vt:variant>
      <vt:variant>
        <vt:i4>1638454</vt:i4>
      </vt:variant>
      <vt:variant>
        <vt:i4>50</vt:i4>
      </vt:variant>
      <vt:variant>
        <vt:i4>0</vt:i4>
      </vt:variant>
      <vt:variant>
        <vt:i4>5</vt:i4>
      </vt:variant>
      <vt:variant>
        <vt:lpwstr/>
      </vt:variant>
      <vt:variant>
        <vt:lpwstr>_Toc529792392</vt:lpwstr>
      </vt:variant>
      <vt:variant>
        <vt:i4>1638454</vt:i4>
      </vt:variant>
      <vt:variant>
        <vt:i4>44</vt:i4>
      </vt:variant>
      <vt:variant>
        <vt:i4>0</vt:i4>
      </vt:variant>
      <vt:variant>
        <vt:i4>5</vt:i4>
      </vt:variant>
      <vt:variant>
        <vt:lpwstr/>
      </vt:variant>
      <vt:variant>
        <vt:lpwstr>_Toc529792391</vt:lpwstr>
      </vt:variant>
      <vt:variant>
        <vt:i4>1638454</vt:i4>
      </vt:variant>
      <vt:variant>
        <vt:i4>38</vt:i4>
      </vt:variant>
      <vt:variant>
        <vt:i4>0</vt:i4>
      </vt:variant>
      <vt:variant>
        <vt:i4>5</vt:i4>
      </vt:variant>
      <vt:variant>
        <vt:lpwstr/>
      </vt:variant>
      <vt:variant>
        <vt:lpwstr>_Toc529792390</vt:lpwstr>
      </vt:variant>
      <vt:variant>
        <vt:i4>1572918</vt:i4>
      </vt:variant>
      <vt:variant>
        <vt:i4>32</vt:i4>
      </vt:variant>
      <vt:variant>
        <vt:i4>0</vt:i4>
      </vt:variant>
      <vt:variant>
        <vt:i4>5</vt:i4>
      </vt:variant>
      <vt:variant>
        <vt:lpwstr/>
      </vt:variant>
      <vt:variant>
        <vt:lpwstr>_Toc529792389</vt:lpwstr>
      </vt:variant>
      <vt:variant>
        <vt:i4>1572918</vt:i4>
      </vt:variant>
      <vt:variant>
        <vt:i4>26</vt:i4>
      </vt:variant>
      <vt:variant>
        <vt:i4>0</vt:i4>
      </vt:variant>
      <vt:variant>
        <vt:i4>5</vt:i4>
      </vt:variant>
      <vt:variant>
        <vt:lpwstr/>
      </vt:variant>
      <vt:variant>
        <vt:lpwstr>_Toc529792388</vt:lpwstr>
      </vt:variant>
      <vt:variant>
        <vt:i4>1572918</vt:i4>
      </vt:variant>
      <vt:variant>
        <vt:i4>20</vt:i4>
      </vt:variant>
      <vt:variant>
        <vt:i4>0</vt:i4>
      </vt:variant>
      <vt:variant>
        <vt:i4>5</vt:i4>
      </vt:variant>
      <vt:variant>
        <vt:lpwstr/>
      </vt:variant>
      <vt:variant>
        <vt:lpwstr>_Toc529792387</vt:lpwstr>
      </vt:variant>
      <vt:variant>
        <vt:i4>1572918</vt:i4>
      </vt:variant>
      <vt:variant>
        <vt:i4>14</vt:i4>
      </vt:variant>
      <vt:variant>
        <vt:i4>0</vt:i4>
      </vt:variant>
      <vt:variant>
        <vt:i4>5</vt:i4>
      </vt:variant>
      <vt:variant>
        <vt:lpwstr/>
      </vt:variant>
      <vt:variant>
        <vt:lpwstr>_Toc529792386</vt:lpwstr>
      </vt:variant>
      <vt:variant>
        <vt:i4>1572918</vt:i4>
      </vt:variant>
      <vt:variant>
        <vt:i4>8</vt:i4>
      </vt:variant>
      <vt:variant>
        <vt:i4>0</vt:i4>
      </vt:variant>
      <vt:variant>
        <vt:i4>5</vt:i4>
      </vt:variant>
      <vt:variant>
        <vt:lpwstr/>
      </vt:variant>
      <vt:variant>
        <vt:lpwstr>_Toc529792385</vt:lpwstr>
      </vt:variant>
      <vt:variant>
        <vt:i4>1572918</vt:i4>
      </vt:variant>
      <vt:variant>
        <vt:i4>2</vt:i4>
      </vt:variant>
      <vt:variant>
        <vt:i4>0</vt:i4>
      </vt:variant>
      <vt:variant>
        <vt:i4>5</vt:i4>
      </vt:variant>
      <vt:variant>
        <vt:lpwstr/>
      </vt:variant>
      <vt:variant>
        <vt:lpwstr>_Toc529792384</vt:lpwstr>
      </vt:variant>
      <vt:variant>
        <vt:i4>7995500</vt:i4>
      </vt:variant>
      <vt:variant>
        <vt:i4>0</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92/19</dc:title>
  <dc:subject/>
  <dc:creator/>
  <cp:keywords/>
  <cp:lastModifiedBy/>
  <cp:revision>1</cp:revision>
  <dcterms:created xsi:type="dcterms:W3CDTF">2020-04-21T14:07:00Z</dcterms:created>
  <dcterms:modified xsi:type="dcterms:W3CDTF">2020-04-21T14:13:00Z</dcterms:modified>
</cp:coreProperties>
</file>