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C2052D" w:rsidRDefault="00D306D1" w:rsidP="00627C9F">
      <w:pPr>
        <w:jc w:val="both"/>
        <w:rPr>
          <w:rFonts w:ascii="Cambria" w:hAnsi="Cambria" w:cs="Univers"/>
          <w:b/>
          <w:bCs/>
          <w:sz w:val="22"/>
          <w:szCs w:val="22"/>
          <w:lang w:val="es-ES"/>
        </w:rPr>
      </w:pPr>
      <w:r w:rsidRPr="00C2052D">
        <w:rPr>
          <w:rFonts w:ascii="Cambria" w:hAnsi="Cambria"/>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2434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2052D">
        <w:rPr>
          <w:rFonts w:ascii="Cambria" w:hAnsi="Cambria"/>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93785" w:rsidRDefault="00F9378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93785" w:rsidRDefault="00F9378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C2052D" w:rsidRDefault="00040C3A" w:rsidP="00040C3A">
      <w:pPr>
        <w:tabs>
          <w:tab w:val="center" w:pos="5400"/>
        </w:tabs>
        <w:suppressAutoHyphens/>
        <w:jc w:val="both"/>
        <w:rPr>
          <w:rFonts w:ascii="Cambria" w:hAnsi="Cambria"/>
          <w:sz w:val="22"/>
          <w:szCs w:val="22"/>
          <w:lang w:val="es-ES"/>
        </w:rPr>
      </w:pPr>
    </w:p>
    <w:p w14:paraId="5A87E141" w14:textId="77777777" w:rsidR="00040C3A" w:rsidRPr="00C2052D" w:rsidRDefault="00040C3A" w:rsidP="00040C3A">
      <w:pPr>
        <w:tabs>
          <w:tab w:val="center" w:pos="5400"/>
        </w:tabs>
        <w:suppressAutoHyphens/>
        <w:jc w:val="both"/>
        <w:rPr>
          <w:rFonts w:ascii="Cambria" w:hAnsi="Cambria"/>
          <w:sz w:val="22"/>
          <w:szCs w:val="22"/>
          <w:lang w:val="es-ES"/>
        </w:rPr>
      </w:pPr>
    </w:p>
    <w:p w14:paraId="29D95BCC" w14:textId="77777777" w:rsidR="005128E4" w:rsidRPr="00C2052D" w:rsidRDefault="005128E4" w:rsidP="00040C3A">
      <w:pPr>
        <w:tabs>
          <w:tab w:val="center" w:pos="5400"/>
        </w:tabs>
        <w:suppressAutoHyphens/>
        <w:rPr>
          <w:rFonts w:ascii="Cambria" w:hAnsi="Cambria"/>
          <w:sz w:val="22"/>
          <w:szCs w:val="22"/>
          <w:lang w:val="es-ES"/>
        </w:rPr>
      </w:pPr>
    </w:p>
    <w:p w14:paraId="12A36B24" w14:textId="77777777" w:rsidR="005128E4" w:rsidRPr="00C2052D" w:rsidRDefault="005128E4" w:rsidP="00040C3A">
      <w:pPr>
        <w:tabs>
          <w:tab w:val="center" w:pos="5400"/>
        </w:tabs>
        <w:suppressAutoHyphens/>
        <w:rPr>
          <w:rFonts w:ascii="Cambria" w:hAnsi="Cambria"/>
          <w:sz w:val="22"/>
          <w:szCs w:val="22"/>
          <w:lang w:val="es-ES"/>
        </w:rPr>
      </w:pPr>
    </w:p>
    <w:p w14:paraId="2252093D" w14:textId="77777777" w:rsidR="005128E4" w:rsidRPr="00C2052D" w:rsidRDefault="005128E4" w:rsidP="00040C3A">
      <w:pPr>
        <w:tabs>
          <w:tab w:val="center" w:pos="5400"/>
        </w:tabs>
        <w:suppressAutoHyphens/>
        <w:rPr>
          <w:rFonts w:ascii="Cambria" w:hAnsi="Cambria"/>
          <w:sz w:val="22"/>
          <w:szCs w:val="22"/>
          <w:lang w:val="es-ES"/>
        </w:rPr>
      </w:pPr>
    </w:p>
    <w:p w14:paraId="403935BD" w14:textId="77777777" w:rsidR="00040C3A" w:rsidRPr="00C2052D" w:rsidRDefault="00040C3A" w:rsidP="005128E4">
      <w:pPr>
        <w:tabs>
          <w:tab w:val="center" w:pos="5400"/>
        </w:tabs>
        <w:suppressAutoHyphens/>
        <w:jc w:val="center"/>
        <w:rPr>
          <w:rFonts w:ascii="Cambria" w:hAnsi="Cambria"/>
          <w:sz w:val="22"/>
          <w:szCs w:val="22"/>
          <w:lang w:val="es-ES"/>
        </w:rPr>
      </w:pPr>
    </w:p>
    <w:p w14:paraId="6DCF5F8F" w14:textId="77777777" w:rsidR="00040C3A" w:rsidRPr="00C2052D" w:rsidRDefault="00040C3A" w:rsidP="005128E4">
      <w:pPr>
        <w:tabs>
          <w:tab w:val="center" w:pos="5400"/>
        </w:tabs>
        <w:suppressAutoHyphens/>
        <w:jc w:val="center"/>
        <w:rPr>
          <w:rFonts w:ascii="Cambria" w:hAnsi="Cambria"/>
          <w:sz w:val="22"/>
          <w:szCs w:val="22"/>
          <w:lang w:val="es-ES"/>
        </w:rPr>
      </w:pPr>
    </w:p>
    <w:p w14:paraId="4791F13A" w14:textId="77777777" w:rsidR="005B52B0" w:rsidRPr="00C2052D" w:rsidRDefault="005B52B0" w:rsidP="005128E4">
      <w:pPr>
        <w:tabs>
          <w:tab w:val="center" w:pos="5400"/>
        </w:tabs>
        <w:suppressAutoHyphens/>
        <w:jc w:val="center"/>
        <w:rPr>
          <w:rFonts w:ascii="Cambria" w:hAnsi="Cambria"/>
          <w:sz w:val="22"/>
          <w:szCs w:val="22"/>
          <w:lang w:val="es-ES"/>
        </w:rPr>
      </w:pPr>
    </w:p>
    <w:p w14:paraId="44E016B6" w14:textId="77777777" w:rsidR="005B52B0" w:rsidRPr="00C2052D" w:rsidRDefault="005B52B0" w:rsidP="005128E4">
      <w:pPr>
        <w:tabs>
          <w:tab w:val="center" w:pos="5400"/>
        </w:tabs>
        <w:suppressAutoHyphens/>
        <w:jc w:val="center"/>
        <w:rPr>
          <w:rFonts w:ascii="Cambria" w:hAnsi="Cambria"/>
          <w:sz w:val="22"/>
          <w:szCs w:val="22"/>
          <w:lang w:val="es-ES"/>
        </w:rPr>
      </w:pPr>
      <w:bookmarkStart w:id="0" w:name="_GoBack"/>
      <w:bookmarkEnd w:id="0"/>
    </w:p>
    <w:p w14:paraId="63D41962" w14:textId="77777777" w:rsidR="005B52B0" w:rsidRPr="00C2052D" w:rsidRDefault="005B52B0" w:rsidP="005128E4">
      <w:pPr>
        <w:tabs>
          <w:tab w:val="center" w:pos="5400"/>
        </w:tabs>
        <w:suppressAutoHyphens/>
        <w:jc w:val="center"/>
        <w:rPr>
          <w:rFonts w:ascii="Cambria" w:hAnsi="Cambria"/>
          <w:sz w:val="22"/>
          <w:szCs w:val="22"/>
          <w:lang w:val="es-ES"/>
        </w:rPr>
      </w:pPr>
    </w:p>
    <w:p w14:paraId="5ADEB990" w14:textId="77777777" w:rsidR="00040C3A" w:rsidRPr="00C2052D" w:rsidRDefault="00040C3A" w:rsidP="00040C3A">
      <w:pPr>
        <w:tabs>
          <w:tab w:val="center" w:pos="5400"/>
        </w:tabs>
        <w:suppressAutoHyphens/>
        <w:jc w:val="center"/>
        <w:rPr>
          <w:rFonts w:ascii="Cambria" w:hAnsi="Cambria"/>
          <w:sz w:val="22"/>
          <w:szCs w:val="22"/>
          <w:lang w:val="es-ES"/>
        </w:rPr>
      </w:pPr>
    </w:p>
    <w:p w14:paraId="2D81B7E8" w14:textId="77777777" w:rsidR="00040C3A" w:rsidRPr="00C2052D" w:rsidRDefault="00040C3A" w:rsidP="00040C3A">
      <w:pPr>
        <w:tabs>
          <w:tab w:val="center" w:pos="5400"/>
        </w:tabs>
        <w:suppressAutoHyphens/>
        <w:jc w:val="center"/>
        <w:rPr>
          <w:rFonts w:ascii="Cambria" w:hAnsi="Cambria"/>
          <w:sz w:val="22"/>
          <w:szCs w:val="22"/>
          <w:lang w:val="es-ES"/>
        </w:rPr>
      </w:pPr>
    </w:p>
    <w:p w14:paraId="64791D04" w14:textId="77777777" w:rsidR="00040C3A" w:rsidRPr="00C2052D" w:rsidRDefault="003D3BC2" w:rsidP="00040C3A">
      <w:pPr>
        <w:tabs>
          <w:tab w:val="center" w:pos="5400"/>
        </w:tabs>
        <w:suppressAutoHyphens/>
        <w:jc w:val="center"/>
        <w:rPr>
          <w:rFonts w:ascii="Cambria" w:hAnsi="Cambria"/>
          <w:sz w:val="22"/>
          <w:szCs w:val="22"/>
          <w:lang w:val="es-ES"/>
        </w:rPr>
      </w:pPr>
      <w:r w:rsidRPr="00C2052D">
        <w:rPr>
          <w:rFonts w:ascii="Cambria" w:hAnsi="Cambria"/>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476AC85" w:rsidR="00F93785" w:rsidRPr="004E2649" w:rsidRDefault="00F9378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B61B1">
                              <w:rPr>
                                <w:rFonts w:asciiTheme="majorHAnsi" w:hAnsiTheme="majorHAnsi" w:cs="Arial"/>
                                <w:b/>
                                <w:bCs/>
                                <w:color w:val="0D0D0D" w:themeColor="text1" w:themeTint="F2"/>
                                <w:sz w:val="36"/>
                                <w:szCs w:val="22"/>
                                <w:lang w:val="es-ES_tradnl"/>
                              </w:rPr>
                              <w:t>182</w:t>
                            </w:r>
                            <w:r>
                              <w:rPr>
                                <w:rFonts w:asciiTheme="majorHAnsi" w:hAnsiTheme="majorHAnsi" w:cs="Arial"/>
                                <w:b/>
                                <w:bCs/>
                                <w:color w:val="0D0D0D" w:themeColor="text1" w:themeTint="F2"/>
                                <w:sz w:val="36"/>
                                <w:szCs w:val="22"/>
                                <w:lang w:val="es-ES_tradnl"/>
                              </w:rPr>
                              <w:t>/19</w:t>
                            </w:r>
                          </w:p>
                          <w:p w14:paraId="09C54AB3" w14:textId="64947FA9" w:rsidR="00F93785" w:rsidRDefault="00F9378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308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7F16EDE0" w:rsidR="00F93785" w:rsidRPr="0010736F" w:rsidRDefault="00F9378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F93785" w:rsidRPr="0010736F" w:rsidRDefault="00F93785"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A9BBCDA" w14:textId="7D4177B7" w:rsidR="00F93785" w:rsidRDefault="00F937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ROBERTO ANTONIO GALLANGOS CRUZ Y OTROS </w:t>
                            </w:r>
                          </w:p>
                          <w:p w14:paraId="35068D0D" w14:textId="34216729" w:rsidR="00F93785" w:rsidRPr="0010736F" w:rsidRDefault="0042694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w:t>
                            </w:r>
                            <w:r w:rsidR="00F93785">
                              <w:rPr>
                                <w:rFonts w:asciiTheme="majorHAnsi" w:hAnsiTheme="majorHAnsi" w:cs="Arial"/>
                                <w:color w:val="0D0D0D" w:themeColor="text1" w:themeTint="F2"/>
                                <w:szCs w:val="22"/>
                                <w:lang w:val="es-ES_tradnl"/>
                              </w:rPr>
                              <w:t>XICO</w:t>
                            </w:r>
                          </w:p>
                          <w:p w14:paraId="575DFD52" w14:textId="77777777" w:rsidR="00F93785" w:rsidRPr="00AE5488" w:rsidRDefault="00F9378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476AC85" w:rsidR="00F93785" w:rsidRPr="004E2649" w:rsidRDefault="00F9378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B61B1">
                        <w:rPr>
                          <w:rFonts w:asciiTheme="majorHAnsi" w:hAnsiTheme="majorHAnsi" w:cs="Arial"/>
                          <w:b/>
                          <w:bCs/>
                          <w:color w:val="0D0D0D" w:themeColor="text1" w:themeTint="F2"/>
                          <w:sz w:val="36"/>
                          <w:szCs w:val="22"/>
                          <w:lang w:val="es-ES_tradnl"/>
                        </w:rPr>
                        <w:t>182</w:t>
                      </w:r>
                      <w:r>
                        <w:rPr>
                          <w:rFonts w:asciiTheme="majorHAnsi" w:hAnsiTheme="majorHAnsi" w:cs="Arial"/>
                          <w:b/>
                          <w:bCs/>
                          <w:color w:val="0D0D0D" w:themeColor="text1" w:themeTint="F2"/>
                          <w:sz w:val="36"/>
                          <w:szCs w:val="22"/>
                          <w:lang w:val="es-ES_tradnl"/>
                        </w:rPr>
                        <w:t>/19</w:t>
                      </w:r>
                    </w:p>
                    <w:p w14:paraId="09C54AB3" w14:textId="64947FA9" w:rsidR="00F93785" w:rsidRDefault="00F9378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308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7F16EDE0" w:rsidR="00F93785" w:rsidRPr="0010736F" w:rsidRDefault="00F9378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F93785" w:rsidRPr="0010736F" w:rsidRDefault="00F93785" w:rsidP="00997BC5">
                      <w:pPr>
                        <w:spacing w:line="276" w:lineRule="auto"/>
                        <w:rPr>
                          <w:rFonts w:asciiTheme="majorHAnsi" w:hAnsiTheme="majorHAnsi" w:cs="Arial"/>
                          <w:color w:val="0D0D0D" w:themeColor="text1" w:themeTint="F2"/>
                          <w:szCs w:val="22"/>
                          <w:lang w:val="es-ES_tradnl"/>
                        </w:rPr>
                      </w:pPr>
                      <w:bookmarkStart w:id="2" w:name="_ftnref1"/>
                    </w:p>
                    <w:bookmarkEnd w:id="2"/>
                    <w:p w14:paraId="5A9BBCDA" w14:textId="7D4177B7" w:rsidR="00F93785" w:rsidRDefault="00F937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ROBERTO ANTONIO GALLANGOS CRUZ Y OTROS </w:t>
                      </w:r>
                    </w:p>
                    <w:p w14:paraId="35068D0D" w14:textId="34216729" w:rsidR="00F93785" w:rsidRPr="0010736F" w:rsidRDefault="0042694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w:t>
                      </w:r>
                      <w:r w:rsidR="00F93785">
                        <w:rPr>
                          <w:rFonts w:asciiTheme="majorHAnsi" w:hAnsiTheme="majorHAnsi" w:cs="Arial"/>
                          <w:color w:val="0D0D0D" w:themeColor="text1" w:themeTint="F2"/>
                          <w:szCs w:val="22"/>
                          <w:lang w:val="es-ES_tradnl"/>
                        </w:rPr>
                        <w:t>XICO</w:t>
                      </w:r>
                    </w:p>
                    <w:p w14:paraId="575DFD52" w14:textId="77777777" w:rsidR="00F93785" w:rsidRPr="00AE5488" w:rsidRDefault="00F93785" w:rsidP="007A5817">
                      <w:pPr>
                        <w:rPr>
                          <w:color w:val="0D0D0D" w:themeColor="text1" w:themeTint="F2"/>
                          <w:lang w:val="es-ES_tradnl"/>
                        </w:rPr>
                      </w:pPr>
                    </w:p>
                  </w:txbxContent>
                </v:textbox>
              </v:shape>
            </w:pict>
          </mc:Fallback>
        </mc:AlternateContent>
      </w:r>
      <w:r w:rsidR="004E2649" w:rsidRPr="00C2052D">
        <w:rPr>
          <w:rFonts w:ascii="Cambria" w:hAnsi="Cambria"/>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4CB012A" w:rsidR="00F93785" w:rsidRPr="001B61B1" w:rsidRDefault="00F93785" w:rsidP="007A5817">
                            <w:pPr>
                              <w:spacing w:line="276" w:lineRule="auto"/>
                              <w:jc w:val="right"/>
                              <w:rPr>
                                <w:rFonts w:asciiTheme="minorHAnsi" w:hAnsiTheme="minorHAnsi"/>
                                <w:color w:val="FFFFFF" w:themeColor="background1"/>
                                <w:sz w:val="22"/>
                                <w:lang w:val="es-419"/>
                              </w:rPr>
                            </w:pPr>
                            <w:r w:rsidRPr="001B61B1">
                              <w:rPr>
                                <w:rFonts w:asciiTheme="minorHAnsi" w:hAnsiTheme="minorHAnsi"/>
                                <w:color w:val="FFFFFF" w:themeColor="background1"/>
                                <w:sz w:val="22"/>
                                <w:lang w:val="es-419"/>
                              </w:rPr>
                              <w:t>OEA/</w:t>
                            </w:r>
                            <w:proofErr w:type="spellStart"/>
                            <w:r w:rsidRPr="001B61B1">
                              <w:rPr>
                                <w:rFonts w:asciiTheme="minorHAnsi" w:hAnsiTheme="minorHAnsi"/>
                                <w:color w:val="FFFFFF" w:themeColor="background1"/>
                                <w:sz w:val="22"/>
                                <w:lang w:val="es-419"/>
                              </w:rPr>
                              <w:t>Ser.L</w:t>
                            </w:r>
                            <w:proofErr w:type="spellEnd"/>
                            <w:r w:rsidRPr="001B61B1">
                              <w:rPr>
                                <w:rFonts w:asciiTheme="minorHAnsi" w:hAnsiTheme="minorHAnsi"/>
                                <w:color w:val="FFFFFF" w:themeColor="background1"/>
                                <w:sz w:val="22"/>
                                <w:lang w:val="es-419"/>
                              </w:rPr>
                              <w:t>/V/II.</w:t>
                            </w:r>
                          </w:p>
                          <w:p w14:paraId="6A41611B" w14:textId="7997202B" w:rsidR="00F93785" w:rsidRPr="001B61B1" w:rsidRDefault="00F93785" w:rsidP="007A5817">
                            <w:pPr>
                              <w:spacing w:line="276" w:lineRule="auto"/>
                              <w:jc w:val="right"/>
                              <w:rPr>
                                <w:rFonts w:asciiTheme="minorHAnsi" w:hAnsiTheme="minorHAnsi"/>
                                <w:color w:val="FFFFFF" w:themeColor="background1"/>
                                <w:sz w:val="22"/>
                                <w:lang w:val="es-419"/>
                              </w:rPr>
                            </w:pPr>
                            <w:r w:rsidRPr="001B61B1">
                              <w:rPr>
                                <w:rFonts w:asciiTheme="minorHAnsi" w:hAnsiTheme="minorHAnsi"/>
                                <w:color w:val="FFFFFF" w:themeColor="background1"/>
                                <w:sz w:val="22"/>
                                <w:lang w:val="es-419"/>
                              </w:rPr>
                              <w:t xml:space="preserve">Doc. </w:t>
                            </w:r>
                            <w:r w:rsidR="001B61B1">
                              <w:rPr>
                                <w:rFonts w:asciiTheme="minorHAnsi" w:hAnsiTheme="minorHAnsi"/>
                                <w:color w:val="FFFFFF" w:themeColor="background1"/>
                                <w:sz w:val="22"/>
                                <w:lang w:val="es-419"/>
                              </w:rPr>
                              <w:t>204</w:t>
                            </w:r>
                          </w:p>
                          <w:p w14:paraId="69373ED2" w14:textId="2AFCFCE4" w:rsidR="00F93785" w:rsidRPr="001B4C00" w:rsidRDefault="001B61B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F93785" w:rsidRPr="001B4C00">
                              <w:rPr>
                                <w:rFonts w:asciiTheme="minorHAnsi" w:hAnsiTheme="minorHAnsi"/>
                                <w:color w:val="FFFFFF" w:themeColor="background1"/>
                                <w:sz w:val="22"/>
                                <w:lang w:val="es-ES"/>
                              </w:rPr>
                              <w:t xml:space="preserve"> 2019</w:t>
                            </w:r>
                          </w:p>
                          <w:p w14:paraId="0771DB5B" w14:textId="77777777" w:rsidR="00F93785" w:rsidRPr="001B4C00" w:rsidRDefault="00F93785"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4CB012A" w:rsidR="00F93785" w:rsidRPr="001B61B1" w:rsidRDefault="00F93785" w:rsidP="007A5817">
                      <w:pPr>
                        <w:spacing w:line="276" w:lineRule="auto"/>
                        <w:jc w:val="right"/>
                        <w:rPr>
                          <w:rFonts w:asciiTheme="minorHAnsi" w:hAnsiTheme="minorHAnsi"/>
                          <w:color w:val="FFFFFF" w:themeColor="background1"/>
                          <w:sz w:val="22"/>
                          <w:lang w:val="es-419"/>
                        </w:rPr>
                      </w:pPr>
                      <w:r w:rsidRPr="001B61B1">
                        <w:rPr>
                          <w:rFonts w:asciiTheme="minorHAnsi" w:hAnsiTheme="minorHAnsi"/>
                          <w:color w:val="FFFFFF" w:themeColor="background1"/>
                          <w:sz w:val="22"/>
                          <w:lang w:val="es-419"/>
                        </w:rPr>
                        <w:t>OEA/</w:t>
                      </w:r>
                      <w:proofErr w:type="spellStart"/>
                      <w:r w:rsidRPr="001B61B1">
                        <w:rPr>
                          <w:rFonts w:asciiTheme="minorHAnsi" w:hAnsiTheme="minorHAnsi"/>
                          <w:color w:val="FFFFFF" w:themeColor="background1"/>
                          <w:sz w:val="22"/>
                          <w:lang w:val="es-419"/>
                        </w:rPr>
                        <w:t>Ser.L</w:t>
                      </w:r>
                      <w:proofErr w:type="spellEnd"/>
                      <w:r w:rsidRPr="001B61B1">
                        <w:rPr>
                          <w:rFonts w:asciiTheme="minorHAnsi" w:hAnsiTheme="minorHAnsi"/>
                          <w:color w:val="FFFFFF" w:themeColor="background1"/>
                          <w:sz w:val="22"/>
                          <w:lang w:val="es-419"/>
                        </w:rPr>
                        <w:t>/V/II.</w:t>
                      </w:r>
                    </w:p>
                    <w:p w14:paraId="6A41611B" w14:textId="7997202B" w:rsidR="00F93785" w:rsidRPr="001B61B1" w:rsidRDefault="00F93785" w:rsidP="007A5817">
                      <w:pPr>
                        <w:spacing w:line="276" w:lineRule="auto"/>
                        <w:jc w:val="right"/>
                        <w:rPr>
                          <w:rFonts w:asciiTheme="minorHAnsi" w:hAnsiTheme="minorHAnsi"/>
                          <w:color w:val="FFFFFF" w:themeColor="background1"/>
                          <w:sz w:val="22"/>
                          <w:lang w:val="es-419"/>
                        </w:rPr>
                      </w:pPr>
                      <w:r w:rsidRPr="001B61B1">
                        <w:rPr>
                          <w:rFonts w:asciiTheme="minorHAnsi" w:hAnsiTheme="minorHAnsi"/>
                          <w:color w:val="FFFFFF" w:themeColor="background1"/>
                          <w:sz w:val="22"/>
                          <w:lang w:val="es-419"/>
                        </w:rPr>
                        <w:t xml:space="preserve">Doc. </w:t>
                      </w:r>
                      <w:r w:rsidR="001B61B1">
                        <w:rPr>
                          <w:rFonts w:asciiTheme="minorHAnsi" w:hAnsiTheme="minorHAnsi"/>
                          <w:color w:val="FFFFFF" w:themeColor="background1"/>
                          <w:sz w:val="22"/>
                          <w:lang w:val="es-419"/>
                        </w:rPr>
                        <w:t>204</w:t>
                      </w:r>
                    </w:p>
                    <w:p w14:paraId="69373ED2" w14:textId="2AFCFCE4" w:rsidR="00F93785" w:rsidRPr="001B4C00" w:rsidRDefault="001B61B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F93785" w:rsidRPr="001B4C00">
                        <w:rPr>
                          <w:rFonts w:asciiTheme="minorHAnsi" w:hAnsiTheme="minorHAnsi"/>
                          <w:color w:val="FFFFFF" w:themeColor="background1"/>
                          <w:sz w:val="22"/>
                          <w:lang w:val="es-ES"/>
                        </w:rPr>
                        <w:t xml:space="preserve"> 2019</w:t>
                      </w:r>
                    </w:p>
                    <w:p w14:paraId="0771DB5B" w14:textId="77777777" w:rsidR="00F93785" w:rsidRPr="001B4C00" w:rsidRDefault="00F93785"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C2052D" w:rsidRDefault="00040C3A" w:rsidP="00040C3A">
      <w:pPr>
        <w:tabs>
          <w:tab w:val="center" w:pos="5400"/>
        </w:tabs>
        <w:suppressAutoHyphens/>
        <w:jc w:val="center"/>
        <w:rPr>
          <w:rFonts w:ascii="Cambria" w:hAnsi="Cambria"/>
          <w:sz w:val="22"/>
          <w:szCs w:val="22"/>
          <w:lang w:val="es-ES"/>
        </w:rPr>
      </w:pPr>
    </w:p>
    <w:p w14:paraId="5FE3AB87" w14:textId="77777777" w:rsidR="00040C3A" w:rsidRPr="00C2052D" w:rsidRDefault="00040C3A" w:rsidP="00040C3A">
      <w:pPr>
        <w:tabs>
          <w:tab w:val="center" w:pos="5400"/>
        </w:tabs>
        <w:suppressAutoHyphens/>
        <w:jc w:val="center"/>
        <w:rPr>
          <w:rFonts w:ascii="Cambria" w:hAnsi="Cambria"/>
          <w:sz w:val="22"/>
          <w:szCs w:val="22"/>
          <w:lang w:val="es-ES"/>
        </w:rPr>
      </w:pPr>
    </w:p>
    <w:p w14:paraId="3C383BC0" w14:textId="77777777" w:rsidR="00040C3A" w:rsidRPr="00C2052D" w:rsidRDefault="00040C3A" w:rsidP="00040C3A">
      <w:pPr>
        <w:tabs>
          <w:tab w:val="center" w:pos="5400"/>
        </w:tabs>
        <w:suppressAutoHyphens/>
        <w:jc w:val="center"/>
        <w:rPr>
          <w:rFonts w:ascii="Cambria" w:hAnsi="Cambria" w:cs="Arial"/>
          <w:sz w:val="22"/>
          <w:szCs w:val="22"/>
          <w:lang w:val="es-ES"/>
        </w:rPr>
      </w:pPr>
    </w:p>
    <w:p w14:paraId="54590931" w14:textId="77777777" w:rsidR="00040C3A" w:rsidRPr="00C2052D" w:rsidRDefault="00040C3A" w:rsidP="00040C3A">
      <w:pPr>
        <w:tabs>
          <w:tab w:val="center" w:pos="5400"/>
        </w:tabs>
        <w:suppressAutoHyphens/>
        <w:jc w:val="center"/>
        <w:rPr>
          <w:rFonts w:ascii="Cambria" w:hAnsi="Cambria"/>
          <w:sz w:val="22"/>
          <w:szCs w:val="22"/>
          <w:lang w:val="es-ES"/>
        </w:rPr>
      </w:pPr>
    </w:p>
    <w:p w14:paraId="76C291D6" w14:textId="77777777" w:rsidR="00040C3A" w:rsidRPr="00C2052D" w:rsidRDefault="00040C3A" w:rsidP="00040C3A">
      <w:pPr>
        <w:tabs>
          <w:tab w:val="center" w:pos="5400"/>
        </w:tabs>
        <w:suppressAutoHyphens/>
        <w:jc w:val="center"/>
        <w:rPr>
          <w:rFonts w:ascii="Cambria" w:hAnsi="Cambria"/>
          <w:sz w:val="22"/>
          <w:szCs w:val="22"/>
          <w:lang w:val="es-ES"/>
        </w:rPr>
      </w:pPr>
    </w:p>
    <w:p w14:paraId="2161B44F" w14:textId="77777777" w:rsidR="00040C3A" w:rsidRPr="00C2052D" w:rsidRDefault="00040C3A" w:rsidP="00040C3A">
      <w:pPr>
        <w:tabs>
          <w:tab w:val="center" w:pos="5400"/>
        </w:tabs>
        <w:suppressAutoHyphens/>
        <w:jc w:val="center"/>
        <w:rPr>
          <w:rFonts w:ascii="Cambria" w:hAnsi="Cambria"/>
          <w:sz w:val="22"/>
          <w:szCs w:val="22"/>
          <w:lang w:val="es-ES"/>
        </w:rPr>
      </w:pPr>
    </w:p>
    <w:p w14:paraId="3C4EEE07" w14:textId="77777777" w:rsidR="00040C3A" w:rsidRPr="00C2052D" w:rsidRDefault="00040C3A" w:rsidP="00040C3A">
      <w:pPr>
        <w:tabs>
          <w:tab w:val="center" w:pos="5400"/>
        </w:tabs>
        <w:suppressAutoHyphens/>
        <w:jc w:val="center"/>
        <w:rPr>
          <w:rFonts w:ascii="Cambria" w:hAnsi="Cambria"/>
          <w:sz w:val="22"/>
          <w:szCs w:val="22"/>
          <w:lang w:val="es-ES"/>
        </w:rPr>
      </w:pPr>
    </w:p>
    <w:p w14:paraId="3B0E4647" w14:textId="77777777" w:rsidR="005128E4" w:rsidRPr="00C2052D" w:rsidRDefault="005128E4" w:rsidP="00040C3A">
      <w:pPr>
        <w:tabs>
          <w:tab w:val="center" w:pos="5400"/>
        </w:tabs>
        <w:suppressAutoHyphens/>
        <w:jc w:val="center"/>
        <w:rPr>
          <w:rFonts w:ascii="Cambria" w:hAnsi="Cambria"/>
          <w:sz w:val="22"/>
          <w:szCs w:val="22"/>
          <w:lang w:val="es-ES"/>
        </w:rPr>
      </w:pPr>
    </w:p>
    <w:p w14:paraId="2DAAF36D" w14:textId="77777777" w:rsidR="00040C3A" w:rsidRPr="00C2052D" w:rsidRDefault="00040C3A" w:rsidP="00040C3A">
      <w:pPr>
        <w:tabs>
          <w:tab w:val="center" w:pos="5400"/>
        </w:tabs>
        <w:suppressAutoHyphens/>
        <w:jc w:val="center"/>
        <w:rPr>
          <w:rFonts w:ascii="Cambria" w:hAnsi="Cambria"/>
          <w:sz w:val="22"/>
          <w:szCs w:val="22"/>
          <w:lang w:val="es-ES"/>
        </w:rPr>
      </w:pPr>
    </w:p>
    <w:p w14:paraId="12496A14" w14:textId="77777777" w:rsidR="005128E4" w:rsidRPr="00C2052D" w:rsidRDefault="005128E4" w:rsidP="00040C3A">
      <w:pPr>
        <w:tabs>
          <w:tab w:val="center" w:pos="5400"/>
        </w:tabs>
        <w:suppressAutoHyphens/>
        <w:jc w:val="center"/>
        <w:rPr>
          <w:rFonts w:ascii="Cambria" w:hAnsi="Cambria"/>
          <w:sz w:val="22"/>
          <w:szCs w:val="22"/>
          <w:lang w:val="es-ES"/>
        </w:rPr>
      </w:pPr>
    </w:p>
    <w:p w14:paraId="25772DB3" w14:textId="77777777" w:rsidR="005128E4" w:rsidRPr="00C2052D" w:rsidRDefault="005128E4" w:rsidP="00040C3A">
      <w:pPr>
        <w:tabs>
          <w:tab w:val="center" w:pos="5400"/>
        </w:tabs>
        <w:suppressAutoHyphens/>
        <w:jc w:val="center"/>
        <w:rPr>
          <w:rFonts w:ascii="Cambria" w:hAnsi="Cambria"/>
          <w:sz w:val="22"/>
          <w:szCs w:val="22"/>
          <w:lang w:val="es-ES"/>
        </w:rPr>
      </w:pPr>
    </w:p>
    <w:p w14:paraId="6820FADA" w14:textId="77777777" w:rsidR="005128E4" w:rsidRPr="00C2052D" w:rsidRDefault="005128E4" w:rsidP="00040C3A">
      <w:pPr>
        <w:tabs>
          <w:tab w:val="center" w:pos="5400"/>
        </w:tabs>
        <w:suppressAutoHyphens/>
        <w:jc w:val="center"/>
        <w:rPr>
          <w:rFonts w:ascii="Cambria" w:hAnsi="Cambria"/>
          <w:sz w:val="22"/>
          <w:szCs w:val="22"/>
          <w:lang w:val="es-ES"/>
        </w:rPr>
      </w:pPr>
    </w:p>
    <w:p w14:paraId="54445A55" w14:textId="77777777" w:rsidR="00040C3A" w:rsidRPr="00C2052D" w:rsidRDefault="00040C3A" w:rsidP="00040C3A">
      <w:pPr>
        <w:tabs>
          <w:tab w:val="center" w:pos="5400"/>
        </w:tabs>
        <w:suppressAutoHyphens/>
        <w:jc w:val="center"/>
        <w:rPr>
          <w:rFonts w:ascii="Cambria" w:hAnsi="Cambria"/>
          <w:sz w:val="22"/>
          <w:szCs w:val="22"/>
          <w:lang w:val="es-ES"/>
        </w:rPr>
      </w:pPr>
    </w:p>
    <w:p w14:paraId="5D4A4040" w14:textId="77777777" w:rsidR="00040C3A" w:rsidRPr="00C2052D" w:rsidRDefault="00040C3A" w:rsidP="00040C3A">
      <w:pPr>
        <w:tabs>
          <w:tab w:val="center" w:pos="5400"/>
        </w:tabs>
        <w:suppressAutoHyphens/>
        <w:jc w:val="center"/>
        <w:rPr>
          <w:rFonts w:ascii="Cambria" w:hAnsi="Cambria"/>
          <w:sz w:val="22"/>
          <w:szCs w:val="22"/>
          <w:lang w:val="es-ES"/>
        </w:rPr>
      </w:pPr>
    </w:p>
    <w:p w14:paraId="048FBB22" w14:textId="77777777" w:rsidR="00A50FCF" w:rsidRPr="00C2052D" w:rsidRDefault="00A50FCF" w:rsidP="00040C3A">
      <w:pPr>
        <w:tabs>
          <w:tab w:val="center" w:pos="5400"/>
        </w:tabs>
        <w:suppressAutoHyphens/>
        <w:jc w:val="center"/>
        <w:rPr>
          <w:rFonts w:ascii="Cambria" w:hAnsi="Cambria"/>
          <w:sz w:val="18"/>
          <w:szCs w:val="22"/>
          <w:lang w:val="es-ES"/>
        </w:rPr>
      </w:pPr>
    </w:p>
    <w:p w14:paraId="190ABFB3" w14:textId="77777777" w:rsidR="00A50FCF" w:rsidRPr="00C2052D" w:rsidRDefault="00A50FCF" w:rsidP="00040C3A">
      <w:pPr>
        <w:tabs>
          <w:tab w:val="center" w:pos="5400"/>
        </w:tabs>
        <w:suppressAutoHyphens/>
        <w:jc w:val="center"/>
        <w:rPr>
          <w:rFonts w:ascii="Cambria" w:hAnsi="Cambria"/>
          <w:sz w:val="18"/>
          <w:szCs w:val="22"/>
          <w:lang w:val="es-ES"/>
        </w:rPr>
      </w:pPr>
    </w:p>
    <w:p w14:paraId="4C690048" w14:textId="77777777" w:rsidR="00A50FCF" w:rsidRPr="00C2052D" w:rsidRDefault="00A50FCF" w:rsidP="00040C3A">
      <w:pPr>
        <w:tabs>
          <w:tab w:val="center" w:pos="5400"/>
        </w:tabs>
        <w:suppressAutoHyphens/>
        <w:jc w:val="center"/>
        <w:rPr>
          <w:rFonts w:ascii="Cambria" w:hAnsi="Cambria"/>
          <w:sz w:val="18"/>
          <w:szCs w:val="22"/>
          <w:lang w:val="es-ES"/>
        </w:rPr>
      </w:pPr>
    </w:p>
    <w:p w14:paraId="733CA438" w14:textId="77777777" w:rsidR="00A50FCF" w:rsidRPr="00C2052D" w:rsidRDefault="00A50FCF" w:rsidP="00040C3A">
      <w:pPr>
        <w:tabs>
          <w:tab w:val="center" w:pos="5400"/>
        </w:tabs>
        <w:suppressAutoHyphens/>
        <w:jc w:val="center"/>
        <w:rPr>
          <w:rFonts w:ascii="Cambria" w:hAnsi="Cambria"/>
          <w:sz w:val="18"/>
          <w:szCs w:val="22"/>
          <w:lang w:val="es-ES"/>
        </w:rPr>
      </w:pPr>
    </w:p>
    <w:p w14:paraId="7874DEEB" w14:textId="77777777" w:rsidR="00A50FCF" w:rsidRPr="00C2052D" w:rsidRDefault="00A50FCF" w:rsidP="00040C3A">
      <w:pPr>
        <w:tabs>
          <w:tab w:val="center" w:pos="5400"/>
        </w:tabs>
        <w:suppressAutoHyphens/>
        <w:jc w:val="center"/>
        <w:rPr>
          <w:rFonts w:ascii="Cambria" w:hAnsi="Cambria"/>
          <w:sz w:val="18"/>
          <w:szCs w:val="22"/>
          <w:lang w:val="es-ES"/>
        </w:rPr>
      </w:pPr>
    </w:p>
    <w:p w14:paraId="3698D0D6" w14:textId="77777777" w:rsidR="00A50FCF" w:rsidRPr="00C2052D" w:rsidRDefault="00A50FCF" w:rsidP="00040C3A">
      <w:pPr>
        <w:tabs>
          <w:tab w:val="center" w:pos="5400"/>
        </w:tabs>
        <w:suppressAutoHyphens/>
        <w:jc w:val="center"/>
        <w:rPr>
          <w:rFonts w:ascii="Cambria" w:hAnsi="Cambria"/>
          <w:sz w:val="18"/>
          <w:szCs w:val="22"/>
          <w:lang w:val="es-ES"/>
        </w:rPr>
      </w:pPr>
    </w:p>
    <w:p w14:paraId="1F907823" w14:textId="77777777" w:rsidR="00A50FCF" w:rsidRPr="00C2052D" w:rsidRDefault="00A50FCF" w:rsidP="00040C3A">
      <w:pPr>
        <w:tabs>
          <w:tab w:val="center" w:pos="5400"/>
        </w:tabs>
        <w:suppressAutoHyphens/>
        <w:jc w:val="center"/>
        <w:rPr>
          <w:rFonts w:ascii="Cambria" w:hAnsi="Cambria"/>
          <w:sz w:val="18"/>
          <w:szCs w:val="22"/>
          <w:lang w:val="es-ES"/>
        </w:rPr>
      </w:pPr>
    </w:p>
    <w:p w14:paraId="045D9AC1" w14:textId="77777777" w:rsidR="00A50FCF" w:rsidRPr="00C2052D" w:rsidRDefault="00A50FCF" w:rsidP="00040C3A">
      <w:pPr>
        <w:tabs>
          <w:tab w:val="center" w:pos="5400"/>
        </w:tabs>
        <w:suppressAutoHyphens/>
        <w:jc w:val="center"/>
        <w:rPr>
          <w:rFonts w:ascii="Cambria" w:hAnsi="Cambria"/>
          <w:sz w:val="18"/>
          <w:szCs w:val="22"/>
          <w:lang w:val="es-ES"/>
        </w:rPr>
      </w:pPr>
    </w:p>
    <w:p w14:paraId="16068EE5" w14:textId="77777777" w:rsidR="00A50FCF" w:rsidRPr="00C2052D" w:rsidRDefault="00A50FCF" w:rsidP="00040C3A">
      <w:pPr>
        <w:tabs>
          <w:tab w:val="center" w:pos="5400"/>
        </w:tabs>
        <w:suppressAutoHyphens/>
        <w:jc w:val="center"/>
        <w:rPr>
          <w:rFonts w:ascii="Cambria" w:hAnsi="Cambria"/>
          <w:sz w:val="18"/>
          <w:szCs w:val="22"/>
          <w:lang w:val="es-ES"/>
        </w:rPr>
      </w:pPr>
    </w:p>
    <w:p w14:paraId="14A4A430" w14:textId="77777777" w:rsidR="00A50FCF" w:rsidRPr="00C2052D" w:rsidRDefault="00A50FCF" w:rsidP="00040C3A">
      <w:pPr>
        <w:tabs>
          <w:tab w:val="center" w:pos="5400"/>
        </w:tabs>
        <w:suppressAutoHyphens/>
        <w:jc w:val="center"/>
        <w:rPr>
          <w:rFonts w:ascii="Cambria" w:hAnsi="Cambria"/>
          <w:sz w:val="18"/>
          <w:szCs w:val="22"/>
          <w:lang w:val="es-ES"/>
        </w:rPr>
      </w:pPr>
    </w:p>
    <w:p w14:paraId="0B3B735F" w14:textId="77777777" w:rsidR="00A50FCF" w:rsidRPr="00C2052D" w:rsidRDefault="00A50FCF" w:rsidP="00040C3A">
      <w:pPr>
        <w:tabs>
          <w:tab w:val="center" w:pos="5400"/>
        </w:tabs>
        <w:suppressAutoHyphens/>
        <w:jc w:val="center"/>
        <w:rPr>
          <w:rFonts w:ascii="Cambria" w:hAnsi="Cambria"/>
          <w:sz w:val="18"/>
          <w:szCs w:val="22"/>
          <w:lang w:val="es-ES"/>
        </w:rPr>
      </w:pPr>
    </w:p>
    <w:p w14:paraId="02C5C441" w14:textId="77777777" w:rsidR="00A50FCF" w:rsidRPr="00C2052D" w:rsidRDefault="00A50FCF" w:rsidP="00040C3A">
      <w:pPr>
        <w:tabs>
          <w:tab w:val="center" w:pos="5400"/>
        </w:tabs>
        <w:suppressAutoHyphens/>
        <w:jc w:val="center"/>
        <w:rPr>
          <w:rFonts w:ascii="Cambria" w:hAnsi="Cambria"/>
          <w:sz w:val="18"/>
          <w:szCs w:val="22"/>
          <w:lang w:val="es-ES"/>
        </w:rPr>
      </w:pPr>
    </w:p>
    <w:p w14:paraId="7806A2B0" w14:textId="77777777" w:rsidR="00A50FCF" w:rsidRPr="00C2052D" w:rsidRDefault="00A50FCF" w:rsidP="00040C3A">
      <w:pPr>
        <w:tabs>
          <w:tab w:val="center" w:pos="5400"/>
        </w:tabs>
        <w:suppressAutoHyphens/>
        <w:jc w:val="center"/>
        <w:rPr>
          <w:rFonts w:ascii="Cambria" w:hAnsi="Cambria"/>
          <w:sz w:val="18"/>
          <w:szCs w:val="22"/>
          <w:lang w:val="es-ES"/>
        </w:rPr>
      </w:pPr>
    </w:p>
    <w:p w14:paraId="319C392B" w14:textId="77777777" w:rsidR="00A50FCF" w:rsidRPr="00C2052D" w:rsidRDefault="00A50FCF" w:rsidP="00040C3A">
      <w:pPr>
        <w:tabs>
          <w:tab w:val="center" w:pos="5400"/>
        </w:tabs>
        <w:suppressAutoHyphens/>
        <w:jc w:val="center"/>
        <w:rPr>
          <w:rFonts w:ascii="Cambria" w:hAnsi="Cambria"/>
          <w:sz w:val="18"/>
          <w:szCs w:val="22"/>
          <w:lang w:val="es-ES"/>
        </w:rPr>
      </w:pPr>
    </w:p>
    <w:p w14:paraId="514A0182" w14:textId="77777777" w:rsidR="00A50FCF" w:rsidRPr="00C2052D" w:rsidRDefault="0090270B" w:rsidP="00040C3A">
      <w:pPr>
        <w:tabs>
          <w:tab w:val="center" w:pos="5400"/>
        </w:tabs>
        <w:suppressAutoHyphens/>
        <w:jc w:val="center"/>
        <w:rPr>
          <w:rFonts w:ascii="Cambria" w:hAnsi="Cambria"/>
          <w:sz w:val="18"/>
          <w:szCs w:val="22"/>
          <w:lang w:val="es-ES"/>
        </w:rPr>
      </w:pPr>
      <w:r w:rsidRPr="00C2052D">
        <w:rPr>
          <w:rFonts w:ascii="Cambria" w:hAnsi="Cambria"/>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80021A1" w:rsidR="00F93785" w:rsidRPr="00890650" w:rsidRDefault="00F9378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 el</w:t>
                            </w:r>
                            <w:r w:rsidR="001B61B1">
                              <w:rPr>
                                <w:rFonts w:asciiTheme="majorHAnsi" w:hAnsiTheme="majorHAnsi"/>
                                <w:color w:val="0D0D0D" w:themeColor="text1" w:themeTint="F2"/>
                                <w:sz w:val="18"/>
                                <w:szCs w:val="22"/>
                                <w:lang w:val="es-ES"/>
                              </w:rPr>
                              <w:t xml:space="preserve"> 5 </w:t>
                            </w:r>
                            <w:r w:rsidRPr="00890650">
                              <w:rPr>
                                <w:rFonts w:asciiTheme="majorHAnsi" w:hAnsiTheme="majorHAnsi"/>
                                <w:color w:val="0D0D0D" w:themeColor="text1" w:themeTint="F2"/>
                                <w:sz w:val="18"/>
                                <w:szCs w:val="22"/>
                                <w:lang w:val="es-ES"/>
                              </w:rPr>
                              <w:t xml:space="preserve">de </w:t>
                            </w:r>
                            <w:r w:rsidR="001B61B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D461F1">
                              <w:rPr>
                                <w:rFonts w:asciiTheme="majorHAnsi" w:hAnsiTheme="majorHAnsi"/>
                                <w:color w:val="0D0D0D" w:themeColor="text1" w:themeTint="F2"/>
                                <w:sz w:val="18"/>
                                <w:szCs w:val="22"/>
                                <w:lang w:val="es-ES"/>
                              </w:rPr>
                              <w:t xml:space="preserve"> en San Salvador, El Salvador.</w:t>
                            </w:r>
                          </w:p>
                          <w:p w14:paraId="4BDF3581" w14:textId="77777777" w:rsidR="00F93785" w:rsidRPr="007A5817" w:rsidRDefault="00F9378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3785" w:rsidRPr="00167A34" w:rsidRDefault="00F9378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80021A1" w:rsidR="00F93785" w:rsidRPr="00890650" w:rsidRDefault="00F9378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 el</w:t>
                      </w:r>
                      <w:r w:rsidR="001B61B1">
                        <w:rPr>
                          <w:rFonts w:asciiTheme="majorHAnsi" w:hAnsiTheme="majorHAnsi"/>
                          <w:color w:val="0D0D0D" w:themeColor="text1" w:themeTint="F2"/>
                          <w:sz w:val="18"/>
                          <w:szCs w:val="22"/>
                          <w:lang w:val="es-ES"/>
                        </w:rPr>
                        <w:t xml:space="preserve"> 5 </w:t>
                      </w:r>
                      <w:r w:rsidRPr="00890650">
                        <w:rPr>
                          <w:rFonts w:asciiTheme="majorHAnsi" w:hAnsiTheme="majorHAnsi"/>
                          <w:color w:val="0D0D0D" w:themeColor="text1" w:themeTint="F2"/>
                          <w:sz w:val="18"/>
                          <w:szCs w:val="22"/>
                          <w:lang w:val="es-ES"/>
                        </w:rPr>
                        <w:t xml:space="preserve">de </w:t>
                      </w:r>
                      <w:r w:rsidR="001B61B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D461F1">
                        <w:rPr>
                          <w:rFonts w:asciiTheme="majorHAnsi" w:hAnsiTheme="majorHAnsi"/>
                          <w:color w:val="0D0D0D" w:themeColor="text1" w:themeTint="F2"/>
                          <w:sz w:val="18"/>
                          <w:szCs w:val="22"/>
                          <w:lang w:val="es-ES"/>
                        </w:rPr>
                        <w:t xml:space="preserve"> en San Salvador, El Salvador.</w:t>
                      </w:r>
                    </w:p>
                    <w:p w14:paraId="4BDF3581" w14:textId="77777777" w:rsidR="00F93785" w:rsidRPr="007A5817" w:rsidRDefault="00F9378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3785" w:rsidRPr="00167A34" w:rsidRDefault="00F9378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C2052D" w:rsidRDefault="00A50FCF" w:rsidP="00040C3A">
      <w:pPr>
        <w:tabs>
          <w:tab w:val="center" w:pos="5400"/>
        </w:tabs>
        <w:suppressAutoHyphens/>
        <w:jc w:val="center"/>
        <w:rPr>
          <w:rFonts w:ascii="Cambria" w:hAnsi="Cambria"/>
          <w:sz w:val="18"/>
          <w:szCs w:val="22"/>
          <w:lang w:val="es-ES"/>
        </w:rPr>
      </w:pPr>
    </w:p>
    <w:p w14:paraId="7929D1FD" w14:textId="77777777" w:rsidR="00A50FCF" w:rsidRPr="00C2052D" w:rsidRDefault="00A50FCF" w:rsidP="00040C3A">
      <w:pPr>
        <w:tabs>
          <w:tab w:val="center" w:pos="5400"/>
        </w:tabs>
        <w:suppressAutoHyphens/>
        <w:jc w:val="center"/>
        <w:rPr>
          <w:rFonts w:ascii="Cambria" w:hAnsi="Cambria"/>
          <w:sz w:val="18"/>
          <w:szCs w:val="22"/>
          <w:lang w:val="es-ES"/>
        </w:rPr>
      </w:pPr>
    </w:p>
    <w:p w14:paraId="5469D0BE" w14:textId="77777777" w:rsidR="00A50FCF" w:rsidRPr="00C2052D" w:rsidRDefault="00A50FCF" w:rsidP="00040C3A">
      <w:pPr>
        <w:tabs>
          <w:tab w:val="center" w:pos="5400"/>
        </w:tabs>
        <w:suppressAutoHyphens/>
        <w:jc w:val="center"/>
        <w:rPr>
          <w:rFonts w:ascii="Cambria" w:hAnsi="Cambria"/>
          <w:sz w:val="18"/>
          <w:szCs w:val="22"/>
          <w:lang w:val="es-ES"/>
        </w:rPr>
      </w:pPr>
    </w:p>
    <w:p w14:paraId="7A79F059" w14:textId="77777777" w:rsidR="00A50FCF" w:rsidRPr="00C2052D" w:rsidRDefault="00A50FCF" w:rsidP="00040C3A">
      <w:pPr>
        <w:tabs>
          <w:tab w:val="center" w:pos="5400"/>
        </w:tabs>
        <w:suppressAutoHyphens/>
        <w:jc w:val="center"/>
        <w:rPr>
          <w:rFonts w:ascii="Cambria" w:hAnsi="Cambria"/>
          <w:sz w:val="18"/>
          <w:szCs w:val="22"/>
          <w:lang w:val="es-ES"/>
        </w:rPr>
      </w:pPr>
    </w:p>
    <w:p w14:paraId="330672AE" w14:textId="77777777" w:rsidR="00A50FCF" w:rsidRPr="00C2052D" w:rsidRDefault="0090270B" w:rsidP="00040C3A">
      <w:pPr>
        <w:tabs>
          <w:tab w:val="center" w:pos="5400"/>
        </w:tabs>
        <w:suppressAutoHyphens/>
        <w:jc w:val="center"/>
        <w:rPr>
          <w:rFonts w:ascii="Cambria" w:hAnsi="Cambria"/>
          <w:sz w:val="18"/>
          <w:szCs w:val="22"/>
          <w:lang w:val="es-ES"/>
        </w:rPr>
      </w:pPr>
      <w:r w:rsidRPr="00C2052D">
        <w:rPr>
          <w:rFonts w:ascii="Cambria" w:hAnsi="Cambria"/>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8408600" w:rsidR="00F93785" w:rsidRPr="007B05C4" w:rsidRDefault="00F9378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B61B1" w:rsidRPr="001B61B1">
                              <w:rPr>
                                <w:rFonts w:asciiTheme="majorHAnsi" w:hAnsiTheme="majorHAnsi"/>
                                <w:color w:val="595959" w:themeColor="text1" w:themeTint="A6"/>
                                <w:sz w:val="18"/>
                                <w:szCs w:val="18"/>
                                <w:lang w:val="pt-BR"/>
                              </w:rPr>
                              <w:t>182</w:t>
                            </w:r>
                            <w:r w:rsidRPr="001B61B1">
                              <w:rPr>
                                <w:rFonts w:asciiTheme="majorHAnsi" w:hAnsiTheme="majorHAnsi"/>
                                <w:color w:val="595959" w:themeColor="text1" w:themeTint="A6"/>
                                <w:sz w:val="18"/>
                                <w:szCs w:val="18"/>
                                <w:lang w:val="pt-BR"/>
                              </w:rPr>
                              <w:t>/</w:t>
                            </w:r>
                            <w:r w:rsidR="001B61B1" w:rsidRPr="001B61B1">
                              <w:rPr>
                                <w:rFonts w:asciiTheme="majorHAnsi" w:hAnsiTheme="majorHAnsi"/>
                                <w:color w:val="595959" w:themeColor="text1" w:themeTint="A6"/>
                                <w:sz w:val="18"/>
                                <w:szCs w:val="18"/>
                                <w:lang w:val="pt-BR"/>
                              </w:rPr>
                              <w:t>19</w:t>
                            </w:r>
                            <w:r w:rsidRPr="001B61B1">
                              <w:rPr>
                                <w:rFonts w:asciiTheme="majorHAnsi" w:hAnsiTheme="majorHAnsi"/>
                                <w:color w:val="595959" w:themeColor="text1" w:themeTint="A6"/>
                                <w:sz w:val="18"/>
                                <w:szCs w:val="18"/>
                                <w:lang w:val="pt-BR"/>
                              </w:rPr>
                              <w:t xml:space="preserve">. </w:t>
                            </w:r>
                            <w:r w:rsidR="00D461F1">
                              <w:rPr>
                                <w:rFonts w:asciiTheme="majorHAnsi" w:hAnsiTheme="majorHAnsi"/>
                                <w:color w:val="595959" w:themeColor="text1" w:themeTint="A6"/>
                                <w:sz w:val="18"/>
                                <w:szCs w:val="18"/>
                                <w:lang w:val="pt-BR"/>
                              </w:rPr>
                              <w:t xml:space="preserve"> Petición 308-10. </w:t>
                            </w:r>
                            <w:r w:rsidR="00743A4E">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743A4E" w:rsidRPr="00743A4E">
                              <w:rPr>
                                <w:rFonts w:asciiTheme="majorHAnsi" w:hAnsiTheme="majorHAnsi"/>
                                <w:color w:val="595959" w:themeColor="text1" w:themeTint="A6"/>
                                <w:sz w:val="18"/>
                                <w:szCs w:val="18"/>
                                <w:lang w:val="es-ES_tradnl"/>
                              </w:rPr>
                              <w:t xml:space="preserve">Roberto Antonio </w:t>
                            </w:r>
                            <w:proofErr w:type="spellStart"/>
                            <w:r w:rsidR="00743A4E" w:rsidRPr="00743A4E">
                              <w:rPr>
                                <w:rFonts w:asciiTheme="majorHAnsi" w:hAnsiTheme="majorHAnsi"/>
                                <w:color w:val="595959" w:themeColor="text1" w:themeTint="A6"/>
                                <w:sz w:val="18"/>
                                <w:szCs w:val="18"/>
                                <w:lang w:val="es-ES_tradnl"/>
                              </w:rPr>
                              <w:t>Gallangos</w:t>
                            </w:r>
                            <w:proofErr w:type="spellEnd"/>
                            <w:r w:rsidR="00743A4E" w:rsidRPr="00743A4E">
                              <w:rPr>
                                <w:rFonts w:asciiTheme="majorHAnsi" w:hAnsiTheme="majorHAnsi"/>
                                <w:color w:val="595959" w:themeColor="text1" w:themeTint="A6"/>
                                <w:sz w:val="18"/>
                                <w:szCs w:val="18"/>
                                <w:lang w:val="es-ES_tradnl"/>
                              </w:rPr>
                              <w:t xml:space="preserve"> Cruz y otros</w:t>
                            </w:r>
                            <w:r w:rsidRPr="00890650">
                              <w:rPr>
                                <w:rFonts w:asciiTheme="majorHAnsi" w:hAnsiTheme="majorHAnsi"/>
                                <w:color w:val="595959" w:themeColor="text1" w:themeTint="A6"/>
                                <w:sz w:val="18"/>
                                <w:szCs w:val="18"/>
                                <w:lang w:val="es-ES_tradnl"/>
                              </w:rPr>
                              <w:t xml:space="preserve">. </w:t>
                            </w:r>
                            <w:r w:rsidR="00743A4E">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B61B1">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8408600" w:rsidR="00F93785" w:rsidRPr="007B05C4" w:rsidRDefault="00F9378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B61B1" w:rsidRPr="001B61B1">
                        <w:rPr>
                          <w:rFonts w:asciiTheme="majorHAnsi" w:hAnsiTheme="majorHAnsi"/>
                          <w:color w:val="595959" w:themeColor="text1" w:themeTint="A6"/>
                          <w:sz w:val="18"/>
                          <w:szCs w:val="18"/>
                          <w:lang w:val="pt-BR"/>
                        </w:rPr>
                        <w:t>182</w:t>
                      </w:r>
                      <w:r w:rsidRPr="001B61B1">
                        <w:rPr>
                          <w:rFonts w:asciiTheme="majorHAnsi" w:hAnsiTheme="majorHAnsi"/>
                          <w:color w:val="595959" w:themeColor="text1" w:themeTint="A6"/>
                          <w:sz w:val="18"/>
                          <w:szCs w:val="18"/>
                          <w:lang w:val="pt-BR"/>
                        </w:rPr>
                        <w:t>/</w:t>
                      </w:r>
                      <w:r w:rsidR="001B61B1" w:rsidRPr="001B61B1">
                        <w:rPr>
                          <w:rFonts w:asciiTheme="majorHAnsi" w:hAnsiTheme="majorHAnsi"/>
                          <w:color w:val="595959" w:themeColor="text1" w:themeTint="A6"/>
                          <w:sz w:val="18"/>
                          <w:szCs w:val="18"/>
                          <w:lang w:val="pt-BR"/>
                        </w:rPr>
                        <w:t>19</w:t>
                      </w:r>
                      <w:r w:rsidRPr="001B61B1">
                        <w:rPr>
                          <w:rFonts w:asciiTheme="majorHAnsi" w:hAnsiTheme="majorHAnsi"/>
                          <w:color w:val="595959" w:themeColor="text1" w:themeTint="A6"/>
                          <w:sz w:val="18"/>
                          <w:szCs w:val="18"/>
                          <w:lang w:val="pt-BR"/>
                        </w:rPr>
                        <w:t xml:space="preserve">. </w:t>
                      </w:r>
                      <w:r w:rsidR="00D461F1">
                        <w:rPr>
                          <w:rFonts w:asciiTheme="majorHAnsi" w:hAnsiTheme="majorHAnsi"/>
                          <w:color w:val="595959" w:themeColor="text1" w:themeTint="A6"/>
                          <w:sz w:val="18"/>
                          <w:szCs w:val="18"/>
                          <w:lang w:val="pt-BR"/>
                        </w:rPr>
                        <w:t xml:space="preserve"> Petición 308-10. </w:t>
                      </w:r>
                      <w:r w:rsidR="00743A4E">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743A4E" w:rsidRPr="00743A4E">
                        <w:rPr>
                          <w:rFonts w:asciiTheme="majorHAnsi" w:hAnsiTheme="majorHAnsi"/>
                          <w:color w:val="595959" w:themeColor="text1" w:themeTint="A6"/>
                          <w:sz w:val="18"/>
                          <w:szCs w:val="18"/>
                          <w:lang w:val="es-ES_tradnl"/>
                        </w:rPr>
                        <w:t xml:space="preserve">Roberto Antonio </w:t>
                      </w:r>
                      <w:proofErr w:type="spellStart"/>
                      <w:r w:rsidR="00743A4E" w:rsidRPr="00743A4E">
                        <w:rPr>
                          <w:rFonts w:asciiTheme="majorHAnsi" w:hAnsiTheme="majorHAnsi"/>
                          <w:color w:val="595959" w:themeColor="text1" w:themeTint="A6"/>
                          <w:sz w:val="18"/>
                          <w:szCs w:val="18"/>
                          <w:lang w:val="es-ES_tradnl"/>
                        </w:rPr>
                        <w:t>Gallangos</w:t>
                      </w:r>
                      <w:proofErr w:type="spellEnd"/>
                      <w:r w:rsidR="00743A4E" w:rsidRPr="00743A4E">
                        <w:rPr>
                          <w:rFonts w:asciiTheme="majorHAnsi" w:hAnsiTheme="majorHAnsi"/>
                          <w:color w:val="595959" w:themeColor="text1" w:themeTint="A6"/>
                          <w:sz w:val="18"/>
                          <w:szCs w:val="18"/>
                          <w:lang w:val="es-ES_tradnl"/>
                        </w:rPr>
                        <w:t xml:space="preserve"> Cruz y otros</w:t>
                      </w:r>
                      <w:r w:rsidRPr="00890650">
                        <w:rPr>
                          <w:rFonts w:asciiTheme="majorHAnsi" w:hAnsiTheme="majorHAnsi"/>
                          <w:color w:val="595959" w:themeColor="text1" w:themeTint="A6"/>
                          <w:sz w:val="18"/>
                          <w:szCs w:val="18"/>
                          <w:lang w:val="es-ES_tradnl"/>
                        </w:rPr>
                        <w:t xml:space="preserve">. </w:t>
                      </w:r>
                      <w:r w:rsidR="00743A4E">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B61B1">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C2052D" w:rsidRDefault="00A50FCF" w:rsidP="00040C3A">
      <w:pPr>
        <w:tabs>
          <w:tab w:val="center" w:pos="5400"/>
        </w:tabs>
        <w:suppressAutoHyphens/>
        <w:jc w:val="center"/>
        <w:rPr>
          <w:rFonts w:ascii="Cambria" w:hAnsi="Cambria"/>
          <w:sz w:val="18"/>
          <w:szCs w:val="22"/>
          <w:lang w:val="es-ES"/>
        </w:rPr>
      </w:pPr>
    </w:p>
    <w:p w14:paraId="1DA07629" w14:textId="77777777" w:rsidR="0090270B" w:rsidRPr="00C2052D" w:rsidRDefault="00D306D1" w:rsidP="005516A1">
      <w:pPr>
        <w:tabs>
          <w:tab w:val="center" w:pos="5400"/>
        </w:tabs>
        <w:suppressAutoHyphens/>
        <w:jc w:val="center"/>
        <w:rPr>
          <w:rFonts w:ascii="Cambria" w:hAnsi="Cambria"/>
          <w:b/>
          <w:sz w:val="20"/>
          <w:lang w:val="es-ES"/>
        </w:rPr>
      </w:pPr>
      <w:r w:rsidRPr="00C2052D">
        <w:rPr>
          <w:rFonts w:ascii="Cambria" w:hAnsi="Cambria"/>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93785" w:rsidRPr="00D72DC6" w:rsidRDefault="00F9378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93785" w:rsidRPr="00D72DC6" w:rsidRDefault="00F9378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C2052D">
        <w:rPr>
          <w:rFonts w:ascii="Cambria" w:hAnsi="Cambria"/>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93785" w:rsidRPr="004B7EB6" w:rsidRDefault="00F9378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93785" w:rsidRPr="004B7EB6" w:rsidRDefault="00F9378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C2052D" w:rsidRDefault="004A6A54" w:rsidP="005516A1">
      <w:pPr>
        <w:tabs>
          <w:tab w:val="center" w:pos="5400"/>
        </w:tabs>
        <w:suppressAutoHyphens/>
        <w:jc w:val="center"/>
        <w:rPr>
          <w:rFonts w:ascii="Cambria" w:hAnsi="Cambria"/>
          <w:b/>
          <w:sz w:val="20"/>
          <w:lang w:val="es-ES"/>
        </w:rPr>
        <w:sectPr w:rsidR="0070697F" w:rsidRPr="00C2052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C2052D">
        <w:rPr>
          <w:rFonts w:ascii="Cambria" w:hAnsi="Cambria"/>
          <w:b/>
          <w:sz w:val="20"/>
          <w:lang w:val="es-ES"/>
        </w:rPr>
        <w:tab/>
      </w:r>
    </w:p>
    <w:p w14:paraId="376DDC8B" w14:textId="77777777" w:rsidR="003239B8" w:rsidRPr="00C2052D" w:rsidRDefault="003239B8" w:rsidP="007C402A">
      <w:pPr>
        <w:spacing w:after="120"/>
        <w:ind w:firstLine="720"/>
        <w:jc w:val="both"/>
        <w:rPr>
          <w:rFonts w:ascii="Cambria" w:hAnsi="Cambria"/>
          <w:b/>
          <w:bCs/>
          <w:sz w:val="20"/>
          <w:szCs w:val="20"/>
          <w:lang w:val="es-ES"/>
        </w:rPr>
      </w:pPr>
      <w:r w:rsidRPr="00C2052D">
        <w:rPr>
          <w:rFonts w:ascii="Cambria" w:hAnsi="Cambria"/>
          <w:b/>
          <w:bCs/>
          <w:sz w:val="20"/>
          <w:szCs w:val="20"/>
          <w:lang w:val="es-ES"/>
        </w:rPr>
        <w:lastRenderedPageBreak/>
        <w:t>I.</w:t>
      </w:r>
      <w:r w:rsidRPr="00C2052D">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315C3F"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C2052D" w:rsidRDefault="00D77503"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Parte peticionaria</w:t>
            </w:r>
          </w:p>
        </w:tc>
        <w:tc>
          <w:tcPr>
            <w:tcW w:w="6570" w:type="dxa"/>
            <w:vAlign w:val="center"/>
          </w:tcPr>
          <w:p w14:paraId="3C5315D8" w14:textId="545ACA3F" w:rsidR="003239B8" w:rsidRPr="00C2052D" w:rsidRDefault="00D66CD9" w:rsidP="007E6688">
            <w:pPr>
              <w:jc w:val="both"/>
              <w:rPr>
                <w:rFonts w:ascii="Cambria" w:hAnsi="Cambria"/>
                <w:bCs/>
                <w:sz w:val="19"/>
                <w:szCs w:val="19"/>
                <w:lang w:val="es-ES"/>
              </w:rPr>
            </w:pPr>
            <w:r w:rsidRPr="00C2052D">
              <w:rPr>
                <w:rFonts w:ascii="Cambria" w:hAnsi="Cambria"/>
                <w:bCs/>
                <w:sz w:val="19"/>
                <w:szCs w:val="19"/>
                <w:lang w:val="es-ES"/>
              </w:rPr>
              <w:t>Lu</w:t>
            </w:r>
            <w:r w:rsidR="00822D64" w:rsidRPr="00C2052D">
              <w:rPr>
                <w:rFonts w:ascii="Cambria" w:hAnsi="Cambria"/>
                <w:bCs/>
                <w:sz w:val="19"/>
                <w:szCs w:val="19"/>
                <w:lang w:val="es-ES"/>
              </w:rPr>
              <w:t>z</w:t>
            </w:r>
            <w:r w:rsidR="00135BF0" w:rsidRPr="00C2052D">
              <w:rPr>
                <w:rFonts w:ascii="Cambria" w:hAnsi="Cambria"/>
                <w:bCs/>
                <w:sz w:val="19"/>
                <w:szCs w:val="19"/>
                <w:lang w:val="es-ES"/>
              </w:rPr>
              <w:t xml:space="preserve"> Elba Gorostiola</w:t>
            </w:r>
            <w:r w:rsidRPr="00C2052D">
              <w:rPr>
                <w:rFonts w:ascii="Cambria" w:hAnsi="Cambria"/>
                <w:bCs/>
                <w:sz w:val="19"/>
                <w:szCs w:val="19"/>
                <w:lang w:val="es-ES"/>
              </w:rPr>
              <w:t xml:space="preserve"> Her</w:t>
            </w:r>
            <w:r w:rsidR="00C8050C" w:rsidRPr="00C2052D">
              <w:rPr>
                <w:rFonts w:ascii="Cambria" w:hAnsi="Cambria"/>
                <w:bCs/>
                <w:sz w:val="19"/>
                <w:szCs w:val="19"/>
                <w:lang w:val="es-ES"/>
              </w:rPr>
              <w:t>rera (Aleida Ga</w:t>
            </w:r>
            <w:r w:rsidR="007C2363" w:rsidRPr="00C2052D">
              <w:rPr>
                <w:rFonts w:ascii="Cambria" w:hAnsi="Cambria"/>
                <w:bCs/>
                <w:sz w:val="19"/>
                <w:szCs w:val="19"/>
                <w:lang w:val="es-ES"/>
              </w:rPr>
              <w:t>llangos Vargas), José</w:t>
            </w:r>
            <w:r w:rsidR="00C8050C" w:rsidRPr="00C2052D">
              <w:rPr>
                <w:rFonts w:ascii="Cambria" w:hAnsi="Cambria"/>
                <w:bCs/>
                <w:sz w:val="19"/>
                <w:szCs w:val="19"/>
                <w:lang w:val="es-ES"/>
              </w:rPr>
              <w:t xml:space="preserve"> González Ruiz</w:t>
            </w:r>
            <w:r w:rsidR="002B6B9D" w:rsidRPr="00C2052D">
              <w:rPr>
                <w:rFonts w:ascii="Cambria" w:hAnsi="Cambria"/>
                <w:bCs/>
                <w:sz w:val="19"/>
                <w:szCs w:val="19"/>
                <w:lang w:val="es-ES"/>
              </w:rPr>
              <w:t>, Quirina Cruz Calvo, Centro de Derechos Humanos Asesoría Pueblos Indígenas</w:t>
            </w:r>
            <w:r w:rsidR="007E6688">
              <w:rPr>
                <w:rFonts w:ascii="Cambria" w:hAnsi="Cambria"/>
                <w:bCs/>
                <w:sz w:val="19"/>
                <w:szCs w:val="19"/>
                <w:lang w:val="es-ES"/>
              </w:rPr>
              <w:t xml:space="preserve"> </w:t>
            </w:r>
            <w:r w:rsidR="00C8050C" w:rsidRPr="00C2052D">
              <w:rPr>
                <w:rFonts w:ascii="Cambria" w:hAnsi="Cambria"/>
                <w:bCs/>
                <w:sz w:val="19"/>
                <w:szCs w:val="19"/>
                <w:lang w:val="es-ES"/>
              </w:rPr>
              <w:t>y Documenta, Análisis y Acción para la Justicia Social</w:t>
            </w:r>
          </w:p>
        </w:tc>
      </w:tr>
      <w:tr w:rsidR="003239B8" w:rsidRPr="00315C3F"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C2052D" w:rsidRDefault="002355A9"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Presunta víctima</w:t>
            </w:r>
          </w:p>
        </w:tc>
        <w:tc>
          <w:tcPr>
            <w:tcW w:w="6570" w:type="dxa"/>
            <w:vAlign w:val="center"/>
          </w:tcPr>
          <w:p w14:paraId="4AEBF59E" w14:textId="7829F8FA" w:rsidR="003239B8" w:rsidRPr="00C2052D" w:rsidRDefault="008A7885" w:rsidP="00E50EDC">
            <w:pPr>
              <w:jc w:val="both"/>
              <w:rPr>
                <w:rFonts w:ascii="Cambria" w:hAnsi="Cambria"/>
                <w:bCs/>
                <w:sz w:val="19"/>
                <w:szCs w:val="19"/>
                <w:lang w:val="es-ES_tradnl"/>
              </w:rPr>
            </w:pPr>
            <w:r w:rsidRPr="00C2052D">
              <w:rPr>
                <w:rFonts w:ascii="Cambria" w:hAnsi="Cambria"/>
                <w:bCs/>
                <w:sz w:val="19"/>
                <w:szCs w:val="19"/>
                <w:lang w:val="es-ES_tradnl"/>
              </w:rPr>
              <w:t xml:space="preserve">Roberto Antonio Gallangos Cruz </w:t>
            </w:r>
            <w:r w:rsidR="009F1029" w:rsidRPr="00C2052D">
              <w:rPr>
                <w:rFonts w:ascii="Cambria" w:hAnsi="Cambria"/>
                <w:bCs/>
                <w:sz w:val="19"/>
                <w:szCs w:val="19"/>
                <w:lang w:val="es-ES_tradnl"/>
              </w:rPr>
              <w:t>y o</w:t>
            </w:r>
            <w:r w:rsidRPr="00C2052D">
              <w:rPr>
                <w:rFonts w:ascii="Cambria" w:hAnsi="Cambria"/>
                <w:bCs/>
                <w:sz w:val="19"/>
                <w:szCs w:val="19"/>
                <w:lang w:val="es-ES_tradnl"/>
              </w:rPr>
              <w:t>tros</w:t>
            </w:r>
            <w:r w:rsidRPr="00C2052D">
              <w:rPr>
                <w:rStyle w:val="FootnoteReference"/>
                <w:rFonts w:ascii="Cambria" w:hAnsi="Cambria"/>
                <w:bCs/>
                <w:sz w:val="19"/>
                <w:szCs w:val="19"/>
                <w:lang w:val="es-ES_tradnl"/>
              </w:rPr>
              <w:footnoteReference w:id="2"/>
            </w:r>
            <w:r w:rsidR="009F1029" w:rsidRPr="00C2052D">
              <w:rPr>
                <w:rFonts w:ascii="Cambria" w:hAnsi="Cambria"/>
                <w:bCs/>
                <w:sz w:val="19"/>
                <w:szCs w:val="19"/>
                <w:lang w:val="es-ES_tradnl"/>
              </w:rPr>
              <w:t xml:space="preserve"> </w:t>
            </w:r>
          </w:p>
        </w:tc>
      </w:tr>
      <w:tr w:rsidR="003239B8" w:rsidRPr="00D3562F"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C2052D" w:rsidRDefault="00D77503"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Estado denunciado</w:t>
            </w:r>
          </w:p>
        </w:tc>
        <w:tc>
          <w:tcPr>
            <w:tcW w:w="6570" w:type="dxa"/>
            <w:vAlign w:val="center"/>
          </w:tcPr>
          <w:p w14:paraId="274C8A50" w14:textId="688DCB00" w:rsidR="003239B8" w:rsidRPr="00C2052D" w:rsidRDefault="00D66CD9" w:rsidP="00D66CD9">
            <w:pPr>
              <w:jc w:val="both"/>
              <w:rPr>
                <w:rFonts w:ascii="Cambria" w:hAnsi="Cambria"/>
                <w:bCs/>
                <w:sz w:val="19"/>
                <w:szCs w:val="19"/>
                <w:lang w:val="es-ES"/>
              </w:rPr>
            </w:pPr>
            <w:r w:rsidRPr="00C2052D">
              <w:rPr>
                <w:rFonts w:ascii="Cambria" w:hAnsi="Cambria"/>
                <w:bCs/>
                <w:sz w:val="19"/>
                <w:szCs w:val="19"/>
                <w:lang w:val="es-ES"/>
              </w:rPr>
              <w:t>México</w:t>
            </w:r>
            <w:r w:rsidRPr="00C2052D">
              <w:rPr>
                <w:rStyle w:val="FootnoteReference"/>
                <w:rFonts w:ascii="Cambria" w:hAnsi="Cambria"/>
                <w:bCs/>
                <w:sz w:val="19"/>
                <w:szCs w:val="19"/>
                <w:lang w:val="es-ES"/>
              </w:rPr>
              <w:footnoteReference w:id="3"/>
            </w:r>
          </w:p>
        </w:tc>
      </w:tr>
      <w:tr w:rsidR="00223A29" w:rsidRPr="00315C3F"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C2052D" w:rsidRDefault="001B3A00" w:rsidP="00E4118C">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 xml:space="preserve">Derechos </w:t>
            </w:r>
            <w:r w:rsidR="00E4118C" w:rsidRPr="00C2052D">
              <w:rPr>
                <w:rFonts w:ascii="Cambria" w:hAnsi="Cambria"/>
                <w:bCs/>
                <w:color w:val="FFFFFF" w:themeColor="background1"/>
                <w:sz w:val="19"/>
                <w:szCs w:val="19"/>
                <w:lang w:val="es-ES"/>
              </w:rPr>
              <w:t>invocados</w:t>
            </w:r>
          </w:p>
        </w:tc>
        <w:tc>
          <w:tcPr>
            <w:tcW w:w="6570" w:type="dxa"/>
            <w:vAlign w:val="center"/>
          </w:tcPr>
          <w:p w14:paraId="6DEE1EEB" w14:textId="3A0DC288" w:rsidR="00223A29" w:rsidRPr="00C2052D" w:rsidRDefault="009F1029" w:rsidP="007E6688">
            <w:pPr>
              <w:jc w:val="both"/>
              <w:rPr>
                <w:rFonts w:ascii="Cambria" w:hAnsi="Cambria"/>
                <w:bCs/>
                <w:sz w:val="19"/>
                <w:szCs w:val="19"/>
                <w:lang w:val="es-ES"/>
              </w:rPr>
            </w:pPr>
            <w:r w:rsidRPr="00C2052D">
              <w:rPr>
                <w:rFonts w:ascii="Cambria" w:hAnsi="Cambria"/>
                <w:bCs/>
                <w:sz w:val="19"/>
                <w:szCs w:val="19"/>
                <w:lang w:val="es-ES"/>
              </w:rPr>
              <w:t>Artículos 3 (reconocimiento de p</w:t>
            </w:r>
            <w:r w:rsidR="0081628A" w:rsidRPr="00C2052D">
              <w:rPr>
                <w:rFonts w:ascii="Cambria" w:hAnsi="Cambria"/>
                <w:bCs/>
                <w:sz w:val="19"/>
                <w:szCs w:val="19"/>
                <w:lang w:val="es-ES"/>
              </w:rPr>
              <w:t xml:space="preserve">ersonalidad </w:t>
            </w:r>
            <w:r w:rsidRPr="00C2052D">
              <w:rPr>
                <w:rFonts w:ascii="Cambria" w:hAnsi="Cambria"/>
                <w:bCs/>
                <w:sz w:val="19"/>
                <w:szCs w:val="19"/>
                <w:lang w:val="es-ES"/>
              </w:rPr>
              <w:t>j</w:t>
            </w:r>
            <w:r w:rsidR="0081628A" w:rsidRPr="00C2052D">
              <w:rPr>
                <w:rFonts w:ascii="Cambria" w:hAnsi="Cambria"/>
                <w:bCs/>
                <w:sz w:val="19"/>
                <w:szCs w:val="19"/>
                <w:lang w:val="es-ES"/>
              </w:rPr>
              <w:t xml:space="preserve">urídica), </w:t>
            </w:r>
            <w:r w:rsidR="00491ECA" w:rsidRPr="00C2052D">
              <w:rPr>
                <w:rFonts w:ascii="Cambria" w:hAnsi="Cambria"/>
                <w:bCs/>
                <w:sz w:val="19"/>
                <w:szCs w:val="19"/>
                <w:lang w:val="es-ES"/>
              </w:rPr>
              <w:t>4 (vida)</w:t>
            </w:r>
            <w:r w:rsidR="0081628A" w:rsidRPr="00C2052D">
              <w:rPr>
                <w:rFonts w:ascii="Cambria" w:hAnsi="Cambria"/>
                <w:bCs/>
                <w:sz w:val="19"/>
                <w:szCs w:val="19"/>
                <w:lang w:val="es-ES"/>
              </w:rPr>
              <w:t>, 5 (integridad personal), 7 (libertad personal), 8 (garantías judiciales),</w:t>
            </w:r>
            <w:r w:rsidRPr="00C2052D">
              <w:rPr>
                <w:rFonts w:ascii="Cambria" w:hAnsi="Cambria"/>
                <w:bCs/>
                <w:sz w:val="19"/>
                <w:szCs w:val="19"/>
                <w:lang w:val="es-ES"/>
              </w:rPr>
              <w:t xml:space="preserve"> 11 (p</w:t>
            </w:r>
            <w:r w:rsidR="00326F28" w:rsidRPr="00C2052D">
              <w:rPr>
                <w:rFonts w:ascii="Cambria" w:hAnsi="Cambria"/>
                <w:bCs/>
                <w:sz w:val="19"/>
                <w:szCs w:val="19"/>
                <w:lang w:val="es-ES"/>
              </w:rPr>
              <w:t>rotec</w:t>
            </w:r>
            <w:r w:rsidR="00802C2D" w:rsidRPr="00C2052D">
              <w:rPr>
                <w:rFonts w:ascii="Cambria" w:hAnsi="Cambria"/>
                <w:bCs/>
                <w:sz w:val="19"/>
                <w:szCs w:val="19"/>
                <w:lang w:val="es-ES"/>
              </w:rPr>
              <w:t xml:space="preserve">ción de la </w:t>
            </w:r>
            <w:r w:rsidRPr="00C2052D">
              <w:rPr>
                <w:rFonts w:ascii="Cambria" w:hAnsi="Cambria"/>
                <w:bCs/>
                <w:sz w:val="19"/>
                <w:szCs w:val="19"/>
                <w:lang w:val="es-ES"/>
              </w:rPr>
              <w:t>h</w:t>
            </w:r>
            <w:r w:rsidR="00802C2D" w:rsidRPr="00C2052D">
              <w:rPr>
                <w:rFonts w:ascii="Cambria" w:hAnsi="Cambria"/>
                <w:bCs/>
                <w:sz w:val="19"/>
                <w:szCs w:val="19"/>
                <w:lang w:val="es-ES"/>
              </w:rPr>
              <w:t xml:space="preserve">onra y la </w:t>
            </w:r>
            <w:r w:rsidRPr="00C2052D">
              <w:rPr>
                <w:rFonts w:ascii="Cambria" w:hAnsi="Cambria"/>
                <w:bCs/>
                <w:sz w:val="19"/>
                <w:szCs w:val="19"/>
                <w:lang w:val="es-ES"/>
              </w:rPr>
              <w:t>d</w:t>
            </w:r>
            <w:r w:rsidR="00802C2D" w:rsidRPr="00C2052D">
              <w:rPr>
                <w:rFonts w:ascii="Cambria" w:hAnsi="Cambria"/>
                <w:bCs/>
                <w:sz w:val="19"/>
                <w:szCs w:val="19"/>
                <w:lang w:val="es-ES"/>
              </w:rPr>
              <w:t>ignidad),</w:t>
            </w:r>
            <w:r w:rsidR="00326F28" w:rsidRPr="00C2052D">
              <w:rPr>
                <w:rFonts w:ascii="Cambria" w:hAnsi="Cambria"/>
                <w:bCs/>
                <w:sz w:val="19"/>
                <w:szCs w:val="19"/>
                <w:lang w:val="es-ES"/>
              </w:rPr>
              <w:t xml:space="preserve"> 13 (</w:t>
            </w:r>
            <w:r w:rsidRPr="00C2052D">
              <w:rPr>
                <w:rFonts w:ascii="Cambria" w:hAnsi="Cambria"/>
                <w:bCs/>
                <w:sz w:val="19"/>
                <w:szCs w:val="19"/>
                <w:lang w:val="es-ES"/>
              </w:rPr>
              <w:t>l</w:t>
            </w:r>
            <w:r w:rsidR="00326F28" w:rsidRPr="00C2052D">
              <w:rPr>
                <w:rFonts w:ascii="Cambria" w:hAnsi="Cambria"/>
                <w:bCs/>
                <w:sz w:val="19"/>
                <w:szCs w:val="19"/>
                <w:lang w:val="es-ES"/>
              </w:rPr>
              <w:t xml:space="preserve">ibertad de </w:t>
            </w:r>
            <w:r w:rsidRPr="00C2052D">
              <w:rPr>
                <w:rFonts w:ascii="Cambria" w:hAnsi="Cambria"/>
                <w:bCs/>
                <w:sz w:val="19"/>
                <w:szCs w:val="19"/>
                <w:lang w:val="es-ES"/>
              </w:rPr>
              <w:t>pensamiento y de expresión), 17 (p</w:t>
            </w:r>
            <w:r w:rsidR="00326F28" w:rsidRPr="00C2052D">
              <w:rPr>
                <w:rFonts w:ascii="Cambria" w:hAnsi="Cambria"/>
                <w:bCs/>
                <w:sz w:val="19"/>
                <w:szCs w:val="19"/>
                <w:lang w:val="es-ES"/>
              </w:rPr>
              <w:t>rotecció</w:t>
            </w:r>
            <w:r w:rsidRPr="00C2052D">
              <w:rPr>
                <w:rFonts w:ascii="Cambria" w:hAnsi="Cambria"/>
                <w:bCs/>
                <w:sz w:val="19"/>
                <w:szCs w:val="19"/>
                <w:lang w:val="es-ES"/>
              </w:rPr>
              <w:t>n a la f</w:t>
            </w:r>
            <w:r w:rsidR="005C338C" w:rsidRPr="00C2052D">
              <w:rPr>
                <w:rFonts w:ascii="Cambria" w:hAnsi="Cambria"/>
                <w:bCs/>
                <w:sz w:val="19"/>
                <w:szCs w:val="19"/>
                <w:lang w:val="es-ES"/>
              </w:rPr>
              <w:t>amilia), 18 (</w:t>
            </w:r>
            <w:r w:rsidRPr="00C2052D">
              <w:rPr>
                <w:rFonts w:ascii="Cambria" w:hAnsi="Cambria"/>
                <w:bCs/>
                <w:sz w:val="19"/>
                <w:szCs w:val="19"/>
                <w:lang w:val="es-ES"/>
              </w:rPr>
              <w:t>n</w:t>
            </w:r>
            <w:r w:rsidR="005C338C" w:rsidRPr="00C2052D">
              <w:rPr>
                <w:rFonts w:ascii="Cambria" w:hAnsi="Cambria"/>
                <w:bCs/>
                <w:sz w:val="19"/>
                <w:szCs w:val="19"/>
                <w:lang w:val="es-ES"/>
              </w:rPr>
              <w:t>ombre),</w:t>
            </w:r>
            <w:r w:rsidR="00326F28" w:rsidRPr="00C2052D">
              <w:rPr>
                <w:rFonts w:ascii="Cambria" w:hAnsi="Cambria"/>
                <w:bCs/>
                <w:sz w:val="19"/>
                <w:szCs w:val="19"/>
                <w:lang w:val="es-ES"/>
              </w:rPr>
              <w:t xml:space="preserve"> 19 (</w:t>
            </w:r>
            <w:r w:rsidRPr="00C2052D">
              <w:rPr>
                <w:rFonts w:ascii="Cambria" w:hAnsi="Cambria"/>
                <w:bCs/>
                <w:sz w:val="19"/>
                <w:szCs w:val="19"/>
                <w:lang w:val="es-ES"/>
              </w:rPr>
              <w:t>derechos del n</w:t>
            </w:r>
            <w:r w:rsidR="00326F28" w:rsidRPr="00C2052D">
              <w:rPr>
                <w:rFonts w:ascii="Cambria" w:hAnsi="Cambria"/>
                <w:bCs/>
                <w:sz w:val="19"/>
                <w:szCs w:val="19"/>
                <w:lang w:val="es-ES"/>
              </w:rPr>
              <w:t xml:space="preserve">iño) y </w:t>
            </w:r>
            <w:r w:rsidR="0081628A" w:rsidRPr="00C2052D">
              <w:rPr>
                <w:rFonts w:ascii="Cambria" w:hAnsi="Cambria"/>
                <w:bCs/>
                <w:sz w:val="19"/>
                <w:szCs w:val="19"/>
                <w:lang w:val="es-ES"/>
              </w:rPr>
              <w:t xml:space="preserve"> 25 (protección judicial)</w:t>
            </w:r>
            <w:r w:rsidR="00BF514A" w:rsidRPr="00C2052D">
              <w:rPr>
                <w:rFonts w:ascii="Cambria" w:hAnsi="Cambria"/>
                <w:bCs/>
                <w:sz w:val="19"/>
                <w:szCs w:val="19"/>
                <w:lang w:val="es-ES"/>
              </w:rPr>
              <w:t xml:space="preserve"> </w:t>
            </w:r>
            <w:r w:rsidR="00326F28" w:rsidRPr="00C2052D">
              <w:rPr>
                <w:rFonts w:ascii="Cambria" w:hAnsi="Cambria"/>
                <w:bCs/>
                <w:sz w:val="19"/>
                <w:szCs w:val="19"/>
                <w:lang w:val="es-ES"/>
              </w:rPr>
              <w:t>en relación con el</w:t>
            </w:r>
            <w:r w:rsidRPr="00C2052D">
              <w:rPr>
                <w:rFonts w:ascii="Cambria" w:hAnsi="Cambria"/>
                <w:bCs/>
                <w:sz w:val="19"/>
                <w:szCs w:val="19"/>
                <w:lang w:val="es-ES"/>
              </w:rPr>
              <w:t xml:space="preserve"> artículo 1 </w:t>
            </w:r>
            <w:r w:rsidR="00BF514A" w:rsidRPr="00C2052D">
              <w:rPr>
                <w:rFonts w:ascii="Cambria" w:hAnsi="Cambria"/>
                <w:bCs/>
                <w:sz w:val="19"/>
                <w:szCs w:val="19"/>
                <w:lang w:val="es-ES"/>
              </w:rPr>
              <w:t>de la Convención Americana sobre Derechos Humanos</w:t>
            </w:r>
            <w:r w:rsidR="00BF514A" w:rsidRPr="00C2052D">
              <w:rPr>
                <w:rStyle w:val="FootnoteReference"/>
                <w:rFonts w:ascii="Cambria" w:hAnsi="Cambria"/>
                <w:bCs/>
                <w:sz w:val="19"/>
                <w:szCs w:val="19"/>
                <w:lang w:val="es-ES"/>
              </w:rPr>
              <w:footnoteReference w:id="4"/>
            </w:r>
            <w:r w:rsidR="000701C8" w:rsidRPr="00C2052D">
              <w:rPr>
                <w:rFonts w:ascii="Cambria" w:hAnsi="Cambria"/>
                <w:bCs/>
                <w:sz w:val="19"/>
                <w:szCs w:val="19"/>
                <w:lang w:val="es-ES"/>
              </w:rPr>
              <w:t>; artículos I (vida, libertad, seguridad e integridad), V (honra, reputación personal y vida privada y familiar</w:t>
            </w:r>
            <w:r w:rsidR="00B806C6" w:rsidRPr="00C2052D">
              <w:rPr>
                <w:rFonts w:ascii="Cambria" w:hAnsi="Cambria"/>
                <w:bCs/>
                <w:sz w:val="19"/>
                <w:szCs w:val="19"/>
                <w:lang w:val="es-ES"/>
              </w:rPr>
              <w:t>), VI (</w:t>
            </w:r>
            <w:r w:rsidR="000701C8" w:rsidRPr="00C2052D">
              <w:rPr>
                <w:rFonts w:ascii="Cambria" w:hAnsi="Cambria"/>
                <w:bCs/>
                <w:sz w:val="19"/>
                <w:szCs w:val="19"/>
                <w:lang w:val="es-ES"/>
              </w:rPr>
              <w:t>constitución y protección de la familia)</w:t>
            </w:r>
            <w:r w:rsidR="00B806C6" w:rsidRPr="00C2052D">
              <w:rPr>
                <w:rFonts w:ascii="Cambria" w:hAnsi="Cambria"/>
                <w:bCs/>
                <w:sz w:val="19"/>
                <w:szCs w:val="19"/>
                <w:lang w:val="es-ES"/>
              </w:rPr>
              <w:t xml:space="preserve"> y </w:t>
            </w:r>
            <w:r w:rsidR="000701C8" w:rsidRPr="00C2052D">
              <w:rPr>
                <w:rFonts w:ascii="Cambria" w:hAnsi="Cambria"/>
                <w:bCs/>
                <w:sz w:val="19"/>
                <w:szCs w:val="19"/>
                <w:lang w:val="es-ES"/>
              </w:rPr>
              <w:t xml:space="preserve"> XVIII (de justicia)</w:t>
            </w:r>
            <w:r w:rsidR="00B806C6" w:rsidRPr="00C2052D">
              <w:rPr>
                <w:rFonts w:ascii="Cambria" w:hAnsi="Cambria"/>
                <w:bCs/>
                <w:sz w:val="19"/>
                <w:szCs w:val="19"/>
                <w:lang w:val="es-ES"/>
              </w:rPr>
              <w:t xml:space="preserve"> de la Declaración Americana de los Derech</w:t>
            </w:r>
            <w:r w:rsidR="00802C2D" w:rsidRPr="00C2052D">
              <w:rPr>
                <w:rFonts w:ascii="Cambria" w:hAnsi="Cambria"/>
                <w:bCs/>
                <w:sz w:val="19"/>
                <w:szCs w:val="19"/>
                <w:lang w:val="es-ES"/>
              </w:rPr>
              <w:t>os y Deberes del Hombre;</w:t>
            </w:r>
            <w:r w:rsidR="00B806C6" w:rsidRPr="00C2052D">
              <w:rPr>
                <w:rFonts w:ascii="Cambria" w:hAnsi="Cambria"/>
                <w:bCs/>
                <w:sz w:val="19"/>
                <w:szCs w:val="19"/>
                <w:lang w:val="es-ES"/>
              </w:rPr>
              <w:t xml:space="preserve"> artículos </w:t>
            </w:r>
            <w:r w:rsidR="006F688C" w:rsidRPr="00C2052D">
              <w:rPr>
                <w:rFonts w:ascii="Cambria" w:hAnsi="Cambria"/>
                <w:bCs/>
                <w:sz w:val="19"/>
                <w:szCs w:val="19"/>
                <w:lang w:val="es-ES"/>
              </w:rPr>
              <w:t>I,</w:t>
            </w:r>
            <w:r w:rsidR="005F151C" w:rsidRPr="00C2052D">
              <w:rPr>
                <w:rFonts w:ascii="Cambria" w:hAnsi="Cambria"/>
                <w:bCs/>
                <w:sz w:val="19"/>
                <w:szCs w:val="19"/>
                <w:lang w:val="es-ES"/>
              </w:rPr>
              <w:t xml:space="preserve"> </w:t>
            </w:r>
            <w:r w:rsidR="007B0189" w:rsidRPr="00C2052D">
              <w:rPr>
                <w:rFonts w:ascii="Cambria" w:hAnsi="Cambria"/>
                <w:bCs/>
                <w:sz w:val="19"/>
                <w:szCs w:val="19"/>
                <w:lang w:val="es-ES"/>
              </w:rPr>
              <w:t xml:space="preserve">II, IX, </w:t>
            </w:r>
            <w:r w:rsidR="0041297F" w:rsidRPr="00C2052D">
              <w:rPr>
                <w:rFonts w:ascii="Cambria" w:hAnsi="Cambria"/>
                <w:bCs/>
                <w:sz w:val="19"/>
                <w:szCs w:val="19"/>
                <w:lang w:val="es-ES"/>
              </w:rPr>
              <w:t xml:space="preserve">X, </w:t>
            </w:r>
            <w:r w:rsidR="007B0189" w:rsidRPr="00C2052D">
              <w:rPr>
                <w:rFonts w:ascii="Cambria" w:hAnsi="Cambria"/>
                <w:bCs/>
                <w:sz w:val="19"/>
                <w:szCs w:val="19"/>
                <w:lang w:val="es-ES"/>
              </w:rPr>
              <w:t>XI</w:t>
            </w:r>
            <w:r w:rsidR="0041297F" w:rsidRPr="00C2052D">
              <w:rPr>
                <w:rFonts w:ascii="Cambria" w:hAnsi="Cambria"/>
                <w:bCs/>
                <w:sz w:val="19"/>
                <w:szCs w:val="19"/>
                <w:lang w:val="es-ES"/>
              </w:rPr>
              <w:t>, XII y XIX</w:t>
            </w:r>
            <w:r w:rsidR="007B0189" w:rsidRPr="00C2052D">
              <w:rPr>
                <w:rFonts w:ascii="Cambria" w:hAnsi="Cambria"/>
                <w:bCs/>
                <w:sz w:val="19"/>
                <w:szCs w:val="19"/>
                <w:lang w:val="es-ES"/>
              </w:rPr>
              <w:t xml:space="preserve"> </w:t>
            </w:r>
            <w:r w:rsidRPr="00C2052D">
              <w:rPr>
                <w:rFonts w:ascii="Cambria" w:hAnsi="Cambria"/>
                <w:bCs/>
                <w:sz w:val="19"/>
                <w:szCs w:val="19"/>
                <w:lang w:val="es-ES"/>
              </w:rPr>
              <w:t xml:space="preserve">de la Convención </w:t>
            </w:r>
            <w:r w:rsidR="006F688C" w:rsidRPr="00C2052D">
              <w:rPr>
                <w:rFonts w:ascii="Cambria" w:hAnsi="Cambria"/>
                <w:bCs/>
                <w:sz w:val="19"/>
                <w:szCs w:val="19"/>
                <w:lang w:val="es-ES"/>
              </w:rPr>
              <w:t>Interamericana Sobre Desaparición</w:t>
            </w:r>
            <w:r w:rsidR="006F688C" w:rsidRPr="00C2052D">
              <w:rPr>
                <w:rFonts w:ascii="Cambria" w:hAnsi="Cambria"/>
                <w:bCs/>
                <w:sz w:val="19"/>
                <w:szCs w:val="19"/>
                <w:lang w:val="es-ES"/>
              </w:rPr>
              <w:br/>
              <w:t>Forzada De Personas</w:t>
            </w:r>
            <w:r w:rsidR="006F688C" w:rsidRPr="00C2052D">
              <w:rPr>
                <w:rStyle w:val="FootnoteReference"/>
                <w:rFonts w:ascii="Cambria" w:hAnsi="Cambria"/>
                <w:bCs/>
                <w:sz w:val="19"/>
                <w:szCs w:val="19"/>
                <w:lang w:val="es-ES"/>
              </w:rPr>
              <w:footnoteReference w:id="5"/>
            </w:r>
            <w:r w:rsidR="00802C2D" w:rsidRPr="00C2052D">
              <w:rPr>
                <w:rFonts w:ascii="Cambria" w:hAnsi="Cambria"/>
                <w:bCs/>
                <w:sz w:val="19"/>
                <w:szCs w:val="19"/>
                <w:lang w:val="es-ES"/>
              </w:rPr>
              <w:t xml:space="preserve"> y artículos 1, 3, 4, 5 y 7 la Convención Interamericana para Prevenir, Sancionar y Erradicar la Violencia Contra la Mujer</w:t>
            </w:r>
            <w:r w:rsidR="00802C2D" w:rsidRPr="00C2052D">
              <w:rPr>
                <w:rStyle w:val="FootnoteReference"/>
                <w:rFonts w:ascii="Cambria" w:hAnsi="Cambria"/>
                <w:bCs/>
                <w:sz w:val="19"/>
                <w:szCs w:val="19"/>
                <w:lang w:val="es-ES"/>
              </w:rPr>
              <w:footnoteReference w:id="6"/>
            </w:r>
          </w:p>
        </w:tc>
      </w:tr>
    </w:tbl>
    <w:p w14:paraId="20263696" w14:textId="77777777" w:rsidR="003239B8" w:rsidRPr="00C2052D" w:rsidRDefault="003239B8" w:rsidP="007C402A">
      <w:pPr>
        <w:spacing w:before="120" w:after="120"/>
        <w:ind w:firstLine="720"/>
        <w:jc w:val="both"/>
        <w:rPr>
          <w:rFonts w:ascii="Cambria" w:hAnsi="Cambria"/>
          <w:b/>
          <w:bCs/>
          <w:sz w:val="20"/>
          <w:szCs w:val="20"/>
          <w:lang w:val="es-ES"/>
        </w:rPr>
      </w:pPr>
      <w:r w:rsidRPr="00C2052D">
        <w:rPr>
          <w:rFonts w:ascii="Cambria" w:hAnsi="Cambria"/>
          <w:b/>
          <w:bCs/>
          <w:sz w:val="20"/>
          <w:szCs w:val="20"/>
          <w:lang w:val="es-ES"/>
        </w:rPr>
        <w:t>II.</w:t>
      </w:r>
      <w:r w:rsidRPr="00C2052D">
        <w:rPr>
          <w:rFonts w:ascii="Cambria" w:hAnsi="Cambria"/>
          <w:b/>
          <w:bCs/>
          <w:sz w:val="20"/>
          <w:szCs w:val="20"/>
          <w:lang w:val="es-ES"/>
        </w:rPr>
        <w:tab/>
        <w:t>TRÁMITE ANTE LA CIDH</w:t>
      </w:r>
      <w:r w:rsidR="008E3BFE" w:rsidRPr="00C2052D">
        <w:rPr>
          <w:rStyle w:val="FootnoteReference"/>
          <w:rFonts w:ascii="Cambria" w:hAnsi="Cambria"/>
          <w:b/>
          <w:sz w:val="20"/>
          <w:szCs w:val="20"/>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3562F"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C2052D" w:rsidRDefault="000C1C69" w:rsidP="004A6A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Recepción</w:t>
            </w:r>
            <w:r w:rsidR="00D77503" w:rsidRPr="00C2052D">
              <w:rPr>
                <w:rFonts w:ascii="Cambria" w:hAnsi="Cambria"/>
                <w:bCs/>
                <w:color w:val="FFFFFF" w:themeColor="background1"/>
                <w:sz w:val="19"/>
                <w:szCs w:val="19"/>
                <w:lang w:val="es-ES"/>
              </w:rPr>
              <w:t xml:space="preserve"> de la petición</w:t>
            </w:r>
          </w:p>
        </w:tc>
        <w:tc>
          <w:tcPr>
            <w:tcW w:w="6570" w:type="dxa"/>
            <w:vAlign w:val="center"/>
          </w:tcPr>
          <w:p w14:paraId="6E579153" w14:textId="796DFA56" w:rsidR="004C2312" w:rsidRPr="00C2052D" w:rsidRDefault="00E163BF" w:rsidP="00B4333B">
            <w:pPr>
              <w:jc w:val="both"/>
              <w:rPr>
                <w:rFonts w:ascii="Cambria" w:hAnsi="Cambria"/>
                <w:bCs/>
                <w:sz w:val="19"/>
                <w:szCs w:val="19"/>
                <w:lang w:val="es-ES"/>
              </w:rPr>
            </w:pPr>
            <w:r w:rsidRPr="00C2052D">
              <w:rPr>
                <w:rFonts w:ascii="Cambria" w:hAnsi="Cambria"/>
                <w:bCs/>
                <w:sz w:val="19"/>
                <w:szCs w:val="19"/>
                <w:lang w:val="es-ES"/>
              </w:rPr>
              <w:t>8 de m</w:t>
            </w:r>
            <w:r w:rsidR="00B4333B" w:rsidRPr="00C2052D">
              <w:rPr>
                <w:rFonts w:ascii="Cambria" w:hAnsi="Cambria"/>
                <w:bCs/>
                <w:sz w:val="19"/>
                <w:szCs w:val="19"/>
                <w:lang w:val="es-ES"/>
              </w:rPr>
              <w:t>arzo de 2010</w:t>
            </w:r>
          </w:p>
        </w:tc>
      </w:tr>
      <w:tr w:rsidR="006E772A" w:rsidRPr="00315C3F"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C2052D" w:rsidRDefault="006E772A" w:rsidP="004A6A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 xml:space="preserve">Información adicional </w:t>
            </w:r>
            <w:r w:rsidR="002355A9" w:rsidRPr="00C2052D">
              <w:rPr>
                <w:rFonts w:ascii="Cambria" w:hAnsi="Cambria"/>
                <w:bCs/>
                <w:color w:val="FFFFFF" w:themeColor="background1"/>
                <w:sz w:val="19"/>
                <w:szCs w:val="19"/>
                <w:lang w:val="es-ES"/>
              </w:rPr>
              <w:t>recibida en la etapa de estudio</w:t>
            </w:r>
          </w:p>
        </w:tc>
        <w:tc>
          <w:tcPr>
            <w:tcW w:w="6570" w:type="dxa"/>
            <w:vAlign w:val="center"/>
          </w:tcPr>
          <w:p w14:paraId="796669C8" w14:textId="3FEDB67A" w:rsidR="006E772A" w:rsidRPr="00C2052D" w:rsidRDefault="00571B55" w:rsidP="007C2363">
            <w:pPr>
              <w:jc w:val="both"/>
              <w:rPr>
                <w:rFonts w:ascii="Cambria" w:hAnsi="Cambria"/>
                <w:bCs/>
                <w:sz w:val="19"/>
                <w:szCs w:val="19"/>
                <w:lang w:val="es-ES"/>
              </w:rPr>
            </w:pPr>
            <w:r w:rsidRPr="00C2052D">
              <w:rPr>
                <w:rFonts w:ascii="Cambria" w:hAnsi="Cambria"/>
                <w:bCs/>
                <w:sz w:val="19"/>
                <w:szCs w:val="19"/>
                <w:lang w:val="es-ES"/>
              </w:rPr>
              <w:t xml:space="preserve">26 de octubre de 2010, </w:t>
            </w:r>
            <w:r w:rsidR="00E163BF" w:rsidRPr="00C2052D">
              <w:rPr>
                <w:rFonts w:ascii="Cambria" w:hAnsi="Cambria"/>
                <w:bCs/>
                <w:sz w:val="19"/>
                <w:szCs w:val="19"/>
                <w:lang w:val="es-ES"/>
              </w:rPr>
              <w:t>15 de julio de 2011</w:t>
            </w:r>
          </w:p>
        </w:tc>
      </w:tr>
      <w:tr w:rsidR="004C2312" w:rsidRPr="00D3562F"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C2052D" w:rsidRDefault="004A6A54" w:rsidP="000C1C69">
            <w:pPr>
              <w:jc w:val="center"/>
              <w:rPr>
                <w:rFonts w:ascii="Cambria" w:hAnsi="Cambria"/>
                <w:bCs/>
                <w:color w:val="FFFFFF" w:themeColor="background1"/>
                <w:sz w:val="19"/>
                <w:szCs w:val="19"/>
                <w:lang w:val="es-ES"/>
              </w:rPr>
            </w:pPr>
            <w:r w:rsidRPr="00C2052D">
              <w:rPr>
                <w:rFonts w:ascii="Cambria" w:hAnsi="Cambria"/>
                <w:color w:val="FFFFFF" w:themeColor="background1"/>
                <w:sz w:val="19"/>
                <w:szCs w:val="19"/>
                <w:lang w:val="es-ES"/>
              </w:rPr>
              <w:t>N</w:t>
            </w:r>
            <w:r w:rsidR="004C2312" w:rsidRPr="00C2052D">
              <w:rPr>
                <w:rFonts w:ascii="Cambria" w:hAnsi="Cambria"/>
                <w:color w:val="FFFFFF" w:themeColor="background1"/>
                <w:sz w:val="19"/>
                <w:szCs w:val="19"/>
                <w:lang w:val="es-ES"/>
              </w:rPr>
              <w:t>otificación de la petición</w:t>
            </w:r>
          </w:p>
        </w:tc>
        <w:tc>
          <w:tcPr>
            <w:tcW w:w="6570" w:type="dxa"/>
            <w:vAlign w:val="center"/>
          </w:tcPr>
          <w:p w14:paraId="1519DA6A" w14:textId="0567147B" w:rsidR="004C2312" w:rsidRPr="00C2052D" w:rsidRDefault="00E163BF" w:rsidP="005D3083">
            <w:pPr>
              <w:jc w:val="both"/>
              <w:rPr>
                <w:rFonts w:ascii="Cambria" w:hAnsi="Cambria"/>
                <w:bCs/>
                <w:sz w:val="19"/>
                <w:szCs w:val="19"/>
                <w:lang w:val="es-ES"/>
              </w:rPr>
            </w:pPr>
            <w:r w:rsidRPr="00C2052D">
              <w:rPr>
                <w:rFonts w:ascii="Cambria" w:hAnsi="Cambria"/>
                <w:bCs/>
                <w:sz w:val="19"/>
                <w:szCs w:val="19"/>
                <w:lang w:val="es-ES"/>
              </w:rPr>
              <w:t>26 de diciembre de 2012</w:t>
            </w:r>
          </w:p>
        </w:tc>
      </w:tr>
      <w:tr w:rsidR="00F06354" w:rsidRPr="00D3562F"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C2052D" w:rsidRDefault="00D77503" w:rsidP="00F06354">
            <w:pPr>
              <w:jc w:val="center"/>
              <w:rPr>
                <w:rFonts w:ascii="Cambria" w:hAnsi="Cambria"/>
                <w:bCs/>
                <w:color w:val="FFFFFF" w:themeColor="background1"/>
                <w:sz w:val="19"/>
                <w:szCs w:val="19"/>
                <w:lang w:val="es-ES"/>
              </w:rPr>
            </w:pPr>
            <w:r w:rsidRPr="00C2052D">
              <w:rPr>
                <w:rFonts w:ascii="Cambria" w:hAnsi="Cambria"/>
                <w:color w:val="FFFFFF" w:themeColor="background1"/>
                <w:sz w:val="19"/>
                <w:szCs w:val="19"/>
                <w:lang w:val="es-ES"/>
              </w:rPr>
              <w:t>Primera respuesta del Estado</w:t>
            </w:r>
          </w:p>
        </w:tc>
        <w:tc>
          <w:tcPr>
            <w:tcW w:w="6570" w:type="dxa"/>
            <w:vAlign w:val="center"/>
          </w:tcPr>
          <w:p w14:paraId="1972B99E" w14:textId="0B76F957" w:rsidR="00F06354" w:rsidRPr="00C2052D" w:rsidRDefault="002B6B9D" w:rsidP="00F06354">
            <w:pPr>
              <w:jc w:val="both"/>
              <w:rPr>
                <w:rFonts w:ascii="Cambria" w:hAnsi="Cambria"/>
                <w:bCs/>
                <w:sz w:val="19"/>
                <w:szCs w:val="19"/>
                <w:lang w:val="es-ES"/>
              </w:rPr>
            </w:pPr>
            <w:r w:rsidRPr="00C2052D">
              <w:rPr>
                <w:rFonts w:ascii="Cambria" w:hAnsi="Cambria"/>
                <w:bCs/>
                <w:sz w:val="19"/>
                <w:szCs w:val="19"/>
                <w:lang w:val="es-ES"/>
              </w:rPr>
              <w:t>27 de marzo de 2013</w:t>
            </w:r>
          </w:p>
        </w:tc>
      </w:tr>
      <w:tr w:rsidR="00F06354" w:rsidRPr="00315C3F"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C2052D" w:rsidRDefault="00F06354" w:rsidP="00F063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Observaciones adicionales de</w:t>
            </w:r>
            <w:r w:rsidR="00D77503" w:rsidRPr="00C2052D">
              <w:rPr>
                <w:rFonts w:ascii="Cambria" w:hAnsi="Cambria"/>
                <w:bCs/>
                <w:color w:val="FFFFFF" w:themeColor="background1"/>
                <w:sz w:val="19"/>
                <w:szCs w:val="19"/>
                <w:lang w:val="es-ES"/>
              </w:rPr>
              <w:t xml:space="preserve"> la parte peticionaria</w:t>
            </w:r>
          </w:p>
        </w:tc>
        <w:tc>
          <w:tcPr>
            <w:tcW w:w="6570" w:type="dxa"/>
            <w:vAlign w:val="center"/>
          </w:tcPr>
          <w:p w14:paraId="41D8B862" w14:textId="371960B7" w:rsidR="00F06354" w:rsidRPr="00C2052D" w:rsidRDefault="00613F6B" w:rsidP="00613F6B">
            <w:pPr>
              <w:jc w:val="both"/>
              <w:rPr>
                <w:rFonts w:ascii="Cambria" w:hAnsi="Cambria"/>
                <w:bCs/>
                <w:sz w:val="19"/>
                <w:szCs w:val="19"/>
                <w:lang w:val="es-ES"/>
              </w:rPr>
            </w:pPr>
            <w:r w:rsidRPr="00C2052D">
              <w:rPr>
                <w:rFonts w:ascii="Cambria" w:hAnsi="Cambria"/>
                <w:bCs/>
                <w:sz w:val="19"/>
                <w:szCs w:val="19"/>
                <w:lang w:val="es-ES"/>
              </w:rPr>
              <w:t>12 de febrero de 2013, 28 de marzo, 2 de junio y 11 de agosto de 2014, 2 de marz</w:t>
            </w:r>
            <w:r w:rsidR="005C338C" w:rsidRPr="00C2052D">
              <w:rPr>
                <w:rFonts w:ascii="Cambria" w:hAnsi="Cambria"/>
                <w:bCs/>
                <w:sz w:val="19"/>
                <w:szCs w:val="19"/>
                <w:lang w:val="es-ES"/>
              </w:rPr>
              <w:t>o de 2015 y 19 de enero de 2016</w:t>
            </w:r>
          </w:p>
        </w:tc>
      </w:tr>
      <w:tr w:rsidR="00F06354" w:rsidRPr="00315C3F"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C2052D" w:rsidRDefault="00F06354" w:rsidP="00F063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Obser</w:t>
            </w:r>
            <w:r w:rsidR="00D77503" w:rsidRPr="00C2052D">
              <w:rPr>
                <w:rFonts w:ascii="Cambria" w:hAnsi="Cambria"/>
                <w:bCs/>
                <w:color w:val="FFFFFF" w:themeColor="background1"/>
                <w:sz w:val="19"/>
                <w:szCs w:val="19"/>
                <w:lang w:val="es-ES"/>
              </w:rPr>
              <w:t>vaciones adicionales del Estado</w:t>
            </w:r>
          </w:p>
        </w:tc>
        <w:tc>
          <w:tcPr>
            <w:tcW w:w="6570" w:type="dxa"/>
            <w:vAlign w:val="center"/>
          </w:tcPr>
          <w:p w14:paraId="3CE49AFE" w14:textId="77089BA5" w:rsidR="00F06354" w:rsidRPr="00C2052D" w:rsidRDefault="000D222E" w:rsidP="00F06354">
            <w:pPr>
              <w:jc w:val="both"/>
              <w:rPr>
                <w:rFonts w:ascii="Cambria" w:hAnsi="Cambria"/>
                <w:bCs/>
                <w:sz w:val="19"/>
                <w:szCs w:val="19"/>
                <w:lang w:val="es-ES"/>
              </w:rPr>
            </w:pPr>
            <w:r w:rsidRPr="00C2052D">
              <w:rPr>
                <w:rFonts w:ascii="Cambria" w:hAnsi="Cambria"/>
                <w:bCs/>
                <w:sz w:val="19"/>
                <w:szCs w:val="19"/>
                <w:lang w:val="es-ES"/>
              </w:rPr>
              <w:t>19 de noviembre de 2014, 15 de mayo de 2015</w:t>
            </w:r>
          </w:p>
        </w:tc>
      </w:tr>
    </w:tbl>
    <w:p w14:paraId="21DAA666" w14:textId="5065046E" w:rsidR="003239B8" w:rsidRPr="00C2052D" w:rsidRDefault="003239B8" w:rsidP="007C402A">
      <w:pPr>
        <w:spacing w:before="120" w:after="120"/>
        <w:ind w:firstLine="720"/>
        <w:jc w:val="both"/>
        <w:rPr>
          <w:rFonts w:ascii="Cambria" w:hAnsi="Cambria"/>
          <w:b/>
          <w:bCs/>
          <w:sz w:val="20"/>
          <w:szCs w:val="20"/>
          <w:lang w:val="es-ES"/>
        </w:rPr>
      </w:pPr>
      <w:r w:rsidRPr="00C2052D">
        <w:rPr>
          <w:rFonts w:ascii="Cambria" w:hAnsi="Cambria"/>
          <w:b/>
          <w:bCs/>
          <w:sz w:val="20"/>
          <w:szCs w:val="20"/>
          <w:lang w:val="es-ES"/>
        </w:rPr>
        <w:t xml:space="preserve">III. </w:t>
      </w:r>
      <w:r w:rsidRPr="00C2052D">
        <w:rPr>
          <w:rFonts w:ascii="Cambria" w:hAnsi="Cambria"/>
          <w:b/>
          <w:bCs/>
          <w:sz w:val="20"/>
          <w:szCs w:val="20"/>
          <w:lang w:val="es-ES"/>
        </w:rPr>
        <w:tab/>
        <w:t>COMPETENCIA</w:t>
      </w:r>
      <w:r w:rsidR="00EE00E9" w:rsidRPr="00C2052D">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D3562F"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C2052D" w:rsidRDefault="00D77503" w:rsidP="005D3083">
            <w:pPr>
              <w:jc w:val="center"/>
              <w:rPr>
                <w:rFonts w:ascii="Cambria" w:hAnsi="Cambria"/>
                <w:bCs/>
                <w:i/>
                <w:color w:val="FFFFFF" w:themeColor="background1"/>
                <w:sz w:val="19"/>
                <w:szCs w:val="19"/>
                <w:lang w:val="es-ES"/>
              </w:rPr>
            </w:pPr>
            <w:r w:rsidRPr="00C2052D">
              <w:rPr>
                <w:rFonts w:ascii="Cambria" w:hAnsi="Cambria"/>
                <w:bCs/>
                <w:i/>
                <w:color w:val="FFFFFF" w:themeColor="background1"/>
                <w:sz w:val="19"/>
                <w:szCs w:val="19"/>
                <w:lang w:val="es-ES"/>
              </w:rPr>
              <w:t>Ratione personae</w:t>
            </w:r>
          </w:p>
        </w:tc>
        <w:tc>
          <w:tcPr>
            <w:tcW w:w="6570" w:type="dxa"/>
            <w:vAlign w:val="center"/>
          </w:tcPr>
          <w:p w14:paraId="7707F3E9" w14:textId="1C0A7F0D" w:rsidR="003239B8" w:rsidRPr="00C2052D" w:rsidRDefault="00D778FE" w:rsidP="005D3083">
            <w:pPr>
              <w:rPr>
                <w:rFonts w:ascii="Cambria" w:hAnsi="Cambria"/>
                <w:bCs/>
                <w:sz w:val="19"/>
                <w:szCs w:val="19"/>
                <w:lang w:val="es-ES"/>
              </w:rPr>
            </w:pPr>
            <w:r w:rsidRPr="00C2052D">
              <w:rPr>
                <w:rFonts w:ascii="Cambria" w:hAnsi="Cambria"/>
                <w:bCs/>
                <w:sz w:val="19"/>
                <w:szCs w:val="19"/>
                <w:lang w:val="es-ES"/>
              </w:rPr>
              <w:t>Sí</w:t>
            </w:r>
          </w:p>
        </w:tc>
      </w:tr>
      <w:tr w:rsidR="003239B8" w:rsidRPr="00D3562F"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C2052D" w:rsidRDefault="003239B8" w:rsidP="00D77503">
            <w:pPr>
              <w:jc w:val="center"/>
              <w:rPr>
                <w:rFonts w:ascii="Cambria" w:hAnsi="Cambria"/>
                <w:bCs/>
                <w:color w:val="FFFFFF" w:themeColor="background1"/>
                <w:sz w:val="19"/>
                <w:szCs w:val="19"/>
                <w:lang w:val="es-ES"/>
              </w:rPr>
            </w:pPr>
            <w:r w:rsidRPr="00C2052D">
              <w:rPr>
                <w:rFonts w:ascii="Cambria" w:hAnsi="Cambria"/>
                <w:bCs/>
                <w:i/>
                <w:color w:val="FFFFFF" w:themeColor="background1"/>
                <w:sz w:val="19"/>
                <w:szCs w:val="19"/>
                <w:lang w:val="es-ES"/>
              </w:rPr>
              <w:t>Ratione loci</w:t>
            </w:r>
          </w:p>
        </w:tc>
        <w:tc>
          <w:tcPr>
            <w:tcW w:w="6570" w:type="dxa"/>
            <w:vAlign w:val="center"/>
          </w:tcPr>
          <w:p w14:paraId="12C931CB" w14:textId="203E5642" w:rsidR="003239B8" w:rsidRPr="00C2052D" w:rsidRDefault="003D04CF" w:rsidP="005D3083">
            <w:pPr>
              <w:rPr>
                <w:rFonts w:ascii="Cambria" w:hAnsi="Cambria"/>
                <w:bCs/>
                <w:sz w:val="19"/>
                <w:szCs w:val="19"/>
                <w:lang w:val="es-ES"/>
              </w:rPr>
            </w:pPr>
            <w:r w:rsidRPr="00C2052D">
              <w:rPr>
                <w:rFonts w:ascii="Cambria" w:hAnsi="Cambria"/>
                <w:bCs/>
                <w:sz w:val="19"/>
                <w:szCs w:val="19"/>
                <w:lang w:val="es-ES"/>
              </w:rPr>
              <w:t>Si</w:t>
            </w:r>
          </w:p>
        </w:tc>
      </w:tr>
      <w:tr w:rsidR="003239B8" w:rsidRPr="00D3562F"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C2052D" w:rsidRDefault="003239B8" w:rsidP="005D3083">
            <w:pPr>
              <w:jc w:val="center"/>
              <w:rPr>
                <w:rFonts w:ascii="Cambria" w:hAnsi="Cambria"/>
                <w:bCs/>
                <w:color w:val="FFFFFF" w:themeColor="background1"/>
                <w:sz w:val="19"/>
                <w:szCs w:val="19"/>
                <w:lang w:val="es-ES"/>
              </w:rPr>
            </w:pPr>
            <w:r w:rsidRPr="00C2052D">
              <w:rPr>
                <w:rFonts w:ascii="Cambria" w:hAnsi="Cambria"/>
                <w:bCs/>
                <w:i/>
                <w:color w:val="FFFFFF" w:themeColor="background1"/>
                <w:sz w:val="19"/>
                <w:szCs w:val="19"/>
                <w:lang w:val="es-ES"/>
              </w:rPr>
              <w:t>Ratione temporis</w:t>
            </w:r>
          </w:p>
        </w:tc>
        <w:tc>
          <w:tcPr>
            <w:tcW w:w="6570" w:type="dxa"/>
            <w:vAlign w:val="center"/>
          </w:tcPr>
          <w:p w14:paraId="6F8B059B" w14:textId="6A5D8182" w:rsidR="003239B8" w:rsidRPr="00C2052D" w:rsidRDefault="003D04CF" w:rsidP="005D3083">
            <w:pPr>
              <w:rPr>
                <w:rFonts w:ascii="Cambria" w:hAnsi="Cambria"/>
                <w:bCs/>
                <w:sz w:val="19"/>
                <w:szCs w:val="19"/>
                <w:lang w:val="es-ES"/>
              </w:rPr>
            </w:pPr>
            <w:r w:rsidRPr="00C2052D">
              <w:rPr>
                <w:rFonts w:ascii="Cambria" w:hAnsi="Cambria"/>
                <w:bCs/>
                <w:sz w:val="19"/>
                <w:szCs w:val="19"/>
                <w:lang w:val="es-ES"/>
              </w:rPr>
              <w:t>Sí</w:t>
            </w:r>
          </w:p>
        </w:tc>
      </w:tr>
      <w:tr w:rsidR="003239B8" w:rsidRPr="00315C3F"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C2052D" w:rsidRDefault="003239B8" w:rsidP="005D3083">
            <w:pPr>
              <w:jc w:val="center"/>
              <w:rPr>
                <w:rFonts w:ascii="Cambria" w:hAnsi="Cambria"/>
                <w:bCs/>
                <w:color w:val="FFFFFF" w:themeColor="background1"/>
                <w:sz w:val="19"/>
                <w:szCs w:val="19"/>
                <w:lang w:val="es-ES"/>
              </w:rPr>
            </w:pPr>
            <w:r w:rsidRPr="00C2052D">
              <w:rPr>
                <w:rFonts w:ascii="Cambria" w:hAnsi="Cambria"/>
                <w:bCs/>
                <w:i/>
                <w:color w:val="FFFFFF" w:themeColor="background1"/>
                <w:sz w:val="19"/>
                <w:szCs w:val="19"/>
                <w:lang w:val="es-ES"/>
              </w:rPr>
              <w:t>Ratione materia</w:t>
            </w:r>
            <w:r w:rsidR="00EE00E9" w:rsidRPr="00C2052D">
              <w:rPr>
                <w:rFonts w:ascii="Cambria" w:hAnsi="Cambria"/>
                <w:bCs/>
                <w:i/>
                <w:color w:val="FFFFFF" w:themeColor="background1"/>
                <w:sz w:val="19"/>
                <w:szCs w:val="19"/>
                <w:lang w:val="es-ES"/>
              </w:rPr>
              <w:t>e</w:t>
            </w:r>
          </w:p>
        </w:tc>
        <w:tc>
          <w:tcPr>
            <w:tcW w:w="6570" w:type="dxa"/>
            <w:vAlign w:val="center"/>
          </w:tcPr>
          <w:p w14:paraId="0C122F44" w14:textId="7826EF10" w:rsidR="003239B8" w:rsidRPr="00C2052D" w:rsidRDefault="00892CC2" w:rsidP="009966ED">
            <w:pPr>
              <w:jc w:val="both"/>
              <w:rPr>
                <w:rFonts w:ascii="Cambria" w:hAnsi="Cambria"/>
                <w:bCs/>
                <w:sz w:val="19"/>
                <w:szCs w:val="19"/>
                <w:lang w:val="es-ES"/>
              </w:rPr>
            </w:pPr>
            <w:r w:rsidRPr="00C2052D">
              <w:rPr>
                <w:rFonts w:ascii="Cambria" w:hAnsi="Cambria"/>
                <w:bCs/>
                <w:sz w:val="19"/>
                <w:szCs w:val="19"/>
                <w:lang w:val="es-ES"/>
              </w:rPr>
              <w:t>Sí, Convención Americana (depósito de instrumento realizado el 24 de marzo de 1981); Convención Interamericana sobre Desaparición Forzada de Personas (depósito de instrume</w:t>
            </w:r>
            <w:r w:rsidR="009966ED">
              <w:rPr>
                <w:rFonts w:ascii="Cambria" w:hAnsi="Cambria"/>
                <w:bCs/>
                <w:sz w:val="19"/>
                <w:szCs w:val="19"/>
                <w:lang w:val="es-ES"/>
              </w:rPr>
              <w:t>nto realizado el 9 de abril</w:t>
            </w:r>
            <w:r w:rsidRPr="00C2052D">
              <w:rPr>
                <w:rFonts w:ascii="Cambria" w:hAnsi="Cambria"/>
                <w:bCs/>
                <w:sz w:val="19"/>
                <w:szCs w:val="19"/>
                <w:lang w:val="es-ES"/>
              </w:rPr>
              <w:t xml:space="preserve"> de 2002)</w:t>
            </w:r>
            <w:r w:rsidR="00F7706A" w:rsidRPr="00C2052D">
              <w:rPr>
                <w:rFonts w:ascii="Cambria" w:hAnsi="Cambria"/>
                <w:bCs/>
                <w:sz w:val="19"/>
                <w:szCs w:val="19"/>
                <w:lang w:val="es-ES"/>
              </w:rPr>
              <w:t>; Convención de Belém do Pará (depósito de instrumento realiz</w:t>
            </w:r>
            <w:r w:rsidR="005C338C" w:rsidRPr="00C2052D">
              <w:rPr>
                <w:rFonts w:ascii="Cambria" w:hAnsi="Cambria"/>
                <w:bCs/>
                <w:sz w:val="19"/>
                <w:szCs w:val="19"/>
                <w:lang w:val="es-ES"/>
              </w:rPr>
              <w:t xml:space="preserve">ado el 12 de noviembre de 1998); </w:t>
            </w:r>
            <w:r w:rsidR="00421375" w:rsidRPr="00C2052D">
              <w:rPr>
                <w:rFonts w:ascii="Cambria" w:hAnsi="Cambria"/>
                <w:bCs/>
                <w:sz w:val="19"/>
                <w:szCs w:val="19"/>
                <w:lang w:val="es-ES"/>
              </w:rPr>
              <w:t>Convención Interamericana para Prevenir y Sancionar la Tortura</w:t>
            </w:r>
            <w:r w:rsidR="00421375" w:rsidRPr="00C2052D">
              <w:rPr>
                <w:rStyle w:val="FootnoteReference"/>
                <w:rFonts w:ascii="Cambria" w:hAnsi="Cambria"/>
                <w:bCs/>
                <w:sz w:val="19"/>
                <w:szCs w:val="19"/>
                <w:lang w:val="es-ES"/>
              </w:rPr>
              <w:footnoteReference w:id="8"/>
            </w:r>
            <w:r w:rsidR="00421375" w:rsidRPr="00C2052D">
              <w:rPr>
                <w:rFonts w:ascii="Cambria" w:hAnsi="Cambria"/>
                <w:bCs/>
                <w:sz w:val="19"/>
                <w:szCs w:val="19"/>
                <w:lang w:val="es-ES"/>
              </w:rPr>
              <w:t xml:space="preserve"> (depósito de instrumento realizado el</w:t>
            </w:r>
            <w:r w:rsidR="009966ED">
              <w:rPr>
                <w:rFonts w:ascii="Cambria" w:hAnsi="Cambria"/>
                <w:bCs/>
                <w:sz w:val="19"/>
                <w:szCs w:val="19"/>
                <w:lang w:val="es-ES"/>
              </w:rPr>
              <w:t xml:space="preserve"> 22 de junio de 1987</w:t>
            </w:r>
            <w:r w:rsidR="00421375" w:rsidRPr="00C2052D">
              <w:rPr>
                <w:rFonts w:ascii="Cambria" w:hAnsi="Cambria"/>
                <w:bCs/>
                <w:sz w:val="19"/>
                <w:szCs w:val="19"/>
                <w:lang w:val="es-ES"/>
              </w:rPr>
              <w:t>)</w:t>
            </w:r>
          </w:p>
        </w:tc>
      </w:tr>
    </w:tbl>
    <w:p w14:paraId="4E92C444" w14:textId="1DAF1B79" w:rsidR="003239B8" w:rsidRPr="00C2052D" w:rsidRDefault="003239B8" w:rsidP="007C402A">
      <w:pPr>
        <w:spacing w:before="120" w:after="120"/>
        <w:ind w:firstLine="720"/>
        <w:jc w:val="both"/>
        <w:rPr>
          <w:rFonts w:ascii="Cambria" w:hAnsi="Cambria"/>
          <w:b/>
          <w:bCs/>
          <w:sz w:val="20"/>
          <w:szCs w:val="20"/>
          <w:lang w:val="es-ES"/>
        </w:rPr>
      </w:pPr>
      <w:r w:rsidRPr="00C2052D">
        <w:rPr>
          <w:rFonts w:ascii="Cambria" w:hAnsi="Cambria"/>
          <w:b/>
          <w:bCs/>
          <w:sz w:val="20"/>
          <w:szCs w:val="20"/>
          <w:lang w:val="es-ES"/>
        </w:rPr>
        <w:t xml:space="preserve">IV. </w:t>
      </w:r>
      <w:r w:rsidRPr="00C2052D">
        <w:rPr>
          <w:rFonts w:ascii="Cambria" w:hAnsi="Cambria"/>
          <w:b/>
          <w:bCs/>
          <w:sz w:val="20"/>
          <w:szCs w:val="20"/>
          <w:lang w:val="es-ES"/>
        </w:rPr>
        <w:tab/>
      </w:r>
      <w:r w:rsidR="00EE00E9" w:rsidRPr="00C2052D">
        <w:rPr>
          <w:rFonts w:ascii="Cambria" w:hAnsi="Cambria"/>
          <w:b/>
          <w:bCs/>
          <w:sz w:val="20"/>
          <w:szCs w:val="20"/>
          <w:lang w:val="es-ES"/>
        </w:rPr>
        <w:t>DUPLICACIÓN</w:t>
      </w:r>
      <w:r w:rsidR="00EE00E9" w:rsidRPr="00C2052D">
        <w:rPr>
          <w:rFonts w:ascii="Cambria" w:hAnsi="Cambria"/>
          <w:b/>
          <w:bCs/>
          <w:color w:val="FFFFFF" w:themeColor="background1"/>
          <w:sz w:val="20"/>
          <w:szCs w:val="20"/>
          <w:lang w:val="es-ES"/>
        </w:rPr>
        <w:t xml:space="preserve"> </w:t>
      </w:r>
      <w:r w:rsidR="00EE00E9" w:rsidRPr="00C2052D">
        <w:rPr>
          <w:rFonts w:ascii="Cambria" w:hAnsi="Cambria"/>
          <w:b/>
          <w:bCs/>
          <w:sz w:val="20"/>
          <w:szCs w:val="20"/>
          <w:lang w:val="es-ES"/>
        </w:rPr>
        <w:t>DE PROCEDIMIENTOS Y COSA JUZGADA</w:t>
      </w:r>
      <w:r w:rsidR="00EE00E9" w:rsidRPr="00C2052D">
        <w:rPr>
          <w:rFonts w:ascii="Cambria" w:hAnsi="Cambria"/>
          <w:b/>
          <w:bCs/>
          <w:i/>
          <w:sz w:val="20"/>
          <w:szCs w:val="20"/>
          <w:lang w:val="es-ES"/>
        </w:rPr>
        <w:t xml:space="preserve"> </w:t>
      </w:r>
      <w:r w:rsidR="00EE00E9" w:rsidRPr="00C2052D">
        <w:rPr>
          <w:rFonts w:ascii="Cambria" w:hAnsi="Cambria"/>
          <w:b/>
          <w:bCs/>
          <w:sz w:val="20"/>
          <w:szCs w:val="20"/>
          <w:lang w:val="es-ES"/>
        </w:rPr>
        <w:t xml:space="preserve">INTERNACIONAL, </w:t>
      </w:r>
      <w:r w:rsidRPr="00C2052D">
        <w:rPr>
          <w:rFonts w:ascii="Cambria" w:hAnsi="Cambria"/>
          <w:b/>
          <w:bCs/>
          <w:sz w:val="20"/>
          <w:szCs w:val="20"/>
          <w:lang w:val="es-ES"/>
        </w:rPr>
        <w:t xml:space="preserve"> CARACTERIZACIÓN, </w:t>
      </w:r>
      <w:r w:rsidRPr="00C2052D">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D3562F"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C2052D" w:rsidRDefault="00EE00E9" w:rsidP="00954B82">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 xml:space="preserve">Duplicación </w:t>
            </w:r>
            <w:r w:rsidR="00D77503" w:rsidRPr="00C2052D">
              <w:rPr>
                <w:rFonts w:ascii="Cambria" w:hAnsi="Cambria"/>
                <w:bCs/>
                <w:color w:val="FFFFFF" w:themeColor="background1"/>
                <w:sz w:val="19"/>
                <w:szCs w:val="19"/>
                <w:lang w:val="es-ES"/>
              </w:rPr>
              <w:t>y cosa juzgada internacional</w:t>
            </w:r>
          </w:p>
        </w:tc>
        <w:tc>
          <w:tcPr>
            <w:tcW w:w="6570" w:type="dxa"/>
            <w:vAlign w:val="center"/>
          </w:tcPr>
          <w:p w14:paraId="240941E6" w14:textId="48DED42A" w:rsidR="00EE00E9" w:rsidRPr="00C2052D" w:rsidRDefault="00454C28" w:rsidP="005D3083">
            <w:pPr>
              <w:jc w:val="both"/>
              <w:rPr>
                <w:rFonts w:ascii="Cambria" w:hAnsi="Cambria"/>
                <w:bCs/>
                <w:sz w:val="19"/>
                <w:szCs w:val="19"/>
                <w:lang w:val="es-ES"/>
              </w:rPr>
            </w:pPr>
            <w:r w:rsidRPr="00C2052D">
              <w:rPr>
                <w:rFonts w:ascii="Cambria" w:hAnsi="Cambria"/>
                <w:bCs/>
                <w:sz w:val="19"/>
                <w:szCs w:val="19"/>
                <w:lang w:val="es-ES"/>
              </w:rPr>
              <w:t>No</w:t>
            </w:r>
          </w:p>
        </w:tc>
      </w:tr>
      <w:tr w:rsidR="003239B8" w:rsidRPr="00315C3F" w14:paraId="15FAA7D1" w14:textId="77777777" w:rsidTr="00DE6153">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C2052D" w:rsidRDefault="003239B8" w:rsidP="00954B82">
            <w:pPr>
              <w:jc w:val="center"/>
              <w:rPr>
                <w:rFonts w:ascii="Cambria" w:hAnsi="Cambria"/>
                <w:bCs/>
                <w:i/>
                <w:color w:val="FFFFFF" w:themeColor="background1"/>
                <w:sz w:val="19"/>
                <w:szCs w:val="19"/>
                <w:lang w:val="es-ES"/>
              </w:rPr>
            </w:pPr>
            <w:r w:rsidRPr="00C2052D">
              <w:rPr>
                <w:rFonts w:ascii="Cambria" w:hAnsi="Cambria"/>
                <w:bCs/>
                <w:color w:val="FFFFFF" w:themeColor="background1"/>
                <w:sz w:val="19"/>
                <w:szCs w:val="19"/>
                <w:lang w:val="es-ES"/>
              </w:rPr>
              <w:lastRenderedPageBreak/>
              <w:t>Derechos admi</w:t>
            </w:r>
            <w:r w:rsidR="00954B82" w:rsidRPr="00C2052D">
              <w:rPr>
                <w:rFonts w:ascii="Cambria" w:hAnsi="Cambria"/>
                <w:bCs/>
                <w:color w:val="FFFFFF" w:themeColor="background1"/>
                <w:sz w:val="19"/>
                <w:szCs w:val="19"/>
                <w:lang w:val="es-ES"/>
              </w:rPr>
              <w:t>tidos</w:t>
            </w:r>
          </w:p>
        </w:tc>
        <w:tc>
          <w:tcPr>
            <w:tcW w:w="6570" w:type="dxa"/>
            <w:shd w:val="clear" w:color="auto" w:fill="auto"/>
            <w:vAlign w:val="center"/>
          </w:tcPr>
          <w:p w14:paraId="6310C8F7" w14:textId="50D733E9" w:rsidR="003239B8" w:rsidRPr="00C2052D" w:rsidRDefault="00B17051" w:rsidP="00B17051">
            <w:pPr>
              <w:jc w:val="both"/>
              <w:rPr>
                <w:rFonts w:ascii="Cambria" w:hAnsi="Cambria"/>
                <w:bCs/>
                <w:sz w:val="19"/>
                <w:szCs w:val="19"/>
                <w:lang w:val="es-ES"/>
              </w:rPr>
            </w:pPr>
            <w:r>
              <w:rPr>
                <w:rFonts w:ascii="Cambria" w:hAnsi="Cambria"/>
                <w:bCs/>
                <w:sz w:val="20"/>
                <w:szCs w:val="20"/>
                <w:lang w:val="es-ES"/>
              </w:rPr>
              <w:t xml:space="preserve">Artículos </w:t>
            </w:r>
            <w:r w:rsidRPr="00C2052D">
              <w:rPr>
                <w:rFonts w:ascii="Cambria" w:hAnsi="Cambria"/>
                <w:bCs/>
                <w:sz w:val="20"/>
                <w:szCs w:val="20"/>
                <w:lang w:val="es-ES"/>
              </w:rPr>
              <w:t>I</w:t>
            </w:r>
            <w:r w:rsidRPr="00A10CDD">
              <w:rPr>
                <w:rFonts w:ascii="Cambria" w:hAnsi="Cambria"/>
                <w:sz w:val="20"/>
                <w:szCs w:val="20"/>
                <w:lang w:val="es-ES"/>
              </w:rPr>
              <w:t xml:space="preserve"> (vida, libertad, seguridad e integridad de la persona),</w:t>
            </w:r>
            <w:r w:rsidRPr="00C2052D">
              <w:rPr>
                <w:rFonts w:ascii="Cambria" w:hAnsi="Cambria"/>
                <w:bCs/>
                <w:sz w:val="20"/>
                <w:szCs w:val="20"/>
                <w:lang w:val="es-ES"/>
              </w:rPr>
              <w:t xml:space="preserve"> VI</w:t>
            </w:r>
            <w:r>
              <w:rPr>
                <w:rFonts w:ascii="Cambria" w:hAnsi="Cambria"/>
                <w:bCs/>
                <w:sz w:val="20"/>
                <w:szCs w:val="20"/>
                <w:lang w:val="es-ES"/>
              </w:rPr>
              <w:t xml:space="preserve"> (</w:t>
            </w:r>
            <w:r w:rsidRPr="00F3424B">
              <w:rPr>
                <w:rFonts w:ascii="Cambria" w:hAnsi="Cambria"/>
                <w:bCs/>
                <w:sz w:val="20"/>
                <w:szCs w:val="20"/>
                <w:lang w:val="es-ES"/>
              </w:rPr>
              <w:t>constitución y a la protección de la f</w:t>
            </w:r>
            <w:r>
              <w:rPr>
                <w:rFonts w:ascii="Cambria" w:hAnsi="Cambria"/>
                <w:bCs/>
                <w:sz w:val="20"/>
                <w:szCs w:val="20"/>
                <w:lang w:val="es-ES"/>
              </w:rPr>
              <w:t>amilia)</w:t>
            </w:r>
            <w:r w:rsidRPr="00C2052D">
              <w:rPr>
                <w:rFonts w:ascii="Cambria" w:hAnsi="Cambria"/>
                <w:bCs/>
                <w:sz w:val="20"/>
                <w:szCs w:val="20"/>
                <w:lang w:val="es-ES"/>
              </w:rPr>
              <w:t xml:space="preserve"> </w:t>
            </w:r>
            <w:r w:rsidRPr="00A10CDD">
              <w:rPr>
                <w:rFonts w:ascii="Cambria" w:hAnsi="Cambria"/>
                <w:sz w:val="20"/>
                <w:szCs w:val="20"/>
                <w:lang w:val="es-ES"/>
              </w:rPr>
              <w:t>XVIII (justicia) y XXV (protección contra la detención arbitrar</w:t>
            </w:r>
            <w:r>
              <w:rPr>
                <w:rFonts w:ascii="Cambria" w:hAnsi="Cambria"/>
                <w:sz w:val="20"/>
                <w:szCs w:val="20"/>
                <w:lang w:val="es-ES"/>
              </w:rPr>
              <w:t>ia) de la Declaración Americana</w:t>
            </w:r>
            <w:r w:rsidR="008A6FC6" w:rsidRPr="00C2052D">
              <w:rPr>
                <w:rFonts w:ascii="Cambria" w:hAnsi="Cambria"/>
                <w:bCs/>
                <w:sz w:val="19"/>
                <w:szCs w:val="19"/>
                <w:lang w:val="es-ES"/>
              </w:rPr>
              <w:t>;</w:t>
            </w:r>
            <w:r>
              <w:rPr>
                <w:rFonts w:ascii="Cambria" w:hAnsi="Cambria"/>
                <w:bCs/>
                <w:sz w:val="19"/>
                <w:szCs w:val="19"/>
                <w:lang w:val="es-ES"/>
              </w:rPr>
              <w:t xml:space="preserve"> artículos</w:t>
            </w:r>
            <w:r w:rsidR="008A6FC6" w:rsidRPr="00C2052D">
              <w:rPr>
                <w:rFonts w:ascii="Cambria" w:hAnsi="Cambria"/>
                <w:bCs/>
                <w:sz w:val="19"/>
                <w:szCs w:val="19"/>
                <w:lang w:val="es-ES"/>
              </w:rPr>
              <w:t xml:space="preserve"> 3</w:t>
            </w:r>
            <w:r w:rsidR="00A40B91">
              <w:rPr>
                <w:rFonts w:ascii="Cambria" w:hAnsi="Cambria"/>
                <w:bCs/>
                <w:sz w:val="19"/>
                <w:szCs w:val="19"/>
                <w:lang w:val="es-ES"/>
              </w:rPr>
              <w:t xml:space="preserve"> </w:t>
            </w:r>
            <w:r w:rsidR="00A40B91" w:rsidRPr="00C2052D">
              <w:rPr>
                <w:rFonts w:ascii="Cambria" w:hAnsi="Cambria"/>
                <w:bCs/>
                <w:sz w:val="19"/>
                <w:szCs w:val="19"/>
                <w:lang w:val="es-ES"/>
              </w:rPr>
              <w:t xml:space="preserve">(reconocimiento de personalidad jurídica), 4 (vida), 5 (integridad personal), 7 (libertad personal), 8 (garantías judiciales), 11 (protección de la honra y la dignidad), 13 (libertad de pensamiento y de expresión), 17 (protección a la familia), 18 (nombre), 19 (derechos del niño) y  25 (protección judicial) </w:t>
            </w:r>
            <w:r w:rsidR="008A6FC6" w:rsidRPr="00C2052D">
              <w:rPr>
                <w:rFonts w:ascii="Cambria" w:hAnsi="Cambria"/>
                <w:bCs/>
                <w:sz w:val="19"/>
                <w:szCs w:val="19"/>
                <w:lang w:val="es-ES"/>
              </w:rPr>
              <w:t xml:space="preserve">de la Convención Americana en relación con </w:t>
            </w:r>
            <w:r>
              <w:rPr>
                <w:rFonts w:ascii="Cambria" w:hAnsi="Cambria"/>
                <w:bCs/>
                <w:sz w:val="19"/>
                <w:szCs w:val="19"/>
                <w:lang w:val="es-ES"/>
              </w:rPr>
              <w:t xml:space="preserve">sus artículos </w:t>
            </w:r>
            <w:r w:rsidR="008A6FC6" w:rsidRPr="00C2052D">
              <w:rPr>
                <w:rFonts w:ascii="Cambria" w:hAnsi="Cambria"/>
                <w:bCs/>
                <w:sz w:val="19"/>
                <w:szCs w:val="19"/>
                <w:lang w:val="es-ES"/>
              </w:rPr>
              <w:t xml:space="preserve"> 1.1</w:t>
            </w:r>
            <w:r>
              <w:rPr>
                <w:rFonts w:ascii="Cambria" w:hAnsi="Cambria"/>
                <w:bCs/>
                <w:sz w:val="19"/>
                <w:szCs w:val="19"/>
                <w:lang w:val="es-ES"/>
              </w:rPr>
              <w:t xml:space="preserve"> y 2;</w:t>
            </w:r>
            <w:r w:rsidR="008A6FC6" w:rsidRPr="00C2052D">
              <w:rPr>
                <w:rFonts w:ascii="Cambria" w:hAnsi="Cambria"/>
                <w:bCs/>
                <w:sz w:val="19"/>
                <w:szCs w:val="19"/>
                <w:lang w:val="es-ES"/>
              </w:rPr>
              <w:t xml:space="preserve"> </w:t>
            </w:r>
            <w:r w:rsidRPr="00C2052D">
              <w:rPr>
                <w:rFonts w:ascii="Cambria" w:hAnsi="Cambria"/>
                <w:bCs/>
                <w:sz w:val="19"/>
                <w:szCs w:val="19"/>
                <w:lang w:val="es-ES"/>
              </w:rPr>
              <w:t>artículos 1, 6 y 8 de la C</w:t>
            </w:r>
            <w:r>
              <w:rPr>
                <w:rFonts w:ascii="Cambria" w:hAnsi="Cambria"/>
                <w:bCs/>
                <w:sz w:val="19"/>
                <w:szCs w:val="19"/>
                <w:lang w:val="es-ES"/>
              </w:rPr>
              <w:t xml:space="preserve">IPST; </w:t>
            </w:r>
            <w:r w:rsidR="008A6FC6" w:rsidRPr="00C2052D">
              <w:rPr>
                <w:rFonts w:ascii="Cambria" w:hAnsi="Cambria"/>
                <w:bCs/>
                <w:sz w:val="19"/>
                <w:szCs w:val="19"/>
                <w:lang w:val="es-ES"/>
              </w:rPr>
              <w:t>artículos I, X y XI de la C</w:t>
            </w:r>
            <w:r w:rsidR="00A40B91">
              <w:rPr>
                <w:rFonts w:ascii="Cambria" w:hAnsi="Cambria"/>
                <w:bCs/>
                <w:sz w:val="19"/>
                <w:szCs w:val="19"/>
                <w:lang w:val="es-ES"/>
              </w:rPr>
              <w:t>IDFP</w:t>
            </w:r>
            <w:r>
              <w:rPr>
                <w:rFonts w:ascii="Cambria" w:hAnsi="Cambria"/>
                <w:bCs/>
                <w:sz w:val="19"/>
                <w:szCs w:val="19"/>
                <w:lang w:val="es-ES"/>
              </w:rPr>
              <w:t xml:space="preserve"> y</w:t>
            </w:r>
            <w:r w:rsidR="008A6FC6" w:rsidRPr="00C2052D">
              <w:rPr>
                <w:rFonts w:ascii="Cambria" w:hAnsi="Cambria"/>
                <w:bCs/>
                <w:sz w:val="19"/>
                <w:szCs w:val="19"/>
                <w:lang w:val="es-ES"/>
              </w:rPr>
              <w:t xml:space="preserve">  artículo 7 de l</w:t>
            </w:r>
            <w:r>
              <w:rPr>
                <w:rFonts w:ascii="Cambria" w:hAnsi="Cambria"/>
                <w:bCs/>
                <w:sz w:val="19"/>
                <w:szCs w:val="19"/>
                <w:lang w:val="es-ES"/>
              </w:rPr>
              <w:t xml:space="preserve">a Convención de Belem do Pará </w:t>
            </w:r>
          </w:p>
        </w:tc>
      </w:tr>
      <w:tr w:rsidR="003239B8" w:rsidRPr="00315C3F"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C2052D" w:rsidRDefault="003239B8" w:rsidP="006775AB">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Agotamiento de</w:t>
            </w:r>
            <w:r w:rsidR="0069402E" w:rsidRPr="00C2052D">
              <w:rPr>
                <w:rFonts w:ascii="Cambria" w:hAnsi="Cambria"/>
                <w:bCs/>
                <w:color w:val="FFFFFF" w:themeColor="background1"/>
                <w:sz w:val="19"/>
                <w:szCs w:val="19"/>
                <w:lang w:val="es-ES"/>
              </w:rPr>
              <w:t xml:space="preserve"> </w:t>
            </w:r>
            <w:r w:rsidRPr="00C2052D">
              <w:rPr>
                <w:rFonts w:ascii="Cambria" w:hAnsi="Cambria"/>
                <w:bCs/>
                <w:color w:val="FFFFFF" w:themeColor="background1"/>
                <w:sz w:val="19"/>
                <w:szCs w:val="19"/>
                <w:lang w:val="es-ES"/>
              </w:rPr>
              <w:t xml:space="preserve">recursos </w:t>
            </w:r>
            <w:r w:rsidR="00D77503" w:rsidRPr="00C2052D">
              <w:rPr>
                <w:rFonts w:ascii="Cambria" w:hAnsi="Cambria"/>
                <w:bCs/>
                <w:color w:val="FFFFFF" w:themeColor="background1"/>
                <w:sz w:val="19"/>
                <w:szCs w:val="19"/>
                <w:lang w:val="es-ES"/>
              </w:rPr>
              <w:t>o procedencia de una excepción</w:t>
            </w:r>
          </w:p>
        </w:tc>
        <w:tc>
          <w:tcPr>
            <w:tcW w:w="6570" w:type="dxa"/>
            <w:vAlign w:val="center"/>
          </w:tcPr>
          <w:p w14:paraId="69C53E8A" w14:textId="43893A10" w:rsidR="003239B8" w:rsidRPr="00C2052D" w:rsidRDefault="00454C28" w:rsidP="00BB3FBD">
            <w:pPr>
              <w:rPr>
                <w:rFonts w:ascii="Cambria" w:hAnsi="Cambria"/>
                <w:bCs/>
                <w:sz w:val="19"/>
                <w:szCs w:val="19"/>
                <w:lang w:val="es-ES"/>
              </w:rPr>
            </w:pPr>
            <w:r w:rsidRPr="00C2052D">
              <w:rPr>
                <w:rFonts w:ascii="Cambria" w:hAnsi="Cambria"/>
                <w:bCs/>
                <w:sz w:val="19"/>
                <w:szCs w:val="19"/>
                <w:lang w:val="es-ES"/>
              </w:rPr>
              <w:t>Si, aplica excepción artículo 46.2.c</w:t>
            </w:r>
            <w:r w:rsidR="00421375" w:rsidRPr="00C2052D">
              <w:rPr>
                <w:rFonts w:ascii="Cambria" w:hAnsi="Cambria"/>
                <w:bCs/>
                <w:sz w:val="19"/>
                <w:szCs w:val="19"/>
                <w:lang w:val="es-ES"/>
              </w:rPr>
              <w:t xml:space="preserve"> de la Convención</w:t>
            </w:r>
          </w:p>
        </w:tc>
      </w:tr>
      <w:tr w:rsidR="003239B8" w:rsidRPr="00315C3F"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C2052D" w:rsidRDefault="00D77503"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Presentación dentro de plazo</w:t>
            </w:r>
          </w:p>
        </w:tc>
        <w:tc>
          <w:tcPr>
            <w:tcW w:w="6570" w:type="dxa"/>
            <w:vAlign w:val="center"/>
          </w:tcPr>
          <w:p w14:paraId="4A2A4569" w14:textId="10633E03" w:rsidR="003239B8" w:rsidRPr="00C2052D" w:rsidRDefault="00454C28" w:rsidP="005D3083">
            <w:pPr>
              <w:rPr>
                <w:rFonts w:ascii="Cambria" w:hAnsi="Cambria"/>
                <w:bCs/>
                <w:sz w:val="19"/>
                <w:szCs w:val="19"/>
                <w:lang w:val="es-ES" w:eastAsia="ja-JP"/>
              </w:rPr>
            </w:pPr>
            <w:r w:rsidRPr="00C2052D">
              <w:rPr>
                <w:rFonts w:ascii="Cambria" w:hAnsi="Cambria"/>
                <w:bCs/>
                <w:sz w:val="19"/>
                <w:szCs w:val="19"/>
                <w:lang w:val="es-ES"/>
              </w:rPr>
              <w:t>Si, en los t</w:t>
            </w:r>
            <w:r w:rsidRPr="00C2052D">
              <w:rPr>
                <w:rFonts w:ascii="Cambria" w:hAnsi="Cambria"/>
                <w:bCs/>
                <w:sz w:val="19"/>
                <w:szCs w:val="19"/>
                <w:lang w:val="es-ES" w:eastAsia="ja-JP"/>
              </w:rPr>
              <w:t>érminos de la sección VI</w:t>
            </w:r>
          </w:p>
        </w:tc>
      </w:tr>
    </w:tbl>
    <w:p w14:paraId="4EF3AD43" w14:textId="4AD3A4AA" w:rsidR="002D3705" w:rsidRDefault="00223A29" w:rsidP="003D619F">
      <w:pPr>
        <w:spacing w:before="120" w:after="120"/>
        <w:ind w:firstLine="720"/>
        <w:jc w:val="both"/>
        <w:rPr>
          <w:rFonts w:ascii="Cambria" w:hAnsi="Cambria"/>
          <w:b/>
          <w:sz w:val="20"/>
          <w:szCs w:val="20"/>
          <w:lang w:val="es-ES"/>
        </w:rPr>
      </w:pPr>
      <w:r w:rsidRPr="00C2052D">
        <w:rPr>
          <w:rFonts w:ascii="Cambria" w:hAnsi="Cambria"/>
          <w:b/>
          <w:sz w:val="20"/>
          <w:szCs w:val="20"/>
          <w:lang w:val="es-ES"/>
        </w:rPr>
        <w:t xml:space="preserve">V. </w:t>
      </w:r>
      <w:r w:rsidRPr="00C2052D">
        <w:rPr>
          <w:rFonts w:ascii="Cambria" w:hAnsi="Cambria"/>
          <w:b/>
          <w:sz w:val="20"/>
          <w:szCs w:val="20"/>
          <w:lang w:val="es-ES"/>
        </w:rPr>
        <w:tab/>
      </w:r>
      <w:r w:rsidR="0034224A" w:rsidRPr="00C2052D">
        <w:rPr>
          <w:rFonts w:ascii="Cambria" w:hAnsi="Cambria"/>
          <w:b/>
          <w:sz w:val="20"/>
          <w:szCs w:val="20"/>
          <w:lang w:val="es-ES"/>
        </w:rPr>
        <w:t>RESUMEN DE LOS HECHOS ALEGADOS</w:t>
      </w:r>
    </w:p>
    <w:p w14:paraId="1C2CE350" w14:textId="3DD5C090" w:rsidR="00D47504" w:rsidRPr="00C2052D" w:rsidRDefault="00D47504" w:rsidP="00D4750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MX"/>
        </w:rPr>
      </w:pPr>
      <w:r w:rsidRPr="00C2052D">
        <w:rPr>
          <w:sz w:val="20"/>
          <w:szCs w:val="20"/>
          <w:lang w:val="es-MX"/>
        </w:rPr>
        <w:t>Los peticionarios alegan que las presuntas víctimas, fueron desaparecidas forzadamente y separadas arbitrariamente de sus familias biológicas, entre el 19 de junio de 1975 y el 3 de septiembre de 1976</w:t>
      </w:r>
      <w:r w:rsidR="00D5058A">
        <w:rPr>
          <w:sz w:val="20"/>
          <w:szCs w:val="20"/>
          <w:lang w:val="es-MX"/>
        </w:rPr>
        <w:t>,</w:t>
      </w:r>
      <w:r w:rsidRPr="00C2052D">
        <w:rPr>
          <w:sz w:val="20"/>
          <w:szCs w:val="20"/>
          <w:lang w:val="es-MX"/>
        </w:rPr>
        <w:t xml:space="preserve"> por fuerzas de seguridad del Estado</w:t>
      </w:r>
      <w:r w:rsidR="00D5058A" w:rsidRPr="00D5058A">
        <w:rPr>
          <w:sz w:val="20"/>
          <w:szCs w:val="20"/>
          <w:lang w:val="es-MX"/>
        </w:rPr>
        <w:t xml:space="preserve"> </w:t>
      </w:r>
      <w:r w:rsidR="00D5058A" w:rsidRPr="00C2052D">
        <w:rPr>
          <w:sz w:val="20"/>
          <w:szCs w:val="20"/>
          <w:lang w:val="es-MX"/>
        </w:rPr>
        <w:t>en la Ciudad de México</w:t>
      </w:r>
      <w:r w:rsidRPr="00C2052D">
        <w:rPr>
          <w:sz w:val="20"/>
          <w:szCs w:val="20"/>
          <w:lang w:val="es-MX"/>
        </w:rPr>
        <w:t xml:space="preserve">. </w:t>
      </w:r>
      <w:r w:rsidRPr="00C2052D">
        <w:rPr>
          <w:sz w:val="20"/>
          <w:szCs w:val="20"/>
          <w:lang w:val="es-ES"/>
        </w:rPr>
        <w:t>Argumentan que dichas desapariciones forzadas y separaciones arbitrarias se han desarrollado en un contexto de violencia, en el marco</w:t>
      </w:r>
      <w:r>
        <w:rPr>
          <w:sz w:val="20"/>
          <w:szCs w:val="20"/>
          <w:lang w:val="es-ES"/>
        </w:rPr>
        <w:t xml:space="preserve"> de la denominada “guerra sucia”</w:t>
      </w:r>
      <w:r w:rsidRPr="00C2052D">
        <w:rPr>
          <w:sz w:val="20"/>
          <w:szCs w:val="20"/>
          <w:lang w:val="es-ES"/>
        </w:rPr>
        <w:t>, la cual definen como una política de represión sistemática y generalizada dirigida en contra de los miembros o simpatizantes de grupos sociales y políticos disidentes</w:t>
      </w:r>
      <w:r>
        <w:rPr>
          <w:sz w:val="20"/>
          <w:szCs w:val="20"/>
          <w:lang w:val="es-ES"/>
        </w:rPr>
        <w:t xml:space="preserve"> del gobierno de ese entonces. </w:t>
      </w:r>
      <w:r w:rsidRPr="00C2052D">
        <w:rPr>
          <w:sz w:val="20"/>
          <w:szCs w:val="20"/>
          <w:lang w:val="es-ES"/>
        </w:rPr>
        <w:t>Sostienen que los operativos de aniquilamiento a grupos subversivos formaban parte de la política de Estado y eran dirigidos por la Dirección Federal de Seguridad, la cual era la encargada de la inteligencia en la Secretaría de Gobernación, la Procuraduría General de la Republica, de la Procuraduría General de Justicia de Distrito Federal, de la Procuraduría General de Justicia del Estado de México y del Ejército Mexicano. Manifiestan que dichos operativos buscaban investigar y localizar a los grupos disidentes, y en particular, a los miembros de la llamada “Liga Comunista 23 de septiembre”, siendo las presuntas víctimas parte de la dicha organización.</w:t>
      </w:r>
    </w:p>
    <w:p w14:paraId="33F369C1" w14:textId="5D64A983" w:rsidR="00D47504" w:rsidRPr="00D47504" w:rsidRDefault="00D47504" w:rsidP="00D47504">
      <w:pPr>
        <w:pStyle w:val="ListParagraph"/>
        <w:numPr>
          <w:ilvl w:val="0"/>
          <w:numId w:val="55"/>
        </w:numPr>
        <w:jc w:val="both"/>
        <w:rPr>
          <w:lang w:val="es-ES"/>
        </w:rPr>
      </w:pPr>
      <w:r w:rsidRPr="00C2052D">
        <w:rPr>
          <w:sz w:val="20"/>
          <w:szCs w:val="20"/>
          <w:lang w:val="es-ES"/>
        </w:rPr>
        <w:t xml:space="preserve">Aducen que como parte de esta política, el gobierno Mexicano </w:t>
      </w:r>
      <w:r w:rsidR="00E50EDC">
        <w:rPr>
          <w:sz w:val="20"/>
          <w:szCs w:val="20"/>
          <w:lang w:val="es-ES"/>
        </w:rPr>
        <w:t>impidió</w:t>
      </w:r>
      <w:r w:rsidRPr="00C2052D">
        <w:rPr>
          <w:sz w:val="20"/>
          <w:szCs w:val="20"/>
          <w:lang w:val="es-ES"/>
        </w:rPr>
        <w:t xml:space="preserve"> el acceso de los familiares a los recursos legales para que los hechos de violencia institucional se investigaran y se sancionara a los responsables.</w:t>
      </w:r>
      <w:r w:rsidRPr="00F84ABC">
        <w:rPr>
          <w:rFonts w:eastAsia="Arial Unicode MS" w:cs="Times New Roman"/>
          <w:color w:val="auto"/>
          <w:sz w:val="20"/>
          <w:szCs w:val="20"/>
          <w:lang w:val="es-ES" w:eastAsia="en-US"/>
        </w:rPr>
        <w:t xml:space="preserve"> Afirman que a la negativa estatal de aceptar la existencia de los hechos violatorios de derechos, tambi</w:t>
      </w:r>
      <w:r w:rsidRPr="00F84ABC">
        <w:rPr>
          <w:rFonts w:eastAsia="Arial Unicode MS" w:cs="Times New Roman"/>
          <w:color w:val="auto"/>
          <w:sz w:val="20"/>
          <w:szCs w:val="20"/>
          <w:lang w:val="es-ES" w:eastAsia="ja-JP"/>
        </w:rPr>
        <w:t xml:space="preserve">én se sumó la hostilidad hacia los familiares de personas desaparecidas por parte de las instituciones encargadas de procurar e impartir justicia en el </w:t>
      </w:r>
      <w:r w:rsidR="00D5058A">
        <w:rPr>
          <w:rFonts w:eastAsia="Arial Unicode MS" w:cs="Times New Roman"/>
          <w:color w:val="auto"/>
          <w:sz w:val="20"/>
          <w:szCs w:val="20"/>
          <w:lang w:val="es-ES" w:eastAsia="ja-JP"/>
        </w:rPr>
        <w:t>contexto</w:t>
      </w:r>
      <w:r w:rsidRPr="00F84ABC">
        <w:rPr>
          <w:rFonts w:eastAsia="Arial Unicode MS" w:cs="Times New Roman"/>
          <w:color w:val="auto"/>
          <w:sz w:val="20"/>
          <w:szCs w:val="20"/>
          <w:lang w:val="es-ES" w:eastAsia="ja-JP"/>
        </w:rPr>
        <w:t xml:space="preserve"> de la guerra sucia.</w:t>
      </w:r>
    </w:p>
    <w:p w14:paraId="3A947203" w14:textId="77777777" w:rsidR="00D47504" w:rsidRPr="00D47504" w:rsidRDefault="00D47504" w:rsidP="00D47504">
      <w:pPr>
        <w:pStyle w:val="ListParagraph"/>
        <w:jc w:val="both"/>
        <w:rPr>
          <w:lang w:val="es-ES"/>
        </w:rPr>
      </w:pPr>
    </w:p>
    <w:p w14:paraId="31CB493D" w14:textId="3BA56A14" w:rsidR="00246283" w:rsidRPr="00C2052D" w:rsidRDefault="002462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sz w:val="20"/>
          <w:szCs w:val="20"/>
          <w:lang w:val="es-MX"/>
        </w:rPr>
      </w:pPr>
      <w:r w:rsidRPr="00C2052D">
        <w:rPr>
          <w:rFonts w:ascii="Cambria" w:hAnsi="Cambria"/>
          <w:b/>
          <w:i/>
          <w:sz w:val="20"/>
          <w:szCs w:val="20"/>
          <w:lang w:val="es-MX"/>
        </w:rPr>
        <w:t>Alegatos específicos</w:t>
      </w:r>
      <w:r w:rsidR="00A042F3" w:rsidRPr="00C2052D">
        <w:rPr>
          <w:rFonts w:ascii="Cambria" w:hAnsi="Cambria"/>
          <w:b/>
          <w:i/>
          <w:sz w:val="20"/>
          <w:szCs w:val="20"/>
          <w:lang w:val="es-MX"/>
        </w:rPr>
        <w:t xml:space="preserve"> respe</w:t>
      </w:r>
      <w:r w:rsidR="00D32752">
        <w:rPr>
          <w:rFonts w:ascii="Cambria" w:hAnsi="Cambria"/>
          <w:b/>
          <w:i/>
          <w:sz w:val="20"/>
          <w:szCs w:val="20"/>
          <w:lang w:val="es-MX"/>
        </w:rPr>
        <w:t>cto de la familia Gallangos - Vargas</w:t>
      </w:r>
    </w:p>
    <w:p w14:paraId="1F222163" w14:textId="51A80EFA" w:rsidR="008D5978" w:rsidRPr="00C843C4" w:rsidRDefault="00AA7FA8" w:rsidP="00C843C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MX"/>
        </w:rPr>
      </w:pPr>
      <w:r>
        <w:rPr>
          <w:color w:val="auto"/>
          <w:sz w:val="20"/>
          <w:szCs w:val="20"/>
          <w:lang w:val="es-MX"/>
        </w:rPr>
        <w:t>Los peticionarios señalan</w:t>
      </w:r>
      <w:r w:rsidR="00D31F73" w:rsidRPr="00C2052D">
        <w:rPr>
          <w:color w:val="auto"/>
          <w:sz w:val="20"/>
          <w:szCs w:val="20"/>
          <w:lang w:val="es-MX"/>
        </w:rPr>
        <w:t xml:space="preserve"> que</w:t>
      </w:r>
      <w:r w:rsidR="005362D6">
        <w:rPr>
          <w:color w:val="auto"/>
          <w:sz w:val="20"/>
          <w:szCs w:val="20"/>
          <w:lang w:val="es-MX"/>
        </w:rPr>
        <w:t xml:space="preserve"> </w:t>
      </w:r>
      <w:r w:rsidR="00CE63D1">
        <w:rPr>
          <w:color w:val="auto"/>
          <w:sz w:val="20"/>
          <w:szCs w:val="20"/>
          <w:lang w:val="es-MX"/>
        </w:rPr>
        <w:t xml:space="preserve">el señor </w:t>
      </w:r>
      <w:r w:rsidR="00A042F3" w:rsidRPr="00C2052D">
        <w:rPr>
          <w:color w:val="auto"/>
          <w:sz w:val="20"/>
          <w:szCs w:val="20"/>
          <w:lang w:val="es-MX"/>
        </w:rPr>
        <w:t>Roberto Antonio Gallangos Cruz,</w:t>
      </w:r>
      <w:r w:rsidR="004A2061" w:rsidRPr="00C2052D">
        <w:rPr>
          <w:color w:val="auto"/>
          <w:sz w:val="20"/>
          <w:szCs w:val="20"/>
          <w:lang w:val="es-MX"/>
        </w:rPr>
        <w:t xml:space="preserve"> </w:t>
      </w:r>
      <w:r w:rsidR="00CE63D1">
        <w:rPr>
          <w:color w:val="auto"/>
          <w:sz w:val="20"/>
          <w:szCs w:val="20"/>
          <w:lang w:val="es-MX"/>
        </w:rPr>
        <w:t xml:space="preserve">estaba </w:t>
      </w:r>
      <w:r w:rsidR="004A2061" w:rsidRPr="00C2052D">
        <w:rPr>
          <w:color w:val="auto"/>
          <w:sz w:val="20"/>
          <w:szCs w:val="20"/>
          <w:lang w:val="es-MX"/>
        </w:rPr>
        <w:t>casado con</w:t>
      </w:r>
      <w:r w:rsidR="005362D6">
        <w:rPr>
          <w:color w:val="auto"/>
          <w:sz w:val="20"/>
          <w:szCs w:val="20"/>
          <w:lang w:val="es-MX"/>
        </w:rPr>
        <w:t xml:space="preserve"> la señora</w:t>
      </w:r>
      <w:r w:rsidR="00CE63D1">
        <w:rPr>
          <w:color w:val="auto"/>
          <w:sz w:val="20"/>
          <w:szCs w:val="20"/>
          <w:lang w:val="es-MX"/>
        </w:rPr>
        <w:t xml:space="preserve"> Carmen Vargas Pérez, con quien </w:t>
      </w:r>
      <w:r w:rsidR="00D5058A">
        <w:rPr>
          <w:color w:val="auto"/>
          <w:sz w:val="20"/>
          <w:szCs w:val="20"/>
          <w:lang w:val="es-MX"/>
        </w:rPr>
        <w:t>tuvo</w:t>
      </w:r>
      <w:r w:rsidR="00CE63D1">
        <w:rPr>
          <w:color w:val="auto"/>
          <w:sz w:val="20"/>
          <w:szCs w:val="20"/>
          <w:lang w:val="es-MX"/>
        </w:rPr>
        <w:t xml:space="preserve"> dos hijos</w:t>
      </w:r>
      <w:r w:rsidR="00533528">
        <w:rPr>
          <w:color w:val="auto"/>
          <w:sz w:val="20"/>
          <w:szCs w:val="20"/>
          <w:lang w:val="es-MX"/>
        </w:rPr>
        <w:t>:</w:t>
      </w:r>
      <w:r w:rsidR="00D31F73" w:rsidRPr="00C2052D">
        <w:rPr>
          <w:color w:val="auto"/>
          <w:sz w:val="20"/>
          <w:szCs w:val="20"/>
          <w:lang w:val="es-MX"/>
        </w:rPr>
        <w:t xml:space="preserve"> los niños Lucio Antonio </w:t>
      </w:r>
      <w:r w:rsidR="00CE63D1">
        <w:rPr>
          <w:color w:val="auto"/>
          <w:sz w:val="20"/>
          <w:szCs w:val="20"/>
          <w:lang w:val="es-MX"/>
        </w:rPr>
        <w:t xml:space="preserve">y Aleida Gallangos Vargas. Afirman que el señor Roberto Antonio, </w:t>
      </w:r>
      <w:r w:rsidR="00C4086E" w:rsidRPr="00C2052D">
        <w:rPr>
          <w:color w:val="auto"/>
          <w:sz w:val="20"/>
          <w:szCs w:val="20"/>
          <w:lang w:val="es-MX"/>
        </w:rPr>
        <w:t>fue det</w:t>
      </w:r>
      <w:r w:rsidR="00D5058A">
        <w:rPr>
          <w:color w:val="auto"/>
          <w:sz w:val="20"/>
          <w:szCs w:val="20"/>
          <w:lang w:val="es-MX"/>
        </w:rPr>
        <w:t>enido por la Policía Preventiva</w:t>
      </w:r>
      <w:r w:rsidR="00C4086E" w:rsidRPr="00C2052D">
        <w:rPr>
          <w:color w:val="auto"/>
          <w:sz w:val="20"/>
          <w:szCs w:val="20"/>
          <w:lang w:val="es-MX"/>
        </w:rPr>
        <w:t xml:space="preserve"> en el Distrito Federal de </w:t>
      </w:r>
      <w:r w:rsidR="00CE63D1">
        <w:rPr>
          <w:color w:val="auto"/>
          <w:sz w:val="20"/>
          <w:szCs w:val="20"/>
          <w:lang w:val="es-MX"/>
        </w:rPr>
        <w:t>México, el 19 de junio de 1975. Señalan que de acuerdo a las investigaciones de la Comisión Nacional de Derechos Humanos</w:t>
      </w:r>
      <w:r w:rsidR="003556AF" w:rsidRPr="00C2052D">
        <w:rPr>
          <w:rStyle w:val="FootnoteReference"/>
          <w:sz w:val="20"/>
          <w:szCs w:val="20"/>
          <w:lang w:val="es-MX"/>
        </w:rPr>
        <w:footnoteReference w:id="9"/>
      </w:r>
      <w:r w:rsidR="003556AF">
        <w:rPr>
          <w:color w:val="auto"/>
          <w:sz w:val="20"/>
          <w:szCs w:val="20"/>
          <w:lang w:val="es-MX"/>
        </w:rPr>
        <w:t xml:space="preserve"> (en adelante “CNDH”)</w:t>
      </w:r>
      <w:r w:rsidR="00CE63D1">
        <w:rPr>
          <w:color w:val="auto"/>
          <w:sz w:val="20"/>
          <w:szCs w:val="20"/>
          <w:lang w:val="es-MX"/>
        </w:rPr>
        <w:t xml:space="preserve">, </w:t>
      </w:r>
      <w:r w:rsidR="006C7497">
        <w:rPr>
          <w:color w:val="auto"/>
          <w:sz w:val="20"/>
          <w:szCs w:val="20"/>
          <w:lang w:val="es-MX"/>
        </w:rPr>
        <w:t>un policía habría id</w:t>
      </w:r>
      <w:r w:rsidR="00CE63D1">
        <w:rPr>
          <w:color w:val="auto"/>
          <w:sz w:val="20"/>
          <w:szCs w:val="20"/>
          <w:lang w:val="es-MX"/>
        </w:rPr>
        <w:t xml:space="preserve">entificado que </w:t>
      </w:r>
      <w:r w:rsidR="00C4086E" w:rsidRPr="00C2052D">
        <w:rPr>
          <w:color w:val="auto"/>
          <w:sz w:val="20"/>
          <w:szCs w:val="20"/>
          <w:lang w:val="es-MX"/>
        </w:rPr>
        <w:t>llevaba o</w:t>
      </w:r>
      <w:r w:rsidR="006C7497">
        <w:rPr>
          <w:color w:val="auto"/>
          <w:sz w:val="20"/>
          <w:szCs w:val="20"/>
          <w:lang w:val="es-MX"/>
        </w:rPr>
        <w:t>culta una pistola</w:t>
      </w:r>
      <w:r w:rsidR="006C7497" w:rsidRPr="00C2052D">
        <w:rPr>
          <w:color w:val="auto"/>
          <w:sz w:val="20"/>
          <w:szCs w:val="20"/>
          <w:lang w:val="es-MX"/>
        </w:rPr>
        <w:t xml:space="preserve"> </w:t>
      </w:r>
      <w:r w:rsidR="006C7497">
        <w:rPr>
          <w:color w:val="auto"/>
          <w:sz w:val="20"/>
          <w:szCs w:val="20"/>
          <w:lang w:val="es-MX"/>
        </w:rPr>
        <w:t xml:space="preserve">en la cintura </w:t>
      </w:r>
      <w:r w:rsidR="00C4086E" w:rsidRPr="00C2052D">
        <w:rPr>
          <w:color w:val="auto"/>
          <w:sz w:val="20"/>
          <w:szCs w:val="20"/>
          <w:lang w:val="es-MX"/>
        </w:rPr>
        <w:t xml:space="preserve">y </w:t>
      </w:r>
      <w:r w:rsidR="006C7497">
        <w:rPr>
          <w:color w:val="auto"/>
          <w:sz w:val="20"/>
          <w:szCs w:val="20"/>
          <w:lang w:val="es-MX"/>
        </w:rPr>
        <w:t>al requerí</w:t>
      </w:r>
      <w:r w:rsidR="00C4086E" w:rsidRPr="00C2052D">
        <w:rPr>
          <w:color w:val="auto"/>
          <w:sz w:val="20"/>
          <w:szCs w:val="20"/>
          <w:lang w:val="es-MX"/>
        </w:rPr>
        <w:t>r</w:t>
      </w:r>
      <w:r w:rsidR="006C7497">
        <w:rPr>
          <w:color w:val="auto"/>
          <w:sz w:val="20"/>
          <w:szCs w:val="20"/>
          <w:lang w:val="es-MX"/>
        </w:rPr>
        <w:t>se</w:t>
      </w:r>
      <w:r w:rsidR="00C4086E" w:rsidRPr="00C2052D">
        <w:rPr>
          <w:color w:val="auto"/>
          <w:sz w:val="20"/>
          <w:szCs w:val="20"/>
          <w:lang w:val="es-MX"/>
        </w:rPr>
        <w:t xml:space="preserve">la, </w:t>
      </w:r>
      <w:r w:rsidR="006C7497">
        <w:rPr>
          <w:color w:val="auto"/>
          <w:sz w:val="20"/>
          <w:szCs w:val="20"/>
          <w:lang w:val="es-MX"/>
        </w:rPr>
        <w:t xml:space="preserve">éste le habría </w:t>
      </w:r>
      <w:r w:rsidR="00C4086E" w:rsidRPr="00C2052D">
        <w:rPr>
          <w:color w:val="auto"/>
          <w:sz w:val="20"/>
          <w:szCs w:val="20"/>
          <w:lang w:val="es-MX"/>
        </w:rPr>
        <w:t>dispar</w:t>
      </w:r>
      <w:r w:rsidR="006C7497">
        <w:rPr>
          <w:color w:val="auto"/>
          <w:sz w:val="20"/>
          <w:szCs w:val="20"/>
          <w:lang w:val="es-MX"/>
        </w:rPr>
        <w:t xml:space="preserve">ado </w:t>
      </w:r>
      <w:r w:rsidR="00C4086E" w:rsidRPr="00C2052D">
        <w:rPr>
          <w:color w:val="auto"/>
          <w:sz w:val="20"/>
          <w:szCs w:val="20"/>
          <w:lang w:val="es-MX"/>
        </w:rPr>
        <w:t>lesionándolo en un brazo</w:t>
      </w:r>
      <w:r w:rsidR="006C7497">
        <w:rPr>
          <w:color w:val="auto"/>
          <w:sz w:val="20"/>
          <w:szCs w:val="20"/>
          <w:lang w:val="es-MX"/>
        </w:rPr>
        <w:t>, por lo que otros efectivos que se encontraban cerca lo detuvieron</w:t>
      </w:r>
      <w:r w:rsidR="00B472EB">
        <w:rPr>
          <w:color w:val="auto"/>
          <w:sz w:val="20"/>
          <w:szCs w:val="20"/>
          <w:lang w:val="es-MX"/>
        </w:rPr>
        <w:t xml:space="preserve"> e interrogaron. Alegan que </w:t>
      </w:r>
      <w:r w:rsidR="00B73419" w:rsidRPr="00C2052D">
        <w:rPr>
          <w:color w:val="auto"/>
          <w:sz w:val="20"/>
          <w:szCs w:val="20"/>
          <w:lang w:val="es-MX"/>
        </w:rPr>
        <w:t xml:space="preserve">antes de su detención, </w:t>
      </w:r>
      <w:r w:rsidR="002B0EA0" w:rsidRPr="00C2052D">
        <w:rPr>
          <w:color w:val="auto"/>
          <w:sz w:val="20"/>
          <w:szCs w:val="20"/>
          <w:lang w:val="es-MX"/>
        </w:rPr>
        <w:t>los servicios de la inteligencia ya habían reunido información sobre sus movimientos y actividades, comenzando con su participación en la protesta estudiantil en junio de 1968.</w:t>
      </w:r>
      <w:r w:rsidR="00C843C4">
        <w:rPr>
          <w:color w:val="auto"/>
          <w:sz w:val="20"/>
          <w:szCs w:val="20"/>
          <w:lang w:val="es-MX"/>
        </w:rPr>
        <w:t xml:space="preserve"> </w:t>
      </w:r>
      <w:r w:rsidR="00B472EB">
        <w:rPr>
          <w:color w:val="auto"/>
          <w:sz w:val="20"/>
          <w:szCs w:val="20"/>
          <w:lang w:val="es-MX"/>
        </w:rPr>
        <w:t>Indican q</w:t>
      </w:r>
      <w:r w:rsidR="002B0EA0" w:rsidRPr="00C843C4">
        <w:rPr>
          <w:sz w:val="20"/>
          <w:szCs w:val="20"/>
          <w:lang w:val="es-MX"/>
        </w:rPr>
        <w:t xml:space="preserve">ue la </w:t>
      </w:r>
      <w:r w:rsidR="007F2720" w:rsidRPr="00C843C4">
        <w:rPr>
          <w:sz w:val="20"/>
          <w:szCs w:val="20"/>
          <w:lang w:val="es-MX"/>
        </w:rPr>
        <w:t>última</w:t>
      </w:r>
      <w:r w:rsidR="002B0EA0" w:rsidRPr="00C843C4">
        <w:rPr>
          <w:sz w:val="20"/>
          <w:szCs w:val="20"/>
          <w:lang w:val="es-MX"/>
        </w:rPr>
        <w:t xml:space="preserve"> información documental que da cuenta de</w:t>
      </w:r>
      <w:r w:rsidR="00B472EB">
        <w:rPr>
          <w:sz w:val="20"/>
          <w:szCs w:val="20"/>
          <w:lang w:val="es-MX"/>
        </w:rPr>
        <w:t xml:space="preserve"> su </w:t>
      </w:r>
      <w:r w:rsidR="00B73419" w:rsidRPr="00C843C4">
        <w:rPr>
          <w:sz w:val="20"/>
          <w:szCs w:val="20"/>
          <w:lang w:val="es-MX"/>
        </w:rPr>
        <w:t>paradero</w:t>
      </w:r>
      <w:r w:rsidR="002B0EA0" w:rsidRPr="00C843C4">
        <w:rPr>
          <w:sz w:val="20"/>
          <w:szCs w:val="20"/>
          <w:lang w:val="es-MX"/>
        </w:rPr>
        <w:t xml:space="preserve"> y que demuestra </w:t>
      </w:r>
      <w:r w:rsidR="0042128A">
        <w:rPr>
          <w:sz w:val="20"/>
          <w:szCs w:val="20"/>
          <w:lang w:val="es-MX"/>
        </w:rPr>
        <w:t xml:space="preserve">que </w:t>
      </w:r>
      <w:r w:rsidR="002B0EA0" w:rsidRPr="00C843C4">
        <w:rPr>
          <w:sz w:val="20"/>
          <w:szCs w:val="20"/>
          <w:lang w:val="es-MX"/>
        </w:rPr>
        <w:t xml:space="preserve">estaba en poder de las autoridades, es </w:t>
      </w:r>
      <w:r w:rsidR="005E4C67" w:rsidRPr="00C843C4">
        <w:rPr>
          <w:sz w:val="20"/>
          <w:szCs w:val="20"/>
          <w:lang w:val="es-MX"/>
        </w:rPr>
        <w:t>su</w:t>
      </w:r>
      <w:r w:rsidR="002B0EA0" w:rsidRPr="00C843C4">
        <w:rPr>
          <w:sz w:val="20"/>
          <w:szCs w:val="20"/>
          <w:lang w:val="es-MX"/>
        </w:rPr>
        <w:t xml:space="preserve"> declaración del 30 de junio de 1975, ante la oficina de la Dirección General de Policía y Tránsito del Distrito Federal.</w:t>
      </w:r>
      <w:r w:rsidR="00B472EB">
        <w:rPr>
          <w:sz w:val="20"/>
          <w:szCs w:val="20"/>
          <w:lang w:val="es-MX"/>
        </w:rPr>
        <w:t xml:space="preserve"> </w:t>
      </w:r>
      <w:r w:rsidR="007F2720" w:rsidRPr="00C843C4">
        <w:rPr>
          <w:sz w:val="20"/>
          <w:szCs w:val="20"/>
          <w:lang w:val="es-MX"/>
        </w:rPr>
        <w:t xml:space="preserve">Además, advierten que </w:t>
      </w:r>
      <w:r w:rsidR="00B472EB" w:rsidRPr="00C843C4">
        <w:rPr>
          <w:sz w:val="20"/>
          <w:szCs w:val="20"/>
          <w:lang w:val="es-MX"/>
        </w:rPr>
        <w:t>el 6 de mayo de 2003</w:t>
      </w:r>
      <w:r w:rsidR="00B472EB">
        <w:rPr>
          <w:sz w:val="20"/>
          <w:szCs w:val="20"/>
          <w:lang w:val="es-MX"/>
        </w:rPr>
        <w:t xml:space="preserve">, </w:t>
      </w:r>
      <w:r w:rsidR="007F2720" w:rsidRPr="00C843C4">
        <w:rPr>
          <w:sz w:val="20"/>
          <w:szCs w:val="20"/>
          <w:lang w:val="es-MX"/>
        </w:rPr>
        <w:t xml:space="preserve">el Centro de Investigación y Seguridad Nacional de la Secretaría de Gobernación les remitió </w:t>
      </w:r>
      <w:r w:rsidR="009346EB" w:rsidRPr="00C843C4">
        <w:rPr>
          <w:color w:val="auto"/>
          <w:sz w:val="20"/>
          <w:szCs w:val="20"/>
          <w:lang w:val="es-MX"/>
        </w:rPr>
        <w:t>u</w:t>
      </w:r>
      <w:r w:rsidR="00B472EB">
        <w:rPr>
          <w:color w:val="auto"/>
          <w:sz w:val="20"/>
          <w:szCs w:val="20"/>
          <w:lang w:val="es-MX"/>
        </w:rPr>
        <w:t>na</w:t>
      </w:r>
      <w:r w:rsidR="007F2720" w:rsidRPr="00C843C4">
        <w:rPr>
          <w:sz w:val="20"/>
          <w:szCs w:val="20"/>
          <w:lang w:val="es-MX"/>
        </w:rPr>
        <w:t xml:space="preserve"> ficha de identificación personal</w:t>
      </w:r>
      <w:r w:rsidR="00B472EB">
        <w:rPr>
          <w:sz w:val="20"/>
          <w:szCs w:val="20"/>
          <w:lang w:val="es-MX"/>
        </w:rPr>
        <w:t xml:space="preserve"> de la época de los hechos</w:t>
      </w:r>
      <w:r w:rsidR="007F2720" w:rsidRPr="00C843C4">
        <w:rPr>
          <w:sz w:val="20"/>
          <w:szCs w:val="20"/>
          <w:lang w:val="es-MX"/>
        </w:rPr>
        <w:t xml:space="preserve">, </w:t>
      </w:r>
      <w:r w:rsidR="00B472EB">
        <w:rPr>
          <w:sz w:val="20"/>
          <w:szCs w:val="20"/>
          <w:lang w:val="es-MX"/>
        </w:rPr>
        <w:t xml:space="preserve">con </w:t>
      </w:r>
      <w:r w:rsidR="007F2720" w:rsidRPr="00C843C4">
        <w:rPr>
          <w:sz w:val="20"/>
          <w:szCs w:val="20"/>
          <w:lang w:val="es-MX"/>
        </w:rPr>
        <w:t>fotografía</w:t>
      </w:r>
      <w:r w:rsidR="009346EB" w:rsidRPr="00C843C4">
        <w:rPr>
          <w:color w:val="auto"/>
          <w:sz w:val="20"/>
          <w:szCs w:val="20"/>
          <w:lang w:val="es-MX"/>
        </w:rPr>
        <w:t>s</w:t>
      </w:r>
      <w:r w:rsidR="00B472EB">
        <w:rPr>
          <w:color w:val="auto"/>
          <w:sz w:val="20"/>
          <w:szCs w:val="20"/>
          <w:lang w:val="es-MX"/>
        </w:rPr>
        <w:t xml:space="preserve"> que evidencian</w:t>
      </w:r>
      <w:r w:rsidR="007F2720" w:rsidRPr="00C843C4">
        <w:rPr>
          <w:sz w:val="20"/>
          <w:szCs w:val="20"/>
          <w:lang w:val="es-MX"/>
        </w:rPr>
        <w:t xml:space="preserve"> lesiones físicas</w:t>
      </w:r>
      <w:r w:rsidR="001A47DA" w:rsidRPr="00C843C4">
        <w:rPr>
          <w:color w:val="auto"/>
          <w:sz w:val="20"/>
          <w:szCs w:val="20"/>
          <w:lang w:val="es-MX"/>
        </w:rPr>
        <w:t>.</w:t>
      </w:r>
    </w:p>
    <w:p w14:paraId="59CC50A7" w14:textId="677A43B4" w:rsidR="00B11EC3" w:rsidRPr="00C843C4" w:rsidRDefault="00FB4B5C" w:rsidP="00C843C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MX"/>
        </w:rPr>
      </w:pPr>
      <w:r w:rsidRPr="00C2052D">
        <w:rPr>
          <w:color w:val="auto"/>
          <w:sz w:val="20"/>
          <w:szCs w:val="20"/>
          <w:lang w:val="es-MX"/>
        </w:rPr>
        <w:lastRenderedPageBreak/>
        <w:t>Afirman que</w:t>
      </w:r>
      <w:r w:rsidR="00081C2F" w:rsidRPr="00C2052D">
        <w:rPr>
          <w:color w:val="auto"/>
          <w:sz w:val="20"/>
          <w:szCs w:val="20"/>
          <w:lang w:val="es-MX"/>
        </w:rPr>
        <w:t xml:space="preserve"> </w:t>
      </w:r>
      <w:r w:rsidR="00D35EB9">
        <w:rPr>
          <w:color w:val="auto"/>
          <w:sz w:val="20"/>
          <w:szCs w:val="20"/>
          <w:lang w:val="es-MX"/>
        </w:rPr>
        <w:t xml:space="preserve">la señora </w:t>
      </w:r>
      <w:r w:rsidR="00081C2F" w:rsidRPr="00C2052D">
        <w:rPr>
          <w:color w:val="auto"/>
          <w:sz w:val="20"/>
          <w:szCs w:val="20"/>
          <w:lang w:val="es-MX"/>
        </w:rPr>
        <w:t>Carmen Vargas Pérez</w:t>
      </w:r>
      <w:r w:rsidRPr="00C2052D">
        <w:rPr>
          <w:rFonts w:cs="Times New Roman"/>
          <w:color w:val="auto"/>
          <w:sz w:val="20"/>
          <w:szCs w:val="20"/>
          <w:lang w:val="es-MX"/>
        </w:rPr>
        <w:t xml:space="preserve">, </w:t>
      </w:r>
      <w:r w:rsidR="00CE1DE0" w:rsidRPr="00C2052D">
        <w:rPr>
          <w:rFonts w:cs="Times New Roman"/>
          <w:color w:val="auto"/>
          <w:sz w:val="20"/>
          <w:szCs w:val="20"/>
          <w:lang w:val="es-MX"/>
        </w:rPr>
        <w:t>fue detenida por los Agentes de la Dirección General de Poli</w:t>
      </w:r>
      <w:r w:rsidR="00D35EB9">
        <w:rPr>
          <w:rFonts w:cs="Times New Roman"/>
          <w:color w:val="auto"/>
          <w:sz w:val="20"/>
          <w:szCs w:val="20"/>
          <w:lang w:val="es-MX"/>
        </w:rPr>
        <w:t>cía y Tránsito en el Distrito Federal de México</w:t>
      </w:r>
      <w:r w:rsidR="00CE1DE0" w:rsidRPr="00C2052D">
        <w:rPr>
          <w:rFonts w:cs="Times New Roman"/>
          <w:color w:val="auto"/>
          <w:sz w:val="20"/>
          <w:szCs w:val="20"/>
          <w:lang w:val="es-MX"/>
        </w:rPr>
        <w:t xml:space="preserve"> el 26 de julio de 1975, mientras se encontraba en la presentación de</w:t>
      </w:r>
      <w:r w:rsidR="00D35EB9">
        <w:rPr>
          <w:rFonts w:cs="Times New Roman"/>
          <w:color w:val="auto"/>
          <w:sz w:val="20"/>
          <w:szCs w:val="20"/>
          <w:lang w:val="es-MX"/>
        </w:rPr>
        <w:t xml:space="preserve"> un</w:t>
      </w:r>
      <w:r w:rsidR="00CE1DE0" w:rsidRPr="00C2052D">
        <w:rPr>
          <w:rFonts w:cs="Times New Roman"/>
          <w:color w:val="auto"/>
          <w:sz w:val="20"/>
          <w:szCs w:val="20"/>
          <w:lang w:val="es-MX"/>
        </w:rPr>
        <w:t xml:space="preserve"> film </w:t>
      </w:r>
      <w:r w:rsidR="00081C2F" w:rsidRPr="00C2052D">
        <w:rPr>
          <w:rFonts w:cs="Times New Roman"/>
          <w:color w:val="auto"/>
          <w:sz w:val="20"/>
          <w:szCs w:val="20"/>
          <w:lang w:val="es-MX"/>
        </w:rPr>
        <w:t xml:space="preserve">en </w:t>
      </w:r>
      <w:r w:rsidR="00EF2314" w:rsidRPr="00C2052D">
        <w:rPr>
          <w:rFonts w:cs="Times New Roman"/>
          <w:color w:val="auto"/>
          <w:sz w:val="20"/>
          <w:szCs w:val="20"/>
          <w:lang w:val="es-MX"/>
        </w:rPr>
        <w:t xml:space="preserve">el cine </w:t>
      </w:r>
      <w:r w:rsidR="005F151C" w:rsidRPr="00C2052D">
        <w:rPr>
          <w:rFonts w:cs="Times New Roman"/>
          <w:color w:val="auto"/>
          <w:sz w:val="20"/>
          <w:szCs w:val="20"/>
          <w:lang w:val="es-MX"/>
        </w:rPr>
        <w:t>Cuitláhuac</w:t>
      </w:r>
      <w:r w:rsidR="00EF2314" w:rsidRPr="00C2052D">
        <w:rPr>
          <w:rFonts w:cs="Times New Roman"/>
          <w:color w:val="auto"/>
          <w:sz w:val="20"/>
          <w:szCs w:val="20"/>
          <w:lang w:val="es-MX"/>
        </w:rPr>
        <w:t>.</w:t>
      </w:r>
      <w:r w:rsidR="003A27A1">
        <w:rPr>
          <w:rFonts w:cs="Times New Roman"/>
          <w:color w:val="auto"/>
          <w:sz w:val="20"/>
          <w:szCs w:val="20"/>
          <w:lang w:val="es-MX"/>
        </w:rPr>
        <w:t xml:space="preserve"> </w:t>
      </w:r>
      <w:r w:rsidR="00081C2F" w:rsidRPr="00C2052D">
        <w:rPr>
          <w:rFonts w:cs="Times New Roman"/>
          <w:color w:val="auto"/>
          <w:sz w:val="20"/>
          <w:szCs w:val="20"/>
          <w:lang w:val="es-MX"/>
        </w:rPr>
        <w:t xml:space="preserve">Relatan que </w:t>
      </w:r>
      <w:r w:rsidR="00D35EB9">
        <w:rPr>
          <w:rFonts w:cs="Times New Roman"/>
          <w:color w:val="auto"/>
          <w:sz w:val="20"/>
          <w:szCs w:val="20"/>
          <w:lang w:val="es-MX"/>
        </w:rPr>
        <w:t xml:space="preserve">cuando ella se encontraba en compañía de una pareja, </w:t>
      </w:r>
      <w:r w:rsidR="00D35EB9" w:rsidRPr="00C2052D">
        <w:rPr>
          <w:rFonts w:cs="Times New Roman"/>
          <w:color w:val="auto"/>
          <w:sz w:val="20"/>
          <w:szCs w:val="20"/>
          <w:lang w:val="es-MX"/>
        </w:rPr>
        <w:t>los agentes la interceptaron</w:t>
      </w:r>
      <w:r w:rsidR="00D35EB9">
        <w:rPr>
          <w:rFonts w:cs="Times New Roman"/>
          <w:color w:val="auto"/>
          <w:sz w:val="20"/>
          <w:szCs w:val="20"/>
          <w:lang w:val="es-MX"/>
        </w:rPr>
        <w:t xml:space="preserve"> y les solicitaron a </w:t>
      </w:r>
      <w:r w:rsidR="00CE1DE0" w:rsidRPr="00C2052D">
        <w:rPr>
          <w:rFonts w:cs="Times New Roman"/>
          <w:color w:val="auto"/>
          <w:sz w:val="20"/>
          <w:szCs w:val="20"/>
          <w:lang w:val="es-MX"/>
        </w:rPr>
        <w:t>las mujeres</w:t>
      </w:r>
      <w:r w:rsidR="00D35EB9">
        <w:rPr>
          <w:rFonts w:cs="Times New Roman"/>
          <w:color w:val="auto"/>
          <w:sz w:val="20"/>
          <w:szCs w:val="20"/>
          <w:lang w:val="es-MX"/>
        </w:rPr>
        <w:t xml:space="preserve"> que</w:t>
      </w:r>
      <w:r w:rsidR="00CE1DE0" w:rsidRPr="00C2052D">
        <w:rPr>
          <w:rFonts w:cs="Times New Roman"/>
          <w:color w:val="auto"/>
          <w:sz w:val="20"/>
          <w:szCs w:val="20"/>
          <w:lang w:val="es-MX"/>
        </w:rPr>
        <w:t xml:space="preserve"> mostraran el contenido de sus </w:t>
      </w:r>
      <w:r w:rsidR="00D35EB9">
        <w:rPr>
          <w:rFonts w:cs="Times New Roman"/>
          <w:color w:val="auto"/>
          <w:sz w:val="20"/>
          <w:szCs w:val="20"/>
          <w:lang w:val="es-MX"/>
        </w:rPr>
        <w:t>carteras</w:t>
      </w:r>
      <w:r w:rsidR="00CE1DE0" w:rsidRPr="00C2052D">
        <w:rPr>
          <w:rFonts w:cs="Times New Roman"/>
          <w:color w:val="auto"/>
          <w:sz w:val="20"/>
          <w:szCs w:val="20"/>
          <w:lang w:val="es-MX"/>
        </w:rPr>
        <w:t>, a lo cual se negaron</w:t>
      </w:r>
      <w:r w:rsidR="00D35EB9">
        <w:rPr>
          <w:rFonts w:cs="Times New Roman"/>
          <w:color w:val="auto"/>
          <w:sz w:val="20"/>
          <w:szCs w:val="20"/>
          <w:lang w:val="es-MX"/>
        </w:rPr>
        <w:t xml:space="preserve">, mientras </w:t>
      </w:r>
      <w:r w:rsidR="00CE1DE0" w:rsidRPr="00C2052D">
        <w:rPr>
          <w:rFonts w:cs="Times New Roman"/>
          <w:color w:val="auto"/>
          <w:sz w:val="20"/>
          <w:szCs w:val="20"/>
          <w:lang w:val="es-MX"/>
        </w:rPr>
        <w:t>el hombre que la</w:t>
      </w:r>
      <w:r w:rsidR="00462D4E" w:rsidRPr="00C2052D">
        <w:rPr>
          <w:rFonts w:cs="Times New Roman"/>
          <w:color w:val="auto"/>
          <w:sz w:val="20"/>
          <w:szCs w:val="20"/>
          <w:lang w:val="es-MX"/>
        </w:rPr>
        <w:t>s</w:t>
      </w:r>
      <w:r w:rsidR="00CE1DE0" w:rsidRPr="00C2052D">
        <w:rPr>
          <w:rFonts w:cs="Times New Roman"/>
          <w:color w:val="auto"/>
          <w:sz w:val="20"/>
          <w:szCs w:val="20"/>
          <w:lang w:val="es-MX"/>
        </w:rPr>
        <w:t xml:space="preserve"> acompa</w:t>
      </w:r>
      <w:r w:rsidR="00EF2314" w:rsidRPr="00C2052D">
        <w:rPr>
          <w:rFonts w:cs="Times New Roman"/>
          <w:color w:val="auto"/>
          <w:sz w:val="20"/>
          <w:szCs w:val="20"/>
          <w:lang w:val="es-MX"/>
        </w:rPr>
        <w:t>ñaba</w:t>
      </w:r>
      <w:r w:rsidR="00081C2F" w:rsidRPr="00C2052D">
        <w:rPr>
          <w:rFonts w:cs="Times New Roman"/>
          <w:color w:val="auto"/>
          <w:sz w:val="20"/>
          <w:szCs w:val="20"/>
          <w:lang w:val="es-MX"/>
        </w:rPr>
        <w:t xml:space="preserve"> disparó</w:t>
      </w:r>
      <w:r w:rsidR="00EF2314" w:rsidRPr="00C2052D">
        <w:rPr>
          <w:rFonts w:cs="Times New Roman"/>
          <w:color w:val="auto"/>
          <w:sz w:val="20"/>
          <w:szCs w:val="20"/>
          <w:lang w:val="es-MX"/>
        </w:rPr>
        <w:t xml:space="preserve"> a las fuerzas de seguridad</w:t>
      </w:r>
      <w:r w:rsidR="00081C2F" w:rsidRPr="00C2052D">
        <w:rPr>
          <w:rFonts w:cs="Times New Roman"/>
          <w:color w:val="auto"/>
          <w:sz w:val="20"/>
          <w:szCs w:val="20"/>
          <w:lang w:val="es-MX"/>
        </w:rPr>
        <w:t xml:space="preserve">. Indican que el sujeto de referencia y la otra mujer pudieron escapar de la escena, </w:t>
      </w:r>
      <w:r w:rsidR="00D35EB9">
        <w:rPr>
          <w:rFonts w:cs="Times New Roman"/>
          <w:color w:val="auto"/>
          <w:sz w:val="20"/>
          <w:szCs w:val="20"/>
          <w:lang w:val="es-MX"/>
        </w:rPr>
        <w:t xml:space="preserve">pero que la señora </w:t>
      </w:r>
      <w:r w:rsidR="001A47DA">
        <w:rPr>
          <w:rFonts w:cs="Times New Roman"/>
          <w:color w:val="auto"/>
          <w:sz w:val="20"/>
          <w:szCs w:val="20"/>
          <w:lang w:val="es-MX"/>
        </w:rPr>
        <w:t xml:space="preserve">Carmen Vargas Pérez </w:t>
      </w:r>
      <w:r w:rsidR="00081C2F" w:rsidRPr="00C2052D">
        <w:rPr>
          <w:rFonts w:cs="Times New Roman"/>
          <w:color w:val="auto"/>
          <w:sz w:val="20"/>
          <w:szCs w:val="20"/>
          <w:lang w:val="es-MX"/>
        </w:rPr>
        <w:t>fue detenida e identificada como Miembro de la Brigada Roja, de la Liga Comunista 23 de Septiembre.</w:t>
      </w:r>
      <w:r w:rsidR="00C843C4">
        <w:rPr>
          <w:rFonts w:cs="Times New Roman"/>
          <w:color w:val="auto"/>
          <w:sz w:val="20"/>
          <w:szCs w:val="20"/>
          <w:lang w:val="es-MX"/>
        </w:rPr>
        <w:t xml:space="preserve"> </w:t>
      </w:r>
      <w:r w:rsidR="007B01F9">
        <w:rPr>
          <w:rFonts w:cs="Times New Roman"/>
          <w:color w:val="auto"/>
          <w:sz w:val="20"/>
          <w:szCs w:val="20"/>
          <w:lang w:val="es-MX"/>
        </w:rPr>
        <w:t xml:space="preserve">Afirman </w:t>
      </w:r>
      <w:r w:rsidR="00081C2F" w:rsidRPr="00C843C4">
        <w:rPr>
          <w:sz w:val="20"/>
          <w:szCs w:val="20"/>
          <w:lang w:val="es-MX"/>
        </w:rPr>
        <w:t xml:space="preserve">que el 1 de agosto de 1975, </w:t>
      </w:r>
      <w:r w:rsidR="007B01F9">
        <w:rPr>
          <w:rFonts w:cs="Times New Roman"/>
          <w:color w:val="auto"/>
          <w:sz w:val="20"/>
          <w:szCs w:val="20"/>
          <w:lang w:val="es-MX"/>
        </w:rPr>
        <w:t>la presunta víctima</w:t>
      </w:r>
      <w:r w:rsidR="001A47DA" w:rsidRPr="00C843C4">
        <w:rPr>
          <w:rFonts w:cs="Times New Roman"/>
          <w:color w:val="auto"/>
          <w:sz w:val="20"/>
          <w:szCs w:val="20"/>
          <w:lang w:val="es-MX"/>
        </w:rPr>
        <w:t xml:space="preserve"> </w:t>
      </w:r>
      <w:r w:rsidR="00081C2F" w:rsidRPr="00C843C4">
        <w:rPr>
          <w:sz w:val="20"/>
          <w:szCs w:val="20"/>
          <w:lang w:val="es-MX"/>
        </w:rPr>
        <w:t>prestó declaración ante la Oficina Jurídica de la Dirección General de Policía y Tr</w:t>
      </w:r>
      <w:r w:rsidR="000546AF" w:rsidRPr="00C843C4">
        <w:rPr>
          <w:sz w:val="20"/>
          <w:szCs w:val="20"/>
          <w:lang w:val="es-MX"/>
        </w:rPr>
        <w:t>ánsito d</w:t>
      </w:r>
      <w:r w:rsidR="00EF2314" w:rsidRPr="00C843C4">
        <w:rPr>
          <w:sz w:val="20"/>
          <w:szCs w:val="20"/>
          <w:lang w:val="es-MX"/>
        </w:rPr>
        <w:t>el Distrito Federal, siendo ello</w:t>
      </w:r>
      <w:r w:rsidR="000546AF" w:rsidRPr="00C843C4">
        <w:rPr>
          <w:sz w:val="20"/>
          <w:szCs w:val="20"/>
          <w:lang w:val="es-MX"/>
        </w:rPr>
        <w:t xml:space="preserve"> la última información que se tuvo de</w:t>
      </w:r>
      <w:r w:rsidR="00EF2314" w:rsidRPr="00C843C4">
        <w:rPr>
          <w:sz w:val="20"/>
          <w:szCs w:val="20"/>
          <w:lang w:val="es-MX"/>
        </w:rPr>
        <w:t xml:space="preserve"> su</w:t>
      </w:r>
      <w:r w:rsidR="000546AF" w:rsidRPr="00C843C4">
        <w:rPr>
          <w:sz w:val="20"/>
          <w:szCs w:val="20"/>
          <w:lang w:val="es-MX"/>
        </w:rPr>
        <w:t xml:space="preserve"> paradero</w:t>
      </w:r>
      <w:r w:rsidR="00EF2314" w:rsidRPr="00C843C4">
        <w:rPr>
          <w:sz w:val="20"/>
          <w:szCs w:val="20"/>
          <w:lang w:val="es-MX"/>
        </w:rPr>
        <w:t xml:space="preserve">. </w:t>
      </w:r>
      <w:r w:rsidR="000546AF" w:rsidRPr="00C843C4">
        <w:rPr>
          <w:sz w:val="20"/>
          <w:szCs w:val="20"/>
          <w:lang w:val="es-MX"/>
        </w:rPr>
        <w:t xml:space="preserve">Informan que no se encontró ningún antecedente que permita confirmar que </w:t>
      </w:r>
      <w:r w:rsidR="007B01F9">
        <w:rPr>
          <w:sz w:val="20"/>
          <w:szCs w:val="20"/>
          <w:lang w:val="es-MX"/>
        </w:rPr>
        <w:t>después del</w:t>
      </w:r>
      <w:r w:rsidR="000546AF" w:rsidRPr="00C843C4">
        <w:rPr>
          <w:sz w:val="20"/>
          <w:szCs w:val="20"/>
          <w:lang w:val="es-MX"/>
        </w:rPr>
        <w:t xml:space="preserve"> interrogatorio</w:t>
      </w:r>
      <w:r w:rsidR="00825796" w:rsidRPr="00C843C4">
        <w:rPr>
          <w:rFonts w:cs="Times New Roman"/>
          <w:color w:val="auto"/>
          <w:sz w:val="20"/>
          <w:szCs w:val="20"/>
          <w:lang w:val="es-MX"/>
        </w:rPr>
        <w:t xml:space="preserve">, ella </w:t>
      </w:r>
      <w:r w:rsidR="000546AF" w:rsidRPr="00C843C4">
        <w:rPr>
          <w:sz w:val="20"/>
          <w:szCs w:val="20"/>
          <w:lang w:val="es-MX"/>
        </w:rPr>
        <w:t xml:space="preserve">haya sido puesta a disposición de algún órgano jurisdiccional. </w:t>
      </w:r>
      <w:r w:rsidR="00B11EC3" w:rsidRPr="00C843C4">
        <w:rPr>
          <w:color w:val="auto"/>
          <w:sz w:val="20"/>
          <w:szCs w:val="20"/>
          <w:lang w:val="es-MX"/>
        </w:rPr>
        <w:t xml:space="preserve"> </w:t>
      </w:r>
    </w:p>
    <w:p w14:paraId="6618F244" w14:textId="078750CF" w:rsidR="00B21BAE" w:rsidRPr="00C2052D" w:rsidRDefault="007B01F9" w:rsidP="00B21B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MX" w:eastAsia="ja-JP"/>
        </w:rPr>
      </w:pPr>
      <w:r>
        <w:rPr>
          <w:rFonts w:cs="Times New Roman"/>
          <w:sz w:val="20"/>
          <w:szCs w:val="20"/>
          <w:lang w:val="es-MX"/>
        </w:rPr>
        <w:t xml:space="preserve">Asimismo refieren que </w:t>
      </w:r>
      <w:r w:rsidRPr="00C2052D">
        <w:rPr>
          <w:rFonts w:cs="Times New Roman"/>
          <w:sz w:val="20"/>
          <w:szCs w:val="20"/>
          <w:lang w:val="es-MX"/>
        </w:rPr>
        <w:t>el 12 de junio de 1975</w:t>
      </w:r>
      <w:r>
        <w:rPr>
          <w:rFonts w:cs="Times New Roman"/>
          <w:sz w:val="20"/>
          <w:szCs w:val="20"/>
          <w:lang w:val="es-MX"/>
        </w:rPr>
        <w:t>,</w:t>
      </w:r>
      <w:r w:rsidRPr="00C2052D">
        <w:rPr>
          <w:rFonts w:cs="Times New Roman"/>
          <w:sz w:val="20"/>
          <w:szCs w:val="20"/>
          <w:lang w:val="es-MX"/>
        </w:rPr>
        <w:t xml:space="preserve"> </w:t>
      </w:r>
      <w:r w:rsidR="00B21BAE" w:rsidRPr="00C2052D">
        <w:rPr>
          <w:rFonts w:cs="Times New Roman"/>
          <w:sz w:val="20"/>
          <w:szCs w:val="20"/>
          <w:lang w:val="es-MX"/>
        </w:rPr>
        <w:t xml:space="preserve">Lucio Antonio Gallangos Vargas </w:t>
      </w:r>
      <w:r>
        <w:rPr>
          <w:rFonts w:cs="Times New Roman"/>
          <w:sz w:val="20"/>
          <w:szCs w:val="20"/>
          <w:lang w:val="es-MX"/>
        </w:rPr>
        <w:t>de</w:t>
      </w:r>
      <w:r w:rsidR="00B21BAE" w:rsidRPr="00C2052D">
        <w:rPr>
          <w:rFonts w:cs="Times New Roman"/>
          <w:sz w:val="20"/>
          <w:szCs w:val="20"/>
          <w:lang w:val="es-MX"/>
        </w:rPr>
        <w:t xml:space="preserve"> tres años de edad </w:t>
      </w:r>
      <w:r>
        <w:rPr>
          <w:rFonts w:cs="Times New Roman"/>
          <w:sz w:val="20"/>
          <w:szCs w:val="20"/>
          <w:lang w:val="es-MX"/>
        </w:rPr>
        <w:t>fue separado</w:t>
      </w:r>
      <w:r w:rsidR="00B21BAE" w:rsidRPr="00C2052D">
        <w:rPr>
          <w:rFonts w:cs="Times New Roman"/>
          <w:sz w:val="20"/>
          <w:szCs w:val="20"/>
          <w:lang w:val="es-MX"/>
        </w:rPr>
        <w:t xml:space="preserve"> arbitraria</w:t>
      </w:r>
      <w:r>
        <w:rPr>
          <w:rFonts w:cs="Times New Roman"/>
          <w:sz w:val="20"/>
          <w:szCs w:val="20"/>
          <w:lang w:val="es-MX"/>
        </w:rPr>
        <w:t>mente</w:t>
      </w:r>
      <w:r w:rsidR="00B21BAE" w:rsidRPr="00C2052D">
        <w:rPr>
          <w:rFonts w:cs="Times New Roman"/>
          <w:sz w:val="20"/>
          <w:szCs w:val="20"/>
          <w:lang w:val="es-MX"/>
        </w:rPr>
        <w:t xml:space="preserve"> de sus padres y de su familia biológica por agente</w:t>
      </w:r>
      <w:r>
        <w:rPr>
          <w:rFonts w:cs="Times New Roman"/>
          <w:sz w:val="20"/>
          <w:szCs w:val="20"/>
          <w:lang w:val="es-MX"/>
        </w:rPr>
        <w:t>s</w:t>
      </w:r>
      <w:r w:rsidR="00B21BAE" w:rsidRPr="00C2052D">
        <w:rPr>
          <w:rFonts w:cs="Times New Roman"/>
          <w:sz w:val="20"/>
          <w:szCs w:val="20"/>
          <w:lang w:val="es-MX"/>
        </w:rPr>
        <w:t xml:space="preserve"> de la Dirección F</w:t>
      </w:r>
      <w:r w:rsidR="00CD0D85">
        <w:rPr>
          <w:rFonts w:cs="Times New Roman"/>
          <w:sz w:val="20"/>
          <w:szCs w:val="20"/>
          <w:lang w:val="es-MX"/>
        </w:rPr>
        <w:t>ederal de Seguridad</w:t>
      </w:r>
      <w:r w:rsidR="00897652">
        <w:rPr>
          <w:rFonts w:cs="Times New Roman"/>
          <w:sz w:val="20"/>
          <w:szCs w:val="20"/>
          <w:lang w:val="es-MX"/>
        </w:rPr>
        <w:t xml:space="preserve"> mientras  se encontraba al cuidado de </w:t>
      </w:r>
      <w:r w:rsidR="007E6688">
        <w:rPr>
          <w:rFonts w:cs="Times New Roman"/>
          <w:sz w:val="20"/>
          <w:szCs w:val="20"/>
          <w:lang w:val="es-MX"/>
        </w:rPr>
        <w:t xml:space="preserve">la señora </w:t>
      </w:r>
      <w:r w:rsidR="00897652">
        <w:rPr>
          <w:rFonts w:cs="Times New Roman"/>
          <w:sz w:val="20"/>
          <w:szCs w:val="20"/>
          <w:lang w:val="es-MX"/>
        </w:rPr>
        <w:t xml:space="preserve">Violeta Tecla Parra, quien hasta el momento </w:t>
      </w:r>
      <w:r w:rsidR="007E6688">
        <w:rPr>
          <w:rFonts w:cs="Times New Roman"/>
          <w:sz w:val="20"/>
          <w:szCs w:val="20"/>
          <w:lang w:val="es-MX"/>
        </w:rPr>
        <w:t xml:space="preserve">también </w:t>
      </w:r>
      <w:r w:rsidR="00897652">
        <w:rPr>
          <w:rFonts w:cs="Times New Roman"/>
          <w:sz w:val="20"/>
          <w:szCs w:val="20"/>
          <w:lang w:val="es-MX"/>
        </w:rPr>
        <w:t>se encuentra desaparecida.</w:t>
      </w:r>
      <w:r w:rsidR="00825796">
        <w:rPr>
          <w:rFonts w:cs="Times New Roman"/>
          <w:sz w:val="20"/>
          <w:szCs w:val="20"/>
          <w:lang w:val="es-MX"/>
        </w:rPr>
        <w:t xml:space="preserve"> Indican que</w:t>
      </w:r>
      <w:r>
        <w:rPr>
          <w:rFonts w:cs="Times New Roman"/>
          <w:sz w:val="20"/>
          <w:szCs w:val="20"/>
          <w:lang w:val="es-MX"/>
        </w:rPr>
        <w:t xml:space="preserve"> el niño</w:t>
      </w:r>
      <w:r w:rsidR="00B21BAE" w:rsidRPr="00C2052D">
        <w:rPr>
          <w:rFonts w:cs="Times New Roman"/>
          <w:sz w:val="20"/>
          <w:szCs w:val="20"/>
          <w:lang w:val="es-MX"/>
        </w:rPr>
        <w:t xml:space="preserve"> fue traslad</w:t>
      </w:r>
      <w:r w:rsidR="00D3562F" w:rsidRPr="00C2052D">
        <w:rPr>
          <w:rFonts w:cs="Times New Roman"/>
          <w:sz w:val="20"/>
          <w:szCs w:val="20"/>
          <w:lang w:val="es-MX"/>
        </w:rPr>
        <w:t>ad</w:t>
      </w:r>
      <w:r w:rsidR="00B21BAE" w:rsidRPr="00C2052D">
        <w:rPr>
          <w:rFonts w:cs="Times New Roman"/>
          <w:sz w:val="20"/>
          <w:szCs w:val="20"/>
          <w:lang w:val="es-MX"/>
        </w:rPr>
        <w:t>o al H</w:t>
      </w:r>
      <w:r w:rsidR="00897652">
        <w:rPr>
          <w:rFonts w:cs="Times New Roman"/>
          <w:sz w:val="20"/>
          <w:szCs w:val="20"/>
          <w:lang w:val="es-MX"/>
        </w:rPr>
        <w:t xml:space="preserve">ospital Infantil Moctezuma y </w:t>
      </w:r>
      <w:r>
        <w:rPr>
          <w:rFonts w:cs="Times New Roman"/>
          <w:sz w:val="20"/>
          <w:szCs w:val="20"/>
          <w:lang w:val="es-MX"/>
        </w:rPr>
        <w:t>que ese mismo día</w:t>
      </w:r>
      <w:r w:rsidR="00B21BAE" w:rsidRPr="00C2052D">
        <w:rPr>
          <w:rFonts w:cs="Times New Roman"/>
          <w:sz w:val="20"/>
          <w:szCs w:val="20"/>
          <w:lang w:val="es-MX"/>
        </w:rPr>
        <w:t xml:space="preserve"> </w:t>
      </w:r>
      <w:r>
        <w:rPr>
          <w:rFonts w:cs="Times New Roman"/>
          <w:sz w:val="20"/>
          <w:szCs w:val="20"/>
          <w:lang w:val="es-MX"/>
        </w:rPr>
        <w:t xml:space="preserve">fue </w:t>
      </w:r>
      <w:r w:rsidR="00B21BAE" w:rsidRPr="00C2052D">
        <w:rPr>
          <w:rFonts w:cs="Times New Roman"/>
          <w:sz w:val="20"/>
          <w:szCs w:val="20"/>
          <w:lang w:val="es-MX"/>
        </w:rPr>
        <w:t xml:space="preserve">entregado </w:t>
      </w:r>
      <w:r>
        <w:rPr>
          <w:rFonts w:cs="Times New Roman"/>
          <w:sz w:val="20"/>
          <w:szCs w:val="20"/>
          <w:lang w:val="es-MX"/>
        </w:rPr>
        <w:t xml:space="preserve">a </w:t>
      </w:r>
      <w:r w:rsidR="00B21BAE" w:rsidRPr="00C2052D">
        <w:rPr>
          <w:rFonts w:cs="Times New Roman"/>
          <w:sz w:val="20"/>
          <w:szCs w:val="20"/>
          <w:lang w:val="es-MX"/>
        </w:rPr>
        <w:t xml:space="preserve">la Casa Cuna de Tlalpan, </w:t>
      </w:r>
      <w:r w:rsidR="0042128A">
        <w:rPr>
          <w:rFonts w:cs="Times New Roman"/>
          <w:sz w:val="20"/>
          <w:szCs w:val="20"/>
          <w:lang w:val="es-MX"/>
        </w:rPr>
        <w:t xml:space="preserve">con el nombre de “Tony”. </w:t>
      </w:r>
      <w:r w:rsidR="00B21BAE" w:rsidRPr="00C2052D">
        <w:rPr>
          <w:rFonts w:cs="Times New Roman"/>
          <w:sz w:val="20"/>
          <w:szCs w:val="20"/>
          <w:lang w:val="es-MX"/>
        </w:rPr>
        <w:t>Manifiestan que en febr</w:t>
      </w:r>
      <w:r w:rsidR="00D3562F" w:rsidRPr="00C2052D">
        <w:rPr>
          <w:rFonts w:cs="Times New Roman"/>
          <w:sz w:val="20"/>
          <w:szCs w:val="20"/>
          <w:lang w:val="es-MX"/>
        </w:rPr>
        <w:t xml:space="preserve">ero de 1976, </w:t>
      </w:r>
      <w:r w:rsidR="00825796">
        <w:rPr>
          <w:rFonts w:cs="Times New Roman"/>
          <w:sz w:val="20"/>
          <w:szCs w:val="20"/>
          <w:lang w:val="es-MX"/>
        </w:rPr>
        <w:t xml:space="preserve">el menor </w:t>
      </w:r>
      <w:r w:rsidR="00D3562F" w:rsidRPr="00C2052D">
        <w:rPr>
          <w:rFonts w:cs="Times New Roman"/>
          <w:sz w:val="20"/>
          <w:szCs w:val="20"/>
          <w:lang w:val="es-MX"/>
        </w:rPr>
        <w:t>fue entregado</w:t>
      </w:r>
      <w:r w:rsidR="00B21BAE" w:rsidRPr="00C2052D">
        <w:rPr>
          <w:rFonts w:cs="Times New Roman"/>
          <w:sz w:val="20"/>
          <w:szCs w:val="20"/>
          <w:lang w:val="es-MX"/>
        </w:rPr>
        <w:t xml:space="preserve"> en adopción a la familia Hernández Valadéz, en condiciones irregulares, siendo registrado </w:t>
      </w:r>
      <w:r w:rsidR="00AA7FA8">
        <w:rPr>
          <w:rFonts w:cs="Times New Roman"/>
          <w:sz w:val="20"/>
          <w:szCs w:val="20"/>
          <w:lang w:val="es-MX"/>
        </w:rPr>
        <w:t>con</w:t>
      </w:r>
      <w:r w:rsidR="00B21BAE" w:rsidRPr="00C2052D">
        <w:rPr>
          <w:rFonts w:cs="Times New Roman"/>
          <w:sz w:val="20"/>
          <w:szCs w:val="20"/>
          <w:lang w:val="es-MX"/>
        </w:rPr>
        <w:t xml:space="preserve"> el nombre de Juan Carlos Hernández Valadéz.</w:t>
      </w:r>
      <w:r w:rsidRPr="007B01F9">
        <w:rPr>
          <w:rFonts w:cs="Times New Roman"/>
          <w:sz w:val="20"/>
          <w:szCs w:val="20"/>
          <w:lang w:val="es-MX"/>
        </w:rPr>
        <w:t xml:space="preserve"> </w:t>
      </w:r>
    </w:p>
    <w:p w14:paraId="3109803A" w14:textId="51F14B48" w:rsidR="00D348D1" w:rsidRPr="00D348D1" w:rsidRDefault="00DE28CE" w:rsidP="00C843C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MX" w:eastAsia="ja-JP"/>
        </w:rPr>
      </w:pPr>
      <w:r w:rsidRPr="00DE28CE">
        <w:rPr>
          <w:rFonts w:cs="Times New Roman"/>
          <w:sz w:val="20"/>
          <w:szCs w:val="20"/>
          <w:lang w:val="es-MX" w:eastAsia="ja-JP"/>
        </w:rPr>
        <w:t>En ese mismo sentido</w:t>
      </w:r>
      <w:r w:rsidR="007B01F9" w:rsidRPr="00DE28CE">
        <w:rPr>
          <w:rFonts w:cs="Times New Roman"/>
          <w:sz w:val="20"/>
          <w:szCs w:val="20"/>
          <w:lang w:val="es-MX" w:eastAsia="ja-JP"/>
        </w:rPr>
        <w:t>, a</w:t>
      </w:r>
      <w:r w:rsidR="00D3562F" w:rsidRPr="00DE28CE">
        <w:rPr>
          <w:rFonts w:cs="Times New Roman"/>
          <w:sz w:val="20"/>
          <w:szCs w:val="20"/>
          <w:lang w:val="es-MX" w:eastAsia="ja-JP"/>
        </w:rPr>
        <w:t>legan que</w:t>
      </w:r>
      <w:r w:rsidR="007B01F9" w:rsidRPr="00DE28CE">
        <w:rPr>
          <w:rFonts w:cs="Times New Roman"/>
          <w:sz w:val="20"/>
          <w:szCs w:val="20"/>
          <w:lang w:val="es-MX" w:eastAsia="ja-JP"/>
        </w:rPr>
        <w:t xml:space="preserve"> </w:t>
      </w:r>
      <w:r w:rsidRPr="00DE28CE">
        <w:rPr>
          <w:rFonts w:cs="Times New Roman"/>
          <w:sz w:val="20"/>
          <w:szCs w:val="20"/>
          <w:lang w:val="es-MX" w:eastAsia="ja-JP"/>
        </w:rPr>
        <w:t xml:space="preserve"> en mayo de 1976, </w:t>
      </w:r>
      <w:r w:rsidR="007E6688" w:rsidRPr="00DE28CE">
        <w:rPr>
          <w:rFonts w:cs="Times New Roman"/>
          <w:sz w:val="20"/>
          <w:szCs w:val="20"/>
          <w:lang w:val="es-MX"/>
        </w:rPr>
        <w:t>el señor Carlos Gorostiola Toríz</w:t>
      </w:r>
      <w:r w:rsidR="007E6688">
        <w:rPr>
          <w:rFonts w:cs="Times New Roman"/>
          <w:sz w:val="20"/>
          <w:szCs w:val="20"/>
          <w:lang w:val="es-MX"/>
        </w:rPr>
        <w:t xml:space="preserve">, amigo de los esposos Gallangos Vargas, entregó a la </w:t>
      </w:r>
      <w:r w:rsidR="007B01F9" w:rsidRPr="00DE28CE">
        <w:rPr>
          <w:rFonts w:cs="Times New Roman"/>
          <w:sz w:val="20"/>
          <w:szCs w:val="20"/>
          <w:lang w:val="es-MX" w:eastAsia="ja-JP"/>
        </w:rPr>
        <w:t>niña</w:t>
      </w:r>
      <w:r w:rsidR="00D3562F" w:rsidRPr="00DE28CE">
        <w:rPr>
          <w:rFonts w:cs="Times New Roman"/>
          <w:sz w:val="20"/>
          <w:szCs w:val="20"/>
          <w:lang w:val="es-MX" w:eastAsia="ja-JP"/>
        </w:rPr>
        <w:t xml:space="preserve"> Aleida Gallangos Vargas</w:t>
      </w:r>
      <w:r w:rsidR="00C843C4" w:rsidRPr="00DE28CE">
        <w:rPr>
          <w:rFonts w:cs="Times New Roman"/>
          <w:sz w:val="20"/>
          <w:szCs w:val="20"/>
          <w:lang w:val="es-MX" w:eastAsia="ja-JP"/>
        </w:rPr>
        <w:t xml:space="preserve"> </w:t>
      </w:r>
      <w:r w:rsidRPr="00DE28CE">
        <w:rPr>
          <w:rFonts w:cs="Times New Roman"/>
          <w:sz w:val="20"/>
          <w:szCs w:val="20"/>
          <w:lang w:val="es-MX"/>
        </w:rPr>
        <w:t xml:space="preserve">de dos años de edad, </w:t>
      </w:r>
      <w:r w:rsidR="00B21BAE" w:rsidRPr="00DE28CE">
        <w:rPr>
          <w:rFonts w:cs="Times New Roman"/>
          <w:sz w:val="20"/>
          <w:szCs w:val="20"/>
          <w:lang w:val="es-MX"/>
        </w:rPr>
        <w:t>a</w:t>
      </w:r>
      <w:r w:rsidRPr="00DE28CE">
        <w:rPr>
          <w:rFonts w:cs="Times New Roman"/>
          <w:sz w:val="20"/>
          <w:szCs w:val="20"/>
          <w:lang w:val="es-MX"/>
        </w:rPr>
        <w:t xml:space="preserve"> su</w:t>
      </w:r>
      <w:r w:rsidR="003F3DC5">
        <w:rPr>
          <w:rFonts w:cs="Times New Roman"/>
          <w:sz w:val="20"/>
          <w:szCs w:val="20"/>
          <w:lang w:val="es-MX"/>
        </w:rPr>
        <w:t xml:space="preserve"> hermano </w:t>
      </w:r>
      <w:r w:rsidR="003F3DC5" w:rsidRPr="00DE28CE">
        <w:rPr>
          <w:rFonts w:cs="Times New Roman"/>
          <w:sz w:val="20"/>
          <w:szCs w:val="20"/>
          <w:lang w:val="es-MX"/>
        </w:rPr>
        <w:t>Alejandro Gorostiola Toríz</w:t>
      </w:r>
      <w:r w:rsidR="003F3DC5">
        <w:rPr>
          <w:rFonts w:cs="Times New Roman"/>
          <w:sz w:val="20"/>
          <w:szCs w:val="20"/>
          <w:lang w:val="es-MX"/>
        </w:rPr>
        <w:t xml:space="preserve"> y a su esposa </w:t>
      </w:r>
      <w:r w:rsidR="00B21BAE" w:rsidRPr="00DE28CE">
        <w:rPr>
          <w:rFonts w:cs="Times New Roman"/>
          <w:sz w:val="20"/>
          <w:szCs w:val="20"/>
          <w:lang w:val="es-MX"/>
        </w:rPr>
        <w:t xml:space="preserve">María del Pilar Herrera Silvestre para su cuidado, </w:t>
      </w:r>
      <w:r w:rsidR="00D3562F" w:rsidRPr="00DE28CE">
        <w:rPr>
          <w:rFonts w:cs="Times New Roman"/>
          <w:sz w:val="20"/>
          <w:szCs w:val="20"/>
          <w:lang w:val="es-MX"/>
        </w:rPr>
        <w:t>argumentando</w:t>
      </w:r>
      <w:r w:rsidR="00B21BAE" w:rsidRPr="00DE28CE">
        <w:rPr>
          <w:rFonts w:cs="Times New Roman"/>
          <w:sz w:val="20"/>
          <w:szCs w:val="20"/>
          <w:lang w:val="es-MX"/>
        </w:rPr>
        <w:t xml:space="preserve"> que sus padres biológicos habían sido desaparecidos. </w:t>
      </w:r>
      <w:r w:rsidRPr="00DE28CE">
        <w:rPr>
          <w:rFonts w:cs="Times New Roman"/>
          <w:sz w:val="20"/>
          <w:szCs w:val="20"/>
          <w:lang w:val="es-MX"/>
        </w:rPr>
        <w:t>M</w:t>
      </w:r>
      <w:r w:rsidR="00B21BAE" w:rsidRPr="00DE28CE">
        <w:rPr>
          <w:rFonts w:cs="Times New Roman"/>
          <w:sz w:val="20"/>
          <w:szCs w:val="20"/>
          <w:lang w:val="es-MX"/>
        </w:rPr>
        <w:t>anifiestan que</w:t>
      </w:r>
      <w:r w:rsidRPr="00DE28CE">
        <w:rPr>
          <w:rFonts w:cs="Times New Roman"/>
          <w:sz w:val="20"/>
          <w:szCs w:val="20"/>
          <w:lang w:val="es-MX"/>
        </w:rPr>
        <w:t xml:space="preserve"> el señor </w:t>
      </w:r>
      <w:r w:rsidR="00B21BAE" w:rsidRPr="00DE28CE">
        <w:rPr>
          <w:rFonts w:cs="Times New Roman"/>
          <w:sz w:val="20"/>
          <w:szCs w:val="20"/>
          <w:lang w:val="es-MX"/>
        </w:rPr>
        <w:t xml:space="preserve">Gorostiola Toríz fue ejecutado extrajudicialmente por miembros de la Dirección Federal de Seguridad el 7 de agosto de 1976, perdiéndose con él toda información respecto a la familia biológica de </w:t>
      </w:r>
      <w:r w:rsidR="00AA7FA8" w:rsidRPr="00DE28CE">
        <w:rPr>
          <w:rFonts w:cs="Times New Roman"/>
          <w:sz w:val="20"/>
          <w:szCs w:val="20"/>
          <w:lang w:val="es-MX"/>
        </w:rPr>
        <w:t>Aleida</w:t>
      </w:r>
      <w:r w:rsidR="00B21BAE" w:rsidRPr="00DE28CE">
        <w:rPr>
          <w:rFonts w:cs="Times New Roman"/>
          <w:sz w:val="20"/>
          <w:szCs w:val="20"/>
          <w:lang w:val="es-MX"/>
        </w:rPr>
        <w:t>.</w:t>
      </w:r>
      <w:r w:rsidRPr="00DE28CE">
        <w:rPr>
          <w:rFonts w:cs="Times New Roman"/>
          <w:sz w:val="20"/>
          <w:szCs w:val="20"/>
          <w:lang w:val="es-MX"/>
        </w:rPr>
        <w:t xml:space="preserve"> </w:t>
      </w:r>
      <w:r w:rsidR="00B21BAE" w:rsidRPr="00DE28CE">
        <w:rPr>
          <w:rFonts w:cs="Times New Roman"/>
          <w:sz w:val="20"/>
          <w:szCs w:val="20"/>
          <w:lang w:val="es-MX"/>
        </w:rPr>
        <w:t>Señalan que por</w:t>
      </w:r>
      <w:r>
        <w:rPr>
          <w:rFonts w:cs="Times New Roman"/>
          <w:sz w:val="20"/>
          <w:szCs w:val="20"/>
          <w:lang w:val="es-MX"/>
        </w:rPr>
        <w:t xml:space="preserve"> </w:t>
      </w:r>
      <w:r w:rsidR="00D348D1">
        <w:rPr>
          <w:rFonts w:cs="Times New Roman"/>
          <w:sz w:val="20"/>
          <w:szCs w:val="20"/>
          <w:lang w:val="es-MX"/>
        </w:rPr>
        <w:t>la</w:t>
      </w:r>
      <w:r>
        <w:rPr>
          <w:rFonts w:cs="Times New Roman"/>
          <w:sz w:val="20"/>
          <w:szCs w:val="20"/>
          <w:lang w:val="es-MX"/>
        </w:rPr>
        <w:t xml:space="preserve"> </w:t>
      </w:r>
      <w:r w:rsidR="00B21BAE" w:rsidRPr="00DE28CE">
        <w:rPr>
          <w:rFonts w:cs="Times New Roman"/>
          <w:sz w:val="20"/>
          <w:szCs w:val="20"/>
          <w:lang w:val="es-MX"/>
        </w:rPr>
        <w:t>situa</w:t>
      </w:r>
      <w:r w:rsidR="003F3DC5">
        <w:rPr>
          <w:rFonts w:cs="Times New Roman"/>
          <w:sz w:val="20"/>
          <w:szCs w:val="20"/>
          <w:lang w:val="es-MX"/>
        </w:rPr>
        <w:t>ción de violencia generalizada,</w:t>
      </w:r>
      <w:r w:rsidR="00B21BAE" w:rsidRPr="00DE28CE">
        <w:rPr>
          <w:rFonts w:cs="Times New Roman"/>
          <w:sz w:val="20"/>
          <w:szCs w:val="20"/>
          <w:lang w:val="es-MX"/>
        </w:rPr>
        <w:t xml:space="preserve"> persecución</w:t>
      </w:r>
      <w:r w:rsidR="003F3DC5">
        <w:rPr>
          <w:rFonts w:cs="Times New Roman"/>
          <w:sz w:val="20"/>
          <w:szCs w:val="20"/>
          <w:lang w:val="es-MX"/>
        </w:rPr>
        <w:t xml:space="preserve"> y falta de datos, </w:t>
      </w:r>
      <w:r w:rsidR="00B21BAE" w:rsidRPr="00DE28CE">
        <w:rPr>
          <w:rFonts w:cs="Times New Roman"/>
          <w:sz w:val="20"/>
          <w:szCs w:val="20"/>
          <w:lang w:val="es-MX"/>
        </w:rPr>
        <w:t>aproximadamente 6 años</w:t>
      </w:r>
      <w:r w:rsidR="003F3DC5">
        <w:rPr>
          <w:rFonts w:cs="Times New Roman"/>
          <w:sz w:val="20"/>
          <w:szCs w:val="20"/>
          <w:lang w:val="es-MX"/>
        </w:rPr>
        <w:t xml:space="preserve"> después se registró</w:t>
      </w:r>
      <w:r w:rsidR="00B21BAE" w:rsidRPr="00DE28CE">
        <w:rPr>
          <w:rFonts w:cs="Times New Roman"/>
          <w:sz w:val="20"/>
          <w:szCs w:val="20"/>
          <w:lang w:val="es-MX"/>
        </w:rPr>
        <w:t xml:space="preserve"> a la niña con el nombre Luz Elba Gorostiola Herrera, a fin de acreditar su personalidad jurídica y acceder al sistema educativo.</w:t>
      </w:r>
    </w:p>
    <w:p w14:paraId="1DDFBF61" w14:textId="13C052D7" w:rsidR="00F93785" w:rsidRPr="00F93785" w:rsidRDefault="00C843C4" w:rsidP="00743A4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MX" w:eastAsia="ja-JP"/>
        </w:rPr>
      </w:pPr>
      <w:r w:rsidRPr="00F93785">
        <w:rPr>
          <w:rFonts w:cs="Times New Roman"/>
          <w:sz w:val="20"/>
          <w:szCs w:val="20"/>
          <w:lang w:val="es-MX"/>
        </w:rPr>
        <w:t xml:space="preserve"> </w:t>
      </w:r>
      <w:r w:rsidR="00B21BAE" w:rsidRPr="00F93785">
        <w:rPr>
          <w:rFonts w:cs="Times New Roman"/>
          <w:sz w:val="20"/>
          <w:szCs w:val="20"/>
          <w:lang w:val="es-MX"/>
        </w:rPr>
        <w:t xml:space="preserve">Indican que el día 16 de septiembre de 2001, la revista “Día Siete” publicó un reportaje sobre la desaparición de </w:t>
      </w:r>
      <w:r w:rsidR="009F171D" w:rsidRPr="00F93785">
        <w:rPr>
          <w:rFonts w:cs="Times New Roman"/>
          <w:sz w:val="20"/>
          <w:szCs w:val="20"/>
          <w:lang w:val="es-MX"/>
        </w:rPr>
        <w:t>la familia Gallangos Cruz</w:t>
      </w:r>
      <w:r w:rsidR="003F3DC5" w:rsidRPr="00F93785">
        <w:rPr>
          <w:rFonts w:cs="Times New Roman"/>
          <w:sz w:val="20"/>
          <w:szCs w:val="20"/>
          <w:lang w:val="es-MX"/>
        </w:rPr>
        <w:t xml:space="preserve"> y que al leerla el</w:t>
      </w:r>
      <w:r w:rsidR="00B21BAE" w:rsidRPr="00F93785">
        <w:rPr>
          <w:rFonts w:cs="Times New Roman"/>
          <w:sz w:val="20"/>
          <w:szCs w:val="20"/>
          <w:lang w:val="es-MX"/>
        </w:rPr>
        <w:t xml:space="preserve"> padre adoptivo de la presunta víctima, identif</w:t>
      </w:r>
      <w:r w:rsidR="00E3162D" w:rsidRPr="00F93785">
        <w:rPr>
          <w:rFonts w:cs="Times New Roman"/>
          <w:sz w:val="20"/>
          <w:szCs w:val="20"/>
          <w:lang w:val="es-MX"/>
        </w:rPr>
        <w:t xml:space="preserve">icó que ella podría ser la hija que </w:t>
      </w:r>
      <w:r w:rsidR="00DF6CFD" w:rsidRPr="00F93785">
        <w:rPr>
          <w:rFonts w:cs="Times New Roman"/>
          <w:sz w:val="20"/>
          <w:szCs w:val="20"/>
          <w:lang w:val="es-MX"/>
        </w:rPr>
        <w:t>estaba</w:t>
      </w:r>
      <w:r w:rsidR="00E3162D" w:rsidRPr="00F93785">
        <w:rPr>
          <w:rFonts w:cs="Times New Roman"/>
          <w:sz w:val="20"/>
          <w:szCs w:val="20"/>
          <w:lang w:val="es-MX"/>
        </w:rPr>
        <w:t>n</w:t>
      </w:r>
      <w:r w:rsidR="00DF6CFD" w:rsidRPr="00F93785">
        <w:rPr>
          <w:rFonts w:cs="Times New Roman"/>
          <w:sz w:val="20"/>
          <w:szCs w:val="20"/>
          <w:lang w:val="es-MX"/>
        </w:rPr>
        <w:t xml:space="preserve"> intentando localizar. </w:t>
      </w:r>
      <w:r w:rsidRPr="00F93785">
        <w:rPr>
          <w:rFonts w:cs="Times New Roman"/>
          <w:sz w:val="20"/>
          <w:szCs w:val="20"/>
          <w:lang w:val="es-MX"/>
        </w:rPr>
        <w:t xml:space="preserve">En </w:t>
      </w:r>
      <w:r w:rsidR="00B21BAE" w:rsidRPr="00F93785">
        <w:rPr>
          <w:rFonts w:cs="Times New Roman"/>
          <w:sz w:val="20"/>
          <w:szCs w:val="20"/>
          <w:lang w:val="es-MX"/>
        </w:rPr>
        <w:t>co</w:t>
      </w:r>
      <w:r w:rsidR="009F171D" w:rsidRPr="00F93785">
        <w:rPr>
          <w:rFonts w:cs="Times New Roman"/>
          <w:sz w:val="20"/>
          <w:szCs w:val="20"/>
          <w:lang w:val="es-MX"/>
        </w:rPr>
        <w:t>nsecuencia,</w:t>
      </w:r>
      <w:r w:rsidR="00E3162D" w:rsidRPr="00F93785">
        <w:rPr>
          <w:rFonts w:cs="Times New Roman"/>
          <w:sz w:val="20"/>
          <w:szCs w:val="20"/>
          <w:lang w:val="es-MX"/>
        </w:rPr>
        <w:t xml:space="preserve"> señalan que</w:t>
      </w:r>
      <w:r w:rsidR="009F171D" w:rsidRPr="00F93785">
        <w:rPr>
          <w:rFonts w:cs="Times New Roman"/>
          <w:sz w:val="20"/>
          <w:szCs w:val="20"/>
          <w:lang w:val="es-MX"/>
        </w:rPr>
        <w:t xml:space="preserve"> Aleida Gallangos Vargas </w:t>
      </w:r>
      <w:r w:rsidR="00E3162D" w:rsidRPr="00F93785">
        <w:rPr>
          <w:rFonts w:cs="Times New Roman"/>
          <w:sz w:val="20"/>
          <w:szCs w:val="20"/>
          <w:lang w:val="es-MX"/>
        </w:rPr>
        <w:t>conoc</w:t>
      </w:r>
      <w:r w:rsidR="006300B2" w:rsidRPr="00F93785">
        <w:rPr>
          <w:rFonts w:cs="Times New Roman"/>
          <w:sz w:val="20"/>
          <w:szCs w:val="20"/>
          <w:lang w:val="es-MX"/>
        </w:rPr>
        <w:t>ió</w:t>
      </w:r>
      <w:r w:rsidR="00B21BAE" w:rsidRPr="00F93785">
        <w:rPr>
          <w:rFonts w:cs="Times New Roman"/>
          <w:sz w:val="20"/>
          <w:szCs w:val="20"/>
          <w:lang w:val="es-MX"/>
        </w:rPr>
        <w:t xml:space="preserve"> que er</w:t>
      </w:r>
      <w:r w:rsidR="006300B2" w:rsidRPr="00F93785">
        <w:rPr>
          <w:rFonts w:cs="Times New Roman"/>
          <w:sz w:val="20"/>
          <w:szCs w:val="20"/>
          <w:lang w:val="es-MX"/>
        </w:rPr>
        <w:t>a hija de padres desaparecidos,</w:t>
      </w:r>
      <w:r w:rsidR="00B21BAE" w:rsidRPr="00F93785">
        <w:rPr>
          <w:rFonts w:cs="Times New Roman"/>
          <w:sz w:val="20"/>
          <w:szCs w:val="20"/>
          <w:lang w:val="es-MX"/>
        </w:rPr>
        <w:t xml:space="preserve"> </w:t>
      </w:r>
      <w:r w:rsidR="003B7155" w:rsidRPr="00F93785">
        <w:rPr>
          <w:rFonts w:cs="Times New Roman"/>
          <w:sz w:val="20"/>
          <w:szCs w:val="20"/>
          <w:lang w:val="es-MX"/>
        </w:rPr>
        <w:t>que emprendió</w:t>
      </w:r>
      <w:r w:rsidR="00B21BAE" w:rsidRPr="00F93785">
        <w:rPr>
          <w:rFonts w:cs="Times New Roman"/>
          <w:sz w:val="20"/>
          <w:szCs w:val="20"/>
          <w:lang w:val="es-MX"/>
        </w:rPr>
        <w:t xml:space="preserve"> con su familia adoptiva la búsqueda de su abuela biológica, </w:t>
      </w:r>
      <w:r w:rsidR="003B7155" w:rsidRPr="00F93785">
        <w:rPr>
          <w:rFonts w:cs="Times New Roman"/>
          <w:sz w:val="20"/>
          <w:szCs w:val="20"/>
          <w:lang w:val="es-MX"/>
        </w:rPr>
        <w:t xml:space="preserve">y que logró </w:t>
      </w:r>
      <w:r w:rsidR="00B21BAE" w:rsidRPr="00F93785">
        <w:rPr>
          <w:rFonts w:cs="Times New Roman"/>
          <w:sz w:val="20"/>
          <w:szCs w:val="20"/>
          <w:lang w:val="es-MX"/>
        </w:rPr>
        <w:t xml:space="preserve">reunirse con </w:t>
      </w:r>
      <w:r w:rsidR="003B7155" w:rsidRPr="00F93785">
        <w:rPr>
          <w:rFonts w:cs="Times New Roman"/>
          <w:sz w:val="20"/>
          <w:szCs w:val="20"/>
          <w:lang w:val="es-MX"/>
        </w:rPr>
        <w:t>su familia paterna</w:t>
      </w:r>
      <w:r w:rsidR="00B21BAE" w:rsidRPr="00F93785">
        <w:rPr>
          <w:rFonts w:cs="Times New Roman"/>
          <w:sz w:val="20"/>
          <w:szCs w:val="20"/>
          <w:lang w:val="es-MX"/>
        </w:rPr>
        <w:t xml:space="preserve"> el día 19 de septiembre de 2001. </w:t>
      </w:r>
      <w:r w:rsidR="00D348D1" w:rsidRPr="00F93785">
        <w:rPr>
          <w:rFonts w:cs="Times New Roman"/>
          <w:sz w:val="20"/>
          <w:szCs w:val="20"/>
          <w:lang w:val="es-MX"/>
        </w:rPr>
        <w:t xml:space="preserve">Relatan que a fines del 2001, un ex militante de la Liga 23 de septiembre </w:t>
      </w:r>
      <w:r w:rsidR="00F93785">
        <w:rPr>
          <w:rFonts w:cs="Times New Roman"/>
          <w:sz w:val="20"/>
          <w:szCs w:val="20"/>
          <w:lang w:val="es-MX"/>
        </w:rPr>
        <w:t>les</w:t>
      </w:r>
      <w:r w:rsidR="00D348D1" w:rsidRPr="00F93785">
        <w:rPr>
          <w:rFonts w:cs="Times New Roman"/>
          <w:sz w:val="20"/>
          <w:szCs w:val="20"/>
          <w:lang w:val="es-MX"/>
        </w:rPr>
        <w:t xml:space="preserve"> informó que Lucio Antonio G</w:t>
      </w:r>
      <w:r w:rsidR="006300B2" w:rsidRPr="00F93785">
        <w:rPr>
          <w:rFonts w:cs="Times New Roman"/>
          <w:sz w:val="20"/>
          <w:szCs w:val="20"/>
          <w:lang w:val="es-MX"/>
        </w:rPr>
        <w:t>allangos Cruz había sido llevado</w:t>
      </w:r>
      <w:r w:rsidR="00D348D1" w:rsidRPr="00F93785">
        <w:rPr>
          <w:rFonts w:cs="Times New Roman"/>
          <w:sz w:val="20"/>
          <w:szCs w:val="20"/>
          <w:lang w:val="es-MX"/>
        </w:rPr>
        <w:t xml:space="preserve"> a la Casa Hogar de la calzada de Tlalpan</w:t>
      </w:r>
      <w:r w:rsidR="006300B2" w:rsidRPr="00F93785">
        <w:rPr>
          <w:rFonts w:cs="Times New Roman"/>
          <w:sz w:val="20"/>
          <w:szCs w:val="20"/>
          <w:lang w:val="es-MX"/>
        </w:rPr>
        <w:t xml:space="preserve">. Precisan que denunciaron la situación ante la </w:t>
      </w:r>
      <w:r w:rsidR="004B01D4">
        <w:rPr>
          <w:rFonts w:cs="Times New Roman"/>
          <w:sz w:val="20"/>
          <w:szCs w:val="20"/>
          <w:lang w:val="es-MX" w:eastAsia="ja-JP"/>
        </w:rPr>
        <w:t>Fiscalía Especial para Movimientos Sociales y Políticos del Pasado</w:t>
      </w:r>
      <w:r w:rsidR="00743A4E">
        <w:rPr>
          <w:rFonts w:cs="Times New Roman"/>
          <w:sz w:val="20"/>
          <w:szCs w:val="20"/>
          <w:lang w:val="es-MX" w:eastAsia="ja-JP"/>
        </w:rPr>
        <w:t xml:space="preserve"> (e</w:t>
      </w:r>
      <w:r w:rsidR="00743A4E" w:rsidRPr="00743A4E">
        <w:rPr>
          <w:rFonts w:cs="Times New Roman"/>
          <w:sz w:val="20"/>
          <w:szCs w:val="20"/>
          <w:lang w:val="es-MX" w:eastAsia="ja-JP"/>
        </w:rPr>
        <w:t>n adelante, la “FEMOSPP</w:t>
      </w:r>
      <w:r w:rsidR="00743A4E">
        <w:rPr>
          <w:rFonts w:cs="Times New Roman"/>
          <w:sz w:val="20"/>
          <w:szCs w:val="20"/>
          <w:lang w:val="es-MX" w:eastAsia="ja-JP"/>
        </w:rPr>
        <w:t>”)</w:t>
      </w:r>
      <w:r w:rsidR="003B7155" w:rsidRPr="00F93785">
        <w:rPr>
          <w:rFonts w:cs="Times New Roman"/>
          <w:sz w:val="20"/>
          <w:szCs w:val="20"/>
          <w:lang w:val="es-MX" w:eastAsia="ja-JP"/>
        </w:rPr>
        <w:t xml:space="preserve">, </w:t>
      </w:r>
      <w:r w:rsidR="00F93785" w:rsidRPr="00F93785">
        <w:rPr>
          <w:rFonts w:cs="Times New Roman"/>
          <w:sz w:val="20"/>
          <w:szCs w:val="20"/>
          <w:lang w:val="es-MX" w:eastAsia="ja-JP"/>
        </w:rPr>
        <w:t xml:space="preserve">la cual </w:t>
      </w:r>
      <w:r w:rsidR="00F93785">
        <w:rPr>
          <w:rFonts w:cs="Times New Roman"/>
          <w:sz w:val="20"/>
          <w:szCs w:val="20"/>
          <w:lang w:val="es-MX" w:eastAsia="ja-JP"/>
        </w:rPr>
        <w:t>después de un</w:t>
      </w:r>
      <w:r w:rsidR="00D348D1" w:rsidRPr="00F93785">
        <w:rPr>
          <w:rFonts w:cs="Times New Roman"/>
          <w:sz w:val="20"/>
          <w:szCs w:val="20"/>
          <w:lang w:val="es-MX" w:eastAsia="ja-JP"/>
        </w:rPr>
        <w:t xml:space="preserve"> peritaje determinó que </w:t>
      </w:r>
      <w:r w:rsidR="00F93785">
        <w:rPr>
          <w:rFonts w:cs="Times New Roman"/>
          <w:sz w:val="20"/>
          <w:szCs w:val="20"/>
          <w:lang w:val="es-MX" w:eastAsia="ja-JP"/>
        </w:rPr>
        <w:t>el niño que había sido dado en adopción.</w:t>
      </w:r>
      <w:r w:rsidR="00073D99">
        <w:rPr>
          <w:rFonts w:cs="Times New Roman"/>
          <w:sz w:val="20"/>
          <w:szCs w:val="20"/>
          <w:lang w:val="es-MX" w:eastAsia="ja-JP"/>
        </w:rPr>
        <w:t xml:space="preserve"> Informan, respecto a Aleida Gallangos Vargas, que </w:t>
      </w:r>
      <w:r w:rsidR="00743A4E">
        <w:rPr>
          <w:rFonts w:cs="Times New Roman"/>
          <w:sz w:val="20"/>
          <w:szCs w:val="20"/>
          <w:lang w:val="es-MX" w:eastAsia="ja-JP"/>
        </w:rPr>
        <w:t>dicha entidad</w:t>
      </w:r>
      <w:r w:rsidR="00073D99">
        <w:rPr>
          <w:rFonts w:cs="Times New Roman"/>
          <w:sz w:val="20"/>
          <w:szCs w:val="20"/>
          <w:lang w:val="es-MX" w:eastAsia="ja-JP"/>
        </w:rPr>
        <w:t xml:space="preserve"> se comprometió a realizar un examen de ADN, para iniciar el proceso de aclaración del nombre, examen que a la fecha de presentación de la petición, no había sido practicado.</w:t>
      </w:r>
    </w:p>
    <w:p w14:paraId="1681D6F0" w14:textId="55ED7147" w:rsidR="00B21BAE" w:rsidRPr="00F93785" w:rsidRDefault="00F93785" w:rsidP="00F9378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MX" w:eastAsia="ja-JP"/>
        </w:rPr>
      </w:pPr>
      <w:r>
        <w:rPr>
          <w:rFonts w:cs="Times New Roman"/>
          <w:sz w:val="20"/>
          <w:szCs w:val="20"/>
          <w:lang w:val="es-MX" w:eastAsia="ja-JP"/>
        </w:rPr>
        <w:t>Alegan que en agosto de 2004,</w:t>
      </w:r>
      <w:r w:rsidR="00D348D1" w:rsidRPr="00F93785">
        <w:rPr>
          <w:rFonts w:cs="Times New Roman"/>
          <w:sz w:val="20"/>
          <w:szCs w:val="20"/>
          <w:lang w:val="es-MX" w:eastAsia="ja-JP"/>
        </w:rPr>
        <w:t xml:space="preserve"> ante la lentitud de la FEMOSPP, </w:t>
      </w:r>
      <w:r>
        <w:rPr>
          <w:rFonts w:cs="Times New Roman"/>
          <w:sz w:val="20"/>
          <w:szCs w:val="20"/>
          <w:lang w:val="es-MX" w:eastAsia="ja-JP"/>
        </w:rPr>
        <w:t xml:space="preserve">Aleida </w:t>
      </w:r>
      <w:r w:rsidR="00D348D1" w:rsidRPr="00F93785">
        <w:rPr>
          <w:rFonts w:cs="Times New Roman"/>
          <w:sz w:val="20"/>
          <w:szCs w:val="20"/>
          <w:lang w:val="es-MX" w:eastAsia="ja-JP"/>
        </w:rPr>
        <w:t xml:space="preserve">contactó </w:t>
      </w:r>
      <w:r>
        <w:rPr>
          <w:rFonts w:cs="Times New Roman"/>
          <w:sz w:val="20"/>
          <w:szCs w:val="20"/>
          <w:lang w:val="es-MX" w:eastAsia="ja-JP"/>
        </w:rPr>
        <w:t xml:space="preserve">a la familia adoptiva de su hermano, la que </w:t>
      </w:r>
      <w:r w:rsidR="00D348D1" w:rsidRPr="00F93785">
        <w:rPr>
          <w:rFonts w:cs="Times New Roman"/>
          <w:sz w:val="20"/>
          <w:szCs w:val="20"/>
          <w:lang w:val="es-MX" w:eastAsia="ja-JP"/>
        </w:rPr>
        <w:t>negó cualquier información del paradero de la presunta víctima</w:t>
      </w:r>
      <w:r>
        <w:rPr>
          <w:rFonts w:cs="Times New Roman"/>
          <w:sz w:val="20"/>
          <w:szCs w:val="20"/>
          <w:lang w:val="es-MX" w:eastAsia="ja-JP"/>
        </w:rPr>
        <w:t xml:space="preserve">. Afirman que </w:t>
      </w:r>
      <w:r w:rsidR="00D348D1" w:rsidRPr="00F93785">
        <w:rPr>
          <w:rFonts w:cs="Times New Roman"/>
          <w:sz w:val="20"/>
          <w:szCs w:val="20"/>
          <w:lang w:val="es-MX" w:eastAsia="ja-JP"/>
        </w:rPr>
        <w:t xml:space="preserve">sin apoyo </w:t>
      </w:r>
      <w:r>
        <w:rPr>
          <w:rFonts w:cs="Times New Roman"/>
          <w:sz w:val="20"/>
          <w:szCs w:val="20"/>
          <w:lang w:val="es-MX" w:eastAsia="ja-JP"/>
        </w:rPr>
        <w:t>estatal</w:t>
      </w:r>
      <w:r w:rsidR="00D348D1" w:rsidRPr="00F93785">
        <w:rPr>
          <w:rFonts w:cs="Times New Roman"/>
          <w:sz w:val="20"/>
          <w:szCs w:val="20"/>
          <w:lang w:val="es-MX" w:eastAsia="ja-JP"/>
        </w:rPr>
        <w:t xml:space="preserve">, obtuvo información </w:t>
      </w:r>
      <w:r w:rsidR="00EA2A61">
        <w:rPr>
          <w:rFonts w:cs="Times New Roman"/>
          <w:sz w:val="20"/>
          <w:szCs w:val="20"/>
          <w:lang w:val="es-MX" w:eastAsia="ja-JP"/>
        </w:rPr>
        <w:t xml:space="preserve">que señalaba que Lucio Antonio </w:t>
      </w:r>
      <w:r w:rsidR="00D348D1" w:rsidRPr="00F93785">
        <w:rPr>
          <w:rFonts w:cs="Times New Roman"/>
          <w:sz w:val="20"/>
          <w:szCs w:val="20"/>
          <w:lang w:val="es-MX" w:eastAsia="ja-JP"/>
        </w:rPr>
        <w:t xml:space="preserve">se encontraba en Estados Unidos y </w:t>
      </w:r>
      <w:r w:rsidR="00EA2A61">
        <w:rPr>
          <w:rFonts w:cs="Times New Roman"/>
          <w:sz w:val="20"/>
          <w:szCs w:val="20"/>
          <w:lang w:val="es-MX" w:eastAsia="ja-JP"/>
        </w:rPr>
        <w:t xml:space="preserve">que </w:t>
      </w:r>
      <w:r w:rsidR="00D348D1" w:rsidRPr="00F93785">
        <w:rPr>
          <w:rFonts w:cs="Times New Roman"/>
          <w:sz w:val="20"/>
          <w:szCs w:val="20"/>
          <w:lang w:val="es-MX" w:eastAsia="ja-JP"/>
        </w:rPr>
        <w:t>el 27 de enero de 2005, accedió a practicarse un examen de ADN a través del consulado mexicano en Washington DC</w:t>
      </w:r>
      <w:r w:rsidR="00EA2A61">
        <w:rPr>
          <w:rFonts w:cs="Times New Roman"/>
          <w:sz w:val="20"/>
          <w:szCs w:val="20"/>
          <w:lang w:val="es-MX" w:eastAsia="ja-JP"/>
        </w:rPr>
        <w:t>. F</w:t>
      </w:r>
      <w:r w:rsidR="00D348D1" w:rsidRPr="00F93785">
        <w:rPr>
          <w:rFonts w:cs="Times New Roman"/>
          <w:sz w:val="20"/>
          <w:szCs w:val="20"/>
          <w:lang w:val="es-MX" w:eastAsia="ja-JP"/>
        </w:rPr>
        <w:t>inalmente</w:t>
      </w:r>
      <w:r w:rsidR="00EA2A61">
        <w:rPr>
          <w:rFonts w:cs="Times New Roman"/>
          <w:sz w:val="20"/>
          <w:szCs w:val="20"/>
          <w:lang w:val="es-MX" w:eastAsia="ja-JP"/>
        </w:rPr>
        <w:t>,</w:t>
      </w:r>
      <w:r w:rsidR="00D348D1" w:rsidRPr="00F93785">
        <w:rPr>
          <w:rFonts w:cs="Times New Roman"/>
          <w:sz w:val="20"/>
          <w:szCs w:val="20"/>
          <w:lang w:val="es-MX" w:eastAsia="ja-JP"/>
        </w:rPr>
        <w:t xml:space="preserve"> </w:t>
      </w:r>
      <w:r w:rsidR="00EA2A61">
        <w:rPr>
          <w:rFonts w:cs="Times New Roman"/>
          <w:sz w:val="20"/>
          <w:szCs w:val="20"/>
          <w:lang w:val="es-MX" w:eastAsia="ja-JP"/>
        </w:rPr>
        <w:t>expresan</w:t>
      </w:r>
      <w:r w:rsidR="00D348D1" w:rsidRPr="00F93785">
        <w:rPr>
          <w:rFonts w:cs="Times New Roman"/>
          <w:sz w:val="20"/>
          <w:szCs w:val="20"/>
          <w:lang w:val="es-MX" w:eastAsia="ja-JP"/>
        </w:rPr>
        <w:t xml:space="preserve"> que el 9 de febrero de 2005 la FEMOSPP dio a conocer los resultados</w:t>
      </w:r>
      <w:r w:rsidR="00EA2A61">
        <w:rPr>
          <w:rFonts w:cs="Times New Roman"/>
          <w:sz w:val="20"/>
          <w:szCs w:val="20"/>
          <w:lang w:val="es-MX" w:eastAsia="ja-JP"/>
        </w:rPr>
        <w:t xml:space="preserve"> de las pruebas genéticas, identificando el parentesco entre los hermanos Gallangos Vargas.</w:t>
      </w:r>
    </w:p>
    <w:p w14:paraId="53E3497F" w14:textId="6CFE7B7A" w:rsidR="00D32752" w:rsidRPr="003362B6" w:rsidRDefault="00D32752" w:rsidP="00D3275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i/>
          <w:sz w:val="20"/>
          <w:szCs w:val="20"/>
          <w:lang w:val="es-MX"/>
        </w:rPr>
      </w:pPr>
      <w:r w:rsidRPr="003362B6">
        <w:rPr>
          <w:b/>
          <w:i/>
          <w:sz w:val="20"/>
          <w:szCs w:val="20"/>
          <w:lang w:val="es-MX"/>
        </w:rPr>
        <w:t>Alegatos específicos respecto del señor Francisco Avelino Gallangos Cruz</w:t>
      </w:r>
    </w:p>
    <w:p w14:paraId="20AA45A5" w14:textId="27369198" w:rsidR="00C843C4" w:rsidRPr="00C843C4" w:rsidRDefault="00D32752" w:rsidP="00EA68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lang w:val="es-MX"/>
        </w:rPr>
      </w:pPr>
      <w:r>
        <w:rPr>
          <w:sz w:val="20"/>
          <w:szCs w:val="20"/>
          <w:lang w:val="es-MX"/>
        </w:rPr>
        <w:t xml:space="preserve">Alegan que </w:t>
      </w:r>
      <w:r w:rsidR="00E3162D">
        <w:rPr>
          <w:sz w:val="20"/>
          <w:szCs w:val="20"/>
          <w:lang w:val="es-MX"/>
        </w:rPr>
        <w:t xml:space="preserve">en el contexto de la persecución seguida contra </w:t>
      </w:r>
      <w:r w:rsidR="00874B67">
        <w:rPr>
          <w:sz w:val="20"/>
          <w:szCs w:val="20"/>
          <w:lang w:val="es-MX"/>
        </w:rPr>
        <w:t>la citada</w:t>
      </w:r>
      <w:r w:rsidR="00E3162D">
        <w:rPr>
          <w:sz w:val="20"/>
          <w:szCs w:val="20"/>
          <w:lang w:val="es-MX"/>
        </w:rPr>
        <w:t xml:space="preserve"> familia, el señor </w:t>
      </w:r>
      <w:r w:rsidR="004A2061" w:rsidRPr="00EA68A8">
        <w:rPr>
          <w:sz w:val="20"/>
          <w:szCs w:val="20"/>
          <w:lang w:val="es-MX"/>
        </w:rPr>
        <w:t>Francisco Avelino Gallangos Cruz</w:t>
      </w:r>
      <w:r w:rsidR="00BC0849" w:rsidRPr="00EA68A8">
        <w:rPr>
          <w:sz w:val="20"/>
          <w:szCs w:val="20"/>
          <w:lang w:val="es-MX"/>
        </w:rPr>
        <w:t>, herman</w:t>
      </w:r>
      <w:r w:rsidR="004A2061" w:rsidRPr="00EA68A8">
        <w:rPr>
          <w:sz w:val="20"/>
          <w:szCs w:val="20"/>
          <w:lang w:val="es-MX"/>
        </w:rPr>
        <w:t>o</w:t>
      </w:r>
      <w:r w:rsidR="00BC0849" w:rsidRPr="00EA68A8">
        <w:rPr>
          <w:sz w:val="20"/>
          <w:szCs w:val="20"/>
          <w:lang w:val="es-MX"/>
        </w:rPr>
        <w:t xml:space="preserve"> de Roberto Antonio Gallangos Cruz,</w:t>
      </w:r>
      <w:r w:rsidR="00BD6B07" w:rsidRPr="00EA68A8">
        <w:rPr>
          <w:sz w:val="20"/>
          <w:szCs w:val="20"/>
          <w:lang w:val="es-MX"/>
        </w:rPr>
        <w:t xml:space="preserve"> fue detenid</w:t>
      </w:r>
      <w:r w:rsidR="004A2061" w:rsidRPr="00EA68A8">
        <w:rPr>
          <w:sz w:val="20"/>
          <w:szCs w:val="20"/>
          <w:lang w:val="es-MX"/>
        </w:rPr>
        <w:t>o</w:t>
      </w:r>
      <w:r w:rsidR="00E3162D">
        <w:rPr>
          <w:sz w:val="20"/>
          <w:szCs w:val="20"/>
          <w:lang w:val="es-MX"/>
        </w:rPr>
        <w:t xml:space="preserve"> el 22 de agosto de 1975 </w:t>
      </w:r>
      <w:r w:rsidR="00BD6B07" w:rsidRPr="00EA68A8">
        <w:rPr>
          <w:sz w:val="20"/>
          <w:szCs w:val="20"/>
          <w:lang w:val="es-MX"/>
        </w:rPr>
        <w:t>en la Ciudad de México, por tres miembros de la Policía Preven</w:t>
      </w:r>
      <w:r w:rsidR="006E64F9">
        <w:rPr>
          <w:sz w:val="20"/>
          <w:szCs w:val="20"/>
          <w:lang w:val="es-MX"/>
        </w:rPr>
        <w:t>tiva</w:t>
      </w:r>
      <w:r w:rsidR="00BD6B07" w:rsidRPr="00EA68A8">
        <w:rPr>
          <w:sz w:val="20"/>
          <w:szCs w:val="20"/>
          <w:lang w:val="es-MX"/>
        </w:rPr>
        <w:t xml:space="preserve">. Señalan que la última </w:t>
      </w:r>
      <w:r w:rsidR="00BD6B07" w:rsidRPr="00EA68A8">
        <w:rPr>
          <w:sz w:val="20"/>
          <w:szCs w:val="20"/>
          <w:lang w:val="es-MX"/>
        </w:rPr>
        <w:lastRenderedPageBreak/>
        <w:t xml:space="preserve">información disponible </w:t>
      </w:r>
      <w:r w:rsidR="00874B67">
        <w:rPr>
          <w:sz w:val="20"/>
          <w:szCs w:val="20"/>
          <w:lang w:val="es-MX"/>
        </w:rPr>
        <w:t xml:space="preserve">indica que </w:t>
      </w:r>
      <w:r w:rsidR="00BA65ED" w:rsidRPr="00EA68A8">
        <w:rPr>
          <w:sz w:val="20"/>
          <w:szCs w:val="20"/>
          <w:lang w:val="es-MX"/>
        </w:rPr>
        <w:t>el 23 de agosto de 1975</w:t>
      </w:r>
      <w:r w:rsidR="00874B67">
        <w:rPr>
          <w:sz w:val="20"/>
          <w:szCs w:val="20"/>
          <w:lang w:val="es-MX"/>
        </w:rPr>
        <w:t xml:space="preserve"> estuvo </w:t>
      </w:r>
      <w:r w:rsidR="00BD6B07" w:rsidRPr="00EA68A8">
        <w:rPr>
          <w:sz w:val="20"/>
          <w:szCs w:val="20"/>
          <w:lang w:val="es-MX"/>
        </w:rPr>
        <w:t xml:space="preserve">en la Dirección General de Policía y Tránsito del Distrito Federal. </w:t>
      </w:r>
      <w:r w:rsidR="00874B67">
        <w:rPr>
          <w:sz w:val="20"/>
          <w:szCs w:val="20"/>
          <w:lang w:val="es-MX"/>
        </w:rPr>
        <w:t xml:space="preserve"> Sostienen que desde entonces desconocen su paradero.</w:t>
      </w:r>
    </w:p>
    <w:p w14:paraId="68DDE204" w14:textId="44520527" w:rsidR="004A2061" w:rsidRPr="003362B6" w:rsidRDefault="004A2061" w:rsidP="00C843C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i/>
          <w:sz w:val="20"/>
          <w:szCs w:val="20"/>
          <w:lang w:val="es-MX"/>
        </w:rPr>
      </w:pPr>
      <w:r w:rsidRPr="003362B6">
        <w:rPr>
          <w:b/>
          <w:i/>
          <w:sz w:val="20"/>
          <w:szCs w:val="20"/>
          <w:lang w:val="es-MX"/>
        </w:rPr>
        <w:t xml:space="preserve">Alegatos específicos respecto de la familia </w:t>
      </w:r>
      <w:r w:rsidR="009F171D" w:rsidRPr="003362B6">
        <w:rPr>
          <w:b/>
          <w:i/>
          <w:sz w:val="20"/>
          <w:szCs w:val="20"/>
          <w:lang w:val="es-MX"/>
        </w:rPr>
        <w:t xml:space="preserve">Gorostiola </w:t>
      </w:r>
      <w:r w:rsidRPr="003362B6">
        <w:rPr>
          <w:b/>
          <w:i/>
          <w:sz w:val="20"/>
          <w:szCs w:val="20"/>
          <w:lang w:val="es-MX"/>
        </w:rPr>
        <w:t>Toríz</w:t>
      </w:r>
      <w:r w:rsidR="00CD0D85" w:rsidRPr="003362B6">
        <w:rPr>
          <w:b/>
          <w:i/>
          <w:sz w:val="20"/>
          <w:szCs w:val="20"/>
          <w:lang w:val="es-MX"/>
        </w:rPr>
        <w:t xml:space="preserve"> –Cabrera Arenas</w:t>
      </w:r>
    </w:p>
    <w:p w14:paraId="058C07A1" w14:textId="77777777" w:rsidR="0082272B" w:rsidRPr="0082272B" w:rsidRDefault="00D111EE" w:rsidP="004A206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lang w:val="es-MX"/>
        </w:rPr>
      </w:pPr>
      <w:r w:rsidRPr="00C2052D">
        <w:rPr>
          <w:sz w:val="20"/>
          <w:szCs w:val="20"/>
          <w:lang w:val="es-MX"/>
        </w:rPr>
        <w:t>Manifiestan que</w:t>
      </w:r>
      <w:r w:rsidR="004A2061" w:rsidRPr="00C2052D">
        <w:rPr>
          <w:sz w:val="20"/>
          <w:szCs w:val="20"/>
          <w:lang w:val="es-MX"/>
        </w:rPr>
        <w:t xml:space="preserve"> </w:t>
      </w:r>
      <w:r w:rsidRPr="00C2052D">
        <w:rPr>
          <w:sz w:val="20"/>
          <w:szCs w:val="20"/>
          <w:lang w:val="es-MX"/>
        </w:rPr>
        <w:t>después de la ejecución extrajudicial</w:t>
      </w:r>
      <w:r w:rsidR="006E64F9">
        <w:rPr>
          <w:sz w:val="20"/>
          <w:szCs w:val="20"/>
          <w:lang w:val="es-MX"/>
        </w:rPr>
        <w:t xml:space="preserve"> de</w:t>
      </w:r>
      <w:r w:rsidR="00EC19C2" w:rsidRPr="00C2052D">
        <w:rPr>
          <w:sz w:val="20"/>
          <w:szCs w:val="20"/>
          <w:lang w:val="es-MX"/>
        </w:rPr>
        <w:t xml:space="preserve"> </w:t>
      </w:r>
      <w:r w:rsidR="005F151C" w:rsidRPr="00C2052D">
        <w:rPr>
          <w:sz w:val="20"/>
          <w:szCs w:val="20"/>
          <w:lang w:val="es-MX"/>
        </w:rPr>
        <w:t xml:space="preserve">Carlos Gorostiola </w:t>
      </w:r>
      <w:r w:rsidRPr="00C2052D">
        <w:rPr>
          <w:sz w:val="20"/>
          <w:szCs w:val="20"/>
          <w:lang w:val="es-MX"/>
        </w:rPr>
        <w:t>Tor</w:t>
      </w:r>
      <w:r w:rsidR="00EC19C2" w:rsidRPr="00C2052D">
        <w:rPr>
          <w:sz w:val="20"/>
          <w:szCs w:val="20"/>
          <w:lang w:val="es-MX"/>
        </w:rPr>
        <w:t xml:space="preserve">íz </w:t>
      </w:r>
      <w:r w:rsidR="006E64F9">
        <w:rPr>
          <w:sz w:val="20"/>
          <w:szCs w:val="20"/>
          <w:lang w:val="es-MX"/>
        </w:rPr>
        <w:t xml:space="preserve">cometida </w:t>
      </w:r>
      <w:r w:rsidR="00EC19C2" w:rsidRPr="00C2052D">
        <w:rPr>
          <w:sz w:val="20"/>
          <w:szCs w:val="20"/>
          <w:lang w:val="es-MX"/>
        </w:rPr>
        <w:t>por agentes de la Dirección Federal de Seguridad el 7 de agosto de 1976,</w:t>
      </w:r>
      <w:r w:rsidR="006E64F9">
        <w:rPr>
          <w:sz w:val="20"/>
          <w:szCs w:val="20"/>
          <w:lang w:val="es-MX"/>
        </w:rPr>
        <w:t xml:space="preserve"> su hermano el señor </w:t>
      </w:r>
      <w:r w:rsidR="006E64F9" w:rsidRPr="00C2052D">
        <w:rPr>
          <w:sz w:val="20"/>
          <w:szCs w:val="20"/>
          <w:lang w:val="es-MX"/>
        </w:rPr>
        <w:t xml:space="preserve">Francisco Gorostiola Toríz, </w:t>
      </w:r>
      <w:r w:rsidR="0082272B">
        <w:rPr>
          <w:sz w:val="20"/>
          <w:szCs w:val="20"/>
          <w:lang w:val="es-MX"/>
        </w:rPr>
        <w:t>intentó ir</w:t>
      </w:r>
      <w:r w:rsidR="006E64F9">
        <w:rPr>
          <w:sz w:val="20"/>
          <w:szCs w:val="20"/>
          <w:lang w:val="es-MX"/>
        </w:rPr>
        <w:t xml:space="preserve"> a </w:t>
      </w:r>
      <w:r w:rsidR="00EC19C2" w:rsidRPr="00C2052D">
        <w:rPr>
          <w:sz w:val="20"/>
          <w:szCs w:val="20"/>
          <w:lang w:val="es-MX"/>
        </w:rPr>
        <w:t>la población de San Martín Cuautlalpan para avisar</w:t>
      </w:r>
      <w:r w:rsidR="006E64F9">
        <w:rPr>
          <w:sz w:val="20"/>
          <w:szCs w:val="20"/>
          <w:lang w:val="es-MX"/>
        </w:rPr>
        <w:t>les</w:t>
      </w:r>
      <w:r w:rsidR="00EC19C2" w:rsidRPr="00C2052D">
        <w:rPr>
          <w:sz w:val="20"/>
          <w:szCs w:val="20"/>
          <w:lang w:val="es-MX"/>
        </w:rPr>
        <w:t xml:space="preserve"> a sus padres </w:t>
      </w:r>
      <w:r w:rsidR="006E64F9">
        <w:rPr>
          <w:sz w:val="20"/>
          <w:szCs w:val="20"/>
          <w:lang w:val="es-MX"/>
        </w:rPr>
        <w:t>lo ocurrido</w:t>
      </w:r>
      <w:r w:rsidR="00A33889">
        <w:rPr>
          <w:sz w:val="20"/>
          <w:szCs w:val="20"/>
          <w:lang w:val="es-MX"/>
        </w:rPr>
        <w:t xml:space="preserve">. No obstante, indican que </w:t>
      </w:r>
      <w:r w:rsidR="00B85B8F">
        <w:rPr>
          <w:sz w:val="20"/>
          <w:szCs w:val="20"/>
          <w:lang w:val="es-MX"/>
        </w:rPr>
        <w:t xml:space="preserve">él y su pareja </w:t>
      </w:r>
      <w:r w:rsidR="00B85B8F" w:rsidRPr="00C2052D">
        <w:rPr>
          <w:sz w:val="20"/>
          <w:szCs w:val="20"/>
          <w:lang w:val="es-MX"/>
        </w:rPr>
        <w:t>Emma Cabrera Arenas</w:t>
      </w:r>
      <w:r w:rsidR="00B85B8F">
        <w:rPr>
          <w:sz w:val="20"/>
          <w:szCs w:val="20"/>
          <w:lang w:val="es-MX"/>
        </w:rPr>
        <w:t xml:space="preserve">, </w:t>
      </w:r>
      <w:r w:rsidR="00A33889" w:rsidRPr="003A27A1">
        <w:rPr>
          <w:sz w:val="20"/>
          <w:szCs w:val="20"/>
          <w:lang w:val="es-MX"/>
        </w:rPr>
        <w:t>fue</w:t>
      </w:r>
      <w:r w:rsidR="00B85B8F">
        <w:rPr>
          <w:sz w:val="20"/>
          <w:szCs w:val="20"/>
          <w:lang w:val="es-MX"/>
        </w:rPr>
        <w:t>ron</w:t>
      </w:r>
      <w:r w:rsidR="00A33889" w:rsidRPr="003A27A1">
        <w:rPr>
          <w:sz w:val="20"/>
          <w:szCs w:val="20"/>
          <w:lang w:val="es-MX"/>
        </w:rPr>
        <w:t xml:space="preserve"> detenido</w:t>
      </w:r>
      <w:r w:rsidR="00B85B8F">
        <w:rPr>
          <w:sz w:val="20"/>
          <w:szCs w:val="20"/>
          <w:lang w:val="es-MX"/>
        </w:rPr>
        <w:t>s</w:t>
      </w:r>
      <w:r w:rsidR="00A33889" w:rsidRPr="003A27A1">
        <w:rPr>
          <w:sz w:val="20"/>
          <w:szCs w:val="20"/>
          <w:lang w:val="es-MX"/>
        </w:rPr>
        <w:t xml:space="preserve"> el 28 de agosto de 1976 por agentes de la Policía Judicial del Distrito Federal</w:t>
      </w:r>
      <w:r w:rsidR="00EC19C2" w:rsidRPr="00C2052D">
        <w:rPr>
          <w:sz w:val="20"/>
          <w:szCs w:val="20"/>
          <w:lang w:val="es-MX"/>
        </w:rPr>
        <w:t xml:space="preserve">. </w:t>
      </w:r>
      <w:r w:rsidR="0020653E">
        <w:rPr>
          <w:sz w:val="20"/>
          <w:szCs w:val="20"/>
          <w:lang w:val="es-MX"/>
        </w:rPr>
        <w:t xml:space="preserve">Alegan que la señora Emma Cabrera </w:t>
      </w:r>
      <w:r w:rsidR="0020653E" w:rsidRPr="00C2052D">
        <w:rPr>
          <w:sz w:val="20"/>
          <w:szCs w:val="20"/>
          <w:lang w:val="es-MX"/>
        </w:rPr>
        <w:t>tenía seis meses de emb</w:t>
      </w:r>
      <w:r w:rsidR="0020653E">
        <w:rPr>
          <w:sz w:val="20"/>
          <w:szCs w:val="20"/>
          <w:lang w:val="es-MX"/>
        </w:rPr>
        <w:t>arazo al momento de su detención. Relatan que ambos resultaron heridos cuando se enfrentaron a dos agentes policiales</w:t>
      </w:r>
      <w:r w:rsidR="0082272B">
        <w:rPr>
          <w:sz w:val="20"/>
          <w:szCs w:val="20"/>
          <w:lang w:val="es-MX"/>
        </w:rPr>
        <w:t xml:space="preserve">. </w:t>
      </w:r>
    </w:p>
    <w:p w14:paraId="1CEF9786" w14:textId="77777777" w:rsidR="00D545BA" w:rsidRPr="00D545BA" w:rsidRDefault="0082272B" w:rsidP="00C2052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lang w:val="es-MX"/>
        </w:rPr>
      </w:pPr>
      <w:r w:rsidRPr="00D545BA">
        <w:rPr>
          <w:sz w:val="20"/>
          <w:szCs w:val="20"/>
          <w:lang w:val="es-MX"/>
        </w:rPr>
        <w:t xml:space="preserve">Refieren que la madre de los hermanos Gorostiola Toríz, </w:t>
      </w:r>
      <w:r w:rsidR="00EC19C2" w:rsidRPr="00D545BA">
        <w:rPr>
          <w:sz w:val="20"/>
          <w:szCs w:val="20"/>
          <w:lang w:val="es-MX"/>
        </w:rPr>
        <w:t>denunci</w:t>
      </w:r>
      <w:r w:rsidR="00385FEE" w:rsidRPr="00D545BA">
        <w:rPr>
          <w:sz w:val="20"/>
          <w:szCs w:val="20"/>
          <w:lang w:val="es-MX"/>
        </w:rPr>
        <w:t>ó</w:t>
      </w:r>
      <w:r w:rsidR="00EC19C2" w:rsidRPr="00D545BA">
        <w:rPr>
          <w:sz w:val="20"/>
          <w:szCs w:val="20"/>
          <w:lang w:val="es-MX"/>
        </w:rPr>
        <w:t xml:space="preserve"> que el 30 de agosto de 1976, un agente judicial se presentó en su casa y le entreg</w:t>
      </w:r>
      <w:r w:rsidR="00385FEE" w:rsidRPr="00D545BA">
        <w:rPr>
          <w:sz w:val="20"/>
          <w:szCs w:val="20"/>
          <w:lang w:val="es-MX"/>
        </w:rPr>
        <w:t xml:space="preserve">ó una bolsa con ropa manchada </w:t>
      </w:r>
      <w:r w:rsidRPr="00D545BA">
        <w:rPr>
          <w:sz w:val="20"/>
          <w:szCs w:val="20"/>
          <w:lang w:val="es-MX"/>
        </w:rPr>
        <w:t xml:space="preserve">con la </w:t>
      </w:r>
      <w:r w:rsidR="00385FEE" w:rsidRPr="00D545BA">
        <w:rPr>
          <w:sz w:val="20"/>
          <w:szCs w:val="20"/>
          <w:lang w:val="es-MX"/>
        </w:rPr>
        <w:t>sangre de</w:t>
      </w:r>
      <w:r w:rsidRPr="00D545BA">
        <w:rPr>
          <w:sz w:val="20"/>
          <w:szCs w:val="20"/>
          <w:lang w:val="es-MX"/>
        </w:rPr>
        <w:t xml:space="preserve"> su hijo</w:t>
      </w:r>
      <w:r w:rsidR="00385FEE" w:rsidRPr="00D545BA">
        <w:rPr>
          <w:sz w:val="20"/>
          <w:szCs w:val="20"/>
          <w:lang w:val="es-MX"/>
        </w:rPr>
        <w:t xml:space="preserve"> </w:t>
      </w:r>
      <w:r w:rsidR="00B21BAE" w:rsidRPr="00D545BA">
        <w:rPr>
          <w:sz w:val="20"/>
          <w:szCs w:val="20"/>
          <w:lang w:val="es-MX"/>
        </w:rPr>
        <w:t>Francisco</w:t>
      </w:r>
      <w:r w:rsidR="00385FEE" w:rsidRPr="00D545BA">
        <w:rPr>
          <w:sz w:val="20"/>
          <w:szCs w:val="20"/>
          <w:lang w:val="es-MX"/>
        </w:rPr>
        <w:t xml:space="preserve">, informándole </w:t>
      </w:r>
      <w:r w:rsidR="00462D4E" w:rsidRPr="00D545BA">
        <w:rPr>
          <w:sz w:val="20"/>
          <w:szCs w:val="20"/>
          <w:lang w:val="es-MX"/>
        </w:rPr>
        <w:t>que</w:t>
      </w:r>
      <w:r w:rsidRPr="00D545BA">
        <w:rPr>
          <w:sz w:val="20"/>
          <w:szCs w:val="20"/>
          <w:lang w:val="es-MX"/>
        </w:rPr>
        <w:t xml:space="preserve"> </w:t>
      </w:r>
      <w:r w:rsidR="00EA4B75" w:rsidRPr="00D545BA">
        <w:rPr>
          <w:sz w:val="20"/>
          <w:szCs w:val="20"/>
          <w:lang w:val="es-MX"/>
        </w:rPr>
        <w:t>él y su pareja</w:t>
      </w:r>
      <w:r w:rsidR="00462D4E" w:rsidRPr="00D545BA">
        <w:rPr>
          <w:sz w:val="20"/>
          <w:szCs w:val="20"/>
          <w:lang w:val="es-MX"/>
        </w:rPr>
        <w:t xml:space="preserve"> se encontraba</w:t>
      </w:r>
      <w:r w:rsidR="00EA4B75" w:rsidRPr="00D545BA">
        <w:rPr>
          <w:sz w:val="20"/>
          <w:szCs w:val="20"/>
          <w:lang w:val="es-MX"/>
        </w:rPr>
        <w:t>n</w:t>
      </w:r>
      <w:r w:rsidR="00462D4E" w:rsidRPr="00D545BA">
        <w:rPr>
          <w:sz w:val="20"/>
          <w:szCs w:val="20"/>
          <w:lang w:val="es-MX"/>
        </w:rPr>
        <w:t xml:space="preserve"> herido</w:t>
      </w:r>
      <w:r w:rsidR="00EA4B75" w:rsidRPr="00D545BA">
        <w:rPr>
          <w:sz w:val="20"/>
          <w:szCs w:val="20"/>
          <w:lang w:val="es-MX"/>
        </w:rPr>
        <w:t>s</w:t>
      </w:r>
      <w:r w:rsidR="00462D4E" w:rsidRPr="00D545BA">
        <w:rPr>
          <w:sz w:val="20"/>
          <w:szCs w:val="20"/>
          <w:lang w:val="es-MX"/>
        </w:rPr>
        <w:t xml:space="preserve"> en la Cruz R</w:t>
      </w:r>
      <w:r w:rsidR="00EA4B75" w:rsidRPr="00D545BA">
        <w:rPr>
          <w:sz w:val="20"/>
          <w:szCs w:val="20"/>
          <w:lang w:val="es-MX"/>
        </w:rPr>
        <w:t xml:space="preserve">oja. Afirman que ella acudió al citado hospital </w:t>
      </w:r>
      <w:r w:rsidR="00385FEE" w:rsidRPr="00D545BA">
        <w:rPr>
          <w:sz w:val="20"/>
          <w:szCs w:val="20"/>
          <w:lang w:val="es-MX"/>
        </w:rPr>
        <w:t>el 31 de agosto de 1976</w:t>
      </w:r>
      <w:r w:rsidR="00EA4B75" w:rsidRPr="00D545BA">
        <w:rPr>
          <w:sz w:val="20"/>
          <w:szCs w:val="20"/>
          <w:lang w:val="es-MX"/>
        </w:rPr>
        <w:t>,</w:t>
      </w:r>
      <w:r w:rsidR="00385FEE" w:rsidRPr="00D545BA">
        <w:rPr>
          <w:sz w:val="20"/>
          <w:szCs w:val="20"/>
          <w:lang w:val="es-MX"/>
        </w:rPr>
        <w:t xml:space="preserve"> donde le informaron que la</w:t>
      </w:r>
      <w:r w:rsidR="00EA4B75" w:rsidRPr="00D545BA">
        <w:rPr>
          <w:sz w:val="20"/>
          <w:szCs w:val="20"/>
          <w:lang w:val="es-MX"/>
        </w:rPr>
        <w:t>s</w:t>
      </w:r>
      <w:r w:rsidR="00385FEE" w:rsidRPr="00D545BA">
        <w:rPr>
          <w:sz w:val="20"/>
          <w:szCs w:val="20"/>
          <w:lang w:val="es-MX"/>
        </w:rPr>
        <w:t xml:space="preserve"> presunta</w:t>
      </w:r>
      <w:r w:rsidR="00EA4B75" w:rsidRPr="00D545BA">
        <w:rPr>
          <w:sz w:val="20"/>
          <w:szCs w:val="20"/>
          <w:lang w:val="es-MX"/>
        </w:rPr>
        <w:t>s</w:t>
      </w:r>
      <w:r w:rsidR="00385FEE" w:rsidRPr="00D545BA">
        <w:rPr>
          <w:sz w:val="20"/>
          <w:szCs w:val="20"/>
          <w:lang w:val="es-MX"/>
        </w:rPr>
        <w:t xml:space="preserve"> víctima</w:t>
      </w:r>
      <w:r w:rsidR="00EA4B75" w:rsidRPr="00D545BA">
        <w:rPr>
          <w:sz w:val="20"/>
          <w:szCs w:val="20"/>
          <w:lang w:val="es-MX"/>
        </w:rPr>
        <w:t>s habían sido traslada</w:t>
      </w:r>
      <w:r w:rsidR="00385FEE" w:rsidRPr="00D545BA">
        <w:rPr>
          <w:sz w:val="20"/>
          <w:szCs w:val="20"/>
          <w:lang w:val="es-MX"/>
        </w:rPr>
        <w:t xml:space="preserve">s al </w:t>
      </w:r>
      <w:r w:rsidR="00D545BA" w:rsidRPr="00D545BA">
        <w:rPr>
          <w:sz w:val="20"/>
          <w:szCs w:val="20"/>
          <w:lang w:val="es-MX"/>
        </w:rPr>
        <w:t>H</w:t>
      </w:r>
      <w:r w:rsidR="00385FEE" w:rsidRPr="00D545BA">
        <w:rPr>
          <w:sz w:val="20"/>
          <w:szCs w:val="20"/>
          <w:lang w:val="es-MX"/>
        </w:rPr>
        <w:t xml:space="preserve">ospital </w:t>
      </w:r>
      <w:r w:rsidR="00D545BA" w:rsidRPr="00D545BA">
        <w:rPr>
          <w:sz w:val="20"/>
          <w:szCs w:val="20"/>
          <w:lang w:val="es-MX"/>
        </w:rPr>
        <w:t>M</w:t>
      </w:r>
      <w:r w:rsidR="00385FEE" w:rsidRPr="00D545BA">
        <w:rPr>
          <w:sz w:val="20"/>
          <w:szCs w:val="20"/>
          <w:lang w:val="es-MX"/>
        </w:rPr>
        <w:t>ilitar.</w:t>
      </w:r>
      <w:r w:rsidR="00D545BA" w:rsidRPr="00D545BA">
        <w:rPr>
          <w:sz w:val="20"/>
          <w:szCs w:val="20"/>
          <w:lang w:val="es-MX"/>
        </w:rPr>
        <w:t xml:space="preserve"> </w:t>
      </w:r>
    </w:p>
    <w:p w14:paraId="247AB4AA" w14:textId="4033F18C" w:rsidR="001D770C" w:rsidRPr="00332259" w:rsidRDefault="00D545BA" w:rsidP="00D327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MX"/>
        </w:rPr>
      </w:pPr>
      <w:r w:rsidRPr="00332259">
        <w:rPr>
          <w:sz w:val="20"/>
          <w:szCs w:val="20"/>
          <w:lang w:val="es-MX"/>
        </w:rPr>
        <w:t xml:space="preserve">Señalan que la CNDH logró recabar </w:t>
      </w:r>
      <w:r w:rsidR="00305DCC" w:rsidRPr="00332259">
        <w:rPr>
          <w:sz w:val="20"/>
          <w:szCs w:val="20"/>
          <w:lang w:val="es-MX"/>
        </w:rPr>
        <w:t xml:space="preserve">información </w:t>
      </w:r>
      <w:r w:rsidRPr="00332259">
        <w:rPr>
          <w:sz w:val="20"/>
          <w:szCs w:val="20"/>
          <w:lang w:val="es-MX"/>
        </w:rPr>
        <w:t>que da cuenta que Francisco</w:t>
      </w:r>
      <w:r w:rsidR="00332259" w:rsidRPr="00332259">
        <w:rPr>
          <w:sz w:val="20"/>
          <w:szCs w:val="20"/>
          <w:lang w:val="es-MX"/>
        </w:rPr>
        <w:t xml:space="preserve"> Gorostiola </w:t>
      </w:r>
      <w:r w:rsidRPr="00332259">
        <w:rPr>
          <w:sz w:val="20"/>
          <w:szCs w:val="20"/>
          <w:lang w:val="es-MX"/>
        </w:rPr>
        <w:t xml:space="preserve">estuvo convaleciente en el Hospital Militar de la ciudad de México </w:t>
      </w:r>
      <w:r w:rsidR="00305DCC" w:rsidRPr="00332259">
        <w:rPr>
          <w:sz w:val="20"/>
          <w:szCs w:val="20"/>
          <w:lang w:val="es-MX"/>
        </w:rPr>
        <w:t>el 3 de septiembre de 1976</w:t>
      </w:r>
      <w:r w:rsidR="00D32752">
        <w:rPr>
          <w:sz w:val="20"/>
          <w:szCs w:val="20"/>
          <w:lang w:val="es-MX"/>
        </w:rPr>
        <w:t>,</w:t>
      </w:r>
      <w:r w:rsidR="00305DCC" w:rsidRPr="00332259">
        <w:rPr>
          <w:sz w:val="20"/>
          <w:szCs w:val="20"/>
          <w:lang w:val="es-MX"/>
        </w:rPr>
        <w:t xml:space="preserve"> y</w:t>
      </w:r>
      <w:r w:rsidRPr="00332259">
        <w:rPr>
          <w:sz w:val="20"/>
          <w:szCs w:val="20"/>
          <w:lang w:val="es-MX"/>
        </w:rPr>
        <w:t xml:space="preserve"> que </w:t>
      </w:r>
      <w:r w:rsidR="00332259" w:rsidRPr="00332259">
        <w:rPr>
          <w:sz w:val="20"/>
          <w:szCs w:val="20"/>
          <w:lang w:val="es-MX"/>
        </w:rPr>
        <w:t xml:space="preserve"> e</w:t>
      </w:r>
      <w:r w:rsidRPr="00332259">
        <w:rPr>
          <w:sz w:val="20"/>
          <w:szCs w:val="20"/>
          <w:lang w:val="es-MX"/>
        </w:rPr>
        <w:t>l 6 de septiembre de 1976</w:t>
      </w:r>
      <w:r w:rsidR="00332259" w:rsidRPr="00332259">
        <w:rPr>
          <w:sz w:val="20"/>
          <w:szCs w:val="20"/>
          <w:lang w:val="es-MX"/>
        </w:rPr>
        <w:t xml:space="preserve"> fue sometido a un </w:t>
      </w:r>
      <w:r w:rsidR="00305DCC" w:rsidRPr="00332259">
        <w:rPr>
          <w:sz w:val="20"/>
          <w:szCs w:val="20"/>
          <w:lang w:val="es-MX"/>
        </w:rPr>
        <w:t>interrogatorio</w:t>
      </w:r>
      <w:r w:rsidR="00332259" w:rsidRPr="00332259">
        <w:rPr>
          <w:sz w:val="20"/>
          <w:szCs w:val="20"/>
          <w:lang w:val="es-MX"/>
        </w:rPr>
        <w:t>, conforme consta en un documento de esa fecha</w:t>
      </w:r>
      <w:r w:rsidR="00C45714" w:rsidRPr="00332259">
        <w:rPr>
          <w:sz w:val="20"/>
          <w:szCs w:val="20"/>
          <w:lang w:val="es-MX"/>
        </w:rPr>
        <w:t>.</w:t>
      </w:r>
      <w:r w:rsidR="005308E3" w:rsidRPr="00332259">
        <w:rPr>
          <w:sz w:val="20"/>
          <w:szCs w:val="20"/>
          <w:lang w:val="es-MX"/>
        </w:rPr>
        <w:t xml:space="preserve"> </w:t>
      </w:r>
      <w:r w:rsidR="00332259" w:rsidRPr="00332259">
        <w:rPr>
          <w:sz w:val="20"/>
          <w:szCs w:val="20"/>
          <w:lang w:val="es-MX"/>
        </w:rPr>
        <w:t xml:space="preserve"> </w:t>
      </w:r>
      <w:r w:rsidR="00332259">
        <w:rPr>
          <w:sz w:val="20"/>
          <w:szCs w:val="20"/>
          <w:lang w:val="es-MX"/>
        </w:rPr>
        <w:t>Alegan que r</w:t>
      </w:r>
      <w:r w:rsidR="00332259" w:rsidRPr="00332259">
        <w:rPr>
          <w:sz w:val="20"/>
          <w:szCs w:val="20"/>
          <w:lang w:val="es-MX"/>
        </w:rPr>
        <w:t xml:space="preserve">especto a </w:t>
      </w:r>
      <w:r w:rsidR="00B21BAE" w:rsidRPr="00332259">
        <w:rPr>
          <w:sz w:val="20"/>
          <w:szCs w:val="20"/>
          <w:lang w:val="es-MX"/>
        </w:rPr>
        <w:t xml:space="preserve">Emma Cabrera </w:t>
      </w:r>
      <w:r w:rsidR="00332259">
        <w:rPr>
          <w:sz w:val="20"/>
          <w:szCs w:val="20"/>
          <w:lang w:val="es-MX"/>
        </w:rPr>
        <w:t xml:space="preserve">la investigación de la CNDH, estableció que  fue </w:t>
      </w:r>
      <w:r w:rsidR="002F3C2F" w:rsidRPr="00332259">
        <w:rPr>
          <w:sz w:val="20"/>
          <w:szCs w:val="20"/>
          <w:lang w:val="es-MX"/>
        </w:rPr>
        <w:t>trasladada al Hospital Militar ent</w:t>
      </w:r>
      <w:r w:rsidR="00332259">
        <w:rPr>
          <w:sz w:val="20"/>
          <w:szCs w:val="20"/>
          <w:lang w:val="es-MX"/>
        </w:rPr>
        <w:t>re el 23 y 30 de agosto de 1976</w:t>
      </w:r>
      <w:r w:rsidR="00D32752">
        <w:rPr>
          <w:sz w:val="20"/>
          <w:szCs w:val="20"/>
          <w:lang w:val="es-MX"/>
        </w:rPr>
        <w:t xml:space="preserve">, fecha desde la cual no existen datos sobre su paradero, pues </w:t>
      </w:r>
      <w:r w:rsidR="00332259">
        <w:rPr>
          <w:sz w:val="20"/>
          <w:szCs w:val="20"/>
          <w:lang w:val="es-MX"/>
        </w:rPr>
        <w:t xml:space="preserve">dicho centro médico </w:t>
      </w:r>
      <w:r w:rsidR="00CD0D85" w:rsidRPr="00332259">
        <w:rPr>
          <w:sz w:val="20"/>
          <w:szCs w:val="20"/>
          <w:lang w:val="es-MX"/>
        </w:rPr>
        <w:t>no entreg</w:t>
      </w:r>
      <w:r w:rsidR="00332259">
        <w:rPr>
          <w:sz w:val="20"/>
          <w:szCs w:val="20"/>
          <w:lang w:val="es-MX"/>
        </w:rPr>
        <w:t>ó</w:t>
      </w:r>
      <w:r w:rsidR="00D32752">
        <w:rPr>
          <w:sz w:val="20"/>
          <w:szCs w:val="20"/>
          <w:lang w:val="es-MX"/>
        </w:rPr>
        <w:t xml:space="preserve"> mayor información</w:t>
      </w:r>
      <w:r w:rsidR="00220B10" w:rsidRPr="00332259">
        <w:rPr>
          <w:sz w:val="20"/>
          <w:szCs w:val="20"/>
          <w:lang w:val="es-MX"/>
        </w:rPr>
        <w:t xml:space="preserve">. </w:t>
      </w:r>
      <w:r w:rsidR="00D32752">
        <w:rPr>
          <w:sz w:val="20"/>
          <w:szCs w:val="20"/>
          <w:lang w:val="es-MX"/>
        </w:rPr>
        <w:t>Sostie</w:t>
      </w:r>
      <w:r w:rsidR="00897652">
        <w:rPr>
          <w:sz w:val="20"/>
          <w:szCs w:val="20"/>
          <w:lang w:val="es-MX"/>
        </w:rPr>
        <w:t xml:space="preserve">nen que en el año </w:t>
      </w:r>
      <w:r w:rsidR="00D32752">
        <w:rPr>
          <w:sz w:val="20"/>
          <w:szCs w:val="20"/>
          <w:lang w:val="es-MX"/>
        </w:rPr>
        <w:t xml:space="preserve">2002, los familiares de las presuntas víctimas accedieron a </w:t>
      </w:r>
      <w:r w:rsidR="00220B10" w:rsidRPr="00332259">
        <w:rPr>
          <w:sz w:val="20"/>
          <w:szCs w:val="20"/>
          <w:lang w:val="es-MX"/>
        </w:rPr>
        <w:t>los archivos de la nación</w:t>
      </w:r>
      <w:r w:rsidR="00D32752">
        <w:rPr>
          <w:sz w:val="20"/>
          <w:szCs w:val="20"/>
          <w:lang w:val="es-MX"/>
        </w:rPr>
        <w:t>, que confirmaron</w:t>
      </w:r>
      <w:r w:rsidR="00220B10" w:rsidRPr="00332259">
        <w:rPr>
          <w:sz w:val="20"/>
          <w:szCs w:val="20"/>
          <w:lang w:val="es-MX"/>
        </w:rPr>
        <w:t xml:space="preserve"> que Francisco y Emma estuvieron internados en el Hospital </w:t>
      </w:r>
      <w:r w:rsidR="00D32752">
        <w:rPr>
          <w:sz w:val="20"/>
          <w:szCs w:val="20"/>
          <w:lang w:val="es-MX"/>
        </w:rPr>
        <w:t>Central Militar.</w:t>
      </w:r>
    </w:p>
    <w:p w14:paraId="3E7F34C1" w14:textId="15BBD275" w:rsidR="009E1E74" w:rsidRPr="00874B67" w:rsidRDefault="00A042F3" w:rsidP="00874B67">
      <w:pPr>
        <w:spacing w:before="120" w:after="120"/>
        <w:ind w:firstLine="720"/>
        <w:jc w:val="both"/>
        <w:rPr>
          <w:rFonts w:ascii="Cambria" w:hAnsi="Cambria"/>
          <w:b/>
          <w:i/>
          <w:sz w:val="20"/>
          <w:szCs w:val="20"/>
          <w:lang w:val="es-ES"/>
        </w:rPr>
      </w:pPr>
      <w:r w:rsidRPr="00220B10">
        <w:rPr>
          <w:rFonts w:ascii="Cambria" w:hAnsi="Cambria"/>
          <w:b/>
          <w:i/>
          <w:sz w:val="20"/>
          <w:szCs w:val="20"/>
          <w:lang w:val="es-ES"/>
        </w:rPr>
        <w:t>Alegatos comunes</w:t>
      </w:r>
    </w:p>
    <w:p w14:paraId="4359CE3C" w14:textId="2B8BDE37" w:rsidR="000A4E41" w:rsidRPr="008C068A" w:rsidRDefault="00F20450" w:rsidP="006B77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MX"/>
        </w:rPr>
      </w:pPr>
      <w:r w:rsidRPr="00C2052D">
        <w:rPr>
          <w:rFonts w:eastAsia="Arial Unicode MS" w:cs="Times New Roman"/>
          <w:color w:val="auto"/>
          <w:sz w:val="20"/>
          <w:szCs w:val="20"/>
          <w:lang w:val="es-ES" w:eastAsia="en-US"/>
        </w:rPr>
        <w:t>I</w:t>
      </w:r>
      <w:r w:rsidR="003925DC" w:rsidRPr="00C2052D">
        <w:rPr>
          <w:rFonts w:eastAsia="Arial Unicode MS" w:cs="Times New Roman"/>
          <w:color w:val="auto"/>
          <w:sz w:val="20"/>
          <w:szCs w:val="20"/>
          <w:lang w:val="es-ES" w:eastAsia="en-US"/>
        </w:rPr>
        <w:t xml:space="preserve">ndican que </w:t>
      </w:r>
      <w:r w:rsidR="00874B67">
        <w:rPr>
          <w:rFonts w:eastAsia="Arial Unicode MS" w:cs="Times New Roman"/>
          <w:color w:val="auto"/>
          <w:sz w:val="20"/>
          <w:szCs w:val="20"/>
          <w:lang w:val="es-ES" w:eastAsia="en-US"/>
        </w:rPr>
        <w:t>la</w:t>
      </w:r>
      <w:r w:rsidR="003362B6">
        <w:rPr>
          <w:rFonts w:eastAsia="Arial Unicode MS" w:cs="Times New Roman"/>
          <w:color w:val="auto"/>
          <w:sz w:val="20"/>
          <w:szCs w:val="20"/>
          <w:lang w:val="es-ES" w:eastAsia="en-US"/>
        </w:rPr>
        <w:t>s</w:t>
      </w:r>
      <w:r w:rsidR="00874B67">
        <w:rPr>
          <w:rFonts w:eastAsia="Arial Unicode MS" w:cs="Times New Roman"/>
          <w:color w:val="auto"/>
          <w:sz w:val="20"/>
          <w:szCs w:val="20"/>
          <w:lang w:val="es-ES" w:eastAsia="en-US"/>
        </w:rPr>
        <w:t xml:space="preserve"> desaparici</w:t>
      </w:r>
      <w:r w:rsidR="003362B6">
        <w:rPr>
          <w:rFonts w:eastAsia="Arial Unicode MS" w:cs="Times New Roman"/>
          <w:color w:val="auto"/>
          <w:sz w:val="20"/>
          <w:szCs w:val="20"/>
          <w:lang w:val="es-ES" w:eastAsia="en-US"/>
        </w:rPr>
        <w:t>o</w:t>
      </w:r>
      <w:r w:rsidR="00874B67">
        <w:rPr>
          <w:rFonts w:eastAsia="Arial Unicode MS" w:cs="Times New Roman"/>
          <w:color w:val="auto"/>
          <w:sz w:val="20"/>
          <w:szCs w:val="20"/>
          <w:lang w:val="es-ES" w:eastAsia="en-US"/>
        </w:rPr>
        <w:t>n</w:t>
      </w:r>
      <w:r w:rsidR="003362B6">
        <w:rPr>
          <w:rFonts w:eastAsia="Arial Unicode MS" w:cs="Times New Roman"/>
          <w:color w:val="auto"/>
          <w:sz w:val="20"/>
          <w:szCs w:val="20"/>
          <w:lang w:val="es-ES" w:eastAsia="en-US"/>
        </w:rPr>
        <w:t>es</w:t>
      </w:r>
      <w:r w:rsidR="003925DC" w:rsidRPr="00C2052D">
        <w:rPr>
          <w:rFonts w:eastAsia="Arial Unicode MS" w:cs="Times New Roman"/>
          <w:color w:val="auto"/>
          <w:sz w:val="20"/>
          <w:szCs w:val="20"/>
          <w:lang w:val="es-ES" w:eastAsia="en-US"/>
        </w:rPr>
        <w:t xml:space="preserve"> </w:t>
      </w:r>
      <w:r w:rsidR="00B33E89" w:rsidRPr="00C2052D">
        <w:rPr>
          <w:rFonts w:eastAsia="Arial Unicode MS" w:cs="Times New Roman"/>
          <w:color w:val="auto"/>
          <w:sz w:val="20"/>
          <w:szCs w:val="20"/>
          <w:lang w:val="es-ES" w:eastAsia="en-US"/>
        </w:rPr>
        <w:t xml:space="preserve">de Roberto Antonio Gallangos Cruz, Francisco Avelino Gallangos Cruz, </w:t>
      </w:r>
      <w:r w:rsidR="00755810" w:rsidRPr="00C2052D">
        <w:rPr>
          <w:rFonts w:eastAsia="Arial Unicode MS" w:cs="Times New Roman"/>
          <w:color w:val="auto"/>
          <w:sz w:val="20"/>
          <w:szCs w:val="20"/>
          <w:lang w:val="es-ES" w:eastAsia="en-US"/>
        </w:rPr>
        <w:t>Lucio Antonio Gallangos Cruz, Aleida Gallangos Vargas y Carmen Vargas Pérez</w:t>
      </w:r>
      <w:r w:rsidR="00B33E89" w:rsidRPr="00C2052D">
        <w:rPr>
          <w:rFonts w:eastAsia="Arial Unicode MS" w:cs="Times New Roman"/>
          <w:color w:val="auto"/>
          <w:sz w:val="20"/>
          <w:szCs w:val="20"/>
          <w:lang w:val="es-ES" w:eastAsia="en-US"/>
        </w:rPr>
        <w:t xml:space="preserve"> </w:t>
      </w:r>
      <w:r w:rsidR="003925DC" w:rsidRPr="00C2052D">
        <w:rPr>
          <w:rFonts w:eastAsia="Arial Unicode MS" w:cs="Times New Roman"/>
          <w:color w:val="auto"/>
          <w:sz w:val="20"/>
          <w:szCs w:val="20"/>
          <w:lang w:val="es-ES" w:eastAsia="en-US"/>
        </w:rPr>
        <w:t>fue</w:t>
      </w:r>
      <w:r w:rsidR="003362B6">
        <w:rPr>
          <w:rFonts w:eastAsia="Arial Unicode MS" w:cs="Times New Roman"/>
          <w:color w:val="auto"/>
          <w:sz w:val="20"/>
          <w:szCs w:val="20"/>
          <w:lang w:val="es-ES" w:eastAsia="en-US"/>
        </w:rPr>
        <w:t>ron denunciadas</w:t>
      </w:r>
      <w:r w:rsidR="00755810" w:rsidRPr="00C2052D">
        <w:rPr>
          <w:rFonts w:eastAsia="Arial Unicode MS" w:cs="Times New Roman"/>
          <w:color w:val="auto"/>
          <w:sz w:val="20"/>
          <w:szCs w:val="20"/>
          <w:lang w:val="es-ES" w:eastAsia="en-US"/>
        </w:rPr>
        <w:t xml:space="preserve"> por sus familiares</w:t>
      </w:r>
      <w:r w:rsidR="003F06D2" w:rsidRPr="00C2052D">
        <w:rPr>
          <w:rFonts w:eastAsia="Arial Unicode MS" w:cs="Times New Roman"/>
          <w:color w:val="auto"/>
          <w:sz w:val="20"/>
          <w:szCs w:val="20"/>
          <w:lang w:val="es-ES" w:eastAsia="en-US"/>
        </w:rPr>
        <w:t xml:space="preserve"> el 22 de octubre de 1992 </w:t>
      </w:r>
      <w:r w:rsidR="00755810" w:rsidRPr="00C2052D">
        <w:rPr>
          <w:rFonts w:eastAsia="Arial Unicode MS" w:cs="Times New Roman"/>
          <w:color w:val="auto"/>
          <w:sz w:val="20"/>
          <w:szCs w:val="20"/>
          <w:lang w:val="es-ES" w:eastAsia="en-US"/>
        </w:rPr>
        <w:t>ante la CNDH</w:t>
      </w:r>
      <w:r w:rsidR="00874B67">
        <w:rPr>
          <w:rFonts w:eastAsia="Arial Unicode MS" w:cs="Times New Roman"/>
          <w:color w:val="auto"/>
          <w:sz w:val="20"/>
          <w:szCs w:val="20"/>
          <w:lang w:val="es-ES" w:eastAsia="en-US"/>
        </w:rPr>
        <w:t>. Afirman que dicho organismo estaba</w:t>
      </w:r>
      <w:r w:rsidR="000A4E41" w:rsidRPr="00F84ABC">
        <w:rPr>
          <w:sz w:val="20"/>
          <w:szCs w:val="20"/>
          <w:lang w:val="es-ES"/>
        </w:rPr>
        <w:t xml:space="preserve"> encargad</w:t>
      </w:r>
      <w:r w:rsidR="00874B67">
        <w:rPr>
          <w:sz w:val="20"/>
          <w:szCs w:val="20"/>
          <w:lang w:val="es-ES"/>
        </w:rPr>
        <w:t>o</w:t>
      </w:r>
      <w:r w:rsidR="000A4E41" w:rsidRPr="00F84ABC">
        <w:rPr>
          <w:sz w:val="20"/>
          <w:szCs w:val="20"/>
          <w:lang w:val="es-ES"/>
        </w:rPr>
        <w:t xml:space="preserve"> de investigar las denuncias y quejas de detenciones, torturas y desaparicio</w:t>
      </w:r>
      <w:r w:rsidR="00874B67">
        <w:rPr>
          <w:sz w:val="20"/>
          <w:szCs w:val="20"/>
          <w:lang w:val="es-ES"/>
        </w:rPr>
        <w:t xml:space="preserve">nes de personas ocurridas durante </w:t>
      </w:r>
      <w:r w:rsidR="000A4E41" w:rsidRPr="00F84ABC">
        <w:rPr>
          <w:sz w:val="20"/>
          <w:szCs w:val="20"/>
          <w:lang w:val="es-ES"/>
        </w:rPr>
        <w:t>la década de</w:t>
      </w:r>
      <w:r w:rsidR="00874B67">
        <w:rPr>
          <w:sz w:val="20"/>
          <w:szCs w:val="20"/>
          <w:lang w:val="es-ES"/>
        </w:rPr>
        <w:t xml:space="preserve"> </w:t>
      </w:r>
      <w:r w:rsidR="000A4E41" w:rsidRPr="00F84ABC">
        <w:rPr>
          <w:sz w:val="20"/>
          <w:szCs w:val="20"/>
          <w:lang w:val="es-ES"/>
        </w:rPr>
        <w:t>l</w:t>
      </w:r>
      <w:r w:rsidR="00874B67">
        <w:rPr>
          <w:sz w:val="20"/>
          <w:szCs w:val="20"/>
          <w:lang w:val="es-ES"/>
        </w:rPr>
        <w:t>os</w:t>
      </w:r>
      <w:r w:rsidR="000A4E41" w:rsidRPr="00F84ABC">
        <w:rPr>
          <w:sz w:val="20"/>
          <w:szCs w:val="20"/>
          <w:lang w:val="es-ES"/>
        </w:rPr>
        <w:t xml:space="preserve"> 70 y 80</w:t>
      </w:r>
      <w:r w:rsidR="00874B67">
        <w:rPr>
          <w:sz w:val="20"/>
          <w:szCs w:val="20"/>
          <w:lang w:val="es-ES"/>
        </w:rPr>
        <w:t>. Refieren que</w:t>
      </w:r>
      <w:r w:rsidR="003362B6">
        <w:rPr>
          <w:sz w:val="20"/>
          <w:szCs w:val="20"/>
          <w:lang w:val="es-ES"/>
        </w:rPr>
        <w:t xml:space="preserve"> </w:t>
      </w:r>
      <w:r w:rsidR="003362B6" w:rsidRPr="00C2052D">
        <w:rPr>
          <w:rFonts w:eastAsia="Arial Unicode MS" w:cs="Times New Roman"/>
          <w:color w:val="auto"/>
          <w:sz w:val="20"/>
          <w:szCs w:val="20"/>
          <w:lang w:val="es-ES" w:eastAsia="en-US"/>
        </w:rPr>
        <w:t>la Recomendación 26/2001</w:t>
      </w:r>
      <w:r w:rsidR="003362B6">
        <w:rPr>
          <w:rFonts w:eastAsia="Arial Unicode MS" w:cs="Times New Roman"/>
          <w:color w:val="auto"/>
          <w:sz w:val="20"/>
          <w:szCs w:val="20"/>
          <w:lang w:val="es-ES" w:eastAsia="en-US"/>
        </w:rPr>
        <w:t xml:space="preserve"> reconoció y acreditó</w:t>
      </w:r>
      <w:r w:rsidR="003362B6">
        <w:rPr>
          <w:sz w:val="20"/>
          <w:szCs w:val="20"/>
          <w:lang w:val="es-ES"/>
        </w:rPr>
        <w:t xml:space="preserve"> </w:t>
      </w:r>
      <w:r w:rsidR="00874B67">
        <w:rPr>
          <w:sz w:val="20"/>
          <w:szCs w:val="20"/>
          <w:lang w:val="es-ES"/>
        </w:rPr>
        <w:t xml:space="preserve">su caso </w:t>
      </w:r>
      <w:r w:rsidR="003362B6">
        <w:rPr>
          <w:sz w:val="20"/>
          <w:szCs w:val="20"/>
          <w:lang w:val="es-ES"/>
        </w:rPr>
        <w:t>junto con otras</w:t>
      </w:r>
      <w:r w:rsidR="003362B6">
        <w:rPr>
          <w:rFonts w:eastAsia="Arial Unicode MS" w:cs="Times New Roman"/>
          <w:color w:val="auto"/>
          <w:sz w:val="20"/>
          <w:szCs w:val="20"/>
          <w:lang w:val="es-ES" w:eastAsia="en-US"/>
        </w:rPr>
        <w:t xml:space="preserve"> 532 causa</w:t>
      </w:r>
      <w:r w:rsidR="003925DC" w:rsidRPr="00C2052D">
        <w:rPr>
          <w:rFonts w:eastAsia="Arial Unicode MS" w:cs="Times New Roman"/>
          <w:color w:val="auto"/>
          <w:sz w:val="20"/>
          <w:szCs w:val="20"/>
          <w:lang w:val="es-ES" w:eastAsia="en-US"/>
        </w:rPr>
        <w:t>s de desaparición forzada</w:t>
      </w:r>
      <w:r w:rsidR="000A4E41">
        <w:rPr>
          <w:sz w:val="20"/>
          <w:szCs w:val="20"/>
          <w:lang w:val="es-ES"/>
        </w:rPr>
        <w:t>.</w:t>
      </w:r>
    </w:p>
    <w:p w14:paraId="1D757587" w14:textId="1D1BF9CE" w:rsidR="008C068A" w:rsidRPr="00F5725F" w:rsidRDefault="008C068A" w:rsidP="006B77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MX"/>
        </w:rPr>
      </w:pPr>
      <w:r>
        <w:rPr>
          <w:sz w:val="20"/>
          <w:szCs w:val="20"/>
          <w:lang w:val="es-ES"/>
        </w:rPr>
        <w:t>Adicionalmente, afirman que en la misma denuncia presentada</w:t>
      </w:r>
      <w:r w:rsidR="006A2090">
        <w:rPr>
          <w:sz w:val="20"/>
          <w:szCs w:val="20"/>
          <w:lang w:val="es-ES"/>
        </w:rPr>
        <w:t xml:space="preserve"> el 22 de octubre de 1992</w:t>
      </w:r>
      <w:r>
        <w:rPr>
          <w:sz w:val="20"/>
          <w:szCs w:val="20"/>
          <w:lang w:val="es-ES"/>
        </w:rPr>
        <w:t xml:space="preserve"> ante la CNDH, la abuela de los niños Lucio Antonio y Aleida Gallangos Vargas expuso los hechos relativos a la separación arbitraria de sus nietos. </w:t>
      </w:r>
      <w:r w:rsidR="00F5725F">
        <w:rPr>
          <w:sz w:val="20"/>
          <w:szCs w:val="20"/>
          <w:lang w:val="es-ES"/>
        </w:rPr>
        <w:t xml:space="preserve"> </w:t>
      </w:r>
      <w:r w:rsidR="00F5725F" w:rsidRPr="00F5725F">
        <w:rPr>
          <w:rFonts w:asciiTheme="majorHAnsi" w:hAnsiTheme="majorHAnsi"/>
          <w:sz w:val="20"/>
          <w:szCs w:val="20"/>
          <w:lang w:val="es-ES"/>
        </w:rPr>
        <w:t>Manifiestan que l</w:t>
      </w:r>
      <w:r w:rsidR="006A2090" w:rsidRPr="00F5725F">
        <w:rPr>
          <w:rFonts w:asciiTheme="majorHAnsi" w:hAnsiTheme="majorHAnsi"/>
          <w:sz w:val="20"/>
          <w:szCs w:val="20"/>
          <w:lang w:val="es-ES"/>
        </w:rPr>
        <w:t>a CNDH concluyó que servidores p</w:t>
      </w:r>
      <w:r w:rsidR="006A2090" w:rsidRPr="00F5725F">
        <w:rPr>
          <w:rFonts w:asciiTheme="majorHAnsi" w:hAnsiTheme="majorHAnsi" w:cs="Times New Roman"/>
          <w:sz w:val="20"/>
          <w:szCs w:val="20"/>
          <w:lang w:val="es-ES"/>
        </w:rPr>
        <w:t>úblicos de las extintas Dirección General de Policía y Tránsito del Distrito Federal y de la Dirección Federal de Seguridad, al actuar conjuntamente en un operativo contra la Liga Comunista 23 de Septiembre, realizaron la sustracción de</w:t>
      </w:r>
      <w:r w:rsidR="00073D99">
        <w:rPr>
          <w:rFonts w:asciiTheme="majorHAnsi" w:hAnsiTheme="majorHAnsi" w:cs="Times New Roman"/>
          <w:sz w:val="20"/>
          <w:szCs w:val="20"/>
          <w:lang w:val="es-ES"/>
        </w:rPr>
        <w:t>l</w:t>
      </w:r>
      <w:r w:rsidR="006A2090" w:rsidRPr="00F5725F">
        <w:rPr>
          <w:rFonts w:asciiTheme="majorHAnsi" w:hAnsiTheme="majorHAnsi" w:cs="Times New Roman"/>
          <w:sz w:val="20"/>
          <w:szCs w:val="20"/>
          <w:lang w:val="es-ES"/>
        </w:rPr>
        <w:t xml:space="preserve"> menor Lucio Antonio </w:t>
      </w:r>
      <w:r w:rsidR="00F5725F">
        <w:rPr>
          <w:rFonts w:asciiTheme="majorHAnsi" w:hAnsiTheme="majorHAnsi" w:cs="Times New Roman"/>
          <w:sz w:val="20"/>
          <w:szCs w:val="20"/>
          <w:lang w:val="es-ES"/>
        </w:rPr>
        <w:t>V</w:t>
      </w:r>
      <w:r w:rsidR="006A2090" w:rsidRPr="00F5725F">
        <w:rPr>
          <w:rFonts w:asciiTheme="majorHAnsi" w:hAnsiTheme="majorHAnsi" w:cs="Times New Roman"/>
          <w:sz w:val="20"/>
          <w:szCs w:val="20"/>
          <w:lang w:val="es-ES"/>
        </w:rPr>
        <w:t xml:space="preserve">argas en junio de 1975. </w:t>
      </w:r>
      <w:r w:rsidR="00BE78BC" w:rsidRPr="00F5725F">
        <w:rPr>
          <w:rFonts w:asciiTheme="majorHAnsi" w:hAnsiTheme="majorHAnsi" w:cs="Times New Roman"/>
          <w:sz w:val="20"/>
          <w:szCs w:val="20"/>
          <w:lang w:val="es-ES"/>
        </w:rPr>
        <w:t xml:space="preserve">Por otra parte, con respecto a Aleida Gallangos Vargas, la CNDH reconoció que “no habría responsabilidad del Estado Mexicano por su desaparición a menos que posterior, se conociera algún documento que controvierta lo afirmado”. </w:t>
      </w:r>
      <w:r w:rsidR="006A2090" w:rsidRPr="00F5725F">
        <w:rPr>
          <w:rFonts w:asciiTheme="majorHAnsi" w:hAnsiTheme="majorHAnsi" w:cs="Times New Roman"/>
          <w:sz w:val="20"/>
          <w:szCs w:val="20"/>
          <w:lang w:val="es-ES"/>
        </w:rPr>
        <w:t>Asimismo, la s</w:t>
      </w:r>
      <w:r w:rsidR="00F5725F">
        <w:rPr>
          <w:rFonts w:asciiTheme="majorHAnsi" w:hAnsiTheme="majorHAnsi" w:cs="Times New Roman"/>
          <w:sz w:val="20"/>
          <w:szCs w:val="20"/>
          <w:lang w:val="es-ES"/>
        </w:rPr>
        <w:t>ituación de ambos niños</w:t>
      </w:r>
      <w:r w:rsidR="006A2090" w:rsidRPr="00F5725F">
        <w:rPr>
          <w:rFonts w:asciiTheme="majorHAnsi" w:hAnsiTheme="majorHAnsi" w:cs="Times New Roman"/>
          <w:sz w:val="20"/>
          <w:szCs w:val="20"/>
          <w:lang w:val="es-ES"/>
        </w:rPr>
        <w:t xml:space="preserve"> fue denunciada el 28 de agosto de 2001 ante la Procuraduría General de la República de México, caso que fue a su vez turnado a la FEMOSPP sin que existan resultados en la investigación.</w:t>
      </w:r>
    </w:p>
    <w:p w14:paraId="0DC0825D" w14:textId="29F5FC41" w:rsidR="000A3B07" w:rsidRPr="00C2052D" w:rsidRDefault="00755810" w:rsidP="006B77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MX"/>
        </w:rPr>
      </w:pPr>
      <w:r w:rsidRPr="00C2052D">
        <w:rPr>
          <w:rFonts w:eastAsia="Arial Unicode MS" w:cs="Times New Roman"/>
          <w:color w:val="auto"/>
          <w:sz w:val="20"/>
          <w:szCs w:val="20"/>
          <w:lang w:val="es-ES" w:eastAsia="en-US"/>
        </w:rPr>
        <w:t>Relatan que la desaparición forzada de Francisco Goro</w:t>
      </w:r>
      <w:r w:rsidR="007E1036" w:rsidRPr="00C2052D">
        <w:rPr>
          <w:rFonts w:eastAsia="Arial Unicode MS" w:cs="Times New Roman"/>
          <w:color w:val="auto"/>
          <w:sz w:val="20"/>
          <w:szCs w:val="20"/>
          <w:lang w:val="es-ES" w:eastAsia="en-US"/>
        </w:rPr>
        <w:t>stiola y Emma Cabrera, fue denunciada por Alejandro Gorostiola Toríz</w:t>
      </w:r>
      <w:r w:rsidR="003362B6">
        <w:rPr>
          <w:rFonts w:eastAsia="Arial Unicode MS" w:cs="Times New Roman"/>
          <w:color w:val="auto"/>
          <w:sz w:val="20"/>
          <w:szCs w:val="20"/>
          <w:lang w:val="es-ES" w:eastAsia="en-US"/>
        </w:rPr>
        <w:t>,</w:t>
      </w:r>
      <w:r w:rsidR="007E1036" w:rsidRPr="00C2052D">
        <w:rPr>
          <w:color w:val="auto"/>
          <w:sz w:val="20"/>
          <w:szCs w:val="20"/>
          <w:lang w:val="es-MX"/>
        </w:rPr>
        <w:t xml:space="preserve"> quien</w:t>
      </w:r>
      <w:r w:rsidR="003362B6">
        <w:rPr>
          <w:color w:val="auto"/>
          <w:sz w:val="20"/>
          <w:szCs w:val="20"/>
          <w:lang w:val="es-MX"/>
        </w:rPr>
        <w:t xml:space="preserve"> además solicitó la intervención del P</w:t>
      </w:r>
      <w:r w:rsidR="007E1036" w:rsidRPr="00C2052D">
        <w:rPr>
          <w:color w:val="auto"/>
          <w:sz w:val="20"/>
          <w:szCs w:val="20"/>
          <w:lang w:val="es-MX"/>
        </w:rPr>
        <w:t>residente de M</w:t>
      </w:r>
      <w:r w:rsidR="007E1036" w:rsidRPr="00C2052D">
        <w:rPr>
          <w:rFonts w:cs="Times New Roman"/>
          <w:color w:val="auto"/>
          <w:sz w:val="20"/>
          <w:szCs w:val="20"/>
          <w:lang w:val="es-MX" w:eastAsia="ja-JP"/>
        </w:rPr>
        <w:t>éxico, el 20 de julio de 1989, para que en el marco del de</w:t>
      </w:r>
      <w:r w:rsidR="003362B6">
        <w:rPr>
          <w:rFonts w:cs="Times New Roman"/>
          <w:color w:val="auto"/>
          <w:sz w:val="20"/>
          <w:szCs w:val="20"/>
          <w:lang w:val="es-MX" w:eastAsia="ja-JP"/>
        </w:rPr>
        <w:t>creto de amnistía, le proveyera</w:t>
      </w:r>
      <w:r w:rsidR="007E1036" w:rsidRPr="00C2052D">
        <w:rPr>
          <w:rFonts w:cs="Times New Roman"/>
          <w:color w:val="auto"/>
          <w:sz w:val="20"/>
          <w:szCs w:val="20"/>
          <w:lang w:val="es-MX" w:eastAsia="ja-JP"/>
        </w:rPr>
        <w:t xml:space="preserve"> información </w:t>
      </w:r>
      <w:r w:rsidR="003362B6">
        <w:rPr>
          <w:rFonts w:cs="Times New Roman"/>
          <w:color w:val="auto"/>
          <w:sz w:val="20"/>
          <w:szCs w:val="20"/>
          <w:lang w:val="es-MX" w:eastAsia="ja-JP"/>
        </w:rPr>
        <w:t>sobre el áradero de su hermano y su cuñada</w:t>
      </w:r>
      <w:r w:rsidR="007E1036" w:rsidRPr="00C2052D">
        <w:rPr>
          <w:rFonts w:cs="Times New Roman"/>
          <w:color w:val="auto"/>
          <w:sz w:val="20"/>
          <w:szCs w:val="20"/>
          <w:lang w:val="es-MX" w:eastAsia="ja-JP"/>
        </w:rPr>
        <w:t xml:space="preserve">, sin hallar ninguna respuesta. </w:t>
      </w:r>
      <w:r w:rsidR="007E1036" w:rsidRPr="00C2052D">
        <w:rPr>
          <w:rFonts w:cs="Times New Roman"/>
          <w:sz w:val="20"/>
          <w:szCs w:val="20"/>
          <w:lang w:val="es-MX"/>
        </w:rPr>
        <w:t xml:space="preserve">Al igual que en los casos anteriores, </w:t>
      </w:r>
      <w:r w:rsidR="003D6787">
        <w:rPr>
          <w:rFonts w:cs="Times New Roman"/>
          <w:sz w:val="20"/>
          <w:szCs w:val="20"/>
          <w:lang w:val="es-MX"/>
        </w:rPr>
        <w:t>sus</w:t>
      </w:r>
      <w:r w:rsidR="007E1036" w:rsidRPr="00C2052D">
        <w:rPr>
          <w:rFonts w:cs="Times New Roman"/>
          <w:sz w:val="20"/>
          <w:szCs w:val="20"/>
          <w:lang w:val="es-MX"/>
        </w:rPr>
        <w:t xml:space="preserve"> denuncias fueron presentadas en 1992 ante la CNDH.</w:t>
      </w:r>
      <w:r w:rsidR="006B779A" w:rsidRPr="00C2052D">
        <w:rPr>
          <w:rFonts w:cs="Times New Roman"/>
          <w:sz w:val="20"/>
          <w:szCs w:val="20"/>
          <w:lang w:val="es-MX"/>
        </w:rPr>
        <w:t xml:space="preserve"> </w:t>
      </w:r>
    </w:p>
    <w:p w14:paraId="6C489CB7" w14:textId="0FF69B43" w:rsidR="003F06D2" w:rsidRPr="00B72CF0" w:rsidRDefault="006B779A" w:rsidP="00315C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MX"/>
        </w:rPr>
      </w:pPr>
      <w:r w:rsidRPr="00C2052D">
        <w:rPr>
          <w:sz w:val="20"/>
          <w:szCs w:val="20"/>
          <w:lang w:val="es-ES"/>
        </w:rPr>
        <w:lastRenderedPageBreak/>
        <w:t xml:space="preserve">Informan que </w:t>
      </w:r>
      <w:r w:rsidR="00D81895" w:rsidRPr="00C2052D">
        <w:rPr>
          <w:sz w:val="20"/>
          <w:szCs w:val="20"/>
          <w:lang w:val="es-ES"/>
        </w:rPr>
        <w:t>el 28 de agosto de 2001</w:t>
      </w:r>
      <w:r w:rsidR="00D81895">
        <w:rPr>
          <w:sz w:val="20"/>
          <w:szCs w:val="20"/>
          <w:lang w:val="es-ES"/>
        </w:rPr>
        <w:t>, denunciaron nuevamente</w:t>
      </w:r>
      <w:r w:rsidR="00EA68A8">
        <w:rPr>
          <w:sz w:val="20"/>
          <w:szCs w:val="20"/>
          <w:lang w:val="es-ES"/>
        </w:rPr>
        <w:t xml:space="preserve"> la desaparición fo</w:t>
      </w:r>
      <w:r w:rsidR="00D81895">
        <w:rPr>
          <w:sz w:val="20"/>
          <w:szCs w:val="20"/>
          <w:lang w:val="es-ES"/>
        </w:rPr>
        <w:t xml:space="preserve">rzada de las presuntas víctimas </w:t>
      </w:r>
      <w:r w:rsidRPr="00C2052D">
        <w:rPr>
          <w:sz w:val="20"/>
          <w:szCs w:val="20"/>
          <w:lang w:val="es-ES"/>
        </w:rPr>
        <w:t xml:space="preserve">ante la Procuraduría General de la Republica de México, siendo los casos </w:t>
      </w:r>
      <w:r w:rsidR="00D81895">
        <w:rPr>
          <w:sz w:val="20"/>
          <w:szCs w:val="20"/>
          <w:lang w:val="es-ES"/>
        </w:rPr>
        <w:t>remitidos</w:t>
      </w:r>
      <w:r w:rsidRPr="00C2052D">
        <w:rPr>
          <w:sz w:val="20"/>
          <w:szCs w:val="20"/>
          <w:lang w:val="es-ES"/>
        </w:rPr>
        <w:t xml:space="preserve"> a la</w:t>
      </w:r>
      <w:r w:rsidR="001A47DA">
        <w:rPr>
          <w:sz w:val="20"/>
          <w:szCs w:val="20"/>
          <w:lang w:val="es-ES"/>
        </w:rPr>
        <w:t xml:space="preserve"> FEMOSPP</w:t>
      </w:r>
      <w:r w:rsidR="00D81895">
        <w:rPr>
          <w:sz w:val="20"/>
          <w:szCs w:val="20"/>
          <w:lang w:val="es-ES"/>
        </w:rPr>
        <w:t xml:space="preserve">, entidad especial creada por </w:t>
      </w:r>
      <w:r w:rsidR="00D81895" w:rsidRPr="00C2052D">
        <w:rPr>
          <w:rFonts w:eastAsia="Arial Unicode MS" w:cs="Times New Roman"/>
          <w:color w:val="auto"/>
          <w:sz w:val="20"/>
          <w:szCs w:val="20"/>
          <w:lang w:val="es-ES" w:eastAsia="en-US"/>
        </w:rPr>
        <w:t>el acuerdo presidencial del 27 de noviembre de 2001</w:t>
      </w:r>
      <w:r w:rsidR="00D81895">
        <w:rPr>
          <w:rFonts w:eastAsia="Arial Unicode MS" w:cs="Times New Roman"/>
          <w:color w:val="auto"/>
          <w:sz w:val="20"/>
          <w:szCs w:val="20"/>
          <w:lang w:val="es-ES" w:eastAsia="en-US"/>
        </w:rPr>
        <w:t>.</w:t>
      </w:r>
      <w:r w:rsidR="00D81895" w:rsidRPr="00C2052D">
        <w:rPr>
          <w:rFonts w:eastAsia="Arial Unicode MS" w:cs="Times New Roman"/>
          <w:color w:val="auto"/>
          <w:sz w:val="20"/>
          <w:szCs w:val="20"/>
          <w:lang w:val="es-ES" w:eastAsia="en-US"/>
        </w:rPr>
        <w:t xml:space="preserve"> </w:t>
      </w:r>
      <w:r w:rsidR="003925DC" w:rsidRPr="00C2052D">
        <w:rPr>
          <w:rFonts w:eastAsia="Arial Unicode MS" w:cs="Times New Roman"/>
          <w:color w:val="auto"/>
          <w:sz w:val="20"/>
          <w:szCs w:val="20"/>
          <w:lang w:val="es-ES" w:eastAsia="en-US"/>
        </w:rPr>
        <w:t xml:space="preserve">Alegan que las denuncias se mantuvieron en la FEMOSPP desde el 2001 hasta el 2006, sin </w:t>
      </w:r>
      <w:r w:rsidR="00D81895">
        <w:rPr>
          <w:rFonts w:eastAsia="Arial Unicode MS" w:cs="Times New Roman"/>
          <w:color w:val="auto"/>
          <w:sz w:val="20"/>
          <w:szCs w:val="20"/>
          <w:lang w:val="es-ES" w:eastAsia="en-US"/>
        </w:rPr>
        <w:t xml:space="preserve">que se haya obtenido </w:t>
      </w:r>
      <w:r w:rsidR="003925DC" w:rsidRPr="00C2052D">
        <w:rPr>
          <w:rFonts w:eastAsia="Arial Unicode MS" w:cs="Times New Roman"/>
          <w:color w:val="auto"/>
          <w:sz w:val="20"/>
          <w:szCs w:val="20"/>
          <w:lang w:val="es-ES" w:eastAsia="en-US"/>
        </w:rPr>
        <w:t xml:space="preserve">ningún resultado. </w:t>
      </w:r>
      <w:r w:rsidR="003D6787" w:rsidRPr="00F84ABC">
        <w:rPr>
          <w:rFonts w:eastAsia="Arial Unicode MS" w:cs="Times New Roman"/>
          <w:color w:val="auto"/>
          <w:sz w:val="20"/>
          <w:szCs w:val="20"/>
          <w:lang w:val="es-ES" w:eastAsia="en-US"/>
        </w:rPr>
        <w:t>Sostienen que en el 2006, el Estado disolvió la FEMOSPP</w:t>
      </w:r>
      <w:r w:rsidR="004E4D29">
        <w:rPr>
          <w:rFonts w:eastAsia="Arial Unicode MS" w:cs="Times New Roman"/>
          <w:color w:val="auto"/>
          <w:sz w:val="20"/>
          <w:szCs w:val="20"/>
          <w:lang w:val="es-ES" w:eastAsia="en-US"/>
        </w:rPr>
        <w:t xml:space="preserve"> y que</w:t>
      </w:r>
      <w:r w:rsidR="004E4D29" w:rsidRPr="00C2052D">
        <w:rPr>
          <w:rFonts w:eastAsia="Arial Unicode MS" w:cs="Times New Roman"/>
          <w:color w:val="auto"/>
          <w:sz w:val="20"/>
          <w:szCs w:val="20"/>
          <w:lang w:val="es-ES" w:eastAsia="en-US"/>
        </w:rPr>
        <w:t xml:space="preserve"> las investigaciones fueron trasladadas a la Coordinación General de Investigación, una unidad administrativa de Procuraduría</w:t>
      </w:r>
      <w:r w:rsidR="004E4D29">
        <w:rPr>
          <w:rFonts w:eastAsia="Arial Unicode MS" w:cs="Times New Roman"/>
          <w:color w:val="auto"/>
          <w:sz w:val="20"/>
          <w:szCs w:val="20"/>
          <w:lang w:val="es-ES" w:eastAsia="en-US"/>
        </w:rPr>
        <w:t xml:space="preserve">. Señalan que </w:t>
      </w:r>
      <w:r w:rsidR="004E4D29" w:rsidRPr="00C2052D">
        <w:rPr>
          <w:rFonts w:eastAsia="Arial Unicode MS" w:cs="Times New Roman"/>
          <w:color w:val="auto"/>
          <w:sz w:val="20"/>
          <w:szCs w:val="20"/>
          <w:lang w:val="es-ES" w:eastAsia="en-US"/>
        </w:rPr>
        <w:t>la investigación previa lleva abierta 12 años sin que existan resultados eficaces.</w:t>
      </w:r>
    </w:p>
    <w:p w14:paraId="5197221C" w14:textId="54083C27" w:rsidR="00B72CF0" w:rsidRDefault="00B72CF0" w:rsidP="00315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Alegan</w:t>
      </w:r>
      <w:r w:rsidRPr="00C2052D">
        <w:rPr>
          <w:rFonts w:ascii="Cambria" w:hAnsi="Cambria"/>
          <w:sz w:val="20"/>
          <w:szCs w:val="20"/>
          <w:lang w:val="es-ES"/>
        </w:rPr>
        <w:t xml:space="preserve"> que en el año 2012, tomaron conocimiento de que la Secretaría de Gobernación inició un procedimiento de indemnización a familiares</w:t>
      </w:r>
      <w:r w:rsidR="00291DDB" w:rsidRPr="00C2052D">
        <w:rPr>
          <w:rStyle w:val="FootnoteReference"/>
          <w:rFonts w:ascii="Cambria" w:hAnsi="Cambria"/>
          <w:sz w:val="20"/>
          <w:szCs w:val="20"/>
          <w:lang w:val="es-ES"/>
        </w:rPr>
        <w:footnoteReference w:id="10"/>
      </w:r>
      <w:r w:rsidRPr="00C2052D">
        <w:rPr>
          <w:rFonts w:ascii="Cambria" w:hAnsi="Cambria"/>
          <w:sz w:val="20"/>
          <w:szCs w:val="20"/>
          <w:lang w:val="es-ES"/>
        </w:rPr>
        <w:t xml:space="preserve">, </w:t>
      </w:r>
      <w:r>
        <w:rPr>
          <w:rFonts w:ascii="Cambria" w:hAnsi="Cambria"/>
          <w:sz w:val="20"/>
          <w:szCs w:val="20"/>
          <w:lang w:val="es-ES"/>
        </w:rPr>
        <w:t>que sólo cubrió a</w:t>
      </w:r>
      <w:r w:rsidRPr="00C2052D">
        <w:rPr>
          <w:rFonts w:ascii="Cambria" w:hAnsi="Cambria"/>
          <w:sz w:val="20"/>
          <w:szCs w:val="20"/>
          <w:lang w:val="es-ES"/>
        </w:rPr>
        <w:t xml:space="preserve">proximadamente </w:t>
      </w:r>
      <w:r>
        <w:rPr>
          <w:rFonts w:ascii="Cambria" w:hAnsi="Cambria"/>
          <w:sz w:val="20"/>
          <w:szCs w:val="20"/>
          <w:lang w:val="es-ES"/>
        </w:rPr>
        <w:t xml:space="preserve">a </w:t>
      </w:r>
      <w:r w:rsidRPr="00C2052D">
        <w:rPr>
          <w:rFonts w:ascii="Cambria" w:hAnsi="Cambria"/>
          <w:sz w:val="20"/>
          <w:szCs w:val="20"/>
          <w:lang w:val="es-ES"/>
        </w:rPr>
        <w:t xml:space="preserve">50 casos de los más de 270 </w:t>
      </w:r>
      <w:r>
        <w:rPr>
          <w:rFonts w:ascii="Cambria" w:hAnsi="Cambria"/>
          <w:sz w:val="20"/>
          <w:szCs w:val="20"/>
          <w:lang w:val="es-ES"/>
        </w:rPr>
        <w:t>establecidos en</w:t>
      </w:r>
      <w:r w:rsidRPr="00C2052D">
        <w:rPr>
          <w:rFonts w:ascii="Cambria" w:hAnsi="Cambria"/>
          <w:sz w:val="20"/>
          <w:szCs w:val="20"/>
          <w:lang w:val="es-ES"/>
        </w:rPr>
        <w:t xml:space="preserve"> la recome</w:t>
      </w:r>
      <w:r>
        <w:rPr>
          <w:rFonts w:ascii="Cambria" w:hAnsi="Cambria"/>
          <w:sz w:val="20"/>
          <w:szCs w:val="20"/>
          <w:lang w:val="es-ES"/>
        </w:rPr>
        <w:t xml:space="preserve">ndación de la CNDH. Asimismo, </w:t>
      </w:r>
      <w:r w:rsidRPr="00C2052D">
        <w:rPr>
          <w:rFonts w:ascii="Cambria" w:hAnsi="Cambria"/>
          <w:sz w:val="20"/>
          <w:szCs w:val="20"/>
          <w:lang w:val="es-ES"/>
        </w:rPr>
        <w:t xml:space="preserve">aducen que la manera en que pagaban las indemnizaciones tenían muchas irregularidades, por lo que </w:t>
      </w:r>
      <w:r>
        <w:rPr>
          <w:rFonts w:ascii="Cambria" w:hAnsi="Cambria"/>
          <w:sz w:val="20"/>
          <w:szCs w:val="20"/>
          <w:lang w:val="es-ES"/>
        </w:rPr>
        <w:t>los pagos se suspendieron</w:t>
      </w:r>
      <w:r w:rsidRPr="00C2052D">
        <w:rPr>
          <w:rFonts w:ascii="Cambria" w:hAnsi="Cambria"/>
          <w:sz w:val="20"/>
          <w:szCs w:val="20"/>
          <w:lang w:val="es-ES"/>
        </w:rPr>
        <w:t xml:space="preserve"> </w:t>
      </w:r>
      <w:r>
        <w:rPr>
          <w:rFonts w:ascii="Cambria" w:hAnsi="Cambria"/>
          <w:sz w:val="20"/>
          <w:szCs w:val="20"/>
          <w:lang w:val="es-ES"/>
        </w:rPr>
        <w:t>el mismo año 2012</w:t>
      </w:r>
      <w:r w:rsidRPr="00C2052D">
        <w:rPr>
          <w:rFonts w:ascii="Cambria" w:hAnsi="Cambria"/>
          <w:sz w:val="20"/>
          <w:szCs w:val="20"/>
          <w:lang w:val="es-ES"/>
        </w:rPr>
        <w:t xml:space="preserve">. </w:t>
      </w:r>
    </w:p>
    <w:p w14:paraId="789B6135" w14:textId="6A7FD156" w:rsidR="00065C47" w:rsidRDefault="00291DDB" w:rsidP="00315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 su turno, el </w:t>
      </w:r>
      <w:r w:rsidRPr="00C2052D">
        <w:rPr>
          <w:rFonts w:ascii="Cambria" w:hAnsi="Cambria"/>
          <w:sz w:val="20"/>
          <w:szCs w:val="20"/>
          <w:lang w:val="es-ES"/>
        </w:rPr>
        <w:t xml:space="preserve">Estado sostiene que no tuvo conocimiento de los hechos ocurridos hasta que la CNDH emitió </w:t>
      </w:r>
      <w:r>
        <w:rPr>
          <w:rFonts w:ascii="Cambria" w:hAnsi="Cambria"/>
          <w:sz w:val="20"/>
          <w:szCs w:val="20"/>
          <w:lang w:val="es-ES"/>
        </w:rPr>
        <w:t>la</w:t>
      </w:r>
      <w:r w:rsidRPr="00C2052D">
        <w:rPr>
          <w:rFonts w:ascii="Cambria" w:hAnsi="Cambria"/>
          <w:sz w:val="20"/>
          <w:szCs w:val="20"/>
          <w:lang w:val="es-ES"/>
        </w:rPr>
        <w:t xml:space="preserve"> </w:t>
      </w:r>
      <w:r>
        <w:rPr>
          <w:rFonts w:ascii="Cambria" w:hAnsi="Cambria"/>
          <w:sz w:val="20"/>
          <w:szCs w:val="20"/>
          <w:lang w:val="es-ES"/>
        </w:rPr>
        <w:t>R</w:t>
      </w:r>
      <w:r w:rsidRPr="00C2052D">
        <w:rPr>
          <w:rFonts w:ascii="Cambria" w:hAnsi="Cambria"/>
          <w:sz w:val="20"/>
          <w:szCs w:val="20"/>
          <w:lang w:val="es-ES"/>
        </w:rPr>
        <w:t>ecomendación</w:t>
      </w:r>
      <w:r>
        <w:rPr>
          <w:rFonts w:ascii="Cambria" w:hAnsi="Cambria"/>
          <w:sz w:val="20"/>
          <w:szCs w:val="20"/>
          <w:lang w:val="es-ES"/>
        </w:rPr>
        <w:t xml:space="preserve"> N°</w:t>
      </w:r>
      <w:r w:rsidR="005F0FA8">
        <w:rPr>
          <w:rFonts w:ascii="Cambria" w:hAnsi="Cambria"/>
          <w:sz w:val="20"/>
          <w:szCs w:val="20"/>
          <w:lang w:val="es-ES"/>
        </w:rPr>
        <w:t>26/</w:t>
      </w:r>
      <w:r w:rsidRPr="00C2052D">
        <w:rPr>
          <w:rFonts w:ascii="Cambria" w:hAnsi="Cambria"/>
          <w:sz w:val="20"/>
          <w:szCs w:val="20"/>
          <w:lang w:val="es-ES"/>
        </w:rPr>
        <w:t xml:space="preserve">01 y </w:t>
      </w:r>
      <w:r>
        <w:rPr>
          <w:rFonts w:ascii="Cambria" w:hAnsi="Cambria"/>
          <w:sz w:val="20"/>
          <w:szCs w:val="20"/>
          <w:lang w:val="es-ES"/>
        </w:rPr>
        <w:t xml:space="preserve">que desde entonces </w:t>
      </w:r>
      <w:r w:rsidRPr="00C2052D">
        <w:rPr>
          <w:rFonts w:ascii="Cambria" w:hAnsi="Cambria"/>
          <w:sz w:val="20"/>
          <w:szCs w:val="20"/>
          <w:lang w:val="es-ES"/>
        </w:rPr>
        <w:t>empr</w:t>
      </w:r>
      <w:r>
        <w:rPr>
          <w:rFonts w:ascii="Cambria" w:hAnsi="Cambria"/>
          <w:sz w:val="20"/>
          <w:szCs w:val="20"/>
          <w:lang w:val="es-ES"/>
        </w:rPr>
        <w:t>endió acciones inmediatas</w:t>
      </w:r>
      <w:r w:rsidRPr="00C2052D">
        <w:rPr>
          <w:rFonts w:ascii="Cambria" w:hAnsi="Cambria"/>
          <w:sz w:val="20"/>
          <w:szCs w:val="20"/>
          <w:lang w:val="es-ES"/>
        </w:rPr>
        <w:t xml:space="preserve">. Aduce </w:t>
      </w:r>
      <w:r>
        <w:rPr>
          <w:rFonts w:ascii="Cambria" w:hAnsi="Cambria"/>
          <w:sz w:val="20"/>
          <w:szCs w:val="20"/>
          <w:lang w:val="es-ES"/>
        </w:rPr>
        <w:t xml:space="preserve">que los procesos de investigación se encuentran abiertos y que </w:t>
      </w:r>
      <w:r w:rsidRPr="00C2052D">
        <w:rPr>
          <w:rFonts w:ascii="Cambria" w:hAnsi="Cambria"/>
          <w:sz w:val="20"/>
          <w:szCs w:val="20"/>
          <w:lang w:val="es-ES"/>
        </w:rPr>
        <w:t>se realizaron todas las diligencias necesarias de la manera más razonable posible. En virtud de ello, alega la falta de agotamiento de los recursos internos. Informa que debido al transcurso del tiempo, es difícil determinar con certeza a los responsables y al paradero de las víctimas, lo que lleva consigo una dificultad para ejecutar</w:t>
      </w:r>
      <w:r w:rsidR="00065C47">
        <w:rPr>
          <w:rFonts w:ascii="Cambria" w:hAnsi="Cambria"/>
          <w:sz w:val="20"/>
          <w:szCs w:val="20"/>
          <w:lang w:val="es-ES"/>
        </w:rPr>
        <w:t xml:space="preserve"> la</w:t>
      </w:r>
      <w:r w:rsidRPr="00C2052D">
        <w:rPr>
          <w:rFonts w:ascii="Cambria" w:hAnsi="Cambria"/>
          <w:sz w:val="20"/>
          <w:szCs w:val="20"/>
          <w:lang w:val="es-ES"/>
        </w:rPr>
        <w:t xml:space="preserve"> acción penal y consignar el proceso a la etapa de instrucción. En consecuencia,  indica que el proceso se retardó debido a la complejidad del asunto y no por causas imputables al Estado. </w:t>
      </w:r>
    </w:p>
    <w:p w14:paraId="2A7F4108" w14:textId="0A8382F3" w:rsidR="00291DDB" w:rsidRPr="00C2052D" w:rsidRDefault="00291DDB" w:rsidP="00315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2052D">
        <w:rPr>
          <w:rFonts w:ascii="Cambria" w:hAnsi="Cambria"/>
          <w:sz w:val="20"/>
          <w:szCs w:val="20"/>
          <w:lang w:val="es-ES"/>
        </w:rPr>
        <w:t xml:space="preserve">Con respecto a la separación arbitraria de Lucio Antonio Gallangos Vargas, informa </w:t>
      </w:r>
      <w:r w:rsidR="00065C47">
        <w:rPr>
          <w:rFonts w:ascii="Cambria" w:hAnsi="Cambria"/>
          <w:sz w:val="20"/>
          <w:szCs w:val="20"/>
          <w:lang w:val="es-ES"/>
        </w:rPr>
        <w:t xml:space="preserve">que se desarrollaron </w:t>
      </w:r>
      <w:r w:rsidRPr="00C2052D">
        <w:rPr>
          <w:rFonts w:ascii="Cambria" w:hAnsi="Cambria"/>
          <w:sz w:val="20"/>
          <w:szCs w:val="20"/>
          <w:lang w:val="es-ES"/>
        </w:rPr>
        <w:t xml:space="preserve">debidas diligencias </w:t>
      </w:r>
      <w:r w:rsidR="00065C47">
        <w:rPr>
          <w:rFonts w:ascii="Cambria" w:hAnsi="Cambria"/>
          <w:sz w:val="20"/>
          <w:szCs w:val="20"/>
          <w:lang w:val="es-ES"/>
        </w:rPr>
        <w:t xml:space="preserve"> para lo</w:t>
      </w:r>
      <w:r w:rsidRPr="00C2052D">
        <w:rPr>
          <w:rFonts w:ascii="Cambria" w:hAnsi="Cambria"/>
          <w:sz w:val="20"/>
          <w:szCs w:val="20"/>
          <w:lang w:val="es-ES"/>
        </w:rPr>
        <w:t>calizar a la presunta víctima.</w:t>
      </w:r>
    </w:p>
    <w:p w14:paraId="65B34C34" w14:textId="74C1809A" w:rsidR="00291DDB" w:rsidRPr="005F0FA8" w:rsidRDefault="00291DDB" w:rsidP="00315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F0FA8">
        <w:rPr>
          <w:rFonts w:ascii="Cambria" w:hAnsi="Cambria"/>
          <w:sz w:val="20"/>
          <w:szCs w:val="20"/>
          <w:lang w:val="es-ES"/>
        </w:rPr>
        <w:t xml:space="preserve">Manifiesta que ha cumplido con su obligación de reparar el daño causado, al poner a disposición de las presuntas víctimas y sus familiares un programa de atención específico </w:t>
      </w:r>
      <w:r w:rsidR="00065C47" w:rsidRPr="005F0FA8">
        <w:rPr>
          <w:rFonts w:ascii="Cambria" w:hAnsi="Cambria"/>
          <w:sz w:val="20"/>
          <w:szCs w:val="20"/>
          <w:lang w:val="es-ES"/>
        </w:rPr>
        <w:t xml:space="preserve">desde el año 2011. </w:t>
      </w:r>
      <w:r w:rsidRPr="005F0FA8">
        <w:rPr>
          <w:rFonts w:ascii="Cambria" w:hAnsi="Cambria"/>
          <w:sz w:val="20"/>
          <w:szCs w:val="20"/>
          <w:lang w:val="es-ES"/>
        </w:rPr>
        <w:t xml:space="preserve">Informa que el Programa de Reparación </w:t>
      </w:r>
      <w:r w:rsidR="00065C47" w:rsidRPr="005F0FA8">
        <w:rPr>
          <w:rFonts w:ascii="Cambria" w:hAnsi="Cambria"/>
          <w:sz w:val="20"/>
          <w:szCs w:val="20"/>
          <w:lang w:val="es-ES"/>
        </w:rPr>
        <w:t>tiene como ejes la</w:t>
      </w:r>
      <w:r w:rsidRPr="005F0FA8">
        <w:rPr>
          <w:rFonts w:ascii="Cambria" w:hAnsi="Cambria"/>
          <w:sz w:val="20"/>
          <w:szCs w:val="20"/>
          <w:lang w:val="es-ES"/>
        </w:rPr>
        <w:t xml:space="preserve"> indemnización de daño</w:t>
      </w:r>
      <w:r w:rsidR="00065C47" w:rsidRPr="005F0FA8">
        <w:rPr>
          <w:rFonts w:ascii="Cambria" w:hAnsi="Cambria"/>
          <w:sz w:val="20"/>
          <w:szCs w:val="20"/>
          <w:lang w:val="es-ES"/>
        </w:rPr>
        <w:t xml:space="preserve"> inmaterial y lucro cesante; la</w:t>
      </w:r>
      <w:r w:rsidRPr="005F0FA8">
        <w:rPr>
          <w:rFonts w:ascii="Cambria" w:hAnsi="Cambria"/>
          <w:sz w:val="20"/>
          <w:szCs w:val="20"/>
          <w:lang w:val="es-ES"/>
        </w:rPr>
        <w:t xml:space="preserve"> </w:t>
      </w:r>
      <w:r w:rsidR="00065C47" w:rsidRPr="005F0FA8">
        <w:rPr>
          <w:rFonts w:ascii="Cambria" w:hAnsi="Cambria"/>
          <w:sz w:val="20"/>
          <w:szCs w:val="20"/>
          <w:lang w:val="es-ES"/>
        </w:rPr>
        <w:t xml:space="preserve">garantía de no repetición, el </w:t>
      </w:r>
      <w:r w:rsidRPr="005F0FA8">
        <w:rPr>
          <w:rFonts w:ascii="Cambria" w:hAnsi="Cambria"/>
          <w:sz w:val="20"/>
          <w:szCs w:val="20"/>
          <w:lang w:val="es-ES"/>
        </w:rPr>
        <w:t>reconocimiento d</w:t>
      </w:r>
      <w:r w:rsidR="00065C47" w:rsidRPr="005F0FA8">
        <w:rPr>
          <w:rFonts w:ascii="Cambria" w:hAnsi="Cambria"/>
          <w:sz w:val="20"/>
          <w:szCs w:val="20"/>
          <w:lang w:val="es-ES"/>
        </w:rPr>
        <w:t>e responsabilidad mexicano y la</w:t>
      </w:r>
      <w:r w:rsidRPr="005F0FA8">
        <w:rPr>
          <w:rFonts w:ascii="Cambria" w:hAnsi="Cambria"/>
          <w:sz w:val="20"/>
          <w:szCs w:val="20"/>
          <w:lang w:val="es-ES"/>
        </w:rPr>
        <w:t xml:space="preserve"> atención integral a las víctimas y sus familiares en lo relativo a salud, educación y empleo. Alega que las presuntas víctimas no acudieron a esta instancia la cual fue creada “bajo estándares interamericanos de justicia que lo convierten en el recurso efectivo para lograr los resultados esperados de una sentencia interamericana”. Indica que el trámite se realiza a petición de parte y el único requisito para que los peticionarios accedan al programa es que las víctimas directas se encuentren reconocidas en la Recomendación 26/01, como</w:t>
      </w:r>
      <w:r w:rsidR="005F0FA8">
        <w:rPr>
          <w:rFonts w:ascii="Cambria" w:hAnsi="Cambria"/>
          <w:sz w:val="20"/>
          <w:szCs w:val="20"/>
          <w:lang w:val="es-ES"/>
        </w:rPr>
        <w:t xml:space="preserve"> ocurre con </w:t>
      </w:r>
      <w:r w:rsidRPr="005F0FA8">
        <w:rPr>
          <w:rFonts w:ascii="Cambria" w:hAnsi="Cambria"/>
          <w:sz w:val="20"/>
          <w:szCs w:val="20"/>
          <w:lang w:val="es-ES"/>
        </w:rPr>
        <w:t xml:space="preserve">el presente caso. </w:t>
      </w:r>
    </w:p>
    <w:p w14:paraId="05336E79" w14:textId="766EE652" w:rsidR="000A4E41" w:rsidRPr="00C2052D" w:rsidRDefault="001A47DA" w:rsidP="001B61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MX"/>
        </w:rPr>
      </w:pPr>
      <w:r w:rsidRPr="00C2052D">
        <w:rPr>
          <w:rFonts w:asciiTheme="majorHAnsi" w:hAnsiTheme="majorHAnsi"/>
          <w:b/>
          <w:sz w:val="20"/>
          <w:szCs w:val="20"/>
          <w:lang w:val="es-MX"/>
        </w:rPr>
        <w:t>VI.</w:t>
      </w:r>
      <w:r w:rsidRPr="00C2052D">
        <w:rPr>
          <w:rFonts w:asciiTheme="majorHAnsi" w:hAnsiTheme="majorHAnsi"/>
          <w:b/>
          <w:sz w:val="20"/>
          <w:szCs w:val="20"/>
          <w:lang w:val="es-MX"/>
        </w:rPr>
        <w:tab/>
        <w:t xml:space="preserve"> AGOTAMIENTO DE LOS RECURSOS INTERNOS Y PLAZO DE PRESENTACION</w:t>
      </w:r>
      <w:r>
        <w:rPr>
          <w:sz w:val="20"/>
          <w:szCs w:val="20"/>
          <w:lang w:val="es-MX"/>
        </w:rPr>
        <w:t>.</w:t>
      </w:r>
    </w:p>
    <w:p w14:paraId="75FB5475" w14:textId="6B74C9C4" w:rsidR="001D0D70" w:rsidRPr="005F0FA8" w:rsidRDefault="003D6787" w:rsidP="00315C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5F0FA8">
        <w:rPr>
          <w:rFonts w:eastAsia="Arial Unicode MS" w:cs="Times New Roman"/>
          <w:color w:val="auto"/>
          <w:sz w:val="20"/>
          <w:szCs w:val="20"/>
          <w:lang w:val="es-ES" w:eastAsia="en-US"/>
        </w:rPr>
        <w:t>Los peticionarios i</w:t>
      </w:r>
      <w:r w:rsidR="001A47DA" w:rsidRPr="005F0FA8">
        <w:rPr>
          <w:rFonts w:eastAsia="Arial Unicode MS" w:cs="Times New Roman"/>
          <w:color w:val="auto"/>
          <w:sz w:val="20"/>
          <w:szCs w:val="20"/>
          <w:lang w:val="es-ES" w:eastAsia="en-US"/>
        </w:rPr>
        <w:t xml:space="preserve">ndican que el Estado tuvo conocimiento de los hechos desde la época en que sucedieron ya que </w:t>
      </w:r>
      <w:r w:rsidR="005F0FA8">
        <w:rPr>
          <w:rFonts w:eastAsia="Arial Unicode MS" w:cs="Times New Roman"/>
          <w:color w:val="auto"/>
          <w:sz w:val="20"/>
          <w:szCs w:val="20"/>
          <w:lang w:val="es-ES" w:eastAsia="en-US"/>
        </w:rPr>
        <w:t>eran de público conocimiento</w:t>
      </w:r>
      <w:r w:rsidR="001A47DA" w:rsidRPr="005F0FA8">
        <w:rPr>
          <w:rFonts w:eastAsia="Arial Unicode MS" w:cs="Times New Roman"/>
          <w:color w:val="auto"/>
          <w:sz w:val="20"/>
          <w:szCs w:val="20"/>
          <w:lang w:val="es-ES" w:eastAsia="en-US"/>
        </w:rPr>
        <w:t xml:space="preserve">. </w:t>
      </w:r>
      <w:r w:rsidR="003925DC" w:rsidRPr="005F0FA8">
        <w:rPr>
          <w:rFonts w:eastAsia="Arial Unicode MS" w:cs="Times New Roman"/>
          <w:color w:val="auto"/>
          <w:sz w:val="20"/>
          <w:szCs w:val="20"/>
          <w:lang w:val="es-ES" w:eastAsia="en-US"/>
        </w:rPr>
        <w:t>Manifiestan que</w:t>
      </w:r>
      <w:r w:rsidR="004E4D29" w:rsidRPr="005F0FA8">
        <w:rPr>
          <w:rFonts w:eastAsia="Arial Unicode MS" w:cs="Times New Roman"/>
          <w:color w:val="auto"/>
          <w:sz w:val="20"/>
          <w:szCs w:val="20"/>
          <w:lang w:val="es-ES" w:eastAsia="en-US"/>
        </w:rPr>
        <w:t xml:space="preserve"> </w:t>
      </w:r>
      <w:r w:rsidR="005F0FA8" w:rsidRPr="005F0FA8">
        <w:rPr>
          <w:rFonts w:eastAsia="Arial Unicode MS" w:cs="Times New Roman"/>
          <w:color w:val="auto"/>
          <w:sz w:val="20"/>
          <w:szCs w:val="20"/>
          <w:lang w:val="es-ES" w:eastAsia="en-US"/>
        </w:rPr>
        <w:t xml:space="preserve">los casos se encuentran en impunidad y  que </w:t>
      </w:r>
      <w:r w:rsidR="004E4D29" w:rsidRPr="005F0FA8">
        <w:rPr>
          <w:rFonts w:eastAsia="Arial Unicode MS" w:cs="Times New Roman"/>
          <w:color w:val="auto"/>
          <w:sz w:val="20"/>
          <w:szCs w:val="20"/>
          <w:lang w:val="es-ES" w:eastAsia="en-US"/>
        </w:rPr>
        <w:t xml:space="preserve">desde el cierre </w:t>
      </w:r>
      <w:r w:rsidR="003925DC" w:rsidRPr="005F0FA8">
        <w:rPr>
          <w:rFonts w:eastAsia="Arial Unicode MS" w:cs="Times New Roman"/>
          <w:color w:val="auto"/>
          <w:sz w:val="20"/>
          <w:szCs w:val="20"/>
          <w:lang w:val="es-ES" w:eastAsia="en-US"/>
        </w:rPr>
        <w:t xml:space="preserve">de la FEMOSPP, no existe un órgano jurisdiccional que permita resolver los casos de desaparición forzada, en el contexto de persecución de movimientos sociales. </w:t>
      </w:r>
      <w:r w:rsidR="006D21CD" w:rsidRPr="005F0FA8">
        <w:rPr>
          <w:rFonts w:eastAsia="Arial Unicode MS" w:cs="Times New Roman"/>
          <w:color w:val="auto"/>
          <w:sz w:val="20"/>
          <w:szCs w:val="20"/>
          <w:lang w:val="es-ES" w:eastAsia="en-US"/>
        </w:rPr>
        <w:t>Con respecto a las diligencias en la localización de Lucio Antonio Gallangos, enfatizan que el encuentro entre él y su hermana Aleida, se logró a partir de las acciones emprendidas por l</w:t>
      </w:r>
      <w:r w:rsidR="00533528">
        <w:rPr>
          <w:rFonts w:eastAsia="Arial Unicode MS" w:cs="Times New Roman"/>
          <w:color w:val="auto"/>
          <w:sz w:val="20"/>
          <w:szCs w:val="20"/>
          <w:lang w:val="es-ES" w:eastAsia="en-US"/>
        </w:rPr>
        <w:t>a propia familia. Indican que au</w:t>
      </w:r>
      <w:r w:rsidR="006D21CD" w:rsidRPr="005F0FA8">
        <w:rPr>
          <w:rFonts w:eastAsia="Arial Unicode MS" w:cs="Times New Roman"/>
          <w:color w:val="auto"/>
          <w:sz w:val="20"/>
          <w:szCs w:val="20"/>
          <w:lang w:val="es-ES" w:eastAsia="en-US"/>
        </w:rPr>
        <w:t xml:space="preserve">n con la creación de la FEMOSPP, la fiscalía no </w:t>
      </w:r>
      <w:r w:rsidR="00B72CF0" w:rsidRPr="005F0FA8">
        <w:rPr>
          <w:rFonts w:eastAsia="Arial Unicode MS" w:cs="Times New Roman"/>
          <w:color w:val="auto"/>
          <w:sz w:val="20"/>
          <w:szCs w:val="20"/>
          <w:lang w:val="es-ES" w:eastAsia="en-US"/>
        </w:rPr>
        <w:t>remitió</w:t>
      </w:r>
      <w:r w:rsidR="006D21CD" w:rsidRPr="005F0FA8">
        <w:rPr>
          <w:rFonts w:eastAsia="Arial Unicode MS" w:cs="Times New Roman"/>
          <w:color w:val="auto"/>
          <w:sz w:val="20"/>
          <w:szCs w:val="20"/>
          <w:lang w:val="es-ES" w:eastAsia="en-US"/>
        </w:rPr>
        <w:t xml:space="preserve"> información alguna para la localización</w:t>
      </w:r>
      <w:r w:rsidR="00B72CF0" w:rsidRPr="005F0FA8">
        <w:rPr>
          <w:rFonts w:eastAsia="Arial Unicode MS" w:cs="Times New Roman"/>
          <w:color w:val="auto"/>
          <w:sz w:val="20"/>
          <w:szCs w:val="20"/>
          <w:lang w:val="es-ES" w:eastAsia="en-US"/>
        </w:rPr>
        <w:t xml:space="preserve"> de las presuntas víctimas.</w:t>
      </w:r>
      <w:r w:rsidR="005F0FA8" w:rsidRPr="005F0FA8">
        <w:rPr>
          <w:rFonts w:eastAsia="Arial Unicode MS" w:cs="Times New Roman"/>
          <w:color w:val="auto"/>
          <w:sz w:val="20"/>
          <w:szCs w:val="20"/>
          <w:lang w:val="es-ES" w:eastAsia="en-US"/>
        </w:rPr>
        <w:t xml:space="preserve"> </w:t>
      </w:r>
      <w:r w:rsidR="003F3031" w:rsidRPr="005F0FA8">
        <w:rPr>
          <w:sz w:val="20"/>
          <w:szCs w:val="20"/>
          <w:lang w:val="es-ES"/>
        </w:rPr>
        <w:t xml:space="preserve">En cuanto al </w:t>
      </w:r>
      <w:r w:rsidR="00881310" w:rsidRPr="005F0FA8">
        <w:rPr>
          <w:sz w:val="20"/>
          <w:szCs w:val="20"/>
          <w:lang w:val="es-ES"/>
        </w:rPr>
        <w:t>Programa de Reparación a cargo de la Secretaría de Gobernación</w:t>
      </w:r>
      <w:r w:rsidR="00222F2B" w:rsidRPr="005F0FA8">
        <w:rPr>
          <w:sz w:val="20"/>
          <w:szCs w:val="20"/>
          <w:lang w:val="es-ES"/>
        </w:rPr>
        <w:t xml:space="preserve">, sostienen que la investigación ofrecida no es adecuada ni permite la apertura del espacio de </w:t>
      </w:r>
      <w:r w:rsidR="00CA7AFD" w:rsidRPr="005F0FA8">
        <w:rPr>
          <w:sz w:val="20"/>
          <w:szCs w:val="20"/>
          <w:lang w:val="es-ES"/>
        </w:rPr>
        <w:t>diálogo</w:t>
      </w:r>
      <w:r w:rsidR="00222F2B" w:rsidRPr="005F0FA8">
        <w:rPr>
          <w:sz w:val="20"/>
          <w:szCs w:val="20"/>
          <w:lang w:val="es-ES"/>
        </w:rPr>
        <w:t xml:space="preserve"> constructivo del Estado con las presuntas víctimas. </w:t>
      </w:r>
      <w:r w:rsidR="005F0FA8">
        <w:rPr>
          <w:sz w:val="20"/>
          <w:szCs w:val="20"/>
          <w:lang w:val="es-ES"/>
        </w:rPr>
        <w:t xml:space="preserve"> </w:t>
      </w:r>
    </w:p>
    <w:p w14:paraId="649934CD" w14:textId="57F3F2CD" w:rsidR="00792BE3" w:rsidRPr="00A82733" w:rsidRDefault="005F0FA8" w:rsidP="00315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bCs/>
          <w:sz w:val="20"/>
          <w:szCs w:val="20"/>
          <w:lang w:val="es-ES"/>
        </w:rPr>
      </w:pPr>
      <w:r>
        <w:rPr>
          <w:rFonts w:ascii="Cambria" w:hAnsi="Cambria"/>
          <w:bCs/>
          <w:sz w:val="20"/>
          <w:szCs w:val="20"/>
          <w:lang w:val="es-ES"/>
        </w:rPr>
        <w:t>La</w:t>
      </w:r>
      <w:r w:rsidR="00792BE3" w:rsidRPr="00C2052D">
        <w:rPr>
          <w:rFonts w:ascii="Cambria" w:hAnsi="Cambria"/>
          <w:bCs/>
          <w:sz w:val="20"/>
          <w:szCs w:val="20"/>
          <w:lang w:val="es-ES"/>
        </w:rPr>
        <w:t xml:space="preserve"> CIDH </w:t>
      </w:r>
      <w:r>
        <w:rPr>
          <w:rFonts w:ascii="Cambria" w:hAnsi="Cambria"/>
          <w:bCs/>
          <w:sz w:val="20"/>
          <w:szCs w:val="20"/>
          <w:lang w:val="es-ES"/>
        </w:rPr>
        <w:t xml:space="preserve">ha establecido </w:t>
      </w:r>
      <w:r w:rsidR="00792BE3" w:rsidRPr="00C2052D">
        <w:rPr>
          <w:rFonts w:ascii="Cambria" w:hAnsi="Cambria"/>
          <w:bCs/>
          <w:sz w:val="20"/>
          <w:szCs w:val="20"/>
          <w:lang w:val="es-ES"/>
        </w:rPr>
        <w:t>que toda vez que se cometa un presun</w:t>
      </w:r>
      <w:r w:rsidR="00623864" w:rsidRPr="00C2052D">
        <w:rPr>
          <w:rFonts w:ascii="Cambria" w:hAnsi="Cambria"/>
          <w:bCs/>
          <w:sz w:val="20"/>
          <w:szCs w:val="20"/>
          <w:lang w:val="es-ES"/>
        </w:rPr>
        <w:t>to delito perseguible de oficio, como es el delito de desaparición forzada de personas,</w:t>
      </w:r>
      <w:r w:rsidR="00792BE3" w:rsidRPr="00C2052D">
        <w:rPr>
          <w:rFonts w:ascii="Cambria" w:hAnsi="Cambria"/>
          <w:bCs/>
          <w:sz w:val="20"/>
          <w:szCs w:val="20"/>
          <w:lang w:val="es-ES"/>
        </w:rPr>
        <w:t xml:space="preserve"> el Estado tiene la obligación de promover e impulsar el </w:t>
      </w:r>
      <w:r w:rsidR="00792BE3" w:rsidRPr="00C2052D">
        <w:rPr>
          <w:rFonts w:ascii="Cambria" w:hAnsi="Cambria"/>
          <w:bCs/>
          <w:sz w:val="20"/>
          <w:szCs w:val="20"/>
          <w:lang w:val="es-ES"/>
        </w:rPr>
        <w:lastRenderedPageBreak/>
        <w:t xml:space="preserve">proceso penal y que, éste constituye la vía idónea para esclarecer los hechos, juzgar a los responsables y establecer las sanciones penales correspondientes, además de posibilitar otros modos de reparación de tipo pecuniario. Además, la Comisión ha </w:t>
      </w:r>
      <w:r w:rsidR="00A5256B">
        <w:rPr>
          <w:rFonts w:ascii="Cambria" w:hAnsi="Cambria"/>
          <w:bCs/>
          <w:sz w:val="20"/>
          <w:szCs w:val="20"/>
          <w:lang w:val="es-ES"/>
        </w:rPr>
        <w:t>señalado</w:t>
      </w:r>
      <w:r w:rsidR="00792BE3" w:rsidRPr="00C2052D">
        <w:rPr>
          <w:rFonts w:ascii="Cambria" w:hAnsi="Cambria"/>
          <w:bCs/>
          <w:sz w:val="20"/>
          <w:szCs w:val="20"/>
          <w:lang w:val="es-ES"/>
        </w:rPr>
        <w:t xml:space="preserve"> que, como regla general, una investigación penal debe realizarse prontamente para proteger los intereses de las víctimas, preservar la prueba e incluso salvaguardar los derechos de toda persona que en el contexto de la investiga</w:t>
      </w:r>
      <w:r w:rsidR="009E2719" w:rsidRPr="00C2052D">
        <w:rPr>
          <w:rFonts w:ascii="Cambria" w:hAnsi="Cambria"/>
          <w:bCs/>
          <w:sz w:val="20"/>
          <w:szCs w:val="20"/>
          <w:lang w:val="es-ES"/>
        </w:rPr>
        <w:t>ción sea considerada sospechosa</w:t>
      </w:r>
      <w:r w:rsidR="009E2719" w:rsidRPr="00C2052D">
        <w:rPr>
          <w:rStyle w:val="FootnoteReference"/>
          <w:rFonts w:ascii="Cambria" w:hAnsi="Cambria"/>
          <w:bCs/>
          <w:sz w:val="20"/>
          <w:szCs w:val="20"/>
          <w:lang w:val="es-ES"/>
        </w:rPr>
        <w:footnoteReference w:id="11"/>
      </w:r>
      <w:r w:rsidR="00792BE3" w:rsidRPr="00C2052D">
        <w:rPr>
          <w:rFonts w:ascii="Cambria" w:hAnsi="Cambria"/>
          <w:bCs/>
          <w:sz w:val="20"/>
          <w:szCs w:val="20"/>
          <w:lang w:val="es-ES"/>
        </w:rPr>
        <w:t>. De la información aportada por las partes, se observa</w:t>
      </w:r>
      <w:r w:rsidR="00604673" w:rsidRPr="00C2052D">
        <w:rPr>
          <w:rFonts w:ascii="Cambria" w:hAnsi="Cambria"/>
          <w:bCs/>
          <w:sz w:val="20"/>
          <w:szCs w:val="20"/>
          <w:lang w:val="es-ES"/>
        </w:rPr>
        <w:t xml:space="preserve"> que </w:t>
      </w:r>
      <w:r w:rsidR="00A5256B">
        <w:rPr>
          <w:rFonts w:ascii="Cambria" w:hAnsi="Cambria"/>
          <w:bCs/>
          <w:sz w:val="20"/>
          <w:szCs w:val="20"/>
          <w:lang w:val="es-ES"/>
        </w:rPr>
        <w:t>los familiares de las presuntas víctimas denunciaron los hechos</w:t>
      </w:r>
      <w:r w:rsidR="00604673" w:rsidRPr="00C2052D">
        <w:rPr>
          <w:rFonts w:ascii="Cambria" w:hAnsi="Cambria"/>
          <w:bCs/>
          <w:sz w:val="20"/>
          <w:szCs w:val="20"/>
          <w:lang w:val="es-ES"/>
        </w:rPr>
        <w:t xml:space="preserve"> el año 1992</w:t>
      </w:r>
      <w:r w:rsidR="0007182A" w:rsidRPr="00C2052D">
        <w:rPr>
          <w:rFonts w:ascii="Cambria" w:hAnsi="Cambria"/>
          <w:bCs/>
          <w:sz w:val="20"/>
          <w:szCs w:val="20"/>
          <w:lang w:val="es-ES"/>
        </w:rPr>
        <w:t xml:space="preserve"> ante la CNDH</w:t>
      </w:r>
      <w:r w:rsidR="00604673" w:rsidRPr="00C2052D">
        <w:rPr>
          <w:rFonts w:ascii="Cambria" w:hAnsi="Cambria"/>
          <w:bCs/>
          <w:sz w:val="20"/>
          <w:szCs w:val="20"/>
          <w:lang w:val="es-ES"/>
        </w:rPr>
        <w:t xml:space="preserve"> y en el año 2001 ante la Procuraduría General de la República</w:t>
      </w:r>
      <w:r w:rsidR="00A5256B">
        <w:rPr>
          <w:rFonts w:ascii="Cambria" w:hAnsi="Cambria"/>
          <w:bCs/>
          <w:sz w:val="20"/>
          <w:szCs w:val="20"/>
          <w:lang w:val="es-ES"/>
        </w:rPr>
        <w:t xml:space="preserve">, la cual remitió los casos a la </w:t>
      </w:r>
      <w:r w:rsidR="00604673" w:rsidRPr="00C2052D">
        <w:rPr>
          <w:rFonts w:ascii="Cambria" w:hAnsi="Cambria"/>
          <w:bCs/>
          <w:sz w:val="20"/>
          <w:szCs w:val="20"/>
          <w:lang w:val="es-ES"/>
        </w:rPr>
        <w:t>FEMOSPP.</w:t>
      </w:r>
      <w:r w:rsidR="00792BE3" w:rsidRPr="00C2052D">
        <w:rPr>
          <w:rFonts w:ascii="Cambria" w:hAnsi="Cambria"/>
          <w:bCs/>
          <w:sz w:val="20"/>
          <w:szCs w:val="20"/>
          <w:lang w:val="es-ES"/>
        </w:rPr>
        <w:t xml:space="preserve"> Sin embargo, </w:t>
      </w:r>
      <w:r w:rsidR="00686FEB" w:rsidRPr="00C2052D">
        <w:rPr>
          <w:rFonts w:ascii="Cambria" w:hAnsi="Cambria"/>
          <w:bCs/>
          <w:sz w:val="20"/>
          <w:szCs w:val="20"/>
          <w:lang w:val="es-ES"/>
        </w:rPr>
        <w:t>a más de 35 años de</w:t>
      </w:r>
      <w:r w:rsidR="00604673" w:rsidRPr="00C2052D">
        <w:rPr>
          <w:rFonts w:ascii="Cambria" w:hAnsi="Cambria"/>
          <w:bCs/>
          <w:sz w:val="20"/>
          <w:szCs w:val="20"/>
          <w:lang w:val="es-ES"/>
        </w:rPr>
        <w:t xml:space="preserve"> ocurridos los hechos alegados</w:t>
      </w:r>
      <w:r w:rsidR="00623864" w:rsidRPr="00C2052D">
        <w:rPr>
          <w:rFonts w:ascii="Cambria" w:hAnsi="Cambria"/>
          <w:bCs/>
          <w:sz w:val="20"/>
          <w:szCs w:val="20"/>
          <w:lang w:val="es-ES"/>
        </w:rPr>
        <w:t xml:space="preserve"> y 20 años de la primera denuncia</w:t>
      </w:r>
      <w:r w:rsidR="00604673" w:rsidRPr="00C2052D">
        <w:rPr>
          <w:rFonts w:ascii="Cambria" w:hAnsi="Cambria"/>
          <w:bCs/>
          <w:sz w:val="20"/>
          <w:szCs w:val="20"/>
          <w:lang w:val="es-ES"/>
        </w:rPr>
        <w:t xml:space="preserve">, </w:t>
      </w:r>
      <w:r w:rsidR="00A5256B">
        <w:rPr>
          <w:rFonts w:ascii="Cambria" w:hAnsi="Cambria"/>
          <w:bCs/>
          <w:sz w:val="20"/>
          <w:szCs w:val="20"/>
          <w:lang w:val="es-ES"/>
        </w:rPr>
        <w:t xml:space="preserve">la Comisión observa que </w:t>
      </w:r>
      <w:r w:rsidR="00604673" w:rsidRPr="00C2052D">
        <w:rPr>
          <w:rFonts w:ascii="Cambria" w:hAnsi="Cambria"/>
          <w:bCs/>
          <w:sz w:val="20"/>
          <w:szCs w:val="20"/>
          <w:lang w:val="es-ES"/>
        </w:rPr>
        <w:t xml:space="preserve">aún están siendo realizadas investigaciones ante la Coordinación General </w:t>
      </w:r>
      <w:r w:rsidR="00891568" w:rsidRPr="00C2052D">
        <w:rPr>
          <w:rFonts w:ascii="Cambria" w:hAnsi="Cambria"/>
          <w:bCs/>
          <w:sz w:val="20"/>
          <w:szCs w:val="20"/>
          <w:lang w:val="es-ES"/>
        </w:rPr>
        <w:t xml:space="preserve">de Investigaciones de la Subprocuraduría Especializada en Derechos Humanos, Prevención del Delito y Servicios a la Comunidad de la Procuraduría General de la República, sin que las autoridades competentes hayan determinado el paradero de las presuntas víctimas o el destino de sus restos; y sin haber individualizado ni sancionado a los responsables. </w:t>
      </w:r>
      <w:r w:rsidR="00A82733" w:rsidRPr="00A82733">
        <w:rPr>
          <w:rFonts w:ascii="Cambria" w:hAnsi="Cambria"/>
          <w:bCs/>
          <w:sz w:val="20"/>
          <w:szCs w:val="20"/>
          <w:lang w:val="es-ES"/>
        </w:rPr>
        <w:t xml:space="preserve">Además nota también que en relación con la separación arbitraria de los niños Lucio Antonio y Aleida Gallangos Vargas, de sus familias biológicas, se presentó una denuncia el 22 de octubre de 1992 ante la CNDH y que pese a que el caso fue asumido posteriormente por la </w:t>
      </w:r>
      <w:r w:rsidR="007E6688" w:rsidRPr="00C2052D">
        <w:rPr>
          <w:rFonts w:ascii="Cambria" w:hAnsi="Cambria"/>
          <w:bCs/>
          <w:sz w:val="20"/>
          <w:szCs w:val="20"/>
          <w:lang w:val="es-ES"/>
        </w:rPr>
        <w:t>FEMOSPP</w:t>
      </w:r>
      <w:r w:rsidR="00A82733" w:rsidRPr="00A82733">
        <w:rPr>
          <w:rFonts w:ascii="Cambria" w:hAnsi="Cambria"/>
          <w:bCs/>
          <w:sz w:val="20"/>
          <w:szCs w:val="20"/>
          <w:lang w:val="es-ES"/>
        </w:rPr>
        <w:t xml:space="preserve">, </w:t>
      </w:r>
      <w:r w:rsidR="007E6688">
        <w:rPr>
          <w:rFonts w:ascii="Cambria" w:hAnsi="Cambria"/>
          <w:bCs/>
          <w:sz w:val="20"/>
          <w:szCs w:val="20"/>
          <w:lang w:val="es-ES"/>
        </w:rPr>
        <w:t xml:space="preserve">hasta el momento </w:t>
      </w:r>
      <w:r w:rsidR="00A82733" w:rsidRPr="00A82733">
        <w:rPr>
          <w:rFonts w:ascii="Cambria" w:hAnsi="Cambria"/>
          <w:bCs/>
          <w:sz w:val="20"/>
          <w:szCs w:val="20"/>
          <w:lang w:val="es-ES"/>
        </w:rPr>
        <w:t xml:space="preserve">no ha presentado avances. </w:t>
      </w:r>
      <w:r w:rsidR="00A5256B" w:rsidRPr="00A82733">
        <w:rPr>
          <w:rFonts w:ascii="Cambria" w:hAnsi="Cambria"/>
          <w:bCs/>
          <w:sz w:val="20"/>
          <w:szCs w:val="20"/>
          <w:lang w:val="es-ES"/>
        </w:rPr>
        <w:t xml:space="preserve">Por tanto, la CIDH concluye que respecto a las </w:t>
      </w:r>
      <w:r w:rsidR="00A82733" w:rsidRPr="00A82733">
        <w:rPr>
          <w:rFonts w:ascii="Cambria" w:hAnsi="Cambria"/>
          <w:bCs/>
          <w:sz w:val="20"/>
          <w:szCs w:val="20"/>
          <w:lang w:val="es-ES"/>
        </w:rPr>
        <w:t xml:space="preserve">alegadas </w:t>
      </w:r>
      <w:r w:rsidR="00A5256B" w:rsidRPr="00A82733">
        <w:rPr>
          <w:rFonts w:ascii="Cambria" w:hAnsi="Cambria"/>
          <w:bCs/>
          <w:sz w:val="20"/>
          <w:szCs w:val="20"/>
          <w:lang w:val="es-ES"/>
        </w:rPr>
        <w:t>desapariciones forzadas</w:t>
      </w:r>
      <w:r w:rsidR="00A82733" w:rsidRPr="00A82733">
        <w:rPr>
          <w:rFonts w:ascii="Cambria" w:hAnsi="Cambria"/>
          <w:bCs/>
          <w:sz w:val="20"/>
          <w:szCs w:val="20"/>
          <w:lang w:val="es-ES"/>
        </w:rPr>
        <w:t xml:space="preserve"> y separaciones arbitrarias  </w:t>
      </w:r>
      <w:r w:rsidR="00A5256B" w:rsidRPr="00A82733">
        <w:rPr>
          <w:rFonts w:ascii="Cambria" w:hAnsi="Cambria"/>
          <w:bCs/>
          <w:sz w:val="20"/>
          <w:szCs w:val="20"/>
          <w:lang w:val="es-ES"/>
        </w:rPr>
        <w:t xml:space="preserve"> resulta aplicable la excepción al agotamiento de recursos internos prevista en el artículo 46.2.c de la Convención Americana. </w:t>
      </w:r>
    </w:p>
    <w:p w14:paraId="27B9799D" w14:textId="77777777" w:rsidR="00A5256B" w:rsidRDefault="00BC0849" w:rsidP="00315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bCs/>
          <w:sz w:val="20"/>
          <w:szCs w:val="20"/>
          <w:lang w:val="es-ES"/>
        </w:rPr>
      </w:pPr>
      <w:r w:rsidRPr="00C2052D">
        <w:rPr>
          <w:rFonts w:ascii="Cambria" w:hAnsi="Cambria"/>
          <w:bCs/>
          <w:sz w:val="20"/>
          <w:szCs w:val="20"/>
          <w:lang w:val="es-ES"/>
        </w:rPr>
        <w:t>Además, la CIDH 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w:t>
      </w:r>
      <w:r w:rsidRPr="00C2052D">
        <w:rPr>
          <w:rStyle w:val="FootnoteReference"/>
          <w:rFonts w:ascii="Cambria" w:hAnsi="Cambria"/>
          <w:bCs/>
          <w:sz w:val="20"/>
          <w:szCs w:val="20"/>
          <w:lang w:val="es-ES"/>
        </w:rPr>
        <w:footnoteReference w:id="12"/>
      </w:r>
      <w:r w:rsidRPr="00C2052D">
        <w:rPr>
          <w:rFonts w:ascii="Cambria" w:hAnsi="Cambria"/>
          <w:bCs/>
          <w:sz w:val="20"/>
          <w:szCs w:val="20"/>
          <w:lang w:val="es-ES"/>
        </w:rPr>
        <w:t xml:space="preserve">. </w:t>
      </w:r>
    </w:p>
    <w:p w14:paraId="34BB8C5E" w14:textId="4407269C" w:rsidR="00B400E1" w:rsidRPr="00B77D7C" w:rsidRDefault="001833FC" w:rsidP="00315C3F">
      <w:pPr>
        <w:pStyle w:val="ListParagraph"/>
        <w:numPr>
          <w:ilvl w:val="0"/>
          <w:numId w:val="55"/>
        </w:numPr>
        <w:spacing w:after="240"/>
        <w:jc w:val="both"/>
        <w:rPr>
          <w:rFonts w:eastAsia="Arial Unicode MS" w:cs="Times New Roman"/>
          <w:color w:val="auto"/>
          <w:sz w:val="20"/>
          <w:szCs w:val="20"/>
          <w:lang w:val="es-ES" w:eastAsia="en-US"/>
        </w:rPr>
      </w:pPr>
      <w:r>
        <w:rPr>
          <w:bCs/>
          <w:sz w:val="20"/>
          <w:szCs w:val="20"/>
          <w:lang w:val="es-ES"/>
        </w:rPr>
        <w:t xml:space="preserve">Finalmente, </w:t>
      </w:r>
      <w:r w:rsidR="00B400E1">
        <w:rPr>
          <w:bCs/>
          <w:sz w:val="20"/>
          <w:szCs w:val="20"/>
          <w:lang w:val="es-ES"/>
        </w:rPr>
        <w:t xml:space="preserve">en cuanto al plazo de presentación </w:t>
      </w:r>
      <w:r w:rsidR="0014388D">
        <w:rPr>
          <w:bCs/>
          <w:sz w:val="20"/>
          <w:szCs w:val="20"/>
          <w:lang w:val="es-ES"/>
        </w:rPr>
        <w:t xml:space="preserve">la Comisión </w:t>
      </w:r>
      <w:r w:rsidR="00B400E1">
        <w:rPr>
          <w:bCs/>
          <w:sz w:val="20"/>
          <w:szCs w:val="20"/>
          <w:lang w:val="es-ES"/>
        </w:rPr>
        <w:t>toma</w:t>
      </w:r>
      <w:r w:rsidR="0014388D">
        <w:rPr>
          <w:bCs/>
          <w:sz w:val="20"/>
          <w:szCs w:val="20"/>
          <w:lang w:val="es-ES"/>
        </w:rPr>
        <w:t xml:space="preserve"> en cuenta </w:t>
      </w:r>
      <w:r w:rsidR="0014388D" w:rsidRPr="00C2052D">
        <w:rPr>
          <w:bCs/>
          <w:sz w:val="20"/>
          <w:szCs w:val="20"/>
          <w:lang w:val="es-ES"/>
        </w:rPr>
        <w:t xml:space="preserve">el carácter continuado de la alegada desaparición forzada </w:t>
      </w:r>
      <w:r w:rsidR="00B400E1">
        <w:rPr>
          <w:bCs/>
          <w:sz w:val="20"/>
          <w:szCs w:val="20"/>
          <w:lang w:val="es-ES"/>
        </w:rPr>
        <w:t xml:space="preserve">y la separación arbitraria </w:t>
      </w:r>
      <w:r w:rsidR="0014388D" w:rsidRPr="00C2052D">
        <w:rPr>
          <w:bCs/>
          <w:sz w:val="20"/>
          <w:szCs w:val="20"/>
          <w:lang w:val="es-ES"/>
        </w:rPr>
        <w:t>de las presuntas víctimas</w:t>
      </w:r>
      <w:r w:rsidR="00B400E1">
        <w:rPr>
          <w:bCs/>
          <w:sz w:val="20"/>
          <w:szCs w:val="20"/>
          <w:lang w:val="es-ES"/>
        </w:rPr>
        <w:t xml:space="preserve"> ocurrida desde 1975</w:t>
      </w:r>
      <w:r w:rsidR="00B400E1" w:rsidRPr="00B400E1">
        <w:rPr>
          <w:bCs/>
          <w:sz w:val="20"/>
          <w:szCs w:val="20"/>
          <w:lang w:val="es-ES"/>
        </w:rPr>
        <w:t xml:space="preserve">, </w:t>
      </w:r>
      <w:r w:rsidR="00B400E1">
        <w:rPr>
          <w:bCs/>
          <w:sz w:val="20"/>
          <w:szCs w:val="20"/>
          <w:lang w:val="es-ES"/>
        </w:rPr>
        <w:t xml:space="preserve">y que </w:t>
      </w:r>
      <w:r w:rsidR="00B400E1" w:rsidRPr="00B400E1">
        <w:rPr>
          <w:bCs/>
          <w:sz w:val="20"/>
          <w:szCs w:val="20"/>
          <w:lang w:val="es-ES"/>
        </w:rPr>
        <w:t xml:space="preserve">hasta la fecha </w:t>
      </w:r>
      <w:r w:rsidR="00B400E1">
        <w:rPr>
          <w:bCs/>
          <w:sz w:val="20"/>
          <w:szCs w:val="20"/>
          <w:lang w:val="es-ES"/>
        </w:rPr>
        <w:t xml:space="preserve">no </w:t>
      </w:r>
      <w:r w:rsidR="00B400E1" w:rsidRPr="00B400E1">
        <w:rPr>
          <w:bCs/>
          <w:sz w:val="20"/>
          <w:szCs w:val="20"/>
          <w:lang w:val="es-ES"/>
        </w:rPr>
        <w:t>se haya efectivamente investigado, juzgado y sancionado a los responsables</w:t>
      </w:r>
      <w:r w:rsidR="00B400E1">
        <w:rPr>
          <w:bCs/>
          <w:sz w:val="20"/>
          <w:szCs w:val="20"/>
          <w:lang w:val="es-ES"/>
        </w:rPr>
        <w:t xml:space="preserve">. </w:t>
      </w:r>
      <w:r w:rsidR="00B400E1">
        <w:rPr>
          <w:sz w:val="20"/>
          <w:szCs w:val="20"/>
          <w:lang w:val="es-ES"/>
        </w:rPr>
        <w:t>En consecuencia</w:t>
      </w:r>
      <w:r w:rsidR="00B400E1" w:rsidRPr="00B77D7C">
        <w:rPr>
          <w:sz w:val="20"/>
          <w:szCs w:val="20"/>
          <w:lang w:val="es-ES"/>
        </w:rPr>
        <w:t xml:space="preserve">, </w:t>
      </w:r>
      <w:r w:rsidR="00B400E1">
        <w:rPr>
          <w:rFonts w:eastAsia="Arial Unicode MS" w:cs="Times New Roman"/>
          <w:color w:val="auto"/>
          <w:sz w:val="20"/>
          <w:szCs w:val="20"/>
          <w:lang w:val="es-ES" w:eastAsia="en-US"/>
        </w:rPr>
        <w:t>la CIDH c</w:t>
      </w:r>
      <w:r w:rsidR="00B400E1" w:rsidRPr="00B77D7C">
        <w:rPr>
          <w:rFonts w:eastAsia="Arial Unicode MS" w:cs="Times New Roman"/>
          <w:color w:val="auto"/>
          <w:sz w:val="20"/>
          <w:szCs w:val="20"/>
          <w:lang w:val="es-ES" w:eastAsia="en-US"/>
        </w:rPr>
        <w:t>oncluye que la petición fue presentada dentro de un plazo razonable, y tiene por cumplido el requisito del artículo 32.2 de su Reglamento.</w:t>
      </w:r>
    </w:p>
    <w:p w14:paraId="7090A929" w14:textId="654E7E34" w:rsidR="00F04591" w:rsidRPr="00C2052D" w:rsidRDefault="00F04591" w:rsidP="00315C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720"/>
        <w:jc w:val="both"/>
        <w:rPr>
          <w:rFonts w:ascii="Cambria" w:hAnsi="Cambria"/>
          <w:b/>
          <w:bCs/>
          <w:sz w:val="20"/>
          <w:szCs w:val="20"/>
          <w:lang w:val="es-ES"/>
        </w:rPr>
      </w:pPr>
      <w:r w:rsidRPr="00C2052D">
        <w:rPr>
          <w:rFonts w:ascii="Cambria" w:hAnsi="Cambria"/>
          <w:b/>
          <w:bCs/>
          <w:sz w:val="20"/>
          <w:szCs w:val="20"/>
          <w:lang w:val="es-ES"/>
        </w:rPr>
        <w:t>V</w:t>
      </w:r>
      <w:r w:rsidR="000E2789" w:rsidRPr="00C2052D">
        <w:rPr>
          <w:rFonts w:ascii="Cambria" w:hAnsi="Cambria"/>
          <w:b/>
          <w:bCs/>
          <w:sz w:val="20"/>
          <w:szCs w:val="20"/>
          <w:lang w:val="es-ES"/>
        </w:rPr>
        <w:t>I</w:t>
      </w:r>
      <w:r w:rsidRPr="00C2052D">
        <w:rPr>
          <w:rFonts w:ascii="Cambria" w:hAnsi="Cambria"/>
          <w:b/>
          <w:bCs/>
          <w:sz w:val="20"/>
          <w:szCs w:val="20"/>
          <w:lang w:val="es-ES"/>
        </w:rPr>
        <w:t xml:space="preserve">I. </w:t>
      </w:r>
      <w:r w:rsidRPr="00C2052D">
        <w:rPr>
          <w:rFonts w:ascii="Cambria" w:hAnsi="Cambria"/>
          <w:b/>
          <w:bCs/>
          <w:sz w:val="20"/>
          <w:szCs w:val="20"/>
          <w:lang w:val="es-ES"/>
        </w:rPr>
        <w:tab/>
        <w:t>CARACTERIZACIÓN</w:t>
      </w:r>
    </w:p>
    <w:p w14:paraId="407D955D" w14:textId="4505F58F" w:rsidR="00D650DB" w:rsidRPr="00D650DB" w:rsidRDefault="00D650DB" w:rsidP="00315C3F">
      <w:pPr>
        <w:pStyle w:val="ListParagraph"/>
        <w:numPr>
          <w:ilvl w:val="0"/>
          <w:numId w:val="55"/>
        </w:numPr>
        <w:spacing w:before="120" w:after="240"/>
        <w:jc w:val="both"/>
        <w:rPr>
          <w:sz w:val="20"/>
          <w:szCs w:val="20"/>
          <w:lang w:val="es-ES"/>
        </w:rPr>
      </w:pPr>
      <w:r w:rsidRPr="00D650DB">
        <w:rPr>
          <w:sz w:val="20"/>
          <w:szCs w:val="20"/>
          <w:lang w:val="es-ES"/>
        </w:rPr>
        <w:t xml:space="preserve">En relación a la competencia </w:t>
      </w:r>
      <w:r w:rsidRPr="00D650DB">
        <w:rPr>
          <w:i/>
          <w:sz w:val="20"/>
          <w:szCs w:val="20"/>
          <w:lang w:val="es-ES"/>
        </w:rPr>
        <w:t>ratione temporis</w:t>
      </w:r>
      <w:r w:rsidRPr="00D650DB">
        <w:rPr>
          <w:sz w:val="20"/>
          <w:szCs w:val="20"/>
          <w:lang w:val="es-ES"/>
        </w:rPr>
        <w:t xml:space="preserve"> y </w:t>
      </w:r>
      <w:r w:rsidRPr="00D650DB">
        <w:rPr>
          <w:i/>
          <w:sz w:val="20"/>
          <w:szCs w:val="20"/>
          <w:lang w:val="es-ES"/>
        </w:rPr>
        <w:t>ratione materiae</w:t>
      </w:r>
      <w:r w:rsidRPr="00D650DB">
        <w:rPr>
          <w:sz w:val="20"/>
          <w:szCs w:val="20"/>
          <w:lang w:val="es-ES"/>
        </w:rPr>
        <w:t xml:space="preserve">, la Comisión analizará los hechos del presente caso a la luz de las obligaciones establecidas en la Convención Americana, en la Convención Interamericana sobre Desaparición Forzada de Personas y en la Convención Interamericana para Prevenir y Sancionar la Tortura, respecto de aquellos ocurridos con posterioridad a su entrada en vigor o cuya ejecución continuó luego de la entrada en vigor de dichos instrumentos para el Estado mexicano. La Comisión analizará los hechos consumados con anterioridad a la entrada en vigor de la Convención Americana para dicho Estado, a la luz de las obligaciones derivadas de la Declaración Americana. </w:t>
      </w:r>
    </w:p>
    <w:p w14:paraId="4383C625" w14:textId="7A6D4E86" w:rsidR="00C54F44" w:rsidRDefault="005F4DF9" w:rsidP="00315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b/>
          <w:bCs/>
          <w:sz w:val="20"/>
          <w:szCs w:val="20"/>
          <w:lang w:val="es-ES"/>
        </w:rPr>
      </w:pPr>
      <w:r w:rsidRPr="00C2052D">
        <w:rPr>
          <w:rFonts w:ascii="Cambria" w:hAnsi="Cambria"/>
          <w:bCs/>
          <w:sz w:val="20"/>
          <w:szCs w:val="20"/>
          <w:lang w:val="es-ES"/>
        </w:rPr>
        <w:t>En</w:t>
      </w:r>
      <w:r w:rsidR="00D650DB">
        <w:rPr>
          <w:rFonts w:ascii="Cambria" w:hAnsi="Cambria"/>
          <w:bCs/>
          <w:sz w:val="20"/>
          <w:szCs w:val="20"/>
          <w:lang w:val="es-ES"/>
        </w:rPr>
        <w:t xml:space="preserve"> ese sentido, en</w:t>
      </w:r>
      <w:r w:rsidRPr="00C2052D">
        <w:rPr>
          <w:rFonts w:ascii="Cambria" w:hAnsi="Cambria"/>
          <w:bCs/>
          <w:sz w:val="20"/>
          <w:szCs w:val="20"/>
          <w:lang w:val="es-ES"/>
        </w:rPr>
        <w:t xml:space="preserve"> vista de los elementos de hecho y de derecho expuestos por la</w:t>
      </w:r>
      <w:r w:rsidR="00D650DB">
        <w:rPr>
          <w:rFonts w:ascii="Cambria" w:hAnsi="Cambria"/>
          <w:bCs/>
          <w:sz w:val="20"/>
          <w:szCs w:val="20"/>
          <w:lang w:val="es-ES"/>
        </w:rPr>
        <w:t>s</w:t>
      </w:r>
      <w:r w:rsidRPr="00C2052D">
        <w:rPr>
          <w:rFonts w:ascii="Cambria" w:hAnsi="Cambria"/>
          <w:bCs/>
          <w:sz w:val="20"/>
          <w:szCs w:val="20"/>
          <w:lang w:val="es-ES"/>
        </w:rPr>
        <w:t xml:space="preserve"> parte</w:t>
      </w:r>
      <w:r w:rsidR="00D650DB">
        <w:rPr>
          <w:rFonts w:ascii="Cambria" w:hAnsi="Cambria"/>
          <w:bCs/>
          <w:sz w:val="20"/>
          <w:szCs w:val="20"/>
          <w:lang w:val="es-ES"/>
        </w:rPr>
        <w:t>s,</w:t>
      </w:r>
      <w:r w:rsidRPr="00C2052D">
        <w:rPr>
          <w:rFonts w:ascii="Cambria" w:hAnsi="Cambria"/>
          <w:bCs/>
          <w:sz w:val="20"/>
          <w:szCs w:val="20"/>
          <w:lang w:val="es-ES"/>
        </w:rPr>
        <w:t xml:space="preserve"> la naturaleza del asunto puesto bajo su conocimiento, </w:t>
      </w:r>
      <w:r w:rsidR="00D650DB" w:rsidRPr="00A10CDD">
        <w:rPr>
          <w:rFonts w:ascii="Cambria" w:hAnsi="Cambria"/>
          <w:sz w:val="20"/>
          <w:szCs w:val="20"/>
          <w:lang w:val="es-ES"/>
        </w:rPr>
        <w:t>y del contexto en el que se enmarcan las denuncias</w:t>
      </w:r>
      <w:r w:rsidR="00533528">
        <w:rPr>
          <w:rStyle w:val="FootnoteReference"/>
          <w:rFonts w:ascii="Cambria" w:hAnsi="Cambria"/>
          <w:sz w:val="20"/>
          <w:szCs w:val="20"/>
          <w:lang w:val="es-ES"/>
        </w:rPr>
        <w:footnoteReference w:id="13"/>
      </w:r>
      <w:r w:rsidR="00D650DB" w:rsidRPr="00A10CDD">
        <w:rPr>
          <w:rFonts w:ascii="Cambria" w:hAnsi="Cambria"/>
          <w:sz w:val="20"/>
          <w:szCs w:val="20"/>
          <w:lang w:val="es-ES"/>
        </w:rPr>
        <w:t>, la CI</w:t>
      </w:r>
      <w:r w:rsidR="00D650DB">
        <w:rPr>
          <w:rFonts w:ascii="Cambria" w:hAnsi="Cambria"/>
          <w:sz w:val="20"/>
          <w:szCs w:val="20"/>
          <w:lang w:val="es-ES"/>
        </w:rPr>
        <w:t>DH considera que, de ser probadas la</w:t>
      </w:r>
      <w:r w:rsidR="00073561">
        <w:rPr>
          <w:rFonts w:ascii="Cambria" w:hAnsi="Cambria"/>
          <w:bCs/>
          <w:sz w:val="20"/>
          <w:szCs w:val="20"/>
          <w:lang w:val="es-ES"/>
        </w:rPr>
        <w:t>s alegadas</w:t>
      </w:r>
      <w:r w:rsidR="00A67309" w:rsidRPr="00C2052D">
        <w:rPr>
          <w:rFonts w:ascii="Cambria" w:hAnsi="Cambria"/>
          <w:bCs/>
          <w:sz w:val="20"/>
          <w:szCs w:val="20"/>
          <w:lang w:val="es-ES"/>
        </w:rPr>
        <w:t xml:space="preserve"> detenciones ilegales</w:t>
      </w:r>
      <w:r w:rsidR="00073561">
        <w:rPr>
          <w:rFonts w:ascii="Cambria" w:hAnsi="Cambria"/>
          <w:bCs/>
          <w:sz w:val="20"/>
          <w:szCs w:val="20"/>
          <w:lang w:val="es-ES"/>
        </w:rPr>
        <w:t xml:space="preserve">, </w:t>
      </w:r>
      <w:r w:rsidR="00D650DB">
        <w:rPr>
          <w:rFonts w:ascii="Cambria" w:hAnsi="Cambria"/>
          <w:bCs/>
          <w:sz w:val="20"/>
          <w:szCs w:val="20"/>
          <w:lang w:val="es-ES"/>
        </w:rPr>
        <w:t xml:space="preserve">torturas, </w:t>
      </w:r>
      <w:r w:rsidR="00D47504">
        <w:rPr>
          <w:rFonts w:ascii="Cambria" w:hAnsi="Cambria"/>
          <w:bCs/>
          <w:sz w:val="20"/>
          <w:szCs w:val="20"/>
          <w:lang w:val="es-ES"/>
        </w:rPr>
        <w:t xml:space="preserve">posteriores </w:t>
      </w:r>
      <w:r w:rsidRPr="00C2052D">
        <w:rPr>
          <w:rFonts w:ascii="Cambria" w:hAnsi="Cambria"/>
          <w:bCs/>
          <w:sz w:val="20"/>
          <w:szCs w:val="20"/>
          <w:lang w:val="es-ES"/>
        </w:rPr>
        <w:t xml:space="preserve">desapariciones </w:t>
      </w:r>
      <w:r w:rsidR="00073561">
        <w:rPr>
          <w:rFonts w:ascii="Cambria" w:hAnsi="Cambria"/>
          <w:bCs/>
          <w:sz w:val="20"/>
          <w:szCs w:val="20"/>
          <w:lang w:val="es-ES"/>
        </w:rPr>
        <w:t xml:space="preserve">forzadas y separaciones arbitrarias de las presuntas víctimas, así como </w:t>
      </w:r>
      <w:r w:rsidR="00A67309" w:rsidRPr="00C2052D">
        <w:rPr>
          <w:rFonts w:ascii="Cambria" w:hAnsi="Cambria"/>
          <w:bCs/>
          <w:sz w:val="20"/>
          <w:szCs w:val="20"/>
          <w:lang w:val="es-ES"/>
        </w:rPr>
        <w:t xml:space="preserve">la falta de protección judicial efectiva podrían constituir violaciones a los derechos consagrados en los </w:t>
      </w:r>
      <w:r w:rsidR="00C94901" w:rsidRPr="00C2052D">
        <w:rPr>
          <w:rFonts w:ascii="Cambria" w:hAnsi="Cambria"/>
          <w:bCs/>
          <w:sz w:val="20"/>
          <w:szCs w:val="20"/>
          <w:lang w:val="es-ES"/>
        </w:rPr>
        <w:t>artículos I</w:t>
      </w:r>
      <w:r w:rsidR="00F3424B" w:rsidRPr="00A10CDD">
        <w:rPr>
          <w:rFonts w:ascii="Cambria" w:hAnsi="Cambria"/>
          <w:sz w:val="20"/>
          <w:szCs w:val="20"/>
          <w:lang w:val="es-ES"/>
        </w:rPr>
        <w:t xml:space="preserve"> (vida, libertad, seguridad e integridad de la persona),</w:t>
      </w:r>
      <w:r w:rsidR="00C94901" w:rsidRPr="00C2052D">
        <w:rPr>
          <w:rFonts w:ascii="Cambria" w:hAnsi="Cambria"/>
          <w:bCs/>
          <w:sz w:val="20"/>
          <w:szCs w:val="20"/>
          <w:lang w:val="es-ES"/>
        </w:rPr>
        <w:t xml:space="preserve"> VI</w:t>
      </w:r>
      <w:r w:rsidR="00F3424B">
        <w:rPr>
          <w:rFonts w:ascii="Cambria" w:hAnsi="Cambria"/>
          <w:bCs/>
          <w:sz w:val="20"/>
          <w:szCs w:val="20"/>
          <w:lang w:val="es-ES"/>
        </w:rPr>
        <w:t xml:space="preserve"> (</w:t>
      </w:r>
      <w:r w:rsidR="00F3424B" w:rsidRPr="00F3424B">
        <w:rPr>
          <w:rFonts w:ascii="Cambria" w:hAnsi="Cambria"/>
          <w:bCs/>
          <w:sz w:val="20"/>
          <w:szCs w:val="20"/>
          <w:lang w:val="es-ES"/>
        </w:rPr>
        <w:t>constitución y a la protección de la f</w:t>
      </w:r>
      <w:r w:rsidR="00F3424B">
        <w:rPr>
          <w:rFonts w:ascii="Cambria" w:hAnsi="Cambria"/>
          <w:bCs/>
          <w:sz w:val="20"/>
          <w:szCs w:val="20"/>
          <w:lang w:val="es-ES"/>
        </w:rPr>
        <w:t>amilia)</w:t>
      </w:r>
      <w:r w:rsidR="00C94901" w:rsidRPr="00C2052D">
        <w:rPr>
          <w:rFonts w:ascii="Cambria" w:hAnsi="Cambria"/>
          <w:bCs/>
          <w:sz w:val="20"/>
          <w:szCs w:val="20"/>
          <w:lang w:val="es-ES"/>
        </w:rPr>
        <w:t xml:space="preserve"> </w:t>
      </w:r>
      <w:r w:rsidR="00F3424B" w:rsidRPr="00A10CDD">
        <w:rPr>
          <w:rFonts w:ascii="Cambria" w:hAnsi="Cambria"/>
          <w:sz w:val="20"/>
          <w:szCs w:val="20"/>
          <w:lang w:val="es-ES"/>
        </w:rPr>
        <w:t>XVIII (justicia) y XXV (protección contra la detención arbitraria) de la Declaración Americana</w:t>
      </w:r>
      <w:r w:rsidR="00743A4E">
        <w:rPr>
          <w:rFonts w:ascii="Cambria" w:hAnsi="Cambria"/>
          <w:sz w:val="20"/>
          <w:szCs w:val="20"/>
          <w:lang w:val="es-ES"/>
        </w:rPr>
        <w:t>, en perjuicio de las presuntas víctimas y sus familiares</w:t>
      </w:r>
      <w:r w:rsidR="00F3424B" w:rsidRPr="00A10CDD">
        <w:rPr>
          <w:rFonts w:ascii="Cambria" w:hAnsi="Cambria"/>
          <w:sz w:val="20"/>
          <w:szCs w:val="20"/>
          <w:lang w:val="es-ES"/>
        </w:rPr>
        <w:t>.</w:t>
      </w:r>
      <w:r w:rsidR="00F3424B" w:rsidRPr="00C2052D">
        <w:rPr>
          <w:rFonts w:ascii="Cambria" w:hAnsi="Cambria"/>
          <w:bCs/>
          <w:sz w:val="20"/>
          <w:szCs w:val="20"/>
          <w:lang w:val="es-ES"/>
        </w:rPr>
        <w:t xml:space="preserve"> </w:t>
      </w:r>
      <w:r w:rsidR="00F3424B" w:rsidRPr="00A10CDD">
        <w:rPr>
          <w:rFonts w:ascii="Cambria" w:hAnsi="Cambria"/>
          <w:sz w:val="20"/>
          <w:szCs w:val="20"/>
          <w:lang w:val="es-ES"/>
        </w:rPr>
        <w:t>En lo que se refiere a la presunta continuidad y falta de esclarecimiento de dichos delitos,</w:t>
      </w:r>
      <w:r w:rsidR="00F3424B">
        <w:rPr>
          <w:rFonts w:ascii="Cambria" w:hAnsi="Cambria"/>
          <w:bCs/>
          <w:sz w:val="20"/>
          <w:szCs w:val="20"/>
          <w:lang w:val="es-ES"/>
        </w:rPr>
        <w:t xml:space="preserve"> </w:t>
      </w:r>
      <w:r w:rsidR="00C54F44" w:rsidRPr="00A10CDD">
        <w:rPr>
          <w:rFonts w:ascii="Cambria" w:hAnsi="Cambria"/>
          <w:sz w:val="20"/>
          <w:szCs w:val="20"/>
          <w:lang w:val="es-ES"/>
        </w:rPr>
        <w:t>la Comisión considera que los hechos alegados podrían caracterizar posibles violaciones a los artículos 3 (personalidad jurídica), 4 (vida), 5 (integridad personal), 7 (libertad pers</w:t>
      </w:r>
      <w:r w:rsidR="00C54F44">
        <w:rPr>
          <w:rFonts w:ascii="Cambria" w:hAnsi="Cambria"/>
          <w:sz w:val="20"/>
          <w:szCs w:val="20"/>
          <w:lang w:val="es-ES"/>
        </w:rPr>
        <w:t xml:space="preserve">onal), 8 (garantías judiciales), </w:t>
      </w:r>
      <w:r w:rsidR="00ED74FA" w:rsidRPr="00C2052D">
        <w:rPr>
          <w:rFonts w:ascii="Cambria" w:hAnsi="Cambria"/>
          <w:bCs/>
          <w:sz w:val="19"/>
          <w:szCs w:val="19"/>
          <w:lang w:val="es-ES"/>
        </w:rPr>
        <w:t xml:space="preserve">11 </w:t>
      </w:r>
      <w:r w:rsidR="00ED74FA" w:rsidRPr="00C2052D">
        <w:rPr>
          <w:rFonts w:ascii="Cambria" w:hAnsi="Cambria"/>
          <w:bCs/>
          <w:sz w:val="19"/>
          <w:szCs w:val="19"/>
          <w:lang w:val="es-ES"/>
        </w:rPr>
        <w:lastRenderedPageBreak/>
        <w:t>(protección de la honra y la dignidad)</w:t>
      </w:r>
      <w:r w:rsidR="00ED74FA">
        <w:rPr>
          <w:rFonts w:ascii="Cambria" w:hAnsi="Cambria"/>
          <w:bCs/>
          <w:sz w:val="19"/>
          <w:szCs w:val="19"/>
          <w:lang w:val="es-ES"/>
        </w:rPr>
        <w:t xml:space="preserve">, </w:t>
      </w:r>
      <w:r w:rsidR="00C54F44">
        <w:rPr>
          <w:rFonts w:ascii="Cambria" w:hAnsi="Cambria"/>
          <w:sz w:val="20"/>
          <w:szCs w:val="20"/>
          <w:lang w:val="es-ES"/>
        </w:rPr>
        <w:t xml:space="preserve">18 (nombre), 19 (derechos del niño) </w:t>
      </w:r>
      <w:r w:rsidR="00C54F44" w:rsidRPr="00A10CDD">
        <w:rPr>
          <w:rFonts w:ascii="Cambria" w:hAnsi="Cambria"/>
          <w:sz w:val="20"/>
          <w:szCs w:val="20"/>
          <w:lang w:val="es-ES"/>
        </w:rPr>
        <w:t>y 25 (protección judicial) de la Convención Americana en relación con sus artículos 1.1 (obligación de respetar los derechos) y 2 (deber de adoptar disposiciones de derecho interno), como a los artículos 1, 6 y 8 de la C</w:t>
      </w:r>
      <w:r w:rsidR="00C54F44">
        <w:rPr>
          <w:rFonts w:ascii="Cambria" w:hAnsi="Cambria"/>
          <w:sz w:val="20"/>
          <w:szCs w:val="20"/>
          <w:lang w:val="es-ES"/>
        </w:rPr>
        <w:t>IPST, al</w:t>
      </w:r>
      <w:r w:rsidR="00C54F44" w:rsidRPr="00A10CDD">
        <w:rPr>
          <w:rFonts w:ascii="Cambria" w:hAnsi="Cambria"/>
          <w:sz w:val="20"/>
          <w:szCs w:val="20"/>
          <w:lang w:val="es-ES"/>
        </w:rPr>
        <w:t xml:space="preserve"> artículo I</w:t>
      </w:r>
      <w:r w:rsidR="00ED74FA">
        <w:rPr>
          <w:rFonts w:ascii="Cambria" w:hAnsi="Cambria"/>
          <w:sz w:val="20"/>
          <w:szCs w:val="20"/>
          <w:lang w:val="es-ES"/>
        </w:rPr>
        <w:t>, X y XI</w:t>
      </w:r>
      <w:r w:rsidR="00C54F44" w:rsidRPr="00A10CDD">
        <w:rPr>
          <w:rFonts w:ascii="Cambria" w:hAnsi="Cambria"/>
          <w:sz w:val="20"/>
          <w:szCs w:val="20"/>
          <w:lang w:val="es-ES"/>
        </w:rPr>
        <w:t xml:space="preserve"> de la C</w:t>
      </w:r>
      <w:r w:rsidR="00C54F44">
        <w:rPr>
          <w:rFonts w:ascii="Cambria" w:hAnsi="Cambria"/>
          <w:sz w:val="20"/>
          <w:szCs w:val="20"/>
          <w:lang w:val="es-ES"/>
        </w:rPr>
        <w:t>IDFP y al artículo 7 de la Convención Belém Do Pará</w:t>
      </w:r>
      <w:r w:rsidR="00743A4E">
        <w:rPr>
          <w:rFonts w:ascii="Cambria" w:hAnsi="Cambria"/>
          <w:sz w:val="20"/>
          <w:szCs w:val="20"/>
          <w:lang w:val="es-ES"/>
        </w:rPr>
        <w:t>, en perjuicio de las presuntas víctimas y sus familiares</w:t>
      </w:r>
      <w:r w:rsidR="00C54F44" w:rsidRPr="00A10CDD">
        <w:rPr>
          <w:rFonts w:ascii="Cambria" w:hAnsi="Cambria"/>
          <w:sz w:val="20"/>
          <w:szCs w:val="20"/>
          <w:lang w:val="es-ES"/>
        </w:rPr>
        <w:t>.</w:t>
      </w:r>
    </w:p>
    <w:p w14:paraId="29BB41F5" w14:textId="1F6B39D2" w:rsidR="003239B8" w:rsidRPr="00C2052D" w:rsidRDefault="00EC72AB" w:rsidP="00C54F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bCs/>
          <w:sz w:val="20"/>
          <w:szCs w:val="20"/>
          <w:lang w:val="es-ES"/>
        </w:rPr>
      </w:pPr>
      <w:r w:rsidRPr="00C2052D">
        <w:rPr>
          <w:rFonts w:ascii="Cambria" w:hAnsi="Cambria"/>
          <w:b/>
          <w:bCs/>
          <w:sz w:val="20"/>
          <w:szCs w:val="20"/>
          <w:lang w:val="es-ES"/>
        </w:rPr>
        <w:t>VI</w:t>
      </w:r>
      <w:r w:rsidR="00F04591" w:rsidRPr="00C2052D">
        <w:rPr>
          <w:rFonts w:ascii="Cambria" w:hAnsi="Cambria"/>
          <w:b/>
          <w:bCs/>
          <w:sz w:val="20"/>
          <w:szCs w:val="20"/>
          <w:lang w:val="es-ES"/>
        </w:rPr>
        <w:t>II</w:t>
      </w:r>
      <w:r w:rsidR="003239B8" w:rsidRPr="00C2052D">
        <w:rPr>
          <w:rFonts w:ascii="Cambria" w:hAnsi="Cambria"/>
          <w:b/>
          <w:bCs/>
          <w:sz w:val="20"/>
          <w:szCs w:val="20"/>
          <w:lang w:val="es-ES"/>
        </w:rPr>
        <w:t xml:space="preserve">. </w:t>
      </w:r>
      <w:r w:rsidR="003239B8" w:rsidRPr="00C2052D">
        <w:rPr>
          <w:rFonts w:ascii="Cambria" w:hAnsi="Cambria"/>
          <w:b/>
          <w:bCs/>
          <w:sz w:val="20"/>
          <w:szCs w:val="20"/>
          <w:lang w:val="es-ES"/>
        </w:rPr>
        <w:tab/>
        <w:t>DECISIÓN</w:t>
      </w:r>
    </w:p>
    <w:p w14:paraId="0FDE1D10" w14:textId="52148240" w:rsidR="003239B8" w:rsidRPr="00C2052D"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2052D">
        <w:rPr>
          <w:rFonts w:ascii="Cambria" w:hAnsi="Cambria"/>
          <w:sz w:val="20"/>
          <w:szCs w:val="20"/>
          <w:lang w:val="es-ES"/>
        </w:rPr>
        <w:t>Declarar admisible la presente petición en relación con</w:t>
      </w:r>
      <w:r w:rsidR="003A6337" w:rsidRPr="00C2052D">
        <w:rPr>
          <w:rFonts w:ascii="Cambria" w:hAnsi="Cambria"/>
          <w:sz w:val="20"/>
          <w:szCs w:val="20"/>
          <w:lang w:val="es-ES"/>
        </w:rPr>
        <w:t xml:space="preserve"> los </w:t>
      </w:r>
      <w:r w:rsidR="003A6337" w:rsidRPr="00C2052D">
        <w:rPr>
          <w:rFonts w:ascii="Cambria" w:hAnsi="Cambria"/>
          <w:bCs/>
          <w:sz w:val="20"/>
          <w:szCs w:val="20"/>
          <w:lang w:val="es-ES"/>
        </w:rPr>
        <w:t xml:space="preserve">artículos </w:t>
      </w:r>
      <w:r w:rsidR="00C54F44">
        <w:rPr>
          <w:rFonts w:ascii="Cambria" w:hAnsi="Cambria"/>
          <w:bCs/>
          <w:sz w:val="20"/>
          <w:szCs w:val="20"/>
          <w:lang w:val="es-ES"/>
        </w:rPr>
        <w:t xml:space="preserve">I, VI, </w:t>
      </w:r>
      <w:r w:rsidR="00A73380" w:rsidRPr="00C2052D">
        <w:rPr>
          <w:rFonts w:ascii="Cambria" w:hAnsi="Cambria"/>
          <w:bCs/>
          <w:sz w:val="20"/>
          <w:szCs w:val="20"/>
          <w:lang w:val="es-ES"/>
        </w:rPr>
        <w:t>XVIII</w:t>
      </w:r>
      <w:r w:rsidR="00C54F44">
        <w:rPr>
          <w:rFonts w:ascii="Cambria" w:hAnsi="Cambria"/>
          <w:bCs/>
          <w:sz w:val="20"/>
          <w:szCs w:val="20"/>
          <w:lang w:val="es-ES"/>
        </w:rPr>
        <w:t xml:space="preserve"> y </w:t>
      </w:r>
      <w:r w:rsidR="00C54F44" w:rsidRPr="00A10CDD">
        <w:rPr>
          <w:rFonts w:ascii="Cambria" w:hAnsi="Cambria"/>
          <w:sz w:val="20"/>
          <w:szCs w:val="20"/>
          <w:lang w:val="es-ES"/>
        </w:rPr>
        <w:t>XXV</w:t>
      </w:r>
      <w:r w:rsidR="00A73380" w:rsidRPr="00C2052D">
        <w:rPr>
          <w:rFonts w:ascii="Cambria" w:hAnsi="Cambria"/>
          <w:bCs/>
          <w:sz w:val="20"/>
          <w:szCs w:val="20"/>
          <w:lang w:val="es-ES"/>
        </w:rPr>
        <w:t xml:space="preserve"> </w:t>
      </w:r>
      <w:r w:rsidR="00FF21C5" w:rsidRPr="00C2052D">
        <w:rPr>
          <w:rFonts w:ascii="Cambria" w:hAnsi="Cambria"/>
          <w:sz w:val="20"/>
          <w:szCs w:val="20"/>
          <w:lang w:val="es-ES"/>
        </w:rPr>
        <w:t>de la Declaración Americana;</w:t>
      </w:r>
      <w:r w:rsidR="00C54F44">
        <w:rPr>
          <w:rFonts w:ascii="Cambria" w:hAnsi="Cambria"/>
          <w:sz w:val="20"/>
          <w:szCs w:val="20"/>
          <w:lang w:val="es-ES"/>
        </w:rPr>
        <w:t xml:space="preserve"> los artículos</w:t>
      </w:r>
      <w:r w:rsidR="00FF21C5" w:rsidRPr="00C2052D">
        <w:rPr>
          <w:rFonts w:ascii="Cambria" w:hAnsi="Cambria"/>
          <w:sz w:val="20"/>
          <w:szCs w:val="20"/>
          <w:lang w:val="es-ES"/>
        </w:rPr>
        <w:t xml:space="preserve"> 3, 4, 5, 7, 8, </w:t>
      </w:r>
      <w:r w:rsidR="00C54F44">
        <w:rPr>
          <w:rFonts w:ascii="Cambria" w:hAnsi="Cambria"/>
          <w:sz w:val="20"/>
          <w:szCs w:val="20"/>
          <w:lang w:val="es-ES"/>
        </w:rPr>
        <w:t xml:space="preserve">11, </w:t>
      </w:r>
      <w:r w:rsidR="006B0CDD" w:rsidRPr="00C2052D">
        <w:rPr>
          <w:rFonts w:ascii="Cambria" w:hAnsi="Cambria"/>
          <w:sz w:val="20"/>
          <w:szCs w:val="20"/>
          <w:lang w:val="es-ES"/>
        </w:rPr>
        <w:t xml:space="preserve">13, </w:t>
      </w:r>
      <w:r w:rsidR="00FF21C5" w:rsidRPr="00C2052D">
        <w:rPr>
          <w:rFonts w:ascii="Cambria" w:hAnsi="Cambria"/>
          <w:sz w:val="20"/>
          <w:szCs w:val="20"/>
          <w:lang w:val="es-ES"/>
        </w:rPr>
        <w:t xml:space="preserve">17, </w:t>
      </w:r>
      <w:r w:rsidR="00A73380" w:rsidRPr="00C2052D">
        <w:rPr>
          <w:rFonts w:ascii="Cambria" w:hAnsi="Cambria"/>
          <w:sz w:val="20"/>
          <w:szCs w:val="20"/>
          <w:lang w:val="es-ES"/>
        </w:rPr>
        <w:t xml:space="preserve">18, </w:t>
      </w:r>
      <w:r w:rsidR="00FF21C5" w:rsidRPr="00C2052D">
        <w:rPr>
          <w:rFonts w:ascii="Cambria" w:hAnsi="Cambria"/>
          <w:sz w:val="20"/>
          <w:szCs w:val="20"/>
          <w:lang w:val="es-ES"/>
        </w:rPr>
        <w:t>19 y 25 de la Convenci</w:t>
      </w:r>
      <w:r w:rsidR="00C54F44">
        <w:rPr>
          <w:rFonts w:ascii="Cambria" w:hAnsi="Cambria"/>
          <w:sz w:val="20"/>
          <w:szCs w:val="20"/>
          <w:lang w:val="es-ES"/>
        </w:rPr>
        <w:t xml:space="preserve">ón Americana en relación con los </w:t>
      </w:r>
      <w:r w:rsidR="00FF21C5" w:rsidRPr="00C2052D">
        <w:rPr>
          <w:rFonts w:ascii="Cambria" w:hAnsi="Cambria"/>
          <w:sz w:val="20"/>
          <w:szCs w:val="20"/>
          <w:lang w:val="es-ES"/>
        </w:rPr>
        <w:t>artículo</w:t>
      </w:r>
      <w:r w:rsidR="00C54F44">
        <w:rPr>
          <w:rFonts w:ascii="Cambria" w:hAnsi="Cambria"/>
          <w:sz w:val="20"/>
          <w:szCs w:val="20"/>
          <w:lang w:val="es-ES"/>
        </w:rPr>
        <w:t>s</w:t>
      </w:r>
      <w:r w:rsidR="00FF21C5" w:rsidRPr="00C2052D">
        <w:rPr>
          <w:rFonts w:ascii="Cambria" w:hAnsi="Cambria"/>
          <w:sz w:val="20"/>
          <w:szCs w:val="20"/>
          <w:lang w:val="es-ES"/>
        </w:rPr>
        <w:t xml:space="preserve"> 1.1</w:t>
      </w:r>
      <w:r w:rsidR="00C54F44">
        <w:rPr>
          <w:rFonts w:ascii="Cambria" w:hAnsi="Cambria"/>
          <w:sz w:val="20"/>
          <w:szCs w:val="20"/>
          <w:lang w:val="es-ES"/>
        </w:rPr>
        <w:t xml:space="preserve"> y 2</w:t>
      </w:r>
      <w:r w:rsidR="00FF21C5" w:rsidRPr="00C2052D">
        <w:rPr>
          <w:rFonts w:ascii="Cambria" w:hAnsi="Cambria"/>
          <w:sz w:val="20"/>
          <w:szCs w:val="20"/>
          <w:lang w:val="es-ES"/>
        </w:rPr>
        <w:t xml:space="preserve"> del mismo instrumento, </w:t>
      </w:r>
      <w:r w:rsidR="00C54F44">
        <w:rPr>
          <w:rFonts w:asciiTheme="majorHAnsi" w:hAnsiTheme="majorHAnsi"/>
          <w:sz w:val="20"/>
          <w:szCs w:val="20"/>
          <w:lang w:val="es-BO"/>
        </w:rPr>
        <w:t>los artículos 1, 6 y 8 de la CIPST;</w:t>
      </w:r>
      <w:r w:rsidR="00B17051">
        <w:rPr>
          <w:rFonts w:asciiTheme="majorHAnsi" w:hAnsiTheme="majorHAnsi"/>
          <w:sz w:val="20"/>
          <w:szCs w:val="20"/>
          <w:lang w:val="es-BO"/>
        </w:rPr>
        <w:t xml:space="preserve"> los</w:t>
      </w:r>
      <w:r w:rsidR="00C54F44">
        <w:rPr>
          <w:rFonts w:asciiTheme="majorHAnsi" w:hAnsiTheme="majorHAnsi"/>
          <w:sz w:val="20"/>
          <w:szCs w:val="20"/>
          <w:lang w:val="es-BO"/>
        </w:rPr>
        <w:t xml:space="preserve"> artículo</w:t>
      </w:r>
      <w:r w:rsidR="00B17051">
        <w:rPr>
          <w:rFonts w:asciiTheme="majorHAnsi" w:hAnsiTheme="majorHAnsi"/>
          <w:sz w:val="20"/>
          <w:szCs w:val="20"/>
          <w:lang w:val="es-BO"/>
        </w:rPr>
        <w:t>s</w:t>
      </w:r>
      <w:r w:rsidR="00C54F44">
        <w:rPr>
          <w:rFonts w:asciiTheme="majorHAnsi" w:hAnsiTheme="majorHAnsi"/>
          <w:sz w:val="20"/>
          <w:szCs w:val="20"/>
          <w:lang w:val="es-BO"/>
        </w:rPr>
        <w:t xml:space="preserve"> I</w:t>
      </w:r>
      <w:r w:rsidR="00ED74FA">
        <w:rPr>
          <w:rFonts w:asciiTheme="majorHAnsi" w:hAnsiTheme="majorHAnsi"/>
          <w:sz w:val="20"/>
          <w:szCs w:val="20"/>
          <w:lang w:val="es-BO"/>
        </w:rPr>
        <w:t>, X y XI</w:t>
      </w:r>
      <w:r w:rsidR="00C54F44">
        <w:rPr>
          <w:rFonts w:asciiTheme="majorHAnsi" w:hAnsiTheme="majorHAnsi"/>
          <w:sz w:val="20"/>
          <w:szCs w:val="20"/>
          <w:lang w:val="es-BO"/>
        </w:rPr>
        <w:t xml:space="preserve"> de la CIDFP y el</w:t>
      </w:r>
      <w:r w:rsidR="00A73380" w:rsidRPr="00C2052D">
        <w:rPr>
          <w:rFonts w:ascii="Cambria" w:hAnsi="Cambria"/>
          <w:bCs/>
          <w:sz w:val="20"/>
          <w:szCs w:val="20"/>
          <w:lang w:val="es-ES"/>
        </w:rPr>
        <w:t xml:space="preserve"> art</w:t>
      </w:r>
      <w:r w:rsidR="00A73380" w:rsidRPr="00C2052D">
        <w:rPr>
          <w:rFonts w:ascii="Cambria" w:hAnsi="Cambria"/>
          <w:bCs/>
          <w:sz w:val="20"/>
          <w:szCs w:val="20"/>
          <w:lang w:val="es-ES" w:eastAsia="ko-KR"/>
        </w:rPr>
        <w:t>ículo 7 de</w:t>
      </w:r>
      <w:r w:rsidR="00B17051">
        <w:rPr>
          <w:rFonts w:ascii="Cambria" w:hAnsi="Cambria"/>
          <w:bCs/>
          <w:sz w:val="20"/>
          <w:szCs w:val="20"/>
          <w:lang w:val="es-ES" w:eastAsia="ko-KR"/>
        </w:rPr>
        <w:t xml:space="preserve"> la Convención de Belem do Pará;</w:t>
      </w:r>
    </w:p>
    <w:p w14:paraId="4157390F" w14:textId="413C292B"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2052D">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1113E27" w14:textId="5B697AE2" w:rsidR="001B61B1" w:rsidRPr="00A741D9" w:rsidRDefault="001B61B1" w:rsidP="001B61B1">
      <w:pPr>
        <w:suppressAutoHyphens/>
        <w:ind w:firstLine="720"/>
        <w:jc w:val="both"/>
        <w:rPr>
          <w:rFonts w:ascii="Cambria" w:hAnsi="Cambria"/>
          <w:sz w:val="20"/>
          <w:szCs w:val="20"/>
          <w:lang w:val="es-ES"/>
        </w:rPr>
      </w:pPr>
      <w:r w:rsidRPr="00A741D9">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A741D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A741D9">
        <w:rPr>
          <w:rFonts w:ascii="Cambria" w:hAnsi="Cambria"/>
          <w:sz w:val="20"/>
          <w:szCs w:val="20"/>
          <w:lang w:val="es-ES"/>
        </w:rPr>
        <w:t xml:space="preserve"> de 2019.  (Firmado): Esmeralda E. Arosemena Bernal de Troitiño, Presidenta; Antonia Urrejola Noguera, Segunda Vicepresidenta; Margarette May Macaulay, Francisco José Eguiguren Praeli, Luis Ernesto Vargas Silva</w:t>
      </w:r>
      <w:r>
        <w:rPr>
          <w:rFonts w:ascii="Cambria" w:hAnsi="Cambria"/>
          <w:sz w:val="20"/>
          <w:szCs w:val="20"/>
          <w:lang w:val="es-ES"/>
        </w:rPr>
        <w:t xml:space="preserve"> </w:t>
      </w:r>
      <w:r w:rsidRPr="00A741D9">
        <w:rPr>
          <w:rFonts w:ascii="Cambria" w:hAnsi="Cambria"/>
          <w:sz w:val="20"/>
          <w:szCs w:val="20"/>
          <w:lang w:val="es-ES"/>
        </w:rPr>
        <w:t>y Flávia Piovesan, Miembros de la Comisión.</w:t>
      </w:r>
    </w:p>
    <w:p w14:paraId="0500EE5F" w14:textId="77777777" w:rsidR="00743A4E"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p>
    <w:p w14:paraId="6A83445E" w14:textId="77777777" w:rsidR="00D461F1" w:rsidRDefault="00D461F1">
      <w:pPr>
        <w:rPr>
          <w:rFonts w:ascii="Cambria" w:hAnsi="Cambria"/>
          <w:b/>
          <w:sz w:val="20"/>
          <w:szCs w:val="20"/>
          <w:lang w:val="es-ES"/>
        </w:rPr>
      </w:pPr>
      <w:r>
        <w:rPr>
          <w:rFonts w:ascii="Cambria" w:hAnsi="Cambria"/>
          <w:b/>
          <w:sz w:val="20"/>
          <w:szCs w:val="20"/>
          <w:lang w:val="es-ES"/>
        </w:rPr>
        <w:br w:type="page"/>
      </w:r>
    </w:p>
    <w:p w14:paraId="4161F1AE" w14:textId="2E616C44" w:rsidR="00743A4E" w:rsidRPr="00743A4E"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Cambria" w:hAnsi="Cambria"/>
          <w:b/>
          <w:sz w:val="20"/>
          <w:szCs w:val="20"/>
          <w:lang w:val="es-ES"/>
        </w:rPr>
      </w:pPr>
      <w:r w:rsidRPr="00743A4E">
        <w:rPr>
          <w:rFonts w:ascii="Cambria" w:hAnsi="Cambria"/>
          <w:b/>
          <w:sz w:val="20"/>
          <w:szCs w:val="20"/>
          <w:lang w:val="es-ES"/>
        </w:rPr>
        <w:lastRenderedPageBreak/>
        <w:t>Anexo</w:t>
      </w:r>
    </w:p>
    <w:p w14:paraId="235A93F2" w14:textId="77777777" w:rsidR="00743A4E" w:rsidRPr="00743A4E"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Cambria" w:hAnsi="Cambria"/>
          <w:b/>
          <w:sz w:val="20"/>
          <w:szCs w:val="20"/>
          <w:lang w:val="es-ES"/>
        </w:rPr>
      </w:pPr>
    </w:p>
    <w:p w14:paraId="64EA6475" w14:textId="5E6BFE88" w:rsidR="00743A4E" w:rsidRPr="00743A4E"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Cambria" w:hAnsi="Cambria"/>
          <w:b/>
          <w:sz w:val="20"/>
          <w:szCs w:val="20"/>
          <w:lang w:val="es-ES"/>
        </w:rPr>
      </w:pPr>
      <w:r w:rsidRPr="00743A4E">
        <w:rPr>
          <w:rFonts w:ascii="Cambria" w:hAnsi="Cambria"/>
          <w:b/>
          <w:sz w:val="20"/>
          <w:szCs w:val="20"/>
          <w:lang w:val="es-ES"/>
        </w:rPr>
        <w:t>Listado de presuntas víctimas</w:t>
      </w:r>
    </w:p>
    <w:p w14:paraId="65816B83" w14:textId="77777777" w:rsidR="00743A4E" w:rsidRDefault="00743A4E" w:rsidP="00A874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20"/>
          <w:szCs w:val="20"/>
          <w:lang w:val="es-ES"/>
        </w:rPr>
      </w:pPr>
    </w:p>
    <w:p w14:paraId="31066F7C" w14:textId="77777777" w:rsidR="00743A4E" w:rsidRDefault="00743A4E" w:rsidP="00A874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20"/>
          <w:szCs w:val="20"/>
          <w:lang w:val="es-ES"/>
        </w:rPr>
      </w:pPr>
    </w:p>
    <w:p w14:paraId="35172B65" w14:textId="77777777" w:rsidR="00A874F6" w:rsidRDefault="00A874F6" w:rsidP="00A874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20"/>
          <w:szCs w:val="20"/>
          <w:lang w:val="es-ES"/>
        </w:rPr>
      </w:pPr>
    </w:p>
    <w:p w14:paraId="08AE4C83" w14:textId="77777777" w:rsidR="00743A4E" w:rsidRDefault="00743A4E"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sidRPr="00743A4E">
        <w:rPr>
          <w:sz w:val="20"/>
          <w:szCs w:val="20"/>
          <w:lang w:val="es-ES"/>
        </w:rPr>
        <w:t>Roberto Antonio Gallangos Cruz</w:t>
      </w:r>
    </w:p>
    <w:p w14:paraId="2DF0FE85" w14:textId="5E8DD2A4" w:rsidR="00743A4E" w:rsidRDefault="00743A4E"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Pr>
          <w:sz w:val="20"/>
          <w:szCs w:val="20"/>
          <w:lang w:val="es-ES"/>
        </w:rPr>
        <w:t>Carmen Vargas Pérez</w:t>
      </w:r>
    </w:p>
    <w:p w14:paraId="01D6D551" w14:textId="1C689944" w:rsidR="00743A4E" w:rsidRDefault="00743A4E"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Pr>
          <w:sz w:val="20"/>
          <w:szCs w:val="20"/>
          <w:lang w:val="es-ES"/>
        </w:rPr>
        <w:t>Lucio Antonio Gallangos Vargas</w:t>
      </w:r>
    </w:p>
    <w:p w14:paraId="29C241F2" w14:textId="076E3E95" w:rsidR="00743A4E" w:rsidRDefault="00743A4E"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Pr>
          <w:sz w:val="20"/>
          <w:szCs w:val="20"/>
          <w:lang w:val="es-ES"/>
        </w:rPr>
        <w:t>Aleida Gallangos Vargas</w:t>
      </w:r>
    </w:p>
    <w:p w14:paraId="73CC8098" w14:textId="2FAC3A72" w:rsidR="00743A4E" w:rsidRDefault="00743A4E"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sidRPr="00743A4E">
        <w:rPr>
          <w:sz w:val="20"/>
          <w:szCs w:val="20"/>
          <w:lang w:val="es-ES"/>
        </w:rPr>
        <w:t>Francisco Avelino Gallangos Cruz</w:t>
      </w:r>
    </w:p>
    <w:p w14:paraId="54F0A2CB" w14:textId="191FA683" w:rsidR="00A874F6" w:rsidRPr="00A874F6" w:rsidRDefault="00A874F6"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Pr>
          <w:sz w:val="20"/>
          <w:szCs w:val="20"/>
          <w:lang w:val="es-MX"/>
        </w:rPr>
        <w:t>Francisco Gorostiola Toríz</w:t>
      </w:r>
    </w:p>
    <w:p w14:paraId="623EC17D" w14:textId="2EA21685" w:rsidR="00A874F6" w:rsidRPr="00743A4E" w:rsidRDefault="00A874F6"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sidRPr="00C2052D">
        <w:rPr>
          <w:sz w:val="20"/>
          <w:szCs w:val="20"/>
          <w:lang w:val="es-MX"/>
        </w:rPr>
        <w:t>Emma Cabrera Arenas</w:t>
      </w:r>
    </w:p>
    <w:sectPr w:rsidR="00A874F6" w:rsidRPr="00743A4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CBE1A" w14:textId="77777777" w:rsidR="00F515AB" w:rsidRDefault="00F515AB">
      <w:r>
        <w:separator/>
      </w:r>
    </w:p>
  </w:endnote>
  <w:endnote w:type="continuationSeparator" w:id="0">
    <w:p w14:paraId="246BB3A3" w14:textId="77777777" w:rsidR="00F515AB" w:rsidRDefault="00F5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C4F0" w14:textId="77777777" w:rsidR="0086119C" w:rsidRDefault="00861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62BF5E4" w:rsidR="00F93785" w:rsidRPr="00934A2C" w:rsidRDefault="00F9378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2694C">
          <w:rPr>
            <w:noProof/>
            <w:sz w:val="16"/>
            <w:szCs w:val="22"/>
          </w:rPr>
          <w:t>8</w:t>
        </w:r>
        <w:r w:rsidRPr="00934A2C">
          <w:rPr>
            <w:noProof/>
            <w:sz w:val="16"/>
            <w:szCs w:val="22"/>
          </w:rPr>
          <w:fldChar w:fldCharType="end"/>
        </w:r>
      </w:p>
    </w:sdtContent>
  </w:sdt>
  <w:p w14:paraId="68530E6A" w14:textId="77777777" w:rsidR="00F93785" w:rsidRDefault="00F93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93785" w:rsidRPr="00934A2C" w:rsidRDefault="00F93785">
    <w:pPr>
      <w:pStyle w:val="Footer"/>
      <w:jc w:val="center"/>
      <w:rPr>
        <w:sz w:val="16"/>
        <w:szCs w:val="22"/>
      </w:rPr>
    </w:pPr>
  </w:p>
  <w:p w14:paraId="49059CE3" w14:textId="77777777" w:rsidR="00F93785" w:rsidRDefault="00F93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7F8B2" w14:textId="77777777" w:rsidR="00F515AB" w:rsidRPr="000F35ED" w:rsidRDefault="00F515A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94BF66" w14:textId="77777777" w:rsidR="00F515AB" w:rsidRPr="000F35ED" w:rsidRDefault="00F515AB" w:rsidP="000F35ED">
      <w:pPr>
        <w:rPr>
          <w:rFonts w:asciiTheme="majorHAnsi" w:hAnsiTheme="majorHAnsi"/>
          <w:sz w:val="16"/>
          <w:szCs w:val="16"/>
        </w:rPr>
      </w:pPr>
      <w:r w:rsidRPr="000F35ED">
        <w:rPr>
          <w:rFonts w:asciiTheme="majorHAnsi" w:hAnsiTheme="majorHAnsi"/>
          <w:sz w:val="16"/>
          <w:szCs w:val="16"/>
        </w:rPr>
        <w:separator/>
      </w:r>
    </w:p>
    <w:p w14:paraId="737F98FF" w14:textId="77777777" w:rsidR="00F515AB" w:rsidRPr="000F35ED" w:rsidRDefault="00F515A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1CD38DE" w14:textId="77777777" w:rsidR="00F515AB" w:rsidRPr="000F35ED" w:rsidRDefault="00F515A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09BDF11" w14:textId="2C994ACC" w:rsidR="00F93785" w:rsidRPr="00DE6153" w:rsidRDefault="00F93785" w:rsidP="00DE6153">
      <w:pPr>
        <w:pStyle w:val="FootnoteText"/>
        <w:jc w:val="both"/>
        <w:rPr>
          <w:rFonts w:asciiTheme="majorHAnsi" w:hAnsiTheme="majorHAnsi"/>
          <w:sz w:val="16"/>
          <w:szCs w:val="16"/>
          <w:lang w:val="es-ES"/>
        </w:rPr>
      </w:pPr>
      <w:r w:rsidRPr="00DE6153">
        <w:rPr>
          <w:rStyle w:val="FootnoteReference"/>
          <w:rFonts w:asciiTheme="majorHAnsi" w:hAnsiTheme="majorHAnsi"/>
          <w:sz w:val="16"/>
          <w:szCs w:val="16"/>
        </w:rPr>
        <w:footnoteRef/>
      </w:r>
      <w:r w:rsidRPr="00DE6153">
        <w:rPr>
          <w:rFonts w:asciiTheme="majorHAnsi" w:hAnsiTheme="majorHAnsi"/>
          <w:sz w:val="16"/>
          <w:szCs w:val="16"/>
          <w:lang w:val="es-ES"/>
        </w:rPr>
        <w:t xml:space="preserve"> </w:t>
      </w:r>
      <w:r>
        <w:rPr>
          <w:rFonts w:asciiTheme="majorHAnsi" w:hAnsiTheme="majorHAnsi"/>
          <w:bCs/>
          <w:sz w:val="16"/>
          <w:szCs w:val="16"/>
          <w:lang w:val="es-ES_tradnl"/>
        </w:rPr>
        <w:t xml:space="preserve">La petición </w:t>
      </w:r>
      <w:r w:rsidRPr="00E50EDC">
        <w:rPr>
          <w:rFonts w:asciiTheme="majorHAnsi" w:hAnsiTheme="majorHAnsi"/>
          <w:bCs/>
          <w:sz w:val="16"/>
          <w:szCs w:val="16"/>
          <w:lang w:val="es-ES_tradnl"/>
        </w:rPr>
        <w:t xml:space="preserve">refiere </w:t>
      </w:r>
      <w:r w:rsidR="0018705C">
        <w:rPr>
          <w:rFonts w:asciiTheme="majorHAnsi" w:hAnsiTheme="majorHAnsi"/>
          <w:bCs/>
          <w:sz w:val="16"/>
          <w:szCs w:val="16"/>
          <w:lang w:val="es-ES_tradnl"/>
        </w:rPr>
        <w:t xml:space="preserve">además a </w:t>
      </w:r>
      <w:r w:rsidR="0018705C" w:rsidRPr="0018705C">
        <w:rPr>
          <w:rFonts w:ascii="Cambria" w:hAnsi="Cambria"/>
          <w:bCs/>
          <w:sz w:val="16"/>
          <w:szCs w:val="16"/>
          <w:lang w:val="es-BO"/>
        </w:rPr>
        <w:t xml:space="preserve">Carmen Vargas Pérez, Lucio Antonio </w:t>
      </w:r>
      <w:proofErr w:type="spellStart"/>
      <w:r w:rsidR="0018705C" w:rsidRPr="0018705C">
        <w:rPr>
          <w:rFonts w:ascii="Cambria" w:hAnsi="Cambria"/>
          <w:bCs/>
          <w:sz w:val="16"/>
          <w:szCs w:val="16"/>
          <w:lang w:val="es-BO"/>
        </w:rPr>
        <w:t>Gallangos</w:t>
      </w:r>
      <w:proofErr w:type="spellEnd"/>
      <w:r w:rsidR="0018705C" w:rsidRPr="0018705C">
        <w:rPr>
          <w:rFonts w:ascii="Cambria" w:hAnsi="Cambria"/>
          <w:bCs/>
          <w:sz w:val="16"/>
          <w:szCs w:val="16"/>
          <w:lang w:val="es-BO"/>
        </w:rPr>
        <w:t xml:space="preserve"> Vargas, Aleida </w:t>
      </w:r>
      <w:proofErr w:type="spellStart"/>
      <w:r w:rsidR="0018705C" w:rsidRPr="0018705C">
        <w:rPr>
          <w:rFonts w:ascii="Cambria" w:hAnsi="Cambria"/>
          <w:bCs/>
          <w:sz w:val="16"/>
          <w:szCs w:val="16"/>
          <w:lang w:val="es-BO"/>
        </w:rPr>
        <w:t>Gallangos</w:t>
      </w:r>
      <w:proofErr w:type="spellEnd"/>
      <w:r w:rsidR="0018705C" w:rsidRPr="0018705C">
        <w:rPr>
          <w:rFonts w:ascii="Cambria" w:hAnsi="Cambria"/>
          <w:bCs/>
          <w:sz w:val="16"/>
          <w:szCs w:val="16"/>
          <w:lang w:val="es-BO"/>
        </w:rPr>
        <w:t xml:space="preserve"> Vargas, Francisco Avelino </w:t>
      </w:r>
      <w:proofErr w:type="spellStart"/>
      <w:r w:rsidR="0018705C" w:rsidRPr="0018705C">
        <w:rPr>
          <w:rFonts w:ascii="Cambria" w:hAnsi="Cambria"/>
          <w:bCs/>
          <w:sz w:val="16"/>
          <w:szCs w:val="16"/>
          <w:lang w:val="es-BO"/>
        </w:rPr>
        <w:t>Gallangos</w:t>
      </w:r>
      <w:proofErr w:type="spellEnd"/>
      <w:r w:rsidR="0018705C" w:rsidRPr="0018705C">
        <w:rPr>
          <w:rFonts w:ascii="Cambria" w:hAnsi="Cambria"/>
          <w:bCs/>
          <w:sz w:val="16"/>
          <w:szCs w:val="16"/>
          <w:lang w:val="es-BO"/>
        </w:rPr>
        <w:t xml:space="preserve"> Cruz, Francisco </w:t>
      </w:r>
      <w:proofErr w:type="spellStart"/>
      <w:r w:rsidR="0018705C" w:rsidRPr="0018705C">
        <w:rPr>
          <w:rFonts w:ascii="Cambria" w:hAnsi="Cambria"/>
          <w:bCs/>
          <w:sz w:val="16"/>
          <w:szCs w:val="16"/>
          <w:lang w:val="es-BO"/>
        </w:rPr>
        <w:t>Gorostiola</w:t>
      </w:r>
      <w:proofErr w:type="spellEnd"/>
      <w:r w:rsidR="0018705C" w:rsidRPr="0018705C">
        <w:rPr>
          <w:rFonts w:ascii="Cambria" w:hAnsi="Cambria"/>
          <w:bCs/>
          <w:sz w:val="16"/>
          <w:szCs w:val="16"/>
          <w:lang w:val="es-BO"/>
        </w:rPr>
        <w:t xml:space="preserve"> </w:t>
      </w:r>
      <w:proofErr w:type="spellStart"/>
      <w:r w:rsidR="0018705C" w:rsidRPr="0018705C">
        <w:rPr>
          <w:rFonts w:ascii="Cambria" w:hAnsi="Cambria"/>
          <w:bCs/>
          <w:sz w:val="16"/>
          <w:szCs w:val="16"/>
          <w:lang w:val="es-BO"/>
        </w:rPr>
        <w:t>Toríz</w:t>
      </w:r>
      <w:proofErr w:type="spellEnd"/>
      <w:r w:rsidR="0018705C" w:rsidRPr="0018705C">
        <w:rPr>
          <w:rFonts w:ascii="Cambria" w:hAnsi="Cambria"/>
          <w:bCs/>
          <w:sz w:val="16"/>
          <w:szCs w:val="16"/>
          <w:lang w:val="es-BO"/>
        </w:rPr>
        <w:t>, Emma Cabrera Arenas</w:t>
      </w:r>
      <w:r w:rsidRPr="00E50EDC">
        <w:rPr>
          <w:rFonts w:asciiTheme="majorHAnsi" w:hAnsiTheme="majorHAnsi"/>
          <w:bCs/>
          <w:sz w:val="16"/>
          <w:szCs w:val="16"/>
          <w:lang w:val="es-ES_tradnl"/>
        </w:rPr>
        <w:t>,</w:t>
      </w:r>
      <w:r w:rsidR="0018705C">
        <w:rPr>
          <w:rFonts w:asciiTheme="majorHAnsi" w:hAnsiTheme="majorHAnsi"/>
          <w:bCs/>
          <w:sz w:val="16"/>
          <w:szCs w:val="16"/>
          <w:lang w:val="es-ES_tradnl"/>
        </w:rPr>
        <w:t xml:space="preserve"> y sus familias,</w:t>
      </w:r>
      <w:r w:rsidR="0018705C" w:rsidRPr="0018705C">
        <w:rPr>
          <w:rFonts w:asciiTheme="majorHAnsi" w:hAnsiTheme="majorHAnsi"/>
          <w:bCs/>
          <w:sz w:val="16"/>
          <w:szCs w:val="16"/>
          <w:lang w:val="es-ES_tradnl"/>
        </w:rPr>
        <w:t xml:space="preserve"> </w:t>
      </w:r>
      <w:r w:rsidR="0018705C">
        <w:rPr>
          <w:rFonts w:asciiTheme="majorHAnsi" w:hAnsiTheme="majorHAnsi"/>
          <w:bCs/>
          <w:sz w:val="16"/>
          <w:szCs w:val="16"/>
          <w:lang w:val="es-ES_tradnl"/>
        </w:rPr>
        <w:t>como</w:t>
      </w:r>
      <w:r w:rsidR="0018705C" w:rsidRPr="00E50EDC">
        <w:rPr>
          <w:rFonts w:asciiTheme="majorHAnsi" w:hAnsiTheme="majorHAnsi"/>
          <w:bCs/>
          <w:sz w:val="16"/>
          <w:szCs w:val="16"/>
          <w:lang w:val="es-ES_tradnl"/>
        </w:rPr>
        <w:t xml:space="preserve"> presuntas víctimas</w:t>
      </w:r>
      <w:r w:rsidRPr="00DE6153">
        <w:rPr>
          <w:rFonts w:asciiTheme="majorHAnsi" w:hAnsiTheme="majorHAnsi"/>
          <w:bCs/>
          <w:sz w:val="16"/>
          <w:szCs w:val="16"/>
          <w:lang w:val="es-ES_tradnl"/>
        </w:rPr>
        <w:t xml:space="preserve">. </w:t>
      </w:r>
    </w:p>
  </w:footnote>
  <w:footnote w:id="3">
    <w:p w14:paraId="22B1B40A" w14:textId="51B228AA" w:rsidR="00F93785" w:rsidRPr="00DE6153" w:rsidRDefault="00F93785" w:rsidP="00DE6153">
      <w:pPr>
        <w:pStyle w:val="FootnoteText"/>
        <w:spacing w:line="276" w:lineRule="auto"/>
        <w:jc w:val="both"/>
        <w:rPr>
          <w:rFonts w:asciiTheme="majorHAnsi" w:hAnsiTheme="majorHAnsi"/>
          <w:sz w:val="16"/>
          <w:szCs w:val="16"/>
          <w:lang w:val="es-ES"/>
        </w:rPr>
      </w:pPr>
      <w:r w:rsidRPr="00DE6153">
        <w:rPr>
          <w:rStyle w:val="FootnoteReference"/>
          <w:rFonts w:asciiTheme="majorHAnsi" w:hAnsiTheme="majorHAnsi"/>
          <w:sz w:val="16"/>
          <w:szCs w:val="16"/>
        </w:rPr>
        <w:footnoteRef/>
      </w:r>
      <w:r w:rsidRPr="00DE6153">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4">
    <w:p w14:paraId="215EEB52" w14:textId="3D2F5FA7" w:rsidR="00F93785" w:rsidRPr="00DE6153" w:rsidRDefault="00F93785" w:rsidP="00DE6153">
      <w:pPr>
        <w:pStyle w:val="FootnoteText"/>
        <w:jc w:val="both"/>
        <w:rPr>
          <w:rFonts w:asciiTheme="majorHAnsi" w:hAnsiTheme="majorHAnsi"/>
          <w:sz w:val="16"/>
          <w:szCs w:val="16"/>
          <w:lang w:val="es-ES"/>
        </w:rPr>
      </w:pPr>
      <w:r w:rsidRPr="00DE6153">
        <w:rPr>
          <w:rStyle w:val="FootnoteReference"/>
          <w:rFonts w:asciiTheme="majorHAnsi" w:hAnsiTheme="majorHAnsi"/>
          <w:sz w:val="16"/>
          <w:szCs w:val="16"/>
        </w:rPr>
        <w:footnoteRef/>
      </w:r>
      <w:r w:rsidRPr="00DE6153">
        <w:rPr>
          <w:rFonts w:asciiTheme="majorHAnsi" w:hAnsiTheme="majorHAnsi"/>
          <w:sz w:val="16"/>
          <w:szCs w:val="16"/>
          <w:lang w:val="es-ES"/>
        </w:rPr>
        <w:t xml:space="preserve"> En adelante “la Convención Americana” o “la Convención”.</w:t>
      </w:r>
    </w:p>
  </w:footnote>
  <w:footnote w:id="5">
    <w:p w14:paraId="6AE72289" w14:textId="3C036801" w:rsidR="00F93785" w:rsidRPr="00DE6153" w:rsidRDefault="00F93785" w:rsidP="00DE6153">
      <w:pPr>
        <w:pStyle w:val="FootnoteText"/>
        <w:jc w:val="both"/>
        <w:rPr>
          <w:rFonts w:asciiTheme="majorHAnsi" w:hAnsiTheme="majorHAnsi"/>
          <w:lang w:val="es-ES"/>
        </w:rPr>
      </w:pPr>
      <w:r w:rsidRPr="00DE6153">
        <w:rPr>
          <w:rStyle w:val="FootnoteReference"/>
          <w:rFonts w:asciiTheme="majorHAnsi" w:hAnsiTheme="majorHAnsi"/>
          <w:sz w:val="16"/>
        </w:rPr>
        <w:footnoteRef/>
      </w:r>
      <w:r w:rsidRPr="00DE6153">
        <w:rPr>
          <w:rFonts w:asciiTheme="majorHAnsi" w:hAnsiTheme="majorHAnsi"/>
          <w:sz w:val="16"/>
          <w:lang w:val="es-ES"/>
        </w:rPr>
        <w:t xml:space="preserve"> En adelante, la “CIDFP”.</w:t>
      </w:r>
    </w:p>
  </w:footnote>
  <w:footnote w:id="6">
    <w:p w14:paraId="7D19B048" w14:textId="0541549F" w:rsidR="00F93785" w:rsidRPr="00DE6153" w:rsidRDefault="00F93785" w:rsidP="00DE6153">
      <w:pPr>
        <w:pStyle w:val="FootnoteText"/>
        <w:jc w:val="both"/>
        <w:rPr>
          <w:rFonts w:asciiTheme="majorHAnsi" w:hAnsiTheme="majorHAnsi"/>
          <w:lang w:val="es-ES"/>
        </w:rPr>
      </w:pPr>
      <w:r w:rsidRPr="00DE6153">
        <w:rPr>
          <w:rStyle w:val="FootnoteReference"/>
          <w:rFonts w:asciiTheme="majorHAnsi" w:hAnsiTheme="majorHAnsi"/>
        </w:rPr>
        <w:footnoteRef/>
      </w:r>
      <w:r w:rsidRPr="00DE6153">
        <w:rPr>
          <w:rFonts w:asciiTheme="majorHAnsi" w:hAnsiTheme="majorHAnsi"/>
          <w:lang w:val="es-ES"/>
        </w:rPr>
        <w:t xml:space="preserve"> </w:t>
      </w:r>
      <w:r w:rsidRPr="00DE6153">
        <w:rPr>
          <w:rFonts w:asciiTheme="majorHAnsi" w:hAnsiTheme="majorHAnsi"/>
          <w:sz w:val="16"/>
          <w:lang w:val="es-ES"/>
        </w:rPr>
        <w:t>En adelante “Convención de Belém do Pará”.</w:t>
      </w:r>
    </w:p>
  </w:footnote>
  <w:footnote w:id="7">
    <w:p w14:paraId="79F07139" w14:textId="77777777" w:rsidR="00F93785" w:rsidRPr="00DE6153" w:rsidRDefault="00F93785" w:rsidP="00DE6153">
      <w:pPr>
        <w:pStyle w:val="FootnoteText"/>
        <w:jc w:val="both"/>
        <w:rPr>
          <w:rFonts w:asciiTheme="majorHAnsi" w:hAnsiTheme="majorHAnsi"/>
          <w:sz w:val="16"/>
          <w:szCs w:val="16"/>
          <w:lang w:val="es-ES"/>
        </w:rPr>
      </w:pPr>
      <w:r w:rsidRPr="00DE6153">
        <w:rPr>
          <w:rStyle w:val="FootnoteReference"/>
          <w:rFonts w:asciiTheme="majorHAnsi" w:hAnsiTheme="majorHAnsi"/>
          <w:sz w:val="16"/>
          <w:szCs w:val="16"/>
        </w:rPr>
        <w:footnoteRef/>
      </w:r>
      <w:r w:rsidRPr="00DE6153">
        <w:rPr>
          <w:rFonts w:asciiTheme="majorHAnsi" w:hAnsiTheme="majorHAnsi"/>
          <w:sz w:val="16"/>
          <w:szCs w:val="16"/>
          <w:lang w:val="es-ES"/>
        </w:rPr>
        <w:t xml:space="preserve"> Las observaciones de cada parte fueron debidamente trasladadas a la parte contraria.</w:t>
      </w:r>
    </w:p>
  </w:footnote>
  <w:footnote w:id="8">
    <w:p w14:paraId="3E1A94BE" w14:textId="6EB6B606" w:rsidR="00F93785" w:rsidRPr="00421375" w:rsidRDefault="00F93785" w:rsidP="00421375">
      <w:pPr>
        <w:pStyle w:val="FootnoteText"/>
        <w:rPr>
          <w:rFonts w:asciiTheme="majorHAnsi" w:hAnsiTheme="majorHAnsi"/>
          <w:lang w:val="es-ES"/>
        </w:rPr>
      </w:pPr>
      <w:r>
        <w:rPr>
          <w:rStyle w:val="FootnoteReference"/>
        </w:rPr>
        <w:footnoteRef/>
      </w:r>
      <w:r w:rsidRPr="00421375">
        <w:rPr>
          <w:lang w:val="es-ES"/>
        </w:rPr>
        <w:t xml:space="preserve"> </w:t>
      </w:r>
      <w:r>
        <w:rPr>
          <w:rFonts w:asciiTheme="majorHAnsi" w:hAnsiTheme="majorHAnsi"/>
          <w:sz w:val="16"/>
          <w:lang w:val="es-ES"/>
        </w:rPr>
        <w:t>En a</w:t>
      </w:r>
      <w:r w:rsidRPr="00421375">
        <w:rPr>
          <w:rFonts w:asciiTheme="majorHAnsi" w:hAnsiTheme="majorHAnsi"/>
          <w:sz w:val="16"/>
          <w:lang w:val="es-ES"/>
        </w:rPr>
        <w:t xml:space="preserve">delante, la “CIPST”. </w:t>
      </w:r>
    </w:p>
  </w:footnote>
  <w:footnote w:id="9">
    <w:p w14:paraId="092DCEEA" w14:textId="77777777" w:rsidR="003556AF" w:rsidRPr="00DE6153" w:rsidRDefault="003556AF" w:rsidP="003556AF">
      <w:pPr>
        <w:pStyle w:val="FootnoteText"/>
        <w:jc w:val="both"/>
        <w:rPr>
          <w:rFonts w:asciiTheme="majorHAnsi" w:hAnsiTheme="majorHAnsi"/>
          <w:lang w:val="es-ES"/>
        </w:rPr>
      </w:pPr>
      <w:r w:rsidRPr="00DE6153">
        <w:rPr>
          <w:rStyle w:val="FootnoteReference"/>
          <w:rFonts w:asciiTheme="majorHAnsi" w:hAnsiTheme="majorHAnsi"/>
        </w:rPr>
        <w:footnoteRef/>
      </w:r>
      <w:r w:rsidRPr="00DE6153">
        <w:rPr>
          <w:rFonts w:asciiTheme="majorHAnsi" w:hAnsiTheme="majorHAnsi"/>
          <w:lang w:val="es-ES"/>
        </w:rPr>
        <w:t xml:space="preserve"> </w:t>
      </w:r>
      <w:r w:rsidRPr="00DE6153">
        <w:rPr>
          <w:rFonts w:asciiTheme="majorHAnsi" w:hAnsiTheme="majorHAnsi"/>
          <w:sz w:val="16"/>
          <w:lang w:val="es-ES"/>
        </w:rPr>
        <w:t>Conforme Informe</w:t>
      </w:r>
      <w:r>
        <w:rPr>
          <w:rFonts w:asciiTheme="majorHAnsi" w:hAnsiTheme="majorHAnsi"/>
          <w:sz w:val="16"/>
          <w:lang w:val="es-ES"/>
        </w:rPr>
        <w:t xml:space="preserve"> 26</w:t>
      </w:r>
      <w:r w:rsidRPr="00DE6153">
        <w:rPr>
          <w:rFonts w:asciiTheme="majorHAnsi" w:hAnsiTheme="majorHAnsi"/>
          <w:sz w:val="16"/>
          <w:lang w:val="es-ES"/>
        </w:rPr>
        <w:t xml:space="preserve"> emitido en el año 2001 por la Comisión Nacional de Derechos Humanos.</w:t>
      </w:r>
    </w:p>
  </w:footnote>
  <w:footnote w:id="10">
    <w:p w14:paraId="5AF8819A" w14:textId="77777777" w:rsidR="00291DDB" w:rsidRPr="00DE6153" w:rsidRDefault="00291DDB" w:rsidP="00291DDB">
      <w:pPr>
        <w:pStyle w:val="FootnoteText"/>
        <w:jc w:val="both"/>
        <w:rPr>
          <w:rFonts w:asciiTheme="majorHAnsi" w:hAnsiTheme="majorHAnsi"/>
          <w:lang w:val="es-ES"/>
        </w:rPr>
      </w:pPr>
      <w:r w:rsidRPr="00DE6153">
        <w:rPr>
          <w:rStyle w:val="FootnoteReference"/>
          <w:rFonts w:asciiTheme="majorHAnsi" w:hAnsiTheme="majorHAnsi"/>
        </w:rPr>
        <w:footnoteRef/>
      </w:r>
      <w:r w:rsidRPr="00DE6153">
        <w:rPr>
          <w:rFonts w:asciiTheme="majorHAnsi" w:hAnsiTheme="majorHAnsi"/>
          <w:lang w:val="es-ES"/>
        </w:rPr>
        <w:t xml:space="preserve"> </w:t>
      </w:r>
      <w:r w:rsidRPr="00DE6153">
        <w:rPr>
          <w:rFonts w:asciiTheme="majorHAnsi" w:hAnsiTheme="majorHAnsi"/>
          <w:sz w:val="16"/>
          <w:szCs w:val="16"/>
          <w:lang w:val="es-ES"/>
        </w:rPr>
        <w:t>En el artículo 4 del Acuerdo Presidencial de fecha 27 de noviembre de 2001, se instruye a la Secretaría de Gobernación conformar un Comité Interdisciplinario cuyo objeto era el estudio, análisis y presentación de propuestas para determinar la forma, procedimientos y términos para br</w:t>
      </w:r>
      <w:r>
        <w:rPr>
          <w:rFonts w:asciiTheme="majorHAnsi" w:hAnsiTheme="majorHAnsi"/>
          <w:sz w:val="16"/>
          <w:szCs w:val="16"/>
          <w:lang w:val="es-ES"/>
        </w:rPr>
        <w:t>i</w:t>
      </w:r>
      <w:r w:rsidRPr="00DE6153">
        <w:rPr>
          <w:rFonts w:asciiTheme="majorHAnsi" w:hAnsiTheme="majorHAnsi"/>
          <w:sz w:val="16"/>
          <w:szCs w:val="16"/>
          <w:lang w:val="es-ES"/>
        </w:rPr>
        <w:t xml:space="preserve">ndar, cuando ella procesa, una reparación administrativa justa a las víctimas y ofendidos de los hechos del pasado a que se refiere el presente Acuerdo. </w:t>
      </w:r>
    </w:p>
  </w:footnote>
  <w:footnote w:id="11">
    <w:p w14:paraId="7AEDDB63" w14:textId="153C6A0D" w:rsidR="00F93785" w:rsidRPr="00DE6153" w:rsidRDefault="00F93785" w:rsidP="00DE6153">
      <w:pPr>
        <w:pStyle w:val="FootnoteText"/>
        <w:jc w:val="both"/>
        <w:rPr>
          <w:rFonts w:asciiTheme="majorHAnsi" w:hAnsiTheme="majorHAnsi"/>
          <w:lang w:val="es-ES"/>
        </w:rPr>
      </w:pPr>
      <w:r w:rsidRPr="00DE6153">
        <w:rPr>
          <w:rStyle w:val="FootnoteReference"/>
          <w:rFonts w:asciiTheme="majorHAnsi" w:hAnsiTheme="majorHAnsi"/>
        </w:rPr>
        <w:footnoteRef/>
      </w:r>
      <w:r w:rsidRPr="00DE6153">
        <w:rPr>
          <w:rFonts w:asciiTheme="majorHAnsi" w:hAnsiTheme="majorHAnsi"/>
          <w:lang w:val="es-ES"/>
        </w:rPr>
        <w:t xml:space="preserve"> </w:t>
      </w:r>
      <w:r w:rsidRPr="00DE6153">
        <w:rPr>
          <w:rFonts w:asciiTheme="majorHAnsi" w:hAnsiTheme="majorHAnsi"/>
          <w:sz w:val="16"/>
          <w:lang w:val="es-ES"/>
        </w:rPr>
        <w:t>CIDH, Informe No.49/14. Petición 1196/07. Admisibilidad. Juan Carlos Martínez Gil, Colombia, 21 de julio de 2014, párr. 29.</w:t>
      </w:r>
    </w:p>
  </w:footnote>
  <w:footnote w:id="12">
    <w:p w14:paraId="4B6A1C7E" w14:textId="77777777" w:rsidR="00F93785" w:rsidRPr="00DE6153" w:rsidRDefault="00F93785" w:rsidP="00DE6153">
      <w:pPr>
        <w:pStyle w:val="FootnoteText"/>
        <w:jc w:val="both"/>
        <w:rPr>
          <w:rFonts w:asciiTheme="majorHAnsi" w:hAnsiTheme="majorHAnsi"/>
          <w:lang w:val="es-ES"/>
        </w:rPr>
      </w:pPr>
      <w:r w:rsidRPr="00DE6153">
        <w:rPr>
          <w:rStyle w:val="FootnoteReference"/>
          <w:rFonts w:asciiTheme="majorHAnsi" w:hAnsiTheme="majorHAnsi"/>
        </w:rPr>
        <w:footnoteRef/>
      </w:r>
      <w:r w:rsidRPr="00DE6153">
        <w:rPr>
          <w:rFonts w:asciiTheme="majorHAnsi" w:hAnsiTheme="majorHAnsi"/>
          <w:lang w:val="es-ES"/>
        </w:rPr>
        <w:t xml:space="preserve"> </w:t>
      </w:r>
      <w:r w:rsidRPr="00DE6153">
        <w:rPr>
          <w:rFonts w:asciiTheme="majorHAnsi" w:hAnsiTheme="majorHAnsi"/>
          <w:sz w:val="16"/>
          <w:lang w:val="es-ES"/>
        </w:rPr>
        <w:t>CIDH, Informe No.72/16. Petición 694/06. Admisibilidad. Onofre Antonio de La Hoz Montero y Familia, Colombia, 6 de diciembre de 2016, párr. 32.</w:t>
      </w:r>
    </w:p>
  </w:footnote>
  <w:footnote w:id="13">
    <w:p w14:paraId="4E6A614A" w14:textId="1949E044" w:rsidR="00533528" w:rsidRPr="00533528" w:rsidRDefault="00533528">
      <w:pPr>
        <w:pStyle w:val="FootnoteText"/>
        <w:rPr>
          <w:lang w:val="es-BO"/>
        </w:rPr>
      </w:pPr>
      <w:r>
        <w:rPr>
          <w:rStyle w:val="FootnoteReference"/>
        </w:rPr>
        <w:footnoteRef/>
      </w:r>
      <w:r w:rsidRPr="00533528">
        <w:rPr>
          <w:lang w:val="es-BO"/>
        </w:rPr>
        <w:t xml:space="preserve"> </w:t>
      </w:r>
      <w:r w:rsidRPr="00533528">
        <w:rPr>
          <w:rFonts w:asciiTheme="majorHAnsi" w:hAnsiTheme="majorHAnsi"/>
          <w:sz w:val="16"/>
          <w:szCs w:val="16"/>
          <w:lang w:val="es-BO"/>
        </w:rPr>
        <w:t>CIDH, Informe No. 65/05. Petici</w:t>
      </w:r>
      <w:r>
        <w:rPr>
          <w:rFonts w:asciiTheme="majorHAnsi" w:hAnsiTheme="majorHAnsi"/>
          <w:sz w:val="16"/>
          <w:szCs w:val="16"/>
          <w:lang w:val="es-BO"/>
        </w:rPr>
        <w:t>ón 777/01</w:t>
      </w:r>
      <w:r w:rsidRPr="00533528">
        <w:rPr>
          <w:rFonts w:asciiTheme="majorHAnsi" w:hAnsiTheme="majorHAnsi"/>
          <w:sz w:val="16"/>
          <w:szCs w:val="16"/>
          <w:lang w:val="es-BO"/>
        </w:rPr>
        <w:t>. Admisibilidad. Rosendo Radilla Pacheco. México. 12 de octubre de 2005, párr.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93785" w:rsidRDefault="00F93785" w:rsidP="005D308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93785" w:rsidRDefault="00F93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F93785" w:rsidRDefault="00F9378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93785" w:rsidRPr="00EC7D62" w:rsidRDefault="00F515A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BAD33" w14:textId="77777777" w:rsidR="0086119C" w:rsidRDefault="00861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EC88F98"/>
    <w:lvl w:ilvl="0" w:tplc="5164FEF0">
      <w:start w:val="1"/>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12947"/>
    <w:multiLevelType w:val="hybridMultilevel"/>
    <w:tmpl w:val="B044D294"/>
    <w:lvl w:ilvl="0" w:tplc="213EACD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C244EE"/>
    <w:multiLevelType w:val="hybridMultilevel"/>
    <w:tmpl w:val="D1CE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2"/>
  </w:num>
  <w:num w:numId="5">
    <w:abstractNumId w:val="49"/>
  </w:num>
  <w:num w:numId="6">
    <w:abstractNumId w:val="28"/>
  </w:num>
  <w:num w:numId="7">
    <w:abstractNumId w:val="7"/>
  </w:num>
  <w:num w:numId="8">
    <w:abstractNumId w:val="17"/>
  </w:num>
  <w:num w:numId="9">
    <w:abstractNumId w:val="42"/>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1"/>
  </w:num>
  <w:num w:numId="52">
    <w:abstractNumId w:val="41"/>
  </w:num>
  <w:num w:numId="53">
    <w:abstractNumId w:val="52"/>
  </w:num>
  <w:num w:numId="54">
    <w:abstractNumId w:val="46"/>
  </w:num>
  <w:num w:numId="55">
    <w:abstractNumId w:val="5"/>
  </w:num>
  <w:num w:numId="56">
    <w:abstractNumId w:val="43"/>
  </w:num>
  <w:num w:numId="57">
    <w:abstractNumId w:val="60"/>
  </w:num>
  <w:num w:numId="58">
    <w:abstractNumId w:val="20"/>
  </w:num>
  <w:num w:numId="59">
    <w:abstractNumId w:val="3"/>
  </w:num>
  <w:num w:numId="60">
    <w:abstractNumId w:val="48"/>
  </w:num>
  <w:num w:numId="61">
    <w:abstractNumId w:val="26"/>
  </w:num>
  <w:num w:numId="62">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FF8"/>
    <w:rsid w:val="000065D0"/>
    <w:rsid w:val="00006B74"/>
    <w:rsid w:val="00006E1F"/>
    <w:rsid w:val="000070D7"/>
    <w:rsid w:val="000104F5"/>
    <w:rsid w:val="00010BDB"/>
    <w:rsid w:val="00015701"/>
    <w:rsid w:val="0001788C"/>
    <w:rsid w:val="0002186F"/>
    <w:rsid w:val="000337EF"/>
    <w:rsid w:val="00036750"/>
    <w:rsid w:val="00040C3A"/>
    <w:rsid w:val="000419AD"/>
    <w:rsid w:val="00052287"/>
    <w:rsid w:val="000546AF"/>
    <w:rsid w:val="00063CBE"/>
    <w:rsid w:val="00065C47"/>
    <w:rsid w:val="000701C8"/>
    <w:rsid w:val="000716C5"/>
    <w:rsid w:val="0007182A"/>
    <w:rsid w:val="00073561"/>
    <w:rsid w:val="00073D99"/>
    <w:rsid w:val="00074295"/>
    <w:rsid w:val="00075E23"/>
    <w:rsid w:val="00081C2F"/>
    <w:rsid w:val="00082F18"/>
    <w:rsid w:val="0009006E"/>
    <w:rsid w:val="0009344A"/>
    <w:rsid w:val="00097666"/>
    <w:rsid w:val="000A19F8"/>
    <w:rsid w:val="000A3254"/>
    <w:rsid w:val="000A392E"/>
    <w:rsid w:val="000A3B07"/>
    <w:rsid w:val="000A4E41"/>
    <w:rsid w:val="000A575F"/>
    <w:rsid w:val="000A63D0"/>
    <w:rsid w:val="000B0579"/>
    <w:rsid w:val="000C1C69"/>
    <w:rsid w:val="000C3A31"/>
    <w:rsid w:val="000D10DB"/>
    <w:rsid w:val="000D222E"/>
    <w:rsid w:val="000D2FA5"/>
    <w:rsid w:val="000D6322"/>
    <w:rsid w:val="000E2789"/>
    <w:rsid w:val="000E5EB5"/>
    <w:rsid w:val="000F11FA"/>
    <w:rsid w:val="000F35ED"/>
    <w:rsid w:val="000F53C6"/>
    <w:rsid w:val="001035C6"/>
    <w:rsid w:val="00107131"/>
    <w:rsid w:val="0010736F"/>
    <w:rsid w:val="00107504"/>
    <w:rsid w:val="00107FF5"/>
    <w:rsid w:val="00111A8A"/>
    <w:rsid w:val="00113F73"/>
    <w:rsid w:val="00121CC2"/>
    <w:rsid w:val="00131D8B"/>
    <w:rsid w:val="00133EE5"/>
    <w:rsid w:val="00134A9F"/>
    <w:rsid w:val="00135BF0"/>
    <w:rsid w:val="00136E3D"/>
    <w:rsid w:val="00140368"/>
    <w:rsid w:val="0014388D"/>
    <w:rsid w:val="00143EFE"/>
    <w:rsid w:val="001479C0"/>
    <w:rsid w:val="0015330B"/>
    <w:rsid w:val="001623F3"/>
    <w:rsid w:val="00167A34"/>
    <w:rsid w:val="00176BB3"/>
    <w:rsid w:val="00177EEF"/>
    <w:rsid w:val="001833FC"/>
    <w:rsid w:val="0018705C"/>
    <w:rsid w:val="00187BE2"/>
    <w:rsid w:val="001976D0"/>
    <w:rsid w:val="001A47DA"/>
    <w:rsid w:val="001A7870"/>
    <w:rsid w:val="001B3A00"/>
    <w:rsid w:val="001B4C00"/>
    <w:rsid w:val="001B61B1"/>
    <w:rsid w:val="001C1B41"/>
    <w:rsid w:val="001C3E03"/>
    <w:rsid w:val="001D0D70"/>
    <w:rsid w:val="001D65EF"/>
    <w:rsid w:val="001D770C"/>
    <w:rsid w:val="001E36AD"/>
    <w:rsid w:val="001E49E7"/>
    <w:rsid w:val="001F1890"/>
    <w:rsid w:val="001F271B"/>
    <w:rsid w:val="001F7201"/>
    <w:rsid w:val="00204931"/>
    <w:rsid w:val="0020653E"/>
    <w:rsid w:val="00220B10"/>
    <w:rsid w:val="00222F2B"/>
    <w:rsid w:val="00223A29"/>
    <w:rsid w:val="00223FED"/>
    <w:rsid w:val="002250A3"/>
    <w:rsid w:val="00231294"/>
    <w:rsid w:val="00235217"/>
    <w:rsid w:val="002355A9"/>
    <w:rsid w:val="00246283"/>
    <w:rsid w:val="00246D1F"/>
    <w:rsid w:val="00247403"/>
    <w:rsid w:val="00247542"/>
    <w:rsid w:val="002533CE"/>
    <w:rsid w:val="002563BA"/>
    <w:rsid w:val="00261D31"/>
    <w:rsid w:val="00263845"/>
    <w:rsid w:val="00266B61"/>
    <w:rsid w:val="0026712A"/>
    <w:rsid w:val="002704DB"/>
    <w:rsid w:val="00277BDA"/>
    <w:rsid w:val="0028334D"/>
    <w:rsid w:val="00291DDB"/>
    <w:rsid w:val="0029575A"/>
    <w:rsid w:val="002A0AAE"/>
    <w:rsid w:val="002A5820"/>
    <w:rsid w:val="002B043F"/>
    <w:rsid w:val="002B0EA0"/>
    <w:rsid w:val="002B2F42"/>
    <w:rsid w:val="002B6B9D"/>
    <w:rsid w:val="002C2F3B"/>
    <w:rsid w:val="002C3350"/>
    <w:rsid w:val="002C45FB"/>
    <w:rsid w:val="002D2B26"/>
    <w:rsid w:val="002D3705"/>
    <w:rsid w:val="002D7EA2"/>
    <w:rsid w:val="002E187C"/>
    <w:rsid w:val="002E7512"/>
    <w:rsid w:val="002F3724"/>
    <w:rsid w:val="002F3C2F"/>
    <w:rsid w:val="00302733"/>
    <w:rsid w:val="00302E7D"/>
    <w:rsid w:val="00305DCC"/>
    <w:rsid w:val="003121D5"/>
    <w:rsid w:val="00314078"/>
    <w:rsid w:val="0031535D"/>
    <w:rsid w:val="00315B68"/>
    <w:rsid w:val="00315C3F"/>
    <w:rsid w:val="00320F69"/>
    <w:rsid w:val="003239B8"/>
    <w:rsid w:val="00326F28"/>
    <w:rsid w:val="0033169F"/>
    <w:rsid w:val="00332259"/>
    <w:rsid w:val="00333544"/>
    <w:rsid w:val="003362B6"/>
    <w:rsid w:val="00337B65"/>
    <w:rsid w:val="0034224A"/>
    <w:rsid w:val="00343438"/>
    <w:rsid w:val="00344977"/>
    <w:rsid w:val="00346C95"/>
    <w:rsid w:val="00351155"/>
    <w:rsid w:val="003556AF"/>
    <w:rsid w:val="00356185"/>
    <w:rsid w:val="00360380"/>
    <w:rsid w:val="003745BE"/>
    <w:rsid w:val="0037519E"/>
    <w:rsid w:val="00381A69"/>
    <w:rsid w:val="00385FEE"/>
    <w:rsid w:val="00386C6C"/>
    <w:rsid w:val="00386CF0"/>
    <w:rsid w:val="003925DC"/>
    <w:rsid w:val="003942EC"/>
    <w:rsid w:val="00396A5A"/>
    <w:rsid w:val="003A27A1"/>
    <w:rsid w:val="003A6337"/>
    <w:rsid w:val="003B4FF6"/>
    <w:rsid w:val="003B70FB"/>
    <w:rsid w:val="003B7155"/>
    <w:rsid w:val="003C3520"/>
    <w:rsid w:val="003C6112"/>
    <w:rsid w:val="003C676B"/>
    <w:rsid w:val="003D04CF"/>
    <w:rsid w:val="003D0A55"/>
    <w:rsid w:val="003D3BC2"/>
    <w:rsid w:val="003D619F"/>
    <w:rsid w:val="003D6787"/>
    <w:rsid w:val="003E3938"/>
    <w:rsid w:val="003E614F"/>
    <w:rsid w:val="003E6CA1"/>
    <w:rsid w:val="003F06D2"/>
    <w:rsid w:val="003F3031"/>
    <w:rsid w:val="003F3DC5"/>
    <w:rsid w:val="00403525"/>
    <w:rsid w:val="00403A9C"/>
    <w:rsid w:val="004065A8"/>
    <w:rsid w:val="0041297F"/>
    <w:rsid w:val="004131DB"/>
    <w:rsid w:val="004153F5"/>
    <w:rsid w:val="004165C2"/>
    <w:rsid w:val="0042128A"/>
    <w:rsid w:val="00421375"/>
    <w:rsid w:val="0042694C"/>
    <w:rsid w:val="004304AD"/>
    <w:rsid w:val="004376B9"/>
    <w:rsid w:val="00441ECB"/>
    <w:rsid w:val="00445193"/>
    <w:rsid w:val="00447CCF"/>
    <w:rsid w:val="00452618"/>
    <w:rsid w:val="0045261E"/>
    <w:rsid w:val="00454C28"/>
    <w:rsid w:val="004565BA"/>
    <w:rsid w:val="00462C1B"/>
    <w:rsid w:val="00462D4E"/>
    <w:rsid w:val="00467B7E"/>
    <w:rsid w:val="0047080D"/>
    <w:rsid w:val="00473BB4"/>
    <w:rsid w:val="0047435C"/>
    <w:rsid w:val="00476211"/>
    <w:rsid w:val="00477592"/>
    <w:rsid w:val="00486F1C"/>
    <w:rsid w:val="00491ECA"/>
    <w:rsid w:val="0049419D"/>
    <w:rsid w:val="004A2061"/>
    <w:rsid w:val="004A48FD"/>
    <w:rsid w:val="004A59CC"/>
    <w:rsid w:val="004A6A54"/>
    <w:rsid w:val="004A6A6B"/>
    <w:rsid w:val="004B01D4"/>
    <w:rsid w:val="004C20D2"/>
    <w:rsid w:val="004C2312"/>
    <w:rsid w:val="004C4B62"/>
    <w:rsid w:val="004C54C9"/>
    <w:rsid w:val="004C616A"/>
    <w:rsid w:val="004D4ABA"/>
    <w:rsid w:val="004D6025"/>
    <w:rsid w:val="004E19B1"/>
    <w:rsid w:val="004E2649"/>
    <w:rsid w:val="004E4536"/>
    <w:rsid w:val="004E4D29"/>
    <w:rsid w:val="004E68B5"/>
    <w:rsid w:val="004F66D6"/>
    <w:rsid w:val="00501399"/>
    <w:rsid w:val="00501652"/>
    <w:rsid w:val="0050633D"/>
    <w:rsid w:val="00507BC4"/>
    <w:rsid w:val="005128E4"/>
    <w:rsid w:val="005133DB"/>
    <w:rsid w:val="00517AF7"/>
    <w:rsid w:val="00525560"/>
    <w:rsid w:val="00525A68"/>
    <w:rsid w:val="005308E3"/>
    <w:rsid w:val="00533528"/>
    <w:rsid w:val="005362D6"/>
    <w:rsid w:val="005415E6"/>
    <w:rsid w:val="00541CA0"/>
    <w:rsid w:val="00544216"/>
    <w:rsid w:val="00544C49"/>
    <w:rsid w:val="005516A1"/>
    <w:rsid w:val="00563557"/>
    <w:rsid w:val="00571B55"/>
    <w:rsid w:val="0057402A"/>
    <w:rsid w:val="00574CB7"/>
    <w:rsid w:val="005771D0"/>
    <w:rsid w:val="0059191A"/>
    <w:rsid w:val="005921FF"/>
    <w:rsid w:val="00594707"/>
    <w:rsid w:val="00597DB7"/>
    <w:rsid w:val="005A24ED"/>
    <w:rsid w:val="005A6D0E"/>
    <w:rsid w:val="005B37CC"/>
    <w:rsid w:val="005B52B0"/>
    <w:rsid w:val="005B6806"/>
    <w:rsid w:val="005B6D22"/>
    <w:rsid w:val="005C12FF"/>
    <w:rsid w:val="005C261A"/>
    <w:rsid w:val="005C338C"/>
    <w:rsid w:val="005C4225"/>
    <w:rsid w:val="005C7989"/>
    <w:rsid w:val="005D3083"/>
    <w:rsid w:val="005D50F0"/>
    <w:rsid w:val="005D66AD"/>
    <w:rsid w:val="005E0B65"/>
    <w:rsid w:val="005E11B2"/>
    <w:rsid w:val="005E4C67"/>
    <w:rsid w:val="005F0DAD"/>
    <w:rsid w:val="005F0F33"/>
    <w:rsid w:val="005F0FA8"/>
    <w:rsid w:val="005F151C"/>
    <w:rsid w:val="005F4DF9"/>
    <w:rsid w:val="005F4E25"/>
    <w:rsid w:val="00600DEB"/>
    <w:rsid w:val="00604673"/>
    <w:rsid w:val="006068B7"/>
    <w:rsid w:val="00611614"/>
    <w:rsid w:val="00613F6B"/>
    <w:rsid w:val="00623864"/>
    <w:rsid w:val="006277DE"/>
    <w:rsid w:val="00627C9F"/>
    <w:rsid w:val="006300B2"/>
    <w:rsid w:val="006311E9"/>
    <w:rsid w:val="00632354"/>
    <w:rsid w:val="00632D08"/>
    <w:rsid w:val="00640053"/>
    <w:rsid w:val="00641EC2"/>
    <w:rsid w:val="0064231D"/>
    <w:rsid w:val="00642810"/>
    <w:rsid w:val="00647756"/>
    <w:rsid w:val="00647BF8"/>
    <w:rsid w:val="006509DA"/>
    <w:rsid w:val="00652333"/>
    <w:rsid w:val="00653739"/>
    <w:rsid w:val="006775AB"/>
    <w:rsid w:val="00677E9C"/>
    <w:rsid w:val="0068009E"/>
    <w:rsid w:val="006819E9"/>
    <w:rsid w:val="00686471"/>
    <w:rsid w:val="00686FEB"/>
    <w:rsid w:val="0068794B"/>
    <w:rsid w:val="0069029C"/>
    <w:rsid w:val="00691BBE"/>
    <w:rsid w:val="00692219"/>
    <w:rsid w:val="0069402E"/>
    <w:rsid w:val="006978B1"/>
    <w:rsid w:val="006A00E3"/>
    <w:rsid w:val="006A17D2"/>
    <w:rsid w:val="006A2090"/>
    <w:rsid w:val="006A73E6"/>
    <w:rsid w:val="006B0CDD"/>
    <w:rsid w:val="006B2D5C"/>
    <w:rsid w:val="006B2EE8"/>
    <w:rsid w:val="006B34D4"/>
    <w:rsid w:val="006B6D83"/>
    <w:rsid w:val="006B779A"/>
    <w:rsid w:val="006C4EB1"/>
    <w:rsid w:val="006C7497"/>
    <w:rsid w:val="006D21CD"/>
    <w:rsid w:val="006E0166"/>
    <w:rsid w:val="006E0ECD"/>
    <w:rsid w:val="006E1E83"/>
    <w:rsid w:val="006E64F9"/>
    <w:rsid w:val="006E772A"/>
    <w:rsid w:val="006E7B34"/>
    <w:rsid w:val="006F6550"/>
    <w:rsid w:val="006F688C"/>
    <w:rsid w:val="0070697F"/>
    <w:rsid w:val="0072199C"/>
    <w:rsid w:val="00722C9F"/>
    <w:rsid w:val="007253B8"/>
    <w:rsid w:val="007274EF"/>
    <w:rsid w:val="00727B0E"/>
    <w:rsid w:val="00730378"/>
    <w:rsid w:val="007304C5"/>
    <w:rsid w:val="0073598C"/>
    <w:rsid w:val="0073741F"/>
    <w:rsid w:val="007411FF"/>
    <w:rsid w:val="00743A4E"/>
    <w:rsid w:val="00745466"/>
    <w:rsid w:val="00755810"/>
    <w:rsid w:val="00755C45"/>
    <w:rsid w:val="00757131"/>
    <w:rsid w:val="007608C4"/>
    <w:rsid w:val="00761633"/>
    <w:rsid w:val="0076643F"/>
    <w:rsid w:val="00777F63"/>
    <w:rsid w:val="00781F4D"/>
    <w:rsid w:val="007852B5"/>
    <w:rsid w:val="00792BE3"/>
    <w:rsid w:val="00796A37"/>
    <w:rsid w:val="00797230"/>
    <w:rsid w:val="007A5817"/>
    <w:rsid w:val="007B0189"/>
    <w:rsid w:val="007B01F9"/>
    <w:rsid w:val="007B05C4"/>
    <w:rsid w:val="007B2744"/>
    <w:rsid w:val="007B60E9"/>
    <w:rsid w:val="007B6CC3"/>
    <w:rsid w:val="007C2363"/>
    <w:rsid w:val="007C3334"/>
    <w:rsid w:val="007C402A"/>
    <w:rsid w:val="007D2B98"/>
    <w:rsid w:val="007D4AF0"/>
    <w:rsid w:val="007D7C02"/>
    <w:rsid w:val="007E1036"/>
    <w:rsid w:val="007E21BC"/>
    <w:rsid w:val="007E58FE"/>
    <w:rsid w:val="007E6688"/>
    <w:rsid w:val="007E7C82"/>
    <w:rsid w:val="007F2720"/>
    <w:rsid w:val="007F588D"/>
    <w:rsid w:val="00802748"/>
    <w:rsid w:val="00802C2D"/>
    <w:rsid w:val="00803F1C"/>
    <w:rsid w:val="0080600E"/>
    <w:rsid w:val="0081628A"/>
    <w:rsid w:val="00817612"/>
    <w:rsid w:val="0082272B"/>
    <w:rsid w:val="00822D64"/>
    <w:rsid w:val="00825796"/>
    <w:rsid w:val="008306AF"/>
    <w:rsid w:val="008338A4"/>
    <w:rsid w:val="00834D49"/>
    <w:rsid w:val="00837C45"/>
    <w:rsid w:val="008411F0"/>
    <w:rsid w:val="00843107"/>
    <w:rsid w:val="008439BC"/>
    <w:rsid w:val="00844730"/>
    <w:rsid w:val="008457C2"/>
    <w:rsid w:val="00857A82"/>
    <w:rsid w:val="0086119C"/>
    <w:rsid w:val="00862EC4"/>
    <w:rsid w:val="00871526"/>
    <w:rsid w:val="00873836"/>
    <w:rsid w:val="00874B67"/>
    <w:rsid w:val="00875668"/>
    <w:rsid w:val="00881310"/>
    <w:rsid w:val="00881381"/>
    <w:rsid w:val="00885737"/>
    <w:rsid w:val="00890650"/>
    <w:rsid w:val="00891568"/>
    <w:rsid w:val="00892CC2"/>
    <w:rsid w:val="00897652"/>
    <w:rsid w:val="00897E12"/>
    <w:rsid w:val="008A0F81"/>
    <w:rsid w:val="008A310C"/>
    <w:rsid w:val="008A6FC6"/>
    <w:rsid w:val="008A7885"/>
    <w:rsid w:val="008A7E0F"/>
    <w:rsid w:val="008B12F5"/>
    <w:rsid w:val="008B5932"/>
    <w:rsid w:val="008B6219"/>
    <w:rsid w:val="008C0223"/>
    <w:rsid w:val="008C068A"/>
    <w:rsid w:val="008C5751"/>
    <w:rsid w:val="008C6142"/>
    <w:rsid w:val="008D5978"/>
    <w:rsid w:val="008D768D"/>
    <w:rsid w:val="008E0FD8"/>
    <w:rsid w:val="008E328A"/>
    <w:rsid w:val="008E3759"/>
    <w:rsid w:val="008E3BFE"/>
    <w:rsid w:val="008E6DFE"/>
    <w:rsid w:val="008E7900"/>
    <w:rsid w:val="008F1912"/>
    <w:rsid w:val="0090270B"/>
    <w:rsid w:val="00903057"/>
    <w:rsid w:val="009041DC"/>
    <w:rsid w:val="00905B0F"/>
    <w:rsid w:val="00917B5A"/>
    <w:rsid w:val="00920A58"/>
    <w:rsid w:val="00920A8C"/>
    <w:rsid w:val="009346EB"/>
    <w:rsid w:val="00934A2C"/>
    <w:rsid w:val="00935F06"/>
    <w:rsid w:val="00937B3A"/>
    <w:rsid w:val="00944949"/>
    <w:rsid w:val="00954165"/>
    <w:rsid w:val="00954B82"/>
    <w:rsid w:val="00957000"/>
    <w:rsid w:val="00962436"/>
    <w:rsid w:val="009626A0"/>
    <w:rsid w:val="0096706E"/>
    <w:rsid w:val="00967C16"/>
    <w:rsid w:val="00974491"/>
    <w:rsid w:val="00975C4E"/>
    <w:rsid w:val="00981C80"/>
    <w:rsid w:val="00981FBA"/>
    <w:rsid w:val="00985D3F"/>
    <w:rsid w:val="00987FD5"/>
    <w:rsid w:val="009966ED"/>
    <w:rsid w:val="00997BC5"/>
    <w:rsid w:val="009A4F41"/>
    <w:rsid w:val="009B381B"/>
    <w:rsid w:val="009B4858"/>
    <w:rsid w:val="009B4A41"/>
    <w:rsid w:val="009B6610"/>
    <w:rsid w:val="009C2FC5"/>
    <w:rsid w:val="009D1753"/>
    <w:rsid w:val="009D6502"/>
    <w:rsid w:val="009D7611"/>
    <w:rsid w:val="009D78A5"/>
    <w:rsid w:val="009E08DD"/>
    <w:rsid w:val="009E0B61"/>
    <w:rsid w:val="009E1E74"/>
    <w:rsid w:val="009E25F2"/>
    <w:rsid w:val="009E2719"/>
    <w:rsid w:val="009E53DE"/>
    <w:rsid w:val="009E7C00"/>
    <w:rsid w:val="009F1029"/>
    <w:rsid w:val="009F171D"/>
    <w:rsid w:val="009F548B"/>
    <w:rsid w:val="009F55AF"/>
    <w:rsid w:val="00A042F3"/>
    <w:rsid w:val="00A0691C"/>
    <w:rsid w:val="00A07BDF"/>
    <w:rsid w:val="00A11E44"/>
    <w:rsid w:val="00A154C8"/>
    <w:rsid w:val="00A22397"/>
    <w:rsid w:val="00A32313"/>
    <w:rsid w:val="00A328B3"/>
    <w:rsid w:val="00A33889"/>
    <w:rsid w:val="00A34EA6"/>
    <w:rsid w:val="00A37193"/>
    <w:rsid w:val="00A40B91"/>
    <w:rsid w:val="00A50FCF"/>
    <w:rsid w:val="00A5256B"/>
    <w:rsid w:val="00A528D1"/>
    <w:rsid w:val="00A534FE"/>
    <w:rsid w:val="00A610CD"/>
    <w:rsid w:val="00A625E0"/>
    <w:rsid w:val="00A67309"/>
    <w:rsid w:val="00A70165"/>
    <w:rsid w:val="00A73380"/>
    <w:rsid w:val="00A74947"/>
    <w:rsid w:val="00A754B4"/>
    <w:rsid w:val="00A758AA"/>
    <w:rsid w:val="00A80328"/>
    <w:rsid w:val="00A82733"/>
    <w:rsid w:val="00A874F6"/>
    <w:rsid w:val="00A90836"/>
    <w:rsid w:val="00A92093"/>
    <w:rsid w:val="00AA09A2"/>
    <w:rsid w:val="00AA7996"/>
    <w:rsid w:val="00AA7FA8"/>
    <w:rsid w:val="00AC19CB"/>
    <w:rsid w:val="00AC56D9"/>
    <w:rsid w:val="00AD1886"/>
    <w:rsid w:val="00AE5488"/>
    <w:rsid w:val="00AE6F91"/>
    <w:rsid w:val="00AF5571"/>
    <w:rsid w:val="00B01F5A"/>
    <w:rsid w:val="00B06B4E"/>
    <w:rsid w:val="00B07341"/>
    <w:rsid w:val="00B11EC3"/>
    <w:rsid w:val="00B17051"/>
    <w:rsid w:val="00B202B5"/>
    <w:rsid w:val="00B21BAE"/>
    <w:rsid w:val="00B248CF"/>
    <w:rsid w:val="00B24A6E"/>
    <w:rsid w:val="00B26C92"/>
    <w:rsid w:val="00B30539"/>
    <w:rsid w:val="00B314DB"/>
    <w:rsid w:val="00B33E89"/>
    <w:rsid w:val="00B359AD"/>
    <w:rsid w:val="00B361F2"/>
    <w:rsid w:val="00B3718B"/>
    <w:rsid w:val="00B400E1"/>
    <w:rsid w:val="00B402A0"/>
    <w:rsid w:val="00B4333B"/>
    <w:rsid w:val="00B43F04"/>
    <w:rsid w:val="00B4632A"/>
    <w:rsid w:val="00B472EB"/>
    <w:rsid w:val="00B5067D"/>
    <w:rsid w:val="00B5180D"/>
    <w:rsid w:val="00B530F1"/>
    <w:rsid w:val="00B57297"/>
    <w:rsid w:val="00B5747B"/>
    <w:rsid w:val="00B72CF0"/>
    <w:rsid w:val="00B73419"/>
    <w:rsid w:val="00B736AF"/>
    <w:rsid w:val="00B742BE"/>
    <w:rsid w:val="00B76F12"/>
    <w:rsid w:val="00B77629"/>
    <w:rsid w:val="00B806C6"/>
    <w:rsid w:val="00B84F45"/>
    <w:rsid w:val="00B85B8F"/>
    <w:rsid w:val="00B87359"/>
    <w:rsid w:val="00B97946"/>
    <w:rsid w:val="00BA276C"/>
    <w:rsid w:val="00BA5544"/>
    <w:rsid w:val="00BA65ED"/>
    <w:rsid w:val="00BB306F"/>
    <w:rsid w:val="00BB3FBD"/>
    <w:rsid w:val="00BB6A22"/>
    <w:rsid w:val="00BC0849"/>
    <w:rsid w:val="00BC6CD0"/>
    <w:rsid w:val="00BD2C40"/>
    <w:rsid w:val="00BD4B89"/>
    <w:rsid w:val="00BD5922"/>
    <w:rsid w:val="00BD6B07"/>
    <w:rsid w:val="00BD76D9"/>
    <w:rsid w:val="00BE78BC"/>
    <w:rsid w:val="00BF02CB"/>
    <w:rsid w:val="00BF514A"/>
    <w:rsid w:val="00BF6FD8"/>
    <w:rsid w:val="00BF7247"/>
    <w:rsid w:val="00BF775D"/>
    <w:rsid w:val="00C03680"/>
    <w:rsid w:val="00C054DF"/>
    <w:rsid w:val="00C10AFC"/>
    <w:rsid w:val="00C17EF7"/>
    <w:rsid w:val="00C2052D"/>
    <w:rsid w:val="00C21562"/>
    <w:rsid w:val="00C21762"/>
    <w:rsid w:val="00C21FEF"/>
    <w:rsid w:val="00C24543"/>
    <w:rsid w:val="00C256A2"/>
    <w:rsid w:val="00C349D1"/>
    <w:rsid w:val="00C35A26"/>
    <w:rsid w:val="00C4086E"/>
    <w:rsid w:val="00C45714"/>
    <w:rsid w:val="00C51515"/>
    <w:rsid w:val="00C53910"/>
    <w:rsid w:val="00C54F44"/>
    <w:rsid w:val="00C55525"/>
    <w:rsid w:val="00C5660B"/>
    <w:rsid w:val="00C56854"/>
    <w:rsid w:val="00C5788A"/>
    <w:rsid w:val="00C66B72"/>
    <w:rsid w:val="00C67B8D"/>
    <w:rsid w:val="00C71C0F"/>
    <w:rsid w:val="00C720F6"/>
    <w:rsid w:val="00C8050C"/>
    <w:rsid w:val="00C8155E"/>
    <w:rsid w:val="00C82746"/>
    <w:rsid w:val="00C843C4"/>
    <w:rsid w:val="00C84586"/>
    <w:rsid w:val="00C87AC4"/>
    <w:rsid w:val="00C94901"/>
    <w:rsid w:val="00C9567A"/>
    <w:rsid w:val="00CA48A3"/>
    <w:rsid w:val="00CA7AFD"/>
    <w:rsid w:val="00CB212D"/>
    <w:rsid w:val="00CB2660"/>
    <w:rsid w:val="00CB7FB9"/>
    <w:rsid w:val="00CC5E90"/>
    <w:rsid w:val="00CD046C"/>
    <w:rsid w:val="00CD0D85"/>
    <w:rsid w:val="00CD186A"/>
    <w:rsid w:val="00CD464D"/>
    <w:rsid w:val="00CE076C"/>
    <w:rsid w:val="00CE1DE0"/>
    <w:rsid w:val="00CE5199"/>
    <w:rsid w:val="00CE63D1"/>
    <w:rsid w:val="00CE66D5"/>
    <w:rsid w:val="00CF1039"/>
    <w:rsid w:val="00CF637A"/>
    <w:rsid w:val="00D059DE"/>
    <w:rsid w:val="00D05ABD"/>
    <w:rsid w:val="00D108D4"/>
    <w:rsid w:val="00D111EE"/>
    <w:rsid w:val="00D13FCE"/>
    <w:rsid w:val="00D17E8C"/>
    <w:rsid w:val="00D20354"/>
    <w:rsid w:val="00D306D1"/>
    <w:rsid w:val="00D30800"/>
    <w:rsid w:val="00D31F73"/>
    <w:rsid w:val="00D32752"/>
    <w:rsid w:val="00D33384"/>
    <w:rsid w:val="00D34786"/>
    <w:rsid w:val="00D348D1"/>
    <w:rsid w:val="00D3562F"/>
    <w:rsid w:val="00D35EB9"/>
    <w:rsid w:val="00D37BFC"/>
    <w:rsid w:val="00D42822"/>
    <w:rsid w:val="00D461F1"/>
    <w:rsid w:val="00D47504"/>
    <w:rsid w:val="00D47A8E"/>
    <w:rsid w:val="00D5058A"/>
    <w:rsid w:val="00D52D14"/>
    <w:rsid w:val="00D545BA"/>
    <w:rsid w:val="00D55256"/>
    <w:rsid w:val="00D56D93"/>
    <w:rsid w:val="00D60C4C"/>
    <w:rsid w:val="00D650DB"/>
    <w:rsid w:val="00D66CD9"/>
    <w:rsid w:val="00D712D3"/>
    <w:rsid w:val="00D71422"/>
    <w:rsid w:val="00D72DC6"/>
    <w:rsid w:val="00D73F5E"/>
    <w:rsid w:val="00D7541D"/>
    <w:rsid w:val="00D7558D"/>
    <w:rsid w:val="00D77503"/>
    <w:rsid w:val="00D778FE"/>
    <w:rsid w:val="00D8061B"/>
    <w:rsid w:val="00D81895"/>
    <w:rsid w:val="00D81D92"/>
    <w:rsid w:val="00D876F9"/>
    <w:rsid w:val="00D877B6"/>
    <w:rsid w:val="00D93A90"/>
    <w:rsid w:val="00DA4810"/>
    <w:rsid w:val="00DA7B5F"/>
    <w:rsid w:val="00DC11E7"/>
    <w:rsid w:val="00DC7023"/>
    <w:rsid w:val="00DC769A"/>
    <w:rsid w:val="00DD061E"/>
    <w:rsid w:val="00DD3D86"/>
    <w:rsid w:val="00DD6FE6"/>
    <w:rsid w:val="00DE12F0"/>
    <w:rsid w:val="00DE28CE"/>
    <w:rsid w:val="00DE3815"/>
    <w:rsid w:val="00DE6153"/>
    <w:rsid w:val="00DF1EC4"/>
    <w:rsid w:val="00DF51E9"/>
    <w:rsid w:val="00DF6CFD"/>
    <w:rsid w:val="00E01943"/>
    <w:rsid w:val="00E0340B"/>
    <w:rsid w:val="00E04A90"/>
    <w:rsid w:val="00E0551F"/>
    <w:rsid w:val="00E163BF"/>
    <w:rsid w:val="00E219C7"/>
    <w:rsid w:val="00E26CCA"/>
    <w:rsid w:val="00E27F56"/>
    <w:rsid w:val="00E3162D"/>
    <w:rsid w:val="00E4118C"/>
    <w:rsid w:val="00E43157"/>
    <w:rsid w:val="00E461CE"/>
    <w:rsid w:val="00E50EDC"/>
    <w:rsid w:val="00E52F8B"/>
    <w:rsid w:val="00E716FA"/>
    <w:rsid w:val="00E72072"/>
    <w:rsid w:val="00E720CA"/>
    <w:rsid w:val="00E77A14"/>
    <w:rsid w:val="00E811DA"/>
    <w:rsid w:val="00E84EB5"/>
    <w:rsid w:val="00E85662"/>
    <w:rsid w:val="00E8789F"/>
    <w:rsid w:val="00E92747"/>
    <w:rsid w:val="00E97B71"/>
    <w:rsid w:val="00EA2A61"/>
    <w:rsid w:val="00EA3D34"/>
    <w:rsid w:val="00EA4B75"/>
    <w:rsid w:val="00EA68A8"/>
    <w:rsid w:val="00EB0DE2"/>
    <w:rsid w:val="00EB454D"/>
    <w:rsid w:val="00EC19C2"/>
    <w:rsid w:val="00EC26E9"/>
    <w:rsid w:val="00EC6DA8"/>
    <w:rsid w:val="00EC72AB"/>
    <w:rsid w:val="00ED2F03"/>
    <w:rsid w:val="00ED549D"/>
    <w:rsid w:val="00ED74FA"/>
    <w:rsid w:val="00ED76BE"/>
    <w:rsid w:val="00ED7F05"/>
    <w:rsid w:val="00EE006C"/>
    <w:rsid w:val="00EE00E9"/>
    <w:rsid w:val="00EE014D"/>
    <w:rsid w:val="00EF2314"/>
    <w:rsid w:val="00EF35AB"/>
    <w:rsid w:val="00EF4C44"/>
    <w:rsid w:val="00EF619B"/>
    <w:rsid w:val="00F00B55"/>
    <w:rsid w:val="00F02AD1"/>
    <w:rsid w:val="00F04591"/>
    <w:rsid w:val="00F06354"/>
    <w:rsid w:val="00F20450"/>
    <w:rsid w:val="00F253CC"/>
    <w:rsid w:val="00F332EF"/>
    <w:rsid w:val="00F3424B"/>
    <w:rsid w:val="00F34AB9"/>
    <w:rsid w:val="00F37106"/>
    <w:rsid w:val="00F51184"/>
    <w:rsid w:val="00F515AB"/>
    <w:rsid w:val="00F519CF"/>
    <w:rsid w:val="00F53168"/>
    <w:rsid w:val="00F56BA5"/>
    <w:rsid w:val="00F5725F"/>
    <w:rsid w:val="00F60E22"/>
    <w:rsid w:val="00F63B39"/>
    <w:rsid w:val="00F75FE6"/>
    <w:rsid w:val="00F7706A"/>
    <w:rsid w:val="00F772EA"/>
    <w:rsid w:val="00F81395"/>
    <w:rsid w:val="00F81887"/>
    <w:rsid w:val="00F81BB8"/>
    <w:rsid w:val="00F917D1"/>
    <w:rsid w:val="00F9342C"/>
    <w:rsid w:val="00F93785"/>
    <w:rsid w:val="00F9653B"/>
    <w:rsid w:val="00FA0025"/>
    <w:rsid w:val="00FA459D"/>
    <w:rsid w:val="00FA56EA"/>
    <w:rsid w:val="00FB4B5C"/>
    <w:rsid w:val="00FB62CF"/>
    <w:rsid w:val="00FC0F4A"/>
    <w:rsid w:val="00FC3330"/>
    <w:rsid w:val="00FD3C3B"/>
    <w:rsid w:val="00FE07DD"/>
    <w:rsid w:val="00FE6B45"/>
    <w:rsid w:val="00FF119E"/>
    <w:rsid w:val="00FF1414"/>
    <w:rsid w:val="00FF21C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EE88-2FDB-4307-A72C-07B305F7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4093</Words>
  <Characters>21860</Characters>
  <Application>Microsoft Office Word</Application>
  <DocSecurity>0</DocSecurity>
  <Lines>412</Lines>
  <Paragraphs>109</Paragraphs>
  <ScaleCrop>false</ScaleCrop>
  <Company/>
  <LinksUpToDate>false</LinksUpToDate>
  <CharactersWithSpaces>25844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182/19</dc:title>
  <dc:creator/>
  <cp:lastModifiedBy/>
  <cp:revision>1</cp:revision>
  <dcterms:created xsi:type="dcterms:W3CDTF">2020-03-27T14:27:00Z</dcterms:created>
  <dcterms:modified xsi:type="dcterms:W3CDTF">2020-03-27T14:27:00Z</dcterms:modified>
</cp:coreProperties>
</file>