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CECD" w14:textId="77777777" w:rsidR="0053292A" w:rsidRPr="00030A24" w:rsidRDefault="0053292A" w:rsidP="00030A24">
      <w:pPr>
        <w:pStyle w:val="Listavistosa-nfasis11"/>
        <w:spacing w:after="0" w:line="240" w:lineRule="auto"/>
        <w:ind w:left="1440"/>
        <w:jc w:val="both"/>
        <w:rPr>
          <w:rFonts w:ascii="Cambria" w:hAnsi="Cambria"/>
          <w:color w:val="000000"/>
          <w:lang w:val="es-CO"/>
        </w:rPr>
      </w:pPr>
    </w:p>
    <w:p w14:paraId="380F73B4" w14:textId="77777777" w:rsidR="0053292A" w:rsidRPr="00030A24" w:rsidRDefault="0053292A" w:rsidP="00030A24">
      <w:pPr>
        <w:pStyle w:val="Cuadrculamedia21"/>
        <w:ind w:right="-270"/>
        <w:rPr>
          <w:rFonts w:ascii="Cambria" w:hAnsi="Cambria"/>
          <w:b/>
          <w:color w:val="000000"/>
          <w:lang w:val="es-CO"/>
        </w:rPr>
      </w:pPr>
      <w:r w:rsidRPr="00030A24">
        <w:rPr>
          <w:rFonts w:ascii="Cambria" w:hAnsi="Cambria"/>
          <w:b/>
          <w:color w:val="000000"/>
          <w:lang w:val="es-CO"/>
        </w:rPr>
        <w:t xml:space="preserve">                                                                   FICHA TÉCNICA INFORMATIVA </w:t>
      </w:r>
    </w:p>
    <w:p w14:paraId="43D68327"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CASO 11.574 WILBERTO SAMUEL MANZANO </w:t>
      </w:r>
    </w:p>
    <w:p w14:paraId="177242F1" w14:textId="77777777" w:rsidR="0053292A" w:rsidRPr="00030A24" w:rsidRDefault="0053292A" w:rsidP="00030A24">
      <w:pPr>
        <w:pStyle w:val="Cuadrculamedia21"/>
        <w:ind w:left="720" w:right="-270"/>
        <w:rPr>
          <w:rFonts w:ascii="Cambria" w:hAnsi="Cambria"/>
          <w:b/>
          <w:color w:val="000000"/>
          <w:lang w:val="es-CO"/>
        </w:rPr>
      </w:pPr>
      <w:r w:rsidRPr="00030A24">
        <w:rPr>
          <w:rFonts w:ascii="Cambria" w:hAnsi="Cambria"/>
          <w:b/>
          <w:color w:val="000000"/>
          <w:lang w:val="es-CO"/>
        </w:rPr>
        <w:t xml:space="preserve">                                   INFORME DE SOLUCIÓN AMISTOSA Nº 108/01</w:t>
      </w:r>
    </w:p>
    <w:p w14:paraId="157ECDE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3CACD84D" w14:textId="73540D7F"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4DF2D837" w14:textId="77777777" w:rsidR="0053292A" w:rsidRPr="00030A24" w:rsidRDefault="0053292A" w:rsidP="00030A24">
      <w:pPr>
        <w:pStyle w:val="Cuadrculamedia21"/>
        <w:ind w:left="-270" w:right="-270"/>
        <w:jc w:val="center"/>
        <w:rPr>
          <w:rFonts w:ascii="Cambria" w:hAnsi="Cambria"/>
          <w:b/>
          <w:color w:val="000000"/>
          <w:lang w:val="es-CO"/>
        </w:rPr>
      </w:pPr>
    </w:p>
    <w:p w14:paraId="785D9270" w14:textId="77777777" w:rsidR="0053292A" w:rsidRPr="00030A24" w:rsidRDefault="0053292A" w:rsidP="00030A24">
      <w:pPr>
        <w:numPr>
          <w:ilvl w:val="0"/>
          <w:numId w:val="29"/>
        </w:numPr>
        <w:spacing w:after="0" w:line="240" w:lineRule="auto"/>
        <w:ind w:left="-90" w:firstLine="810"/>
        <w:rPr>
          <w:rFonts w:ascii="Cambria" w:hAnsi="Cambria"/>
          <w:b/>
          <w:color w:val="000000"/>
          <w:lang w:val="es-CO"/>
        </w:rPr>
      </w:pPr>
      <w:r w:rsidRPr="00030A24">
        <w:rPr>
          <w:rFonts w:ascii="Cambria" w:hAnsi="Cambria"/>
          <w:b/>
          <w:color w:val="000000"/>
          <w:lang w:val="es-CO"/>
        </w:rPr>
        <w:t xml:space="preserve">RESUMEN DEL CASO </w:t>
      </w:r>
    </w:p>
    <w:p w14:paraId="38C7D86F"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725E18" w14:paraId="2FA4086B" w14:textId="77777777" w:rsidTr="00550EB8">
        <w:trPr>
          <w:jc w:val="center"/>
        </w:trPr>
        <w:tc>
          <w:tcPr>
            <w:tcW w:w="9576" w:type="dxa"/>
            <w:shd w:val="clear" w:color="auto" w:fill="F2F2F2"/>
          </w:tcPr>
          <w:p w14:paraId="65C6FD0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Wilberto Samuel Manzano</w:t>
            </w:r>
          </w:p>
          <w:p w14:paraId="1DE4F1A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731812F2"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D9BC858"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 xml:space="preserve">4 de febrero de 1999 </w:t>
            </w:r>
          </w:p>
          <w:p w14:paraId="5C61D0AD"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2F8F6EA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108/01</w:t>
              </w:r>
            </w:hyperlink>
            <w:r w:rsidRPr="00030A24">
              <w:rPr>
                <w:rFonts w:ascii="Cambria" w:hAnsi="Cambria"/>
                <w:color w:val="000000"/>
                <w:lang w:val="es-CO"/>
              </w:rPr>
              <w:t>, publicado el 11 de octubre de 2001</w:t>
            </w:r>
          </w:p>
          <w:p w14:paraId="2C95463A"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75B3EA12"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1227ADED"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 Tortura/ Tratos o penas crueles, inhumanos y/o degradantes</w:t>
            </w:r>
            <w:r w:rsidRPr="00030A24">
              <w:rPr>
                <w:rFonts w:ascii="Cambria" w:hAnsi="Cambria"/>
                <w:b/>
                <w:color w:val="000000"/>
                <w:lang w:val="es-CO"/>
              </w:rPr>
              <w:t>/</w:t>
            </w:r>
            <w:r w:rsidRPr="00030A24">
              <w:rPr>
                <w:rFonts w:ascii="Cambria" w:hAnsi="Cambria"/>
                <w:color w:val="000000"/>
                <w:lang w:val="es-CO"/>
              </w:rPr>
              <w:t xml:space="preserve"> Detención arbitraria o ilegal/ Investigación</w:t>
            </w:r>
            <w:r w:rsidRPr="00030A24">
              <w:rPr>
                <w:rFonts w:ascii="Cambria" w:hAnsi="Cambria"/>
                <w:b/>
                <w:color w:val="000000"/>
                <w:lang w:val="es-CO"/>
              </w:rPr>
              <w:t xml:space="preserve"> </w:t>
            </w:r>
          </w:p>
          <w:p w14:paraId="17481A77" w14:textId="77777777" w:rsidR="0053292A" w:rsidRPr="00030A24" w:rsidRDefault="0053292A" w:rsidP="00030A24">
            <w:pPr>
              <w:pStyle w:val="Cuadrculamedia21"/>
              <w:tabs>
                <w:tab w:val="left" w:pos="9270"/>
              </w:tabs>
              <w:jc w:val="both"/>
              <w:rPr>
                <w:rFonts w:ascii="Cambria" w:hAnsi="Cambria"/>
                <w:color w:val="000000"/>
                <w:lang w:val="es-CO"/>
              </w:rPr>
            </w:pPr>
          </w:p>
          <w:p w14:paraId="442C1801"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11 de mayo de 1991, en el Recinto Almorzadero de la Parroquia Rosa Zárate del Cantón Quinidé, Provincia de Esmeraldas, Wilberto Samuel Manzano fue herido por un disparo de arma de fuego cuando se encontraba en una cancha de Volley participando en una Asamblea Popular. Se presume que fueron policías vestidos de civil quienes efectuaron los disparos y lo detuvieron sin presentar orden judicial. Fue llevado al destacamento policial de la Unión y luego conducido al Hospital de Quinidé donde falleció. Según se relata en la denuncia, la autopsia determinó que la muerte fue producida por un paro cardiaco ocasionado por la herida que sufrió en el glúteo. Los familiares y personas que vieron el cadáver constataron la existencia de hematomas en la cabeza y en el tórax por lo que se presume que Wilberto Samuel Manzano fue torturado aun cuando estaba herido. Por otra parte, en el informe policial se hizo aparecer a Wilberto Samuel Manzano como delincuente peligroso y que los policías portaban una boleta de captura en su contra por sospecha de robo para legalizar y fundamentar el arresto. Sobre los hechos se inició proceso ante el Juzgado 2º de la Primera Corte Distrital de la Policía Nacional. El 22 de mayo de 1995, la Juez 2a de la Primera Corte Distrital de la Policía Nacional dictó sobreseimiento definitivo a favor de los acusados de la muerte de Wilberto Samuel Manzano.  El sobreseimiento fue apelado por la acusación particular el 23 de mayo; sin embargo, la Corte Distrital de Policía con fecha 29 de septiembre de 1995 ratificó el sobreseimiento, situación que puso fin a las acciones jurídicas al alcance de las leyes para sancionar el homicidio de Wilberto Samuel Manzano. Según consideraciones del peticionario y del Fiscal, las resoluciones del Juez de Policía y de la Corte Distrital fueron parcializadas en favor de los policías sindicados.  Se alega que en el proceso no fueron tomados en cuenta los testimonios de los testigos importantes y, por el contrario, los jueces trataron de justificar en sus resoluciones la actuación de la policía.</w:t>
            </w:r>
          </w:p>
          <w:p w14:paraId="6AA1B0DB" w14:textId="77777777" w:rsidR="0053292A" w:rsidRPr="00030A24" w:rsidRDefault="0053292A" w:rsidP="00030A24">
            <w:pPr>
              <w:spacing w:after="0" w:line="240" w:lineRule="auto"/>
              <w:contextualSpacing/>
              <w:jc w:val="both"/>
              <w:rPr>
                <w:rFonts w:ascii="Cambria" w:hAnsi="Cambria"/>
                <w:color w:val="000000"/>
                <w:lang w:val="es-CO"/>
              </w:rPr>
            </w:pPr>
          </w:p>
          <w:p w14:paraId="580AC13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garantías judiciales (artículo 8) y derecho a la protección judicial (artículo 25), de la Convención </w:t>
            </w:r>
            <w:r w:rsidRPr="00030A24">
              <w:rPr>
                <w:rFonts w:ascii="Cambria" w:hAnsi="Cambria"/>
                <w:color w:val="000000"/>
                <w:lang w:val="es-CO"/>
              </w:rPr>
              <w:lastRenderedPageBreak/>
              <w:t>Americana de Derechos Humanos (CADH), todo en contravención de las obligaciones que figuran en el artículo 1(1) del mismo instrumento, en perjuicio del señor Wilberto Samuel Manzano. </w:t>
            </w:r>
          </w:p>
        </w:tc>
      </w:tr>
    </w:tbl>
    <w:p w14:paraId="42E3C0BF" w14:textId="77777777" w:rsidR="0053292A" w:rsidRPr="00030A24" w:rsidRDefault="0053292A" w:rsidP="00030A24">
      <w:pPr>
        <w:spacing w:after="0" w:line="240" w:lineRule="auto"/>
        <w:rPr>
          <w:rFonts w:ascii="Cambria" w:hAnsi="Cambria"/>
          <w:lang w:val="es-CO"/>
        </w:rPr>
      </w:pPr>
    </w:p>
    <w:p w14:paraId="36662AFE" w14:textId="77777777" w:rsidR="0053292A" w:rsidRPr="00030A24" w:rsidRDefault="0053292A" w:rsidP="00030A24">
      <w:pPr>
        <w:pStyle w:val="Listavistosa-nfasis11"/>
        <w:numPr>
          <w:ilvl w:val="0"/>
          <w:numId w:val="30"/>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088C1051"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005AB631" w14:textId="089EC4EB" w:rsidR="0053292A" w:rsidRPr="00030A24" w:rsidRDefault="0053292A" w:rsidP="00030A24">
      <w:pPr>
        <w:numPr>
          <w:ilvl w:val="0"/>
          <w:numId w:val="31"/>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5C45EE"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30C2335" w14:textId="77777777" w:rsidR="0053292A" w:rsidRPr="00030A24" w:rsidRDefault="0053292A" w:rsidP="00030A24">
      <w:pPr>
        <w:spacing w:after="0" w:line="240" w:lineRule="auto"/>
        <w:ind w:firstLine="720"/>
        <w:jc w:val="both"/>
        <w:rPr>
          <w:rFonts w:ascii="Cambria" w:hAnsi="Cambria"/>
          <w:color w:val="000000"/>
          <w:lang w:val="es-CO"/>
        </w:rPr>
      </w:pPr>
    </w:p>
    <w:p w14:paraId="73AF84F0" w14:textId="77777777" w:rsidR="0053292A" w:rsidRPr="00030A24" w:rsidRDefault="0053292A" w:rsidP="00030A24">
      <w:pPr>
        <w:numPr>
          <w:ilvl w:val="0"/>
          <w:numId w:val="31"/>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108/01.</w:t>
      </w:r>
    </w:p>
    <w:p w14:paraId="2F8BEDDD" w14:textId="77777777" w:rsidR="0053292A" w:rsidRPr="00030A24" w:rsidRDefault="0053292A" w:rsidP="00030A24">
      <w:pPr>
        <w:spacing w:after="0" w:line="240" w:lineRule="auto"/>
        <w:ind w:firstLine="720"/>
        <w:jc w:val="both"/>
        <w:rPr>
          <w:rFonts w:ascii="Cambria" w:hAnsi="Cambria"/>
          <w:color w:val="000000"/>
          <w:lang w:val="es-CO"/>
        </w:rPr>
      </w:pPr>
    </w:p>
    <w:p w14:paraId="263108BC" w14:textId="77777777" w:rsidR="0053292A" w:rsidRPr="00030A24" w:rsidRDefault="0053292A" w:rsidP="00030A24">
      <w:pPr>
        <w:pStyle w:val="Listavistosa-nfasis11"/>
        <w:numPr>
          <w:ilvl w:val="0"/>
          <w:numId w:val="30"/>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4228D8C8" w14:textId="77777777" w:rsidR="0053292A" w:rsidRPr="00030A24" w:rsidRDefault="0053292A" w:rsidP="00030A24">
      <w:pPr>
        <w:spacing w:after="0" w:line="240" w:lineRule="auto"/>
        <w:jc w:val="both"/>
        <w:rPr>
          <w:rFonts w:ascii="Cambria" w:hAnsi="Cambria"/>
          <w:color w:val="000000"/>
          <w:lang w:val="es-CO"/>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1665"/>
      </w:tblGrid>
      <w:tr w:rsidR="00035E03" w:rsidRPr="00030A24" w14:paraId="6B580CC4" w14:textId="77777777" w:rsidTr="00035E03">
        <w:trPr>
          <w:jc w:val="center"/>
        </w:trPr>
        <w:tc>
          <w:tcPr>
            <w:tcW w:w="7965" w:type="dxa"/>
            <w:shd w:val="clear" w:color="auto" w:fill="D9D9D9"/>
            <w:vAlign w:val="center"/>
          </w:tcPr>
          <w:p w14:paraId="1C7B1C41"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665" w:type="dxa"/>
            <w:shd w:val="clear" w:color="auto" w:fill="D9D9D9"/>
            <w:vAlign w:val="center"/>
          </w:tcPr>
          <w:p w14:paraId="39F79D3D"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15B87" w:rsidRPr="00030A24" w14:paraId="5FB49402" w14:textId="77777777" w:rsidTr="00035E03">
        <w:trPr>
          <w:jc w:val="center"/>
        </w:trPr>
        <w:tc>
          <w:tcPr>
            <w:tcW w:w="7965" w:type="dxa"/>
            <w:shd w:val="clear" w:color="auto" w:fill="auto"/>
            <w:vAlign w:val="center"/>
          </w:tcPr>
          <w:p w14:paraId="48999B0D" w14:textId="77777777" w:rsidR="002D1279" w:rsidRPr="00030A24" w:rsidRDefault="002D1279" w:rsidP="00030A24">
            <w:pPr>
              <w:spacing w:after="0" w:line="240" w:lineRule="auto"/>
              <w:ind w:left="34"/>
              <w:jc w:val="both"/>
              <w:rPr>
                <w:rFonts w:ascii="Cambria" w:hAnsi="Cambria"/>
                <w:b/>
                <w:color w:val="000000"/>
                <w:lang w:val="es-CO"/>
              </w:rPr>
            </w:pPr>
            <w:r w:rsidRPr="00030A24">
              <w:rPr>
                <w:rFonts w:ascii="Cambria" w:hAnsi="Cambria"/>
                <w:b/>
                <w:color w:val="000000"/>
                <w:lang w:val="es-CO"/>
              </w:rPr>
              <w:t>III. RESPONSABILIDAD DEL ESTADO Y ALLANAMIENTO</w:t>
            </w:r>
          </w:p>
          <w:p w14:paraId="47DE1677" w14:textId="77777777" w:rsidR="002D1279" w:rsidRPr="00030A24" w:rsidRDefault="002D1279" w:rsidP="00030A24">
            <w:pPr>
              <w:spacing w:after="0" w:line="240" w:lineRule="auto"/>
              <w:ind w:left="34"/>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Wilberto Samuel Manzano Aguiar, reconocidos en los Artículos 4 (Derecho a la Vida),  Artículo 8 (Garantías Judiciales), y Artículo 25 (Protección Judicial), en relación con la obligación general contenida en el artículo 1.1  de la Convención Americana sobre Derechos Humanos y otros instrumentos internacionales, siendo dichas violaciones cometidas por agentes del Estado, hechos que no han podido ser desvirtuados por el Estado y han generado la responsabilidad de éste frente a la sociedad.</w:t>
            </w:r>
          </w:p>
          <w:p w14:paraId="2E10BDC8" w14:textId="77777777" w:rsidR="002D1279" w:rsidRPr="00030A24" w:rsidRDefault="002D1279" w:rsidP="00030A24">
            <w:pPr>
              <w:spacing w:after="0" w:line="240" w:lineRule="auto"/>
              <w:ind w:left="34"/>
              <w:jc w:val="both"/>
              <w:rPr>
                <w:rFonts w:ascii="Cambria" w:hAnsi="Cambria"/>
                <w:bCs/>
                <w:color w:val="000000"/>
                <w:lang w:val="es-CO"/>
              </w:rPr>
            </w:pPr>
          </w:p>
          <w:p w14:paraId="61F7D457" w14:textId="534D605F" w:rsidR="00515B87" w:rsidRPr="00030A24" w:rsidRDefault="002D1279" w:rsidP="00030A24">
            <w:pPr>
              <w:spacing w:after="0" w:line="240" w:lineRule="auto"/>
              <w:ind w:left="34"/>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Nº 11.574, que se encuentra en trámite ante la Comisión Interamericana de Derechos Humanos que se obliga a asumir las medidas reparadoras necesarias a fin de resarcir los perjuicios ocasionados a las víctimas de tales violaciones o en su defecto a sus causahabientes.</w:t>
            </w:r>
          </w:p>
        </w:tc>
        <w:tc>
          <w:tcPr>
            <w:tcW w:w="1665" w:type="dxa"/>
            <w:tcBorders>
              <w:bottom w:val="single" w:sz="4" w:space="0" w:color="auto"/>
            </w:tcBorders>
            <w:shd w:val="clear" w:color="auto" w:fill="auto"/>
            <w:vAlign w:val="center"/>
          </w:tcPr>
          <w:p w14:paraId="7B9A0B68" w14:textId="191EACDC" w:rsidR="00515B87" w:rsidRPr="00030A24" w:rsidRDefault="002D1279"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04D50032" w14:textId="77777777" w:rsidTr="00035E03">
        <w:trPr>
          <w:jc w:val="center"/>
        </w:trPr>
        <w:tc>
          <w:tcPr>
            <w:tcW w:w="7965" w:type="dxa"/>
            <w:shd w:val="clear" w:color="auto" w:fill="auto"/>
            <w:vAlign w:val="center"/>
          </w:tcPr>
          <w:p w14:paraId="585F0A1B" w14:textId="77777777" w:rsidR="0053292A" w:rsidRPr="00030A24" w:rsidRDefault="0053292A" w:rsidP="00030A24">
            <w:pPr>
              <w:spacing w:after="0" w:line="240" w:lineRule="auto"/>
              <w:ind w:left="34"/>
              <w:jc w:val="both"/>
              <w:rPr>
                <w:rFonts w:ascii="Cambria" w:hAnsi="Cambria"/>
                <w:b/>
                <w:color w:val="000000"/>
                <w:lang w:val="es-CO"/>
              </w:rPr>
            </w:pPr>
            <w:r w:rsidRPr="00030A24">
              <w:rPr>
                <w:rFonts w:ascii="Cambria" w:hAnsi="Cambria"/>
                <w:b/>
                <w:color w:val="000000"/>
                <w:lang w:val="es-CO"/>
              </w:rPr>
              <w:t>IV.    INDEMNIZACIÓN</w:t>
            </w:r>
          </w:p>
          <w:p w14:paraId="5113A312" w14:textId="77777777" w:rsidR="0053292A" w:rsidRPr="00030A24" w:rsidRDefault="0053292A" w:rsidP="00030A24">
            <w:pPr>
              <w:spacing w:after="0" w:line="240" w:lineRule="auto"/>
              <w:ind w:left="34"/>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a la hermana Elsie Hope Monge Yoder, con cédula de ciudadanía número 090509576-6, en representación de las señoras Maria Eloisa Aguiar de Manzano, madre, Teresa Olivia Izurieta Villegas, viuda del señor Wilberto Samuel Manzano Aguiar, mediante poder especial otorgado ante la Notaría Pública Cuarta del Cantón Esmeraldas, una indemnización compensatoria por una sola vez, de treinta mil dólares de los Estados Unidos de Norteamérica (US$30,000.00), con cargo al Presupuesto General del Estado. […]</w:t>
            </w:r>
          </w:p>
        </w:tc>
        <w:tc>
          <w:tcPr>
            <w:tcW w:w="1665" w:type="dxa"/>
            <w:tcBorders>
              <w:bottom w:val="single" w:sz="4" w:space="0" w:color="auto"/>
            </w:tcBorders>
            <w:shd w:val="clear" w:color="auto" w:fill="auto"/>
            <w:vAlign w:val="center"/>
          </w:tcPr>
          <w:p w14:paraId="7963CDA4"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3CBEC129" w14:textId="77777777" w:rsidTr="00035E03">
        <w:trPr>
          <w:trHeight w:val="350"/>
          <w:jc w:val="center"/>
        </w:trPr>
        <w:tc>
          <w:tcPr>
            <w:tcW w:w="7965" w:type="dxa"/>
            <w:shd w:val="clear" w:color="auto" w:fill="auto"/>
            <w:vAlign w:val="center"/>
          </w:tcPr>
          <w:p w14:paraId="3FB1E7F6"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271C8FC7"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w:t>
            </w:r>
            <w:r w:rsidRPr="00030A24">
              <w:rPr>
                <w:rFonts w:ascii="Cambria" w:hAnsi="Cambria"/>
                <w:color w:val="000000"/>
                <w:lang w:val="es-CO"/>
              </w:rPr>
              <w:lastRenderedPageBreak/>
              <w:t>funciones estatales o prevalidos del poder público, se presume que tuvieron participación en la violación alegada.</w:t>
            </w:r>
            <w:r w:rsidRPr="00030A24">
              <w:rPr>
                <w:rFonts w:ascii="Cambria" w:hAnsi="Cambria"/>
                <w:color w:val="000000"/>
                <w:u w:val="single"/>
                <w:lang w:val="es-CO"/>
              </w:rPr>
              <w:t xml:space="preserve"> </w:t>
            </w:r>
          </w:p>
          <w:p w14:paraId="0DC47CB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shd w:val="clear" w:color="auto" w:fill="auto"/>
            <w:vAlign w:val="center"/>
          </w:tcPr>
          <w:p w14:paraId="45F24862" w14:textId="77777777" w:rsidR="00035E03" w:rsidRPr="00030A24" w:rsidRDefault="00035E03" w:rsidP="00030A24">
            <w:pPr>
              <w:spacing w:after="0" w:line="240" w:lineRule="auto"/>
              <w:ind w:left="764" w:hanging="654"/>
              <w:jc w:val="center"/>
              <w:rPr>
                <w:rFonts w:ascii="Cambria" w:hAnsi="Cambria"/>
                <w:b/>
                <w:color w:val="0000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p w14:paraId="7ACFBCC0" w14:textId="77777777" w:rsidR="00035E03" w:rsidRPr="00030A24" w:rsidRDefault="00035E03" w:rsidP="00030A24">
            <w:pPr>
              <w:spacing w:after="0" w:line="240" w:lineRule="auto"/>
              <w:ind w:left="764" w:hanging="654"/>
              <w:jc w:val="center"/>
              <w:rPr>
                <w:rFonts w:ascii="Cambria" w:hAnsi="Cambria"/>
                <w:b/>
                <w:color w:val="000000"/>
                <w:lang w:val="es-CO"/>
              </w:rPr>
            </w:pPr>
          </w:p>
          <w:p w14:paraId="0E891A33" w14:textId="77777777" w:rsidR="00035E03" w:rsidRPr="00030A24" w:rsidRDefault="00035E03" w:rsidP="00030A24">
            <w:pPr>
              <w:spacing w:after="0" w:line="240" w:lineRule="auto"/>
              <w:ind w:left="764" w:hanging="654"/>
              <w:jc w:val="center"/>
              <w:rPr>
                <w:rFonts w:ascii="Cambria" w:hAnsi="Cambria"/>
                <w:color w:val="000000"/>
                <w:shd w:val="clear" w:color="auto" w:fill="00FF00"/>
                <w:lang w:val="es-CO"/>
              </w:rPr>
            </w:pPr>
          </w:p>
        </w:tc>
      </w:tr>
    </w:tbl>
    <w:p w14:paraId="49DECA46" w14:textId="77777777" w:rsidR="0053292A" w:rsidRPr="00030A24" w:rsidRDefault="0053292A" w:rsidP="00030A24">
      <w:pPr>
        <w:spacing w:after="0" w:line="240" w:lineRule="auto"/>
        <w:ind w:left="709"/>
        <w:jc w:val="both"/>
        <w:rPr>
          <w:rFonts w:ascii="Cambria" w:hAnsi="Cambria"/>
          <w:color w:val="000000"/>
          <w:lang w:val="es-CO"/>
        </w:rPr>
      </w:pPr>
    </w:p>
    <w:p w14:paraId="0302CB7B" w14:textId="77777777" w:rsidR="0053292A" w:rsidRPr="00030A24" w:rsidRDefault="0053292A" w:rsidP="00030A24">
      <w:pPr>
        <w:numPr>
          <w:ilvl w:val="0"/>
          <w:numId w:val="30"/>
        </w:numPr>
        <w:spacing w:after="0" w:line="240" w:lineRule="auto"/>
        <w:ind w:left="0" w:firstLine="709"/>
        <w:rPr>
          <w:rFonts w:ascii="Cambria" w:hAnsi="Cambria"/>
          <w:b/>
          <w:lang w:val="es-CO"/>
        </w:rPr>
      </w:pPr>
      <w:r w:rsidRPr="00030A24">
        <w:rPr>
          <w:rFonts w:ascii="Cambria" w:hAnsi="Cambria"/>
          <w:b/>
          <w:lang w:val="es-CO"/>
        </w:rPr>
        <w:t>NIVEL DE CUMPLIMIENTO DEL CASO</w:t>
      </w:r>
    </w:p>
    <w:p w14:paraId="1D44DE51" w14:textId="77777777" w:rsidR="0053292A" w:rsidRPr="00030A24" w:rsidRDefault="0053292A" w:rsidP="00030A24">
      <w:pPr>
        <w:spacing w:after="0" w:line="240" w:lineRule="auto"/>
        <w:ind w:firstLine="709"/>
        <w:rPr>
          <w:rFonts w:ascii="Cambria" w:hAnsi="Cambria"/>
          <w:b/>
          <w:lang w:val="es-CO"/>
        </w:rPr>
      </w:pPr>
    </w:p>
    <w:p w14:paraId="7611787B" w14:textId="77777777" w:rsidR="0053292A" w:rsidRPr="00030A24" w:rsidRDefault="0053292A" w:rsidP="00030A24">
      <w:pPr>
        <w:numPr>
          <w:ilvl w:val="0"/>
          <w:numId w:val="31"/>
        </w:numPr>
        <w:spacing w:after="0" w:line="240" w:lineRule="auto"/>
        <w:ind w:left="0" w:firstLine="709"/>
        <w:jc w:val="both"/>
        <w:rPr>
          <w:rFonts w:ascii="Cambria" w:hAnsi="Cambria"/>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1747FA3A" w14:textId="77777777" w:rsidR="0053292A" w:rsidRPr="00030A24" w:rsidRDefault="0053292A" w:rsidP="00030A24">
      <w:pPr>
        <w:spacing w:after="0" w:line="240" w:lineRule="auto"/>
        <w:ind w:firstLine="709"/>
        <w:jc w:val="both"/>
        <w:rPr>
          <w:rFonts w:ascii="Cambria" w:hAnsi="Cambria"/>
          <w:color w:val="000000"/>
          <w:lang w:val="es-CO"/>
        </w:rPr>
      </w:pPr>
    </w:p>
    <w:p w14:paraId="3F573A25" w14:textId="77777777" w:rsidR="0053292A" w:rsidRPr="00030A24" w:rsidRDefault="0053292A" w:rsidP="00030A24">
      <w:pPr>
        <w:numPr>
          <w:ilvl w:val="0"/>
          <w:numId w:val="30"/>
        </w:numPr>
        <w:spacing w:after="0" w:line="240" w:lineRule="auto"/>
        <w:ind w:left="0" w:firstLine="709"/>
        <w:jc w:val="both"/>
        <w:rPr>
          <w:rFonts w:ascii="Cambria" w:hAnsi="Cambria"/>
          <w:b/>
          <w:lang w:val="es-CO"/>
        </w:rPr>
      </w:pPr>
      <w:r w:rsidRPr="00030A24">
        <w:rPr>
          <w:rFonts w:ascii="Cambria" w:hAnsi="Cambria"/>
          <w:b/>
          <w:lang w:val="es-CO"/>
        </w:rPr>
        <w:t>RESULTADOS ESTRUCTURALES E INDIVIDUALES DEL CASO</w:t>
      </w:r>
    </w:p>
    <w:p w14:paraId="105E6454" w14:textId="77777777" w:rsidR="0053292A" w:rsidRPr="00030A24" w:rsidRDefault="0053292A" w:rsidP="00030A24">
      <w:pPr>
        <w:spacing w:after="0" w:line="240" w:lineRule="auto"/>
        <w:ind w:firstLine="709"/>
        <w:jc w:val="both"/>
        <w:rPr>
          <w:rFonts w:ascii="Cambria" w:hAnsi="Cambria"/>
          <w:b/>
          <w:lang w:val="es-CO"/>
        </w:rPr>
      </w:pPr>
    </w:p>
    <w:p w14:paraId="103B978D" w14:textId="77777777" w:rsidR="0053292A" w:rsidRPr="00030A24" w:rsidRDefault="0053292A" w:rsidP="00030A24">
      <w:pPr>
        <w:pStyle w:val="Listavistosa-nfasis11"/>
        <w:numPr>
          <w:ilvl w:val="0"/>
          <w:numId w:val="32"/>
        </w:numPr>
        <w:spacing w:after="0" w:line="240" w:lineRule="auto"/>
        <w:ind w:left="0" w:firstLine="709"/>
        <w:jc w:val="both"/>
        <w:rPr>
          <w:rFonts w:ascii="Cambria" w:hAnsi="Cambria"/>
          <w:b/>
          <w:color w:val="000000"/>
          <w:lang w:val="es-CO"/>
        </w:rPr>
      </w:pPr>
      <w:r w:rsidRPr="00030A24">
        <w:rPr>
          <w:rFonts w:ascii="Cambria" w:hAnsi="Cambria"/>
          <w:b/>
          <w:color w:val="000000"/>
          <w:lang w:val="es-CO"/>
        </w:rPr>
        <w:t>Resultados individuales del caso</w:t>
      </w:r>
    </w:p>
    <w:p w14:paraId="5931B611" w14:textId="77777777" w:rsidR="0053292A" w:rsidRPr="00030A24" w:rsidRDefault="0053292A" w:rsidP="00030A24">
      <w:pPr>
        <w:pStyle w:val="Listavistosa-nfasis11"/>
        <w:spacing w:after="0" w:line="240" w:lineRule="auto"/>
        <w:ind w:left="709"/>
        <w:jc w:val="both"/>
        <w:rPr>
          <w:rFonts w:ascii="Cambria" w:hAnsi="Cambria"/>
          <w:b/>
          <w:color w:val="000000"/>
          <w:lang w:val="es-CO"/>
        </w:rPr>
      </w:pPr>
    </w:p>
    <w:p w14:paraId="721D76B2" w14:textId="50E0CF4D" w:rsidR="00977EF7" w:rsidRPr="00725E18" w:rsidRDefault="0053292A" w:rsidP="00725E18">
      <w:pPr>
        <w:pStyle w:val="Listavistosa-nfasis11"/>
        <w:numPr>
          <w:ilvl w:val="0"/>
          <w:numId w:val="33"/>
        </w:numPr>
        <w:spacing w:after="0" w:line="240" w:lineRule="auto"/>
        <w:ind w:left="0" w:right="-270" w:firstLine="0"/>
        <w:jc w:val="center"/>
        <w:rPr>
          <w:lang w:val="es-MX"/>
        </w:rPr>
      </w:pPr>
      <w:r w:rsidRPr="00725E18">
        <w:rPr>
          <w:rFonts w:ascii="Cambria" w:hAnsi="Cambria"/>
          <w:color w:val="000000"/>
          <w:lang w:val="es-CO"/>
        </w:rPr>
        <w:t xml:space="preserve">El estado realizó la reparación económica, según lo establecido en el acuerdo. </w:t>
      </w:r>
    </w:p>
    <w:sectPr w:rsidR="00977EF7" w:rsidRPr="00725E18"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3D0" w14:textId="77777777" w:rsidR="00C21F76" w:rsidRDefault="00C21F76" w:rsidP="00A343FF">
      <w:pPr>
        <w:spacing w:after="0" w:line="240" w:lineRule="auto"/>
      </w:pPr>
      <w:r>
        <w:separator/>
      </w:r>
    </w:p>
  </w:endnote>
  <w:endnote w:type="continuationSeparator" w:id="0">
    <w:p w14:paraId="1244145F" w14:textId="77777777" w:rsidR="00C21F76" w:rsidRDefault="00C21F76" w:rsidP="00A343FF">
      <w:pPr>
        <w:spacing w:after="0" w:line="240" w:lineRule="auto"/>
      </w:pPr>
      <w:r>
        <w:continuationSeparator/>
      </w:r>
    </w:p>
  </w:endnote>
  <w:endnote w:type="continuationNotice" w:id="1">
    <w:p w14:paraId="7B8A6D1C" w14:textId="77777777" w:rsidR="00C21F76" w:rsidRDefault="00C21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55667D"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CC60" w14:textId="77777777" w:rsidR="00C21F76" w:rsidRDefault="00C21F76" w:rsidP="00A343FF">
      <w:pPr>
        <w:spacing w:after="0" w:line="240" w:lineRule="auto"/>
      </w:pPr>
      <w:r>
        <w:separator/>
      </w:r>
    </w:p>
  </w:footnote>
  <w:footnote w:type="continuationSeparator" w:id="0">
    <w:p w14:paraId="39BEEC87" w14:textId="77777777" w:rsidR="00C21F76" w:rsidRDefault="00C21F76" w:rsidP="00A343FF">
      <w:pPr>
        <w:spacing w:after="0" w:line="240" w:lineRule="auto"/>
      </w:pPr>
      <w:r>
        <w:continuationSeparator/>
      </w:r>
    </w:p>
  </w:footnote>
  <w:footnote w:type="continuationNotice" w:id="1">
    <w:p w14:paraId="3BDB9BF8" w14:textId="77777777" w:rsidR="00C21F76" w:rsidRDefault="00C21F76">
      <w:pPr>
        <w:spacing w:after="0" w:line="240" w:lineRule="auto"/>
      </w:pPr>
    </w:p>
  </w:footnote>
  <w:footnote w:id="2">
    <w:p w14:paraId="50A41403" w14:textId="77777777" w:rsidR="0053292A" w:rsidRPr="00F116BD" w:rsidRDefault="0053292A" w:rsidP="0053292A">
      <w:pPr>
        <w:pStyle w:val="FootnoteText"/>
        <w:ind w:firstLine="720"/>
        <w:jc w:val="both"/>
        <w:rPr>
          <w:rFonts w:ascii="Cambria" w:hAnsi="Cambria"/>
          <w:color w:val="000000"/>
          <w:sz w:val="16"/>
          <w:szCs w:val="16"/>
          <w:lang w:val="es-ES"/>
        </w:rPr>
      </w:pPr>
      <w:r w:rsidRPr="00F116BD">
        <w:rPr>
          <w:rStyle w:val="FootnoteReference"/>
          <w:rFonts w:ascii="Cambria" w:hAnsi="Cambria"/>
          <w:color w:val="000000"/>
          <w:sz w:val="16"/>
          <w:szCs w:val="16"/>
        </w:rPr>
        <w:footnoteRef/>
      </w:r>
      <w:r w:rsidRPr="00F116BD">
        <w:rPr>
          <w:rFonts w:ascii="Cambria" w:hAnsi="Cambria"/>
          <w:color w:val="000000"/>
          <w:sz w:val="16"/>
          <w:szCs w:val="16"/>
          <w:lang w:val="es-ES"/>
        </w:rPr>
        <w:t xml:space="preserve"> CIDH, Informe No. 108/01, caso 11.574, Solución Amistosa, Wilberto Samuel Manzano, Ecuador, 11 de octubre de 2001. </w:t>
      </w:r>
    </w:p>
  </w:footnote>
  <w:footnote w:id="3">
    <w:p w14:paraId="7D05294B" w14:textId="77777777" w:rsidR="00035E03" w:rsidRPr="00F116BD" w:rsidRDefault="00035E03" w:rsidP="0053292A">
      <w:pPr>
        <w:pStyle w:val="FootnoteText"/>
        <w:rPr>
          <w:lang w:val="es-ES"/>
        </w:rPr>
      </w:pPr>
      <w:r>
        <w:rPr>
          <w:sz w:val="16"/>
          <w:szCs w:val="16"/>
          <w:lang w:val="es-AR"/>
        </w:rPr>
        <w:t xml:space="preserve">                  </w:t>
      </w:r>
      <w:r w:rsidRPr="00F116BD">
        <w:rPr>
          <w:rStyle w:val="FootnoteReference"/>
          <w:sz w:val="16"/>
          <w:szCs w:val="16"/>
        </w:rPr>
        <w:footnoteRef/>
      </w:r>
      <w:r w:rsidRPr="00F116BD">
        <w:rPr>
          <w:sz w:val="16"/>
          <w:szCs w:val="16"/>
          <w:lang w:val="es-AR"/>
        </w:rPr>
        <w:t xml:space="preserve"> </w:t>
      </w:r>
      <w:r w:rsidRPr="00F116BD">
        <w:rPr>
          <w:rFonts w:ascii="Cambria" w:hAnsi="Cambria"/>
          <w:color w:val="000000"/>
          <w:sz w:val="16"/>
          <w:szCs w:val="16"/>
          <w:lang w:val="es-ES"/>
        </w:rPr>
        <w:t xml:space="preserve">Ver CIDH, Informe Anual 2020, Capítulo II, Sección F. Negociación e implementación de acuerdos de solución amistosa. </w:t>
      </w:r>
      <w:r w:rsidRPr="00F116BD">
        <w:rPr>
          <w:rFonts w:ascii="Cambria" w:hAnsi="Cambria"/>
          <w:color w:val="000000"/>
          <w:sz w:val="16"/>
          <w:szCs w:val="16"/>
          <w:lang w:val="es-CO"/>
        </w:rPr>
        <w:t xml:space="preserve">Disponible en: </w:t>
      </w:r>
      <w:hyperlink r:id="rId1" w:history="1">
        <w:r w:rsidRPr="00F116BD">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55667D">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55667D"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1DD9"/>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1A45"/>
    <w:rsid w:val="0053292A"/>
    <w:rsid w:val="00535E7C"/>
    <w:rsid w:val="00550898"/>
    <w:rsid w:val="00550EB8"/>
    <w:rsid w:val="0055667D"/>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25E18"/>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311B"/>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1F76"/>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0FA1"/>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1574.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2023-03-03T22:10:00Z</dcterms:created>
  <dcterms:modified xsi:type="dcterms:W3CDTF">2023-03-03T22:10:00Z</dcterms:modified>
</cp:coreProperties>
</file>