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42132">
      <w:pPr>
        <w:pStyle w:val="NoSpacing"/>
        <w:rPr>
          <w:rFonts w:cs="Univers"/>
          <w:b/>
          <w:bCs/>
          <w:lang w:val="es-ES_tradnl"/>
        </w:rPr>
      </w:pPr>
      <w:r w:rsidRPr="0090270B">
        <w:rPr>
          <w:noProof/>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8099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noProof/>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83F6CA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92152">
                              <w:rPr>
                                <w:rFonts w:asciiTheme="majorHAnsi" w:hAnsiTheme="majorHAnsi" w:cs="Arial"/>
                                <w:b/>
                                <w:bCs/>
                                <w:color w:val="0D0D0D" w:themeColor="text1" w:themeTint="F2"/>
                                <w:sz w:val="36"/>
                                <w:szCs w:val="22"/>
                                <w:lang w:val="es-ES_tradnl"/>
                              </w:rPr>
                              <w:t xml:space="preserve"> </w:t>
                            </w:r>
                            <w:r w:rsidR="00146E77">
                              <w:rPr>
                                <w:rFonts w:asciiTheme="majorHAnsi" w:hAnsiTheme="majorHAnsi" w:cs="Arial"/>
                                <w:b/>
                                <w:bCs/>
                                <w:color w:val="0D0D0D" w:themeColor="text1" w:themeTint="F2"/>
                                <w:sz w:val="36"/>
                                <w:szCs w:val="22"/>
                                <w:lang w:val="es-ES_tradnl"/>
                              </w:rPr>
                              <w:t>251</w:t>
                            </w:r>
                            <w:r w:rsidR="00992152">
                              <w:rPr>
                                <w:rFonts w:asciiTheme="majorHAnsi" w:hAnsiTheme="majorHAnsi" w:cs="Arial"/>
                                <w:b/>
                                <w:bCs/>
                                <w:color w:val="0D0D0D" w:themeColor="text1" w:themeTint="F2"/>
                                <w:sz w:val="36"/>
                                <w:szCs w:val="22"/>
                                <w:lang w:val="es-ES_tradnl"/>
                              </w:rPr>
                              <w:t>/2</w:t>
                            </w:r>
                            <w:r w:rsidR="00182C43">
                              <w:rPr>
                                <w:rFonts w:asciiTheme="majorHAnsi" w:hAnsiTheme="majorHAnsi" w:cs="Arial"/>
                                <w:b/>
                                <w:bCs/>
                                <w:color w:val="0D0D0D" w:themeColor="text1" w:themeTint="F2"/>
                                <w:sz w:val="36"/>
                                <w:szCs w:val="22"/>
                                <w:lang w:val="es-ES_tradnl"/>
                              </w:rPr>
                              <w:t>1</w:t>
                            </w:r>
                          </w:p>
                          <w:p w14:paraId="09C54AB3" w14:textId="37D4CB3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46E77">
                              <w:rPr>
                                <w:rFonts w:asciiTheme="majorHAnsi" w:hAnsiTheme="majorHAnsi" w:cs="Arial"/>
                                <w:b/>
                                <w:color w:val="0D0D0D" w:themeColor="text1" w:themeTint="F2"/>
                                <w:sz w:val="36"/>
                                <w:szCs w:val="22"/>
                                <w:lang w:val="es-ES_tradnl"/>
                              </w:rPr>
                              <w:t>1790</w:t>
                            </w:r>
                            <w:r w:rsidR="00246D1F" w:rsidRPr="004E2649">
                              <w:rPr>
                                <w:rFonts w:asciiTheme="majorHAnsi" w:hAnsiTheme="majorHAnsi" w:cs="Arial"/>
                                <w:b/>
                                <w:color w:val="0D0D0D" w:themeColor="text1" w:themeTint="F2"/>
                                <w:sz w:val="36"/>
                                <w:szCs w:val="22"/>
                                <w:lang w:val="es-ES_tradnl"/>
                              </w:rPr>
                              <w:t>-</w:t>
                            </w:r>
                            <w:r w:rsidR="00146E77">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57BDD7E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92152">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E162735" w:rsidR="005B52B0" w:rsidRPr="0010736F" w:rsidRDefault="00A2112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w:t>
                            </w:r>
                            <w:r w:rsidR="00146E77">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N OMAR RIVERO</w:t>
                            </w:r>
                          </w:p>
                          <w:bookmarkEnd w:id="0"/>
                          <w:p w14:paraId="35068D0D" w14:textId="631B1F85" w:rsidR="005B52B0" w:rsidRPr="0010736F" w:rsidRDefault="008D35A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83F6CA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92152">
                        <w:rPr>
                          <w:rFonts w:asciiTheme="majorHAnsi" w:hAnsiTheme="majorHAnsi" w:cs="Arial"/>
                          <w:b/>
                          <w:bCs/>
                          <w:color w:val="0D0D0D" w:themeColor="text1" w:themeTint="F2"/>
                          <w:sz w:val="36"/>
                          <w:szCs w:val="22"/>
                          <w:lang w:val="es-ES_tradnl"/>
                        </w:rPr>
                        <w:t xml:space="preserve"> </w:t>
                      </w:r>
                      <w:r w:rsidR="00146E77">
                        <w:rPr>
                          <w:rFonts w:asciiTheme="majorHAnsi" w:hAnsiTheme="majorHAnsi" w:cs="Arial"/>
                          <w:b/>
                          <w:bCs/>
                          <w:color w:val="0D0D0D" w:themeColor="text1" w:themeTint="F2"/>
                          <w:sz w:val="36"/>
                          <w:szCs w:val="22"/>
                          <w:lang w:val="es-ES_tradnl"/>
                        </w:rPr>
                        <w:t>251</w:t>
                      </w:r>
                      <w:r w:rsidR="00992152">
                        <w:rPr>
                          <w:rFonts w:asciiTheme="majorHAnsi" w:hAnsiTheme="majorHAnsi" w:cs="Arial"/>
                          <w:b/>
                          <w:bCs/>
                          <w:color w:val="0D0D0D" w:themeColor="text1" w:themeTint="F2"/>
                          <w:sz w:val="36"/>
                          <w:szCs w:val="22"/>
                          <w:lang w:val="es-ES_tradnl"/>
                        </w:rPr>
                        <w:t>/2</w:t>
                      </w:r>
                      <w:r w:rsidR="00182C43">
                        <w:rPr>
                          <w:rFonts w:asciiTheme="majorHAnsi" w:hAnsiTheme="majorHAnsi" w:cs="Arial"/>
                          <w:b/>
                          <w:bCs/>
                          <w:color w:val="0D0D0D" w:themeColor="text1" w:themeTint="F2"/>
                          <w:sz w:val="36"/>
                          <w:szCs w:val="22"/>
                          <w:lang w:val="es-ES_tradnl"/>
                        </w:rPr>
                        <w:t>1</w:t>
                      </w:r>
                    </w:p>
                    <w:p w14:paraId="09C54AB3" w14:textId="37D4CB3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46E77">
                        <w:rPr>
                          <w:rFonts w:asciiTheme="majorHAnsi" w:hAnsiTheme="majorHAnsi" w:cs="Arial"/>
                          <w:b/>
                          <w:color w:val="0D0D0D" w:themeColor="text1" w:themeTint="F2"/>
                          <w:sz w:val="36"/>
                          <w:szCs w:val="22"/>
                          <w:lang w:val="es-ES_tradnl"/>
                        </w:rPr>
                        <w:t>1790</w:t>
                      </w:r>
                      <w:r w:rsidR="00246D1F" w:rsidRPr="004E2649">
                        <w:rPr>
                          <w:rFonts w:asciiTheme="majorHAnsi" w:hAnsiTheme="majorHAnsi" w:cs="Arial"/>
                          <w:b/>
                          <w:color w:val="0D0D0D" w:themeColor="text1" w:themeTint="F2"/>
                          <w:sz w:val="36"/>
                          <w:szCs w:val="22"/>
                          <w:lang w:val="es-ES_tradnl"/>
                        </w:rPr>
                        <w:t>-</w:t>
                      </w:r>
                      <w:r w:rsidR="00146E77">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57BDD7E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92152">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E162735" w:rsidR="005B52B0" w:rsidRPr="0010736F" w:rsidRDefault="00A2112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w:t>
                      </w:r>
                      <w:r w:rsidR="00146E77">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N OMAR RIVERO</w:t>
                      </w:r>
                    </w:p>
                    <w:bookmarkEnd w:id="1"/>
                    <w:p w14:paraId="35068D0D" w14:textId="631B1F85" w:rsidR="005B52B0" w:rsidRPr="0010736F" w:rsidRDefault="008D35A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6B6F905"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0B6568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46E77">
                              <w:rPr>
                                <w:rFonts w:asciiTheme="minorHAnsi" w:hAnsiTheme="minorHAnsi"/>
                                <w:color w:val="FFFFFF" w:themeColor="background1"/>
                                <w:sz w:val="22"/>
                                <w:lang w:val="pt-BR"/>
                              </w:rPr>
                              <w:t>259</w:t>
                            </w:r>
                          </w:p>
                          <w:p w14:paraId="69373ED2" w14:textId="38A51273" w:rsidR="00627C9F" w:rsidRPr="00992152" w:rsidRDefault="00146E7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627C9F" w:rsidRPr="00992152">
                              <w:rPr>
                                <w:rFonts w:asciiTheme="minorHAnsi" w:hAnsiTheme="minorHAnsi"/>
                                <w:color w:val="FFFFFF" w:themeColor="background1"/>
                                <w:sz w:val="22"/>
                                <w:lang w:val="es-PA"/>
                              </w:rPr>
                              <w:t xml:space="preserve"> 20</w:t>
                            </w:r>
                            <w:r w:rsidR="00182C43">
                              <w:rPr>
                                <w:rFonts w:asciiTheme="minorHAnsi" w:hAnsiTheme="minorHAnsi"/>
                                <w:color w:val="FFFFFF" w:themeColor="background1"/>
                                <w:sz w:val="22"/>
                                <w:lang w:val="es-PA"/>
                              </w:rPr>
                              <w:t>21</w:t>
                            </w:r>
                          </w:p>
                          <w:p w14:paraId="0771DB5B" w14:textId="77777777" w:rsidR="00627C9F" w:rsidRPr="00992152" w:rsidRDefault="00E0340B" w:rsidP="007A5817">
                            <w:pPr>
                              <w:spacing w:line="276" w:lineRule="auto"/>
                              <w:jc w:val="right"/>
                              <w:rPr>
                                <w:rFonts w:asciiTheme="minorHAnsi" w:hAnsiTheme="minorHAnsi"/>
                                <w:color w:val="FFFFFF" w:themeColor="background1"/>
                                <w:sz w:val="22"/>
                                <w:lang w:val="es-PA"/>
                              </w:rPr>
                            </w:pPr>
                            <w:r w:rsidRPr="00992152">
                              <w:rPr>
                                <w:rFonts w:asciiTheme="minorHAnsi" w:hAnsiTheme="minorHAnsi"/>
                                <w:color w:val="FFFFFF" w:themeColor="background1"/>
                                <w:sz w:val="22"/>
                                <w:lang w:val="es-PA"/>
                              </w:rPr>
                              <w:t xml:space="preserve">Original: </w:t>
                            </w:r>
                            <w:r w:rsidR="008B12F5" w:rsidRPr="00992152">
                              <w:rPr>
                                <w:rFonts w:asciiTheme="minorHAnsi" w:hAnsiTheme="minorHAnsi"/>
                                <w:color w:val="FFFFFF" w:themeColor="background1"/>
                                <w:sz w:val="22"/>
                                <w:lang w:val="es-PA"/>
                              </w:rPr>
                              <w:t>e</w:t>
                            </w:r>
                            <w:r w:rsidR="00627C9F" w:rsidRPr="00992152">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6B6F905"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0B6568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46E77">
                        <w:rPr>
                          <w:rFonts w:asciiTheme="minorHAnsi" w:hAnsiTheme="minorHAnsi"/>
                          <w:color w:val="FFFFFF" w:themeColor="background1"/>
                          <w:sz w:val="22"/>
                          <w:lang w:val="pt-BR"/>
                        </w:rPr>
                        <w:t>259</w:t>
                      </w:r>
                    </w:p>
                    <w:p w14:paraId="69373ED2" w14:textId="38A51273" w:rsidR="00627C9F" w:rsidRPr="00992152" w:rsidRDefault="00146E7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627C9F" w:rsidRPr="00992152">
                        <w:rPr>
                          <w:rFonts w:asciiTheme="minorHAnsi" w:hAnsiTheme="minorHAnsi"/>
                          <w:color w:val="FFFFFF" w:themeColor="background1"/>
                          <w:sz w:val="22"/>
                          <w:lang w:val="es-PA"/>
                        </w:rPr>
                        <w:t xml:space="preserve"> 20</w:t>
                      </w:r>
                      <w:r w:rsidR="00182C43">
                        <w:rPr>
                          <w:rFonts w:asciiTheme="minorHAnsi" w:hAnsiTheme="minorHAnsi"/>
                          <w:color w:val="FFFFFF" w:themeColor="background1"/>
                          <w:sz w:val="22"/>
                          <w:lang w:val="es-PA"/>
                        </w:rPr>
                        <w:t>21</w:t>
                      </w:r>
                    </w:p>
                    <w:p w14:paraId="0771DB5B" w14:textId="77777777" w:rsidR="00627C9F" w:rsidRPr="00992152" w:rsidRDefault="00E0340B" w:rsidP="007A5817">
                      <w:pPr>
                        <w:spacing w:line="276" w:lineRule="auto"/>
                        <w:jc w:val="right"/>
                        <w:rPr>
                          <w:rFonts w:asciiTheme="minorHAnsi" w:hAnsiTheme="minorHAnsi"/>
                          <w:color w:val="FFFFFF" w:themeColor="background1"/>
                          <w:sz w:val="22"/>
                          <w:lang w:val="es-PA"/>
                        </w:rPr>
                      </w:pPr>
                      <w:r w:rsidRPr="00992152">
                        <w:rPr>
                          <w:rFonts w:asciiTheme="minorHAnsi" w:hAnsiTheme="minorHAnsi"/>
                          <w:color w:val="FFFFFF" w:themeColor="background1"/>
                          <w:sz w:val="22"/>
                          <w:lang w:val="es-PA"/>
                        </w:rPr>
                        <w:t xml:space="preserve">Original: </w:t>
                      </w:r>
                      <w:r w:rsidR="008B12F5" w:rsidRPr="00992152">
                        <w:rPr>
                          <w:rFonts w:asciiTheme="minorHAnsi" w:hAnsiTheme="minorHAnsi"/>
                          <w:color w:val="FFFFFF" w:themeColor="background1"/>
                          <w:sz w:val="22"/>
                          <w:lang w:val="es-PA"/>
                        </w:rPr>
                        <w:t>e</w:t>
                      </w:r>
                      <w:r w:rsidR="00627C9F" w:rsidRPr="00992152">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9CA6AB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46E77">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46E77">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00992152">
                              <w:rPr>
                                <w:rFonts w:asciiTheme="majorHAnsi" w:hAnsiTheme="majorHAnsi"/>
                                <w:color w:val="0D0D0D" w:themeColor="text1" w:themeTint="F2"/>
                                <w:sz w:val="18"/>
                                <w:szCs w:val="22"/>
                                <w:lang w:val="es-ES"/>
                              </w:rPr>
                              <w:t>de 202</w:t>
                            </w:r>
                            <w:r w:rsidR="00182C43">
                              <w:rPr>
                                <w:rFonts w:asciiTheme="majorHAnsi" w:hAnsiTheme="majorHAnsi"/>
                                <w:color w:val="0D0D0D" w:themeColor="text1" w:themeTint="F2"/>
                                <w:sz w:val="18"/>
                                <w:szCs w:val="22"/>
                                <w:lang w:val="es-ES"/>
                              </w:rPr>
                              <w:t>1</w:t>
                            </w:r>
                            <w:r w:rsidR="005233F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9CA6AB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46E77">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46E77">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00992152">
                        <w:rPr>
                          <w:rFonts w:asciiTheme="majorHAnsi" w:hAnsiTheme="majorHAnsi"/>
                          <w:color w:val="0D0D0D" w:themeColor="text1" w:themeTint="F2"/>
                          <w:sz w:val="18"/>
                          <w:szCs w:val="22"/>
                          <w:lang w:val="es-ES"/>
                        </w:rPr>
                        <w:t>de 202</w:t>
                      </w:r>
                      <w:r w:rsidR="00182C43">
                        <w:rPr>
                          <w:rFonts w:asciiTheme="majorHAnsi" w:hAnsiTheme="majorHAnsi"/>
                          <w:color w:val="0D0D0D" w:themeColor="text1" w:themeTint="F2"/>
                          <w:sz w:val="18"/>
                          <w:szCs w:val="22"/>
                          <w:lang w:val="es-ES"/>
                        </w:rPr>
                        <w:t>1</w:t>
                      </w:r>
                      <w:r w:rsidR="005233F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3FC54C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46E77" w:rsidRPr="00146E77">
                              <w:rPr>
                                <w:rFonts w:asciiTheme="majorHAnsi" w:hAnsiTheme="majorHAnsi"/>
                                <w:color w:val="595959" w:themeColor="text1" w:themeTint="A6"/>
                                <w:sz w:val="18"/>
                                <w:szCs w:val="18"/>
                                <w:lang w:val="pt-BR"/>
                              </w:rPr>
                              <w:t>251</w:t>
                            </w:r>
                            <w:r w:rsidR="007B05C4" w:rsidRPr="00146E77">
                              <w:rPr>
                                <w:rFonts w:asciiTheme="majorHAnsi" w:hAnsiTheme="majorHAnsi"/>
                                <w:color w:val="595959" w:themeColor="text1" w:themeTint="A6"/>
                                <w:sz w:val="18"/>
                                <w:szCs w:val="18"/>
                                <w:lang w:val="pt-BR"/>
                              </w:rPr>
                              <w:t>/</w:t>
                            </w:r>
                            <w:r w:rsidR="00146E77" w:rsidRPr="00146E77">
                              <w:rPr>
                                <w:rFonts w:asciiTheme="majorHAnsi" w:hAnsiTheme="majorHAnsi"/>
                                <w:color w:val="595959" w:themeColor="text1" w:themeTint="A6"/>
                                <w:sz w:val="18"/>
                                <w:szCs w:val="18"/>
                                <w:lang w:val="pt-BR"/>
                              </w:rPr>
                              <w:t>2</w:t>
                            </w:r>
                            <w:r w:rsidR="008D35A2" w:rsidRPr="00146E77">
                              <w:rPr>
                                <w:rFonts w:asciiTheme="majorHAnsi" w:hAnsiTheme="majorHAnsi"/>
                                <w:color w:val="595959" w:themeColor="text1" w:themeTint="A6"/>
                                <w:sz w:val="18"/>
                                <w:szCs w:val="18"/>
                                <w:lang w:val="pt-BR"/>
                              </w:rPr>
                              <w:t>1</w:t>
                            </w:r>
                            <w:r w:rsidRPr="00146E7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8D35A2">
                              <w:rPr>
                                <w:rFonts w:asciiTheme="majorHAnsi" w:hAnsiTheme="majorHAnsi"/>
                                <w:color w:val="595959" w:themeColor="text1" w:themeTint="A6"/>
                                <w:sz w:val="18"/>
                                <w:szCs w:val="18"/>
                                <w:lang w:val="es-ES"/>
                              </w:rPr>
                              <w:t>ón</w:t>
                            </w:r>
                            <w:proofErr w:type="spellEnd"/>
                            <w:r w:rsidR="008D35A2">
                              <w:rPr>
                                <w:rFonts w:asciiTheme="majorHAnsi" w:hAnsiTheme="majorHAnsi"/>
                                <w:color w:val="595959" w:themeColor="text1" w:themeTint="A6"/>
                                <w:sz w:val="18"/>
                                <w:szCs w:val="18"/>
                                <w:lang w:val="es-ES"/>
                              </w:rPr>
                              <w:t xml:space="preserve"> 1790-10</w:t>
                            </w:r>
                            <w:r w:rsidR="000433C9">
                              <w:rPr>
                                <w:rFonts w:asciiTheme="majorHAnsi" w:hAnsiTheme="majorHAnsi"/>
                                <w:color w:val="595959" w:themeColor="text1" w:themeTint="A6"/>
                                <w:sz w:val="18"/>
                                <w:szCs w:val="18"/>
                                <w:lang w:val="es-ES"/>
                              </w:rPr>
                              <w:t xml:space="preserve">. </w:t>
                            </w:r>
                            <w:proofErr w:type="spellStart"/>
                            <w:r w:rsidR="00992152">
                              <w:rPr>
                                <w:rFonts w:asciiTheme="majorHAnsi" w:hAnsiTheme="majorHAnsi"/>
                                <w:color w:val="595959" w:themeColor="text1" w:themeTint="A6"/>
                                <w:sz w:val="18"/>
                                <w:szCs w:val="18"/>
                                <w:lang w:val="es-ES_tradnl"/>
                              </w:rPr>
                              <w:t>In</w:t>
                            </w:r>
                            <w:r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sidR="008D35A2">
                              <w:rPr>
                                <w:rFonts w:asciiTheme="majorHAnsi" w:hAnsiTheme="majorHAnsi"/>
                                <w:color w:val="595959" w:themeColor="text1" w:themeTint="A6"/>
                                <w:sz w:val="18"/>
                                <w:szCs w:val="18"/>
                                <w:lang w:val="es-ES_tradnl"/>
                              </w:rPr>
                              <w:t>R</w:t>
                            </w:r>
                            <w:r w:rsidR="00627402">
                              <w:rPr>
                                <w:rFonts w:asciiTheme="majorHAnsi" w:hAnsiTheme="majorHAnsi"/>
                                <w:color w:val="595959" w:themeColor="text1" w:themeTint="A6"/>
                                <w:sz w:val="18"/>
                                <w:szCs w:val="18"/>
                                <w:lang w:val="es-ES_tradnl"/>
                              </w:rPr>
                              <w:t>ub</w:t>
                            </w:r>
                            <w:r w:rsidR="00146E77">
                              <w:rPr>
                                <w:rFonts w:asciiTheme="majorHAnsi" w:hAnsiTheme="majorHAnsi"/>
                                <w:color w:val="595959" w:themeColor="text1" w:themeTint="A6"/>
                                <w:sz w:val="18"/>
                                <w:szCs w:val="18"/>
                                <w:lang w:val="es-ES_tradnl"/>
                              </w:rPr>
                              <w:t>é</w:t>
                            </w:r>
                            <w:r w:rsidR="00627402">
                              <w:rPr>
                                <w:rFonts w:asciiTheme="majorHAnsi" w:hAnsiTheme="majorHAnsi"/>
                                <w:color w:val="595959" w:themeColor="text1" w:themeTint="A6"/>
                                <w:sz w:val="18"/>
                                <w:szCs w:val="18"/>
                                <w:lang w:val="es-ES_tradnl"/>
                              </w:rPr>
                              <w:t>n Omar Rivero</w:t>
                            </w:r>
                            <w:r w:rsidRPr="00890650">
                              <w:rPr>
                                <w:rFonts w:asciiTheme="majorHAnsi" w:hAnsiTheme="majorHAnsi"/>
                                <w:color w:val="595959" w:themeColor="text1" w:themeTint="A6"/>
                                <w:sz w:val="18"/>
                                <w:szCs w:val="18"/>
                                <w:lang w:val="es-ES_tradnl"/>
                              </w:rPr>
                              <w:t xml:space="preserve">. </w:t>
                            </w:r>
                            <w:r w:rsidR="008D35A2">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146E77">
                              <w:rPr>
                                <w:rFonts w:asciiTheme="majorHAnsi" w:hAnsiTheme="majorHAnsi"/>
                                <w:color w:val="595959" w:themeColor="text1" w:themeTint="A6"/>
                                <w:sz w:val="18"/>
                                <w:szCs w:val="18"/>
                                <w:lang w:val="es-ES"/>
                              </w:rPr>
                              <w:t>20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3FC54C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46E77" w:rsidRPr="00146E77">
                        <w:rPr>
                          <w:rFonts w:asciiTheme="majorHAnsi" w:hAnsiTheme="majorHAnsi"/>
                          <w:color w:val="595959" w:themeColor="text1" w:themeTint="A6"/>
                          <w:sz w:val="18"/>
                          <w:szCs w:val="18"/>
                          <w:lang w:val="pt-BR"/>
                        </w:rPr>
                        <w:t>251</w:t>
                      </w:r>
                      <w:r w:rsidR="007B05C4" w:rsidRPr="00146E77">
                        <w:rPr>
                          <w:rFonts w:asciiTheme="majorHAnsi" w:hAnsiTheme="majorHAnsi"/>
                          <w:color w:val="595959" w:themeColor="text1" w:themeTint="A6"/>
                          <w:sz w:val="18"/>
                          <w:szCs w:val="18"/>
                          <w:lang w:val="pt-BR"/>
                        </w:rPr>
                        <w:t>/</w:t>
                      </w:r>
                      <w:r w:rsidR="00146E77" w:rsidRPr="00146E77">
                        <w:rPr>
                          <w:rFonts w:asciiTheme="majorHAnsi" w:hAnsiTheme="majorHAnsi"/>
                          <w:color w:val="595959" w:themeColor="text1" w:themeTint="A6"/>
                          <w:sz w:val="18"/>
                          <w:szCs w:val="18"/>
                          <w:lang w:val="pt-BR"/>
                        </w:rPr>
                        <w:t>2</w:t>
                      </w:r>
                      <w:r w:rsidR="008D35A2" w:rsidRPr="00146E77">
                        <w:rPr>
                          <w:rFonts w:asciiTheme="majorHAnsi" w:hAnsiTheme="majorHAnsi"/>
                          <w:color w:val="595959" w:themeColor="text1" w:themeTint="A6"/>
                          <w:sz w:val="18"/>
                          <w:szCs w:val="18"/>
                          <w:lang w:val="pt-BR"/>
                        </w:rPr>
                        <w:t>1</w:t>
                      </w:r>
                      <w:r w:rsidRPr="00146E7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8D35A2">
                        <w:rPr>
                          <w:rFonts w:asciiTheme="majorHAnsi" w:hAnsiTheme="majorHAnsi"/>
                          <w:color w:val="595959" w:themeColor="text1" w:themeTint="A6"/>
                          <w:sz w:val="18"/>
                          <w:szCs w:val="18"/>
                          <w:lang w:val="es-ES"/>
                        </w:rPr>
                        <w:t>ón</w:t>
                      </w:r>
                      <w:proofErr w:type="spellEnd"/>
                      <w:r w:rsidR="008D35A2">
                        <w:rPr>
                          <w:rFonts w:asciiTheme="majorHAnsi" w:hAnsiTheme="majorHAnsi"/>
                          <w:color w:val="595959" w:themeColor="text1" w:themeTint="A6"/>
                          <w:sz w:val="18"/>
                          <w:szCs w:val="18"/>
                          <w:lang w:val="es-ES"/>
                        </w:rPr>
                        <w:t xml:space="preserve"> 1790-10</w:t>
                      </w:r>
                      <w:r w:rsidR="000433C9">
                        <w:rPr>
                          <w:rFonts w:asciiTheme="majorHAnsi" w:hAnsiTheme="majorHAnsi"/>
                          <w:color w:val="595959" w:themeColor="text1" w:themeTint="A6"/>
                          <w:sz w:val="18"/>
                          <w:szCs w:val="18"/>
                          <w:lang w:val="es-ES"/>
                        </w:rPr>
                        <w:t xml:space="preserve">. </w:t>
                      </w:r>
                      <w:proofErr w:type="spellStart"/>
                      <w:r w:rsidR="00992152">
                        <w:rPr>
                          <w:rFonts w:asciiTheme="majorHAnsi" w:hAnsiTheme="majorHAnsi"/>
                          <w:color w:val="595959" w:themeColor="text1" w:themeTint="A6"/>
                          <w:sz w:val="18"/>
                          <w:szCs w:val="18"/>
                          <w:lang w:val="es-ES_tradnl"/>
                        </w:rPr>
                        <w:t>In</w:t>
                      </w:r>
                      <w:r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sidR="008D35A2">
                        <w:rPr>
                          <w:rFonts w:asciiTheme="majorHAnsi" w:hAnsiTheme="majorHAnsi"/>
                          <w:color w:val="595959" w:themeColor="text1" w:themeTint="A6"/>
                          <w:sz w:val="18"/>
                          <w:szCs w:val="18"/>
                          <w:lang w:val="es-ES_tradnl"/>
                        </w:rPr>
                        <w:t>R</w:t>
                      </w:r>
                      <w:r w:rsidR="00627402">
                        <w:rPr>
                          <w:rFonts w:asciiTheme="majorHAnsi" w:hAnsiTheme="majorHAnsi"/>
                          <w:color w:val="595959" w:themeColor="text1" w:themeTint="A6"/>
                          <w:sz w:val="18"/>
                          <w:szCs w:val="18"/>
                          <w:lang w:val="es-ES_tradnl"/>
                        </w:rPr>
                        <w:t>ub</w:t>
                      </w:r>
                      <w:r w:rsidR="00146E77">
                        <w:rPr>
                          <w:rFonts w:asciiTheme="majorHAnsi" w:hAnsiTheme="majorHAnsi"/>
                          <w:color w:val="595959" w:themeColor="text1" w:themeTint="A6"/>
                          <w:sz w:val="18"/>
                          <w:szCs w:val="18"/>
                          <w:lang w:val="es-ES_tradnl"/>
                        </w:rPr>
                        <w:t>é</w:t>
                      </w:r>
                      <w:r w:rsidR="00627402">
                        <w:rPr>
                          <w:rFonts w:asciiTheme="majorHAnsi" w:hAnsiTheme="majorHAnsi"/>
                          <w:color w:val="595959" w:themeColor="text1" w:themeTint="A6"/>
                          <w:sz w:val="18"/>
                          <w:szCs w:val="18"/>
                          <w:lang w:val="es-ES_tradnl"/>
                        </w:rPr>
                        <w:t>n Omar Rivero</w:t>
                      </w:r>
                      <w:r w:rsidRPr="00890650">
                        <w:rPr>
                          <w:rFonts w:asciiTheme="majorHAnsi" w:hAnsiTheme="majorHAnsi"/>
                          <w:color w:val="595959" w:themeColor="text1" w:themeTint="A6"/>
                          <w:sz w:val="18"/>
                          <w:szCs w:val="18"/>
                          <w:lang w:val="es-ES_tradnl"/>
                        </w:rPr>
                        <w:t xml:space="preserve">. </w:t>
                      </w:r>
                      <w:r w:rsidR="008D35A2">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146E77">
                        <w:rPr>
                          <w:rFonts w:asciiTheme="majorHAnsi" w:hAnsiTheme="majorHAnsi"/>
                          <w:color w:val="595959" w:themeColor="text1" w:themeTint="A6"/>
                          <w:sz w:val="18"/>
                          <w:szCs w:val="18"/>
                          <w:lang w:val="es-ES"/>
                        </w:rPr>
                        <w:t>20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EE0F1BD" w:rsidR="00D72DC6" w:rsidRPr="00D72DC6" w:rsidRDefault="00146E77" w:rsidP="00F02AD1">
                            <w:pPr>
                              <w:rPr>
                                <w:color w:val="FFFFFF" w:themeColor="background1"/>
                                <w14:textFill>
                                  <w14:noFill/>
                                </w14:textFill>
                              </w:rPr>
                            </w:pPr>
                            <w:r>
                              <w:rPr>
                                <w:noProof/>
                              </w:rPr>
                              <w:drawing>
                                <wp:inline distT="0" distB="0" distL="0" distR="0" wp14:anchorId="16A6E03D" wp14:editId="1AF55250">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EE0F1BD" w:rsidR="00D72DC6" w:rsidRPr="00D72DC6" w:rsidRDefault="00146E77" w:rsidP="00F02AD1">
                      <w:pPr>
                        <w:rPr>
                          <w:color w:val="FFFFFF" w:themeColor="background1"/>
                          <w14:textFill>
                            <w14:noFill/>
                          </w14:textFill>
                        </w:rPr>
                      </w:pPr>
                      <w:r>
                        <w:rPr>
                          <w:noProof/>
                        </w:rPr>
                        <w:drawing>
                          <wp:inline distT="0" distB="0" distL="0" distR="0" wp14:anchorId="16A6E03D" wp14:editId="1AF55250">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757"/>
        <w:gridCol w:w="5603"/>
      </w:tblGrid>
      <w:tr w:rsidR="003239B8" w:rsidRPr="00992152" w14:paraId="5A79D1F7" w14:textId="77777777" w:rsidTr="006E66E7">
        <w:tc>
          <w:tcPr>
            <w:tcW w:w="3757"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03" w:type="dxa"/>
            <w:vAlign w:val="center"/>
          </w:tcPr>
          <w:p w14:paraId="3C5315D8" w14:textId="3F37AE07" w:rsidR="003239B8" w:rsidRPr="00992152" w:rsidRDefault="00627402" w:rsidP="00A21123">
            <w:pPr>
              <w:jc w:val="both"/>
              <w:rPr>
                <w:rFonts w:ascii="Cambria" w:hAnsi="Cambria"/>
                <w:bCs/>
                <w:sz w:val="20"/>
                <w:szCs w:val="20"/>
                <w:lang w:val="es-PA"/>
              </w:rPr>
            </w:pPr>
            <w:r>
              <w:rPr>
                <w:rFonts w:ascii="Cambria" w:hAnsi="Cambria"/>
                <w:bCs/>
                <w:sz w:val="20"/>
                <w:szCs w:val="20"/>
                <w:lang w:val="es-PA"/>
              </w:rPr>
              <w:t>Rubén Omar Rivero</w:t>
            </w:r>
            <w:r w:rsidR="00A21123" w:rsidRPr="00992152">
              <w:rPr>
                <w:rFonts w:ascii="Cambria" w:hAnsi="Cambria"/>
                <w:bCs/>
                <w:sz w:val="20"/>
                <w:szCs w:val="20"/>
                <w:lang w:val="es-PA"/>
              </w:rPr>
              <w:t xml:space="preserve"> </w:t>
            </w:r>
          </w:p>
        </w:tc>
      </w:tr>
      <w:tr w:rsidR="003239B8" w:rsidRPr="00992152" w14:paraId="593A7E45" w14:textId="77777777" w:rsidTr="006E66E7">
        <w:tc>
          <w:tcPr>
            <w:tcW w:w="3757" w:type="dxa"/>
            <w:tcBorders>
              <w:top w:val="single" w:sz="6" w:space="0" w:color="auto"/>
              <w:bottom w:val="single" w:sz="6" w:space="0" w:color="auto"/>
            </w:tcBorders>
            <w:shd w:val="clear" w:color="auto" w:fill="386294"/>
            <w:vAlign w:val="center"/>
          </w:tcPr>
          <w:p w14:paraId="0E78CA0C" w14:textId="77777777" w:rsidR="003239B8" w:rsidRPr="00992152" w:rsidRDefault="003D0634" w:rsidP="008D2290">
            <w:pPr>
              <w:jc w:val="center"/>
              <w:rPr>
                <w:rFonts w:ascii="Cambria" w:hAnsi="Cambria"/>
                <w:b/>
                <w:bCs/>
                <w:color w:val="FFFFFF" w:themeColor="background1"/>
                <w:sz w:val="20"/>
                <w:szCs w:val="20"/>
                <w:lang w:val="es-PA"/>
              </w:rPr>
            </w:pPr>
            <w:sdt>
              <w:sdtPr>
                <w:rPr>
                  <w:rFonts w:ascii="Cambria" w:hAnsi="Cambria"/>
                  <w:b/>
                  <w:bCs/>
                  <w:color w:val="FFFFFF" w:themeColor="background1"/>
                  <w:sz w:val="20"/>
                  <w:szCs w:val="20"/>
                  <w:lang w:val="es-PA"/>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92152">
                  <w:rPr>
                    <w:rFonts w:ascii="Cambria" w:hAnsi="Cambria"/>
                    <w:b/>
                    <w:bCs/>
                    <w:color w:val="FFFFFF" w:themeColor="background1"/>
                    <w:sz w:val="20"/>
                    <w:szCs w:val="20"/>
                    <w:lang w:val="es-PA"/>
                  </w:rPr>
                  <w:t>Presunta víctima</w:t>
                </w:r>
              </w:sdtContent>
            </w:sdt>
            <w:r w:rsidR="003239B8" w:rsidRPr="00992152">
              <w:rPr>
                <w:rFonts w:ascii="Cambria" w:hAnsi="Cambria"/>
                <w:b/>
                <w:bCs/>
                <w:color w:val="FFFFFF" w:themeColor="background1"/>
                <w:sz w:val="20"/>
                <w:szCs w:val="20"/>
                <w:lang w:val="es-PA"/>
              </w:rPr>
              <w:t>:</w:t>
            </w:r>
          </w:p>
        </w:tc>
        <w:tc>
          <w:tcPr>
            <w:tcW w:w="5603" w:type="dxa"/>
            <w:vAlign w:val="center"/>
          </w:tcPr>
          <w:p w14:paraId="4AEBF59E" w14:textId="43D1A6E4" w:rsidR="003239B8" w:rsidRPr="000D05CB" w:rsidRDefault="00B95924" w:rsidP="008D2290">
            <w:pPr>
              <w:jc w:val="both"/>
              <w:rPr>
                <w:rFonts w:ascii="Cambria" w:hAnsi="Cambria"/>
                <w:bCs/>
                <w:sz w:val="20"/>
                <w:szCs w:val="20"/>
                <w:lang w:val="es-ES"/>
              </w:rPr>
            </w:pPr>
            <w:r>
              <w:rPr>
                <w:rFonts w:ascii="Cambria" w:hAnsi="Cambria"/>
                <w:bCs/>
                <w:sz w:val="20"/>
                <w:szCs w:val="20"/>
                <w:lang w:val="es-ES"/>
              </w:rPr>
              <w:t>Rubén Omar Rivero</w:t>
            </w:r>
          </w:p>
        </w:tc>
      </w:tr>
      <w:tr w:rsidR="003239B8" w:rsidRPr="00992152" w14:paraId="3E62E1D3" w14:textId="77777777" w:rsidTr="006E66E7">
        <w:tc>
          <w:tcPr>
            <w:tcW w:w="3757" w:type="dxa"/>
            <w:tcBorders>
              <w:top w:val="single" w:sz="6" w:space="0" w:color="auto"/>
              <w:bottom w:val="single" w:sz="6" w:space="0" w:color="auto"/>
            </w:tcBorders>
            <w:shd w:val="clear" w:color="auto" w:fill="386294"/>
            <w:vAlign w:val="center"/>
          </w:tcPr>
          <w:p w14:paraId="340B0F09" w14:textId="77777777" w:rsidR="003239B8" w:rsidRPr="00992152" w:rsidRDefault="003239B8" w:rsidP="008D2290">
            <w:pPr>
              <w:jc w:val="center"/>
              <w:rPr>
                <w:rFonts w:ascii="Cambria" w:hAnsi="Cambria"/>
                <w:b/>
                <w:bCs/>
                <w:color w:val="FFFFFF" w:themeColor="background1"/>
                <w:sz w:val="20"/>
                <w:szCs w:val="20"/>
                <w:lang w:val="es-PA"/>
              </w:rPr>
            </w:pPr>
            <w:r w:rsidRPr="00992152">
              <w:rPr>
                <w:rFonts w:ascii="Cambria" w:hAnsi="Cambria"/>
                <w:b/>
                <w:bCs/>
                <w:color w:val="FFFFFF" w:themeColor="background1"/>
                <w:sz w:val="20"/>
                <w:szCs w:val="20"/>
                <w:lang w:val="es-PA"/>
              </w:rPr>
              <w:t>Estado denunciado:</w:t>
            </w:r>
          </w:p>
        </w:tc>
        <w:tc>
          <w:tcPr>
            <w:tcW w:w="5603" w:type="dxa"/>
            <w:vAlign w:val="center"/>
          </w:tcPr>
          <w:p w14:paraId="274C8A50" w14:textId="4A478F77" w:rsidR="003239B8" w:rsidRPr="00992152" w:rsidRDefault="00B95924" w:rsidP="00B95924">
            <w:pPr>
              <w:jc w:val="both"/>
              <w:rPr>
                <w:rFonts w:ascii="Cambria" w:hAnsi="Cambria"/>
                <w:bCs/>
                <w:sz w:val="20"/>
                <w:szCs w:val="20"/>
                <w:lang w:val="es-PA"/>
              </w:rPr>
            </w:pPr>
            <w:r w:rsidRPr="00992152">
              <w:rPr>
                <w:rFonts w:ascii="Cambria" w:hAnsi="Cambria"/>
                <w:bCs/>
                <w:sz w:val="20"/>
                <w:szCs w:val="20"/>
                <w:lang w:val="es-PA"/>
              </w:rPr>
              <w:t>Argentina</w:t>
            </w:r>
          </w:p>
        </w:tc>
      </w:tr>
      <w:tr w:rsidR="00223A29" w:rsidRPr="005233F3" w14:paraId="632511BC" w14:textId="77777777" w:rsidTr="006E66E7">
        <w:tc>
          <w:tcPr>
            <w:tcW w:w="3757" w:type="dxa"/>
            <w:tcBorders>
              <w:top w:val="single" w:sz="6" w:space="0" w:color="auto"/>
              <w:bottom w:val="single" w:sz="6" w:space="0" w:color="auto"/>
            </w:tcBorders>
            <w:shd w:val="clear" w:color="auto" w:fill="386294"/>
            <w:vAlign w:val="center"/>
          </w:tcPr>
          <w:p w14:paraId="727E2F6B" w14:textId="60AEE329" w:rsidR="00223A29" w:rsidRPr="00992152" w:rsidRDefault="001B3A00" w:rsidP="00E4118C">
            <w:pPr>
              <w:jc w:val="center"/>
              <w:rPr>
                <w:rFonts w:ascii="Cambria" w:hAnsi="Cambria"/>
                <w:b/>
                <w:bCs/>
                <w:color w:val="FFFFFF" w:themeColor="background1"/>
                <w:sz w:val="20"/>
                <w:szCs w:val="20"/>
                <w:lang w:val="es-PA"/>
              </w:rPr>
            </w:pPr>
            <w:r w:rsidRPr="00992152">
              <w:rPr>
                <w:rFonts w:ascii="Cambria" w:hAnsi="Cambria"/>
                <w:b/>
                <w:bCs/>
                <w:color w:val="FFFFFF" w:themeColor="background1"/>
                <w:sz w:val="20"/>
                <w:szCs w:val="20"/>
                <w:lang w:val="es-PA"/>
              </w:rPr>
              <w:t xml:space="preserve">Derechos </w:t>
            </w:r>
            <w:r w:rsidR="00E4118C" w:rsidRPr="00992152">
              <w:rPr>
                <w:rFonts w:ascii="Cambria" w:hAnsi="Cambria"/>
                <w:b/>
                <w:bCs/>
                <w:color w:val="FFFFFF" w:themeColor="background1"/>
                <w:sz w:val="20"/>
                <w:szCs w:val="20"/>
                <w:lang w:val="es-PA"/>
              </w:rPr>
              <w:t>invocados</w:t>
            </w:r>
            <w:r w:rsidRPr="00992152">
              <w:rPr>
                <w:rFonts w:ascii="Cambria" w:hAnsi="Cambria"/>
                <w:b/>
                <w:bCs/>
                <w:color w:val="FFFFFF" w:themeColor="background1"/>
                <w:sz w:val="20"/>
                <w:szCs w:val="20"/>
                <w:lang w:val="es-PA"/>
              </w:rPr>
              <w:t>:</w:t>
            </w:r>
          </w:p>
        </w:tc>
        <w:tc>
          <w:tcPr>
            <w:tcW w:w="5603" w:type="dxa"/>
            <w:vAlign w:val="center"/>
          </w:tcPr>
          <w:p w14:paraId="6DEE1EEB" w14:textId="6EF52A64" w:rsidR="00223A29" w:rsidRPr="00D3298F" w:rsidRDefault="00B95924" w:rsidP="0072699F">
            <w:pPr>
              <w:jc w:val="both"/>
              <w:rPr>
                <w:rFonts w:ascii="Cambria" w:hAnsi="Cambria"/>
                <w:bCs/>
                <w:sz w:val="20"/>
                <w:szCs w:val="20"/>
                <w:lang w:val="es-AR"/>
              </w:rPr>
            </w:pPr>
            <w:r w:rsidRPr="00D86F7F">
              <w:rPr>
                <w:rFonts w:ascii="Cambria" w:hAnsi="Cambria"/>
                <w:bCs/>
                <w:sz w:val="20"/>
                <w:szCs w:val="20"/>
                <w:lang w:val="es-AR"/>
              </w:rPr>
              <w:t>Art</w:t>
            </w:r>
            <w:r w:rsidR="00D86F7F" w:rsidRPr="00D86F7F">
              <w:rPr>
                <w:rFonts w:ascii="Cambria" w:hAnsi="Cambria"/>
                <w:bCs/>
                <w:sz w:val="20"/>
                <w:szCs w:val="20"/>
                <w:lang w:val="es-AR"/>
              </w:rPr>
              <w:t>ículos 8 (</w:t>
            </w:r>
            <w:r w:rsidR="00D3298F">
              <w:rPr>
                <w:rFonts w:ascii="Cambria" w:hAnsi="Cambria"/>
                <w:bCs/>
                <w:sz w:val="20"/>
                <w:szCs w:val="20"/>
                <w:lang w:val="es-AR"/>
              </w:rPr>
              <w:t>garantías judiciales</w:t>
            </w:r>
            <w:r w:rsidR="0072699F">
              <w:rPr>
                <w:rFonts w:ascii="Cambria" w:hAnsi="Cambria"/>
                <w:bCs/>
                <w:sz w:val="20"/>
                <w:szCs w:val="20"/>
                <w:lang w:val="es-AR"/>
              </w:rPr>
              <w:t>)</w:t>
            </w:r>
            <w:r w:rsidR="001C6E32">
              <w:rPr>
                <w:rFonts w:ascii="Cambria" w:hAnsi="Cambria"/>
                <w:bCs/>
                <w:sz w:val="20"/>
                <w:szCs w:val="20"/>
                <w:lang w:val="es-AR"/>
              </w:rPr>
              <w:t xml:space="preserve">, </w:t>
            </w:r>
            <w:r w:rsidR="00D86F7F" w:rsidRPr="00D86F7F">
              <w:rPr>
                <w:rFonts w:ascii="Cambria" w:hAnsi="Cambria"/>
                <w:bCs/>
                <w:sz w:val="20"/>
                <w:szCs w:val="20"/>
                <w:lang w:val="es-AR"/>
              </w:rPr>
              <w:t>24 (</w:t>
            </w:r>
            <w:r w:rsidR="00D3298F">
              <w:rPr>
                <w:rFonts w:ascii="Cambria" w:hAnsi="Cambria"/>
                <w:bCs/>
                <w:sz w:val="20"/>
                <w:szCs w:val="20"/>
                <w:lang w:val="es-AR"/>
              </w:rPr>
              <w:t>igualdad ante la ley</w:t>
            </w:r>
            <w:r w:rsidR="00D86F7F" w:rsidRPr="00D86F7F">
              <w:rPr>
                <w:rFonts w:ascii="Cambria" w:hAnsi="Cambria"/>
                <w:bCs/>
                <w:sz w:val="20"/>
                <w:szCs w:val="20"/>
                <w:lang w:val="es-AR"/>
              </w:rPr>
              <w:t>), de la Convención Americana Sobre Derechos Humanos</w:t>
            </w:r>
            <w:r w:rsidR="00D3298F" w:rsidRPr="008E3BFE">
              <w:rPr>
                <w:rStyle w:val="FootnoteReference"/>
                <w:rFonts w:ascii="Cambria" w:hAnsi="Cambria"/>
                <w:b/>
                <w:sz w:val="20"/>
                <w:szCs w:val="20"/>
              </w:rPr>
              <w:footnoteReference w:id="2"/>
            </w:r>
            <w:r w:rsidR="00D3298F">
              <w:rPr>
                <w:rFonts w:ascii="Cambria" w:hAnsi="Cambria"/>
                <w:bCs/>
                <w:sz w:val="20"/>
                <w:szCs w:val="20"/>
                <w:lang w:val="es-AR"/>
              </w:rPr>
              <w:t xml:space="preserve"> </w:t>
            </w:r>
            <w:r w:rsidR="00D3298F">
              <w:rPr>
                <w:rFonts w:ascii="Cambria" w:hAnsi="Cambria"/>
                <w:bCs/>
                <w:sz w:val="20"/>
                <w:szCs w:val="20"/>
                <w:lang w:val="es-US"/>
              </w:rPr>
              <w:t xml:space="preserve">en relación con los artículos 1 (obligación de respetar los derechos) y </w:t>
            </w:r>
            <w:r w:rsidR="00D3298F" w:rsidRPr="002D3EAA">
              <w:rPr>
                <w:rFonts w:ascii="Cambria" w:hAnsi="Cambria"/>
                <w:bCs/>
                <w:sz w:val="20"/>
                <w:szCs w:val="20"/>
                <w:lang w:val="es-AR"/>
              </w:rPr>
              <w:t>Artículos</w:t>
            </w:r>
            <w:r w:rsidR="00D3298F">
              <w:rPr>
                <w:rFonts w:ascii="Cambria" w:hAnsi="Cambria"/>
                <w:bCs/>
                <w:sz w:val="20"/>
                <w:szCs w:val="20"/>
                <w:lang w:val="es-AR"/>
              </w:rPr>
              <w:t xml:space="preserve"> 2 (deber de adoptar disposiciones de derecho interno)</w:t>
            </w:r>
            <w:r w:rsidR="00D86F7F" w:rsidRPr="00D86F7F">
              <w:rPr>
                <w:rFonts w:ascii="Cambria" w:hAnsi="Cambria"/>
                <w:bCs/>
                <w:sz w:val="20"/>
                <w:szCs w:val="20"/>
                <w:lang w:val="es-AR"/>
              </w:rPr>
              <w:t xml:space="preserve">; </w:t>
            </w:r>
            <w:r w:rsidR="00D86F7F">
              <w:rPr>
                <w:rFonts w:ascii="Cambria" w:hAnsi="Cambria"/>
                <w:bCs/>
                <w:sz w:val="20"/>
                <w:szCs w:val="20"/>
                <w:lang w:val="es-AR"/>
              </w:rPr>
              <w:t>XVIII (</w:t>
            </w:r>
            <w:r w:rsidR="00D3298F">
              <w:rPr>
                <w:rFonts w:ascii="Cambria" w:hAnsi="Cambria"/>
                <w:bCs/>
                <w:sz w:val="20"/>
                <w:szCs w:val="20"/>
                <w:lang w:val="es-AR"/>
              </w:rPr>
              <w:t>justicia</w:t>
            </w:r>
            <w:r w:rsidR="00D86F7F">
              <w:rPr>
                <w:rFonts w:ascii="Cambria" w:hAnsi="Cambria"/>
                <w:bCs/>
                <w:sz w:val="20"/>
                <w:szCs w:val="20"/>
                <w:lang w:val="es-AR"/>
              </w:rPr>
              <w:t>), XXVI (</w:t>
            </w:r>
            <w:r w:rsidR="00D3298F">
              <w:rPr>
                <w:rFonts w:ascii="Cambria" w:hAnsi="Cambria"/>
                <w:bCs/>
                <w:sz w:val="20"/>
                <w:szCs w:val="20"/>
                <w:lang w:val="es-AR"/>
              </w:rPr>
              <w:t>proceso regular</w:t>
            </w:r>
            <w:r w:rsidR="00D86F7F">
              <w:rPr>
                <w:rFonts w:ascii="Cambria" w:hAnsi="Cambria"/>
                <w:bCs/>
                <w:sz w:val="20"/>
                <w:szCs w:val="20"/>
                <w:lang w:val="es-AR"/>
              </w:rPr>
              <w:t>), de la Declaración Americana de Derechos y Deberes del Hombre</w:t>
            </w:r>
            <w:r w:rsidR="00D3298F" w:rsidRPr="008E3BFE">
              <w:rPr>
                <w:rStyle w:val="FootnoteReference"/>
                <w:rFonts w:ascii="Cambria" w:hAnsi="Cambria"/>
                <w:b/>
                <w:sz w:val="20"/>
                <w:szCs w:val="20"/>
              </w:rPr>
              <w:footnoteReference w:id="3"/>
            </w:r>
            <w:r w:rsidR="00D3298F">
              <w:rPr>
                <w:rFonts w:ascii="Cambria" w:hAnsi="Cambria"/>
                <w:bCs/>
                <w:sz w:val="20"/>
                <w:szCs w:val="20"/>
                <w:lang w:val="es-AR"/>
              </w:rPr>
              <w:t>; y</w:t>
            </w:r>
            <w:r w:rsidR="00D3298F">
              <w:rPr>
                <w:rFonts w:ascii="Cambria" w:hAnsi="Cambria"/>
                <w:bCs/>
                <w:sz w:val="20"/>
                <w:szCs w:val="20"/>
                <w:lang w:val="es-US"/>
              </w:rPr>
              <w:t xml:space="preserve"> otros instrumentos internacionales</w:t>
            </w:r>
            <w:r w:rsidR="00D3298F" w:rsidRPr="000D05CB">
              <w:rPr>
                <w:rStyle w:val="FootnoteReference"/>
                <w:rFonts w:ascii="Cambria" w:hAnsi="Cambria"/>
                <w:bCs/>
                <w:sz w:val="20"/>
                <w:szCs w:val="20"/>
              </w:rPr>
              <w:footnoteReference w:id="4"/>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757"/>
        <w:gridCol w:w="5603"/>
      </w:tblGrid>
      <w:tr w:rsidR="004C2312" w:rsidRPr="004A6A54" w14:paraId="306EFCB0" w14:textId="77777777" w:rsidTr="006E66E7">
        <w:tc>
          <w:tcPr>
            <w:tcW w:w="3757"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03" w:type="dxa"/>
            <w:vAlign w:val="center"/>
          </w:tcPr>
          <w:p w14:paraId="6E579153" w14:textId="7A983AFB" w:rsidR="004C2312" w:rsidRPr="003239B8" w:rsidRDefault="00E5723E" w:rsidP="002625EA">
            <w:pPr>
              <w:jc w:val="both"/>
              <w:rPr>
                <w:rFonts w:ascii="Cambria" w:hAnsi="Cambria"/>
                <w:bCs/>
                <w:sz w:val="20"/>
                <w:szCs w:val="20"/>
                <w:lang w:val="es-ES"/>
              </w:rPr>
            </w:pPr>
            <w:r>
              <w:rPr>
                <w:rFonts w:ascii="Cambria" w:hAnsi="Cambria"/>
                <w:bCs/>
                <w:sz w:val="20"/>
                <w:szCs w:val="20"/>
              </w:rPr>
              <w:t>16 de diciembre de 2010</w:t>
            </w:r>
          </w:p>
        </w:tc>
      </w:tr>
      <w:tr w:rsidR="001E49E7" w:rsidRPr="005233F3" w14:paraId="5D96B7DC" w14:textId="77777777" w:rsidTr="006E66E7">
        <w:tc>
          <w:tcPr>
            <w:tcW w:w="3757"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603" w:type="dxa"/>
            <w:vAlign w:val="center"/>
          </w:tcPr>
          <w:p w14:paraId="43BA4FDD" w14:textId="045BE742" w:rsidR="001E49E7" w:rsidRPr="0027236C" w:rsidRDefault="0027236C" w:rsidP="0027236C">
            <w:pPr>
              <w:jc w:val="both"/>
              <w:rPr>
                <w:rFonts w:ascii="Cambria" w:hAnsi="Cambria"/>
                <w:bCs/>
                <w:color w:val="FFFFFF" w:themeColor="background1"/>
                <w:sz w:val="20"/>
                <w:szCs w:val="20"/>
                <w:lang w:val="es-AR"/>
              </w:rPr>
            </w:pPr>
            <w:r w:rsidRPr="0027236C">
              <w:rPr>
                <w:rFonts w:ascii="Cambria" w:hAnsi="Cambria"/>
                <w:bCs/>
                <w:sz w:val="20"/>
                <w:szCs w:val="20"/>
                <w:lang w:val="es-AR"/>
              </w:rPr>
              <w:t>13</w:t>
            </w:r>
            <w:r>
              <w:rPr>
                <w:rFonts w:ascii="Cambria" w:hAnsi="Cambria"/>
                <w:bCs/>
                <w:sz w:val="20"/>
                <w:szCs w:val="20"/>
                <w:lang w:val="es-AR"/>
              </w:rPr>
              <w:t xml:space="preserve"> de enero de 2011</w:t>
            </w:r>
            <w:r w:rsidR="000C61B2">
              <w:rPr>
                <w:rFonts w:ascii="Cambria" w:hAnsi="Cambria"/>
                <w:bCs/>
                <w:sz w:val="20"/>
                <w:szCs w:val="20"/>
                <w:lang w:val="es-AR"/>
              </w:rPr>
              <w:t>, 7 de diciembre de 2016</w:t>
            </w:r>
          </w:p>
        </w:tc>
      </w:tr>
      <w:tr w:rsidR="004C2312" w:rsidRPr="008D35A2" w14:paraId="1BDCD5C6" w14:textId="77777777" w:rsidTr="006E66E7">
        <w:tc>
          <w:tcPr>
            <w:tcW w:w="3757"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03" w:type="dxa"/>
            <w:vAlign w:val="center"/>
          </w:tcPr>
          <w:p w14:paraId="1519DA6A" w14:textId="66AD4C69" w:rsidR="004C2312" w:rsidRPr="003239B8" w:rsidRDefault="00C81F21" w:rsidP="008D2290">
            <w:pPr>
              <w:jc w:val="both"/>
              <w:rPr>
                <w:rFonts w:ascii="Cambria" w:hAnsi="Cambria"/>
                <w:bCs/>
                <w:sz w:val="20"/>
                <w:szCs w:val="20"/>
                <w:lang w:val="es-ES"/>
              </w:rPr>
            </w:pPr>
            <w:r>
              <w:rPr>
                <w:rFonts w:ascii="Cambria" w:hAnsi="Cambria"/>
                <w:bCs/>
                <w:sz w:val="20"/>
                <w:szCs w:val="20"/>
                <w:lang w:val="es-ES"/>
              </w:rPr>
              <w:t>27 de enero de 2017</w:t>
            </w:r>
          </w:p>
        </w:tc>
      </w:tr>
      <w:tr w:rsidR="004C2312" w:rsidRPr="004A6A54" w14:paraId="6147A8D5" w14:textId="77777777" w:rsidTr="006E66E7">
        <w:tc>
          <w:tcPr>
            <w:tcW w:w="3757"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03" w:type="dxa"/>
            <w:vAlign w:val="center"/>
          </w:tcPr>
          <w:p w14:paraId="1972B99E" w14:textId="0DD6E6F6" w:rsidR="004C2312" w:rsidRPr="003239B8" w:rsidRDefault="00484422" w:rsidP="00D431C7">
            <w:pPr>
              <w:jc w:val="both"/>
              <w:rPr>
                <w:rFonts w:ascii="Cambria" w:hAnsi="Cambria"/>
                <w:bCs/>
                <w:sz w:val="20"/>
                <w:szCs w:val="20"/>
                <w:lang w:val="es-ES"/>
              </w:rPr>
            </w:pPr>
            <w:r>
              <w:rPr>
                <w:rFonts w:ascii="Cambria" w:hAnsi="Cambria"/>
                <w:bCs/>
                <w:sz w:val="20"/>
                <w:szCs w:val="20"/>
                <w:lang w:val="es-ES"/>
              </w:rPr>
              <w:t>12 de junio de 2017</w:t>
            </w:r>
          </w:p>
        </w:tc>
      </w:tr>
      <w:tr w:rsidR="004C2312" w:rsidRPr="008D35A2" w14:paraId="322668B6" w14:textId="77777777" w:rsidTr="006E66E7">
        <w:tc>
          <w:tcPr>
            <w:tcW w:w="3757"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03" w:type="dxa"/>
            <w:vAlign w:val="center"/>
          </w:tcPr>
          <w:p w14:paraId="41D8B862" w14:textId="37D6C847" w:rsidR="004C2312" w:rsidRPr="003239B8" w:rsidRDefault="000E02E2" w:rsidP="008D2290">
            <w:pPr>
              <w:jc w:val="both"/>
              <w:rPr>
                <w:rFonts w:ascii="Cambria" w:hAnsi="Cambria"/>
                <w:bCs/>
                <w:sz w:val="20"/>
                <w:szCs w:val="20"/>
                <w:lang w:val="es-ES"/>
              </w:rPr>
            </w:pPr>
            <w:r>
              <w:rPr>
                <w:rFonts w:ascii="Cambria" w:hAnsi="Cambria"/>
                <w:bCs/>
                <w:sz w:val="20"/>
                <w:szCs w:val="20"/>
                <w:lang w:val="es-ES"/>
              </w:rPr>
              <w:t>28 de septiembre de 2017</w:t>
            </w:r>
          </w:p>
        </w:tc>
      </w:tr>
      <w:tr w:rsidR="00484422" w:rsidRPr="000977FD" w14:paraId="291ACE7A" w14:textId="77777777" w:rsidTr="006E66E7">
        <w:tc>
          <w:tcPr>
            <w:tcW w:w="3757" w:type="dxa"/>
            <w:tcBorders>
              <w:top w:val="single" w:sz="6" w:space="0" w:color="auto"/>
              <w:bottom w:val="single" w:sz="6" w:space="0" w:color="auto"/>
            </w:tcBorders>
            <w:shd w:val="clear" w:color="auto" w:fill="386294"/>
            <w:vAlign w:val="center"/>
          </w:tcPr>
          <w:p w14:paraId="068BD12F" w14:textId="77777777" w:rsidR="00484422" w:rsidRPr="00706824" w:rsidRDefault="0048442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03" w:type="dxa"/>
            <w:vAlign w:val="center"/>
          </w:tcPr>
          <w:p w14:paraId="3CE49AFE" w14:textId="225C9300" w:rsidR="00484422" w:rsidRPr="00A71C5B" w:rsidRDefault="00484422" w:rsidP="00A21123">
            <w:pPr>
              <w:jc w:val="both"/>
              <w:rPr>
                <w:rFonts w:ascii="Cambria" w:hAnsi="Cambria"/>
                <w:bCs/>
                <w:sz w:val="20"/>
                <w:szCs w:val="20"/>
                <w:lang w:val="es-AR"/>
              </w:rPr>
            </w:pPr>
            <w:r>
              <w:rPr>
                <w:rFonts w:ascii="Cambria" w:hAnsi="Cambria"/>
                <w:bCs/>
                <w:sz w:val="20"/>
                <w:szCs w:val="20"/>
                <w:lang w:val="es-ES"/>
              </w:rPr>
              <w:t>8 de septiembre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757"/>
        <w:gridCol w:w="5485"/>
      </w:tblGrid>
      <w:tr w:rsidR="003239B8" w:rsidRPr="00540F17" w14:paraId="072532AD" w14:textId="77777777" w:rsidTr="006E66E7">
        <w:trPr>
          <w:cantSplit/>
        </w:trPr>
        <w:tc>
          <w:tcPr>
            <w:tcW w:w="3757"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485" w:type="dxa"/>
            <w:vAlign w:val="center"/>
          </w:tcPr>
          <w:p w14:paraId="7707F3E9" w14:textId="6B748B81" w:rsidR="003239B8" w:rsidRPr="00B3745F" w:rsidRDefault="00E5723E"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6E66E7">
        <w:trPr>
          <w:cantSplit/>
        </w:trPr>
        <w:tc>
          <w:tcPr>
            <w:tcW w:w="3757"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485" w:type="dxa"/>
            <w:vAlign w:val="center"/>
          </w:tcPr>
          <w:p w14:paraId="12C931CB" w14:textId="17ECFB2A" w:rsidR="003239B8" w:rsidRPr="00B3745F" w:rsidRDefault="00E5723E" w:rsidP="008D2290">
            <w:pPr>
              <w:rPr>
                <w:rFonts w:ascii="Cambria" w:hAnsi="Cambria"/>
                <w:bCs/>
                <w:sz w:val="20"/>
                <w:szCs w:val="20"/>
              </w:rPr>
            </w:pPr>
            <w:r>
              <w:rPr>
                <w:rFonts w:ascii="Cambria" w:hAnsi="Cambria"/>
                <w:bCs/>
                <w:sz w:val="20"/>
                <w:szCs w:val="20"/>
              </w:rPr>
              <w:t>Sí</w:t>
            </w:r>
          </w:p>
        </w:tc>
      </w:tr>
      <w:tr w:rsidR="003239B8" w:rsidRPr="00BF5C55" w14:paraId="4362FDF3" w14:textId="77777777" w:rsidTr="006E66E7">
        <w:trPr>
          <w:cantSplit/>
        </w:trPr>
        <w:tc>
          <w:tcPr>
            <w:tcW w:w="3757"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485" w:type="dxa"/>
            <w:vAlign w:val="center"/>
          </w:tcPr>
          <w:p w14:paraId="6F8B059B" w14:textId="62E1DE74" w:rsidR="003239B8" w:rsidRPr="00BF5C55" w:rsidRDefault="00E5723E" w:rsidP="00BF5C55">
            <w:pPr>
              <w:jc w:val="both"/>
              <w:rPr>
                <w:rFonts w:ascii="Cambria" w:hAnsi="Cambria"/>
                <w:bCs/>
                <w:sz w:val="20"/>
                <w:szCs w:val="20"/>
                <w:lang w:val="es-US"/>
              </w:rPr>
            </w:pPr>
            <w:r w:rsidRPr="00BF5C55">
              <w:rPr>
                <w:rFonts w:ascii="Cambria" w:hAnsi="Cambria"/>
                <w:bCs/>
                <w:sz w:val="20"/>
                <w:szCs w:val="20"/>
                <w:lang w:val="es-US"/>
              </w:rPr>
              <w:t>Sí</w:t>
            </w:r>
            <w:r w:rsidR="00BF5C55" w:rsidRPr="00BF5C55">
              <w:rPr>
                <w:rFonts w:ascii="Cambria" w:hAnsi="Cambria"/>
                <w:bCs/>
                <w:sz w:val="20"/>
                <w:szCs w:val="20"/>
                <w:lang w:val="es-US"/>
              </w:rPr>
              <w:t xml:space="preserve"> </w:t>
            </w:r>
          </w:p>
        </w:tc>
      </w:tr>
      <w:tr w:rsidR="003239B8" w:rsidRPr="005233F3" w14:paraId="30ABEC3E" w14:textId="77777777" w:rsidTr="006E66E7">
        <w:trPr>
          <w:cantSplit/>
        </w:trPr>
        <w:tc>
          <w:tcPr>
            <w:tcW w:w="3757"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485" w:type="dxa"/>
            <w:vAlign w:val="center"/>
          </w:tcPr>
          <w:p w14:paraId="0C122F44" w14:textId="7575D459" w:rsidR="003239B8" w:rsidRPr="00B3745F" w:rsidRDefault="00E5723E" w:rsidP="008D2290">
            <w:pPr>
              <w:jc w:val="both"/>
              <w:rPr>
                <w:rFonts w:ascii="Cambria" w:hAnsi="Cambria"/>
                <w:bCs/>
                <w:sz w:val="20"/>
                <w:szCs w:val="20"/>
                <w:lang w:val="es-ES"/>
              </w:rPr>
            </w:pPr>
            <w:r>
              <w:rPr>
                <w:rFonts w:ascii="Cambria" w:hAnsi="Cambria"/>
                <w:bCs/>
                <w:sz w:val="20"/>
                <w:szCs w:val="20"/>
                <w:lang w:val="es-ES"/>
              </w:rPr>
              <w:t>Sí</w:t>
            </w:r>
            <w:r w:rsidR="00615FD8">
              <w:rPr>
                <w:rFonts w:ascii="Cambria" w:hAnsi="Cambria"/>
                <w:bCs/>
                <w:sz w:val="20"/>
                <w:szCs w:val="20"/>
                <w:lang w:val="es-ES"/>
              </w:rPr>
              <w:t xml:space="preserve">, </w:t>
            </w:r>
            <w:r w:rsidR="00615FD8" w:rsidRPr="00BF5C55">
              <w:rPr>
                <w:rFonts w:ascii="Cambria" w:hAnsi="Cambria"/>
                <w:bCs/>
                <w:sz w:val="20"/>
                <w:szCs w:val="20"/>
                <w:lang w:val="es-US"/>
              </w:rPr>
              <w:t>(Convención Americana sobre Derechos Humanos, depósito del in</w:t>
            </w:r>
            <w:r w:rsidR="00615FD8">
              <w:rPr>
                <w:rFonts w:ascii="Cambria" w:hAnsi="Cambria"/>
                <w:bCs/>
                <w:sz w:val="20"/>
                <w:szCs w:val="20"/>
                <w:lang w:val="es-US"/>
              </w:rPr>
              <w:t>strumento de ratificación realizado el 5 de septiembre de 1984</w:t>
            </w:r>
            <w:r w:rsidR="00615FD8" w:rsidRPr="00BF5C55">
              <w:rPr>
                <w:rFonts w:ascii="Cambria" w:hAnsi="Cambria"/>
                <w:bCs/>
                <w:sz w:val="20"/>
                <w:szCs w:val="20"/>
                <w:lang w:val="es-US"/>
              </w:rPr>
              <w:t>)</w:t>
            </w:r>
            <w:r w:rsidR="00BF5C55">
              <w:rPr>
                <w:rFonts w:ascii="Cambria" w:hAnsi="Cambria"/>
                <w:bCs/>
                <w:sz w:val="20"/>
                <w:szCs w:val="20"/>
                <w:lang w:val="es-ES"/>
              </w:rPr>
              <w:t xml:space="preserve"> </w:t>
            </w:r>
          </w:p>
        </w:tc>
      </w:tr>
    </w:tbl>
    <w:p w14:paraId="4E92C444" w14:textId="7EED72CA"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6E66E7" w:rsidRPr="003239B8">
        <w:rPr>
          <w:rFonts w:asciiTheme="majorHAnsi" w:hAnsiTheme="majorHAnsi"/>
          <w:b/>
          <w:bCs/>
          <w:sz w:val="20"/>
          <w:szCs w:val="20"/>
          <w:lang w:val="es-ES"/>
        </w:rPr>
        <w:t>INTERNACIONAL</w:t>
      </w:r>
      <w:r w:rsidR="006E66E7">
        <w:rPr>
          <w:rFonts w:asciiTheme="majorHAnsi" w:hAnsiTheme="majorHAnsi"/>
          <w:b/>
          <w:bCs/>
          <w:sz w:val="20"/>
          <w:szCs w:val="20"/>
          <w:lang w:val="es-ES"/>
        </w:rPr>
        <w:t xml:space="preserve">, </w:t>
      </w:r>
      <w:r w:rsidR="006E66E7"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757"/>
        <w:gridCol w:w="5485"/>
      </w:tblGrid>
      <w:tr w:rsidR="00EE00E9" w:rsidRPr="00756956" w14:paraId="1231C988" w14:textId="77777777" w:rsidTr="006E66E7">
        <w:trPr>
          <w:cantSplit/>
        </w:trPr>
        <w:tc>
          <w:tcPr>
            <w:tcW w:w="3757"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485" w:type="dxa"/>
            <w:vAlign w:val="center"/>
          </w:tcPr>
          <w:p w14:paraId="240941E6" w14:textId="4C4E9E2D" w:rsidR="00EE00E9" w:rsidRPr="00DC24E3" w:rsidRDefault="00E15F5A" w:rsidP="008D2290">
            <w:pPr>
              <w:jc w:val="both"/>
              <w:rPr>
                <w:rFonts w:ascii="Cambria" w:hAnsi="Cambria"/>
                <w:bCs/>
                <w:sz w:val="20"/>
                <w:szCs w:val="20"/>
                <w:lang w:val="es-ES"/>
              </w:rPr>
            </w:pPr>
            <w:r>
              <w:rPr>
                <w:rFonts w:ascii="Cambria" w:hAnsi="Cambria"/>
                <w:bCs/>
                <w:sz w:val="20"/>
                <w:szCs w:val="20"/>
                <w:lang w:val="es-ES"/>
              </w:rPr>
              <w:t>No</w:t>
            </w:r>
          </w:p>
        </w:tc>
      </w:tr>
      <w:tr w:rsidR="003239B8" w:rsidRPr="00992152" w14:paraId="15FAA7D1" w14:textId="77777777" w:rsidTr="006E66E7">
        <w:trPr>
          <w:cantSplit/>
        </w:trPr>
        <w:tc>
          <w:tcPr>
            <w:tcW w:w="3757"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485" w:type="dxa"/>
            <w:vAlign w:val="center"/>
          </w:tcPr>
          <w:p w14:paraId="6310C8F7" w14:textId="0E7550F3" w:rsidR="003239B8" w:rsidRPr="00D21D9A" w:rsidRDefault="008A40F1" w:rsidP="008D2290">
            <w:pPr>
              <w:jc w:val="both"/>
              <w:rPr>
                <w:rFonts w:ascii="Cambria" w:hAnsi="Cambria"/>
                <w:bCs/>
                <w:sz w:val="20"/>
                <w:szCs w:val="20"/>
                <w:lang w:val="es-AR"/>
              </w:rPr>
            </w:pPr>
            <w:r>
              <w:rPr>
                <w:rFonts w:asciiTheme="majorHAnsi" w:hAnsiTheme="majorHAnsi"/>
                <w:sz w:val="19"/>
                <w:szCs w:val="19"/>
                <w:lang w:val="es-ES"/>
              </w:rPr>
              <w:t>Ninguno</w:t>
            </w:r>
          </w:p>
        </w:tc>
      </w:tr>
      <w:tr w:rsidR="003239B8" w:rsidRPr="00756956" w14:paraId="4EFD141E" w14:textId="77777777" w:rsidTr="006E66E7">
        <w:trPr>
          <w:cantSplit/>
        </w:trPr>
        <w:tc>
          <w:tcPr>
            <w:tcW w:w="3757"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485" w:type="dxa"/>
            <w:vAlign w:val="center"/>
          </w:tcPr>
          <w:p w14:paraId="69C53E8A" w14:textId="6367F331" w:rsidR="003239B8" w:rsidRPr="00DC24E3" w:rsidRDefault="00074FE8" w:rsidP="008D2290">
            <w:pPr>
              <w:rPr>
                <w:rFonts w:ascii="Cambria" w:hAnsi="Cambria"/>
                <w:bCs/>
                <w:sz w:val="20"/>
                <w:szCs w:val="20"/>
                <w:lang w:val="es-ES"/>
              </w:rPr>
            </w:pPr>
            <w:r>
              <w:rPr>
                <w:rFonts w:ascii="Cambria" w:hAnsi="Cambria"/>
                <w:bCs/>
                <w:sz w:val="20"/>
                <w:szCs w:val="20"/>
                <w:lang w:val="es-ES"/>
              </w:rPr>
              <w:t>Sí, 16 de junio de 2010</w:t>
            </w:r>
          </w:p>
        </w:tc>
      </w:tr>
      <w:tr w:rsidR="003239B8" w:rsidRPr="00B2155F" w14:paraId="52B5BA17" w14:textId="77777777" w:rsidTr="006E66E7">
        <w:trPr>
          <w:cantSplit/>
        </w:trPr>
        <w:tc>
          <w:tcPr>
            <w:tcW w:w="3757"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485" w:type="dxa"/>
            <w:vAlign w:val="center"/>
          </w:tcPr>
          <w:p w14:paraId="4A2A4569" w14:textId="49BE5404" w:rsidR="003239B8" w:rsidRPr="00DC24E3" w:rsidRDefault="00074FE8" w:rsidP="008D2290">
            <w:pPr>
              <w:rPr>
                <w:rFonts w:ascii="Cambria" w:hAnsi="Cambria"/>
                <w:bCs/>
                <w:sz w:val="20"/>
                <w:szCs w:val="20"/>
              </w:rPr>
            </w:pPr>
            <w:r>
              <w:rPr>
                <w:rFonts w:ascii="Cambria" w:hAnsi="Cambria"/>
                <w:bCs/>
                <w:sz w:val="20"/>
                <w:szCs w:val="20"/>
              </w:rPr>
              <w:t>Sí</w:t>
            </w:r>
          </w:p>
        </w:tc>
      </w:tr>
    </w:tbl>
    <w:p w14:paraId="71D3FBE0" w14:textId="77777777" w:rsidR="00E83937" w:rsidRDefault="00E83937" w:rsidP="00E83937">
      <w:pPr>
        <w:ind w:firstLine="720"/>
        <w:jc w:val="both"/>
        <w:rPr>
          <w:rFonts w:asciiTheme="majorHAnsi" w:hAnsiTheme="majorHAnsi"/>
          <w:b/>
          <w:sz w:val="20"/>
          <w:szCs w:val="20"/>
          <w:lang w:val="es-UY"/>
        </w:rPr>
      </w:pPr>
    </w:p>
    <w:p w14:paraId="77F17D43" w14:textId="77777777" w:rsidR="00E83937" w:rsidRDefault="00E83937" w:rsidP="00E83937">
      <w:pPr>
        <w:ind w:firstLine="720"/>
        <w:jc w:val="both"/>
        <w:rPr>
          <w:rFonts w:asciiTheme="majorHAnsi" w:hAnsiTheme="majorHAnsi"/>
          <w:b/>
          <w:sz w:val="20"/>
          <w:szCs w:val="20"/>
          <w:lang w:val="es-UY"/>
        </w:rPr>
      </w:pPr>
    </w:p>
    <w:p w14:paraId="16E06D3F" w14:textId="77777777" w:rsidR="00E83937" w:rsidRDefault="00E83937" w:rsidP="00E83937">
      <w:pPr>
        <w:ind w:firstLine="720"/>
        <w:jc w:val="both"/>
        <w:rPr>
          <w:rFonts w:asciiTheme="majorHAnsi" w:hAnsiTheme="majorHAnsi"/>
          <w:b/>
          <w:sz w:val="20"/>
          <w:szCs w:val="20"/>
          <w:lang w:val="es-UY"/>
        </w:rPr>
      </w:pPr>
    </w:p>
    <w:p w14:paraId="36267F35" w14:textId="77777777" w:rsidR="00E83937" w:rsidRDefault="00E83937" w:rsidP="00E83937">
      <w:pPr>
        <w:ind w:firstLine="720"/>
        <w:jc w:val="both"/>
        <w:rPr>
          <w:rFonts w:asciiTheme="majorHAnsi" w:hAnsiTheme="majorHAnsi"/>
          <w:b/>
          <w:sz w:val="20"/>
          <w:szCs w:val="20"/>
          <w:lang w:val="es-UY"/>
        </w:rPr>
      </w:pPr>
    </w:p>
    <w:p w14:paraId="36AED80F" w14:textId="77777777" w:rsidR="00E83937" w:rsidRDefault="00E83937" w:rsidP="00E83937">
      <w:pPr>
        <w:ind w:firstLine="720"/>
        <w:jc w:val="both"/>
        <w:rPr>
          <w:rFonts w:asciiTheme="majorHAnsi" w:hAnsiTheme="majorHAnsi"/>
          <w:b/>
          <w:sz w:val="20"/>
          <w:szCs w:val="20"/>
          <w:lang w:val="es-UY"/>
        </w:rPr>
      </w:pPr>
    </w:p>
    <w:p w14:paraId="58042CD5" w14:textId="77777777" w:rsidR="00E83937" w:rsidRDefault="00E83937" w:rsidP="00E83937">
      <w:pPr>
        <w:ind w:firstLine="720"/>
        <w:jc w:val="both"/>
        <w:rPr>
          <w:rFonts w:asciiTheme="majorHAnsi" w:hAnsiTheme="majorHAnsi"/>
          <w:b/>
          <w:sz w:val="20"/>
          <w:szCs w:val="20"/>
          <w:lang w:val="es-UY"/>
        </w:rPr>
      </w:pPr>
    </w:p>
    <w:p w14:paraId="18E6423B" w14:textId="6CA383CC" w:rsidR="003239B8" w:rsidRPr="002D2907" w:rsidRDefault="00223A29" w:rsidP="00E83937">
      <w:pPr>
        <w:ind w:firstLine="720"/>
        <w:jc w:val="both"/>
        <w:rPr>
          <w:rFonts w:asciiTheme="majorHAnsi" w:hAnsiTheme="majorHAnsi"/>
          <w:b/>
          <w:sz w:val="20"/>
          <w:szCs w:val="20"/>
          <w:lang w:val="es-ES_tradnl"/>
        </w:rPr>
      </w:pPr>
      <w:r w:rsidRPr="002D2907">
        <w:rPr>
          <w:rFonts w:asciiTheme="majorHAnsi" w:hAnsiTheme="majorHAnsi"/>
          <w:b/>
          <w:sz w:val="20"/>
          <w:szCs w:val="20"/>
          <w:lang w:val="es-ES_tradnl"/>
        </w:rPr>
        <w:lastRenderedPageBreak/>
        <w:t xml:space="preserve">V. </w:t>
      </w:r>
      <w:r w:rsidRPr="002D2907">
        <w:rPr>
          <w:rFonts w:asciiTheme="majorHAnsi" w:hAnsiTheme="majorHAnsi"/>
          <w:b/>
          <w:sz w:val="20"/>
          <w:szCs w:val="20"/>
          <w:lang w:val="es-ES_tradnl"/>
        </w:rPr>
        <w:tab/>
      </w:r>
      <w:r w:rsidR="003239B8" w:rsidRPr="002D2907">
        <w:rPr>
          <w:rFonts w:asciiTheme="majorHAnsi" w:hAnsiTheme="majorHAnsi"/>
          <w:b/>
          <w:sz w:val="20"/>
          <w:szCs w:val="20"/>
          <w:lang w:val="es-ES_tradnl"/>
        </w:rPr>
        <w:t xml:space="preserve">HECHOS ALEGADOS </w:t>
      </w:r>
    </w:p>
    <w:p w14:paraId="06F15AEF" w14:textId="77777777" w:rsidR="00E83937" w:rsidRPr="002D2907" w:rsidRDefault="00E83937" w:rsidP="00E83937">
      <w:pPr>
        <w:ind w:firstLine="720"/>
        <w:jc w:val="both"/>
        <w:rPr>
          <w:rFonts w:asciiTheme="majorHAnsi" w:hAnsiTheme="majorHAnsi"/>
          <w:b/>
          <w:sz w:val="20"/>
          <w:szCs w:val="20"/>
          <w:lang w:val="es-ES_tradnl"/>
        </w:rPr>
      </w:pPr>
    </w:p>
    <w:p w14:paraId="5194CE4D" w14:textId="27751E17" w:rsidR="00A36A3E" w:rsidRPr="002D2907" w:rsidRDefault="00013192"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E</w:t>
      </w:r>
      <w:r w:rsidR="00992152" w:rsidRPr="002D2907">
        <w:rPr>
          <w:rFonts w:asciiTheme="majorHAnsi" w:hAnsiTheme="majorHAnsi"/>
          <w:sz w:val="20"/>
          <w:szCs w:val="20"/>
          <w:lang w:val="es-ES_tradnl"/>
        </w:rPr>
        <w:t xml:space="preserve">l </w:t>
      </w:r>
      <w:r w:rsidR="00F275E4" w:rsidRPr="002D2907">
        <w:rPr>
          <w:rFonts w:asciiTheme="majorHAnsi" w:hAnsiTheme="majorHAnsi"/>
          <w:sz w:val="20"/>
          <w:szCs w:val="20"/>
          <w:lang w:val="es-ES_tradnl"/>
        </w:rPr>
        <w:t xml:space="preserve">Sr. </w:t>
      </w:r>
      <w:r w:rsidR="00992152" w:rsidRPr="002D2907">
        <w:rPr>
          <w:rFonts w:asciiTheme="majorHAnsi" w:hAnsiTheme="majorHAnsi"/>
          <w:sz w:val="20"/>
          <w:szCs w:val="20"/>
          <w:lang w:val="es-ES_tradnl"/>
        </w:rPr>
        <w:t>Rubén Omar Rivero</w:t>
      </w:r>
      <w:r w:rsidR="00627402">
        <w:rPr>
          <w:rFonts w:asciiTheme="majorHAnsi" w:hAnsiTheme="majorHAnsi"/>
          <w:sz w:val="20"/>
          <w:szCs w:val="20"/>
          <w:lang w:val="es-ES_tradnl"/>
        </w:rPr>
        <w:t xml:space="preserve"> denuncia violaciones a sus derechos humanos</w:t>
      </w:r>
      <w:r w:rsidR="00992152" w:rsidRPr="002D2907">
        <w:rPr>
          <w:rFonts w:asciiTheme="majorHAnsi" w:hAnsiTheme="majorHAnsi"/>
          <w:sz w:val="20"/>
          <w:szCs w:val="20"/>
          <w:lang w:val="es-ES_tradnl"/>
        </w:rPr>
        <w:t xml:space="preserve"> alegando que </w:t>
      </w:r>
      <w:r w:rsidR="00A36A3E" w:rsidRPr="002D2907">
        <w:rPr>
          <w:rFonts w:asciiTheme="majorHAnsi" w:hAnsiTheme="majorHAnsi"/>
          <w:sz w:val="20"/>
          <w:szCs w:val="20"/>
          <w:lang w:val="es-ES_tradnl"/>
        </w:rPr>
        <w:t xml:space="preserve">fue destituido de su cargo como vocal del Tribunal de Cuentas de la Pampa, mediante un proceso de instancia única que no </w:t>
      </w:r>
      <w:r w:rsidR="00F275E4" w:rsidRPr="002D2907">
        <w:rPr>
          <w:rFonts w:asciiTheme="majorHAnsi" w:hAnsiTheme="majorHAnsi"/>
          <w:sz w:val="20"/>
          <w:szCs w:val="20"/>
          <w:lang w:val="es-ES_tradnl"/>
        </w:rPr>
        <w:t>habría cumplido</w:t>
      </w:r>
      <w:r w:rsidR="00A36A3E" w:rsidRPr="002D2907">
        <w:rPr>
          <w:rFonts w:asciiTheme="majorHAnsi" w:hAnsiTheme="majorHAnsi"/>
          <w:sz w:val="20"/>
          <w:szCs w:val="20"/>
          <w:lang w:val="es-ES_tradnl"/>
        </w:rPr>
        <w:t xml:space="preserve"> con las garantías exigidas por las Convención Americana</w:t>
      </w:r>
      <w:r w:rsidR="00C500B1" w:rsidRPr="002D2907">
        <w:rPr>
          <w:rFonts w:asciiTheme="majorHAnsi" w:hAnsiTheme="majorHAnsi"/>
          <w:sz w:val="20"/>
          <w:szCs w:val="20"/>
          <w:lang w:val="es-ES_tradnl"/>
        </w:rPr>
        <w:t>.</w:t>
      </w:r>
    </w:p>
    <w:p w14:paraId="253C3D4A" w14:textId="77777777" w:rsidR="00E83937" w:rsidRPr="002D2907" w:rsidRDefault="00E83937" w:rsidP="00E8393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A579F5B" w14:textId="475F65E0" w:rsidR="0030449B" w:rsidRPr="002D2907" w:rsidRDefault="00992152"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El peticionario indica que la presunta víctima desempeñó</w:t>
      </w:r>
      <w:r w:rsidR="00A36A3E" w:rsidRPr="002D2907">
        <w:rPr>
          <w:rFonts w:asciiTheme="majorHAnsi" w:hAnsiTheme="majorHAnsi"/>
          <w:sz w:val="20"/>
          <w:szCs w:val="20"/>
          <w:lang w:val="es-ES_tradnl"/>
        </w:rPr>
        <w:t xml:space="preserve"> el cargo de Vocal del Tribunal de Cuentas de la Pampa (en adelante “TdeC”), desde 1983 hasta el 1 de marzo de 2009. </w:t>
      </w:r>
      <w:r w:rsidR="009B4877" w:rsidRPr="002D2907">
        <w:rPr>
          <w:rFonts w:asciiTheme="majorHAnsi" w:hAnsiTheme="majorHAnsi"/>
          <w:sz w:val="20"/>
          <w:szCs w:val="20"/>
          <w:lang w:val="es-ES_tradnl"/>
        </w:rPr>
        <w:t>E</w:t>
      </w:r>
      <w:r w:rsidR="00A36A3E" w:rsidRPr="002D2907">
        <w:rPr>
          <w:rFonts w:asciiTheme="majorHAnsi" w:hAnsiTheme="majorHAnsi"/>
          <w:sz w:val="20"/>
          <w:szCs w:val="20"/>
          <w:lang w:val="es-ES_tradnl"/>
        </w:rPr>
        <w:t>l 29 de septiembre de 2008 se le inició</w:t>
      </w:r>
      <w:r w:rsidRPr="002D2907">
        <w:rPr>
          <w:rFonts w:asciiTheme="majorHAnsi" w:hAnsiTheme="majorHAnsi"/>
          <w:sz w:val="20"/>
          <w:szCs w:val="20"/>
          <w:lang w:val="es-ES_tradnl"/>
        </w:rPr>
        <w:t xml:space="preserve"> </w:t>
      </w:r>
      <w:r w:rsidR="00A36A3E" w:rsidRPr="002D2907">
        <w:rPr>
          <w:rFonts w:asciiTheme="majorHAnsi" w:hAnsiTheme="majorHAnsi"/>
          <w:sz w:val="20"/>
          <w:szCs w:val="20"/>
          <w:lang w:val="es-ES_tradnl"/>
        </w:rPr>
        <w:t>un proceso de juicio político a través de jurado de enjuiciamiento</w:t>
      </w:r>
      <w:r w:rsidR="00A36A3E" w:rsidRPr="002D2907">
        <w:rPr>
          <w:rStyle w:val="FootnoteReference"/>
          <w:rFonts w:asciiTheme="majorHAnsi" w:hAnsiTheme="majorHAnsi"/>
          <w:sz w:val="20"/>
          <w:szCs w:val="20"/>
          <w:lang w:val="es-ES_tradnl"/>
        </w:rPr>
        <w:footnoteReference w:id="6"/>
      </w:r>
      <w:r w:rsidR="00A36A3E" w:rsidRPr="002D2907">
        <w:rPr>
          <w:rFonts w:asciiTheme="majorHAnsi" w:hAnsiTheme="majorHAnsi"/>
          <w:sz w:val="20"/>
          <w:szCs w:val="20"/>
          <w:lang w:val="es-ES_tradnl"/>
        </w:rPr>
        <w:t xml:space="preserve"> por la presunta comisión del delito de incumplimiento de los deberes del funcionario público.</w:t>
      </w:r>
      <w:r w:rsidRPr="002D2907">
        <w:rPr>
          <w:rFonts w:asciiTheme="majorHAnsi" w:hAnsiTheme="majorHAnsi"/>
          <w:sz w:val="20"/>
          <w:szCs w:val="20"/>
          <w:lang w:val="es-ES_tradnl"/>
        </w:rPr>
        <w:t xml:space="preserve"> </w:t>
      </w:r>
      <w:r w:rsidR="0030449B" w:rsidRPr="002D2907">
        <w:rPr>
          <w:rFonts w:asciiTheme="majorHAnsi" w:hAnsiTheme="majorHAnsi"/>
          <w:sz w:val="20"/>
          <w:szCs w:val="20"/>
          <w:lang w:val="es-ES_tradnl"/>
        </w:rPr>
        <w:t>El proceso tuvo su origen en la denuncia presentada por una fiscal relacionada con la falta de fiscalización y control de la cuenta de la tesorería del Instituto Provincial Autárquico de la Vivienda en el Banco de La Pampa</w:t>
      </w:r>
    </w:p>
    <w:p w14:paraId="2E891BA2" w14:textId="77777777" w:rsidR="0030449B" w:rsidRPr="002D2907" w:rsidRDefault="0030449B" w:rsidP="0030449B">
      <w:pPr>
        <w:pStyle w:val="ListParagraph"/>
        <w:rPr>
          <w:rFonts w:asciiTheme="majorHAnsi" w:hAnsiTheme="majorHAnsi"/>
          <w:sz w:val="20"/>
          <w:szCs w:val="20"/>
          <w:lang w:val="es-ES_tradnl"/>
        </w:rPr>
      </w:pPr>
    </w:p>
    <w:p w14:paraId="54BB4919" w14:textId="09AFB40B" w:rsidR="00A36A3E" w:rsidRPr="002D2907" w:rsidRDefault="00A36A3E"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 xml:space="preserve">Alega que en el transcurso del proceso se suscitaron irregularidades. </w:t>
      </w:r>
      <w:r w:rsidR="000C65A4" w:rsidRPr="002D2907">
        <w:rPr>
          <w:rFonts w:asciiTheme="majorHAnsi" w:hAnsiTheme="majorHAnsi"/>
          <w:sz w:val="20"/>
          <w:szCs w:val="20"/>
          <w:lang w:val="es-ES_tradnl"/>
        </w:rPr>
        <w:t>P</w:t>
      </w:r>
      <w:r w:rsidRPr="002D2907">
        <w:rPr>
          <w:rFonts w:asciiTheme="majorHAnsi" w:hAnsiTheme="majorHAnsi"/>
          <w:sz w:val="20"/>
          <w:szCs w:val="20"/>
          <w:lang w:val="es-ES_tradnl"/>
        </w:rPr>
        <w:t>or ejemplo, que al fallecer uno de los abo</w:t>
      </w:r>
      <w:r w:rsidR="00992152" w:rsidRPr="002D2907">
        <w:rPr>
          <w:rFonts w:asciiTheme="majorHAnsi" w:hAnsiTheme="majorHAnsi"/>
          <w:sz w:val="20"/>
          <w:szCs w:val="20"/>
          <w:lang w:val="es-ES_tradnl"/>
        </w:rPr>
        <w:t>gados que conformaba el jurado se designó a un</w:t>
      </w:r>
      <w:r w:rsidRPr="002D2907">
        <w:rPr>
          <w:rFonts w:asciiTheme="majorHAnsi" w:hAnsiTheme="majorHAnsi"/>
          <w:sz w:val="20"/>
          <w:szCs w:val="20"/>
          <w:lang w:val="es-ES_tradnl"/>
        </w:rPr>
        <w:t xml:space="preserve"> suplente para reemplazarlo, sin que se realizara el sorteo de ley</w:t>
      </w:r>
      <w:r w:rsidR="00992152" w:rsidRPr="002D2907">
        <w:rPr>
          <w:rFonts w:asciiTheme="majorHAnsi" w:hAnsiTheme="majorHAnsi"/>
          <w:sz w:val="20"/>
          <w:szCs w:val="20"/>
          <w:lang w:val="es-ES_tradnl"/>
        </w:rPr>
        <w:t xml:space="preserve"> y pese a que ese suplente ya había</w:t>
      </w:r>
      <w:r w:rsidRPr="002D2907">
        <w:rPr>
          <w:rFonts w:asciiTheme="majorHAnsi" w:hAnsiTheme="majorHAnsi"/>
          <w:sz w:val="20"/>
          <w:szCs w:val="20"/>
          <w:lang w:val="es-ES_tradnl"/>
        </w:rPr>
        <w:t xml:space="preserve"> emitido previamente</w:t>
      </w:r>
      <w:r w:rsidR="00992152" w:rsidRPr="002D2907">
        <w:rPr>
          <w:rFonts w:asciiTheme="majorHAnsi" w:hAnsiTheme="majorHAnsi"/>
          <w:sz w:val="20"/>
          <w:szCs w:val="20"/>
          <w:lang w:val="es-ES_tradnl"/>
        </w:rPr>
        <w:t xml:space="preserve"> un</w:t>
      </w:r>
      <w:r w:rsidRPr="002D2907">
        <w:rPr>
          <w:rFonts w:asciiTheme="majorHAnsi" w:hAnsiTheme="majorHAnsi"/>
          <w:sz w:val="20"/>
          <w:szCs w:val="20"/>
          <w:lang w:val="es-ES_tradnl"/>
        </w:rPr>
        <w:t xml:space="preserve"> voto de minoría en un jurado de enjuiciamiento contra autoridades del Tribunal de Cuenta. Indica qu</w:t>
      </w:r>
      <w:r w:rsidR="00F46B9D" w:rsidRPr="002D2907">
        <w:rPr>
          <w:rFonts w:asciiTheme="majorHAnsi" w:hAnsiTheme="majorHAnsi"/>
          <w:sz w:val="20"/>
          <w:szCs w:val="20"/>
          <w:lang w:val="es-ES_tradnl"/>
        </w:rPr>
        <w:t>e s</w:t>
      </w:r>
      <w:r w:rsidRPr="002D2907">
        <w:rPr>
          <w:rFonts w:asciiTheme="majorHAnsi" w:hAnsiTheme="majorHAnsi"/>
          <w:sz w:val="20"/>
          <w:szCs w:val="20"/>
          <w:lang w:val="es-ES_tradnl"/>
        </w:rPr>
        <w:t xml:space="preserve">e impugnó esta incorporación pero su recuso fue declinado el 16 de diciembre de 2008, por haber sido presentado </w:t>
      </w:r>
      <w:r w:rsidR="00B24AD8" w:rsidRPr="002D2907">
        <w:rPr>
          <w:rFonts w:asciiTheme="majorHAnsi" w:hAnsiTheme="majorHAnsi"/>
          <w:sz w:val="20"/>
          <w:szCs w:val="20"/>
          <w:lang w:val="es-ES_tradnl"/>
        </w:rPr>
        <w:t>50</w:t>
      </w:r>
      <w:r w:rsidRPr="002D2907">
        <w:rPr>
          <w:rFonts w:asciiTheme="majorHAnsi" w:hAnsiTheme="majorHAnsi"/>
          <w:sz w:val="20"/>
          <w:szCs w:val="20"/>
          <w:lang w:val="es-ES_tradnl"/>
        </w:rPr>
        <w:t xml:space="preserve"> minutos extemporáneo, pese a que el jurado posteriormente resolvió que los plazos se encontraban suspendidos durante esa fecha.</w:t>
      </w:r>
    </w:p>
    <w:p w14:paraId="54D21E2F" w14:textId="77777777" w:rsidR="000C65A4" w:rsidRPr="002D2907" w:rsidRDefault="000C65A4" w:rsidP="000C65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FF017DA" w14:textId="79BD6772" w:rsidR="00A36A3E" w:rsidRPr="002D2907" w:rsidRDefault="00A36A3E"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 xml:space="preserve">Manifiesta que durante el juicio </w:t>
      </w:r>
      <w:r w:rsidR="00F46B9D" w:rsidRPr="002D2907">
        <w:rPr>
          <w:rFonts w:asciiTheme="majorHAnsi" w:hAnsiTheme="majorHAnsi"/>
          <w:sz w:val="20"/>
          <w:szCs w:val="20"/>
          <w:lang w:val="es-ES_tradnl"/>
        </w:rPr>
        <w:t xml:space="preserve">se </w:t>
      </w:r>
      <w:r w:rsidRPr="002D2907">
        <w:rPr>
          <w:rFonts w:asciiTheme="majorHAnsi" w:hAnsiTheme="majorHAnsi"/>
          <w:sz w:val="20"/>
          <w:szCs w:val="20"/>
          <w:lang w:val="es-ES_tradnl"/>
        </w:rPr>
        <w:t>solicitó la declaratoria de inconstitucionalidad del artículo 46 de la ley provincial 313</w:t>
      </w:r>
      <w:r w:rsidRPr="002D2907">
        <w:rPr>
          <w:rStyle w:val="FootnoteReference"/>
          <w:rFonts w:asciiTheme="majorHAnsi" w:hAnsiTheme="majorHAnsi"/>
          <w:sz w:val="20"/>
          <w:szCs w:val="20"/>
          <w:lang w:val="es-ES_tradnl"/>
        </w:rPr>
        <w:footnoteReference w:id="7"/>
      </w:r>
      <w:r w:rsidRPr="002D2907">
        <w:rPr>
          <w:rFonts w:asciiTheme="majorHAnsi" w:hAnsiTheme="majorHAnsi"/>
          <w:sz w:val="20"/>
          <w:szCs w:val="20"/>
          <w:lang w:val="es-ES_tradnl"/>
        </w:rPr>
        <w:t xml:space="preserve"> aduciendo que éste violaba el derecho a la doble instancia, solicitud que el jurado denegó en la sentencia al considerar que carecía de facultades jurisdiccionales para atenderlas. As</w:t>
      </w:r>
      <w:r w:rsidR="00B24AD8" w:rsidRPr="002D2907">
        <w:rPr>
          <w:rFonts w:asciiTheme="majorHAnsi" w:hAnsiTheme="majorHAnsi"/>
          <w:sz w:val="20"/>
          <w:szCs w:val="20"/>
          <w:lang w:val="es-ES_tradnl"/>
        </w:rPr>
        <w:t>i</w:t>
      </w:r>
      <w:r w:rsidRPr="002D2907">
        <w:rPr>
          <w:rFonts w:asciiTheme="majorHAnsi" w:hAnsiTheme="majorHAnsi"/>
          <w:sz w:val="20"/>
          <w:szCs w:val="20"/>
          <w:lang w:val="es-ES_tradnl"/>
        </w:rPr>
        <w:t>mismo, señala que el 23 de febrero de 2009 solicitó la declaratoria de caducidad del p</w:t>
      </w:r>
      <w:r w:rsidR="00F46B9D" w:rsidRPr="002D2907">
        <w:rPr>
          <w:rFonts w:asciiTheme="majorHAnsi" w:hAnsiTheme="majorHAnsi"/>
          <w:sz w:val="20"/>
          <w:szCs w:val="20"/>
          <w:lang w:val="es-ES_tradnl"/>
        </w:rPr>
        <w:t xml:space="preserve">roceso y veredicto absolutorio </w:t>
      </w:r>
      <w:r w:rsidRPr="002D2907">
        <w:rPr>
          <w:rFonts w:asciiTheme="majorHAnsi" w:hAnsiTheme="majorHAnsi"/>
          <w:sz w:val="20"/>
          <w:szCs w:val="20"/>
          <w:lang w:val="es-ES_tradnl"/>
        </w:rPr>
        <w:t>con fundamento en el artículo 52 de la ley 313</w:t>
      </w:r>
      <w:r w:rsidRPr="002D2907">
        <w:rPr>
          <w:rStyle w:val="FootnoteReference"/>
          <w:rFonts w:asciiTheme="majorHAnsi" w:hAnsiTheme="majorHAnsi"/>
          <w:sz w:val="20"/>
          <w:szCs w:val="20"/>
          <w:lang w:val="es-ES_tradnl"/>
        </w:rPr>
        <w:footnoteReference w:id="8"/>
      </w:r>
      <w:r w:rsidRPr="002D2907">
        <w:rPr>
          <w:rFonts w:asciiTheme="majorHAnsi" w:hAnsiTheme="majorHAnsi"/>
          <w:sz w:val="20"/>
          <w:szCs w:val="20"/>
          <w:lang w:val="es-ES_tradnl"/>
        </w:rPr>
        <w:t xml:space="preserve">. Alega que esta solicitud fue denegada por el jurado, por mayoría, </w:t>
      </w:r>
      <w:r w:rsidR="00B24AD8" w:rsidRPr="002D2907">
        <w:rPr>
          <w:rFonts w:asciiTheme="majorHAnsi" w:hAnsiTheme="majorHAnsi"/>
          <w:sz w:val="20"/>
          <w:szCs w:val="20"/>
          <w:lang w:val="es-ES_tradnl"/>
        </w:rPr>
        <w:t>el cual</w:t>
      </w:r>
      <w:r w:rsidRPr="002D2907">
        <w:rPr>
          <w:rFonts w:asciiTheme="majorHAnsi" w:hAnsiTheme="majorHAnsi"/>
          <w:sz w:val="20"/>
          <w:szCs w:val="20"/>
          <w:lang w:val="es-ES_tradnl"/>
        </w:rPr>
        <w:t xml:space="preserve"> consideró que el plazo vencería el 3 de marzo de 2009</w:t>
      </w:r>
      <w:r w:rsidR="00B24AD8" w:rsidRPr="002D2907">
        <w:rPr>
          <w:rFonts w:asciiTheme="majorHAnsi" w:hAnsiTheme="majorHAnsi"/>
          <w:sz w:val="20"/>
          <w:szCs w:val="20"/>
          <w:lang w:val="es-ES_tradnl"/>
        </w:rPr>
        <w:t>,</w:t>
      </w:r>
      <w:r w:rsidRPr="002D2907">
        <w:rPr>
          <w:rFonts w:asciiTheme="majorHAnsi" w:hAnsiTheme="majorHAnsi"/>
          <w:sz w:val="20"/>
          <w:szCs w:val="20"/>
          <w:lang w:val="es-ES_tradnl"/>
        </w:rPr>
        <w:t xml:space="preserve"> dado a que los plazos procesales fueron suspendidos en la provincia por varios días por razón de paros y huelga. El peticionario argumenta que esta postura fue incongruente con el actuar previo del jurado pues durante estos días supuestamente inhábiles el jurado realizó diversas actividades procesales destacándose la devolución por extemporáneo de su recurso presentado contra la incorporación del abogado </w:t>
      </w:r>
      <w:r w:rsidR="00F46B9D" w:rsidRPr="002D2907">
        <w:rPr>
          <w:rFonts w:asciiTheme="majorHAnsi" w:hAnsiTheme="majorHAnsi"/>
          <w:sz w:val="20"/>
          <w:szCs w:val="20"/>
          <w:lang w:val="es-ES_tradnl"/>
        </w:rPr>
        <w:t xml:space="preserve">suplente. </w:t>
      </w:r>
    </w:p>
    <w:p w14:paraId="2E4149B1" w14:textId="77777777" w:rsidR="00B24AD8" w:rsidRPr="002D2907" w:rsidRDefault="00B24AD8" w:rsidP="00B24A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8CFE2E2" w14:textId="5D0CA887" w:rsidR="00A36A3E" w:rsidRPr="002D2907" w:rsidRDefault="00A36A3E"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El peticionario considera que el referido proceso no cumplió con las garantías exigidas por la Convención Americana porque: no se cumplió con el derecho a la doble instancia</w:t>
      </w:r>
      <w:r w:rsidR="00B24AD8" w:rsidRPr="002D2907">
        <w:rPr>
          <w:rFonts w:asciiTheme="majorHAnsi" w:hAnsiTheme="majorHAnsi"/>
          <w:sz w:val="20"/>
          <w:szCs w:val="20"/>
          <w:lang w:val="es-ES_tradnl"/>
        </w:rPr>
        <w:t>. Resalta que no hay evidencia de que los magistrados del Superior Tribunal de Justicia de la Pampa, ni los de la Corte Suprema hayan dado valor probatorio a las pruebas que obran dentro del expediente ni que hayan contrastado las mismas con la falsa evaluación que hizo el Jurado de Enjuiciamiento.</w:t>
      </w:r>
      <w:r w:rsidRPr="002D2907">
        <w:rPr>
          <w:rFonts w:asciiTheme="majorHAnsi" w:hAnsiTheme="majorHAnsi"/>
          <w:sz w:val="20"/>
          <w:szCs w:val="20"/>
          <w:lang w:val="es-ES_tradnl"/>
        </w:rPr>
        <w:t xml:space="preserve"> </w:t>
      </w:r>
      <w:r w:rsidR="00B24AD8" w:rsidRPr="002D2907">
        <w:rPr>
          <w:rFonts w:asciiTheme="majorHAnsi" w:hAnsiTheme="majorHAnsi"/>
          <w:sz w:val="20"/>
          <w:szCs w:val="20"/>
          <w:lang w:val="es-ES_tradnl"/>
        </w:rPr>
        <w:t>Aduce que e</w:t>
      </w:r>
      <w:r w:rsidRPr="002D2907">
        <w:rPr>
          <w:rFonts w:asciiTheme="majorHAnsi" w:hAnsiTheme="majorHAnsi"/>
          <w:sz w:val="20"/>
          <w:szCs w:val="20"/>
          <w:lang w:val="es-ES_tradnl"/>
        </w:rPr>
        <w:t xml:space="preserve">l jurado de enjuiciamiento violó los principios de juez natural y competente al incorporar ilegalmente </w:t>
      </w:r>
      <w:r w:rsidR="00F46B9D" w:rsidRPr="002D2907">
        <w:rPr>
          <w:rFonts w:asciiTheme="majorHAnsi" w:hAnsiTheme="majorHAnsi"/>
          <w:sz w:val="20"/>
          <w:szCs w:val="20"/>
          <w:lang w:val="es-ES_tradnl"/>
        </w:rPr>
        <w:t>a un abogado</w:t>
      </w:r>
      <w:r w:rsidRPr="002D2907">
        <w:rPr>
          <w:rFonts w:asciiTheme="majorHAnsi" w:hAnsiTheme="majorHAnsi"/>
          <w:sz w:val="20"/>
          <w:szCs w:val="20"/>
          <w:lang w:val="es-ES_tradnl"/>
        </w:rPr>
        <w:t xml:space="preserve"> y continuar con el proceso pese a haber perdido su competencia temporal para condenarlo; </w:t>
      </w:r>
      <w:r w:rsidR="00B24AD8" w:rsidRPr="002D2907">
        <w:rPr>
          <w:rFonts w:asciiTheme="majorHAnsi" w:hAnsiTheme="majorHAnsi"/>
          <w:sz w:val="20"/>
          <w:szCs w:val="20"/>
          <w:lang w:val="es-ES_tradnl"/>
        </w:rPr>
        <w:t xml:space="preserve">que </w:t>
      </w:r>
      <w:r w:rsidRPr="002D2907">
        <w:rPr>
          <w:rFonts w:asciiTheme="majorHAnsi" w:hAnsiTheme="majorHAnsi"/>
          <w:sz w:val="20"/>
          <w:szCs w:val="20"/>
          <w:lang w:val="es-ES_tradnl"/>
        </w:rPr>
        <w:t xml:space="preserve">se violó el plazo razonable pues éste estaba tazado por ley en 90 días y la decisión se emitió 142 días (101 hábiles) luego de iniciado el proceso; y </w:t>
      </w:r>
      <w:r w:rsidR="00B24AD8" w:rsidRPr="002D2907">
        <w:rPr>
          <w:rFonts w:asciiTheme="majorHAnsi" w:hAnsiTheme="majorHAnsi"/>
          <w:sz w:val="20"/>
          <w:szCs w:val="20"/>
          <w:lang w:val="es-ES_tradnl"/>
        </w:rPr>
        <w:t xml:space="preserve">que </w:t>
      </w:r>
      <w:r w:rsidRPr="002D2907">
        <w:rPr>
          <w:rFonts w:asciiTheme="majorHAnsi" w:hAnsiTheme="majorHAnsi"/>
          <w:sz w:val="20"/>
          <w:szCs w:val="20"/>
          <w:lang w:val="es-ES_tradnl"/>
        </w:rPr>
        <w:t>el jurado de enjuiciamiento ejerció a la vez funciones de instrucción</w:t>
      </w:r>
      <w:r w:rsidRPr="002D2907">
        <w:rPr>
          <w:rStyle w:val="FootnoteReference"/>
          <w:rFonts w:asciiTheme="majorHAnsi" w:hAnsiTheme="majorHAnsi"/>
          <w:sz w:val="20"/>
          <w:szCs w:val="20"/>
          <w:lang w:val="es-ES_tradnl"/>
        </w:rPr>
        <w:footnoteReference w:id="9"/>
      </w:r>
      <w:r w:rsidRPr="002D2907">
        <w:rPr>
          <w:rFonts w:asciiTheme="majorHAnsi" w:hAnsiTheme="majorHAnsi"/>
          <w:sz w:val="20"/>
          <w:szCs w:val="20"/>
          <w:lang w:val="es-ES_tradnl"/>
        </w:rPr>
        <w:t xml:space="preserve"> y de decisión, violándose el principio de imparcialidad.</w:t>
      </w:r>
    </w:p>
    <w:p w14:paraId="19564975" w14:textId="77777777" w:rsidR="00B24AD8" w:rsidRPr="002D2907" w:rsidRDefault="00B24AD8" w:rsidP="00B24A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A3FC607" w14:textId="5F18345E" w:rsidR="00A36A3E" w:rsidRPr="002D2907" w:rsidRDefault="00A36A3E"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Contra la decisión del jurado de enjuiciamiento</w:t>
      </w:r>
      <w:r w:rsidR="00F46B9D" w:rsidRPr="002D2907">
        <w:rPr>
          <w:rFonts w:asciiTheme="majorHAnsi" w:hAnsiTheme="majorHAnsi"/>
          <w:sz w:val="20"/>
          <w:szCs w:val="20"/>
          <w:lang w:val="es-ES_tradnl"/>
        </w:rPr>
        <w:t xml:space="preserve"> se</w:t>
      </w:r>
      <w:r w:rsidRPr="002D2907">
        <w:rPr>
          <w:rFonts w:asciiTheme="majorHAnsi" w:hAnsiTheme="majorHAnsi"/>
          <w:sz w:val="20"/>
          <w:szCs w:val="20"/>
          <w:lang w:val="es-ES_tradnl"/>
        </w:rPr>
        <w:t xml:space="preserve"> interpuso un recurso de casación e inconstitucionalidad</w:t>
      </w:r>
      <w:r w:rsidR="00B24AD8" w:rsidRPr="002D2907">
        <w:rPr>
          <w:rFonts w:asciiTheme="majorHAnsi" w:hAnsiTheme="majorHAnsi"/>
          <w:sz w:val="20"/>
          <w:szCs w:val="20"/>
          <w:lang w:val="es-ES_tradnl"/>
        </w:rPr>
        <w:t>, por la alegada carencia de una segunda instancia,</w:t>
      </w:r>
      <w:r w:rsidRPr="002D2907">
        <w:rPr>
          <w:rFonts w:asciiTheme="majorHAnsi" w:hAnsiTheme="majorHAnsi"/>
          <w:sz w:val="20"/>
          <w:szCs w:val="20"/>
          <w:lang w:val="es-ES_tradnl"/>
        </w:rPr>
        <w:t xml:space="preserve"> que fue en primer término denegado por el propio Jurado de Enjuiciamiento el 18 de marzo de 2009</w:t>
      </w:r>
      <w:r w:rsidR="00B24AD8" w:rsidRPr="002D2907">
        <w:rPr>
          <w:rFonts w:asciiTheme="majorHAnsi" w:hAnsiTheme="majorHAnsi"/>
          <w:sz w:val="20"/>
          <w:szCs w:val="20"/>
          <w:lang w:val="es-ES_tradnl"/>
        </w:rPr>
        <w:t>;</w:t>
      </w:r>
      <w:r w:rsidRPr="002D2907">
        <w:rPr>
          <w:rFonts w:asciiTheme="majorHAnsi" w:hAnsiTheme="majorHAnsi"/>
          <w:sz w:val="20"/>
          <w:szCs w:val="20"/>
          <w:lang w:val="es-ES_tradnl"/>
        </w:rPr>
        <w:t xml:space="preserve"> y posteriormente, rechazado por el Superior T</w:t>
      </w:r>
      <w:r w:rsidR="00F46B9D" w:rsidRPr="002D2907">
        <w:rPr>
          <w:rFonts w:asciiTheme="majorHAnsi" w:hAnsiTheme="majorHAnsi"/>
          <w:sz w:val="20"/>
          <w:szCs w:val="20"/>
          <w:lang w:val="es-ES_tradnl"/>
        </w:rPr>
        <w:t>ribunal de Justicia de La Pampa</w:t>
      </w:r>
      <w:r w:rsidRPr="002D2907">
        <w:rPr>
          <w:rFonts w:asciiTheme="majorHAnsi" w:hAnsiTheme="majorHAnsi"/>
          <w:sz w:val="20"/>
          <w:szCs w:val="20"/>
          <w:lang w:val="es-ES_tradnl"/>
        </w:rPr>
        <w:t xml:space="preserve"> el 20 de agosto </w:t>
      </w:r>
      <w:r w:rsidR="00F46B9D" w:rsidRPr="002D2907">
        <w:rPr>
          <w:rFonts w:asciiTheme="majorHAnsi" w:hAnsiTheme="majorHAnsi"/>
          <w:sz w:val="20"/>
          <w:szCs w:val="20"/>
          <w:lang w:val="es-ES_tradnl"/>
        </w:rPr>
        <w:t xml:space="preserve">de 2009. El Tribunal Suprior basó su decisión en la </w:t>
      </w:r>
      <w:r w:rsidR="00BB1AF2" w:rsidRPr="002D2907">
        <w:rPr>
          <w:rFonts w:asciiTheme="majorHAnsi" w:hAnsiTheme="majorHAnsi"/>
          <w:sz w:val="20"/>
          <w:szCs w:val="20"/>
          <w:lang w:val="es-ES_tradnl"/>
        </w:rPr>
        <w:t>inexistencia de fundamentos de</w:t>
      </w:r>
      <w:r w:rsidR="00F46B9D" w:rsidRPr="002D2907">
        <w:rPr>
          <w:rFonts w:asciiTheme="majorHAnsi" w:hAnsiTheme="majorHAnsi"/>
          <w:sz w:val="20"/>
          <w:szCs w:val="20"/>
          <w:lang w:val="es-ES_tradnl"/>
        </w:rPr>
        <w:t xml:space="preserve"> violaciones al </w:t>
      </w:r>
      <w:r w:rsidRPr="002D2907">
        <w:rPr>
          <w:rFonts w:asciiTheme="majorHAnsi" w:hAnsiTheme="majorHAnsi"/>
          <w:sz w:val="20"/>
          <w:szCs w:val="20"/>
          <w:lang w:val="es-ES_tradnl"/>
        </w:rPr>
        <w:t xml:space="preserve">debido </w:t>
      </w:r>
      <w:r w:rsidR="00F46B9D" w:rsidRPr="002D2907">
        <w:rPr>
          <w:rFonts w:asciiTheme="majorHAnsi" w:hAnsiTheme="majorHAnsi"/>
          <w:sz w:val="20"/>
          <w:szCs w:val="20"/>
          <w:lang w:val="es-ES_tradnl"/>
        </w:rPr>
        <w:t>proceso y al derecho de defensa</w:t>
      </w:r>
      <w:r w:rsidRPr="002D2907">
        <w:rPr>
          <w:rFonts w:asciiTheme="majorHAnsi" w:hAnsiTheme="majorHAnsi"/>
          <w:sz w:val="20"/>
          <w:szCs w:val="20"/>
          <w:lang w:val="es-ES_tradnl"/>
        </w:rPr>
        <w:t xml:space="preserve"> que </w:t>
      </w:r>
      <w:r w:rsidR="00F46B9D" w:rsidRPr="002D2907">
        <w:rPr>
          <w:rFonts w:asciiTheme="majorHAnsi" w:hAnsiTheme="majorHAnsi"/>
          <w:sz w:val="20"/>
          <w:szCs w:val="20"/>
          <w:lang w:val="es-ES_tradnl"/>
        </w:rPr>
        <w:t>fuesen idóneos para habilitar</w:t>
      </w:r>
      <w:r w:rsidRPr="002D2907">
        <w:rPr>
          <w:rFonts w:asciiTheme="majorHAnsi" w:hAnsiTheme="majorHAnsi"/>
          <w:sz w:val="20"/>
          <w:szCs w:val="20"/>
          <w:lang w:val="es-ES_tradnl"/>
        </w:rPr>
        <w:t xml:space="preserve"> las </w:t>
      </w:r>
      <w:r w:rsidRPr="002D2907">
        <w:rPr>
          <w:rFonts w:asciiTheme="majorHAnsi" w:hAnsiTheme="majorHAnsi"/>
          <w:sz w:val="20"/>
          <w:szCs w:val="20"/>
          <w:lang w:val="es-ES_tradnl"/>
        </w:rPr>
        <w:lastRenderedPageBreak/>
        <w:t>vías recursivas. Luego,</w:t>
      </w:r>
      <w:r w:rsidR="00F46B9D" w:rsidRPr="002D2907">
        <w:rPr>
          <w:rFonts w:asciiTheme="majorHAnsi" w:hAnsiTheme="majorHAnsi"/>
          <w:sz w:val="20"/>
          <w:szCs w:val="20"/>
          <w:lang w:val="es-ES_tradnl"/>
        </w:rPr>
        <w:t xml:space="preserve"> se</w:t>
      </w:r>
      <w:r w:rsidRPr="002D2907">
        <w:rPr>
          <w:rFonts w:asciiTheme="majorHAnsi" w:hAnsiTheme="majorHAnsi"/>
          <w:sz w:val="20"/>
          <w:szCs w:val="20"/>
          <w:lang w:val="es-ES_tradnl"/>
        </w:rPr>
        <w:t xml:space="preserve"> planteó un Recuso de Extraordinario Federal que fue denegado por el Tribunal Superior el 14 de octubre de 2009, </w:t>
      </w:r>
      <w:r w:rsidR="00FB4F88" w:rsidRPr="002D2907">
        <w:rPr>
          <w:rFonts w:asciiTheme="majorHAnsi" w:hAnsiTheme="majorHAnsi"/>
          <w:sz w:val="20"/>
          <w:szCs w:val="20"/>
          <w:lang w:val="es-ES_tradnl"/>
        </w:rPr>
        <w:t>al considerar</w:t>
      </w:r>
      <w:r w:rsidRPr="002D2907">
        <w:rPr>
          <w:rFonts w:asciiTheme="majorHAnsi" w:hAnsiTheme="majorHAnsi"/>
          <w:sz w:val="20"/>
          <w:szCs w:val="20"/>
          <w:lang w:val="es-ES_tradnl"/>
        </w:rPr>
        <w:t xml:space="preserve"> que</w:t>
      </w:r>
      <w:r w:rsidR="00BB1AF2" w:rsidRPr="002D2907">
        <w:rPr>
          <w:rFonts w:asciiTheme="majorHAnsi" w:hAnsiTheme="majorHAnsi"/>
          <w:sz w:val="20"/>
          <w:szCs w:val="20"/>
          <w:lang w:val="es-ES_tradnl"/>
        </w:rPr>
        <w:t xml:space="preserve"> el recurrente</w:t>
      </w:r>
      <w:r w:rsidRPr="002D2907">
        <w:rPr>
          <w:rFonts w:asciiTheme="majorHAnsi" w:hAnsiTheme="majorHAnsi"/>
          <w:sz w:val="20"/>
          <w:szCs w:val="20"/>
          <w:lang w:val="es-ES_tradnl"/>
        </w:rPr>
        <w:t xml:space="preserve"> no logró demostrar “</w:t>
      </w:r>
      <w:r w:rsidRPr="002D2907">
        <w:rPr>
          <w:rFonts w:asciiTheme="majorHAnsi" w:hAnsiTheme="majorHAnsi"/>
          <w:i/>
          <w:iCs/>
          <w:sz w:val="20"/>
          <w:szCs w:val="20"/>
          <w:lang w:val="es-ES_tradnl"/>
        </w:rPr>
        <w:t>la violación en forma nítida, inequívoca y concluyente de las normas que regulan el juicio político</w:t>
      </w:r>
      <w:r w:rsidRPr="002D2907">
        <w:rPr>
          <w:rFonts w:asciiTheme="majorHAnsi" w:hAnsiTheme="majorHAnsi"/>
          <w:sz w:val="20"/>
          <w:szCs w:val="20"/>
          <w:lang w:val="es-ES_tradnl"/>
        </w:rPr>
        <w:t>”. Por último</w:t>
      </w:r>
      <w:r w:rsidR="00BB1AF2" w:rsidRPr="002D2907">
        <w:rPr>
          <w:rFonts w:asciiTheme="majorHAnsi" w:hAnsiTheme="majorHAnsi"/>
          <w:sz w:val="20"/>
          <w:szCs w:val="20"/>
          <w:lang w:val="es-ES_tradnl"/>
        </w:rPr>
        <w:t>, se</w:t>
      </w:r>
      <w:r w:rsidRPr="002D2907">
        <w:rPr>
          <w:rFonts w:asciiTheme="majorHAnsi" w:hAnsiTheme="majorHAnsi"/>
          <w:sz w:val="20"/>
          <w:szCs w:val="20"/>
          <w:lang w:val="es-ES_tradnl"/>
        </w:rPr>
        <w:t xml:space="preserve"> interpuso recurso de queja ante la Corte Suprema de Justicia de la Nación, </w:t>
      </w:r>
      <w:r w:rsidR="00BB1AF2" w:rsidRPr="002D2907">
        <w:rPr>
          <w:rFonts w:asciiTheme="majorHAnsi" w:hAnsiTheme="majorHAnsi"/>
          <w:sz w:val="20"/>
          <w:szCs w:val="20"/>
          <w:lang w:val="es-ES_tradnl"/>
        </w:rPr>
        <w:t>concluyendo esta</w:t>
      </w:r>
      <w:r w:rsidRPr="002D2907">
        <w:rPr>
          <w:rFonts w:asciiTheme="majorHAnsi" w:hAnsiTheme="majorHAnsi"/>
          <w:sz w:val="20"/>
          <w:szCs w:val="20"/>
          <w:lang w:val="es-ES_tradnl"/>
        </w:rPr>
        <w:t xml:space="preserve"> que </w:t>
      </w:r>
      <w:r w:rsidRPr="002D2907">
        <w:rPr>
          <w:rFonts w:asciiTheme="majorHAnsi" w:hAnsiTheme="majorHAnsi"/>
          <w:i/>
          <w:iCs/>
          <w:sz w:val="20"/>
          <w:szCs w:val="20"/>
          <w:lang w:val="es-ES_tradnl"/>
        </w:rPr>
        <w:t>“no hay materia federal que habilite la intervención de esta Corte en el marco de los riguros</w:t>
      </w:r>
      <w:r w:rsidR="00BB1AF2" w:rsidRPr="002D2907">
        <w:rPr>
          <w:rFonts w:asciiTheme="majorHAnsi" w:hAnsiTheme="majorHAnsi"/>
          <w:i/>
          <w:iCs/>
          <w:sz w:val="20"/>
          <w:szCs w:val="20"/>
          <w:lang w:val="es-ES_tradnl"/>
        </w:rPr>
        <w:t>os límites de su competencia</w:t>
      </w:r>
      <w:r w:rsidR="00BB1AF2" w:rsidRPr="002D2907">
        <w:rPr>
          <w:rFonts w:asciiTheme="majorHAnsi" w:hAnsiTheme="majorHAnsi"/>
          <w:sz w:val="20"/>
          <w:szCs w:val="20"/>
          <w:lang w:val="es-ES_tradnl"/>
        </w:rPr>
        <w:t xml:space="preserve">”. Señala que la denegatoria del recurso fue </w:t>
      </w:r>
      <w:r w:rsidRPr="002D2907">
        <w:rPr>
          <w:rFonts w:asciiTheme="majorHAnsi" w:hAnsiTheme="majorHAnsi"/>
          <w:sz w:val="20"/>
          <w:szCs w:val="20"/>
          <w:lang w:val="es-ES_tradnl"/>
        </w:rPr>
        <w:t>notifica</w:t>
      </w:r>
      <w:r w:rsidR="00BB1AF2" w:rsidRPr="002D2907">
        <w:rPr>
          <w:rFonts w:asciiTheme="majorHAnsi" w:hAnsiTheme="majorHAnsi"/>
          <w:sz w:val="20"/>
          <w:szCs w:val="20"/>
          <w:lang w:val="es-ES_tradnl"/>
        </w:rPr>
        <w:t>da</w:t>
      </w:r>
      <w:r w:rsidRPr="002D2907">
        <w:rPr>
          <w:rFonts w:asciiTheme="majorHAnsi" w:hAnsiTheme="majorHAnsi"/>
          <w:sz w:val="20"/>
          <w:szCs w:val="20"/>
          <w:lang w:val="es-ES_tradnl"/>
        </w:rPr>
        <w:t xml:space="preserve"> </w:t>
      </w:r>
      <w:r w:rsidR="00BB1AF2" w:rsidRPr="002D2907">
        <w:rPr>
          <w:rFonts w:asciiTheme="majorHAnsi" w:hAnsiTheme="majorHAnsi"/>
          <w:sz w:val="20"/>
          <w:szCs w:val="20"/>
          <w:lang w:val="es-ES_tradnl"/>
        </w:rPr>
        <w:t>el 16 de junio de 2010</w:t>
      </w:r>
      <w:r w:rsidR="00FB4F88" w:rsidRPr="002D2907">
        <w:rPr>
          <w:rFonts w:asciiTheme="majorHAnsi" w:hAnsiTheme="majorHAnsi"/>
          <w:sz w:val="20"/>
          <w:szCs w:val="20"/>
          <w:lang w:val="es-ES_tradnl"/>
        </w:rPr>
        <w:t>.</w:t>
      </w:r>
      <w:r w:rsidR="00BB1AF2" w:rsidRPr="002D2907">
        <w:rPr>
          <w:rFonts w:asciiTheme="majorHAnsi" w:hAnsiTheme="majorHAnsi"/>
          <w:sz w:val="20"/>
          <w:szCs w:val="20"/>
          <w:lang w:val="es-ES_tradnl"/>
        </w:rPr>
        <w:t xml:space="preserve"> </w:t>
      </w:r>
    </w:p>
    <w:p w14:paraId="5B829F48" w14:textId="77777777" w:rsidR="00FB4F88" w:rsidRPr="002D2907" w:rsidRDefault="00FB4F88" w:rsidP="00FB4F8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B9CD0CA" w14:textId="1123823F" w:rsidR="00A36A3E" w:rsidRPr="002D2907" w:rsidRDefault="00A36A3E"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Agrega a que</w:t>
      </w:r>
      <w:r w:rsidR="00BB1AF2" w:rsidRPr="002D2907">
        <w:rPr>
          <w:rFonts w:asciiTheme="majorHAnsi" w:hAnsiTheme="majorHAnsi"/>
          <w:sz w:val="20"/>
          <w:szCs w:val="20"/>
          <w:lang w:val="es-ES_tradnl"/>
        </w:rPr>
        <w:t>.</w:t>
      </w:r>
      <w:r w:rsidRPr="002D2907">
        <w:rPr>
          <w:rFonts w:asciiTheme="majorHAnsi" w:hAnsiTheme="majorHAnsi"/>
          <w:sz w:val="20"/>
          <w:szCs w:val="20"/>
          <w:lang w:val="es-ES_tradnl"/>
        </w:rPr>
        <w:t xml:space="preserve"> después de haber sido destituido y estando firme la sentencia de la Corte Suprema de Justicia</w:t>
      </w:r>
      <w:r w:rsidR="00BB1AF2" w:rsidRPr="002D2907">
        <w:rPr>
          <w:rFonts w:asciiTheme="majorHAnsi" w:hAnsiTheme="majorHAnsi"/>
          <w:sz w:val="20"/>
          <w:szCs w:val="20"/>
          <w:lang w:val="es-ES_tradnl"/>
        </w:rPr>
        <w:t>, la presunta víctima</w:t>
      </w:r>
      <w:r w:rsidRPr="002D2907">
        <w:rPr>
          <w:rFonts w:asciiTheme="majorHAnsi" w:hAnsiTheme="majorHAnsi"/>
          <w:sz w:val="20"/>
          <w:szCs w:val="20"/>
          <w:lang w:val="es-ES_tradnl"/>
        </w:rPr>
        <w:t xml:space="preserve"> fue procesado y llevado a </w:t>
      </w:r>
      <w:r w:rsidR="00FB4F88" w:rsidRPr="002D2907">
        <w:rPr>
          <w:rFonts w:asciiTheme="majorHAnsi" w:hAnsiTheme="majorHAnsi"/>
          <w:sz w:val="20"/>
          <w:szCs w:val="20"/>
          <w:lang w:val="es-ES_tradnl"/>
        </w:rPr>
        <w:t>j</w:t>
      </w:r>
      <w:r w:rsidRPr="002D2907">
        <w:rPr>
          <w:rFonts w:asciiTheme="majorHAnsi" w:hAnsiTheme="majorHAnsi"/>
          <w:sz w:val="20"/>
          <w:szCs w:val="20"/>
          <w:lang w:val="es-ES_tradnl"/>
        </w:rPr>
        <w:t xml:space="preserve">uicio penal por los mismos hechos, en violación al principio </w:t>
      </w:r>
      <w:r w:rsidR="008A40F1" w:rsidRPr="002D2907">
        <w:rPr>
          <w:rFonts w:asciiTheme="majorHAnsi" w:hAnsiTheme="majorHAnsi"/>
          <w:i/>
          <w:sz w:val="20"/>
          <w:szCs w:val="20"/>
          <w:lang w:val="es-ES_tradnl"/>
        </w:rPr>
        <w:t>non</w:t>
      </w:r>
      <w:r w:rsidRPr="002D2907">
        <w:rPr>
          <w:rFonts w:asciiTheme="majorHAnsi" w:hAnsiTheme="majorHAnsi"/>
          <w:i/>
          <w:sz w:val="20"/>
          <w:szCs w:val="20"/>
          <w:lang w:val="es-ES_tradnl"/>
        </w:rPr>
        <w:t xml:space="preserve"> bis in ídem</w:t>
      </w:r>
      <w:r w:rsidRPr="002D2907">
        <w:rPr>
          <w:rFonts w:asciiTheme="majorHAnsi" w:hAnsiTheme="majorHAnsi"/>
          <w:sz w:val="20"/>
          <w:szCs w:val="20"/>
          <w:lang w:val="es-ES_tradnl"/>
        </w:rPr>
        <w:t xml:space="preserve"> y el orden público vigente.</w:t>
      </w:r>
    </w:p>
    <w:p w14:paraId="4A05299F" w14:textId="77777777" w:rsidR="00FB4F88" w:rsidRPr="002D2907" w:rsidRDefault="00FB4F88" w:rsidP="00FB4F8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A028B7C" w14:textId="6DEF51D6" w:rsidR="00A36A3E" w:rsidRPr="002D2907" w:rsidRDefault="00A36A3E"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El Estado, por su parte, señala que la petición debe ser declarada inadmisible por no exponer hechos que caractericen violaci</w:t>
      </w:r>
      <w:r w:rsidR="00FB4F88" w:rsidRPr="002D2907">
        <w:rPr>
          <w:rFonts w:asciiTheme="majorHAnsi" w:hAnsiTheme="majorHAnsi"/>
          <w:sz w:val="20"/>
          <w:szCs w:val="20"/>
          <w:lang w:val="es-ES_tradnl"/>
        </w:rPr>
        <w:t>ones</w:t>
      </w:r>
      <w:r w:rsidRPr="002D2907">
        <w:rPr>
          <w:rFonts w:asciiTheme="majorHAnsi" w:hAnsiTheme="majorHAnsi"/>
          <w:sz w:val="20"/>
          <w:szCs w:val="20"/>
          <w:lang w:val="es-ES_tradnl"/>
        </w:rPr>
        <w:t xml:space="preserve"> a </w:t>
      </w:r>
      <w:r w:rsidR="00FB4F88" w:rsidRPr="002D2907">
        <w:rPr>
          <w:rFonts w:asciiTheme="majorHAnsi" w:hAnsiTheme="majorHAnsi"/>
          <w:sz w:val="20"/>
          <w:szCs w:val="20"/>
          <w:lang w:val="es-ES_tradnl"/>
        </w:rPr>
        <w:t>d</w:t>
      </w:r>
      <w:r w:rsidRPr="002D2907">
        <w:rPr>
          <w:rFonts w:asciiTheme="majorHAnsi" w:hAnsiTheme="majorHAnsi"/>
          <w:sz w:val="20"/>
          <w:szCs w:val="20"/>
          <w:lang w:val="es-ES_tradnl"/>
        </w:rPr>
        <w:t xml:space="preserve">erechos </w:t>
      </w:r>
      <w:r w:rsidR="00FB4F88" w:rsidRPr="002D2907">
        <w:rPr>
          <w:rFonts w:asciiTheme="majorHAnsi" w:hAnsiTheme="majorHAnsi"/>
          <w:sz w:val="20"/>
          <w:szCs w:val="20"/>
          <w:lang w:val="es-ES_tradnl"/>
        </w:rPr>
        <w:t>h</w:t>
      </w:r>
      <w:r w:rsidRPr="002D2907">
        <w:rPr>
          <w:rFonts w:asciiTheme="majorHAnsi" w:hAnsiTheme="majorHAnsi"/>
          <w:sz w:val="20"/>
          <w:szCs w:val="20"/>
          <w:lang w:val="es-ES_tradnl"/>
        </w:rPr>
        <w:t xml:space="preserve">umanos establecidos en la Convención </w:t>
      </w:r>
      <w:r w:rsidR="00FB4F88" w:rsidRPr="002D2907">
        <w:rPr>
          <w:rFonts w:asciiTheme="majorHAnsi" w:hAnsiTheme="majorHAnsi"/>
          <w:sz w:val="20"/>
          <w:szCs w:val="20"/>
          <w:lang w:val="es-ES_tradnl"/>
        </w:rPr>
        <w:t xml:space="preserve">Americana </w:t>
      </w:r>
      <w:r w:rsidRPr="002D2907">
        <w:rPr>
          <w:rFonts w:asciiTheme="majorHAnsi" w:hAnsiTheme="majorHAnsi"/>
          <w:sz w:val="20"/>
          <w:szCs w:val="20"/>
          <w:lang w:val="es-ES_tradnl"/>
        </w:rPr>
        <w:t>y limitarse a denunciar sin fundamento supuestas irregularidades que no han sido acreditadas. Indica que el peticionario tuvo acceso a los recursos idóneos, en los cuales expuso su pretensión y aportó pruebas, obteniendo respuestas a todos sus planteos. Considera que la pretensión del peticionario es que la Comisión actúe improcedentemente como una cuarta instancia para la revisión de lo actuado en la jurisdicción interna, por su mero desacuerdo con las decisiones. Resalta que la remoción de la presunta víctima se debió a que el jurado de enjuiciamiento consideró configurada la causal de “</w:t>
      </w:r>
      <w:r w:rsidRPr="002D2907">
        <w:rPr>
          <w:rFonts w:asciiTheme="majorHAnsi" w:hAnsiTheme="majorHAnsi"/>
          <w:i/>
          <w:iCs/>
          <w:sz w:val="20"/>
          <w:szCs w:val="20"/>
          <w:lang w:val="es-ES_tradnl"/>
        </w:rPr>
        <w:t>mal desempeño en sus funciones por el incumplimiento de los deberes inherentes al cargo y por la incompetencia o negligencia reiterada</w:t>
      </w:r>
      <w:r w:rsidRPr="002D2907">
        <w:rPr>
          <w:rFonts w:asciiTheme="majorHAnsi" w:hAnsiTheme="majorHAnsi"/>
          <w:sz w:val="20"/>
          <w:szCs w:val="20"/>
          <w:lang w:val="es-ES_tradnl"/>
        </w:rPr>
        <w:t>”</w:t>
      </w:r>
      <w:r w:rsidR="00FB4F88" w:rsidRPr="002D2907">
        <w:rPr>
          <w:rFonts w:asciiTheme="majorHAnsi" w:hAnsiTheme="majorHAnsi"/>
          <w:sz w:val="20"/>
          <w:szCs w:val="20"/>
          <w:lang w:val="es-ES_tradnl"/>
        </w:rPr>
        <w:t>.</w:t>
      </w:r>
    </w:p>
    <w:p w14:paraId="1C6F3769" w14:textId="77777777" w:rsidR="00FB4F88" w:rsidRPr="002D2907" w:rsidRDefault="00FB4F88" w:rsidP="00FB4F8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520275A" w14:textId="79BA11A8" w:rsidR="003325B7" w:rsidRPr="002D2907" w:rsidRDefault="003D59EF"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2D2907">
        <w:rPr>
          <w:rFonts w:asciiTheme="majorHAnsi" w:hAnsiTheme="majorHAnsi"/>
          <w:sz w:val="20"/>
          <w:szCs w:val="20"/>
          <w:lang w:val="es-ES_tradnl"/>
        </w:rPr>
        <w:t>En</w:t>
      </w:r>
      <w:r w:rsidR="00710ECA" w:rsidRPr="002D2907">
        <w:rPr>
          <w:rFonts w:asciiTheme="majorHAnsi" w:hAnsiTheme="majorHAnsi"/>
          <w:sz w:val="20"/>
          <w:szCs w:val="20"/>
          <w:lang w:val="es-ES_tradnl"/>
        </w:rPr>
        <w:t xml:space="preserve"> </w:t>
      </w:r>
      <w:r w:rsidR="0006532A" w:rsidRPr="002D2907">
        <w:rPr>
          <w:rFonts w:asciiTheme="majorHAnsi" w:hAnsiTheme="majorHAnsi"/>
          <w:sz w:val="20"/>
          <w:szCs w:val="20"/>
          <w:lang w:val="es-ES_tradnl"/>
        </w:rPr>
        <w:t>cuanto al agravio al derecho a la doble instancia</w:t>
      </w:r>
      <w:r w:rsidR="00710ECA" w:rsidRPr="002D2907">
        <w:rPr>
          <w:rFonts w:asciiTheme="majorHAnsi" w:hAnsiTheme="majorHAnsi"/>
          <w:sz w:val="20"/>
          <w:szCs w:val="20"/>
          <w:lang w:val="es-ES_tradnl"/>
        </w:rPr>
        <w:t>,</w:t>
      </w:r>
      <w:r w:rsidRPr="002D2907">
        <w:rPr>
          <w:rFonts w:asciiTheme="majorHAnsi" w:hAnsiTheme="majorHAnsi"/>
          <w:sz w:val="20"/>
          <w:szCs w:val="20"/>
          <w:lang w:val="es-ES_tradnl"/>
        </w:rPr>
        <w:t xml:space="preserve"> expresa que</w:t>
      </w:r>
      <w:r w:rsidR="0006532A" w:rsidRPr="002D2907">
        <w:rPr>
          <w:rFonts w:asciiTheme="majorHAnsi" w:hAnsiTheme="majorHAnsi"/>
          <w:sz w:val="20"/>
          <w:szCs w:val="20"/>
          <w:lang w:val="es-ES_tradnl"/>
        </w:rPr>
        <w:t xml:space="preserve"> la Corte Suprem</w:t>
      </w:r>
      <w:r w:rsidRPr="002D2907">
        <w:rPr>
          <w:rFonts w:asciiTheme="majorHAnsi" w:hAnsiTheme="majorHAnsi"/>
          <w:sz w:val="20"/>
          <w:szCs w:val="20"/>
          <w:lang w:val="es-ES_tradnl"/>
        </w:rPr>
        <w:t>a de Justicia de la Nación ya había</w:t>
      </w:r>
      <w:r w:rsidR="0006532A" w:rsidRPr="002D2907">
        <w:rPr>
          <w:rFonts w:asciiTheme="majorHAnsi" w:hAnsiTheme="majorHAnsi"/>
          <w:sz w:val="20"/>
          <w:szCs w:val="20"/>
          <w:lang w:val="es-ES_tradnl"/>
        </w:rPr>
        <w:t xml:space="preserve"> concluido</w:t>
      </w:r>
      <w:r w:rsidRPr="002D2907">
        <w:rPr>
          <w:rFonts w:asciiTheme="majorHAnsi" w:hAnsiTheme="majorHAnsi"/>
          <w:sz w:val="20"/>
          <w:szCs w:val="20"/>
          <w:lang w:val="es-ES_tradnl"/>
        </w:rPr>
        <w:t xml:space="preserve"> previamente</w:t>
      </w:r>
      <w:r w:rsidR="0006532A" w:rsidRPr="002D2907">
        <w:rPr>
          <w:rFonts w:asciiTheme="majorHAnsi" w:hAnsiTheme="majorHAnsi"/>
          <w:sz w:val="20"/>
          <w:szCs w:val="20"/>
          <w:lang w:val="es-ES_tradnl"/>
        </w:rPr>
        <w:t xml:space="preserve"> que los juicios políticos</w:t>
      </w:r>
      <w:r w:rsidR="00710ECA" w:rsidRPr="002D2907">
        <w:rPr>
          <w:rFonts w:asciiTheme="majorHAnsi" w:hAnsiTheme="majorHAnsi"/>
          <w:sz w:val="20"/>
          <w:szCs w:val="20"/>
          <w:lang w:val="es-ES_tradnl"/>
        </w:rPr>
        <w:t xml:space="preserve"> </w:t>
      </w:r>
      <w:r w:rsidR="0006532A" w:rsidRPr="002D2907">
        <w:rPr>
          <w:rFonts w:asciiTheme="majorHAnsi" w:hAnsiTheme="majorHAnsi"/>
          <w:sz w:val="20"/>
          <w:szCs w:val="20"/>
          <w:lang w:val="es-ES_tradnl"/>
        </w:rPr>
        <w:t xml:space="preserve">únicamente </w:t>
      </w:r>
      <w:r w:rsidRPr="002D2907">
        <w:rPr>
          <w:rFonts w:asciiTheme="majorHAnsi" w:hAnsiTheme="majorHAnsi"/>
          <w:sz w:val="20"/>
          <w:szCs w:val="20"/>
          <w:lang w:val="es-ES_tradnl"/>
        </w:rPr>
        <w:t>admiten</w:t>
      </w:r>
      <w:r w:rsidR="0006532A" w:rsidRPr="002D2907">
        <w:rPr>
          <w:rFonts w:asciiTheme="majorHAnsi" w:hAnsiTheme="majorHAnsi"/>
          <w:sz w:val="20"/>
          <w:szCs w:val="20"/>
          <w:lang w:val="es-ES_tradnl"/>
        </w:rPr>
        <w:t xml:space="preserve"> revis</w:t>
      </w:r>
      <w:r w:rsidRPr="002D2907">
        <w:rPr>
          <w:rFonts w:asciiTheme="majorHAnsi" w:hAnsiTheme="majorHAnsi"/>
          <w:sz w:val="20"/>
          <w:szCs w:val="20"/>
          <w:lang w:val="es-ES_tradnl"/>
        </w:rPr>
        <w:t>ión judicial cuando se demuestra</w:t>
      </w:r>
      <w:r w:rsidR="0006532A" w:rsidRPr="002D2907">
        <w:rPr>
          <w:rFonts w:asciiTheme="majorHAnsi" w:hAnsiTheme="majorHAnsi"/>
          <w:sz w:val="20"/>
          <w:szCs w:val="20"/>
          <w:lang w:val="es-ES_tradnl"/>
        </w:rPr>
        <w:t xml:space="preserve"> una clara violación a los derechos o garantías establecidas en el artículo 18</w:t>
      </w:r>
      <w:r w:rsidR="00B16F2D" w:rsidRPr="002D2907">
        <w:rPr>
          <w:rStyle w:val="FootnoteReference"/>
          <w:rFonts w:asciiTheme="majorHAnsi" w:hAnsiTheme="majorHAnsi"/>
          <w:sz w:val="20"/>
          <w:szCs w:val="20"/>
          <w:lang w:val="es-ES_tradnl"/>
        </w:rPr>
        <w:footnoteReference w:id="10"/>
      </w:r>
      <w:r w:rsidR="0006532A" w:rsidRPr="002D2907">
        <w:rPr>
          <w:rFonts w:asciiTheme="majorHAnsi" w:hAnsiTheme="majorHAnsi"/>
          <w:sz w:val="20"/>
          <w:szCs w:val="20"/>
          <w:lang w:val="es-ES_tradnl"/>
        </w:rPr>
        <w:t xml:space="preserve"> de la Constitución Nacional</w:t>
      </w:r>
      <w:r w:rsidR="00BC09B3" w:rsidRPr="002D2907">
        <w:rPr>
          <w:rFonts w:asciiTheme="majorHAnsi" w:hAnsiTheme="majorHAnsi"/>
          <w:sz w:val="20"/>
          <w:szCs w:val="20"/>
          <w:lang w:val="es-ES_tradnl"/>
        </w:rPr>
        <w:t>. En la sentencia de la Corte Suprema de Justicia de la Nación del 1° de junio de 2010, se cita el recedente “Graffigna Latino” (Fallos: 308:961) a partir del cual dicho tribunal ha sostenido de modo invariable la doctrina referida a los supuestos en que se admite revisión judicial de las decisiones adoptadas en los llamados juicios políticos. Y</w:t>
      </w:r>
      <w:r w:rsidRPr="002D2907">
        <w:rPr>
          <w:rFonts w:asciiTheme="majorHAnsi" w:hAnsiTheme="majorHAnsi"/>
          <w:sz w:val="20"/>
          <w:szCs w:val="20"/>
          <w:lang w:val="es-ES_tradnl"/>
        </w:rPr>
        <w:t xml:space="preserve"> qu</w:t>
      </w:r>
      <w:r w:rsidR="009F12AE" w:rsidRPr="002D2907">
        <w:rPr>
          <w:rFonts w:asciiTheme="majorHAnsi" w:hAnsiTheme="majorHAnsi"/>
          <w:sz w:val="20"/>
          <w:szCs w:val="20"/>
          <w:lang w:val="es-ES_tradnl"/>
        </w:rPr>
        <w:t>e en el ca</w:t>
      </w:r>
      <w:r w:rsidRPr="002D2907">
        <w:rPr>
          <w:rFonts w:asciiTheme="majorHAnsi" w:hAnsiTheme="majorHAnsi"/>
          <w:sz w:val="20"/>
          <w:szCs w:val="20"/>
          <w:lang w:val="es-ES_tradnl"/>
        </w:rPr>
        <w:t>s</w:t>
      </w:r>
      <w:r w:rsidR="009F12AE" w:rsidRPr="002D2907">
        <w:rPr>
          <w:rFonts w:asciiTheme="majorHAnsi" w:hAnsiTheme="majorHAnsi"/>
          <w:sz w:val="20"/>
          <w:szCs w:val="20"/>
          <w:lang w:val="es-ES_tradnl"/>
        </w:rPr>
        <w:t>o</w:t>
      </w:r>
      <w:r w:rsidRPr="002D2907">
        <w:rPr>
          <w:rFonts w:asciiTheme="majorHAnsi" w:hAnsiTheme="majorHAnsi"/>
          <w:sz w:val="20"/>
          <w:szCs w:val="20"/>
          <w:lang w:val="es-ES_tradnl"/>
        </w:rPr>
        <w:t xml:space="preserve"> específico de la presunta víctima concluyó que no había vulneración de su </w:t>
      </w:r>
      <w:r w:rsidR="0006532A" w:rsidRPr="002D2907">
        <w:rPr>
          <w:rFonts w:asciiTheme="majorHAnsi" w:hAnsiTheme="majorHAnsi"/>
          <w:sz w:val="20"/>
          <w:szCs w:val="20"/>
          <w:lang w:val="es-ES_tradnl"/>
        </w:rPr>
        <w:t>derecho de defens</w:t>
      </w:r>
      <w:r w:rsidR="0007229B" w:rsidRPr="002D2907">
        <w:rPr>
          <w:rFonts w:asciiTheme="majorHAnsi" w:hAnsiTheme="majorHAnsi"/>
          <w:sz w:val="20"/>
          <w:szCs w:val="20"/>
          <w:lang w:val="es-ES_tradnl"/>
        </w:rPr>
        <w:t>a</w:t>
      </w:r>
      <w:r w:rsidR="00C127F1" w:rsidRPr="002D2907">
        <w:rPr>
          <w:rFonts w:asciiTheme="majorHAnsi" w:hAnsiTheme="majorHAnsi"/>
          <w:sz w:val="20"/>
          <w:szCs w:val="20"/>
          <w:lang w:val="es-ES_tradnl"/>
        </w:rPr>
        <w:t>.</w:t>
      </w:r>
      <w:r w:rsidR="0007229B" w:rsidRPr="002D2907">
        <w:rPr>
          <w:rFonts w:asciiTheme="majorHAnsi" w:hAnsiTheme="majorHAnsi"/>
          <w:color w:val="FF0000"/>
          <w:sz w:val="20"/>
          <w:szCs w:val="20"/>
          <w:lang w:val="es-ES_tradnl"/>
        </w:rPr>
        <w:t xml:space="preserve"> </w:t>
      </w:r>
      <w:r w:rsidR="0053212D" w:rsidRPr="002D2907">
        <w:rPr>
          <w:rFonts w:asciiTheme="majorHAnsi" w:hAnsiTheme="majorHAnsi"/>
          <w:sz w:val="20"/>
          <w:szCs w:val="20"/>
          <w:lang w:val="es-ES_tradnl"/>
        </w:rPr>
        <w:t>Indica que</w:t>
      </w:r>
      <w:r w:rsidR="0007229B" w:rsidRPr="002D2907">
        <w:rPr>
          <w:rFonts w:asciiTheme="majorHAnsi" w:hAnsiTheme="majorHAnsi"/>
          <w:sz w:val="20"/>
          <w:szCs w:val="20"/>
          <w:lang w:val="es-ES_tradnl"/>
        </w:rPr>
        <w:t>,</w:t>
      </w:r>
      <w:r w:rsidR="0053212D" w:rsidRPr="002D2907">
        <w:rPr>
          <w:rFonts w:asciiTheme="majorHAnsi" w:hAnsiTheme="majorHAnsi"/>
          <w:sz w:val="20"/>
          <w:szCs w:val="20"/>
          <w:lang w:val="es-ES_tradnl"/>
        </w:rPr>
        <w:t xml:space="preserve"> </w:t>
      </w:r>
      <w:r w:rsidR="0007229B" w:rsidRPr="002D2907">
        <w:rPr>
          <w:rFonts w:asciiTheme="majorHAnsi" w:hAnsiTheme="majorHAnsi"/>
          <w:sz w:val="20"/>
          <w:szCs w:val="20"/>
          <w:lang w:val="es-ES_tradnl"/>
        </w:rPr>
        <w:t xml:space="preserve">aunque </w:t>
      </w:r>
      <w:r w:rsidR="0053212D" w:rsidRPr="002D2907">
        <w:rPr>
          <w:rFonts w:asciiTheme="majorHAnsi" w:hAnsiTheme="majorHAnsi"/>
          <w:sz w:val="20"/>
          <w:szCs w:val="20"/>
          <w:lang w:val="es-ES_tradnl"/>
        </w:rPr>
        <w:t xml:space="preserve">la Corte Suprema de Justicia de la Nación </w:t>
      </w:r>
      <w:r w:rsidR="0007229B" w:rsidRPr="002D2907">
        <w:rPr>
          <w:rFonts w:asciiTheme="majorHAnsi" w:hAnsiTheme="majorHAnsi"/>
          <w:sz w:val="20"/>
          <w:szCs w:val="20"/>
          <w:lang w:val="es-ES_tradnl"/>
        </w:rPr>
        <w:t>concluyó que</w:t>
      </w:r>
      <w:r w:rsidR="0053212D" w:rsidRPr="002D2907">
        <w:rPr>
          <w:rFonts w:asciiTheme="majorHAnsi" w:hAnsiTheme="majorHAnsi"/>
          <w:sz w:val="20"/>
          <w:szCs w:val="20"/>
          <w:lang w:val="es-ES_tradnl"/>
        </w:rPr>
        <w:t xml:space="preserve"> no había materia federal que habilitara </w:t>
      </w:r>
      <w:r w:rsidR="0007229B" w:rsidRPr="002D2907">
        <w:rPr>
          <w:rFonts w:asciiTheme="majorHAnsi" w:hAnsiTheme="majorHAnsi"/>
          <w:sz w:val="20"/>
          <w:szCs w:val="20"/>
          <w:lang w:val="es-ES_tradnl"/>
        </w:rPr>
        <w:t>su</w:t>
      </w:r>
      <w:r w:rsidR="0053212D" w:rsidRPr="002D2907">
        <w:rPr>
          <w:rFonts w:asciiTheme="majorHAnsi" w:hAnsiTheme="majorHAnsi"/>
          <w:sz w:val="20"/>
          <w:szCs w:val="20"/>
          <w:lang w:val="es-ES_tradnl"/>
        </w:rPr>
        <w:t xml:space="preserve"> intervención,</w:t>
      </w:r>
      <w:r w:rsidR="0007229B" w:rsidRPr="002D2907">
        <w:rPr>
          <w:rFonts w:asciiTheme="majorHAnsi" w:hAnsiTheme="majorHAnsi"/>
          <w:sz w:val="20"/>
          <w:szCs w:val="20"/>
          <w:lang w:val="es-ES_tradnl"/>
        </w:rPr>
        <w:t xml:space="preserve"> los agravios del peticionario fueron analizados y respondidos uno por uno</w:t>
      </w:r>
      <w:r w:rsidR="0053212D" w:rsidRPr="002D2907">
        <w:rPr>
          <w:rFonts w:asciiTheme="majorHAnsi" w:hAnsiTheme="majorHAnsi"/>
          <w:sz w:val="20"/>
          <w:szCs w:val="20"/>
          <w:lang w:val="es-ES_tradnl"/>
        </w:rPr>
        <w:t>, tanto</w:t>
      </w:r>
      <w:r w:rsidR="0007229B" w:rsidRPr="002D2907">
        <w:rPr>
          <w:rFonts w:asciiTheme="majorHAnsi" w:hAnsiTheme="majorHAnsi"/>
          <w:sz w:val="20"/>
          <w:szCs w:val="20"/>
          <w:lang w:val="es-ES_tradnl"/>
        </w:rPr>
        <w:t xml:space="preserve"> por</w:t>
      </w:r>
      <w:r w:rsidR="0053212D" w:rsidRPr="002D2907">
        <w:rPr>
          <w:rFonts w:asciiTheme="majorHAnsi" w:hAnsiTheme="majorHAnsi"/>
          <w:sz w:val="20"/>
          <w:szCs w:val="20"/>
          <w:lang w:val="es-ES_tradnl"/>
        </w:rPr>
        <w:t xml:space="preserve"> la propia Corte como</w:t>
      </w:r>
      <w:r w:rsidR="0007229B" w:rsidRPr="002D2907">
        <w:rPr>
          <w:rFonts w:asciiTheme="majorHAnsi" w:hAnsiTheme="majorHAnsi"/>
          <w:sz w:val="20"/>
          <w:szCs w:val="20"/>
          <w:lang w:val="es-ES_tradnl"/>
        </w:rPr>
        <w:t xml:space="preserve"> por</w:t>
      </w:r>
      <w:r w:rsidR="0053212D" w:rsidRPr="002D2907">
        <w:rPr>
          <w:rFonts w:asciiTheme="majorHAnsi" w:hAnsiTheme="majorHAnsi"/>
          <w:sz w:val="20"/>
          <w:szCs w:val="20"/>
          <w:lang w:val="es-ES_tradnl"/>
        </w:rPr>
        <w:t xml:space="preserve"> el Superior Tribunal de Justicia de la Pampa</w:t>
      </w:r>
      <w:r w:rsidR="00BD1519" w:rsidRPr="002D2907">
        <w:rPr>
          <w:rFonts w:asciiTheme="majorHAnsi" w:hAnsiTheme="majorHAnsi"/>
          <w:sz w:val="20"/>
          <w:szCs w:val="20"/>
          <w:lang w:val="es-ES_tradnl"/>
        </w:rPr>
        <w:t>.</w:t>
      </w:r>
    </w:p>
    <w:p w14:paraId="7244591B" w14:textId="77777777" w:rsidR="00BC09B3" w:rsidRPr="002D2907" w:rsidRDefault="00BC09B3" w:rsidP="00BC09B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p>
    <w:p w14:paraId="246E8A26" w14:textId="7AC9E909" w:rsidR="006D54DE" w:rsidRPr="002D2907" w:rsidRDefault="006D54DE"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iCs/>
          <w:sz w:val="20"/>
          <w:szCs w:val="20"/>
          <w:lang w:val="es-ES_tradnl"/>
        </w:rPr>
        <w:t>Sostiene que</w:t>
      </w:r>
      <w:r w:rsidR="00BD1519" w:rsidRPr="002D2907">
        <w:rPr>
          <w:rFonts w:asciiTheme="majorHAnsi" w:hAnsiTheme="majorHAnsi"/>
          <w:iCs/>
          <w:sz w:val="20"/>
          <w:szCs w:val="20"/>
          <w:lang w:val="es-ES_tradnl"/>
        </w:rPr>
        <w:t xml:space="preserve"> los planteamientos del peticionario se reducen a su mero descontento con la interpretación </w:t>
      </w:r>
      <w:r w:rsidR="00B31734" w:rsidRPr="002D2907">
        <w:rPr>
          <w:rFonts w:asciiTheme="majorHAnsi" w:hAnsiTheme="majorHAnsi"/>
          <w:iCs/>
          <w:sz w:val="20"/>
          <w:szCs w:val="20"/>
          <w:lang w:val="es-ES_tradnl"/>
        </w:rPr>
        <w:t>que el jurado de enjuiciamiento realizó sobre las normas locales</w:t>
      </w:r>
      <w:r w:rsidR="00BD1519" w:rsidRPr="002D2907">
        <w:rPr>
          <w:rFonts w:asciiTheme="majorHAnsi" w:hAnsiTheme="majorHAnsi"/>
          <w:iCs/>
          <w:sz w:val="20"/>
          <w:szCs w:val="20"/>
          <w:lang w:val="es-ES_tradnl"/>
        </w:rPr>
        <w:t xml:space="preserve">. </w:t>
      </w:r>
    </w:p>
    <w:p w14:paraId="2EFDF33C" w14:textId="77777777" w:rsidR="00BC09B3" w:rsidRPr="002D2907" w:rsidRDefault="00BC09B3" w:rsidP="00BC09B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F4D4171" w14:textId="5C288326" w:rsidR="003239B8" w:rsidRPr="002D2907" w:rsidRDefault="003239B8" w:rsidP="00E83937">
      <w:pPr>
        <w:ind w:firstLine="720"/>
        <w:jc w:val="both"/>
        <w:rPr>
          <w:rFonts w:asciiTheme="majorHAnsi" w:eastAsia="Cambria" w:hAnsiTheme="majorHAnsi" w:cs="Cambria"/>
          <w:b/>
          <w:bCs/>
          <w:color w:val="000000"/>
          <w:sz w:val="20"/>
          <w:szCs w:val="20"/>
          <w:u w:color="000000"/>
          <w:lang w:val="es-ES_tradnl" w:eastAsia="es-ES"/>
        </w:rPr>
      </w:pPr>
      <w:r w:rsidRPr="002D2907">
        <w:rPr>
          <w:rFonts w:asciiTheme="majorHAnsi" w:eastAsia="Cambria" w:hAnsiTheme="majorHAnsi" w:cs="Cambria"/>
          <w:b/>
          <w:bCs/>
          <w:color w:val="000000"/>
          <w:sz w:val="20"/>
          <w:szCs w:val="20"/>
          <w:u w:color="000000"/>
          <w:lang w:val="es-ES_tradnl" w:eastAsia="es-ES"/>
        </w:rPr>
        <w:t>VI.</w:t>
      </w:r>
      <w:r w:rsidRPr="002D2907">
        <w:rPr>
          <w:rFonts w:asciiTheme="majorHAnsi" w:eastAsia="Cambria" w:hAnsiTheme="majorHAnsi" w:cs="Cambria"/>
          <w:b/>
          <w:bCs/>
          <w:color w:val="000000"/>
          <w:sz w:val="20"/>
          <w:szCs w:val="20"/>
          <w:u w:color="000000"/>
          <w:lang w:val="es-ES_tradnl" w:eastAsia="es-ES"/>
        </w:rPr>
        <w:tab/>
      </w:r>
      <w:r w:rsidR="004A6A54" w:rsidRPr="002D2907">
        <w:rPr>
          <w:rFonts w:asciiTheme="majorHAnsi" w:hAnsiTheme="majorHAnsi"/>
          <w:b/>
          <w:bCs/>
          <w:sz w:val="20"/>
          <w:szCs w:val="20"/>
          <w:lang w:val="es-ES_tradnl"/>
        </w:rPr>
        <w:t xml:space="preserve">ANÁLISIS DE </w:t>
      </w:r>
      <w:r w:rsidR="00C21FEF" w:rsidRPr="002D2907">
        <w:rPr>
          <w:rFonts w:asciiTheme="majorHAnsi" w:hAnsiTheme="majorHAnsi"/>
          <w:b/>
          <w:sz w:val="20"/>
          <w:szCs w:val="20"/>
          <w:lang w:val="es-ES_tradnl"/>
        </w:rPr>
        <w:t>AGOTAMIENTO DE LOS RECURSOS INTERNOS Y PLAZO DE PRESENTACIÓN</w:t>
      </w:r>
      <w:r w:rsidR="00C21FEF" w:rsidRPr="002D2907">
        <w:rPr>
          <w:rFonts w:asciiTheme="majorHAnsi" w:eastAsia="Cambria" w:hAnsiTheme="majorHAnsi" w:cs="Cambria"/>
          <w:b/>
          <w:bCs/>
          <w:color w:val="000000"/>
          <w:sz w:val="20"/>
          <w:szCs w:val="20"/>
          <w:u w:color="000000"/>
          <w:lang w:val="es-ES_tradnl" w:eastAsia="es-ES"/>
        </w:rPr>
        <w:t xml:space="preserve"> </w:t>
      </w:r>
    </w:p>
    <w:p w14:paraId="193C2771" w14:textId="77777777" w:rsidR="00BC09B3" w:rsidRPr="002D2907" w:rsidRDefault="00BC09B3" w:rsidP="00E83937">
      <w:pPr>
        <w:ind w:firstLine="720"/>
        <w:jc w:val="both"/>
        <w:rPr>
          <w:rFonts w:asciiTheme="majorHAnsi" w:hAnsiTheme="majorHAnsi"/>
          <w:sz w:val="20"/>
          <w:szCs w:val="20"/>
          <w:lang w:val="es-ES_tradnl"/>
        </w:rPr>
      </w:pPr>
    </w:p>
    <w:p w14:paraId="3A13A81A" w14:textId="48208692" w:rsidR="00BC09B3" w:rsidRPr="002D2907" w:rsidRDefault="000A12F6" w:rsidP="00BC09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2D2907">
        <w:rPr>
          <w:rFonts w:asciiTheme="majorHAnsi" w:hAnsiTheme="majorHAnsi"/>
          <w:sz w:val="20"/>
          <w:szCs w:val="20"/>
          <w:lang w:val="es-ES_tradnl"/>
        </w:rPr>
        <w:t>La parte peticionaria indica que los recursos domésticos fueron agotados con la resolución de la Corte Suprema de Justicia de la Nación, de</w:t>
      </w:r>
      <w:r w:rsidR="00BC09B3" w:rsidRPr="002D2907">
        <w:rPr>
          <w:rFonts w:asciiTheme="majorHAnsi" w:hAnsiTheme="majorHAnsi"/>
          <w:sz w:val="20"/>
          <w:szCs w:val="20"/>
          <w:lang w:val="es-ES_tradnl"/>
        </w:rPr>
        <w:t>l</w:t>
      </w:r>
      <w:r w:rsidRPr="002D2907">
        <w:rPr>
          <w:rFonts w:asciiTheme="majorHAnsi" w:hAnsiTheme="majorHAnsi"/>
          <w:sz w:val="20"/>
          <w:szCs w:val="20"/>
          <w:lang w:val="es-ES_tradnl"/>
        </w:rPr>
        <w:t xml:space="preserve"> 1 de junio de 2010</w:t>
      </w:r>
      <w:r w:rsidR="00BC09B3" w:rsidRPr="002D2907">
        <w:rPr>
          <w:rFonts w:asciiTheme="majorHAnsi" w:hAnsiTheme="majorHAnsi"/>
          <w:sz w:val="20"/>
          <w:szCs w:val="20"/>
          <w:lang w:val="es-ES_tradnl"/>
        </w:rPr>
        <w:t>,</w:t>
      </w:r>
      <w:r w:rsidRPr="002D2907">
        <w:rPr>
          <w:rFonts w:asciiTheme="majorHAnsi" w:hAnsiTheme="majorHAnsi"/>
          <w:sz w:val="20"/>
          <w:szCs w:val="20"/>
          <w:lang w:val="es-ES_tradnl"/>
        </w:rPr>
        <w:t xml:space="preserve"> notificada el 16 de </w:t>
      </w:r>
      <w:r w:rsidR="00BC09B3" w:rsidRPr="002D2907">
        <w:rPr>
          <w:rFonts w:asciiTheme="majorHAnsi" w:hAnsiTheme="majorHAnsi"/>
          <w:sz w:val="20"/>
          <w:szCs w:val="20"/>
          <w:lang w:val="es-ES_tradnl"/>
        </w:rPr>
        <w:t>ese mes y año</w:t>
      </w:r>
      <w:r w:rsidRPr="002D2907">
        <w:rPr>
          <w:rFonts w:asciiTheme="majorHAnsi" w:hAnsiTheme="majorHAnsi"/>
          <w:sz w:val="20"/>
          <w:szCs w:val="20"/>
          <w:lang w:val="es-ES_tradnl"/>
        </w:rPr>
        <w:t>. El Estado, por su parte, no objeta que la jurisdicción nacional se encuentra agotada</w:t>
      </w:r>
      <w:r w:rsidR="00D238EE" w:rsidRPr="002D2907">
        <w:rPr>
          <w:rFonts w:asciiTheme="majorHAnsi" w:hAnsiTheme="majorHAnsi"/>
          <w:sz w:val="20"/>
          <w:szCs w:val="20"/>
          <w:lang w:val="es-ES_tradnl"/>
        </w:rPr>
        <w:t>.</w:t>
      </w:r>
    </w:p>
    <w:p w14:paraId="22D77A30" w14:textId="77777777" w:rsidR="00BC09B3" w:rsidRPr="002D2907" w:rsidRDefault="00BC09B3" w:rsidP="00BC09B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lang w:val="es-ES_tradnl"/>
        </w:rPr>
      </w:pPr>
    </w:p>
    <w:p w14:paraId="7E46119F" w14:textId="77777777" w:rsidR="001B1617" w:rsidRPr="002D2907" w:rsidRDefault="000A12F6" w:rsidP="001B16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 xml:space="preserve">La Comisión considera que con respecto a las reclamaciones relativas a violaciones a los derechos </w:t>
      </w:r>
      <w:r w:rsidR="001E24D6" w:rsidRPr="002D2907">
        <w:rPr>
          <w:rFonts w:asciiTheme="majorHAnsi" w:hAnsiTheme="majorHAnsi"/>
          <w:sz w:val="20"/>
          <w:szCs w:val="20"/>
          <w:lang w:val="es-ES_tradnl"/>
        </w:rPr>
        <w:t xml:space="preserve">de la presunta víctima </w:t>
      </w:r>
      <w:r w:rsidRPr="002D2907">
        <w:rPr>
          <w:rFonts w:asciiTheme="majorHAnsi" w:hAnsiTheme="majorHAnsi"/>
          <w:sz w:val="20"/>
          <w:szCs w:val="20"/>
          <w:lang w:val="es-ES_tradnl"/>
        </w:rPr>
        <w:t xml:space="preserve">en el contexto del juicio político que se le adelantó, los recursos internos fueron </w:t>
      </w:r>
      <w:r w:rsidR="00552661" w:rsidRPr="002D2907">
        <w:rPr>
          <w:rFonts w:asciiTheme="majorHAnsi" w:hAnsiTheme="majorHAnsi"/>
          <w:sz w:val="20"/>
          <w:szCs w:val="20"/>
          <w:lang w:val="es-ES_tradnl"/>
        </w:rPr>
        <w:t xml:space="preserve">formalmente </w:t>
      </w:r>
      <w:r w:rsidRPr="002D2907">
        <w:rPr>
          <w:rFonts w:asciiTheme="majorHAnsi" w:hAnsiTheme="majorHAnsi"/>
          <w:sz w:val="20"/>
          <w:szCs w:val="20"/>
          <w:lang w:val="es-ES_tradnl"/>
        </w:rPr>
        <w:t xml:space="preserve">agotados con la resolución notificada el 16 de junio de 2010 emitida por la Corte Suprema de Justicia de la Nación. Por lo tanto, esta parte de la petición cumple con </w:t>
      </w:r>
      <w:r w:rsidR="00552661" w:rsidRPr="002D2907">
        <w:rPr>
          <w:rFonts w:asciiTheme="majorHAnsi" w:hAnsiTheme="majorHAnsi"/>
          <w:sz w:val="20"/>
          <w:szCs w:val="20"/>
          <w:lang w:val="es-ES_tradnl"/>
        </w:rPr>
        <w:t>el</w:t>
      </w:r>
      <w:r w:rsidRPr="002D2907">
        <w:rPr>
          <w:rFonts w:asciiTheme="majorHAnsi" w:hAnsiTheme="majorHAnsi"/>
          <w:sz w:val="20"/>
          <w:szCs w:val="20"/>
          <w:lang w:val="es-ES_tradnl"/>
        </w:rPr>
        <w:t xml:space="preserve"> requisito del artículo 46.1</w:t>
      </w:r>
      <w:r w:rsidR="00552661" w:rsidRPr="002D2907">
        <w:rPr>
          <w:rFonts w:asciiTheme="majorHAnsi" w:hAnsiTheme="majorHAnsi"/>
          <w:sz w:val="20"/>
          <w:szCs w:val="20"/>
          <w:lang w:val="es-ES_tradnl"/>
        </w:rPr>
        <w:t>.a)</w:t>
      </w:r>
      <w:r w:rsidRPr="002D2907">
        <w:rPr>
          <w:rFonts w:asciiTheme="majorHAnsi" w:hAnsiTheme="majorHAnsi"/>
          <w:sz w:val="20"/>
          <w:szCs w:val="20"/>
          <w:lang w:val="es-ES_tradnl"/>
        </w:rPr>
        <w:t xml:space="preserve"> de la Convención. La petición fue presentada el 16 de diciembre de 2010 por lo que </w:t>
      </w:r>
      <w:r w:rsidR="00552661" w:rsidRPr="002D2907">
        <w:rPr>
          <w:rFonts w:asciiTheme="majorHAnsi" w:hAnsiTheme="majorHAnsi"/>
          <w:sz w:val="20"/>
          <w:szCs w:val="20"/>
          <w:lang w:val="es-ES_tradnl"/>
        </w:rPr>
        <w:t xml:space="preserve">también </w:t>
      </w:r>
      <w:r w:rsidRPr="002D2907">
        <w:rPr>
          <w:rFonts w:asciiTheme="majorHAnsi" w:hAnsiTheme="majorHAnsi"/>
          <w:sz w:val="20"/>
          <w:szCs w:val="20"/>
          <w:lang w:val="es-ES_tradnl"/>
        </w:rPr>
        <w:t xml:space="preserve">cumple con el plazo establecido en </w:t>
      </w:r>
      <w:r w:rsidR="00552661" w:rsidRPr="002D2907">
        <w:rPr>
          <w:rFonts w:asciiTheme="majorHAnsi" w:hAnsiTheme="majorHAnsi"/>
          <w:sz w:val="20"/>
          <w:szCs w:val="20"/>
          <w:lang w:val="es-ES_tradnl"/>
        </w:rPr>
        <w:t>su</w:t>
      </w:r>
      <w:r w:rsidRPr="002D2907">
        <w:rPr>
          <w:rFonts w:asciiTheme="majorHAnsi" w:hAnsiTheme="majorHAnsi"/>
          <w:sz w:val="20"/>
          <w:szCs w:val="20"/>
          <w:lang w:val="es-ES_tradnl"/>
        </w:rPr>
        <w:t xml:space="preserve"> artículo 46.2</w:t>
      </w:r>
      <w:r w:rsidR="00552661" w:rsidRPr="002D2907">
        <w:rPr>
          <w:rFonts w:asciiTheme="majorHAnsi" w:hAnsiTheme="majorHAnsi"/>
          <w:sz w:val="20"/>
          <w:szCs w:val="20"/>
          <w:lang w:val="es-ES_tradnl"/>
        </w:rPr>
        <w:t>.b)</w:t>
      </w:r>
      <w:r w:rsidRPr="002D2907">
        <w:rPr>
          <w:rFonts w:asciiTheme="majorHAnsi" w:hAnsiTheme="majorHAnsi"/>
          <w:sz w:val="20"/>
          <w:szCs w:val="20"/>
          <w:lang w:val="es-ES_tradnl"/>
        </w:rPr>
        <w:t>.</w:t>
      </w:r>
    </w:p>
    <w:p w14:paraId="611EFE6A" w14:textId="77777777" w:rsidR="001B1617" w:rsidRPr="002D2907" w:rsidRDefault="001B1617" w:rsidP="001B1617">
      <w:pPr>
        <w:pStyle w:val="ListParagraph"/>
        <w:rPr>
          <w:rFonts w:asciiTheme="majorHAnsi" w:hAnsiTheme="majorHAnsi"/>
          <w:sz w:val="20"/>
          <w:szCs w:val="20"/>
          <w:lang w:val="es-ES_tradnl"/>
        </w:rPr>
      </w:pPr>
    </w:p>
    <w:p w14:paraId="7C260BD9" w14:textId="5241FB6C" w:rsidR="00F1249D" w:rsidRPr="002D2907" w:rsidRDefault="00F1249D" w:rsidP="001B16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lastRenderedPageBreak/>
        <w:t>Respecto al reclamo relativo a la supuesta falta de imparcialidad del integrante de uno de los integrantes del jurado, la Comisión observa que existe controversia entre las partes respecto a si este agravio fue planteado oportunamente a nivel doméstico. Esto pues, el recurso relevante fue rechazado por extemporáneo, pero el peticionario alega que esto ocurrió durante los días que el jurado de enjuiciamiento luego declaró</w:t>
      </w:r>
      <w:r w:rsidR="001B1617" w:rsidRPr="002D2907">
        <w:rPr>
          <w:rFonts w:asciiTheme="majorHAnsi" w:hAnsiTheme="majorHAnsi"/>
          <w:sz w:val="20"/>
          <w:szCs w:val="20"/>
          <w:lang w:val="es-ES_tradnl"/>
        </w:rPr>
        <w:t xml:space="preserve"> </w:t>
      </w:r>
      <w:r w:rsidRPr="002D2907">
        <w:rPr>
          <w:rFonts w:asciiTheme="majorHAnsi" w:hAnsiTheme="majorHAnsi"/>
          <w:sz w:val="20"/>
          <w:szCs w:val="20"/>
          <w:lang w:val="es-ES_tradnl"/>
        </w:rPr>
        <w:t>como días inhábiles para efectos del cómputo del plazo de los noventa días. La Comisión considera que no es necesario definir si los recursos internos fueron adecuadamente agotados con respecto a esta reclamación, dado que la misma resulta inadmisible con fundamento en el artículo 47(b) de la Convención Americana según se expone en la sección VII de este informe</w:t>
      </w:r>
      <w:r w:rsidRPr="002D2907">
        <w:rPr>
          <w:rFonts w:asciiTheme="majorHAnsi" w:hAnsiTheme="majorHAnsi" w:cs="Calibri"/>
          <w:sz w:val="20"/>
          <w:szCs w:val="20"/>
          <w:lang w:val="es-ES_tradnl"/>
        </w:rPr>
        <w:t>.</w:t>
      </w:r>
      <w:r w:rsidRPr="002D2907">
        <w:rPr>
          <w:rFonts w:asciiTheme="majorHAnsi" w:hAnsiTheme="majorHAnsi"/>
          <w:sz w:val="20"/>
          <w:szCs w:val="20"/>
          <w:lang w:val="es-ES_tradnl"/>
        </w:rPr>
        <w:t xml:space="preserve">  </w:t>
      </w:r>
    </w:p>
    <w:p w14:paraId="48572F02" w14:textId="77777777" w:rsidR="001B1617" w:rsidRPr="002D2907" w:rsidRDefault="001B1617" w:rsidP="001B161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1D47E3F" w14:textId="32FCDF3B" w:rsidR="003239B8" w:rsidRPr="002D2907" w:rsidRDefault="000A12F6"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 xml:space="preserve">En cuanto a la parte de la petición que se refiere a presuntas </w:t>
      </w:r>
      <w:r w:rsidR="008A40F1" w:rsidRPr="002D2907">
        <w:rPr>
          <w:rFonts w:asciiTheme="majorHAnsi" w:hAnsiTheme="majorHAnsi"/>
          <w:sz w:val="20"/>
          <w:szCs w:val="20"/>
          <w:lang w:val="es-ES_tradnl"/>
        </w:rPr>
        <w:t xml:space="preserve">violaciones en el contexto del </w:t>
      </w:r>
      <w:r w:rsidRPr="002D2907">
        <w:rPr>
          <w:rFonts w:asciiTheme="majorHAnsi" w:hAnsiTheme="majorHAnsi"/>
          <w:sz w:val="20"/>
          <w:szCs w:val="20"/>
          <w:lang w:val="es-ES_tradnl"/>
        </w:rPr>
        <w:t xml:space="preserve">proceso penal adelantado contra el peticionario en la justicia ordinaria y una posible violación del principio </w:t>
      </w:r>
      <w:r w:rsidRPr="002D2907">
        <w:rPr>
          <w:rFonts w:asciiTheme="majorHAnsi" w:hAnsiTheme="majorHAnsi"/>
          <w:i/>
          <w:sz w:val="20"/>
          <w:szCs w:val="20"/>
          <w:lang w:val="es-ES_tradnl"/>
        </w:rPr>
        <w:t>non bis in ídem</w:t>
      </w:r>
      <w:r w:rsidRPr="002D2907">
        <w:rPr>
          <w:rFonts w:asciiTheme="majorHAnsi" w:hAnsiTheme="majorHAnsi"/>
          <w:sz w:val="20"/>
          <w:szCs w:val="20"/>
          <w:lang w:val="es-ES_tradnl"/>
        </w:rPr>
        <w:t xml:space="preserve">, la Comisión observa que el peticionario no ha aportado </w:t>
      </w:r>
      <w:r w:rsidR="00B31734" w:rsidRPr="002D2907">
        <w:rPr>
          <w:rFonts w:asciiTheme="majorHAnsi" w:hAnsiTheme="majorHAnsi"/>
          <w:sz w:val="20"/>
          <w:szCs w:val="20"/>
          <w:lang w:val="es-ES_tradnl"/>
        </w:rPr>
        <w:t xml:space="preserve">información que indique </w:t>
      </w:r>
      <w:r w:rsidRPr="002D2907">
        <w:rPr>
          <w:rFonts w:asciiTheme="majorHAnsi" w:hAnsiTheme="majorHAnsi"/>
          <w:sz w:val="20"/>
          <w:szCs w:val="20"/>
          <w:lang w:val="es-ES_tradnl"/>
        </w:rPr>
        <w:t>que haya planteado estas reclamaciones a nivel doméstico. Por lo tanto, la comisión concluye que esta parte de la petición resulta inadmisible por no cumplir con los requisitos del artículo 46.1</w:t>
      </w:r>
      <w:r w:rsidR="001B1617" w:rsidRPr="002D2907">
        <w:rPr>
          <w:rFonts w:asciiTheme="majorHAnsi" w:hAnsiTheme="majorHAnsi"/>
          <w:sz w:val="20"/>
          <w:szCs w:val="20"/>
          <w:lang w:val="es-ES_tradnl"/>
        </w:rPr>
        <w:t>.</w:t>
      </w:r>
      <w:r w:rsidRPr="002D2907">
        <w:rPr>
          <w:rFonts w:asciiTheme="majorHAnsi" w:hAnsiTheme="majorHAnsi"/>
          <w:sz w:val="20"/>
          <w:szCs w:val="20"/>
          <w:lang w:val="es-ES_tradnl"/>
        </w:rPr>
        <w:t xml:space="preserve">a) de la Convención Americana.  </w:t>
      </w:r>
    </w:p>
    <w:p w14:paraId="7047436F" w14:textId="77777777" w:rsidR="001B1617" w:rsidRPr="002D2907" w:rsidRDefault="001B1617" w:rsidP="001B161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FFBE378" w14:textId="2A0C9BEC" w:rsidR="003239B8" w:rsidRPr="002D2907" w:rsidRDefault="003239B8" w:rsidP="00E83937">
      <w:pPr>
        <w:pStyle w:val="ListParagraph"/>
        <w:jc w:val="both"/>
        <w:rPr>
          <w:rFonts w:asciiTheme="majorHAnsi" w:hAnsiTheme="majorHAnsi"/>
          <w:b/>
          <w:bCs/>
          <w:sz w:val="20"/>
          <w:szCs w:val="20"/>
          <w:lang w:val="es-ES_tradnl"/>
        </w:rPr>
      </w:pPr>
      <w:r w:rsidRPr="002D2907">
        <w:rPr>
          <w:rFonts w:asciiTheme="majorHAnsi" w:hAnsiTheme="majorHAnsi"/>
          <w:b/>
          <w:bCs/>
          <w:sz w:val="20"/>
          <w:szCs w:val="20"/>
          <w:lang w:val="es-ES_tradnl"/>
        </w:rPr>
        <w:t>VII.</w:t>
      </w:r>
      <w:r w:rsidRPr="002D2907">
        <w:rPr>
          <w:rFonts w:asciiTheme="majorHAnsi" w:hAnsiTheme="majorHAnsi"/>
          <w:b/>
          <w:bCs/>
          <w:sz w:val="20"/>
          <w:szCs w:val="20"/>
          <w:lang w:val="es-ES_tradnl"/>
        </w:rPr>
        <w:tab/>
      </w:r>
      <w:r w:rsidR="004A6A54" w:rsidRPr="002D2907">
        <w:rPr>
          <w:rFonts w:asciiTheme="majorHAnsi" w:hAnsiTheme="majorHAnsi"/>
          <w:b/>
          <w:bCs/>
          <w:sz w:val="20"/>
          <w:szCs w:val="20"/>
          <w:lang w:val="es-ES_tradnl"/>
        </w:rPr>
        <w:t xml:space="preserve">ANÁLISIS DE </w:t>
      </w:r>
      <w:r w:rsidR="00C21FEF" w:rsidRPr="002D2907">
        <w:rPr>
          <w:rFonts w:asciiTheme="majorHAnsi" w:hAnsiTheme="majorHAnsi"/>
          <w:b/>
          <w:bCs/>
          <w:sz w:val="20"/>
          <w:szCs w:val="20"/>
          <w:lang w:val="es-ES_tradnl"/>
        </w:rPr>
        <w:t>CARACTERIZACIÓN DE LOS HECHOS ALEGADOS</w:t>
      </w:r>
    </w:p>
    <w:p w14:paraId="40C67D22" w14:textId="77777777" w:rsidR="001B1617" w:rsidRPr="002D2907" w:rsidRDefault="001B1617" w:rsidP="001B1617">
      <w:pPr>
        <w:jc w:val="both"/>
        <w:rPr>
          <w:rFonts w:asciiTheme="majorHAnsi" w:hAnsiTheme="majorHAnsi"/>
          <w:b/>
          <w:sz w:val="20"/>
          <w:szCs w:val="20"/>
          <w:lang w:val="es-ES_tradnl"/>
        </w:rPr>
      </w:pPr>
    </w:p>
    <w:p w14:paraId="0A3113B5" w14:textId="2497ED7A" w:rsidR="00F1249D" w:rsidRPr="002D2907" w:rsidRDefault="00F1249D"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La presente petición</w:t>
      </w:r>
      <w:r w:rsidR="00351FD9" w:rsidRPr="002D2907">
        <w:rPr>
          <w:rFonts w:asciiTheme="majorHAnsi" w:hAnsiTheme="majorHAnsi"/>
          <w:sz w:val="20"/>
          <w:szCs w:val="20"/>
          <w:lang w:val="es-ES_tradnl"/>
        </w:rPr>
        <w:t xml:space="preserve">, en sus partes que resultan admisibles conforme a la sección VI de este informe, </w:t>
      </w:r>
      <w:r w:rsidRPr="002D2907">
        <w:rPr>
          <w:rFonts w:asciiTheme="majorHAnsi" w:hAnsiTheme="majorHAnsi"/>
          <w:sz w:val="20"/>
          <w:szCs w:val="20"/>
          <w:lang w:val="es-ES_tradnl"/>
        </w:rPr>
        <w:t>incluye alegaciones con respecto a que los derechos de la presunta víctima se vieron vulnerados porque</w:t>
      </w:r>
      <w:r w:rsidR="00351FD9" w:rsidRPr="002D2907">
        <w:rPr>
          <w:rFonts w:asciiTheme="majorHAnsi" w:hAnsiTheme="majorHAnsi"/>
          <w:sz w:val="20"/>
          <w:szCs w:val="20"/>
          <w:lang w:val="es-ES_tradnl"/>
        </w:rPr>
        <w:t>:</w:t>
      </w:r>
      <w:r w:rsidRPr="002D2907">
        <w:rPr>
          <w:rFonts w:asciiTheme="majorHAnsi" w:hAnsiTheme="majorHAnsi"/>
          <w:sz w:val="20"/>
          <w:szCs w:val="20"/>
          <w:lang w:val="es-ES_tradnl"/>
        </w:rPr>
        <w:t xml:space="preserve"> el jurado de enjuiciamiento decidió su destitución encontrándose prescrita su competencia temporal para ello; el jurado rechazó la excepción de caducidad utilizando un criterio para el cálculo de plazos incongruente con el utilizado por el mismo jurado en una etapa previa del proceso</w:t>
      </w:r>
      <w:r w:rsidR="00351FD9" w:rsidRPr="002D2907">
        <w:rPr>
          <w:rFonts w:asciiTheme="majorHAnsi" w:hAnsiTheme="majorHAnsi"/>
          <w:sz w:val="20"/>
          <w:szCs w:val="20"/>
          <w:lang w:val="es-ES_tradnl"/>
        </w:rPr>
        <w:t>; la presunta víctima no tuvo acceso a una segunda instancia para apelar una decisión sancionatoria emitida en su contra; uno de los integrantes del jurado de enjuiciam</w:t>
      </w:r>
      <w:r w:rsidR="00EA20D3" w:rsidRPr="002D2907">
        <w:rPr>
          <w:rFonts w:asciiTheme="majorHAnsi" w:hAnsiTheme="majorHAnsi"/>
          <w:sz w:val="20"/>
          <w:szCs w:val="20"/>
          <w:lang w:val="es-ES_tradnl"/>
        </w:rPr>
        <w:t xml:space="preserve">iento fue designado ilegalmente; </w:t>
      </w:r>
      <w:r w:rsidR="00351FD9" w:rsidRPr="002D2907">
        <w:rPr>
          <w:rFonts w:asciiTheme="majorHAnsi" w:hAnsiTheme="majorHAnsi"/>
          <w:sz w:val="20"/>
          <w:szCs w:val="20"/>
          <w:lang w:val="es-ES_tradnl"/>
        </w:rPr>
        <w:t xml:space="preserve">y </w:t>
      </w:r>
      <w:r w:rsidR="00EA20D3" w:rsidRPr="002D2907">
        <w:rPr>
          <w:rFonts w:asciiTheme="majorHAnsi" w:hAnsiTheme="majorHAnsi"/>
          <w:sz w:val="20"/>
          <w:szCs w:val="20"/>
          <w:lang w:val="es-ES_tradnl"/>
        </w:rPr>
        <w:t>que el jurado de enjuiciamiento careció de imparcialidad por razón de un voto emitido por uno de sus integrantes en un proceso previo y porque</w:t>
      </w:r>
      <w:r w:rsidR="00351FD9" w:rsidRPr="002D2907">
        <w:rPr>
          <w:rFonts w:asciiTheme="majorHAnsi" w:hAnsiTheme="majorHAnsi"/>
          <w:sz w:val="20"/>
          <w:szCs w:val="20"/>
          <w:lang w:val="es-ES_tradnl"/>
        </w:rPr>
        <w:t xml:space="preserve"> el proceso especial de juicio político no p</w:t>
      </w:r>
      <w:r w:rsidR="00EA20D3" w:rsidRPr="002D2907">
        <w:rPr>
          <w:rFonts w:asciiTheme="majorHAnsi" w:hAnsiTheme="majorHAnsi"/>
          <w:sz w:val="20"/>
          <w:szCs w:val="20"/>
          <w:lang w:val="es-ES_tradnl"/>
        </w:rPr>
        <w:t>revió</w:t>
      </w:r>
      <w:r w:rsidR="00351FD9" w:rsidRPr="002D2907">
        <w:rPr>
          <w:rFonts w:asciiTheme="majorHAnsi" w:hAnsiTheme="majorHAnsi"/>
          <w:sz w:val="20"/>
          <w:szCs w:val="20"/>
          <w:lang w:val="es-ES_tradnl"/>
        </w:rPr>
        <w:t xml:space="preserve"> la separación entre las funciones de juzgamiento e instrucción. </w:t>
      </w:r>
    </w:p>
    <w:p w14:paraId="737E1A0A" w14:textId="77777777" w:rsidR="006E0FC1" w:rsidRPr="002D2907" w:rsidRDefault="006E0FC1" w:rsidP="006E0FC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FABE2A0" w14:textId="47B9DEBA" w:rsidR="00351FD9" w:rsidRPr="002D2907" w:rsidRDefault="00351FD9"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r w:rsidRPr="002D2907">
        <w:rPr>
          <w:rFonts w:asciiTheme="majorHAnsi" w:hAnsiTheme="majorHAnsi"/>
          <w:bCs/>
          <w:sz w:val="20"/>
          <w:szCs w:val="20"/>
          <w:lang w:val="es-ES_tradnl"/>
        </w:rPr>
        <w:t>La Comisión reitera que “</w:t>
      </w:r>
      <w:r w:rsidRPr="002D2907">
        <w:rPr>
          <w:rFonts w:asciiTheme="majorHAnsi" w:hAnsiTheme="majorHAnsi"/>
          <w:sz w:val="20"/>
          <w:szCs w:val="20"/>
          <w:lang w:val="es-ES_tradnl"/>
        </w:rPr>
        <w:t>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2D2907">
        <w:rPr>
          <w:rStyle w:val="FootnoteReference"/>
          <w:rFonts w:asciiTheme="majorHAnsi" w:hAnsiTheme="majorHAnsi" w:cs="Calibri"/>
          <w:sz w:val="20"/>
          <w:szCs w:val="20"/>
          <w:lang w:val="es-ES_tradnl"/>
        </w:rPr>
        <w:footnoteReference w:id="11"/>
      </w:r>
      <w:r w:rsidRPr="002D2907">
        <w:rPr>
          <w:rFonts w:asciiTheme="majorHAnsi" w:hAnsiTheme="majorHAnsi"/>
          <w:sz w:val="20"/>
          <w:szCs w:val="20"/>
          <w:lang w:val="es-ES_tradnl"/>
        </w:rPr>
        <w:t>.</w:t>
      </w:r>
    </w:p>
    <w:p w14:paraId="40A27164" w14:textId="77777777" w:rsidR="006E0FC1" w:rsidRPr="002D2907" w:rsidRDefault="006E0FC1" w:rsidP="006E0FC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0ABAA2E0" w14:textId="141C4114" w:rsidR="00F455B0" w:rsidRPr="002D2907" w:rsidRDefault="00F455B0"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r w:rsidRPr="002D2907">
        <w:rPr>
          <w:rFonts w:asciiTheme="majorHAnsi" w:hAnsiTheme="majorHAnsi"/>
          <w:bCs/>
          <w:sz w:val="20"/>
          <w:szCs w:val="20"/>
          <w:lang w:val="es-ES_tradnl"/>
        </w:rPr>
        <w:t xml:space="preserve">Con respecto a la supuesta incongruencia entre los criterios utilizados por el jurado para el cálculo de los plazos procesales en dos etapas distintas del proceso, </w:t>
      </w:r>
      <w:r w:rsidRPr="002D2907">
        <w:rPr>
          <w:rFonts w:asciiTheme="majorHAnsi" w:hAnsiTheme="majorHAnsi"/>
          <w:sz w:val="20"/>
          <w:szCs w:val="20"/>
          <w:lang w:val="es-ES_tradnl"/>
        </w:rPr>
        <w:t xml:space="preserve">la Comisión recuerda que ya ha determinado que no le corresponde </w:t>
      </w:r>
      <w:r w:rsidRPr="002D2907">
        <w:rPr>
          <w:rFonts w:asciiTheme="majorHAnsi" w:hAnsiTheme="majorHAnsi" w:cs="Calibri"/>
          <w:sz w:val="20"/>
          <w:szCs w:val="20"/>
          <w:lang w:val="es-ES_tradnl"/>
        </w:rPr>
        <w:t>revisar una decisión que surja en el contexto de un poder judicial independiente e imparcial,  aun cuando haya error judicial, si el error judicial no puede caracterizar la violación de un derecho protegido por el Sistema Interamericano; así como que la parte peticionaria es quien tiene la carga de probar que la interpretación de los jueces desconoce el ámbito de protección que subyace a los mencionados derechos</w:t>
      </w:r>
      <w:r w:rsidRPr="002D2907">
        <w:rPr>
          <w:rStyle w:val="FootnoteReference"/>
          <w:rFonts w:asciiTheme="majorHAnsi" w:hAnsiTheme="majorHAnsi" w:cs="Calibri"/>
          <w:sz w:val="20"/>
          <w:szCs w:val="20"/>
          <w:lang w:val="es-ES_tradnl"/>
        </w:rPr>
        <w:footnoteReference w:id="12"/>
      </w:r>
      <w:r w:rsidRPr="002D2907">
        <w:rPr>
          <w:rFonts w:asciiTheme="majorHAnsi" w:hAnsiTheme="majorHAnsi" w:cs="Calibri"/>
          <w:sz w:val="20"/>
          <w:szCs w:val="20"/>
          <w:lang w:val="es-ES_tradnl"/>
        </w:rPr>
        <w:t xml:space="preserve">. En el presente caso, la Comisión estima que no cuenta con elementos que le permitan concluir, ni siquiera </w:t>
      </w:r>
      <w:r w:rsidRPr="002D2907">
        <w:rPr>
          <w:rFonts w:asciiTheme="majorHAnsi" w:hAnsiTheme="majorHAnsi" w:cs="Calibri"/>
          <w:i/>
          <w:sz w:val="20"/>
          <w:szCs w:val="20"/>
          <w:lang w:val="es-ES_tradnl"/>
        </w:rPr>
        <w:t>prima facie</w:t>
      </w:r>
      <w:r w:rsidRPr="002D2907">
        <w:rPr>
          <w:rFonts w:asciiTheme="majorHAnsi" w:hAnsiTheme="majorHAnsi" w:cs="Calibri"/>
          <w:sz w:val="20"/>
          <w:szCs w:val="20"/>
          <w:lang w:val="es-ES_tradnl"/>
        </w:rPr>
        <w:t>, que el aducido error de jurado de enjuiciamiento pudiera caracterizar una violación</w:t>
      </w:r>
      <w:r w:rsidR="00EA20D3" w:rsidRPr="002D2907">
        <w:rPr>
          <w:rFonts w:asciiTheme="majorHAnsi" w:hAnsiTheme="majorHAnsi" w:cs="Calibri"/>
          <w:sz w:val="20"/>
          <w:szCs w:val="20"/>
          <w:lang w:val="es-ES_tradnl"/>
        </w:rPr>
        <w:t xml:space="preserve"> a la Convención Americana o a alguno de los instrumentos que otorgan competencia a la Comisión</w:t>
      </w:r>
      <w:r w:rsidRPr="002D2907">
        <w:rPr>
          <w:rFonts w:asciiTheme="majorHAnsi" w:hAnsiTheme="majorHAnsi" w:cs="Calibri"/>
          <w:sz w:val="20"/>
          <w:szCs w:val="20"/>
          <w:lang w:val="es-ES_tradnl"/>
        </w:rPr>
        <w:t>.</w:t>
      </w:r>
    </w:p>
    <w:p w14:paraId="1AF95151" w14:textId="77777777" w:rsidR="006E0FC1" w:rsidRPr="002D2907" w:rsidRDefault="006E0FC1" w:rsidP="006E0FC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0F3FD7E4" w14:textId="632740DF" w:rsidR="00F455B0" w:rsidRPr="002D2907" w:rsidRDefault="00F455B0"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 xml:space="preserve">En cuanto a la alegada imposibilidad de recurrir la decisión sancionatoria adoptada </w:t>
      </w:r>
      <w:r w:rsidR="00EA20D3" w:rsidRPr="002D2907">
        <w:rPr>
          <w:rFonts w:asciiTheme="majorHAnsi" w:hAnsiTheme="majorHAnsi"/>
          <w:sz w:val="20"/>
          <w:szCs w:val="20"/>
          <w:lang w:val="es-ES_tradnl"/>
        </w:rPr>
        <w:t xml:space="preserve">por el jurado de </w:t>
      </w:r>
      <w:r w:rsidR="008A40F1" w:rsidRPr="002D2907">
        <w:rPr>
          <w:rFonts w:asciiTheme="majorHAnsi" w:hAnsiTheme="majorHAnsi"/>
          <w:sz w:val="20"/>
          <w:szCs w:val="20"/>
          <w:lang w:val="es-ES_tradnl"/>
        </w:rPr>
        <w:t>enjuiciamiento</w:t>
      </w:r>
      <w:r w:rsidRPr="002D2907">
        <w:rPr>
          <w:rFonts w:asciiTheme="majorHAnsi" w:hAnsiTheme="majorHAnsi"/>
          <w:sz w:val="20"/>
          <w:szCs w:val="20"/>
          <w:lang w:val="es-ES_tradnl"/>
        </w:rPr>
        <w:t>, la Comisión observa que surge del expediente que la presunta víctima tuvo</w:t>
      </w:r>
      <w:r w:rsidR="007245D2" w:rsidRPr="002D2907">
        <w:rPr>
          <w:rFonts w:asciiTheme="majorHAnsi" w:hAnsiTheme="majorHAnsi"/>
          <w:sz w:val="20"/>
          <w:szCs w:val="20"/>
          <w:lang w:val="es-ES_tradnl"/>
        </w:rPr>
        <w:t xml:space="preserve">, en efecto, la oportunidad </w:t>
      </w:r>
      <w:r w:rsidRPr="002D2907">
        <w:rPr>
          <w:rFonts w:asciiTheme="majorHAnsi" w:hAnsiTheme="majorHAnsi"/>
          <w:sz w:val="20"/>
          <w:szCs w:val="20"/>
          <w:lang w:val="es-ES_tradnl"/>
        </w:rPr>
        <w:t xml:space="preserve">de presentar impugnaciones contra la decisión del jurado de enjuiciamiento ante otros </w:t>
      </w:r>
      <w:r w:rsidRPr="002D2907">
        <w:rPr>
          <w:rFonts w:asciiTheme="majorHAnsi" w:hAnsiTheme="majorHAnsi"/>
          <w:sz w:val="20"/>
          <w:szCs w:val="20"/>
          <w:lang w:val="es-ES_tradnl"/>
        </w:rPr>
        <w:lastRenderedPageBreak/>
        <w:t xml:space="preserve">tribunales, las que fueron resueltas. La Comisión estima que no surgen del expediente elementos o sustento para considerar, </w:t>
      </w:r>
      <w:r w:rsidRPr="002D2907">
        <w:rPr>
          <w:rFonts w:asciiTheme="majorHAnsi" w:hAnsiTheme="majorHAnsi"/>
          <w:i/>
          <w:sz w:val="20"/>
          <w:szCs w:val="20"/>
          <w:lang w:val="es-ES_tradnl"/>
        </w:rPr>
        <w:t>prima facie</w:t>
      </w:r>
      <w:r w:rsidRPr="002D2907">
        <w:rPr>
          <w:rFonts w:asciiTheme="majorHAnsi" w:hAnsiTheme="majorHAnsi"/>
          <w:sz w:val="20"/>
          <w:szCs w:val="20"/>
          <w:lang w:val="es-ES_tradnl"/>
        </w:rPr>
        <w:t xml:space="preserve">, que en el desarrollo </w:t>
      </w:r>
      <w:r w:rsidR="00EA20D3" w:rsidRPr="002D2907">
        <w:rPr>
          <w:rFonts w:asciiTheme="majorHAnsi" w:hAnsiTheme="majorHAnsi"/>
          <w:sz w:val="20"/>
          <w:szCs w:val="20"/>
          <w:lang w:val="es-ES_tradnl"/>
        </w:rPr>
        <w:t>de los procesos que decidieron</w:t>
      </w:r>
      <w:r w:rsidRPr="002D2907">
        <w:rPr>
          <w:rFonts w:asciiTheme="majorHAnsi" w:hAnsiTheme="majorHAnsi"/>
          <w:sz w:val="20"/>
          <w:szCs w:val="20"/>
          <w:lang w:val="es-ES_tradnl"/>
        </w:rPr>
        <w:t xml:space="preserve"> las impugnaciones se hayan vulnerado en perjuicio de la presunta víctima los derechos contemplados</w:t>
      </w:r>
      <w:r w:rsidR="00EA20D3" w:rsidRPr="002D2907">
        <w:rPr>
          <w:rFonts w:asciiTheme="majorHAnsi" w:hAnsiTheme="majorHAnsi"/>
          <w:sz w:val="20"/>
          <w:szCs w:val="20"/>
          <w:lang w:val="es-ES_tradnl"/>
        </w:rPr>
        <w:t xml:space="preserve"> en la Convención Americana o</w:t>
      </w:r>
      <w:r w:rsidRPr="002D2907">
        <w:rPr>
          <w:rFonts w:asciiTheme="majorHAnsi" w:hAnsiTheme="majorHAnsi"/>
          <w:sz w:val="20"/>
          <w:szCs w:val="20"/>
          <w:lang w:val="es-ES_tradnl"/>
        </w:rPr>
        <w:t xml:space="preserve"> en l</w:t>
      </w:r>
      <w:r w:rsidR="00EA20D3" w:rsidRPr="002D2907">
        <w:rPr>
          <w:rFonts w:asciiTheme="majorHAnsi" w:hAnsiTheme="majorHAnsi"/>
          <w:sz w:val="20"/>
          <w:szCs w:val="20"/>
          <w:lang w:val="es-ES_tradnl"/>
        </w:rPr>
        <w:t>os demás instrumentos que otorgan competencia a la Comisión</w:t>
      </w:r>
      <w:r w:rsidRPr="002D2907">
        <w:rPr>
          <w:rFonts w:asciiTheme="majorHAnsi" w:hAnsiTheme="majorHAnsi"/>
          <w:sz w:val="20"/>
          <w:szCs w:val="20"/>
          <w:lang w:val="es-ES_tradnl"/>
        </w:rPr>
        <w:t xml:space="preserve">. </w:t>
      </w:r>
      <w:r w:rsidR="00EA20D3" w:rsidRPr="002D2907">
        <w:rPr>
          <w:rFonts w:asciiTheme="majorHAnsi" w:hAnsiTheme="majorHAnsi"/>
          <w:sz w:val="20"/>
          <w:szCs w:val="20"/>
          <w:lang w:val="es-ES_tradnl"/>
        </w:rPr>
        <w:t>De igual manera y respecto a la supuesta falta de imparcialidad del jurado de enjuiciamiento y designación ilegal de uno de sus integrantes, la Comisión estima que la parte peticionaria no ha aportado ni surgen del expe</w:t>
      </w:r>
      <w:r w:rsidR="008A40F1" w:rsidRPr="002D2907">
        <w:rPr>
          <w:rFonts w:asciiTheme="majorHAnsi" w:hAnsiTheme="majorHAnsi"/>
          <w:sz w:val="20"/>
          <w:szCs w:val="20"/>
          <w:lang w:val="es-ES_tradnl"/>
        </w:rPr>
        <w:t xml:space="preserve">diente elementos que brinden sustento </w:t>
      </w:r>
      <w:r w:rsidR="008A40F1" w:rsidRPr="002D2907">
        <w:rPr>
          <w:rFonts w:asciiTheme="majorHAnsi" w:hAnsiTheme="majorHAnsi"/>
          <w:i/>
          <w:sz w:val="20"/>
          <w:szCs w:val="20"/>
          <w:lang w:val="es-ES_tradnl"/>
        </w:rPr>
        <w:t>prima facie</w:t>
      </w:r>
      <w:r w:rsidR="008A40F1" w:rsidRPr="002D2907">
        <w:rPr>
          <w:rFonts w:asciiTheme="majorHAnsi" w:hAnsiTheme="majorHAnsi"/>
          <w:sz w:val="20"/>
          <w:szCs w:val="20"/>
          <w:lang w:val="es-ES_tradnl"/>
        </w:rPr>
        <w:t xml:space="preserve"> a estas alegaciones. </w:t>
      </w:r>
    </w:p>
    <w:p w14:paraId="08440070" w14:textId="77777777" w:rsidR="00734A73" w:rsidRPr="002D2907" w:rsidRDefault="00734A73" w:rsidP="00734A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9D91E52" w14:textId="0586F517" w:rsidR="008A40F1" w:rsidRPr="002D2907" w:rsidRDefault="00A84050"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bCs/>
          <w:sz w:val="20"/>
          <w:szCs w:val="20"/>
          <w:lang w:val="es-ES_tradnl"/>
        </w:rPr>
        <w:t xml:space="preserve">En cuanto a las aducidas vulneraciones a artículos de la Declaración Americana, </w:t>
      </w:r>
      <w:r w:rsidRPr="002D2907">
        <w:rPr>
          <w:rFonts w:asciiTheme="majorHAnsi" w:hAnsiTheme="majorHAnsi" w:cs="Calibri"/>
          <w:sz w:val="20"/>
          <w:szCs w:val="20"/>
          <w:lang w:val="es-ES_tradnl"/>
        </w:rPr>
        <w:t>esta Comisión ha establecido con anterioridad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 En este caso las alegadas violaciones a la Declaración Americana encajan dentro del ámbito de protección de los artículos 8 y 25 de la Convención Americana. Por lo tanto</w:t>
      </w:r>
      <w:r w:rsidR="008A40F1" w:rsidRPr="002D2907">
        <w:rPr>
          <w:rFonts w:asciiTheme="majorHAnsi" w:hAnsiTheme="majorHAnsi" w:cs="Calibri"/>
          <w:sz w:val="20"/>
          <w:szCs w:val="20"/>
          <w:lang w:val="es-ES_tradnl"/>
        </w:rPr>
        <w:t>,</w:t>
      </w:r>
      <w:r w:rsidRPr="002D2907">
        <w:rPr>
          <w:rFonts w:asciiTheme="majorHAnsi" w:hAnsiTheme="majorHAnsi" w:cs="Calibri"/>
          <w:sz w:val="20"/>
          <w:szCs w:val="20"/>
          <w:lang w:val="es-ES_tradnl"/>
        </w:rPr>
        <w:t xml:space="preserve"> la Comisión </w:t>
      </w:r>
      <w:r w:rsidR="008A40F1" w:rsidRPr="002D2907">
        <w:rPr>
          <w:rFonts w:asciiTheme="majorHAnsi" w:hAnsiTheme="majorHAnsi" w:cs="Calibri"/>
          <w:sz w:val="20"/>
          <w:szCs w:val="20"/>
          <w:lang w:val="es-ES_tradnl"/>
        </w:rPr>
        <w:t>ha examinado</w:t>
      </w:r>
      <w:r w:rsidRPr="002D2907">
        <w:rPr>
          <w:rFonts w:asciiTheme="majorHAnsi" w:hAnsiTheme="majorHAnsi" w:cs="Calibri"/>
          <w:sz w:val="20"/>
          <w:szCs w:val="20"/>
          <w:lang w:val="es-ES_tradnl"/>
        </w:rPr>
        <w:t xml:space="preserve"> estos alegatos a la luz de la Convención Americana.</w:t>
      </w:r>
    </w:p>
    <w:p w14:paraId="25752A21" w14:textId="77777777" w:rsidR="00734A73" w:rsidRPr="002D2907" w:rsidRDefault="00734A73" w:rsidP="00734A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D524F5C" w14:textId="73F08C31" w:rsidR="00A11E44" w:rsidRPr="002D2907" w:rsidRDefault="00A84050"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 xml:space="preserve">Respecto a las aducidas violaciones a la Declaración Universal de Derechos Humanos y el Pacto Internacional de Derechos Civiles y Políticos, </w:t>
      </w:r>
      <w:r w:rsidRPr="002D2907">
        <w:rPr>
          <w:rFonts w:asciiTheme="majorHAnsi" w:hAnsiTheme="majorHAnsi" w:cs="Calibri"/>
          <w:sz w:val="20"/>
          <w:szCs w:val="20"/>
          <w:lang w:val="es-ES_tradnl"/>
        </w:rPr>
        <w:t xml:space="preserve">la Comisión recuerda que carece de competencia </w:t>
      </w:r>
      <w:r w:rsidRPr="002D2907">
        <w:rPr>
          <w:rFonts w:asciiTheme="majorHAnsi" w:hAnsiTheme="majorHAnsi" w:cs="Calibri"/>
          <w:i/>
          <w:sz w:val="20"/>
          <w:szCs w:val="20"/>
          <w:lang w:val="es-ES_tradnl"/>
        </w:rPr>
        <w:t>ratione materiae</w:t>
      </w:r>
      <w:r w:rsidRPr="002D2907">
        <w:rPr>
          <w:rFonts w:asciiTheme="majorHAnsi" w:hAnsiTheme="majorHAnsi" w:cs="Calibri"/>
          <w:sz w:val="20"/>
          <w:szCs w:val="20"/>
          <w:lang w:val="es-ES_tradnl"/>
        </w:rPr>
        <w:t xml:space="preserve"> para pronunciarse sobre violaciones a los derechos contenidos en instrumentos fuera del Sistema Interamericano, sin perjuicio que pueda recurrir a los estándares establecidos en estos a fin de interpretar las normas de la Convención en virtud </w:t>
      </w:r>
      <w:r w:rsidR="00734A73" w:rsidRPr="002D2907">
        <w:rPr>
          <w:rFonts w:asciiTheme="majorHAnsi" w:hAnsiTheme="majorHAnsi" w:cs="Calibri"/>
          <w:sz w:val="20"/>
          <w:szCs w:val="20"/>
          <w:lang w:val="es-ES_tradnl"/>
        </w:rPr>
        <w:t>de su</w:t>
      </w:r>
      <w:r w:rsidRPr="002D2907">
        <w:rPr>
          <w:rFonts w:asciiTheme="majorHAnsi" w:hAnsiTheme="majorHAnsi" w:cs="Calibri"/>
          <w:sz w:val="20"/>
          <w:szCs w:val="20"/>
          <w:lang w:val="es-ES_tradnl"/>
        </w:rPr>
        <w:t xml:space="preserve"> artículo 29</w:t>
      </w:r>
      <w:r w:rsidRPr="002D2907">
        <w:rPr>
          <w:rStyle w:val="FootnoteReference"/>
          <w:rFonts w:asciiTheme="majorHAnsi" w:hAnsiTheme="majorHAnsi" w:cs="Calibri"/>
          <w:sz w:val="20"/>
          <w:szCs w:val="20"/>
          <w:lang w:val="es-ES_tradnl"/>
        </w:rPr>
        <w:footnoteReference w:id="13"/>
      </w:r>
      <w:r w:rsidRPr="002D2907">
        <w:rPr>
          <w:rFonts w:asciiTheme="majorHAnsi" w:hAnsiTheme="majorHAnsi" w:cs="Calibri"/>
          <w:sz w:val="20"/>
          <w:szCs w:val="20"/>
          <w:lang w:val="es-ES_tradnl"/>
        </w:rPr>
        <w:t>.</w:t>
      </w:r>
    </w:p>
    <w:p w14:paraId="6E3F2431" w14:textId="77777777" w:rsidR="007245D2" w:rsidRPr="002D2907" w:rsidRDefault="007245D2" w:rsidP="007245D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52E36BB" w14:textId="7C8ED7CD" w:rsidR="008A40F1" w:rsidRPr="002D2907" w:rsidRDefault="008A40F1" w:rsidP="00E839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cs="Calibri"/>
          <w:sz w:val="20"/>
          <w:szCs w:val="20"/>
          <w:lang w:val="es-ES_tradnl"/>
        </w:rPr>
        <w:t>Por las razones expuestas, la Comisión concluye que la presente petición resulta inadmisible conforme al artículo 47(b) de la Convención Americana, por no exponer hechos que caractericen una violación de los derechos garantizados en los instrumentos que otorgan competencia a la Comisión.</w:t>
      </w:r>
    </w:p>
    <w:p w14:paraId="0EF9CCB6" w14:textId="77777777" w:rsidR="007245D2" w:rsidRPr="002D2907" w:rsidRDefault="007245D2" w:rsidP="007245D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9BB41F5" w14:textId="44EE34CD" w:rsidR="003239B8" w:rsidRPr="002D2907" w:rsidRDefault="003239B8" w:rsidP="00E83937">
      <w:pPr>
        <w:pStyle w:val="ListParagraph"/>
        <w:jc w:val="both"/>
        <w:rPr>
          <w:rFonts w:asciiTheme="majorHAnsi" w:hAnsiTheme="majorHAnsi"/>
          <w:b/>
          <w:bCs/>
          <w:sz w:val="20"/>
          <w:szCs w:val="20"/>
          <w:lang w:val="es-ES_tradnl"/>
        </w:rPr>
      </w:pPr>
      <w:r w:rsidRPr="002D2907">
        <w:rPr>
          <w:rFonts w:asciiTheme="majorHAnsi" w:hAnsiTheme="majorHAnsi"/>
          <w:b/>
          <w:bCs/>
          <w:sz w:val="20"/>
          <w:szCs w:val="20"/>
          <w:lang w:val="es-ES_tradnl"/>
        </w:rPr>
        <w:t xml:space="preserve">VIII. </w:t>
      </w:r>
      <w:r w:rsidRPr="002D2907">
        <w:rPr>
          <w:rFonts w:asciiTheme="majorHAnsi" w:hAnsiTheme="majorHAnsi"/>
          <w:b/>
          <w:bCs/>
          <w:sz w:val="20"/>
          <w:szCs w:val="20"/>
          <w:lang w:val="es-ES_tradnl"/>
        </w:rPr>
        <w:tab/>
        <w:t>DECISIÓN</w:t>
      </w:r>
    </w:p>
    <w:p w14:paraId="016C8633" w14:textId="77777777" w:rsidR="007245D2" w:rsidRPr="002D2907" w:rsidRDefault="007245D2" w:rsidP="00E83937">
      <w:pPr>
        <w:pStyle w:val="ListParagraph"/>
        <w:jc w:val="both"/>
        <w:rPr>
          <w:rFonts w:asciiTheme="majorHAnsi" w:hAnsiTheme="majorHAnsi"/>
          <w:b/>
          <w:bCs/>
          <w:sz w:val="20"/>
          <w:szCs w:val="20"/>
          <w:lang w:val="es-ES_tradnl"/>
        </w:rPr>
      </w:pPr>
    </w:p>
    <w:p w14:paraId="1830F185" w14:textId="69B8A785" w:rsidR="00466BF2" w:rsidRPr="002D2907" w:rsidRDefault="00466BF2" w:rsidP="007245D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 xml:space="preserve">Declarar </w:t>
      </w:r>
      <w:r w:rsidR="008A40F1" w:rsidRPr="002D2907">
        <w:rPr>
          <w:rFonts w:asciiTheme="majorHAnsi" w:hAnsiTheme="majorHAnsi"/>
          <w:sz w:val="20"/>
          <w:szCs w:val="20"/>
          <w:lang w:val="es-ES_tradnl"/>
        </w:rPr>
        <w:t>inadmisible la presente petición</w:t>
      </w:r>
      <w:r w:rsidR="007245D2" w:rsidRPr="002D2907">
        <w:rPr>
          <w:rFonts w:asciiTheme="majorHAnsi" w:hAnsiTheme="majorHAnsi"/>
          <w:sz w:val="20"/>
          <w:szCs w:val="20"/>
          <w:lang w:val="es-ES_tradnl"/>
        </w:rPr>
        <w:t>; y</w:t>
      </w:r>
    </w:p>
    <w:p w14:paraId="6BFF8716" w14:textId="77777777" w:rsidR="007245D2" w:rsidRPr="002D2907" w:rsidRDefault="007245D2" w:rsidP="007245D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8AE38D6" w14:textId="4AA25F78" w:rsidR="00466BF2" w:rsidRPr="002D2907" w:rsidRDefault="00466BF2" w:rsidP="007245D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2907">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7CD4DFBD" w14:textId="77777777" w:rsidR="003239B8" w:rsidRPr="002D2907" w:rsidRDefault="003239B8" w:rsidP="007245D2">
      <w:pPr>
        <w:pStyle w:val="ListParagraph"/>
        <w:suppressAutoHyphens/>
        <w:jc w:val="both"/>
        <w:rPr>
          <w:rFonts w:asciiTheme="majorHAnsi" w:hAnsiTheme="majorHAnsi"/>
          <w:sz w:val="20"/>
          <w:szCs w:val="20"/>
          <w:lang w:val="es-ES_tradnl"/>
        </w:rPr>
      </w:pPr>
    </w:p>
    <w:p w14:paraId="38640063" w14:textId="77777777" w:rsidR="00146E77" w:rsidRPr="00A37B82" w:rsidRDefault="00146E77" w:rsidP="00146E7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F6F9A12" w14:textId="77777777" w:rsidR="00146E77" w:rsidRPr="00A37B82" w:rsidRDefault="00146E77" w:rsidP="00146E77">
      <w:pPr>
        <w:suppressAutoHyphens/>
        <w:ind w:firstLine="720"/>
        <w:jc w:val="both"/>
        <w:rPr>
          <w:rFonts w:asciiTheme="majorHAnsi" w:hAnsiTheme="majorHAnsi" w:cs="Arial"/>
          <w:noProof/>
          <w:spacing w:val="-2"/>
          <w:sz w:val="20"/>
          <w:szCs w:val="20"/>
          <w:lang w:val="es-CL"/>
        </w:rPr>
      </w:pPr>
    </w:p>
    <w:sectPr w:rsidR="00146E7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CD4D" w14:textId="77777777" w:rsidR="003D0634" w:rsidRDefault="003D0634">
      <w:r>
        <w:separator/>
      </w:r>
    </w:p>
  </w:endnote>
  <w:endnote w:type="continuationSeparator" w:id="0">
    <w:p w14:paraId="1EA333D7" w14:textId="77777777" w:rsidR="003D0634" w:rsidRDefault="003D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8DFD1E2"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D58D8">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60A6" w14:textId="77777777" w:rsidR="003D0634" w:rsidRPr="000F35ED" w:rsidRDefault="003D063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5E343AD" w14:textId="77777777" w:rsidR="003D0634" w:rsidRPr="000F35ED" w:rsidRDefault="003D0634" w:rsidP="000F35ED">
      <w:pPr>
        <w:rPr>
          <w:rFonts w:asciiTheme="majorHAnsi" w:hAnsiTheme="majorHAnsi"/>
          <w:sz w:val="16"/>
          <w:szCs w:val="16"/>
        </w:rPr>
      </w:pPr>
      <w:r w:rsidRPr="000F35ED">
        <w:rPr>
          <w:rFonts w:asciiTheme="majorHAnsi" w:hAnsiTheme="majorHAnsi"/>
          <w:sz w:val="16"/>
          <w:szCs w:val="16"/>
        </w:rPr>
        <w:separator/>
      </w:r>
    </w:p>
    <w:p w14:paraId="5AA8204F" w14:textId="77777777" w:rsidR="003D0634" w:rsidRPr="000F35ED" w:rsidRDefault="003D063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BAF463C" w14:textId="77777777" w:rsidR="003D0634" w:rsidRPr="000F35ED" w:rsidRDefault="003D063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F04466C" w14:textId="77777777" w:rsidR="00D3298F" w:rsidRPr="006E66E7" w:rsidRDefault="00D3298F" w:rsidP="006E66E7">
      <w:pPr>
        <w:pStyle w:val="FootnoteText"/>
        <w:ind w:firstLine="720"/>
        <w:jc w:val="both"/>
        <w:rPr>
          <w:rFonts w:asciiTheme="majorHAnsi" w:hAnsiTheme="majorHAnsi"/>
          <w:sz w:val="16"/>
          <w:szCs w:val="16"/>
          <w:lang w:val="es-ES"/>
        </w:rPr>
      </w:pPr>
      <w:r w:rsidRPr="006E66E7">
        <w:rPr>
          <w:rStyle w:val="FootnoteReference"/>
          <w:rFonts w:asciiTheme="majorHAnsi" w:hAnsiTheme="majorHAnsi"/>
          <w:sz w:val="16"/>
          <w:szCs w:val="16"/>
        </w:rPr>
        <w:footnoteRef/>
      </w:r>
      <w:r w:rsidRPr="006E66E7">
        <w:rPr>
          <w:rFonts w:asciiTheme="majorHAnsi" w:hAnsiTheme="majorHAnsi"/>
          <w:sz w:val="16"/>
          <w:szCs w:val="16"/>
          <w:lang w:val="es-ES"/>
        </w:rPr>
        <w:t xml:space="preserve"> En adelante “Convención” o “Convención Americana”.</w:t>
      </w:r>
    </w:p>
  </w:footnote>
  <w:footnote w:id="3">
    <w:p w14:paraId="54662892" w14:textId="26C05B40" w:rsidR="00D3298F" w:rsidRPr="006E66E7" w:rsidRDefault="00D3298F" w:rsidP="006E66E7">
      <w:pPr>
        <w:pStyle w:val="FootnoteText"/>
        <w:ind w:firstLine="720"/>
        <w:jc w:val="both"/>
        <w:rPr>
          <w:rFonts w:asciiTheme="majorHAnsi" w:hAnsiTheme="majorHAnsi"/>
          <w:sz w:val="16"/>
          <w:szCs w:val="16"/>
          <w:lang w:val="es-ES"/>
        </w:rPr>
      </w:pPr>
      <w:r w:rsidRPr="006E66E7">
        <w:rPr>
          <w:rStyle w:val="FootnoteReference"/>
          <w:rFonts w:asciiTheme="majorHAnsi" w:hAnsiTheme="majorHAnsi"/>
          <w:sz w:val="16"/>
          <w:szCs w:val="16"/>
        </w:rPr>
        <w:footnoteRef/>
      </w:r>
      <w:r w:rsidRPr="006E66E7">
        <w:rPr>
          <w:rFonts w:asciiTheme="majorHAnsi" w:hAnsiTheme="majorHAnsi"/>
          <w:sz w:val="16"/>
          <w:szCs w:val="16"/>
          <w:lang w:val="es-ES"/>
        </w:rPr>
        <w:t xml:space="preserve"> En adelante “Declaración” o “Declaración Americana”.</w:t>
      </w:r>
    </w:p>
  </w:footnote>
  <w:footnote w:id="4">
    <w:p w14:paraId="6E2F46FF" w14:textId="211C498A" w:rsidR="00D3298F" w:rsidRPr="006E66E7" w:rsidRDefault="00D3298F" w:rsidP="006E66E7">
      <w:pPr>
        <w:pStyle w:val="FootnoteText"/>
        <w:ind w:firstLine="720"/>
        <w:jc w:val="both"/>
        <w:rPr>
          <w:rFonts w:asciiTheme="majorHAnsi" w:hAnsiTheme="majorHAnsi"/>
          <w:sz w:val="16"/>
          <w:szCs w:val="16"/>
          <w:lang w:val="es-ES"/>
        </w:rPr>
      </w:pPr>
      <w:r w:rsidRPr="006E66E7">
        <w:rPr>
          <w:rStyle w:val="FootnoteReference"/>
          <w:rFonts w:asciiTheme="majorHAnsi" w:hAnsiTheme="majorHAnsi"/>
          <w:sz w:val="16"/>
          <w:szCs w:val="16"/>
        </w:rPr>
        <w:footnoteRef/>
      </w:r>
      <w:r w:rsidRPr="006E66E7">
        <w:rPr>
          <w:rFonts w:asciiTheme="majorHAnsi" w:hAnsiTheme="majorHAnsi"/>
          <w:sz w:val="16"/>
          <w:szCs w:val="16"/>
          <w:lang w:val="es-ES"/>
        </w:rPr>
        <w:t xml:space="preserve"> </w:t>
      </w:r>
      <w:r w:rsidRPr="006E66E7">
        <w:rPr>
          <w:rFonts w:asciiTheme="majorHAnsi" w:hAnsiTheme="majorHAnsi"/>
          <w:sz w:val="16"/>
          <w:szCs w:val="16"/>
          <w:lang w:val="es-MX"/>
        </w:rPr>
        <w:t>Artículo 10 y 11.1 de la Declaración Universal de Derechos Humanos; Artículos</w:t>
      </w:r>
      <w:r w:rsidR="00D11656" w:rsidRPr="006E66E7">
        <w:rPr>
          <w:rFonts w:asciiTheme="majorHAnsi" w:hAnsiTheme="majorHAnsi"/>
          <w:sz w:val="16"/>
          <w:szCs w:val="16"/>
          <w:lang w:val="es-MX"/>
        </w:rPr>
        <w:t>;</w:t>
      </w:r>
      <w:r w:rsidRPr="006E66E7">
        <w:rPr>
          <w:rFonts w:asciiTheme="majorHAnsi" w:hAnsiTheme="majorHAnsi"/>
          <w:sz w:val="16"/>
          <w:szCs w:val="16"/>
          <w:lang w:val="es-MX"/>
        </w:rPr>
        <w:t xml:space="preserve"> 14.1 y 14.4 del Pacto Internacional de Derechos Civiles y Políticos. </w:t>
      </w:r>
    </w:p>
  </w:footnote>
  <w:footnote w:id="5">
    <w:p w14:paraId="79F07139" w14:textId="77777777" w:rsidR="008E3BFE" w:rsidRPr="006E66E7" w:rsidRDefault="008E3BFE" w:rsidP="006E66E7">
      <w:pPr>
        <w:pStyle w:val="FootnoteText"/>
        <w:spacing w:after="120"/>
        <w:ind w:firstLine="720"/>
        <w:jc w:val="both"/>
        <w:rPr>
          <w:rFonts w:asciiTheme="majorHAnsi" w:hAnsiTheme="majorHAnsi"/>
          <w:sz w:val="16"/>
          <w:szCs w:val="16"/>
          <w:lang w:val="es-ES"/>
        </w:rPr>
      </w:pPr>
      <w:r w:rsidRPr="006E66E7">
        <w:rPr>
          <w:rStyle w:val="FootnoteReference"/>
          <w:rFonts w:asciiTheme="majorHAnsi" w:hAnsiTheme="majorHAnsi"/>
          <w:sz w:val="16"/>
          <w:szCs w:val="16"/>
        </w:rPr>
        <w:footnoteRef/>
      </w:r>
      <w:r w:rsidRPr="006E66E7">
        <w:rPr>
          <w:rFonts w:asciiTheme="majorHAnsi" w:hAnsiTheme="majorHAnsi"/>
          <w:sz w:val="16"/>
          <w:szCs w:val="16"/>
          <w:lang w:val="es-ES"/>
        </w:rPr>
        <w:t xml:space="preserve"> Las observaciones de cada parte fueron debidamente trasladadas a la parte contraria.</w:t>
      </w:r>
    </w:p>
  </w:footnote>
  <w:footnote w:id="6">
    <w:p w14:paraId="6EADCD11" w14:textId="21E31CC2" w:rsidR="00A36A3E" w:rsidRPr="006E66E7" w:rsidRDefault="00A36A3E" w:rsidP="006E66E7">
      <w:pPr>
        <w:pStyle w:val="FootnoteText"/>
        <w:ind w:firstLine="720"/>
        <w:jc w:val="both"/>
        <w:rPr>
          <w:rFonts w:asciiTheme="majorHAnsi" w:hAnsiTheme="majorHAnsi"/>
          <w:sz w:val="16"/>
          <w:szCs w:val="16"/>
          <w:lang w:val="es-PA"/>
        </w:rPr>
      </w:pPr>
      <w:r w:rsidRPr="006E66E7">
        <w:rPr>
          <w:rStyle w:val="FootnoteReference"/>
          <w:rFonts w:asciiTheme="majorHAnsi" w:hAnsiTheme="majorHAnsi"/>
          <w:sz w:val="16"/>
          <w:szCs w:val="16"/>
        </w:rPr>
        <w:footnoteRef/>
      </w:r>
      <w:r w:rsidRPr="006E66E7">
        <w:rPr>
          <w:rFonts w:asciiTheme="majorHAnsi" w:hAnsiTheme="majorHAnsi"/>
          <w:sz w:val="16"/>
          <w:szCs w:val="16"/>
          <w:lang w:val="es-PA"/>
        </w:rPr>
        <w:t xml:space="preserve"> Proceso regulado por la </w:t>
      </w:r>
      <w:r w:rsidR="004C1824">
        <w:rPr>
          <w:rFonts w:asciiTheme="majorHAnsi" w:hAnsiTheme="majorHAnsi"/>
          <w:sz w:val="16"/>
          <w:szCs w:val="16"/>
          <w:lang w:val="es-PA"/>
        </w:rPr>
        <w:t>L</w:t>
      </w:r>
      <w:r w:rsidRPr="006E66E7">
        <w:rPr>
          <w:rFonts w:asciiTheme="majorHAnsi" w:hAnsiTheme="majorHAnsi"/>
          <w:sz w:val="16"/>
          <w:szCs w:val="16"/>
          <w:lang w:val="es-PA"/>
        </w:rPr>
        <w:t xml:space="preserve">ey Provincial 313, el jurado de enjuiciamiento lo conforman el presidente del Superior Tribunal de Justicia, dos abogados de la matrícula, y dos diputados. </w:t>
      </w:r>
    </w:p>
  </w:footnote>
  <w:footnote w:id="7">
    <w:p w14:paraId="72F40038" w14:textId="77777777" w:rsidR="00A36A3E" w:rsidRPr="006E66E7" w:rsidRDefault="00A36A3E" w:rsidP="006E66E7">
      <w:pPr>
        <w:pStyle w:val="FootnoteText"/>
        <w:ind w:firstLine="720"/>
        <w:jc w:val="both"/>
        <w:rPr>
          <w:rFonts w:asciiTheme="majorHAnsi" w:hAnsiTheme="majorHAnsi"/>
          <w:sz w:val="16"/>
          <w:szCs w:val="16"/>
          <w:lang w:val="es-PA"/>
        </w:rPr>
      </w:pPr>
      <w:r w:rsidRPr="006E66E7">
        <w:rPr>
          <w:rStyle w:val="FootnoteReference"/>
          <w:rFonts w:asciiTheme="majorHAnsi" w:hAnsiTheme="majorHAnsi"/>
          <w:sz w:val="16"/>
          <w:szCs w:val="16"/>
        </w:rPr>
        <w:footnoteRef/>
      </w:r>
      <w:r w:rsidRPr="006E66E7">
        <w:rPr>
          <w:rFonts w:asciiTheme="majorHAnsi" w:hAnsiTheme="majorHAnsi"/>
          <w:sz w:val="16"/>
          <w:szCs w:val="16"/>
          <w:lang w:val="es-PA"/>
        </w:rPr>
        <w:t xml:space="preserve"> </w:t>
      </w:r>
      <w:r w:rsidRPr="006E66E7">
        <w:rPr>
          <w:rFonts w:asciiTheme="majorHAnsi" w:hAnsiTheme="majorHAnsi"/>
          <w:sz w:val="16"/>
          <w:szCs w:val="16"/>
          <w:lang w:val="es-AR"/>
        </w:rPr>
        <w:t>El cual establece que “Contra el fallo no cabe recurso alguno, salvo el de aclaratoria”.</w:t>
      </w:r>
    </w:p>
  </w:footnote>
  <w:footnote w:id="8">
    <w:p w14:paraId="15B95E68" w14:textId="77777777" w:rsidR="00A36A3E" w:rsidRPr="006E66E7" w:rsidRDefault="00A36A3E" w:rsidP="006E66E7">
      <w:pPr>
        <w:pStyle w:val="FootnoteText"/>
        <w:ind w:firstLine="720"/>
        <w:jc w:val="both"/>
        <w:rPr>
          <w:rFonts w:asciiTheme="majorHAnsi" w:hAnsiTheme="majorHAnsi"/>
          <w:sz w:val="16"/>
          <w:szCs w:val="16"/>
          <w:lang w:val="es-PA"/>
        </w:rPr>
      </w:pPr>
      <w:r w:rsidRPr="006E66E7">
        <w:rPr>
          <w:rStyle w:val="FootnoteReference"/>
          <w:rFonts w:asciiTheme="majorHAnsi" w:hAnsiTheme="majorHAnsi"/>
          <w:sz w:val="16"/>
          <w:szCs w:val="16"/>
        </w:rPr>
        <w:footnoteRef/>
      </w:r>
      <w:r w:rsidRPr="006E66E7">
        <w:rPr>
          <w:rFonts w:asciiTheme="majorHAnsi" w:hAnsiTheme="majorHAnsi"/>
          <w:sz w:val="16"/>
          <w:szCs w:val="16"/>
          <w:lang w:val="es-PA"/>
        </w:rPr>
        <w:t xml:space="preserve"> </w:t>
      </w:r>
      <w:r w:rsidRPr="006E66E7">
        <w:rPr>
          <w:rFonts w:asciiTheme="majorHAnsi" w:hAnsiTheme="majorHAnsi"/>
          <w:sz w:val="16"/>
          <w:szCs w:val="16"/>
          <w:lang w:val="es-AR"/>
        </w:rPr>
        <w:t>El cual establece que “el juicio deberá quedar terminado necesariamente dentro de los noventa días de su iniciación. La suspensión del juicio o la falta de veredicto causará instancia absolutoria por el sólo transcurso del plazo establecido”.</w:t>
      </w:r>
    </w:p>
  </w:footnote>
  <w:footnote w:id="9">
    <w:p w14:paraId="68924B99" w14:textId="742352B1" w:rsidR="00A36A3E" w:rsidRPr="006E66E7" w:rsidRDefault="00A36A3E" w:rsidP="006E66E7">
      <w:pPr>
        <w:shd w:val="clear" w:color="auto" w:fill="FFFFFF"/>
        <w:ind w:firstLine="720"/>
        <w:jc w:val="both"/>
        <w:rPr>
          <w:rFonts w:asciiTheme="majorHAnsi" w:eastAsia="Times New Roman" w:hAnsiTheme="majorHAnsi" w:cs="Arial"/>
          <w:sz w:val="16"/>
          <w:szCs w:val="16"/>
          <w:lang w:val="es-PA"/>
        </w:rPr>
      </w:pPr>
      <w:r w:rsidRPr="006E66E7">
        <w:rPr>
          <w:rStyle w:val="FootnoteReference"/>
          <w:rFonts w:asciiTheme="majorHAnsi" w:hAnsiTheme="majorHAnsi"/>
          <w:sz w:val="16"/>
          <w:szCs w:val="16"/>
        </w:rPr>
        <w:footnoteRef/>
      </w:r>
      <w:r w:rsidRPr="006E66E7">
        <w:rPr>
          <w:rFonts w:asciiTheme="majorHAnsi" w:hAnsiTheme="majorHAnsi"/>
          <w:sz w:val="16"/>
          <w:szCs w:val="16"/>
          <w:lang w:val="es-PA"/>
        </w:rPr>
        <w:t xml:space="preserve"> Alega que el jurado no limitó su accionar a una instrucción mínima para verificar la realidad de la denuncia sino que también instruyó otro tipo de pruebas in participación de los acusados. El artículo 31(3) de la ley 313 estable que “</w:t>
      </w:r>
      <w:r w:rsidRPr="006E66E7">
        <w:rPr>
          <w:rFonts w:asciiTheme="majorHAnsi" w:eastAsia="Times New Roman" w:hAnsiTheme="majorHAnsi" w:cs="Arial"/>
          <w:sz w:val="16"/>
          <w:szCs w:val="16"/>
          <w:lang w:val="es-PA"/>
        </w:rPr>
        <w:t xml:space="preserve">Si la denuncia fuera prima-facie </w:t>
      </w:r>
      <w:r w:rsidR="006E61C1" w:rsidRPr="006E66E7">
        <w:rPr>
          <w:rFonts w:asciiTheme="majorHAnsi" w:eastAsia="Times New Roman" w:hAnsiTheme="majorHAnsi" w:cs="Arial"/>
          <w:sz w:val="16"/>
          <w:szCs w:val="16"/>
          <w:lang w:val="es-PA"/>
        </w:rPr>
        <w:t>admisible el</w:t>
      </w:r>
      <w:r w:rsidRPr="006E66E7">
        <w:rPr>
          <w:rFonts w:asciiTheme="majorHAnsi" w:eastAsia="Times New Roman" w:hAnsiTheme="majorHAnsi" w:cs="Arial"/>
          <w:sz w:val="16"/>
          <w:szCs w:val="16"/>
          <w:lang w:val="es-PA"/>
        </w:rPr>
        <w:t xml:space="preserve"> Jurado oirá al magistrado o funcionario, disponiendo si lo creyere conveniente una investigación sumaria por intermedio de la presidencia, en su mérito dará curso a la denuncia o la rechazará.</w:t>
      </w:r>
    </w:p>
  </w:footnote>
  <w:footnote w:id="10">
    <w:p w14:paraId="1DCECEDE" w14:textId="66D93D3B" w:rsidR="00B16F2D" w:rsidRPr="006E66E7" w:rsidRDefault="00B16F2D" w:rsidP="006E66E7">
      <w:pPr>
        <w:pStyle w:val="FootnoteText"/>
        <w:ind w:firstLine="720"/>
        <w:jc w:val="both"/>
        <w:rPr>
          <w:rFonts w:asciiTheme="majorHAnsi" w:hAnsiTheme="majorHAnsi"/>
          <w:sz w:val="16"/>
          <w:szCs w:val="16"/>
          <w:lang w:val="es-AR"/>
        </w:rPr>
      </w:pPr>
      <w:r w:rsidRPr="006E66E7">
        <w:rPr>
          <w:rStyle w:val="FootnoteReference"/>
          <w:rFonts w:asciiTheme="majorHAnsi" w:hAnsiTheme="majorHAnsi"/>
          <w:sz w:val="16"/>
          <w:szCs w:val="16"/>
        </w:rPr>
        <w:footnoteRef/>
      </w:r>
      <w:r w:rsidRPr="006E66E7">
        <w:rPr>
          <w:rFonts w:asciiTheme="majorHAnsi" w:hAnsiTheme="majorHAnsi"/>
          <w:sz w:val="16"/>
          <w:szCs w:val="16"/>
          <w:lang w:val="es-ES"/>
        </w:rPr>
        <w:t xml:space="preserve"> </w:t>
      </w:r>
      <w:r w:rsidRPr="006E66E7">
        <w:rPr>
          <w:rFonts w:asciiTheme="majorHAnsi" w:hAnsiTheme="majorHAnsi"/>
          <w:bCs/>
          <w:color w:val="auto"/>
          <w:sz w:val="16"/>
          <w:szCs w:val="16"/>
          <w:lang w:val="es-AR"/>
        </w:rPr>
        <w:t>Artículo 18</w:t>
      </w:r>
      <w:r w:rsidRPr="006E66E7">
        <w:rPr>
          <w:rFonts w:asciiTheme="majorHAnsi" w:hAnsiTheme="majorHAnsi"/>
          <w:color w:val="auto"/>
          <w:sz w:val="16"/>
          <w:szCs w:val="16"/>
          <w:lang w:val="es-AR"/>
        </w:rPr>
        <w:t>.- Ningún habitante de la Nación puede ser penado sin juicio previo fundado en ley anterior al hecho del proceso, ni juzgado por comisiones especiales, o sacado de los jueces designados por la ley antes del hecho de la causa. Nadie puede ser obligado a declarar contra sí mismo; ni arrestado sino en virtud de orden escrita de autoridad competente. Es inviolable la defensa en juicio de la persona y de los derechos. El domicilio es inviolable, como también la correspondencia epistolar y los papeles privados; y una ley determinará en qué casos y con qué justificativos podrá procederse a su allanamiento y ocupación. Quedan abolidos para siempre la pena de muerte por causas políticas, toda especie de tormento y los azotes. Las cárceles de la Nación serán sanas y limpias, para seguridad y no para castigo de los reos detenidos en ellas, y toda medida que a pretexto de precaución conduzca a mortificarlos más allá de lo que aquélla exija, hará responsable al juez que la autorice.</w:t>
      </w:r>
    </w:p>
  </w:footnote>
  <w:footnote w:id="11">
    <w:p w14:paraId="7021E784" w14:textId="77777777" w:rsidR="00351FD9" w:rsidRPr="006E66E7" w:rsidRDefault="00351FD9" w:rsidP="006E66E7">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A"/>
        </w:rPr>
      </w:pPr>
      <w:r w:rsidRPr="006E66E7">
        <w:rPr>
          <w:rStyle w:val="FootnoteReference"/>
          <w:rFonts w:asciiTheme="majorHAnsi" w:hAnsiTheme="majorHAnsi"/>
          <w:sz w:val="16"/>
          <w:szCs w:val="16"/>
        </w:rPr>
        <w:footnoteRef/>
      </w:r>
      <w:r w:rsidRPr="006E66E7">
        <w:rPr>
          <w:rFonts w:asciiTheme="majorHAnsi" w:hAnsiTheme="majorHAnsi"/>
          <w:sz w:val="16"/>
          <w:szCs w:val="16"/>
          <w:lang w:val="es-ES"/>
        </w:rPr>
        <w:t xml:space="preserve"> CIDH, Informe No. 143/18, Petición 940-08. Admisibilidad. Luis Américo Ayala Gonzales. Perú. 4 de diciembre de 2018, párr. 12.</w:t>
      </w:r>
    </w:p>
  </w:footnote>
  <w:footnote w:id="12">
    <w:p w14:paraId="7783080D" w14:textId="77777777" w:rsidR="00F455B0" w:rsidRPr="006E66E7" w:rsidRDefault="00F455B0" w:rsidP="006E66E7">
      <w:pPr>
        <w:ind w:firstLine="720"/>
        <w:contextualSpacing/>
        <w:jc w:val="both"/>
        <w:rPr>
          <w:rFonts w:asciiTheme="majorHAnsi" w:hAnsiTheme="majorHAnsi" w:cs="Calibri"/>
          <w:color w:val="002060"/>
          <w:sz w:val="16"/>
          <w:szCs w:val="16"/>
          <w:lang w:val="es-ES"/>
        </w:rPr>
      </w:pPr>
      <w:r w:rsidRPr="006E66E7">
        <w:rPr>
          <w:rStyle w:val="FootnoteReference"/>
          <w:rFonts w:asciiTheme="majorHAnsi" w:hAnsiTheme="majorHAnsi" w:cs="Calibri"/>
          <w:color w:val="000000" w:themeColor="text1"/>
          <w:sz w:val="16"/>
          <w:szCs w:val="16"/>
          <w:lang w:val="es-ES"/>
        </w:rPr>
        <w:footnoteRef/>
      </w:r>
      <w:r w:rsidRPr="006E66E7">
        <w:rPr>
          <w:rFonts w:asciiTheme="majorHAnsi" w:hAnsiTheme="majorHAnsi" w:cs="Calibri"/>
          <w:color w:val="000000" w:themeColor="text1"/>
          <w:sz w:val="16"/>
          <w:szCs w:val="16"/>
          <w:lang w:val="es-ES"/>
        </w:rPr>
        <w:t xml:space="preserve"> CIDH, Informe Nº 104/06 (Inadmisibilidad), Petición 4593-02, Peter Anthony Byrne, Panamá, 21 de octubre de 2006, párrs. 34 y 35.</w:t>
      </w:r>
    </w:p>
  </w:footnote>
  <w:footnote w:id="13">
    <w:p w14:paraId="32D2B03C" w14:textId="77777777" w:rsidR="00A84050" w:rsidRPr="006E66E7" w:rsidRDefault="00A84050" w:rsidP="006E66E7">
      <w:pPr>
        <w:pStyle w:val="FootnoteText"/>
        <w:jc w:val="both"/>
        <w:rPr>
          <w:rFonts w:asciiTheme="majorHAnsi" w:hAnsiTheme="majorHAnsi"/>
          <w:sz w:val="16"/>
          <w:szCs w:val="16"/>
          <w:lang w:val="es-ES"/>
        </w:rPr>
      </w:pPr>
      <w:r w:rsidRPr="006E66E7">
        <w:rPr>
          <w:rFonts w:asciiTheme="majorHAnsi" w:hAnsiTheme="majorHAnsi"/>
          <w:sz w:val="16"/>
          <w:szCs w:val="16"/>
          <w:lang w:val="es-ES"/>
        </w:rPr>
        <w:tab/>
      </w:r>
      <w:r w:rsidRPr="006E66E7">
        <w:rPr>
          <w:rStyle w:val="FootnoteReference"/>
          <w:rFonts w:asciiTheme="majorHAnsi" w:hAnsiTheme="majorHAnsi"/>
          <w:sz w:val="16"/>
          <w:szCs w:val="16"/>
          <w:lang w:val="es-ES"/>
        </w:rPr>
        <w:footnoteRef/>
      </w:r>
      <w:r w:rsidRPr="006E66E7">
        <w:rPr>
          <w:rFonts w:asciiTheme="majorHAnsi" w:hAnsiTheme="majorHAnsi"/>
          <w:sz w:val="16"/>
          <w:szCs w:val="16"/>
          <w:lang w:val="es-ES"/>
        </w:rPr>
        <w:t xml:space="preserve"> CIDH, Informe No. 26/17. Petición 1208-08. Admisibilidad. William Olaya Moreno y familia. Colombia. 18 de marzo de 2017, párr.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D063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775"/>
    <w:rsid w:val="00005CB7"/>
    <w:rsid w:val="00006E1F"/>
    <w:rsid w:val="000070D7"/>
    <w:rsid w:val="00013192"/>
    <w:rsid w:val="0001788C"/>
    <w:rsid w:val="000310F4"/>
    <w:rsid w:val="000337EF"/>
    <w:rsid w:val="00040C3A"/>
    <w:rsid w:val="000419AD"/>
    <w:rsid w:val="000433C9"/>
    <w:rsid w:val="00055A29"/>
    <w:rsid w:val="00057BB4"/>
    <w:rsid w:val="0006532A"/>
    <w:rsid w:val="000716C5"/>
    <w:rsid w:val="0007229B"/>
    <w:rsid w:val="00074FE8"/>
    <w:rsid w:val="00075E23"/>
    <w:rsid w:val="000777FA"/>
    <w:rsid w:val="0009344A"/>
    <w:rsid w:val="000977FD"/>
    <w:rsid w:val="000A12F6"/>
    <w:rsid w:val="000A392E"/>
    <w:rsid w:val="000A575F"/>
    <w:rsid w:val="000A698B"/>
    <w:rsid w:val="000C3601"/>
    <w:rsid w:val="000C61B2"/>
    <w:rsid w:val="000C65A4"/>
    <w:rsid w:val="000D05CB"/>
    <w:rsid w:val="000D10DB"/>
    <w:rsid w:val="000D5D55"/>
    <w:rsid w:val="000E0058"/>
    <w:rsid w:val="000E02E2"/>
    <w:rsid w:val="000E5EB5"/>
    <w:rsid w:val="000F35ED"/>
    <w:rsid w:val="000F4DC4"/>
    <w:rsid w:val="00104241"/>
    <w:rsid w:val="00107131"/>
    <w:rsid w:val="00107199"/>
    <w:rsid w:val="0010736F"/>
    <w:rsid w:val="001127A7"/>
    <w:rsid w:val="00113F73"/>
    <w:rsid w:val="00116EF4"/>
    <w:rsid w:val="00121CC2"/>
    <w:rsid w:val="00133EE5"/>
    <w:rsid w:val="00146E77"/>
    <w:rsid w:val="00167A34"/>
    <w:rsid w:val="00182C43"/>
    <w:rsid w:val="00185967"/>
    <w:rsid w:val="00195ED1"/>
    <w:rsid w:val="001A7870"/>
    <w:rsid w:val="001B1617"/>
    <w:rsid w:val="001B3A00"/>
    <w:rsid w:val="001C1245"/>
    <w:rsid w:val="001C1B41"/>
    <w:rsid w:val="001C6E32"/>
    <w:rsid w:val="001D1E54"/>
    <w:rsid w:val="001D65EF"/>
    <w:rsid w:val="001E17CF"/>
    <w:rsid w:val="001E24D6"/>
    <w:rsid w:val="001E49E7"/>
    <w:rsid w:val="001F5EAD"/>
    <w:rsid w:val="001F7201"/>
    <w:rsid w:val="00210357"/>
    <w:rsid w:val="00212ABD"/>
    <w:rsid w:val="002144C4"/>
    <w:rsid w:val="00223400"/>
    <w:rsid w:val="00223A29"/>
    <w:rsid w:val="002250A3"/>
    <w:rsid w:val="00235217"/>
    <w:rsid w:val="00246D1F"/>
    <w:rsid w:val="00247403"/>
    <w:rsid w:val="00247542"/>
    <w:rsid w:val="00251D4E"/>
    <w:rsid w:val="00266B61"/>
    <w:rsid w:val="0026712A"/>
    <w:rsid w:val="002671DB"/>
    <w:rsid w:val="002704DB"/>
    <w:rsid w:val="00270A2F"/>
    <w:rsid w:val="0027236C"/>
    <w:rsid w:val="002A0AAE"/>
    <w:rsid w:val="002A5820"/>
    <w:rsid w:val="002C4F09"/>
    <w:rsid w:val="002D2907"/>
    <w:rsid w:val="002D2B26"/>
    <w:rsid w:val="002D7EA2"/>
    <w:rsid w:val="002E187C"/>
    <w:rsid w:val="002E521F"/>
    <w:rsid w:val="002E65ED"/>
    <w:rsid w:val="0030040B"/>
    <w:rsid w:val="00302733"/>
    <w:rsid w:val="0030449B"/>
    <w:rsid w:val="0030510F"/>
    <w:rsid w:val="00314078"/>
    <w:rsid w:val="00314547"/>
    <w:rsid w:val="0031535D"/>
    <w:rsid w:val="003239B8"/>
    <w:rsid w:val="00327E7E"/>
    <w:rsid w:val="0033169F"/>
    <w:rsid w:val="003325B7"/>
    <w:rsid w:val="00344977"/>
    <w:rsid w:val="00346C95"/>
    <w:rsid w:val="00351FD9"/>
    <w:rsid w:val="00356185"/>
    <w:rsid w:val="00360380"/>
    <w:rsid w:val="00367F6A"/>
    <w:rsid w:val="0037519E"/>
    <w:rsid w:val="00382993"/>
    <w:rsid w:val="00386CF0"/>
    <w:rsid w:val="00390E5B"/>
    <w:rsid w:val="003912AA"/>
    <w:rsid w:val="003927E2"/>
    <w:rsid w:val="00394742"/>
    <w:rsid w:val="003A5192"/>
    <w:rsid w:val="003B70FB"/>
    <w:rsid w:val="003C3ED6"/>
    <w:rsid w:val="003C676B"/>
    <w:rsid w:val="003D0634"/>
    <w:rsid w:val="003D3BC2"/>
    <w:rsid w:val="003D59EF"/>
    <w:rsid w:val="003E6CA1"/>
    <w:rsid w:val="003F4683"/>
    <w:rsid w:val="004057FE"/>
    <w:rsid w:val="0040625F"/>
    <w:rsid w:val="004065A8"/>
    <w:rsid w:val="004165C2"/>
    <w:rsid w:val="004213B3"/>
    <w:rsid w:val="00441ECB"/>
    <w:rsid w:val="00445193"/>
    <w:rsid w:val="004460FF"/>
    <w:rsid w:val="00460A70"/>
    <w:rsid w:val="00462C1B"/>
    <w:rsid w:val="00466BF2"/>
    <w:rsid w:val="00467B7E"/>
    <w:rsid w:val="00473BB4"/>
    <w:rsid w:val="00473BE3"/>
    <w:rsid w:val="00477592"/>
    <w:rsid w:val="00484422"/>
    <w:rsid w:val="00486F1C"/>
    <w:rsid w:val="0049419D"/>
    <w:rsid w:val="004A6A54"/>
    <w:rsid w:val="004C1824"/>
    <w:rsid w:val="004C20D2"/>
    <w:rsid w:val="004C2312"/>
    <w:rsid w:val="004C4B62"/>
    <w:rsid w:val="004C54C9"/>
    <w:rsid w:val="004D3D65"/>
    <w:rsid w:val="004D4ABA"/>
    <w:rsid w:val="004D6025"/>
    <w:rsid w:val="004E159B"/>
    <w:rsid w:val="004E2649"/>
    <w:rsid w:val="00501399"/>
    <w:rsid w:val="0050633D"/>
    <w:rsid w:val="00507BC4"/>
    <w:rsid w:val="005128E4"/>
    <w:rsid w:val="005133DB"/>
    <w:rsid w:val="00513904"/>
    <w:rsid w:val="00520484"/>
    <w:rsid w:val="005233F3"/>
    <w:rsid w:val="00525560"/>
    <w:rsid w:val="0053212D"/>
    <w:rsid w:val="00532F8A"/>
    <w:rsid w:val="00534836"/>
    <w:rsid w:val="00544C49"/>
    <w:rsid w:val="005516A1"/>
    <w:rsid w:val="00552661"/>
    <w:rsid w:val="00556069"/>
    <w:rsid w:val="005571D9"/>
    <w:rsid w:val="00563557"/>
    <w:rsid w:val="005658AF"/>
    <w:rsid w:val="00565F07"/>
    <w:rsid w:val="005701D6"/>
    <w:rsid w:val="0057402A"/>
    <w:rsid w:val="005771D0"/>
    <w:rsid w:val="00591177"/>
    <w:rsid w:val="0059191A"/>
    <w:rsid w:val="005921FF"/>
    <w:rsid w:val="005A24ED"/>
    <w:rsid w:val="005A6D0E"/>
    <w:rsid w:val="005B52B0"/>
    <w:rsid w:val="005B6806"/>
    <w:rsid w:val="005C4225"/>
    <w:rsid w:val="005D55DC"/>
    <w:rsid w:val="005E74ED"/>
    <w:rsid w:val="005F0DAD"/>
    <w:rsid w:val="005F0F33"/>
    <w:rsid w:val="00600DEB"/>
    <w:rsid w:val="00615FD8"/>
    <w:rsid w:val="00622A3A"/>
    <w:rsid w:val="00627402"/>
    <w:rsid w:val="00627C9F"/>
    <w:rsid w:val="006311E9"/>
    <w:rsid w:val="00632354"/>
    <w:rsid w:val="00642132"/>
    <w:rsid w:val="00642810"/>
    <w:rsid w:val="00652333"/>
    <w:rsid w:val="0068009E"/>
    <w:rsid w:val="00692219"/>
    <w:rsid w:val="006A17D2"/>
    <w:rsid w:val="006A73E6"/>
    <w:rsid w:val="006B2D5C"/>
    <w:rsid w:val="006B6666"/>
    <w:rsid w:val="006C4EB1"/>
    <w:rsid w:val="006D54DE"/>
    <w:rsid w:val="006E0166"/>
    <w:rsid w:val="006E0FC1"/>
    <w:rsid w:val="006E2FFB"/>
    <w:rsid w:val="006E61C1"/>
    <w:rsid w:val="006E66E7"/>
    <w:rsid w:val="006E7B34"/>
    <w:rsid w:val="006F751F"/>
    <w:rsid w:val="0070697F"/>
    <w:rsid w:val="00707E54"/>
    <w:rsid w:val="00710ECA"/>
    <w:rsid w:val="0071258E"/>
    <w:rsid w:val="007169EE"/>
    <w:rsid w:val="007170A1"/>
    <w:rsid w:val="00720D16"/>
    <w:rsid w:val="0072199C"/>
    <w:rsid w:val="007228D0"/>
    <w:rsid w:val="00722C9F"/>
    <w:rsid w:val="007245D2"/>
    <w:rsid w:val="007253B8"/>
    <w:rsid w:val="0072699F"/>
    <w:rsid w:val="00734A73"/>
    <w:rsid w:val="0073741F"/>
    <w:rsid w:val="00743BAF"/>
    <w:rsid w:val="007463FF"/>
    <w:rsid w:val="00756956"/>
    <w:rsid w:val="0075715D"/>
    <w:rsid w:val="0076643F"/>
    <w:rsid w:val="00777F63"/>
    <w:rsid w:val="007818A8"/>
    <w:rsid w:val="00782FFE"/>
    <w:rsid w:val="007A5817"/>
    <w:rsid w:val="007A7502"/>
    <w:rsid w:val="007A7A49"/>
    <w:rsid w:val="007B05C4"/>
    <w:rsid w:val="007B60E9"/>
    <w:rsid w:val="007B6CC3"/>
    <w:rsid w:val="007B76D3"/>
    <w:rsid w:val="007C21AD"/>
    <w:rsid w:val="007C3334"/>
    <w:rsid w:val="007D2B98"/>
    <w:rsid w:val="007D447D"/>
    <w:rsid w:val="007E21BC"/>
    <w:rsid w:val="007E7C82"/>
    <w:rsid w:val="007F5022"/>
    <w:rsid w:val="007F588D"/>
    <w:rsid w:val="00802D76"/>
    <w:rsid w:val="00803F1C"/>
    <w:rsid w:val="0080600E"/>
    <w:rsid w:val="008066C7"/>
    <w:rsid w:val="00817612"/>
    <w:rsid w:val="008338A4"/>
    <w:rsid w:val="00834D49"/>
    <w:rsid w:val="00837C45"/>
    <w:rsid w:val="00844730"/>
    <w:rsid w:val="008457C2"/>
    <w:rsid w:val="00857A82"/>
    <w:rsid w:val="00873836"/>
    <w:rsid w:val="00874FCD"/>
    <w:rsid w:val="00885737"/>
    <w:rsid w:val="00890650"/>
    <w:rsid w:val="00897E12"/>
    <w:rsid w:val="008A40F1"/>
    <w:rsid w:val="008A7E0F"/>
    <w:rsid w:val="008B12F5"/>
    <w:rsid w:val="008D35A2"/>
    <w:rsid w:val="008D768D"/>
    <w:rsid w:val="008E3759"/>
    <w:rsid w:val="008E3BFE"/>
    <w:rsid w:val="008F1912"/>
    <w:rsid w:val="0090270B"/>
    <w:rsid w:val="009041DC"/>
    <w:rsid w:val="00914A36"/>
    <w:rsid w:val="00917B5A"/>
    <w:rsid w:val="00920727"/>
    <w:rsid w:val="00920A58"/>
    <w:rsid w:val="00920A8C"/>
    <w:rsid w:val="00923F77"/>
    <w:rsid w:val="009270F8"/>
    <w:rsid w:val="00931AC3"/>
    <w:rsid w:val="00934A2C"/>
    <w:rsid w:val="009603C4"/>
    <w:rsid w:val="0096706E"/>
    <w:rsid w:val="00974491"/>
    <w:rsid w:val="00975C4E"/>
    <w:rsid w:val="00981FBA"/>
    <w:rsid w:val="0098434C"/>
    <w:rsid w:val="00992152"/>
    <w:rsid w:val="00997BC5"/>
    <w:rsid w:val="009A4F41"/>
    <w:rsid w:val="009B06C9"/>
    <w:rsid w:val="009B381B"/>
    <w:rsid w:val="009B4877"/>
    <w:rsid w:val="009D03AF"/>
    <w:rsid w:val="009D1753"/>
    <w:rsid w:val="009D7611"/>
    <w:rsid w:val="009E0B61"/>
    <w:rsid w:val="009E53DE"/>
    <w:rsid w:val="009F12AE"/>
    <w:rsid w:val="00A11212"/>
    <w:rsid w:val="00A11E44"/>
    <w:rsid w:val="00A21123"/>
    <w:rsid w:val="00A22225"/>
    <w:rsid w:val="00A328B3"/>
    <w:rsid w:val="00A36A3E"/>
    <w:rsid w:val="00A37002"/>
    <w:rsid w:val="00A50FCF"/>
    <w:rsid w:val="00A528D1"/>
    <w:rsid w:val="00A610CD"/>
    <w:rsid w:val="00A71C5B"/>
    <w:rsid w:val="00A73AA6"/>
    <w:rsid w:val="00A748F0"/>
    <w:rsid w:val="00A758AA"/>
    <w:rsid w:val="00A83F4A"/>
    <w:rsid w:val="00A84050"/>
    <w:rsid w:val="00A908A9"/>
    <w:rsid w:val="00AA09A2"/>
    <w:rsid w:val="00AA6105"/>
    <w:rsid w:val="00AA7996"/>
    <w:rsid w:val="00AC19CB"/>
    <w:rsid w:val="00AC4329"/>
    <w:rsid w:val="00AD5BA6"/>
    <w:rsid w:val="00AE5488"/>
    <w:rsid w:val="00AE6F91"/>
    <w:rsid w:val="00AF5571"/>
    <w:rsid w:val="00B0633A"/>
    <w:rsid w:val="00B07341"/>
    <w:rsid w:val="00B11F92"/>
    <w:rsid w:val="00B16F2D"/>
    <w:rsid w:val="00B22BB9"/>
    <w:rsid w:val="00B24AD8"/>
    <w:rsid w:val="00B24FD9"/>
    <w:rsid w:val="00B30539"/>
    <w:rsid w:val="00B314DB"/>
    <w:rsid w:val="00B31734"/>
    <w:rsid w:val="00B361F2"/>
    <w:rsid w:val="00B3718B"/>
    <w:rsid w:val="00B3745F"/>
    <w:rsid w:val="00B447FB"/>
    <w:rsid w:val="00B4632A"/>
    <w:rsid w:val="00B530F1"/>
    <w:rsid w:val="00B82309"/>
    <w:rsid w:val="00B95924"/>
    <w:rsid w:val="00BA276C"/>
    <w:rsid w:val="00BA3DF8"/>
    <w:rsid w:val="00BB1AF2"/>
    <w:rsid w:val="00BB306F"/>
    <w:rsid w:val="00BB659A"/>
    <w:rsid w:val="00BC09B3"/>
    <w:rsid w:val="00BD1519"/>
    <w:rsid w:val="00BD4B89"/>
    <w:rsid w:val="00BD5922"/>
    <w:rsid w:val="00BF02CB"/>
    <w:rsid w:val="00BF5C55"/>
    <w:rsid w:val="00BF6FD8"/>
    <w:rsid w:val="00C03680"/>
    <w:rsid w:val="00C054DF"/>
    <w:rsid w:val="00C10FB3"/>
    <w:rsid w:val="00C127F1"/>
    <w:rsid w:val="00C21762"/>
    <w:rsid w:val="00C21FEF"/>
    <w:rsid w:val="00C239A8"/>
    <w:rsid w:val="00C24543"/>
    <w:rsid w:val="00C256A2"/>
    <w:rsid w:val="00C34778"/>
    <w:rsid w:val="00C500B1"/>
    <w:rsid w:val="00C51515"/>
    <w:rsid w:val="00C5660B"/>
    <w:rsid w:val="00C66B72"/>
    <w:rsid w:val="00C67E2F"/>
    <w:rsid w:val="00C736AF"/>
    <w:rsid w:val="00C81F21"/>
    <w:rsid w:val="00C87AC4"/>
    <w:rsid w:val="00C938E9"/>
    <w:rsid w:val="00C9567A"/>
    <w:rsid w:val="00C96D82"/>
    <w:rsid w:val="00CA6243"/>
    <w:rsid w:val="00CB212D"/>
    <w:rsid w:val="00CB2660"/>
    <w:rsid w:val="00CC5E90"/>
    <w:rsid w:val="00CD046C"/>
    <w:rsid w:val="00CE076C"/>
    <w:rsid w:val="00CE5199"/>
    <w:rsid w:val="00CE66D5"/>
    <w:rsid w:val="00CF637A"/>
    <w:rsid w:val="00D059DE"/>
    <w:rsid w:val="00D05ABD"/>
    <w:rsid w:val="00D11656"/>
    <w:rsid w:val="00D13FCE"/>
    <w:rsid w:val="00D21D9A"/>
    <w:rsid w:val="00D238EE"/>
    <w:rsid w:val="00D306D1"/>
    <w:rsid w:val="00D30800"/>
    <w:rsid w:val="00D3298F"/>
    <w:rsid w:val="00D34786"/>
    <w:rsid w:val="00D37BFC"/>
    <w:rsid w:val="00D431C7"/>
    <w:rsid w:val="00D47A8E"/>
    <w:rsid w:val="00D52D14"/>
    <w:rsid w:val="00D6108B"/>
    <w:rsid w:val="00D63D50"/>
    <w:rsid w:val="00D712D3"/>
    <w:rsid w:val="00D71422"/>
    <w:rsid w:val="00D71A39"/>
    <w:rsid w:val="00D72DC6"/>
    <w:rsid w:val="00D7558D"/>
    <w:rsid w:val="00D81D92"/>
    <w:rsid w:val="00D839C7"/>
    <w:rsid w:val="00D83C73"/>
    <w:rsid w:val="00D86F7F"/>
    <w:rsid w:val="00D876F9"/>
    <w:rsid w:val="00D97BE8"/>
    <w:rsid w:val="00DA557A"/>
    <w:rsid w:val="00DA6580"/>
    <w:rsid w:val="00DA7B5F"/>
    <w:rsid w:val="00DB14BA"/>
    <w:rsid w:val="00DC11E7"/>
    <w:rsid w:val="00DC24E3"/>
    <w:rsid w:val="00DC60E2"/>
    <w:rsid w:val="00DC7023"/>
    <w:rsid w:val="00DC769A"/>
    <w:rsid w:val="00DC780A"/>
    <w:rsid w:val="00DD3D86"/>
    <w:rsid w:val="00DD4AD2"/>
    <w:rsid w:val="00DD58D8"/>
    <w:rsid w:val="00DF1EC4"/>
    <w:rsid w:val="00E0340B"/>
    <w:rsid w:val="00E04A90"/>
    <w:rsid w:val="00E0551F"/>
    <w:rsid w:val="00E15F5A"/>
    <w:rsid w:val="00E16645"/>
    <w:rsid w:val="00E219C7"/>
    <w:rsid w:val="00E33FCB"/>
    <w:rsid w:val="00E4118C"/>
    <w:rsid w:val="00E43157"/>
    <w:rsid w:val="00E461CE"/>
    <w:rsid w:val="00E5723E"/>
    <w:rsid w:val="00E720CA"/>
    <w:rsid w:val="00E83937"/>
    <w:rsid w:val="00E84EB5"/>
    <w:rsid w:val="00E85662"/>
    <w:rsid w:val="00E8789F"/>
    <w:rsid w:val="00E97B71"/>
    <w:rsid w:val="00EA1F58"/>
    <w:rsid w:val="00EA20D3"/>
    <w:rsid w:val="00EA3738"/>
    <w:rsid w:val="00EA3D34"/>
    <w:rsid w:val="00EA44CD"/>
    <w:rsid w:val="00EB0F13"/>
    <w:rsid w:val="00EB454D"/>
    <w:rsid w:val="00EC09AA"/>
    <w:rsid w:val="00EC33E1"/>
    <w:rsid w:val="00ED549D"/>
    <w:rsid w:val="00ED76BE"/>
    <w:rsid w:val="00EE00E9"/>
    <w:rsid w:val="00EE64F5"/>
    <w:rsid w:val="00EF01FC"/>
    <w:rsid w:val="00EF619B"/>
    <w:rsid w:val="00F00B55"/>
    <w:rsid w:val="00F013BD"/>
    <w:rsid w:val="00F02472"/>
    <w:rsid w:val="00F02AD1"/>
    <w:rsid w:val="00F1249D"/>
    <w:rsid w:val="00F253CC"/>
    <w:rsid w:val="00F275E4"/>
    <w:rsid w:val="00F33B3A"/>
    <w:rsid w:val="00F37106"/>
    <w:rsid w:val="00F42390"/>
    <w:rsid w:val="00F455B0"/>
    <w:rsid w:val="00F46B9D"/>
    <w:rsid w:val="00F519CF"/>
    <w:rsid w:val="00F56BA5"/>
    <w:rsid w:val="00F60E22"/>
    <w:rsid w:val="00F81395"/>
    <w:rsid w:val="00F81BB8"/>
    <w:rsid w:val="00F878C4"/>
    <w:rsid w:val="00F917D1"/>
    <w:rsid w:val="00F92703"/>
    <w:rsid w:val="00F9653B"/>
    <w:rsid w:val="00FA56D2"/>
    <w:rsid w:val="00FB4F88"/>
    <w:rsid w:val="00FB62CF"/>
    <w:rsid w:val="00FC7F09"/>
    <w:rsid w:val="00FD3C3B"/>
    <w:rsid w:val="00FE05C5"/>
    <w:rsid w:val="00FE07DD"/>
    <w:rsid w:val="00FE6793"/>
    <w:rsid w:val="00FE6B45"/>
    <w:rsid w:val="00FE74B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F21"/>
    <w:rPr>
      <w:sz w:val="16"/>
      <w:szCs w:val="16"/>
    </w:rPr>
  </w:style>
  <w:style w:type="paragraph" w:styleId="CommentText">
    <w:name w:val="annotation text"/>
    <w:basedOn w:val="Normal"/>
    <w:link w:val="CommentTextChar"/>
    <w:uiPriority w:val="99"/>
    <w:semiHidden/>
    <w:unhideWhenUsed/>
    <w:rsid w:val="00C81F21"/>
    <w:rPr>
      <w:sz w:val="20"/>
      <w:szCs w:val="20"/>
    </w:rPr>
  </w:style>
  <w:style w:type="character" w:customStyle="1" w:styleId="CommentTextChar">
    <w:name w:val="Comment Text Char"/>
    <w:basedOn w:val="DefaultParagraphFont"/>
    <w:link w:val="CommentText"/>
    <w:uiPriority w:val="99"/>
    <w:semiHidden/>
    <w:rsid w:val="00C81F21"/>
    <w:rPr>
      <w:lang w:val="en-US" w:eastAsia="en-US"/>
    </w:rPr>
  </w:style>
  <w:style w:type="paragraph" w:styleId="CommentSubject">
    <w:name w:val="annotation subject"/>
    <w:basedOn w:val="CommentText"/>
    <w:next w:val="CommentText"/>
    <w:link w:val="CommentSubjectChar"/>
    <w:uiPriority w:val="99"/>
    <w:semiHidden/>
    <w:unhideWhenUsed/>
    <w:rsid w:val="00C81F21"/>
    <w:rPr>
      <w:b/>
      <w:bCs/>
    </w:rPr>
  </w:style>
  <w:style w:type="character" w:customStyle="1" w:styleId="CommentSubjectChar">
    <w:name w:val="Comment Subject Char"/>
    <w:basedOn w:val="CommentTextChar"/>
    <w:link w:val="CommentSubject"/>
    <w:uiPriority w:val="99"/>
    <w:semiHidden/>
    <w:rsid w:val="00C81F21"/>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351FD9"/>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Spacing">
    <w:name w:val="No Spacing"/>
    <w:uiPriority w:val="1"/>
    <w:qFormat/>
    <w:rsid w:val="0064213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52EB"/>
    <w:rsid w:val="0014128F"/>
    <w:rsid w:val="001A2365"/>
    <w:rsid w:val="001C5AF5"/>
    <w:rsid w:val="00200821"/>
    <w:rsid w:val="00247E27"/>
    <w:rsid w:val="00383CA3"/>
    <w:rsid w:val="00394049"/>
    <w:rsid w:val="003A3CD7"/>
    <w:rsid w:val="004F2DF8"/>
    <w:rsid w:val="005008E3"/>
    <w:rsid w:val="00716C4F"/>
    <w:rsid w:val="007239E1"/>
    <w:rsid w:val="007E7827"/>
    <w:rsid w:val="00825F8E"/>
    <w:rsid w:val="008558CA"/>
    <w:rsid w:val="009A261B"/>
    <w:rsid w:val="00AC15A4"/>
    <w:rsid w:val="00B0336C"/>
    <w:rsid w:val="00F00D2F"/>
    <w:rsid w:val="00F128DF"/>
    <w:rsid w:val="00F91650"/>
    <w:rsid w:val="00FF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7C85-6010-4187-ABB0-837536A8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2701</Words>
  <Characters>14319</Characters>
  <Application>Microsoft Office Word</Application>
  <DocSecurity>0</DocSecurity>
  <Lines>349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251/21</dc:title>
  <dc:creator/>
  <cp:lastModifiedBy/>
  <cp:revision>1</cp:revision>
  <dcterms:created xsi:type="dcterms:W3CDTF">2021-12-02T15:05:00Z</dcterms:created>
  <dcterms:modified xsi:type="dcterms:W3CDTF">2021-12-02T15:05:00Z</dcterms:modified>
</cp:coreProperties>
</file>