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78B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59E61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7150D">
                              <w:rPr>
                                <w:rFonts w:asciiTheme="majorHAnsi" w:hAnsiTheme="majorHAnsi" w:cs="Arial"/>
                                <w:b/>
                                <w:bCs/>
                                <w:color w:val="0D0D0D" w:themeColor="text1" w:themeTint="F2"/>
                                <w:sz w:val="36"/>
                                <w:szCs w:val="22"/>
                                <w:lang w:val="es-ES_tradnl"/>
                              </w:rPr>
                              <w:t>422</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w:t>
                            </w:r>
                            <w:r w:rsidR="0097150D">
                              <w:rPr>
                                <w:rFonts w:asciiTheme="majorHAnsi" w:hAnsiTheme="majorHAnsi" w:cs="Arial"/>
                                <w:b/>
                                <w:bCs/>
                                <w:color w:val="0D0D0D" w:themeColor="text1" w:themeTint="F2"/>
                                <w:sz w:val="36"/>
                                <w:szCs w:val="22"/>
                                <w:lang w:val="es-ES_tradnl"/>
                              </w:rPr>
                              <w:t>1</w:t>
                            </w:r>
                          </w:p>
                          <w:p w14:paraId="09C54AB3" w14:textId="0DA8CD5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90372">
                              <w:rPr>
                                <w:rFonts w:asciiTheme="majorHAnsi" w:hAnsiTheme="majorHAnsi" w:cs="Arial"/>
                                <w:b/>
                                <w:color w:val="0D0D0D" w:themeColor="text1" w:themeTint="F2"/>
                                <w:sz w:val="36"/>
                                <w:szCs w:val="22"/>
                                <w:lang w:val="es-ES_tradnl"/>
                              </w:rPr>
                              <w:t>1719</w:t>
                            </w:r>
                            <w:r w:rsidR="00246D1F" w:rsidRPr="004E2649">
                              <w:rPr>
                                <w:rFonts w:asciiTheme="majorHAnsi" w:hAnsiTheme="majorHAnsi" w:cs="Arial"/>
                                <w:b/>
                                <w:color w:val="0D0D0D" w:themeColor="text1" w:themeTint="F2"/>
                                <w:sz w:val="36"/>
                                <w:szCs w:val="22"/>
                                <w:lang w:val="es-ES_tradnl"/>
                              </w:rPr>
                              <w:t>-</w:t>
                            </w:r>
                            <w:r w:rsidR="00390372">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A1EFAB6"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7642A3">
                              <w:rPr>
                                <w:rFonts w:asciiTheme="majorHAnsi" w:hAnsiTheme="majorHAnsi" w:cs="Arial"/>
                                <w:color w:val="0D0D0D" w:themeColor="text1" w:themeTint="F2"/>
                                <w:szCs w:val="22"/>
                                <w:lang w:val="es-ES_tradnl"/>
                              </w:rPr>
                              <w:t>JULIO ARTURO LOO PRADO</w:t>
                            </w:r>
                          </w:p>
                          <w:bookmarkEnd w:id="0"/>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659E61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7150D">
                        <w:rPr>
                          <w:rFonts w:asciiTheme="majorHAnsi" w:hAnsiTheme="majorHAnsi" w:cs="Arial"/>
                          <w:b/>
                          <w:bCs/>
                          <w:color w:val="0D0D0D" w:themeColor="text1" w:themeTint="F2"/>
                          <w:sz w:val="36"/>
                          <w:szCs w:val="22"/>
                          <w:lang w:val="es-ES_tradnl"/>
                        </w:rPr>
                        <w:t>422</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w:t>
                      </w:r>
                      <w:r w:rsidR="0097150D">
                        <w:rPr>
                          <w:rFonts w:asciiTheme="majorHAnsi" w:hAnsiTheme="majorHAnsi" w:cs="Arial"/>
                          <w:b/>
                          <w:bCs/>
                          <w:color w:val="0D0D0D" w:themeColor="text1" w:themeTint="F2"/>
                          <w:sz w:val="36"/>
                          <w:szCs w:val="22"/>
                          <w:lang w:val="es-ES_tradnl"/>
                        </w:rPr>
                        <w:t>1</w:t>
                      </w:r>
                    </w:p>
                    <w:p w14:paraId="09C54AB3" w14:textId="0DA8CD5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90372">
                        <w:rPr>
                          <w:rFonts w:asciiTheme="majorHAnsi" w:hAnsiTheme="majorHAnsi" w:cs="Arial"/>
                          <w:b/>
                          <w:color w:val="0D0D0D" w:themeColor="text1" w:themeTint="F2"/>
                          <w:sz w:val="36"/>
                          <w:szCs w:val="22"/>
                          <w:lang w:val="es-ES_tradnl"/>
                        </w:rPr>
                        <w:t>1719</w:t>
                      </w:r>
                      <w:r w:rsidR="00246D1F" w:rsidRPr="004E2649">
                        <w:rPr>
                          <w:rFonts w:asciiTheme="majorHAnsi" w:hAnsiTheme="majorHAnsi" w:cs="Arial"/>
                          <w:b/>
                          <w:color w:val="0D0D0D" w:themeColor="text1" w:themeTint="F2"/>
                          <w:sz w:val="36"/>
                          <w:szCs w:val="22"/>
                          <w:lang w:val="es-ES_tradnl"/>
                        </w:rPr>
                        <w:t>-</w:t>
                      </w:r>
                      <w:r w:rsidR="00390372">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A1EFAB6"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7642A3">
                        <w:rPr>
                          <w:rFonts w:asciiTheme="majorHAnsi" w:hAnsiTheme="majorHAnsi" w:cs="Arial"/>
                          <w:color w:val="0D0D0D" w:themeColor="text1" w:themeTint="F2"/>
                          <w:szCs w:val="22"/>
                          <w:lang w:val="es-ES_tradnl"/>
                        </w:rPr>
                        <w:t>JULIO ARTURO LOO PRADO</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14C2B2C"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C6B407F"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94F82">
                              <w:rPr>
                                <w:rFonts w:asciiTheme="minorHAnsi" w:hAnsiTheme="minorHAnsi"/>
                                <w:color w:val="FFFFFF" w:themeColor="background1"/>
                                <w:sz w:val="22"/>
                                <w:lang w:val="pt-BR"/>
                              </w:rPr>
                              <w:t>434</w:t>
                            </w:r>
                          </w:p>
                          <w:p w14:paraId="69373ED2" w14:textId="76CA887C" w:rsidR="00627C9F" w:rsidRPr="00B16B79" w:rsidRDefault="00B12CB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marzo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w:t>
                            </w:r>
                            <w:r w:rsidR="00B94F82">
                              <w:rPr>
                                <w:rFonts w:asciiTheme="minorHAnsi" w:hAnsiTheme="minorHAnsi"/>
                                <w:color w:val="FFFFFF" w:themeColor="background1"/>
                                <w:sz w:val="22"/>
                                <w:lang w:val="es-MX"/>
                              </w:rPr>
                              <w:t>1</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14C2B2C"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C6B407F"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94F82">
                        <w:rPr>
                          <w:rFonts w:asciiTheme="minorHAnsi" w:hAnsiTheme="minorHAnsi"/>
                          <w:color w:val="FFFFFF" w:themeColor="background1"/>
                          <w:sz w:val="22"/>
                          <w:lang w:val="pt-BR"/>
                        </w:rPr>
                        <w:t>434</w:t>
                      </w:r>
                    </w:p>
                    <w:p w14:paraId="69373ED2" w14:textId="76CA887C" w:rsidR="00627C9F" w:rsidRPr="00B16B79" w:rsidRDefault="00B12CB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marzo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w:t>
                      </w:r>
                      <w:r w:rsidR="00B94F82">
                        <w:rPr>
                          <w:rFonts w:asciiTheme="minorHAnsi" w:hAnsiTheme="minorHAnsi"/>
                          <w:color w:val="FFFFFF" w:themeColor="background1"/>
                          <w:sz w:val="22"/>
                          <w:lang w:val="es-MX"/>
                        </w:rPr>
                        <w:t>1</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258F6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12CB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12CB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w:t>
                            </w:r>
                            <w:r w:rsidR="00B12CB3">
                              <w:rPr>
                                <w:rFonts w:asciiTheme="majorHAnsi" w:hAnsiTheme="majorHAnsi"/>
                                <w:color w:val="0D0D0D" w:themeColor="text1" w:themeTint="F2"/>
                                <w:sz w:val="18"/>
                                <w:szCs w:val="22"/>
                                <w:lang w:val="es-ES"/>
                              </w:rPr>
                              <w:t>1</w:t>
                            </w:r>
                            <w:r w:rsidR="00DA122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258F6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12CB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12CB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w:t>
                      </w:r>
                      <w:r w:rsidR="00B12CB3">
                        <w:rPr>
                          <w:rFonts w:asciiTheme="majorHAnsi" w:hAnsiTheme="majorHAnsi"/>
                          <w:color w:val="0D0D0D" w:themeColor="text1" w:themeTint="F2"/>
                          <w:sz w:val="18"/>
                          <w:szCs w:val="22"/>
                          <w:lang w:val="es-ES"/>
                        </w:rPr>
                        <w:t>1</w:t>
                      </w:r>
                      <w:r w:rsidR="00DA122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9F3B02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2A06BE" w:rsidRPr="002A06BE">
                              <w:rPr>
                                <w:rFonts w:asciiTheme="majorHAnsi" w:hAnsiTheme="majorHAnsi"/>
                                <w:color w:val="595959" w:themeColor="text1" w:themeTint="A6"/>
                                <w:sz w:val="18"/>
                                <w:szCs w:val="18"/>
                                <w:lang w:val="pt-BR"/>
                              </w:rPr>
                              <w:t>422</w:t>
                            </w:r>
                            <w:r w:rsidR="007B05C4" w:rsidRPr="002A06BE">
                              <w:rPr>
                                <w:rFonts w:asciiTheme="majorHAnsi" w:hAnsiTheme="majorHAnsi"/>
                                <w:color w:val="595959" w:themeColor="text1" w:themeTint="A6"/>
                                <w:sz w:val="18"/>
                                <w:szCs w:val="18"/>
                                <w:lang w:val="pt-BR"/>
                              </w:rPr>
                              <w:t>/</w:t>
                            </w:r>
                            <w:r w:rsidR="002A06BE" w:rsidRPr="002A06BE">
                              <w:rPr>
                                <w:rFonts w:asciiTheme="majorHAnsi" w:hAnsiTheme="majorHAnsi"/>
                                <w:color w:val="595959" w:themeColor="text1" w:themeTint="A6"/>
                                <w:sz w:val="18"/>
                                <w:szCs w:val="18"/>
                                <w:lang w:val="pt-BR"/>
                              </w:rPr>
                              <w:t>21</w:t>
                            </w:r>
                            <w:r w:rsidR="00D03715" w:rsidRPr="002A06BE">
                              <w:rPr>
                                <w:rFonts w:asciiTheme="majorHAnsi" w:hAnsiTheme="majorHAnsi"/>
                                <w:color w:val="595959" w:themeColor="text1" w:themeTint="A6"/>
                                <w:sz w:val="18"/>
                                <w:szCs w:val="18"/>
                                <w:lang w:val="pt-BR"/>
                              </w:rPr>
                              <w:t>.</w:t>
                            </w:r>
                            <w:r w:rsidR="00214755" w:rsidRPr="002A06BE">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390372">
                              <w:rPr>
                                <w:rFonts w:asciiTheme="majorHAnsi" w:hAnsiTheme="majorHAnsi"/>
                                <w:color w:val="595959" w:themeColor="text1" w:themeTint="A6"/>
                                <w:sz w:val="18"/>
                                <w:szCs w:val="18"/>
                                <w:lang w:val="es-ES_tradnl"/>
                              </w:rPr>
                              <w:t>1719-12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D15766">
                              <w:rPr>
                                <w:rFonts w:ascii="Cambria" w:hAnsi="Cambria"/>
                                <w:bCs/>
                                <w:color w:val="595959" w:themeColor="text1" w:themeTint="A6"/>
                                <w:sz w:val="19"/>
                                <w:szCs w:val="19"/>
                                <w:lang w:val="es-ES"/>
                              </w:rPr>
                              <w:t xml:space="preserve"> Julio Arturo </w:t>
                            </w:r>
                            <w:proofErr w:type="spellStart"/>
                            <w:r w:rsidR="00D15766">
                              <w:rPr>
                                <w:rFonts w:ascii="Cambria" w:hAnsi="Cambria"/>
                                <w:bCs/>
                                <w:color w:val="595959" w:themeColor="text1" w:themeTint="A6"/>
                                <w:sz w:val="19"/>
                                <w:szCs w:val="19"/>
                                <w:lang w:val="es-ES"/>
                              </w:rPr>
                              <w:t>Loo</w:t>
                            </w:r>
                            <w:proofErr w:type="spellEnd"/>
                            <w:r w:rsidR="00D15766">
                              <w:rPr>
                                <w:rFonts w:ascii="Cambria" w:hAnsi="Cambria"/>
                                <w:bCs/>
                                <w:color w:val="595959" w:themeColor="text1" w:themeTint="A6"/>
                                <w:sz w:val="19"/>
                                <w:szCs w:val="19"/>
                                <w:lang w:val="es-ES"/>
                              </w:rPr>
                              <w:t xml:space="preserve"> Prado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462A8">
                              <w:rPr>
                                <w:rFonts w:asciiTheme="majorHAnsi" w:hAnsiTheme="majorHAnsi"/>
                                <w:color w:val="595959" w:themeColor="text1" w:themeTint="A6"/>
                                <w:sz w:val="18"/>
                                <w:szCs w:val="18"/>
                                <w:lang w:val="es-ES"/>
                              </w:rPr>
                              <w:t>7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9F3B02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2A06BE" w:rsidRPr="002A06BE">
                        <w:rPr>
                          <w:rFonts w:asciiTheme="majorHAnsi" w:hAnsiTheme="majorHAnsi"/>
                          <w:color w:val="595959" w:themeColor="text1" w:themeTint="A6"/>
                          <w:sz w:val="18"/>
                          <w:szCs w:val="18"/>
                          <w:lang w:val="pt-BR"/>
                        </w:rPr>
                        <w:t>422</w:t>
                      </w:r>
                      <w:r w:rsidR="007B05C4" w:rsidRPr="002A06BE">
                        <w:rPr>
                          <w:rFonts w:asciiTheme="majorHAnsi" w:hAnsiTheme="majorHAnsi"/>
                          <w:color w:val="595959" w:themeColor="text1" w:themeTint="A6"/>
                          <w:sz w:val="18"/>
                          <w:szCs w:val="18"/>
                          <w:lang w:val="pt-BR"/>
                        </w:rPr>
                        <w:t>/</w:t>
                      </w:r>
                      <w:r w:rsidR="002A06BE" w:rsidRPr="002A06BE">
                        <w:rPr>
                          <w:rFonts w:asciiTheme="majorHAnsi" w:hAnsiTheme="majorHAnsi"/>
                          <w:color w:val="595959" w:themeColor="text1" w:themeTint="A6"/>
                          <w:sz w:val="18"/>
                          <w:szCs w:val="18"/>
                          <w:lang w:val="pt-BR"/>
                        </w:rPr>
                        <w:t>21</w:t>
                      </w:r>
                      <w:r w:rsidR="00D03715" w:rsidRPr="002A06BE">
                        <w:rPr>
                          <w:rFonts w:asciiTheme="majorHAnsi" w:hAnsiTheme="majorHAnsi"/>
                          <w:color w:val="595959" w:themeColor="text1" w:themeTint="A6"/>
                          <w:sz w:val="18"/>
                          <w:szCs w:val="18"/>
                          <w:lang w:val="pt-BR"/>
                        </w:rPr>
                        <w:t>.</w:t>
                      </w:r>
                      <w:r w:rsidR="00214755" w:rsidRPr="002A06BE">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390372">
                        <w:rPr>
                          <w:rFonts w:asciiTheme="majorHAnsi" w:hAnsiTheme="majorHAnsi"/>
                          <w:color w:val="595959" w:themeColor="text1" w:themeTint="A6"/>
                          <w:sz w:val="18"/>
                          <w:szCs w:val="18"/>
                          <w:lang w:val="es-ES_tradnl"/>
                        </w:rPr>
                        <w:t>1719-12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D15766">
                        <w:rPr>
                          <w:rFonts w:ascii="Cambria" w:hAnsi="Cambria"/>
                          <w:bCs/>
                          <w:color w:val="595959" w:themeColor="text1" w:themeTint="A6"/>
                          <w:sz w:val="19"/>
                          <w:szCs w:val="19"/>
                          <w:lang w:val="es-ES"/>
                        </w:rPr>
                        <w:t xml:space="preserve"> Julio Arturo </w:t>
                      </w:r>
                      <w:proofErr w:type="spellStart"/>
                      <w:r w:rsidR="00D15766">
                        <w:rPr>
                          <w:rFonts w:ascii="Cambria" w:hAnsi="Cambria"/>
                          <w:bCs/>
                          <w:color w:val="595959" w:themeColor="text1" w:themeTint="A6"/>
                          <w:sz w:val="19"/>
                          <w:szCs w:val="19"/>
                          <w:lang w:val="es-ES"/>
                        </w:rPr>
                        <w:t>Loo</w:t>
                      </w:r>
                      <w:proofErr w:type="spellEnd"/>
                      <w:r w:rsidR="00D15766">
                        <w:rPr>
                          <w:rFonts w:ascii="Cambria" w:hAnsi="Cambria"/>
                          <w:bCs/>
                          <w:color w:val="595959" w:themeColor="text1" w:themeTint="A6"/>
                          <w:sz w:val="19"/>
                          <w:szCs w:val="19"/>
                          <w:lang w:val="es-ES"/>
                        </w:rPr>
                        <w:t xml:space="preserve"> Prado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462A8">
                        <w:rPr>
                          <w:rFonts w:asciiTheme="majorHAnsi" w:hAnsiTheme="majorHAnsi"/>
                          <w:color w:val="595959" w:themeColor="text1" w:themeTint="A6"/>
                          <w:sz w:val="18"/>
                          <w:szCs w:val="18"/>
                          <w:lang w:val="es-ES"/>
                        </w:rPr>
                        <w:t>7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25CC7FF"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5F9F00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C7169EF" w:rsidR="0070697F" w:rsidRPr="00ED70FC" w:rsidRDefault="002A06BE" w:rsidP="005516A1">
      <w:pPr>
        <w:tabs>
          <w:tab w:val="center" w:pos="5400"/>
        </w:tabs>
        <w:suppressAutoHyphens/>
        <w:jc w:val="center"/>
        <w:rPr>
          <w:rFonts w:asciiTheme="majorHAnsi" w:hAnsiTheme="majorHAnsi"/>
          <w:b/>
          <w:sz w:val="20"/>
          <w:lang w:val="es-ES"/>
        </w:rPr>
        <w:sectPr w:rsidR="0070697F" w:rsidRPr="00ED70FC"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2E86343">
                <wp:simplePos x="0" y="0"/>
                <wp:positionH relativeFrom="column">
                  <wp:posOffset>1329690</wp:posOffset>
                </wp:positionH>
                <wp:positionV relativeFrom="paragraph">
                  <wp:posOffset>570593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4EBA47E" w:rsidR="00D72DC6" w:rsidRPr="00D72DC6" w:rsidRDefault="00DA1226" w:rsidP="00F02AD1">
                            <w:pPr>
                              <w:rPr>
                                <w:color w:val="FFFFFF" w:themeColor="background1"/>
                                <w14:textFill>
                                  <w14:noFill/>
                                </w14:textFill>
                              </w:rPr>
                            </w:pPr>
                            <w:r>
                              <w:rPr>
                                <w:noProof/>
                                <w:color w:val="FFFFFF" w:themeColor="background1"/>
                              </w:rPr>
                              <w:drawing>
                                <wp:inline distT="0" distB="0" distL="0" distR="0" wp14:anchorId="4F123D08" wp14:editId="27990D3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4.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" fillcolor="white [3201]" stroked="f" strokeweight=".5pt">
                <v:textbox>
                  <w:txbxContent>
                    <w:p w14:paraId="2A1ECD3C" w14:textId="34EBA47E" w:rsidR="00D72DC6" w:rsidRPr="00D72DC6" w:rsidRDefault="00DA1226" w:rsidP="00F02AD1">
                      <w:pPr>
                        <w:rPr>
                          <w:color w:val="FFFFFF" w:themeColor="background1"/>
                          <w14:textFill>
                            <w14:noFill/>
                          </w14:textFill>
                        </w:rPr>
                      </w:pPr>
                      <w:r>
                        <w:rPr>
                          <w:noProof/>
                          <w:color w:val="FFFFFF" w:themeColor="background1"/>
                        </w:rPr>
                        <w:drawing>
                          <wp:inline distT="0" distB="0" distL="0" distR="0" wp14:anchorId="4F123D08" wp14:editId="27990D3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DA1226"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080BC3"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2C1741DF"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7642A3">
              <w:rPr>
                <w:rFonts w:ascii="Cambria" w:hAnsi="Cambria"/>
                <w:bCs/>
                <w:sz w:val="19"/>
                <w:szCs w:val="19"/>
                <w:lang w:val="es-ES"/>
              </w:rPr>
              <w:t xml:space="preserve">Julio Arturo </w:t>
            </w:r>
            <w:proofErr w:type="spellStart"/>
            <w:r w:rsidR="007642A3">
              <w:rPr>
                <w:rFonts w:ascii="Cambria" w:hAnsi="Cambria"/>
                <w:bCs/>
                <w:sz w:val="19"/>
                <w:szCs w:val="19"/>
                <w:lang w:val="es-ES"/>
              </w:rPr>
              <w:t>Loo</w:t>
            </w:r>
            <w:proofErr w:type="spellEnd"/>
            <w:r w:rsidR="007642A3">
              <w:rPr>
                <w:rFonts w:ascii="Cambria" w:hAnsi="Cambria"/>
                <w:bCs/>
                <w:sz w:val="19"/>
                <w:szCs w:val="19"/>
                <w:lang w:val="es-ES"/>
              </w:rPr>
              <w:t xml:space="preserve"> Prado</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DA1226"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0D434744" w:rsidR="004C2312" w:rsidRPr="00ED70FC" w:rsidRDefault="00390372" w:rsidP="002625EA">
            <w:pPr>
              <w:jc w:val="both"/>
              <w:rPr>
                <w:rFonts w:ascii="Cambria" w:hAnsi="Cambria"/>
                <w:bCs/>
                <w:sz w:val="19"/>
                <w:szCs w:val="19"/>
                <w:lang w:val="es-ES"/>
              </w:rPr>
            </w:pPr>
            <w:r>
              <w:rPr>
                <w:rFonts w:ascii="Cambria" w:hAnsi="Cambria"/>
                <w:bCs/>
                <w:sz w:val="19"/>
                <w:szCs w:val="19"/>
                <w:lang w:val="es-ES"/>
              </w:rPr>
              <w:t>16 de septiembre de 2012</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5E9F78EB" w:rsidR="004C2312" w:rsidRPr="00ED70FC" w:rsidRDefault="00390372" w:rsidP="00E479A2">
            <w:pPr>
              <w:jc w:val="both"/>
              <w:rPr>
                <w:rFonts w:ascii="Cambria" w:hAnsi="Cambria"/>
                <w:bCs/>
                <w:sz w:val="19"/>
                <w:szCs w:val="19"/>
                <w:lang w:val="es-ES"/>
              </w:rPr>
            </w:pPr>
            <w:r>
              <w:rPr>
                <w:rFonts w:ascii="Cambria" w:hAnsi="Cambria"/>
                <w:bCs/>
                <w:sz w:val="19"/>
                <w:szCs w:val="19"/>
                <w:lang w:val="es-ES"/>
              </w:rPr>
              <w:t>31 de julio de 2007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080AD046" w:rsidR="00F06354" w:rsidRPr="00ED70FC" w:rsidRDefault="00390372" w:rsidP="00F06354">
            <w:pPr>
              <w:jc w:val="both"/>
              <w:rPr>
                <w:rFonts w:ascii="Cambria" w:hAnsi="Cambria"/>
                <w:bCs/>
                <w:sz w:val="19"/>
                <w:szCs w:val="19"/>
                <w:lang w:val="es-ES"/>
              </w:rPr>
            </w:pPr>
            <w:r>
              <w:rPr>
                <w:rFonts w:ascii="Cambria" w:hAnsi="Cambria"/>
                <w:bCs/>
                <w:sz w:val="19"/>
                <w:szCs w:val="19"/>
                <w:lang w:val="es-ES"/>
              </w:rPr>
              <w:t>2 de noviembre de 2017</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7BE9FE07" w:rsidR="00F06354" w:rsidRPr="007D4106" w:rsidRDefault="00390372">
            <w:pPr>
              <w:jc w:val="both"/>
              <w:rPr>
                <w:rFonts w:ascii="Cambria" w:hAnsi="Cambria"/>
                <w:bCs/>
                <w:sz w:val="19"/>
                <w:szCs w:val="19"/>
                <w:lang w:val="es-ES"/>
              </w:rPr>
            </w:pPr>
            <w:r>
              <w:rPr>
                <w:rFonts w:ascii="Cambria" w:hAnsi="Cambria"/>
                <w:bCs/>
                <w:sz w:val="19"/>
                <w:szCs w:val="19"/>
                <w:lang w:val="es-ES"/>
              </w:rPr>
              <w:t>11 de junio de 2018</w:t>
            </w:r>
          </w:p>
        </w:tc>
      </w:tr>
      <w:tr w:rsidR="007642A3" w:rsidRPr="007642A3" w14:paraId="2552FF84" w14:textId="77777777" w:rsidTr="00954B82">
        <w:tc>
          <w:tcPr>
            <w:tcW w:w="2790" w:type="dxa"/>
            <w:tcBorders>
              <w:top w:val="single" w:sz="6" w:space="0" w:color="auto"/>
              <w:bottom w:val="single" w:sz="6" w:space="0" w:color="auto"/>
            </w:tcBorders>
            <w:shd w:val="clear" w:color="auto" w:fill="386294"/>
            <w:vAlign w:val="center"/>
          </w:tcPr>
          <w:p w14:paraId="6B9BE710" w14:textId="7481248E" w:rsidR="007642A3" w:rsidRPr="00EE0CAD" w:rsidRDefault="007642A3" w:rsidP="007642A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Advertencia de archivo</w:t>
            </w:r>
          </w:p>
        </w:tc>
        <w:tc>
          <w:tcPr>
            <w:tcW w:w="6570" w:type="dxa"/>
            <w:vAlign w:val="center"/>
          </w:tcPr>
          <w:p w14:paraId="56FC3A3C" w14:textId="3E766A5C" w:rsidR="007642A3" w:rsidRDefault="007642A3">
            <w:pPr>
              <w:jc w:val="both"/>
              <w:rPr>
                <w:rFonts w:ascii="Cambria" w:hAnsi="Cambria"/>
                <w:bCs/>
                <w:sz w:val="19"/>
                <w:szCs w:val="19"/>
                <w:lang w:val="es-ES"/>
              </w:rPr>
            </w:pPr>
            <w:r>
              <w:rPr>
                <w:rFonts w:ascii="Cambria" w:hAnsi="Cambria"/>
                <w:bCs/>
                <w:sz w:val="19"/>
                <w:szCs w:val="19"/>
                <w:lang w:val="es-ES"/>
              </w:rPr>
              <w:t>25 de abril de 2017</w:t>
            </w:r>
          </w:p>
        </w:tc>
      </w:tr>
      <w:tr w:rsidR="007642A3" w:rsidRPr="007642A3" w14:paraId="4B0BFCC0" w14:textId="77777777" w:rsidTr="00954B82">
        <w:tc>
          <w:tcPr>
            <w:tcW w:w="2790" w:type="dxa"/>
            <w:tcBorders>
              <w:top w:val="single" w:sz="6" w:space="0" w:color="auto"/>
              <w:bottom w:val="single" w:sz="6" w:space="0" w:color="auto"/>
            </w:tcBorders>
            <w:shd w:val="clear" w:color="auto" w:fill="386294"/>
            <w:vAlign w:val="center"/>
          </w:tcPr>
          <w:p w14:paraId="3107B6B1" w14:textId="35E42FD8" w:rsidR="007642A3" w:rsidRPr="00EE0CAD" w:rsidRDefault="007642A3" w:rsidP="00F06354">
            <w:pPr>
              <w:jc w:val="center"/>
              <w:rPr>
                <w:rFonts w:ascii="Cambria" w:hAnsi="Cambria"/>
                <w:bCs/>
                <w:color w:val="FFFFFF" w:themeColor="background1"/>
                <w:sz w:val="19"/>
                <w:szCs w:val="19"/>
                <w:lang w:val="es-ES"/>
              </w:rPr>
            </w:pPr>
            <w:r w:rsidRPr="007642A3">
              <w:rPr>
                <w:rFonts w:ascii="Cambria" w:hAnsi="Cambria"/>
                <w:bCs/>
                <w:color w:val="FFFFFF" w:themeColor="background1"/>
                <w:sz w:val="19"/>
                <w:szCs w:val="19"/>
                <w:lang w:val="es-ES"/>
              </w:rPr>
              <w:t>Respuesta a la advertencia de archivo</w:t>
            </w:r>
          </w:p>
        </w:tc>
        <w:tc>
          <w:tcPr>
            <w:tcW w:w="6570" w:type="dxa"/>
            <w:vAlign w:val="center"/>
          </w:tcPr>
          <w:p w14:paraId="0FF87E25" w14:textId="423121AB" w:rsidR="007642A3" w:rsidRDefault="007642A3">
            <w:pPr>
              <w:jc w:val="both"/>
              <w:rPr>
                <w:rFonts w:ascii="Cambria" w:hAnsi="Cambria"/>
                <w:bCs/>
                <w:sz w:val="19"/>
                <w:szCs w:val="19"/>
                <w:lang w:val="es-ES"/>
              </w:rPr>
            </w:pPr>
            <w:r>
              <w:rPr>
                <w:rFonts w:ascii="Cambria" w:hAnsi="Cambria"/>
                <w:bCs/>
                <w:sz w:val="19"/>
                <w:szCs w:val="19"/>
                <w:lang w:val="es-ES"/>
              </w:rPr>
              <w:t>27 de abril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DA1226"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DA1226"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DA1226"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2CEE105B"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390372">
              <w:rPr>
                <w:rFonts w:asciiTheme="majorHAnsi" w:hAnsiTheme="majorHAnsi"/>
                <w:sz w:val="19"/>
                <w:szCs w:val="19"/>
                <w:lang w:val="es-MX"/>
              </w:rPr>
              <w:t xml:space="preserve">el 16 de marzo de 2012 </w:t>
            </w:r>
          </w:p>
        </w:tc>
      </w:tr>
      <w:tr w:rsidR="00214755" w:rsidRPr="00DA1226"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617179CD"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390372">
              <w:rPr>
                <w:rFonts w:asciiTheme="majorHAnsi" w:hAnsiTheme="majorHAnsi"/>
                <w:sz w:val="19"/>
                <w:szCs w:val="19"/>
                <w:lang w:val="es-MX"/>
              </w:rPr>
              <w:t>16 de septiembre de 2012</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021AD88E"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7642A3">
        <w:rPr>
          <w:sz w:val="20"/>
          <w:szCs w:val="20"/>
          <w:lang w:val="es-ES"/>
        </w:rPr>
        <w:t xml:space="preserve">Julio Arturo </w:t>
      </w:r>
      <w:proofErr w:type="spellStart"/>
      <w:r w:rsidR="007642A3">
        <w:rPr>
          <w:sz w:val="20"/>
          <w:szCs w:val="20"/>
          <w:lang w:val="es-ES"/>
        </w:rPr>
        <w:t>Loo</w:t>
      </w:r>
      <w:proofErr w:type="spellEnd"/>
      <w:r w:rsidR="007642A3">
        <w:rPr>
          <w:sz w:val="20"/>
          <w:szCs w:val="20"/>
          <w:lang w:val="es-ES"/>
        </w:rPr>
        <w:t xml:space="preserve"> Prado </w:t>
      </w:r>
      <w:r w:rsidRPr="00781854">
        <w:rPr>
          <w:sz w:val="20"/>
          <w:szCs w:val="20"/>
          <w:lang w:val="es-ES"/>
        </w:rPr>
        <w:t>(o en adelante “presunta víctima”) por los daños causados por su detención extrajudicial y posterior</w:t>
      </w:r>
      <w:r w:rsidR="00390372">
        <w:rPr>
          <w:sz w:val="20"/>
          <w:szCs w:val="20"/>
          <w:lang w:val="es-ES"/>
        </w:rPr>
        <w:t xml:space="preserve"> ejecución extrajudicial</w:t>
      </w:r>
      <w:r w:rsidRPr="00781854">
        <w:rPr>
          <w:sz w:val="20"/>
          <w:szCs w:val="20"/>
          <w:lang w:val="es-ES"/>
        </w:rPr>
        <w:t xml:space="preserve">,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2947C49" w14:textId="30A3DFD9" w:rsidR="00996D90" w:rsidRPr="00EE0CAD" w:rsidRDefault="002F7F5F"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390372">
        <w:rPr>
          <w:rFonts w:ascii="Cambria" w:hAnsi="Cambria"/>
          <w:sz w:val="20"/>
          <w:szCs w:val="20"/>
          <w:lang w:val="es-ES"/>
        </w:rPr>
        <w:t>resunta víctima, militante del Partido Comunista, se entregó voluntariamente el 17</w:t>
      </w:r>
      <w:r w:rsidR="001E0950">
        <w:rPr>
          <w:rFonts w:ascii="Cambria" w:hAnsi="Cambria"/>
          <w:sz w:val="20"/>
          <w:szCs w:val="20"/>
          <w:lang w:val="es-ES"/>
        </w:rPr>
        <w:t xml:space="preserve"> </w:t>
      </w:r>
      <w:r w:rsidR="00390372">
        <w:rPr>
          <w:rFonts w:ascii="Cambria" w:hAnsi="Cambria"/>
          <w:sz w:val="20"/>
          <w:szCs w:val="20"/>
          <w:lang w:val="es-ES"/>
        </w:rPr>
        <w:t>de septiembre de 1973 en una unidad militar de Quillota</w:t>
      </w:r>
      <w:r w:rsidR="00381BAD">
        <w:rPr>
          <w:rFonts w:ascii="Cambria" w:hAnsi="Cambria"/>
          <w:sz w:val="20"/>
          <w:szCs w:val="20"/>
          <w:lang w:val="es-ES"/>
        </w:rPr>
        <w:t xml:space="preserve"> siendo ejecutado por personal de la Escuela de Caballería de Quillota el 18 de enero de 1974</w:t>
      </w:r>
      <w:r w:rsidR="00390372">
        <w:rPr>
          <w:rFonts w:ascii="Cambria" w:hAnsi="Cambria"/>
          <w:sz w:val="20"/>
          <w:szCs w:val="20"/>
          <w:lang w:val="es-ES"/>
        </w:rPr>
        <w:t>. La versión oficial señaló que su muerte se enmarcó en un asalto extremista contra la patrulla militar que lo trasladaba</w:t>
      </w:r>
      <w:r w:rsidR="007642A3">
        <w:rPr>
          <w:rFonts w:ascii="Cambria" w:hAnsi="Cambria"/>
          <w:sz w:val="20"/>
          <w:szCs w:val="20"/>
          <w:lang w:val="es-ES"/>
        </w:rPr>
        <w:t>,</w:t>
      </w:r>
      <w:r w:rsidR="00390372">
        <w:rPr>
          <w:rFonts w:ascii="Cambria" w:hAnsi="Cambria"/>
          <w:sz w:val="20"/>
          <w:szCs w:val="20"/>
          <w:lang w:val="es-ES"/>
        </w:rPr>
        <w:t xml:space="preserve"> junto a cinco prisioneros más</w:t>
      </w:r>
      <w:r w:rsidR="007642A3">
        <w:rPr>
          <w:rFonts w:ascii="Cambria" w:hAnsi="Cambria"/>
          <w:sz w:val="20"/>
          <w:szCs w:val="20"/>
          <w:lang w:val="es-ES"/>
        </w:rPr>
        <w:t>,</w:t>
      </w:r>
      <w:r w:rsidR="00390372">
        <w:rPr>
          <w:rFonts w:ascii="Cambria" w:hAnsi="Cambria"/>
          <w:sz w:val="20"/>
          <w:szCs w:val="20"/>
          <w:lang w:val="es-ES"/>
        </w:rPr>
        <w:t xml:space="preserve"> </w:t>
      </w:r>
      <w:r w:rsidR="00390372">
        <w:rPr>
          <w:rFonts w:ascii="Cambria" w:hAnsi="Cambria"/>
          <w:sz w:val="20"/>
          <w:szCs w:val="20"/>
          <w:lang w:val="es-ES"/>
        </w:rPr>
        <w:lastRenderedPageBreak/>
        <w:t>entre la Escuela de Caballería y el Regimiento de Ingenieros de Q</w:t>
      </w:r>
      <w:r w:rsidR="00050EC0">
        <w:rPr>
          <w:rFonts w:ascii="Cambria" w:hAnsi="Cambria"/>
          <w:sz w:val="20"/>
          <w:szCs w:val="20"/>
          <w:lang w:val="es-ES"/>
        </w:rPr>
        <w:t>uil</w:t>
      </w:r>
      <w:r w:rsidR="007642A3">
        <w:rPr>
          <w:rFonts w:ascii="Cambria" w:hAnsi="Cambria"/>
          <w:sz w:val="20"/>
          <w:szCs w:val="20"/>
          <w:lang w:val="es-ES"/>
        </w:rPr>
        <w:t>lota. L</w:t>
      </w:r>
      <w:r w:rsidR="00050EC0">
        <w:rPr>
          <w:rFonts w:ascii="Cambria" w:hAnsi="Cambria"/>
          <w:sz w:val="20"/>
          <w:szCs w:val="20"/>
          <w:lang w:val="es-ES"/>
        </w:rPr>
        <w:t xml:space="preserve">os prisioneros habrían intentado fugarse por lo que </w:t>
      </w:r>
      <w:r w:rsidR="00E51FEB">
        <w:rPr>
          <w:rFonts w:ascii="Cambria" w:hAnsi="Cambria"/>
          <w:sz w:val="20"/>
          <w:szCs w:val="20"/>
          <w:lang w:val="es-ES"/>
        </w:rPr>
        <w:t>a varios de el</w:t>
      </w:r>
      <w:r w:rsidR="00050EC0">
        <w:rPr>
          <w:rFonts w:ascii="Cambria" w:hAnsi="Cambria"/>
          <w:sz w:val="20"/>
          <w:szCs w:val="20"/>
          <w:lang w:val="es-ES"/>
        </w:rPr>
        <w:t xml:space="preserve">los </w:t>
      </w:r>
      <w:r w:rsidR="00E51FEB">
        <w:rPr>
          <w:rFonts w:ascii="Cambria" w:hAnsi="Cambria"/>
          <w:sz w:val="20"/>
          <w:szCs w:val="20"/>
          <w:lang w:val="es-ES"/>
        </w:rPr>
        <w:t xml:space="preserve">los </w:t>
      </w:r>
      <w:r w:rsidR="00050EC0">
        <w:rPr>
          <w:rFonts w:ascii="Cambria" w:hAnsi="Cambria"/>
          <w:sz w:val="20"/>
          <w:szCs w:val="20"/>
          <w:lang w:val="es-ES"/>
        </w:rPr>
        <w:t xml:space="preserve">dieron de baja, </w:t>
      </w:r>
      <w:r w:rsidR="00501DC9">
        <w:rPr>
          <w:rFonts w:ascii="Cambria" w:hAnsi="Cambria"/>
          <w:sz w:val="20"/>
          <w:szCs w:val="20"/>
          <w:lang w:val="es-ES"/>
        </w:rPr>
        <w:t xml:space="preserve">mientras </w:t>
      </w:r>
      <w:r w:rsidR="00050EC0">
        <w:rPr>
          <w:rFonts w:ascii="Cambria" w:hAnsi="Cambria"/>
          <w:sz w:val="20"/>
          <w:szCs w:val="20"/>
          <w:lang w:val="es-ES"/>
        </w:rPr>
        <w:t xml:space="preserve">dos habrían logrado escapar. </w:t>
      </w:r>
      <w:r w:rsidR="001E0950">
        <w:rPr>
          <w:rFonts w:ascii="Cambria" w:hAnsi="Cambria"/>
          <w:sz w:val="20"/>
          <w:szCs w:val="20"/>
          <w:lang w:val="es-ES"/>
        </w:rPr>
        <w:t>La parte peticionaria alega que dicha</w:t>
      </w:r>
      <w:r w:rsidR="00050EC0">
        <w:rPr>
          <w:rFonts w:ascii="Cambria" w:hAnsi="Cambria"/>
          <w:sz w:val="20"/>
          <w:szCs w:val="20"/>
          <w:lang w:val="es-ES"/>
        </w:rPr>
        <w:t xml:space="preserve"> versión no es verosímil </w:t>
      </w:r>
      <w:r w:rsidR="001E0950">
        <w:rPr>
          <w:rFonts w:ascii="Cambria" w:hAnsi="Cambria"/>
          <w:sz w:val="20"/>
          <w:szCs w:val="20"/>
          <w:lang w:val="es-ES"/>
        </w:rPr>
        <w:t>y no fue aceptada por la Comisión Rettig</w:t>
      </w:r>
      <w:r w:rsidR="00D7355A">
        <w:rPr>
          <w:rFonts w:ascii="Cambria" w:hAnsi="Cambria"/>
          <w:sz w:val="20"/>
          <w:szCs w:val="20"/>
          <w:lang w:val="es-ES"/>
        </w:rPr>
        <w:t>. Indica</w:t>
      </w:r>
      <w:r w:rsidR="00050EC0">
        <w:rPr>
          <w:rFonts w:ascii="Cambria" w:hAnsi="Cambria"/>
          <w:sz w:val="20"/>
          <w:szCs w:val="20"/>
          <w:lang w:val="es-ES"/>
        </w:rPr>
        <w:t xml:space="preserve"> que los prisioneros iban desarmados y bajo fuerte vigilancia, además varios de ellos se habí</w:t>
      </w:r>
      <w:r w:rsidR="007642A3">
        <w:rPr>
          <w:rFonts w:ascii="Cambria" w:hAnsi="Cambria"/>
          <w:sz w:val="20"/>
          <w:szCs w:val="20"/>
          <w:lang w:val="es-ES"/>
        </w:rPr>
        <w:t>an entregado de forma voluntaria</w:t>
      </w:r>
      <w:r w:rsidR="00050EC0">
        <w:rPr>
          <w:rFonts w:ascii="Cambria" w:hAnsi="Cambria"/>
          <w:sz w:val="20"/>
          <w:szCs w:val="20"/>
          <w:lang w:val="es-ES"/>
        </w:rPr>
        <w:t xml:space="preserve"> e incluso habían contactado abogados para que los defendieran en el proceso instruido en su contra. A esto se suma que el supuesto ataque fue perpetrado en horario de toque de queda sin que ninguno de los presuntos asaltantes o miembros de la patrulla resultara muerto o herido, sólo los seis detenidos. </w:t>
      </w:r>
      <w:r w:rsidR="00390372">
        <w:rPr>
          <w:rFonts w:ascii="Cambria" w:hAnsi="Cambria"/>
          <w:sz w:val="20"/>
          <w:szCs w:val="20"/>
          <w:lang w:val="es-ES"/>
        </w:rPr>
        <w:t xml:space="preserve"> </w:t>
      </w:r>
    </w:p>
    <w:p w14:paraId="57972C0A" w14:textId="58116268" w:rsidR="003D5EA8" w:rsidRPr="00454B04"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050EC0">
        <w:rPr>
          <w:rFonts w:ascii="Cambria" w:hAnsi="Cambria"/>
          <w:sz w:val="20"/>
          <w:szCs w:val="20"/>
          <w:lang w:val="es-ES"/>
        </w:rPr>
        <w:t xml:space="preserve">29 de julio de 2002 </w:t>
      </w:r>
      <w:r>
        <w:rPr>
          <w:rFonts w:ascii="Cambria" w:hAnsi="Cambria"/>
          <w:sz w:val="20"/>
          <w:szCs w:val="20"/>
          <w:lang w:val="es-ES"/>
        </w:rPr>
        <w:t>se inici</w:t>
      </w:r>
      <w:r w:rsidR="00FA3CA9">
        <w:rPr>
          <w:rFonts w:ascii="Cambria" w:hAnsi="Cambria"/>
          <w:sz w:val="20"/>
          <w:szCs w:val="20"/>
          <w:lang w:val="es-ES"/>
        </w:rPr>
        <w:t>ó la</w:t>
      </w:r>
      <w:r w:rsidR="00050EC0">
        <w:rPr>
          <w:rFonts w:ascii="Cambria" w:hAnsi="Cambria"/>
          <w:sz w:val="20"/>
          <w:szCs w:val="20"/>
          <w:lang w:val="es-ES"/>
        </w:rPr>
        <w:t xml:space="preserve"> causa civil en el 19</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w:t>
      </w:r>
      <w:r w:rsidR="00050EC0">
        <w:rPr>
          <w:rFonts w:ascii="Cambria" w:hAnsi="Cambria"/>
          <w:sz w:val="20"/>
          <w:szCs w:val="20"/>
          <w:lang w:val="es-ES"/>
        </w:rPr>
        <w:t xml:space="preserve">el 11 de junio de 2007 </w:t>
      </w:r>
      <w:r>
        <w:rPr>
          <w:rFonts w:ascii="Cambria" w:hAnsi="Cambria"/>
          <w:sz w:val="20"/>
          <w:szCs w:val="20"/>
          <w:lang w:val="es-ES"/>
        </w:rPr>
        <w:t xml:space="preserve">denegando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el daño causado</w:t>
      </w:r>
      <w:r w:rsidR="00A5134F">
        <w:rPr>
          <w:rFonts w:ascii="Cambria" w:hAnsi="Cambria"/>
          <w:sz w:val="20"/>
          <w:szCs w:val="20"/>
          <w:lang w:val="es-ES"/>
        </w:rPr>
        <w:t xml:space="preserve"> en aplicación de la prescripción civil</w:t>
      </w:r>
      <w:r w:rsidR="00050EC0">
        <w:rPr>
          <w:rFonts w:ascii="Cambria" w:hAnsi="Cambria"/>
          <w:sz w:val="20"/>
          <w:szCs w:val="20"/>
          <w:lang w:val="es-ES"/>
        </w:rPr>
        <w:t>, pero señalando que la ejecución sumaria de la presunta víctima era un hecho indiscutible y que el Estado tenía la obli</w:t>
      </w:r>
      <w:r w:rsidR="007642A3">
        <w:rPr>
          <w:rFonts w:ascii="Cambria" w:hAnsi="Cambria"/>
          <w:sz w:val="20"/>
          <w:szCs w:val="20"/>
          <w:lang w:val="es-ES"/>
        </w:rPr>
        <w:t>gación de reparar</w:t>
      </w:r>
      <w:r w:rsidR="00DA1DB4">
        <w:rPr>
          <w:rFonts w:ascii="Cambria" w:hAnsi="Cambria"/>
          <w:sz w:val="20"/>
          <w:szCs w:val="20"/>
          <w:lang w:val="es-ES"/>
        </w:rPr>
        <w:t xml:space="preserve">, la cual </w:t>
      </w:r>
      <w:r w:rsidR="007642A3">
        <w:rPr>
          <w:rFonts w:ascii="Cambria" w:hAnsi="Cambria"/>
          <w:sz w:val="20"/>
          <w:szCs w:val="20"/>
          <w:lang w:val="es-ES"/>
        </w:rPr>
        <w:t>se cumplió</w:t>
      </w:r>
      <w:r w:rsidR="00050EC0">
        <w:rPr>
          <w:rFonts w:ascii="Cambria" w:hAnsi="Cambria"/>
          <w:sz w:val="20"/>
          <w:szCs w:val="20"/>
          <w:lang w:val="es-ES"/>
        </w:rPr>
        <w:t xml:space="preserve"> con las pensiones asistenciales asignadas por la Ley 19.123.</w:t>
      </w:r>
      <w:r>
        <w:rPr>
          <w:rFonts w:ascii="Cambria" w:hAnsi="Cambria"/>
          <w:sz w:val="20"/>
          <w:szCs w:val="20"/>
          <w:lang w:val="es-ES"/>
        </w:rPr>
        <w:t xml:space="preserve"> </w:t>
      </w:r>
      <w:r w:rsidR="00DA1DB4">
        <w:rPr>
          <w:rFonts w:ascii="Cambria" w:hAnsi="Cambria"/>
          <w:sz w:val="20"/>
          <w:szCs w:val="20"/>
          <w:lang w:val="es-ES"/>
        </w:rPr>
        <w:t>Se presentó entonces un recurso de apelación y e</w:t>
      </w:r>
      <w:r w:rsidR="00393274">
        <w:rPr>
          <w:rFonts w:ascii="Cambria" w:hAnsi="Cambria"/>
          <w:sz w:val="20"/>
          <w:szCs w:val="20"/>
          <w:lang w:val="es-ES"/>
        </w:rPr>
        <w:t xml:space="preserve">n sentencia del </w:t>
      </w:r>
      <w:r w:rsidR="00050EC0">
        <w:rPr>
          <w:rFonts w:ascii="Cambria" w:hAnsi="Cambria"/>
          <w:sz w:val="20"/>
          <w:szCs w:val="20"/>
          <w:lang w:val="es-ES"/>
        </w:rPr>
        <w:t>20 de julio de 2009</w:t>
      </w:r>
      <w:r w:rsidR="00393274">
        <w:rPr>
          <w:rFonts w:ascii="Cambria" w:hAnsi="Cambria"/>
          <w:sz w:val="20"/>
          <w:szCs w:val="20"/>
          <w:lang w:val="es-ES"/>
        </w:rPr>
        <w:t xml:space="preserve"> l</w:t>
      </w:r>
      <w:r>
        <w:rPr>
          <w:rFonts w:ascii="Cambria" w:hAnsi="Cambria"/>
          <w:sz w:val="20"/>
          <w:szCs w:val="20"/>
          <w:lang w:val="es-ES"/>
        </w:rPr>
        <w:t xml:space="preserve">a Corte de Apelaciones de Santiago </w:t>
      </w:r>
      <w:r w:rsidR="00050EC0">
        <w:rPr>
          <w:rFonts w:ascii="Cambria" w:hAnsi="Cambria"/>
          <w:sz w:val="20"/>
          <w:szCs w:val="20"/>
          <w:lang w:val="es-ES"/>
        </w:rPr>
        <w:t xml:space="preserve">confirmó la </w:t>
      </w:r>
      <w:r>
        <w:rPr>
          <w:rFonts w:ascii="Cambria" w:hAnsi="Cambria"/>
          <w:sz w:val="20"/>
          <w:szCs w:val="20"/>
          <w:lang w:val="es-ES"/>
        </w:rPr>
        <w:t>sentencia de primera instancia</w:t>
      </w:r>
      <w:r w:rsidR="00050EC0">
        <w:rPr>
          <w:rFonts w:ascii="Cambria" w:hAnsi="Cambria"/>
          <w:sz w:val="20"/>
          <w:szCs w:val="20"/>
          <w:lang w:val="es-ES"/>
        </w:rPr>
        <w:t>, sosteniendo que las acciones reparatorias se encontraban prescritas</w:t>
      </w:r>
      <w:r w:rsidR="00724891">
        <w:rPr>
          <w:rFonts w:ascii="Cambria" w:hAnsi="Cambria"/>
          <w:sz w:val="20"/>
          <w:szCs w:val="20"/>
          <w:lang w:val="es-ES"/>
        </w:rPr>
        <w:t xml:space="preserve">. Contra este fallo </w:t>
      </w:r>
      <w:r w:rsidR="00050EC0">
        <w:rPr>
          <w:rFonts w:ascii="Cambria" w:hAnsi="Cambria"/>
          <w:sz w:val="20"/>
          <w:szCs w:val="20"/>
          <w:lang w:val="es-ES"/>
        </w:rPr>
        <w:t xml:space="preserve">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050EC0">
        <w:rPr>
          <w:rFonts w:ascii="Cambria" w:hAnsi="Cambria"/>
          <w:sz w:val="20"/>
          <w:szCs w:val="20"/>
          <w:lang w:val="es-ES"/>
        </w:rPr>
        <w:t>10 de enero de 201</w:t>
      </w:r>
      <w:r w:rsidR="00EA25F8">
        <w:rPr>
          <w:rFonts w:ascii="Cambria" w:hAnsi="Cambria"/>
          <w:sz w:val="20"/>
          <w:szCs w:val="20"/>
          <w:lang w:val="es-ES"/>
        </w:rPr>
        <w:t>1</w:t>
      </w:r>
      <w:r w:rsidR="00050EC0">
        <w:rPr>
          <w:rFonts w:ascii="Cambria" w:hAnsi="Cambria"/>
          <w:sz w:val="20"/>
          <w:szCs w:val="20"/>
          <w:lang w:val="es-ES"/>
        </w:rPr>
        <w:t xml:space="preserve"> </w:t>
      </w:r>
      <w:r w:rsidR="00724891">
        <w:rPr>
          <w:rFonts w:ascii="Cambria" w:hAnsi="Cambria"/>
          <w:sz w:val="20"/>
          <w:szCs w:val="20"/>
          <w:lang w:val="es-ES"/>
        </w:rPr>
        <w:t xml:space="preserve">dicho recurso </w:t>
      </w:r>
      <w:r w:rsidR="00050EC0">
        <w:rPr>
          <w:rFonts w:ascii="Cambria" w:hAnsi="Cambria"/>
          <w:sz w:val="20"/>
          <w:szCs w:val="20"/>
          <w:lang w:val="es-ES"/>
        </w:rPr>
        <w:t>fue rechazado</w:t>
      </w:r>
      <w:r w:rsidR="00724891">
        <w:rPr>
          <w:rFonts w:ascii="Cambria" w:hAnsi="Cambria"/>
          <w:sz w:val="20"/>
          <w:szCs w:val="20"/>
          <w:lang w:val="es-ES"/>
        </w:rPr>
        <w:t xml:space="preserve"> por la Corte</w:t>
      </w:r>
      <w:r w:rsidR="00FA3CA9">
        <w:rPr>
          <w:rFonts w:ascii="Cambria" w:hAnsi="Cambria"/>
          <w:sz w:val="20"/>
          <w:szCs w:val="20"/>
          <w:lang w:val="es-ES"/>
        </w:rPr>
        <w:t>,</w:t>
      </w:r>
      <w:r w:rsidR="00050EC0">
        <w:rPr>
          <w:rFonts w:ascii="Cambria" w:hAnsi="Cambria"/>
          <w:sz w:val="20"/>
          <w:szCs w:val="20"/>
          <w:lang w:val="es-ES"/>
        </w:rPr>
        <w:t xml:space="preserve"> acogiendo la tesis del Fisco</w:t>
      </w:r>
      <w:r w:rsidR="009134C7">
        <w:rPr>
          <w:rFonts w:ascii="Cambria" w:hAnsi="Cambria"/>
          <w:sz w:val="20"/>
          <w:szCs w:val="20"/>
          <w:lang w:val="es-ES"/>
        </w:rPr>
        <w:t xml:space="preserve"> en cuanto a la prescripción de la</w:t>
      </w:r>
      <w:r w:rsidR="00033050">
        <w:rPr>
          <w:rFonts w:ascii="Cambria" w:hAnsi="Cambria"/>
          <w:sz w:val="20"/>
          <w:szCs w:val="20"/>
          <w:lang w:val="es-ES"/>
        </w:rPr>
        <w:t xml:space="preserve"> acción </w:t>
      </w:r>
      <w:r w:rsidR="00EE0081">
        <w:rPr>
          <w:rFonts w:ascii="Cambria" w:hAnsi="Cambria"/>
          <w:sz w:val="20"/>
          <w:szCs w:val="20"/>
          <w:lang w:val="es-ES"/>
        </w:rPr>
        <w:t>indemnizatoria</w:t>
      </w:r>
      <w:r w:rsidR="00050EC0">
        <w:rPr>
          <w:rFonts w:ascii="Cambria" w:hAnsi="Cambria"/>
          <w:sz w:val="20"/>
          <w:szCs w:val="20"/>
          <w:lang w:val="es-ES"/>
        </w:rPr>
        <w:t>.</w:t>
      </w:r>
      <w:r w:rsidR="00724891">
        <w:rPr>
          <w:rFonts w:ascii="Cambria" w:hAnsi="Cambria"/>
          <w:sz w:val="20"/>
          <w:szCs w:val="20"/>
          <w:lang w:val="es-ES"/>
        </w:rPr>
        <w:t xml:space="preserve"> Con fecha </w:t>
      </w:r>
      <w:r w:rsidR="00050EC0">
        <w:rPr>
          <w:rFonts w:ascii="Cambria" w:hAnsi="Cambria"/>
          <w:sz w:val="20"/>
          <w:szCs w:val="20"/>
          <w:lang w:val="es-ES"/>
        </w:rPr>
        <w:t xml:space="preserve">16 de marzo de 2012 </w:t>
      </w:r>
      <w:r w:rsidR="00724891">
        <w:rPr>
          <w:rFonts w:ascii="Cambria" w:hAnsi="Cambria"/>
          <w:sz w:val="20"/>
          <w:szCs w:val="20"/>
          <w:lang w:val="es-ES"/>
        </w:rPr>
        <w:t>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571DAAA4" w14:textId="20E7FAEE"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562FAB"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Respecto a alegaciones sobre hechos que habrían tomado lugar en </w:t>
      </w:r>
      <w:r w:rsidR="00F86096">
        <w:rPr>
          <w:rFonts w:ascii="Cambria" w:hAnsi="Cambria"/>
          <w:sz w:val="20"/>
          <w:szCs w:val="20"/>
          <w:lang w:val="es-ES"/>
        </w:rPr>
        <w:t>enero de 1974</w:t>
      </w:r>
      <w:r w:rsidR="00FF0D54" w:rsidRPr="00ED70FC">
        <w:rPr>
          <w:rFonts w:ascii="Cambria" w:hAnsi="Cambria"/>
          <w:sz w:val="20"/>
          <w:szCs w:val="20"/>
          <w:lang w:val="es-ES"/>
        </w:rPr>
        <w:t>, consistentes en la vulneración de los derechos a la vida, a la integridad personal y a la libertad personal de la presunta víctima, el Estado</w:t>
      </w:r>
      <w:r w:rsidR="00187408">
        <w:rPr>
          <w:rFonts w:ascii="Cambria" w:hAnsi="Cambria"/>
          <w:sz w:val="20"/>
          <w:szCs w:val="20"/>
          <w:lang w:val="es-ES"/>
        </w:rPr>
        <w:t xml:space="preserve"> </w:t>
      </w:r>
      <w:r w:rsidR="00FF0D54" w:rsidRPr="00ED70FC">
        <w:rPr>
          <w:rFonts w:ascii="Cambria" w:hAnsi="Cambria"/>
          <w:sz w:val="20"/>
          <w:szCs w:val="20"/>
          <w:lang w:val="es-ES"/>
        </w:rPr>
        <w:t>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xml:space="preserve">, o, en todo caso, a hechos cuyo principio de ejecución será posterior al 11 de </w:t>
      </w:r>
      <w:r w:rsidR="00781854">
        <w:rPr>
          <w:rFonts w:ascii="Cambria" w:hAnsi="Cambria"/>
          <w:sz w:val="20"/>
          <w:szCs w:val="20"/>
          <w:lang w:val="es-ES"/>
        </w:rPr>
        <w:t>marzo</w:t>
      </w:r>
      <w:r w:rsidR="00D278A4">
        <w:rPr>
          <w:rFonts w:ascii="Cambria" w:hAnsi="Cambria"/>
          <w:sz w:val="20"/>
          <w:szCs w:val="20"/>
          <w:lang w:val="es-ES"/>
        </w:rPr>
        <w:t xml:space="preserve"> de 1990</w:t>
      </w:r>
      <w:r w:rsidR="00FF0D54" w:rsidRPr="00ED70FC">
        <w:rPr>
          <w:rFonts w:ascii="Cambria" w:hAnsi="Cambria"/>
          <w:sz w:val="20"/>
          <w:szCs w:val="20"/>
          <w:lang w:val="es-ES"/>
        </w:rPr>
        <w:t>.</w:t>
      </w:r>
      <w:r w:rsidR="00FA41A1">
        <w:rPr>
          <w:rFonts w:ascii="Cambria" w:hAnsi="Cambria"/>
          <w:sz w:val="20"/>
          <w:szCs w:val="20"/>
          <w:lang w:val="es-ES"/>
        </w:rPr>
        <w:t xml:space="preserve"> Por lo </w:t>
      </w:r>
      <w:r w:rsidR="00562FAB">
        <w:rPr>
          <w:rFonts w:ascii="Cambria" w:hAnsi="Cambria"/>
          <w:sz w:val="20"/>
          <w:szCs w:val="20"/>
          <w:lang w:val="es-ES"/>
        </w:rPr>
        <w:t>tanto,</w:t>
      </w:r>
      <w:r w:rsidR="00FA41A1">
        <w:rPr>
          <w:rFonts w:ascii="Cambria" w:hAnsi="Cambria"/>
          <w:sz w:val="20"/>
          <w:szCs w:val="20"/>
          <w:lang w:val="es-ES"/>
        </w:rPr>
        <w:t xml:space="preserve"> la Comisión no tendría competencia para pronunciarse respecto de los mismos debido a una restricción ex </w:t>
      </w:r>
      <w:proofErr w:type="spellStart"/>
      <w:r w:rsidR="00FA41A1">
        <w:rPr>
          <w:rFonts w:ascii="Cambria" w:hAnsi="Cambria"/>
          <w:i/>
          <w:sz w:val="20"/>
          <w:szCs w:val="20"/>
          <w:lang w:val="es-ES"/>
        </w:rPr>
        <w:t>ratione</w:t>
      </w:r>
      <w:proofErr w:type="spellEnd"/>
      <w:r w:rsidR="00FA41A1">
        <w:rPr>
          <w:rFonts w:ascii="Cambria" w:hAnsi="Cambria"/>
          <w:i/>
          <w:sz w:val="20"/>
          <w:szCs w:val="20"/>
          <w:lang w:val="es-ES"/>
        </w:rPr>
        <w:t xml:space="preserve"> </w:t>
      </w:r>
      <w:proofErr w:type="spellStart"/>
      <w:r w:rsidR="00FA41A1">
        <w:rPr>
          <w:rFonts w:ascii="Cambria" w:hAnsi="Cambria"/>
          <w:i/>
          <w:sz w:val="20"/>
          <w:szCs w:val="20"/>
          <w:lang w:val="es-ES"/>
        </w:rPr>
        <w:t>temporis</w:t>
      </w:r>
      <w:proofErr w:type="spellEnd"/>
      <w:r w:rsidR="00FA41A1">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5E06A224"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derivada de la </w:t>
      </w:r>
      <w:r w:rsidR="00C72513">
        <w:rPr>
          <w:rFonts w:ascii="Cambria" w:hAnsi="Cambria"/>
          <w:sz w:val="20"/>
          <w:szCs w:val="20"/>
          <w:lang w:val="es-ES"/>
        </w:rPr>
        <w:t>detención</w:t>
      </w:r>
      <w:r w:rsidR="00F86096">
        <w:rPr>
          <w:rFonts w:ascii="Cambria" w:hAnsi="Cambria"/>
          <w:sz w:val="20"/>
          <w:szCs w:val="20"/>
          <w:lang w:val="es-ES"/>
        </w:rPr>
        <w:t xml:space="preserve"> </w:t>
      </w:r>
      <w:r w:rsidR="00630707">
        <w:rPr>
          <w:rFonts w:ascii="Cambria" w:hAnsi="Cambria"/>
          <w:sz w:val="20"/>
          <w:szCs w:val="20"/>
          <w:lang w:val="es-ES"/>
        </w:rPr>
        <w:t xml:space="preserve">y ejecución </w:t>
      </w:r>
      <w:r w:rsidR="00F86096">
        <w:rPr>
          <w:rFonts w:ascii="Cambria" w:hAnsi="Cambria"/>
          <w:sz w:val="20"/>
          <w:szCs w:val="20"/>
          <w:lang w:val="es-ES"/>
        </w:rPr>
        <w:t>de la presunta víctima</w:t>
      </w:r>
      <w:r w:rsidRPr="003D225D">
        <w:rPr>
          <w:rFonts w:ascii="Cambria" w:hAnsi="Cambria"/>
          <w:sz w:val="20"/>
          <w:szCs w:val="20"/>
          <w:lang w:val="es-ES"/>
        </w:rPr>
        <w:t>, cu</w:t>
      </w:r>
      <w:r w:rsidR="00A035A1">
        <w:rPr>
          <w:rFonts w:ascii="Cambria" w:hAnsi="Cambria"/>
          <w:sz w:val="20"/>
          <w:szCs w:val="20"/>
          <w:lang w:val="es-ES"/>
        </w:rPr>
        <w:t xml:space="preserve">ya demanda civil fue rechazada </w:t>
      </w:r>
      <w:r w:rsidRPr="003D225D">
        <w:rPr>
          <w:rFonts w:ascii="Cambria" w:hAnsi="Cambria"/>
          <w:sz w:val="20"/>
          <w:szCs w:val="20"/>
          <w:lang w:val="es-ES"/>
        </w:rPr>
        <w:t xml:space="preserve">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630707">
        <w:rPr>
          <w:rFonts w:ascii="Cambria" w:hAnsi="Cambria"/>
          <w:sz w:val="20"/>
          <w:szCs w:val="20"/>
          <w:lang w:val="es-ES"/>
        </w:rPr>
        <w:t>civil</w:t>
      </w:r>
      <w:r w:rsidR="00393274">
        <w:rPr>
          <w:rFonts w:ascii="Cambria" w:hAnsi="Cambria"/>
          <w:sz w:val="20"/>
          <w:szCs w:val="20"/>
          <w:lang w:val="es-ES"/>
        </w:rPr>
        <w:t xml:space="preserve"> se inició la causa el </w:t>
      </w:r>
      <w:r w:rsidR="00F86096">
        <w:rPr>
          <w:rFonts w:ascii="Cambria" w:hAnsi="Cambria"/>
          <w:sz w:val="20"/>
          <w:szCs w:val="20"/>
          <w:lang w:val="es-ES"/>
        </w:rPr>
        <w:t>29 de julio de 2002 ante el 19</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B13D4D">
        <w:rPr>
          <w:rFonts w:ascii="Cambria" w:hAnsi="Cambria"/>
          <w:sz w:val="20"/>
          <w:szCs w:val="20"/>
          <w:lang w:val="es-ES"/>
        </w:rPr>
        <w:t>16 de marzo</w:t>
      </w:r>
      <w:r w:rsidR="00F86096">
        <w:rPr>
          <w:rFonts w:ascii="Cambria" w:hAnsi="Cambria"/>
          <w:sz w:val="20"/>
          <w:szCs w:val="20"/>
          <w:lang w:val="es-ES"/>
        </w:rPr>
        <w:t xml:space="preserve"> de 2012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F86096">
        <w:rPr>
          <w:rFonts w:ascii="Cambria" w:hAnsi="Cambria"/>
          <w:sz w:val="20"/>
          <w:szCs w:val="20"/>
          <w:lang w:val="es-ES"/>
        </w:rPr>
        <w:t>1</w:t>
      </w:r>
      <w:r w:rsidR="00B13D4D">
        <w:rPr>
          <w:rFonts w:ascii="Cambria" w:hAnsi="Cambria"/>
          <w:sz w:val="20"/>
          <w:szCs w:val="20"/>
          <w:lang w:val="es-ES"/>
        </w:rPr>
        <w:t>0</w:t>
      </w:r>
      <w:r w:rsidR="00F86096">
        <w:rPr>
          <w:rFonts w:ascii="Cambria" w:hAnsi="Cambria"/>
          <w:sz w:val="20"/>
          <w:szCs w:val="20"/>
          <w:lang w:val="es-ES"/>
        </w:rPr>
        <w:t xml:space="preserve"> de enero de 201</w:t>
      </w:r>
      <w:r w:rsidR="00EA25F8">
        <w:rPr>
          <w:rFonts w:ascii="Cambria" w:hAnsi="Cambria"/>
          <w:sz w:val="20"/>
          <w:szCs w:val="20"/>
          <w:lang w:val="es-ES"/>
        </w:rPr>
        <w:t>1</w:t>
      </w:r>
      <w:r w:rsidR="00F86096">
        <w:rPr>
          <w:rFonts w:ascii="Cambria" w:hAnsi="Cambria"/>
          <w:sz w:val="20"/>
          <w:szCs w:val="20"/>
          <w:lang w:val="es-ES"/>
        </w:rPr>
        <w:t xml:space="preserve"> </w:t>
      </w:r>
      <w:r w:rsidR="00393274">
        <w:rPr>
          <w:rFonts w:ascii="Cambria" w:hAnsi="Cambria"/>
          <w:sz w:val="20"/>
          <w:szCs w:val="20"/>
          <w:lang w:val="es-ES"/>
        </w:rPr>
        <w:t>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1EEE47A2"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B13D4D">
        <w:rPr>
          <w:rFonts w:ascii="Cambria" w:hAnsi="Cambria"/>
          <w:sz w:val="20"/>
          <w:szCs w:val="20"/>
          <w:lang w:val="es-ES"/>
        </w:rPr>
        <w:t xml:space="preserve"> 16 de septiembre</w:t>
      </w:r>
      <w:r w:rsidR="00F86096">
        <w:rPr>
          <w:rFonts w:ascii="Cambria" w:hAnsi="Cambria"/>
          <w:sz w:val="20"/>
          <w:szCs w:val="20"/>
          <w:lang w:val="es-ES"/>
        </w:rPr>
        <w:t xml:space="preserve"> de 2012</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3B3E096E" w:rsidR="000B0579" w:rsidRDefault="006C7AE8">
      <w:pPr>
        <w:pStyle w:val="ListParagraph"/>
        <w:numPr>
          <w:ilvl w:val="0"/>
          <w:numId w:val="103"/>
        </w:numPr>
        <w:jc w:val="both"/>
        <w:rPr>
          <w:sz w:val="20"/>
          <w:szCs w:val="20"/>
          <w:lang w:val="es-ES"/>
        </w:rPr>
      </w:pPr>
      <w:r w:rsidRPr="006C7AE8">
        <w:rPr>
          <w:sz w:val="20"/>
          <w:szCs w:val="20"/>
          <w:lang w:val="es-ES"/>
        </w:rPr>
        <w:t xml:space="preserve">La Comisión observa que la presente petición incluye alegaciones con respecto a </w:t>
      </w:r>
      <w:r w:rsidRPr="00836A5A">
        <w:rPr>
          <w:sz w:val="20"/>
          <w:szCs w:val="20"/>
          <w:lang w:val="es-ES"/>
        </w:rPr>
        <w:t>la falta de indemnización</w:t>
      </w:r>
      <w:r w:rsidR="00941B3B">
        <w:rPr>
          <w:sz w:val="20"/>
          <w:szCs w:val="20"/>
          <w:lang w:val="es-ES"/>
        </w:rPr>
        <w:t xml:space="preserve"> a los familiares de la presunta víctima</w:t>
      </w:r>
      <w:r w:rsidRPr="00836A5A">
        <w:rPr>
          <w:sz w:val="20"/>
          <w:szCs w:val="20"/>
          <w:lang w:val="es-ES"/>
        </w:rPr>
        <w:t xml:space="preserve"> por </w:t>
      </w:r>
      <w:r w:rsidR="00941B3B">
        <w:rPr>
          <w:sz w:val="20"/>
          <w:szCs w:val="20"/>
          <w:lang w:val="es-ES"/>
        </w:rPr>
        <w:t>su</w:t>
      </w:r>
      <w:r w:rsidR="00A035A1">
        <w:rPr>
          <w:sz w:val="20"/>
          <w:szCs w:val="20"/>
          <w:lang w:val="es-ES"/>
        </w:rPr>
        <w:t xml:space="preserve"> detención y ejecución extrajudicial </w:t>
      </w:r>
      <w:r w:rsidRPr="00836A5A">
        <w:rPr>
          <w:sz w:val="20"/>
          <w:szCs w:val="20"/>
          <w:lang w:val="es-ES"/>
        </w:rPr>
        <w:t>en aplicación de la prescripción en materia civil</w:t>
      </w:r>
      <w:r>
        <w:rPr>
          <w:sz w:val="20"/>
          <w:szCs w:val="20"/>
          <w:lang w:val="es-ES"/>
        </w:rPr>
        <w:t>.</w:t>
      </w:r>
      <w:r w:rsidRPr="00E84790">
        <w:rPr>
          <w:lang w:val="es-MX"/>
        </w:rPr>
        <w:t xml:space="preserve"> </w:t>
      </w:r>
      <w:r w:rsidR="002629E0" w:rsidRPr="00576A70">
        <w:rPr>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2629E0" w:rsidRPr="00576A70">
        <w:rPr>
          <w:rStyle w:val="FootnoteReference"/>
          <w:sz w:val="20"/>
          <w:szCs w:val="20"/>
          <w:lang w:val="es-ES"/>
        </w:rPr>
        <w:footnoteReference w:id="8"/>
      </w:r>
      <w:r w:rsidR="002629E0" w:rsidRPr="00576A70">
        <w:rPr>
          <w:sz w:val="20"/>
          <w:szCs w:val="20"/>
          <w:lang w:val="es-ES"/>
        </w:rPr>
        <w:t xml:space="preserve">. </w:t>
      </w:r>
      <w:r w:rsidR="002629E0" w:rsidRPr="00F93077">
        <w:rPr>
          <w:sz w:val="20"/>
          <w:szCs w:val="20"/>
          <w:lang w:val="es-ES"/>
        </w:rPr>
        <w:t>Teniendo en cuenta lo anterior, la CIDH considera que los alegatos de la parte peticionaria no resultan manifiestamente infundadas y requieren un estudio de fondo pues los hechos alegados, de corroborarse como ciertos podrían caracterizar violaciones a los artículos</w:t>
      </w:r>
      <w:r w:rsidR="002629E0" w:rsidRPr="00836A5A">
        <w:rPr>
          <w:sz w:val="20"/>
          <w:szCs w:val="20"/>
          <w:lang w:val="es-ES"/>
        </w:rPr>
        <w:t xml:space="preserve"> 8</w:t>
      </w:r>
      <w:r w:rsidR="000B4E5A" w:rsidRPr="00836A5A">
        <w:rPr>
          <w:sz w:val="20"/>
          <w:szCs w:val="20"/>
          <w:lang w:val="es-ES"/>
        </w:rPr>
        <w:t xml:space="preserve"> (garantías judiciales) y 25 (protección judicial) de la Convención Americana</w:t>
      </w:r>
      <w:r w:rsidR="00CC3E13" w:rsidRPr="00836A5A">
        <w:rPr>
          <w:sz w:val="20"/>
          <w:szCs w:val="20"/>
          <w:lang w:val="es-ES"/>
        </w:rPr>
        <w:t>,</w:t>
      </w:r>
      <w:r w:rsidR="000B4E5A" w:rsidRPr="00836A5A">
        <w:rPr>
          <w:sz w:val="20"/>
          <w:szCs w:val="20"/>
          <w:lang w:val="es-ES"/>
        </w:rPr>
        <w:t xml:space="preserve"> en relación con </w:t>
      </w:r>
      <w:r>
        <w:rPr>
          <w:sz w:val="20"/>
          <w:szCs w:val="20"/>
          <w:lang w:val="es-ES"/>
        </w:rPr>
        <w:t>sus</w:t>
      </w:r>
      <w:r w:rsidRPr="00836A5A">
        <w:rPr>
          <w:sz w:val="20"/>
          <w:szCs w:val="20"/>
          <w:lang w:val="es-ES"/>
        </w:rPr>
        <w:t xml:space="preserve"> </w:t>
      </w:r>
      <w:r w:rsidR="000B4E5A" w:rsidRPr="00836A5A">
        <w:rPr>
          <w:sz w:val="20"/>
          <w:szCs w:val="20"/>
          <w:lang w:val="es-ES"/>
        </w:rPr>
        <w:t xml:space="preserve">artículos 1.1 (obligación </w:t>
      </w:r>
      <w:r w:rsidR="000B4E5A" w:rsidRPr="00836A5A">
        <w:rPr>
          <w:sz w:val="20"/>
          <w:szCs w:val="20"/>
          <w:lang w:val="es-ES"/>
        </w:rPr>
        <w:lastRenderedPageBreak/>
        <w:t>de respetar los derechos) y 2 (deber de adoptar disposiciones de derecho interno)</w:t>
      </w:r>
      <w:r>
        <w:rPr>
          <w:sz w:val="20"/>
          <w:szCs w:val="20"/>
          <w:lang w:val="es-ES"/>
        </w:rPr>
        <w:t>, en concordancia con otros casos similares ya decididos por la CIDH</w:t>
      </w:r>
      <w:r>
        <w:rPr>
          <w:rStyle w:val="FootnoteReference"/>
          <w:sz w:val="20"/>
          <w:szCs w:val="20"/>
          <w:lang w:val="es-ES"/>
        </w:rPr>
        <w:footnoteReference w:id="9"/>
      </w:r>
      <w:r w:rsidR="006F67A1" w:rsidRPr="00836A5A">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0BD1EA59"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w:t>
      </w:r>
      <w:r w:rsidR="00543270">
        <w:rPr>
          <w:rFonts w:ascii="Cambria" w:hAnsi="Cambria"/>
          <w:bCs/>
          <w:sz w:val="20"/>
          <w:szCs w:val="20"/>
          <w:lang w:val="es-ES"/>
        </w:rPr>
        <w:t>concordancia</w:t>
      </w:r>
      <w:r w:rsidRPr="00CC3E13">
        <w:rPr>
          <w:rFonts w:ascii="Cambria" w:hAnsi="Cambria"/>
          <w:bCs/>
          <w:sz w:val="20"/>
          <w:szCs w:val="20"/>
          <w:lang w:val="es-ES"/>
        </w:rPr>
        <w:t xml:space="preserve"> con sus artículos 1.1 y </w:t>
      </w:r>
      <w:r w:rsidR="00F86096" w:rsidRPr="00CC3E13">
        <w:rPr>
          <w:rFonts w:ascii="Cambria" w:hAnsi="Cambria"/>
          <w:bCs/>
          <w:sz w:val="20"/>
          <w:szCs w:val="20"/>
          <w:lang w:val="es-ES"/>
        </w:rPr>
        <w:t xml:space="preserve">2; </w:t>
      </w:r>
      <w:r w:rsidR="00F86096" w:rsidRPr="00CC3E13">
        <w:rPr>
          <w:rFonts w:asciiTheme="majorHAnsi" w:hAnsiTheme="majorHAnsi"/>
          <w:sz w:val="20"/>
          <w:szCs w:val="20"/>
          <w:lang w:val="es-ES"/>
        </w:rPr>
        <w:t>y</w:t>
      </w:r>
    </w:p>
    <w:p w14:paraId="7CD4DFBD" w14:textId="5DD35814"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18347D40" w14:textId="3DF6AEA0" w:rsidR="00DA491C" w:rsidRPr="00A37B82" w:rsidRDefault="00DA491C" w:rsidP="00DA491C">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w:t>
      </w:r>
      <w:r w:rsidR="00746C34">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30B5CD21" w14:textId="77777777" w:rsidR="00DA491C" w:rsidRPr="00A37B82" w:rsidRDefault="00DA491C" w:rsidP="00DA491C">
      <w:pPr>
        <w:suppressAutoHyphens/>
        <w:ind w:firstLine="720"/>
        <w:jc w:val="both"/>
        <w:rPr>
          <w:rFonts w:asciiTheme="majorHAnsi" w:hAnsiTheme="majorHAnsi" w:cs="Arial"/>
          <w:noProof/>
          <w:spacing w:val="-2"/>
          <w:sz w:val="20"/>
          <w:szCs w:val="20"/>
          <w:lang w:val="es-CL"/>
        </w:rPr>
      </w:pPr>
    </w:p>
    <w:sectPr w:rsidR="00DA491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D058" w14:textId="77777777" w:rsidR="00080BC3" w:rsidRDefault="00080BC3">
      <w:r>
        <w:separator/>
      </w:r>
    </w:p>
  </w:endnote>
  <w:endnote w:type="continuationSeparator" w:id="0">
    <w:p w14:paraId="0FA236E2" w14:textId="77777777" w:rsidR="00080BC3" w:rsidRDefault="0008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DEFCEC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2513">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4AD2" w14:textId="77777777" w:rsidR="00080BC3" w:rsidRPr="000F35ED" w:rsidRDefault="00080B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664EA6" w14:textId="77777777" w:rsidR="00080BC3" w:rsidRPr="000F35ED" w:rsidRDefault="00080BC3" w:rsidP="000F35ED">
      <w:pPr>
        <w:rPr>
          <w:rFonts w:asciiTheme="majorHAnsi" w:hAnsiTheme="majorHAnsi"/>
          <w:sz w:val="16"/>
          <w:szCs w:val="16"/>
        </w:rPr>
      </w:pPr>
      <w:r w:rsidRPr="000F35ED">
        <w:rPr>
          <w:rFonts w:asciiTheme="majorHAnsi" w:hAnsiTheme="majorHAnsi"/>
          <w:sz w:val="16"/>
          <w:szCs w:val="16"/>
        </w:rPr>
        <w:separator/>
      </w:r>
    </w:p>
    <w:p w14:paraId="1AE3F672" w14:textId="77777777" w:rsidR="00080BC3" w:rsidRPr="000F35ED" w:rsidRDefault="00080BC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713AA6D" w14:textId="77777777" w:rsidR="00080BC3" w:rsidRPr="000F35ED" w:rsidRDefault="00080BC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1C7B1354" w:rsidR="00D34B76" w:rsidRPr="00734BF3" w:rsidRDefault="003F1546" w:rsidP="001E0950">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38A1333D" w:rsidR="00201E85" w:rsidRPr="007D4106" w:rsidRDefault="003F1546" w:rsidP="001E0950">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C7589C">
        <w:rPr>
          <w:rFonts w:asciiTheme="majorHAnsi" w:hAnsiTheme="majorHAnsi"/>
          <w:sz w:val="16"/>
          <w:szCs w:val="16"/>
          <w:lang w:val="es-MX"/>
        </w:rPr>
        <w:t xml:space="preserve"> </w:t>
      </w:r>
      <w:r w:rsidR="007642A3">
        <w:rPr>
          <w:rFonts w:asciiTheme="majorHAnsi" w:hAnsiTheme="majorHAnsi"/>
          <w:sz w:val="16"/>
          <w:szCs w:val="16"/>
          <w:lang w:val="es-MX"/>
        </w:rPr>
        <w:t xml:space="preserve">Judith del Carmen Jáuregui Cañas, viuda de la presunta víctima. Arturo Isidro Loo Jáuregui y Alexis Mauricio Loo Jáuregui, hijos de la presunta víctima.   </w:t>
      </w:r>
    </w:p>
  </w:footnote>
  <w:footnote w:id="4">
    <w:p w14:paraId="06C1BEFA" w14:textId="1B378E11" w:rsidR="004A6A54" w:rsidRPr="00734BF3" w:rsidRDefault="003F1546" w:rsidP="001E0950">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3D51F306" w:rsidR="00BF514A" w:rsidRPr="00734BF3" w:rsidRDefault="003F1546" w:rsidP="001E0950">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0BE506A6" w:rsidR="008E3BFE" w:rsidRPr="00734BF3" w:rsidRDefault="003F1546" w:rsidP="001E0950">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6C3CBD22" w:rsidR="002F7F5F" w:rsidRPr="00EE0CAD" w:rsidRDefault="003F1546" w:rsidP="001E0950">
      <w:pPr>
        <w:pStyle w:val="FootnoteText"/>
        <w:jc w:val="both"/>
        <w:rPr>
          <w:lang w:val="es-MX"/>
        </w:rPr>
      </w:pPr>
      <w:r>
        <w:rPr>
          <w:rFonts w:asciiTheme="majorHAnsi" w:hAnsiTheme="majorHAnsi"/>
          <w:sz w:val="16"/>
          <w:szCs w:val="16"/>
          <w:lang w:val="es-MX"/>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El peticionario basó su relato y los hechos denunciados en es</w:t>
      </w:r>
      <w:r w:rsidR="00A035A1">
        <w:rPr>
          <w:rFonts w:asciiTheme="majorHAnsi" w:hAnsiTheme="majorHAnsi"/>
          <w:sz w:val="16"/>
          <w:szCs w:val="16"/>
          <w:lang w:val="es-MX"/>
        </w:rPr>
        <w:t>ta petición en el I</w:t>
      </w:r>
      <w:r w:rsidR="00900DC3">
        <w:rPr>
          <w:rFonts w:asciiTheme="majorHAnsi" w:hAnsiTheme="majorHAnsi"/>
          <w:sz w:val="16"/>
          <w:szCs w:val="16"/>
          <w:lang w:val="es-MX"/>
        </w:rPr>
        <w:t xml:space="preserve">nforme de la Comisión </w:t>
      </w:r>
      <w:r w:rsidR="002A2C7A">
        <w:rPr>
          <w:rFonts w:asciiTheme="majorHAnsi" w:hAnsiTheme="majorHAnsi"/>
          <w:sz w:val="16"/>
          <w:szCs w:val="16"/>
          <w:lang w:val="es-MX"/>
        </w:rPr>
        <w:t xml:space="preserve">Nacional </w:t>
      </w:r>
      <w:r w:rsidR="00A035A1">
        <w:rPr>
          <w:rFonts w:asciiTheme="majorHAnsi" w:hAnsiTheme="majorHAnsi"/>
          <w:sz w:val="16"/>
          <w:szCs w:val="16"/>
          <w:lang w:val="es-MX"/>
        </w:rPr>
        <w:t>de Verdad y Reconciliación (Informe Rettig)</w:t>
      </w:r>
    </w:p>
  </w:footnote>
  <w:footnote w:id="8">
    <w:p w14:paraId="55FC9BA0" w14:textId="73EE869E" w:rsidR="002629E0" w:rsidRPr="00BF01E1" w:rsidRDefault="00DA64BD" w:rsidP="001E0950">
      <w:pPr>
        <w:jc w:val="both"/>
        <w:rPr>
          <w:rFonts w:ascii="Cambria" w:eastAsia="Times New Roman" w:hAnsi="Cambria"/>
          <w:sz w:val="16"/>
          <w:szCs w:val="16"/>
          <w:bdr w:val="none" w:sz="0" w:space="0" w:color="auto"/>
          <w:lang w:val="es-ES" w:eastAsia="fr-FR"/>
        </w:rPr>
      </w:pPr>
      <w:r>
        <w:rPr>
          <w:rFonts w:ascii="Cambria" w:hAnsi="Cambria"/>
          <w:sz w:val="16"/>
          <w:szCs w:val="16"/>
          <w:lang w:val="es-ES"/>
        </w:rPr>
        <w:tab/>
      </w:r>
      <w:r w:rsidR="002629E0" w:rsidRPr="00BF01E1">
        <w:rPr>
          <w:rStyle w:val="FootnoteReference"/>
          <w:rFonts w:ascii="Cambria" w:hAnsi="Cambria"/>
          <w:sz w:val="16"/>
          <w:szCs w:val="16"/>
        </w:rPr>
        <w:footnoteRef/>
      </w:r>
      <w:r w:rsidR="002629E0" w:rsidRPr="00BF01E1">
        <w:rPr>
          <w:rFonts w:ascii="Cambria" w:hAnsi="Cambria"/>
          <w:sz w:val="16"/>
          <w:szCs w:val="16"/>
          <w:lang w:val="es-ES"/>
        </w:rPr>
        <w:t xml:space="preserve"> </w:t>
      </w:r>
      <w:r w:rsidR="002629E0" w:rsidRPr="00E51FEB">
        <w:rPr>
          <w:rFonts w:ascii="Cambria" w:eastAsia="Times New Roman" w:hAnsi="Cambria"/>
          <w:color w:val="000000"/>
          <w:sz w:val="16"/>
          <w:szCs w:val="16"/>
          <w:bdr w:val="none" w:sz="0" w:space="0" w:color="auto"/>
          <w:lang w:val="es-US" w:eastAsia="fr-FR"/>
        </w:rPr>
        <w:t>CIDH, Informe No. 52/16, Caso 12.521. </w:t>
      </w:r>
      <w:r w:rsidR="002629E0"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002629E0"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002629E0"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3DA2327" w14:textId="20AF4F3D" w:rsidR="006C7AE8" w:rsidRPr="00CB578D" w:rsidRDefault="00DA64BD" w:rsidP="001E0950">
      <w:pPr>
        <w:pStyle w:val="FootnoteText"/>
        <w:jc w:val="both"/>
        <w:rPr>
          <w:rFonts w:asciiTheme="majorHAnsi" w:hAnsiTheme="majorHAnsi"/>
          <w:sz w:val="16"/>
          <w:szCs w:val="16"/>
          <w:lang w:val="es-MX"/>
        </w:rPr>
      </w:pPr>
      <w:r>
        <w:rPr>
          <w:rFonts w:asciiTheme="majorHAnsi" w:hAnsiTheme="majorHAnsi"/>
          <w:sz w:val="16"/>
          <w:szCs w:val="16"/>
          <w:lang w:val="es-MX"/>
        </w:rPr>
        <w:tab/>
      </w:r>
      <w:r w:rsidR="006C7AE8" w:rsidRPr="00CB578D">
        <w:rPr>
          <w:rStyle w:val="FootnoteReference"/>
          <w:rFonts w:asciiTheme="majorHAnsi" w:hAnsiTheme="majorHAnsi"/>
          <w:sz w:val="16"/>
          <w:szCs w:val="16"/>
        </w:rPr>
        <w:footnoteRef/>
      </w:r>
      <w:r w:rsidR="006C7AE8" w:rsidRPr="00CB578D">
        <w:rPr>
          <w:rFonts w:asciiTheme="majorHAnsi" w:hAnsiTheme="majorHAnsi"/>
          <w:sz w:val="16"/>
          <w:szCs w:val="16"/>
          <w:lang w:val="es-MX"/>
        </w:rPr>
        <w:t xml:space="preserve"> </w:t>
      </w:r>
      <w:r w:rsidR="006C7AE8"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006C7AE8" w:rsidRPr="00CB578D">
        <w:rPr>
          <w:rFonts w:asciiTheme="majorHAnsi" w:hAnsiTheme="majorHAnsi"/>
          <w:sz w:val="16"/>
          <w:szCs w:val="16"/>
        </w:rPr>
        <w:t xml:space="preserve">Juan Paredes Barrientos y </w:t>
      </w:r>
      <w:r w:rsidR="006C7AE8"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80BC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050"/>
    <w:rsid w:val="000337EF"/>
    <w:rsid w:val="00037B69"/>
    <w:rsid w:val="00040C3A"/>
    <w:rsid w:val="00041822"/>
    <w:rsid w:val="000419AD"/>
    <w:rsid w:val="00050A02"/>
    <w:rsid w:val="00050EC0"/>
    <w:rsid w:val="000535D1"/>
    <w:rsid w:val="000716C5"/>
    <w:rsid w:val="00075E23"/>
    <w:rsid w:val="00076EDC"/>
    <w:rsid w:val="00080BC3"/>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F19D3"/>
    <w:rsid w:val="000F1C1E"/>
    <w:rsid w:val="000F35ED"/>
    <w:rsid w:val="000F5101"/>
    <w:rsid w:val="001027DF"/>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7A34"/>
    <w:rsid w:val="001761CF"/>
    <w:rsid w:val="00177EEF"/>
    <w:rsid w:val="001811F7"/>
    <w:rsid w:val="00187408"/>
    <w:rsid w:val="0019517D"/>
    <w:rsid w:val="001A7870"/>
    <w:rsid w:val="001B36D5"/>
    <w:rsid w:val="001B3A00"/>
    <w:rsid w:val="001B5141"/>
    <w:rsid w:val="001B5AD5"/>
    <w:rsid w:val="001C1B41"/>
    <w:rsid w:val="001C22CD"/>
    <w:rsid w:val="001C6E86"/>
    <w:rsid w:val="001C77FC"/>
    <w:rsid w:val="001D65EF"/>
    <w:rsid w:val="001E0500"/>
    <w:rsid w:val="001E0950"/>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29E0"/>
    <w:rsid w:val="00266B61"/>
    <w:rsid w:val="0026712A"/>
    <w:rsid w:val="002704DB"/>
    <w:rsid w:val="00274BF4"/>
    <w:rsid w:val="00277BDA"/>
    <w:rsid w:val="00285743"/>
    <w:rsid w:val="0029575A"/>
    <w:rsid w:val="002A06BE"/>
    <w:rsid w:val="002A0AAE"/>
    <w:rsid w:val="002A2C7A"/>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358F4"/>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1BAD"/>
    <w:rsid w:val="00386C6C"/>
    <w:rsid w:val="00386CF0"/>
    <w:rsid w:val="00387C6F"/>
    <w:rsid w:val="00390372"/>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1546"/>
    <w:rsid w:val="003F2A8F"/>
    <w:rsid w:val="004015D9"/>
    <w:rsid w:val="00405929"/>
    <w:rsid w:val="004065A8"/>
    <w:rsid w:val="004165C2"/>
    <w:rsid w:val="00416A7F"/>
    <w:rsid w:val="00417C80"/>
    <w:rsid w:val="00421739"/>
    <w:rsid w:val="00423172"/>
    <w:rsid w:val="004265C0"/>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E2997"/>
    <w:rsid w:val="004F6D03"/>
    <w:rsid w:val="00501399"/>
    <w:rsid w:val="00501652"/>
    <w:rsid w:val="00501DC9"/>
    <w:rsid w:val="0050633D"/>
    <w:rsid w:val="00507BC4"/>
    <w:rsid w:val="005128E4"/>
    <w:rsid w:val="005133DB"/>
    <w:rsid w:val="00520703"/>
    <w:rsid w:val="005229A4"/>
    <w:rsid w:val="00525560"/>
    <w:rsid w:val="005328A7"/>
    <w:rsid w:val="005415E6"/>
    <w:rsid w:val="00541D91"/>
    <w:rsid w:val="00543270"/>
    <w:rsid w:val="00544216"/>
    <w:rsid w:val="00544C49"/>
    <w:rsid w:val="005516A1"/>
    <w:rsid w:val="00560CE3"/>
    <w:rsid w:val="00562FAB"/>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E7B58"/>
    <w:rsid w:val="005F0DAD"/>
    <w:rsid w:val="005F0F33"/>
    <w:rsid w:val="005F1B98"/>
    <w:rsid w:val="005F4E06"/>
    <w:rsid w:val="00600DEB"/>
    <w:rsid w:val="00601DD9"/>
    <w:rsid w:val="0060313F"/>
    <w:rsid w:val="00623420"/>
    <w:rsid w:val="006277DE"/>
    <w:rsid w:val="00627C9F"/>
    <w:rsid w:val="00630707"/>
    <w:rsid w:val="006311E9"/>
    <w:rsid w:val="00632354"/>
    <w:rsid w:val="00642810"/>
    <w:rsid w:val="0064513B"/>
    <w:rsid w:val="006462A8"/>
    <w:rsid w:val="00647756"/>
    <w:rsid w:val="006509DA"/>
    <w:rsid w:val="00652333"/>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027C"/>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46C34"/>
    <w:rsid w:val="00753794"/>
    <w:rsid w:val="007570CD"/>
    <w:rsid w:val="007642A3"/>
    <w:rsid w:val="0076643F"/>
    <w:rsid w:val="007751BE"/>
    <w:rsid w:val="00777F63"/>
    <w:rsid w:val="00781854"/>
    <w:rsid w:val="007852B5"/>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E328A"/>
    <w:rsid w:val="008E3759"/>
    <w:rsid w:val="008E3BFE"/>
    <w:rsid w:val="008E64ED"/>
    <w:rsid w:val="008E7900"/>
    <w:rsid w:val="008F1912"/>
    <w:rsid w:val="00900DC3"/>
    <w:rsid w:val="0090270B"/>
    <w:rsid w:val="009041DC"/>
    <w:rsid w:val="009134C7"/>
    <w:rsid w:val="0091381C"/>
    <w:rsid w:val="00917B5A"/>
    <w:rsid w:val="00920874"/>
    <w:rsid w:val="00920A58"/>
    <w:rsid w:val="00920A8C"/>
    <w:rsid w:val="00934A2C"/>
    <w:rsid w:val="00935F06"/>
    <w:rsid w:val="00936942"/>
    <w:rsid w:val="00937B3A"/>
    <w:rsid w:val="00941B3B"/>
    <w:rsid w:val="00943C8E"/>
    <w:rsid w:val="0094693E"/>
    <w:rsid w:val="00954B82"/>
    <w:rsid w:val="00962436"/>
    <w:rsid w:val="0096706E"/>
    <w:rsid w:val="00967678"/>
    <w:rsid w:val="0097150D"/>
    <w:rsid w:val="00974491"/>
    <w:rsid w:val="00975C4E"/>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35A1"/>
    <w:rsid w:val="00A0691C"/>
    <w:rsid w:val="00A11E44"/>
    <w:rsid w:val="00A145B6"/>
    <w:rsid w:val="00A16B7B"/>
    <w:rsid w:val="00A22397"/>
    <w:rsid w:val="00A26886"/>
    <w:rsid w:val="00A328B3"/>
    <w:rsid w:val="00A50FCF"/>
    <w:rsid w:val="00A5134F"/>
    <w:rsid w:val="00A528D1"/>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37"/>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2CB3"/>
    <w:rsid w:val="00B13D4D"/>
    <w:rsid w:val="00B16B79"/>
    <w:rsid w:val="00B202B5"/>
    <w:rsid w:val="00B30539"/>
    <w:rsid w:val="00B314DB"/>
    <w:rsid w:val="00B31FAB"/>
    <w:rsid w:val="00B3309D"/>
    <w:rsid w:val="00B361F2"/>
    <w:rsid w:val="00B3718B"/>
    <w:rsid w:val="00B37ED8"/>
    <w:rsid w:val="00B42859"/>
    <w:rsid w:val="00B4632A"/>
    <w:rsid w:val="00B5067D"/>
    <w:rsid w:val="00B530F1"/>
    <w:rsid w:val="00B56DA5"/>
    <w:rsid w:val="00B736AF"/>
    <w:rsid w:val="00B82FC6"/>
    <w:rsid w:val="00B94F82"/>
    <w:rsid w:val="00B97946"/>
    <w:rsid w:val="00BA276C"/>
    <w:rsid w:val="00BA5544"/>
    <w:rsid w:val="00BB1B05"/>
    <w:rsid w:val="00BB306F"/>
    <w:rsid w:val="00BB3FBD"/>
    <w:rsid w:val="00BB709A"/>
    <w:rsid w:val="00BC6CD0"/>
    <w:rsid w:val="00BD2D61"/>
    <w:rsid w:val="00BD4B89"/>
    <w:rsid w:val="00BD5922"/>
    <w:rsid w:val="00BD76D9"/>
    <w:rsid w:val="00BE6B2D"/>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4664B"/>
    <w:rsid w:val="00C51515"/>
    <w:rsid w:val="00C515D2"/>
    <w:rsid w:val="00C53910"/>
    <w:rsid w:val="00C5660B"/>
    <w:rsid w:val="00C56854"/>
    <w:rsid w:val="00C5788A"/>
    <w:rsid w:val="00C66B72"/>
    <w:rsid w:val="00C72513"/>
    <w:rsid w:val="00C7589C"/>
    <w:rsid w:val="00C764E1"/>
    <w:rsid w:val="00C87AC4"/>
    <w:rsid w:val="00C938F8"/>
    <w:rsid w:val="00C9567A"/>
    <w:rsid w:val="00CA25FA"/>
    <w:rsid w:val="00CA48A3"/>
    <w:rsid w:val="00CB2099"/>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144B"/>
    <w:rsid w:val="00CF51D6"/>
    <w:rsid w:val="00CF637A"/>
    <w:rsid w:val="00CF69B5"/>
    <w:rsid w:val="00D03715"/>
    <w:rsid w:val="00D059DE"/>
    <w:rsid w:val="00D05ABD"/>
    <w:rsid w:val="00D13FCE"/>
    <w:rsid w:val="00D15766"/>
    <w:rsid w:val="00D24500"/>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57016"/>
    <w:rsid w:val="00D62438"/>
    <w:rsid w:val="00D63926"/>
    <w:rsid w:val="00D64647"/>
    <w:rsid w:val="00D712D3"/>
    <w:rsid w:val="00D71422"/>
    <w:rsid w:val="00D72DC6"/>
    <w:rsid w:val="00D7355A"/>
    <w:rsid w:val="00D73A49"/>
    <w:rsid w:val="00D73F5E"/>
    <w:rsid w:val="00D7558D"/>
    <w:rsid w:val="00D77503"/>
    <w:rsid w:val="00D81D92"/>
    <w:rsid w:val="00D876F9"/>
    <w:rsid w:val="00D877B6"/>
    <w:rsid w:val="00DA009E"/>
    <w:rsid w:val="00DA1226"/>
    <w:rsid w:val="00DA1DB4"/>
    <w:rsid w:val="00DA491C"/>
    <w:rsid w:val="00DA64BD"/>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479A2"/>
    <w:rsid w:val="00E50345"/>
    <w:rsid w:val="00E51FEB"/>
    <w:rsid w:val="00E55DFC"/>
    <w:rsid w:val="00E720CA"/>
    <w:rsid w:val="00E747B6"/>
    <w:rsid w:val="00E82DD0"/>
    <w:rsid w:val="00E84790"/>
    <w:rsid w:val="00E84EB5"/>
    <w:rsid w:val="00E85662"/>
    <w:rsid w:val="00E867BB"/>
    <w:rsid w:val="00E8789F"/>
    <w:rsid w:val="00E97B71"/>
    <w:rsid w:val="00EA25F8"/>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81"/>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86096"/>
    <w:rsid w:val="00F917D1"/>
    <w:rsid w:val="00F9342C"/>
    <w:rsid w:val="00F93D0E"/>
    <w:rsid w:val="00F950F2"/>
    <w:rsid w:val="00F9653B"/>
    <w:rsid w:val="00FA3CA9"/>
    <w:rsid w:val="00FA41A1"/>
    <w:rsid w:val="00FA56EA"/>
    <w:rsid w:val="00FB193D"/>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4FC"/>
    <w:rsid w:val="000160EC"/>
    <w:rsid w:val="00020817"/>
    <w:rsid w:val="00022325"/>
    <w:rsid w:val="000441F7"/>
    <w:rsid w:val="000825FF"/>
    <w:rsid w:val="00083D45"/>
    <w:rsid w:val="0008443C"/>
    <w:rsid w:val="000D2031"/>
    <w:rsid w:val="00171DD9"/>
    <w:rsid w:val="0017750E"/>
    <w:rsid w:val="00183B6F"/>
    <w:rsid w:val="001C40BF"/>
    <w:rsid w:val="00200821"/>
    <w:rsid w:val="002468A0"/>
    <w:rsid w:val="00286414"/>
    <w:rsid w:val="002C698B"/>
    <w:rsid w:val="002E6F38"/>
    <w:rsid w:val="00394049"/>
    <w:rsid w:val="004F0B66"/>
    <w:rsid w:val="004F2DF8"/>
    <w:rsid w:val="005B6D86"/>
    <w:rsid w:val="005D3162"/>
    <w:rsid w:val="005F168B"/>
    <w:rsid w:val="005F72A0"/>
    <w:rsid w:val="006E2B51"/>
    <w:rsid w:val="008E3184"/>
    <w:rsid w:val="00942213"/>
    <w:rsid w:val="0097453C"/>
    <w:rsid w:val="009A1B5A"/>
    <w:rsid w:val="009A261B"/>
    <w:rsid w:val="009B5A07"/>
    <w:rsid w:val="00A14A9D"/>
    <w:rsid w:val="00A311DF"/>
    <w:rsid w:val="00AA67AB"/>
    <w:rsid w:val="00AC15A4"/>
    <w:rsid w:val="00B0336C"/>
    <w:rsid w:val="00B42C9F"/>
    <w:rsid w:val="00B87CE8"/>
    <w:rsid w:val="00BD5B4D"/>
    <w:rsid w:val="00C11833"/>
    <w:rsid w:val="00C35D17"/>
    <w:rsid w:val="00C5109B"/>
    <w:rsid w:val="00C56634"/>
    <w:rsid w:val="00CC1166"/>
    <w:rsid w:val="00D1626E"/>
    <w:rsid w:val="00D46351"/>
    <w:rsid w:val="00D55AA6"/>
    <w:rsid w:val="00D73C04"/>
    <w:rsid w:val="00D84C02"/>
    <w:rsid w:val="00DD65ED"/>
    <w:rsid w:val="00E02BDB"/>
    <w:rsid w:val="00E762AC"/>
    <w:rsid w:val="00E77140"/>
    <w:rsid w:val="00E876D3"/>
    <w:rsid w:val="00E907ED"/>
    <w:rsid w:val="00EC5ECB"/>
    <w:rsid w:val="00EC7B7B"/>
    <w:rsid w:val="00EE5A1E"/>
    <w:rsid w:val="00F00D2F"/>
    <w:rsid w:val="00F128DF"/>
    <w:rsid w:val="00F97905"/>
    <w:rsid w:val="00FB7DD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8773-CEE5-4645-BD1C-6BED273D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6804</Characters>
  <Application>Microsoft Office Word</Application>
  <DocSecurity>0</DocSecurity>
  <Lines>133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422/21</dc:title>
  <dc:creator/>
  <cp:lastModifiedBy/>
  <cp:revision>1</cp:revision>
  <dcterms:created xsi:type="dcterms:W3CDTF">2022-02-15T16:32:00Z</dcterms:created>
  <dcterms:modified xsi:type="dcterms:W3CDTF">2022-02-15T16:32:00Z</dcterms:modified>
</cp:coreProperties>
</file>