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8062AE" w:rsidRDefault="00E10040" w:rsidP="00337AC7">
      <w:pPr>
        <w:jc w:val="both"/>
        <w:rPr>
          <w:rFonts w:ascii="Cambria" w:hAnsi="Cambria" w:cs="Univers"/>
          <w:b/>
          <w:bCs/>
          <w:sz w:val="22"/>
          <w:szCs w:val="22"/>
          <w:lang w:val="es-VE"/>
        </w:rPr>
      </w:pPr>
      <w:r w:rsidRPr="008062AE">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4F5D4"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8062AE">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40728B" w:rsidRDefault="0040728B"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40728B" w:rsidRDefault="0040728B"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8062AE">
        <w:rPr>
          <w:rFonts w:ascii="Cambria" w:hAnsi="Cambria" w:cs="Univers"/>
          <w:b/>
          <w:bCs/>
          <w:sz w:val="22"/>
          <w:szCs w:val="22"/>
          <w:lang w:val="es-VE"/>
        </w:rPr>
        <w:t xml:space="preserve"> </w:t>
      </w:r>
    </w:p>
    <w:p w14:paraId="568095CA" w14:textId="77777777" w:rsidR="00E10040" w:rsidRPr="008062AE" w:rsidRDefault="00E10040" w:rsidP="00337AC7">
      <w:pPr>
        <w:tabs>
          <w:tab w:val="center" w:pos="5400"/>
        </w:tabs>
        <w:suppressAutoHyphens/>
        <w:jc w:val="both"/>
        <w:rPr>
          <w:rFonts w:ascii="Cambria" w:hAnsi="Cambria"/>
          <w:sz w:val="22"/>
          <w:szCs w:val="22"/>
          <w:lang w:val="es-VE"/>
        </w:rPr>
      </w:pPr>
    </w:p>
    <w:p w14:paraId="1DFF4A90" w14:textId="77777777" w:rsidR="00E10040" w:rsidRPr="008062AE" w:rsidRDefault="00E10040" w:rsidP="00337AC7">
      <w:pPr>
        <w:tabs>
          <w:tab w:val="center" w:pos="5400"/>
        </w:tabs>
        <w:suppressAutoHyphens/>
        <w:jc w:val="both"/>
        <w:rPr>
          <w:rFonts w:ascii="Cambria" w:hAnsi="Cambria"/>
          <w:sz w:val="22"/>
          <w:szCs w:val="22"/>
          <w:lang w:val="es-VE"/>
        </w:rPr>
      </w:pPr>
    </w:p>
    <w:p w14:paraId="65DC4A88" w14:textId="77777777" w:rsidR="00E10040" w:rsidRPr="008062AE" w:rsidRDefault="00E10040" w:rsidP="00337AC7">
      <w:pPr>
        <w:tabs>
          <w:tab w:val="center" w:pos="5400"/>
        </w:tabs>
        <w:suppressAutoHyphens/>
        <w:rPr>
          <w:rFonts w:ascii="Cambria" w:hAnsi="Cambria"/>
          <w:sz w:val="22"/>
          <w:szCs w:val="22"/>
          <w:lang w:val="es-VE"/>
        </w:rPr>
      </w:pPr>
    </w:p>
    <w:p w14:paraId="4F24238A" w14:textId="77777777" w:rsidR="00E10040" w:rsidRPr="008062AE" w:rsidRDefault="00E10040" w:rsidP="00337AC7">
      <w:pPr>
        <w:tabs>
          <w:tab w:val="center" w:pos="5400"/>
        </w:tabs>
        <w:suppressAutoHyphens/>
        <w:rPr>
          <w:rFonts w:ascii="Cambria" w:hAnsi="Cambria"/>
          <w:sz w:val="22"/>
          <w:szCs w:val="22"/>
          <w:lang w:val="es-VE"/>
        </w:rPr>
      </w:pPr>
    </w:p>
    <w:p w14:paraId="387440B2" w14:textId="77777777" w:rsidR="00E10040" w:rsidRPr="008062AE" w:rsidRDefault="00E10040" w:rsidP="00337AC7">
      <w:pPr>
        <w:tabs>
          <w:tab w:val="center" w:pos="5400"/>
        </w:tabs>
        <w:suppressAutoHyphens/>
        <w:rPr>
          <w:rFonts w:ascii="Cambria" w:hAnsi="Cambria"/>
          <w:sz w:val="22"/>
          <w:szCs w:val="22"/>
          <w:lang w:val="es-VE"/>
        </w:rPr>
      </w:pPr>
    </w:p>
    <w:p w14:paraId="5EE2C527" w14:textId="77777777" w:rsidR="00E10040" w:rsidRPr="008062AE" w:rsidRDefault="00E10040" w:rsidP="00337AC7">
      <w:pPr>
        <w:tabs>
          <w:tab w:val="center" w:pos="5400"/>
        </w:tabs>
        <w:suppressAutoHyphens/>
        <w:jc w:val="center"/>
        <w:rPr>
          <w:rFonts w:ascii="Cambria" w:hAnsi="Cambria"/>
          <w:sz w:val="22"/>
          <w:szCs w:val="22"/>
          <w:lang w:val="es-VE"/>
        </w:rPr>
      </w:pPr>
    </w:p>
    <w:p w14:paraId="3CB256DD" w14:textId="77777777" w:rsidR="00E10040" w:rsidRPr="008062AE" w:rsidRDefault="00E10040" w:rsidP="00337AC7">
      <w:pPr>
        <w:tabs>
          <w:tab w:val="center" w:pos="5400"/>
        </w:tabs>
        <w:suppressAutoHyphens/>
        <w:jc w:val="center"/>
        <w:rPr>
          <w:rFonts w:ascii="Cambria" w:hAnsi="Cambria"/>
          <w:sz w:val="22"/>
          <w:szCs w:val="22"/>
          <w:lang w:val="es-VE"/>
        </w:rPr>
      </w:pPr>
    </w:p>
    <w:p w14:paraId="20BB3321" w14:textId="77777777" w:rsidR="00E10040" w:rsidRPr="008062AE" w:rsidRDefault="00E10040" w:rsidP="00337AC7">
      <w:pPr>
        <w:tabs>
          <w:tab w:val="center" w:pos="5400"/>
        </w:tabs>
        <w:suppressAutoHyphens/>
        <w:jc w:val="center"/>
        <w:rPr>
          <w:rFonts w:ascii="Cambria" w:hAnsi="Cambria"/>
          <w:sz w:val="22"/>
          <w:szCs w:val="22"/>
          <w:lang w:val="es-VE"/>
        </w:rPr>
      </w:pPr>
    </w:p>
    <w:p w14:paraId="48A54078" w14:textId="77777777" w:rsidR="00E10040" w:rsidRPr="008062AE" w:rsidRDefault="00E10040" w:rsidP="00337AC7">
      <w:pPr>
        <w:tabs>
          <w:tab w:val="center" w:pos="5400"/>
        </w:tabs>
        <w:suppressAutoHyphens/>
        <w:jc w:val="center"/>
        <w:rPr>
          <w:rFonts w:ascii="Cambria" w:hAnsi="Cambria"/>
          <w:sz w:val="22"/>
          <w:szCs w:val="22"/>
          <w:lang w:val="es-VE"/>
        </w:rPr>
      </w:pPr>
    </w:p>
    <w:p w14:paraId="06A72060" w14:textId="77777777" w:rsidR="00E10040" w:rsidRPr="008062AE" w:rsidRDefault="00E10040" w:rsidP="00337AC7">
      <w:pPr>
        <w:tabs>
          <w:tab w:val="center" w:pos="5400"/>
        </w:tabs>
        <w:suppressAutoHyphens/>
        <w:jc w:val="center"/>
        <w:rPr>
          <w:rFonts w:ascii="Cambria" w:hAnsi="Cambria"/>
          <w:sz w:val="22"/>
          <w:szCs w:val="22"/>
          <w:lang w:val="es-VE"/>
        </w:rPr>
      </w:pPr>
    </w:p>
    <w:p w14:paraId="5491C21D" w14:textId="77777777" w:rsidR="00E10040" w:rsidRPr="008062AE" w:rsidRDefault="00E10040" w:rsidP="00337AC7">
      <w:pPr>
        <w:tabs>
          <w:tab w:val="center" w:pos="5400"/>
        </w:tabs>
        <w:suppressAutoHyphens/>
        <w:jc w:val="center"/>
        <w:rPr>
          <w:rFonts w:ascii="Cambria" w:hAnsi="Cambria"/>
          <w:sz w:val="22"/>
          <w:szCs w:val="22"/>
          <w:lang w:val="es-VE"/>
        </w:rPr>
      </w:pPr>
    </w:p>
    <w:p w14:paraId="76D0B80F" w14:textId="77777777" w:rsidR="00E10040" w:rsidRPr="008062AE" w:rsidRDefault="00E10040" w:rsidP="00337AC7">
      <w:pPr>
        <w:tabs>
          <w:tab w:val="center" w:pos="5400"/>
        </w:tabs>
        <w:suppressAutoHyphens/>
        <w:jc w:val="center"/>
        <w:rPr>
          <w:rFonts w:ascii="Cambria" w:hAnsi="Cambria"/>
          <w:sz w:val="22"/>
          <w:szCs w:val="22"/>
          <w:lang w:val="es-VE"/>
        </w:rPr>
      </w:pPr>
    </w:p>
    <w:p w14:paraId="40321C5F" w14:textId="77777777" w:rsidR="00E10040" w:rsidRPr="008062AE" w:rsidRDefault="00E10040" w:rsidP="00337AC7">
      <w:pPr>
        <w:tabs>
          <w:tab w:val="center" w:pos="5400"/>
        </w:tabs>
        <w:suppressAutoHyphens/>
        <w:jc w:val="center"/>
        <w:rPr>
          <w:rFonts w:ascii="Cambria" w:hAnsi="Cambria"/>
          <w:sz w:val="22"/>
          <w:szCs w:val="22"/>
          <w:lang w:val="es-VE"/>
        </w:rPr>
      </w:pPr>
      <w:r w:rsidRPr="008062AE">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4CF6B248" w:rsidR="0040728B" w:rsidRPr="00E10040" w:rsidRDefault="0040728B"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422533">
                              <w:rPr>
                                <w:rFonts w:ascii="Cambria" w:hAnsi="Cambria" w:cs="Arial"/>
                                <w:b/>
                                <w:bCs/>
                                <w:color w:val="0D0D0D" w:themeColor="text1" w:themeTint="F2"/>
                                <w:sz w:val="36"/>
                                <w:szCs w:val="22"/>
                                <w:lang w:val="es-ES_tradnl"/>
                              </w:rPr>
                              <w:t>212</w:t>
                            </w:r>
                            <w:r w:rsidRPr="00E10040">
                              <w:rPr>
                                <w:rFonts w:ascii="Cambria" w:hAnsi="Cambria" w:cs="Arial"/>
                                <w:b/>
                                <w:bCs/>
                                <w:color w:val="0D0D0D" w:themeColor="text1" w:themeTint="F2"/>
                                <w:sz w:val="36"/>
                                <w:szCs w:val="22"/>
                                <w:lang w:val="es-ES_tradnl"/>
                              </w:rPr>
                              <w:t>/2</w:t>
                            </w:r>
                            <w:r w:rsidR="00621D9D">
                              <w:rPr>
                                <w:rFonts w:ascii="Cambria" w:hAnsi="Cambria" w:cs="Arial"/>
                                <w:b/>
                                <w:bCs/>
                                <w:color w:val="0D0D0D" w:themeColor="text1" w:themeTint="F2"/>
                                <w:sz w:val="36"/>
                                <w:szCs w:val="22"/>
                                <w:lang w:val="es-ES_tradnl"/>
                              </w:rPr>
                              <w:t>2</w:t>
                            </w:r>
                          </w:p>
                          <w:p w14:paraId="67D1B048" w14:textId="618EFB97" w:rsidR="0040728B" w:rsidRPr="00E10040" w:rsidRDefault="0040728B"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1306</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08</w:t>
                            </w:r>
                            <w:r w:rsidRPr="00E10040">
                              <w:rPr>
                                <w:rFonts w:ascii="Cambria" w:hAnsi="Cambria" w:cs="Arial"/>
                                <w:b/>
                                <w:color w:val="0D0D0D" w:themeColor="text1" w:themeTint="F2"/>
                                <w:sz w:val="36"/>
                                <w:szCs w:val="22"/>
                                <w:lang w:val="es-ES_tradnl"/>
                              </w:rPr>
                              <w:t xml:space="preserve"> </w:t>
                            </w:r>
                          </w:p>
                          <w:p w14:paraId="7264B33D" w14:textId="719DF801" w:rsidR="0040728B" w:rsidRPr="000C4F3D" w:rsidRDefault="0040728B" w:rsidP="00E10040">
                            <w:pPr>
                              <w:spacing w:line="276" w:lineRule="auto"/>
                              <w:rPr>
                                <w:rFonts w:ascii="Cambria" w:hAnsi="Cambria" w:cs="Arial"/>
                                <w:szCs w:val="22"/>
                                <w:lang w:val="es-ES_tradnl"/>
                              </w:rPr>
                            </w:pPr>
                            <w:r w:rsidRPr="000C4F3D">
                              <w:rPr>
                                <w:rFonts w:ascii="Cambria" w:hAnsi="Cambria" w:cs="Arial"/>
                                <w:szCs w:val="22"/>
                                <w:lang w:val="es-ES_tradnl"/>
                              </w:rPr>
                              <w:t xml:space="preserve">INFORME DE INADMISIBILIDAD </w:t>
                            </w:r>
                          </w:p>
                          <w:p w14:paraId="1C3D1962" w14:textId="77777777" w:rsidR="0040728B" w:rsidRPr="00E10040" w:rsidRDefault="0040728B" w:rsidP="00E10040">
                            <w:pPr>
                              <w:spacing w:line="276" w:lineRule="auto"/>
                              <w:rPr>
                                <w:rFonts w:ascii="Cambria" w:hAnsi="Cambria" w:cs="Arial"/>
                                <w:color w:val="0D0D0D" w:themeColor="text1" w:themeTint="F2"/>
                                <w:szCs w:val="22"/>
                                <w:lang w:val="es-ES_tradnl"/>
                              </w:rPr>
                            </w:pPr>
                            <w:bookmarkStart w:id="0" w:name="_ftnref1"/>
                          </w:p>
                          <w:p w14:paraId="6F037F91" w14:textId="2CEE6E52" w:rsidR="0040728B" w:rsidRPr="00E10040" w:rsidRDefault="0040728B" w:rsidP="00E10040">
                            <w:pPr>
                              <w:spacing w:line="276" w:lineRule="auto"/>
                              <w:rPr>
                                <w:rFonts w:ascii="Cambria" w:hAnsi="Cambria" w:cs="Arial"/>
                                <w:color w:val="0D0D0D" w:themeColor="text1" w:themeTint="F2"/>
                                <w:szCs w:val="22"/>
                                <w:lang w:val="es-ES_tradnl"/>
                              </w:rPr>
                            </w:pPr>
                            <w:r w:rsidRPr="00290AF2">
                              <w:rPr>
                                <w:rFonts w:ascii="Cambria" w:hAnsi="Cambria" w:cs="Arial"/>
                                <w:color w:val="0D0D0D" w:themeColor="text1" w:themeTint="F2"/>
                                <w:szCs w:val="22"/>
                                <w:lang w:val="es-VE"/>
                              </w:rPr>
                              <w:t xml:space="preserve">DEYNER ANDRÉS GUERRA TUBERQUIA Y </w:t>
                            </w:r>
                            <w:r w:rsidR="00CA4F2E" w:rsidRPr="00290AF2">
                              <w:rPr>
                                <w:rFonts w:ascii="Cambria" w:hAnsi="Cambria" w:cs="Arial"/>
                                <w:color w:val="0D0D0D" w:themeColor="text1" w:themeTint="F2"/>
                                <w:szCs w:val="22"/>
                                <w:lang w:val="es-VE"/>
                              </w:rPr>
                              <w:t>OTROS</w:t>
                            </w:r>
                          </w:p>
                          <w:bookmarkEnd w:id="0"/>
                          <w:p w14:paraId="7441DC01" w14:textId="40D601EA" w:rsidR="0040728B" w:rsidRPr="00E10040" w:rsidRDefault="0040728B"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40728B" w:rsidRPr="00E10040" w:rsidRDefault="0040728B"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4CF6B248" w:rsidR="0040728B" w:rsidRPr="00E10040" w:rsidRDefault="0040728B"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422533">
                        <w:rPr>
                          <w:rFonts w:ascii="Cambria" w:hAnsi="Cambria" w:cs="Arial"/>
                          <w:b/>
                          <w:bCs/>
                          <w:color w:val="0D0D0D" w:themeColor="text1" w:themeTint="F2"/>
                          <w:sz w:val="36"/>
                          <w:szCs w:val="22"/>
                          <w:lang w:val="es-ES_tradnl"/>
                        </w:rPr>
                        <w:t>212</w:t>
                      </w:r>
                      <w:r w:rsidRPr="00E10040">
                        <w:rPr>
                          <w:rFonts w:ascii="Cambria" w:hAnsi="Cambria" w:cs="Arial"/>
                          <w:b/>
                          <w:bCs/>
                          <w:color w:val="0D0D0D" w:themeColor="text1" w:themeTint="F2"/>
                          <w:sz w:val="36"/>
                          <w:szCs w:val="22"/>
                          <w:lang w:val="es-ES_tradnl"/>
                        </w:rPr>
                        <w:t>/2</w:t>
                      </w:r>
                      <w:r w:rsidR="00621D9D">
                        <w:rPr>
                          <w:rFonts w:ascii="Cambria" w:hAnsi="Cambria" w:cs="Arial"/>
                          <w:b/>
                          <w:bCs/>
                          <w:color w:val="0D0D0D" w:themeColor="text1" w:themeTint="F2"/>
                          <w:sz w:val="36"/>
                          <w:szCs w:val="22"/>
                          <w:lang w:val="es-ES_tradnl"/>
                        </w:rPr>
                        <w:t>2</w:t>
                      </w:r>
                    </w:p>
                    <w:p w14:paraId="67D1B048" w14:textId="618EFB97" w:rsidR="0040728B" w:rsidRPr="00E10040" w:rsidRDefault="0040728B"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1306</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08</w:t>
                      </w:r>
                      <w:r w:rsidRPr="00E10040">
                        <w:rPr>
                          <w:rFonts w:ascii="Cambria" w:hAnsi="Cambria" w:cs="Arial"/>
                          <w:b/>
                          <w:color w:val="0D0D0D" w:themeColor="text1" w:themeTint="F2"/>
                          <w:sz w:val="36"/>
                          <w:szCs w:val="22"/>
                          <w:lang w:val="es-ES_tradnl"/>
                        </w:rPr>
                        <w:t xml:space="preserve"> </w:t>
                      </w:r>
                    </w:p>
                    <w:p w14:paraId="7264B33D" w14:textId="719DF801" w:rsidR="0040728B" w:rsidRPr="000C4F3D" w:rsidRDefault="0040728B" w:rsidP="00E10040">
                      <w:pPr>
                        <w:spacing w:line="276" w:lineRule="auto"/>
                        <w:rPr>
                          <w:rFonts w:ascii="Cambria" w:hAnsi="Cambria" w:cs="Arial"/>
                          <w:szCs w:val="22"/>
                          <w:lang w:val="es-ES_tradnl"/>
                        </w:rPr>
                      </w:pPr>
                      <w:r w:rsidRPr="000C4F3D">
                        <w:rPr>
                          <w:rFonts w:ascii="Cambria" w:hAnsi="Cambria" w:cs="Arial"/>
                          <w:szCs w:val="22"/>
                          <w:lang w:val="es-ES_tradnl"/>
                        </w:rPr>
                        <w:t xml:space="preserve">INFORME DE INADMISIBILIDAD </w:t>
                      </w:r>
                    </w:p>
                    <w:p w14:paraId="1C3D1962" w14:textId="77777777" w:rsidR="0040728B" w:rsidRPr="00E10040" w:rsidRDefault="0040728B" w:rsidP="00E10040">
                      <w:pPr>
                        <w:spacing w:line="276" w:lineRule="auto"/>
                        <w:rPr>
                          <w:rFonts w:ascii="Cambria" w:hAnsi="Cambria" w:cs="Arial"/>
                          <w:color w:val="0D0D0D" w:themeColor="text1" w:themeTint="F2"/>
                          <w:szCs w:val="22"/>
                          <w:lang w:val="es-ES_tradnl"/>
                        </w:rPr>
                      </w:pPr>
                      <w:bookmarkStart w:id="1" w:name="_ftnref1"/>
                    </w:p>
                    <w:p w14:paraId="6F037F91" w14:textId="2CEE6E52" w:rsidR="0040728B" w:rsidRPr="00E10040" w:rsidRDefault="0040728B" w:rsidP="00E10040">
                      <w:pPr>
                        <w:spacing w:line="276" w:lineRule="auto"/>
                        <w:rPr>
                          <w:rFonts w:ascii="Cambria" w:hAnsi="Cambria" w:cs="Arial"/>
                          <w:color w:val="0D0D0D" w:themeColor="text1" w:themeTint="F2"/>
                          <w:szCs w:val="22"/>
                          <w:lang w:val="es-ES_tradnl"/>
                        </w:rPr>
                      </w:pPr>
                      <w:r w:rsidRPr="00290AF2">
                        <w:rPr>
                          <w:rFonts w:ascii="Cambria" w:hAnsi="Cambria" w:cs="Arial"/>
                          <w:color w:val="0D0D0D" w:themeColor="text1" w:themeTint="F2"/>
                          <w:szCs w:val="22"/>
                          <w:lang w:val="es-VE"/>
                        </w:rPr>
                        <w:t xml:space="preserve">DEYNER ANDRÉS GUERRA TUBERQUIA Y </w:t>
                      </w:r>
                      <w:r w:rsidR="00CA4F2E" w:rsidRPr="00290AF2">
                        <w:rPr>
                          <w:rFonts w:ascii="Cambria" w:hAnsi="Cambria" w:cs="Arial"/>
                          <w:color w:val="0D0D0D" w:themeColor="text1" w:themeTint="F2"/>
                          <w:szCs w:val="22"/>
                          <w:lang w:val="es-VE"/>
                        </w:rPr>
                        <w:t>OTROS</w:t>
                      </w:r>
                    </w:p>
                    <w:bookmarkEnd w:id="1"/>
                    <w:p w14:paraId="7441DC01" w14:textId="40D601EA" w:rsidR="0040728B" w:rsidRPr="00E10040" w:rsidRDefault="0040728B"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COLOMBIA</w:t>
                      </w:r>
                    </w:p>
                    <w:p w14:paraId="1DA1F5CC" w14:textId="77777777" w:rsidR="0040728B" w:rsidRPr="00E10040" w:rsidRDefault="0040728B" w:rsidP="00E10040">
                      <w:pPr>
                        <w:rPr>
                          <w:rFonts w:ascii="Cambria" w:hAnsi="Cambria"/>
                          <w:color w:val="0D0D0D" w:themeColor="text1" w:themeTint="F2"/>
                          <w:lang w:val="es-ES_tradnl"/>
                        </w:rPr>
                      </w:pPr>
                    </w:p>
                  </w:txbxContent>
                </v:textbox>
              </v:shape>
            </w:pict>
          </mc:Fallback>
        </mc:AlternateContent>
      </w:r>
      <w:r w:rsidRPr="008062AE">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2F2243CE" w:rsidR="0040728B" w:rsidRPr="004E2649" w:rsidRDefault="0040728B"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61DB5E77" w:rsidR="0040728B" w:rsidRPr="004E2649" w:rsidRDefault="0040728B"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E6645">
                              <w:rPr>
                                <w:rFonts w:asciiTheme="minorHAnsi" w:hAnsiTheme="minorHAnsi"/>
                                <w:color w:val="FFFFFF" w:themeColor="background1"/>
                                <w:sz w:val="22"/>
                                <w:lang w:val="pt-BR"/>
                              </w:rPr>
                              <w:t>215</w:t>
                            </w:r>
                          </w:p>
                          <w:p w14:paraId="4BC71096" w14:textId="1C0804BB" w:rsidR="0040728B" w:rsidRPr="00EF40F0" w:rsidRDefault="001E6645" w:rsidP="00E10040">
                            <w:pPr>
                              <w:spacing w:line="276" w:lineRule="auto"/>
                              <w:jc w:val="right"/>
                              <w:rPr>
                                <w:rFonts w:asciiTheme="minorHAnsi" w:hAnsiTheme="minorHAnsi"/>
                                <w:color w:val="FFFFFF" w:themeColor="background1"/>
                                <w:sz w:val="22"/>
                                <w:lang w:val="pt-BR"/>
                              </w:rPr>
                            </w:pPr>
                            <w:r w:rsidRPr="00EF40F0">
                              <w:rPr>
                                <w:rFonts w:asciiTheme="minorHAnsi" w:hAnsiTheme="minorHAnsi"/>
                                <w:color w:val="FFFFFF" w:themeColor="background1"/>
                                <w:sz w:val="22"/>
                                <w:lang w:val="pt-BR"/>
                              </w:rPr>
                              <w:t>24 agosto</w:t>
                            </w:r>
                            <w:r w:rsidR="0040728B" w:rsidRPr="00EF40F0">
                              <w:rPr>
                                <w:rFonts w:asciiTheme="minorHAnsi" w:hAnsiTheme="minorHAnsi"/>
                                <w:color w:val="FFFFFF" w:themeColor="background1"/>
                                <w:sz w:val="22"/>
                                <w:lang w:val="pt-BR"/>
                              </w:rPr>
                              <w:t xml:space="preserve"> 202</w:t>
                            </w:r>
                            <w:r w:rsidR="00621D9D" w:rsidRPr="00EF40F0">
                              <w:rPr>
                                <w:rFonts w:asciiTheme="minorHAnsi" w:hAnsiTheme="minorHAnsi"/>
                                <w:color w:val="FFFFFF" w:themeColor="background1"/>
                                <w:sz w:val="22"/>
                                <w:lang w:val="pt-BR"/>
                              </w:rPr>
                              <w:t>2</w:t>
                            </w:r>
                          </w:p>
                          <w:p w14:paraId="2ED41C8A" w14:textId="77777777" w:rsidR="0040728B" w:rsidRPr="00C25ADB" w:rsidRDefault="0040728B"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2F2243CE" w:rsidR="0040728B" w:rsidRPr="004E2649" w:rsidRDefault="0040728B" w:rsidP="00E1004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29FC77" w14:textId="61DB5E77" w:rsidR="0040728B" w:rsidRPr="004E2649" w:rsidRDefault="0040728B" w:rsidP="00E1004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E6645">
                        <w:rPr>
                          <w:rFonts w:asciiTheme="minorHAnsi" w:hAnsiTheme="minorHAnsi"/>
                          <w:color w:val="FFFFFF" w:themeColor="background1"/>
                          <w:sz w:val="22"/>
                          <w:lang w:val="pt-BR"/>
                        </w:rPr>
                        <w:t>215</w:t>
                      </w:r>
                    </w:p>
                    <w:p w14:paraId="4BC71096" w14:textId="1C0804BB" w:rsidR="0040728B" w:rsidRPr="00EF40F0" w:rsidRDefault="001E6645" w:rsidP="00E10040">
                      <w:pPr>
                        <w:spacing w:line="276" w:lineRule="auto"/>
                        <w:jc w:val="right"/>
                        <w:rPr>
                          <w:rFonts w:asciiTheme="minorHAnsi" w:hAnsiTheme="minorHAnsi"/>
                          <w:color w:val="FFFFFF" w:themeColor="background1"/>
                          <w:sz w:val="22"/>
                          <w:lang w:val="pt-BR"/>
                        </w:rPr>
                      </w:pPr>
                      <w:r w:rsidRPr="00EF40F0">
                        <w:rPr>
                          <w:rFonts w:asciiTheme="minorHAnsi" w:hAnsiTheme="minorHAnsi"/>
                          <w:color w:val="FFFFFF" w:themeColor="background1"/>
                          <w:sz w:val="22"/>
                          <w:lang w:val="pt-BR"/>
                        </w:rPr>
                        <w:t>24 agosto</w:t>
                      </w:r>
                      <w:r w:rsidR="0040728B" w:rsidRPr="00EF40F0">
                        <w:rPr>
                          <w:rFonts w:asciiTheme="minorHAnsi" w:hAnsiTheme="minorHAnsi"/>
                          <w:color w:val="FFFFFF" w:themeColor="background1"/>
                          <w:sz w:val="22"/>
                          <w:lang w:val="pt-BR"/>
                        </w:rPr>
                        <w:t xml:space="preserve"> 202</w:t>
                      </w:r>
                      <w:r w:rsidR="00621D9D" w:rsidRPr="00EF40F0">
                        <w:rPr>
                          <w:rFonts w:asciiTheme="minorHAnsi" w:hAnsiTheme="minorHAnsi"/>
                          <w:color w:val="FFFFFF" w:themeColor="background1"/>
                          <w:sz w:val="22"/>
                          <w:lang w:val="pt-BR"/>
                        </w:rPr>
                        <w:t>2</w:t>
                      </w:r>
                    </w:p>
                    <w:p w14:paraId="2ED41C8A" w14:textId="77777777" w:rsidR="0040728B" w:rsidRPr="00C25ADB" w:rsidRDefault="0040728B"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8062AE" w:rsidRDefault="00E10040" w:rsidP="00337AC7">
      <w:pPr>
        <w:tabs>
          <w:tab w:val="center" w:pos="5400"/>
        </w:tabs>
        <w:suppressAutoHyphens/>
        <w:jc w:val="center"/>
        <w:rPr>
          <w:rFonts w:ascii="Cambria" w:hAnsi="Cambria"/>
          <w:sz w:val="22"/>
          <w:szCs w:val="22"/>
          <w:lang w:val="es-VE"/>
        </w:rPr>
      </w:pPr>
    </w:p>
    <w:p w14:paraId="449238D9" w14:textId="77777777" w:rsidR="00E10040" w:rsidRPr="008062AE" w:rsidRDefault="00E10040" w:rsidP="00337AC7">
      <w:pPr>
        <w:tabs>
          <w:tab w:val="center" w:pos="5400"/>
        </w:tabs>
        <w:suppressAutoHyphens/>
        <w:jc w:val="center"/>
        <w:rPr>
          <w:rFonts w:ascii="Cambria" w:hAnsi="Cambria"/>
          <w:sz w:val="22"/>
          <w:szCs w:val="22"/>
          <w:lang w:val="es-VE"/>
        </w:rPr>
      </w:pPr>
    </w:p>
    <w:p w14:paraId="389BBA6B" w14:textId="77777777" w:rsidR="00E10040" w:rsidRPr="008062AE" w:rsidRDefault="00E10040" w:rsidP="00337AC7">
      <w:pPr>
        <w:tabs>
          <w:tab w:val="center" w:pos="5400"/>
        </w:tabs>
        <w:suppressAutoHyphens/>
        <w:jc w:val="center"/>
        <w:rPr>
          <w:rFonts w:ascii="Cambria" w:hAnsi="Cambria" w:cs="Arial"/>
          <w:sz w:val="22"/>
          <w:szCs w:val="22"/>
          <w:lang w:val="es-VE"/>
        </w:rPr>
      </w:pPr>
    </w:p>
    <w:p w14:paraId="494B6FB1" w14:textId="77777777" w:rsidR="00E10040" w:rsidRPr="008062AE" w:rsidRDefault="00E10040" w:rsidP="00337AC7">
      <w:pPr>
        <w:tabs>
          <w:tab w:val="center" w:pos="5400"/>
        </w:tabs>
        <w:suppressAutoHyphens/>
        <w:jc w:val="center"/>
        <w:rPr>
          <w:rFonts w:ascii="Cambria" w:hAnsi="Cambria"/>
          <w:sz w:val="22"/>
          <w:szCs w:val="22"/>
          <w:lang w:val="es-VE"/>
        </w:rPr>
      </w:pPr>
    </w:p>
    <w:p w14:paraId="6E08A474" w14:textId="77777777" w:rsidR="00E10040" w:rsidRPr="008062AE" w:rsidRDefault="00E10040" w:rsidP="00337AC7">
      <w:pPr>
        <w:tabs>
          <w:tab w:val="center" w:pos="5400"/>
        </w:tabs>
        <w:suppressAutoHyphens/>
        <w:jc w:val="center"/>
        <w:rPr>
          <w:rFonts w:ascii="Cambria" w:hAnsi="Cambria"/>
          <w:sz w:val="22"/>
          <w:szCs w:val="22"/>
          <w:lang w:val="es-VE"/>
        </w:rPr>
      </w:pPr>
    </w:p>
    <w:p w14:paraId="5C99D719" w14:textId="77777777" w:rsidR="00E10040" w:rsidRPr="008062AE" w:rsidRDefault="00E10040" w:rsidP="00337AC7">
      <w:pPr>
        <w:tabs>
          <w:tab w:val="center" w:pos="5400"/>
        </w:tabs>
        <w:suppressAutoHyphens/>
        <w:jc w:val="center"/>
        <w:rPr>
          <w:rFonts w:ascii="Cambria" w:hAnsi="Cambria"/>
          <w:sz w:val="22"/>
          <w:szCs w:val="22"/>
          <w:lang w:val="es-VE"/>
        </w:rPr>
      </w:pPr>
    </w:p>
    <w:p w14:paraId="14DDB5B9" w14:textId="77777777" w:rsidR="00E10040" w:rsidRPr="008062AE" w:rsidRDefault="00E10040" w:rsidP="00337AC7">
      <w:pPr>
        <w:tabs>
          <w:tab w:val="center" w:pos="5400"/>
        </w:tabs>
        <w:suppressAutoHyphens/>
        <w:jc w:val="center"/>
        <w:rPr>
          <w:rFonts w:ascii="Cambria" w:hAnsi="Cambria"/>
          <w:sz w:val="22"/>
          <w:szCs w:val="22"/>
          <w:lang w:val="es-VE"/>
        </w:rPr>
      </w:pPr>
    </w:p>
    <w:p w14:paraId="1891334E" w14:textId="77777777" w:rsidR="00E10040" w:rsidRPr="008062AE" w:rsidRDefault="00E10040" w:rsidP="00337AC7">
      <w:pPr>
        <w:tabs>
          <w:tab w:val="center" w:pos="5400"/>
        </w:tabs>
        <w:suppressAutoHyphens/>
        <w:jc w:val="center"/>
        <w:rPr>
          <w:rFonts w:ascii="Cambria" w:hAnsi="Cambria"/>
          <w:sz w:val="22"/>
          <w:szCs w:val="22"/>
          <w:lang w:val="es-VE"/>
        </w:rPr>
      </w:pPr>
    </w:p>
    <w:p w14:paraId="1569FA8D" w14:textId="77777777" w:rsidR="00E10040" w:rsidRPr="008062AE" w:rsidRDefault="00E10040" w:rsidP="00337AC7">
      <w:pPr>
        <w:tabs>
          <w:tab w:val="center" w:pos="5400"/>
        </w:tabs>
        <w:suppressAutoHyphens/>
        <w:jc w:val="center"/>
        <w:rPr>
          <w:rFonts w:ascii="Cambria" w:hAnsi="Cambria"/>
          <w:sz w:val="22"/>
          <w:szCs w:val="22"/>
          <w:lang w:val="es-VE"/>
        </w:rPr>
      </w:pPr>
    </w:p>
    <w:p w14:paraId="1DBDA414" w14:textId="77777777" w:rsidR="00E10040" w:rsidRPr="008062AE" w:rsidRDefault="00E10040" w:rsidP="00337AC7">
      <w:pPr>
        <w:tabs>
          <w:tab w:val="center" w:pos="5400"/>
        </w:tabs>
        <w:suppressAutoHyphens/>
        <w:jc w:val="center"/>
        <w:rPr>
          <w:rFonts w:ascii="Cambria" w:hAnsi="Cambria"/>
          <w:sz w:val="22"/>
          <w:szCs w:val="22"/>
          <w:lang w:val="es-VE"/>
        </w:rPr>
      </w:pPr>
    </w:p>
    <w:p w14:paraId="0F4C573B" w14:textId="77777777" w:rsidR="00E10040" w:rsidRPr="008062AE" w:rsidRDefault="00E10040" w:rsidP="00337AC7">
      <w:pPr>
        <w:tabs>
          <w:tab w:val="center" w:pos="5400"/>
        </w:tabs>
        <w:suppressAutoHyphens/>
        <w:jc w:val="center"/>
        <w:rPr>
          <w:rFonts w:ascii="Cambria" w:hAnsi="Cambria"/>
          <w:sz w:val="22"/>
          <w:szCs w:val="22"/>
          <w:lang w:val="es-VE"/>
        </w:rPr>
      </w:pPr>
    </w:p>
    <w:p w14:paraId="7EBB1C3D" w14:textId="77777777" w:rsidR="00E10040" w:rsidRPr="008062AE" w:rsidRDefault="00E10040" w:rsidP="00337AC7">
      <w:pPr>
        <w:tabs>
          <w:tab w:val="center" w:pos="5400"/>
        </w:tabs>
        <w:suppressAutoHyphens/>
        <w:jc w:val="center"/>
        <w:rPr>
          <w:rFonts w:ascii="Cambria" w:hAnsi="Cambria"/>
          <w:sz w:val="22"/>
          <w:szCs w:val="22"/>
          <w:lang w:val="es-VE"/>
        </w:rPr>
      </w:pPr>
    </w:p>
    <w:p w14:paraId="6B375DFF" w14:textId="77777777" w:rsidR="00E10040" w:rsidRPr="008062AE" w:rsidRDefault="00E10040" w:rsidP="00337AC7">
      <w:pPr>
        <w:tabs>
          <w:tab w:val="center" w:pos="5400"/>
        </w:tabs>
        <w:suppressAutoHyphens/>
        <w:jc w:val="center"/>
        <w:rPr>
          <w:rFonts w:ascii="Cambria" w:hAnsi="Cambria"/>
          <w:sz w:val="22"/>
          <w:szCs w:val="22"/>
          <w:lang w:val="es-VE"/>
        </w:rPr>
      </w:pPr>
    </w:p>
    <w:p w14:paraId="461DF9FF" w14:textId="77777777" w:rsidR="00E10040" w:rsidRPr="008062AE" w:rsidRDefault="00E10040" w:rsidP="00337AC7">
      <w:pPr>
        <w:tabs>
          <w:tab w:val="center" w:pos="5400"/>
        </w:tabs>
        <w:suppressAutoHyphens/>
        <w:jc w:val="center"/>
        <w:rPr>
          <w:rFonts w:ascii="Cambria" w:hAnsi="Cambria"/>
          <w:sz w:val="22"/>
          <w:szCs w:val="22"/>
          <w:lang w:val="es-VE"/>
        </w:rPr>
      </w:pPr>
    </w:p>
    <w:p w14:paraId="070C76F2" w14:textId="77777777" w:rsidR="00E10040" w:rsidRPr="008062AE" w:rsidRDefault="00E10040" w:rsidP="00337AC7">
      <w:pPr>
        <w:tabs>
          <w:tab w:val="center" w:pos="5400"/>
        </w:tabs>
        <w:suppressAutoHyphens/>
        <w:jc w:val="center"/>
        <w:rPr>
          <w:rFonts w:ascii="Cambria" w:hAnsi="Cambria"/>
          <w:sz w:val="18"/>
          <w:szCs w:val="22"/>
          <w:lang w:val="es-VE"/>
        </w:rPr>
      </w:pPr>
    </w:p>
    <w:p w14:paraId="043BC416" w14:textId="77777777" w:rsidR="00E10040" w:rsidRPr="008062AE" w:rsidRDefault="00E10040" w:rsidP="00337AC7">
      <w:pPr>
        <w:tabs>
          <w:tab w:val="center" w:pos="5400"/>
        </w:tabs>
        <w:suppressAutoHyphens/>
        <w:jc w:val="center"/>
        <w:rPr>
          <w:rFonts w:ascii="Cambria" w:hAnsi="Cambria"/>
          <w:sz w:val="18"/>
          <w:szCs w:val="22"/>
          <w:lang w:val="es-VE"/>
        </w:rPr>
      </w:pPr>
    </w:p>
    <w:p w14:paraId="03DE2CE1" w14:textId="77777777" w:rsidR="00E10040" w:rsidRPr="008062AE" w:rsidRDefault="00E10040" w:rsidP="00337AC7">
      <w:pPr>
        <w:tabs>
          <w:tab w:val="center" w:pos="5400"/>
        </w:tabs>
        <w:suppressAutoHyphens/>
        <w:jc w:val="center"/>
        <w:rPr>
          <w:rFonts w:ascii="Cambria" w:hAnsi="Cambria"/>
          <w:sz w:val="18"/>
          <w:szCs w:val="22"/>
          <w:lang w:val="es-VE"/>
        </w:rPr>
      </w:pPr>
    </w:p>
    <w:p w14:paraId="7D6C5FA5" w14:textId="77777777" w:rsidR="00E10040" w:rsidRPr="008062AE" w:rsidRDefault="00E10040" w:rsidP="00337AC7">
      <w:pPr>
        <w:tabs>
          <w:tab w:val="center" w:pos="5400"/>
        </w:tabs>
        <w:suppressAutoHyphens/>
        <w:jc w:val="center"/>
        <w:rPr>
          <w:rFonts w:ascii="Cambria" w:hAnsi="Cambria"/>
          <w:sz w:val="18"/>
          <w:szCs w:val="22"/>
          <w:lang w:val="es-VE"/>
        </w:rPr>
      </w:pPr>
    </w:p>
    <w:p w14:paraId="419E27B7" w14:textId="77777777" w:rsidR="00E10040" w:rsidRPr="008062AE" w:rsidRDefault="00E10040" w:rsidP="00337AC7">
      <w:pPr>
        <w:tabs>
          <w:tab w:val="center" w:pos="5400"/>
        </w:tabs>
        <w:suppressAutoHyphens/>
        <w:jc w:val="center"/>
        <w:rPr>
          <w:rFonts w:ascii="Cambria" w:hAnsi="Cambria"/>
          <w:sz w:val="18"/>
          <w:szCs w:val="22"/>
          <w:lang w:val="es-VE"/>
        </w:rPr>
      </w:pPr>
    </w:p>
    <w:p w14:paraId="6B666B2C" w14:textId="77777777" w:rsidR="00E10040" w:rsidRPr="008062AE" w:rsidRDefault="00E10040" w:rsidP="00337AC7">
      <w:pPr>
        <w:tabs>
          <w:tab w:val="center" w:pos="5400"/>
        </w:tabs>
        <w:suppressAutoHyphens/>
        <w:jc w:val="center"/>
        <w:rPr>
          <w:rFonts w:ascii="Cambria" w:hAnsi="Cambria"/>
          <w:sz w:val="18"/>
          <w:szCs w:val="22"/>
          <w:lang w:val="es-VE"/>
        </w:rPr>
      </w:pPr>
    </w:p>
    <w:p w14:paraId="532A7311" w14:textId="77777777" w:rsidR="00E10040" w:rsidRPr="008062AE" w:rsidRDefault="00E10040" w:rsidP="00337AC7">
      <w:pPr>
        <w:tabs>
          <w:tab w:val="center" w:pos="5400"/>
        </w:tabs>
        <w:suppressAutoHyphens/>
        <w:jc w:val="center"/>
        <w:rPr>
          <w:rFonts w:ascii="Cambria" w:hAnsi="Cambria"/>
          <w:sz w:val="18"/>
          <w:szCs w:val="22"/>
          <w:lang w:val="es-VE"/>
        </w:rPr>
      </w:pPr>
    </w:p>
    <w:p w14:paraId="1E8D253A" w14:textId="77777777" w:rsidR="00E10040" w:rsidRPr="008062AE" w:rsidRDefault="00E10040" w:rsidP="00337AC7">
      <w:pPr>
        <w:tabs>
          <w:tab w:val="center" w:pos="5400"/>
        </w:tabs>
        <w:suppressAutoHyphens/>
        <w:jc w:val="center"/>
        <w:rPr>
          <w:rFonts w:ascii="Cambria" w:hAnsi="Cambria"/>
          <w:sz w:val="18"/>
          <w:szCs w:val="22"/>
          <w:lang w:val="es-VE"/>
        </w:rPr>
      </w:pPr>
    </w:p>
    <w:p w14:paraId="27D9D194" w14:textId="77777777" w:rsidR="00E10040" w:rsidRPr="008062AE" w:rsidRDefault="00E10040" w:rsidP="00337AC7">
      <w:pPr>
        <w:tabs>
          <w:tab w:val="center" w:pos="5400"/>
        </w:tabs>
        <w:suppressAutoHyphens/>
        <w:jc w:val="center"/>
        <w:rPr>
          <w:rFonts w:ascii="Cambria" w:hAnsi="Cambria"/>
          <w:sz w:val="18"/>
          <w:szCs w:val="22"/>
          <w:lang w:val="es-VE"/>
        </w:rPr>
      </w:pPr>
    </w:p>
    <w:p w14:paraId="6A49D462" w14:textId="77777777" w:rsidR="00E10040" w:rsidRPr="008062AE" w:rsidRDefault="00E10040" w:rsidP="00337AC7">
      <w:pPr>
        <w:tabs>
          <w:tab w:val="center" w:pos="5400"/>
        </w:tabs>
        <w:suppressAutoHyphens/>
        <w:jc w:val="center"/>
        <w:rPr>
          <w:rFonts w:ascii="Cambria" w:hAnsi="Cambria"/>
          <w:sz w:val="18"/>
          <w:szCs w:val="22"/>
          <w:lang w:val="es-VE"/>
        </w:rPr>
      </w:pPr>
    </w:p>
    <w:p w14:paraId="2D65A798" w14:textId="77777777" w:rsidR="00E10040" w:rsidRPr="008062AE" w:rsidRDefault="00E10040" w:rsidP="00337AC7">
      <w:pPr>
        <w:tabs>
          <w:tab w:val="center" w:pos="5400"/>
        </w:tabs>
        <w:suppressAutoHyphens/>
        <w:jc w:val="center"/>
        <w:rPr>
          <w:rFonts w:ascii="Cambria" w:hAnsi="Cambria"/>
          <w:sz w:val="18"/>
          <w:szCs w:val="22"/>
          <w:lang w:val="es-VE"/>
        </w:rPr>
      </w:pPr>
    </w:p>
    <w:p w14:paraId="2FDB2C97" w14:textId="77777777" w:rsidR="00E10040" w:rsidRPr="008062AE" w:rsidRDefault="00E10040" w:rsidP="00337AC7">
      <w:pPr>
        <w:tabs>
          <w:tab w:val="center" w:pos="5400"/>
        </w:tabs>
        <w:suppressAutoHyphens/>
        <w:jc w:val="center"/>
        <w:rPr>
          <w:rFonts w:ascii="Cambria" w:hAnsi="Cambria"/>
          <w:sz w:val="18"/>
          <w:szCs w:val="22"/>
          <w:lang w:val="es-VE"/>
        </w:rPr>
      </w:pPr>
    </w:p>
    <w:p w14:paraId="064A6371" w14:textId="77777777" w:rsidR="00E10040" w:rsidRPr="008062AE" w:rsidRDefault="00E10040" w:rsidP="00337AC7">
      <w:pPr>
        <w:tabs>
          <w:tab w:val="center" w:pos="5400"/>
        </w:tabs>
        <w:suppressAutoHyphens/>
        <w:jc w:val="center"/>
        <w:rPr>
          <w:rFonts w:ascii="Cambria" w:hAnsi="Cambria"/>
          <w:sz w:val="18"/>
          <w:szCs w:val="22"/>
          <w:lang w:val="es-VE"/>
        </w:rPr>
      </w:pPr>
    </w:p>
    <w:p w14:paraId="6ED59D92" w14:textId="77777777" w:rsidR="00E10040" w:rsidRPr="008062AE" w:rsidRDefault="00E10040" w:rsidP="00337AC7">
      <w:pPr>
        <w:tabs>
          <w:tab w:val="center" w:pos="5400"/>
        </w:tabs>
        <w:suppressAutoHyphens/>
        <w:jc w:val="center"/>
        <w:rPr>
          <w:rFonts w:ascii="Cambria" w:hAnsi="Cambria"/>
          <w:sz w:val="18"/>
          <w:szCs w:val="22"/>
          <w:lang w:val="es-VE"/>
        </w:rPr>
      </w:pPr>
    </w:p>
    <w:p w14:paraId="140ADABC" w14:textId="77777777" w:rsidR="00E10040" w:rsidRPr="008062AE" w:rsidRDefault="00E10040" w:rsidP="00337AC7">
      <w:pPr>
        <w:tabs>
          <w:tab w:val="center" w:pos="5400"/>
        </w:tabs>
        <w:suppressAutoHyphens/>
        <w:jc w:val="center"/>
        <w:rPr>
          <w:rFonts w:ascii="Cambria" w:hAnsi="Cambria"/>
          <w:sz w:val="18"/>
          <w:szCs w:val="22"/>
          <w:lang w:val="es-VE"/>
        </w:rPr>
      </w:pPr>
      <w:r w:rsidRPr="008062AE">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2E52F0D9" w:rsidR="0040728B" w:rsidRPr="00E10040" w:rsidRDefault="0040728B"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8C50D8">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8C50D8">
                              <w:rPr>
                                <w:rFonts w:ascii="Cambria" w:hAnsi="Cambria"/>
                                <w:color w:val="0D0D0D" w:themeColor="text1" w:themeTint="F2"/>
                                <w:sz w:val="18"/>
                                <w:szCs w:val="22"/>
                                <w:lang w:val="es-ES"/>
                              </w:rPr>
                              <w:t>agosto</w:t>
                            </w:r>
                            <w:r w:rsidRPr="00E10040">
                              <w:rPr>
                                <w:rFonts w:ascii="Cambria" w:hAnsi="Cambria"/>
                                <w:color w:val="0D0D0D" w:themeColor="text1" w:themeTint="F2"/>
                                <w:sz w:val="18"/>
                                <w:szCs w:val="22"/>
                                <w:lang w:val="es-ES"/>
                              </w:rPr>
                              <w:t xml:space="preserve"> de 202</w:t>
                            </w:r>
                            <w:r w:rsidR="00621D9D">
                              <w:rPr>
                                <w:rFonts w:ascii="Cambria" w:hAnsi="Cambria"/>
                                <w:color w:val="0D0D0D" w:themeColor="text1" w:themeTint="F2"/>
                                <w:sz w:val="18"/>
                                <w:szCs w:val="22"/>
                                <w:lang w:val="es-ES"/>
                              </w:rPr>
                              <w:t>2</w:t>
                            </w:r>
                            <w:r w:rsidR="008C50D8">
                              <w:rPr>
                                <w:rFonts w:ascii="Cambria" w:hAnsi="Cambria"/>
                                <w:color w:val="0D0D0D" w:themeColor="text1" w:themeTint="F2"/>
                                <w:sz w:val="18"/>
                                <w:szCs w:val="22"/>
                                <w:lang w:val="es-ES"/>
                              </w:rPr>
                              <w:t>.</w:t>
                            </w:r>
                          </w:p>
                          <w:p w14:paraId="31ECACB8" w14:textId="77777777" w:rsidR="0040728B" w:rsidRPr="00E10040" w:rsidRDefault="0040728B"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40728B" w:rsidRPr="00E10040" w:rsidRDefault="0040728B"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2E52F0D9" w:rsidR="0040728B" w:rsidRPr="00E10040" w:rsidRDefault="0040728B"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8C50D8">
                        <w:rPr>
                          <w:rFonts w:ascii="Cambria" w:hAnsi="Cambria"/>
                          <w:color w:val="0D0D0D" w:themeColor="text1" w:themeTint="F2"/>
                          <w:sz w:val="18"/>
                          <w:szCs w:val="22"/>
                          <w:lang w:val="es-ES"/>
                        </w:rPr>
                        <w:t>24</w:t>
                      </w:r>
                      <w:r w:rsidRPr="00E10040">
                        <w:rPr>
                          <w:rFonts w:ascii="Cambria" w:hAnsi="Cambria"/>
                          <w:color w:val="0D0D0D" w:themeColor="text1" w:themeTint="F2"/>
                          <w:sz w:val="18"/>
                          <w:szCs w:val="22"/>
                          <w:lang w:val="es-ES"/>
                        </w:rPr>
                        <w:t xml:space="preserve"> de </w:t>
                      </w:r>
                      <w:r w:rsidR="008C50D8">
                        <w:rPr>
                          <w:rFonts w:ascii="Cambria" w:hAnsi="Cambria"/>
                          <w:color w:val="0D0D0D" w:themeColor="text1" w:themeTint="F2"/>
                          <w:sz w:val="18"/>
                          <w:szCs w:val="22"/>
                          <w:lang w:val="es-ES"/>
                        </w:rPr>
                        <w:t>agosto</w:t>
                      </w:r>
                      <w:r w:rsidRPr="00E10040">
                        <w:rPr>
                          <w:rFonts w:ascii="Cambria" w:hAnsi="Cambria"/>
                          <w:color w:val="0D0D0D" w:themeColor="text1" w:themeTint="F2"/>
                          <w:sz w:val="18"/>
                          <w:szCs w:val="22"/>
                          <w:lang w:val="es-ES"/>
                        </w:rPr>
                        <w:t xml:space="preserve"> de 202</w:t>
                      </w:r>
                      <w:r w:rsidR="00621D9D">
                        <w:rPr>
                          <w:rFonts w:ascii="Cambria" w:hAnsi="Cambria"/>
                          <w:color w:val="0D0D0D" w:themeColor="text1" w:themeTint="F2"/>
                          <w:sz w:val="18"/>
                          <w:szCs w:val="22"/>
                          <w:lang w:val="es-ES"/>
                        </w:rPr>
                        <w:t>2</w:t>
                      </w:r>
                      <w:r w:rsidR="008C50D8">
                        <w:rPr>
                          <w:rFonts w:ascii="Cambria" w:hAnsi="Cambria"/>
                          <w:color w:val="0D0D0D" w:themeColor="text1" w:themeTint="F2"/>
                          <w:sz w:val="18"/>
                          <w:szCs w:val="22"/>
                          <w:lang w:val="es-ES"/>
                        </w:rPr>
                        <w:t>.</w:t>
                      </w:r>
                    </w:p>
                    <w:p w14:paraId="31ECACB8" w14:textId="77777777" w:rsidR="0040728B" w:rsidRPr="00E10040" w:rsidRDefault="0040728B"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40728B" w:rsidRPr="00E10040" w:rsidRDefault="0040728B"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8062AE" w:rsidRDefault="00E10040" w:rsidP="00337AC7">
      <w:pPr>
        <w:tabs>
          <w:tab w:val="center" w:pos="5400"/>
        </w:tabs>
        <w:suppressAutoHyphens/>
        <w:jc w:val="center"/>
        <w:rPr>
          <w:rFonts w:ascii="Cambria" w:hAnsi="Cambria"/>
          <w:sz w:val="18"/>
          <w:szCs w:val="22"/>
          <w:lang w:val="es-VE"/>
        </w:rPr>
      </w:pPr>
    </w:p>
    <w:p w14:paraId="70A89E2F" w14:textId="77777777" w:rsidR="00E10040" w:rsidRPr="008062AE" w:rsidRDefault="00E10040" w:rsidP="00337AC7">
      <w:pPr>
        <w:tabs>
          <w:tab w:val="center" w:pos="5400"/>
        </w:tabs>
        <w:suppressAutoHyphens/>
        <w:jc w:val="center"/>
        <w:rPr>
          <w:rFonts w:ascii="Cambria" w:hAnsi="Cambria"/>
          <w:sz w:val="18"/>
          <w:szCs w:val="22"/>
          <w:lang w:val="es-VE"/>
        </w:rPr>
      </w:pPr>
    </w:p>
    <w:p w14:paraId="0FC964FE" w14:textId="77777777" w:rsidR="00E10040" w:rsidRPr="008062AE" w:rsidRDefault="00E10040" w:rsidP="00337AC7">
      <w:pPr>
        <w:tabs>
          <w:tab w:val="center" w:pos="5400"/>
        </w:tabs>
        <w:suppressAutoHyphens/>
        <w:jc w:val="center"/>
        <w:rPr>
          <w:rFonts w:ascii="Cambria" w:hAnsi="Cambria"/>
          <w:sz w:val="18"/>
          <w:szCs w:val="22"/>
          <w:lang w:val="es-VE"/>
        </w:rPr>
      </w:pPr>
    </w:p>
    <w:p w14:paraId="3C3417C0" w14:textId="77777777" w:rsidR="00E10040" w:rsidRPr="008062AE" w:rsidRDefault="00E10040" w:rsidP="00337AC7">
      <w:pPr>
        <w:tabs>
          <w:tab w:val="center" w:pos="5400"/>
        </w:tabs>
        <w:suppressAutoHyphens/>
        <w:jc w:val="center"/>
        <w:rPr>
          <w:rFonts w:ascii="Cambria" w:hAnsi="Cambria"/>
          <w:sz w:val="18"/>
          <w:szCs w:val="22"/>
          <w:lang w:val="es-VE"/>
        </w:rPr>
      </w:pPr>
    </w:p>
    <w:p w14:paraId="357FF26C" w14:textId="77777777" w:rsidR="00E10040" w:rsidRPr="008062AE" w:rsidRDefault="00E10040" w:rsidP="00337AC7">
      <w:pPr>
        <w:tabs>
          <w:tab w:val="center" w:pos="5400"/>
        </w:tabs>
        <w:suppressAutoHyphens/>
        <w:jc w:val="center"/>
        <w:rPr>
          <w:rFonts w:ascii="Cambria" w:hAnsi="Cambria"/>
          <w:sz w:val="18"/>
          <w:szCs w:val="22"/>
          <w:lang w:val="es-VE"/>
        </w:rPr>
      </w:pPr>
      <w:r w:rsidRPr="008062AE">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5D3BF01B" w:rsidR="0040728B" w:rsidRPr="00E10040" w:rsidRDefault="0040728B"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A408A0" w:rsidRPr="008049A3">
                              <w:rPr>
                                <w:rFonts w:ascii="Cambria" w:hAnsi="Cambria"/>
                                <w:color w:val="595959" w:themeColor="text1" w:themeTint="A6"/>
                                <w:sz w:val="18"/>
                                <w:szCs w:val="18"/>
                                <w:lang w:val="pt-BR"/>
                              </w:rPr>
                              <w:t>212</w:t>
                            </w:r>
                            <w:r w:rsidRPr="008049A3">
                              <w:rPr>
                                <w:rFonts w:ascii="Cambria" w:hAnsi="Cambria"/>
                                <w:color w:val="595959" w:themeColor="text1" w:themeTint="A6"/>
                                <w:sz w:val="18"/>
                                <w:szCs w:val="18"/>
                                <w:lang w:val="pt-BR"/>
                              </w:rPr>
                              <w:t>/2</w:t>
                            </w:r>
                            <w:r w:rsidR="00621D9D" w:rsidRPr="008049A3">
                              <w:rPr>
                                <w:rFonts w:ascii="Cambria" w:hAnsi="Cambria"/>
                                <w:color w:val="595959" w:themeColor="text1" w:themeTint="A6"/>
                                <w:sz w:val="18"/>
                                <w:szCs w:val="18"/>
                                <w:lang w:val="pt-BR"/>
                              </w:rPr>
                              <w:t>2</w:t>
                            </w:r>
                            <w:r w:rsidRPr="008049A3">
                              <w:rPr>
                                <w:rFonts w:ascii="Cambria" w:hAnsi="Cambria"/>
                                <w:color w:val="595959" w:themeColor="text1" w:themeTint="A6"/>
                                <w:sz w:val="18"/>
                                <w:szCs w:val="18"/>
                                <w:lang w:val="pt-BR"/>
                              </w:rPr>
                              <w:t xml:space="preserve">. </w:t>
                            </w:r>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1306</w:t>
                            </w:r>
                            <w:r w:rsidRPr="00E10040">
                              <w:rPr>
                                <w:rFonts w:ascii="Cambria" w:hAnsi="Cambria"/>
                                <w:color w:val="595959" w:themeColor="text1" w:themeTint="A6"/>
                                <w:sz w:val="18"/>
                                <w:szCs w:val="18"/>
                                <w:lang w:val="es-ES"/>
                              </w:rPr>
                              <w:t>-</w:t>
                            </w:r>
                            <w:r w:rsidRPr="00D247A2">
                              <w:rPr>
                                <w:rFonts w:ascii="Cambria" w:hAnsi="Cambria"/>
                                <w:color w:val="595959" w:themeColor="text1" w:themeTint="A6"/>
                                <w:sz w:val="18"/>
                                <w:szCs w:val="18"/>
                                <w:lang w:val="es-AR"/>
                              </w:rPr>
                              <w:t xml:space="preserve">08. Inadmisibilidad. </w:t>
                            </w:r>
                            <w:r w:rsidR="00CA4F2E" w:rsidRPr="00D247A2">
                              <w:rPr>
                                <w:rFonts w:ascii="Cambria" w:hAnsi="Cambria"/>
                                <w:color w:val="595959" w:themeColor="text1" w:themeTint="A6"/>
                                <w:sz w:val="18"/>
                                <w:szCs w:val="18"/>
                                <w:lang w:val="es-AR"/>
                              </w:rPr>
                              <w:t>Deyner</w:t>
                            </w:r>
                            <w:r w:rsidR="00CA4F2E" w:rsidRPr="008643EE">
                              <w:rPr>
                                <w:rFonts w:ascii="Cambria" w:hAnsi="Cambria"/>
                                <w:sz w:val="18"/>
                                <w:szCs w:val="18"/>
                                <w:lang w:val="es-ES_tradnl"/>
                              </w:rPr>
                              <w:t xml:space="preserve"> </w:t>
                            </w:r>
                            <w:r w:rsidR="00CA4F2E">
                              <w:rPr>
                                <w:rFonts w:ascii="Cambria" w:hAnsi="Cambria"/>
                                <w:color w:val="595959" w:themeColor="text1" w:themeTint="A6"/>
                                <w:sz w:val="18"/>
                                <w:szCs w:val="18"/>
                                <w:lang w:val="es-ES_tradnl"/>
                              </w:rPr>
                              <w:t>Andrés Guerra Tuberquia y otros</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8049A3">
                              <w:rPr>
                                <w:rFonts w:ascii="Cambria" w:hAnsi="Cambria"/>
                                <w:color w:val="595959" w:themeColor="text1" w:themeTint="A6"/>
                                <w:sz w:val="18"/>
                                <w:szCs w:val="18"/>
                                <w:lang w:val="es-ES"/>
                              </w:rPr>
                              <w:t>24 de agosto de 2022</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5D3BF01B" w:rsidR="0040728B" w:rsidRPr="00E10040" w:rsidRDefault="0040728B"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Informe No. </w:t>
                      </w:r>
                      <w:r w:rsidR="00A408A0" w:rsidRPr="008049A3">
                        <w:rPr>
                          <w:rFonts w:ascii="Cambria" w:hAnsi="Cambria"/>
                          <w:color w:val="595959" w:themeColor="text1" w:themeTint="A6"/>
                          <w:sz w:val="18"/>
                          <w:szCs w:val="18"/>
                          <w:lang w:val="pt-BR"/>
                        </w:rPr>
                        <w:t>212</w:t>
                      </w:r>
                      <w:r w:rsidRPr="008049A3">
                        <w:rPr>
                          <w:rFonts w:ascii="Cambria" w:hAnsi="Cambria"/>
                          <w:color w:val="595959" w:themeColor="text1" w:themeTint="A6"/>
                          <w:sz w:val="18"/>
                          <w:szCs w:val="18"/>
                          <w:lang w:val="pt-BR"/>
                        </w:rPr>
                        <w:t>/2</w:t>
                      </w:r>
                      <w:r w:rsidR="00621D9D" w:rsidRPr="008049A3">
                        <w:rPr>
                          <w:rFonts w:ascii="Cambria" w:hAnsi="Cambria"/>
                          <w:color w:val="595959" w:themeColor="text1" w:themeTint="A6"/>
                          <w:sz w:val="18"/>
                          <w:szCs w:val="18"/>
                          <w:lang w:val="pt-BR"/>
                        </w:rPr>
                        <w:t>2</w:t>
                      </w:r>
                      <w:r w:rsidRPr="008049A3">
                        <w:rPr>
                          <w:rFonts w:ascii="Cambria" w:hAnsi="Cambria"/>
                          <w:color w:val="595959" w:themeColor="text1" w:themeTint="A6"/>
                          <w:sz w:val="18"/>
                          <w:szCs w:val="18"/>
                          <w:lang w:val="pt-BR"/>
                        </w:rPr>
                        <w:t xml:space="preserve">. </w:t>
                      </w:r>
                      <w:r w:rsidRPr="00E10040">
                        <w:rPr>
                          <w:rFonts w:ascii="Cambria" w:hAnsi="Cambria"/>
                          <w:color w:val="595959" w:themeColor="text1" w:themeTint="A6"/>
                          <w:sz w:val="18"/>
                          <w:szCs w:val="18"/>
                          <w:lang w:val="es-ES_tradnl"/>
                        </w:rPr>
                        <w:t>Petici</w:t>
                      </w:r>
                      <w:r w:rsidRPr="00E10040">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1306</w:t>
                      </w:r>
                      <w:r w:rsidRPr="00E10040">
                        <w:rPr>
                          <w:rFonts w:ascii="Cambria" w:hAnsi="Cambria"/>
                          <w:color w:val="595959" w:themeColor="text1" w:themeTint="A6"/>
                          <w:sz w:val="18"/>
                          <w:szCs w:val="18"/>
                          <w:lang w:val="es-ES"/>
                        </w:rPr>
                        <w:t>-</w:t>
                      </w:r>
                      <w:r w:rsidRPr="00D247A2">
                        <w:rPr>
                          <w:rFonts w:ascii="Cambria" w:hAnsi="Cambria"/>
                          <w:color w:val="595959" w:themeColor="text1" w:themeTint="A6"/>
                          <w:sz w:val="18"/>
                          <w:szCs w:val="18"/>
                          <w:lang w:val="es-AR"/>
                        </w:rPr>
                        <w:t xml:space="preserve">08. Inadmisibilidad. </w:t>
                      </w:r>
                      <w:r w:rsidR="00CA4F2E" w:rsidRPr="00D247A2">
                        <w:rPr>
                          <w:rFonts w:ascii="Cambria" w:hAnsi="Cambria"/>
                          <w:color w:val="595959" w:themeColor="text1" w:themeTint="A6"/>
                          <w:sz w:val="18"/>
                          <w:szCs w:val="18"/>
                          <w:lang w:val="es-AR"/>
                        </w:rPr>
                        <w:t>Deyner</w:t>
                      </w:r>
                      <w:r w:rsidR="00CA4F2E" w:rsidRPr="008643EE">
                        <w:rPr>
                          <w:rFonts w:ascii="Cambria" w:hAnsi="Cambria"/>
                          <w:sz w:val="18"/>
                          <w:szCs w:val="18"/>
                          <w:lang w:val="es-ES_tradnl"/>
                        </w:rPr>
                        <w:t xml:space="preserve"> </w:t>
                      </w:r>
                      <w:r w:rsidR="00CA4F2E">
                        <w:rPr>
                          <w:rFonts w:ascii="Cambria" w:hAnsi="Cambria"/>
                          <w:color w:val="595959" w:themeColor="text1" w:themeTint="A6"/>
                          <w:sz w:val="18"/>
                          <w:szCs w:val="18"/>
                          <w:lang w:val="es-ES_tradnl"/>
                        </w:rPr>
                        <w:t>Andrés Guerra Tuberquia y otros</w:t>
                      </w:r>
                      <w:r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E10040">
                        <w:rPr>
                          <w:rFonts w:ascii="Cambria" w:hAnsi="Cambria"/>
                          <w:color w:val="595959" w:themeColor="text1" w:themeTint="A6"/>
                          <w:sz w:val="18"/>
                          <w:szCs w:val="18"/>
                          <w:lang w:val="es-ES_tradnl"/>
                        </w:rPr>
                        <w:t xml:space="preserve">. </w:t>
                      </w:r>
                      <w:r w:rsidR="008049A3">
                        <w:rPr>
                          <w:rFonts w:ascii="Cambria" w:hAnsi="Cambria"/>
                          <w:color w:val="595959" w:themeColor="text1" w:themeTint="A6"/>
                          <w:sz w:val="18"/>
                          <w:szCs w:val="18"/>
                          <w:lang w:val="es-ES"/>
                        </w:rPr>
                        <w:t>24 de agosto de 2022</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8062AE" w:rsidRDefault="00E10040" w:rsidP="00337AC7">
      <w:pPr>
        <w:tabs>
          <w:tab w:val="center" w:pos="5400"/>
        </w:tabs>
        <w:suppressAutoHyphens/>
        <w:jc w:val="center"/>
        <w:rPr>
          <w:rFonts w:ascii="Cambria" w:hAnsi="Cambria"/>
          <w:sz w:val="18"/>
          <w:szCs w:val="22"/>
          <w:lang w:val="es-VE"/>
        </w:rPr>
      </w:pPr>
    </w:p>
    <w:p w14:paraId="48FFB25A" w14:textId="77777777" w:rsidR="00E10040" w:rsidRPr="008062AE" w:rsidRDefault="00E10040" w:rsidP="00337AC7">
      <w:pPr>
        <w:tabs>
          <w:tab w:val="center" w:pos="5400"/>
        </w:tabs>
        <w:suppressAutoHyphens/>
        <w:jc w:val="center"/>
        <w:rPr>
          <w:rFonts w:ascii="Cambria" w:hAnsi="Cambria"/>
          <w:b/>
          <w:sz w:val="20"/>
          <w:lang w:val="es-VE"/>
        </w:rPr>
      </w:pPr>
      <w:r w:rsidRPr="008062AE">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40728B" w:rsidRPr="00D72DC6" w:rsidRDefault="0040728B"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C6278D0" w14:textId="77777777" w:rsidR="0040728B" w:rsidRPr="00D72DC6" w:rsidRDefault="0040728B"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062AE">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40728B" w:rsidRPr="004B7EB6" w:rsidRDefault="0040728B"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0FE7CF" w14:textId="77777777" w:rsidR="0040728B" w:rsidRPr="004B7EB6" w:rsidRDefault="0040728B"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8062AE" w:rsidRDefault="00E10040" w:rsidP="00337AC7">
      <w:pPr>
        <w:tabs>
          <w:tab w:val="center" w:pos="5400"/>
        </w:tabs>
        <w:suppressAutoHyphens/>
        <w:jc w:val="center"/>
        <w:rPr>
          <w:rFonts w:ascii="Cambria" w:hAnsi="Cambria"/>
          <w:b/>
          <w:sz w:val="20"/>
          <w:lang w:val="es-VE"/>
        </w:rPr>
        <w:sectPr w:rsidR="00E10040" w:rsidRPr="008062AE"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8062AE">
        <w:rPr>
          <w:rFonts w:ascii="Cambria" w:hAnsi="Cambria"/>
          <w:b/>
          <w:sz w:val="20"/>
          <w:lang w:val="es-VE"/>
        </w:rPr>
        <w:tab/>
      </w:r>
    </w:p>
    <w:p w14:paraId="3F86F1C1" w14:textId="6A973EC8" w:rsidR="00E10040" w:rsidRPr="00F7470E" w:rsidRDefault="00E10040" w:rsidP="00F7470E">
      <w:pPr>
        <w:pStyle w:val="ListParagraph"/>
        <w:numPr>
          <w:ilvl w:val="0"/>
          <w:numId w:val="16"/>
        </w:numPr>
        <w:spacing w:after="120"/>
        <w:jc w:val="both"/>
        <w:rPr>
          <w:b/>
          <w:bCs/>
          <w:sz w:val="20"/>
          <w:szCs w:val="20"/>
          <w:lang w:val="es-VE"/>
        </w:rPr>
      </w:pPr>
      <w:r w:rsidRPr="00F7470E">
        <w:rPr>
          <w:b/>
          <w:bCs/>
          <w:sz w:val="20"/>
          <w:szCs w:val="20"/>
          <w:lang w:val="es-VE"/>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321502" w14:paraId="4097B42D" w14:textId="77777777" w:rsidTr="00016160">
        <w:tc>
          <w:tcPr>
            <w:tcW w:w="3600" w:type="dxa"/>
            <w:tcBorders>
              <w:top w:val="single" w:sz="4" w:space="0" w:color="auto"/>
              <w:bottom w:val="single" w:sz="6" w:space="0" w:color="auto"/>
            </w:tcBorders>
            <w:shd w:val="clear" w:color="auto" w:fill="386294"/>
            <w:vAlign w:val="center"/>
          </w:tcPr>
          <w:p w14:paraId="36F559FF"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Parte peticionaria:</w:t>
            </w:r>
          </w:p>
        </w:tc>
        <w:tc>
          <w:tcPr>
            <w:tcW w:w="5760" w:type="dxa"/>
            <w:vAlign w:val="center"/>
          </w:tcPr>
          <w:p w14:paraId="7D8A6027" w14:textId="70E6D98C" w:rsidR="00E10040" w:rsidRPr="00321502" w:rsidRDefault="004114F9" w:rsidP="00321502">
            <w:pPr>
              <w:jc w:val="both"/>
              <w:rPr>
                <w:rFonts w:ascii="Cambria" w:hAnsi="Cambria"/>
                <w:bCs/>
                <w:sz w:val="20"/>
                <w:szCs w:val="20"/>
                <w:lang w:val="es-419"/>
              </w:rPr>
            </w:pPr>
            <w:r w:rsidRPr="00321502">
              <w:rPr>
                <w:rFonts w:ascii="Cambria" w:hAnsi="Cambria"/>
                <w:bCs/>
                <w:sz w:val="20"/>
                <w:szCs w:val="20"/>
                <w:lang w:val="es-VE"/>
              </w:rPr>
              <w:t xml:space="preserve"> </w:t>
            </w:r>
            <w:r w:rsidR="00290AF2" w:rsidRPr="00321502">
              <w:rPr>
                <w:rFonts w:ascii="Cambria" w:hAnsi="Cambria"/>
                <w:bCs/>
                <w:sz w:val="20"/>
                <w:szCs w:val="20"/>
                <w:lang w:val="es-419"/>
              </w:rPr>
              <w:t>Javier Villegas Posada, Miryam Tuberqui Valderrama y Yenny Patricia Molina Agudelo</w:t>
            </w:r>
          </w:p>
        </w:tc>
      </w:tr>
      <w:tr w:rsidR="00E10040" w:rsidRPr="00D247A2" w14:paraId="410FEBFE" w14:textId="77777777" w:rsidTr="00016160">
        <w:tc>
          <w:tcPr>
            <w:tcW w:w="3600" w:type="dxa"/>
            <w:tcBorders>
              <w:top w:val="single" w:sz="6" w:space="0" w:color="auto"/>
              <w:bottom w:val="single" w:sz="6" w:space="0" w:color="auto"/>
            </w:tcBorders>
            <w:shd w:val="clear" w:color="auto" w:fill="386294"/>
            <w:vAlign w:val="center"/>
          </w:tcPr>
          <w:p w14:paraId="16E7ED81" w14:textId="77777777" w:rsidR="00E10040" w:rsidRPr="00321502" w:rsidRDefault="00347B87" w:rsidP="00321502">
            <w:pPr>
              <w:jc w:val="center"/>
              <w:rPr>
                <w:rFonts w:ascii="Cambria" w:hAnsi="Cambria"/>
                <w:b/>
                <w:bCs/>
                <w:color w:val="FFFFFF" w:themeColor="background1"/>
                <w:sz w:val="20"/>
                <w:szCs w:val="20"/>
                <w:lang w:val="es-VE"/>
              </w:rPr>
            </w:pPr>
            <w:sdt>
              <w:sdtPr>
                <w:rPr>
                  <w:rFonts w:ascii="Cambria" w:hAnsi="Cambria"/>
                  <w:b/>
                  <w:bCs/>
                  <w:color w:val="FFFFFF" w:themeColor="background1"/>
                  <w:sz w:val="20"/>
                  <w:szCs w:val="20"/>
                  <w:lang w:val="es-VE"/>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740458" w:rsidRPr="00321502">
                  <w:rPr>
                    <w:rFonts w:ascii="Cambria" w:hAnsi="Cambria"/>
                    <w:b/>
                    <w:bCs/>
                    <w:color w:val="FFFFFF" w:themeColor="background1"/>
                    <w:sz w:val="20"/>
                    <w:szCs w:val="20"/>
                    <w:lang w:val="es-VE"/>
                  </w:rPr>
                  <w:t>Presunta víctima</w:t>
                </w:r>
              </w:sdtContent>
            </w:sdt>
            <w:r w:rsidR="00E10040" w:rsidRPr="00321502">
              <w:rPr>
                <w:rFonts w:ascii="Cambria" w:hAnsi="Cambria"/>
                <w:b/>
                <w:bCs/>
                <w:color w:val="FFFFFF" w:themeColor="background1"/>
                <w:sz w:val="20"/>
                <w:szCs w:val="20"/>
                <w:lang w:val="es-VE"/>
              </w:rPr>
              <w:t>:</w:t>
            </w:r>
          </w:p>
        </w:tc>
        <w:tc>
          <w:tcPr>
            <w:tcW w:w="5760" w:type="dxa"/>
            <w:vAlign w:val="center"/>
          </w:tcPr>
          <w:p w14:paraId="5A8F2875" w14:textId="7200B457" w:rsidR="00E10040" w:rsidRPr="00321502" w:rsidRDefault="00CA4F2E" w:rsidP="00321502">
            <w:pPr>
              <w:jc w:val="both"/>
              <w:rPr>
                <w:rFonts w:ascii="Cambria" w:hAnsi="Cambria"/>
                <w:bCs/>
                <w:sz w:val="20"/>
                <w:szCs w:val="20"/>
                <w:lang w:val="pt-BR"/>
              </w:rPr>
            </w:pPr>
            <w:r w:rsidRPr="00321502">
              <w:rPr>
                <w:rFonts w:ascii="Cambria" w:hAnsi="Cambria"/>
                <w:bCs/>
                <w:sz w:val="20"/>
                <w:szCs w:val="20"/>
                <w:lang w:val="pt-BR"/>
              </w:rPr>
              <w:t>Deyner Andrés Guerra Tuberquia,</w:t>
            </w:r>
            <w:r w:rsidRPr="00321502">
              <w:rPr>
                <w:rFonts w:ascii="Cambria" w:hAnsi="Cambria"/>
                <w:bCs/>
                <w:sz w:val="20"/>
                <w:szCs w:val="20"/>
                <w:vertAlign w:val="superscript"/>
                <w:lang w:val="pt-BR"/>
              </w:rPr>
              <w:t xml:space="preserve"> </w:t>
            </w:r>
            <w:r w:rsidRPr="00321502">
              <w:rPr>
                <w:rFonts w:ascii="Cambria" w:hAnsi="Cambria"/>
                <w:bCs/>
                <w:sz w:val="20"/>
                <w:szCs w:val="20"/>
                <w:lang w:val="pt-BR"/>
              </w:rPr>
              <w:t xml:space="preserve">Luz Enith Tuberquia Valderrama, </w:t>
            </w:r>
            <w:r w:rsidR="00B63305" w:rsidRPr="00321502">
              <w:rPr>
                <w:rFonts w:ascii="Cambria" w:hAnsi="Cambria"/>
                <w:bCs/>
                <w:sz w:val="20"/>
                <w:szCs w:val="20"/>
                <w:lang w:val="pt-BR"/>
              </w:rPr>
              <w:t xml:space="preserve">William de Jesús Ortiz Giraldo </w:t>
            </w:r>
            <w:r w:rsidRPr="00321502">
              <w:rPr>
                <w:rFonts w:ascii="Cambria" w:hAnsi="Cambria"/>
                <w:bCs/>
                <w:sz w:val="20"/>
                <w:szCs w:val="20"/>
                <w:lang w:val="pt-BR"/>
              </w:rPr>
              <w:t>y Luz Elena Torres López</w:t>
            </w:r>
          </w:p>
        </w:tc>
      </w:tr>
      <w:tr w:rsidR="00E10040" w:rsidRPr="00321502" w14:paraId="19A873C8" w14:textId="77777777" w:rsidTr="003923EC">
        <w:trPr>
          <w:trHeight w:val="138"/>
        </w:trPr>
        <w:tc>
          <w:tcPr>
            <w:tcW w:w="3600" w:type="dxa"/>
            <w:tcBorders>
              <w:top w:val="single" w:sz="6" w:space="0" w:color="auto"/>
              <w:bottom w:val="single" w:sz="6" w:space="0" w:color="auto"/>
            </w:tcBorders>
            <w:shd w:val="clear" w:color="auto" w:fill="386294"/>
            <w:vAlign w:val="center"/>
          </w:tcPr>
          <w:p w14:paraId="1ADD40CC"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Estado denunciado:</w:t>
            </w:r>
          </w:p>
        </w:tc>
        <w:tc>
          <w:tcPr>
            <w:tcW w:w="5760" w:type="dxa"/>
            <w:vAlign w:val="center"/>
          </w:tcPr>
          <w:p w14:paraId="350B9D90" w14:textId="0AEE814D" w:rsidR="00E10040" w:rsidRPr="00321502" w:rsidRDefault="003923EC" w:rsidP="00321502">
            <w:pPr>
              <w:jc w:val="both"/>
              <w:rPr>
                <w:rFonts w:ascii="Cambria" w:hAnsi="Cambria"/>
                <w:bCs/>
                <w:sz w:val="20"/>
                <w:szCs w:val="20"/>
                <w:lang w:val="es-VE"/>
              </w:rPr>
            </w:pPr>
            <w:r w:rsidRPr="00321502">
              <w:rPr>
                <w:rFonts w:ascii="Cambria" w:hAnsi="Cambria"/>
                <w:bCs/>
                <w:sz w:val="20"/>
                <w:szCs w:val="20"/>
                <w:lang w:val="es-VE"/>
              </w:rPr>
              <w:t>Colombia</w:t>
            </w:r>
            <w:r w:rsidR="00EF40F0">
              <w:rPr>
                <w:rStyle w:val="FootnoteReference"/>
                <w:rFonts w:ascii="Cambria" w:hAnsi="Cambria"/>
                <w:bCs/>
                <w:sz w:val="20"/>
                <w:szCs w:val="20"/>
                <w:lang w:val="es-VE"/>
              </w:rPr>
              <w:footnoteReference w:id="1"/>
            </w:r>
          </w:p>
        </w:tc>
      </w:tr>
      <w:tr w:rsidR="00E10040" w:rsidRPr="00D247A2" w14:paraId="6848EE3C" w14:textId="77777777" w:rsidTr="00016160">
        <w:tc>
          <w:tcPr>
            <w:tcW w:w="3600" w:type="dxa"/>
            <w:tcBorders>
              <w:top w:val="single" w:sz="6" w:space="0" w:color="auto"/>
              <w:bottom w:val="single" w:sz="6" w:space="0" w:color="auto"/>
            </w:tcBorders>
            <w:shd w:val="clear" w:color="auto" w:fill="386294"/>
            <w:vAlign w:val="center"/>
          </w:tcPr>
          <w:p w14:paraId="6E6E8AA8"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Derechos invocados:</w:t>
            </w:r>
          </w:p>
        </w:tc>
        <w:tc>
          <w:tcPr>
            <w:tcW w:w="5760" w:type="dxa"/>
            <w:vAlign w:val="center"/>
          </w:tcPr>
          <w:p w14:paraId="21CA486B" w14:textId="6453FAA7" w:rsidR="00E10040" w:rsidRPr="00321502" w:rsidRDefault="00C8543E" w:rsidP="003215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heme="minorHAnsi" w:hAnsi="Cambria"/>
                <w:sz w:val="20"/>
                <w:szCs w:val="20"/>
                <w:bdr w:val="none" w:sz="0" w:space="0" w:color="auto"/>
                <w:lang w:val="es-VE"/>
              </w:rPr>
            </w:pPr>
            <w:r w:rsidRPr="00321502">
              <w:rPr>
                <w:rFonts w:ascii="Cambria" w:hAnsi="Cambria"/>
                <w:bCs/>
                <w:sz w:val="20"/>
                <w:szCs w:val="20"/>
                <w:lang w:val="es-VE"/>
              </w:rPr>
              <w:t>Artículo</w:t>
            </w:r>
            <w:r w:rsidR="007C4588" w:rsidRPr="00321502">
              <w:rPr>
                <w:rFonts w:ascii="Cambria" w:hAnsi="Cambria"/>
                <w:bCs/>
                <w:sz w:val="20"/>
                <w:szCs w:val="20"/>
                <w:lang w:val="es-VE"/>
              </w:rPr>
              <w:t>s</w:t>
            </w:r>
            <w:r w:rsidRPr="00321502">
              <w:rPr>
                <w:rFonts w:ascii="Cambria" w:hAnsi="Cambria"/>
                <w:bCs/>
                <w:sz w:val="20"/>
                <w:szCs w:val="20"/>
                <w:lang w:val="es-VE"/>
              </w:rPr>
              <w:t xml:space="preserve"> 4 (vida), 5 (integridad personal), 8 (garantías judiciales)</w:t>
            </w:r>
            <w:r w:rsidR="005B2215" w:rsidRPr="00321502">
              <w:rPr>
                <w:rFonts w:ascii="Cambria" w:hAnsi="Cambria"/>
                <w:bCs/>
                <w:sz w:val="20"/>
                <w:szCs w:val="20"/>
                <w:lang w:val="es-VE"/>
              </w:rPr>
              <w:t>, 11 (protección de la honra)</w:t>
            </w:r>
            <w:r w:rsidRPr="00321502">
              <w:rPr>
                <w:rFonts w:ascii="Cambria" w:hAnsi="Cambria"/>
                <w:bCs/>
                <w:sz w:val="20"/>
                <w:szCs w:val="20"/>
                <w:lang w:val="es-VE"/>
              </w:rPr>
              <w:t xml:space="preserve"> y 25 (protección judicial) de la </w:t>
            </w:r>
            <w:r w:rsidR="003923EC" w:rsidRPr="00321502">
              <w:rPr>
                <w:rFonts w:ascii="Cambria" w:hAnsi="Cambria"/>
                <w:bCs/>
                <w:sz w:val="20"/>
                <w:szCs w:val="20"/>
                <w:lang w:val="es-VE"/>
              </w:rPr>
              <w:t>Convención Americana sobre Derechos Humanos</w:t>
            </w:r>
            <w:r w:rsidR="003923EC" w:rsidRPr="00321502">
              <w:rPr>
                <w:rStyle w:val="FootnoteReference"/>
                <w:rFonts w:ascii="Cambria" w:hAnsi="Cambria"/>
                <w:bCs/>
                <w:sz w:val="20"/>
                <w:szCs w:val="20"/>
                <w:bdr w:val="none" w:sz="0" w:space="0" w:color="auto" w:frame="1"/>
                <w:lang w:val="es-VE"/>
              </w:rPr>
              <w:footnoteReference w:id="2"/>
            </w:r>
            <w:r w:rsidR="003923EC" w:rsidRPr="00321502">
              <w:rPr>
                <w:rFonts w:ascii="Cambria" w:eastAsiaTheme="minorHAnsi" w:hAnsi="Cambria"/>
                <w:sz w:val="20"/>
                <w:szCs w:val="20"/>
                <w:lang w:val="es-VE"/>
              </w:rPr>
              <w:t xml:space="preserve"> </w:t>
            </w:r>
            <w:r w:rsidRPr="00321502">
              <w:rPr>
                <w:rFonts w:ascii="Cambria" w:eastAsiaTheme="minorHAnsi" w:hAnsi="Cambria"/>
                <w:sz w:val="20"/>
                <w:szCs w:val="20"/>
                <w:lang w:val="es-VE"/>
              </w:rPr>
              <w:t xml:space="preserve">en relación </w:t>
            </w:r>
            <w:r w:rsidR="004E7C0C" w:rsidRPr="00321502">
              <w:rPr>
                <w:rFonts w:ascii="Cambria" w:eastAsiaTheme="minorHAnsi" w:hAnsi="Cambria"/>
                <w:sz w:val="20"/>
                <w:szCs w:val="20"/>
                <w:lang w:val="es-VE"/>
              </w:rPr>
              <w:t>con e</w:t>
            </w:r>
            <w:r w:rsidRPr="00321502">
              <w:rPr>
                <w:rFonts w:ascii="Cambria" w:eastAsiaTheme="minorHAnsi" w:hAnsi="Cambria"/>
                <w:sz w:val="20"/>
                <w:szCs w:val="20"/>
                <w:lang w:val="es-VE"/>
              </w:rPr>
              <w:t>l artículo 1.1 del mismo instrumento</w:t>
            </w:r>
            <w:r w:rsidR="007C4588" w:rsidRPr="00321502">
              <w:rPr>
                <w:rFonts w:ascii="Cambria" w:eastAsiaTheme="minorHAnsi" w:hAnsi="Cambria"/>
                <w:sz w:val="20"/>
                <w:szCs w:val="20"/>
                <w:lang w:val="es-VE"/>
              </w:rPr>
              <w:t xml:space="preserve">; y artículos I (vida, integridad y seguridad), XI (preservación </w:t>
            </w:r>
            <w:r w:rsidR="00B63305" w:rsidRPr="00321502">
              <w:rPr>
                <w:rFonts w:ascii="Cambria" w:eastAsiaTheme="minorHAnsi" w:hAnsi="Cambria"/>
                <w:sz w:val="20"/>
                <w:szCs w:val="20"/>
                <w:lang w:val="es-VE"/>
              </w:rPr>
              <w:t>de</w:t>
            </w:r>
            <w:r w:rsidR="007C4588" w:rsidRPr="00321502">
              <w:rPr>
                <w:rFonts w:ascii="Cambria" w:eastAsiaTheme="minorHAnsi" w:hAnsi="Cambria"/>
                <w:sz w:val="20"/>
                <w:szCs w:val="20"/>
                <w:lang w:val="es-VE"/>
              </w:rPr>
              <w:t xml:space="preserve"> la salud y al bienestar) y XVIII (justicia) de la Declaración Americana de Derechos y Deberes del Hombre</w:t>
            </w:r>
            <w:r w:rsidR="007C4588" w:rsidRPr="00321502">
              <w:rPr>
                <w:rStyle w:val="FootnoteReference"/>
                <w:rFonts w:ascii="Cambria" w:eastAsiaTheme="minorHAnsi" w:hAnsi="Cambria"/>
                <w:sz w:val="20"/>
                <w:szCs w:val="20"/>
                <w:lang w:val="es-VE"/>
              </w:rPr>
              <w:footnoteReference w:id="3"/>
            </w:r>
          </w:p>
        </w:tc>
      </w:tr>
    </w:tbl>
    <w:p w14:paraId="50E86AEF" w14:textId="3B9E3EA9" w:rsidR="00E10040" w:rsidRPr="00F7470E" w:rsidRDefault="00E10040" w:rsidP="00F7470E">
      <w:pPr>
        <w:pStyle w:val="ListParagraph"/>
        <w:numPr>
          <w:ilvl w:val="0"/>
          <w:numId w:val="16"/>
        </w:numPr>
        <w:spacing w:before="120" w:after="120"/>
        <w:jc w:val="both"/>
        <w:rPr>
          <w:b/>
          <w:bCs/>
          <w:sz w:val="20"/>
          <w:szCs w:val="20"/>
          <w:lang w:val="es-VE"/>
        </w:rPr>
      </w:pPr>
      <w:r w:rsidRPr="00F7470E">
        <w:rPr>
          <w:b/>
          <w:bCs/>
          <w:sz w:val="20"/>
          <w:szCs w:val="20"/>
          <w:lang w:val="es-VE"/>
        </w:rPr>
        <w:t>TRÁMITE ANTE LA CIDH</w:t>
      </w:r>
      <w:r w:rsidRPr="00321502">
        <w:rPr>
          <w:rStyle w:val="FootnoteReference"/>
          <w:b/>
          <w:sz w:val="20"/>
          <w:szCs w:val="20"/>
          <w:lang w:val="es-VE"/>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321502" w14:paraId="12459712" w14:textId="77777777" w:rsidTr="00016160">
        <w:tc>
          <w:tcPr>
            <w:tcW w:w="3600" w:type="dxa"/>
            <w:tcBorders>
              <w:top w:val="single" w:sz="6" w:space="0" w:color="auto"/>
              <w:bottom w:val="single" w:sz="6" w:space="0" w:color="auto"/>
            </w:tcBorders>
            <w:shd w:val="clear" w:color="auto" w:fill="386294"/>
            <w:vAlign w:val="center"/>
          </w:tcPr>
          <w:p w14:paraId="7F5B2551"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Presentación de la petición:</w:t>
            </w:r>
          </w:p>
        </w:tc>
        <w:tc>
          <w:tcPr>
            <w:tcW w:w="5760" w:type="dxa"/>
            <w:vAlign w:val="center"/>
          </w:tcPr>
          <w:p w14:paraId="66B3941A" w14:textId="3299B1EB" w:rsidR="00E10040" w:rsidRPr="00321502" w:rsidRDefault="003923EC" w:rsidP="00321502">
            <w:pPr>
              <w:jc w:val="both"/>
              <w:rPr>
                <w:rFonts w:ascii="Cambria" w:hAnsi="Cambria"/>
                <w:bCs/>
                <w:sz w:val="20"/>
                <w:szCs w:val="20"/>
                <w:lang w:val="es-VE"/>
              </w:rPr>
            </w:pPr>
            <w:r w:rsidRPr="00321502">
              <w:rPr>
                <w:rFonts w:ascii="Cambria" w:hAnsi="Cambria"/>
                <w:bCs/>
                <w:sz w:val="20"/>
                <w:szCs w:val="20"/>
                <w:lang w:val="es-VE"/>
              </w:rPr>
              <w:t>10 de noviembre de 2008</w:t>
            </w:r>
          </w:p>
        </w:tc>
      </w:tr>
      <w:tr w:rsidR="00E10040" w:rsidRPr="00321502" w14:paraId="3D9B5327" w14:textId="77777777" w:rsidTr="00016160">
        <w:tc>
          <w:tcPr>
            <w:tcW w:w="3600" w:type="dxa"/>
            <w:tcBorders>
              <w:top w:val="single" w:sz="6" w:space="0" w:color="auto"/>
              <w:bottom w:val="single" w:sz="6" w:space="0" w:color="auto"/>
            </w:tcBorders>
            <w:shd w:val="clear" w:color="auto" w:fill="386294"/>
            <w:vAlign w:val="center"/>
          </w:tcPr>
          <w:p w14:paraId="3E64F5B6"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color w:val="FFFFFF" w:themeColor="background1"/>
                <w:sz w:val="20"/>
                <w:szCs w:val="20"/>
                <w:lang w:val="es-VE"/>
              </w:rPr>
              <w:t>Notificación de la petición al Estado:</w:t>
            </w:r>
          </w:p>
        </w:tc>
        <w:tc>
          <w:tcPr>
            <w:tcW w:w="5760" w:type="dxa"/>
            <w:vAlign w:val="center"/>
          </w:tcPr>
          <w:p w14:paraId="42331AE3" w14:textId="1977DECF" w:rsidR="00E10040" w:rsidRPr="00321502" w:rsidRDefault="0091108A" w:rsidP="00321502">
            <w:pPr>
              <w:jc w:val="both"/>
              <w:rPr>
                <w:rFonts w:ascii="Cambria" w:hAnsi="Cambria"/>
                <w:bCs/>
                <w:sz w:val="20"/>
                <w:szCs w:val="20"/>
                <w:lang w:val="es-VE"/>
              </w:rPr>
            </w:pPr>
            <w:r w:rsidRPr="00321502">
              <w:rPr>
                <w:rFonts w:ascii="Cambria" w:hAnsi="Cambria"/>
                <w:bCs/>
                <w:sz w:val="20"/>
                <w:szCs w:val="20"/>
                <w:lang w:val="es-VE"/>
              </w:rPr>
              <w:t>5 de mayo de 2014</w:t>
            </w:r>
          </w:p>
        </w:tc>
      </w:tr>
      <w:tr w:rsidR="00E10040" w:rsidRPr="00321502" w14:paraId="3690A4D4" w14:textId="77777777" w:rsidTr="00016160">
        <w:tc>
          <w:tcPr>
            <w:tcW w:w="3600" w:type="dxa"/>
            <w:tcBorders>
              <w:top w:val="single" w:sz="6" w:space="0" w:color="auto"/>
              <w:bottom w:val="single" w:sz="6" w:space="0" w:color="auto"/>
            </w:tcBorders>
            <w:shd w:val="clear" w:color="auto" w:fill="386294"/>
            <w:vAlign w:val="center"/>
          </w:tcPr>
          <w:p w14:paraId="0AD1CD19"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color w:val="FFFFFF" w:themeColor="background1"/>
                <w:sz w:val="20"/>
                <w:szCs w:val="20"/>
                <w:lang w:val="es-VE"/>
              </w:rPr>
              <w:t>Primera respuesta del Estado:</w:t>
            </w:r>
          </w:p>
        </w:tc>
        <w:tc>
          <w:tcPr>
            <w:tcW w:w="5760" w:type="dxa"/>
            <w:vAlign w:val="center"/>
          </w:tcPr>
          <w:p w14:paraId="2DB5E7F6" w14:textId="5FE2AB89" w:rsidR="00E10040" w:rsidRPr="00321502" w:rsidRDefault="0091108A" w:rsidP="00321502">
            <w:pPr>
              <w:jc w:val="both"/>
              <w:rPr>
                <w:rFonts w:ascii="Cambria" w:hAnsi="Cambria"/>
                <w:bCs/>
                <w:sz w:val="20"/>
                <w:szCs w:val="20"/>
                <w:lang w:val="es-VE"/>
              </w:rPr>
            </w:pPr>
            <w:r w:rsidRPr="00321502">
              <w:rPr>
                <w:rFonts w:ascii="Cambria" w:hAnsi="Cambria"/>
                <w:bCs/>
                <w:sz w:val="20"/>
                <w:szCs w:val="20"/>
                <w:lang w:val="es-VE"/>
              </w:rPr>
              <w:t>4 de noviembre de 2014</w:t>
            </w:r>
          </w:p>
        </w:tc>
      </w:tr>
      <w:tr w:rsidR="00E10040" w:rsidRPr="00D247A2" w14:paraId="06D7C5BC" w14:textId="77777777" w:rsidTr="00016160">
        <w:tc>
          <w:tcPr>
            <w:tcW w:w="3600" w:type="dxa"/>
            <w:tcBorders>
              <w:top w:val="single" w:sz="6" w:space="0" w:color="auto"/>
              <w:bottom w:val="single" w:sz="6" w:space="0" w:color="auto"/>
            </w:tcBorders>
            <w:shd w:val="clear" w:color="auto" w:fill="386294"/>
            <w:vAlign w:val="center"/>
          </w:tcPr>
          <w:p w14:paraId="66103866"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Observaciones adicionales de la parte peticionaria:</w:t>
            </w:r>
          </w:p>
        </w:tc>
        <w:tc>
          <w:tcPr>
            <w:tcW w:w="5760" w:type="dxa"/>
            <w:vAlign w:val="center"/>
          </w:tcPr>
          <w:p w14:paraId="175083AA" w14:textId="5969C167" w:rsidR="00E10040" w:rsidRPr="00321502" w:rsidRDefault="0091108A" w:rsidP="00321502">
            <w:pPr>
              <w:jc w:val="both"/>
              <w:rPr>
                <w:rFonts w:ascii="Cambria" w:hAnsi="Cambria"/>
                <w:bCs/>
                <w:sz w:val="20"/>
                <w:szCs w:val="20"/>
                <w:lang w:val="es-VE"/>
              </w:rPr>
            </w:pPr>
            <w:r w:rsidRPr="00321502">
              <w:rPr>
                <w:rFonts w:ascii="Cambria" w:hAnsi="Cambria"/>
                <w:bCs/>
                <w:sz w:val="20"/>
                <w:szCs w:val="20"/>
                <w:lang w:val="es-VE"/>
              </w:rPr>
              <w:t>19 de diciembre de 2014, 23 de febrero de 2015</w:t>
            </w:r>
            <w:r w:rsidR="00B63305" w:rsidRPr="00321502">
              <w:rPr>
                <w:rFonts w:ascii="Cambria" w:hAnsi="Cambria"/>
                <w:bCs/>
                <w:sz w:val="20"/>
                <w:szCs w:val="20"/>
                <w:lang w:val="es-VE"/>
              </w:rPr>
              <w:t>,</w:t>
            </w:r>
            <w:r w:rsidR="00234BF4" w:rsidRPr="00321502">
              <w:rPr>
                <w:rFonts w:ascii="Cambria" w:hAnsi="Cambria"/>
                <w:bCs/>
                <w:sz w:val="20"/>
                <w:szCs w:val="20"/>
                <w:lang w:val="es-VE"/>
              </w:rPr>
              <w:t xml:space="preserve"> 2 de noviembre de 2018</w:t>
            </w:r>
            <w:r w:rsidR="00B63305" w:rsidRPr="00321502">
              <w:rPr>
                <w:rFonts w:ascii="Cambria" w:hAnsi="Cambria"/>
                <w:bCs/>
                <w:sz w:val="20"/>
                <w:szCs w:val="20"/>
                <w:lang w:val="es-VE"/>
              </w:rPr>
              <w:t xml:space="preserve"> y </w:t>
            </w:r>
            <w:r w:rsidR="00FA6F4E" w:rsidRPr="00321502">
              <w:rPr>
                <w:rFonts w:ascii="Cambria" w:hAnsi="Cambria"/>
                <w:bCs/>
                <w:sz w:val="20"/>
                <w:szCs w:val="20"/>
                <w:lang w:val="es-VE"/>
              </w:rPr>
              <w:t>10 de octubre de 2019</w:t>
            </w:r>
          </w:p>
        </w:tc>
      </w:tr>
      <w:tr w:rsidR="00E10040" w:rsidRPr="00321502" w14:paraId="591D34D3" w14:textId="77777777" w:rsidTr="00016160">
        <w:tc>
          <w:tcPr>
            <w:tcW w:w="3600" w:type="dxa"/>
            <w:tcBorders>
              <w:top w:val="single" w:sz="6" w:space="0" w:color="auto"/>
              <w:bottom w:val="single" w:sz="6" w:space="0" w:color="auto"/>
            </w:tcBorders>
            <w:shd w:val="clear" w:color="auto" w:fill="386294"/>
            <w:vAlign w:val="center"/>
          </w:tcPr>
          <w:p w14:paraId="1EC980E2"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Observaciones adicionales del Estado:</w:t>
            </w:r>
          </w:p>
        </w:tc>
        <w:tc>
          <w:tcPr>
            <w:tcW w:w="5760" w:type="dxa"/>
            <w:vAlign w:val="center"/>
          </w:tcPr>
          <w:p w14:paraId="336231CC" w14:textId="19E63134" w:rsidR="00E10040" w:rsidRPr="00321502" w:rsidRDefault="0091108A" w:rsidP="00321502">
            <w:pPr>
              <w:jc w:val="both"/>
              <w:rPr>
                <w:rFonts w:ascii="Cambria" w:hAnsi="Cambria"/>
                <w:bCs/>
                <w:sz w:val="20"/>
                <w:szCs w:val="20"/>
                <w:lang w:val="es-VE"/>
              </w:rPr>
            </w:pPr>
            <w:r w:rsidRPr="00321502">
              <w:rPr>
                <w:rFonts w:ascii="Cambria" w:hAnsi="Cambria"/>
                <w:bCs/>
                <w:sz w:val="20"/>
                <w:szCs w:val="20"/>
                <w:lang w:val="es-VE"/>
              </w:rPr>
              <w:t>25 de junio de 2015</w:t>
            </w:r>
          </w:p>
        </w:tc>
      </w:tr>
      <w:tr w:rsidR="00E10040" w:rsidRPr="00321502" w14:paraId="0720F533" w14:textId="77777777" w:rsidTr="00016160">
        <w:tc>
          <w:tcPr>
            <w:tcW w:w="3600" w:type="dxa"/>
            <w:tcBorders>
              <w:top w:val="single" w:sz="6" w:space="0" w:color="auto"/>
              <w:bottom w:val="single" w:sz="6" w:space="0" w:color="auto"/>
            </w:tcBorders>
            <w:shd w:val="clear" w:color="auto" w:fill="386294"/>
            <w:vAlign w:val="center"/>
          </w:tcPr>
          <w:p w14:paraId="50807B10"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Advertencia sobre posible archivo:</w:t>
            </w:r>
          </w:p>
        </w:tc>
        <w:tc>
          <w:tcPr>
            <w:tcW w:w="5760" w:type="dxa"/>
            <w:vAlign w:val="center"/>
          </w:tcPr>
          <w:p w14:paraId="6BFDEAAE" w14:textId="7CBA4631" w:rsidR="00E10040" w:rsidRPr="00321502" w:rsidRDefault="0091108A" w:rsidP="00321502">
            <w:pPr>
              <w:jc w:val="both"/>
              <w:rPr>
                <w:rFonts w:ascii="Cambria" w:hAnsi="Cambria"/>
                <w:bCs/>
                <w:sz w:val="20"/>
                <w:szCs w:val="20"/>
                <w:lang w:val="es-VE"/>
              </w:rPr>
            </w:pPr>
            <w:r w:rsidRPr="00321502">
              <w:rPr>
                <w:rFonts w:ascii="Cambria" w:hAnsi="Cambria"/>
                <w:bCs/>
                <w:sz w:val="20"/>
                <w:szCs w:val="20"/>
                <w:lang w:val="es-VE"/>
              </w:rPr>
              <w:t>22 de mayo de 2018</w:t>
            </w:r>
          </w:p>
        </w:tc>
      </w:tr>
      <w:tr w:rsidR="00E10040" w:rsidRPr="00321502" w14:paraId="5503295F" w14:textId="77777777" w:rsidTr="00016160">
        <w:tc>
          <w:tcPr>
            <w:tcW w:w="3600" w:type="dxa"/>
            <w:tcBorders>
              <w:top w:val="single" w:sz="6" w:space="0" w:color="auto"/>
              <w:bottom w:val="single" w:sz="6" w:space="0" w:color="auto"/>
            </w:tcBorders>
            <w:shd w:val="clear" w:color="auto" w:fill="386294"/>
            <w:vAlign w:val="center"/>
          </w:tcPr>
          <w:p w14:paraId="166B4CDE"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Respuesta de la parte peticionaria ante advertencia de posible archivo:</w:t>
            </w:r>
          </w:p>
        </w:tc>
        <w:tc>
          <w:tcPr>
            <w:tcW w:w="5760" w:type="dxa"/>
            <w:vAlign w:val="center"/>
          </w:tcPr>
          <w:p w14:paraId="2D70A1FD" w14:textId="76F57BD9" w:rsidR="00E10040" w:rsidRPr="00321502" w:rsidRDefault="00234BF4" w:rsidP="00321502">
            <w:pPr>
              <w:jc w:val="both"/>
              <w:rPr>
                <w:rFonts w:ascii="Cambria" w:hAnsi="Cambria"/>
                <w:bCs/>
                <w:sz w:val="20"/>
                <w:szCs w:val="20"/>
                <w:lang w:val="es-VE"/>
              </w:rPr>
            </w:pPr>
            <w:r w:rsidRPr="00321502">
              <w:rPr>
                <w:rFonts w:ascii="Cambria" w:hAnsi="Cambria"/>
                <w:bCs/>
                <w:sz w:val="20"/>
                <w:szCs w:val="20"/>
                <w:lang w:val="es-VE"/>
              </w:rPr>
              <w:t>10 de octubre de 2018</w:t>
            </w:r>
          </w:p>
        </w:tc>
      </w:tr>
    </w:tbl>
    <w:p w14:paraId="7FB5D483" w14:textId="0E9AAC12" w:rsidR="00E10040" w:rsidRPr="00321502" w:rsidRDefault="00E10040" w:rsidP="00F7470E">
      <w:pPr>
        <w:pStyle w:val="ListParagraph"/>
        <w:numPr>
          <w:ilvl w:val="0"/>
          <w:numId w:val="16"/>
        </w:numPr>
        <w:spacing w:before="120" w:after="120"/>
        <w:ind w:left="0" w:firstLine="720"/>
        <w:jc w:val="both"/>
        <w:rPr>
          <w:b/>
          <w:bCs/>
          <w:sz w:val="20"/>
          <w:szCs w:val="20"/>
          <w:lang w:val="es-VE"/>
        </w:rPr>
      </w:pPr>
      <w:r w:rsidRPr="00321502">
        <w:rPr>
          <w:b/>
          <w:bCs/>
          <w:sz w:val="20"/>
          <w:szCs w:val="20"/>
          <w:lang w:val="es-VE"/>
        </w:rPr>
        <w:t xml:space="preserve">COMPETENCIA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E10040" w:rsidRPr="00321502" w14:paraId="07EA4CAC" w14:textId="77777777" w:rsidTr="00321502">
        <w:trPr>
          <w:cantSplit/>
        </w:trPr>
        <w:tc>
          <w:tcPr>
            <w:tcW w:w="3561" w:type="dxa"/>
            <w:tcBorders>
              <w:top w:val="single" w:sz="4" w:space="0" w:color="auto"/>
              <w:bottom w:val="single" w:sz="6" w:space="0" w:color="auto"/>
            </w:tcBorders>
            <w:shd w:val="clear" w:color="auto" w:fill="386294"/>
            <w:vAlign w:val="center"/>
          </w:tcPr>
          <w:p w14:paraId="7DA6AF28" w14:textId="77777777" w:rsidR="00E10040" w:rsidRPr="00321502" w:rsidRDefault="00E10040" w:rsidP="00321502">
            <w:pPr>
              <w:jc w:val="center"/>
              <w:rPr>
                <w:rFonts w:ascii="Cambria" w:hAnsi="Cambria"/>
                <w:b/>
                <w:bCs/>
                <w:i/>
                <w:color w:val="FFFFFF" w:themeColor="background1"/>
                <w:sz w:val="20"/>
                <w:szCs w:val="20"/>
                <w:lang w:val="es-VE"/>
              </w:rPr>
            </w:pPr>
            <w:r w:rsidRPr="00321502">
              <w:rPr>
                <w:rFonts w:ascii="Cambria" w:hAnsi="Cambria"/>
                <w:b/>
                <w:bCs/>
                <w:color w:val="FFFFFF" w:themeColor="background1"/>
                <w:sz w:val="20"/>
                <w:szCs w:val="20"/>
                <w:lang w:val="es-VE"/>
              </w:rPr>
              <w:t>Competencia</w:t>
            </w:r>
            <w:r w:rsidRPr="00321502">
              <w:rPr>
                <w:rFonts w:ascii="Cambria" w:hAnsi="Cambria"/>
                <w:b/>
                <w:bCs/>
                <w:i/>
                <w:color w:val="FFFFFF" w:themeColor="background1"/>
                <w:sz w:val="20"/>
                <w:szCs w:val="20"/>
                <w:lang w:val="es-VE"/>
              </w:rPr>
              <w:t xml:space="preserve"> Ratione personae:</w:t>
            </w:r>
          </w:p>
        </w:tc>
        <w:tc>
          <w:tcPr>
            <w:tcW w:w="5776" w:type="dxa"/>
            <w:vAlign w:val="center"/>
          </w:tcPr>
          <w:p w14:paraId="7E9A7E40" w14:textId="759B5EB6" w:rsidR="00E10040" w:rsidRPr="00321502" w:rsidRDefault="00234BF4" w:rsidP="00321502">
            <w:pPr>
              <w:rPr>
                <w:rFonts w:ascii="Cambria" w:hAnsi="Cambria"/>
                <w:bCs/>
                <w:sz w:val="20"/>
                <w:szCs w:val="20"/>
                <w:lang w:val="es-VE"/>
              </w:rPr>
            </w:pPr>
            <w:r w:rsidRPr="00321502">
              <w:rPr>
                <w:rFonts w:ascii="Cambria" w:hAnsi="Cambria"/>
                <w:bCs/>
                <w:sz w:val="20"/>
                <w:szCs w:val="20"/>
                <w:lang w:val="es-VE"/>
              </w:rPr>
              <w:t>Sí</w:t>
            </w:r>
          </w:p>
        </w:tc>
      </w:tr>
      <w:tr w:rsidR="00E10040" w:rsidRPr="00321502" w14:paraId="18DFEB57" w14:textId="77777777" w:rsidTr="00321502">
        <w:trPr>
          <w:cantSplit/>
        </w:trPr>
        <w:tc>
          <w:tcPr>
            <w:tcW w:w="3561" w:type="dxa"/>
            <w:tcBorders>
              <w:top w:val="single" w:sz="6" w:space="0" w:color="auto"/>
              <w:bottom w:val="single" w:sz="6" w:space="0" w:color="auto"/>
            </w:tcBorders>
            <w:shd w:val="clear" w:color="auto" w:fill="386294"/>
            <w:vAlign w:val="center"/>
          </w:tcPr>
          <w:p w14:paraId="428C19DB"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Competencia</w:t>
            </w:r>
            <w:r w:rsidRPr="00321502">
              <w:rPr>
                <w:rFonts w:ascii="Cambria" w:hAnsi="Cambria"/>
                <w:b/>
                <w:bCs/>
                <w:i/>
                <w:color w:val="FFFFFF" w:themeColor="background1"/>
                <w:sz w:val="20"/>
                <w:szCs w:val="20"/>
                <w:lang w:val="es-VE"/>
              </w:rPr>
              <w:t xml:space="preserve"> Ratione loci</w:t>
            </w:r>
            <w:r w:rsidRPr="00321502">
              <w:rPr>
                <w:rFonts w:ascii="Cambria" w:hAnsi="Cambria"/>
                <w:b/>
                <w:bCs/>
                <w:color w:val="FFFFFF" w:themeColor="background1"/>
                <w:sz w:val="20"/>
                <w:szCs w:val="20"/>
                <w:lang w:val="es-VE"/>
              </w:rPr>
              <w:t>:</w:t>
            </w:r>
          </w:p>
        </w:tc>
        <w:tc>
          <w:tcPr>
            <w:tcW w:w="5776" w:type="dxa"/>
            <w:vAlign w:val="center"/>
          </w:tcPr>
          <w:p w14:paraId="13C8C951" w14:textId="209296C3" w:rsidR="00E10040" w:rsidRPr="00321502" w:rsidRDefault="00234BF4" w:rsidP="00321502">
            <w:pPr>
              <w:rPr>
                <w:rFonts w:ascii="Cambria" w:hAnsi="Cambria"/>
                <w:bCs/>
                <w:sz w:val="20"/>
                <w:szCs w:val="20"/>
                <w:lang w:val="es-VE"/>
              </w:rPr>
            </w:pPr>
            <w:r w:rsidRPr="00321502">
              <w:rPr>
                <w:rFonts w:ascii="Cambria" w:hAnsi="Cambria"/>
                <w:bCs/>
                <w:sz w:val="20"/>
                <w:szCs w:val="20"/>
                <w:lang w:val="es-VE"/>
              </w:rPr>
              <w:t>Sí</w:t>
            </w:r>
          </w:p>
        </w:tc>
      </w:tr>
      <w:tr w:rsidR="00E10040" w:rsidRPr="00321502" w14:paraId="712688E1" w14:textId="77777777" w:rsidTr="00321502">
        <w:trPr>
          <w:cantSplit/>
        </w:trPr>
        <w:tc>
          <w:tcPr>
            <w:tcW w:w="3561" w:type="dxa"/>
            <w:tcBorders>
              <w:top w:val="single" w:sz="6" w:space="0" w:color="auto"/>
              <w:bottom w:val="single" w:sz="6" w:space="0" w:color="auto"/>
            </w:tcBorders>
            <w:shd w:val="clear" w:color="auto" w:fill="386294"/>
            <w:vAlign w:val="center"/>
          </w:tcPr>
          <w:p w14:paraId="615423F2"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Competencia</w:t>
            </w:r>
            <w:r w:rsidRPr="00321502">
              <w:rPr>
                <w:rFonts w:ascii="Cambria" w:hAnsi="Cambria"/>
                <w:b/>
                <w:bCs/>
                <w:i/>
                <w:color w:val="FFFFFF" w:themeColor="background1"/>
                <w:sz w:val="20"/>
                <w:szCs w:val="20"/>
                <w:lang w:val="es-VE"/>
              </w:rPr>
              <w:t xml:space="preserve"> Ratione temporis</w:t>
            </w:r>
            <w:r w:rsidRPr="00321502">
              <w:rPr>
                <w:rFonts w:ascii="Cambria" w:hAnsi="Cambria"/>
                <w:b/>
                <w:bCs/>
                <w:color w:val="FFFFFF" w:themeColor="background1"/>
                <w:sz w:val="20"/>
                <w:szCs w:val="20"/>
                <w:lang w:val="es-VE"/>
              </w:rPr>
              <w:t>:</w:t>
            </w:r>
          </w:p>
        </w:tc>
        <w:tc>
          <w:tcPr>
            <w:tcW w:w="5776" w:type="dxa"/>
            <w:vAlign w:val="center"/>
          </w:tcPr>
          <w:p w14:paraId="73F3F5B8" w14:textId="6B36B44F" w:rsidR="00E10040" w:rsidRPr="00321502" w:rsidRDefault="00234BF4" w:rsidP="00321502">
            <w:pPr>
              <w:rPr>
                <w:rFonts w:ascii="Cambria" w:hAnsi="Cambria"/>
                <w:bCs/>
                <w:sz w:val="20"/>
                <w:szCs w:val="20"/>
                <w:lang w:val="es-VE"/>
              </w:rPr>
            </w:pPr>
            <w:r w:rsidRPr="00321502">
              <w:rPr>
                <w:rFonts w:ascii="Cambria" w:hAnsi="Cambria"/>
                <w:bCs/>
                <w:sz w:val="20"/>
                <w:szCs w:val="20"/>
                <w:lang w:val="es-VE"/>
              </w:rPr>
              <w:t>Sí</w:t>
            </w:r>
          </w:p>
        </w:tc>
      </w:tr>
      <w:tr w:rsidR="00E10040" w:rsidRPr="00D247A2" w14:paraId="36A0855A" w14:textId="77777777" w:rsidTr="00321502">
        <w:trPr>
          <w:cantSplit/>
        </w:trPr>
        <w:tc>
          <w:tcPr>
            <w:tcW w:w="3561" w:type="dxa"/>
            <w:tcBorders>
              <w:top w:val="single" w:sz="6" w:space="0" w:color="auto"/>
              <w:bottom w:val="single" w:sz="6" w:space="0" w:color="auto"/>
            </w:tcBorders>
            <w:shd w:val="clear" w:color="auto" w:fill="386294"/>
            <w:vAlign w:val="center"/>
          </w:tcPr>
          <w:p w14:paraId="6E5E1573"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Competencia</w:t>
            </w:r>
            <w:r w:rsidRPr="00321502">
              <w:rPr>
                <w:rFonts w:ascii="Cambria" w:hAnsi="Cambria"/>
                <w:b/>
                <w:bCs/>
                <w:i/>
                <w:color w:val="FFFFFF" w:themeColor="background1"/>
                <w:sz w:val="20"/>
                <w:szCs w:val="20"/>
                <w:lang w:val="es-VE"/>
              </w:rPr>
              <w:t xml:space="preserve"> Ratione materiae</w:t>
            </w:r>
            <w:r w:rsidRPr="00321502">
              <w:rPr>
                <w:rFonts w:ascii="Cambria" w:hAnsi="Cambria"/>
                <w:b/>
                <w:bCs/>
                <w:color w:val="FFFFFF" w:themeColor="background1"/>
                <w:sz w:val="20"/>
                <w:szCs w:val="20"/>
                <w:lang w:val="es-VE"/>
              </w:rPr>
              <w:t>:</w:t>
            </w:r>
          </w:p>
        </w:tc>
        <w:tc>
          <w:tcPr>
            <w:tcW w:w="5776" w:type="dxa"/>
            <w:vAlign w:val="center"/>
          </w:tcPr>
          <w:p w14:paraId="2A69C468" w14:textId="316AC8FF" w:rsidR="00E10040" w:rsidRPr="00321502" w:rsidRDefault="00234BF4" w:rsidP="00321502">
            <w:pPr>
              <w:jc w:val="both"/>
              <w:rPr>
                <w:rFonts w:ascii="Cambria" w:hAnsi="Cambria"/>
                <w:bCs/>
                <w:sz w:val="20"/>
                <w:szCs w:val="20"/>
                <w:lang w:val="es-VE"/>
              </w:rPr>
            </w:pPr>
            <w:r w:rsidRPr="00321502">
              <w:rPr>
                <w:rFonts w:ascii="Cambria" w:hAnsi="Cambria"/>
                <w:bCs/>
                <w:sz w:val="20"/>
                <w:szCs w:val="20"/>
                <w:lang w:val="es-VE"/>
              </w:rPr>
              <w:t>Sí, Convención Americana (depósito de instrumento de ratificación realizado el 31 de julio de 1973)</w:t>
            </w:r>
          </w:p>
        </w:tc>
      </w:tr>
    </w:tbl>
    <w:p w14:paraId="472890AE" w14:textId="1D47C2B6" w:rsidR="00E10040" w:rsidRPr="00321502" w:rsidRDefault="00E10040" w:rsidP="00F7470E">
      <w:pPr>
        <w:pStyle w:val="ListParagraph"/>
        <w:numPr>
          <w:ilvl w:val="0"/>
          <w:numId w:val="16"/>
        </w:numPr>
        <w:spacing w:before="120" w:after="120"/>
        <w:ind w:left="0" w:firstLine="720"/>
        <w:jc w:val="both"/>
        <w:rPr>
          <w:b/>
          <w:bCs/>
          <w:sz w:val="20"/>
          <w:szCs w:val="20"/>
          <w:lang w:val="es-VE"/>
        </w:rPr>
      </w:pPr>
      <w:r w:rsidRPr="00321502">
        <w:rPr>
          <w:b/>
          <w:bCs/>
          <w:sz w:val="20"/>
          <w:szCs w:val="20"/>
          <w:lang w:val="es-VE"/>
        </w:rPr>
        <w:t>DUPLICACIÓN</w:t>
      </w:r>
      <w:r w:rsidRPr="00321502">
        <w:rPr>
          <w:b/>
          <w:bCs/>
          <w:color w:val="FFFFFF" w:themeColor="background1"/>
          <w:sz w:val="20"/>
          <w:szCs w:val="20"/>
          <w:lang w:val="es-VE"/>
        </w:rPr>
        <w:t xml:space="preserve"> </w:t>
      </w:r>
      <w:r w:rsidRPr="00321502">
        <w:rPr>
          <w:b/>
          <w:bCs/>
          <w:sz w:val="20"/>
          <w:szCs w:val="20"/>
          <w:lang w:val="es-VE"/>
        </w:rPr>
        <w:t>DE PROCEDIMIENTOS Y COSA JUZGADA</w:t>
      </w:r>
      <w:r w:rsidRPr="00321502">
        <w:rPr>
          <w:b/>
          <w:bCs/>
          <w:i/>
          <w:sz w:val="20"/>
          <w:szCs w:val="20"/>
          <w:lang w:val="es-VE"/>
        </w:rPr>
        <w:t xml:space="preserve"> </w:t>
      </w:r>
      <w:r w:rsidRPr="00321502">
        <w:rPr>
          <w:b/>
          <w:bCs/>
          <w:sz w:val="20"/>
          <w:szCs w:val="20"/>
          <w:lang w:val="es-VE"/>
        </w:rPr>
        <w:t xml:space="preserve">INTERNACIONAL CARACTERIZACIÓN, </w:t>
      </w:r>
      <w:r w:rsidRPr="00321502">
        <w:rPr>
          <w:b/>
          <w:sz w:val="20"/>
          <w:szCs w:val="20"/>
          <w:lang w:val="es-VE"/>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10040" w:rsidRPr="00D247A2" w14:paraId="10DAFB6F" w14:textId="77777777" w:rsidTr="00321502">
        <w:trPr>
          <w:cantSplit/>
        </w:trPr>
        <w:tc>
          <w:tcPr>
            <w:tcW w:w="3566" w:type="dxa"/>
            <w:tcBorders>
              <w:top w:val="single" w:sz="4" w:space="0" w:color="auto"/>
              <w:bottom w:val="single" w:sz="6" w:space="0" w:color="auto"/>
            </w:tcBorders>
            <w:shd w:val="clear" w:color="auto" w:fill="386294"/>
            <w:vAlign w:val="center"/>
          </w:tcPr>
          <w:p w14:paraId="7A434BE2"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Duplicación de procedimientos y cosa juzgada internacional:</w:t>
            </w:r>
          </w:p>
        </w:tc>
        <w:tc>
          <w:tcPr>
            <w:tcW w:w="5771" w:type="dxa"/>
            <w:vAlign w:val="center"/>
          </w:tcPr>
          <w:p w14:paraId="02C313CB" w14:textId="6325C1C0" w:rsidR="00E10040" w:rsidRPr="00321502" w:rsidRDefault="00434827" w:rsidP="00321502">
            <w:pPr>
              <w:jc w:val="both"/>
              <w:rPr>
                <w:rFonts w:ascii="Cambria" w:hAnsi="Cambria"/>
                <w:bCs/>
                <w:sz w:val="20"/>
                <w:szCs w:val="20"/>
                <w:lang w:val="es-VE"/>
              </w:rPr>
            </w:pPr>
            <w:r w:rsidRPr="00321502">
              <w:rPr>
                <w:rFonts w:ascii="Cambria" w:hAnsi="Cambria"/>
                <w:bCs/>
                <w:sz w:val="20"/>
                <w:szCs w:val="20"/>
                <w:lang w:val="es-VE"/>
              </w:rPr>
              <w:t>Sí, en los términos de la Sección VI</w:t>
            </w:r>
          </w:p>
        </w:tc>
      </w:tr>
      <w:tr w:rsidR="00E10040" w:rsidRPr="00321502" w14:paraId="3CD13DD0" w14:textId="77777777" w:rsidTr="00321502">
        <w:trPr>
          <w:cantSplit/>
        </w:trPr>
        <w:tc>
          <w:tcPr>
            <w:tcW w:w="3566" w:type="dxa"/>
            <w:tcBorders>
              <w:top w:val="single" w:sz="4" w:space="0" w:color="auto"/>
              <w:bottom w:val="single" w:sz="6" w:space="0" w:color="auto"/>
            </w:tcBorders>
            <w:shd w:val="clear" w:color="auto" w:fill="386294"/>
            <w:vAlign w:val="center"/>
          </w:tcPr>
          <w:p w14:paraId="3BEC9D01" w14:textId="77777777" w:rsidR="00E10040" w:rsidRPr="00321502" w:rsidRDefault="00E10040" w:rsidP="00321502">
            <w:pPr>
              <w:jc w:val="center"/>
              <w:rPr>
                <w:rFonts w:ascii="Cambria" w:hAnsi="Cambria"/>
                <w:b/>
                <w:bCs/>
                <w:i/>
                <w:color w:val="FFFFFF" w:themeColor="background1"/>
                <w:sz w:val="20"/>
                <w:szCs w:val="20"/>
                <w:lang w:val="es-VE"/>
              </w:rPr>
            </w:pPr>
            <w:r w:rsidRPr="00321502">
              <w:rPr>
                <w:rFonts w:ascii="Cambria" w:hAnsi="Cambria"/>
                <w:b/>
                <w:bCs/>
                <w:color w:val="FFFFFF" w:themeColor="background1"/>
                <w:sz w:val="20"/>
                <w:szCs w:val="20"/>
                <w:lang w:val="es-VE"/>
              </w:rPr>
              <w:t>Derechos declarados admisibles</w:t>
            </w:r>
            <w:r w:rsidRPr="00321502">
              <w:rPr>
                <w:rFonts w:ascii="Cambria" w:hAnsi="Cambria"/>
                <w:b/>
                <w:bCs/>
                <w:i/>
                <w:color w:val="FFFFFF" w:themeColor="background1"/>
                <w:sz w:val="20"/>
                <w:szCs w:val="20"/>
                <w:lang w:val="es-VE"/>
              </w:rPr>
              <w:t>:</w:t>
            </w:r>
          </w:p>
        </w:tc>
        <w:tc>
          <w:tcPr>
            <w:tcW w:w="5771" w:type="dxa"/>
            <w:vAlign w:val="center"/>
          </w:tcPr>
          <w:p w14:paraId="7F500B5F" w14:textId="28B6703A" w:rsidR="00E10040" w:rsidRPr="00321502" w:rsidRDefault="00321502" w:rsidP="00321502">
            <w:pPr>
              <w:jc w:val="both"/>
              <w:rPr>
                <w:rFonts w:ascii="Cambria" w:hAnsi="Cambria"/>
                <w:bCs/>
                <w:sz w:val="20"/>
                <w:szCs w:val="20"/>
                <w:lang w:val="es-VE"/>
              </w:rPr>
            </w:pPr>
            <w:r w:rsidRPr="00321502">
              <w:rPr>
                <w:rFonts w:ascii="Cambria" w:hAnsi="Cambria"/>
                <w:bCs/>
                <w:sz w:val="20"/>
                <w:szCs w:val="20"/>
                <w:lang w:val="es-VE"/>
              </w:rPr>
              <w:t>No aplica</w:t>
            </w:r>
          </w:p>
        </w:tc>
      </w:tr>
      <w:tr w:rsidR="00E10040" w:rsidRPr="00321502" w14:paraId="135E8DBF" w14:textId="77777777" w:rsidTr="00321502">
        <w:trPr>
          <w:cantSplit/>
        </w:trPr>
        <w:tc>
          <w:tcPr>
            <w:tcW w:w="3566" w:type="dxa"/>
            <w:tcBorders>
              <w:top w:val="single" w:sz="6" w:space="0" w:color="auto"/>
              <w:bottom w:val="single" w:sz="6" w:space="0" w:color="auto"/>
            </w:tcBorders>
            <w:shd w:val="clear" w:color="auto" w:fill="386294"/>
            <w:vAlign w:val="center"/>
          </w:tcPr>
          <w:p w14:paraId="423D299B"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Agotamiento de recursos internos o procedencia de una excepción:</w:t>
            </w:r>
          </w:p>
        </w:tc>
        <w:tc>
          <w:tcPr>
            <w:tcW w:w="5771" w:type="dxa"/>
            <w:vAlign w:val="center"/>
          </w:tcPr>
          <w:p w14:paraId="3F71FF5E" w14:textId="5AF99680" w:rsidR="00E10040" w:rsidRPr="00321502" w:rsidRDefault="00434827" w:rsidP="00321502">
            <w:pPr>
              <w:rPr>
                <w:rFonts w:ascii="Cambria" w:hAnsi="Cambria"/>
                <w:bCs/>
                <w:sz w:val="20"/>
                <w:szCs w:val="20"/>
                <w:lang w:val="es-VE"/>
              </w:rPr>
            </w:pPr>
            <w:r w:rsidRPr="00321502">
              <w:rPr>
                <w:rFonts w:ascii="Cambria" w:hAnsi="Cambria"/>
                <w:bCs/>
                <w:sz w:val="20"/>
                <w:szCs w:val="20"/>
                <w:lang w:val="es-VE"/>
              </w:rPr>
              <w:t>No aplica</w:t>
            </w:r>
          </w:p>
        </w:tc>
      </w:tr>
      <w:tr w:rsidR="00E10040" w:rsidRPr="00321502" w14:paraId="3584D459" w14:textId="77777777" w:rsidTr="00321502">
        <w:trPr>
          <w:cantSplit/>
        </w:trPr>
        <w:tc>
          <w:tcPr>
            <w:tcW w:w="3566" w:type="dxa"/>
            <w:tcBorders>
              <w:top w:val="single" w:sz="6" w:space="0" w:color="auto"/>
              <w:bottom w:val="single" w:sz="6" w:space="0" w:color="auto"/>
            </w:tcBorders>
            <w:shd w:val="clear" w:color="auto" w:fill="386294"/>
            <w:vAlign w:val="center"/>
          </w:tcPr>
          <w:p w14:paraId="2D708EA3" w14:textId="77777777" w:rsidR="00E10040" w:rsidRPr="00321502" w:rsidRDefault="00E10040" w:rsidP="00321502">
            <w:pPr>
              <w:jc w:val="center"/>
              <w:rPr>
                <w:rFonts w:ascii="Cambria" w:hAnsi="Cambria"/>
                <w:b/>
                <w:bCs/>
                <w:color w:val="FFFFFF" w:themeColor="background1"/>
                <w:sz w:val="20"/>
                <w:szCs w:val="20"/>
                <w:lang w:val="es-VE"/>
              </w:rPr>
            </w:pPr>
            <w:r w:rsidRPr="00321502">
              <w:rPr>
                <w:rFonts w:ascii="Cambria" w:hAnsi="Cambria"/>
                <w:b/>
                <w:bCs/>
                <w:color w:val="FFFFFF" w:themeColor="background1"/>
                <w:sz w:val="20"/>
                <w:szCs w:val="20"/>
                <w:lang w:val="es-VE"/>
              </w:rPr>
              <w:t>Presentación dentro de plazo:</w:t>
            </w:r>
          </w:p>
        </w:tc>
        <w:tc>
          <w:tcPr>
            <w:tcW w:w="5771" w:type="dxa"/>
            <w:vAlign w:val="center"/>
          </w:tcPr>
          <w:p w14:paraId="521CCA2C" w14:textId="17A9644E" w:rsidR="00E10040" w:rsidRPr="00321502" w:rsidRDefault="00434827" w:rsidP="00321502">
            <w:pPr>
              <w:rPr>
                <w:rFonts w:ascii="Cambria" w:hAnsi="Cambria"/>
                <w:bCs/>
                <w:sz w:val="20"/>
                <w:szCs w:val="20"/>
                <w:lang w:val="es-VE"/>
              </w:rPr>
            </w:pPr>
            <w:r w:rsidRPr="00321502">
              <w:rPr>
                <w:rFonts w:ascii="Cambria" w:hAnsi="Cambria"/>
                <w:bCs/>
                <w:sz w:val="20"/>
                <w:szCs w:val="20"/>
                <w:lang w:val="es-VE"/>
              </w:rPr>
              <w:t>No aplica</w:t>
            </w:r>
          </w:p>
        </w:tc>
      </w:tr>
    </w:tbl>
    <w:p w14:paraId="43D3366B" w14:textId="608EA1B3" w:rsidR="00E10040" w:rsidRPr="001A6499" w:rsidRDefault="00321502" w:rsidP="00F7470E">
      <w:pPr>
        <w:pStyle w:val="ListParagraph"/>
        <w:numPr>
          <w:ilvl w:val="0"/>
          <w:numId w:val="16"/>
        </w:numPr>
        <w:spacing w:before="120" w:after="120"/>
        <w:ind w:left="0" w:firstLine="720"/>
        <w:jc w:val="both"/>
        <w:rPr>
          <w:b/>
          <w:sz w:val="20"/>
          <w:szCs w:val="20"/>
          <w:lang w:val="es-ES_tradnl"/>
        </w:rPr>
      </w:pPr>
      <w:r w:rsidRPr="001A6499">
        <w:rPr>
          <w:b/>
          <w:sz w:val="20"/>
          <w:szCs w:val="20"/>
          <w:lang w:val="es-ES_tradnl"/>
        </w:rPr>
        <w:t>POSICIÓN DE LAS PARTES</w:t>
      </w:r>
      <w:r w:rsidR="00E10040" w:rsidRPr="001A6499">
        <w:rPr>
          <w:b/>
          <w:sz w:val="20"/>
          <w:szCs w:val="20"/>
          <w:lang w:val="es-ES_tradnl"/>
        </w:rPr>
        <w:t xml:space="preserve"> </w:t>
      </w:r>
    </w:p>
    <w:p w14:paraId="094504EA" w14:textId="4520F861" w:rsidR="00337AC7" w:rsidRPr="001A6499" w:rsidRDefault="00C8543E"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A6499">
        <w:rPr>
          <w:color w:val="auto"/>
          <w:sz w:val="20"/>
          <w:szCs w:val="20"/>
          <w:lang w:val="es-ES_tradnl"/>
        </w:rPr>
        <w:t xml:space="preserve">La </w:t>
      </w:r>
      <w:r w:rsidR="000C4F3D" w:rsidRPr="001A6499">
        <w:rPr>
          <w:color w:val="auto"/>
          <w:sz w:val="20"/>
          <w:szCs w:val="20"/>
          <w:lang w:val="es-ES_tradnl"/>
        </w:rPr>
        <w:t xml:space="preserve">parte peticionaria </w:t>
      </w:r>
      <w:r w:rsidR="00324701" w:rsidRPr="001A6499">
        <w:rPr>
          <w:color w:val="auto"/>
          <w:sz w:val="20"/>
          <w:szCs w:val="20"/>
          <w:lang w:val="es-ES_tradnl"/>
        </w:rPr>
        <w:t xml:space="preserve">alega la responsabilidad internacional del Estado </w:t>
      </w:r>
      <w:r w:rsidR="00812009" w:rsidRPr="001A6499">
        <w:rPr>
          <w:color w:val="auto"/>
          <w:sz w:val="20"/>
          <w:szCs w:val="20"/>
          <w:lang w:val="es-ES_tradnl"/>
        </w:rPr>
        <w:t>por</w:t>
      </w:r>
      <w:r w:rsidR="00621D9D" w:rsidRPr="001A6499">
        <w:rPr>
          <w:color w:val="auto"/>
          <w:sz w:val="20"/>
          <w:szCs w:val="20"/>
          <w:lang w:val="es-ES_tradnl"/>
        </w:rPr>
        <w:t xml:space="preserve"> las lesiones sufridas</w:t>
      </w:r>
      <w:r w:rsidR="00FC755B" w:rsidRPr="001A6499">
        <w:rPr>
          <w:color w:val="auto"/>
          <w:sz w:val="20"/>
          <w:szCs w:val="20"/>
          <w:lang w:val="es-ES_tradnl"/>
        </w:rPr>
        <w:t xml:space="preserve"> por las presuntas víctimas</w:t>
      </w:r>
      <w:r w:rsidR="00621D9D" w:rsidRPr="001A6499">
        <w:rPr>
          <w:color w:val="auto"/>
          <w:sz w:val="20"/>
          <w:szCs w:val="20"/>
          <w:lang w:val="es-ES_tradnl"/>
        </w:rPr>
        <w:t xml:space="preserve"> </w:t>
      </w:r>
      <w:bookmarkStart w:id="2" w:name="_Hlk108617775"/>
      <w:r w:rsidR="00621D9D" w:rsidRPr="001A6499">
        <w:rPr>
          <w:color w:val="auto"/>
          <w:sz w:val="20"/>
          <w:szCs w:val="20"/>
          <w:lang w:val="es-ES_tradnl"/>
        </w:rPr>
        <w:t>William de Jesús Ortiz Giraldo; Deyner Andrés Guerra Tuberquia</w:t>
      </w:r>
      <w:r w:rsidR="00621D9D" w:rsidRPr="001A6499">
        <w:rPr>
          <w:rStyle w:val="FootnoteReference"/>
          <w:color w:val="auto"/>
          <w:sz w:val="20"/>
          <w:szCs w:val="20"/>
          <w:lang w:val="es-ES_tradnl"/>
        </w:rPr>
        <w:footnoteReference w:id="5"/>
      </w:r>
      <w:r w:rsidR="00621D9D" w:rsidRPr="001A6499">
        <w:rPr>
          <w:color w:val="auto"/>
          <w:sz w:val="20"/>
          <w:szCs w:val="20"/>
          <w:lang w:val="es-ES_tradnl"/>
        </w:rPr>
        <w:t xml:space="preserve">, </w:t>
      </w:r>
      <w:r w:rsidR="00FC755B" w:rsidRPr="001A6499">
        <w:rPr>
          <w:color w:val="auto"/>
          <w:sz w:val="20"/>
          <w:szCs w:val="20"/>
          <w:lang w:val="es-ES_tradnl"/>
        </w:rPr>
        <w:t xml:space="preserve">un niño </w:t>
      </w:r>
      <w:r w:rsidR="00621D9D" w:rsidRPr="001A6499">
        <w:rPr>
          <w:color w:val="auto"/>
          <w:sz w:val="20"/>
          <w:szCs w:val="20"/>
          <w:lang w:val="es-ES_tradnl"/>
        </w:rPr>
        <w:lastRenderedPageBreak/>
        <w:t xml:space="preserve">de </w:t>
      </w:r>
      <w:r w:rsidR="00321502" w:rsidRPr="001A6499">
        <w:rPr>
          <w:color w:val="auto"/>
          <w:sz w:val="20"/>
          <w:szCs w:val="20"/>
          <w:lang w:val="es-ES_tradnl"/>
        </w:rPr>
        <w:t>DIEZ</w:t>
      </w:r>
      <w:r w:rsidR="00621D9D" w:rsidRPr="001A6499">
        <w:rPr>
          <w:color w:val="auto"/>
          <w:sz w:val="20"/>
          <w:szCs w:val="20"/>
          <w:lang w:val="es-ES_tradnl"/>
        </w:rPr>
        <w:t xml:space="preserve"> años; Luz Enith Tuberquia Valderrama y Luz Elena Torres López</w:t>
      </w:r>
      <w:bookmarkEnd w:id="2"/>
      <w:r w:rsidR="00621D9D" w:rsidRPr="001A6499">
        <w:rPr>
          <w:color w:val="auto"/>
          <w:sz w:val="20"/>
          <w:szCs w:val="20"/>
          <w:lang w:val="es-ES_tradnl"/>
        </w:rPr>
        <w:t xml:space="preserve">, </w:t>
      </w:r>
      <w:r w:rsidR="00FC755B" w:rsidRPr="001A6499">
        <w:rPr>
          <w:color w:val="auto"/>
          <w:sz w:val="20"/>
          <w:szCs w:val="20"/>
          <w:lang w:val="es-ES_tradnl"/>
        </w:rPr>
        <w:t xml:space="preserve">una joven </w:t>
      </w:r>
      <w:r w:rsidR="00621D9D" w:rsidRPr="001A6499">
        <w:rPr>
          <w:color w:val="auto"/>
          <w:sz w:val="20"/>
          <w:szCs w:val="20"/>
          <w:lang w:val="es-ES_tradnl"/>
        </w:rPr>
        <w:t>de 16 años</w:t>
      </w:r>
      <w:r w:rsidR="00162585" w:rsidRPr="001A6499">
        <w:rPr>
          <w:color w:val="auto"/>
          <w:sz w:val="20"/>
          <w:szCs w:val="20"/>
          <w:lang w:val="es-ES_tradnl"/>
        </w:rPr>
        <w:t xml:space="preserve">; </w:t>
      </w:r>
      <w:r w:rsidR="00621D9D" w:rsidRPr="001A6499">
        <w:rPr>
          <w:color w:val="auto"/>
          <w:sz w:val="20"/>
          <w:szCs w:val="20"/>
          <w:lang w:val="es-ES_tradnl"/>
        </w:rPr>
        <w:t xml:space="preserve">a raíz de </w:t>
      </w:r>
      <w:r w:rsidR="00FC755B" w:rsidRPr="001A6499">
        <w:rPr>
          <w:color w:val="auto"/>
          <w:sz w:val="20"/>
          <w:szCs w:val="20"/>
          <w:lang w:val="es-ES_tradnl"/>
        </w:rPr>
        <w:t xml:space="preserve">una </w:t>
      </w:r>
      <w:r w:rsidR="007F4D70" w:rsidRPr="001A6499">
        <w:rPr>
          <w:color w:val="auto"/>
          <w:sz w:val="20"/>
          <w:szCs w:val="20"/>
          <w:lang w:val="es-ES_tradnl"/>
        </w:rPr>
        <w:t xml:space="preserve">explosión </w:t>
      </w:r>
      <w:bookmarkStart w:id="3" w:name="_Hlk108622470"/>
      <w:r w:rsidR="007F4D70" w:rsidRPr="001A6499">
        <w:rPr>
          <w:color w:val="auto"/>
          <w:sz w:val="20"/>
          <w:szCs w:val="20"/>
          <w:lang w:val="es-ES_tradnl"/>
        </w:rPr>
        <w:t>en el corregimiento de San José de Apartadó</w:t>
      </w:r>
      <w:bookmarkEnd w:id="3"/>
      <w:r w:rsidR="000C4F3D" w:rsidRPr="001A6499">
        <w:rPr>
          <w:color w:val="auto"/>
          <w:sz w:val="20"/>
          <w:szCs w:val="20"/>
          <w:lang w:val="es-ES_tradnl"/>
        </w:rPr>
        <w:t>.</w:t>
      </w:r>
      <w:r w:rsidR="003D5B9F" w:rsidRPr="001A6499">
        <w:rPr>
          <w:color w:val="auto"/>
          <w:sz w:val="20"/>
          <w:szCs w:val="20"/>
          <w:lang w:val="es-ES_tradnl"/>
        </w:rPr>
        <w:t xml:space="preserve"> </w:t>
      </w:r>
      <w:r w:rsidR="00704DFE" w:rsidRPr="001A6499">
        <w:rPr>
          <w:color w:val="auto"/>
          <w:sz w:val="20"/>
          <w:szCs w:val="20"/>
          <w:lang w:val="es-ES_tradnl"/>
        </w:rPr>
        <w:t>Al respecto, l</w:t>
      </w:r>
      <w:r w:rsidR="000C4F3D" w:rsidRPr="001A6499">
        <w:rPr>
          <w:color w:val="auto"/>
          <w:sz w:val="20"/>
          <w:szCs w:val="20"/>
          <w:lang w:val="es-ES_tradnl"/>
        </w:rPr>
        <w:t>a</w:t>
      </w:r>
      <w:r w:rsidR="00E01DDA" w:rsidRPr="001A6499">
        <w:rPr>
          <w:color w:val="auto"/>
          <w:sz w:val="20"/>
          <w:szCs w:val="20"/>
          <w:lang w:val="es-ES_tradnl"/>
        </w:rPr>
        <w:t xml:space="preserve"> parte peticionaria</w:t>
      </w:r>
      <w:r w:rsidR="003D5B9F" w:rsidRPr="001A6499">
        <w:rPr>
          <w:color w:val="auto"/>
          <w:sz w:val="20"/>
          <w:szCs w:val="20"/>
          <w:lang w:val="es-ES_tradnl"/>
        </w:rPr>
        <w:t xml:space="preserve"> </w:t>
      </w:r>
      <w:r w:rsidR="00BE02F4" w:rsidRPr="001A6499">
        <w:rPr>
          <w:color w:val="auto"/>
          <w:sz w:val="20"/>
          <w:szCs w:val="20"/>
          <w:lang w:val="es-ES_tradnl"/>
        </w:rPr>
        <w:t xml:space="preserve">alega </w:t>
      </w:r>
      <w:r w:rsidR="00401D97" w:rsidRPr="001A6499">
        <w:rPr>
          <w:color w:val="auto"/>
          <w:sz w:val="20"/>
          <w:szCs w:val="20"/>
          <w:lang w:val="es-ES_tradnl"/>
        </w:rPr>
        <w:t>la omisión de</w:t>
      </w:r>
      <w:r w:rsidR="00324701" w:rsidRPr="001A6499">
        <w:rPr>
          <w:color w:val="auto"/>
          <w:sz w:val="20"/>
          <w:szCs w:val="20"/>
          <w:lang w:val="es-ES_tradnl"/>
        </w:rPr>
        <w:t xml:space="preserve"> </w:t>
      </w:r>
      <w:r w:rsidR="007C4588" w:rsidRPr="001A6499">
        <w:rPr>
          <w:color w:val="auto"/>
          <w:sz w:val="20"/>
          <w:szCs w:val="20"/>
          <w:lang w:val="es-ES_tradnl"/>
        </w:rPr>
        <w:t>la Defensoría del Pueblo</w:t>
      </w:r>
      <w:r w:rsidR="00401D97" w:rsidRPr="001A6499">
        <w:rPr>
          <w:sz w:val="20"/>
          <w:szCs w:val="20"/>
          <w:lang w:val="es-ES_tradnl"/>
        </w:rPr>
        <w:t>- Seccional de Apartadó</w:t>
      </w:r>
      <w:r w:rsidR="009F3DAD" w:rsidRPr="001A6499">
        <w:rPr>
          <w:color w:val="auto"/>
          <w:sz w:val="20"/>
          <w:szCs w:val="20"/>
          <w:lang w:val="es-ES_tradnl"/>
        </w:rPr>
        <w:t xml:space="preserve"> </w:t>
      </w:r>
      <w:r w:rsidR="00C57C86" w:rsidRPr="001A6499">
        <w:rPr>
          <w:color w:val="auto"/>
          <w:sz w:val="20"/>
          <w:szCs w:val="20"/>
          <w:lang w:val="es-ES_tradnl"/>
        </w:rPr>
        <w:t>y la Brigada VIII del Ejército Nacional</w:t>
      </w:r>
      <w:r w:rsidR="00E01DDA" w:rsidRPr="001A6499">
        <w:rPr>
          <w:color w:val="auto"/>
          <w:sz w:val="20"/>
          <w:szCs w:val="20"/>
          <w:lang w:val="es-ES_tradnl"/>
        </w:rPr>
        <w:t xml:space="preserve"> </w:t>
      </w:r>
      <w:r w:rsidR="00401D97" w:rsidRPr="001A6499">
        <w:rPr>
          <w:color w:val="auto"/>
          <w:sz w:val="20"/>
          <w:szCs w:val="20"/>
          <w:lang w:val="es-ES_tradnl"/>
        </w:rPr>
        <w:t xml:space="preserve">en </w:t>
      </w:r>
      <w:r w:rsidR="00E01DDA" w:rsidRPr="001A6499">
        <w:rPr>
          <w:color w:val="auto"/>
          <w:sz w:val="20"/>
          <w:szCs w:val="20"/>
          <w:lang w:val="es-ES_tradnl"/>
        </w:rPr>
        <w:t>toma</w:t>
      </w:r>
      <w:r w:rsidR="000C4F3D" w:rsidRPr="001A6499">
        <w:rPr>
          <w:color w:val="auto"/>
          <w:sz w:val="20"/>
          <w:szCs w:val="20"/>
          <w:lang w:val="es-ES_tradnl"/>
        </w:rPr>
        <w:t>r</w:t>
      </w:r>
      <w:r w:rsidR="00401D97" w:rsidRPr="001A6499">
        <w:rPr>
          <w:color w:val="auto"/>
          <w:sz w:val="20"/>
          <w:szCs w:val="20"/>
          <w:lang w:val="es-ES_tradnl"/>
        </w:rPr>
        <w:t xml:space="preserve"> </w:t>
      </w:r>
      <w:r w:rsidR="000A0592" w:rsidRPr="001A6499">
        <w:rPr>
          <w:color w:val="auto"/>
          <w:sz w:val="20"/>
          <w:szCs w:val="20"/>
          <w:lang w:val="es-ES_tradnl"/>
        </w:rPr>
        <w:t xml:space="preserve">acciones positivas </w:t>
      </w:r>
      <w:r w:rsidR="00401D97" w:rsidRPr="001A6499">
        <w:rPr>
          <w:color w:val="auto"/>
          <w:sz w:val="20"/>
          <w:szCs w:val="20"/>
          <w:lang w:val="es-ES_tradnl"/>
        </w:rPr>
        <w:t xml:space="preserve">para </w:t>
      </w:r>
      <w:r w:rsidR="000A0592" w:rsidRPr="001A6499">
        <w:rPr>
          <w:color w:val="auto"/>
          <w:sz w:val="20"/>
          <w:szCs w:val="20"/>
          <w:lang w:val="es-ES_tradnl"/>
        </w:rPr>
        <w:t>garantizar los derechos de</w:t>
      </w:r>
      <w:r w:rsidR="00401D97" w:rsidRPr="001A6499">
        <w:rPr>
          <w:color w:val="auto"/>
          <w:sz w:val="20"/>
          <w:szCs w:val="20"/>
          <w:lang w:val="es-ES_tradnl"/>
        </w:rPr>
        <w:t xml:space="preserve"> las presuntas víctimas y de</w:t>
      </w:r>
      <w:r w:rsidR="000A0592" w:rsidRPr="001A6499">
        <w:rPr>
          <w:color w:val="auto"/>
          <w:sz w:val="20"/>
          <w:szCs w:val="20"/>
          <w:lang w:val="es-ES_tradnl"/>
        </w:rPr>
        <w:t xml:space="preserve"> la </w:t>
      </w:r>
      <w:r w:rsidR="009033E7" w:rsidRPr="001A6499">
        <w:rPr>
          <w:color w:val="auto"/>
          <w:sz w:val="20"/>
          <w:szCs w:val="20"/>
          <w:lang w:val="es-ES_tradnl"/>
        </w:rPr>
        <w:t>c</w:t>
      </w:r>
      <w:r w:rsidR="000A0592" w:rsidRPr="001A6499">
        <w:rPr>
          <w:color w:val="auto"/>
          <w:sz w:val="20"/>
          <w:szCs w:val="20"/>
          <w:lang w:val="es-ES_tradnl"/>
        </w:rPr>
        <w:t>omunidad</w:t>
      </w:r>
      <w:r w:rsidR="008B2D91" w:rsidRPr="001A6499">
        <w:rPr>
          <w:color w:val="auto"/>
          <w:sz w:val="20"/>
          <w:szCs w:val="20"/>
          <w:lang w:val="es-ES_tradnl"/>
        </w:rPr>
        <w:t>.</w:t>
      </w:r>
      <w:r w:rsidR="00E01DDA" w:rsidRPr="001A6499">
        <w:rPr>
          <w:color w:val="auto"/>
          <w:sz w:val="20"/>
          <w:szCs w:val="20"/>
          <w:lang w:val="es-ES_tradnl"/>
        </w:rPr>
        <w:t xml:space="preserve"> </w:t>
      </w:r>
    </w:p>
    <w:p w14:paraId="1CFD1065" w14:textId="18552A7F" w:rsidR="00E01292" w:rsidRPr="001A6499" w:rsidRDefault="00401D97"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A6499">
        <w:rPr>
          <w:sz w:val="20"/>
          <w:szCs w:val="20"/>
          <w:lang w:val="es-ES_tradnl"/>
        </w:rPr>
        <w:t>La parte peticionaria describe</w:t>
      </w:r>
      <w:r w:rsidR="008B2D91" w:rsidRPr="001A6499">
        <w:rPr>
          <w:sz w:val="20"/>
          <w:szCs w:val="20"/>
          <w:lang w:val="es-ES_tradnl"/>
        </w:rPr>
        <w:t xml:space="preserve"> </w:t>
      </w:r>
      <w:r w:rsidR="00E30B6A" w:rsidRPr="001A6499">
        <w:rPr>
          <w:sz w:val="20"/>
          <w:szCs w:val="20"/>
          <w:lang w:val="es-ES_tradnl"/>
        </w:rPr>
        <w:t>–</w:t>
      </w:r>
      <w:r w:rsidR="008B2D91" w:rsidRPr="001A6499">
        <w:rPr>
          <w:sz w:val="20"/>
          <w:szCs w:val="20"/>
          <w:lang w:val="es-ES_tradnl"/>
        </w:rPr>
        <w:t>sin dar mayor detalle</w:t>
      </w:r>
      <w:r w:rsidR="00E30B6A" w:rsidRPr="001A6499">
        <w:rPr>
          <w:sz w:val="20"/>
          <w:szCs w:val="20"/>
          <w:lang w:val="es-ES_tradnl"/>
        </w:rPr>
        <w:t>–</w:t>
      </w:r>
      <w:r w:rsidRPr="001A6499">
        <w:rPr>
          <w:sz w:val="20"/>
          <w:szCs w:val="20"/>
          <w:lang w:val="es-ES_tradnl"/>
        </w:rPr>
        <w:t xml:space="preserve"> que la mañana del </w:t>
      </w:r>
      <w:bookmarkStart w:id="4" w:name="_Hlk108617928"/>
      <w:r w:rsidRPr="001A6499">
        <w:rPr>
          <w:sz w:val="20"/>
          <w:szCs w:val="20"/>
          <w:lang w:val="es-ES_tradnl"/>
        </w:rPr>
        <w:t xml:space="preserve">11 de agosto de 2004 </w:t>
      </w:r>
      <w:bookmarkEnd w:id="4"/>
      <w:r w:rsidRPr="001A6499">
        <w:rPr>
          <w:sz w:val="20"/>
          <w:szCs w:val="20"/>
          <w:lang w:val="es-ES_tradnl"/>
        </w:rPr>
        <w:t xml:space="preserve">un artefacto explotó de manera sorpresiva en </w:t>
      </w:r>
      <w:r w:rsidR="004B60E5" w:rsidRPr="001A6499">
        <w:rPr>
          <w:sz w:val="20"/>
          <w:szCs w:val="20"/>
          <w:lang w:val="es-ES_tradnl"/>
        </w:rPr>
        <w:t xml:space="preserve">la </w:t>
      </w:r>
      <w:r w:rsidRPr="001A6499">
        <w:rPr>
          <w:sz w:val="20"/>
          <w:szCs w:val="20"/>
          <w:lang w:val="es-ES_tradnl"/>
        </w:rPr>
        <w:t xml:space="preserve">vivienda ocupada por Luz Tuberquia Valderrama, su hijo Deyner Guerra Tuberquia, Luz Torres López </w:t>
      </w:r>
      <w:r w:rsidR="00E01292" w:rsidRPr="001A6499">
        <w:rPr>
          <w:sz w:val="20"/>
          <w:szCs w:val="20"/>
          <w:lang w:val="es-ES_tradnl"/>
        </w:rPr>
        <w:t xml:space="preserve">y </w:t>
      </w:r>
      <w:r w:rsidRPr="001A6499">
        <w:rPr>
          <w:sz w:val="20"/>
          <w:szCs w:val="20"/>
          <w:lang w:val="es-ES_tradnl"/>
        </w:rPr>
        <w:t xml:space="preserve">su vecino William de Jesús Ortiz Giraldo. </w:t>
      </w:r>
      <w:r w:rsidR="00085E40" w:rsidRPr="001A6499">
        <w:rPr>
          <w:sz w:val="20"/>
          <w:szCs w:val="20"/>
          <w:lang w:val="es-ES_tradnl"/>
        </w:rPr>
        <w:t>En tal sentido, d</w:t>
      </w:r>
      <w:r w:rsidR="008B2D91" w:rsidRPr="001A6499">
        <w:rPr>
          <w:sz w:val="20"/>
          <w:szCs w:val="20"/>
          <w:lang w:val="es-ES_tradnl"/>
        </w:rPr>
        <w:t>estaca concisamente que l</w:t>
      </w:r>
      <w:r w:rsidRPr="001A6499">
        <w:rPr>
          <w:color w:val="auto"/>
          <w:sz w:val="20"/>
          <w:szCs w:val="20"/>
          <w:lang w:val="es-ES_tradnl"/>
        </w:rPr>
        <w:t xml:space="preserve">as presuntas víctimas fueron trasladadas </w:t>
      </w:r>
      <w:r w:rsidR="00E01292" w:rsidRPr="001A6499">
        <w:rPr>
          <w:color w:val="auto"/>
          <w:sz w:val="20"/>
          <w:szCs w:val="20"/>
          <w:lang w:val="es-ES_tradnl"/>
        </w:rPr>
        <w:t xml:space="preserve">inmediatamente </w:t>
      </w:r>
      <w:r w:rsidRPr="001A6499">
        <w:rPr>
          <w:color w:val="auto"/>
          <w:sz w:val="20"/>
          <w:szCs w:val="20"/>
          <w:lang w:val="es-ES_tradnl"/>
        </w:rPr>
        <w:t xml:space="preserve">al Hospital Antonio Roldan Betancourt por sus lesiones </w:t>
      </w:r>
      <w:r w:rsidR="00E01292" w:rsidRPr="001A6499">
        <w:rPr>
          <w:color w:val="auto"/>
          <w:sz w:val="20"/>
          <w:szCs w:val="20"/>
          <w:lang w:val="es-ES_tradnl"/>
        </w:rPr>
        <w:t xml:space="preserve">sin embargo </w:t>
      </w:r>
      <w:r w:rsidRPr="001A6499">
        <w:rPr>
          <w:color w:val="auto"/>
          <w:sz w:val="20"/>
          <w:szCs w:val="20"/>
          <w:lang w:val="es-ES_tradnl"/>
        </w:rPr>
        <w:t>Luz Tuberquia y Luz Torres</w:t>
      </w:r>
      <w:r w:rsidR="004B60E5" w:rsidRPr="001A6499">
        <w:rPr>
          <w:color w:val="auto"/>
          <w:sz w:val="20"/>
          <w:szCs w:val="20"/>
          <w:lang w:val="es-ES_tradnl"/>
        </w:rPr>
        <w:t xml:space="preserve"> fallecieron días después</w:t>
      </w:r>
      <w:r w:rsidRPr="001A6499">
        <w:rPr>
          <w:color w:val="auto"/>
          <w:sz w:val="20"/>
          <w:szCs w:val="20"/>
          <w:lang w:val="es-ES_tradnl"/>
        </w:rPr>
        <w:t xml:space="preserve">. </w:t>
      </w:r>
    </w:p>
    <w:p w14:paraId="7461BC4E" w14:textId="164BF9A5" w:rsidR="00E01292" w:rsidRPr="001A6499" w:rsidRDefault="008B2D91"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color w:val="auto"/>
          <w:sz w:val="20"/>
          <w:szCs w:val="20"/>
          <w:lang w:val="es-ES_tradnl"/>
        </w:rPr>
        <w:t>E</w:t>
      </w:r>
      <w:r w:rsidR="00401D97" w:rsidRPr="001A6499">
        <w:rPr>
          <w:color w:val="auto"/>
          <w:sz w:val="20"/>
          <w:szCs w:val="20"/>
          <w:lang w:val="es-ES_tradnl"/>
        </w:rPr>
        <w:t>xplica que e</w:t>
      </w:r>
      <w:r w:rsidR="004815C0" w:rsidRPr="001A6499">
        <w:rPr>
          <w:color w:val="auto"/>
          <w:sz w:val="20"/>
          <w:szCs w:val="20"/>
          <w:lang w:val="es-ES_tradnl"/>
        </w:rPr>
        <w:t>l</w:t>
      </w:r>
      <w:r w:rsidR="00BE02F4" w:rsidRPr="001A6499">
        <w:rPr>
          <w:color w:val="auto"/>
          <w:sz w:val="20"/>
          <w:szCs w:val="20"/>
          <w:lang w:val="es-ES_tradnl"/>
        </w:rPr>
        <w:t xml:space="preserve"> artefacto había sido abandonado el</w:t>
      </w:r>
      <w:r w:rsidR="004815C0" w:rsidRPr="001A6499">
        <w:rPr>
          <w:color w:val="auto"/>
          <w:sz w:val="20"/>
          <w:szCs w:val="20"/>
          <w:lang w:val="es-ES_tradnl"/>
        </w:rPr>
        <w:t xml:space="preserve"> 3 de marzo de</w:t>
      </w:r>
      <w:r w:rsidR="00BE02F4" w:rsidRPr="001A6499">
        <w:rPr>
          <w:color w:val="auto"/>
          <w:sz w:val="20"/>
          <w:szCs w:val="20"/>
          <w:lang w:val="es-ES_tradnl"/>
        </w:rPr>
        <w:t>l mismo año</w:t>
      </w:r>
      <w:r w:rsidR="00FB121F" w:rsidRPr="001A6499">
        <w:rPr>
          <w:color w:val="auto"/>
          <w:sz w:val="20"/>
          <w:szCs w:val="20"/>
          <w:lang w:val="es-ES_tradnl"/>
        </w:rPr>
        <w:t>,</w:t>
      </w:r>
      <w:r w:rsidR="00734E25" w:rsidRPr="001A6499">
        <w:rPr>
          <w:color w:val="auto"/>
          <w:sz w:val="20"/>
          <w:szCs w:val="20"/>
          <w:lang w:val="es-ES_tradnl"/>
        </w:rPr>
        <w:t xml:space="preserve"> durante </w:t>
      </w:r>
      <w:r w:rsidR="004815C0" w:rsidRPr="001A6499">
        <w:rPr>
          <w:color w:val="auto"/>
          <w:sz w:val="20"/>
          <w:szCs w:val="20"/>
          <w:lang w:val="es-ES_tradnl"/>
        </w:rPr>
        <w:t xml:space="preserve">operativos realizados en las veredas de La Unión y Arenas, </w:t>
      </w:r>
      <w:r w:rsidR="00BE02F4" w:rsidRPr="001A6499">
        <w:rPr>
          <w:color w:val="auto"/>
          <w:sz w:val="20"/>
          <w:szCs w:val="20"/>
          <w:lang w:val="es-ES_tradnl"/>
        </w:rPr>
        <w:t xml:space="preserve">por </w:t>
      </w:r>
      <w:r w:rsidR="00DE27BD" w:rsidRPr="001A6499">
        <w:rPr>
          <w:color w:val="auto"/>
          <w:sz w:val="20"/>
          <w:szCs w:val="20"/>
          <w:lang w:val="es-ES_tradnl"/>
        </w:rPr>
        <w:t xml:space="preserve">miembros </w:t>
      </w:r>
      <w:r w:rsidR="001E2598" w:rsidRPr="001A6499">
        <w:rPr>
          <w:color w:val="auto"/>
          <w:sz w:val="20"/>
          <w:szCs w:val="20"/>
          <w:lang w:val="es-ES_tradnl"/>
        </w:rPr>
        <w:t xml:space="preserve">de </w:t>
      </w:r>
      <w:r w:rsidR="004815C0" w:rsidRPr="001A6499">
        <w:rPr>
          <w:color w:val="auto"/>
          <w:sz w:val="20"/>
          <w:szCs w:val="20"/>
          <w:lang w:val="es-ES_tradnl"/>
        </w:rPr>
        <w:t xml:space="preserve">la </w:t>
      </w:r>
      <w:r w:rsidR="00DE27BD" w:rsidRPr="001A6499">
        <w:rPr>
          <w:color w:val="auto"/>
          <w:sz w:val="20"/>
          <w:szCs w:val="20"/>
          <w:lang w:val="es-ES_tradnl"/>
        </w:rPr>
        <w:t>B</w:t>
      </w:r>
      <w:r w:rsidR="004815C0" w:rsidRPr="001A6499">
        <w:rPr>
          <w:color w:val="auto"/>
          <w:sz w:val="20"/>
          <w:szCs w:val="20"/>
          <w:lang w:val="es-ES_tradnl"/>
        </w:rPr>
        <w:t xml:space="preserve">rigada XVII </w:t>
      </w:r>
      <w:r w:rsidR="008E490D" w:rsidRPr="001A6499">
        <w:rPr>
          <w:color w:val="auto"/>
          <w:sz w:val="20"/>
          <w:szCs w:val="20"/>
          <w:lang w:val="es-ES_tradnl"/>
        </w:rPr>
        <w:t xml:space="preserve">del Ejército Nacional </w:t>
      </w:r>
      <w:r w:rsidR="003C4402" w:rsidRPr="001A6499">
        <w:rPr>
          <w:color w:val="auto"/>
          <w:sz w:val="20"/>
          <w:szCs w:val="20"/>
          <w:lang w:val="es-ES_tradnl"/>
        </w:rPr>
        <w:t xml:space="preserve">con el propósito de incriminar a los habitantes </w:t>
      </w:r>
      <w:r w:rsidR="00640240" w:rsidRPr="001A6499">
        <w:rPr>
          <w:color w:val="auto"/>
          <w:sz w:val="20"/>
          <w:szCs w:val="20"/>
          <w:lang w:val="es-ES_tradnl"/>
        </w:rPr>
        <w:t xml:space="preserve">de la </w:t>
      </w:r>
      <w:r w:rsidR="009033E7" w:rsidRPr="001A6499">
        <w:rPr>
          <w:color w:val="auto"/>
          <w:sz w:val="20"/>
          <w:szCs w:val="20"/>
          <w:lang w:val="es-ES_tradnl"/>
        </w:rPr>
        <w:t>c</w:t>
      </w:r>
      <w:r w:rsidR="00640240" w:rsidRPr="001A6499">
        <w:rPr>
          <w:color w:val="auto"/>
          <w:sz w:val="20"/>
          <w:szCs w:val="20"/>
          <w:lang w:val="es-ES_tradnl"/>
        </w:rPr>
        <w:t xml:space="preserve">omunidad de </w:t>
      </w:r>
      <w:r w:rsidR="009033E7" w:rsidRPr="001A6499">
        <w:rPr>
          <w:color w:val="auto"/>
          <w:sz w:val="20"/>
          <w:szCs w:val="20"/>
          <w:lang w:val="es-ES_tradnl"/>
        </w:rPr>
        <w:t>p</w:t>
      </w:r>
      <w:r w:rsidR="00640240" w:rsidRPr="001A6499">
        <w:rPr>
          <w:color w:val="auto"/>
          <w:sz w:val="20"/>
          <w:szCs w:val="20"/>
          <w:lang w:val="es-ES_tradnl"/>
        </w:rPr>
        <w:t xml:space="preserve">az de San José de Apartadó </w:t>
      </w:r>
      <w:r w:rsidR="00C57C86" w:rsidRPr="001A6499">
        <w:rPr>
          <w:color w:val="auto"/>
          <w:sz w:val="20"/>
          <w:szCs w:val="20"/>
          <w:lang w:val="es-ES_tradnl"/>
        </w:rPr>
        <w:t xml:space="preserve">por el </w:t>
      </w:r>
      <w:r w:rsidR="003C4402" w:rsidRPr="001A6499">
        <w:rPr>
          <w:color w:val="auto"/>
          <w:sz w:val="20"/>
          <w:szCs w:val="20"/>
          <w:lang w:val="es-ES_tradnl"/>
        </w:rPr>
        <w:t>porte de armas</w:t>
      </w:r>
      <w:r w:rsidR="009815EB" w:rsidRPr="001A6499">
        <w:rPr>
          <w:color w:val="auto"/>
          <w:sz w:val="20"/>
          <w:szCs w:val="20"/>
          <w:lang w:val="es-ES_tradnl"/>
        </w:rPr>
        <w:t xml:space="preserve"> </w:t>
      </w:r>
      <w:r w:rsidR="00C57C86" w:rsidRPr="001A6499">
        <w:rPr>
          <w:color w:val="auto"/>
          <w:sz w:val="20"/>
          <w:szCs w:val="20"/>
          <w:lang w:val="es-ES_tradnl"/>
        </w:rPr>
        <w:t xml:space="preserve">exclusivas del Estado </w:t>
      </w:r>
      <w:r w:rsidR="009815EB" w:rsidRPr="001A6499">
        <w:rPr>
          <w:color w:val="auto"/>
          <w:sz w:val="20"/>
          <w:szCs w:val="20"/>
          <w:lang w:val="es-ES_tradnl"/>
        </w:rPr>
        <w:t>y</w:t>
      </w:r>
      <w:r w:rsidR="00FB121F" w:rsidRPr="001A6499">
        <w:rPr>
          <w:color w:val="auto"/>
          <w:sz w:val="20"/>
          <w:szCs w:val="20"/>
          <w:lang w:val="es-ES_tradnl"/>
        </w:rPr>
        <w:t>,</w:t>
      </w:r>
      <w:r w:rsidR="009815EB" w:rsidRPr="001A6499">
        <w:rPr>
          <w:color w:val="auto"/>
          <w:sz w:val="20"/>
          <w:szCs w:val="20"/>
          <w:lang w:val="es-ES_tradnl"/>
        </w:rPr>
        <w:t xml:space="preserve"> de esta manera</w:t>
      </w:r>
      <w:r w:rsidR="00FB121F" w:rsidRPr="001A6499">
        <w:rPr>
          <w:color w:val="auto"/>
          <w:sz w:val="20"/>
          <w:szCs w:val="20"/>
          <w:lang w:val="es-ES_tradnl"/>
        </w:rPr>
        <w:t>,</w:t>
      </w:r>
      <w:r w:rsidR="009815EB" w:rsidRPr="001A6499">
        <w:rPr>
          <w:color w:val="auto"/>
          <w:sz w:val="20"/>
          <w:szCs w:val="20"/>
          <w:lang w:val="es-ES_tradnl"/>
        </w:rPr>
        <w:t xml:space="preserve"> vincularlos a actividades relacionadas con grupos guerrilleros en la región</w:t>
      </w:r>
      <w:r w:rsidR="004815C0" w:rsidRPr="001A6499">
        <w:rPr>
          <w:color w:val="auto"/>
          <w:sz w:val="20"/>
          <w:szCs w:val="20"/>
          <w:lang w:val="es-ES_tradnl"/>
        </w:rPr>
        <w:t xml:space="preserve">. </w:t>
      </w:r>
      <w:r w:rsidR="00BE02F4" w:rsidRPr="001A6499">
        <w:rPr>
          <w:color w:val="auto"/>
          <w:sz w:val="20"/>
          <w:szCs w:val="20"/>
          <w:lang w:val="es-ES_tradnl"/>
        </w:rPr>
        <w:t xml:space="preserve">No obstante, </w:t>
      </w:r>
      <w:r w:rsidRPr="001A6499">
        <w:rPr>
          <w:color w:val="auto"/>
          <w:sz w:val="20"/>
          <w:szCs w:val="20"/>
          <w:lang w:val="es-ES_tradnl"/>
        </w:rPr>
        <w:t xml:space="preserve">miembros de la comunidad lo encontraron el </w:t>
      </w:r>
      <w:r w:rsidR="00B54398" w:rsidRPr="001A6499">
        <w:rPr>
          <w:sz w:val="20"/>
          <w:szCs w:val="20"/>
          <w:lang w:val="es-ES_tradnl"/>
        </w:rPr>
        <w:t>11 de marzo de 2004</w:t>
      </w:r>
      <w:r w:rsidR="00193E84" w:rsidRPr="001A6499">
        <w:rPr>
          <w:sz w:val="20"/>
          <w:szCs w:val="20"/>
          <w:lang w:val="es-ES_tradnl"/>
        </w:rPr>
        <w:t>,</w:t>
      </w:r>
      <w:r w:rsidR="00DE27BD" w:rsidRPr="001A6499">
        <w:rPr>
          <w:sz w:val="20"/>
          <w:szCs w:val="20"/>
          <w:lang w:val="es-ES_tradnl"/>
        </w:rPr>
        <w:t xml:space="preserve"> </w:t>
      </w:r>
      <w:r w:rsidRPr="001A6499">
        <w:rPr>
          <w:sz w:val="20"/>
          <w:szCs w:val="20"/>
          <w:lang w:val="es-ES_tradnl"/>
        </w:rPr>
        <w:t xml:space="preserve">y </w:t>
      </w:r>
      <w:r w:rsidR="00BE02F4" w:rsidRPr="001A6499">
        <w:rPr>
          <w:sz w:val="20"/>
          <w:szCs w:val="20"/>
          <w:lang w:val="es-ES_tradnl"/>
        </w:rPr>
        <w:t xml:space="preserve">lo </w:t>
      </w:r>
      <w:r w:rsidR="00DE27BD" w:rsidRPr="001A6499">
        <w:rPr>
          <w:sz w:val="20"/>
          <w:szCs w:val="20"/>
          <w:lang w:val="es-ES_tradnl"/>
        </w:rPr>
        <w:t xml:space="preserve">trasladaron </w:t>
      </w:r>
      <w:r w:rsidR="004815C0" w:rsidRPr="001A6499">
        <w:rPr>
          <w:sz w:val="20"/>
          <w:szCs w:val="20"/>
          <w:lang w:val="es-ES_tradnl"/>
        </w:rPr>
        <w:t>para denunciar su existencia y entregarlo a las autoridades</w:t>
      </w:r>
      <w:r w:rsidR="00220297" w:rsidRPr="001A6499">
        <w:rPr>
          <w:sz w:val="20"/>
          <w:szCs w:val="20"/>
          <w:lang w:val="es-ES_tradnl"/>
        </w:rPr>
        <w:t xml:space="preserve"> </w:t>
      </w:r>
      <w:r w:rsidR="009033E7" w:rsidRPr="001A6499">
        <w:rPr>
          <w:sz w:val="20"/>
          <w:szCs w:val="20"/>
          <w:lang w:val="es-ES_tradnl"/>
        </w:rPr>
        <w:t>por vía</w:t>
      </w:r>
      <w:r w:rsidR="00220297" w:rsidRPr="001A6499">
        <w:rPr>
          <w:sz w:val="20"/>
          <w:szCs w:val="20"/>
          <w:lang w:val="es-ES_tradnl"/>
        </w:rPr>
        <w:t xml:space="preserve"> de la Defensoría del Pueblo</w:t>
      </w:r>
      <w:r w:rsidR="009033E7" w:rsidRPr="001A6499">
        <w:rPr>
          <w:sz w:val="20"/>
          <w:szCs w:val="20"/>
          <w:lang w:val="es-ES_tradnl"/>
        </w:rPr>
        <w:t>- Seccional de Apartadó</w:t>
      </w:r>
      <w:r w:rsidR="004815C0" w:rsidRPr="001A6499">
        <w:rPr>
          <w:sz w:val="20"/>
          <w:szCs w:val="20"/>
          <w:lang w:val="es-ES_tradnl"/>
        </w:rPr>
        <w:t xml:space="preserve">. </w:t>
      </w:r>
      <w:r w:rsidR="00FB121F" w:rsidRPr="001A6499">
        <w:rPr>
          <w:sz w:val="20"/>
          <w:szCs w:val="20"/>
          <w:lang w:val="es-ES_tradnl"/>
        </w:rPr>
        <w:t xml:space="preserve">Según la parte </w:t>
      </w:r>
      <w:r w:rsidR="008E490D" w:rsidRPr="001A6499">
        <w:rPr>
          <w:sz w:val="20"/>
          <w:szCs w:val="20"/>
          <w:lang w:val="es-ES_tradnl"/>
        </w:rPr>
        <w:t>peticionaria</w:t>
      </w:r>
      <w:r w:rsidR="00D2746C" w:rsidRPr="001A6499">
        <w:rPr>
          <w:sz w:val="20"/>
          <w:szCs w:val="20"/>
          <w:lang w:val="es-ES_tradnl"/>
        </w:rPr>
        <w:t>,</w:t>
      </w:r>
      <w:r w:rsidR="00085E40" w:rsidRPr="001A6499">
        <w:rPr>
          <w:sz w:val="20"/>
          <w:szCs w:val="20"/>
          <w:lang w:val="es-ES_tradnl"/>
        </w:rPr>
        <w:t xml:space="preserve"> en dicha oportunidad</w:t>
      </w:r>
      <w:r w:rsidR="004815C0" w:rsidRPr="001A6499">
        <w:rPr>
          <w:sz w:val="20"/>
          <w:szCs w:val="20"/>
          <w:lang w:val="es-ES_tradnl"/>
        </w:rPr>
        <w:t xml:space="preserve"> </w:t>
      </w:r>
      <w:r w:rsidR="008E490D" w:rsidRPr="001A6499">
        <w:rPr>
          <w:sz w:val="20"/>
          <w:szCs w:val="20"/>
          <w:lang w:val="es-ES_tradnl"/>
        </w:rPr>
        <w:t xml:space="preserve">el </w:t>
      </w:r>
      <w:r w:rsidR="00FB121F" w:rsidRPr="001A6499">
        <w:rPr>
          <w:sz w:val="20"/>
          <w:szCs w:val="20"/>
          <w:lang w:val="es-ES_tradnl"/>
        </w:rPr>
        <w:t>D</w:t>
      </w:r>
      <w:r w:rsidR="008E490D" w:rsidRPr="001A6499">
        <w:rPr>
          <w:sz w:val="20"/>
          <w:szCs w:val="20"/>
          <w:lang w:val="es-ES_tradnl"/>
        </w:rPr>
        <w:t xml:space="preserve">efensor del </w:t>
      </w:r>
      <w:r w:rsidR="00FB121F" w:rsidRPr="001A6499">
        <w:rPr>
          <w:sz w:val="20"/>
          <w:szCs w:val="20"/>
          <w:lang w:val="es-ES_tradnl"/>
        </w:rPr>
        <w:t>P</w:t>
      </w:r>
      <w:r w:rsidR="008E490D" w:rsidRPr="001A6499">
        <w:rPr>
          <w:sz w:val="20"/>
          <w:szCs w:val="20"/>
          <w:lang w:val="es-ES_tradnl"/>
        </w:rPr>
        <w:t>ueblo</w:t>
      </w:r>
      <w:r w:rsidR="00E30B6A" w:rsidRPr="001A6499">
        <w:rPr>
          <w:sz w:val="20"/>
          <w:szCs w:val="20"/>
          <w:lang w:val="es-ES_tradnl"/>
        </w:rPr>
        <w:t xml:space="preserve"> </w:t>
      </w:r>
      <w:r w:rsidRPr="001A6499">
        <w:rPr>
          <w:sz w:val="20"/>
          <w:szCs w:val="20"/>
          <w:lang w:val="es-ES_tradnl"/>
        </w:rPr>
        <w:t>- Seccional de Apartadó,</w:t>
      </w:r>
      <w:r w:rsidR="008E490D" w:rsidRPr="001A6499">
        <w:rPr>
          <w:sz w:val="20"/>
          <w:szCs w:val="20"/>
          <w:lang w:val="es-ES_tradnl"/>
        </w:rPr>
        <w:t xml:space="preserve"> se </w:t>
      </w:r>
      <w:r w:rsidR="004815C0" w:rsidRPr="001A6499">
        <w:rPr>
          <w:sz w:val="20"/>
          <w:szCs w:val="20"/>
          <w:lang w:val="es-ES_tradnl"/>
        </w:rPr>
        <w:t>comunic</w:t>
      </w:r>
      <w:r w:rsidR="008E490D" w:rsidRPr="001A6499">
        <w:rPr>
          <w:sz w:val="20"/>
          <w:szCs w:val="20"/>
          <w:lang w:val="es-ES_tradnl"/>
        </w:rPr>
        <w:t>ó</w:t>
      </w:r>
      <w:r w:rsidR="004815C0" w:rsidRPr="001A6499">
        <w:rPr>
          <w:sz w:val="20"/>
          <w:szCs w:val="20"/>
          <w:lang w:val="es-ES_tradnl"/>
        </w:rPr>
        <w:t xml:space="preserve"> </w:t>
      </w:r>
      <w:r w:rsidR="008E490D" w:rsidRPr="001A6499">
        <w:rPr>
          <w:sz w:val="20"/>
          <w:szCs w:val="20"/>
          <w:lang w:val="es-ES_tradnl"/>
        </w:rPr>
        <w:t xml:space="preserve">con </w:t>
      </w:r>
      <w:r w:rsidR="00FB121F" w:rsidRPr="001A6499">
        <w:rPr>
          <w:sz w:val="20"/>
          <w:szCs w:val="20"/>
          <w:lang w:val="es-ES_tradnl"/>
        </w:rPr>
        <w:t xml:space="preserve">integrantes </w:t>
      </w:r>
      <w:r w:rsidR="004815C0" w:rsidRPr="001A6499">
        <w:rPr>
          <w:sz w:val="20"/>
          <w:szCs w:val="20"/>
          <w:lang w:val="es-ES_tradnl"/>
        </w:rPr>
        <w:t xml:space="preserve">del </w:t>
      </w:r>
      <w:r w:rsidR="00F14ED8" w:rsidRPr="001A6499">
        <w:rPr>
          <w:sz w:val="20"/>
          <w:szCs w:val="20"/>
          <w:lang w:val="es-ES_tradnl"/>
        </w:rPr>
        <w:t>Ejército</w:t>
      </w:r>
      <w:r w:rsidR="004815C0" w:rsidRPr="001A6499">
        <w:rPr>
          <w:sz w:val="20"/>
          <w:szCs w:val="20"/>
          <w:lang w:val="es-ES_tradnl"/>
        </w:rPr>
        <w:t xml:space="preserve"> Nacional </w:t>
      </w:r>
      <w:r w:rsidR="00C9076A" w:rsidRPr="001A6499">
        <w:rPr>
          <w:sz w:val="20"/>
          <w:szCs w:val="20"/>
          <w:lang w:val="es-ES_tradnl"/>
        </w:rPr>
        <w:t xml:space="preserve">para solicitar </w:t>
      </w:r>
      <w:r w:rsidRPr="001A6499">
        <w:rPr>
          <w:sz w:val="20"/>
          <w:szCs w:val="20"/>
          <w:lang w:val="es-ES_tradnl"/>
        </w:rPr>
        <w:t>el</w:t>
      </w:r>
      <w:r w:rsidR="00C9076A" w:rsidRPr="001A6499">
        <w:rPr>
          <w:sz w:val="20"/>
          <w:szCs w:val="20"/>
          <w:lang w:val="es-ES_tradnl"/>
        </w:rPr>
        <w:t xml:space="preserve"> </w:t>
      </w:r>
      <w:r w:rsidR="008E490D" w:rsidRPr="001A6499">
        <w:rPr>
          <w:sz w:val="20"/>
          <w:szCs w:val="20"/>
          <w:lang w:val="es-ES_tradnl"/>
        </w:rPr>
        <w:t>retiro</w:t>
      </w:r>
      <w:r w:rsidRPr="001A6499">
        <w:rPr>
          <w:sz w:val="20"/>
          <w:szCs w:val="20"/>
          <w:lang w:val="es-ES_tradnl"/>
        </w:rPr>
        <w:t xml:space="preserve"> de dicho objeto</w:t>
      </w:r>
      <w:r w:rsidR="00085E40" w:rsidRPr="001A6499">
        <w:rPr>
          <w:sz w:val="20"/>
          <w:szCs w:val="20"/>
          <w:lang w:val="es-ES_tradnl"/>
        </w:rPr>
        <w:t xml:space="preserve"> enviando además </w:t>
      </w:r>
      <w:r w:rsidRPr="001A6499">
        <w:rPr>
          <w:sz w:val="20"/>
          <w:szCs w:val="20"/>
          <w:lang w:val="es-ES_tradnl"/>
        </w:rPr>
        <w:t>varia</w:t>
      </w:r>
      <w:r w:rsidR="008E490D" w:rsidRPr="001A6499">
        <w:rPr>
          <w:sz w:val="20"/>
          <w:szCs w:val="20"/>
          <w:lang w:val="es-ES_tradnl"/>
        </w:rPr>
        <w:t xml:space="preserve">s fotografías a la </w:t>
      </w:r>
      <w:r w:rsidR="004815C0" w:rsidRPr="001A6499">
        <w:rPr>
          <w:sz w:val="20"/>
          <w:szCs w:val="20"/>
          <w:lang w:val="es-ES_tradnl"/>
        </w:rPr>
        <w:t xml:space="preserve">Brigada XVII para </w:t>
      </w:r>
      <w:r w:rsidR="00C9076A" w:rsidRPr="001A6499">
        <w:rPr>
          <w:sz w:val="20"/>
          <w:szCs w:val="20"/>
          <w:lang w:val="es-ES_tradnl"/>
        </w:rPr>
        <w:t xml:space="preserve">su </w:t>
      </w:r>
      <w:r w:rsidR="00F14ED8" w:rsidRPr="001A6499">
        <w:rPr>
          <w:sz w:val="20"/>
          <w:szCs w:val="20"/>
          <w:lang w:val="es-ES_tradnl"/>
        </w:rPr>
        <w:t>análisis</w:t>
      </w:r>
      <w:r w:rsidRPr="001A6499">
        <w:rPr>
          <w:sz w:val="20"/>
          <w:szCs w:val="20"/>
          <w:lang w:val="es-ES_tradnl"/>
        </w:rPr>
        <w:t xml:space="preserve">. Al recibirlas, </w:t>
      </w:r>
      <w:r w:rsidR="00C9076A" w:rsidRPr="001A6499">
        <w:rPr>
          <w:sz w:val="20"/>
          <w:szCs w:val="20"/>
          <w:lang w:val="es-ES_tradnl"/>
        </w:rPr>
        <w:t>l</w:t>
      </w:r>
      <w:r w:rsidR="004815C0" w:rsidRPr="001A6499">
        <w:rPr>
          <w:sz w:val="20"/>
          <w:szCs w:val="20"/>
          <w:lang w:val="es-ES_tradnl"/>
        </w:rPr>
        <w:t>as autoridades del Ej</w:t>
      </w:r>
      <w:r w:rsidR="008E490D" w:rsidRPr="001A6499">
        <w:rPr>
          <w:sz w:val="20"/>
          <w:szCs w:val="20"/>
          <w:lang w:val="es-ES_tradnl"/>
        </w:rPr>
        <w:t>é</w:t>
      </w:r>
      <w:r w:rsidR="004815C0" w:rsidRPr="001A6499">
        <w:rPr>
          <w:sz w:val="20"/>
          <w:szCs w:val="20"/>
          <w:lang w:val="es-ES_tradnl"/>
        </w:rPr>
        <w:t>rcito</w:t>
      </w:r>
      <w:r w:rsidR="00C9076A" w:rsidRPr="001A6499">
        <w:rPr>
          <w:sz w:val="20"/>
          <w:szCs w:val="20"/>
          <w:lang w:val="es-ES_tradnl"/>
        </w:rPr>
        <w:t xml:space="preserve"> </w:t>
      </w:r>
      <w:r w:rsidR="00832B64" w:rsidRPr="001A6499">
        <w:rPr>
          <w:sz w:val="20"/>
          <w:szCs w:val="20"/>
          <w:lang w:val="es-ES_tradnl"/>
        </w:rPr>
        <w:t xml:space="preserve">explicaron que se trataba de una </w:t>
      </w:r>
      <w:r w:rsidR="004815C0" w:rsidRPr="001A6499">
        <w:rPr>
          <w:sz w:val="20"/>
          <w:szCs w:val="20"/>
          <w:lang w:val="es-ES_tradnl"/>
        </w:rPr>
        <w:t>bomba de gas</w:t>
      </w:r>
      <w:r w:rsidR="00FB121F" w:rsidRPr="001A6499">
        <w:rPr>
          <w:sz w:val="20"/>
          <w:szCs w:val="20"/>
          <w:lang w:val="es-ES_tradnl"/>
        </w:rPr>
        <w:t xml:space="preserve"> </w:t>
      </w:r>
      <w:r w:rsidR="00FB121F" w:rsidRPr="001A6499">
        <w:rPr>
          <w:rFonts w:eastAsiaTheme="minorHAnsi" w:cs="PalatinoLinotype"/>
          <w:sz w:val="20"/>
          <w:szCs w:val="20"/>
          <w:bdr w:val="none" w:sz="0" w:space="0" w:color="auto"/>
          <w:lang w:val="es-ES_tradnl"/>
        </w:rPr>
        <w:t xml:space="preserve">utilizada </w:t>
      </w:r>
      <w:r w:rsidR="00704DFE" w:rsidRPr="001A6499">
        <w:rPr>
          <w:rFonts w:eastAsiaTheme="minorHAnsi" w:cs="PalatinoLinotype"/>
          <w:sz w:val="20"/>
          <w:szCs w:val="20"/>
          <w:bdr w:val="none" w:sz="0" w:space="0" w:color="auto"/>
          <w:lang w:val="es-ES_tradnl"/>
        </w:rPr>
        <w:t xml:space="preserve">para </w:t>
      </w:r>
      <w:r w:rsidR="00FB121F" w:rsidRPr="001A6499">
        <w:rPr>
          <w:rFonts w:eastAsiaTheme="minorHAnsi" w:cs="PalatinoLinotype"/>
          <w:sz w:val="20"/>
          <w:szCs w:val="20"/>
          <w:bdr w:val="none" w:sz="0" w:space="0" w:color="auto"/>
          <w:lang w:val="es-ES_tradnl"/>
        </w:rPr>
        <w:t>llamar la atención de los helicópteros y</w:t>
      </w:r>
      <w:r w:rsidR="003421A0" w:rsidRPr="001A6499">
        <w:rPr>
          <w:rFonts w:eastAsiaTheme="minorHAnsi" w:cs="PalatinoLinotype"/>
          <w:sz w:val="20"/>
          <w:szCs w:val="20"/>
          <w:bdr w:val="none" w:sz="0" w:space="0" w:color="auto"/>
          <w:lang w:val="es-ES_tradnl"/>
        </w:rPr>
        <w:t>,</w:t>
      </w:r>
      <w:r w:rsidR="00FB121F" w:rsidRPr="001A6499">
        <w:rPr>
          <w:rFonts w:eastAsiaTheme="minorHAnsi" w:cs="PalatinoLinotype"/>
          <w:sz w:val="20"/>
          <w:szCs w:val="20"/>
          <w:bdr w:val="none" w:sz="0" w:space="0" w:color="auto"/>
          <w:lang w:val="es-ES_tradnl"/>
        </w:rPr>
        <w:t xml:space="preserve"> </w:t>
      </w:r>
      <w:r w:rsidR="00704DFE" w:rsidRPr="001A6499">
        <w:rPr>
          <w:rFonts w:eastAsiaTheme="minorHAnsi" w:cs="PalatinoLinotype"/>
          <w:sz w:val="20"/>
          <w:szCs w:val="20"/>
          <w:bdr w:val="none" w:sz="0" w:space="0" w:color="auto"/>
          <w:lang w:val="es-ES_tradnl"/>
        </w:rPr>
        <w:t xml:space="preserve">por tanto, </w:t>
      </w:r>
      <w:r w:rsidR="004815C0" w:rsidRPr="001A6499">
        <w:rPr>
          <w:sz w:val="20"/>
          <w:szCs w:val="20"/>
          <w:lang w:val="es-ES_tradnl"/>
        </w:rPr>
        <w:t xml:space="preserve">no representaba </w:t>
      </w:r>
      <w:r w:rsidR="00704DFE" w:rsidRPr="001A6499">
        <w:rPr>
          <w:sz w:val="20"/>
          <w:szCs w:val="20"/>
          <w:lang w:val="es-ES_tradnl"/>
        </w:rPr>
        <w:t xml:space="preserve">un </w:t>
      </w:r>
      <w:r w:rsidR="004815C0" w:rsidRPr="001A6499">
        <w:rPr>
          <w:sz w:val="20"/>
          <w:szCs w:val="20"/>
          <w:lang w:val="es-ES_tradnl"/>
        </w:rPr>
        <w:t>peligro.</w:t>
      </w:r>
      <w:r w:rsidR="00D2746C" w:rsidRPr="001A6499">
        <w:rPr>
          <w:sz w:val="20"/>
          <w:szCs w:val="20"/>
          <w:lang w:val="es-ES_tradnl"/>
        </w:rPr>
        <w:t xml:space="preserve"> </w:t>
      </w:r>
      <w:r w:rsidR="00085E40" w:rsidRPr="001A6499">
        <w:rPr>
          <w:sz w:val="20"/>
          <w:szCs w:val="20"/>
          <w:lang w:val="es-ES_tradnl"/>
        </w:rPr>
        <w:t>Así, a</w:t>
      </w:r>
      <w:r w:rsidR="003421A0" w:rsidRPr="001A6499">
        <w:rPr>
          <w:sz w:val="20"/>
          <w:szCs w:val="20"/>
          <w:lang w:val="es-ES_tradnl"/>
        </w:rPr>
        <w:t xml:space="preserve">nte la inocuidad del artefacto, </w:t>
      </w:r>
      <w:r w:rsidR="00085E40" w:rsidRPr="001A6499">
        <w:rPr>
          <w:sz w:val="20"/>
          <w:szCs w:val="20"/>
          <w:lang w:val="es-ES_tradnl"/>
        </w:rPr>
        <w:t xml:space="preserve">se lo llevó </w:t>
      </w:r>
      <w:r w:rsidR="00EE5AA5" w:rsidRPr="001A6499">
        <w:rPr>
          <w:sz w:val="20"/>
          <w:szCs w:val="20"/>
          <w:lang w:val="es-ES_tradnl"/>
        </w:rPr>
        <w:t xml:space="preserve">uno de los miembros de la comunidad </w:t>
      </w:r>
      <w:r w:rsidR="00085E40" w:rsidRPr="001A6499">
        <w:rPr>
          <w:sz w:val="20"/>
          <w:szCs w:val="20"/>
          <w:lang w:val="es-ES_tradnl"/>
        </w:rPr>
        <w:t>que compartía vivienda con las presuntas víctimas</w:t>
      </w:r>
      <w:r w:rsidR="00EE5AA5" w:rsidRPr="001A6499">
        <w:rPr>
          <w:sz w:val="20"/>
          <w:szCs w:val="20"/>
          <w:lang w:val="es-ES_tradnl"/>
        </w:rPr>
        <w:t xml:space="preserve">. </w:t>
      </w:r>
    </w:p>
    <w:p w14:paraId="52CBE4DF" w14:textId="52EEFBE3" w:rsidR="00DE27BD" w:rsidRPr="001A6499" w:rsidRDefault="00E30B6A"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color w:val="auto"/>
          <w:sz w:val="20"/>
          <w:szCs w:val="20"/>
          <w:lang w:val="es-ES_tradnl"/>
        </w:rPr>
        <w:t>l</w:t>
      </w:r>
      <w:r w:rsidR="008454C8" w:rsidRPr="001A6499">
        <w:rPr>
          <w:color w:val="auto"/>
          <w:sz w:val="20"/>
          <w:szCs w:val="20"/>
          <w:lang w:val="es-ES_tradnl"/>
        </w:rPr>
        <w:t xml:space="preserve">a Fiscalía 7 Especializada de la Unidad Nacional de Derechos Humanos y Derecho Internacional Humanitario </w:t>
      </w:r>
      <w:r w:rsidRPr="001A6499">
        <w:rPr>
          <w:color w:val="auto"/>
          <w:sz w:val="20"/>
          <w:szCs w:val="20"/>
          <w:lang w:val="es-ES_tradnl"/>
        </w:rPr>
        <w:t>abrió</w:t>
      </w:r>
      <w:r w:rsidR="00085E40" w:rsidRPr="001A6499">
        <w:rPr>
          <w:color w:val="auto"/>
          <w:sz w:val="20"/>
          <w:szCs w:val="20"/>
          <w:lang w:val="es-ES_tradnl"/>
        </w:rPr>
        <w:t xml:space="preserve"> </w:t>
      </w:r>
      <w:r w:rsidR="007B07E7" w:rsidRPr="001A6499">
        <w:rPr>
          <w:color w:val="auto"/>
          <w:sz w:val="20"/>
          <w:szCs w:val="20"/>
          <w:lang w:val="es-ES_tradnl"/>
        </w:rPr>
        <w:t>una</w:t>
      </w:r>
      <w:r w:rsidR="00085E40" w:rsidRPr="001A6499">
        <w:rPr>
          <w:color w:val="auto"/>
          <w:sz w:val="20"/>
          <w:szCs w:val="20"/>
          <w:lang w:val="es-ES_tradnl"/>
        </w:rPr>
        <w:t xml:space="preserve"> investigación previa en el marco de la cual tomó la declaración del entonces Defensor del Pueblo</w:t>
      </w:r>
      <w:r w:rsidR="007B07E7" w:rsidRPr="001A6499">
        <w:rPr>
          <w:color w:val="auto"/>
          <w:sz w:val="20"/>
          <w:szCs w:val="20"/>
          <w:lang w:val="es-ES_tradnl"/>
        </w:rPr>
        <w:t xml:space="preserve"> y envió</w:t>
      </w:r>
      <w:r w:rsidR="00085E40" w:rsidRPr="001A6499">
        <w:rPr>
          <w:color w:val="auto"/>
          <w:sz w:val="20"/>
          <w:szCs w:val="20"/>
          <w:lang w:val="es-ES_tradnl"/>
        </w:rPr>
        <w:t xml:space="preserve"> las fotografías </w:t>
      </w:r>
      <w:r w:rsidR="007B07E7" w:rsidRPr="001A6499">
        <w:rPr>
          <w:color w:val="auto"/>
          <w:sz w:val="20"/>
          <w:szCs w:val="20"/>
          <w:lang w:val="es-ES_tradnl"/>
        </w:rPr>
        <w:t xml:space="preserve">tomadas el 11 de marzo de 2004 para ser sometidas </w:t>
      </w:r>
      <w:r w:rsidR="00085E40" w:rsidRPr="001A6499">
        <w:rPr>
          <w:color w:val="auto"/>
          <w:sz w:val="20"/>
          <w:szCs w:val="20"/>
          <w:lang w:val="es-ES_tradnl"/>
        </w:rPr>
        <w:t>a un estudio de técnicos en balística.</w:t>
      </w:r>
      <w:r w:rsidR="007B07E7" w:rsidRPr="001A6499">
        <w:rPr>
          <w:color w:val="auto"/>
          <w:sz w:val="20"/>
          <w:szCs w:val="20"/>
          <w:lang w:val="es-ES_tradnl"/>
        </w:rPr>
        <w:t xml:space="preserve"> Explica que la fiscalía inició una investigación bajo la hipótesis que la explosión había sido causada por un “cilindro de gas domiciliario” </w:t>
      </w:r>
      <w:r w:rsidR="008454C8" w:rsidRPr="001A6499">
        <w:rPr>
          <w:color w:val="auto"/>
          <w:sz w:val="20"/>
          <w:szCs w:val="20"/>
          <w:lang w:val="es-ES_tradnl"/>
        </w:rPr>
        <w:t xml:space="preserve">o </w:t>
      </w:r>
      <w:r w:rsidR="007B07E7" w:rsidRPr="001A6499">
        <w:rPr>
          <w:color w:val="auto"/>
          <w:sz w:val="20"/>
          <w:szCs w:val="20"/>
          <w:lang w:val="es-ES_tradnl"/>
        </w:rPr>
        <w:t>un posible artefacto artesanal de los utilizados por grupos armados al margen de la ley</w:t>
      </w:r>
      <w:r w:rsidR="008454C8" w:rsidRPr="001A6499">
        <w:rPr>
          <w:color w:val="auto"/>
          <w:sz w:val="20"/>
          <w:szCs w:val="20"/>
          <w:lang w:val="es-ES_tradnl"/>
        </w:rPr>
        <w:t>, sin embargo, en virtud de un informe técnico de 13 de septiembre de 2004 se pudo concluir que el artefacto era una ojiva de una granada de fragmentación de fabricación industrial del Estado colombiano, a la que le faltaba la copa protectora</w:t>
      </w:r>
      <w:r w:rsidR="007B07E7" w:rsidRPr="001A6499">
        <w:rPr>
          <w:color w:val="auto"/>
          <w:sz w:val="20"/>
          <w:szCs w:val="20"/>
          <w:lang w:val="es-ES_tradnl"/>
        </w:rPr>
        <w:t xml:space="preserve">. </w:t>
      </w:r>
      <w:r w:rsidR="008454C8" w:rsidRPr="001A6499">
        <w:rPr>
          <w:color w:val="auto"/>
          <w:sz w:val="20"/>
          <w:szCs w:val="20"/>
          <w:lang w:val="es-ES_tradnl"/>
        </w:rPr>
        <w:t>No obstante</w:t>
      </w:r>
      <w:r w:rsidR="007B07E7" w:rsidRPr="001A6499">
        <w:rPr>
          <w:color w:val="auto"/>
          <w:sz w:val="20"/>
          <w:szCs w:val="20"/>
          <w:lang w:val="es-ES_tradnl"/>
        </w:rPr>
        <w:t xml:space="preserve">, la parte peticionaria recalca que </w:t>
      </w:r>
      <w:r w:rsidR="00E01292" w:rsidRPr="001A6499">
        <w:rPr>
          <w:color w:val="auto"/>
          <w:sz w:val="20"/>
          <w:szCs w:val="20"/>
          <w:lang w:val="es-ES_tradnl"/>
        </w:rPr>
        <w:t xml:space="preserve">medios de comunicación, incluyendo todas las emisoras de radio del Departamento de Urabá, difundieron durante una semana la versión aportada por las autoridades de acuerdo con la cual la explosión habría sido causada por una granada de fabricación casera manipulada por cuatro personas en la comunidad, </w:t>
      </w:r>
      <w:r w:rsidR="007B07E7" w:rsidRPr="001A6499">
        <w:rPr>
          <w:color w:val="auto"/>
          <w:sz w:val="20"/>
          <w:szCs w:val="20"/>
          <w:lang w:val="es-ES_tradnl"/>
        </w:rPr>
        <w:t xml:space="preserve">lo cual </w:t>
      </w:r>
      <w:r w:rsidR="00E01292" w:rsidRPr="001A6499">
        <w:rPr>
          <w:color w:val="auto"/>
          <w:sz w:val="20"/>
          <w:szCs w:val="20"/>
          <w:lang w:val="es-ES_tradnl"/>
        </w:rPr>
        <w:t>afect</w:t>
      </w:r>
      <w:r w:rsidR="007B07E7" w:rsidRPr="001A6499">
        <w:rPr>
          <w:color w:val="auto"/>
          <w:sz w:val="20"/>
          <w:szCs w:val="20"/>
          <w:lang w:val="es-ES_tradnl"/>
        </w:rPr>
        <w:t xml:space="preserve">ó gravemente </w:t>
      </w:r>
      <w:r w:rsidR="00E01292" w:rsidRPr="001A6499">
        <w:rPr>
          <w:color w:val="auto"/>
          <w:sz w:val="20"/>
          <w:szCs w:val="20"/>
          <w:lang w:val="es-ES_tradnl"/>
        </w:rPr>
        <w:t xml:space="preserve">la imagen de </w:t>
      </w:r>
      <w:r w:rsidR="007B07E7" w:rsidRPr="001A6499">
        <w:rPr>
          <w:color w:val="auto"/>
          <w:sz w:val="20"/>
          <w:szCs w:val="20"/>
          <w:lang w:val="es-ES_tradnl"/>
        </w:rPr>
        <w:t xml:space="preserve">esta comunidad de paz </w:t>
      </w:r>
      <w:r w:rsidR="00E01292" w:rsidRPr="001A6499">
        <w:rPr>
          <w:color w:val="auto"/>
          <w:sz w:val="20"/>
          <w:szCs w:val="20"/>
          <w:lang w:val="es-ES_tradnl"/>
        </w:rPr>
        <w:t>y significó una mayor carga para los familiares de las presuntas víctimas.</w:t>
      </w:r>
    </w:p>
    <w:p w14:paraId="0611CD19" w14:textId="4B5C054D" w:rsidR="006542EE" w:rsidRPr="001A6499" w:rsidRDefault="008454C8"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A6499">
        <w:rPr>
          <w:color w:val="auto"/>
          <w:sz w:val="20"/>
          <w:szCs w:val="20"/>
          <w:lang w:val="es-ES_tradnl"/>
        </w:rPr>
        <w:t>Indica que l</w:t>
      </w:r>
      <w:r w:rsidR="005D013E" w:rsidRPr="001A6499">
        <w:rPr>
          <w:color w:val="auto"/>
          <w:sz w:val="20"/>
          <w:szCs w:val="20"/>
          <w:lang w:val="es-ES_tradnl"/>
        </w:rPr>
        <w:t>a</w:t>
      </w:r>
      <w:r w:rsidR="00D1736F" w:rsidRPr="001A6499">
        <w:rPr>
          <w:color w:val="auto"/>
          <w:sz w:val="20"/>
          <w:szCs w:val="20"/>
          <w:lang w:val="es-ES_tradnl"/>
        </w:rPr>
        <w:t xml:space="preserve"> Fiscal</w:t>
      </w:r>
      <w:r w:rsidR="004D1A4A" w:rsidRPr="001A6499">
        <w:rPr>
          <w:color w:val="auto"/>
          <w:sz w:val="20"/>
          <w:szCs w:val="20"/>
          <w:lang w:val="es-ES_tradnl"/>
        </w:rPr>
        <w:t>ía</w:t>
      </w:r>
      <w:r w:rsidR="00D1736F" w:rsidRPr="001A6499">
        <w:rPr>
          <w:color w:val="auto"/>
          <w:sz w:val="20"/>
          <w:szCs w:val="20"/>
          <w:lang w:val="es-ES_tradnl"/>
        </w:rPr>
        <w:t xml:space="preserve"> 7 </w:t>
      </w:r>
      <w:r w:rsidR="004D1A4A" w:rsidRPr="001A6499">
        <w:rPr>
          <w:color w:val="auto"/>
          <w:sz w:val="20"/>
          <w:szCs w:val="20"/>
          <w:lang w:val="es-ES_tradnl"/>
        </w:rPr>
        <w:t>E</w:t>
      </w:r>
      <w:r w:rsidR="00D1736F" w:rsidRPr="001A6499">
        <w:rPr>
          <w:color w:val="auto"/>
          <w:sz w:val="20"/>
          <w:szCs w:val="20"/>
          <w:lang w:val="es-ES_tradnl"/>
        </w:rPr>
        <w:t xml:space="preserve">specializada de la </w:t>
      </w:r>
      <w:r w:rsidR="004D1A4A" w:rsidRPr="001A6499">
        <w:rPr>
          <w:color w:val="auto"/>
          <w:sz w:val="20"/>
          <w:szCs w:val="20"/>
          <w:lang w:val="es-ES_tradnl"/>
        </w:rPr>
        <w:t>U</w:t>
      </w:r>
      <w:r w:rsidR="00D1736F" w:rsidRPr="001A6499">
        <w:rPr>
          <w:color w:val="auto"/>
          <w:sz w:val="20"/>
          <w:szCs w:val="20"/>
          <w:lang w:val="es-ES_tradnl"/>
        </w:rPr>
        <w:t xml:space="preserve">nidad </w:t>
      </w:r>
      <w:r w:rsidR="004D1A4A" w:rsidRPr="001A6499">
        <w:rPr>
          <w:color w:val="auto"/>
          <w:sz w:val="20"/>
          <w:szCs w:val="20"/>
          <w:lang w:val="es-ES_tradnl"/>
        </w:rPr>
        <w:t>N</w:t>
      </w:r>
      <w:r w:rsidR="00D1736F" w:rsidRPr="001A6499">
        <w:rPr>
          <w:color w:val="auto"/>
          <w:sz w:val="20"/>
          <w:szCs w:val="20"/>
          <w:lang w:val="es-ES_tradnl"/>
        </w:rPr>
        <w:t xml:space="preserve">acional de </w:t>
      </w:r>
      <w:r w:rsidR="00327F72" w:rsidRPr="001A6499">
        <w:rPr>
          <w:color w:val="auto"/>
          <w:sz w:val="20"/>
          <w:szCs w:val="20"/>
          <w:lang w:val="es-ES_tradnl"/>
        </w:rPr>
        <w:t>D</w:t>
      </w:r>
      <w:r w:rsidR="00D1736F" w:rsidRPr="001A6499">
        <w:rPr>
          <w:color w:val="auto"/>
          <w:sz w:val="20"/>
          <w:szCs w:val="20"/>
          <w:lang w:val="es-ES_tradnl"/>
        </w:rPr>
        <w:t xml:space="preserve">erechos </w:t>
      </w:r>
      <w:r w:rsidR="00327F72" w:rsidRPr="001A6499">
        <w:rPr>
          <w:color w:val="auto"/>
          <w:sz w:val="20"/>
          <w:szCs w:val="20"/>
          <w:lang w:val="es-ES_tradnl"/>
        </w:rPr>
        <w:t>H</w:t>
      </w:r>
      <w:r w:rsidR="00D1736F" w:rsidRPr="001A6499">
        <w:rPr>
          <w:color w:val="auto"/>
          <w:sz w:val="20"/>
          <w:szCs w:val="20"/>
          <w:lang w:val="es-ES_tradnl"/>
        </w:rPr>
        <w:t xml:space="preserve">umanos y </w:t>
      </w:r>
      <w:r w:rsidR="00327F72" w:rsidRPr="001A6499">
        <w:rPr>
          <w:color w:val="auto"/>
          <w:sz w:val="20"/>
          <w:szCs w:val="20"/>
          <w:lang w:val="es-ES_tradnl"/>
        </w:rPr>
        <w:t>D</w:t>
      </w:r>
      <w:r w:rsidR="00D1736F" w:rsidRPr="001A6499">
        <w:rPr>
          <w:color w:val="auto"/>
          <w:sz w:val="20"/>
          <w:szCs w:val="20"/>
          <w:lang w:val="es-ES_tradnl"/>
        </w:rPr>
        <w:t xml:space="preserve">erecho </w:t>
      </w:r>
      <w:r w:rsidR="00327F72" w:rsidRPr="001A6499">
        <w:rPr>
          <w:color w:val="auto"/>
          <w:sz w:val="20"/>
          <w:szCs w:val="20"/>
          <w:lang w:val="es-ES_tradnl"/>
        </w:rPr>
        <w:t>I</w:t>
      </w:r>
      <w:r w:rsidR="00D1736F" w:rsidRPr="001A6499">
        <w:rPr>
          <w:color w:val="auto"/>
          <w:sz w:val="20"/>
          <w:szCs w:val="20"/>
          <w:lang w:val="es-ES_tradnl"/>
        </w:rPr>
        <w:t xml:space="preserve">nternacional </w:t>
      </w:r>
      <w:r w:rsidR="00327F72" w:rsidRPr="001A6499">
        <w:rPr>
          <w:color w:val="auto"/>
          <w:sz w:val="20"/>
          <w:szCs w:val="20"/>
          <w:lang w:val="es-ES_tradnl"/>
        </w:rPr>
        <w:t>H</w:t>
      </w:r>
      <w:r w:rsidR="00D1736F" w:rsidRPr="001A6499">
        <w:rPr>
          <w:color w:val="auto"/>
          <w:sz w:val="20"/>
          <w:szCs w:val="20"/>
          <w:lang w:val="es-ES_tradnl"/>
        </w:rPr>
        <w:t>umanitario</w:t>
      </w:r>
      <w:r w:rsidR="00C85998" w:rsidRPr="001A6499">
        <w:rPr>
          <w:color w:val="auto"/>
          <w:sz w:val="20"/>
          <w:szCs w:val="20"/>
          <w:lang w:val="es-ES_tradnl"/>
        </w:rPr>
        <w:t xml:space="preserve"> </w:t>
      </w:r>
      <w:r w:rsidR="004D1A4A" w:rsidRPr="001A6499">
        <w:rPr>
          <w:color w:val="auto"/>
          <w:sz w:val="20"/>
          <w:szCs w:val="20"/>
          <w:lang w:val="es-ES_tradnl"/>
        </w:rPr>
        <w:t xml:space="preserve">vinculó </w:t>
      </w:r>
      <w:r w:rsidR="000A1289" w:rsidRPr="001A6499">
        <w:rPr>
          <w:color w:val="auto"/>
          <w:sz w:val="20"/>
          <w:szCs w:val="20"/>
          <w:lang w:val="es-ES_tradnl"/>
        </w:rPr>
        <w:t>como sindicados de</w:t>
      </w:r>
      <w:r w:rsidR="004D1A4A" w:rsidRPr="001A6499">
        <w:rPr>
          <w:color w:val="auto"/>
          <w:sz w:val="20"/>
          <w:szCs w:val="20"/>
          <w:lang w:val="es-ES_tradnl"/>
        </w:rPr>
        <w:t>l proceso</w:t>
      </w:r>
      <w:r w:rsidR="000A1289" w:rsidRPr="001A6499">
        <w:rPr>
          <w:color w:val="auto"/>
          <w:sz w:val="20"/>
          <w:szCs w:val="20"/>
          <w:lang w:val="es-ES_tradnl"/>
        </w:rPr>
        <w:t xml:space="preserve"> penal</w:t>
      </w:r>
      <w:r w:rsidR="004D1A4A" w:rsidRPr="001A6499">
        <w:rPr>
          <w:color w:val="auto"/>
          <w:sz w:val="20"/>
          <w:szCs w:val="20"/>
          <w:lang w:val="es-ES_tradnl"/>
        </w:rPr>
        <w:t xml:space="preserve"> </w:t>
      </w:r>
      <w:r w:rsidR="00C85998" w:rsidRPr="001A6499">
        <w:rPr>
          <w:color w:val="auto"/>
          <w:sz w:val="20"/>
          <w:szCs w:val="20"/>
          <w:lang w:val="es-ES_tradnl"/>
        </w:rPr>
        <w:t xml:space="preserve">únicamente </w:t>
      </w:r>
      <w:r w:rsidR="004D1A4A" w:rsidRPr="001A6499">
        <w:rPr>
          <w:color w:val="auto"/>
          <w:sz w:val="20"/>
          <w:szCs w:val="20"/>
          <w:lang w:val="es-ES_tradnl"/>
        </w:rPr>
        <w:t>a</w:t>
      </w:r>
      <w:r w:rsidR="000A1289" w:rsidRPr="001A6499">
        <w:rPr>
          <w:color w:val="auto"/>
          <w:sz w:val="20"/>
          <w:szCs w:val="20"/>
          <w:lang w:val="es-ES_tradnl"/>
        </w:rPr>
        <w:t xml:space="preserve">l entonces </w:t>
      </w:r>
      <w:r w:rsidR="00E9006D" w:rsidRPr="001A6499">
        <w:rPr>
          <w:color w:val="auto"/>
          <w:sz w:val="20"/>
          <w:szCs w:val="20"/>
          <w:lang w:val="es-ES_tradnl"/>
        </w:rPr>
        <w:t>D</w:t>
      </w:r>
      <w:r w:rsidR="00C85998" w:rsidRPr="001A6499">
        <w:rPr>
          <w:color w:val="auto"/>
          <w:sz w:val="20"/>
          <w:szCs w:val="20"/>
          <w:lang w:val="es-ES_tradnl"/>
        </w:rPr>
        <w:t xml:space="preserve">efensor del </w:t>
      </w:r>
      <w:r w:rsidR="00E9006D" w:rsidRPr="001A6499">
        <w:rPr>
          <w:color w:val="auto"/>
          <w:sz w:val="20"/>
          <w:szCs w:val="20"/>
          <w:lang w:val="es-ES_tradnl"/>
        </w:rPr>
        <w:t>P</w:t>
      </w:r>
      <w:r w:rsidR="00C85998" w:rsidRPr="001A6499">
        <w:rPr>
          <w:color w:val="auto"/>
          <w:sz w:val="20"/>
          <w:szCs w:val="20"/>
          <w:lang w:val="es-ES_tradnl"/>
        </w:rPr>
        <w:t xml:space="preserve">ueblo y </w:t>
      </w:r>
      <w:r w:rsidR="000A1289" w:rsidRPr="001A6499">
        <w:rPr>
          <w:color w:val="auto"/>
          <w:sz w:val="20"/>
          <w:szCs w:val="20"/>
          <w:lang w:val="es-ES_tradnl"/>
        </w:rPr>
        <w:t xml:space="preserve">a </w:t>
      </w:r>
      <w:r w:rsidR="00450D56" w:rsidRPr="001A6499">
        <w:rPr>
          <w:color w:val="auto"/>
          <w:sz w:val="20"/>
          <w:szCs w:val="20"/>
          <w:lang w:val="es-ES_tradnl"/>
        </w:rPr>
        <w:t xml:space="preserve">un </w:t>
      </w:r>
      <w:r w:rsidR="00284C6B" w:rsidRPr="001A6499">
        <w:rPr>
          <w:color w:val="auto"/>
          <w:sz w:val="20"/>
          <w:szCs w:val="20"/>
          <w:lang w:val="es-ES_tradnl"/>
        </w:rPr>
        <w:t>líder de la comunidad</w:t>
      </w:r>
      <w:r w:rsidR="00E969E9" w:rsidRPr="001A6499">
        <w:rPr>
          <w:color w:val="auto"/>
          <w:sz w:val="20"/>
          <w:szCs w:val="20"/>
          <w:lang w:val="es-ES_tradnl"/>
        </w:rPr>
        <w:t xml:space="preserve"> </w:t>
      </w:r>
      <w:r w:rsidRPr="001A6499">
        <w:rPr>
          <w:color w:val="auto"/>
          <w:sz w:val="20"/>
          <w:szCs w:val="20"/>
          <w:lang w:val="es-ES_tradnl"/>
        </w:rPr>
        <w:t>– que para efectos del presente informe se identificara como G.T.U-</w:t>
      </w:r>
      <w:r w:rsidR="006A0D75" w:rsidRPr="001A6499">
        <w:rPr>
          <w:color w:val="auto"/>
          <w:sz w:val="20"/>
          <w:szCs w:val="20"/>
          <w:lang w:val="es-ES_tradnl"/>
        </w:rPr>
        <w:t xml:space="preserve">, y, </w:t>
      </w:r>
      <w:r w:rsidR="000A1289" w:rsidRPr="001A6499">
        <w:rPr>
          <w:color w:val="auto"/>
          <w:sz w:val="20"/>
          <w:szCs w:val="20"/>
          <w:lang w:val="es-ES_tradnl"/>
        </w:rPr>
        <w:t>el 15 de mayo de 2008</w:t>
      </w:r>
      <w:r w:rsidR="00E9006D" w:rsidRPr="001A6499">
        <w:rPr>
          <w:color w:val="auto"/>
          <w:sz w:val="20"/>
          <w:szCs w:val="20"/>
          <w:lang w:val="es-ES_tradnl"/>
        </w:rPr>
        <w:t xml:space="preserve"> </w:t>
      </w:r>
      <w:r w:rsidR="006A0D75" w:rsidRPr="001A6499">
        <w:rPr>
          <w:color w:val="auto"/>
          <w:sz w:val="20"/>
          <w:szCs w:val="20"/>
          <w:lang w:val="es-ES_tradnl"/>
        </w:rPr>
        <w:t xml:space="preserve">emitió </w:t>
      </w:r>
      <w:r w:rsidR="009003C2" w:rsidRPr="001A6499">
        <w:rPr>
          <w:color w:val="auto"/>
          <w:sz w:val="20"/>
          <w:szCs w:val="20"/>
          <w:lang w:val="es-ES_tradnl"/>
        </w:rPr>
        <w:t>resolución de acusación</w:t>
      </w:r>
      <w:r w:rsidR="004D1A4A" w:rsidRPr="001A6499">
        <w:rPr>
          <w:color w:val="auto"/>
          <w:sz w:val="20"/>
          <w:szCs w:val="20"/>
          <w:lang w:val="es-ES_tradnl"/>
        </w:rPr>
        <w:t xml:space="preserve"> </w:t>
      </w:r>
      <w:r w:rsidR="009003C2" w:rsidRPr="001A6499">
        <w:rPr>
          <w:color w:val="auto"/>
          <w:sz w:val="20"/>
          <w:szCs w:val="20"/>
          <w:lang w:val="es-ES_tradnl"/>
        </w:rPr>
        <w:t xml:space="preserve">contra </w:t>
      </w:r>
      <w:r w:rsidR="006A0D75" w:rsidRPr="001A6499">
        <w:rPr>
          <w:color w:val="auto"/>
          <w:sz w:val="20"/>
          <w:szCs w:val="20"/>
          <w:lang w:val="es-ES_tradnl"/>
        </w:rPr>
        <w:t>ambos</w:t>
      </w:r>
      <w:r w:rsidR="00E9006D" w:rsidRPr="001A6499">
        <w:rPr>
          <w:color w:val="auto"/>
          <w:sz w:val="20"/>
          <w:szCs w:val="20"/>
          <w:lang w:val="es-ES_tradnl"/>
        </w:rPr>
        <w:t xml:space="preserve"> </w:t>
      </w:r>
      <w:r w:rsidR="009003C2" w:rsidRPr="001A6499">
        <w:rPr>
          <w:color w:val="auto"/>
          <w:sz w:val="20"/>
          <w:szCs w:val="20"/>
          <w:lang w:val="es-ES_tradnl"/>
        </w:rPr>
        <w:t>c</w:t>
      </w:r>
      <w:r w:rsidR="004D1A4A" w:rsidRPr="001A6499">
        <w:rPr>
          <w:color w:val="auto"/>
          <w:sz w:val="20"/>
          <w:szCs w:val="20"/>
          <w:lang w:val="es-ES_tradnl"/>
        </w:rPr>
        <w:t>o</w:t>
      </w:r>
      <w:r w:rsidR="009003C2" w:rsidRPr="001A6499">
        <w:rPr>
          <w:color w:val="auto"/>
          <w:sz w:val="20"/>
          <w:szCs w:val="20"/>
          <w:lang w:val="es-ES_tradnl"/>
        </w:rPr>
        <w:t>mo presuntos respo</w:t>
      </w:r>
      <w:r w:rsidR="004D1A4A" w:rsidRPr="001A6499">
        <w:rPr>
          <w:color w:val="auto"/>
          <w:sz w:val="20"/>
          <w:szCs w:val="20"/>
          <w:lang w:val="es-ES_tradnl"/>
        </w:rPr>
        <w:t>n</w:t>
      </w:r>
      <w:r w:rsidR="009003C2" w:rsidRPr="001A6499">
        <w:rPr>
          <w:color w:val="auto"/>
          <w:sz w:val="20"/>
          <w:szCs w:val="20"/>
          <w:lang w:val="es-ES_tradnl"/>
        </w:rPr>
        <w:t xml:space="preserve">sables de homicidio culposo y lesiones personales. </w:t>
      </w:r>
      <w:r w:rsidR="006A0D75" w:rsidRPr="001A6499">
        <w:rPr>
          <w:color w:val="auto"/>
          <w:sz w:val="20"/>
          <w:szCs w:val="20"/>
          <w:lang w:val="es-ES_tradnl"/>
        </w:rPr>
        <w:t xml:space="preserve">Al respecto, explica que </w:t>
      </w:r>
      <w:r w:rsidR="0025487E" w:rsidRPr="001A6499">
        <w:rPr>
          <w:color w:val="auto"/>
          <w:sz w:val="20"/>
          <w:szCs w:val="20"/>
          <w:lang w:val="es-ES_tradnl"/>
        </w:rPr>
        <w:t xml:space="preserve">el 16 de junio de 2009 la </w:t>
      </w:r>
      <w:r w:rsidR="00327F72" w:rsidRPr="001A6499">
        <w:rPr>
          <w:color w:val="auto"/>
          <w:sz w:val="20"/>
          <w:szCs w:val="20"/>
          <w:lang w:val="es-ES_tradnl"/>
        </w:rPr>
        <w:t>F</w:t>
      </w:r>
      <w:r w:rsidR="009003C2" w:rsidRPr="001A6499">
        <w:rPr>
          <w:color w:val="auto"/>
          <w:sz w:val="20"/>
          <w:szCs w:val="20"/>
          <w:lang w:val="es-ES_tradnl"/>
        </w:rPr>
        <w:t xml:space="preserve">iscalía </w:t>
      </w:r>
      <w:r w:rsidR="00C27BAA" w:rsidRPr="001A6499">
        <w:rPr>
          <w:color w:val="auto"/>
          <w:sz w:val="20"/>
          <w:szCs w:val="20"/>
          <w:lang w:val="es-ES_tradnl"/>
        </w:rPr>
        <w:t xml:space="preserve">26 </w:t>
      </w:r>
      <w:r w:rsidR="00327F72" w:rsidRPr="001A6499">
        <w:rPr>
          <w:color w:val="auto"/>
          <w:sz w:val="20"/>
          <w:szCs w:val="20"/>
          <w:lang w:val="es-ES_tradnl"/>
        </w:rPr>
        <w:t>D</w:t>
      </w:r>
      <w:r w:rsidR="00C27BAA" w:rsidRPr="001A6499">
        <w:rPr>
          <w:color w:val="auto"/>
          <w:sz w:val="20"/>
          <w:szCs w:val="20"/>
          <w:lang w:val="es-ES_tradnl"/>
        </w:rPr>
        <w:t xml:space="preserve">elegada ante el </w:t>
      </w:r>
      <w:r w:rsidR="00327F72" w:rsidRPr="001A6499">
        <w:rPr>
          <w:color w:val="auto"/>
          <w:sz w:val="20"/>
          <w:szCs w:val="20"/>
          <w:lang w:val="es-ES_tradnl"/>
        </w:rPr>
        <w:t>T</w:t>
      </w:r>
      <w:r w:rsidR="00C27BAA" w:rsidRPr="001A6499">
        <w:rPr>
          <w:color w:val="auto"/>
          <w:sz w:val="20"/>
          <w:szCs w:val="20"/>
          <w:lang w:val="es-ES_tradnl"/>
        </w:rPr>
        <w:t xml:space="preserve">ribunal </w:t>
      </w:r>
      <w:r w:rsidR="00327F72" w:rsidRPr="001A6499">
        <w:rPr>
          <w:color w:val="auto"/>
          <w:sz w:val="20"/>
          <w:szCs w:val="20"/>
          <w:lang w:val="es-ES_tradnl"/>
        </w:rPr>
        <w:t>S</w:t>
      </w:r>
      <w:r w:rsidR="00C27BAA" w:rsidRPr="001A6499">
        <w:rPr>
          <w:color w:val="auto"/>
          <w:sz w:val="20"/>
          <w:szCs w:val="20"/>
          <w:lang w:val="es-ES_tradnl"/>
        </w:rPr>
        <w:t xml:space="preserve">uperior de Bogotá </w:t>
      </w:r>
      <w:r w:rsidR="006A0D75" w:rsidRPr="001A6499">
        <w:rPr>
          <w:color w:val="auto"/>
          <w:sz w:val="20"/>
          <w:szCs w:val="20"/>
          <w:lang w:val="es-ES_tradnl"/>
        </w:rPr>
        <w:t>ordenó la preclusión de la investigación seguida en contra de G.T.U</w:t>
      </w:r>
      <w:r w:rsidR="0025487E" w:rsidRPr="001A6499">
        <w:rPr>
          <w:color w:val="auto"/>
          <w:sz w:val="20"/>
          <w:szCs w:val="20"/>
          <w:lang w:val="es-ES_tradnl"/>
        </w:rPr>
        <w:t xml:space="preserve">, y </w:t>
      </w:r>
      <w:r w:rsidR="006A0D75" w:rsidRPr="001A6499">
        <w:rPr>
          <w:color w:val="auto"/>
          <w:sz w:val="20"/>
          <w:szCs w:val="20"/>
          <w:lang w:val="es-ES_tradnl"/>
        </w:rPr>
        <w:t xml:space="preserve">el 29 de abril de 2010, </w:t>
      </w:r>
      <w:r w:rsidR="00327F72" w:rsidRPr="001A6499">
        <w:rPr>
          <w:color w:val="auto"/>
          <w:sz w:val="20"/>
          <w:szCs w:val="20"/>
          <w:lang w:val="es-ES_tradnl"/>
        </w:rPr>
        <w:t xml:space="preserve">el </w:t>
      </w:r>
      <w:r w:rsidR="00C27BAA" w:rsidRPr="001A6499">
        <w:rPr>
          <w:color w:val="auto"/>
          <w:sz w:val="20"/>
          <w:szCs w:val="20"/>
          <w:lang w:val="es-ES_tradnl"/>
        </w:rPr>
        <w:t xml:space="preserve">Juzgado </w:t>
      </w:r>
      <w:r w:rsidR="00327F72" w:rsidRPr="001A6499">
        <w:rPr>
          <w:color w:val="auto"/>
          <w:sz w:val="20"/>
          <w:szCs w:val="20"/>
          <w:lang w:val="es-ES_tradnl"/>
        </w:rPr>
        <w:t>P</w:t>
      </w:r>
      <w:r w:rsidR="00C27BAA" w:rsidRPr="001A6499">
        <w:rPr>
          <w:color w:val="auto"/>
          <w:sz w:val="20"/>
          <w:szCs w:val="20"/>
          <w:lang w:val="es-ES_tradnl"/>
        </w:rPr>
        <w:t xml:space="preserve">rimero </w:t>
      </w:r>
      <w:r w:rsidR="00327F72" w:rsidRPr="001A6499">
        <w:rPr>
          <w:color w:val="auto"/>
          <w:sz w:val="20"/>
          <w:szCs w:val="20"/>
          <w:lang w:val="es-ES_tradnl"/>
        </w:rPr>
        <w:t>P</w:t>
      </w:r>
      <w:r w:rsidR="00C27BAA" w:rsidRPr="001A6499">
        <w:rPr>
          <w:color w:val="auto"/>
          <w:sz w:val="20"/>
          <w:szCs w:val="20"/>
          <w:lang w:val="es-ES_tradnl"/>
        </w:rPr>
        <w:t xml:space="preserve">enal del </w:t>
      </w:r>
      <w:r w:rsidR="00327F72" w:rsidRPr="001A6499">
        <w:rPr>
          <w:color w:val="auto"/>
          <w:sz w:val="20"/>
          <w:szCs w:val="20"/>
          <w:lang w:val="es-ES_tradnl"/>
        </w:rPr>
        <w:t>C</w:t>
      </w:r>
      <w:r w:rsidR="00C27BAA" w:rsidRPr="001A6499">
        <w:rPr>
          <w:color w:val="auto"/>
          <w:sz w:val="20"/>
          <w:szCs w:val="20"/>
          <w:lang w:val="es-ES_tradnl"/>
        </w:rPr>
        <w:t xml:space="preserve">ircuito </w:t>
      </w:r>
      <w:r w:rsidR="00D1736F" w:rsidRPr="001A6499">
        <w:rPr>
          <w:color w:val="auto"/>
          <w:sz w:val="20"/>
          <w:szCs w:val="20"/>
          <w:lang w:val="es-ES_tradnl"/>
        </w:rPr>
        <w:t xml:space="preserve">de Apartadó </w:t>
      </w:r>
      <w:r w:rsidR="00327F72" w:rsidRPr="001A6499">
        <w:rPr>
          <w:color w:val="auto"/>
          <w:sz w:val="20"/>
          <w:szCs w:val="20"/>
          <w:lang w:val="es-ES_tradnl"/>
        </w:rPr>
        <w:t xml:space="preserve">emitió </w:t>
      </w:r>
      <w:r w:rsidR="00C27BAA" w:rsidRPr="001A6499">
        <w:rPr>
          <w:color w:val="auto"/>
          <w:sz w:val="20"/>
          <w:szCs w:val="20"/>
          <w:lang w:val="es-ES_tradnl"/>
        </w:rPr>
        <w:t>sentencia absolutoria</w:t>
      </w:r>
      <w:r w:rsidR="00327F72" w:rsidRPr="001A6499">
        <w:rPr>
          <w:color w:val="auto"/>
          <w:sz w:val="20"/>
          <w:szCs w:val="20"/>
          <w:lang w:val="es-ES_tradnl"/>
        </w:rPr>
        <w:t xml:space="preserve"> a favor de</w:t>
      </w:r>
      <w:r w:rsidR="0025487E" w:rsidRPr="001A6499">
        <w:rPr>
          <w:color w:val="auto"/>
          <w:sz w:val="20"/>
          <w:szCs w:val="20"/>
          <w:lang w:val="es-ES_tradnl"/>
        </w:rPr>
        <w:t xml:space="preserve">l entonces Defensor del Pueblo </w:t>
      </w:r>
      <w:r w:rsidR="006A0D75" w:rsidRPr="001A6499">
        <w:rPr>
          <w:color w:val="auto"/>
          <w:sz w:val="20"/>
          <w:szCs w:val="20"/>
          <w:lang w:val="es-ES_tradnl"/>
        </w:rPr>
        <w:t>la cual quedó</w:t>
      </w:r>
      <w:r w:rsidR="0025487E" w:rsidRPr="001A6499">
        <w:rPr>
          <w:color w:val="auto"/>
          <w:sz w:val="20"/>
          <w:szCs w:val="20"/>
          <w:lang w:val="es-ES_tradnl"/>
        </w:rPr>
        <w:t xml:space="preserve"> firme luego que el recurso de apelación interpuesto </w:t>
      </w:r>
      <w:r w:rsidR="00C27BAA" w:rsidRPr="001A6499">
        <w:rPr>
          <w:color w:val="auto"/>
          <w:sz w:val="20"/>
          <w:szCs w:val="20"/>
          <w:lang w:val="es-ES_tradnl"/>
        </w:rPr>
        <w:t xml:space="preserve">por </w:t>
      </w:r>
      <w:r w:rsidR="00327F72" w:rsidRPr="001A6499">
        <w:rPr>
          <w:color w:val="auto"/>
          <w:sz w:val="20"/>
          <w:szCs w:val="20"/>
          <w:lang w:val="es-ES_tradnl"/>
        </w:rPr>
        <w:t>la Fiscalía</w:t>
      </w:r>
      <w:r w:rsidR="0025487E" w:rsidRPr="001A6499">
        <w:rPr>
          <w:color w:val="auto"/>
          <w:sz w:val="20"/>
          <w:szCs w:val="20"/>
          <w:lang w:val="es-ES_tradnl"/>
        </w:rPr>
        <w:t xml:space="preserve"> fue </w:t>
      </w:r>
      <w:r w:rsidR="00C27BAA" w:rsidRPr="001A6499">
        <w:rPr>
          <w:color w:val="auto"/>
          <w:sz w:val="20"/>
          <w:szCs w:val="20"/>
          <w:lang w:val="es-ES_tradnl"/>
        </w:rPr>
        <w:t>declara</w:t>
      </w:r>
      <w:r w:rsidR="00327F72" w:rsidRPr="001A6499">
        <w:rPr>
          <w:color w:val="auto"/>
          <w:sz w:val="20"/>
          <w:szCs w:val="20"/>
          <w:lang w:val="es-ES_tradnl"/>
        </w:rPr>
        <w:t>do</w:t>
      </w:r>
      <w:r w:rsidR="00C27BAA" w:rsidRPr="001A6499">
        <w:rPr>
          <w:color w:val="auto"/>
          <w:sz w:val="20"/>
          <w:szCs w:val="20"/>
          <w:lang w:val="es-ES_tradnl"/>
        </w:rPr>
        <w:t xml:space="preserve"> desierto </w:t>
      </w:r>
      <w:r w:rsidR="00327F72" w:rsidRPr="001A6499">
        <w:rPr>
          <w:color w:val="auto"/>
          <w:sz w:val="20"/>
          <w:szCs w:val="20"/>
          <w:lang w:val="es-ES_tradnl"/>
        </w:rPr>
        <w:t xml:space="preserve">el </w:t>
      </w:r>
      <w:r w:rsidR="00C27BAA" w:rsidRPr="001A6499">
        <w:rPr>
          <w:color w:val="auto"/>
          <w:sz w:val="20"/>
          <w:szCs w:val="20"/>
          <w:lang w:val="es-ES_tradnl"/>
        </w:rPr>
        <w:t>31 de ma</w:t>
      </w:r>
      <w:r w:rsidR="00327F72" w:rsidRPr="001A6499">
        <w:rPr>
          <w:color w:val="auto"/>
          <w:sz w:val="20"/>
          <w:szCs w:val="20"/>
          <w:lang w:val="es-ES_tradnl"/>
        </w:rPr>
        <w:t>yo</w:t>
      </w:r>
      <w:r w:rsidR="00C27BAA" w:rsidRPr="001A6499">
        <w:rPr>
          <w:color w:val="auto"/>
          <w:sz w:val="20"/>
          <w:szCs w:val="20"/>
          <w:lang w:val="es-ES_tradnl"/>
        </w:rPr>
        <w:t xml:space="preserve"> de 2010</w:t>
      </w:r>
      <w:r w:rsidR="005D013E" w:rsidRPr="001A6499">
        <w:rPr>
          <w:color w:val="auto"/>
          <w:sz w:val="20"/>
          <w:szCs w:val="20"/>
          <w:lang w:val="es-ES_tradnl"/>
        </w:rPr>
        <w:t xml:space="preserve"> por no haberse sustentado en el plazo otorgado</w:t>
      </w:r>
      <w:r w:rsidR="004D1A4A" w:rsidRPr="001A6499">
        <w:rPr>
          <w:color w:val="auto"/>
          <w:sz w:val="20"/>
          <w:szCs w:val="20"/>
          <w:lang w:val="es-ES_tradnl"/>
        </w:rPr>
        <w:t xml:space="preserve">. </w:t>
      </w:r>
    </w:p>
    <w:p w14:paraId="4AC7F67E" w14:textId="634B2433" w:rsidR="00AD61D5" w:rsidRPr="001A6499" w:rsidRDefault="005D013E"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A6499">
        <w:rPr>
          <w:color w:val="auto"/>
          <w:sz w:val="20"/>
          <w:szCs w:val="20"/>
          <w:lang w:val="es-ES_tradnl"/>
        </w:rPr>
        <w:t xml:space="preserve">La parte peticionaria </w:t>
      </w:r>
      <w:r w:rsidR="000D0D46" w:rsidRPr="001A6499">
        <w:rPr>
          <w:color w:val="auto"/>
          <w:sz w:val="20"/>
          <w:szCs w:val="20"/>
          <w:lang w:val="es-ES_tradnl"/>
        </w:rPr>
        <w:t xml:space="preserve">alega </w:t>
      </w:r>
      <w:r w:rsidRPr="001A6499">
        <w:rPr>
          <w:color w:val="auto"/>
          <w:sz w:val="20"/>
          <w:szCs w:val="20"/>
          <w:lang w:val="es-ES_tradnl"/>
        </w:rPr>
        <w:t>que l</w:t>
      </w:r>
      <w:r w:rsidR="00914638" w:rsidRPr="001A6499">
        <w:rPr>
          <w:color w:val="auto"/>
          <w:sz w:val="20"/>
          <w:szCs w:val="20"/>
          <w:lang w:val="es-ES_tradnl"/>
        </w:rPr>
        <w:t xml:space="preserve">o </w:t>
      </w:r>
      <w:r w:rsidR="00327F72" w:rsidRPr="001A6499">
        <w:rPr>
          <w:color w:val="auto"/>
          <w:sz w:val="20"/>
          <w:szCs w:val="20"/>
          <w:lang w:val="es-ES_tradnl"/>
        </w:rPr>
        <w:t>más</w:t>
      </w:r>
      <w:r w:rsidR="00914638" w:rsidRPr="001A6499">
        <w:rPr>
          <w:color w:val="auto"/>
          <w:sz w:val="20"/>
          <w:szCs w:val="20"/>
          <w:lang w:val="es-ES_tradnl"/>
        </w:rPr>
        <w:t xml:space="preserve"> significativo de la investigación penal</w:t>
      </w:r>
      <w:r w:rsidRPr="001A6499">
        <w:rPr>
          <w:color w:val="auto"/>
          <w:sz w:val="20"/>
          <w:szCs w:val="20"/>
          <w:lang w:val="es-ES_tradnl"/>
        </w:rPr>
        <w:t xml:space="preserve"> </w:t>
      </w:r>
      <w:r w:rsidR="006A0D75" w:rsidRPr="001A6499">
        <w:rPr>
          <w:color w:val="auto"/>
          <w:sz w:val="20"/>
          <w:szCs w:val="20"/>
          <w:lang w:val="es-ES_tradnl"/>
        </w:rPr>
        <w:t>fue l</w:t>
      </w:r>
      <w:r w:rsidR="00914638" w:rsidRPr="001A6499">
        <w:rPr>
          <w:color w:val="auto"/>
          <w:sz w:val="20"/>
          <w:szCs w:val="20"/>
          <w:lang w:val="es-ES_tradnl"/>
        </w:rPr>
        <w:t xml:space="preserve">a </w:t>
      </w:r>
      <w:r w:rsidR="006A0D75" w:rsidRPr="001A6499">
        <w:rPr>
          <w:color w:val="auto"/>
          <w:sz w:val="20"/>
          <w:szCs w:val="20"/>
          <w:lang w:val="es-ES_tradnl"/>
        </w:rPr>
        <w:t xml:space="preserve">omisión por parte de la fiscalía de </w:t>
      </w:r>
      <w:r w:rsidR="00914638" w:rsidRPr="001A6499">
        <w:rPr>
          <w:color w:val="auto"/>
          <w:sz w:val="20"/>
          <w:szCs w:val="20"/>
          <w:lang w:val="es-ES_tradnl"/>
        </w:rPr>
        <w:t>vincul</w:t>
      </w:r>
      <w:r w:rsidR="006A0D75" w:rsidRPr="001A6499">
        <w:rPr>
          <w:color w:val="auto"/>
          <w:sz w:val="20"/>
          <w:szCs w:val="20"/>
          <w:lang w:val="es-ES_tradnl"/>
        </w:rPr>
        <w:t xml:space="preserve">ar a </w:t>
      </w:r>
      <w:r w:rsidR="00914638" w:rsidRPr="001A6499">
        <w:rPr>
          <w:color w:val="auto"/>
          <w:sz w:val="20"/>
          <w:szCs w:val="20"/>
          <w:lang w:val="es-ES_tradnl"/>
        </w:rPr>
        <w:t xml:space="preserve">miembros de las </w:t>
      </w:r>
      <w:r w:rsidR="00AD61D5" w:rsidRPr="001A6499">
        <w:rPr>
          <w:color w:val="auto"/>
          <w:sz w:val="20"/>
          <w:szCs w:val="20"/>
          <w:lang w:val="es-ES_tradnl"/>
        </w:rPr>
        <w:t>F</w:t>
      </w:r>
      <w:r w:rsidR="00914638" w:rsidRPr="001A6499">
        <w:rPr>
          <w:color w:val="auto"/>
          <w:sz w:val="20"/>
          <w:szCs w:val="20"/>
          <w:lang w:val="es-ES_tradnl"/>
        </w:rPr>
        <w:t xml:space="preserve">uerzas </w:t>
      </w:r>
      <w:r w:rsidR="00AD61D5" w:rsidRPr="001A6499">
        <w:rPr>
          <w:color w:val="auto"/>
          <w:sz w:val="20"/>
          <w:szCs w:val="20"/>
          <w:lang w:val="es-ES_tradnl"/>
        </w:rPr>
        <w:t>A</w:t>
      </w:r>
      <w:r w:rsidR="00914638" w:rsidRPr="001A6499">
        <w:rPr>
          <w:color w:val="auto"/>
          <w:sz w:val="20"/>
          <w:szCs w:val="20"/>
          <w:lang w:val="es-ES_tradnl"/>
        </w:rPr>
        <w:t xml:space="preserve">rmadas de </w:t>
      </w:r>
      <w:r w:rsidRPr="001A6499">
        <w:rPr>
          <w:color w:val="auto"/>
          <w:sz w:val="20"/>
          <w:szCs w:val="20"/>
          <w:lang w:val="es-ES_tradnl"/>
        </w:rPr>
        <w:t>Colombia</w:t>
      </w:r>
      <w:r w:rsidR="00A5170D" w:rsidRPr="001A6499">
        <w:rPr>
          <w:color w:val="auto"/>
          <w:sz w:val="20"/>
          <w:szCs w:val="20"/>
          <w:lang w:val="es-ES_tradnl"/>
        </w:rPr>
        <w:t xml:space="preserve"> </w:t>
      </w:r>
      <w:r w:rsidR="00E30B6A" w:rsidRPr="001A6499">
        <w:rPr>
          <w:color w:val="auto"/>
          <w:sz w:val="20"/>
          <w:szCs w:val="20"/>
          <w:lang w:val="es-ES_tradnl"/>
        </w:rPr>
        <w:t>a pesar de que</w:t>
      </w:r>
      <w:r w:rsidR="00A5170D" w:rsidRPr="001A6499">
        <w:rPr>
          <w:color w:val="auto"/>
          <w:sz w:val="20"/>
          <w:szCs w:val="20"/>
          <w:lang w:val="es-ES_tradnl"/>
        </w:rPr>
        <w:t xml:space="preserve"> en el proceso penal se evidenció el conocimiento por parte de estos de la presencia de un elemento explosivo, de cuya custodia y manejo son responsables, en un espacio de habitación exclusiva de civiles</w:t>
      </w:r>
      <w:r w:rsidR="00914638" w:rsidRPr="001A6499">
        <w:rPr>
          <w:color w:val="auto"/>
          <w:sz w:val="20"/>
          <w:szCs w:val="20"/>
          <w:lang w:val="es-ES_tradnl"/>
        </w:rPr>
        <w:t xml:space="preserve">. </w:t>
      </w:r>
      <w:r w:rsidR="00AD61D5" w:rsidRPr="001A6499">
        <w:rPr>
          <w:color w:val="auto"/>
          <w:sz w:val="20"/>
          <w:szCs w:val="20"/>
          <w:lang w:val="es-ES_tradnl"/>
        </w:rPr>
        <w:t>Sostiene que</w:t>
      </w:r>
      <w:r w:rsidR="00290AF2" w:rsidRPr="001A6499">
        <w:rPr>
          <w:color w:val="auto"/>
          <w:sz w:val="20"/>
          <w:szCs w:val="20"/>
          <w:lang w:val="es-ES_tradnl"/>
        </w:rPr>
        <w:t>,</w:t>
      </w:r>
      <w:r w:rsidR="00AD61D5" w:rsidRPr="001A6499">
        <w:rPr>
          <w:color w:val="auto"/>
          <w:sz w:val="20"/>
          <w:szCs w:val="20"/>
          <w:lang w:val="es-ES_tradnl"/>
        </w:rPr>
        <w:t xml:space="preserve"> </w:t>
      </w:r>
      <w:r w:rsidRPr="001A6499">
        <w:rPr>
          <w:color w:val="auto"/>
          <w:sz w:val="20"/>
          <w:szCs w:val="20"/>
          <w:lang w:val="es-ES_tradnl"/>
        </w:rPr>
        <w:t>hasta la fecha de presentación de la petición</w:t>
      </w:r>
      <w:r w:rsidR="000D0D46" w:rsidRPr="001A6499">
        <w:rPr>
          <w:color w:val="auto"/>
          <w:sz w:val="20"/>
          <w:szCs w:val="20"/>
          <w:lang w:val="es-ES_tradnl"/>
        </w:rPr>
        <w:t xml:space="preserve">, el Estado </w:t>
      </w:r>
      <w:r w:rsidRPr="001A6499">
        <w:rPr>
          <w:color w:val="auto"/>
          <w:sz w:val="20"/>
          <w:szCs w:val="20"/>
          <w:lang w:val="es-ES_tradnl"/>
        </w:rPr>
        <w:t xml:space="preserve">no </w:t>
      </w:r>
      <w:r w:rsidR="00AD61D5" w:rsidRPr="001A6499">
        <w:rPr>
          <w:color w:val="auto"/>
          <w:sz w:val="20"/>
          <w:szCs w:val="20"/>
          <w:lang w:val="es-ES_tradnl"/>
        </w:rPr>
        <w:t xml:space="preserve">ha </w:t>
      </w:r>
      <w:r w:rsidR="004D1A4A" w:rsidRPr="001A6499">
        <w:rPr>
          <w:color w:val="auto"/>
          <w:sz w:val="20"/>
          <w:szCs w:val="20"/>
          <w:lang w:val="es-ES_tradnl"/>
        </w:rPr>
        <w:t xml:space="preserve">individualizado </w:t>
      </w:r>
      <w:r w:rsidRPr="001A6499">
        <w:rPr>
          <w:color w:val="auto"/>
          <w:sz w:val="20"/>
          <w:szCs w:val="20"/>
          <w:lang w:val="es-ES_tradnl"/>
        </w:rPr>
        <w:t>ni</w:t>
      </w:r>
      <w:r w:rsidR="004D1A4A" w:rsidRPr="001A6499">
        <w:rPr>
          <w:color w:val="auto"/>
          <w:sz w:val="20"/>
          <w:szCs w:val="20"/>
          <w:lang w:val="es-ES_tradnl"/>
        </w:rPr>
        <w:t xml:space="preserve"> capturado a los </w:t>
      </w:r>
      <w:r w:rsidR="00AD61D5" w:rsidRPr="001A6499">
        <w:rPr>
          <w:color w:val="auto"/>
          <w:sz w:val="20"/>
          <w:szCs w:val="20"/>
          <w:lang w:val="es-ES_tradnl"/>
        </w:rPr>
        <w:t>responsables</w:t>
      </w:r>
      <w:r w:rsidR="00A5170D" w:rsidRPr="001A6499">
        <w:rPr>
          <w:color w:val="auto"/>
          <w:sz w:val="20"/>
          <w:szCs w:val="20"/>
          <w:lang w:val="es-ES_tradnl"/>
        </w:rPr>
        <w:t xml:space="preserve"> y, por el contrario, argumenta distintas </w:t>
      </w:r>
      <w:r w:rsidR="00C14B5D" w:rsidRPr="001A6499">
        <w:rPr>
          <w:color w:val="auto"/>
          <w:sz w:val="20"/>
          <w:szCs w:val="20"/>
          <w:lang w:val="es-ES_tradnl"/>
        </w:rPr>
        <w:t>dificultad</w:t>
      </w:r>
      <w:r w:rsidR="00877E14" w:rsidRPr="001A6499">
        <w:rPr>
          <w:color w:val="auto"/>
          <w:sz w:val="20"/>
          <w:szCs w:val="20"/>
          <w:lang w:val="es-ES_tradnl"/>
        </w:rPr>
        <w:t>e</w:t>
      </w:r>
      <w:r w:rsidR="00C14B5D" w:rsidRPr="001A6499">
        <w:rPr>
          <w:color w:val="auto"/>
          <w:sz w:val="20"/>
          <w:szCs w:val="20"/>
          <w:lang w:val="es-ES_tradnl"/>
        </w:rPr>
        <w:t xml:space="preserve">s en su </w:t>
      </w:r>
      <w:r w:rsidR="00877E14" w:rsidRPr="001A6499">
        <w:rPr>
          <w:color w:val="auto"/>
          <w:sz w:val="20"/>
          <w:szCs w:val="20"/>
          <w:lang w:val="es-ES_tradnl"/>
        </w:rPr>
        <w:t>investigación</w:t>
      </w:r>
      <w:r w:rsidR="00A5170D" w:rsidRPr="001A6499">
        <w:rPr>
          <w:color w:val="auto"/>
          <w:sz w:val="20"/>
          <w:szCs w:val="20"/>
          <w:lang w:val="es-ES_tradnl"/>
        </w:rPr>
        <w:t xml:space="preserve"> las cuales </w:t>
      </w:r>
      <w:r w:rsidR="00C14B5D" w:rsidRPr="001A6499">
        <w:rPr>
          <w:color w:val="auto"/>
          <w:sz w:val="20"/>
          <w:szCs w:val="20"/>
          <w:lang w:val="es-ES_tradnl"/>
        </w:rPr>
        <w:t>justifica</w:t>
      </w:r>
      <w:r w:rsidR="00A5170D" w:rsidRPr="001A6499">
        <w:rPr>
          <w:color w:val="auto"/>
          <w:sz w:val="20"/>
          <w:szCs w:val="20"/>
          <w:lang w:val="es-ES_tradnl"/>
        </w:rPr>
        <w:t xml:space="preserve">rían su </w:t>
      </w:r>
      <w:r w:rsidR="00A80E55" w:rsidRPr="001A6499">
        <w:rPr>
          <w:color w:val="auto"/>
          <w:sz w:val="20"/>
          <w:szCs w:val="20"/>
          <w:lang w:val="es-ES_tradnl"/>
        </w:rPr>
        <w:t>dilación</w:t>
      </w:r>
      <w:r w:rsidR="00A5170D" w:rsidRPr="001A6499">
        <w:rPr>
          <w:color w:val="auto"/>
          <w:sz w:val="20"/>
          <w:szCs w:val="20"/>
          <w:lang w:val="es-ES_tradnl"/>
        </w:rPr>
        <w:t xml:space="preserve"> más</w:t>
      </w:r>
      <w:r w:rsidR="00C14B5D" w:rsidRPr="001A6499">
        <w:rPr>
          <w:color w:val="auto"/>
          <w:sz w:val="20"/>
          <w:szCs w:val="20"/>
          <w:lang w:val="es-ES_tradnl"/>
        </w:rPr>
        <w:t xml:space="preserve"> no su cierre</w:t>
      </w:r>
      <w:r w:rsidR="00877E14" w:rsidRPr="001A6499">
        <w:rPr>
          <w:color w:val="auto"/>
          <w:sz w:val="20"/>
          <w:szCs w:val="20"/>
          <w:lang w:val="es-ES_tradnl"/>
        </w:rPr>
        <w:t xml:space="preserve">. </w:t>
      </w:r>
    </w:p>
    <w:p w14:paraId="03A40876" w14:textId="374BCC84" w:rsidR="00C14B5D" w:rsidRPr="001A6499" w:rsidRDefault="00A5170D"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A6499">
        <w:rPr>
          <w:color w:val="auto"/>
          <w:sz w:val="20"/>
          <w:szCs w:val="20"/>
          <w:lang w:val="es-ES_tradnl"/>
        </w:rPr>
        <w:t xml:space="preserve">Por otra parte, la parte peticionaria argumenta </w:t>
      </w:r>
      <w:r w:rsidR="00A80E55" w:rsidRPr="001A6499">
        <w:rPr>
          <w:color w:val="auto"/>
          <w:sz w:val="20"/>
          <w:szCs w:val="20"/>
          <w:lang w:val="es-ES_tradnl"/>
        </w:rPr>
        <w:t xml:space="preserve">que </w:t>
      </w:r>
      <w:r w:rsidR="00F464E0" w:rsidRPr="001A6499">
        <w:rPr>
          <w:color w:val="auto"/>
          <w:sz w:val="20"/>
          <w:szCs w:val="20"/>
          <w:lang w:val="es-ES_tradnl"/>
        </w:rPr>
        <w:t>l</w:t>
      </w:r>
      <w:r w:rsidR="00AD61D5" w:rsidRPr="001A6499">
        <w:rPr>
          <w:color w:val="auto"/>
          <w:sz w:val="20"/>
          <w:szCs w:val="20"/>
          <w:lang w:val="es-ES_tradnl"/>
        </w:rPr>
        <w:t>os familiares de las pre</w:t>
      </w:r>
      <w:r w:rsidR="00F464E0" w:rsidRPr="001A6499">
        <w:rPr>
          <w:color w:val="auto"/>
          <w:sz w:val="20"/>
          <w:szCs w:val="20"/>
          <w:lang w:val="es-ES_tradnl"/>
        </w:rPr>
        <w:t>s</w:t>
      </w:r>
      <w:r w:rsidR="00AD61D5" w:rsidRPr="001A6499">
        <w:rPr>
          <w:color w:val="auto"/>
          <w:sz w:val="20"/>
          <w:szCs w:val="20"/>
          <w:lang w:val="es-ES_tradnl"/>
        </w:rPr>
        <w:t xml:space="preserve">untas víctimas no </w:t>
      </w:r>
      <w:r w:rsidRPr="001A6499">
        <w:rPr>
          <w:color w:val="auto"/>
          <w:sz w:val="20"/>
          <w:szCs w:val="20"/>
          <w:lang w:val="es-ES_tradnl"/>
        </w:rPr>
        <w:t xml:space="preserve">interpusieron recursos </w:t>
      </w:r>
      <w:r w:rsidR="00AD61D5" w:rsidRPr="001A6499">
        <w:rPr>
          <w:color w:val="auto"/>
          <w:sz w:val="20"/>
          <w:szCs w:val="20"/>
          <w:lang w:val="es-ES_tradnl"/>
        </w:rPr>
        <w:t xml:space="preserve">ante la jurisdicción </w:t>
      </w:r>
      <w:r w:rsidR="00522926" w:rsidRPr="001A6499">
        <w:rPr>
          <w:color w:val="auto"/>
          <w:sz w:val="20"/>
          <w:szCs w:val="20"/>
          <w:lang w:val="es-ES_tradnl"/>
        </w:rPr>
        <w:t>contencioso-administrativa</w:t>
      </w:r>
      <w:r w:rsidR="00F45206" w:rsidRPr="001A6499">
        <w:rPr>
          <w:color w:val="auto"/>
          <w:sz w:val="20"/>
          <w:szCs w:val="20"/>
          <w:lang w:val="es-ES_tradnl"/>
        </w:rPr>
        <w:t xml:space="preserve">, entre otras razones, </w:t>
      </w:r>
      <w:r w:rsidR="00AD61D5" w:rsidRPr="001A6499">
        <w:rPr>
          <w:color w:val="auto"/>
          <w:sz w:val="20"/>
          <w:szCs w:val="20"/>
          <w:lang w:val="es-ES_tradnl"/>
        </w:rPr>
        <w:t>por</w:t>
      </w:r>
      <w:r w:rsidR="00F45206" w:rsidRPr="001A6499">
        <w:rPr>
          <w:color w:val="auto"/>
          <w:sz w:val="20"/>
          <w:szCs w:val="20"/>
          <w:lang w:val="es-ES_tradnl"/>
        </w:rPr>
        <w:t xml:space="preserve"> </w:t>
      </w:r>
      <w:r w:rsidRPr="001A6499">
        <w:rPr>
          <w:color w:val="auto"/>
          <w:sz w:val="20"/>
          <w:szCs w:val="20"/>
          <w:lang w:val="es-ES_tradnl"/>
        </w:rPr>
        <w:t xml:space="preserve">la </w:t>
      </w:r>
      <w:r w:rsidR="00AD61D5" w:rsidRPr="001A6499">
        <w:rPr>
          <w:color w:val="auto"/>
          <w:sz w:val="20"/>
          <w:szCs w:val="20"/>
          <w:lang w:val="es-ES_tradnl"/>
        </w:rPr>
        <w:t>ausencia de una adecuada asesoría</w:t>
      </w:r>
      <w:r w:rsidR="00A80E55" w:rsidRPr="001A6499">
        <w:rPr>
          <w:color w:val="auto"/>
          <w:sz w:val="20"/>
          <w:szCs w:val="20"/>
          <w:lang w:val="es-ES_tradnl"/>
        </w:rPr>
        <w:t xml:space="preserve"> </w:t>
      </w:r>
      <w:r w:rsidRPr="001A6499">
        <w:rPr>
          <w:color w:val="auto"/>
          <w:sz w:val="20"/>
          <w:szCs w:val="20"/>
          <w:lang w:val="es-ES_tradnl"/>
        </w:rPr>
        <w:t xml:space="preserve">lo cual resultó en el vencimiento del </w:t>
      </w:r>
      <w:r w:rsidR="00AD61D5" w:rsidRPr="001A6499">
        <w:rPr>
          <w:color w:val="auto"/>
          <w:sz w:val="20"/>
          <w:szCs w:val="20"/>
          <w:lang w:val="es-ES_tradnl"/>
        </w:rPr>
        <w:t>término de caducidad establecid</w:t>
      </w:r>
      <w:r w:rsidR="00D12BEA" w:rsidRPr="001A6499">
        <w:rPr>
          <w:color w:val="auto"/>
          <w:sz w:val="20"/>
          <w:szCs w:val="20"/>
          <w:lang w:val="es-ES_tradnl"/>
        </w:rPr>
        <w:t>o</w:t>
      </w:r>
      <w:r w:rsidR="00AD61D5" w:rsidRPr="001A6499">
        <w:rPr>
          <w:color w:val="auto"/>
          <w:sz w:val="20"/>
          <w:szCs w:val="20"/>
          <w:lang w:val="es-ES_tradnl"/>
        </w:rPr>
        <w:t xml:space="preserve"> por la Ley 446 </w:t>
      </w:r>
      <w:r w:rsidR="00AD61D5" w:rsidRPr="001A6499">
        <w:rPr>
          <w:color w:val="auto"/>
          <w:sz w:val="20"/>
          <w:szCs w:val="20"/>
          <w:lang w:val="es-ES_tradnl"/>
        </w:rPr>
        <w:lastRenderedPageBreak/>
        <w:t xml:space="preserve">de 1998 para esta clase de acciones. </w:t>
      </w:r>
      <w:r w:rsidR="00F45206" w:rsidRPr="001A6499">
        <w:rPr>
          <w:color w:val="auto"/>
          <w:sz w:val="20"/>
          <w:szCs w:val="20"/>
          <w:lang w:val="es-ES_tradnl"/>
        </w:rPr>
        <w:t xml:space="preserve">Alega que </w:t>
      </w:r>
      <w:r w:rsidR="00F464E0" w:rsidRPr="001A6499">
        <w:rPr>
          <w:sz w:val="20"/>
          <w:szCs w:val="20"/>
          <w:lang w:val="es-ES_tradnl"/>
        </w:rPr>
        <w:t xml:space="preserve">las familias </w:t>
      </w:r>
      <w:r w:rsidR="00F45206" w:rsidRPr="001A6499">
        <w:rPr>
          <w:sz w:val="20"/>
          <w:szCs w:val="20"/>
          <w:lang w:val="es-ES_tradnl"/>
        </w:rPr>
        <w:t xml:space="preserve">de las presuntas víctimas también </w:t>
      </w:r>
      <w:r w:rsidR="00F464E0" w:rsidRPr="001A6499">
        <w:rPr>
          <w:sz w:val="20"/>
          <w:szCs w:val="20"/>
          <w:lang w:val="es-ES_tradnl"/>
        </w:rPr>
        <w:t xml:space="preserve">se vieron </w:t>
      </w:r>
      <w:r w:rsidR="00F45206" w:rsidRPr="001A6499">
        <w:rPr>
          <w:sz w:val="20"/>
          <w:szCs w:val="20"/>
          <w:lang w:val="es-ES_tradnl"/>
        </w:rPr>
        <w:t>desafiados por</w:t>
      </w:r>
      <w:r w:rsidR="00C14B5D" w:rsidRPr="001A6499">
        <w:rPr>
          <w:sz w:val="20"/>
          <w:szCs w:val="20"/>
          <w:lang w:val="es-ES_tradnl"/>
        </w:rPr>
        <w:t xml:space="preserve"> impedimentos de orden f</w:t>
      </w:r>
      <w:r w:rsidR="00F464E0" w:rsidRPr="001A6499">
        <w:rPr>
          <w:sz w:val="20"/>
          <w:szCs w:val="20"/>
          <w:lang w:val="es-ES_tradnl"/>
        </w:rPr>
        <w:t>á</w:t>
      </w:r>
      <w:r w:rsidR="00C14B5D" w:rsidRPr="001A6499">
        <w:rPr>
          <w:sz w:val="20"/>
          <w:szCs w:val="20"/>
          <w:lang w:val="es-ES_tradnl"/>
        </w:rPr>
        <w:t>ctico como</w:t>
      </w:r>
      <w:r w:rsidR="007F279F" w:rsidRPr="001A6499">
        <w:rPr>
          <w:sz w:val="20"/>
          <w:szCs w:val="20"/>
          <w:lang w:val="es-ES_tradnl"/>
        </w:rPr>
        <w:t xml:space="preserve">, por ejemplo, </w:t>
      </w:r>
      <w:r w:rsidR="00C14B5D" w:rsidRPr="001A6499">
        <w:rPr>
          <w:sz w:val="20"/>
          <w:szCs w:val="20"/>
          <w:lang w:val="es-ES_tradnl"/>
        </w:rPr>
        <w:t xml:space="preserve">la </w:t>
      </w:r>
      <w:r w:rsidR="00D12BEA" w:rsidRPr="001A6499">
        <w:rPr>
          <w:sz w:val="20"/>
          <w:szCs w:val="20"/>
          <w:lang w:val="es-ES_tradnl"/>
        </w:rPr>
        <w:t xml:space="preserve">ausencia </w:t>
      </w:r>
      <w:r w:rsidR="00C14B5D" w:rsidRPr="001A6499">
        <w:rPr>
          <w:sz w:val="20"/>
          <w:szCs w:val="20"/>
          <w:lang w:val="es-ES_tradnl"/>
        </w:rPr>
        <w:t>de juzgados administrativos en Urabá</w:t>
      </w:r>
      <w:r w:rsidR="007F279F" w:rsidRPr="001A6499">
        <w:rPr>
          <w:sz w:val="20"/>
          <w:szCs w:val="20"/>
          <w:lang w:val="es-ES_tradnl"/>
        </w:rPr>
        <w:t xml:space="preserve">; </w:t>
      </w:r>
      <w:r w:rsidR="00C14B5D" w:rsidRPr="001A6499">
        <w:rPr>
          <w:sz w:val="20"/>
          <w:szCs w:val="20"/>
          <w:lang w:val="es-ES_tradnl"/>
        </w:rPr>
        <w:t xml:space="preserve">limitaciones económicas </w:t>
      </w:r>
      <w:r w:rsidR="00F45206" w:rsidRPr="001A6499">
        <w:rPr>
          <w:sz w:val="20"/>
          <w:szCs w:val="20"/>
          <w:lang w:val="es-ES_tradnl"/>
        </w:rPr>
        <w:t xml:space="preserve">que </w:t>
      </w:r>
      <w:r w:rsidR="00D12BEA" w:rsidRPr="001A6499">
        <w:rPr>
          <w:sz w:val="20"/>
          <w:szCs w:val="20"/>
          <w:lang w:val="es-ES_tradnl"/>
        </w:rPr>
        <w:t>les impedía</w:t>
      </w:r>
      <w:r w:rsidR="007F279F" w:rsidRPr="001A6499">
        <w:rPr>
          <w:sz w:val="20"/>
          <w:szCs w:val="20"/>
          <w:lang w:val="es-ES_tradnl"/>
        </w:rPr>
        <w:t xml:space="preserve"> </w:t>
      </w:r>
      <w:r w:rsidR="00C14B5D" w:rsidRPr="001A6499">
        <w:rPr>
          <w:sz w:val="20"/>
          <w:szCs w:val="20"/>
          <w:lang w:val="es-ES_tradnl"/>
        </w:rPr>
        <w:t>asumir los costos del proceso</w:t>
      </w:r>
      <w:r w:rsidR="007F279F" w:rsidRPr="001A6499">
        <w:rPr>
          <w:sz w:val="20"/>
          <w:szCs w:val="20"/>
          <w:lang w:val="es-ES_tradnl"/>
        </w:rPr>
        <w:t xml:space="preserve">; </w:t>
      </w:r>
      <w:r w:rsidR="00F45206" w:rsidRPr="001A6499">
        <w:rPr>
          <w:sz w:val="20"/>
          <w:szCs w:val="20"/>
          <w:lang w:val="es-ES_tradnl"/>
        </w:rPr>
        <w:t xml:space="preserve">y </w:t>
      </w:r>
      <w:r w:rsidR="007F279F" w:rsidRPr="001A6499">
        <w:rPr>
          <w:sz w:val="20"/>
          <w:szCs w:val="20"/>
          <w:lang w:val="es-ES_tradnl"/>
        </w:rPr>
        <w:t>las dificultades de orden público en la zona</w:t>
      </w:r>
      <w:r w:rsidR="00F45206" w:rsidRPr="001A6499">
        <w:rPr>
          <w:sz w:val="20"/>
          <w:szCs w:val="20"/>
          <w:lang w:val="es-ES_tradnl"/>
        </w:rPr>
        <w:t xml:space="preserve"> que persistieron durante los dos años de periodo de caducidad</w:t>
      </w:r>
      <w:r w:rsidR="007F279F" w:rsidRPr="001A6499">
        <w:rPr>
          <w:sz w:val="20"/>
          <w:szCs w:val="20"/>
          <w:lang w:val="es-ES_tradnl"/>
        </w:rPr>
        <w:t xml:space="preserve">. </w:t>
      </w:r>
      <w:r w:rsidR="00B83F0C" w:rsidRPr="001A6499">
        <w:rPr>
          <w:sz w:val="20"/>
          <w:szCs w:val="20"/>
          <w:lang w:val="es-ES_tradnl"/>
        </w:rPr>
        <w:t xml:space="preserve">Frente a los argumentos del Estado, precisa que </w:t>
      </w:r>
      <w:r w:rsidR="007F279F" w:rsidRPr="001A6499">
        <w:rPr>
          <w:color w:val="auto"/>
          <w:sz w:val="20"/>
          <w:szCs w:val="20"/>
          <w:lang w:val="es-ES_tradnl"/>
        </w:rPr>
        <w:t xml:space="preserve">los mismos factores </w:t>
      </w:r>
      <w:r w:rsidR="00B83F0C" w:rsidRPr="001A6499">
        <w:rPr>
          <w:color w:val="auto"/>
          <w:sz w:val="20"/>
          <w:szCs w:val="20"/>
          <w:lang w:val="es-ES_tradnl"/>
        </w:rPr>
        <w:t xml:space="preserve">que el Estado pretender </w:t>
      </w:r>
      <w:r w:rsidR="00313F5D" w:rsidRPr="001A6499">
        <w:rPr>
          <w:color w:val="auto"/>
          <w:sz w:val="20"/>
          <w:szCs w:val="20"/>
          <w:lang w:val="es-ES_tradnl"/>
        </w:rPr>
        <w:t xml:space="preserve">alegar afectaron </w:t>
      </w:r>
      <w:r w:rsidR="00B83F0C" w:rsidRPr="001A6499">
        <w:rPr>
          <w:color w:val="auto"/>
          <w:sz w:val="20"/>
          <w:szCs w:val="20"/>
          <w:lang w:val="es-ES_tradnl"/>
        </w:rPr>
        <w:t xml:space="preserve">la </w:t>
      </w:r>
      <w:r w:rsidR="007F279F" w:rsidRPr="001A6499">
        <w:rPr>
          <w:color w:val="auto"/>
          <w:sz w:val="20"/>
          <w:szCs w:val="20"/>
          <w:lang w:val="es-ES_tradnl"/>
        </w:rPr>
        <w:t>complejidad de la investigación</w:t>
      </w:r>
      <w:r w:rsidR="00313F5D" w:rsidRPr="001A6499">
        <w:rPr>
          <w:color w:val="auto"/>
          <w:sz w:val="20"/>
          <w:szCs w:val="20"/>
          <w:lang w:val="es-ES_tradnl"/>
        </w:rPr>
        <w:t xml:space="preserve">, </w:t>
      </w:r>
      <w:r w:rsidR="007F279F" w:rsidRPr="001A6499">
        <w:rPr>
          <w:color w:val="auto"/>
          <w:sz w:val="20"/>
          <w:szCs w:val="20"/>
          <w:lang w:val="es-ES_tradnl"/>
        </w:rPr>
        <w:t xml:space="preserve">incidieron en la imposibilidad de </w:t>
      </w:r>
      <w:r w:rsidR="00B83F0C" w:rsidRPr="001A6499">
        <w:rPr>
          <w:color w:val="auto"/>
          <w:sz w:val="20"/>
          <w:szCs w:val="20"/>
          <w:lang w:val="es-ES_tradnl"/>
        </w:rPr>
        <w:t xml:space="preserve">los denunciantes de accionar y participar </w:t>
      </w:r>
      <w:r w:rsidR="007F279F" w:rsidRPr="001A6499">
        <w:rPr>
          <w:color w:val="auto"/>
          <w:sz w:val="20"/>
          <w:szCs w:val="20"/>
          <w:lang w:val="es-ES_tradnl"/>
        </w:rPr>
        <w:t>los recursos internos</w:t>
      </w:r>
      <w:r w:rsidR="00C14B5D" w:rsidRPr="001A6499">
        <w:rPr>
          <w:sz w:val="20"/>
          <w:szCs w:val="20"/>
          <w:lang w:val="es-ES_tradnl"/>
        </w:rPr>
        <w:t xml:space="preserve">. </w:t>
      </w:r>
      <w:r w:rsidR="00313F5D" w:rsidRPr="001A6499">
        <w:rPr>
          <w:sz w:val="20"/>
          <w:szCs w:val="20"/>
          <w:lang w:val="es-ES_tradnl"/>
        </w:rPr>
        <w:t xml:space="preserve">En tal sentido, rechaza que </w:t>
      </w:r>
      <w:r w:rsidR="00C14B5D" w:rsidRPr="001A6499">
        <w:rPr>
          <w:sz w:val="20"/>
          <w:szCs w:val="20"/>
          <w:lang w:val="es-ES_tradnl"/>
        </w:rPr>
        <w:t>el Estado pretend</w:t>
      </w:r>
      <w:r w:rsidR="00313F5D" w:rsidRPr="001A6499">
        <w:rPr>
          <w:sz w:val="20"/>
          <w:szCs w:val="20"/>
          <w:lang w:val="es-ES_tradnl"/>
        </w:rPr>
        <w:t xml:space="preserve">a </w:t>
      </w:r>
      <w:r w:rsidR="00C14B5D" w:rsidRPr="001A6499">
        <w:rPr>
          <w:sz w:val="20"/>
          <w:szCs w:val="20"/>
          <w:lang w:val="es-ES_tradnl"/>
        </w:rPr>
        <w:t>que</w:t>
      </w:r>
      <w:r w:rsidR="007F279F" w:rsidRPr="001A6499">
        <w:rPr>
          <w:sz w:val="20"/>
          <w:szCs w:val="20"/>
          <w:lang w:val="es-ES_tradnl"/>
        </w:rPr>
        <w:t xml:space="preserve"> la situación del orden público</w:t>
      </w:r>
      <w:r w:rsidR="00C14B5D" w:rsidRPr="001A6499">
        <w:rPr>
          <w:sz w:val="20"/>
          <w:szCs w:val="20"/>
          <w:lang w:val="es-ES_tradnl"/>
        </w:rPr>
        <w:t xml:space="preserve"> se asuma</w:t>
      </w:r>
      <w:r w:rsidR="007F279F" w:rsidRPr="001A6499">
        <w:rPr>
          <w:sz w:val="20"/>
          <w:szCs w:val="20"/>
          <w:lang w:val="es-ES_tradnl"/>
        </w:rPr>
        <w:t xml:space="preserve"> </w:t>
      </w:r>
      <w:r w:rsidR="00C14B5D" w:rsidRPr="001A6499">
        <w:rPr>
          <w:sz w:val="20"/>
          <w:szCs w:val="20"/>
          <w:lang w:val="es-ES_tradnl"/>
        </w:rPr>
        <w:t>como causa de la deficiente y dilatoria investigación penal</w:t>
      </w:r>
      <w:r w:rsidR="00D12BEA" w:rsidRPr="001A6499">
        <w:rPr>
          <w:sz w:val="20"/>
          <w:szCs w:val="20"/>
          <w:lang w:val="es-ES_tradnl"/>
        </w:rPr>
        <w:t>; y al mismo tiempo,</w:t>
      </w:r>
      <w:r w:rsidR="00C14B5D" w:rsidRPr="001A6499">
        <w:rPr>
          <w:sz w:val="20"/>
          <w:szCs w:val="20"/>
          <w:lang w:val="es-ES_tradnl"/>
        </w:rPr>
        <w:t xml:space="preserve"> </w:t>
      </w:r>
      <w:r w:rsidR="00313F5D" w:rsidRPr="001A6499">
        <w:rPr>
          <w:sz w:val="20"/>
          <w:szCs w:val="20"/>
          <w:lang w:val="es-ES_tradnl"/>
        </w:rPr>
        <w:t xml:space="preserve">cuestione la justificación de </w:t>
      </w:r>
      <w:r w:rsidR="00C14B5D" w:rsidRPr="001A6499">
        <w:rPr>
          <w:sz w:val="20"/>
          <w:szCs w:val="20"/>
          <w:lang w:val="es-ES_tradnl"/>
        </w:rPr>
        <w:t xml:space="preserve">las </w:t>
      </w:r>
      <w:r w:rsidR="00F464E0" w:rsidRPr="001A6499">
        <w:rPr>
          <w:sz w:val="20"/>
          <w:szCs w:val="20"/>
          <w:lang w:val="es-ES_tradnl"/>
        </w:rPr>
        <w:t>víctimas</w:t>
      </w:r>
      <w:r w:rsidR="00C14B5D" w:rsidRPr="001A6499">
        <w:rPr>
          <w:sz w:val="20"/>
          <w:szCs w:val="20"/>
          <w:lang w:val="es-ES_tradnl"/>
        </w:rPr>
        <w:t xml:space="preserve"> </w:t>
      </w:r>
      <w:r w:rsidR="00D12BEA" w:rsidRPr="001A6499">
        <w:rPr>
          <w:sz w:val="20"/>
          <w:szCs w:val="20"/>
          <w:lang w:val="es-ES_tradnl"/>
        </w:rPr>
        <w:t xml:space="preserve">por no haber planteado </w:t>
      </w:r>
      <w:r w:rsidR="00C14B5D" w:rsidRPr="001A6499">
        <w:rPr>
          <w:sz w:val="20"/>
          <w:szCs w:val="20"/>
          <w:lang w:val="es-ES_tradnl"/>
        </w:rPr>
        <w:t xml:space="preserve">la </w:t>
      </w:r>
      <w:r w:rsidR="00313F5D" w:rsidRPr="001A6499">
        <w:rPr>
          <w:sz w:val="20"/>
          <w:szCs w:val="20"/>
          <w:lang w:val="es-ES_tradnl"/>
        </w:rPr>
        <w:t xml:space="preserve">acción de </w:t>
      </w:r>
      <w:r w:rsidR="00C14B5D" w:rsidRPr="001A6499">
        <w:rPr>
          <w:sz w:val="20"/>
          <w:szCs w:val="20"/>
          <w:lang w:val="es-ES_tradnl"/>
        </w:rPr>
        <w:t xml:space="preserve">reparación directa. </w:t>
      </w:r>
    </w:p>
    <w:p w14:paraId="7F7C549E" w14:textId="3BA7112A" w:rsidR="00694A55" w:rsidRPr="001A6499" w:rsidRDefault="00313F5D"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color w:val="auto"/>
          <w:sz w:val="20"/>
          <w:szCs w:val="20"/>
          <w:lang w:val="es-ES_tradnl"/>
        </w:rPr>
      </w:pPr>
      <w:r w:rsidRPr="001A6499">
        <w:rPr>
          <w:color w:val="auto"/>
          <w:sz w:val="20"/>
          <w:szCs w:val="20"/>
          <w:lang w:val="es-ES_tradnl"/>
        </w:rPr>
        <w:t>Ante el alegato sobre</w:t>
      </w:r>
      <w:r w:rsidR="00B91023" w:rsidRPr="001A6499">
        <w:rPr>
          <w:color w:val="auto"/>
          <w:sz w:val="20"/>
          <w:szCs w:val="20"/>
          <w:lang w:val="es-ES_tradnl"/>
        </w:rPr>
        <w:t xml:space="preserve"> </w:t>
      </w:r>
      <w:r w:rsidR="007F279F" w:rsidRPr="001A6499">
        <w:rPr>
          <w:color w:val="auto"/>
          <w:sz w:val="20"/>
          <w:szCs w:val="20"/>
          <w:lang w:val="es-ES_tradnl"/>
        </w:rPr>
        <w:t>la presunta duplicidad de procedimientos</w:t>
      </w:r>
      <w:r w:rsidR="00B91023" w:rsidRPr="001A6499">
        <w:rPr>
          <w:color w:val="auto"/>
          <w:sz w:val="20"/>
          <w:szCs w:val="20"/>
          <w:lang w:val="es-ES_tradnl"/>
        </w:rPr>
        <w:t xml:space="preserve">, </w:t>
      </w:r>
      <w:r w:rsidRPr="001A6499">
        <w:rPr>
          <w:color w:val="auto"/>
          <w:sz w:val="20"/>
          <w:szCs w:val="20"/>
          <w:lang w:val="es-ES_tradnl"/>
        </w:rPr>
        <w:t xml:space="preserve">destaca </w:t>
      </w:r>
      <w:r w:rsidR="003A6B60" w:rsidRPr="001A6499">
        <w:rPr>
          <w:color w:val="auto"/>
          <w:sz w:val="20"/>
          <w:szCs w:val="20"/>
          <w:lang w:val="es-ES_tradnl"/>
        </w:rPr>
        <w:t xml:space="preserve">que no le ha sido posible verificar si </w:t>
      </w:r>
      <w:r w:rsidR="002928FE" w:rsidRPr="001A6499">
        <w:rPr>
          <w:color w:val="auto"/>
          <w:sz w:val="20"/>
          <w:szCs w:val="20"/>
          <w:lang w:val="es-ES_tradnl"/>
        </w:rPr>
        <w:t>las presuntas víctimas</w:t>
      </w:r>
      <w:r w:rsidR="003A6B60" w:rsidRPr="001A6499">
        <w:rPr>
          <w:color w:val="auto"/>
          <w:sz w:val="20"/>
          <w:szCs w:val="20"/>
          <w:lang w:val="es-ES_tradnl"/>
        </w:rPr>
        <w:t xml:space="preserve"> </w:t>
      </w:r>
      <w:r w:rsidRPr="001A6499">
        <w:rPr>
          <w:color w:val="auto"/>
          <w:sz w:val="20"/>
          <w:szCs w:val="20"/>
          <w:lang w:val="es-ES_tradnl"/>
        </w:rPr>
        <w:t>“</w:t>
      </w:r>
      <w:r w:rsidR="003A6B60" w:rsidRPr="001A6499">
        <w:rPr>
          <w:color w:val="auto"/>
          <w:sz w:val="20"/>
          <w:szCs w:val="20"/>
          <w:lang w:val="es-ES_tradnl"/>
        </w:rPr>
        <w:t xml:space="preserve">fueron </w:t>
      </w:r>
      <w:r w:rsidR="00B91023" w:rsidRPr="001A6499">
        <w:rPr>
          <w:color w:val="auto"/>
          <w:sz w:val="20"/>
          <w:szCs w:val="20"/>
          <w:lang w:val="es-ES_tradnl"/>
        </w:rPr>
        <w:t xml:space="preserve">simplemente </w:t>
      </w:r>
      <w:r w:rsidR="003A6B60" w:rsidRPr="001A6499">
        <w:rPr>
          <w:color w:val="auto"/>
          <w:sz w:val="20"/>
          <w:szCs w:val="20"/>
          <w:lang w:val="es-ES_tradnl"/>
        </w:rPr>
        <w:t>incluid</w:t>
      </w:r>
      <w:r w:rsidR="00B91023" w:rsidRPr="001A6499">
        <w:rPr>
          <w:color w:val="auto"/>
          <w:sz w:val="20"/>
          <w:szCs w:val="20"/>
          <w:lang w:val="es-ES_tradnl"/>
        </w:rPr>
        <w:t>a</w:t>
      </w:r>
      <w:r w:rsidR="003A6B60" w:rsidRPr="001A6499">
        <w:rPr>
          <w:color w:val="auto"/>
          <w:sz w:val="20"/>
          <w:szCs w:val="20"/>
          <w:lang w:val="es-ES_tradnl"/>
        </w:rPr>
        <w:t xml:space="preserve">s como víctimas por la </w:t>
      </w:r>
      <w:r w:rsidR="002530F2" w:rsidRPr="001A6499">
        <w:rPr>
          <w:color w:val="auto"/>
          <w:sz w:val="20"/>
          <w:szCs w:val="20"/>
          <w:lang w:val="es-ES_tradnl"/>
        </w:rPr>
        <w:t>C</w:t>
      </w:r>
      <w:r w:rsidR="00B91023" w:rsidRPr="001A6499">
        <w:rPr>
          <w:color w:val="auto"/>
          <w:sz w:val="20"/>
          <w:szCs w:val="20"/>
          <w:lang w:val="es-ES_tradnl"/>
        </w:rPr>
        <w:t>omisión</w:t>
      </w:r>
      <w:r w:rsidRPr="001A6499">
        <w:rPr>
          <w:color w:val="auto"/>
          <w:sz w:val="20"/>
          <w:szCs w:val="20"/>
          <w:lang w:val="es-ES_tradnl"/>
        </w:rPr>
        <w:t xml:space="preserve">” </w:t>
      </w:r>
      <w:r w:rsidR="00B91023" w:rsidRPr="001A6499">
        <w:rPr>
          <w:color w:val="auto"/>
          <w:sz w:val="20"/>
          <w:szCs w:val="20"/>
          <w:lang w:val="es-ES_tradnl"/>
        </w:rPr>
        <w:t xml:space="preserve">o si </w:t>
      </w:r>
      <w:r w:rsidRPr="001A6499">
        <w:rPr>
          <w:color w:val="auto"/>
          <w:sz w:val="20"/>
          <w:szCs w:val="20"/>
          <w:lang w:val="es-ES_tradnl"/>
        </w:rPr>
        <w:t xml:space="preserve">estas </w:t>
      </w:r>
      <w:r w:rsidR="00B91023" w:rsidRPr="001A6499">
        <w:rPr>
          <w:color w:val="auto"/>
          <w:sz w:val="20"/>
          <w:szCs w:val="20"/>
          <w:lang w:val="es-ES_tradnl"/>
        </w:rPr>
        <w:t>otorgaron poderes</w:t>
      </w:r>
      <w:r w:rsidRPr="001A6499">
        <w:rPr>
          <w:color w:val="auto"/>
          <w:sz w:val="20"/>
          <w:szCs w:val="20"/>
          <w:lang w:val="es-ES_tradnl"/>
        </w:rPr>
        <w:t xml:space="preserve"> de representación</w:t>
      </w:r>
      <w:r w:rsidR="00B91023" w:rsidRPr="001A6499">
        <w:rPr>
          <w:color w:val="auto"/>
          <w:sz w:val="20"/>
          <w:szCs w:val="20"/>
          <w:lang w:val="es-ES_tradnl"/>
        </w:rPr>
        <w:t xml:space="preserve"> para ser parte </w:t>
      </w:r>
      <w:r w:rsidR="00E30B6A" w:rsidRPr="001A6499">
        <w:rPr>
          <w:color w:val="auto"/>
          <w:sz w:val="20"/>
          <w:szCs w:val="20"/>
          <w:lang w:val="es-ES_tradnl"/>
        </w:rPr>
        <w:t>del caso 12.325.</w:t>
      </w:r>
      <w:r w:rsidR="00B91023" w:rsidRPr="001A6499">
        <w:rPr>
          <w:color w:val="auto"/>
          <w:sz w:val="20"/>
          <w:szCs w:val="20"/>
          <w:lang w:val="es-ES_tradnl"/>
        </w:rPr>
        <w:t xml:space="preserve"> </w:t>
      </w:r>
      <w:r w:rsidR="002530F2" w:rsidRPr="001A6499">
        <w:rPr>
          <w:color w:val="auto"/>
          <w:sz w:val="20"/>
          <w:szCs w:val="20"/>
          <w:lang w:val="es-ES_tradnl"/>
        </w:rPr>
        <w:t xml:space="preserve">No obstante, considera que los poderes otorgados a la </w:t>
      </w:r>
      <w:r w:rsidR="00E30B6A" w:rsidRPr="001A6499">
        <w:rPr>
          <w:color w:val="auto"/>
          <w:sz w:val="20"/>
          <w:szCs w:val="20"/>
          <w:lang w:val="es-ES_tradnl"/>
        </w:rPr>
        <w:t xml:space="preserve">actual </w:t>
      </w:r>
      <w:r w:rsidR="002530F2" w:rsidRPr="001A6499">
        <w:rPr>
          <w:color w:val="auto"/>
          <w:sz w:val="20"/>
          <w:szCs w:val="20"/>
          <w:lang w:val="es-ES_tradnl"/>
        </w:rPr>
        <w:t xml:space="preserve">parte peticionaria dan cuenta de </w:t>
      </w:r>
      <w:r w:rsidR="00B91023" w:rsidRPr="001A6499">
        <w:rPr>
          <w:color w:val="auto"/>
          <w:sz w:val="20"/>
          <w:szCs w:val="20"/>
          <w:lang w:val="es-ES_tradnl"/>
        </w:rPr>
        <w:t>la</w:t>
      </w:r>
      <w:r w:rsidR="002530F2" w:rsidRPr="001A6499">
        <w:rPr>
          <w:color w:val="auto"/>
          <w:sz w:val="20"/>
          <w:szCs w:val="20"/>
          <w:lang w:val="es-ES_tradnl"/>
        </w:rPr>
        <w:t xml:space="preserve"> voluntad </w:t>
      </w:r>
      <w:r w:rsidR="00B91023" w:rsidRPr="001A6499">
        <w:rPr>
          <w:color w:val="auto"/>
          <w:sz w:val="20"/>
          <w:szCs w:val="20"/>
          <w:lang w:val="es-ES_tradnl"/>
        </w:rPr>
        <w:t xml:space="preserve">de </w:t>
      </w:r>
      <w:r w:rsidRPr="001A6499">
        <w:rPr>
          <w:color w:val="auto"/>
          <w:sz w:val="20"/>
          <w:szCs w:val="20"/>
          <w:lang w:val="es-ES_tradnl"/>
        </w:rPr>
        <w:t>las presuntas víctimas y sus familias</w:t>
      </w:r>
      <w:r w:rsidR="00B91023" w:rsidRPr="001A6499">
        <w:rPr>
          <w:color w:val="auto"/>
          <w:sz w:val="20"/>
          <w:szCs w:val="20"/>
          <w:lang w:val="es-ES_tradnl"/>
        </w:rPr>
        <w:t xml:space="preserve"> </w:t>
      </w:r>
      <w:r w:rsidR="002530F2" w:rsidRPr="001A6499">
        <w:rPr>
          <w:color w:val="auto"/>
          <w:sz w:val="20"/>
          <w:szCs w:val="20"/>
          <w:lang w:val="es-ES_tradnl"/>
        </w:rPr>
        <w:t xml:space="preserve">de tramitar su </w:t>
      </w:r>
      <w:r w:rsidR="002928FE" w:rsidRPr="001A6499">
        <w:rPr>
          <w:color w:val="auto"/>
          <w:sz w:val="20"/>
          <w:szCs w:val="20"/>
          <w:lang w:val="es-ES_tradnl"/>
        </w:rPr>
        <w:t xml:space="preserve">reclamo </w:t>
      </w:r>
      <w:r w:rsidR="002530F2" w:rsidRPr="001A6499">
        <w:rPr>
          <w:color w:val="auto"/>
          <w:sz w:val="20"/>
          <w:szCs w:val="20"/>
          <w:lang w:val="es-ES_tradnl"/>
        </w:rPr>
        <w:t>a través de</w:t>
      </w:r>
      <w:r w:rsidR="002928FE" w:rsidRPr="001A6499">
        <w:rPr>
          <w:color w:val="auto"/>
          <w:sz w:val="20"/>
          <w:szCs w:val="20"/>
          <w:lang w:val="es-ES_tradnl"/>
        </w:rPr>
        <w:t>l presente asunto,</w:t>
      </w:r>
      <w:r w:rsidR="002530F2" w:rsidRPr="001A6499">
        <w:rPr>
          <w:color w:val="auto"/>
          <w:sz w:val="20"/>
          <w:szCs w:val="20"/>
          <w:lang w:val="es-ES_tradnl"/>
        </w:rPr>
        <w:t xml:space="preserve"> por lo que solicita </w:t>
      </w:r>
      <w:r w:rsidR="002928FE" w:rsidRPr="001A6499">
        <w:rPr>
          <w:color w:val="auto"/>
          <w:sz w:val="20"/>
          <w:szCs w:val="20"/>
          <w:lang w:val="es-ES_tradnl"/>
        </w:rPr>
        <w:t>el</w:t>
      </w:r>
      <w:r w:rsidR="002530F2" w:rsidRPr="001A6499">
        <w:rPr>
          <w:color w:val="auto"/>
          <w:sz w:val="20"/>
          <w:szCs w:val="20"/>
          <w:lang w:val="es-ES_tradnl"/>
        </w:rPr>
        <w:t xml:space="preserve"> desglose </w:t>
      </w:r>
      <w:r w:rsidR="002928FE" w:rsidRPr="001A6499">
        <w:rPr>
          <w:color w:val="auto"/>
          <w:sz w:val="20"/>
          <w:szCs w:val="20"/>
          <w:lang w:val="es-ES_tradnl"/>
        </w:rPr>
        <w:t>correspondiente</w:t>
      </w:r>
      <w:r w:rsidR="002530F2" w:rsidRPr="001A6499">
        <w:rPr>
          <w:color w:val="auto"/>
          <w:sz w:val="20"/>
          <w:szCs w:val="20"/>
          <w:lang w:val="es-ES_tradnl"/>
        </w:rPr>
        <w:t xml:space="preserve">. </w:t>
      </w:r>
      <w:r w:rsidRPr="001A6499">
        <w:rPr>
          <w:color w:val="auto"/>
          <w:sz w:val="20"/>
          <w:szCs w:val="20"/>
          <w:lang w:val="es-ES_tradnl"/>
        </w:rPr>
        <w:t>Por último, sostiene que la Declaración Americana es referente de valoración del actuar del Estado y debe ser considerado por la Comisión Interamericana como referencia para el análisis del asunto.</w:t>
      </w:r>
    </w:p>
    <w:p w14:paraId="1D45068C" w14:textId="16FBA523" w:rsidR="00E10040" w:rsidRPr="001A6499" w:rsidRDefault="008062AE"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sz w:val="20"/>
          <w:szCs w:val="20"/>
          <w:lang w:val="es-ES_tradnl"/>
        </w:rPr>
        <w:t>Por su parte, e</w:t>
      </w:r>
      <w:r w:rsidR="00C82B49" w:rsidRPr="001A6499">
        <w:rPr>
          <w:sz w:val="20"/>
          <w:szCs w:val="20"/>
          <w:lang w:val="es-ES_tradnl"/>
        </w:rPr>
        <w:t xml:space="preserve">l </w:t>
      </w:r>
      <w:r w:rsidR="007D6D45" w:rsidRPr="001A6499">
        <w:rPr>
          <w:sz w:val="20"/>
          <w:szCs w:val="20"/>
          <w:lang w:val="es-ES_tradnl"/>
        </w:rPr>
        <w:t xml:space="preserve">Estado </w:t>
      </w:r>
      <w:r w:rsidR="006142C9" w:rsidRPr="001A6499">
        <w:rPr>
          <w:sz w:val="20"/>
          <w:szCs w:val="20"/>
          <w:lang w:val="es-ES_tradnl"/>
        </w:rPr>
        <w:t>argumenta</w:t>
      </w:r>
      <w:r w:rsidR="00B91023" w:rsidRPr="001A6499">
        <w:rPr>
          <w:sz w:val="20"/>
          <w:szCs w:val="20"/>
          <w:lang w:val="es-ES_tradnl"/>
        </w:rPr>
        <w:t xml:space="preserve"> la inadmisibilidad de la presente petición en tanto existe </w:t>
      </w:r>
      <w:r w:rsidR="006142C9" w:rsidRPr="001A6499">
        <w:rPr>
          <w:sz w:val="20"/>
          <w:szCs w:val="20"/>
          <w:lang w:val="es-ES_tradnl"/>
        </w:rPr>
        <w:t>una duplicidad de procedimientos</w:t>
      </w:r>
      <w:r w:rsidR="00743C40" w:rsidRPr="001A6499">
        <w:rPr>
          <w:sz w:val="20"/>
          <w:szCs w:val="20"/>
          <w:lang w:val="es-ES_tradnl"/>
        </w:rPr>
        <w:t xml:space="preserve"> </w:t>
      </w:r>
      <w:r w:rsidR="00305F43" w:rsidRPr="001A6499">
        <w:rPr>
          <w:sz w:val="20"/>
          <w:szCs w:val="20"/>
          <w:lang w:val="es-ES_tradnl"/>
        </w:rPr>
        <w:t>respecto del</w:t>
      </w:r>
      <w:r w:rsidR="00743C40" w:rsidRPr="001A6499">
        <w:rPr>
          <w:sz w:val="20"/>
          <w:szCs w:val="20"/>
          <w:lang w:val="es-ES_tradnl"/>
        </w:rPr>
        <w:t xml:space="preserve"> caso 12.325</w:t>
      </w:r>
      <w:r w:rsidR="00B91023" w:rsidRPr="001A6499">
        <w:rPr>
          <w:sz w:val="20"/>
          <w:szCs w:val="20"/>
          <w:lang w:val="es-ES_tradnl"/>
        </w:rPr>
        <w:t xml:space="preserve">. </w:t>
      </w:r>
      <w:r w:rsidR="00305F43" w:rsidRPr="001A6499">
        <w:rPr>
          <w:sz w:val="20"/>
          <w:szCs w:val="20"/>
          <w:lang w:val="es-ES_tradnl"/>
        </w:rPr>
        <w:t>Aduce</w:t>
      </w:r>
      <w:r w:rsidR="00B91023" w:rsidRPr="001A6499">
        <w:rPr>
          <w:sz w:val="20"/>
          <w:szCs w:val="20"/>
          <w:lang w:val="es-ES_tradnl"/>
        </w:rPr>
        <w:t xml:space="preserve"> que</w:t>
      </w:r>
      <w:r w:rsidR="00743C40" w:rsidRPr="001A6499">
        <w:rPr>
          <w:sz w:val="20"/>
          <w:szCs w:val="20"/>
          <w:lang w:val="es-ES_tradnl"/>
        </w:rPr>
        <w:t xml:space="preserve"> los hechos alegados y </w:t>
      </w:r>
      <w:r w:rsidR="009C59E9" w:rsidRPr="001A6499">
        <w:rPr>
          <w:sz w:val="20"/>
          <w:szCs w:val="20"/>
          <w:lang w:val="es-ES_tradnl"/>
        </w:rPr>
        <w:t>las cuatro presuntas víctimas señaladas</w:t>
      </w:r>
      <w:r w:rsidR="00743C40" w:rsidRPr="001A6499">
        <w:rPr>
          <w:sz w:val="20"/>
          <w:szCs w:val="20"/>
          <w:lang w:val="es-ES_tradnl"/>
        </w:rPr>
        <w:t xml:space="preserve">, así como </w:t>
      </w:r>
      <w:r w:rsidR="006142C9" w:rsidRPr="001A6499">
        <w:rPr>
          <w:sz w:val="20"/>
          <w:szCs w:val="20"/>
          <w:lang w:val="es-ES_tradnl"/>
        </w:rPr>
        <w:t xml:space="preserve">el objeto </w:t>
      </w:r>
      <w:r w:rsidR="009C59E9" w:rsidRPr="001A6499">
        <w:rPr>
          <w:sz w:val="20"/>
          <w:szCs w:val="20"/>
          <w:lang w:val="es-ES_tradnl"/>
        </w:rPr>
        <w:t xml:space="preserve">de </w:t>
      </w:r>
      <w:r w:rsidR="00743C40" w:rsidRPr="001A6499">
        <w:rPr>
          <w:sz w:val="20"/>
          <w:szCs w:val="20"/>
          <w:lang w:val="es-ES_tradnl"/>
        </w:rPr>
        <w:t xml:space="preserve">la pretensión de la presente petición y la base jurídica argumentada </w:t>
      </w:r>
      <w:r w:rsidR="00B038B9" w:rsidRPr="001A6499">
        <w:rPr>
          <w:sz w:val="20"/>
          <w:szCs w:val="20"/>
          <w:lang w:val="es-ES_tradnl"/>
        </w:rPr>
        <w:t xml:space="preserve">se encuentran incluidos en el trámite del mencionado caso el cual se encuentra en etapa de fondo ante la Comisión Americana. </w:t>
      </w:r>
    </w:p>
    <w:p w14:paraId="07E2B8F3" w14:textId="5FDD90BC" w:rsidR="00077E3D" w:rsidRPr="001A6499" w:rsidRDefault="006142C9"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sz w:val="20"/>
          <w:szCs w:val="20"/>
          <w:lang w:val="es-ES_tradnl"/>
        </w:rPr>
        <w:t xml:space="preserve">Sin perjuicio </w:t>
      </w:r>
      <w:r w:rsidR="006A5DC1" w:rsidRPr="001A6499">
        <w:rPr>
          <w:sz w:val="20"/>
          <w:szCs w:val="20"/>
          <w:lang w:val="es-ES_tradnl"/>
        </w:rPr>
        <w:t>de</w:t>
      </w:r>
      <w:r w:rsidRPr="001A6499">
        <w:rPr>
          <w:sz w:val="20"/>
          <w:szCs w:val="20"/>
          <w:lang w:val="es-ES_tradnl"/>
        </w:rPr>
        <w:t xml:space="preserve"> lo anterior, </w:t>
      </w:r>
      <w:r w:rsidR="00B038B9" w:rsidRPr="001A6499">
        <w:rPr>
          <w:sz w:val="20"/>
          <w:szCs w:val="20"/>
          <w:lang w:val="es-ES_tradnl"/>
        </w:rPr>
        <w:t>sostiene, con relación a los hechos alegados,</w:t>
      </w:r>
      <w:r w:rsidR="00305F43" w:rsidRPr="001A6499">
        <w:rPr>
          <w:sz w:val="20"/>
          <w:szCs w:val="20"/>
          <w:lang w:val="es-ES_tradnl"/>
        </w:rPr>
        <w:t xml:space="preserve"> que</w:t>
      </w:r>
      <w:r w:rsidRPr="001A6499">
        <w:rPr>
          <w:sz w:val="20"/>
          <w:szCs w:val="20"/>
          <w:lang w:val="es-ES_tradnl"/>
        </w:rPr>
        <w:t xml:space="preserve"> </w:t>
      </w:r>
      <w:r w:rsidR="00F5529C" w:rsidRPr="001A6499">
        <w:rPr>
          <w:sz w:val="20"/>
          <w:szCs w:val="20"/>
          <w:lang w:val="es-ES_tradnl"/>
        </w:rPr>
        <w:t>la autoridad fiscal</w:t>
      </w:r>
      <w:r w:rsidR="00550BAF" w:rsidRPr="001A6499">
        <w:rPr>
          <w:sz w:val="20"/>
          <w:szCs w:val="20"/>
          <w:lang w:val="es-ES_tradnl"/>
        </w:rPr>
        <w:t xml:space="preserve"> adelant</w:t>
      </w:r>
      <w:r w:rsidR="00A25DC2" w:rsidRPr="001A6499">
        <w:rPr>
          <w:sz w:val="20"/>
          <w:szCs w:val="20"/>
          <w:lang w:val="es-ES_tradnl"/>
        </w:rPr>
        <w:t xml:space="preserve">ó </w:t>
      </w:r>
      <w:r w:rsidR="00077E3D" w:rsidRPr="001A6499">
        <w:rPr>
          <w:sz w:val="20"/>
          <w:szCs w:val="20"/>
          <w:lang w:val="es-ES_tradnl"/>
        </w:rPr>
        <w:t>un</w:t>
      </w:r>
      <w:r w:rsidR="00550BAF" w:rsidRPr="001A6499">
        <w:rPr>
          <w:sz w:val="20"/>
          <w:szCs w:val="20"/>
          <w:lang w:val="es-ES_tradnl"/>
        </w:rPr>
        <w:t xml:space="preserve"> proceso penal</w:t>
      </w:r>
      <w:r w:rsidR="00B038B9" w:rsidRPr="001A6499">
        <w:rPr>
          <w:sz w:val="20"/>
          <w:szCs w:val="20"/>
          <w:lang w:val="es-ES_tradnl"/>
        </w:rPr>
        <w:t xml:space="preserve"> que </w:t>
      </w:r>
      <w:r w:rsidR="00FA6D40" w:rsidRPr="001A6499">
        <w:rPr>
          <w:sz w:val="20"/>
          <w:szCs w:val="20"/>
          <w:lang w:val="es-ES_tradnl"/>
        </w:rPr>
        <w:t xml:space="preserve">permitió </w:t>
      </w:r>
      <w:r w:rsidR="00550BAF" w:rsidRPr="001A6499">
        <w:rPr>
          <w:sz w:val="20"/>
          <w:szCs w:val="20"/>
          <w:lang w:val="es-ES_tradnl"/>
        </w:rPr>
        <w:t xml:space="preserve">la individualización de presuntos responsables </w:t>
      </w:r>
      <w:r w:rsidR="006A5DC1" w:rsidRPr="001A6499">
        <w:rPr>
          <w:sz w:val="20"/>
          <w:szCs w:val="20"/>
          <w:lang w:val="es-ES_tradnl"/>
        </w:rPr>
        <w:t xml:space="preserve">y significó el </w:t>
      </w:r>
      <w:r w:rsidR="00550BAF" w:rsidRPr="001A6499">
        <w:rPr>
          <w:sz w:val="20"/>
          <w:szCs w:val="20"/>
          <w:lang w:val="es-ES_tradnl"/>
        </w:rPr>
        <w:t>cumplimiento del deber de debida diligencia</w:t>
      </w:r>
      <w:r w:rsidR="00077E3D" w:rsidRPr="001A6499">
        <w:rPr>
          <w:sz w:val="20"/>
          <w:szCs w:val="20"/>
          <w:lang w:val="es-ES_tradnl"/>
        </w:rPr>
        <w:t>.</w:t>
      </w:r>
      <w:r w:rsidR="00550BAF" w:rsidRPr="001A6499">
        <w:rPr>
          <w:sz w:val="20"/>
          <w:szCs w:val="20"/>
          <w:lang w:val="es-ES_tradnl"/>
        </w:rPr>
        <w:t xml:space="preserve"> </w:t>
      </w:r>
      <w:r w:rsidR="00F5529C" w:rsidRPr="001A6499">
        <w:rPr>
          <w:sz w:val="20"/>
          <w:szCs w:val="20"/>
          <w:lang w:val="es-ES_tradnl"/>
        </w:rPr>
        <w:t xml:space="preserve">En particular, </w:t>
      </w:r>
      <w:r w:rsidR="006A5DC1" w:rsidRPr="001A6499">
        <w:rPr>
          <w:sz w:val="20"/>
          <w:szCs w:val="20"/>
          <w:lang w:val="es-ES_tradnl"/>
        </w:rPr>
        <w:t>señala</w:t>
      </w:r>
      <w:r w:rsidR="00F5529C" w:rsidRPr="001A6499">
        <w:rPr>
          <w:sz w:val="20"/>
          <w:szCs w:val="20"/>
          <w:lang w:val="es-ES_tradnl"/>
        </w:rPr>
        <w:t xml:space="preserve"> que </w:t>
      </w:r>
      <w:r w:rsidR="002B5A2C" w:rsidRPr="001A6499">
        <w:rPr>
          <w:sz w:val="20"/>
          <w:szCs w:val="20"/>
          <w:lang w:val="es-ES_tradnl"/>
        </w:rPr>
        <w:t xml:space="preserve">en </w:t>
      </w:r>
      <w:r w:rsidR="00550BAF" w:rsidRPr="001A6499">
        <w:rPr>
          <w:sz w:val="20"/>
          <w:szCs w:val="20"/>
          <w:lang w:val="es-ES_tradnl"/>
        </w:rPr>
        <w:t>2005 y 2006</w:t>
      </w:r>
      <w:r w:rsidR="00B038B9" w:rsidRPr="001A6499">
        <w:rPr>
          <w:sz w:val="20"/>
          <w:szCs w:val="20"/>
          <w:lang w:val="es-ES_tradnl"/>
        </w:rPr>
        <w:t xml:space="preserve"> la autoridad competente</w:t>
      </w:r>
      <w:r w:rsidR="004A7B6F" w:rsidRPr="001A6499">
        <w:rPr>
          <w:sz w:val="20"/>
          <w:szCs w:val="20"/>
          <w:lang w:val="es-ES_tradnl"/>
        </w:rPr>
        <w:t xml:space="preserve"> </w:t>
      </w:r>
      <w:r w:rsidR="00550BAF" w:rsidRPr="001A6499">
        <w:rPr>
          <w:sz w:val="20"/>
          <w:szCs w:val="20"/>
          <w:lang w:val="es-ES_tradnl"/>
        </w:rPr>
        <w:t>orden</w:t>
      </w:r>
      <w:r w:rsidR="00077E3D" w:rsidRPr="001A6499">
        <w:rPr>
          <w:sz w:val="20"/>
          <w:szCs w:val="20"/>
          <w:lang w:val="es-ES_tradnl"/>
        </w:rPr>
        <w:t>ó</w:t>
      </w:r>
      <w:r w:rsidR="00550BAF" w:rsidRPr="001A6499">
        <w:rPr>
          <w:sz w:val="20"/>
          <w:szCs w:val="20"/>
          <w:lang w:val="es-ES_tradnl"/>
        </w:rPr>
        <w:t xml:space="preserve"> la </w:t>
      </w:r>
      <w:r w:rsidR="00077E3D" w:rsidRPr="001A6499">
        <w:rPr>
          <w:sz w:val="20"/>
          <w:szCs w:val="20"/>
          <w:lang w:val="es-ES_tradnl"/>
        </w:rPr>
        <w:t>práctica</w:t>
      </w:r>
      <w:r w:rsidR="00550BAF" w:rsidRPr="001A6499">
        <w:rPr>
          <w:sz w:val="20"/>
          <w:szCs w:val="20"/>
          <w:lang w:val="es-ES_tradnl"/>
        </w:rPr>
        <w:t xml:space="preserve"> de varias pruebas</w:t>
      </w:r>
      <w:r w:rsidR="00B038B9" w:rsidRPr="001A6499">
        <w:rPr>
          <w:sz w:val="20"/>
          <w:szCs w:val="20"/>
          <w:lang w:val="es-ES_tradnl"/>
        </w:rPr>
        <w:t xml:space="preserve"> que permitieron </w:t>
      </w:r>
      <w:r w:rsidR="001511F9" w:rsidRPr="001A6499">
        <w:rPr>
          <w:sz w:val="20"/>
          <w:szCs w:val="20"/>
          <w:lang w:val="es-ES_tradnl"/>
        </w:rPr>
        <w:t xml:space="preserve">que </w:t>
      </w:r>
      <w:r w:rsidR="004A7B6F" w:rsidRPr="001A6499">
        <w:rPr>
          <w:sz w:val="20"/>
          <w:szCs w:val="20"/>
          <w:lang w:val="es-ES_tradnl"/>
        </w:rPr>
        <w:t>e</w:t>
      </w:r>
      <w:r w:rsidR="00550BAF" w:rsidRPr="001A6499">
        <w:rPr>
          <w:sz w:val="20"/>
          <w:szCs w:val="20"/>
          <w:lang w:val="es-ES_tradnl"/>
        </w:rPr>
        <w:t>l 22 de diciembre de 2006 dispus</w:t>
      </w:r>
      <w:r w:rsidR="00B038B9" w:rsidRPr="001A6499">
        <w:rPr>
          <w:sz w:val="20"/>
          <w:szCs w:val="20"/>
          <w:lang w:val="es-ES_tradnl"/>
        </w:rPr>
        <w:t xml:space="preserve">iera </w:t>
      </w:r>
      <w:r w:rsidR="00550BAF" w:rsidRPr="001A6499">
        <w:rPr>
          <w:sz w:val="20"/>
          <w:szCs w:val="20"/>
          <w:lang w:val="es-ES_tradnl"/>
        </w:rPr>
        <w:t xml:space="preserve">la apertura de </w:t>
      </w:r>
      <w:r w:rsidR="00077E3D" w:rsidRPr="001A6499">
        <w:rPr>
          <w:sz w:val="20"/>
          <w:szCs w:val="20"/>
          <w:lang w:val="es-ES_tradnl"/>
        </w:rPr>
        <w:t>instrucción</w:t>
      </w:r>
      <w:r w:rsidR="00550BAF" w:rsidRPr="001A6499">
        <w:rPr>
          <w:sz w:val="20"/>
          <w:szCs w:val="20"/>
          <w:lang w:val="es-ES_tradnl"/>
        </w:rPr>
        <w:t xml:space="preserve"> contra</w:t>
      </w:r>
      <w:r w:rsidR="004A7B6F" w:rsidRPr="001A6499">
        <w:rPr>
          <w:sz w:val="20"/>
          <w:szCs w:val="20"/>
          <w:lang w:val="es-ES_tradnl"/>
        </w:rPr>
        <w:t xml:space="preserve"> el </w:t>
      </w:r>
      <w:r w:rsidR="001511F9" w:rsidRPr="001A6499">
        <w:rPr>
          <w:sz w:val="20"/>
          <w:szCs w:val="20"/>
          <w:lang w:val="es-ES_tradnl"/>
        </w:rPr>
        <w:t>entonces D</w:t>
      </w:r>
      <w:r w:rsidR="004A7B6F" w:rsidRPr="001A6499">
        <w:rPr>
          <w:sz w:val="20"/>
          <w:szCs w:val="20"/>
          <w:lang w:val="es-ES_tradnl"/>
        </w:rPr>
        <w:t xml:space="preserve">efensor del </w:t>
      </w:r>
      <w:r w:rsidR="001511F9" w:rsidRPr="001A6499">
        <w:rPr>
          <w:sz w:val="20"/>
          <w:szCs w:val="20"/>
          <w:lang w:val="es-ES_tradnl"/>
        </w:rPr>
        <w:t>P</w:t>
      </w:r>
      <w:r w:rsidR="004A7B6F" w:rsidRPr="001A6499">
        <w:rPr>
          <w:sz w:val="20"/>
          <w:szCs w:val="20"/>
          <w:lang w:val="es-ES_tradnl"/>
        </w:rPr>
        <w:t>ueblo</w:t>
      </w:r>
      <w:r w:rsidR="00550BAF" w:rsidRPr="001A6499">
        <w:rPr>
          <w:sz w:val="20"/>
          <w:szCs w:val="20"/>
          <w:lang w:val="es-ES_tradnl"/>
        </w:rPr>
        <w:t xml:space="preserve"> y </w:t>
      </w:r>
      <w:r w:rsidR="0079030D" w:rsidRPr="001A6499">
        <w:rPr>
          <w:sz w:val="20"/>
          <w:szCs w:val="20"/>
          <w:lang w:val="es-ES_tradnl"/>
        </w:rPr>
        <w:t xml:space="preserve">G.T.U </w:t>
      </w:r>
      <w:r w:rsidR="00550BAF" w:rsidRPr="001A6499">
        <w:rPr>
          <w:sz w:val="20"/>
          <w:szCs w:val="20"/>
          <w:lang w:val="es-ES_tradnl"/>
        </w:rPr>
        <w:t xml:space="preserve">a los </w:t>
      </w:r>
      <w:r w:rsidR="001511F9" w:rsidRPr="001A6499">
        <w:rPr>
          <w:sz w:val="20"/>
          <w:szCs w:val="20"/>
          <w:lang w:val="es-ES_tradnl"/>
        </w:rPr>
        <w:t xml:space="preserve">que </w:t>
      </w:r>
      <w:r w:rsidR="00550BAF" w:rsidRPr="001A6499">
        <w:rPr>
          <w:sz w:val="20"/>
          <w:szCs w:val="20"/>
          <w:lang w:val="es-ES_tradnl"/>
        </w:rPr>
        <w:t xml:space="preserve">se vinculó mediante indagatoria. </w:t>
      </w:r>
      <w:r w:rsidR="0079030D" w:rsidRPr="001A6499">
        <w:rPr>
          <w:sz w:val="20"/>
          <w:szCs w:val="20"/>
          <w:lang w:val="es-ES_tradnl"/>
        </w:rPr>
        <w:t>Explica que e</w:t>
      </w:r>
      <w:r w:rsidR="001511F9" w:rsidRPr="001A6499">
        <w:rPr>
          <w:sz w:val="20"/>
          <w:szCs w:val="20"/>
          <w:lang w:val="es-ES_tradnl"/>
        </w:rPr>
        <w:t xml:space="preserve">l </w:t>
      </w:r>
      <w:r w:rsidR="00550BAF" w:rsidRPr="001A6499">
        <w:rPr>
          <w:sz w:val="20"/>
          <w:szCs w:val="20"/>
          <w:lang w:val="es-ES_tradnl"/>
        </w:rPr>
        <w:t xml:space="preserve">29 de mayo de 2009 la </w:t>
      </w:r>
      <w:r w:rsidR="00077E3D" w:rsidRPr="001A6499">
        <w:rPr>
          <w:sz w:val="20"/>
          <w:szCs w:val="20"/>
          <w:lang w:val="es-ES_tradnl"/>
        </w:rPr>
        <w:t>Fiscalía</w:t>
      </w:r>
      <w:r w:rsidR="00550BAF" w:rsidRPr="001A6499">
        <w:rPr>
          <w:sz w:val="20"/>
          <w:szCs w:val="20"/>
          <w:lang w:val="es-ES_tradnl"/>
        </w:rPr>
        <w:t xml:space="preserve"> 26 </w:t>
      </w:r>
      <w:r w:rsidR="004A7B6F" w:rsidRPr="001A6499">
        <w:rPr>
          <w:sz w:val="20"/>
          <w:szCs w:val="20"/>
          <w:lang w:val="es-ES_tradnl"/>
        </w:rPr>
        <w:t>d</w:t>
      </w:r>
      <w:r w:rsidR="00550BAF" w:rsidRPr="001A6499">
        <w:rPr>
          <w:sz w:val="20"/>
          <w:szCs w:val="20"/>
          <w:lang w:val="es-ES_tradnl"/>
        </w:rPr>
        <w:t xml:space="preserve">elegada ante el Tribunal Superior de Bogotá </w:t>
      </w:r>
      <w:r w:rsidR="00AF43E7" w:rsidRPr="001A6499">
        <w:rPr>
          <w:sz w:val="20"/>
          <w:szCs w:val="20"/>
          <w:lang w:val="es-ES_tradnl"/>
        </w:rPr>
        <w:t xml:space="preserve">ordenó la preclusión de </w:t>
      </w:r>
      <w:r w:rsidR="00550BAF" w:rsidRPr="001A6499">
        <w:rPr>
          <w:sz w:val="20"/>
          <w:szCs w:val="20"/>
          <w:lang w:val="es-ES_tradnl"/>
        </w:rPr>
        <w:t xml:space="preserve">la </w:t>
      </w:r>
      <w:r w:rsidR="00077E3D" w:rsidRPr="001A6499">
        <w:rPr>
          <w:sz w:val="20"/>
          <w:szCs w:val="20"/>
          <w:lang w:val="es-ES_tradnl"/>
        </w:rPr>
        <w:t>investigación</w:t>
      </w:r>
      <w:r w:rsidR="00550BAF" w:rsidRPr="001A6499">
        <w:rPr>
          <w:sz w:val="20"/>
          <w:szCs w:val="20"/>
          <w:lang w:val="es-ES_tradnl"/>
        </w:rPr>
        <w:t xml:space="preserve"> </w:t>
      </w:r>
      <w:r w:rsidR="00AF43E7" w:rsidRPr="001A6499">
        <w:rPr>
          <w:sz w:val="20"/>
          <w:szCs w:val="20"/>
          <w:lang w:val="es-ES_tradnl"/>
        </w:rPr>
        <w:t xml:space="preserve">contra </w:t>
      </w:r>
      <w:r w:rsidR="00CA36FC" w:rsidRPr="001A6499">
        <w:rPr>
          <w:sz w:val="20"/>
          <w:szCs w:val="20"/>
          <w:lang w:val="es-ES_tradnl"/>
        </w:rPr>
        <w:t xml:space="preserve">este último </w:t>
      </w:r>
      <w:r w:rsidR="001511F9" w:rsidRPr="001A6499">
        <w:rPr>
          <w:sz w:val="20"/>
          <w:szCs w:val="20"/>
          <w:lang w:val="es-ES_tradnl"/>
        </w:rPr>
        <w:t>ya que</w:t>
      </w:r>
      <w:r w:rsidR="00FA6D40" w:rsidRPr="001A6499">
        <w:rPr>
          <w:sz w:val="20"/>
          <w:szCs w:val="20"/>
          <w:lang w:val="es-ES_tradnl"/>
        </w:rPr>
        <w:t xml:space="preserve">, luego de analizar todos los elementos probatorios obrantes en la investigación, se concluyó que no era razonable atribuirle responsabilidad penal. </w:t>
      </w:r>
      <w:r w:rsidR="0079030D" w:rsidRPr="001A6499">
        <w:rPr>
          <w:sz w:val="20"/>
          <w:szCs w:val="20"/>
          <w:lang w:val="es-ES_tradnl"/>
        </w:rPr>
        <w:t>Asimismo, detalla que e</w:t>
      </w:r>
      <w:r w:rsidR="001511F9" w:rsidRPr="001A6499">
        <w:rPr>
          <w:sz w:val="20"/>
          <w:szCs w:val="20"/>
          <w:lang w:val="es-ES_tradnl"/>
        </w:rPr>
        <w:t xml:space="preserve">l </w:t>
      </w:r>
      <w:r w:rsidR="00FA6D40" w:rsidRPr="001A6499">
        <w:rPr>
          <w:sz w:val="20"/>
          <w:szCs w:val="20"/>
          <w:lang w:val="es-ES_tradnl"/>
        </w:rPr>
        <w:t xml:space="preserve">10 de agosto de 2009 se remitieron las diligencias a los juzgados penales del circuito de Apartadó </w:t>
      </w:r>
      <w:r w:rsidR="001511F9" w:rsidRPr="001A6499">
        <w:rPr>
          <w:sz w:val="20"/>
          <w:szCs w:val="20"/>
          <w:lang w:val="es-ES_tradnl"/>
        </w:rPr>
        <w:t xml:space="preserve">en la </w:t>
      </w:r>
      <w:r w:rsidR="00FA6D40" w:rsidRPr="001A6499">
        <w:rPr>
          <w:sz w:val="20"/>
          <w:szCs w:val="20"/>
          <w:lang w:val="es-ES_tradnl"/>
        </w:rPr>
        <w:t>causa</w:t>
      </w:r>
      <w:r w:rsidR="00A25DC2" w:rsidRPr="001A6499">
        <w:rPr>
          <w:sz w:val="20"/>
          <w:szCs w:val="20"/>
          <w:lang w:val="es-ES_tradnl"/>
        </w:rPr>
        <w:t xml:space="preserve"> </w:t>
      </w:r>
      <w:r w:rsidR="00550BAF" w:rsidRPr="001A6499">
        <w:rPr>
          <w:sz w:val="20"/>
          <w:szCs w:val="20"/>
          <w:lang w:val="es-ES_tradnl"/>
        </w:rPr>
        <w:t>contra e</w:t>
      </w:r>
      <w:r w:rsidR="001511F9" w:rsidRPr="001A6499">
        <w:rPr>
          <w:sz w:val="20"/>
          <w:szCs w:val="20"/>
          <w:lang w:val="es-ES_tradnl"/>
        </w:rPr>
        <w:t xml:space="preserve">l </w:t>
      </w:r>
      <w:r w:rsidR="0079030D" w:rsidRPr="001A6499">
        <w:rPr>
          <w:sz w:val="20"/>
          <w:szCs w:val="20"/>
          <w:lang w:val="es-ES_tradnl"/>
        </w:rPr>
        <w:t xml:space="preserve">entonces </w:t>
      </w:r>
      <w:r w:rsidR="001511F9" w:rsidRPr="001A6499">
        <w:rPr>
          <w:sz w:val="20"/>
          <w:szCs w:val="20"/>
          <w:lang w:val="es-ES_tradnl"/>
        </w:rPr>
        <w:t>Defensor del Pueblo,</w:t>
      </w:r>
      <w:r w:rsidR="00550BAF" w:rsidRPr="001A6499">
        <w:rPr>
          <w:sz w:val="20"/>
          <w:szCs w:val="20"/>
          <w:lang w:val="es-ES_tradnl"/>
        </w:rPr>
        <w:t xml:space="preserve"> </w:t>
      </w:r>
      <w:r w:rsidR="00FA6D40" w:rsidRPr="001A6499">
        <w:rPr>
          <w:sz w:val="20"/>
          <w:szCs w:val="20"/>
          <w:lang w:val="es-ES_tradnl"/>
        </w:rPr>
        <w:t xml:space="preserve">y el 29 de abril de 2010 </w:t>
      </w:r>
      <w:r w:rsidR="00550BAF" w:rsidRPr="001A6499">
        <w:rPr>
          <w:sz w:val="20"/>
          <w:szCs w:val="20"/>
          <w:lang w:val="es-ES_tradnl"/>
        </w:rPr>
        <w:t>el Juzgado Primero del Circuito Penal de Apartadó</w:t>
      </w:r>
      <w:r w:rsidR="00FA6D40" w:rsidRPr="001A6499">
        <w:rPr>
          <w:sz w:val="20"/>
          <w:szCs w:val="20"/>
          <w:lang w:val="es-ES_tradnl"/>
        </w:rPr>
        <w:t xml:space="preserve"> emitió sentencia absolutoria a </w:t>
      </w:r>
      <w:r w:rsidR="001511F9" w:rsidRPr="001A6499">
        <w:rPr>
          <w:sz w:val="20"/>
          <w:szCs w:val="20"/>
          <w:lang w:val="es-ES_tradnl"/>
        </w:rPr>
        <w:t xml:space="preserve">su </w:t>
      </w:r>
      <w:r w:rsidR="00FA6D40" w:rsidRPr="001A6499">
        <w:rPr>
          <w:sz w:val="20"/>
          <w:szCs w:val="20"/>
          <w:lang w:val="es-ES_tradnl"/>
        </w:rPr>
        <w:t>favor</w:t>
      </w:r>
      <w:r w:rsidR="00550BAF" w:rsidRPr="001A6499">
        <w:rPr>
          <w:sz w:val="20"/>
          <w:szCs w:val="20"/>
          <w:lang w:val="es-ES_tradnl"/>
        </w:rPr>
        <w:t xml:space="preserve">. </w:t>
      </w:r>
    </w:p>
    <w:p w14:paraId="08A2779C" w14:textId="5BEC02CD" w:rsidR="00E37D2D" w:rsidRPr="001A6499" w:rsidRDefault="001F57B1"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sz w:val="20"/>
          <w:szCs w:val="20"/>
          <w:lang w:val="es-ES_tradnl"/>
        </w:rPr>
        <w:t>En vista de lo anterior, sostiene que e</w:t>
      </w:r>
      <w:r w:rsidR="00FA6D40" w:rsidRPr="001A6499">
        <w:rPr>
          <w:sz w:val="20"/>
          <w:szCs w:val="20"/>
          <w:lang w:val="es-ES_tradnl"/>
        </w:rPr>
        <w:t xml:space="preserve">l proceso penal fue sustanciado </w:t>
      </w:r>
      <w:r w:rsidR="00522926" w:rsidRPr="001A6499">
        <w:rPr>
          <w:sz w:val="20"/>
          <w:szCs w:val="20"/>
          <w:lang w:val="es-ES_tradnl"/>
        </w:rPr>
        <w:t>de acuerdo con</w:t>
      </w:r>
      <w:r w:rsidR="00FA6D40" w:rsidRPr="001A6499">
        <w:rPr>
          <w:sz w:val="20"/>
          <w:szCs w:val="20"/>
          <w:lang w:val="es-ES_tradnl"/>
        </w:rPr>
        <w:t xml:space="preserve"> la normatividad proce</w:t>
      </w:r>
      <w:r w:rsidR="001511F9" w:rsidRPr="001A6499">
        <w:rPr>
          <w:sz w:val="20"/>
          <w:szCs w:val="20"/>
          <w:lang w:val="es-ES_tradnl"/>
        </w:rPr>
        <w:t>sal</w:t>
      </w:r>
      <w:r w:rsidR="00FA6D40" w:rsidRPr="001A6499">
        <w:rPr>
          <w:sz w:val="20"/>
          <w:szCs w:val="20"/>
          <w:lang w:val="es-ES_tradnl"/>
        </w:rPr>
        <w:t xml:space="preserve"> y sustantiva en la </w:t>
      </w:r>
      <w:r w:rsidR="001B1748" w:rsidRPr="001A6499">
        <w:rPr>
          <w:sz w:val="20"/>
          <w:szCs w:val="20"/>
          <w:lang w:val="es-ES_tradnl"/>
        </w:rPr>
        <w:t>materia</w:t>
      </w:r>
      <w:r w:rsidR="001511F9" w:rsidRPr="001A6499">
        <w:rPr>
          <w:sz w:val="20"/>
          <w:szCs w:val="20"/>
          <w:lang w:val="es-ES_tradnl"/>
        </w:rPr>
        <w:t>;</w:t>
      </w:r>
      <w:r w:rsidRPr="001A6499">
        <w:rPr>
          <w:sz w:val="20"/>
          <w:szCs w:val="20"/>
          <w:lang w:val="es-ES_tradnl"/>
        </w:rPr>
        <w:t xml:space="preserve"> y que </w:t>
      </w:r>
      <w:r w:rsidR="001B1748" w:rsidRPr="001A6499">
        <w:rPr>
          <w:sz w:val="20"/>
          <w:szCs w:val="20"/>
          <w:lang w:val="es-ES_tradnl"/>
        </w:rPr>
        <w:t xml:space="preserve">se practicaron y analizaron las pruebas </w:t>
      </w:r>
      <w:r w:rsidR="00FA6D40" w:rsidRPr="001A6499">
        <w:rPr>
          <w:sz w:val="20"/>
          <w:szCs w:val="20"/>
          <w:lang w:val="es-ES_tradnl"/>
        </w:rPr>
        <w:t>por autoridades competentes, independientes e imparciales</w:t>
      </w:r>
      <w:r w:rsidRPr="001A6499">
        <w:rPr>
          <w:sz w:val="20"/>
          <w:szCs w:val="20"/>
          <w:lang w:val="es-ES_tradnl"/>
        </w:rPr>
        <w:t>.</w:t>
      </w:r>
      <w:r w:rsidR="002B5A2C" w:rsidRPr="001A6499">
        <w:rPr>
          <w:sz w:val="20"/>
          <w:szCs w:val="20"/>
          <w:lang w:val="es-ES_tradnl"/>
        </w:rPr>
        <w:t xml:space="preserve"> </w:t>
      </w:r>
      <w:r w:rsidR="001511F9" w:rsidRPr="001A6499">
        <w:rPr>
          <w:sz w:val="20"/>
          <w:szCs w:val="20"/>
          <w:lang w:val="es-ES_tradnl"/>
        </w:rPr>
        <w:t xml:space="preserve">Destaca </w:t>
      </w:r>
      <w:r w:rsidRPr="001A6499">
        <w:rPr>
          <w:sz w:val="20"/>
          <w:szCs w:val="20"/>
          <w:lang w:val="es-ES_tradnl"/>
        </w:rPr>
        <w:t xml:space="preserve">que </w:t>
      </w:r>
      <w:r w:rsidR="006142C9" w:rsidRPr="001A6499">
        <w:rPr>
          <w:sz w:val="20"/>
          <w:szCs w:val="20"/>
          <w:lang w:val="es-ES_tradnl"/>
        </w:rPr>
        <w:t>l</w:t>
      </w:r>
      <w:r w:rsidR="00550BAF" w:rsidRPr="001A6499">
        <w:rPr>
          <w:sz w:val="20"/>
          <w:szCs w:val="20"/>
          <w:lang w:val="es-ES_tradnl"/>
        </w:rPr>
        <w:t>as autoridades responsables asumi</w:t>
      </w:r>
      <w:r w:rsidR="00215A05" w:rsidRPr="001A6499">
        <w:rPr>
          <w:sz w:val="20"/>
          <w:szCs w:val="20"/>
          <w:lang w:val="es-ES_tradnl"/>
        </w:rPr>
        <w:t xml:space="preserve">eron </w:t>
      </w:r>
      <w:r w:rsidR="00550BAF" w:rsidRPr="001A6499">
        <w:rPr>
          <w:sz w:val="20"/>
          <w:szCs w:val="20"/>
          <w:lang w:val="es-ES_tradnl"/>
        </w:rPr>
        <w:t>la investigación con seriedad</w:t>
      </w:r>
      <w:r w:rsidR="001511F9" w:rsidRPr="001A6499">
        <w:rPr>
          <w:sz w:val="20"/>
          <w:szCs w:val="20"/>
          <w:lang w:val="es-ES_tradnl"/>
        </w:rPr>
        <w:t xml:space="preserve">, pero que </w:t>
      </w:r>
      <w:r w:rsidR="00550BAF" w:rsidRPr="001A6499">
        <w:rPr>
          <w:sz w:val="20"/>
          <w:szCs w:val="20"/>
          <w:lang w:val="es-ES_tradnl"/>
        </w:rPr>
        <w:t>confluye</w:t>
      </w:r>
      <w:r w:rsidR="00215A05" w:rsidRPr="001A6499">
        <w:rPr>
          <w:sz w:val="20"/>
          <w:szCs w:val="20"/>
          <w:lang w:val="es-ES_tradnl"/>
        </w:rPr>
        <w:t xml:space="preserve">ron </w:t>
      </w:r>
      <w:r w:rsidR="00550BAF" w:rsidRPr="001A6499">
        <w:rPr>
          <w:sz w:val="20"/>
          <w:szCs w:val="20"/>
          <w:lang w:val="es-ES_tradnl"/>
        </w:rPr>
        <w:t xml:space="preserve">diversos factores </w:t>
      </w:r>
      <w:r w:rsidR="00077E3D" w:rsidRPr="001A6499">
        <w:rPr>
          <w:sz w:val="20"/>
          <w:szCs w:val="20"/>
          <w:lang w:val="es-ES_tradnl"/>
        </w:rPr>
        <w:t>q</w:t>
      </w:r>
      <w:r w:rsidR="001511F9" w:rsidRPr="001A6499">
        <w:rPr>
          <w:sz w:val="20"/>
          <w:szCs w:val="20"/>
          <w:lang w:val="es-ES_tradnl"/>
        </w:rPr>
        <w:t>ue complicaron</w:t>
      </w:r>
      <w:r w:rsidR="00550BAF" w:rsidRPr="001A6499">
        <w:rPr>
          <w:sz w:val="20"/>
          <w:szCs w:val="20"/>
          <w:lang w:val="es-ES_tradnl"/>
        </w:rPr>
        <w:t xml:space="preserve"> la investigación</w:t>
      </w:r>
      <w:r w:rsidR="00215A05" w:rsidRPr="001A6499">
        <w:rPr>
          <w:sz w:val="20"/>
          <w:szCs w:val="20"/>
          <w:lang w:val="es-ES_tradnl"/>
        </w:rPr>
        <w:t xml:space="preserve"> </w:t>
      </w:r>
      <w:r w:rsidR="001511F9" w:rsidRPr="001A6499">
        <w:rPr>
          <w:sz w:val="20"/>
          <w:szCs w:val="20"/>
          <w:lang w:val="es-ES_tradnl"/>
        </w:rPr>
        <w:t>tales como</w:t>
      </w:r>
      <w:r w:rsidR="00215A05" w:rsidRPr="001A6499">
        <w:rPr>
          <w:sz w:val="20"/>
          <w:szCs w:val="20"/>
          <w:lang w:val="es-ES_tradnl"/>
        </w:rPr>
        <w:t xml:space="preserve"> </w:t>
      </w:r>
      <w:r w:rsidR="00550BAF" w:rsidRPr="001A6499">
        <w:rPr>
          <w:sz w:val="20"/>
          <w:szCs w:val="20"/>
          <w:lang w:val="es-ES_tradnl"/>
        </w:rPr>
        <w:t xml:space="preserve">la difícil </w:t>
      </w:r>
      <w:r w:rsidR="00077E3D" w:rsidRPr="001A6499">
        <w:rPr>
          <w:sz w:val="20"/>
          <w:szCs w:val="20"/>
          <w:lang w:val="es-ES_tradnl"/>
        </w:rPr>
        <w:t>situación</w:t>
      </w:r>
      <w:r w:rsidR="00550BAF" w:rsidRPr="001A6499">
        <w:rPr>
          <w:sz w:val="20"/>
          <w:szCs w:val="20"/>
          <w:lang w:val="es-ES_tradnl"/>
        </w:rPr>
        <w:t xml:space="preserve"> de orden </w:t>
      </w:r>
      <w:r w:rsidR="00522926" w:rsidRPr="001A6499">
        <w:rPr>
          <w:sz w:val="20"/>
          <w:szCs w:val="20"/>
          <w:lang w:val="es-ES_tradnl"/>
        </w:rPr>
        <w:t>público-caracterizada</w:t>
      </w:r>
      <w:r w:rsidR="00550BAF" w:rsidRPr="001A6499">
        <w:rPr>
          <w:sz w:val="20"/>
          <w:szCs w:val="20"/>
          <w:lang w:val="es-ES_tradnl"/>
        </w:rPr>
        <w:t xml:space="preserve"> por la presencia de grupos armados al margen de la ley en la zona.</w:t>
      </w:r>
      <w:r w:rsidR="00215A05" w:rsidRPr="001A6499">
        <w:rPr>
          <w:sz w:val="20"/>
          <w:szCs w:val="20"/>
          <w:lang w:val="es-ES_tradnl"/>
        </w:rPr>
        <w:t xml:space="preserve"> </w:t>
      </w:r>
      <w:r w:rsidR="0079030D" w:rsidRPr="001A6499">
        <w:rPr>
          <w:sz w:val="20"/>
          <w:szCs w:val="20"/>
          <w:lang w:val="es-ES_tradnl"/>
        </w:rPr>
        <w:t xml:space="preserve">En dicho marco, afirma </w:t>
      </w:r>
      <w:r w:rsidR="005D013E" w:rsidRPr="001A6499">
        <w:rPr>
          <w:sz w:val="20"/>
          <w:szCs w:val="20"/>
          <w:lang w:val="es-ES_tradnl"/>
        </w:rPr>
        <w:t>que</w:t>
      </w:r>
      <w:r w:rsidR="00E37D2D" w:rsidRPr="001A6499">
        <w:rPr>
          <w:sz w:val="20"/>
          <w:szCs w:val="20"/>
          <w:lang w:val="es-ES_tradnl"/>
        </w:rPr>
        <w:t xml:space="preserve"> las presuntas víctimas contaron con el recurso efectivo para subsanar las presuntas violaciones, por l</w:t>
      </w:r>
      <w:r w:rsidR="001511F9" w:rsidRPr="001A6499">
        <w:rPr>
          <w:sz w:val="20"/>
          <w:szCs w:val="20"/>
          <w:lang w:val="es-ES_tradnl"/>
        </w:rPr>
        <w:t>o</w:t>
      </w:r>
      <w:r w:rsidR="00E37D2D" w:rsidRPr="001A6499">
        <w:rPr>
          <w:sz w:val="20"/>
          <w:szCs w:val="20"/>
          <w:lang w:val="es-ES_tradnl"/>
        </w:rPr>
        <w:t xml:space="preserve"> cual</w:t>
      </w:r>
      <w:r w:rsidR="00215A05" w:rsidRPr="001A6499">
        <w:rPr>
          <w:sz w:val="20"/>
          <w:szCs w:val="20"/>
          <w:lang w:val="es-ES_tradnl"/>
        </w:rPr>
        <w:t xml:space="preserve"> </w:t>
      </w:r>
      <w:r w:rsidR="00E37D2D" w:rsidRPr="001A6499">
        <w:rPr>
          <w:sz w:val="20"/>
          <w:szCs w:val="20"/>
          <w:lang w:val="es-ES_tradnl"/>
        </w:rPr>
        <w:t xml:space="preserve">cualquier revisión del proceso por parte de la Comisión </w:t>
      </w:r>
      <w:r w:rsidR="001511F9" w:rsidRPr="001A6499">
        <w:rPr>
          <w:sz w:val="20"/>
          <w:szCs w:val="20"/>
          <w:lang w:val="es-ES_tradnl"/>
        </w:rPr>
        <w:t xml:space="preserve">Interamericana </w:t>
      </w:r>
      <w:r w:rsidR="00E37D2D" w:rsidRPr="001A6499">
        <w:rPr>
          <w:sz w:val="20"/>
          <w:szCs w:val="20"/>
          <w:lang w:val="es-ES_tradnl"/>
        </w:rPr>
        <w:t xml:space="preserve">constituiría una </w:t>
      </w:r>
      <w:r w:rsidR="001511F9" w:rsidRPr="001A6499">
        <w:rPr>
          <w:sz w:val="20"/>
          <w:szCs w:val="20"/>
          <w:lang w:val="es-ES_tradnl"/>
        </w:rPr>
        <w:t xml:space="preserve">actuación como </w:t>
      </w:r>
      <w:r w:rsidR="00E37D2D" w:rsidRPr="001A6499">
        <w:rPr>
          <w:sz w:val="20"/>
          <w:szCs w:val="20"/>
          <w:lang w:val="es-ES_tradnl"/>
        </w:rPr>
        <w:t>cuarta instancia</w:t>
      </w:r>
      <w:r w:rsidR="001511F9" w:rsidRPr="001A6499">
        <w:rPr>
          <w:sz w:val="20"/>
          <w:szCs w:val="20"/>
          <w:lang w:val="es-ES_tradnl"/>
        </w:rPr>
        <w:t xml:space="preserve"> en desconocimiento</w:t>
      </w:r>
      <w:r w:rsidR="00E37D2D" w:rsidRPr="001A6499">
        <w:rPr>
          <w:sz w:val="20"/>
          <w:szCs w:val="20"/>
          <w:lang w:val="es-ES_tradnl"/>
        </w:rPr>
        <w:t xml:space="preserve"> </w:t>
      </w:r>
      <w:r w:rsidR="001511F9" w:rsidRPr="001A6499">
        <w:rPr>
          <w:sz w:val="20"/>
          <w:szCs w:val="20"/>
          <w:lang w:val="es-ES_tradnl"/>
        </w:rPr>
        <w:t>de</w:t>
      </w:r>
      <w:r w:rsidR="00E37D2D" w:rsidRPr="001A6499">
        <w:rPr>
          <w:sz w:val="20"/>
          <w:szCs w:val="20"/>
          <w:lang w:val="es-ES_tradnl"/>
        </w:rPr>
        <w:t xml:space="preserve"> los principios de subsidiariedad y complementariedad que limitan </w:t>
      </w:r>
      <w:r w:rsidR="001511F9" w:rsidRPr="001A6499">
        <w:rPr>
          <w:sz w:val="20"/>
          <w:szCs w:val="20"/>
          <w:lang w:val="es-ES_tradnl"/>
        </w:rPr>
        <w:t>su</w:t>
      </w:r>
      <w:r w:rsidR="00E37D2D" w:rsidRPr="001A6499">
        <w:rPr>
          <w:sz w:val="20"/>
          <w:szCs w:val="20"/>
          <w:lang w:val="es-ES_tradnl"/>
        </w:rPr>
        <w:t xml:space="preserve"> competencia contenciosa</w:t>
      </w:r>
      <w:r w:rsidR="001511F9" w:rsidRPr="001A6499">
        <w:rPr>
          <w:sz w:val="20"/>
          <w:szCs w:val="20"/>
          <w:lang w:val="es-ES_tradnl"/>
        </w:rPr>
        <w:t>.</w:t>
      </w:r>
    </w:p>
    <w:p w14:paraId="3963122F" w14:textId="32446D5B" w:rsidR="00495FC9" w:rsidRPr="001A6499" w:rsidRDefault="002B5A2C"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sz w:val="20"/>
          <w:szCs w:val="20"/>
          <w:lang w:val="es-ES_tradnl"/>
        </w:rPr>
        <w:t>Además</w:t>
      </w:r>
      <w:r w:rsidR="0079030D" w:rsidRPr="001A6499">
        <w:rPr>
          <w:sz w:val="20"/>
          <w:szCs w:val="20"/>
          <w:lang w:val="es-ES_tradnl"/>
        </w:rPr>
        <w:t xml:space="preserve">, </w:t>
      </w:r>
      <w:r w:rsidRPr="001A6499">
        <w:rPr>
          <w:sz w:val="20"/>
          <w:szCs w:val="20"/>
          <w:lang w:val="es-ES_tradnl"/>
        </w:rPr>
        <w:t>Colombia</w:t>
      </w:r>
      <w:r w:rsidR="001511F9" w:rsidRPr="001A6499">
        <w:rPr>
          <w:sz w:val="20"/>
          <w:szCs w:val="20"/>
          <w:lang w:val="es-ES_tradnl"/>
        </w:rPr>
        <w:t xml:space="preserve"> alega</w:t>
      </w:r>
      <w:r w:rsidR="009A72D9" w:rsidRPr="001A6499">
        <w:rPr>
          <w:sz w:val="20"/>
          <w:szCs w:val="20"/>
          <w:lang w:val="es-ES_tradnl"/>
        </w:rPr>
        <w:t xml:space="preserve"> </w:t>
      </w:r>
      <w:r w:rsidR="0079030D" w:rsidRPr="001A6499">
        <w:rPr>
          <w:sz w:val="20"/>
          <w:szCs w:val="20"/>
          <w:lang w:val="es-ES_tradnl"/>
        </w:rPr>
        <w:t xml:space="preserve">la falta de agotamiento de los recursos internos </w:t>
      </w:r>
      <w:r w:rsidR="008B6958" w:rsidRPr="001A6499">
        <w:rPr>
          <w:sz w:val="20"/>
          <w:szCs w:val="20"/>
          <w:lang w:val="es-ES_tradnl"/>
        </w:rPr>
        <w:t xml:space="preserve">en relación con la falta de indemnización de </w:t>
      </w:r>
      <w:r w:rsidR="00C20BA2" w:rsidRPr="001A6499">
        <w:rPr>
          <w:sz w:val="20"/>
          <w:szCs w:val="20"/>
          <w:lang w:val="es-ES_tradnl"/>
        </w:rPr>
        <w:t>los daños presuntamente sufridos como consecuencia de los hechos objeto de la petición</w:t>
      </w:r>
      <w:r w:rsidR="0079030D" w:rsidRPr="001A6499">
        <w:rPr>
          <w:sz w:val="20"/>
          <w:szCs w:val="20"/>
          <w:lang w:val="es-ES_tradnl"/>
        </w:rPr>
        <w:t xml:space="preserve">. </w:t>
      </w:r>
      <w:r w:rsidR="008B6958" w:rsidRPr="001A6499">
        <w:rPr>
          <w:sz w:val="20"/>
          <w:szCs w:val="20"/>
          <w:lang w:val="es-ES_tradnl"/>
        </w:rPr>
        <w:t xml:space="preserve">Al respecto, sostiene que era necesario agotar la acción de reparación directa ante la jurisdicción contencioso-administrativa, como recurso idóneo y efectivo para establecer la responsabilidad estatal por los hechos alegados y lograr una indemnización por los daños materiales e inmateriales que se pudieran haber causado. En tal sentido, considera que </w:t>
      </w:r>
      <w:r w:rsidR="00215A05" w:rsidRPr="001A6499">
        <w:rPr>
          <w:sz w:val="20"/>
          <w:szCs w:val="20"/>
          <w:lang w:val="es-ES_tradnl"/>
        </w:rPr>
        <w:t xml:space="preserve">no tuvo la oportunidad de </w:t>
      </w:r>
      <w:r w:rsidR="008B6958" w:rsidRPr="001A6499">
        <w:rPr>
          <w:sz w:val="20"/>
          <w:szCs w:val="20"/>
          <w:lang w:val="es-ES_tradnl"/>
        </w:rPr>
        <w:t xml:space="preserve">atender los alegatos de las presuntas víctimas y </w:t>
      </w:r>
      <w:r w:rsidR="00215A05" w:rsidRPr="001A6499">
        <w:rPr>
          <w:sz w:val="20"/>
          <w:szCs w:val="20"/>
          <w:lang w:val="es-ES_tradnl"/>
        </w:rPr>
        <w:t xml:space="preserve">hacer el análisis </w:t>
      </w:r>
      <w:r w:rsidR="00CA36FC" w:rsidRPr="001A6499">
        <w:rPr>
          <w:sz w:val="20"/>
          <w:szCs w:val="20"/>
          <w:lang w:val="es-ES_tradnl"/>
        </w:rPr>
        <w:t>de acuerdo con</w:t>
      </w:r>
      <w:r w:rsidR="00215A05" w:rsidRPr="001A6499">
        <w:rPr>
          <w:sz w:val="20"/>
          <w:szCs w:val="20"/>
          <w:lang w:val="es-ES_tradnl"/>
        </w:rPr>
        <w:t xml:space="preserve"> los procedimientos establecidos en el orden interno.</w:t>
      </w:r>
      <w:r w:rsidR="00C20BA2" w:rsidRPr="001A6499">
        <w:rPr>
          <w:sz w:val="20"/>
          <w:szCs w:val="20"/>
          <w:lang w:val="es-ES_tradnl"/>
        </w:rPr>
        <w:t xml:space="preserve"> </w:t>
      </w:r>
      <w:r w:rsidR="008B6958" w:rsidRPr="001A6499">
        <w:rPr>
          <w:sz w:val="20"/>
          <w:szCs w:val="20"/>
          <w:lang w:val="es-ES_tradnl"/>
        </w:rPr>
        <w:t xml:space="preserve">Argumenta que </w:t>
      </w:r>
      <w:r w:rsidR="00215A05" w:rsidRPr="001A6499">
        <w:rPr>
          <w:sz w:val="20"/>
          <w:szCs w:val="20"/>
          <w:lang w:val="es-ES_tradnl"/>
        </w:rPr>
        <w:t>no se impidió a las presuntas víctimas y sus familiares la interposición de la acción directa</w:t>
      </w:r>
      <w:r w:rsidR="004D1D28" w:rsidRPr="001A6499">
        <w:rPr>
          <w:sz w:val="20"/>
          <w:szCs w:val="20"/>
          <w:lang w:val="es-ES_tradnl"/>
        </w:rPr>
        <w:t>;</w:t>
      </w:r>
      <w:r w:rsidR="00215A05" w:rsidRPr="001A6499">
        <w:rPr>
          <w:sz w:val="20"/>
          <w:szCs w:val="20"/>
          <w:lang w:val="es-ES_tradnl"/>
        </w:rPr>
        <w:t xml:space="preserve"> y</w:t>
      </w:r>
      <w:r w:rsidR="004D1D28" w:rsidRPr="001A6499">
        <w:rPr>
          <w:sz w:val="20"/>
          <w:szCs w:val="20"/>
          <w:lang w:val="es-ES_tradnl"/>
        </w:rPr>
        <w:t xml:space="preserve"> que</w:t>
      </w:r>
      <w:r w:rsidR="00215A05" w:rsidRPr="001A6499">
        <w:rPr>
          <w:sz w:val="20"/>
          <w:szCs w:val="20"/>
          <w:lang w:val="es-ES_tradnl"/>
        </w:rPr>
        <w:t xml:space="preserve">, a pesar de las afirmaciones de la parte peticionaria sobre la </w:t>
      </w:r>
      <w:r w:rsidR="004D1D28" w:rsidRPr="001A6499">
        <w:rPr>
          <w:sz w:val="20"/>
          <w:szCs w:val="20"/>
          <w:lang w:val="es-ES_tradnl"/>
        </w:rPr>
        <w:t xml:space="preserve">presencia </w:t>
      </w:r>
      <w:r w:rsidR="00215A05" w:rsidRPr="001A6499">
        <w:rPr>
          <w:sz w:val="20"/>
          <w:szCs w:val="20"/>
          <w:lang w:val="es-ES_tradnl"/>
        </w:rPr>
        <w:t xml:space="preserve">de distintos obstáculos, </w:t>
      </w:r>
      <w:r w:rsidR="008B6958" w:rsidRPr="001A6499">
        <w:rPr>
          <w:sz w:val="20"/>
          <w:szCs w:val="20"/>
          <w:lang w:val="es-ES_tradnl"/>
        </w:rPr>
        <w:t xml:space="preserve">la parte peticionaria </w:t>
      </w:r>
      <w:r w:rsidR="00F35F0A" w:rsidRPr="001A6499">
        <w:rPr>
          <w:sz w:val="20"/>
          <w:szCs w:val="20"/>
          <w:lang w:val="es-ES_tradnl"/>
        </w:rPr>
        <w:t>no aport</w:t>
      </w:r>
      <w:r w:rsidR="004D1D28" w:rsidRPr="001A6499">
        <w:rPr>
          <w:sz w:val="20"/>
          <w:szCs w:val="20"/>
          <w:lang w:val="es-ES_tradnl"/>
        </w:rPr>
        <w:t>ó</w:t>
      </w:r>
      <w:r w:rsidR="00215A05" w:rsidRPr="001A6499">
        <w:rPr>
          <w:sz w:val="20"/>
          <w:szCs w:val="20"/>
          <w:lang w:val="es-ES_tradnl"/>
        </w:rPr>
        <w:t xml:space="preserve"> </w:t>
      </w:r>
      <w:r w:rsidR="00F35F0A" w:rsidRPr="001A6499">
        <w:rPr>
          <w:sz w:val="20"/>
          <w:szCs w:val="20"/>
          <w:lang w:val="es-ES_tradnl"/>
        </w:rPr>
        <w:t xml:space="preserve">elementos </w:t>
      </w:r>
      <w:r w:rsidR="004D1D28" w:rsidRPr="001A6499">
        <w:rPr>
          <w:sz w:val="20"/>
          <w:szCs w:val="20"/>
          <w:lang w:val="es-ES_tradnl"/>
        </w:rPr>
        <w:t>para probar</w:t>
      </w:r>
      <w:r w:rsidR="00F35F0A" w:rsidRPr="001A6499">
        <w:rPr>
          <w:sz w:val="20"/>
          <w:szCs w:val="20"/>
          <w:lang w:val="es-ES_tradnl"/>
        </w:rPr>
        <w:t xml:space="preserve"> que durante el tiempo que el recurso estuvo disponible las circunstancias </w:t>
      </w:r>
      <w:r w:rsidR="004D1D28" w:rsidRPr="001A6499">
        <w:rPr>
          <w:sz w:val="20"/>
          <w:szCs w:val="20"/>
          <w:lang w:val="es-ES_tradnl"/>
        </w:rPr>
        <w:t xml:space="preserve">alegadas efectivamente </w:t>
      </w:r>
      <w:r w:rsidR="00215A05" w:rsidRPr="001A6499">
        <w:rPr>
          <w:sz w:val="20"/>
          <w:szCs w:val="20"/>
          <w:lang w:val="es-ES_tradnl"/>
        </w:rPr>
        <w:t>concurrieron</w:t>
      </w:r>
      <w:r w:rsidR="00F35F0A" w:rsidRPr="001A6499">
        <w:rPr>
          <w:sz w:val="20"/>
          <w:szCs w:val="20"/>
          <w:lang w:val="es-ES_tradnl"/>
        </w:rPr>
        <w:t xml:space="preserve"> e imposibilitaron la presentación de la deman</w:t>
      </w:r>
      <w:r w:rsidR="00215A05" w:rsidRPr="001A6499">
        <w:rPr>
          <w:sz w:val="20"/>
          <w:szCs w:val="20"/>
          <w:lang w:val="es-ES_tradnl"/>
        </w:rPr>
        <w:t>da.</w:t>
      </w:r>
    </w:p>
    <w:p w14:paraId="064FFDC9" w14:textId="050967A2" w:rsidR="004D1D28" w:rsidRPr="001A6499" w:rsidRDefault="00877E14"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b/>
          <w:bCs/>
          <w:sz w:val="20"/>
          <w:szCs w:val="20"/>
          <w:lang w:val="es-ES_tradnl"/>
        </w:rPr>
      </w:pPr>
      <w:r w:rsidRPr="001A6499">
        <w:rPr>
          <w:sz w:val="20"/>
          <w:szCs w:val="20"/>
          <w:lang w:val="es-ES_tradnl"/>
        </w:rPr>
        <w:lastRenderedPageBreak/>
        <w:t>Por último</w:t>
      </w:r>
      <w:r w:rsidR="006142C9" w:rsidRPr="001A6499">
        <w:rPr>
          <w:sz w:val="20"/>
          <w:szCs w:val="20"/>
          <w:lang w:val="es-ES_tradnl"/>
        </w:rPr>
        <w:t>,</w:t>
      </w:r>
      <w:r w:rsidRPr="001A6499">
        <w:rPr>
          <w:sz w:val="20"/>
          <w:szCs w:val="20"/>
          <w:lang w:val="es-ES_tradnl"/>
        </w:rPr>
        <w:t xml:space="preserve"> </w:t>
      </w:r>
      <w:r w:rsidR="006142C9" w:rsidRPr="001A6499">
        <w:rPr>
          <w:sz w:val="20"/>
          <w:szCs w:val="20"/>
          <w:lang w:val="es-ES_tradnl"/>
        </w:rPr>
        <w:t>argumenta que, en el caso concreto, la C</w:t>
      </w:r>
      <w:r w:rsidR="00CA36FC" w:rsidRPr="001A6499">
        <w:rPr>
          <w:sz w:val="20"/>
          <w:szCs w:val="20"/>
          <w:lang w:val="es-ES_tradnl"/>
        </w:rPr>
        <w:t>omisión</w:t>
      </w:r>
      <w:r w:rsidR="006142C9" w:rsidRPr="001A6499">
        <w:rPr>
          <w:sz w:val="20"/>
          <w:szCs w:val="20"/>
          <w:lang w:val="es-ES_tradnl"/>
        </w:rPr>
        <w:t xml:space="preserve"> no es competente para pronunciarse sobre las presuntas violaciones </w:t>
      </w:r>
      <w:r w:rsidR="00CA36FC" w:rsidRPr="001A6499">
        <w:rPr>
          <w:sz w:val="20"/>
          <w:szCs w:val="20"/>
          <w:lang w:val="es-ES_tradnl"/>
        </w:rPr>
        <w:t>a</w:t>
      </w:r>
      <w:r w:rsidR="006142C9" w:rsidRPr="001A6499">
        <w:rPr>
          <w:sz w:val="20"/>
          <w:szCs w:val="20"/>
          <w:lang w:val="es-ES_tradnl"/>
        </w:rPr>
        <w:t xml:space="preserve"> la Declaración Americana</w:t>
      </w:r>
      <w:r w:rsidR="004D1D28" w:rsidRPr="001A6499">
        <w:rPr>
          <w:sz w:val="20"/>
          <w:szCs w:val="20"/>
          <w:lang w:val="es-ES_tradnl"/>
        </w:rPr>
        <w:t>, ya que</w:t>
      </w:r>
      <w:r w:rsidR="006142C9" w:rsidRPr="001A6499">
        <w:rPr>
          <w:sz w:val="20"/>
          <w:szCs w:val="20"/>
          <w:lang w:val="es-ES_tradnl"/>
        </w:rPr>
        <w:t xml:space="preserve"> los hechos alegados presuntamente ocurrieron con posterioridad a la </w:t>
      </w:r>
      <w:r w:rsidR="00D621B4" w:rsidRPr="001A6499">
        <w:rPr>
          <w:sz w:val="20"/>
          <w:szCs w:val="20"/>
          <w:lang w:val="es-ES_tradnl"/>
        </w:rPr>
        <w:t>entrada en vigor</w:t>
      </w:r>
      <w:r w:rsidR="006142C9" w:rsidRPr="001A6499">
        <w:rPr>
          <w:sz w:val="20"/>
          <w:szCs w:val="20"/>
          <w:lang w:val="es-ES_tradnl"/>
        </w:rPr>
        <w:t xml:space="preserve"> </w:t>
      </w:r>
      <w:r w:rsidR="00CA36FC" w:rsidRPr="001A6499">
        <w:rPr>
          <w:sz w:val="20"/>
          <w:szCs w:val="20"/>
          <w:lang w:val="es-ES_tradnl"/>
        </w:rPr>
        <w:t>de la Convención Americana</w:t>
      </w:r>
      <w:r w:rsidR="006142C9" w:rsidRPr="001A6499">
        <w:rPr>
          <w:sz w:val="20"/>
          <w:szCs w:val="20"/>
          <w:lang w:val="es-ES_tradnl"/>
        </w:rPr>
        <w:t xml:space="preserve">. </w:t>
      </w:r>
    </w:p>
    <w:p w14:paraId="26D50FC5" w14:textId="1B8A1D2D" w:rsidR="00350D40" w:rsidRPr="001A6499" w:rsidRDefault="005B4BEF" w:rsidP="00F7470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b/>
          <w:bCs/>
          <w:sz w:val="20"/>
          <w:szCs w:val="20"/>
          <w:lang w:val="es-ES_tradnl"/>
        </w:rPr>
      </w:pPr>
      <w:r w:rsidRPr="001A6499">
        <w:rPr>
          <w:b/>
          <w:bCs/>
          <w:sz w:val="20"/>
          <w:szCs w:val="20"/>
          <w:lang w:val="es-ES_tradnl"/>
        </w:rPr>
        <w:t>DUPLICIDAD DE PROCEDIMIENTOS</w:t>
      </w:r>
    </w:p>
    <w:p w14:paraId="372F018F" w14:textId="2E753BE9" w:rsidR="00812009" w:rsidRPr="001A6499" w:rsidRDefault="00812009"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cs="Calibri"/>
          <w:color w:val="auto"/>
          <w:sz w:val="20"/>
          <w:szCs w:val="20"/>
          <w:bdr w:val="none" w:sz="0" w:space="0" w:color="auto"/>
          <w:lang w:val="es-ES_tradnl"/>
        </w:rPr>
      </w:pPr>
      <w:r w:rsidRPr="001A6499">
        <w:rPr>
          <w:rFonts w:cs="Calibri"/>
          <w:color w:val="auto"/>
          <w:sz w:val="20"/>
          <w:szCs w:val="20"/>
          <w:bdr w:val="none" w:sz="0" w:space="0" w:color="auto"/>
          <w:lang w:val="es-ES_tradnl"/>
        </w:rPr>
        <w:t>El a</w:t>
      </w:r>
      <w:r w:rsidR="00180A16" w:rsidRPr="001A6499">
        <w:rPr>
          <w:rFonts w:cs="Calibri"/>
          <w:color w:val="auto"/>
          <w:sz w:val="20"/>
          <w:szCs w:val="20"/>
          <w:bdr w:val="none" w:sz="0" w:space="0" w:color="auto"/>
          <w:lang w:val="es-ES_tradnl"/>
        </w:rPr>
        <w:t>rtículo 47 de la Convención Americana establece que la CIDH declarará inadmisible una petición cuando “</w:t>
      </w:r>
      <w:r w:rsidR="00180A16" w:rsidRPr="001A6499">
        <w:rPr>
          <w:rFonts w:cs="Calibri"/>
          <w:i/>
          <w:iCs/>
          <w:color w:val="auto"/>
          <w:sz w:val="20"/>
          <w:szCs w:val="20"/>
          <w:bdr w:val="none" w:sz="0" w:space="0" w:color="auto"/>
          <w:lang w:val="es-ES_tradnl"/>
        </w:rPr>
        <w:t>sea sustancialmente la reproducción de petición o comunicación anterior ya examinada por la Comisión u otro organismo internacional</w:t>
      </w:r>
      <w:r w:rsidR="00180A16" w:rsidRPr="001A6499">
        <w:rPr>
          <w:rFonts w:cs="Calibri"/>
          <w:color w:val="auto"/>
          <w:sz w:val="20"/>
          <w:szCs w:val="20"/>
          <w:bdr w:val="none" w:sz="0" w:space="0" w:color="auto"/>
          <w:lang w:val="es-ES_tradnl"/>
        </w:rPr>
        <w:t>”.</w:t>
      </w:r>
    </w:p>
    <w:p w14:paraId="282968F8" w14:textId="38B96DFE" w:rsidR="00A17856" w:rsidRPr="001A6499" w:rsidRDefault="00180A16"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cs="Calibri"/>
          <w:color w:val="auto"/>
          <w:sz w:val="20"/>
          <w:szCs w:val="20"/>
          <w:bdr w:val="none" w:sz="0" w:space="0" w:color="auto"/>
          <w:lang w:val="es-ES_tradnl"/>
        </w:rPr>
      </w:pPr>
      <w:r w:rsidRPr="001A6499">
        <w:rPr>
          <w:rFonts w:eastAsia="Times New Roman" w:cs="Calibri"/>
          <w:color w:val="auto"/>
          <w:sz w:val="20"/>
          <w:szCs w:val="20"/>
          <w:bdr w:val="none" w:sz="0" w:space="0" w:color="auto"/>
          <w:lang w:val="es-ES_tradnl"/>
        </w:rPr>
        <w:t>En el presente asunto</w:t>
      </w:r>
      <w:r w:rsidR="00A17856" w:rsidRPr="001A6499">
        <w:rPr>
          <w:rFonts w:cs="Calibri"/>
          <w:color w:val="auto"/>
          <w:sz w:val="20"/>
          <w:szCs w:val="20"/>
          <w:lang w:val="es-ES_tradnl"/>
        </w:rPr>
        <w:t xml:space="preserve"> el Estado alega </w:t>
      </w:r>
      <w:r w:rsidRPr="001A6499">
        <w:rPr>
          <w:rFonts w:cs="Calibri"/>
          <w:color w:val="auto"/>
          <w:sz w:val="20"/>
          <w:szCs w:val="20"/>
          <w:lang w:val="es-ES_tradnl"/>
        </w:rPr>
        <w:t xml:space="preserve">que </w:t>
      </w:r>
      <w:r w:rsidR="00A17856" w:rsidRPr="001A6499">
        <w:rPr>
          <w:rFonts w:cs="Calibri"/>
          <w:color w:val="auto"/>
          <w:sz w:val="20"/>
          <w:szCs w:val="20"/>
          <w:lang w:val="es-ES_tradnl"/>
        </w:rPr>
        <w:t xml:space="preserve">existe duplicidad entre </w:t>
      </w:r>
      <w:r w:rsidRPr="001A6499">
        <w:rPr>
          <w:rFonts w:cs="Calibri"/>
          <w:color w:val="auto"/>
          <w:sz w:val="20"/>
          <w:szCs w:val="20"/>
          <w:lang w:val="es-ES_tradnl"/>
        </w:rPr>
        <w:t>e</w:t>
      </w:r>
      <w:r w:rsidR="00A17856" w:rsidRPr="001A6499">
        <w:rPr>
          <w:rFonts w:cs="Calibri"/>
          <w:color w:val="auto"/>
          <w:sz w:val="20"/>
          <w:szCs w:val="20"/>
          <w:lang w:val="es-ES_tradnl"/>
        </w:rPr>
        <w:t xml:space="preserve">sta </w:t>
      </w:r>
      <w:r w:rsidRPr="001A6499">
        <w:rPr>
          <w:rFonts w:cs="Calibri"/>
          <w:color w:val="auto"/>
          <w:sz w:val="20"/>
          <w:szCs w:val="20"/>
          <w:lang w:val="es-ES_tradnl"/>
        </w:rPr>
        <w:t xml:space="preserve">petición </w:t>
      </w:r>
      <w:r w:rsidR="00A17856" w:rsidRPr="001A6499">
        <w:rPr>
          <w:rFonts w:cs="Calibri"/>
          <w:color w:val="auto"/>
          <w:sz w:val="20"/>
          <w:szCs w:val="20"/>
          <w:lang w:val="es-ES_tradnl"/>
        </w:rPr>
        <w:t xml:space="preserve">y el caso </w:t>
      </w:r>
      <w:r w:rsidR="00A17856" w:rsidRPr="001A6499">
        <w:rPr>
          <w:color w:val="auto"/>
          <w:sz w:val="20"/>
          <w:szCs w:val="20"/>
          <w:lang w:val="es-ES_tradnl"/>
        </w:rPr>
        <w:t xml:space="preserve">12.325 </w:t>
      </w:r>
      <w:r w:rsidR="002E288C" w:rsidRPr="001A6499">
        <w:rPr>
          <w:rFonts w:cs="Calibri"/>
          <w:color w:val="auto"/>
          <w:sz w:val="20"/>
          <w:szCs w:val="20"/>
          <w:lang w:val="es-ES_tradnl"/>
        </w:rPr>
        <w:t xml:space="preserve">actualmente en etapa de fondo </w:t>
      </w:r>
      <w:r w:rsidR="00A17856" w:rsidRPr="001A6499">
        <w:rPr>
          <w:rFonts w:cs="Calibri"/>
          <w:color w:val="auto"/>
          <w:sz w:val="20"/>
          <w:szCs w:val="20"/>
          <w:lang w:val="es-ES_tradnl"/>
        </w:rPr>
        <w:t>ante la Comisión.</w:t>
      </w:r>
      <w:r w:rsidR="004363E9" w:rsidRPr="001A6499">
        <w:rPr>
          <w:rFonts w:cs="Calibri"/>
          <w:color w:val="auto"/>
          <w:sz w:val="20"/>
          <w:szCs w:val="20"/>
          <w:lang w:val="es-ES_tradnl"/>
        </w:rPr>
        <w:t xml:space="preserve"> </w:t>
      </w:r>
      <w:r w:rsidR="00277D6C" w:rsidRPr="001A6499">
        <w:rPr>
          <w:rFonts w:cs="Calibri"/>
          <w:color w:val="auto"/>
          <w:sz w:val="20"/>
          <w:szCs w:val="20"/>
          <w:lang w:val="es-ES_tradnl"/>
        </w:rPr>
        <w:t>Aduce</w:t>
      </w:r>
      <w:r w:rsidR="004363E9" w:rsidRPr="001A6499">
        <w:rPr>
          <w:rFonts w:cs="Calibri"/>
          <w:color w:val="auto"/>
          <w:sz w:val="20"/>
          <w:szCs w:val="20"/>
          <w:lang w:val="es-ES_tradnl"/>
        </w:rPr>
        <w:t xml:space="preserve"> que los hechos alegados forman parte del conjunto de situaciones </w:t>
      </w:r>
      <w:r w:rsidR="00277D6C" w:rsidRPr="001A6499">
        <w:rPr>
          <w:rFonts w:cs="Calibri"/>
          <w:color w:val="auto"/>
          <w:sz w:val="20"/>
          <w:szCs w:val="20"/>
          <w:lang w:val="es-ES_tradnl"/>
        </w:rPr>
        <w:t>planteadas</w:t>
      </w:r>
      <w:r w:rsidR="004363E9" w:rsidRPr="001A6499">
        <w:rPr>
          <w:rFonts w:cs="Calibri"/>
          <w:color w:val="auto"/>
          <w:sz w:val="20"/>
          <w:szCs w:val="20"/>
          <w:lang w:val="es-ES_tradnl"/>
        </w:rPr>
        <w:t xml:space="preserve"> en el mencionado caso.</w:t>
      </w:r>
      <w:r w:rsidR="00A17856" w:rsidRPr="001A6499">
        <w:rPr>
          <w:rFonts w:cs="Calibri"/>
          <w:color w:val="auto"/>
          <w:sz w:val="20"/>
          <w:szCs w:val="20"/>
          <w:lang w:val="es-ES_tradnl"/>
        </w:rPr>
        <w:t xml:space="preserve"> </w:t>
      </w:r>
      <w:r w:rsidR="002E288C" w:rsidRPr="001A6499">
        <w:rPr>
          <w:rFonts w:cs="Calibri"/>
          <w:color w:val="auto"/>
          <w:sz w:val="20"/>
          <w:szCs w:val="20"/>
          <w:lang w:val="es-ES_tradnl"/>
        </w:rPr>
        <w:t xml:space="preserve">Por su parte, la parte peticionaria no presenta argumento en contrario </w:t>
      </w:r>
      <w:r w:rsidR="004363E9" w:rsidRPr="001A6499">
        <w:rPr>
          <w:rFonts w:cs="Calibri"/>
          <w:color w:val="auto"/>
          <w:sz w:val="20"/>
          <w:szCs w:val="20"/>
          <w:lang w:val="es-ES_tradnl"/>
        </w:rPr>
        <w:t xml:space="preserve">y solicita el desglose </w:t>
      </w:r>
      <w:r w:rsidRPr="001A6499">
        <w:rPr>
          <w:rFonts w:cs="Calibri"/>
          <w:color w:val="auto"/>
          <w:sz w:val="20"/>
          <w:szCs w:val="20"/>
          <w:lang w:val="es-ES_tradnl"/>
        </w:rPr>
        <w:t xml:space="preserve">del presente asunto respecto de las cuatro presuntas víctimas </w:t>
      </w:r>
      <w:r w:rsidR="00EF1C74" w:rsidRPr="001A6499">
        <w:rPr>
          <w:rFonts w:cs="Calibri"/>
          <w:color w:val="auto"/>
          <w:sz w:val="20"/>
          <w:szCs w:val="20"/>
          <w:lang w:val="es-ES_tradnl"/>
        </w:rPr>
        <w:t>presentadas, en</w:t>
      </w:r>
      <w:r w:rsidR="004363E9" w:rsidRPr="001A6499">
        <w:rPr>
          <w:rFonts w:cs="Calibri"/>
          <w:color w:val="auto"/>
          <w:sz w:val="20"/>
          <w:szCs w:val="20"/>
          <w:lang w:val="es-ES_tradnl"/>
        </w:rPr>
        <w:t xml:space="preserve"> tanto entiende que la voluntad de las presuntas víctimas y sus familias es de tramitar su reclamo </w:t>
      </w:r>
      <w:r w:rsidRPr="001A6499">
        <w:rPr>
          <w:rFonts w:cs="Calibri"/>
          <w:color w:val="auto"/>
          <w:sz w:val="20"/>
          <w:szCs w:val="20"/>
          <w:lang w:val="es-ES_tradnl"/>
        </w:rPr>
        <w:t>por separado</w:t>
      </w:r>
      <w:r w:rsidR="004363E9" w:rsidRPr="001A6499">
        <w:rPr>
          <w:rFonts w:cs="Calibri"/>
          <w:color w:val="auto"/>
          <w:sz w:val="20"/>
          <w:szCs w:val="20"/>
          <w:lang w:val="es-ES_tradnl"/>
        </w:rPr>
        <w:t>.</w:t>
      </w:r>
    </w:p>
    <w:p w14:paraId="490CA6A6" w14:textId="7EB67238" w:rsidR="00FC755B" w:rsidRPr="001A6499" w:rsidRDefault="00EF1C74" w:rsidP="005E714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cs="Calibri"/>
          <w:color w:val="auto"/>
          <w:sz w:val="20"/>
          <w:szCs w:val="20"/>
          <w:lang w:val="es-ES_tradnl"/>
        </w:rPr>
      </w:pPr>
      <w:r w:rsidRPr="001A6499">
        <w:rPr>
          <w:rFonts w:cs="Calibri"/>
          <w:color w:val="auto"/>
          <w:sz w:val="20"/>
          <w:szCs w:val="20"/>
          <w:bdr w:val="none" w:sz="0" w:space="0" w:color="auto"/>
          <w:lang w:val="es-ES_tradnl"/>
        </w:rPr>
        <w:t xml:space="preserve">Frente a esta situación, la Comisión observa, en primer lugar, que </w:t>
      </w:r>
      <w:r w:rsidR="0067029A" w:rsidRPr="001A6499">
        <w:rPr>
          <w:rFonts w:cs="Calibri"/>
          <w:color w:val="auto"/>
          <w:sz w:val="20"/>
          <w:szCs w:val="20"/>
          <w:bdr w:val="none" w:sz="0" w:space="0" w:color="auto"/>
          <w:lang w:val="es-ES_tradnl"/>
        </w:rPr>
        <w:t xml:space="preserve">en </w:t>
      </w:r>
      <w:r w:rsidR="00FC755B" w:rsidRPr="001A6499">
        <w:rPr>
          <w:rFonts w:cs="Calibri"/>
          <w:sz w:val="20"/>
          <w:szCs w:val="20"/>
          <w:lang w:val="es-ES_tradnl"/>
        </w:rPr>
        <w:t xml:space="preserve">el </w:t>
      </w:r>
      <w:r w:rsidR="002E288C" w:rsidRPr="001A6499">
        <w:rPr>
          <w:rFonts w:cs="Calibri"/>
          <w:sz w:val="20"/>
          <w:szCs w:val="20"/>
          <w:lang w:val="es-ES_tradnl"/>
        </w:rPr>
        <w:t>ca</w:t>
      </w:r>
      <w:r w:rsidR="00FC755B" w:rsidRPr="001A6499">
        <w:rPr>
          <w:rFonts w:cs="Calibri"/>
          <w:sz w:val="20"/>
          <w:szCs w:val="20"/>
          <w:lang w:val="es-ES_tradnl"/>
        </w:rPr>
        <w:t>so 12.</w:t>
      </w:r>
      <w:r w:rsidR="002E288C" w:rsidRPr="001A6499">
        <w:rPr>
          <w:rFonts w:cs="Calibri"/>
          <w:sz w:val="20"/>
          <w:szCs w:val="20"/>
          <w:lang w:val="es-ES_tradnl"/>
        </w:rPr>
        <w:t>325</w:t>
      </w:r>
      <w:r w:rsidR="00FC755B" w:rsidRPr="001A6499">
        <w:rPr>
          <w:rFonts w:cs="Calibri"/>
          <w:sz w:val="20"/>
          <w:szCs w:val="20"/>
          <w:lang w:val="es-ES_tradnl"/>
        </w:rPr>
        <w:t xml:space="preserve"> </w:t>
      </w:r>
      <w:r w:rsidR="004125A3" w:rsidRPr="001A6499">
        <w:rPr>
          <w:rFonts w:cs="Calibri"/>
          <w:sz w:val="20"/>
          <w:szCs w:val="20"/>
          <w:lang w:val="es-ES_tradnl"/>
        </w:rPr>
        <w:t xml:space="preserve">figuran ya como presuntas víctimas las personas que ahora se presentan como presuntas víctimas en la presente petición 1306-08, solo que en esta ocasión representadas por otros peticionarios que reclaman su representación y solicitan el desglose de este grupo de víctimas del caso 12.325. </w:t>
      </w:r>
      <w:r w:rsidR="005E7147" w:rsidRPr="001A6499">
        <w:rPr>
          <w:rFonts w:cs="Calibri"/>
          <w:sz w:val="20"/>
          <w:szCs w:val="20"/>
          <w:lang w:val="es-ES_tradnl"/>
        </w:rPr>
        <w:t>Además,</w:t>
      </w:r>
      <w:r w:rsidR="00187D00" w:rsidRPr="001A6499">
        <w:rPr>
          <w:rFonts w:eastAsia="Times New Roman" w:cs="Calibri"/>
          <w:sz w:val="20"/>
          <w:szCs w:val="20"/>
          <w:bdr w:val="none" w:sz="0" w:space="0" w:color="auto"/>
          <w:lang w:val="es-ES_tradnl"/>
        </w:rPr>
        <w:t xml:space="preserve"> el caso </w:t>
      </w:r>
      <w:r w:rsidR="00D761E7" w:rsidRPr="001A6499">
        <w:rPr>
          <w:rFonts w:eastAsia="Times New Roman" w:cs="Calibri"/>
          <w:sz w:val="20"/>
          <w:szCs w:val="20"/>
          <w:bdr w:val="none" w:sz="0" w:space="0" w:color="auto"/>
          <w:lang w:val="es-ES_tradnl"/>
        </w:rPr>
        <w:t xml:space="preserve">12.325 </w:t>
      </w:r>
      <w:r w:rsidR="00187D00" w:rsidRPr="001A6499">
        <w:rPr>
          <w:rFonts w:eastAsia="Times New Roman" w:cs="Calibri"/>
          <w:sz w:val="20"/>
          <w:szCs w:val="20"/>
          <w:bdr w:val="none" w:sz="0" w:space="0" w:color="auto"/>
          <w:lang w:val="es-ES_tradnl"/>
        </w:rPr>
        <w:t>se admitió</w:t>
      </w:r>
      <w:r w:rsidR="00F36920" w:rsidRPr="001A6499">
        <w:rPr>
          <w:rFonts w:eastAsia="Times New Roman" w:cs="Calibri"/>
          <w:sz w:val="20"/>
          <w:szCs w:val="20"/>
          <w:bdr w:val="none" w:sz="0" w:space="0" w:color="auto"/>
          <w:lang w:val="es-ES_tradnl"/>
        </w:rPr>
        <w:t xml:space="preserve"> (Informe </w:t>
      </w:r>
      <w:r w:rsidR="00672854">
        <w:rPr>
          <w:rFonts w:eastAsia="Times New Roman" w:cs="Calibri"/>
          <w:sz w:val="20"/>
          <w:szCs w:val="20"/>
          <w:bdr w:val="none" w:sz="0" w:space="0" w:color="auto"/>
          <w:lang w:val="es-ES_tradnl"/>
        </w:rPr>
        <w:t xml:space="preserve">No. </w:t>
      </w:r>
      <w:r w:rsidR="00F36920" w:rsidRPr="001A6499">
        <w:rPr>
          <w:rFonts w:eastAsia="Times New Roman" w:cs="Calibri"/>
          <w:sz w:val="20"/>
          <w:szCs w:val="20"/>
          <w:bdr w:val="none" w:sz="0" w:space="0" w:color="auto"/>
          <w:lang w:val="es-ES_tradnl"/>
        </w:rPr>
        <w:t>61/16)</w:t>
      </w:r>
      <w:r w:rsidR="00187D00" w:rsidRPr="001A6499">
        <w:rPr>
          <w:rFonts w:eastAsia="Times New Roman" w:cs="Calibri"/>
          <w:sz w:val="20"/>
          <w:szCs w:val="20"/>
          <w:bdr w:val="none" w:sz="0" w:space="0" w:color="auto"/>
          <w:lang w:val="es-ES_tradnl"/>
        </w:rPr>
        <w:t>, entre otr</w:t>
      </w:r>
      <w:r w:rsidR="00D761E7" w:rsidRPr="001A6499">
        <w:rPr>
          <w:rFonts w:eastAsia="Times New Roman" w:cs="Calibri"/>
          <w:sz w:val="20"/>
          <w:szCs w:val="20"/>
          <w:bdr w:val="none" w:sz="0" w:space="0" w:color="auto"/>
          <w:lang w:val="es-ES_tradnl"/>
        </w:rPr>
        <w:t>o</w:t>
      </w:r>
      <w:r w:rsidR="00187D00" w:rsidRPr="001A6499">
        <w:rPr>
          <w:rFonts w:eastAsia="Times New Roman" w:cs="Calibri"/>
          <w:sz w:val="20"/>
          <w:szCs w:val="20"/>
          <w:bdr w:val="none" w:sz="0" w:space="0" w:color="auto"/>
          <w:lang w:val="es-ES_tradnl"/>
        </w:rPr>
        <w:t>s</w:t>
      </w:r>
      <w:r w:rsidR="00D761E7" w:rsidRPr="001A6499">
        <w:rPr>
          <w:rFonts w:eastAsia="Times New Roman" w:cs="Calibri"/>
          <w:sz w:val="20"/>
          <w:szCs w:val="20"/>
          <w:bdr w:val="none" w:sz="0" w:space="0" w:color="auto"/>
          <w:lang w:val="es-ES_tradnl"/>
        </w:rPr>
        <w:t xml:space="preserve"> hechos</w:t>
      </w:r>
      <w:r w:rsidR="00187D00" w:rsidRPr="001A6499">
        <w:rPr>
          <w:rFonts w:eastAsia="Times New Roman" w:cs="Calibri"/>
          <w:sz w:val="20"/>
          <w:szCs w:val="20"/>
          <w:bdr w:val="none" w:sz="0" w:space="0" w:color="auto"/>
          <w:lang w:val="es-ES_tradnl"/>
        </w:rPr>
        <w:t xml:space="preserve">, por </w:t>
      </w:r>
      <w:r w:rsidR="00187D00" w:rsidRPr="001A6499">
        <w:rPr>
          <w:sz w:val="20"/>
          <w:szCs w:val="20"/>
          <w:lang w:val="es-ES_tradnl"/>
        </w:rPr>
        <w:t>la</w:t>
      </w:r>
      <w:r w:rsidR="00D761E7" w:rsidRPr="001A6499">
        <w:rPr>
          <w:sz w:val="20"/>
          <w:szCs w:val="20"/>
          <w:lang w:val="es-ES_tradnl"/>
        </w:rPr>
        <w:t>s</w:t>
      </w:r>
      <w:r w:rsidR="00187D00" w:rsidRPr="001A6499">
        <w:rPr>
          <w:sz w:val="20"/>
          <w:szCs w:val="20"/>
          <w:lang w:val="es-ES_tradnl"/>
        </w:rPr>
        <w:t xml:space="preserve"> </w:t>
      </w:r>
      <w:r w:rsidR="00F36920" w:rsidRPr="001A6499">
        <w:rPr>
          <w:sz w:val="20"/>
          <w:szCs w:val="20"/>
          <w:lang w:val="es-ES_tradnl"/>
        </w:rPr>
        <w:t>alegadas</w:t>
      </w:r>
      <w:r w:rsidR="00187D00" w:rsidRPr="001A6499">
        <w:rPr>
          <w:sz w:val="20"/>
          <w:szCs w:val="20"/>
          <w:lang w:val="es-ES_tradnl"/>
        </w:rPr>
        <w:t xml:space="preserve"> </w:t>
      </w:r>
      <w:r w:rsidR="00D761E7" w:rsidRPr="001A6499">
        <w:rPr>
          <w:rFonts w:cs="Calibri"/>
          <w:sz w:val="20"/>
          <w:szCs w:val="20"/>
          <w:lang w:val="es-ES_tradnl"/>
        </w:rPr>
        <w:t>lesiones y muertes que habrían sucedido como consecuencia de la explosión de un artefacto explosivo el 11 de agosto de 2004 en una vivienda en la comunidad de San José de Apartadó</w:t>
      </w:r>
      <w:r w:rsidR="00F36920" w:rsidRPr="001A6499">
        <w:rPr>
          <w:sz w:val="20"/>
          <w:szCs w:val="20"/>
          <w:lang w:val="es-ES_tradnl"/>
        </w:rPr>
        <w:t>;</w:t>
      </w:r>
      <w:r w:rsidR="00187D00" w:rsidRPr="001A6499">
        <w:rPr>
          <w:sz w:val="20"/>
          <w:szCs w:val="20"/>
          <w:lang w:val="es-ES_tradnl"/>
        </w:rPr>
        <w:t xml:space="preserve"> así como</w:t>
      </w:r>
      <w:r w:rsidR="00F36920" w:rsidRPr="001A6499">
        <w:rPr>
          <w:sz w:val="20"/>
          <w:szCs w:val="20"/>
          <w:lang w:val="es-ES_tradnl"/>
        </w:rPr>
        <w:t xml:space="preserve"> por</w:t>
      </w:r>
      <w:r w:rsidR="00187D00" w:rsidRPr="001A6499">
        <w:rPr>
          <w:sz w:val="20"/>
          <w:szCs w:val="20"/>
          <w:lang w:val="es-ES_tradnl"/>
        </w:rPr>
        <w:t xml:space="preserve"> </w:t>
      </w:r>
      <w:r w:rsidR="00D761E7" w:rsidRPr="001A6499">
        <w:rPr>
          <w:sz w:val="20"/>
          <w:szCs w:val="20"/>
          <w:lang w:val="es-ES_tradnl"/>
        </w:rPr>
        <w:t>la falta de protección judicial efectiva, investigación de los hechos y sanción de los responsables</w:t>
      </w:r>
      <w:r w:rsidR="00F36920" w:rsidRPr="001A6499">
        <w:rPr>
          <w:sz w:val="20"/>
          <w:szCs w:val="20"/>
          <w:lang w:val="es-ES_tradnl"/>
        </w:rPr>
        <w:t>.</w:t>
      </w:r>
      <w:r w:rsidR="00187D00" w:rsidRPr="001A6499">
        <w:rPr>
          <w:sz w:val="20"/>
          <w:szCs w:val="20"/>
          <w:lang w:val="es-ES_tradnl"/>
        </w:rPr>
        <w:t xml:space="preserve"> </w:t>
      </w:r>
      <w:r w:rsidR="00F36920" w:rsidRPr="001A6499">
        <w:rPr>
          <w:sz w:val="20"/>
          <w:szCs w:val="20"/>
          <w:lang w:val="es-ES_tradnl"/>
        </w:rPr>
        <w:t>R</w:t>
      </w:r>
      <w:r w:rsidR="00B77447" w:rsidRPr="001A6499">
        <w:rPr>
          <w:sz w:val="20"/>
          <w:szCs w:val="20"/>
          <w:lang w:val="es-ES_tradnl"/>
        </w:rPr>
        <w:t>eclamos</w:t>
      </w:r>
      <w:r w:rsidR="00187D00" w:rsidRPr="001A6499">
        <w:rPr>
          <w:sz w:val="20"/>
          <w:szCs w:val="20"/>
          <w:lang w:val="es-ES_tradnl"/>
        </w:rPr>
        <w:t xml:space="preserve"> que coinciden con el objeto principal de la presente petición. </w:t>
      </w:r>
      <w:r w:rsidR="00187D00" w:rsidRPr="001A6499">
        <w:rPr>
          <w:rFonts w:eastAsia="Times New Roman" w:cs="Calibri"/>
          <w:sz w:val="20"/>
          <w:szCs w:val="20"/>
          <w:bdr w:val="none" w:sz="0" w:space="0" w:color="auto"/>
          <w:lang w:val="es-ES_tradnl"/>
        </w:rPr>
        <w:t xml:space="preserve">Asimismo, la Comisión observa que, en ambos procesos, se alegan violaciones a </w:t>
      </w:r>
      <w:r w:rsidR="00187D00" w:rsidRPr="001A6499">
        <w:rPr>
          <w:sz w:val="20"/>
          <w:szCs w:val="20"/>
          <w:lang w:val="es-ES_tradnl"/>
        </w:rPr>
        <w:t xml:space="preserve">los artículos </w:t>
      </w:r>
      <w:r w:rsidR="00E514F5" w:rsidRPr="001A6499">
        <w:rPr>
          <w:sz w:val="20"/>
          <w:szCs w:val="20"/>
          <w:lang w:val="es-ES_tradnl"/>
        </w:rPr>
        <w:t xml:space="preserve">4, 5, 8, 11, y 25 </w:t>
      </w:r>
      <w:r w:rsidR="00187D00" w:rsidRPr="001A6499">
        <w:rPr>
          <w:sz w:val="20"/>
          <w:szCs w:val="20"/>
          <w:lang w:val="es-ES_tradnl"/>
        </w:rPr>
        <w:t>de la Convención Americana.</w:t>
      </w:r>
      <w:r w:rsidR="004125A3" w:rsidRPr="001A6499">
        <w:rPr>
          <w:sz w:val="20"/>
          <w:szCs w:val="20"/>
          <w:lang w:val="es-ES_tradnl"/>
        </w:rPr>
        <w:t xml:space="preserve"> Es decir, no solo hay identidad de víctimas, sino también de hechos alegados</w:t>
      </w:r>
      <w:r w:rsidR="005E7147" w:rsidRPr="001A6499">
        <w:rPr>
          <w:sz w:val="20"/>
          <w:szCs w:val="20"/>
          <w:lang w:val="es-ES_tradnl"/>
        </w:rPr>
        <w:t xml:space="preserve">, </w:t>
      </w:r>
      <w:r w:rsidR="00F36920" w:rsidRPr="001A6499">
        <w:rPr>
          <w:sz w:val="20"/>
          <w:szCs w:val="20"/>
          <w:lang w:val="es-ES_tradnl"/>
        </w:rPr>
        <w:t xml:space="preserve">o sea que </w:t>
      </w:r>
      <w:r w:rsidR="005E7147" w:rsidRPr="001A6499">
        <w:rPr>
          <w:sz w:val="20"/>
          <w:szCs w:val="20"/>
          <w:lang w:val="es-ES_tradnl"/>
        </w:rPr>
        <w:t>se reproduce sustancialmente lo ya planteado en el caso 12.325;</w:t>
      </w:r>
      <w:r w:rsidR="004125A3" w:rsidRPr="001A6499">
        <w:rPr>
          <w:sz w:val="20"/>
          <w:szCs w:val="20"/>
          <w:lang w:val="es-ES_tradnl"/>
        </w:rPr>
        <w:t xml:space="preserve"> y se trata del mismo Estado: Colombia. </w:t>
      </w:r>
    </w:p>
    <w:p w14:paraId="4F251A18" w14:textId="63267841" w:rsidR="004125A3" w:rsidRPr="001A6499" w:rsidRDefault="004125A3" w:rsidP="0032150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lang w:val="es-ES_tradnl"/>
        </w:rPr>
      </w:pPr>
      <w:r w:rsidRPr="001A6499">
        <w:rPr>
          <w:sz w:val="20"/>
          <w:szCs w:val="20"/>
          <w:lang w:val="es-ES_tradnl"/>
        </w:rPr>
        <w:t xml:space="preserve">En consecuencia, la </w:t>
      </w:r>
      <w:r w:rsidR="00672854">
        <w:rPr>
          <w:sz w:val="20"/>
          <w:szCs w:val="20"/>
          <w:lang w:val="es-ES_tradnl"/>
        </w:rPr>
        <w:t>CIDH</w:t>
      </w:r>
      <w:r w:rsidR="0067029A" w:rsidRPr="001A6499">
        <w:rPr>
          <w:sz w:val="20"/>
          <w:szCs w:val="20"/>
          <w:lang w:val="es-ES_tradnl"/>
        </w:rPr>
        <w:t xml:space="preserve"> considera qu</w:t>
      </w:r>
      <w:r w:rsidR="00672854">
        <w:rPr>
          <w:sz w:val="20"/>
          <w:szCs w:val="20"/>
          <w:lang w:val="es-ES_tradnl"/>
        </w:rPr>
        <w:t>e</w:t>
      </w:r>
      <w:r w:rsidR="0067029A" w:rsidRPr="001A6499">
        <w:rPr>
          <w:sz w:val="20"/>
          <w:szCs w:val="20"/>
          <w:lang w:val="es-ES_tradnl"/>
        </w:rPr>
        <w:t xml:space="preserve"> existe duplicidad de procedimiento respecto de las cuatro presuntas víctimas de la presente petición frente al caso 12.325 en el que ya están incluidas; por lo tanto, en cumplimiento del citado artículo 47.d) de la Convención Americana, </w:t>
      </w:r>
      <w:r w:rsidR="005E7147" w:rsidRPr="001A6499">
        <w:rPr>
          <w:sz w:val="20"/>
          <w:szCs w:val="20"/>
          <w:lang w:val="es-ES_tradnl"/>
        </w:rPr>
        <w:t xml:space="preserve">concordante con el artículo 33.1.b) del Reglamento de la CIDH corresponde formalmente declarar inadmisible la presente petición 1306-08 por duplicidad de procedimientos, en tanto petición separada y autónoma. Sin embargo, la </w:t>
      </w:r>
      <w:r w:rsidR="00F36920" w:rsidRPr="001A6499">
        <w:rPr>
          <w:sz w:val="20"/>
          <w:szCs w:val="20"/>
          <w:lang w:val="es-ES_tradnl"/>
        </w:rPr>
        <w:t>CIDH</w:t>
      </w:r>
      <w:r w:rsidR="005E7147" w:rsidRPr="001A6499">
        <w:rPr>
          <w:sz w:val="20"/>
          <w:szCs w:val="20"/>
          <w:lang w:val="es-ES_tradnl"/>
        </w:rPr>
        <w:t xml:space="preserve"> por medio de su Secretaría Ejecutiva coordinará lo </w:t>
      </w:r>
      <w:r w:rsidR="00E753DC" w:rsidRPr="001A6499">
        <w:rPr>
          <w:sz w:val="20"/>
          <w:szCs w:val="20"/>
          <w:lang w:val="es-ES_tradnl"/>
        </w:rPr>
        <w:t>pertinente</w:t>
      </w:r>
      <w:r w:rsidR="005E7147" w:rsidRPr="001A6499">
        <w:rPr>
          <w:sz w:val="20"/>
          <w:szCs w:val="20"/>
          <w:lang w:val="es-ES_tradnl"/>
        </w:rPr>
        <w:t xml:space="preserve"> con la parte peticionaria a fin de </w:t>
      </w:r>
      <w:r w:rsidR="00E753DC" w:rsidRPr="001A6499">
        <w:rPr>
          <w:sz w:val="20"/>
          <w:szCs w:val="20"/>
          <w:lang w:val="es-ES_tradnl"/>
        </w:rPr>
        <w:t xml:space="preserve">asegurar que las presuntas víctimas de </w:t>
      </w:r>
      <w:r w:rsidR="00F36920" w:rsidRPr="001A6499">
        <w:rPr>
          <w:sz w:val="20"/>
          <w:szCs w:val="20"/>
          <w:lang w:val="es-ES_tradnl"/>
        </w:rPr>
        <w:t>esta</w:t>
      </w:r>
      <w:r w:rsidR="00E753DC" w:rsidRPr="001A6499">
        <w:rPr>
          <w:sz w:val="20"/>
          <w:szCs w:val="20"/>
          <w:lang w:val="es-ES_tradnl"/>
        </w:rPr>
        <w:t xml:space="preserve"> petición sean representadas por los peticionarios de su elección; que tengan la posibilidad de presentar información si así lo desean; y de ordenar lo que sea conducente al mejor interés de las víctimas en el marco del caso 12.325 actualmente en etapa de fondo ante la CIDH.</w:t>
      </w:r>
    </w:p>
    <w:p w14:paraId="50391651" w14:textId="69EDD78D" w:rsidR="00337AC7" w:rsidRPr="001A6499" w:rsidRDefault="00434827" w:rsidP="003215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b/>
          <w:bCs/>
          <w:color w:val="auto"/>
          <w:sz w:val="20"/>
          <w:szCs w:val="20"/>
          <w:lang w:val="es-ES_tradnl"/>
        </w:rPr>
      </w:pPr>
      <w:r w:rsidRPr="001A6499">
        <w:rPr>
          <w:b/>
          <w:bCs/>
          <w:sz w:val="20"/>
          <w:szCs w:val="20"/>
          <w:lang w:val="es-ES_tradnl"/>
        </w:rPr>
        <w:t>VII</w:t>
      </w:r>
      <w:r w:rsidR="00E10040" w:rsidRPr="001A6499">
        <w:rPr>
          <w:b/>
          <w:bCs/>
          <w:sz w:val="20"/>
          <w:szCs w:val="20"/>
          <w:lang w:val="es-ES_tradnl"/>
        </w:rPr>
        <w:t xml:space="preserve">. </w:t>
      </w:r>
      <w:r w:rsidR="00E10040" w:rsidRPr="001A6499">
        <w:rPr>
          <w:b/>
          <w:bCs/>
          <w:sz w:val="20"/>
          <w:szCs w:val="20"/>
          <w:lang w:val="es-ES_tradnl"/>
        </w:rPr>
        <w:tab/>
      </w:r>
      <w:r w:rsidR="00E10040" w:rsidRPr="001A6499">
        <w:rPr>
          <w:b/>
          <w:bCs/>
          <w:color w:val="auto"/>
          <w:sz w:val="20"/>
          <w:szCs w:val="20"/>
          <w:lang w:val="es-ES_tradnl"/>
        </w:rPr>
        <w:t>DECISIÓN</w:t>
      </w:r>
    </w:p>
    <w:p w14:paraId="009A9A1F" w14:textId="3B5FEC02" w:rsidR="00E10040" w:rsidRPr="001A6499" w:rsidRDefault="00E10040" w:rsidP="00321502">
      <w:pPr>
        <w:pStyle w:val="ListParagraph"/>
        <w:numPr>
          <w:ilvl w:val="0"/>
          <w:numId w:val="1"/>
        </w:numPr>
        <w:spacing w:after="120"/>
        <w:rPr>
          <w:rFonts w:eastAsia="Arial Unicode MS" w:cs="Times New Roman"/>
          <w:color w:val="auto"/>
          <w:sz w:val="20"/>
          <w:szCs w:val="20"/>
          <w:lang w:val="es-ES_tradnl" w:eastAsia="en-US"/>
        </w:rPr>
      </w:pPr>
      <w:r w:rsidRPr="001A6499">
        <w:rPr>
          <w:rFonts w:eastAsia="Arial Unicode MS" w:cs="Times New Roman"/>
          <w:color w:val="auto"/>
          <w:sz w:val="20"/>
          <w:szCs w:val="20"/>
          <w:lang w:val="es-ES_tradnl" w:eastAsia="en-US"/>
        </w:rPr>
        <w:t>Declarar inadmisible la presente petición</w:t>
      </w:r>
      <w:r w:rsidR="004D1D28" w:rsidRPr="001A6499">
        <w:rPr>
          <w:rFonts w:eastAsia="Arial Unicode MS" w:cs="Times New Roman"/>
          <w:color w:val="auto"/>
          <w:sz w:val="20"/>
          <w:szCs w:val="20"/>
          <w:lang w:val="es-ES_tradnl" w:eastAsia="en-US"/>
        </w:rPr>
        <w:t>.</w:t>
      </w:r>
    </w:p>
    <w:p w14:paraId="51BDE6CE" w14:textId="057BBAED" w:rsidR="00844AF5" w:rsidRDefault="00E10040" w:rsidP="0032150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VE"/>
        </w:rPr>
      </w:pPr>
      <w:r w:rsidRPr="001A6499">
        <w:rPr>
          <w:rFonts w:ascii="Cambria" w:hAnsi="Cambria"/>
          <w:sz w:val="20"/>
          <w:szCs w:val="20"/>
          <w:lang w:val="es-ES_tradnl"/>
        </w:rPr>
        <w:t>Notificar a las partes la presente decisión; y publicar esta decisión e incluirla en su Informe Anual a la Asamblea General de la Organización de los Estad</w:t>
      </w:r>
      <w:r w:rsidRPr="00434827">
        <w:rPr>
          <w:rFonts w:ascii="Cambria" w:hAnsi="Cambria"/>
          <w:sz w:val="20"/>
          <w:szCs w:val="20"/>
          <w:lang w:val="es-VE"/>
        </w:rPr>
        <w:t>os Americanos</w:t>
      </w:r>
      <w:r w:rsidR="000012BA">
        <w:rPr>
          <w:rFonts w:ascii="Cambria" w:hAnsi="Cambria"/>
          <w:sz w:val="20"/>
          <w:szCs w:val="20"/>
          <w:lang w:val="es-VE"/>
        </w:rPr>
        <w:t>.</w:t>
      </w:r>
    </w:p>
    <w:p w14:paraId="51CD2E04" w14:textId="06C79C5A" w:rsidR="00E40E80" w:rsidRPr="00D247A2" w:rsidRDefault="00CD2565" w:rsidP="00D247A2">
      <w:pPr>
        <w:ind w:firstLine="720"/>
        <w:jc w:val="both"/>
        <w:rPr>
          <w:rFonts w:ascii="Cambria" w:hAnsi="Cambria" w:cs="Arial"/>
          <w:noProof/>
          <w:sz w:val="20"/>
          <w:szCs w:val="20"/>
          <w:lang w:val="es-CL"/>
        </w:rPr>
      </w:pPr>
      <w:bookmarkStart w:id="5" w:name="_Hlk95209781"/>
      <w:bookmarkStart w:id="6" w:name="_Hlk89320357"/>
      <w:r w:rsidRPr="00CD2565">
        <w:rPr>
          <w:rFonts w:ascii="Cambria" w:hAnsi="Cambria" w:cs="Arial"/>
          <w:noProof/>
          <w:sz w:val="20"/>
          <w:szCs w:val="20"/>
          <w:lang w:val="es-CL"/>
        </w:rPr>
        <w:t xml:space="preserve">Aprobado por la Comisión Interamericana de Derechos Humanos a los </w:t>
      </w:r>
      <w:r w:rsidR="009D6C09">
        <w:rPr>
          <w:rFonts w:ascii="Cambria" w:hAnsi="Cambria" w:cs="Arial"/>
          <w:noProof/>
          <w:sz w:val="20"/>
          <w:szCs w:val="20"/>
          <w:lang w:val="es-CL"/>
        </w:rPr>
        <w:t>24</w:t>
      </w:r>
      <w:r w:rsidRPr="00CD2565">
        <w:rPr>
          <w:rFonts w:ascii="Cambria" w:hAnsi="Cambria" w:cs="Arial"/>
          <w:noProof/>
          <w:sz w:val="20"/>
          <w:szCs w:val="20"/>
          <w:lang w:val="es-CL"/>
        </w:rPr>
        <w:t xml:space="preserve"> días del mes de </w:t>
      </w:r>
      <w:r w:rsidR="009D6C09">
        <w:rPr>
          <w:rFonts w:ascii="Cambria" w:hAnsi="Cambria" w:cs="Arial"/>
          <w:noProof/>
          <w:sz w:val="20"/>
          <w:szCs w:val="20"/>
          <w:lang w:val="es-CL"/>
        </w:rPr>
        <w:t>agosto</w:t>
      </w:r>
      <w:r w:rsidRPr="00CD2565">
        <w:rPr>
          <w:rFonts w:ascii="Cambria" w:hAnsi="Cambria" w:cs="Arial"/>
          <w:noProof/>
          <w:sz w:val="20"/>
          <w:szCs w:val="20"/>
          <w:lang w:val="es-CL"/>
        </w:rPr>
        <w:t xml:space="preserve"> de 2022. (Firmado): Julissa Mantilla Falcón, Presidenta; Stuardo Ralón Orellana, Primer</w:t>
      </w:r>
      <w:r w:rsidR="00D247A2">
        <w:rPr>
          <w:rFonts w:ascii="Cambria" w:hAnsi="Cambria" w:cs="Arial"/>
          <w:noProof/>
          <w:sz w:val="20"/>
          <w:szCs w:val="20"/>
          <w:lang w:val="es-CL"/>
        </w:rPr>
        <w:t xml:space="preserve"> </w:t>
      </w:r>
      <w:r w:rsidRPr="00CD2565">
        <w:rPr>
          <w:rFonts w:ascii="Cambria" w:hAnsi="Cambria" w:cs="Arial"/>
          <w:noProof/>
          <w:sz w:val="20"/>
          <w:szCs w:val="20"/>
          <w:lang w:val="es-CL"/>
        </w:rPr>
        <w:t>Vicepresidente; Esmeralda E. Arosemena Bernal de Troitiño</w:t>
      </w:r>
      <w:r w:rsidR="004660E5">
        <w:rPr>
          <w:rFonts w:ascii="Cambria" w:hAnsi="Cambria" w:cs="Arial"/>
          <w:noProof/>
          <w:sz w:val="20"/>
          <w:szCs w:val="20"/>
          <w:lang w:val="es-CL"/>
        </w:rPr>
        <w:t xml:space="preserve"> y</w:t>
      </w:r>
      <w:r w:rsidRPr="00CD2565">
        <w:rPr>
          <w:rFonts w:ascii="Cambria" w:hAnsi="Cambria" w:cs="Arial"/>
          <w:noProof/>
          <w:sz w:val="20"/>
          <w:szCs w:val="20"/>
          <w:lang w:val="es-CL"/>
        </w:rPr>
        <w:t xml:space="preserve"> Joel Hernández, </w:t>
      </w:r>
      <w:r w:rsidR="00D247A2">
        <w:rPr>
          <w:rFonts w:ascii="Cambria" w:hAnsi="Cambria" w:cs="Arial"/>
          <w:noProof/>
          <w:sz w:val="20"/>
          <w:szCs w:val="20"/>
          <w:lang w:val="es-CL"/>
        </w:rPr>
        <w:t>m</w:t>
      </w:r>
      <w:r w:rsidRPr="00CD2565">
        <w:rPr>
          <w:rFonts w:ascii="Cambria" w:hAnsi="Cambria" w:cs="Arial"/>
          <w:noProof/>
          <w:sz w:val="20"/>
          <w:szCs w:val="20"/>
          <w:lang w:val="es-CL"/>
        </w:rPr>
        <w:t xml:space="preserve">iembros de la Comisión. </w:t>
      </w:r>
      <w:bookmarkEnd w:id="5"/>
      <w:bookmarkEnd w:id="6"/>
    </w:p>
    <w:sectPr w:rsidR="00E40E80" w:rsidRPr="00D247A2" w:rsidSect="0001616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148E" w14:textId="77777777" w:rsidR="001C1F5C" w:rsidRDefault="001C1F5C" w:rsidP="00E10040">
      <w:r>
        <w:separator/>
      </w:r>
    </w:p>
  </w:endnote>
  <w:endnote w:type="continuationSeparator" w:id="0">
    <w:p w14:paraId="0AF5ED06" w14:textId="77777777" w:rsidR="001C1F5C" w:rsidRDefault="001C1F5C"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5F6D3432" w:rsidR="0040728B" w:rsidRPr="00934A2C" w:rsidRDefault="0040728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252BB">
          <w:rPr>
            <w:noProof/>
            <w:sz w:val="16"/>
            <w:szCs w:val="22"/>
          </w:rPr>
          <w:t>5</w:t>
        </w:r>
        <w:r w:rsidRPr="00934A2C">
          <w:rPr>
            <w:noProof/>
            <w:sz w:val="16"/>
            <w:szCs w:val="22"/>
          </w:rPr>
          <w:fldChar w:fldCharType="end"/>
        </w:r>
      </w:p>
    </w:sdtContent>
  </w:sdt>
  <w:p w14:paraId="54CF4771" w14:textId="77777777" w:rsidR="0040728B" w:rsidRDefault="0040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40728B" w:rsidRPr="00934A2C" w:rsidRDefault="0040728B">
    <w:pPr>
      <w:pStyle w:val="Footer"/>
      <w:jc w:val="center"/>
      <w:rPr>
        <w:sz w:val="16"/>
        <w:szCs w:val="22"/>
      </w:rPr>
    </w:pPr>
  </w:p>
  <w:p w14:paraId="6CF30CE2" w14:textId="77777777" w:rsidR="0040728B" w:rsidRDefault="0040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ED0D" w14:textId="77777777" w:rsidR="001C1F5C" w:rsidRDefault="001C1F5C" w:rsidP="00E10040">
      <w:r>
        <w:separator/>
      </w:r>
    </w:p>
  </w:footnote>
  <w:footnote w:type="continuationSeparator" w:id="0">
    <w:p w14:paraId="11FE4304" w14:textId="77777777" w:rsidR="001C1F5C" w:rsidRDefault="001C1F5C" w:rsidP="00E10040">
      <w:r>
        <w:continuationSeparator/>
      </w:r>
    </w:p>
  </w:footnote>
  <w:footnote w:id="1">
    <w:p w14:paraId="7AE310B4" w14:textId="4596AD90" w:rsidR="00EF40F0" w:rsidRPr="00EF40F0" w:rsidRDefault="00EF40F0" w:rsidP="00A3400E">
      <w:pPr>
        <w:pStyle w:val="FootnoteText"/>
        <w:ind w:firstLine="720"/>
        <w:jc w:val="both"/>
        <w:rPr>
          <w:lang w:val="es-419"/>
        </w:rPr>
      </w:pPr>
      <w:r w:rsidRPr="00A3400E">
        <w:rPr>
          <w:rStyle w:val="FootnoteReference"/>
          <w:sz w:val="16"/>
          <w:szCs w:val="16"/>
        </w:rPr>
        <w:footnoteRef/>
      </w:r>
      <w:r w:rsidRPr="00D247A2">
        <w:rPr>
          <w:rStyle w:val="FootnoteReference"/>
          <w:lang w:val="es-AR"/>
        </w:rPr>
        <w:t xml:space="preserve"> </w:t>
      </w:r>
      <w:r w:rsidRPr="00A3400E">
        <w:rPr>
          <w:rFonts w:ascii="Cambria" w:hAnsi="Cambria"/>
          <w:sz w:val="16"/>
          <w:szCs w:val="16"/>
          <w:lang w:val="es-VE"/>
        </w:rPr>
        <w:t>Conforme a lo dispuesto en el artículo 17.2.a del Reglamento de la Comisión, el Comisionado Carlos Bernal Pulido, de nacionalidad colombiana, no participó en el debate ni en la decisión del presente asunto.</w:t>
      </w:r>
      <w:r w:rsidRPr="00EF40F0">
        <w:rPr>
          <w:lang w:val="es-419"/>
        </w:rPr>
        <w:t xml:space="preserve"> </w:t>
      </w:r>
    </w:p>
  </w:footnote>
  <w:footnote w:id="2">
    <w:p w14:paraId="0931C392" w14:textId="77777777" w:rsidR="0040728B" w:rsidRPr="007C4588" w:rsidRDefault="0040728B" w:rsidP="007C4588">
      <w:pPr>
        <w:pStyle w:val="FootnoteText"/>
        <w:ind w:firstLine="720"/>
        <w:rPr>
          <w:rFonts w:ascii="Cambria" w:hAnsi="Cambria"/>
          <w:sz w:val="16"/>
          <w:szCs w:val="16"/>
          <w:lang w:val="es-VE"/>
        </w:rPr>
      </w:pPr>
      <w:r w:rsidRPr="007C4588">
        <w:rPr>
          <w:rStyle w:val="FootnoteReference"/>
          <w:rFonts w:ascii="Cambria" w:hAnsi="Cambria"/>
          <w:sz w:val="16"/>
          <w:szCs w:val="16"/>
        </w:rPr>
        <w:footnoteRef/>
      </w:r>
      <w:r w:rsidRPr="007C4588">
        <w:rPr>
          <w:rFonts w:ascii="Cambria" w:hAnsi="Cambria"/>
          <w:sz w:val="16"/>
          <w:szCs w:val="16"/>
          <w:lang w:val="es-VE"/>
        </w:rPr>
        <w:t xml:space="preserve"> En adelante “Convención Americana” o “Convención”.</w:t>
      </w:r>
    </w:p>
  </w:footnote>
  <w:footnote w:id="3">
    <w:p w14:paraId="1E806F94" w14:textId="543FC332" w:rsidR="0040728B" w:rsidRPr="007C4588" w:rsidRDefault="0040728B" w:rsidP="007C4588">
      <w:pPr>
        <w:pStyle w:val="FootnoteText"/>
        <w:ind w:firstLine="720"/>
        <w:rPr>
          <w:rFonts w:ascii="Cambria" w:hAnsi="Cambria"/>
          <w:sz w:val="16"/>
          <w:szCs w:val="16"/>
          <w:lang w:val="es-VE"/>
        </w:rPr>
      </w:pPr>
      <w:r w:rsidRPr="007C4588">
        <w:rPr>
          <w:rStyle w:val="FootnoteReference"/>
          <w:rFonts w:ascii="Cambria" w:hAnsi="Cambria"/>
          <w:sz w:val="16"/>
          <w:szCs w:val="16"/>
        </w:rPr>
        <w:footnoteRef/>
      </w:r>
      <w:r w:rsidRPr="007C4588">
        <w:rPr>
          <w:rFonts w:ascii="Cambria" w:hAnsi="Cambria"/>
          <w:sz w:val="16"/>
          <w:szCs w:val="16"/>
          <w:lang w:val="es-VE"/>
        </w:rPr>
        <w:t xml:space="preserve"> En adelante “</w:t>
      </w:r>
      <w:r>
        <w:rPr>
          <w:rFonts w:ascii="Cambria" w:hAnsi="Cambria"/>
          <w:sz w:val="16"/>
          <w:szCs w:val="16"/>
          <w:lang w:val="es-VE"/>
        </w:rPr>
        <w:t xml:space="preserve">Declaración </w:t>
      </w:r>
      <w:r w:rsidRPr="007C4588">
        <w:rPr>
          <w:rFonts w:ascii="Cambria" w:hAnsi="Cambria"/>
          <w:sz w:val="16"/>
          <w:szCs w:val="16"/>
          <w:lang w:val="es-VE"/>
        </w:rPr>
        <w:t>Americana” o “</w:t>
      </w:r>
      <w:r>
        <w:rPr>
          <w:rFonts w:ascii="Cambria" w:hAnsi="Cambria"/>
          <w:sz w:val="16"/>
          <w:szCs w:val="16"/>
          <w:lang w:val="es-VE"/>
        </w:rPr>
        <w:t>Declaración</w:t>
      </w:r>
      <w:r w:rsidRPr="007C4588">
        <w:rPr>
          <w:rFonts w:ascii="Cambria" w:hAnsi="Cambria"/>
          <w:sz w:val="16"/>
          <w:szCs w:val="16"/>
          <w:lang w:val="es-VE"/>
        </w:rPr>
        <w:t>”.</w:t>
      </w:r>
    </w:p>
  </w:footnote>
  <w:footnote w:id="4">
    <w:p w14:paraId="64CFC33C" w14:textId="77777777" w:rsidR="0040728B" w:rsidRPr="00E10040" w:rsidRDefault="0040728B" w:rsidP="007C4588">
      <w:pPr>
        <w:pStyle w:val="FootnoteText"/>
        <w:ind w:firstLine="720"/>
        <w:jc w:val="both"/>
        <w:rPr>
          <w:rFonts w:ascii="Cambria" w:hAnsi="Cambria"/>
          <w:sz w:val="16"/>
          <w:szCs w:val="16"/>
          <w:lang w:val="es-ES"/>
        </w:rPr>
      </w:pPr>
      <w:r w:rsidRPr="007C4588">
        <w:rPr>
          <w:rStyle w:val="FootnoteReference"/>
          <w:rFonts w:ascii="Cambria" w:hAnsi="Cambria"/>
          <w:sz w:val="16"/>
          <w:szCs w:val="16"/>
        </w:rPr>
        <w:footnoteRef/>
      </w:r>
      <w:r w:rsidRPr="007C4588">
        <w:rPr>
          <w:rFonts w:ascii="Cambria" w:hAnsi="Cambria"/>
          <w:sz w:val="16"/>
          <w:szCs w:val="16"/>
          <w:lang w:val="es-ES"/>
        </w:rPr>
        <w:t xml:space="preserve"> Las observaciones de</w:t>
      </w:r>
      <w:r w:rsidRPr="00E10040">
        <w:rPr>
          <w:rFonts w:ascii="Cambria" w:hAnsi="Cambria"/>
          <w:sz w:val="16"/>
          <w:szCs w:val="16"/>
          <w:lang w:val="es-ES"/>
        </w:rPr>
        <w:t xml:space="preserve"> cada parte fueron debidamente trasladadas a la parte contraria.</w:t>
      </w:r>
    </w:p>
  </w:footnote>
  <w:footnote w:id="5">
    <w:p w14:paraId="281DED79" w14:textId="77777777" w:rsidR="00621D9D" w:rsidRPr="00E01DDA" w:rsidRDefault="00621D9D" w:rsidP="00621D9D">
      <w:pPr>
        <w:pStyle w:val="FootnoteText"/>
        <w:ind w:firstLine="720"/>
        <w:jc w:val="both"/>
        <w:rPr>
          <w:rFonts w:ascii="Cambria" w:hAnsi="Cambria"/>
          <w:sz w:val="16"/>
          <w:szCs w:val="16"/>
          <w:lang w:val="es-VE"/>
        </w:rPr>
      </w:pPr>
      <w:r w:rsidRPr="00E01DDA">
        <w:rPr>
          <w:rStyle w:val="FootnoteReference"/>
          <w:rFonts w:ascii="Cambria" w:hAnsi="Cambria"/>
          <w:sz w:val="16"/>
          <w:szCs w:val="16"/>
        </w:rPr>
        <w:footnoteRef/>
      </w:r>
      <w:r w:rsidRPr="00E01DDA">
        <w:rPr>
          <w:rFonts w:ascii="Cambria" w:hAnsi="Cambria"/>
          <w:sz w:val="16"/>
          <w:szCs w:val="16"/>
          <w:lang w:val="es-VE"/>
        </w:rPr>
        <w:t xml:space="preserve"> </w:t>
      </w:r>
      <w:r>
        <w:rPr>
          <w:rFonts w:ascii="Cambria" w:hAnsi="Cambria"/>
          <w:sz w:val="16"/>
          <w:szCs w:val="16"/>
          <w:lang w:val="es-VE"/>
        </w:rPr>
        <w:t xml:space="preserve">A lo largo del expediente las partes identifican al niño </w:t>
      </w:r>
      <w:r w:rsidRPr="00E01DDA">
        <w:rPr>
          <w:rFonts w:ascii="Cambria" w:hAnsi="Cambria"/>
          <w:sz w:val="16"/>
          <w:szCs w:val="16"/>
          <w:lang w:val="es-VE"/>
        </w:rPr>
        <w:t>Deyner Andrés Guerra Tuberquia</w:t>
      </w:r>
      <w:r>
        <w:rPr>
          <w:rFonts w:ascii="Cambria" w:hAnsi="Cambria"/>
          <w:sz w:val="16"/>
          <w:szCs w:val="16"/>
          <w:lang w:val="es-VE"/>
        </w:rPr>
        <w:t xml:space="preserve"> también con los nombres “</w:t>
      </w:r>
      <w:r w:rsidRPr="00E01DDA">
        <w:rPr>
          <w:rFonts w:ascii="Cambria" w:hAnsi="Cambria"/>
          <w:sz w:val="16"/>
          <w:szCs w:val="16"/>
          <w:lang w:val="es-VE"/>
        </w:rPr>
        <w:t>Deiner</w:t>
      </w:r>
      <w:r>
        <w:rPr>
          <w:rFonts w:ascii="Cambria" w:hAnsi="Cambria"/>
          <w:sz w:val="16"/>
          <w:szCs w:val="16"/>
          <w:lang w:val="es-VE"/>
        </w:rPr>
        <w:t>”</w:t>
      </w:r>
      <w:r w:rsidRPr="00E01DDA">
        <w:rPr>
          <w:rFonts w:ascii="Cambria" w:hAnsi="Cambria"/>
          <w:sz w:val="16"/>
          <w:szCs w:val="16"/>
          <w:lang w:val="es-VE"/>
        </w:rPr>
        <w:t xml:space="preserve"> o </w:t>
      </w:r>
      <w:r>
        <w:rPr>
          <w:rFonts w:ascii="Cambria" w:hAnsi="Cambria"/>
          <w:sz w:val="16"/>
          <w:szCs w:val="16"/>
          <w:lang w:val="es-VE"/>
        </w:rPr>
        <w:t>“</w:t>
      </w:r>
      <w:r w:rsidRPr="00E01DDA">
        <w:rPr>
          <w:rFonts w:ascii="Cambria" w:hAnsi="Cambria"/>
          <w:sz w:val="16"/>
          <w:szCs w:val="16"/>
          <w:lang w:val="es-VE"/>
        </w:rPr>
        <w:t>Deimer</w:t>
      </w:r>
      <w:r>
        <w:rPr>
          <w:rFonts w:ascii="Cambria" w:hAnsi="Cambria"/>
          <w:sz w:val="16"/>
          <w:szCs w:val="16"/>
          <w:lang w:val="es-V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40728B" w:rsidRDefault="0040728B" w:rsidP="0001616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40728B" w:rsidRDefault="00407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40728B" w:rsidRDefault="0040728B" w:rsidP="00016160">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40728B" w:rsidRPr="00EC7D62" w:rsidRDefault="00347B87" w:rsidP="00016160">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89DC605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E1CE4"/>
    <w:multiLevelType w:val="hybridMultilevel"/>
    <w:tmpl w:val="4FBC36A6"/>
    <w:lvl w:ilvl="0" w:tplc="580A0013">
      <w:start w:val="1"/>
      <w:numFmt w:val="upperRoman"/>
      <w:lvlText w:val="%1."/>
      <w:lvlJc w:val="righ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A638E1"/>
    <w:multiLevelType w:val="hybridMultilevel"/>
    <w:tmpl w:val="A2C4C670"/>
    <w:lvl w:ilvl="0" w:tplc="C43E0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1F6CB7"/>
    <w:multiLevelType w:val="hybridMultilevel"/>
    <w:tmpl w:val="19427DDE"/>
    <w:lvl w:ilvl="0" w:tplc="482874E6">
      <w:start w:val="1"/>
      <w:numFmt w:val="decimal"/>
      <w:lvlText w:val="%1."/>
      <w:lvlJc w:val="left"/>
      <w:pPr>
        <w:ind w:left="1440" w:hanging="720"/>
      </w:pPr>
      <w:rPr>
        <w:rFonts w:ascii="Cambria" w:hAnsi="Cambria"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91D2964"/>
    <w:multiLevelType w:val="hybridMultilevel"/>
    <w:tmpl w:val="1206C188"/>
    <w:lvl w:ilvl="0" w:tplc="39B681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AC1C9B"/>
    <w:multiLevelType w:val="hybridMultilevel"/>
    <w:tmpl w:val="14A2D710"/>
    <w:lvl w:ilvl="0" w:tplc="C43E07C6">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CF75AD"/>
    <w:multiLevelType w:val="hybridMultilevel"/>
    <w:tmpl w:val="53BCB7F2"/>
    <w:lvl w:ilvl="0" w:tplc="E43E9C0C">
      <w:start w:val="1"/>
      <w:numFmt w:val="decimal"/>
      <w:lvlText w:val="%1."/>
      <w:lvlJc w:val="left"/>
      <w:pPr>
        <w:ind w:left="720" w:hanging="360"/>
      </w:pPr>
      <w:rPr>
        <w:b w:val="0"/>
        <w:b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num w:numId="1" w16cid:durableId="1302418827">
    <w:abstractNumId w:val="10"/>
  </w:num>
  <w:num w:numId="2" w16cid:durableId="587230015">
    <w:abstractNumId w:val="3"/>
  </w:num>
  <w:num w:numId="3" w16cid:durableId="688259225">
    <w:abstractNumId w:val="2"/>
  </w:num>
  <w:num w:numId="4" w16cid:durableId="483814027">
    <w:abstractNumId w:val="9"/>
  </w:num>
  <w:num w:numId="5" w16cid:durableId="1053894047">
    <w:abstractNumId w:val="12"/>
  </w:num>
  <w:num w:numId="6" w16cid:durableId="2011633973">
    <w:abstractNumId w:val="0"/>
  </w:num>
  <w:num w:numId="7" w16cid:durableId="1467314251">
    <w:abstractNumId w:val="8"/>
  </w:num>
  <w:num w:numId="8" w16cid:durableId="1231770502">
    <w:abstractNumId w:val="13"/>
  </w:num>
  <w:num w:numId="9" w16cid:durableId="615601081">
    <w:abstractNumId w:val="1"/>
  </w:num>
  <w:num w:numId="10" w16cid:durableId="1252008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5622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0085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429646">
    <w:abstractNumId w:val="4"/>
  </w:num>
  <w:num w:numId="14" w16cid:durableId="296640676">
    <w:abstractNumId w:val="5"/>
  </w:num>
  <w:num w:numId="15" w16cid:durableId="370034427">
    <w:abstractNumId w:val="11"/>
  </w:num>
  <w:num w:numId="16" w16cid:durableId="516819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40"/>
    <w:rsid w:val="000012BA"/>
    <w:rsid w:val="00016160"/>
    <w:rsid w:val="00036723"/>
    <w:rsid w:val="00077E3D"/>
    <w:rsid w:val="00080D9E"/>
    <w:rsid w:val="00085E40"/>
    <w:rsid w:val="00086C80"/>
    <w:rsid w:val="000A0592"/>
    <w:rsid w:val="000A1289"/>
    <w:rsid w:val="000C4F3D"/>
    <w:rsid w:val="000C7020"/>
    <w:rsid w:val="000D0D46"/>
    <w:rsid w:val="00116A56"/>
    <w:rsid w:val="00120D3D"/>
    <w:rsid w:val="00130ACE"/>
    <w:rsid w:val="0013252A"/>
    <w:rsid w:val="0013698E"/>
    <w:rsid w:val="00143566"/>
    <w:rsid w:val="001511F9"/>
    <w:rsid w:val="00160AEC"/>
    <w:rsid w:val="00162585"/>
    <w:rsid w:val="00180A16"/>
    <w:rsid w:val="00187D00"/>
    <w:rsid w:val="00193E84"/>
    <w:rsid w:val="001A6499"/>
    <w:rsid w:val="001B1748"/>
    <w:rsid w:val="001C1F5C"/>
    <w:rsid w:val="001D1C95"/>
    <w:rsid w:val="001E2598"/>
    <w:rsid w:val="001E6645"/>
    <w:rsid w:val="001F57B1"/>
    <w:rsid w:val="0021035A"/>
    <w:rsid w:val="00215A05"/>
    <w:rsid w:val="00220297"/>
    <w:rsid w:val="002252BB"/>
    <w:rsid w:val="00234BF4"/>
    <w:rsid w:val="00244539"/>
    <w:rsid w:val="002530F2"/>
    <w:rsid w:val="0025487E"/>
    <w:rsid w:val="00276459"/>
    <w:rsid w:val="002767FA"/>
    <w:rsid w:val="00276A58"/>
    <w:rsid w:val="00277D6C"/>
    <w:rsid w:val="00284C6B"/>
    <w:rsid w:val="00290AF2"/>
    <w:rsid w:val="002928FE"/>
    <w:rsid w:val="002B5A2C"/>
    <w:rsid w:val="002C4F3C"/>
    <w:rsid w:val="002C6B8E"/>
    <w:rsid w:val="002E288C"/>
    <w:rsid w:val="002F57AF"/>
    <w:rsid w:val="00305F43"/>
    <w:rsid w:val="00313F5D"/>
    <w:rsid w:val="00314470"/>
    <w:rsid w:val="00321502"/>
    <w:rsid w:val="00322827"/>
    <w:rsid w:val="00324701"/>
    <w:rsid w:val="00327F72"/>
    <w:rsid w:val="00337AC7"/>
    <w:rsid w:val="003421A0"/>
    <w:rsid w:val="0034528B"/>
    <w:rsid w:val="00347B87"/>
    <w:rsid w:val="00350D40"/>
    <w:rsid w:val="003519D8"/>
    <w:rsid w:val="003668AB"/>
    <w:rsid w:val="003923EC"/>
    <w:rsid w:val="003A6B60"/>
    <w:rsid w:val="003C4402"/>
    <w:rsid w:val="003C5340"/>
    <w:rsid w:val="003C5CA0"/>
    <w:rsid w:val="003C6EBB"/>
    <w:rsid w:val="003D4361"/>
    <w:rsid w:val="003D5B9F"/>
    <w:rsid w:val="00401D97"/>
    <w:rsid w:val="0040728B"/>
    <w:rsid w:val="004114F9"/>
    <w:rsid w:val="004125A3"/>
    <w:rsid w:val="00416D00"/>
    <w:rsid w:val="00422533"/>
    <w:rsid w:val="00434827"/>
    <w:rsid w:val="004363E9"/>
    <w:rsid w:val="00450D56"/>
    <w:rsid w:val="004660E5"/>
    <w:rsid w:val="004815C0"/>
    <w:rsid w:val="004826A3"/>
    <w:rsid w:val="00491B36"/>
    <w:rsid w:val="00495FC9"/>
    <w:rsid w:val="0049641B"/>
    <w:rsid w:val="004A6D59"/>
    <w:rsid w:val="004A7B6F"/>
    <w:rsid w:val="004B3601"/>
    <w:rsid w:val="004B60E5"/>
    <w:rsid w:val="004D0CD7"/>
    <w:rsid w:val="004D1A4A"/>
    <w:rsid w:val="004D1D28"/>
    <w:rsid w:val="004E01FC"/>
    <w:rsid w:val="004E52F1"/>
    <w:rsid w:val="004E7C0C"/>
    <w:rsid w:val="005018E8"/>
    <w:rsid w:val="005111D4"/>
    <w:rsid w:val="005114C6"/>
    <w:rsid w:val="00522926"/>
    <w:rsid w:val="00526755"/>
    <w:rsid w:val="00550BAF"/>
    <w:rsid w:val="00552444"/>
    <w:rsid w:val="00560AAF"/>
    <w:rsid w:val="00563208"/>
    <w:rsid w:val="005B2215"/>
    <w:rsid w:val="005B4BEF"/>
    <w:rsid w:val="005B6949"/>
    <w:rsid w:val="005D013E"/>
    <w:rsid w:val="005E7147"/>
    <w:rsid w:val="006142C9"/>
    <w:rsid w:val="006158A8"/>
    <w:rsid w:val="00615A49"/>
    <w:rsid w:val="00621D9D"/>
    <w:rsid w:val="0063156E"/>
    <w:rsid w:val="00640240"/>
    <w:rsid w:val="006542EE"/>
    <w:rsid w:val="00666B53"/>
    <w:rsid w:val="0067029A"/>
    <w:rsid w:val="00672854"/>
    <w:rsid w:val="00694A55"/>
    <w:rsid w:val="006A0D75"/>
    <w:rsid w:val="006A5DC1"/>
    <w:rsid w:val="006F75A1"/>
    <w:rsid w:val="00704DFE"/>
    <w:rsid w:val="00707F20"/>
    <w:rsid w:val="00734E25"/>
    <w:rsid w:val="00740458"/>
    <w:rsid w:val="00743C40"/>
    <w:rsid w:val="0076192E"/>
    <w:rsid w:val="007805B0"/>
    <w:rsid w:val="007834F8"/>
    <w:rsid w:val="0079030D"/>
    <w:rsid w:val="00791944"/>
    <w:rsid w:val="00794707"/>
    <w:rsid w:val="007B07E7"/>
    <w:rsid w:val="007B09A0"/>
    <w:rsid w:val="007C4588"/>
    <w:rsid w:val="007D20DB"/>
    <w:rsid w:val="007D470E"/>
    <w:rsid w:val="007D6D45"/>
    <w:rsid w:val="007F279F"/>
    <w:rsid w:val="007F4D70"/>
    <w:rsid w:val="008049A3"/>
    <w:rsid w:val="008062AE"/>
    <w:rsid w:val="008066D4"/>
    <w:rsid w:val="00812009"/>
    <w:rsid w:val="00832B64"/>
    <w:rsid w:val="00844241"/>
    <w:rsid w:val="00844AF5"/>
    <w:rsid w:val="008454C8"/>
    <w:rsid w:val="00856FC3"/>
    <w:rsid w:val="008643EE"/>
    <w:rsid w:val="00867082"/>
    <w:rsid w:val="00877E14"/>
    <w:rsid w:val="008854CB"/>
    <w:rsid w:val="00896961"/>
    <w:rsid w:val="008B2D91"/>
    <w:rsid w:val="008B6958"/>
    <w:rsid w:val="008C50D8"/>
    <w:rsid w:val="008E2A70"/>
    <w:rsid w:val="008E490D"/>
    <w:rsid w:val="009003C2"/>
    <w:rsid w:val="009033E7"/>
    <w:rsid w:val="0091108A"/>
    <w:rsid w:val="00914638"/>
    <w:rsid w:val="00924E5F"/>
    <w:rsid w:val="00940250"/>
    <w:rsid w:val="009525C6"/>
    <w:rsid w:val="0096267D"/>
    <w:rsid w:val="009815EB"/>
    <w:rsid w:val="00992312"/>
    <w:rsid w:val="009A72D9"/>
    <w:rsid w:val="009C59E9"/>
    <w:rsid w:val="009D6C09"/>
    <w:rsid w:val="009D7276"/>
    <w:rsid w:val="009E10C5"/>
    <w:rsid w:val="009E6EDA"/>
    <w:rsid w:val="009F3DAD"/>
    <w:rsid w:val="00A17856"/>
    <w:rsid w:val="00A2528B"/>
    <w:rsid w:val="00A25DC2"/>
    <w:rsid w:val="00A3400E"/>
    <w:rsid w:val="00A408A0"/>
    <w:rsid w:val="00A433AB"/>
    <w:rsid w:val="00A5170D"/>
    <w:rsid w:val="00A5374C"/>
    <w:rsid w:val="00A80E55"/>
    <w:rsid w:val="00AB4CCD"/>
    <w:rsid w:val="00AD4C81"/>
    <w:rsid w:val="00AD61D5"/>
    <w:rsid w:val="00AE19D5"/>
    <w:rsid w:val="00AF3329"/>
    <w:rsid w:val="00AF43E7"/>
    <w:rsid w:val="00B038B9"/>
    <w:rsid w:val="00B1376C"/>
    <w:rsid w:val="00B13DD6"/>
    <w:rsid w:val="00B3607D"/>
    <w:rsid w:val="00B54398"/>
    <w:rsid w:val="00B63305"/>
    <w:rsid w:val="00B6714A"/>
    <w:rsid w:val="00B77447"/>
    <w:rsid w:val="00B83F0C"/>
    <w:rsid w:val="00B868CD"/>
    <w:rsid w:val="00B91023"/>
    <w:rsid w:val="00B944A9"/>
    <w:rsid w:val="00BA50EE"/>
    <w:rsid w:val="00BA69ED"/>
    <w:rsid w:val="00BE02F4"/>
    <w:rsid w:val="00BE0B80"/>
    <w:rsid w:val="00C14B5D"/>
    <w:rsid w:val="00C20BA2"/>
    <w:rsid w:val="00C27BAA"/>
    <w:rsid w:val="00C43EAC"/>
    <w:rsid w:val="00C5051A"/>
    <w:rsid w:val="00C57C86"/>
    <w:rsid w:val="00C82B49"/>
    <w:rsid w:val="00C8543E"/>
    <w:rsid w:val="00C85998"/>
    <w:rsid w:val="00C9076A"/>
    <w:rsid w:val="00CA36FC"/>
    <w:rsid w:val="00CA4F2E"/>
    <w:rsid w:val="00CC2ECD"/>
    <w:rsid w:val="00CD2565"/>
    <w:rsid w:val="00CE405A"/>
    <w:rsid w:val="00CF445C"/>
    <w:rsid w:val="00CF7D6A"/>
    <w:rsid w:val="00D12BEA"/>
    <w:rsid w:val="00D15A72"/>
    <w:rsid w:val="00D1736F"/>
    <w:rsid w:val="00D22095"/>
    <w:rsid w:val="00D247A2"/>
    <w:rsid w:val="00D2746C"/>
    <w:rsid w:val="00D35B7F"/>
    <w:rsid w:val="00D621B4"/>
    <w:rsid w:val="00D761E7"/>
    <w:rsid w:val="00D976D4"/>
    <w:rsid w:val="00DB47F1"/>
    <w:rsid w:val="00DD3098"/>
    <w:rsid w:val="00DD3361"/>
    <w:rsid w:val="00DE27BD"/>
    <w:rsid w:val="00DE42D6"/>
    <w:rsid w:val="00E01292"/>
    <w:rsid w:val="00E01DDA"/>
    <w:rsid w:val="00E0451B"/>
    <w:rsid w:val="00E10040"/>
    <w:rsid w:val="00E30B6A"/>
    <w:rsid w:val="00E37D2D"/>
    <w:rsid w:val="00E40E80"/>
    <w:rsid w:val="00E42CE2"/>
    <w:rsid w:val="00E514F5"/>
    <w:rsid w:val="00E73260"/>
    <w:rsid w:val="00E753DC"/>
    <w:rsid w:val="00E85DE4"/>
    <w:rsid w:val="00E9006D"/>
    <w:rsid w:val="00E94E7B"/>
    <w:rsid w:val="00E969E9"/>
    <w:rsid w:val="00EA33AD"/>
    <w:rsid w:val="00EA3819"/>
    <w:rsid w:val="00ED52C9"/>
    <w:rsid w:val="00EE3A67"/>
    <w:rsid w:val="00EE5AA5"/>
    <w:rsid w:val="00EF1C74"/>
    <w:rsid w:val="00EF40F0"/>
    <w:rsid w:val="00EF737A"/>
    <w:rsid w:val="00F14ED8"/>
    <w:rsid w:val="00F35F0A"/>
    <w:rsid w:val="00F36920"/>
    <w:rsid w:val="00F45206"/>
    <w:rsid w:val="00F464E0"/>
    <w:rsid w:val="00F5529C"/>
    <w:rsid w:val="00F67894"/>
    <w:rsid w:val="00F7470E"/>
    <w:rsid w:val="00F92FB9"/>
    <w:rsid w:val="00FA6D40"/>
    <w:rsid w:val="00FA6F4E"/>
    <w:rsid w:val="00FB121F"/>
    <w:rsid w:val="00F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8AB"/>
    <w:rPr>
      <w:sz w:val="16"/>
      <w:szCs w:val="16"/>
    </w:rPr>
  </w:style>
  <w:style w:type="paragraph" w:styleId="CommentText">
    <w:name w:val="annotation text"/>
    <w:basedOn w:val="Normal"/>
    <w:link w:val="CommentTextChar"/>
    <w:uiPriority w:val="99"/>
    <w:unhideWhenUsed/>
    <w:rsid w:val="003668AB"/>
    <w:rPr>
      <w:sz w:val="20"/>
      <w:szCs w:val="20"/>
    </w:rPr>
  </w:style>
  <w:style w:type="character" w:customStyle="1" w:styleId="CommentTextChar">
    <w:name w:val="Comment Text Char"/>
    <w:basedOn w:val="DefaultParagraphFont"/>
    <w:link w:val="CommentText"/>
    <w:uiPriority w:val="99"/>
    <w:rsid w:val="003668A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668AB"/>
    <w:rPr>
      <w:b/>
      <w:bCs/>
    </w:rPr>
  </w:style>
  <w:style w:type="character" w:customStyle="1" w:styleId="CommentSubjectChar">
    <w:name w:val="Comment Subject Char"/>
    <w:basedOn w:val="CommentTextChar"/>
    <w:link w:val="CommentSubject"/>
    <w:uiPriority w:val="99"/>
    <w:semiHidden/>
    <w:rsid w:val="003668AB"/>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36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AB"/>
    <w:rPr>
      <w:rFonts w:ascii="Segoe UI" w:eastAsia="Arial Unicode MS" w:hAnsi="Segoe UI" w:cs="Segoe UI"/>
      <w:sz w:val="18"/>
      <w:szCs w:val="18"/>
      <w:bdr w:val="nil"/>
    </w:rPr>
  </w:style>
  <w:style w:type="numbering" w:customStyle="1" w:styleId="List8">
    <w:name w:val="List 8"/>
    <w:basedOn w:val="NoList"/>
    <w:rsid w:val="00CE405A"/>
    <w:pPr>
      <w:numPr>
        <w:numId w:val="8"/>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D470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styleId="Revision">
    <w:name w:val="Revision"/>
    <w:hidden/>
    <w:uiPriority w:val="99"/>
    <w:semiHidden/>
    <w:rsid w:val="000C4F3D"/>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3072">
      <w:bodyDiv w:val="1"/>
      <w:marLeft w:val="0"/>
      <w:marRight w:val="0"/>
      <w:marTop w:val="0"/>
      <w:marBottom w:val="0"/>
      <w:divBdr>
        <w:top w:val="none" w:sz="0" w:space="0" w:color="auto"/>
        <w:left w:val="none" w:sz="0" w:space="0" w:color="auto"/>
        <w:bottom w:val="none" w:sz="0" w:space="0" w:color="auto"/>
        <w:right w:val="none" w:sz="0" w:space="0" w:color="auto"/>
      </w:divBdr>
    </w:div>
    <w:div w:id="217014219">
      <w:bodyDiv w:val="1"/>
      <w:marLeft w:val="0"/>
      <w:marRight w:val="0"/>
      <w:marTop w:val="0"/>
      <w:marBottom w:val="0"/>
      <w:divBdr>
        <w:top w:val="none" w:sz="0" w:space="0" w:color="auto"/>
        <w:left w:val="none" w:sz="0" w:space="0" w:color="auto"/>
        <w:bottom w:val="none" w:sz="0" w:space="0" w:color="auto"/>
        <w:right w:val="none" w:sz="0" w:space="0" w:color="auto"/>
      </w:divBdr>
    </w:div>
    <w:div w:id="275261866">
      <w:bodyDiv w:val="1"/>
      <w:marLeft w:val="0"/>
      <w:marRight w:val="0"/>
      <w:marTop w:val="0"/>
      <w:marBottom w:val="0"/>
      <w:divBdr>
        <w:top w:val="none" w:sz="0" w:space="0" w:color="auto"/>
        <w:left w:val="none" w:sz="0" w:space="0" w:color="auto"/>
        <w:bottom w:val="none" w:sz="0" w:space="0" w:color="auto"/>
        <w:right w:val="none" w:sz="0" w:space="0" w:color="auto"/>
      </w:divBdr>
    </w:div>
    <w:div w:id="395977499">
      <w:bodyDiv w:val="1"/>
      <w:marLeft w:val="0"/>
      <w:marRight w:val="0"/>
      <w:marTop w:val="0"/>
      <w:marBottom w:val="0"/>
      <w:divBdr>
        <w:top w:val="none" w:sz="0" w:space="0" w:color="auto"/>
        <w:left w:val="none" w:sz="0" w:space="0" w:color="auto"/>
        <w:bottom w:val="none" w:sz="0" w:space="0" w:color="auto"/>
        <w:right w:val="none" w:sz="0" w:space="0" w:color="auto"/>
      </w:divBdr>
    </w:div>
    <w:div w:id="660735012">
      <w:bodyDiv w:val="1"/>
      <w:marLeft w:val="0"/>
      <w:marRight w:val="0"/>
      <w:marTop w:val="0"/>
      <w:marBottom w:val="0"/>
      <w:divBdr>
        <w:top w:val="none" w:sz="0" w:space="0" w:color="auto"/>
        <w:left w:val="none" w:sz="0" w:space="0" w:color="auto"/>
        <w:bottom w:val="none" w:sz="0" w:space="0" w:color="auto"/>
        <w:right w:val="none" w:sz="0" w:space="0" w:color="auto"/>
      </w:divBdr>
    </w:div>
    <w:div w:id="683439813">
      <w:bodyDiv w:val="1"/>
      <w:marLeft w:val="0"/>
      <w:marRight w:val="0"/>
      <w:marTop w:val="0"/>
      <w:marBottom w:val="0"/>
      <w:divBdr>
        <w:top w:val="none" w:sz="0" w:space="0" w:color="auto"/>
        <w:left w:val="none" w:sz="0" w:space="0" w:color="auto"/>
        <w:bottom w:val="none" w:sz="0" w:space="0" w:color="auto"/>
        <w:right w:val="none" w:sz="0" w:space="0" w:color="auto"/>
      </w:divBdr>
    </w:div>
    <w:div w:id="735708012">
      <w:bodyDiv w:val="1"/>
      <w:marLeft w:val="0"/>
      <w:marRight w:val="0"/>
      <w:marTop w:val="0"/>
      <w:marBottom w:val="0"/>
      <w:divBdr>
        <w:top w:val="none" w:sz="0" w:space="0" w:color="auto"/>
        <w:left w:val="none" w:sz="0" w:space="0" w:color="auto"/>
        <w:bottom w:val="none" w:sz="0" w:space="0" w:color="auto"/>
        <w:right w:val="none" w:sz="0" w:space="0" w:color="auto"/>
      </w:divBdr>
    </w:div>
    <w:div w:id="735711335">
      <w:bodyDiv w:val="1"/>
      <w:marLeft w:val="0"/>
      <w:marRight w:val="0"/>
      <w:marTop w:val="0"/>
      <w:marBottom w:val="0"/>
      <w:divBdr>
        <w:top w:val="none" w:sz="0" w:space="0" w:color="auto"/>
        <w:left w:val="none" w:sz="0" w:space="0" w:color="auto"/>
        <w:bottom w:val="none" w:sz="0" w:space="0" w:color="auto"/>
        <w:right w:val="none" w:sz="0" w:space="0" w:color="auto"/>
      </w:divBdr>
    </w:div>
    <w:div w:id="875115602">
      <w:bodyDiv w:val="1"/>
      <w:marLeft w:val="0"/>
      <w:marRight w:val="0"/>
      <w:marTop w:val="0"/>
      <w:marBottom w:val="0"/>
      <w:divBdr>
        <w:top w:val="none" w:sz="0" w:space="0" w:color="auto"/>
        <w:left w:val="none" w:sz="0" w:space="0" w:color="auto"/>
        <w:bottom w:val="none" w:sz="0" w:space="0" w:color="auto"/>
        <w:right w:val="none" w:sz="0" w:space="0" w:color="auto"/>
      </w:divBdr>
    </w:div>
    <w:div w:id="1029186513">
      <w:bodyDiv w:val="1"/>
      <w:marLeft w:val="0"/>
      <w:marRight w:val="0"/>
      <w:marTop w:val="0"/>
      <w:marBottom w:val="0"/>
      <w:divBdr>
        <w:top w:val="none" w:sz="0" w:space="0" w:color="auto"/>
        <w:left w:val="none" w:sz="0" w:space="0" w:color="auto"/>
        <w:bottom w:val="none" w:sz="0" w:space="0" w:color="auto"/>
        <w:right w:val="none" w:sz="0" w:space="0" w:color="auto"/>
      </w:divBdr>
    </w:div>
    <w:div w:id="17025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F917D6"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0500E8"/>
    <w:rsid w:val="0005442F"/>
    <w:rsid w:val="00071CB2"/>
    <w:rsid w:val="00274876"/>
    <w:rsid w:val="002E2433"/>
    <w:rsid w:val="002E6F11"/>
    <w:rsid w:val="00302FD4"/>
    <w:rsid w:val="004C5949"/>
    <w:rsid w:val="00506A21"/>
    <w:rsid w:val="0057368F"/>
    <w:rsid w:val="00604ACD"/>
    <w:rsid w:val="00965C73"/>
    <w:rsid w:val="009C017E"/>
    <w:rsid w:val="00AF2442"/>
    <w:rsid w:val="00B360C3"/>
    <w:rsid w:val="00BB0A2A"/>
    <w:rsid w:val="00F44A39"/>
    <w:rsid w:val="00F9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1FA0-240C-4040-B69B-BBCD26C9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2454</Words>
  <Characters>13989</Characters>
  <Application>Microsoft Office Word</Application>
  <DocSecurity>0</DocSecurity>
  <Lines>116</Lines>
  <Paragraphs>32</Paragraphs>
  <ScaleCrop>false</ScaleCrop>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2022-10-28T19:10:00Z</dcterms:created>
  <dcterms:modified xsi:type="dcterms:W3CDTF">2022-10-28T19:10:00Z</dcterms:modified>
</cp:coreProperties>
</file>