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5275" w14:textId="77777777" w:rsidR="00B37C87" w:rsidRPr="00FA3A3F" w:rsidRDefault="00B37C87" w:rsidP="00B37C87">
      <w:pPr>
        <w:jc w:val="both"/>
        <w:rPr>
          <w:rFonts w:asciiTheme="majorHAnsi" w:hAnsiTheme="majorHAnsi" w:cs="Univers"/>
          <w:b/>
          <w:bCs/>
          <w:sz w:val="22"/>
          <w:szCs w:val="22"/>
          <w:lang w:val="es-419"/>
        </w:rPr>
      </w:pPr>
      <w:r w:rsidRPr="00FA3A3F">
        <w:rPr>
          <w:rFonts w:asciiTheme="majorHAnsi" w:hAnsiTheme="majorHAnsi"/>
          <w:noProof/>
          <w:sz w:val="22"/>
          <w:szCs w:val="22"/>
          <w:lang w:val="es-419"/>
        </w:rPr>
        <mc:AlternateContent>
          <mc:Choice Requires="wps">
            <w:drawing>
              <wp:anchor distT="0" distB="0" distL="114300" distR="114300" simplePos="0" relativeHeight="251659264" behindDoc="0" locked="0" layoutInCell="1" allowOverlap="1" wp14:anchorId="127EE973" wp14:editId="29CEAAC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F3168A4"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FA3A3F">
        <w:rPr>
          <w:rFonts w:asciiTheme="majorHAnsi" w:hAnsiTheme="majorHAnsi"/>
          <w:noProof/>
          <w:sz w:val="22"/>
          <w:szCs w:val="22"/>
          <w:lang w:val="es-419"/>
        </w:rPr>
        <mc:AlternateContent>
          <mc:Choice Requires="wps">
            <w:drawing>
              <wp:anchor distT="0" distB="0" distL="114300" distR="114300" simplePos="0" relativeHeight="251663360" behindDoc="0" locked="0" layoutInCell="1" allowOverlap="1" wp14:anchorId="787B8C5B" wp14:editId="36C4720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474F08" w14:textId="77777777" w:rsidR="00B37C87" w:rsidRDefault="00B37C87" w:rsidP="00B37C87">
                            <w:r>
                              <w:rPr>
                                <w:noProof/>
                              </w:rPr>
                              <w:drawing>
                                <wp:inline distT="0" distB="0" distL="0" distR="0" wp14:anchorId="166298DD" wp14:editId="5F8F1A81">
                                  <wp:extent cx="2647666" cy="509676"/>
                                  <wp:effectExtent l="0" t="0" r="635" b="508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B8C5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1474F08" w14:textId="77777777" w:rsidR="00B37C87" w:rsidRDefault="00B37C87" w:rsidP="00B37C87">
                      <w:r>
                        <w:rPr>
                          <w:noProof/>
                        </w:rPr>
                        <w:drawing>
                          <wp:inline distT="0" distB="0" distL="0" distR="0" wp14:anchorId="166298DD" wp14:editId="5F8F1A81">
                            <wp:extent cx="2647666" cy="509676"/>
                            <wp:effectExtent l="0" t="0" r="635" b="508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FA3A3F">
        <w:rPr>
          <w:rFonts w:asciiTheme="majorHAnsi" w:hAnsiTheme="majorHAnsi" w:cs="Univers"/>
          <w:b/>
          <w:bCs/>
          <w:sz w:val="22"/>
          <w:szCs w:val="22"/>
          <w:lang w:val="es-419"/>
        </w:rPr>
        <w:t xml:space="preserve"> </w:t>
      </w:r>
    </w:p>
    <w:p w14:paraId="56B308D3" w14:textId="77777777" w:rsidR="00B37C87" w:rsidRPr="00FA3A3F" w:rsidRDefault="00B37C87" w:rsidP="00B37C87">
      <w:pPr>
        <w:tabs>
          <w:tab w:val="center" w:pos="5400"/>
        </w:tabs>
        <w:suppressAutoHyphens/>
        <w:jc w:val="both"/>
        <w:rPr>
          <w:rFonts w:asciiTheme="majorHAnsi" w:hAnsiTheme="majorHAnsi"/>
          <w:sz w:val="22"/>
          <w:szCs w:val="22"/>
          <w:lang w:val="es-419"/>
        </w:rPr>
      </w:pPr>
    </w:p>
    <w:p w14:paraId="2D667AF2" w14:textId="77777777" w:rsidR="00B37C87" w:rsidRPr="00FA3A3F" w:rsidRDefault="00B37C87" w:rsidP="00B37C87">
      <w:pPr>
        <w:tabs>
          <w:tab w:val="center" w:pos="5400"/>
        </w:tabs>
        <w:suppressAutoHyphens/>
        <w:jc w:val="both"/>
        <w:rPr>
          <w:rFonts w:asciiTheme="majorHAnsi" w:hAnsiTheme="majorHAnsi"/>
          <w:sz w:val="22"/>
          <w:szCs w:val="22"/>
          <w:lang w:val="es-419"/>
        </w:rPr>
      </w:pPr>
    </w:p>
    <w:p w14:paraId="4F875CCC" w14:textId="77777777" w:rsidR="00B37C87" w:rsidRPr="00FA3A3F" w:rsidRDefault="00B37C87" w:rsidP="00B37C87">
      <w:pPr>
        <w:tabs>
          <w:tab w:val="center" w:pos="5400"/>
        </w:tabs>
        <w:suppressAutoHyphens/>
        <w:rPr>
          <w:rFonts w:asciiTheme="majorHAnsi" w:hAnsiTheme="majorHAnsi"/>
          <w:sz w:val="22"/>
          <w:szCs w:val="22"/>
          <w:lang w:val="es-419"/>
        </w:rPr>
      </w:pPr>
    </w:p>
    <w:p w14:paraId="16FFD182" w14:textId="77777777" w:rsidR="00B37C87" w:rsidRPr="00FA3A3F" w:rsidRDefault="00B37C87" w:rsidP="00B37C87">
      <w:pPr>
        <w:tabs>
          <w:tab w:val="center" w:pos="5400"/>
        </w:tabs>
        <w:suppressAutoHyphens/>
        <w:rPr>
          <w:rFonts w:asciiTheme="majorHAnsi" w:hAnsiTheme="majorHAnsi"/>
          <w:sz w:val="22"/>
          <w:szCs w:val="22"/>
          <w:lang w:val="es-419"/>
        </w:rPr>
      </w:pPr>
    </w:p>
    <w:p w14:paraId="6F152212" w14:textId="77777777" w:rsidR="00B37C87" w:rsidRPr="00FA3A3F" w:rsidRDefault="00B37C87" w:rsidP="00B37C87">
      <w:pPr>
        <w:tabs>
          <w:tab w:val="center" w:pos="5400"/>
        </w:tabs>
        <w:suppressAutoHyphens/>
        <w:rPr>
          <w:rFonts w:asciiTheme="majorHAnsi" w:hAnsiTheme="majorHAnsi"/>
          <w:sz w:val="22"/>
          <w:szCs w:val="22"/>
          <w:lang w:val="es-419"/>
        </w:rPr>
      </w:pPr>
    </w:p>
    <w:p w14:paraId="18C8EF13" w14:textId="77777777" w:rsidR="00B37C87" w:rsidRPr="00FA3A3F" w:rsidRDefault="00B37C87" w:rsidP="00B37C87">
      <w:pPr>
        <w:tabs>
          <w:tab w:val="center" w:pos="5400"/>
        </w:tabs>
        <w:suppressAutoHyphens/>
        <w:jc w:val="center"/>
        <w:rPr>
          <w:rFonts w:asciiTheme="majorHAnsi" w:hAnsiTheme="majorHAnsi"/>
          <w:sz w:val="22"/>
          <w:szCs w:val="22"/>
          <w:lang w:val="es-419"/>
        </w:rPr>
      </w:pPr>
    </w:p>
    <w:p w14:paraId="6F8859FB" w14:textId="77777777" w:rsidR="00B37C87" w:rsidRPr="00FA3A3F" w:rsidRDefault="00B37C87" w:rsidP="00B37C87">
      <w:pPr>
        <w:tabs>
          <w:tab w:val="center" w:pos="5400"/>
        </w:tabs>
        <w:suppressAutoHyphens/>
        <w:jc w:val="center"/>
        <w:rPr>
          <w:rFonts w:asciiTheme="majorHAnsi" w:hAnsiTheme="majorHAnsi"/>
          <w:sz w:val="22"/>
          <w:szCs w:val="22"/>
          <w:lang w:val="es-419"/>
        </w:rPr>
      </w:pPr>
    </w:p>
    <w:p w14:paraId="5CF0E738" w14:textId="77777777" w:rsidR="00B37C87" w:rsidRPr="00FA3A3F" w:rsidRDefault="00B37C87" w:rsidP="00B37C87">
      <w:pPr>
        <w:tabs>
          <w:tab w:val="center" w:pos="5400"/>
        </w:tabs>
        <w:suppressAutoHyphens/>
        <w:jc w:val="center"/>
        <w:rPr>
          <w:rFonts w:asciiTheme="majorHAnsi" w:hAnsiTheme="majorHAnsi"/>
          <w:sz w:val="22"/>
          <w:szCs w:val="22"/>
          <w:lang w:val="es-419"/>
        </w:rPr>
      </w:pPr>
    </w:p>
    <w:p w14:paraId="20E3450F" w14:textId="77777777" w:rsidR="00B37C87" w:rsidRPr="00FA3A3F" w:rsidRDefault="00B37C87" w:rsidP="00B37C87">
      <w:pPr>
        <w:tabs>
          <w:tab w:val="center" w:pos="5400"/>
        </w:tabs>
        <w:suppressAutoHyphens/>
        <w:jc w:val="center"/>
        <w:rPr>
          <w:rFonts w:asciiTheme="majorHAnsi" w:hAnsiTheme="majorHAnsi"/>
          <w:sz w:val="22"/>
          <w:szCs w:val="22"/>
          <w:lang w:val="es-419"/>
        </w:rPr>
      </w:pPr>
    </w:p>
    <w:p w14:paraId="49DD11A3" w14:textId="77777777" w:rsidR="00B37C87" w:rsidRPr="00FA3A3F" w:rsidRDefault="00B37C87" w:rsidP="00B37C87">
      <w:pPr>
        <w:tabs>
          <w:tab w:val="center" w:pos="5400"/>
        </w:tabs>
        <w:suppressAutoHyphens/>
        <w:jc w:val="center"/>
        <w:rPr>
          <w:rFonts w:asciiTheme="majorHAnsi" w:hAnsiTheme="majorHAnsi"/>
          <w:sz w:val="22"/>
          <w:szCs w:val="22"/>
          <w:lang w:val="es-419"/>
        </w:rPr>
      </w:pPr>
    </w:p>
    <w:p w14:paraId="40FA751A" w14:textId="77777777" w:rsidR="00B37C87" w:rsidRPr="00FA3A3F" w:rsidRDefault="00B37C87" w:rsidP="00B37C87">
      <w:pPr>
        <w:tabs>
          <w:tab w:val="center" w:pos="5400"/>
        </w:tabs>
        <w:suppressAutoHyphens/>
        <w:jc w:val="center"/>
        <w:rPr>
          <w:rFonts w:asciiTheme="majorHAnsi" w:hAnsiTheme="majorHAnsi"/>
          <w:sz w:val="22"/>
          <w:szCs w:val="22"/>
          <w:lang w:val="es-419"/>
        </w:rPr>
      </w:pPr>
    </w:p>
    <w:p w14:paraId="636B4CF2" w14:textId="77777777" w:rsidR="00B37C87" w:rsidRPr="00FA3A3F" w:rsidRDefault="00B37C87" w:rsidP="00B37C87">
      <w:pPr>
        <w:tabs>
          <w:tab w:val="center" w:pos="5400"/>
        </w:tabs>
        <w:suppressAutoHyphens/>
        <w:jc w:val="center"/>
        <w:rPr>
          <w:rFonts w:asciiTheme="majorHAnsi" w:hAnsiTheme="majorHAnsi"/>
          <w:sz w:val="22"/>
          <w:szCs w:val="22"/>
          <w:lang w:val="es-419"/>
        </w:rPr>
      </w:pPr>
    </w:p>
    <w:p w14:paraId="2673CC56" w14:textId="77777777" w:rsidR="00B37C87" w:rsidRPr="00FA3A3F" w:rsidRDefault="00B37C87" w:rsidP="00B37C87">
      <w:pPr>
        <w:tabs>
          <w:tab w:val="center" w:pos="5400"/>
        </w:tabs>
        <w:suppressAutoHyphens/>
        <w:jc w:val="center"/>
        <w:rPr>
          <w:rFonts w:asciiTheme="majorHAnsi" w:hAnsiTheme="majorHAnsi"/>
          <w:sz w:val="22"/>
          <w:szCs w:val="22"/>
          <w:lang w:val="es-419"/>
        </w:rPr>
      </w:pPr>
      <w:r w:rsidRPr="00FA3A3F">
        <w:rPr>
          <w:rFonts w:asciiTheme="majorHAnsi" w:hAnsiTheme="majorHAnsi"/>
          <w:noProof/>
          <w:sz w:val="22"/>
          <w:szCs w:val="22"/>
          <w:lang w:val="es-419"/>
        </w:rPr>
        <mc:AlternateContent>
          <mc:Choice Requires="wps">
            <w:drawing>
              <wp:anchor distT="0" distB="0" distL="114300" distR="114300" simplePos="0" relativeHeight="251660288" behindDoc="0" locked="0" layoutInCell="1" allowOverlap="1" wp14:anchorId="2956360E" wp14:editId="6B64789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8C29C" w14:textId="77777777" w:rsidR="00B37C87" w:rsidRPr="004E2649" w:rsidRDefault="00B37C87" w:rsidP="00B37C87">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84/24</w:t>
                            </w:r>
                          </w:p>
                          <w:p w14:paraId="554EA081" w14:textId="77777777" w:rsidR="00B37C87" w:rsidRDefault="00B37C87" w:rsidP="00B37C87">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692-14</w:t>
                            </w:r>
                            <w:r w:rsidRPr="004E2649">
                              <w:rPr>
                                <w:rFonts w:asciiTheme="majorHAnsi" w:hAnsiTheme="majorHAnsi" w:cs="Arial"/>
                                <w:b/>
                                <w:color w:val="0D0D0D" w:themeColor="text1" w:themeTint="F2"/>
                                <w:sz w:val="36"/>
                                <w:szCs w:val="22"/>
                                <w:lang w:val="es-ES_tradnl"/>
                              </w:rPr>
                              <w:t xml:space="preserve"> </w:t>
                            </w:r>
                          </w:p>
                          <w:p w14:paraId="447059CB" w14:textId="77777777" w:rsidR="00B37C87" w:rsidRPr="0010736F" w:rsidRDefault="00B37C87" w:rsidP="00B37C87">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FC20DB">
                              <w:rPr>
                                <w:rFonts w:asciiTheme="majorHAnsi" w:hAnsiTheme="majorHAnsi" w:cs="Arial"/>
                                <w:color w:val="0D0D0D" w:themeColor="text1" w:themeTint="F2"/>
                                <w:szCs w:val="22"/>
                                <w:lang w:val="es-ES_tradnl"/>
                              </w:rPr>
                              <w:t>INADMISIBILIDAD</w:t>
                            </w:r>
                            <w:r w:rsidRPr="0010736F">
                              <w:rPr>
                                <w:rFonts w:asciiTheme="majorHAnsi" w:hAnsiTheme="majorHAnsi" w:cs="Arial"/>
                                <w:color w:val="0D0D0D" w:themeColor="text1" w:themeTint="F2"/>
                                <w:szCs w:val="22"/>
                                <w:lang w:val="es-ES_tradnl"/>
                              </w:rPr>
                              <w:t xml:space="preserve"> </w:t>
                            </w:r>
                          </w:p>
                          <w:p w14:paraId="25318DED" w14:textId="77777777" w:rsidR="00B37C87" w:rsidRPr="0010736F" w:rsidRDefault="00B37C87" w:rsidP="00B37C87">
                            <w:pPr>
                              <w:spacing w:line="276" w:lineRule="auto"/>
                              <w:rPr>
                                <w:rFonts w:asciiTheme="majorHAnsi" w:hAnsiTheme="majorHAnsi" w:cs="Arial"/>
                                <w:color w:val="0D0D0D" w:themeColor="text1" w:themeTint="F2"/>
                                <w:szCs w:val="22"/>
                                <w:lang w:val="es-ES_tradnl"/>
                              </w:rPr>
                            </w:pPr>
                          </w:p>
                          <w:p w14:paraId="791E7404" w14:textId="77777777" w:rsidR="00B37C87" w:rsidRPr="0010736F" w:rsidRDefault="00B37C87" w:rsidP="00B37C87">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FARIEL SANJUAN ARÉVALO</w:t>
                            </w:r>
                          </w:p>
                          <w:p w14:paraId="2055C321" w14:textId="77777777" w:rsidR="00B37C87" w:rsidRPr="007A39B0" w:rsidRDefault="00B37C87" w:rsidP="00B37C8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6360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0FF8C29C" w14:textId="77777777" w:rsidR="00B37C87" w:rsidRPr="004E2649" w:rsidRDefault="00B37C87" w:rsidP="00B37C87">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84/24</w:t>
                      </w:r>
                    </w:p>
                    <w:p w14:paraId="554EA081" w14:textId="77777777" w:rsidR="00B37C87" w:rsidRDefault="00B37C87" w:rsidP="00B37C87">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692-14</w:t>
                      </w:r>
                      <w:r w:rsidRPr="004E2649">
                        <w:rPr>
                          <w:rFonts w:asciiTheme="majorHAnsi" w:hAnsiTheme="majorHAnsi" w:cs="Arial"/>
                          <w:b/>
                          <w:color w:val="0D0D0D" w:themeColor="text1" w:themeTint="F2"/>
                          <w:sz w:val="36"/>
                          <w:szCs w:val="22"/>
                          <w:lang w:val="es-ES_tradnl"/>
                        </w:rPr>
                        <w:t xml:space="preserve"> </w:t>
                      </w:r>
                    </w:p>
                    <w:p w14:paraId="447059CB" w14:textId="77777777" w:rsidR="00B37C87" w:rsidRPr="0010736F" w:rsidRDefault="00B37C87" w:rsidP="00B37C87">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FC20DB">
                        <w:rPr>
                          <w:rFonts w:asciiTheme="majorHAnsi" w:hAnsiTheme="majorHAnsi" w:cs="Arial"/>
                          <w:color w:val="0D0D0D" w:themeColor="text1" w:themeTint="F2"/>
                          <w:szCs w:val="22"/>
                          <w:lang w:val="es-ES_tradnl"/>
                        </w:rPr>
                        <w:t>INADMISIBILIDAD</w:t>
                      </w:r>
                      <w:r w:rsidRPr="0010736F">
                        <w:rPr>
                          <w:rFonts w:asciiTheme="majorHAnsi" w:hAnsiTheme="majorHAnsi" w:cs="Arial"/>
                          <w:color w:val="0D0D0D" w:themeColor="text1" w:themeTint="F2"/>
                          <w:szCs w:val="22"/>
                          <w:lang w:val="es-ES_tradnl"/>
                        </w:rPr>
                        <w:t xml:space="preserve"> </w:t>
                      </w:r>
                    </w:p>
                    <w:p w14:paraId="25318DED" w14:textId="77777777" w:rsidR="00B37C87" w:rsidRPr="0010736F" w:rsidRDefault="00B37C87" w:rsidP="00B37C87">
                      <w:pPr>
                        <w:spacing w:line="276" w:lineRule="auto"/>
                        <w:rPr>
                          <w:rFonts w:asciiTheme="majorHAnsi" w:hAnsiTheme="majorHAnsi" w:cs="Arial"/>
                          <w:color w:val="0D0D0D" w:themeColor="text1" w:themeTint="F2"/>
                          <w:szCs w:val="22"/>
                          <w:lang w:val="es-ES_tradnl"/>
                        </w:rPr>
                      </w:pPr>
                    </w:p>
                    <w:p w14:paraId="791E7404" w14:textId="77777777" w:rsidR="00B37C87" w:rsidRPr="0010736F" w:rsidRDefault="00B37C87" w:rsidP="00B37C87">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FARIEL SANJUAN ARÉVALO</w:t>
                      </w:r>
                    </w:p>
                    <w:p w14:paraId="2055C321" w14:textId="77777777" w:rsidR="00B37C87" w:rsidRPr="007A39B0" w:rsidRDefault="00B37C87" w:rsidP="00B37C8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Pr="00FA3A3F">
        <w:rPr>
          <w:rFonts w:asciiTheme="majorHAnsi" w:hAnsiTheme="majorHAnsi"/>
          <w:noProof/>
          <w:sz w:val="22"/>
          <w:szCs w:val="22"/>
          <w:lang w:val="es-419"/>
        </w:rPr>
        <mc:AlternateContent>
          <mc:Choice Requires="wps">
            <w:drawing>
              <wp:anchor distT="0" distB="0" distL="114300" distR="114300" simplePos="0" relativeHeight="251662336" behindDoc="0" locked="0" layoutInCell="1" allowOverlap="1" wp14:anchorId="08726FCE" wp14:editId="2937E19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97AFCC" w14:textId="77777777" w:rsidR="00B37C87" w:rsidRPr="005D23DB" w:rsidRDefault="00B37C87" w:rsidP="00B37C87">
                            <w:pPr>
                              <w:spacing w:line="276" w:lineRule="auto"/>
                              <w:jc w:val="right"/>
                              <w:rPr>
                                <w:rFonts w:asciiTheme="minorHAnsi" w:hAnsiTheme="minorHAnsi"/>
                                <w:color w:val="FFFFFF" w:themeColor="background1"/>
                                <w:sz w:val="22"/>
                                <w:lang w:val="es-ES"/>
                              </w:rPr>
                            </w:pPr>
                            <w:r w:rsidRPr="005D23DB">
                              <w:rPr>
                                <w:rFonts w:asciiTheme="minorHAnsi" w:hAnsiTheme="minorHAnsi"/>
                                <w:color w:val="FFFFFF" w:themeColor="background1"/>
                                <w:sz w:val="22"/>
                                <w:lang w:val="es-ES"/>
                              </w:rPr>
                              <w:t>OEA/Ser.L/V/II</w:t>
                            </w:r>
                          </w:p>
                          <w:p w14:paraId="16400EB0" w14:textId="77777777" w:rsidR="00B37C87" w:rsidRPr="005D23DB" w:rsidRDefault="00B37C87" w:rsidP="00B37C87">
                            <w:pPr>
                              <w:spacing w:line="276" w:lineRule="auto"/>
                              <w:jc w:val="right"/>
                              <w:rPr>
                                <w:rFonts w:asciiTheme="minorHAnsi" w:hAnsiTheme="minorHAnsi"/>
                                <w:color w:val="FFFFFF" w:themeColor="background1"/>
                                <w:sz w:val="22"/>
                                <w:lang w:val="es-ES"/>
                              </w:rPr>
                            </w:pPr>
                            <w:r w:rsidRPr="005D23DB">
                              <w:rPr>
                                <w:rFonts w:asciiTheme="minorHAnsi" w:hAnsiTheme="minorHAnsi"/>
                                <w:color w:val="FFFFFF" w:themeColor="background1"/>
                                <w:sz w:val="22"/>
                                <w:lang w:val="es-ES"/>
                              </w:rPr>
                              <w:t>Doc. 87</w:t>
                            </w:r>
                          </w:p>
                          <w:p w14:paraId="328026CB" w14:textId="77777777" w:rsidR="00B37C87" w:rsidRPr="00C25ADB" w:rsidRDefault="00B37C87" w:rsidP="00B37C8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4</w:t>
                            </w:r>
                          </w:p>
                          <w:p w14:paraId="795CFDB4" w14:textId="77777777" w:rsidR="00B37C87" w:rsidRPr="00C25ADB" w:rsidRDefault="00B37C87" w:rsidP="00B37C8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26FCE"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4097AFCC" w14:textId="77777777" w:rsidR="00B37C87" w:rsidRPr="005D23DB" w:rsidRDefault="00B37C87" w:rsidP="00B37C87">
                      <w:pPr>
                        <w:spacing w:line="276" w:lineRule="auto"/>
                        <w:jc w:val="right"/>
                        <w:rPr>
                          <w:rFonts w:asciiTheme="minorHAnsi" w:hAnsiTheme="minorHAnsi"/>
                          <w:color w:val="FFFFFF" w:themeColor="background1"/>
                          <w:sz w:val="22"/>
                          <w:lang w:val="es-ES"/>
                        </w:rPr>
                      </w:pPr>
                      <w:r w:rsidRPr="005D23DB">
                        <w:rPr>
                          <w:rFonts w:asciiTheme="minorHAnsi" w:hAnsiTheme="minorHAnsi"/>
                          <w:color w:val="FFFFFF" w:themeColor="background1"/>
                          <w:sz w:val="22"/>
                          <w:lang w:val="es-ES"/>
                        </w:rPr>
                        <w:t>OEA/Ser.L/V/II</w:t>
                      </w:r>
                    </w:p>
                    <w:p w14:paraId="16400EB0" w14:textId="77777777" w:rsidR="00B37C87" w:rsidRPr="005D23DB" w:rsidRDefault="00B37C87" w:rsidP="00B37C87">
                      <w:pPr>
                        <w:spacing w:line="276" w:lineRule="auto"/>
                        <w:jc w:val="right"/>
                        <w:rPr>
                          <w:rFonts w:asciiTheme="minorHAnsi" w:hAnsiTheme="minorHAnsi"/>
                          <w:color w:val="FFFFFF" w:themeColor="background1"/>
                          <w:sz w:val="22"/>
                          <w:lang w:val="es-ES"/>
                        </w:rPr>
                      </w:pPr>
                      <w:r w:rsidRPr="005D23DB">
                        <w:rPr>
                          <w:rFonts w:asciiTheme="minorHAnsi" w:hAnsiTheme="minorHAnsi"/>
                          <w:color w:val="FFFFFF" w:themeColor="background1"/>
                          <w:sz w:val="22"/>
                          <w:lang w:val="es-ES"/>
                        </w:rPr>
                        <w:t>Doc. 87</w:t>
                      </w:r>
                    </w:p>
                    <w:p w14:paraId="328026CB" w14:textId="77777777" w:rsidR="00B37C87" w:rsidRPr="00C25ADB" w:rsidRDefault="00B37C87" w:rsidP="00B37C8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4</w:t>
                      </w:r>
                    </w:p>
                    <w:p w14:paraId="795CFDB4" w14:textId="77777777" w:rsidR="00B37C87" w:rsidRPr="00C25ADB" w:rsidRDefault="00B37C87" w:rsidP="00B37C8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4372D2B6" w14:textId="77777777" w:rsidR="00B37C87" w:rsidRPr="00FA3A3F" w:rsidRDefault="00B37C87" w:rsidP="00B37C87">
      <w:pPr>
        <w:tabs>
          <w:tab w:val="center" w:pos="5400"/>
        </w:tabs>
        <w:suppressAutoHyphens/>
        <w:jc w:val="center"/>
        <w:rPr>
          <w:rFonts w:asciiTheme="majorHAnsi" w:hAnsiTheme="majorHAnsi"/>
          <w:sz w:val="22"/>
          <w:szCs w:val="22"/>
          <w:lang w:val="es-419"/>
        </w:rPr>
      </w:pPr>
    </w:p>
    <w:p w14:paraId="270A774C" w14:textId="77777777" w:rsidR="00B37C87" w:rsidRPr="00FA3A3F" w:rsidRDefault="00B37C87" w:rsidP="00B37C87">
      <w:pPr>
        <w:tabs>
          <w:tab w:val="center" w:pos="5400"/>
        </w:tabs>
        <w:suppressAutoHyphens/>
        <w:jc w:val="center"/>
        <w:rPr>
          <w:rFonts w:asciiTheme="majorHAnsi" w:hAnsiTheme="majorHAnsi"/>
          <w:sz w:val="22"/>
          <w:szCs w:val="22"/>
          <w:lang w:val="es-419"/>
        </w:rPr>
      </w:pPr>
    </w:p>
    <w:p w14:paraId="578F56A8" w14:textId="77777777" w:rsidR="00B37C87" w:rsidRPr="00FA3A3F" w:rsidRDefault="00B37C87" w:rsidP="00B37C87">
      <w:pPr>
        <w:tabs>
          <w:tab w:val="center" w:pos="5400"/>
        </w:tabs>
        <w:suppressAutoHyphens/>
        <w:jc w:val="center"/>
        <w:rPr>
          <w:rFonts w:asciiTheme="majorHAnsi" w:hAnsiTheme="majorHAnsi" w:cs="Arial"/>
          <w:sz w:val="22"/>
          <w:szCs w:val="22"/>
          <w:lang w:val="es-419"/>
        </w:rPr>
      </w:pPr>
    </w:p>
    <w:p w14:paraId="30FC3FC7" w14:textId="77777777" w:rsidR="00B37C87" w:rsidRPr="00FA3A3F" w:rsidRDefault="00B37C87" w:rsidP="00B37C87">
      <w:pPr>
        <w:tabs>
          <w:tab w:val="center" w:pos="5400"/>
        </w:tabs>
        <w:suppressAutoHyphens/>
        <w:jc w:val="center"/>
        <w:rPr>
          <w:rFonts w:asciiTheme="majorHAnsi" w:hAnsiTheme="majorHAnsi"/>
          <w:sz w:val="22"/>
          <w:szCs w:val="22"/>
          <w:lang w:val="es-419"/>
        </w:rPr>
      </w:pPr>
    </w:p>
    <w:p w14:paraId="5827797A" w14:textId="77777777" w:rsidR="00B37C87" w:rsidRPr="00FA3A3F" w:rsidRDefault="00B37C87" w:rsidP="00B37C87">
      <w:pPr>
        <w:tabs>
          <w:tab w:val="center" w:pos="5400"/>
        </w:tabs>
        <w:suppressAutoHyphens/>
        <w:jc w:val="center"/>
        <w:rPr>
          <w:rFonts w:asciiTheme="majorHAnsi" w:hAnsiTheme="majorHAnsi"/>
          <w:sz w:val="22"/>
          <w:szCs w:val="22"/>
          <w:lang w:val="es-419"/>
        </w:rPr>
      </w:pPr>
    </w:p>
    <w:p w14:paraId="7D6C2265" w14:textId="77777777" w:rsidR="00B37C87" w:rsidRPr="00FA3A3F" w:rsidRDefault="00B37C87" w:rsidP="00B37C87">
      <w:pPr>
        <w:tabs>
          <w:tab w:val="center" w:pos="5400"/>
        </w:tabs>
        <w:suppressAutoHyphens/>
        <w:jc w:val="center"/>
        <w:rPr>
          <w:rFonts w:asciiTheme="majorHAnsi" w:hAnsiTheme="majorHAnsi"/>
          <w:sz w:val="22"/>
          <w:szCs w:val="22"/>
          <w:lang w:val="es-419"/>
        </w:rPr>
      </w:pPr>
    </w:p>
    <w:p w14:paraId="38707E2B" w14:textId="77777777" w:rsidR="00B37C87" w:rsidRPr="00FA3A3F" w:rsidRDefault="00B37C87" w:rsidP="00B37C87">
      <w:pPr>
        <w:tabs>
          <w:tab w:val="center" w:pos="5400"/>
        </w:tabs>
        <w:suppressAutoHyphens/>
        <w:jc w:val="center"/>
        <w:rPr>
          <w:rFonts w:asciiTheme="majorHAnsi" w:hAnsiTheme="majorHAnsi"/>
          <w:sz w:val="22"/>
          <w:szCs w:val="22"/>
          <w:lang w:val="es-419"/>
        </w:rPr>
      </w:pPr>
    </w:p>
    <w:p w14:paraId="4EA50CAA" w14:textId="77777777" w:rsidR="00B37C87" w:rsidRPr="00FA3A3F" w:rsidRDefault="00B37C87" w:rsidP="00B37C87">
      <w:pPr>
        <w:tabs>
          <w:tab w:val="center" w:pos="5400"/>
        </w:tabs>
        <w:suppressAutoHyphens/>
        <w:jc w:val="center"/>
        <w:rPr>
          <w:rFonts w:asciiTheme="majorHAnsi" w:hAnsiTheme="majorHAnsi"/>
          <w:sz w:val="22"/>
          <w:szCs w:val="22"/>
          <w:lang w:val="es-419"/>
        </w:rPr>
      </w:pPr>
    </w:p>
    <w:p w14:paraId="2CE3B5D1" w14:textId="77777777" w:rsidR="00B37C87" w:rsidRPr="00FA3A3F" w:rsidRDefault="00B37C87" w:rsidP="00B37C87">
      <w:pPr>
        <w:tabs>
          <w:tab w:val="center" w:pos="5400"/>
        </w:tabs>
        <w:suppressAutoHyphens/>
        <w:jc w:val="center"/>
        <w:rPr>
          <w:rFonts w:asciiTheme="majorHAnsi" w:hAnsiTheme="majorHAnsi"/>
          <w:sz w:val="22"/>
          <w:szCs w:val="22"/>
          <w:lang w:val="es-419"/>
        </w:rPr>
      </w:pPr>
    </w:p>
    <w:p w14:paraId="36C2E785" w14:textId="77777777" w:rsidR="00B37C87" w:rsidRPr="00FA3A3F" w:rsidRDefault="00B37C87" w:rsidP="00B37C87">
      <w:pPr>
        <w:tabs>
          <w:tab w:val="center" w:pos="5400"/>
        </w:tabs>
        <w:suppressAutoHyphens/>
        <w:jc w:val="center"/>
        <w:rPr>
          <w:rFonts w:asciiTheme="majorHAnsi" w:hAnsiTheme="majorHAnsi"/>
          <w:sz w:val="22"/>
          <w:szCs w:val="22"/>
          <w:lang w:val="es-419"/>
        </w:rPr>
      </w:pPr>
    </w:p>
    <w:p w14:paraId="6E38B5ED" w14:textId="77777777" w:rsidR="00B37C87" w:rsidRPr="00FA3A3F" w:rsidRDefault="00B37C87" w:rsidP="00B37C87">
      <w:pPr>
        <w:tabs>
          <w:tab w:val="center" w:pos="5400"/>
        </w:tabs>
        <w:suppressAutoHyphens/>
        <w:jc w:val="center"/>
        <w:rPr>
          <w:rFonts w:asciiTheme="majorHAnsi" w:hAnsiTheme="majorHAnsi"/>
          <w:sz w:val="22"/>
          <w:szCs w:val="22"/>
          <w:lang w:val="es-419"/>
        </w:rPr>
      </w:pPr>
    </w:p>
    <w:p w14:paraId="10A8326C" w14:textId="77777777" w:rsidR="00B37C87" w:rsidRPr="00FA3A3F" w:rsidRDefault="00B37C87" w:rsidP="00B37C87">
      <w:pPr>
        <w:tabs>
          <w:tab w:val="center" w:pos="5400"/>
        </w:tabs>
        <w:suppressAutoHyphens/>
        <w:jc w:val="center"/>
        <w:rPr>
          <w:rFonts w:asciiTheme="majorHAnsi" w:hAnsiTheme="majorHAnsi"/>
          <w:sz w:val="22"/>
          <w:szCs w:val="22"/>
          <w:lang w:val="es-419"/>
        </w:rPr>
      </w:pPr>
    </w:p>
    <w:p w14:paraId="1FA30D50" w14:textId="77777777" w:rsidR="00B37C87" w:rsidRPr="00FA3A3F" w:rsidRDefault="00B37C87" w:rsidP="00B37C87">
      <w:pPr>
        <w:tabs>
          <w:tab w:val="center" w:pos="5400"/>
        </w:tabs>
        <w:suppressAutoHyphens/>
        <w:jc w:val="center"/>
        <w:rPr>
          <w:rFonts w:asciiTheme="majorHAnsi" w:hAnsiTheme="majorHAnsi"/>
          <w:sz w:val="22"/>
          <w:szCs w:val="22"/>
          <w:lang w:val="es-419"/>
        </w:rPr>
      </w:pPr>
    </w:p>
    <w:p w14:paraId="4D4272C1" w14:textId="77777777" w:rsidR="00B37C87" w:rsidRPr="00FA3A3F" w:rsidRDefault="00B37C87" w:rsidP="00B37C87">
      <w:pPr>
        <w:tabs>
          <w:tab w:val="center" w:pos="5400"/>
        </w:tabs>
        <w:suppressAutoHyphens/>
        <w:jc w:val="center"/>
        <w:rPr>
          <w:rFonts w:asciiTheme="majorHAnsi" w:hAnsiTheme="majorHAnsi"/>
          <w:sz w:val="22"/>
          <w:szCs w:val="22"/>
          <w:lang w:val="es-419"/>
        </w:rPr>
      </w:pPr>
    </w:p>
    <w:p w14:paraId="093934E7" w14:textId="77777777" w:rsidR="00B37C87" w:rsidRPr="00FA3A3F" w:rsidRDefault="00B37C87" w:rsidP="00B37C87">
      <w:pPr>
        <w:tabs>
          <w:tab w:val="center" w:pos="5400"/>
        </w:tabs>
        <w:suppressAutoHyphens/>
        <w:jc w:val="center"/>
        <w:rPr>
          <w:rFonts w:asciiTheme="majorHAnsi" w:hAnsiTheme="majorHAnsi"/>
          <w:sz w:val="18"/>
          <w:szCs w:val="22"/>
          <w:lang w:val="es-419"/>
        </w:rPr>
      </w:pPr>
    </w:p>
    <w:p w14:paraId="72AF2CC6" w14:textId="77777777" w:rsidR="00B37C87" w:rsidRPr="00FA3A3F" w:rsidRDefault="00B37C87" w:rsidP="00B37C87">
      <w:pPr>
        <w:tabs>
          <w:tab w:val="center" w:pos="5400"/>
        </w:tabs>
        <w:suppressAutoHyphens/>
        <w:jc w:val="center"/>
        <w:rPr>
          <w:rFonts w:asciiTheme="majorHAnsi" w:hAnsiTheme="majorHAnsi"/>
          <w:sz w:val="18"/>
          <w:szCs w:val="22"/>
          <w:lang w:val="es-419"/>
        </w:rPr>
      </w:pPr>
    </w:p>
    <w:p w14:paraId="4555A43C" w14:textId="77777777" w:rsidR="00B37C87" w:rsidRPr="00FA3A3F" w:rsidRDefault="00B37C87" w:rsidP="00B37C87">
      <w:pPr>
        <w:tabs>
          <w:tab w:val="center" w:pos="5400"/>
        </w:tabs>
        <w:suppressAutoHyphens/>
        <w:jc w:val="center"/>
        <w:rPr>
          <w:rFonts w:asciiTheme="majorHAnsi" w:hAnsiTheme="majorHAnsi"/>
          <w:sz w:val="18"/>
          <w:szCs w:val="22"/>
          <w:lang w:val="es-419"/>
        </w:rPr>
      </w:pPr>
    </w:p>
    <w:p w14:paraId="018A78D4" w14:textId="77777777" w:rsidR="00B37C87" w:rsidRPr="00FA3A3F" w:rsidRDefault="00B37C87" w:rsidP="00B37C87">
      <w:pPr>
        <w:tabs>
          <w:tab w:val="center" w:pos="5400"/>
        </w:tabs>
        <w:suppressAutoHyphens/>
        <w:jc w:val="center"/>
        <w:rPr>
          <w:rFonts w:asciiTheme="majorHAnsi" w:hAnsiTheme="majorHAnsi"/>
          <w:sz w:val="18"/>
          <w:szCs w:val="22"/>
          <w:lang w:val="es-419"/>
        </w:rPr>
      </w:pPr>
    </w:p>
    <w:p w14:paraId="384A0720" w14:textId="77777777" w:rsidR="00B37C87" w:rsidRPr="00FA3A3F" w:rsidRDefault="00B37C87" w:rsidP="00B37C87">
      <w:pPr>
        <w:tabs>
          <w:tab w:val="center" w:pos="5400"/>
        </w:tabs>
        <w:suppressAutoHyphens/>
        <w:jc w:val="center"/>
        <w:rPr>
          <w:rFonts w:asciiTheme="majorHAnsi" w:hAnsiTheme="majorHAnsi"/>
          <w:sz w:val="18"/>
          <w:szCs w:val="22"/>
          <w:lang w:val="es-419"/>
        </w:rPr>
      </w:pPr>
    </w:p>
    <w:p w14:paraId="0B00339E" w14:textId="77777777" w:rsidR="00B37C87" w:rsidRPr="00FA3A3F" w:rsidRDefault="00B37C87" w:rsidP="00B37C87">
      <w:pPr>
        <w:tabs>
          <w:tab w:val="center" w:pos="5400"/>
        </w:tabs>
        <w:suppressAutoHyphens/>
        <w:jc w:val="center"/>
        <w:rPr>
          <w:rFonts w:asciiTheme="majorHAnsi" w:hAnsiTheme="majorHAnsi"/>
          <w:sz w:val="18"/>
          <w:szCs w:val="22"/>
          <w:lang w:val="es-419"/>
        </w:rPr>
      </w:pPr>
    </w:p>
    <w:p w14:paraId="21C8DCF0" w14:textId="77777777" w:rsidR="00B37C87" w:rsidRPr="00FA3A3F" w:rsidRDefault="00B37C87" w:rsidP="00B37C87">
      <w:pPr>
        <w:tabs>
          <w:tab w:val="center" w:pos="5400"/>
        </w:tabs>
        <w:suppressAutoHyphens/>
        <w:jc w:val="center"/>
        <w:rPr>
          <w:rFonts w:asciiTheme="majorHAnsi" w:hAnsiTheme="majorHAnsi"/>
          <w:sz w:val="18"/>
          <w:szCs w:val="22"/>
          <w:lang w:val="es-419"/>
        </w:rPr>
      </w:pPr>
    </w:p>
    <w:p w14:paraId="31D0A0EE" w14:textId="77777777" w:rsidR="00B37C87" w:rsidRPr="00FA3A3F" w:rsidRDefault="00B37C87" w:rsidP="00B37C87">
      <w:pPr>
        <w:tabs>
          <w:tab w:val="center" w:pos="5400"/>
        </w:tabs>
        <w:suppressAutoHyphens/>
        <w:jc w:val="center"/>
        <w:rPr>
          <w:rFonts w:asciiTheme="majorHAnsi" w:hAnsiTheme="majorHAnsi"/>
          <w:sz w:val="18"/>
          <w:szCs w:val="22"/>
          <w:lang w:val="es-419"/>
        </w:rPr>
      </w:pPr>
    </w:p>
    <w:p w14:paraId="2BBA97B7" w14:textId="77777777" w:rsidR="00B37C87" w:rsidRPr="00FA3A3F" w:rsidRDefault="00B37C87" w:rsidP="00B37C87">
      <w:pPr>
        <w:tabs>
          <w:tab w:val="center" w:pos="5400"/>
        </w:tabs>
        <w:suppressAutoHyphens/>
        <w:jc w:val="center"/>
        <w:rPr>
          <w:rFonts w:asciiTheme="majorHAnsi" w:hAnsiTheme="majorHAnsi"/>
          <w:sz w:val="18"/>
          <w:szCs w:val="22"/>
          <w:lang w:val="es-419"/>
        </w:rPr>
      </w:pPr>
    </w:p>
    <w:p w14:paraId="305B055F" w14:textId="77777777" w:rsidR="00B37C87" w:rsidRPr="00FA3A3F" w:rsidRDefault="00B37C87" w:rsidP="00B37C87">
      <w:pPr>
        <w:tabs>
          <w:tab w:val="center" w:pos="5400"/>
        </w:tabs>
        <w:suppressAutoHyphens/>
        <w:jc w:val="center"/>
        <w:rPr>
          <w:rFonts w:asciiTheme="majorHAnsi" w:hAnsiTheme="majorHAnsi"/>
          <w:sz w:val="18"/>
          <w:szCs w:val="22"/>
          <w:lang w:val="es-419"/>
        </w:rPr>
      </w:pPr>
    </w:p>
    <w:p w14:paraId="2EE9E8B3" w14:textId="77777777" w:rsidR="00B37C87" w:rsidRPr="00FA3A3F" w:rsidRDefault="00B37C87" w:rsidP="00B37C87">
      <w:pPr>
        <w:tabs>
          <w:tab w:val="center" w:pos="5400"/>
        </w:tabs>
        <w:suppressAutoHyphens/>
        <w:jc w:val="center"/>
        <w:rPr>
          <w:rFonts w:asciiTheme="majorHAnsi" w:hAnsiTheme="majorHAnsi"/>
          <w:sz w:val="18"/>
          <w:szCs w:val="22"/>
          <w:lang w:val="es-419"/>
        </w:rPr>
      </w:pPr>
    </w:p>
    <w:p w14:paraId="5E90F70A" w14:textId="77777777" w:rsidR="00B37C87" w:rsidRPr="00FA3A3F" w:rsidRDefault="00B37C87" w:rsidP="00B37C87">
      <w:pPr>
        <w:tabs>
          <w:tab w:val="center" w:pos="5400"/>
        </w:tabs>
        <w:suppressAutoHyphens/>
        <w:jc w:val="center"/>
        <w:rPr>
          <w:rFonts w:asciiTheme="majorHAnsi" w:hAnsiTheme="majorHAnsi"/>
          <w:sz w:val="18"/>
          <w:szCs w:val="22"/>
          <w:lang w:val="es-419"/>
        </w:rPr>
      </w:pPr>
    </w:p>
    <w:p w14:paraId="7A621691" w14:textId="77777777" w:rsidR="00B37C87" w:rsidRPr="00FA3A3F" w:rsidRDefault="00B37C87" w:rsidP="00B37C87">
      <w:pPr>
        <w:tabs>
          <w:tab w:val="center" w:pos="5400"/>
        </w:tabs>
        <w:suppressAutoHyphens/>
        <w:jc w:val="center"/>
        <w:rPr>
          <w:rFonts w:asciiTheme="majorHAnsi" w:hAnsiTheme="majorHAnsi"/>
          <w:sz w:val="18"/>
          <w:szCs w:val="22"/>
          <w:lang w:val="es-419"/>
        </w:rPr>
      </w:pPr>
    </w:p>
    <w:p w14:paraId="2008B403" w14:textId="77777777" w:rsidR="00B37C87" w:rsidRPr="00FA3A3F" w:rsidRDefault="00B37C87" w:rsidP="00B37C87">
      <w:pPr>
        <w:tabs>
          <w:tab w:val="center" w:pos="5400"/>
        </w:tabs>
        <w:suppressAutoHyphens/>
        <w:jc w:val="center"/>
        <w:rPr>
          <w:rFonts w:asciiTheme="majorHAnsi" w:hAnsiTheme="majorHAnsi"/>
          <w:sz w:val="18"/>
          <w:szCs w:val="22"/>
          <w:lang w:val="es-419"/>
        </w:rPr>
      </w:pPr>
    </w:p>
    <w:p w14:paraId="08EE89F8" w14:textId="77777777" w:rsidR="00B37C87" w:rsidRPr="00FA3A3F" w:rsidRDefault="00B37C87" w:rsidP="00B37C87">
      <w:pPr>
        <w:tabs>
          <w:tab w:val="center" w:pos="5400"/>
        </w:tabs>
        <w:suppressAutoHyphens/>
        <w:jc w:val="center"/>
        <w:rPr>
          <w:rFonts w:asciiTheme="majorHAnsi" w:hAnsiTheme="majorHAnsi"/>
          <w:sz w:val="18"/>
          <w:szCs w:val="22"/>
          <w:lang w:val="es-419"/>
        </w:rPr>
      </w:pPr>
      <w:r w:rsidRPr="00FA3A3F">
        <w:rPr>
          <w:rFonts w:asciiTheme="majorHAnsi" w:hAnsiTheme="majorHAnsi"/>
          <w:noProof/>
          <w:sz w:val="22"/>
          <w:szCs w:val="22"/>
          <w:lang w:val="es-419"/>
        </w:rPr>
        <mc:AlternateContent>
          <mc:Choice Requires="wps">
            <w:drawing>
              <wp:anchor distT="0" distB="0" distL="114300" distR="114300" simplePos="0" relativeHeight="251661312" behindDoc="0" locked="0" layoutInCell="1" allowOverlap="1" wp14:anchorId="5FD54633" wp14:editId="13F2FA2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7E3BA" w14:textId="77777777" w:rsidR="00B37C87" w:rsidRPr="00890650" w:rsidRDefault="00B37C87" w:rsidP="00B37C87">
                            <w:pPr>
                              <w:tabs>
                                <w:tab w:val="center" w:pos="5400"/>
                              </w:tabs>
                              <w:suppressAutoHyphens/>
                              <w:spacing w:before="60"/>
                              <w:rPr>
                                <w:rFonts w:asciiTheme="majorHAnsi" w:hAnsiTheme="majorHAnsi" w:cs="Univers"/>
                                <w:color w:val="0D0D0D" w:themeColor="text1" w:themeTint="F2"/>
                                <w:sz w:val="18"/>
                                <w:szCs w:val="20"/>
                                <w:lang w:val="es-ES_tradnl"/>
                              </w:rPr>
                            </w:pPr>
                          </w:p>
                          <w:p w14:paraId="55E81223" w14:textId="77777777" w:rsidR="00B37C87" w:rsidRPr="00890650" w:rsidRDefault="00B37C87" w:rsidP="00B37C87">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junio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24.</w:t>
                            </w:r>
                          </w:p>
                          <w:p w14:paraId="430CB210" w14:textId="77777777" w:rsidR="00B37C87" w:rsidRPr="007A5817" w:rsidRDefault="00B37C87" w:rsidP="00B37C87">
                            <w:pPr>
                              <w:tabs>
                                <w:tab w:val="center" w:pos="5400"/>
                              </w:tabs>
                              <w:suppressAutoHyphens/>
                              <w:spacing w:before="60"/>
                              <w:rPr>
                                <w:rFonts w:asciiTheme="minorHAnsi" w:hAnsiTheme="minorHAnsi" w:cs="Univers"/>
                                <w:color w:val="0D0D0D" w:themeColor="text1" w:themeTint="F2"/>
                                <w:sz w:val="20"/>
                                <w:szCs w:val="20"/>
                                <w:lang w:val="es-ES"/>
                              </w:rPr>
                            </w:pPr>
                          </w:p>
                          <w:p w14:paraId="5917F87C" w14:textId="77777777" w:rsidR="00B37C87" w:rsidRPr="00167A34" w:rsidRDefault="00B37C87" w:rsidP="00B37C87">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54633"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9F7E3BA" w14:textId="77777777" w:rsidR="00B37C87" w:rsidRPr="00890650" w:rsidRDefault="00B37C87" w:rsidP="00B37C87">
                      <w:pPr>
                        <w:tabs>
                          <w:tab w:val="center" w:pos="5400"/>
                        </w:tabs>
                        <w:suppressAutoHyphens/>
                        <w:spacing w:before="60"/>
                        <w:rPr>
                          <w:rFonts w:asciiTheme="majorHAnsi" w:hAnsiTheme="majorHAnsi" w:cs="Univers"/>
                          <w:color w:val="0D0D0D" w:themeColor="text1" w:themeTint="F2"/>
                          <w:sz w:val="18"/>
                          <w:szCs w:val="20"/>
                          <w:lang w:val="es-ES_tradnl"/>
                        </w:rPr>
                      </w:pPr>
                    </w:p>
                    <w:p w14:paraId="55E81223" w14:textId="77777777" w:rsidR="00B37C87" w:rsidRPr="00890650" w:rsidRDefault="00B37C87" w:rsidP="00B37C87">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junio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24.</w:t>
                      </w:r>
                    </w:p>
                    <w:p w14:paraId="430CB210" w14:textId="77777777" w:rsidR="00B37C87" w:rsidRPr="007A5817" w:rsidRDefault="00B37C87" w:rsidP="00B37C87">
                      <w:pPr>
                        <w:tabs>
                          <w:tab w:val="center" w:pos="5400"/>
                        </w:tabs>
                        <w:suppressAutoHyphens/>
                        <w:spacing w:before="60"/>
                        <w:rPr>
                          <w:rFonts w:asciiTheme="minorHAnsi" w:hAnsiTheme="minorHAnsi" w:cs="Univers"/>
                          <w:color w:val="0D0D0D" w:themeColor="text1" w:themeTint="F2"/>
                          <w:sz w:val="20"/>
                          <w:szCs w:val="20"/>
                          <w:lang w:val="es-ES"/>
                        </w:rPr>
                      </w:pPr>
                    </w:p>
                    <w:p w14:paraId="5917F87C" w14:textId="77777777" w:rsidR="00B37C87" w:rsidRPr="00167A34" w:rsidRDefault="00B37C87" w:rsidP="00B37C87">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22FAF62" w14:textId="77777777" w:rsidR="00B37C87" w:rsidRPr="00FA3A3F" w:rsidRDefault="00B37C87" w:rsidP="00B37C87">
      <w:pPr>
        <w:tabs>
          <w:tab w:val="center" w:pos="5400"/>
        </w:tabs>
        <w:suppressAutoHyphens/>
        <w:jc w:val="center"/>
        <w:rPr>
          <w:rFonts w:asciiTheme="majorHAnsi" w:hAnsiTheme="majorHAnsi"/>
          <w:sz w:val="18"/>
          <w:szCs w:val="22"/>
          <w:lang w:val="es-419"/>
        </w:rPr>
      </w:pPr>
    </w:p>
    <w:p w14:paraId="3A681699" w14:textId="77777777" w:rsidR="00B37C87" w:rsidRPr="00FA3A3F" w:rsidRDefault="00B37C87" w:rsidP="00B37C87">
      <w:pPr>
        <w:tabs>
          <w:tab w:val="center" w:pos="5400"/>
        </w:tabs>
        <w:suppressAutoHyphens/>
        <w:jc w:val="center"/>
        <w:rPr>
          <w:rFonts w:asciiTheme="majorHAnsi" w:hAnsiTheme="majorHAnsi"/>
          <w:sz w:val="18"/>
          <w:szCs w:val="22"/>
          <w:lang w:val="es-419"/>
        </w:rPr>
      </w:pPr>
    </w:p>
    <w:p w14:paraId="4637B6CF" w14:textId="77777777" w:rsidR="00B37C87" w:rsidRPr="00FA3A3F" w:rsidRDefault="00B37C87" w:rsidP="00B37C87">
      <w:pPr>
        <w:tabs>
          <w:tab w:val="center" w:pos="5400"/>
        </w:tabs>
        <w:suppressAutoHyphens/>
        <w:jc w:val="center"/>
        <w:rPr>
          <w:rFonts w:asciiTheme="majorHAnsi" w:hAnsiTheme="majorHAnsi"/>
          <w:sz w:val="18"/>
          <w:szCs w:val="22"/>
          <w:lang w:val="es-419"/>
        </w:rPr>
      </w:pPr>
    </w:p>
    <w:p w14:paraId="626D0B1F" w14:textId="77777777" w:rsidR="00B37C87" w:rsidRPr="00FA3A3F" w:rsidRDefault="00B37C87" w:rsidP="00B37C87">
      <w:pPr>
        <w:tabs>
          <w:tab w:val="center" w:pos="5400"/>
        </w:tabs>
        <w:suppressAutoHyphens/>
        <w:jc w:val="center"/>
        <w:rPr>
          <w:rFonts w:asciiTheme="majorHAnsi" w:hAnsiTheme="majorHAnsi"/>
          <w:sz w:val="18"/>
          <w:szCs w:val="22"/>
          <w:lang w:val="es-419"/>
        </w:rPr>
      </w:pPr>
    </w:p>
    <w:p w14:paraId="0C50A1FF" w14:textId="77777777" w:rsidR="00B37C87" w:rsidRPr="00FA3A3F" w:rsidRDefault="00B37C87" w:rsidP="00B37C87">
      <w:pPr>
        <w:tabs>
          <w:tab w:val="center" w:pos="5400"/>
        </w:tabs>
        <w:suppressAutoHyphens/>
        <w:jc w:val="center"/>
        <w:rPr>
          <w:rFonts w:asciiTheme="majorHAnsi" w:hAnsiTheme="majorHAnsi"/>
          <w:sz w:val="18"/>
          <w:szCs w:val="22"/>
          <w:lang w:val="es-419"/>
        </w:rPr>
      </w:pPr>
      <w:r w:rsidRPr="00FA3A3F">
        <w:rPr>
          <w:rFonts w:asciiTheme="majorHAnsi" w:hAnsiTheme="majorHAnsi"/>
          <w:noProof/>
          <w:sz w:val="18"/>
          <w:szCs w:val="22"/>
          <w:lang w:val="es-419"/>
        </w:rPr>
        <mc:AlternateContent>
          <mc:Choice Requires="wps">
            <w:drawing>
              <wp:anchor distT="0" distB="0" distL="114300" distR="114300" simplePos="0" relativeHeight="251664384" behindDoc="0" locked="0" layoutInCell="1" allowOverlap="1" wp14:anchorId="6B738C06" wp14:editId="4ACFA48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A3258" w14:textId="77777777" w:rsidR="00B37C87" w:rsidRDefault="00B37C87" w:rsidP="00B37C87">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01419C">
                              <w:rPr>
                                <w:rFonts w:asciiTheme="majorHAnsi" w:hAnsiTheme="majorHAnsi"/>
                                <w:color w:val="595959" w:themeColor="text1" w:themeTint="A6"/>
                                <w:sz w:val="18"/>
                                <w:szCs w:val="18"/>
                                <w:lang w:val="pt-BR"/>
                              </w:rPr>
                              <w:t xml:space="preserve">84/24.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692-14. </w:t>
                            </w:r>
                            <w:r w:rsidRPr="00FC20DB">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p>
                          <w:p w14:paraId="37DA4C03" w14:textId="77777777" w:rsidR="00B37C87" w:rsidRPr="007B05C4" w:rsidRDefault="00B37C87" w:rsidP="00B37C87">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Fariel Sanjuan Arévalo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7 de junio de 2024</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38C06"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22A3258" w14:textId="77777777" w:rsidR="00B37C87" w:rsidRDefault="00B37C87" w:rsidP="00B37C87">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01419C">
                        <w:rPr>
                          <w:rFonts w:asciiTheme="majorHAnsi" w:hAnsiTheme="majorHAnsi"/>
                          <w:color w:val="595959" w:themeColor="text1" w:themeTint="A6"/>
                          <w:sz w:val="18"/>
                          <w:szCs w:val="18"/>
                          <w:lang w:val="pt-BR"/>
                        </w:rPr>
                        <w:t xml:space="preserve">84/24.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692-14. </w:t>
                      </w:r>
                      <w:r w:rsidRPr="00FC20DB">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p>
                    <w:p w14:paraId="37DA4C03" w14:textId="77777777" w:rsidR="00B37C87" w:rsidRPr="007B05C4" w:rsidRDefault="00B37C87" w:rsidP="00B37C87">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Fariel Sanjuan Arévalo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7 de junio de 2024</w:t>
                      </w:r>
                      <w:r w:rsidRPr="007B05C4">
                        <w:rPr>
                          <w:rFonts w:asciiTheme="majorHAnsi" w:hAnsiTheme="majorHAnsi"/>
                          <w:color w:val="595959" w:themeColor="text1" w:themeTint="A6"/>
                          <w:sz w:val="18"/>
                          <w:szCs w:val="18"/>
                          <w:lang w:val="es-ES"/>
                        </w:rPr>
                        <w:t>.</w:t>
                      </w:r>
                    </w:p>
                  </w:txbxContent>
                </v:textbox>
              </v:shape>
            </w:pict>
          </mc:Fallback>
        </mc:AlternateContent>
      </w:r>
    </w:p>
    <w:p w14:paraId="0C635F2C" w14:textId="77777777" w:rsidR="00B37C87" w:rsidRPr="00FA3A3F" w:rsidRDefault="00B37C87" w:rsidP="00B37C87">
      <w:pPr>
        <w:tabs>
          <w:tab w:val="center" w:pos="5400"/>
        </w:tabs>
        <w:suppressAutoHyphens/>
        <w:jc w:val="center"/>
        <w:rPr>
          <w:rFonts w:asciiTheme="majorHAnsi" w:hAnsiTheme="majorHAnsi"/>
          <w:sz w:val="18"/>
          <w:szCs w:val="22"/>
          <w:lang w:val="es-419"/>
        </w:rPr>
      </w:pPr>
    </w:p>
    <w:p w14:paraId="5B46E2EA" w14:textId="77777777" w:rsidR="00B37C87" w:rsidRPr="00FA3A3F" w:rsidRDefault="00B37C87" w:rsidP="00B37C87">
      <w:pPr>
        <w:tabs>
          <w:tab w:val="center" w:pos="5400"/>
        </w:tabs>
        <w:suppressAutoHyphens/>
        <w:jc w:val="center"/>
        <w:rPr>
          <w:rFonts w:asciiTheme="majorHAnsi" w:hAnsiTheme="majorHAnsi"/>
          <w:b/>
          <w:sz w:val="20"/>
          <w:lang w:val="es-419"/>
        </w:rPr>
      </w:pPr>
      <w:r w:rsidRPr="00FA3A3F">
        <w:rPr>
          <w:rFonts w:asciiTheme="majorHAnsi" w:hAnsiTheme="majorHAnsi"/>
          <w:noProof/>
          <w:sz w:val="18"/>
          <w:szCs w:val="22"/>
          <w:lang w:val="es-419"/>
        </w:rPr>
        <mc:AlternateContent>
          <mc:Choice Requires="wps">
            <w:drawing>
              <wp:anchor distT="0" distB="0" distL="114300" distR="114300" simplePos="0" relativeHeight="251665408" behindDoc="0" locked="0" layoutInCell="1" allowOverlap="1" wp14:anchorId="1AE8EED3" wp14:editId="751EC53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AFA816" w14:textId="77777777" w:rsidR="00B37C87" w:rsidRPr="00D72DC6" w:rsidRDefault="00B37C87" w:rsidP="00B37C87">
                            <w:pPr>
                              <w:rPr>
                                <w:color w:val="FFFFFF" w:themeColor="background1"/>
                                <w14:textFill>
                                  <w14:noFill/>
                                </w14:textFill>
                              </w:rPr>
                            </w:pPr>
                            <w:r>
                              <w:rPr>
                                <w:noProof/>
                                <w:color w:val="FFFFFF" w:themeColor="background1"/>
                              </w:rPr>
                              <w:drawing>
                                <wp:inline distT="0" distB="0" distL="0" distR="0" wp14:anchorId="2AA09FE2" wp14:editId="6F225A92">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8EED3"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DAFA816" w14:textId="77777777" w:rsidR="00B37C87" w:rsidRPr="00D72DC6" w:rsidRDefault="00B37C87" w:rsidP="00B37C87">
                      <w:pPr>
                        <w:rPr>
                          <w:color w:val="FFFFFF" w:themeColor="background1"/>
                          <w14:textFill>
                            <w14:noFill/>
                          </w14:textFill>
                        </w:rPr>
                      </w:pPr>
                      <w:r>
                        <w:rPr>
                          <w:noProof/>
                          <w:color w:val="FFFFFF" w:themeColor="background1"/>
                        </w:rPr>
                        <w:drawing>
                          <wp:inline distT="0" distB="0" distL="0" distR="0" wp14:anchorId="2AA09FE2" wp14:editId="6F225A92">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FA3A3F">
        <w:rPr>
          <w:rFonts w:asciiTheme="majorHAnsi" w:hAnsiTheme="majorHAnsi"/>
          <w:noProof/>
          <w:sz w:val="22"/>
          <w:szCs w:val="22"/>
          <w:lang w:val="es-419"/>
        </w:rPr>
        <mc:AlternateContent>
          <mc:Choice Requires="wps">
            <w:drawing>
              <wp:anchor distT="0" distB="0" distL="114300" distR="114300" simplePos="0" relativeHeight="251666432" behindDoc="0" locked="0" layoutInCell="1" allowOverlap="1" wp14:anchorId="388050B4" wp14:editId="2DA4EA2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F97918" w14:textId="77777777" w:rsidR="00B37C87" w:rsidRPr="004B7EB6" w:rsidRDefault="00B37C87" w:rsidP="00B37C87">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050B4"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13F97918" w14:textId="77777777" w:rsidR="00B37C87" w:rsidRPr="004B7EB6" w:rsidRDefault="00B37C87" w:rsidP="00B37C87">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97C133C" w14:textId="77777777" w:rsidR="00B37C87" w:rsidRPr="00FA3A3F" w:rsidRDefault="00B37C87" w:rsidP="00B37C87">
      <w:pPr>
        <w:tabs>
          <w:tab w:val="center" w:pos="5400"/>
        </w:tabs>
        <w:suppressAutoHyphens/>
        <w:jc w:val="center"/>
        <w:rPr>
          <w:rFonts w:asciiTheme="majorHAnsi" w:hAnsiTheme="majorHAnsi"/>
          <w:b/>
          <w:sz w:val="20"/>
          <w:lang w:val="es-419"/>
        </w:rPr>
        <w:sectPr w:rsidR="00B37C87" w:rsidRPr="00FA3A3F" w:rsidSect="00E173B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FA3A3F">
        <w:rPr>
          <w:rFonts w:asciiTheme="majorHAnsi" w:hAnsiTheme="majorHAnsi"/>
          <w:b/>
          <w:sz w:val="20"/>
          <w:lang w:val="es-419"/>
        </w:rPr>
        <w:tab/>
      </w:r>
    </w:p>
    <w:p w14:paraId="37FAB1AD" w14:textId="77777777" w:rsidR="00B37C87" w:rsidRPr="00FA3A3F" w:rsidRDefault="00B37C87" w:rsidP="00B37C87">
      <w:pPr>
        <w:spacing w:after="240"/>
        <w:ind w:firstLine="720"/>
        <w:jc w:val="both"/>
        <w:rPr>
          <w:rFonts w:asciiTheme="majorHAnsi" w:hAnsiTheme="majorHAnsi"/>
          <w:b/>
          <w:bCs/>
          <w:sz w:val="20"/>
          <w:szCs w:val="20"/>
          <w:lang w:val="es-419"/>
        </w:rPr>
      </w:pPr>
      <w:r w:rsidRPr="00FA3A3F">
        <w:rPr>
          <w:rFonts w:asciiTheme="majorHAnsi" w:hAnsiTheme="majorHAnsi"/>
          <w:b/>
          <w:bCs/>
          <w:sz w:val="20"/>
          <w:szCs w:val="20"/>
          <w:lang w:val="es-419"/>
        </w:rPr>
        <w:lastRenderedPageBreak/>
        <w:t>I.</w:t>
      </w:r>
      <w:r w:rsidRPr="00FA3A3F">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B37C87" w:rsidRPr="00FA3A3F" w14:paraId="5CC919B4" w14:textId="77777777" w:rsidTr="00C02B7B">
        <w:tc>
          <w:tcPr>
            <w:tcW w:w="3600" w:type="dxa"/>
            <w:tcBorders>
              <w:top w:val="single" w:sz="4" w:space="0" w:color="auto"/>
              <w:bottom w:val="single" w:sz="6" w:space="0" w:color="auto"/>
            </w:tcBorders>
            <w:shd w:val="clear" w:color="auto" w:fill="386294"/>
            <w:vAlign w:val="center"/>
          </w:tcPr>
          <w:p w14:paraId="277EFB43" w14:textId="77777777" w:rsidR="00B37C87" w:rsidRPr="00FA3A3F" w:rsidRDefault="00B37C87" w:rsidP="00C02B7B">
            <w:pPr>
              <w:jc w:val="center"/>
              <w:rPr>
                <w:rFonts w:ascii="Cambria" w:hAnsi="Cambria"/>
                <w:b/>
                <w:bCs/>
                <w:color w:val="FFFFFF" w:themeColor="background1"/>
                <w:sz w:val="20"/>
                <w:szCs w:val="20"/>
                <w:lang w:val="es-419"/>
              </w:rPr>
            </w:pPr>
            <w:r w:rsidRPr="00FA3A3F">
              <w:rPr>
                <w:rFonts w:ascii="Cambria" w:hAnsi="Cambria"/>
                <w:b/>
                <w:bCs/>
                <w:color w:val="FFFFFF" w:themeColor="background1"/>
                <w:sz w:val="20"/>
                <w:szCs w:val="20"/>
                <w:lang w:val="es-419"/>
              </w:rPr>
              <w:t>Parte peticionaria:</w:t>
            </w:r>
          </w:p>
        </w:tc>
        <w:tc>
          <w:tcPr>
            <w:tcW w:w="5760" w:type="dxa"/>
            <w:vAlign w:val="center"/>
          </w:tcPr>
          <w:p w14:paraId="4D7A02C5" w14:textId="77777777" w:rsidR="00B37C87" w:rsidRPr="00FA3A3F" w:rsidRDefault="00B37C87" w:rsidP="00C02B7B">
            <w:pPr>
              <w:jc w:val="both"/>
              <w:rPr>
                <w:rFonts w:ascii="Cambria" w:hAnsi="Cambria"/>
                <w:bCs/>
                <w:sz w:val="20"/>
                <w:szCs w:val="20"/>
                <w:lang w:val="es-419"/>
              </w:rPr>
            </w:pPr>
            <w:r>
              <w:rPr>
                <w:rFonts w:asciiTheme="majorHAnsi" w:hAnsiTheme="majorHAnsi"/>
                <w:bCs/>
                <w:sz w:val="20"/>
                <w:szCs w:val="20"/>
                <w:lang w:val="es-MX"/>
              </w:rPr>
              <w:t>Fariel Sanjuan Arévalo</w:t>
            </w:r>
          </w:p>
        </w:tc>
      </w:tr>
      <w:tr w:rsidR="00B37C87" w:rsidRPr="00FA3A3F" w14:paraId="1FDD3B72" w14:textId="77777777" w:rsidTr="00C02B7B">
        <w:tc>
          <w:tcPr>
            <w:tcW w:w="3600" w:type="dxa"/>
            <w:tcBorders>
              <w:top w:val="single" w:sz="6" w:space="0" w:color="auto"/>
              <w:bottom w:val="single" w:sz="6" w:space="0" w:color="auto"/>
            </w:tcBorders>
            <w:shd w:val="clear" w:color="auto" w:fill="386294"/>
            <w:vAlign w:val="center"/>
          </w:tcPr>
          <w:p w14:paraId="29EBFBF0" w14:textId="77777777" w:rsidR="00B37C87" w:rsidRPr="00FA3A3F" w:rsidRDefault="00C83F77" w:rsidP="00C02B7B">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51DDB538A9E3499B8828FD094DBE3FA4"/>
                </w:placeholder>
                <w:dropDownList>
                  <w:listItem w:value="Choose an item."/>
                  <w:listItem w:displayText="Presunta víctima" w:value="Presunta víctima"/>
                  <w:listItem w:displayText="Presuntas víctimas" w:value="Presuntas víctimas"/>
                </w:dropDownList>
              </w:sdtPr>
              <w:sdtEndPr/>
              <w:sdtContent>
                <w:r w:rsidR="00B37C87" w:rsidRPr="00FA3A3F">
                  <w:rPr>
                    <w:rFonts w:ascii="Cambria" w:hAnsi="Cambria"/>
                    <w:b/>
                    <w:bCs/>
                    <w:color w:val="FFFFFF" w:themeColor="background1"/>
                    <w:sz w:val="20"/>
                    <w:szCs w:val="20"/>
                    <w:lang w:val="es-419"/>
                  </w:rPr>
                  <w:t>Presuntas víctimas</w:t>
                </w:r>
              </w:sdtContent>
            </w:sdt>
            <w:r w:rsidR="00B37C87" w:rsidRPr="00FA3A3F">
              <w:rPr>
                <w:rFonts w:ascii="Cambria" w:hAnsi="Cambria"/>
                <w:b/>
                <w:bCs/>
                <w:color w:val="FFFFFF" w:themeColor="background1"/>
                <w:sz w:val="20"/>
                <w:szCs w:val="20"/>
                <w:lang w:val="es-419"/>
              </w:rPr>
              <w:t>:</w:t>
            </w:r>
          </w:p>
        </w:tc>
        <w:tc>
          <w:tcPr>
            <w:tcW w:w="5760" w:type="dxa"/>
            <w:vAlign w:val="center"/>
          </w:tcPr>
          <w:p w14:paraId="5D2CEF17" w14:textId="77777777" w:rsidR="00B37C87" w:rsidRPr="00FA3A3F" w:rsidRDefault="00B37C87" w:rsidP="00C02B7B">
            <w:pPr>
              <w:jc w:val="both"/>
              <w:rPr>
                <w:rFonts w:ascii="Cambria" w:hAnsi="Cambria"/>
                <w:bCs/>
                <w:sz w:val="20"/>
                <w:szCs w:val="20"/>
                <w:lang w:val="es-419"/>
              </w:rPr>
            </w:pPr>
            <w:r>
              <w:rPr>
                <w:rFonts w:asciiTheme="majorHAnsi" w:hAnsiTheme="majorHAnsi"/>
                <w:bCs/>
                <w:sz w:val="20"/>
                <w:szCs w:val="20"/>
                <w:lang w:val="es-MX"/>
              </w:rPr>
              <w:t>Fariel Sanjuan Arévalo</w:t>
            </w:r>
          </w:p>
        </w:tc>
      </w:tr>
      <w:tr w:rsidR="00B37C87" w:rsidRPr="00FA3A3F" w14:paraId="1F760406" w14:textId="77777777" w:rsidTr="00C02B7B">
        <w:tc>
          <w:tcPr>
            <w:tcW w:w="3600" w:type="dxa"/>
            <w:tcBorders>
              <w:top w:val="single" w:sz="6" w:space="0" w:color="auto"/>
              <w:bottom w:val="single" w:sz="6" w:space="0" w:color="auto"/>
            </w:tcBorders>
            <w:shd w:val="clear" w:color="auto" w:fill="386294"/>
            <w:vAlign w:val="center"/>
          </w:tcPr>
          <w:p w14:paraId="053E4215" w14:textId="77777777" w:rsidR="00B37C87" w:rsidRPr="00FA3A3F" w:rsidRDefault="00B37C87" w:rsidP="00C02B7B">
            <w:pPr>
              <w:jc w:val="center"/>
              <w:rPr>
                <w:rFonts w:ascii="Cambria" w:hAnsi="Cambria"/>
                <w:b/>
                <w:bCs/>
                <w:color w:val="FFFFFF" w:themeColor="background1"/>
                <w:sz w:val="20"/>
                <w:szCs w:val="20"/>
                <w:lang w:val="es-419"/>
              </w:rPr>
            </w:pPr>
            <w:r w:rsidRPr="00FA3A3F">
              <w:rPr>
                <w:rFonts w:ascii="Cambria" w:hAnsi="Cambria"/>
                <w:b/>
                <w:bCs/>
                <w:color w:val="FFFFFF" w:themeColor="background1"/>
                <w:sz w:val="20"/>
                <w:szCs w:val="20"/>
                <w:lang w:val="es-419"/>
              </w:rPr>
              <w:t>Estado denunciado:</w:t>
            </w:r>
          </w:p>
        </w:tc>
        <w:tc>
          <w:tcPr>
            <w:tcW w:w="5760" w:type="dxa"/>
            <w:vAlign w:val="center"/>
          </w:tcPr>
          <w:p w14:paraId="4079E5E9" w14:textId="77777777" w:rsidR="00B37C87" w:rsidRPr="00FA3A3F" w:rsidRDefault="00B37C87" w:rsidP="00C02B7B">
            <w:pPr>
              <w:jc w:val="both"/>
              <w:rPr>
                <w:rFonts w:ascii="Cambria" w:hAnsi="Cambria"/>
                <w:bCs/>
                <w:sz w:val="20"/>
                <w:szCs w:val="20"/>
                <w:lang w:val="es-419"/>
              </w:rPr>
            </w:pPr>
            <w:r w:rsidRPr="00FA3A3F">
              <w:rPr>
                <w:rFonts w:ascii="Cambria" w:hAnsi="Cambria"/>
                <w:bCs/>
                <w:sz w:val="20"/>
                <w:szCs w:val="20"/>
                <w:lang w:val="es-419"/>
              </w:rPr>
              <w:t>Colombia</w:t>
            </w:r>
            <w:r w:rsidRPr="00FA3A3F">
              <w:rPr>
                <w:rStyle w:val="FootnoteReference"/>
                <w:rFonts w:ascii="Cambria" w:hAnsi="Cambria"/>
                <w:bCs/>
                <w:sz w:val="20"/>
                <w:szCs w:val="20"/>
                <w:lang w:val="es-419"/>
              </w:rPr>
              <w:footnoteReference w:id="2"/>
            </w:r>
          </w:p>
        </w:tc>
      </w:tr>
      <w:tr w:rsidR="00B37C87" w:rsidRPr="0004759E" w14:paraId="404CAE5C" w14:textId="77777777" w:rsidTr="00C02B7B">
        <w:tc>
          <w:tcPr>
            <w:tcW w:w="3600" w:type="dxa"/>
            <w:tcBorders>
              <w:top w:val="single" w:sz="6" w:space="0" w:color="auto"/>
              <w:bottom w:val="single" w:sz="6" w:space="0" w:color="auto"/>
            </w:tcBorders>
            <w:shd w:val="clear" w:color="auto" w:fill="386294"/>
            <w:vAlign w:val="center"/>
          </w:tcPr>
          <w:p w14:paraId="0D850EA2" w14:textId="77777777" w:rsidR="00B37C87" w:rsidRPr="00FA3A3F" w:rsidRDefault="00B37C87" w:rsidP="00C02B7B">
            <w:pPr>
              <w:jc w:val="center"/>
              <w:rPr>
                <w:rFonts w:ascii="Cambria" w:hAnsi="Cambria"/>
                <w:b/>
                <w:bCs/>
                <w:color w:val="FFFFFF" w:themeColor="background1"/>
                <w:sz w:val="20"/>
                <w:szCs w:val="20"/>
                <w:lang w:val="es-419"/>
              </w:rPr>
            </w:pPr>
            <w:r w:rsidRPr="00FA3A3F">
              <w:rPr>
                <w:rFonts w:ascii="Cambria" w:hAnsi="Cambria"/>
                <w:b/>
                <w:bCs/>
                <w:color w:val="FFFFFF" w:themeColor="background1"/>
                <w:sz w:val="20"/>
                <w:szCs w:val="20"/>
                <w:lang w:val="es-419"/>
              </w:rPr>
              <w:t>Derechos invocados:</w:t>
            </w:r>
          </w:p>
        </w:tc>
        <w:tc>
          <w:tcPr>
            <w:tcW w:w="5760" w:type="dxa"/>
            <w:vAlign w:val="center"/>
          </w:tcPr>
          <w:p w14:paraId="448F1606" w14:textId="77777777" w:rsidR="00B37C87" w:rsidRPr="00FA3A3F" w:rsidRDefault="00B37C87" w:rsidP="00C02B7B">
            <w:pPr>
              <w:jc w:val="both"/>
              <w:rPr>
                <w:rFonts w:ascii="Cambria" w:hAnsi="Cambria"/>
                <w:bCs/>
                <w:sz w:val="20"/>
                <w:szCs w:val="20"/>
                <w:lang w:val="es-419"/>
              </w:rPr>
            </w:pPr>
            <w:r w:rsidRPr="008573A7">
              <w:rPr>
                <w:rFonts w:asciiTheme="majorHAnsi" w:hAnsiTheme="majorHAnsi"/>
                <w:bCs/>
                <w:sz w:val="20"/>
                <w:szCs w:val="20"/>
                <w:lang w:val="es-ES" w:bidi="es-ES"/>
              </w:rPr>
              <w:t>Artículos 8 (garantías judiciales), 9 (</w:t>
            </w:r>
            <w:r>
              <w:rPr>
                <w:rFonts w:asciiTheme="majorHAnsi" w:hAnsiTheme="majorHAnsi"/>
                <w:bCs/>
                <w:sz w:val="20"/>
                <w:szCs w:val="20"/>
                <w:lang w:val="es-ES" w:bidi="es-ES"/>
              </w:rPr>
              <w:t>l</w:t>
            </w:r>
            <w:r w:rsidRPr="0067683B">
              <w:rPr>
                <w:rFonts w:asciiTheme="majorHAnsi" w:hAnsiTheme="majorHAnsi"/>
                <w:bCs/>
                <w:sz w:val="20"/>
                <w:szCs w:val="20"/>
                <w:lang w:val="es-ES" w:bidi="es-ES"/>
              </w:rPr>
              <w:t xml:space="preserve">egalidad y </w:t>
            </w:r>
            <w:r>
              <w:rPr>
                <w:rFonts w:asciiTheme="majorHAnsi" w:hAnsiTheme="majorHAnsi"/>
                <w:bCs/>
                <w:sz w:val="20"/>
                <w:szCs w:val="20"/>
                <w:lang w:val="es-ES" w:bidi="es-ES"/>
              </w:rPr>
              <w:t>r</w:t>
            </w:r>
            <w:r w:rsidRPr="0067683B">
              <w:rPr>
                <w:rFonts w:asciiTheme="majorHAnsi" w:hAnsiTheme="majorHAnsi"/>
                <w:bCs/>
                <w:sz w:val="20"/>
                <w:szCs w:val="20"/>
                <w:lang w:val="es-ES" w:bidi="es-ES"/>
              </w:rPr>
              <w:t>etroactividad</w:t>
            </w:r>
            <w:r w:rsidRPr="008573A7">
              <w:rPr>
                <w:rFonts w:asciiTheme="majorHAnsi" w:hAnsiTheme="majorHAnsi"/>
                <w:bCs/>
                <w:sz w:val="20"/>
                <w:szCs w:val="20"/>
                <w:lang w:val="es-ES" w:bidi="es-ES"/>
              </w:rPr>
              <w:t xml:space="preserve">), 24 (igualdad ante la ley) y 25 (protección judicial) de la Convención </w:t>
            </w:r>
            <w:r w:rsidRPr="00FA3A3F">
              <w:rPr>
                <w:rFonts w:asciiTheme="majorHAnsi" w:hAnsiTheme="majorHAnsi"/>
                <w:bCs/>
                <w:sz w:val="20"/>
                <w:szCs w:val="20"/>
                <w:lang w:val="es-ES" w:bidi="es-ES"/>
              </w:rPr>
              <w:t>Americana sobre Derechos Humanos</w:t>
            </w:r>
            <w:r w:rsidRPr="00FA3A3F">
              <w:rPr>
                <w:rFonts w:ascii="Cambria" w:hAnsi="Cambria"/>
                <w:bCs/>
                <w:sz w:val="20"/>
                <w:szCs w:val="20"/>
                <w:vertAlign w:val="superscript"/>
                <w:lang w:val="es-419" w:bidi="es-ES"/>
              </w:rPr>
              <w:footnoteReference w:id="3"/>
            </w:r>
          </w:p>
        </w:tc>
      </w:tr>
    </w:tbl>
    <w:p w14:paraId="58C9D284" w14:textId="77777777" w:rsidR="00B37C87" w:rsidRPr="00FA3A3F" w:rsidRDefault="00B37C87" w:rsidP="00B37C87">
      <w:pPr>
        <w:spacing w:before="240" w:after="240"/>
        <w:ind w:firstLine="720"/>
        <w:jc w:val="both"/>
        <w:rPr>
          <w:rFonts w:asciiTheme="majorHAnsi" w:hAnsiTheme="majorHAnsi"/>
          <w:b/>
          <w:bCs/>
          <w:sz w:val="20"/>
          <w:szCs w:val="20"/>
          <w:lang w:val="es-419"/>
        </w:rPr>
      </w:pPr>
      <w:r w:rsidRPr="00FA3A3F">
        <w:rPr>
          <w:rFonts w:asciiTheme="majorHAnsi" w:hAnsiTheme="majorHAnsi"/>
          <w:b/>
          <w:bCs/>
          <w:sz w:val="20"/>
          <w:szCs w:val="20"/>
          <w:lang w:val="es-419"/>
        </w:rPr>
        <w:t>II.</w:t>
      </w:r>
      <w:r w:rsidRPr="00FA3A3F">
        <w:rPr>
          <w:rFonts w:asciiTheme="majorHAnsi" w:hAnsiTheme="majorHAnsi"/>
          <w:b/>
          <w:bCs/>
          <w:sz w:val="20"/>
          <w:szCs w:val="20"/>
          <w:lang w:val="es-419"/>
        </w:rPr>
        <w:tab/>
        <w:t>TRÁMITE ANTE LA CIDH</w:t>
      </w:r>
      <w:r w:rsidRPr="00FA3A3F">
        <w:rPr>
          <w:rStyle w:val="FootnoteReference"/>
          <w:rFonts w:ascii="Cambria" w:hAnsi="Cambria"/>
          <w:b/>
          <w:sz w:val="20"/>
          <w:szCs w:val="20"/>
          <w:lang w:val="es-4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B37C87" w:rsidRPr="00FA3A3F" w14:paraId="513F9FA9" w14:textId="77777777" w:rsidTr="00C02B7B">
        <w:tc>
          <w:tcPr>
            <w:tcW w:w="3600" w:type="dxa"/>
            <w:tcBorders>
              <w:top w:val="single" w:sz="6" w:space="0" w:color="auto"/>
              <w:bottom w:val="single" w:sz="6" w:space="0" w:color="auto"/>
            </w:tcBorders>
            <w:shd w:val="clear" w:color="auto" w:fill="386294"/>
            <w:vAlign w:val="center"/>
          </w:tcPr>
          <w:p w14:paraId="519DFCA6" w14:textId="77777777" w:rsidR="00B37C87" w:rsidRPr="00FA3A3F" w:rsidRDefault="00B37C87" w:rsidP="00C02B7B">
            <w:pPr>
              <w:jc w:val="center"/>
              <w:rPr>
                <w:rFonts w:ascii="Cambria" w:hAnsi="Cambria"/>
                <w:b/>
                <w:bCs/>
                <w:color w:val="FFFFFF" w:themeColor="background1"/>
                <w:sz w:val="20"/>
                <w:szCs w:val="20"/>
                <w:lang w:val="es-419"/>
              </w:rPr>
            </w:pPr>
            <w:r w:rsidRPr="00FA3A3F">
              <w:rPr>
                <w:rFonts w:ascii="Cambria" w:hAnsi="Cambria"/>
                <w:b/>
                <w:bCs/>
                <w:color w:val="FFFFFF" w:themeColor="background1"/>
                <w:sz w:val="20"/>
                <w:szCs w:val="20"/>
                <w:lang w:val="es-419"/>
              </w:rPr>
              <w:t>Presentación de la petición:</w:t>
            </w:r>
          </w:p>
        </w:tc>
        <w:tc>
          <w:tcPr>
            <w:tcW w:w="5760" w:type="dxa"/>
            <w:vAlign w:val="center"/>
          </w:tcPr>
          <w:p w14:paraId="34F25F52" w14:textId="77777777" w:rsidR="00B37C87" w:rsidRPr="00FA3A3F" w:rsidRDefault="00B37C87" w:rsidP="00C02B7B">
            <w:pPr>
              <w:jc w:val="both"/>
              <w:rPr>
                <w:rFonts w:ascii="Cambria" w:hAnsi="Cambria"/>
                <w:bCs/>
                <w:sz w:val="20"/>
                <w:szCs w:val="20"/>
                <w:lang w:val="es-419"/>
              </w:rPr>
            </w:pPr>
            <w:r>
              <w:rPr>
                <w:rFonts w:ascii="Cambria" w:hAnsi="Cambria"/>
                <w:bCs/>
                <w:sz w:val="20"/>
                <w:szCs w:val="20"/>
                <w:lang w:val="es-419"/>
              </w:rPr>
              <w:t>1 de mayo de 2014</w:t>
            </w:r>
          </w:p>
        </w:tc>
      </w:tr>
      <w:tr w:rsidR="00B37C87" w:rsidRPr="00FA3A3F" w14:paraId="569321E3" w14:textId="77777777" w:rsidTr="00C02B7B">
        <w:tc>
          <w:tcPr>
            <w:tcW w:w="3600" w:type="dxa"/>
            <w:tcBorders>
              <w:top w:val="single" w:sz="6" w:space="0" w:color="auto"/>
              <w:bottom w:val="single" w:sz="6" w:space="0" w:color="auto"/>
            </w:tcBorders>
            <w:shd w:val="clear" w:color="auto" w:fill="386294"/>
            <w:vAlign w:val="center"/>
          </w:tcPr>
          <w:p w14:paraId="10DCEC31" w14:textId="77777777" w:rsidR="00B37C87" w:rsidRPr="00FA3A3F" w:rsidRDefault="00B37C87" w:rsidP="00C02B7B">
            <w:pPr>
              <w:jc w:val="center"/>
              <w:rPr>
                <w:rFonts w:ascii="Cambria" w:hAnsi="Cambria"/>
                <w:b/>
                <w:bCs/>
                <w:color w:val="FFFFFF" w:themeColor="background1"/>
                <w:sz w:val="20"/>
                <w:szCs w:val="20"/>
                <w:lang w:val="es-419"/>
              </w:rPr>
            </w:pPr>
            <w:r w:rsidRPr="00FA3A3F">
              <w:rPr>
                <w:rFonts w:ascii="Cambria" w:hAnsi="Cambria"/>
                <w:b/>
                <w:color w:val="FFFFFF" w:themeColor="background1"/>
                <w:sz w:val="20"/>
                <w:szCs w:val="20"/>
                <w:lang w:val="es-419"/>
              </w:rPr>
              <w:t>Notificación de la petición al Estado:</w:t>
            </w:r>
          </w:p>
        </w:tc>
        <w:tc>
          <w:tcPr>
            <w:tcW w:w="5760" w:type="dxa"/>
            <w:vAlign w:val="center"/>
          </w:tcPr>
          <w:p w14:paraId="065DC675" w14:textId="77777777" w:rsidR="00B37C87" w:rsidRPr="00FA3A3F" w:rsidRDefault="00B37C87" w:rsidP="00C02B7B">
            <w:pPr>
              <w:jc w:val="both"/>
              <w:rPr>
                <w:rFonts w:ascii="Cambria" w:hAnsi="Cambria"/>
                <w:bCs/>
                <w:sz w:val="20"/>
                <w:szCs w:val="20"/>
                <w:lang w:val="es-419"/>
              </w:rPr>
            </w:pPr>
            <w:r>
              <w:rPr>
                <w:rFonts w:ascii="Cambria" w:hAnsi="Cambria"/>
                <w:bCs/>
                <w:sz w:val="20"/>
                <w:szCs w:val="20"/>
                <w:lang w:val="es-419"/>
              </w:rPr>
              <w:t>21 de octubre de 2019</w:t>
            </w:r>
          </w:p>
        </w:tc>
      </w:tr>
      <w:tr w:rsidR="00B37C87" w:rsidRPr="00FA3A3F" w14:paraId="79884F9A" w14:textId="77777777" w:rsidTr="00C02B7B">
        <w:tc>
          <w:tcPr>
            <w:tcW w:w="3600" w:type="dxa"/>
            <w:tcBorders>
              <w:top w:val="single" w:sz="6" w:space="0" w:color="auto"/>
              <w:bottom w:val="single" w:sz="6" w:space="0" w:color="auto"/>
            </w:tcBorders>
            <w:shd w:val="clear" w:color="auto" w:fill="386294"/>
            <w:vAlign w:val="center"/>
          </w:tcPr>
          <w:p w14:paraId="6587E1D2" w14:textId="77777777" w:rsidR="00B37C87" w:rsidRPr="00FA3A3F" w:rsidRDefault="00B37C87" w:rsidP="00C02B7B">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Solicitud de prórroga:</w:t>
            </w:r>
          </w:p>
        </w:tc>
        <w:tc>
          <w:tcPr>
            <w:tcW w:w="5760" w:type="dxa"/>
            <w:vAlign w:val="center"/>
          </w:tcPr>
          <w:p w14:paraId="28EF25C2" w14:textId="77777777" w:rsidR="00B37C87" w:rsidRDefault="00B37C87" w:rsidP="00C02B7B">
            <w:pPr>
              <w:jc w:val="both"/>
              <w:rPr>
                <w:rFonts w:ascii="Cambria" w:hAnsi="Cambria"/>
                <w:bCs/>
                <w:sz w:val="20"/>
                <w:szCs w:val="20"/>
                <w:lang w:val="es-419"/>
              </w:rPr>
            </w:pPr>
            <w:r>
              <w:rPr>
                <w:rFonts w:ascii="Cambria" w:hAnsi="Cambria"/>
                <w:bCs/>
                <w:sz w:val="20"/>
                <w:szCs w:val="20"/>
                <w:lang w:val="es-419"/>
              </w:rPr>
              <w:t>21 de enero de 2020</w:t>
            </w:r>
          </w:p>
        </w:tc>
      </w:tr>
      <w:tr w:rsidR="00B37C87" w:rsidRPr="00FA3A3F" w14:paraId="18F6E106" w14:textId="77777777" w:rsidTr="00C02B7B">
        <w:tc>
          <w:tcPr>
            <w:tcW w:w="3600" w:type="dxa"/>
            <w:tcBorders>
              <w:top w:val="single" w:sz="6" w:space="0" w:color="auto"/>
              <w:bottom w:val="single" w:sz="6" w:space="0" w:color="auto"/>
            </w:tcBorders>
            <w:shd w:val="clear" w:color="auto" w:fill="386294"/>
            <w:vAlign w:val="center"/>
          </w:tcPr>
          <w:p w14:paraId="7D62B5C3" w14:textId="77777777" w:rsidR="00B37C87" w:rsidRPr="00FA3A3F" w:rsidRDefault="00B37C87" w:rsidP="00C02B7B">
            <w:pPr>
              <w:jc w:val="center"/>
              <w:rPr>
                <w:rFonts w:ascii="Cambria" w:hAnsi="Cambria"/>
                <w:b/>
                <w:bCs/>
                <w:color w:val="FFFFFF" w:themeColor="background1"/>
                <w:sz w:val="20"/>
                <w:szCs w:val="20"/>
                <w:lang w:val="es-419"/>
              </w:rPr>
            </w:pPr>
            <w:r w:rsidRPr="00FA3A3F">
              <w:rPr>
                <w:rFonts w:ascii="Cambria" w:hAnsi="Cambria"/>
                <w:b/>
                <w:color w:val="FFFFFF" w:themeColor="background1"/>
                <w:sz w:val="20"/>
                <w:szCs w:val="20"/>
                <w:lang w:val="es-419"/>
              </w:rPr>
              <w:t>Primera respuesta del Estado:</w:t>
            </w:r>
          </w:p>
        </w:tc>
        <w:tc>
          <w:tcPr>
            <w:tcW w:w="5760" w:type="dxa"/>
            <w:vAlign w:val="center"/>
          </w:tcPr>
          <w:p w14:paraId="4EE3EC8E" w14:textId="77777777" w:rsidR="00B37C87" w:rsidRPr="00FA3A3F" w:rsidRDefault="00B37C87" w:rsidP="00C02B7B">
            <w:pPr>
              <w:jc w:val="both"/>
              <w:rPr>
                <w:rFonts w:ascii="Cambria" w:hAnsi="Cambria"/>
                <w:bCs/>
                <w:sz w:val="20"/>
                <w:szCs w:val="20"/>
                <w:lang w:val="es-419"/>
              </w:rPr>
            </w:pPr>
            <w:r>
              <w:rPr>
                <w:rFonts w:ascii="Cambria" w:hAnsi="Cambria"/>
                <w:bCs/>
                <w:sz w:val="20"/>
                <w:szCs w:val="20"/>
                <w:lang w:val="es-419"/>
              </w:rPr>
              <w:t>16 de septiembre de 2020</w:t>
            </w:r>
          </w:p>
        </w:tc>
      </w:tr>
      <w:tr w:rsidR="00B37C87" w:rsidRPr="00FA3A3F" w14:paraId="6B22C076" w14:textId="77777777" w:rsidTr="00C02B7B">
        <w:tc>
          <w:tcPr>
            <w:tcW w:w="3600" w:type="dxa"/>
            <w:tcBorders>
              <w:top w:val="single" w:sz="6" w:space="0" w:color="auto"/>
              <w:bottom w:val="single" w:sz="6" w:space="0" w:color="auto"/>
            </w:tcBorders>
            <w:shd w:val="clear" w:color="auto" w:fill="386294"/>
            <w:vAlign w:val="center"/>
          </w:tcPr>
          <w:p w14:paraId="52236A10" w14:textId="77777777" w:rsidR="00B37C87" w:rsidRPr="00FA3A3F" w:rsidRDefault="00B37C87" w:rsidP="00C02B7B">
            <w:pPr>
              <w:jc w:val="center"/>
              <w:rPr>
                <w:rFonts w:ascii="Cambria" w:hAnsi="Cambria"/>
                <w:b/>
                <w:color w:val="FFFFFF" w:themeColor="background1"/>
                <w:sz w:val="20"/>
                <w:szCs w:val="20"/>
                <w:lang w:val="es-419"/>
              </w:rPr>
            </w:pPr>
            <w:r w:rsidRPr="00FA3A3F">
              <w:rPr>
                <w:rFonts w:ascii="Cambria" w:hAnsi="Cambria"/>
                <w:b/>
                <w:color w:val="FFFFFF" w:themeColor="background1"/>
                <w:sz w:val="20"/>
                <w:szCs w:val="20"/>
                <w:lang w:val="es-419"/>
              </w:rPr>
              <w:t>Observaciones adicionales de la parte peticionaria:</w:t>
            </w:r>
          </w:p>
        </w:tc>
        <w:tc>
          <w:tcPr>
            <w:tcW w:w="5760" w:type="dxa"/>
            <w:vAlign w:val="center"/>
          </w:tcPr>
          <w:p w14:paraId="33A8BB35" w14:textId="77777777" w:rsidR="00B37C87" w:rsidRPr="00FA3A3F" w:rsidRDefault="00B37C87" w:rsidP="00C02B7B">
            <w:pPr>
              <w:jc w:val="both"/>
              <w:rPr>
                <w:rFonts w:ascii="Cambria" w:hAnsi="Cambria"/>
                <w:bCs/>
                <w:sz w:val="20"/>
                <w:szCs w:val="20"/>
                <w:lang w:val="es-419"/>
              </w:rPr>
            </w:pPr>
            <w:r>
              <w:rPr>
                <w:rFonts w:ascii="Cambria" w:hAnsi="Cambria"/>
                <w:bCs/>
                <w:sz w:val="20"/>
                <w:szCs w:val="20"/>
                <w:lang w:val="es-419"/>
              </w:rPr>
              <w:t>7 de noviembre de 2020</w:t>
            </w:r>
          </w:p>
        </w:tc>
      </w:tr>
      <w:tr w:rsidR="00B37C87" w:rsidRPr="00FA3A3F" w14:paraId="295F1F2D" w14:textId="77777777" w:rsidTr="00C02B7B">
        <w:tc>
          <w:tcPr>
            <w:tcW w:w="3600" w:type="dxa"/>
            <w:tcBorders>
              <w:top w:val="single" w:sz="6" w:space="0" w:color="auto"/>
              <w:bottom w:val="single" w:sz="6" w:space="0" w:color="auto"/>
            </w:tcBorders>
            <w:shd w:val="clear" w:color="auto" w:fill="386294"/>
            <w:vAlign w:val="center"/>
          </w:tcPr>
          <w:p w14:paraId="2F3E5166" w14:textId="77777777" w:rsidR="00B37C87" w:rsidRPr="00FA3A3F" w:rsidRDefault="00B37C87" w:rsidP="00C02B7B">
            <w:pPr>
              <w:jc w:val="center"/>
              <w:rPr>
                <w:rFonts w:ascii="Cambria" w:hAnsi="Cambria"/>
                <w:b/>
                <w:color w:val="FFFFFF" w:themeColor="background1"/>
                <w:sz w:val="20"/>
                <w:szCs w:val="20"/>
                <w:lang w:val="es-419"/>
              </w:rPr>
            </w:pPr>
            <w:r w:rsidRPr="00FA3A3F">
              <w:rPr>
                <w:rFonts w:ascii="Cambria" w:hAnsi="Cambria"/>
                <w:b/>
                <w:color w:val="FFFFFF" w:themeColor="background1"/>
                <w:sz w:val="20"/>
                <w:szCs w:val="20"/>
                <w:lang w:val="es-419"/>
              </w:rPr>
              <w:t>Observaciones adicionales del Estado:</w:t>
            </w:r>
          </w:p>
        </w:tc>
        <w:tc>
          <w:tcPr>
            <w:tcW w:w="5760" w:type="dxa"/>
            <w:vAlign w:val="center"/>
          </w:tcPr>
          <w:p w14:paraId="04C58A81" w14:textId="77777777" w:rsidR="00B37C87" w:rsidRPr="00FA3A3F" w:rsidRDefault="00B37C87" w:rsidP="00C02B7B">
            <w:pPr>
              <w:jc w:val="both"/>
              <w:rPr>
                <w:rFonts w:asciiTheme="majorHAnsi" w:hAnsiTheme="majorHAnsi"/>
                <w:bCs/>
                <w:sz w:val="20"/>
                <w:szCs w:val="20"/>
                <w:lang w:val="es-ES"/>
              </w:rPr>
            </w:pPr>
            <w:r>
              <w:rPr>
                <w:rFonts w:asciiTheme="majorHAnsi" w:hAnsiTheme="majorHAnsi"/>
                <w:bCs/>
                <w:sz w:val="20"/>
                <w:szCs w:val="20"/>
                <w:lang w:val="es-ES"/>
              </w:rPr>
              <w:t>17 de junio de 2021</w:t>
            </w:r>
          </w:p>
        </w:tc>
      </w:tr>
    </w:tbl>
    <w:p w14:paraId="413BD08C" w14:textId="77777777" w:rsidR="00B37C87" w:rsidRPr="00FA3A3F" w:rsidRDefault="00B37C87" w:rsidP="00B37C87">
      <w:pPr>
        <w:spacing w:before="240" w:after="240"/>
        <w:ind w:firstLine="720"/>
        <w:jc w:val="both"/>
        <w:rPr>
          <w:rFonts w:asciiTheme="majorHAnsi" w:hAnsiTheme="majorHAnsi"/>
          <w:b/>
          <w:bCs/>
          <w:sz w:val="20"/>
          <w:szCs w:val="20"/>
          <w:lang w:val="es-419"/>
        </w:rPr>
      </w:pPr>
      <w:r w:rsidRPr="00FA3A3F">
        <w:rPr>
          <w:rFonts w:asciiTheme="majorHAnsi" w:hAnsiTheme="majorHAnsi"/>
          <w:b/>
          <w:bCs/>
          <w:sz w:val="20"/>
          <w:szCs w:val="20"/>
          <w:lang w:val="es-419"/>
        </w:rPr>
        <w:t xml:space="preserve">III. </w:t>
      </w:r>
      <w:r w:rsidRPr="00FA3A3F">
        <w:rPr>
          <w:rFonts w:asciiTheme="majorHAnsi" w:hAnsiTheme="majorHAnsi"/>
          <w:b/>
          <w:bCs/>
          <w:sz w:val="20"/>
          <w:szCs w:val="20"/>
          <w:lang w:val="es-419"/>
        </w:rPr>
        <w:tab/>
        <w:t xml:space="preserve">COMPETENCIA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B37C87" w:rsidRPr="00FA3A3F" w14:paraId="73D186BE" w14:textId="77777777" w:rsidTr="00C02B7B">
        <w:trPr>
          <w:cantSplit/>
        </w:trPr>
        <w:tc>
          <w:tcPr>
            <w:tcW w:w="3561" w:type="dxa"/>
            <w:tcBorders>
              <w:top w:val="single" w:sz="4" w:space="0" w:color="auto"/>
              <w:bottom w:val="single" w:sz="6" w:space="0" w:color="auto"/>
            </w:tcBorders>
            <w:shd w:val="clear" w:color="auto" w:fill="386294"/>
            <w:vAlign w:val="center"/>
          </w:tcPr>
          <w:p w14:paraId="2EBC647A" w14:textId="77777777" w:rsidR="00B37C87" w:rsidRPr="00FA3A3F" w:rsidRDefault="00B37C87" w:rsidP="00C02B7B">
            <w:pPr>
              <w:jc w:val="center"/>
              <w:rPr>
                <w:rFonts w:ascii="Cambria" w:hAnsi="Cambria"/>
                <w:b/>
                <w:bCs/>
                <w:i/>
                <w:color w:val="FFFFFF" w:themeColor="background1"/>
                <w:sz w:val="20"/>
                <w:szCs w:val="20"/>
                <w:lang w:val="es-419"/>
              </w:rPr>
            </w:pPr>
            <w:r w:rsidRPr="00FA3A3F">
              <w:rPr>
                <w:rFonts w:ascii="Cambria" w:hAnsi="Cambria"/>
                <w:b/>
                <w:bCs/>
                <w:color w:val="FFFFFF" w:themeColor="background1"/>
                <w:sz w:val="20"/>
                <w:szCs w:val="20"/>
                <w:lang w:val="es-419"/>
              </w:rPr>
              <w:t>Competencia</w:t>
            </w:r>
            <w:r w:rsidRPr="00FA3A3F">
              <w:rPr>
                <w:rFonts w:ascii="Cambria" w:hAnsi="Cambria"/>
                <w:b/>
                <w:bCs/>
                <w:i/>
                <w:color w:val="FFFFFF" w:themeColor="background1"/>
                <w:sz w:val="20"/>
                <w:szCs w:val="20"/>
                <w:lang w:val="es-419"/>
              </w:rPr>
              <w:t xml:space="preserve"> Ratione personae:</w:t>
            </w:r>
          </w:p>
        </w:tc>
        <w:tc>
          <w:tcPr>
            <w:tcW w:w="5776" w:type="dxa"/>
            <w:vAlign w:val="center"/>
          </w:tcPr>
          <w:p w14:paraId="0C675917" w14:textId="77777777" w:rsidR="00B37C87" w:rsidRPr="00FA3A3F" w:rsidRDefault="00B37C87" w:rsidP="00C02B7B">
            <w:pPr>
              <w:rPr>
                <w:rFonts w:ascii="Cambria" w:hAnsi="Cambria"/>
                <w:bCs/>
                <w:sz w:val="20"/>
                <w:szCs w:val="20"/>
                <w:lang w:val="es-419"/>
              </w:rPr>
            </w:pPr>
            <w:r w:rsidRPr="00FA3A3F">
              <w:rPr>
                <w:rFonts w:ascii="Cambria" w:hAnsi="Cambria"/>
                <w:bCs/>
                <w:sz w:val="20"/>
                <w:szCs w:val="20"/>
                <w:lang w:val="es-419"/>
              </w:rPr>
              <w:t>Sí</w:t>
            </w:r>
          </w:p>
        </w:tc>
      </w:tr>
      <w:tr w:rsidR="00B37C87" w:rsidRPr="00FA3A3F" w14:paraId="0732B9E0" w14:textId="77777777" w:rsidTr="00C02B7B">
        <w:trPr>
          <w:cantSplit/>
        </w:trPr>
        <w:tc>
          <w:tcPr>
            <w:tcW w:w="3561" w:type="dxa"/>
            <w:tcBorders>
              <w:top w:val="single" w:sz="6" w:space="0" w:color="auto"/>
              <w:bottom w:val="single" w:sz="6" w:space="0" w:color="auto"/>
            </w:tcBorders>
            <w:shd w:val="clear" w:color="auto" w:fill="386294"/>
            <w:vAlign w:val="center"/>
          </w:tcPr>
          <w:p w14:paraId="482B1A7D" w14:textId="77777777" w:rsidR="00B37C87" w:rsidRPr="00FA3A3F" w:rsidRDefault="00B37C87" w:rsidP="00C02B7B">
            <w:pPr>
              <w:jc w:val="center"/>
              <w:rPr>
                <w:rFonts w:ascii="Cambria" w:hAnsi="Cambria"/>
                <w:b/>
                <w:bCs/>
                <w:color w:val="FFFFFF" w:themeColor="background1"/>
                <w:sz w:val="20"/>
                <w:szCs w:val="20"/>
                <w:lang w:val="es-419"/>
              </w:rPr>
            </w:pPr>
            <w:r w:rsidRPr="00FA3A3F">
              <w:rPr>
                <w:rFonts w:ascii="Cambria" w:hAnsi="Cambria"/>
                <w:b/>
                <w:bCs/>
                <w:color w:val="FFFFFF" w:themeColor="background1"/>
                <w:sz w:val="20"/>
                <w:szCs w:val="20"/>
                <w:lang w:val="es-419"/>
              </w:rPr>
              <w:t>Competencia</w:t>
            </w:r>
            <w:r w:rsidRPr="00FA3A3F">
              <w:rPr>
                <w:rFonts w:ascii="Cambria" w:hAnsi="Cambria"/>
                <w:b/>
                <w:bCs/>
                <w:i/>
                <w:color w:val="FFFFFF" w:themeColor="background1"/>
                <w:sz w:val="20"/>
                <w:szCs w:val="20"/>
                <w:lang w:val="es-419"/>
              </w:rPr>
              <w:t xml:space="preserve"> Ratione loci</w:t>
            </w:r>
            <w:r w:rsidRPr="00FA3A3F">
              <w:rPr>
                <w:rFonts w:ascii="Cambria" w:hAnsi="Cambria"/>
                <w:b/>
                <w:bCs/>
                <w:color w:val="FFFFFF" w:themeColor="background1"/>
                <w:sz w:val="20"/>
                <w:szCs w:val="20"/>
                <w:lang w:val="es-419"/>
              </w:rPr>
              <w:t>:</w:t>
            </w:r>
          </w:p>
        </w:tc>
        <w:tc>
          <w:tcPr>
            <w:tcW w:w="5776" w:type="dxa"/>
            <w:vAlign w:val="center"/>
          </w:tcPr>
          <w:p w14:paraId="38A403CE" w14:textId="77777777" w:rsidR="00B37C87" w:rsidRPr="00FA3A3F" w:rsidRDefault="00B37C87" w:rsidP="00C02B7B">
            <w:pPr>
              <w:rPr>
                <w:rFonts w:ascii="Cambria" w:hAnsi="Cambria"/>
                <w:bCs/>
                <w:sz w:val="20"/>
                <w:szCs w:val="20"/>
                <w:lang w:val="es-419"/>
              </w:rPr>
            </w:pPr>
            <w:r w:rsidRPr="00FA3A3F">
              <w:rPr>
                <w:rFonts w:ascii="Cambria" w:hAnsi="Cambria"/>
                <w:bCs/>
                <w:sz w:val="20"/>
                <w:szCs w:val="20"/>
                <w:lang w:val="es-419"/>
              </w:rPr>
              <w:t>Sí</w:t>
            </w:r>
          </w:p>
        </w:tc>
      </w:tr>
      <w:tr w:rsidR="00B37C87" w:rsidRPr="00FA3A3F" w14:paraId="344246FA" w14:textId="77777777" w:rsidTr="00C02B7B">
        <w:trPr>
          <w:cantSplit/>
        </w:trPr>
        <w:tc>
          <w:tcPr>
            <w:tcW w:w="3561" w:type="dxa"/>
            <w:tcBorders>
              <w:top w:val="single" w:sz="6" w:space="0" w:color="auto"/>
              <w:bottom w:val="single" w:sz="6" w:space="0" w:color="auto"/>
            </w:tcBorders>
            <w:shd w:val="clear" w:color="auto" w:fill="386294"/>
            <w:vAlign w:val="center"/>
          </w:tcPr>
          <w:p w14:paraId="40117727" w14:textId="77777777" w:rsidR="00B37C87" w:rsidRPr="00FA3A3F" w:rsidRDefault="00B37C87" w:rsidP="00C02B7B">
            <w:pPr>
              <w:jc w:val="center"/>
              <w:rPr>
                <w:rFonts w:ascii="Cambria" w:hAnsi="Cambria"/>
                <w:b/>
                <w:bCs/>
                <w:color w:val="FFFFFF" w:themeColor="background1"/>
                <w:sz w:val="20"/>
                <w:szCs w:val="20"/>
                <w:lang w:val="es-419"/>
              </w:rPr>
            </w:pPr>
            <w:r w:rsidRPr="00FA3A3F">
              <w:rPr>
                <w:rFonts w:ascii="Cambria" w:hAnsi="Cambria"/>
                <w:b/>
                <w:bCs/>
                <w:color w:val="FFFFFF" w:themeColor="background1"/>
                <w:sz w:val="20"/>
                <w:szCs w:val="20"/>
                <w:lang w:val="es-419"/>
              </w:rPr>
              <w:t>Competencia</w:t>
            </w:r>
            <w:r w:rsidRPr="00FA3A3F">
              <w:rPr>
                <w:rFonts w:ascii="Cambria" w:hAnsi="Cambria"/>
                <w:b/>
                <w:bCs/>
                <w:i/>
                <w:color w:val="FFFFFF" w:themeColor="background1"/>
                <w:sz w:val="20"/>
                <w:szCs w:val="20"/>
                <w:lang w:val="es-419"/>
              </w:rPr>
              <w:t xml:space="preserve"> Ratione temporis</w:t>
            </w:r>
            <w:r w:rsidRPr="00FA3A3F">
              <w:rPr>
                <w:rFonts w:ascii="Cambria" w:hAnsi="Cambria"/>
                <w:b/>
                <w:bCs/>
                <w:color w:val="FFFFFF" w:themeColor="background1"/>
                <w:sz w:val="20"/>
                <w:szCs w:val="20"/>
                <w:lang w:val="es-419"/>
              </w:rPr>
              <w:t>:</w:t>
            </w:r>
          </w:p>
        </w:tc>
        <w:tc>
          <w:tcPr>
            <w:tcW w:w="5776" w:type="dxa"/>
            <w:vAlign w:val="center"/>
          </w:tcPr>
          <w:p w14:paraId="7914F685" w14:textId="77777777" w:rsidR="00B37C87" w:rsidRPr="00FA3A3F" w:rsidRDefault="00B37C87" w:rsidP="00C02B7B">
            <w:pPr>
              <w:rPr>
                <w:rFonts w:ascii="Cambria" w:hAnsi="Cambria"/>
                <w:bCs/>
                <w:sz w:val="20"/>
                <w:szCs w:val="20"/>
                <w:lang w:val="es-419"/>
              </w:rPr>
            </w:pPr>
            <w:r w:rsidRPr="00FA3A3F">
              <w:rPr>
                <w:rFonts w:ascii="Cambria" w:hAnsi="Cambria"/>
                <w:bCs/>
                <w:sz w:val="20"/>
                <w:szCs w:val="20"/>
                <w:lang w:val="es-419"/>
              </w:rPr>
              <w:t>Sí</w:t>
            </w:r>
          </w:p>
        </w:tc>
      </w:tr>
      <w:tr w:rsidR="00B37C87" w:rsidRPr="0004759E" w14:paraId="6F16DD15" w14:textId="77777777" w:rsidTr="00C02B7B">
        <w:trPr>
          <w:cantSplit/>
        </w:trPr>
        <w:tc>
          <w:tcPr>
            <w:tcW w:w="3561" w:type="dxa"/>
            <w:tcBorders>
              <w:top w:val="single" w:sz="6" w:space="0" w:color="auto"/>
              <w:bottom w:val="single" w:sz="6" w:space="0" w:color="auto"/>
            </w:tcBorders>
            <w:shd w:val="clear" w:color="auto" w:fill="386294"/>
            <w:vAlign w:val="center"/>
          </w:tcPr>
          <w:p w14:paraId="6DA9A5A1" w14:textId="77777777" w:rsidR="00B37C87" w:rsidRPr="00FA3A3F" w:rsidRDefault="00B37C87" w:rsidP="00C02B7B">
            <w:pPr>
              <w:jc w:val="center"/>
              <w:rPr>
                <w:rFonts w:ascii="Cambria" w:hAnsi="Cambria"/>
                <w:b/>
                <w:bCs/>
                <w:color w:val="FFFFFF" w:themeColor="background1"/>
                <w:sz w:val="20"/>
                <w:szCs w:val="20"/>
                <w:lang w:val="es-419"/>
              </w:rPr>
            </w:pPr>
            <w:r w:rsidRPr="00FA3A3F">
              <w:rPr>
                <w:rFonts w:ascii="Cambria" w:hAnsi="Cambria"/>
                <w:b/>
                <w:bCs/>
                <w:color w:val="FFFFFF" w:themeColor="background1"/>
                <w:sz w:val="20"/>
                <w:szCs w:val="20"/>
                <w:lang w:val="es-419"/>
              </w:rPr>
              <w:t>Competencia</w:t>
            </w:r>
            <w:r w:rsidRPr="00FA3A3F">
              <w:rPr>
                <w:rFonts w:ascii="Cambria" w:hAnsi="Cambria"/>
                <w:b/>
                <w:bCs/>
                <w:i/>
                <w:color w:val="FFFFFF" w:themeColor="background1"/>
                <w:sz w:val="20"/>
                <w:szCs w:val="20"/>
                <w:lang w:val="es-419"/>
              </w:rPr>
              <w:t xml:space="preserve"> Ratione materiae</w:t>
            </w:r>
            <w:r w:rsidRPr="00FA3A3F">
              <w:rPr>
                <w:rFonts w:ascii="Cambria" w:hAnsi="Cambria"/>
                <w:b/>
                <w:bCs/>
                <w:color w:val="FFFFFF" w:themeColor="background1"/>
                <w:sz w:val="20"/>
                <w:szCs w:val="20"/>
                <w:lang w:val="es-419"/>
              </w:rPr>
              <w:t>:</w:t>
            </w:r>
          </w:p>
        </w:tc>
        <w:tc>
          <w:tcPr>
            <w:tcW w:w="5776" w:type="dxa"/>
            <w:vAlign w:val="center"/>
          </w:tcPr>
          <w:p w14:paraId="20441643" w14:textId="77777777" w:rsidR="00B37C87" w:rsidRPr="00FA3A3F" w:rsidRDefault="00B37C87" w:rsidP="00C02B7B">
            <w:pPr>
              <w:jc w:val="both"/>
              <w:rPr>
                <w:rFonts w:ascii="Cambria" w:hAnsi="Cambria"/>
                <w:bCs/>
                <w:sz w:val="20"/>
                <w:szCs w:val="20"/>
                <w:lang w:val="es-ES"/>
              </w:rPr>
            </w:pPr>
            <w:r w:rsidRPr="00FA3A3F">
              <w:rPr>
                <w:rFonts w:ascii="Cambria" w:hAnsi="Cambria"/>
                <w:bCs/>
                <w:sz w:val="20"/>
                <w:szCs w:val="20"/>
                <w:lang w:val="es-419" w:bidi="es-ES"/>
              </w:rPr>
              <w:t xml:space="preserve">Sí, la Convención Americana (depósito de instrumento realizado el 31 de julio de 1973) </w:t>
            </w:r>
          </w:p>
        </w:tc>
      </w:tr>
    </w:tbl>
    <w:p w14:paraId="5B2C592D" w14:textId="77777777" w:rsidR="00B37C87" w:rsidRPr="00FA3A3F" w:rsidRDefault="00B37C87" w:rsidP="00B37C87">
      <w:pPr>
        <w:spacing w:before="240" w:after="240"/>
        <w:ind w:firstLine="720"/>
        <w:jc w:val="both"/>
        <w:rPr>
          <w:rFonts w:asciiTheme="majorHAnsi" w:hAnsiTheme="majorHAnsi"/>
          <w:b/>
          <w:bCs/>
          <w:sz w:val="20"/>
          <w:szCs w:val="20"/>
          <w:lang w:val="es-419"/>
        </w:rPr>
      </w:pPr>
      <w:r w:rsidRPr="00FA3A3F">
        <w:rPr>
          <w:rFonts w:asciiTheme="majorHAnsi" w:hAnsiTheme="majorHAnsi"/>
          <w:b/>
          <w:bCs/>
          <w:sz w:val="20"/>
          <w:szCs w:val="20"/>
          <w:lang w:val="es-419"/>
        </w:rPr>
        <w:t xml:space="preserve">IV. </w:t>
      </w:r>
      <w:r w:rsidRPr="00FA3A3F">
        <w:rPr>
          <w:rFonts w:asciiTheme="majorHAnsi" w:hAnsiTheme="majorHAnsi"/>
          <w:b/>
          <w:bCs/>
          <w:sz w:val="20"/>
          <w:szCs w:val="20"/>
          <w:lang w:val="es-419"/>
        </w:rPr>
        <w:tab/>
        <w:t>DUPLICACIÓN</w:t>
      </w:r>
      <w:r w:rsidRPr="00FA3A3F">
        <w:rPr>
          <w:rFonts w:asciiTheme="majorHAnsi" w:hAnsiTheme="majorHAnsi"/>
          <w:b/>
          <w:bCs/>
          <w:color w:val="FFFFFF" w:themeColor="background1"/>
          <w:sz w:val="20"/>
          <w:szCs w:val="20"/>
          <w:lang w:val="es-419"/>
        </w:rPr>
        <w:t xml:space="preserve"> </w:t>
      </w:r>
      <w:r w:rsidRPr="00FA3A3F">
        <w:rPr>
          <w:rFonts w:asciiTheme="majorHAnsi" w:hAnsiTheme="majorHAnsi"/>
          <w:b/>
          <w:bCs/>
          <w:sz w:val="20"/>
          <w:szCs w:val="20"/>
          <w:lang w:val="es-419"/>
        </w:rPr>
        <w:t>DE PROCEDIMIENTOS Y COSA JUZGADA</w:t>
      </w:r>
      <w:r w:rsidRPr="00FA3A3F">
        <w:rPr>
          <w:rFonts w:asciiTheme="majorHAnsi" w:hAnsiTheme="majorHAnsi"/>
          <w:b/>
          <w:bCs/>
          <w:i/>
          <w:sz w:val="20"/>
          <w:szCs w:val="20"/>
          <w:lang w:val="es-419"/>
        </w:rPr>
        <w:t xml:space="preserve"> </w:t>
      </w:r>
      <w:r w:rsidRPr="00FA3A3F">
        <w:rPr>
          <w:rFonts w:asciiTheme="majorHAnsi" w:hAnsiTheme="majorHAnsi"/>
          <w:b/>
          <w:bCs/>
          <w:sz w:val="20"/>
          <w:szCs w:val="20"/>
          <w:lang w:val="es-419"/>
        </w:rPr>
        <w:t xml:space="preserve">INTERNACIONAL, CARACTERIZACIÓN, </w:t>
      </w:r>
      <w:r w:rsidRPr="00FA3A3F">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B37C87" w:rsidRPr="00FA3A3F" w14:paraId="4D9716F1" w14:textId="77777777" w:rsidTr="00C02B7B">
        <w:trPr>
          <w:cantSplit/>
        </w:trPr>
        <w:tc>
          <w:tcPr>
            <w:tcW w:w="3566" w:type="dxa"/>
            <w:tcBorders>
              <w:top w:val="single" w:sz="4" w:space="0" w:color="auto"/>
              <w:bottom w:val="single" w:sz="6" w:space="0" w:color="auto"/>
            </w:tcBorders>
            <w:shd w:val="clear" w:color="auto" w:fill="386294"/>
            <w:vAlign w:val="center"/>
          </w:tcPr>
          <w:p w14:paraId="4F65F893" w14:textId="77777777" w:rsidR="00B37C87" w:rsidRPr="00FA3A3F" w:rsidRDefault="00B37C87" w:rsidP="00C02B7B">
            <w:pPr>
              <w:jc w:val="center"/>
              <w:rPr>
                <w:rFonts w:ascii="Cambria" w:hAnsi="Cambria"/>
                <w:b/>
                <w:bCs/>
                <w:color w:val="FFFFFF" w:themeColor="background1"/>
                <w:sz w:val="20"/>
                <w:szCs w:val="20"/>
                <w:lang w:val="es-419"/>
              </w:rPr>
            </w:pPr>
            <w:r w:rsidRPr="00FA3A3F">
              <w:rPr>
                <w:rFonts w:ascii="Cambria" w:hAnsi="Cambria"/>
                <w:b/>
                <w:bCs/>
                <w:color w:val="FFFFFF" w:themeColor="background1"/>
                <w:sz w:val="20"/>
                <w:szCs w:val="20"/>
                <w:lang w:val="es-419"/>
              </w:rPr>
              <w:t>Duplicación de procedimientos y cosa juzgada internacional:</w:t>
            </w:r>
          </w:p>
        </w:tc>
        <w:tc>
          <w:tcPr>
            <w:tcW w:w="5771" w:type="dxa"/>
            <w:vAlign w:val="center"/>
          </w:tcPr>
          <w:p w14:paraId="15FE0874" w14:textId="77777777" w:rsidR="00B37C87" w:rsidRPr="00FA3A3F" w:rsidRDefault="00B37C87" w:rsidP="00C02B7B">
            <w:pPr>
              <w:jc w:val="both"/>
              <w:rPr>
                <w:rFonts w:ascii="Cambria" w:hAnsi="Cambria"/>
                <w:bCs/>
                <w:sz w:val="20"/>
                <w:szCs w:val="20"/>
                <w:lang w:val="es-419"/>
              </w:rPr>
            </w:pPr>
            <w:r w:rsidRPr="00FA3A3F">
              <w:rPr>
                <w:rFonts w:ascii="Cambria" w:hAnsi="Cambria"/>
                <w:bCs/>
                <w:sz w:val="20"/>
                <w:szCs w:val="20"/>
                <w:lang w:val="es-419"/>
              </w:rPr>
              <w:t>No</w:t>
            </w:r>
          </w:p>
        </w:tc>
      </w:tr>
      <w:tr w:rsidR="00B37C87" w:rsidRPr="00DC0B0B" w14:paraId="1C3F8439" w14:textId="77777777" w:rsidTr="00C02B7B">
        <w:trPr>
          <w:cantSplit/>
        </w:trPr>
        <w:tc>
          <w:tcPr>
            <w:tcW w:w="3566" w:type="dxa"/>
            <w:tcBorders>
              <w:top w:val="single" w:sz="4" w:space="0" w:color="auto"/>
              <w:bottom w:val="single" w:sz="6" w:space="0" w:color="auto"/>
            </w:tcBorders>
            <w:shd w:val="clear" w:color="auto" w:fill="386294"/>
            <w:vAlign w:val="center"/>
          </w:tcPr>
          <w:p w14:paraId="3857FC5C" w14:textId="77777777" w:rsidR="00B37C87" w:rsidRPr="00FA3A3F" w:rsidRDefault="00B37C87" w:rsidP="00C02B7B">
            <w:pPr>
              <w:jc w:val="center"/>
              <w:rPr>
                <w:rFonts w:ascii="Cambria" w:hAnsi="Cambria"/>
                <w:b/>
                <w:bCs/>
                <w:i/>
                <w:color w:val="FFFFFF" w:themeColor="background1"/>
                <w:sz w:val="20"/>
                <w:szCs w:val="20"/>
                <w:lang w:val="es-419"/>
              </w:rPr>
            </w:pPr>
            <w:r w:rsidRPr="00FA3A3F">
              <w:rPr>
                <w:rFonts w:ascii="Cambria" w:hAnsi="Cambria"/>
                <w:b/>
                <w:bCs/>
                <w:color w:val="FFFFFF" w:themeColor="background1"/>
                <w:sz w:val="20"/>
                <w:szCs w:val="20"/>
                <w:lang w:val="es-419"/>
              </w:rPr>
              <w:t>Derechos declarados admisibles</w:t>
            </w:r>
            <w:r w:rsidRPr="00FA3A3F">
              <w:rPr>
                <w:rFonts w:ascii="Cambria" w:hAnsi="Cambria"/>
                <w:b/>
                <w:bCs/>
                <w:i/>
                <w:color w:val="FFFFFF" w:themeColor="background1"/>
                <w:sz w:val="20"/>
                <w:szCs w:val="20"/>
                <w:lang w:val="es-419"/>
              </w:rPr>
              <w:t>:</w:t>
            </w:r>
          </w:p>
        </w:tc>
        <w:tc>
          <w:tcPr>
            <w:tcW w:w="5771" w:type="dxa"/>
            <w:vAlign w:val="center"/>
          </w:tcPr>
          <w:p w14:paraId="227922FA" w14:textId="77777777" w:rsidR="00B37C87" w:rsidRPr="00FA3A3F" w:rsidRDefault="00B37C87" w:rsidP="00C02B7B">
            <w:pPr>
              <w:jc w:val="both"/>
              <w:rPr>
                <w:rFonts w:ascii="Cambria" w:hAnsi="Cambria"/>
                <w:bCs/>
                <w:sz w:val="20"/>
                <w:szCs w:val="20"/>
                <w:lang w:val="es-ES"/>
              </w:rPr>
            </w:pPr>
            <w:r w:rsidRPr="00FC20DB">
              <w:rPr>
                <w:rFonts w:ascii="Cambria" w:hAnsi="Cambria"/>
                <w:bCs/>
                <w:sz w:val="20"/>
                <w:szCs w:val="20"/>
                <w:lang w:val="es-ES" w:bidi="es-ES"/>
              </w:rPr>
              <w:t>Ninguno</w:t>
            </w:r>
          </w:p>
        </w:tc>
      </w:tr>
      <w:tr w:rsidR="00B37C87" w:rsidRPr="0004759E" w14:paraId="1A1DE0E2" w14:textId="77777777" w:rsidTr="00C02B7B">
        <w:trPr>
          <w:cantSplit/>
        </w:trPr>
        <w:tc>
          <w:tcPr>
            <w:tcW w:w="3566" w:type="dxa"/>
            <w:tcBorders>
              <w:top w:val="single" w:sz="6" w:space="0" w:color="auto"/>
              <w:bottom w:val="single" w:sz="6" w:space="0" w:color="auto"/>
            </w:tcBorders>
            <w:shd w:val="clear" w:color="auto" w:fill="386294"/>
            <w:vAlign w:val="center"/>
          </w:tcPr>
          <w:p w14:paraId="4BC04969" w14:textId="77777777" w:rsidR="00B37C87" w:rsidRPr="00FA3A3F" w:rsidRDefault="00B37C87" w:rsidP="00C02B7B">
            <w:pPr>
              <w:jc w:val="center"/>
              <w:rPr>
                <w:rFonts w:ascii="Cambria" w:hAnsi="Cambria"/>
                <w:b/>
                <w:bCs/>
                <w:color w:val="FFFFFF" w:themeColor="background1"/>
                <w:sz w:val="20"/>
                <w:szCs w:val="20"/>
                <w:lang w:val="es-419"/>
              </w:rPr>
            </w:pPr>
            <w:r w:rsidRPr="00FA3A3F">
              <w:rPr>
                <w:rFonts w:ascii="Cambria" w:hAnsi="Cambria"/>
                <w:b/>
                <w:bCs/>
                <w:color w:val="FFFFFF" w:themeColor="background1"/>
                <w:sz w:val="20"/>
                <w:szCs w:val="20"/>
                <w:lang w:val="es-419"/>
              </w:rPr>
              <w:t>Agotamiento de recursos internos o procedencia de una excepción:</w:t>
            </w:r>
          </w:p>
        </w:tc>
        <w:tc>
          <w:tcPr>
            <w:tcW w:w="5771" w:type="dxa"/>
            <w:vAlign w:val="center"/>
          </w:tcPr>
          <w:p w14:paraId="2ACD1EA8" w14:textId="77777777" w:rsidR="00B37C87" w:rsidRPr="00FA3A3F" w:rsidRDefault="00B37C87" w:rsidP="00C02B7B">
            <w:pPr>
              <w:rPr>
                <w:rFonts w:ascii="Cambria" w:hAnsi="Cambria"/>
                <w:bCs/>
                <w:sz w:val="20"/>
                <w:szCs w:val="20"/>
                <w:lang w:val="es-419"/>
              </w:rPr>
            </w:pPr>
            <w:r w:rsidRPr="00FA3A3F">
              <w:rPr>
                <w:rFonts w:ascii="Cambria" w:hAnsi="Cambria"/>
                <w:bCs/>
                <w:sz w:val="20"/>
                <w:szCs w:val="20"/>
                <w:lang w:val="es-419" w:bidi="es-ES"/>
              </w:rPr>
              <w:t>Sí, en los términos de la Sección VI</w:t>
            </w:r>
          </w:p>
        </w:tc>
      </w:tr>
      <w:tr w:rsidR="00B37C87" w:rsidRPr="0004759E" w14:paraId="59EBF383" w14:textId="77777777" w:rsidTr="00C02B7B">
        <w:trPr>
          <w:cantSplit/>
        </w:trPr>
        <w:tc>
          <w:tcPr>
            <w:tcW w:w="3566" w:type="dxa"/>
            <w:tcBorders>
              <w:top w:val="single" w:sz="6" w:space="0" w:color="auto"/>
              <w:bottom w:val="single" w:sz="6" w:space="0" w:color="auto"/>
            </w:tcBorders>
            <w:shd w:val="clear" w:color="auto" w:fill="386294"/>
            <w:vAlign w:val="center"/>
          </w:tcPr>
          <w:p w14:paraId="07490D61" w14:textId="77777777" w:rsidR="00B37C87" w:rsidRPr="00FA3A3F" w:rsidRDefault="00B37C87" w:rsidP="00C02B7B">
            <w:pPr>
              <w:jc w:val="center"/>
              <w:rPr>
                <w:rFonts w:ascii="Cambria" w:hAnsi="Cambria"/>
                <w:b/>
                <w:bCs/>
                <w:color w:val="FFFFFF" w:themeColor="background1"/>
                <w:sz w:val="20"/>
                <w:szCs w:val="20"/>
                <w:lang w:val="es-419"/>
              </w:rPr>
            </w:pPr>
            <w:r w:rsidRPr="00FA3A3F">
              <w:rPr>
                <w:rFonts w:ascii="Cambria" w:hAnsi="Cambria"/>
                <w:b/>
                <w:bCs/>
                <w:color w:val="FFFFFF" w:themeColor="background1"/>
                <w:sz w:val="20"/>
                <w:szCs w:val="20"/>
                <w:lang w:val="es-419"/>
              </w:rPr>
              <w:t>Presentación dentro de plazo:</w:t>
            </w:r>
          </w:p>
        </w:tc>
        <w:tc>
          <w:tcPr>
            <w:tcW w:w="5771" w:type="dxa"/>
            <w:vAlign w:val="center"/>
          </w:tcPr>
          <w:p w14:paraId="1892FC76" w14:textId="77777777" w:rsidR="00B37C87" w:rsidRPr="00FA3A3F" w:rsidRDefault="00B37C87" w:rsidP="00C02B7B">
            <w:pPr>
              <w:rPr>
                <w:rFonts w:ascii="Cambria" w:hAnsi="Cambria"/>
                <w:bCs/>
                <w:sz w:val="20"/>
                <w:szCs w:val="20"/>
                <w:lang w:val="es-419"/>
              </w:rPr>
            </w:pPr>
            <w:r w:rsidRPr="00FA3A3F">
              <w:rPr>
                <w:rFonts w:ascii="Cambria" w:hAnsi="Cambria"/>
                <w:bCs/>
                <w:sz w:val="20"/>
                <w:szCs w:val="20"/>
                <w:lang w:val="es-419" w:bidi="es-ES"/>
              </w:rPr>
              <w:t>Sí, en los términos de la Sección VI</w:t>
            </w:r>
          </w:p>
        </w:tc>
      </w:tr>
    </w:tbl>
    <w:p w14:paraId="4BE9CEB7" w14:textId="77777777" w:rsidR="00B37C87" w:rsidRPr="00AD40BB" w:rsidRDefault="00B37C87" w:rsidP="00B37C87">
      <w:pPr>
        <w:spacing w:before="240" w:after="240"/>
        <w:ind w:firstLine="720"/>
        <w:jc w:val="both"/>
        <w:rPr>
          <w:rFonts w:asciiTheme="majorHAnsi" w:hAnsiTheme="majorHAnsi"/>
          <w:b/>
          <w:sz w:val="20"/>
          <w:szCs w:val="20"/>
          <w:lang w:val="es-ES_tradnl"/>
        </w:rPr>
      </w:pPr>
      <w:r w:rsidRPr="00FA3A3F">
        <w:rPr>
          <w:rFonts w:asciiTheme="majorHAnsi" w:hAnsiTheme="majorHAnsi"/>
          <w:b/>
          <w:sz w:val="20"/>
          <w:szCs w:val="20"/>
          <w:lang w:val="es-419"/>
        </w:rPr>
        <w:t xml:space="preserve">V. </w:t>
      </w:r>
      <w:r w:rsidRPr="00FA3A3F">
        <w:rPr>
          <w:rFonts w:asciiTheme="majorHAnsi" w:hAnsiTheme="majorHAnsi"/>
          <w:b/>
          <w:sz w:val="20"/>
          <w:szCs w:val="20"/>
          <w:lang w:val="es-419"/>
        </w:rPr>
        <w:tab/>
      </w:r>
      <w:r w:rsidRPr="00AD40BB">
        <w:rPr>
          <w:rFonts w:asciiTheme="majorHAnsi" w:hAnsiTheme="majorHAnsi"/>
          <w:b/>
          <w:sz w:val="20"/>
          <w:szCs w:val="20"/>
          <w:lang w:val="es-ES_tradnl"/>
        </w:rPr>
        <w:t xml:space="preserve">POSICIÓN DE LAS PARTES </w:t>
      </w:r>
    </w:p>
    <w:p w14:paraId="63AC326C" w14:textId="77777777" w:rsidR="00B37C87" w:rsidRPr="00AD40BB" w:rsidRDefault="00B37C87" w:rsidP="00B37C8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_tradnl"/>
        </w:rPr>
      </w:pPr>
      <w:r w:rsidRPr="00AD40BB">
        <w:rPr>
          <w:rFonts w:asciiTheme="majorHAnsi" w:hAnsiTheme="majorHAnsi"/>
          <w:i/>
          <w:iCs/>
          <w:sz w:val="20"/>
          <w:szCs w:val="20"/>
          <w:lang w:val="es-ES_tradnl"/>
        </w:rPr>
        <w:t>Posición del peticionario</w:t>
      </w:r>
    </w:p>
    <w:p w14:paraId="6017414F" w14:textId="77777777" w:rsidR="00B37C87" w:rsidRDefault="00B37C87" w:rsidP="00B37C8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t>El peticionario y presunta víctima alega violaciones al debido proceso y a otros derechos durante los procesos judiciales internos, porque luego de una demanda colectiva exitosa en primera instancia, ganando un incentivo económico legal, en segunda instancia, el tribunal eliminó este incentivo porque la ley correspondiente fue derogada durante el trámite entre ambas sentencias. El peticionario plantea que la norma derogadora no era aplicable.</w:t>
      </w:r>
    </w:p>
    <w:p w14:paraId="77315900" w14:textId="77777777" w:rsidR="00B37C87" w:rsidRPr="00B1475B" w:rsidRDefault="00B37C87" w:rsidP="00B37C8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
          <w:szCs w:val="2"/>
          <w:lang w:val="es-ES_tradnl"/>
        </w:rPr>
      </w:pPr>
    </w:p>
    <w:p w14:paraId="3B304505" w14:textId="77777777" w:rsidR="00B37C87" w:rsidRPr="00AD40BB" w:rsidRDefault="00B37C87" w:rsidP="00B37C87">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lastRenderedPageBreak/>
        <w:t>El peticionario narra que en 1998 el Estado promulgó la ley 472, que reconoció en su artículo 39 un incentivo económico para quienes presentaran acciones populares</w:t>
      </w:r>
      <w:r w:rsidRPr="00AD40BB">
        <w:rPr>
          <w:bCs/>
          <w:sz w:val="20"/>
          <w:szCs w:val="20"/>
          <w:vertAlign w:val="superscript"/>
          <w:lang w:val="es-ES_tradnl" w:bidi="es-ES"/>
        </w:rPr>
        <w:footnoteReference w:id="5"/>
      </w:r>
      <w:r w:rsidRPr="00AD40BB">
        <w:rPr>
          <w:rFonts w:asciiTheme="majorHAnsi" w:hAnsiTheme="majorHAnsi"/>
          <w:sz w:val="20"/>
          <w:szCs w:val="20"/>
          <w:lang w:val="es-ES_tradnl"/>
        </w:rPr>
        <w:t xml:space="preserve">. Al amparo de esta ley, el Sr. Sanjuan Arévalo interpuso una acción popular ante el Juzgado Tercero Administrativo de Neiva-Huila con el objetivo de amparar derechos colectivos de los habitantes de dos municipios, Yaguará e Iquira, a causa de la parálisis de las obras de construcción de un acueducto (radicado 33-31-003-2008-00403-00). </w:t>
      </w:r>
    </w:p>
    <w:p w14:paraId="45D49992" w14:textId="77777777" w:rsidR="00B37C87" w:rsidRPr="00AD40BB" w:rsidRDefault="00B37C87" w:rsidP="00B37C87">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t>El 21 de abril de 2010 el Juzgado emitió fallo favorable reconociendo la protección de los derechos colectivos, así como el incentivo económico al actor de la acción, el Sr. Fariel Sanjuan Arévalo, de diez salarios mínimos legales mensuales vigentes ($ 5,150,000 COP, o aproximadamente USD$. 1,349.40 al momento de los hechos</w:t>
      </w:r>
      <w:r w:rsidRPr="00AD40BB">
        <w:rPr>
          <w:bCs/>
          <w:sz w:val="20"/>
          <w:szCs w:val="20"/>
          <w:vertAlign w:val="superscript"/>
          <w:lang w:val="es-ES_tradnl" w:bidi="es-ES"/>
        </w:rPr>
        <w:footnoteReference w:id="6"/>
      </w:r>
      <w:r w:rsidRPr="00AD40BB">
        <w:rPr>
          <w:rFonts w:asciiTheme="majorHAnsi" w:hAnsiTheme="majorHAnsi"/>
          <w:sz w:val="20"/>
          <w:szCs w:val="20"/>
          <w:lang w:val="es-ES_tradnl"/>
        </w:rPr>
        <w:t>).</w:t>
      </w:r>
    </w:p>
    <w:p w14:paraId="08145E31" w14:textId="77777777" w:rsidR="00B37C87" w:rsidRPr="00AD40BB" w:rsidRDefault="00B37C87" w:rsidP="00B37C87">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t>Sin embargo, el municipio de Iquira apeló la decisión. Durante el trámite del recurso de apelación, la norma del artículo 39 de la ley 472 fue derogada. Así, el 28 de enero de 2011 el Tribunal Contencioso-Administrativo de Huila confirmó el fallo de primera instancia en lo referente a los derechos colectivos involucrados, pero revocó lo relacionado con el incentivo económico en virtud de la derogación de la norma.</w:t>
      </w:r>
    </w:p>
    <w:p w14:paraId="106E43B6" w14:textId="77777777" w:rsidR="00B37C87" w:rsidRPr="00AD40BB" w:rsidRDefault="00B37C87" w:rsidP="00B37C87">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t>El peticionario considera que esta decisión vulneró su derecho al debido proceso y a la igualdad ante la ley, toda vez que el artículo 164 de la Ley 446 de 1998 establecía que, “</w:t>
      </w:r>
      <w:r w:rsidRPr="00AD40BB">
        <w:rPr>
          <w:rFonts w:asciiTheme="majorHAnsi" w:hAnsiTheme="majorHAnsi"/>
          <w:i/>
          <w:iCs/>
          <w:sz w:val="20"/>
          <w:szCs w:val="20"/>
          <w:lang w:val="es-ES_tradnl"/>
        </w:rPr>
        <w:t>en los procesos iniciados ante la jurisdicción contencioso administrativa, los recursos interpuestos, la práctica de pruebas decretadas, los términos que hubieren comenzado a correr, los incidentes en curso, y las notificaciones y citaciones que se estén surtiendo se regirán por la ley vigente cuando se interpuso el recurso</w:t>
      </w:r>
      <w:r w:rsidRPr="00AD40BB">
        <w:rPr>
          <w:rFonts w:asciiTheme="majorHAnsi" w:hAnsiTheme="majorHAnsi"/>
          <w:sz w:val="20"/>
          <w:szCs w:val="20"/>
          <w:lang w:val="es-ES_tradnl"/>
        </w:rPr>
        <w:t xml:space="preserve">”. Con base en este argumento, interpuso una acción de tutela contra el Tribunal Contencioso-Administrativo de Huila, solicitando la protección de sus derechos al debido proceso, libre determinación e igualdad. </w:t>
      </w:r>
    </w:p>
    <w:p w14:paraId="712862A6" w14:textId="77777777" w:rsidR="00B37C87" w:rsidRPr="00AD40BB" w:rsidRDefault="00B37C87" w:rsidP="00B37C87">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t>El 26 de mayo de 2011 el Consejo de Estado, Sección Segunda, consideró improcedente la acción, porque el asunto no tenía relevancia constitucional y no involucraba a una vulneración de derechos fundamentales. El peticionario impugnó la decisión, y el 4 de agosto de 2011 la Sección Cuarta del Consejo de Estado confirmó el fallo de improcedencia de la tutela bajo las mismas razones anteriormente adoptadas.</w:t>
      </w:r>
    </w:p>
    <w:p w14:paraId="355D69B9" w14:textId="77777777" w:rsidR="00B37C87" w:rsidRPr="00AD40BB" w:rsidRDefault="00B37C87" w:rsidP="00B37C87">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t>El 31 de enero de 2012 la Corte Constitucional seleccionó para revisión el fallo de tutela proferido por el Consejo de Estado; y el 8 de junio de 2012, mediante sentencia T-430/2012, consideró que el asunto se refería a una interpretación meramente legal y no afectaba derecho fundamental alguno del accionante. Esta decisión fue notificada al peticionario el 12 de noviembre de 2013.</w:t>
      </w:r>
    </w:p>
    <w:p w14:paraId="5BADBBF1" w14:textId="77777777" w:rsidR="00B37C87" w:rsidRPr="00AD40BB" w:rsidRDefault="00B37C87" w:rsidP="00B37C87">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t xml:space="preserve">El peticionario considera que sus derechos a las garantías judiciales, legalidad y no retroactividad, protección judicial e igualdad ante la ley han sido violados por el Estado, por la revocatoria del incentivo económico que le fue inicialmente reconocido en la sentencia de primera instancia. El peticionario argumenta que no fue una simple interpretación jurídica diferente, sino una decisión ilegal y arbitraria. A su juicio, los jueces debieron reconocer la irretroactividad de la norma que excluía el incentivo económico, conforme lo establecía el citado artículo 164 de la Ley 446 de 1998. </w:t>
      </w:r>
    </w:p>
    <w:p w14:paraId="330FEF4F" w14:textId="77777777" w:rsidR="00B37C87" w:rsidRPr="00AD40BB" w:rsidRDefault="00B37C87" w:rsidP="00B37C87">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t>Con respecto a la igualdad ante la ley, el peticionario recuerda que, ante la Corte Constitucional, invocó casos de otras personas en que el incentivo económico fue reconocido por el Consejo de Estado, como el caso de la demandante Dolly Vanessa Bohórquez Ayala referente a la acción popular 2500-23-25-000-2005-00-357-01, además de otras sentencias (Sentencia del 18 de mayo de 2011, radicado 54001-2321-000-2005-00232-01; Sentencia del 26 de mayo de 2011, radicado 25000-23-25-000-000-2006-0376-01; Sentencia del 18 de mayo de 2011, radicado 70001-23-31-000-2004-00794-01).</w:t>
      </w:r>
    </w:p>
    <w:p w14:paraId="055C6C9D" w14:textId="77777777" w:rsidR="00B37C87" w:rsidRPr="00AD40BB" w:rsidRDefault="00B37C87" w:rsidP="00B37C87">
      <w:pPr>
        <w:pStyle w:val="ListParagraph"/>
        <w:widowControl w:val="0"/>
        <w:autoSpaceDE w:val="0"/>
        <w:autoSpaceDN w:val="0"/>
        <w:spacing w:before="240" w:after="240"/>
        <w:jc w:val="both"/>
        <w:rPr>
          <w:rFonts w:asciiTheme="majorHAnsi" w:hAnsiTheme="majorHAnsi"/>
          <w:i/>
          <w:iCs/>
          <w:sz w:val="20"/>
          <w:szCs w:val="20"/>
          <w:lang w:val="es-ES_tradnl"/>
        </w:rPr>
      </w:pPr>
      <w:r w:rsidRPr="00AD40BB">
        <w:rPr>
          <w:rFonts w:asciiTheme="majorHAnsi" w:hAnsiTheme="majorHAnsi"/>
          <w:i/>
          <w:iCs/>
          <w:sz w:val="20"/>
          <w:szCs w:val="20"/>
          <w:lang w:val="es-ES_tradnl"/>
        </w:rPr>
        <w:lastRenderedPageBreak/>
        <w:t>Posición del Estado colombiano</w:t>
      </w:r>
    </w:p>
    <w:p w14:paraId="45BF7E61" w14:textId="77777777" w:rsidR="00B37C87" w:rsidRPr="00AD40BB" w:rsidRDefault="00B37C87" w:rsidP="00B37C87">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t xml:space="preserve">El Estado considera que los procesos internos cumplieron con todas las garantías del debido proceso. Afirma que el peticionario fue oído por un juez o tribunal competente, independiente e imparcial, establecido con anterioridad a la ley, con todas las garantías y dentro de un plazo razonable. Señala que los jueces de la jurisdicción de lo contencioso administrativo fallaron correctamente la acción popular propuesta por el Sr. Fariel Sanjuan Arévalo y la cuestión relacionada con el incentivo económico, a la luz del cambio legislativo ocurrido durante el trámite del proceso. Argumenta que el proceso judicial adelantado ante los jueces de tutela, y culminado en el fallo de la Corte Constitucional, igualmente observó los derechos del peticionario. Sobre este último fallo, destaca que la Corte Constitucional afirmó no haber encontrado suporte fáctico para considerar posibles violaciones de los derechos invocados al debido proceso, libre determinación e igualdad. Asimismo, la Corte Constitucional consideró que el Tribunal Contencioso-Administrativo de Huila actuó dentro de los límites de la autonomía que tienen los jueces en la interpretación y aplicación de una ley, y que el reclamo del Sr. Fariel Sanjuan Arévalo se trató de un asunto de interpretación exclusivamente legal que no vulneraba sus derechos fundamentales y, consecuentemente, no tenía relevancia constitucional. </w:t>
      </w:r>
    </w:p>
    <w:p w14:paraId="5E6023AE" w14:textId="77777777" w:rsidR="00B37C87" w:rsidRPr="00AD40BB" w:rsidRDefault="00B37C87" w:rsidP="00B37C87">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_tradnl"/>
        </w:rPr>
      </w:pPr>
      <w:r w:rsidRPr="00AD40BB">
        <w:rPr>
          <w:rFonts w:asciiTheme="majorHAnsi" w:hAnsiTheme="majorHAnsi"/>
          <w:color w:val="auto"/>
          <w:sz w:val="20"/>
          <w:szCs w:val="20"/>
          <w:lang w:val="es-ES_tradnl"/>
        </w:rPr>
        <w:t xml:space="preserve">El </w:t>
      </w:r>
      <w:r w:rsidRPr="00AD40BB">
        <w:rPr>
          <w:rFonts w:asciiTheme="majorHAnsi" w:hAnsiTheme="majorHAnsi"/>
          <w:sz w:val="20"/>
          <w:szCs w:val="20"/>
          <w:lang w:val="es-ES_tradnl"/>
        </w:rPr>
        <w:t>Estado alega además, que el peticionario nunca se encontró en desprotección judicial. En efecto, usó de los recursos internos para resolver la situación jurídica que consideró vulneradora de sus derechos fundamentales: como la acción de tutela, recurso que el Estado destaca ser sencillo y expedito por excelencia. Asimismo, tuvo la oportunidad de impugnar el fallo de tutela desfavorable a sus intereses e insistió ante la Corte Constitucional para que revisara la posible vulneración de sus derechos fundamentales. En este contexto, todas las acciones y recursos interpuestos por el peticionario se resolvieron de manera oportuna, de conformidad con el derecho convencional a la protección judicial.</w:t>
      </w:r>
    </w:p>
    <w:p w14:paraId="2945BF40" w14:textId="77777777" w:rsidR="00B37C87" w:rsidRPr="00AD40BB" w:rsidRDefault="00B37C87" w:rsidP="00B37C87">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t>En cuanto al artículo 9 de la Convención Americana invocado por el peticionario, el Estado sostiene que el derecho en cuestión no abarca la situación fáctica de la petición, pues no se está discutiendo una situación sujeta a condena o pena, sino un asunto contencioso-administrativo referente al no otorgamiento de un incentivo económico.</w:t>
      </w:r>
    </w:p>
    <w:p w14:paraId="73C6C972" w14:textId="77777777" w:rsidR="00B37C87" w:rsidRPr="00AD40BB" w:rsidRDefault="00B37C87" w:rsidP="00B37C87">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t>El Estado también alega que el peticionario tuvo la oportunidad procesal de alegar la violación del derecho a la igualdad ante el Consejo de Estado y la Corte Constitucional de la manera que hace ahora frente a la CIDH. Sin embargo, no lo hizo. Destaca que, frente a las instancias internas, no presentó el sustento fáctico y jurídico correspondiente a esta alegada violación. Esto evidencia, para el Estado, que el peticionario acude a la CIDH para subsanar la omisión en la presentación de sus alegatos y sustento probatorio ante los jueces internos.</w:t>
      </w:r>
    </w:p>
    <w:p w14:paraId="2C2B1A65" w14:textId="77777777" w:rsidR="00B37C87" w:rsidRPr="00AD40BB" w:rsidRDefault="00B37C87" w:rsidP="00B37C87">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t>Adicionalmente, el Estado argumenta que el peticionario podía solicitar la eventual revisión, ante el Consejo de Estado, de la decisión del Tribunal Contencioso Administrativo de Huila, y que la solicitud de revisión bajo el artículo 11 de la Ley 1285 de 2009 era el recurso adecuado, no la acción de tutela.</w:t>
      </w:r>
    </w:p>
    <w:p w14:paraId="0CA05176" w14:textId="77777777" w:rsidR="00B37C87" w:rsidRPr="00AD40BB" w:rsidRDefault="00B37C87" w:rsidP="00B37C87">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t>A la luz del expuesto, el Estado concluye que la petición es inadmisible debido a que no expone hechos que caracterizan violaciones de derechos convencionales. Adicionalmente, encuentra que los alegatos del peticionario evidencian su inconformidad con la interpretación expuesta por los jueces domésticos en relación con el no otorgamiento del incentivo económico solicitado, lo que hace la petición inadmisible también porque se configura la fórmula de la cuarta instancia internacional.</w:t>
      </w:r>
    </w:p>
    <w:p w14:paraId="7D61DB41" w14:textId="77777777" w:rsidR="00B37C87" w:rsidRPr="00AD40BB" w:rsidRDefault="00B37C87" w:rsidP="00B37C87">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sz w:val="20"/>
          <w:szCs w:val="20"/>
          <w:lang w:val="es-ES_tradnl"/>
        </w:rPr>
      </w:pPr>
      <w:r w:rsidRPr="00AD40BB">
        <w:rPr>
          <w:rFonts w:asciiTheme="majorHAnsi" w:hAnsiTheme="majorHAnsi"/>
          <w:b/>
          <w:sz w:val="20"/>
          <w:szCs w:val="20"/>
          <w:lang w:val="es-ES_tradnl"/>
        </w:rPr>
        <w:t xml:space="preserve">VI. </w:t>
      </w:r>
      <w:r w:rsidRPr="00AD40BB">
        <w:rPr>
          <w:rFonts w:asciiTheme="majorHAnsi" w:hAnsiTheme="majorHAnsi"/>
          <w:b/>
          <w:sz w:val="20"/>
          <w:szCs w:val="20"/>
          <w:lang w:val="es-ES_tradnl"/>
        </w:rPr>
        <w:tab/>
      </w:r>
      <w:r w:rsidRPr="00AD40BB">
        <w:rPr>
          <w:rFonts w:asciiTheme="majorHAnsi" w:hAnsiTheme="majorHAnsi"/>
          <w:b/>
          <w:bCs/>
          <w:sz w:val="20"/>
          <w:szCs w:val="20"/>
          <w:lang w:val="es-ES_tradnl"/>
        </w:rPr>
        <w:t xml:space="preserve">ANÁLISIS DE </w:t>
      </w:r>
      <w:r w:rsidRPr="00AD40BB">
        <w:rPr>
          <w:rFonts w:asciiTheme="majorHAnsi" w:hAnsiTheme="majorHAnsi"/>
          <w:b/>
          <w:sz w:val="20"/>
          <w:szCs w:val="20"/>
          <w:lang w:val="es-ES_tradnl"/>
        </w:rPr>
        <w:t>AGOTAMIENTO DE LOS RECURSOS INTERNOS Y PLAZO DE PRESENTACIÓN</w:t>
      </w:r>
      <w:r w:rsidRPr="00AD40BB">
        <w:rPr>
          <w:rFonts w:asciiTheme="majorHAnsi" w:hAnsiTheme="majorHAnsi"/>
          <w:b/>
          <w:bCs/>
          <w:sz w:val="20"/>
          <w:szCs w:val="20"/>
          <w:lang w:val="es-ES_tradnl"/>
        </w:rPr>
        <w:t xml:space="preserve"> </w:t>
      </w:r>
    </w:p>
    <w:p w14:paraId="2E254014" w14:textId="77777777" w:rsidR="00B37C87" w:rsidRPr="00AD40BB" w:rsidRDefault="00B37C87" w:rsidP="00B37C8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t xml:space="preserve">La Comisión Interamericana observa que </w:t>
      </w:r>
      <w:r w:rsidRPr="00AD40BB">
        <w:rPr>
          <w:rFonts w:asciiTheme="majorHAnsi" w:eastAsia="Arial Unicode MS" w:hAnsiTheme="majorHAnsi" w:cs="Times New Roman"/>
          <w:color w:val="auto"/>
          <w:sz w:val="20"/>
          <w:szCs w:val="20"/>
          <w:lang w:val="es-ES_tradnl" w:eastAsia="en-US"/>
        </w:rPr>
        <w:t>e</w:t>
      </w:r>
      <w:r w:rsidRPr="00AD40BB">
        <w:rPr>
          <w:rFonts w:asciiTheme="majorHAnsi" w:hAnsiTheme="majorHAnsi"/>
          <w:sz w:val="20"/>
          <w:szCs w:val="20"/>
          <w:lang w:val="es-ES_tradnl"/>
        </w:rPr>
        <w:t>l peticionario denuncia la eliminación de un incentivo económico legal de una demanda colectiva exitosa, debido a la derogación de la ley correspondiente entre las sentencias de primera y segunda instancia. Este es el objeto principal de la petición.</w:t>
      </w:r>
    </w:p>
    <w:p w14:paraId="661815A8" w14:textId="77777777" w:rsidR="00B37C87" w:rsidRPr="00AD40BB" w:rsidRDefault="00B37C87" w:rsidP="00B37C8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t xml:space="preserve">El requisito del previo agotamiento de los recursos internos tiene como objeto permitir que las autoridades nacionales conozcan sobre la supuesta violación de un derecho protegido y, de ser apropiado, solucionen la situación antes de que sea conocida por una instancia internacional. </w:t>
      </w:r>
    </w:p>
    <w:p w14:paraId="4503B86E" w14:textId="77777777" w:rsidR="00B37C87" w:rsidRPr="00AD40BB" w:rsidRDefault="00B37C87" w:rsidP="00B37C8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lastRenderedPageBreak/>
        <w:t>En este sentido, las violaciones alegadas pudieron ser conocidas por las autoridades nacionales en el curso de los procesos internos. El 21 de abril de 2010 el Sr. Fariel Sanjuan Arévalo obtuvo un fallo que reconocía protección a derechos colectivos e incentivo económico, que luego fue apelado por el municipio de Iquira. Durante la apelación, la ley del incentivo se derogó. El 28 de enero de 2011 el Tribunal Contencioso-Administrativo de Huila revocó el incentivo por la derogación. El peticionario contestó el fallo mediante acción de tutela, argumentando que la derogación no aplicaba retroactivamente a un proceso ya iniciado, invocando la protección de sus derechos al debido proceso, libre determinación e igualdad. Sin embargo, sus recursos subsecuentes fueron rechazados por falta de relevancia constitucional: primero por el Consejo de Estado, Sección Segunda, el 26 de mayo de 2011; luego por la Sección Cuarta del Consejo de Estado, evaluando impugnación del peticionario, el 4 de agosto de 2011; y, finalmente, por la Corte Constitucional el 8 de junio de 2012, decisión notificada el 12 de noviembre de 2013.</w:t>
      </w:r>
    </w:p>
    <w:p w14:paraId="3AC72B1A" w14:textId="77777777" w:rsidR="00B37C87" w:rsidRPr="00AD40BB" w:rsidRDefault="00B37C87" w:rsidP="00B37C8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t>La Comisión toma nota del argumento del Estado de que el peticionario, para impugnar la decisión de segunda instancia, debió haber interpuesto una solicitud de revisión y no una acción de tutela. Sobre el tema, la Comisión ha establecido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AD40BB">
        <w:rPr>
          <w:rFonts w:asciiTheme="majorHAnsi" w:hAnsiTheme="majorHAnsi"/>
          <w:bCs/>
          <w:sz w:val="20"/>
          <w:szCs w:val="20"/>
          <w:vertAlign w:val="superscript"/>
          <w:lang w:val="es-ES_tradnl"/>
        </w:rPr>
        <w:footnoteReference w:id="7"/>
      </w:r>
      <w:r w:rsidRPr="00AD40BB">
        <w:rPr>
          <w:rFonts w:asciiTheme="majorHAnsi" w:hAnsiTheme="majorHAnsi"/>
          <w:sz w:val="20"/>
          <w:szCs w:val="20"/>
          <w:lang w:val="es-ES_tradnl"/>
        </w:rPr>
        <w:t>. En el presente asunto, la vía de tutela probó ser una alternativa procesal válida para cuestionar las decisiones que el peticionario consideró contrarias a sus derechos. Además, todas estas acciones de tutela fueron admitidas y decididas en el fondo.</w:t>
      </w:r>
    </w:p>
    <w:p w14:paraId="05CD67CE" w14:textId="77777777" w:rsidR="00B37C87" w:rsidRPr="00AD40BB" w:rsidRDefault="00B37C87" w:rsidP="00B37C8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t xml:space="preserve">Teniendo en cuenta el expuesto, reiterando las violaciones alegadas pudieron ser conocidas por las autoridades nacionales durante los procesos internos, la Comisión Interamericana concluye que la petición agotó los recursos internos tras la decisión de la Corte Constitucional del 8 de junio de 2012, en cumplimiento al requisito del artículo 46.1.a) de la Convención. La referida decisión fue notificada al peticionario el 12 de noviembre de 2013, mientras la petición a la CIDH fue presentada el </w:t>
      </w:r>
      <w:r w:rsidRPr="00AD40BB">
        <w:rPr>
          <w:bCs/>
          <w:sz w:val="20"/>
          <w:szCs w:val="20"/>
          <w:lang w:val="es-ES_tradnl"/>
        </w:rPr>
        <w:t>1 de mayo de 2014, por lo que la petición igualmente cumple con el requisito del artículo 46.1.b) de la Convención.</w:t>
      </w:r>
    </w:p>
    <w:p w14:paraId="3413F7C5" w14:textId="77777777" w:rsidR="00B37C87" w:rsidRPr="00AD40BB" w:rsidRDefault="00B37C87" w:rsidP="00B37C87">
      <w:pPr>
        <w:pStyle w:val="ListParagraph"/>
        <w:spacing w:before="240" w:after="240"/>
        <w:ind w:left="758"/>
        <w:jc w:val="both"/>
        <w:rPr>
          <w:rFonts w:asciiTheme="majorHAnsi" w:hAnsiTheme="majorHAnsi"/>
          <w:b/>
          <w:sz w:val="20"/>
          <w:szCs w:val="20"/>
          <w:lang w:val="es-ES_tradnl"/>
        </w:rPr>
      </w:pPr>
      <w:r w:rsidRPr="00AD40BB">
        <w:rPr>
          <w:rFonts w:asciiTheme="majorHAnsi" w:hAnsiTheme="majorHAnsi"/>
          <w:b/>
          <w:sz w:val="20"/>
          <w:szCs w:val="20"/>
          <w:lang w:val="es-ES_tradnl"/>
        </w:rPr>
        <w:t xml:space="preserve">VII. </w:t>
      </w:r>
      <w:r w:rsidRPr="00AD40BB">
        <w:rPr>
          <w:rFonts w:asciiTheme="majorHAnsi" w:hAnsiTheme="majorHAnsi"/>
          <w:b/>
          <w:sz w:val="20"/>
          <w:szCs w:val="20"/>
          <w:lang w:val="es-ES_tradnl"/>
        </w:rPr>
        <w:tab/>
      </w:r>
      <w:r w:rsidRPr="00AD40BB">
        <w:rPr>
          <w:rFonts w:asciiTheme="majorHAnsi" w:hAnsiTheme="majorHAnsi"/>
          <w:b/>
          <w:bCs/>
          <w:sz w:val="20"/>
          <w:szCs w:val="20"/>
          <w:lang w:val="es-ES_tradnl"/>
        </w:rPr>
        <w:t>ANÁLISIS DE CARACTERIZACIÓN DE LOS HECHOS ALEGADOS</w:t>
      </w:r>
    </w:p>
    <w:p w14:paraId="7D15014D" w14:textId="77777777" w:rsidR="00B37C87" w:rsidRPr="00AD40BB" w:rsidRDefault="00B37C87" w:rsidP="00B37C8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t xml:space="preserve">El Estado </w:t>
      </w:r>
      <w:r w:rsidRPr="00AD40BB">
        <w:rPr>
          <w:rFonts w:asciiTheme="majorHAnsi" w:hAnsiTheme="majorHAnsi"/>
          <w:color w:val="auto"/>
          <w:sz w:val="20"/>
          <w:szCs w:val="20"/>
          <w:lang w:val="es-ES_tradnl"/>
        </w:rPr>
        <w:t xml:space="preserve">afirma que la petición es inadmisible conforme con lo dispuesto en el artículo 47.b de la Convención Americana, por configuración de la fórmula de la cuarta instancia, por cuanto </w:t>
      </w:r>
      <w:r w:rsidRPr="00AD40BB">
        <w:rPr>
          <w:rFonts w:asciiTheme="majorHAnsi" w:hAnsiTheme="majorHAnsi"/>
          <w:sz w:val="20"/>
          <w:szCs w:val="20"/>
          <w:lang w:val="es-ES_tradnl"/>
        </w:rPr>
        <w:t xml:space="preserve">el peticionario fue oído por un juez o tribunal competente, independiente e imparcial, establecido con anterioridad a la ley, con todas las garantías y dentro de un plazo razonable, además de nunca encontrarse en desprotección judicial. En este sentido, sostiene, </w:t>
      </w:r>
      <w:r w:rsidRPr="00AD40BB">
        <w:rPr>
          <w:rFonts w:asciiTheme="majorHAnsi" w:hAnsiTheme="majorHAnsi"/>
          <w:i/>
          <w:iCs/>
          <w:sz w:val="20"/>
          <w:szCs w:val="20"/>
          <w:lang w:val="es-ES_tradnl"/>
        </w:rPr>
        <w:t>inter alia</w:t>
      </w:r>
      <w:r w:rsidRPr="00AD40BB">
        <w:rPr>
          <w:rFonts w:asciiTheme="majorHAnsi" w:hAnsiTheme="majorHAnsi"/>
          <w:sz w:val="20"/>
          <w:szCs w:val="20"/>
          <w:lang w:val="es-ES_tradnl"/>
        </w:rPr>
        <w:t>, que el peticionario hizo uso de los recursos internos y tuvo la oportunidad de impugnar los fallos desfavorables hasta la instancia máxima constitucional.</w:t>
      </w:r>
    </w:p>
    <w:p w14:paraId="29DFE4C7" w14:textId="77777777" w:rsidR="00B37C87" w:rsidRDefault="00B37C87" w:rsidP="00B37C8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AD40BB">
        <w:rPr>
          <w:rFonts w:asciiTheme="majorHAnsi" w:hAnsiTheme="majorHAnsi"/>
          <w:i/>
          <w:iCs/>
          <w:sz w:val="20"/>
          <w:szCs w:val="20"/>
          <w:lang w:val="es-ES_tradnl"/>
        </w:rPr>
        <w:t>prima facie</w:t>
      </w:r>
      <w:r w:rsidRPr="00AD40BB">
        <w:rPr>
          <w:rFonts w:asciiTheme="majorHAnsi" w:hAnsiTheme="majorHAnsi"/>
          <w:sz w:val="20"/>
          <w:szCs w:val="20"/>
          <w:lang w:val="es-ES_tradnl"/>
        </w:rPr>
        <w:t xml:space="preserve"> violaciones a la Convención Americana”. </w:t>
      </w:r>
    </w:p>
    <w:p w14:paraId="0D587F3C" w14:textId="77777777" w:rsidR="00B37C87" w:rsidRDefault="00B37C87" w:rsidP="00B37C8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es-ES_tradnl"/>
        </w:rPr>
      </w:pPr>
    </w:p>
    <w:p w14:paraId="1715EB94" w14:textId="77777777" w:rsidR="00B37C87" w:rsidRPr="00AD40BB" w:rsidRDefault="00B37C87" w:rsidP="00B37C87">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lastRenderedPageBreak/>
        <w:t>En el presente asunto, la Comisión observa que el reclamo principal de la parte peticionaria se centra en la eliminación de un incentivo económico legal derivado de una demanda colectiva exitosa, debido a la derogación de la ley correspondiente entre las sentencias de primera y segunda instancia. Para el peticionario, esta eliminación es indebida porque otra norma interna vigente impedía la aplicación retroactiva de la norma derogatoria con respecto a un proceso en curso. El peticionario también argumenta que esta eliminación es incoherente con las decisiones de instancias colombianas en otros casos donde el incentivo económico fue mantenido.</w:t>
      </w:r>
    </w:p>
    <w:p w14:paraId="3EFB4AE2" w14:textId="77777777" w:rsidR="00B37C87" w:rsidRPr="00AD40BB" w:rsidRDefault="00B37C87" w:rsidP="00B37C87">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t>La Comisión Interamericana nota, primeramente, que los hechos narrados indican que las autoridades internas consideraron la situación planteada por el peticionario y dieron respuestas motivadas a sus recursos. El Tribunal Contencioso Administrativo de Huila, al revocar el incentivo económico en su decisión de segunda instancia, se basó explícitamente en la derogación de la norma que había otorgado dicho incentivo. Esta acción se fundamentó en una interpretación de la ley que, aunque controvertida, se ajusta a la facultad de los tribunales de interpretar las leyes. Esta interpretación fue posteriormente respaldada por la Corte Constitucional, que también añadió que la cuestión se trataba de un asunto de interpretación legal, reafirmando así la autonomía y los límites de la interpretación judicial. En este sentido, la Corte Constitucional declaró no haber encontrado evidencia de violaciones al debido proceso, libre determinación e igualdad. Además, determinó que el Tribunal de Huila actuó dentro de su autonomía judicial; y que el caso de Fariel Sanjuan Arévalo era puramente de interpretación legal, sin afectar temas de relevancia constitucional. En resumen, aunque el resultado no haya sido el deseado por el peticionario, los tribunales colombianos actuaron de acuerdo con los marcos jurídicos establecidos y proporcionaron respuestas motivadas y justificadas.</w:t>
      </w:r>
    </w:p>
    <w:p w14:paraId="497489D5" w14:textId="77777777" w:rsidR="00B37C87" w:rsidRPr="00AD40BB" w:rsidRDefault="00B37C87" w:rsidP="00B37C87">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t>Asimismo, la Comisión Interamericana recuerda que la Convención Americana se refiere, en su artículo 9, sobre la imposibilidad de aplicación retroactiva de la norma penal sancionatoria más grave, así como la posibilidad de aplicación retroactiva de la norma penal más benéfica al apenado</w:t>
      </w:r>
      <w:r w:rsidRPr="00AD40BB">
        <w:rPr>
          <w:rFonts w:asciiTheme="majorHAnsi" w:hAnsiTheme="majorHAnsi"/>
          <w:bCs/>
          <w:sz w:val="20"/>
          <w:szCs w:val="20"/>
          <w:vertAlign w:val="superscript"/>
          <w:lang w:val="es-ES_tradnl"/>
        </w:rPr>
        <w:footnoteReference w:id="8"/>
      </w:r>
      <w:r>
        <w:rPr>
          <w:rFonts w:asciiTheme="majorHAnsi" w:hAnsiTheme="majorHAnsi"/>
          <w:sz w:val="20"/>
          <w:szCs w:val="20"/>
          <w:lang w:val="es-ES_tradnl"/>
        </w:rPr>
        <w:t xml:space="preserve">, </w:t>
      </w:r>
      <w:r w:rsidRPr="009A7C54">
        <w:rPr>
          <w:rFonts w:asciiTheme="majorHAnsi" w:hAnsiTheme="majorHAnsi"/>
          <w:sz w:val="20"/>
          <w:szCs w:val="20"/>
          <w:lang w:val="es-ES_tradnl"/>
        </w:rPr>
        <w:t>lo que difiere de la situación alegada por el peticionario (referente a una norma sobre el incentivo económico en acción popular)</w:t>
      </w:r>
      <w:r w:rsidRPr="00AD40BB">
        <w:rPr>
          <w:rFonts w:asciiTheme="majorHAnsi" w:hAnsiTheme="majorHAnsi"/>
          <w:sz w:val="20"/>
          <w:szCs w:val="20"/>
          <w:lang w:val="es-ES_tradnl"/>
        </w:rPr>
        <w:t>.</w:t>
      </w:r>
    </w:p>
    <w:p w14:paraId="16D88008" w14:textId="77777777" w:rsidR="00B37C87" w:rsidRPr="00AD40BB" w:rsidRDefault="00B37C87" w:rsidP="00B37C87">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t xml:space="preserve">Adicionalmente, si bien la Comisión Interamericana ya ha encontrado, en análisis </w:t>
      </w:r>
      <w:r w:rsidRPr="00AD40BB">
        <w:rPr>
          <w:rFonts w:asciiTheme="majorHAnsi" w:hAnsiTheme="majorHAnsi"/>
          <w:i/>
          <w:iCs/>
          <w:sz w:val="20"/>
          <w:szCs w:val="20"/>
          <w:lang w:val="es-ES_tradnl"/>
        </w:rPr>
        <w:t>prima facie</w:t>
      </w:r>
      <w:r w:rsidRPr="00AD40BB">
        <w:rPr>
          <w:rFonts w:asciiTheme="majorHAnsi" w:hAnsiTheme="majorHAnsi"/>
          <w:sz w:val="20"/>
          <w:szCs w:val="20"/>
          <w:lang w:val="es-ES_tradnl"/>
        </w:rPr>
        <w:t>, posibles violaciones a la igualdad ante la ley resultantes de diferentes interpretaciones jurisprudenciales en casos similares o idénticos, la prueba para que esto ocurra implica que el peticionario demuestre que los casos decididos de manera diferente son suficientemente parecidos a su caso</w:t>
      </w:r>
      <w:r w:rsidRPr="00AD40BB">
        <w:rPr>
          <w:rFonts w:asciiTheme="majorHAnsi" w:hAnsiTheme="majorHAnsi"/>
          <w:bCs/>
          <w:sz w:val="20"/>
          <w:szCs w:val="20"/>
          <w:vertAlign w:val="superscript"/>
          <w:lang w:val="es-ES_tradnl"/>
        </w:rPr>
        <w:footnoteReference w:id="9"/>
      </w:r>
      <w:r w:rsidRPr="00AD40BB">
        <w:rPr>
          <w:rFonts w:asciiTheme="majorHAnsi" w:hAnsiTheme="majorHAnsi"/>
          <w:sz w:val="20"/>
          <w:szCs w:val="20"/>
          <w:lang w:val="es-ES_tradnl"/>
        </w:rPr>
        <w:t xml:space="preserve">. En la presente petición, sin embargo, el peticionario mencionó varias sentencias, fechas y fallos en casos presuntamente similares, pero no presentó mayores detalles ni copias de las decisiones, lo que dificulta a la Comisión encontrar, en los alegatos, incluso en un análisis </w:t>
      </w:r>
      <w:r w:rsidRPr="00AD40BB">
        <w:rPr>
          <w:rFonts w:asciiTheme="majorHAnsi" w:hAnsiTheme="majorHAnsi"/>
          <w:i/>
          <w:iCs/>
          <w:sz w:val="20"/>
          <w:szCs w:val="20"/>
          <w:lang w:val="es-ES_tradnl"/>
        </w:rPr>
        <w:t>prima facie</w:t>
      </w:r>
      <w:r w:rsidRPr="00AD40BB">
        <w:rPr>
          <w:rFonts w:asciiTheme="majorHAnsi" w:hAnsiTheme="majorHAnsi"/>
          <w:sz w:val="20"/>
          <w:szCs w:val="20"/>
          <w:lang w:val="es-ES_tradnl"/>
        </w:rPr>
        <w:t>, la posibilidad de violación del derecho a la igualdad ante la ley.</w:t>
      </w:r>
    </w:p>
    <w:p w14:paraId="0AB4699C" w14:textId="77777777" w:rsidR="00B37C87" w:rsidRPr="00AD40BB" w:rsidRDefault="00B37C87" w:rsidP="00B37C87">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AD40BB">
        <w:rPr>
          <w:rFonts w:asciiTheme="majorHAnsi" w:hAnsiTheme="majorHAnsi"/>
          <w:sz w:val="20"/>
          <w:szCs w:val="20"/>
          <w:lang w:val="es-ES_tradnl"/>
        </w:rPr>
        <w:t xml:space="preserve">En atención a estas consideraciones y tras examinar los elementos de hecho y de derecho expuestos por las partes, la Comisión considera que los hechos alegados no caracterizan, </w:t>
      </w:r>
      <w:r w:rsidRPr="00AD40BB">
        <w:rPr>
          <w:rFonts w:asciiTheme="majorHAnsi" w:hAnsiTheme="majorHAnsi"/>
          <w:i/>
          <w:iCs/>
          <w:sz w:val="20"/>
          <w:szCs w:val="20"/>
          <w:lang w:val="es-ES_tradnl"/>
        </w:rPr>
        <w:t>prima facie</w:t>
      </w:r>
      <w:r w:rsidRPr="00AD40BB">
        <w:rPr>
          <w:rFonts w:asciiTheme="majorHAnsi" w:hAnsiTheme="majorHAnsi"/>
          <w:sz w:val="20"/>
          <w:szCs w:val="20"/>
          <w:lang w:val="es-ES_tradnl"/>
        </w:rPr>
        <w:t>, violaciones a los derechos protegidos por la Convención Americana. Así, concluye que la petición es inadmisible según lo estipulado en el artículo 47.b de la Convención Americana.</w:t>
      </w:r>
    </w:p>
    <w:p w14:paraId="464429B6" w14:textId="77777777" w:rsidR="00B37C87" w:rsidRPr="00AD40BB" w:rsidRDefault="00B37C87" w:rsidP="00B37C87">
      <w:pPr>
        <w:pStyle w:val="ListParagraph"/>
        <w:spacing w:before="240" w:after="240"/>
        <w:ind w:left="0" w:firstLine="709"/>
        <w:jc w:val="both"/>
        <w:rPr>
          <w:rFonts w:asciiTheme="majorHAnsi" w:hAnsiTheme="majorHAnsi"/>
          <w:b/>
          <w:sz w:val="20"/>
          <w:szCs w:val="20"/>
          <w:lang w:val="es-ES_tradnl"/>
        </w:rPr>
      </w:pPr>
      <w:r w:rsidRPr="00AD40BB">
        <w:rPr>
          <w:rFonts w:asciiTheme="majorHAnsi" w:hAnsiTheme="majorHAnsi"/>
          <w:b/>
          <w:sz w:val="20"/>
          <w:szCs w:val="20"/>
          <w:lang w:val="es-ES_tradnl"/>
        </w:rPr>
        <w:t xml:space="preserve">VIII. </w:t>
      </w:r>
      <w:r w:rsidRPr="00AD40BB">
        <w:rPr>
          <w:rFonts w:asciiTheme="majorHAnsi" w:hAnsiTheme="majorHAnsi"/>
          <w:b/>
          <w:sz w:val="20"/>
          <w:szCs w:val="20"/>
          <w:lang w:val="es-ES_tradnl"/>
        </w:rPr>
        <w:tab/>
      </w:r>
      <w:r w:rsidRPr="00AD40BB">
        <w:rPr>
          <w:rFonts w:asciiTheme="majorHAnsi" w:hAnsiTheme="majorHAnsi"/>
          <w:b/>
          <w:bCs/>
          <w:sz w:val="20"/>
          <w:szCs w:val="20"/>
          <w:lang w:val="es-ES_tradnl"/>
        </w:rPr>
        <w:t>DECISIÓN</w:t>
      </w:r>
    </w:p>
    <w:p w14:paraId="4001131E" w14:textId="77777777" w:rsidR="00B37C87" w:rsidRPr="00AD40BB" w:rsidRDefault="00B37C87" w:rsidP="00B37C8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ES_tradnl"/>
        </w:rPr>
      </w:pPr>
      <w:r w:rsidRPr="00AD40BB">
        <w:rPr>
          <w:rFonts w:asciiTheme="majorHAnsi" w:hAnsiTheme="majorHAnsi"/>
          <w:sz w:val="20"/>
          <w:szCs w:val="20"/>
          <w:lang w:val="es-ES_tradnl"/>
        </w:rPr>
        <w:t xml:space="preserve">Declarar inadmisible la presente petición; </w:t>
      </w:r>
      <w:r>
        <w:rPr>
          <w:rFonts w:asciiTheme="majorHAnsi" w:hAnsiTheme="majorHAnsi"/>
          <w:sz w:val="20"/>
          <w:szCs w:val="20"/>
          <w:lang w:val="es-ES_tradnl"/>
        </w:rPr>
        <w:t>y</w:t>
      </w:r>
    </w:p>
    <w:p w14:paraId="0447443D" w14:textId="77777777" w:rsidR="00B37C87" w:rsidRPr="00A73A23" w:rsidRDefault="00B37C87" w:rsidP="00B37C8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419"/>
        </w:rPr>
      </w:pPr>
      <w:r w:rsidRPr="00AD40BB">
        <w:rPr>
          <w:rFonts w:asciiTheme="majorHAnsi" w:hAnsiTheme="majorHAnsi"/>
          <w:sz w:val="20"/>
          <w:szCs w:val="20"/>
          <w:lang w:val="es-ES_tradnl"/>
        </w:rPr>
        <w:t>Notificar a las partes la presente decisión, publicarla esta decisión e incluirla en su Informe Anual a la Asamblea General de la Org</w:t>
      </w:r>
      <w:r w:rsidRPr="00AD40BB">
        <w:rPr>
          <w:rFonts w:asciiTheme="majorHAnsi" w:hAnsiTheme="majorHAnsi"/>
          <w:sz w:val="20"/>
          <w:szCs w:val="20"/>
          <w:lang w:val="es-ES"/>
        </w:rPr>
        <w:t>anizaci</w:t>
      </w:r>
      <w:r w:rsidRPr="00FC20DB">
        <w:rPr>
          <w:rFonts w:asciiTheme="majorHAnsi" w:hAnsiTheme="majorHAnsi"/>
          <w:sz w:val="20"/>
          <w:szCs w:val="20"/>
          <w:lang w:val="es-ES"/>
        </w:rPr>
        <w:t>ón de los Estados Americanos.</w:t>
      </w:r>
    </w:p>
    <w:p w14:paraId="3D117F93" w14:textId="77777777" w:rsidR="00B37C87" w:rsidRDefault="00B37C87" w:rsidP="00B37C87">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6357F2B5" w14:textId="77777777" w:rsidR="00B37C87" w:rsidRDefault="00B37C87" w:rsidP="00B37C87">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245C05A6" w14:textId="2B939E0D" w:rsidR="006E3BAD" w:rsidRPr="0004759E" w:rsidRDefault="00B37C87" w:rsidP="0004759E">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lastRenderedPageBreak/>
        <w:t>Aprobado por la Comisión Interamericana de Derechos Humanos a los 7 días del mes de junio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Arif Bulkan y Gloria Monique de Mees, </w:t>
      </w:r>
      <w:r w:rsidR="0004759E">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6E3BAD" w:rsidRPr="0004759E" w:rsidSect="00E173BF">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0888C" w14:textId="77777777" w:rsidR="00A20986" w:rsidRDefault="00A20986">
      <w:r>
        <w:separator/>
      </w:r>
    </w:p>
  </w:endnote>
  <w:endnote w:type="continuationSeparator" w:id="0">
    <w:p w14:paraId="69507F3D" w14:textId="77777777" w:rsidR="00A20986" w:rsidRDefault="00A2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881198"/>
      <w:docPartObj>
        <w:docPartGallery w:val="Page Numbers (Bottom of Page)"/>
        <w:docPartUnique/>
      </w:docPartObj>
    </w:sdtPr>
    <w:sdtEndPr>
      <w:rPr>
        <w:noProof/>
        <w:sz w:val="16"/>
        <w:szCs w:val="22"/>
      </w:rPr>
    </w:sdtEndPr>
    <w:sdtContent>
      <w:p w14:paraId="2942762A" w14:textId="77777777" w:rsidR="00B37C87" w:rsidRPr="00934A2C" w:rsidRDefault="00B37C8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2</w:t>
        </w:r>
        <w:r w:rsidRPr="00934A2C">
          <w:rPr>
            <w:noProof/>
            <w:sz w:val="16"/>
            <w:szCs w:val="22"/>
          </w:rPr>
          <w:fldChar w:fldCharType="end"/>
        </w:r>
      </w:p>
    </w:sdtContent>
  </w:sdt>
  <w:p w14:paraId="75BBEE7D" w14:textId="77777777" w:rsidR="00B37C87" w:rsidRDefault="00B37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B0A5" w14:textId="77777777" w:rsidR="00B37C87" w:rsidRPr="00934A2C" w:rsidRDefault="00B37C87">
    <w:pPr>
      <w:pStyle w:val="Footer"/>
      <w:jc w:val="center"/>
      <w:rPr>
        <w:sz w:val="16"/>
        <w:szCs w:val="22"/>
      </w:rPr>
    </w:pPr>
  </w:p>
  <w:p w14:paraId="33E88B33" w14:textId="77777777" w:rsidR="00B37C87" w:rsidRDefault="00B37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5849D" w14:textId="77777777" w:rsidR="00A20986" w:rsidRPr="000F35ED" w:rsidRDefault="00A2098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B4FC9E9" w14:textId="77777777" w:rsidR="00A20986" w:rsidRPr="000F35ED" w:rsidRDefault="00A20986" w:rsidP="000F35ED">
      <w:pPr>
        <w:rPr>
          <w:rFonts w:asciiTheme="majorHAnsi" w:hAnsiTheme="majorHAnsi"/>
          <w:sz w:val="16"/>
          <w:szCs w:val="16"/>
        </w:rPr>
      </w:pPr>
      <w:r w:rsidRPr="000F35ED">
        <w:rPr>
          <w:rFonts w:asciiTheme="majorHAnsi" w:hAnsiTheme="majorHAnsi"/>
          <w:sz w:val="16"/>
          <w:szCs w:val="16"/>
        </w:rPr>
        <w:separator/>
      </w:r>
    </w:p>
    <w:p w14:paraId="1F01CE48" w14:textId="77777777" w:rsidR="00A20986" w:rsidRPr="000F35ED" w:rsidRDefault="00A2098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11AC43C" w14:textId="77777777" w:rsidR="00A20986" w:rsidRPr="000F35ED" w:rsidRDefault="00A2098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8F99668" w14:textId="77777777" w:rsidR="00B37C87" w:rsidRPr="0038572B" w:rsidRDefault="00B37C87" w:rsidP="00B37C87">
      <w:pPr>
        <w:pStyle w:val="FootnoteText"/>
        <w:ind w:firstLine="720"/>
        <w:jc w:val="both"/>
        <w:rPr>
          <w:rFonts w:asciiTheme="majorHAnsi" w:hAnsiTheme="majorHAnsi"/>
          <w:sz w:val="16"/>
          <w:szCs w:val="16"/>
          <w:lang w:val="es-ES"/>
        </w:rPr>
      </w:pPr>
      <w:r w:rsidRPr="0038572B">
        <w:rPr>
          <w:rStyle w:val="FootnoteReference"/>
          <w:rFonts w:asciiTheme="majorHAnsi" w:hAnsiTheme="majorHAnsi"/>
          <w:sz w:val="16"/>
          <w:szCs w:val="16"/>
        </w:rPr>
        <w:footnoteRef/>
      </w:r>
      <w:r w:rsidRPr="0038572B">
        <w:rPr>
          <w:rFonts w:asciiTheme="majorHAnsi" w:hAnsiTheme="majorHAnsi"/>
          <w:sz w:val="16"/>
          <w:szCs w:val="16"/>
          <w:lang w:val="es-ES"/>
        </w:rPr>
        <w:t xml:space="preserve"> Conforme a lo dispuesto en el artículo 17.2.a del Reglamento de la Comisión, el Comisionado Carlos Bernal Pulido, de nacionalidad colombiana, no participó en el debate ni en la decisión del presente asunto.</w:t>
      </w:r>
    </w:p>
  </w:footnote>
  <w:footnote w:id="3">
    <w:p w14:paraId="2A0BF4D1" w14:textId="77777777" w:rsidR="00B37C87" w:rsidRPr="0038572B" w:rsidRDefault="00B37C87" w:rsidP="00B37C87">
      <w:pPr>
        <w:pStyle w:val="FootnoteText"/>
        <w:ind w:firstLine="720"/>
        <w:jc w:val="both"/>
        <w:rPr>
          <w:rFonts w:asciiTheme="majorHAnsi" w:hAnsiTheme="majorHAnsi"/>
          <w:sz w:val="16"/>
          <w:szCs w:val="16"/>
          <w:lang w:val="es-ES"/>
        </w:rPr>
      </w:pPr>
      <w:r w:rsidRPr="0038572B">
        <w:rPr>
          <w:rStyle w:val="FootnoteReference"/>
          <w:rFonts w:asciiTheme="majorHAnsi" w:hAnsiTheme="majorHAnsi"/>
          <w:sz w:val="16"/>
          <w:szCs w:val="16"/>
        </w:rPr>
        <w:footnoteRef/>
      </w:r>
      <w:r w:rsidRPr="0038572B">
        <w:rPr>
          <w:rFonts w:asciiTheme="majorHAnsi" w:hAnsiTheme="majorHAnsi"/>
          <w:sz w:val="16"/>
          <w:szCs w:val="16"/>
          <w:lang w:val="es-ES"/>
        </w:rPr>
        <w:t xml:space="preserve"> En adelante “la Convención Americana” o “la Convención”.</w:t>
      </w:r>
    </w:p>
  </w:footnote>
  <w:footnote w:id="4">
    <w:p w14:paraId="27BBB205" w14:textId="77777777" w:rsidR="00B37C87" w:rsidRPr="0038572B" w:rsidRDefault="00B37C87" w:rsidP="00B37C87">
      <w:pPr>
        <w:pStyle w:val="FootnoteText"/>
        <w:ind w:firstLine="720"/>
        <w:jc w:val="both"/>
        <w:rPr>
          <w:rFonts w:asciiTheme="majorHAnsi" w:hAnsiTheme="majorHAnsi"/>
          <w:sz w:val="16"/>
          <w:szCs w:val="16"/>
          <w:lang w:val="es-ES"/>
        </w:rPr>
      </w:pPr>
      <w:r w:rsidRPr="0038572B">
        <w:rPr>
          <w:rStyle w:val="FootnoteReference"/>
          <w:rFonts w:asciiTheme="majorHAnsi" w:hAnsiTheme="majorHAnsi"/>
          <w:sz w:val="16"/>
          <w:szCs w:val="16"/>
        </w:rPr>
        <w:footnoteRef/>
      </w:r>
      <w:r w:rsidRPr="0038572B">
        <w:rPr>
          <w:rFonts w:asciiTheme="majorHAnsi" w:hAnsiTheme="majorHAnsi"/>
          <w:sz w:val="16"/>
          <w:szCs w:val="16"/>
          <w:lang w:val="es-ES"/>
        </w:rPr>
        <w:t xml:space="preserve"> Las observaciones de cada parte fueron debidamente consideradas y trasladadas a la parte contraria.</w:t>
      </w:r>
    </w:p>
  </w:footnote>
  <w:footnote w:id="5">
    <w:p w14:paraId="66A93737" w14:textId="77777777" w:rsidR="00B37C87" w:rsidRPr="0038572B" w:rsidRDefault="00B37C87" w:rsidP="00B37C87">
      <w:pPr>
        <w:pStyle w:val="FootnoteText"/>
        <w:ind w:firstLine="720"/>
        <w:jc w:val="both"/>
        <w:rPr>
          <w:rFonts w:asciiTheme="majorHAnsi" w:hAnsiTheme="majorHAnsi"/>
          <w:sz w:val="16"/>
          <w:szCs w:val="16"/>
          <w:lang w:val="es-ES"/>
        </w:rPr>
      </w:pPr>
      <w:r w:rsidRPr="0038572B">
        <w:rPr>
          <w:rStyle w:val="FootnoteReference"/>
          <w:rFonts w:asciiTheme="majorHAnsi" w:hAnsiTheme="majorHAnsi"/>
          <w:sz w:val="16"/>
          <w:szCs w:val="16"/>
        </w:rPr>
        <w:footnoteRef/>
      </w:r>
      <w:r w:rsidRPr="0038572B">
        <w:rPr>
          <w:rFonts w:asciiTheme="majorHAnsi" w:hAnsiTheme="majorHAnsi"/>
          <w:sz w:val="16"/>
          <w:szCs w:val="16"/>
          <w:lang w:val="es-ES"/>
        </w:rPr>
        <w:t xml:space="preserve"> “</w:t>
      </w:r>
      <w:r w:rsidRPr="0038572B">
        <w:rPr>
          <w:rFonts w:asciiTheme="majorHAnsi" w:hAnsiTheme="majorHAnsi"/>
          <w:i/>
          <w:iCs/>
          <w:sz w:val="16"/>
          <w:szCs w:val="16"/>
          <w:lang w:val="es-ES"/>
        </w:rPr>
        <w:t>Artículo 39. El demandante de una acción popular tendrá derecho a recibir un incentivo que el juez fijará entre diez (10) y ciento cincuenta (150) salarios mínimos mensuales. Cuando el actor sea una entidad pública, el incentivo se destinará al Fondo de Defensa de Intereses Colectivos.</w:t>
      </w:r>
      <w:r w:rsidRPr="0038572B">
        <w:rPr>
          <w:rFonts w:asciiTheme="majorHAnsi" w:hAnsiTheme="majorHAnsi"/>
          <w:sz w:val="16"/>
          <w:szCs w:val="16"/>
          <w:lang w:val="es-ES"/>
        </w:rPr>
        <w:t>”</w:t>
      </w:r>
    </w:p>
  </w:footnote>
  <w:footnote w:id="6">
    <w:p w14:paraId="04B82B2D" w14:textId="77777777" w:rsidR="00B37C87" w:rsidRPr="0038572B" w:rsidRDefault="00B37C87" w:rsidP="00B37C87">
      <w:pPr>
        <w:pStyle w:val="FootnoteText"/>
        <w:ind w:firstLine="720"/>
        <w:jc w:val="both"/>
        <w:rPr>
          <w:rFonts w:asciiTheme="majorHAnsi" w:hAnsiTheme="majorHAnsi"/>
          <w:sz w:val="16"/>
          <w:szCs w:val="16"/>
          <w:lang w:val="es-ES"/>
        </w:rPr>
      </w:pPr>
      <w:r w:rsidRPr="0038572B">
        <w:rPr>
          <w:rStyle w:val="FootnoteReference"/>
          <w:rFonts w:asciiTheme="majorHAnsi" w:hAnsiTheme="majorHAnsi"/>
          <w:sz w:val="16"/>
          <w:szCs w:val="16"/>
        </w:rPr>
        <w:footnoteRef/>
      </w:r>
      <w:r w:rsidRPr="0038572B">
        <w:rPr>
          <w:rFonts w:asciiTheme="majorHAnsi" w:hAnsiTheme="majorHAnsi"/>
          <w:sz w:val="16"/>
          <w:szCs w:val="16"/>
          <w:lang w:val="es-ES"/>
        </w:rPr>
        <w:t xml:space="preserve"> En la fecha, el salario mínimo legal vigente em Colombia era de $ 515,000 COP (</w:t>
      </w:r>
      <w:hyperlink r:id="rId1" w:history="1">
        <w:r w:rsidRPr="0038572B">
          <w:rPr>
            <w:rStyle w:val="Hyperlink"/>
            <w:rFonts w:asciiTheme="majorHAnsi" w:hAnsiTheme="majorHAnsi"/>
            <w:sz w:val="16"/>
            <w:szCs w:val="16"/>
            <w:lang w:val="es-ES"/>
          </w:rPr>
          <w:t>https://www.consultorcontable.com/datos-hist%C3%B3ricos/salario-m%C3%ADnimo-historico/</w:t>
        </w:r>
      </w:hyperlink>
      <w:r w:rsidRPr="0038572B">
        <w:rPr>
          <w:rFonts w:asciiTheme="majorHAnsi" w:hAnsiTheme="majorHAnsi"/>
          <w:sz w:val="16"/>
          <w:szCs w:val="16"/>
          <w:lang w:val="es-ES"/>
        </w:rPr>
        <w:t>), o aproximadamente USD $ 134.94 (</w:t>
      </w:r>
      <w:hyperlink r:id="rId2" w:history="1">
        <w:r w:rsidRPr="0038572B">
          <w:rPr>
            <w:rStyle w:val="Hyperlink"/>
            <w:rFonts w:asciiTheme="majorHAnsi" w:hAnsiTheme="majorHAnsi"/>
            <w:sz w:val="16"/>
            <w:szCs w:val="16"/>
            <w:lang w:val="es-ES"/>
          </w:rPr>
          <w:t>https://www.exchangerates.org.uk/COP-USD-spot-exchange-rates-history-2010.html</w:t>
        </w:r>
      </w:hyperlink>
      <w:r w:rsidRPr="0038572B">
        <w:rPr>
          <w:rFonts w:asciiTheme="majorHAnsi" w:hAnsiTheme="majorHAnsi"/>
          <w:sz w:val="16"/>
          <w:szCs w:val="16"/>
          <w:lang w:val="es-ES"/>
        </w:rPr>
        <w:t>).</w:t>
      </w:r>
    </w:p>
  </w:footnote>
  <w:footnote w:id="7">
    <w:p w14:paraId="285D09EF" w14:textId="77777777" w:rsidR="00B37C87" w:rsidRPr="0038572B" w:rsidRDefault="00B37C87" w:rsidP="00B37C87">
      <w:pPr>
        <w:pStyle w:val="FootnoteText"/>
        <w:ind w:firstLine="720"/>
        <w:jc w:val="both"/>
        <w:rPr>
          <w:rFonts w:asciiTheme="majorHAnsi" w:hAnsiTheme="majorHAnsi"/>
          <w:sz w:val="16"/>
          <w:szCs w:val="16"/>
          <w:lang w:val="es-ES"/>
        </w:rPr>
      </w:pPr>
      <w:r w:rsidRPr="0038572B">
        <w:rPr>
          <w:rStyle w:val="FootnoteReference"/>
          <w:rFonts w:asciiTheme="majorHAnsi" w:hAnsiTheme="majorHAnsi"/>
          <w:sz w:val="16"/>
          <w:szCs w:val="16"/>
        </w:rPr>
        <w:footnoteRef/>
      </w:r>
      <w:r w:rsidRPr="003C4FD9">
        <w:rPr>
          <w:rFonts w:asciiTheme="majorHAnsi" w:hAnsiTheme="majorHAnsi"/>
          <w:sz w:val="16"/>
          <w:szCs w:val="16"/>
          <w:lang w:val="es-ES"/>
        </w:rPr>
        <w:t xml:space="preserve"> </w:t>
      </w:r>
      <w:r>
        <w:rPr>
          <w:rFonts w:asciiTheme="majorHAnsi" w:hAnsiTheme="majorHAnsi"/>
          <w:sz w:val="16"/>
          <w:szCs w:val="16"/>
          <w:lang w:val="es-ES"/>
        </w:rPr>
        <w:t xml:space="preserve">CIDH, </w:t>
      </w:r>
      <w:r w:rsidRPr="003C4FD9">
        <w:rPr>
          <w:rFonts w:asciiTheme="majorHAnsi" w:hAnsiTheme="majorHAnsi"/>
          <w:sz w:val="16"/>
          <w:szCs w:val="16"/>
          <w:lang w:val="es-ES"/>
        </w:rPr>
        <w:t>Digesto de decisiones sobre admisibilidad</w:t>
      </w:r>
      <w:r>
        <w:rPr>
          <w:rFonts w:asciiTheme="majorHAnsi" w:hAnsiTheme="majorHAnsi"/>
          <w:sz w:val="16"/>
          <w:szCs w:val="16"/>
          <w:lang w:val="es-ES"/>
        </w:rPr>
        <w:t xml:space="preserve"> </w:t>
      </w:r>
      <w:r w:rsidRPr="003C4FD9">
        <w:rPr>
          <w:rFonts w:asciiTheme="majorHAnsi" w:hAnsiTheme="majorHAnsi"/>
          <w:sz w:val="16"/>
          <w:szCs w:val="16"/>
          <w:lang w:val="es-ES"/>
        </w:rPr>
        <w:t>y competencia de la Comisión</w:t>
      </w:r>
      <w:r>
        <w:rPr>
          <w:rFonts w:asciiTheme="majorHAnsi" w:hAnsiTheme="majorHAnsi"/>
          <w:sz w:val="16"/>
          <w:szCs w:val="16"/>
          <w:lang w:val="es-ES"/>
        </w:rPr>
        <w:t xml:space="preserve"> </w:t>
      </w:r>
      <w:r w:rsidRPr="003C4FD9">
        <w:rPr>
          <w:rFonts w:asciiTheme="majorHAnsi" w:hAnsiTheme="majorHAnsi"/>
          <w:sz w:val="16"/>
          <w:szCs w:val="16"/>
          <w:lang w:val="es-ES"/>
        </w:rPr>
        <w:t>Interamericana de Derechos Humanos</w:t>
      </w:r>
      <w:r>
        <w:rPr>
          <w:rFonts w:asciiTheme="majorHAnsi" w:hAnsiTheme="majorHAnsi"/>
          <w:sz w:val="16"/>
          <w:szCs w:val="16"/>
          <w:lang w:val="es-ES"/>
        </w:rPr>
        <w:t xml:space="preserve">. </w:t>
      </w:r>
      <w:r w:rsidRPr="003C4FD9">
        <w:rPr>
          <w:rFonts w:asciiTheme="majorHAnsi" w:hAnsiTheme="majorHAnsi"/>
          <w:sz w:val="16"/>
          <w:szCs w:val="16"/>
          <w:lang w:val="es-ES"/>
        </w:rPr>
        <w:t>OEA/Ser.L/V/II.175</w:t>
      </w:r>
      <w:r>
        <w:rPr>
          <w:rFonts w:asciiTheme="majorHAnsi" w:hAnsiTheme="majorHAnsi"/>
          <w:sz w:val="16"/>
          <w:szCs w:val="16"/>
          <w:lang w:val="es-ES"/>
        </w:rPr>
        <w:t xml:space="preserve"> </w:t>
      </w:r>
      <w:r w:rsidRPr="003C4FD9">
        <w:rPr>
          <w:rFonts w:asciiTheme="majorHAnsi" w:hAnsiTheme="majorHAnsi"/>
          <w:sz w:val="16"/>
          <w:szCs w:val="16"/>
          <w:lang w:val="es-ES"/>
        </w:rPr>
        <w:t>Doc. 20</w:t>
      </w:r>
      <w:r>
        <w:rPr>
          <w:rFonts w:asciiTheme="majorHAnsi" w:hAnsiTheme="majorHAnsi"/>
          <w:sz w:val="16"/>
          <w:szCs w:val="16"/>
          <w:lang w:val="es-ES"/>
        </w:rPr>
        <w:t xml:space="preserve">, </w:t>
      </w:r>
      <w:r w:rsidRPr="003C4FD9">
        <w:rPr>
          <w:rFonts w:asciiTheme="majorHAnsi" w:hAnsiTheme="majorHAnsi"/>
          <w:sz w:val="16"/>
          <w:szCs w:val="16"/>
          <w:lang w:val="es-ES"/>
        </w:rPr>
        <w:t>4 marzo 2020</w:t>
      </w:r>
      <w:r>
        <w:rPr>
          <w:rFonts w:asciiTheme="majorHAnsi" w:hAnsiTheme="majorHAnsi"/>
          <w:sz w:val="16"/>
          <w:szCs w:val="16"/>
          <w:lang w:val="es-ES"/>
        </w:rPr>
        <w:t xml:space="preserve">, p. 35; </w:t>
      </w:r>
      <w:r w:rsidRPr="003C4FD9">
        <w:rPr>
          <w:rFonts w:asciiTheme="majorHAnsi" w:hAnsiTheme="majorHAnsi"/>
          <w:sz w:val="16"/>
          <w:szCs w:val="16"/>
          <w:lang w:val="es-ES"/>
        </w:rPr>
        <w:t xml:space="preserve">CIDH, Informe No. 16/18, Petición 884-07. Admisibilidad. Victoria Piedad Palacios Tejada de Saavedra. Perú. 24 de febrero de 2018, párr. </w:t>
      </w:r>
      <w:r w:rsidRPr="009A7C54">
        <w:rPr>
          <w:rFonts w:asciiTheme="majorHAnsi" w:hAnsiTheme="majorHAnsi"/>
          <w:sz w:val="16"/>
          <w:szCs w:val="16"/>
          <w:lang w:val="es-ES"/>
        </w:rPr>
        <w:t>12.</w:t>
      </w:r>
    </w:p>
  </w:footnote>
  <w:footnote w:id="8">
    <w:p w14:paraId="1452CC3A" w14:textId="77777777" w:rsidR="00B37C87" w:rsidRPr="0038572B" w:rsidRDefault="00B37C87" w:rsidP="00B37C87">
      <w:pPr>
        <w:pStyle w:val="FootnoteText"/>
        <w:ind w:firstLine="720"/>
        <w:jc w:val="both"/>
        <w:rPr>
          <w:rFonts w:asciiTheme="majorHAnsi" w:hAnsiTheme="majorHAnsi"/>
          <w:sz w:val="16"/>
          <w:szCs w:val="16"/>
          <w:lang w:val="es-ES"/>
        </w:rPr>
      </w:pPr>
      <w:r w:rsidRPr="0038572B">
        <w:rPr>
          <w:rStyle w:val="FootnoteReference"/>
          <w:rFonts w:asciiTheme="majorHAnsi" w:hAnsiTheme="majorHAnsi"/>
          <w:sz w:val="16"/>
          <w:szCs w:val="16"/>
        </w:rPr>
        <w:footnoteRef/>
      </w:r>
      <w:r w:rsidRPr="0004759E">
        <w:rPr>
          <w:rFonts w:asciiTheme="majorHAnsi" w:hAnsiTheme="majorHAnsi"/>
          <w:sz w:val="16"/>
          <w:szCs w:val="16"/>
          <w:lang w:val="es-AR"/>
        </w:rPr>
        <w:t xml:space="preserve"> Véase, </w:t>
      </w:r>
      <w:r w:rsidRPr="0004759E">
        <w:rPr>
          <w:rFonts w:asciiTheme="majorHAnsi" w:hAnsiTheme="majorHAnsi"/>
          <w:i/>
          <w:iCs/>
          <w:sz w:val="16"/>
          <w:szCs w:val="16"/>
          <w:lang w:val="es-AR"/>
        </w:rPr>
        <w:t>v.g.</w:t>
      </w:r>
      <w:r w:rsidRPr="0004759E">
        <w:rPr>
          <w:rFonts w:asciiTheme="majorHAnsi" w:hAnsiTheme="majorHAnsi"/>
          <w:sz w:val="16"/>
          <w:szCs w:val="16"/>
          <w:lang w:val="es-AR"/>
        </w:rPr>
        <w:t xml:space="preserve">, CIDH, Informe No. 245/23. </w:t>
      </w:r>
      <w:r w:rsidRPr="0038572B">
        <w:rPr>
          <w:rFonts w:asciiTheme="majorHAnsi" w:hAnsiTheme="majorHAnsi"/>
          <w:sz w:val="16"/>
          <w:szCs w:val="16"/>
          <w:lang w:val="es-ES"/>
        </w:rPr>
        <w:t>Petición P-1359-11. Admisibilidad. Nelida Manopella y Guillermo Puy. Argentina. 7 de octubre de 2023.</w:t>
      </w:r>
    </w:p>
  </w:footnote>
  <w:footnote w:id="9">
    <w:p w14:paraId="47717B9A" w14:textId="77777777" w:rsidR="00B37C87" w:rsidRPr="0038572B" w:rsidRDefault="00B37C87" w:rsidP="00B37C87">
      <w:pPr>
        <w:pStyle w:val="FootnoteText"/>
        <w:ind w:firstLine="720"/>
        <w:jc w:val="both"/>
        <w:rPr>
          <w:rFonts w:asciiTheme="majorHAnsi" w:hAnsiTheme="majorHAnsi"/>
          <w:sz w:val="16"/>
          <w:szCs w:val="16"/>
          <w:lang w:val="es-ES"/>
        </w:rPr>
      </w:pPr>
      <w:r w:rsidRPr="0038572B">
        <w:rPr>
          <w:rStyle w:val="FootnoteReference"/>
          <w:rFonts w:asciiTheme="majorHAnsi" w:hAnsiTheme="majorHAnsi"/>
          <w:sz w:val="16"/>
          <w:szCs w:val="16"/>
        </w:rPr>
        <w:footnoteRef/>
      </w:r>
      <w:r w:rsidRPr="0038572B">
        <w:rPr>
          <w:rFonts w:asciiTheme="majorHAnsi" w:hAnsiTheme="majorHAnsi"/>
          <w:sz w:val="16"/>
          <w:szCs w:val="16"/>
          <w:lang w:val="es-ES"/>
        </w:rPr>
        <w:t xml:space="preserve"> Véase, </w:t>
      </w:r>
      <w:r w:rsidRPr="0038572B">
        <w:rPr>
          <w:rFonts w:asciiTheme="majorHAnsi" w:hAnsiTheme="majorHAnsi"/>
          <w:i/>
          <w:iCs/>
          <w:sz w:val="16"/>
          <w:szCs w:val="16"/>
          <w:lang w:val="es-ES"/>
        </w:rPr>
        <w:t>v.g.</w:t>
      </w:r>
      <w:r w:rsidRPr="0038572B">
        <w:rPr>
          <w:rFonts w:asciiTheme="majorHAnsi" w:hAnsiTheme="majorHAnsi"/>
          <w:sz w:val="16"/>
          <w:szCs w:val="16"/>
          <w:lang w:val="es-ES"/>
        </w:rPr>
        <w:t xml:space="preserve">, CIDH, Informe No. 147/22. Petición 375-13. Admisibilidad. </w:t>
      </w:r>
      <w:r w:rsidRPr="0038572B">
        <w:rPr>
          <w:rFonts w:asciiTheme="majorHAnsi" w:hAnsiTheme="majorHAnsi"/>
          <w:sz w:val="16"/>
          <w:szCs w:val="16"/>
        </w:rPr>
        <w:t>Miguel Pinedo Vidal. Colombia. 27 de junio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0ECA" w14:textId="77777777" w:rsidR="00B37C87" w:rsidRDefault="00B37C87"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Pr>
        <w:rStyle w:val="PageNumber"/>
        <w:rFonts w:eastAsia="Trebuchet MS"/>
        <w:noProof/>
      </w:rPr>
      <w:t>1</w:t>
    </w:r>
    <w:r>
      <w:rPr>
        <w:rStyle w:val="PageNumber"/>
        <w:rFonts w:eastAsia="Trebuchet MS"/>
      </w:rPr>
      <w:fldChar w:fldCharType="end"/>
    </w:r>
  </w:p>
  <w:p w14:paraId="1CA74688" w14:textId="77777777" w:rsidR="00B37C87" w:rsidRDefault="00B37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F860" w14:textId="77777777" w:rsidR="00B37C87" w:rsidRDefault="00B37C87" w:rsidP="00A50FCF">
    <w:pPr>
      <w:pStyle w:val="Header"/>
      <w:tabs>
        <w:tab w:val="clear" w:pos="4320"/>
        <w:tab w:val="clear" w:pos="8640"/>
      </w:tabs>
      <w:jc w:val="center"/>
      <w:rPr>
        <w:sz w:val="22"/>
        <w:szCs w:val="22"/>
      </w:rPr>
    </w:pPr>
    <w:r>
      <w:rPr>
        <w:noProof/>
        <w:sz w:val="22"/>
        <w:szCs w:val="22"/>
      </w:rPr>
      <w:drawing>
        <wp:inline distT="0" distB="0" distL="0" distR="0" wp14:anchorId="20275FD3" wp14:editId="2193E683">
          <wp:extent cx="1972237" cy="104775"/>
          <wp:effectExtent l="0" t="0" r="9525" b="0"/>
          <wp:docPr id="12" name="Picture 1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ADD2C8E" w14:textId="77777777" w:rsidR="00B37C87" w:rsidRPr="00EC7D62" w:rsidRDefault="00C83F77" w:rsidP="00A50FCF">
    <w:pPr>
      <w:pStyle w:val="Header"/>
      <w:tabs>
        <w:tab w:val="clear" w:pos="4320"/>
        <w:tab w:val="clear" w:pos="8640"/>
      </w:tabs>
      <w:jc w:val="center"/>
      <w:rPr>
        <w:sz w:val="22"/>
        <w:szCs w:val="22"/>
      </w:rPr>
    </w:pPr>
    <w:r>
      <w:rPr>
        <w:sz w:val="22"/>
        <w:szCs w:val="22"/>
      </w:rPr>
      <w:pict w14:anchorId="679F9511">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C83F77" w:rsidP="00A50FCF">
    <w:pPr>
      <w:pStyle w:val="Header"/>
      <w:tabs>
        <w:tab w:val="clear" w:pos="4320"/>
        <w:tab w:val="clear" w:pos="8640"/>
      </w:tabs>
      <w:jc w:val="center"/>
      <w:rPr>
        <w:sz w:val="22"/>
        <w:szCs w:val="22"/>
      </w:rPr>
    </w:pPr>
    <w:r>
      <w:rPr>
        <w:sz w:val="22"/>
        <w:szCs w:val="22"/>
      </w:rPr>
      <w:pict w14:anchorId="43C7E6A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CBC"/>
    <w:multiLevelType w:val="multilevel"/>
    <w:tmpl w:val="A0CEAA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8092AD3"/>
    <w:multiLevelType w:val="multilevel"/>
    <w:tmpl w:val="2DCE97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16962C9"/>
    <w:multiLevelType w:val="multilevel"/>
    <w:tmpl w:val="184C6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7D1"/>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5"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5" w15:restartNumberingAfterBreak="0">
    <w:nsid w:val="7E613455"/>
    <w:multiLevelType w:val="hybridMultilevel"/>
    <w:tmpl w:val="217E4A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6"/>
  </w:num>
  <w:num w:numId="3" w16cid:durableId="1663389590">
    <w:abstractNumId w:val="60"/>
  </w:num>
  <w:num w:numId="4" w16cid:durableId="82342866">
    <w:abstractNumId w:val="22"/>
  </w:num>
  <w:num w:numId="5" w16cid:durableId="1599026591">
    <w:abstractNumId w:val="52"/>
  </w:num>
  <w:num w:numId="6" w16cid:durableId="1795514418">
    <w:abstractNumId w:val="29"/>
  </w:num>
  <w:num w:numId="7" w16cid:durableId="396254">
    <w:abstractNumId w:val="7"/>
  </w:num>
  <w:num w:numId="8" w16cid:durableId="1302268258">
    <w:abstractNumId w:val="18"/>
  </w:num>
  <w:num w:numId="9" w16cid:durableId="669480169">
    <w:abstractNumId w:val="46"/>
  </w:num>
  <w:num w:numId="10" w16cid:durableId="275260533">
    <w:abstractNumId w:val="1"/>
  </w:num>
  <w:num w:numId="11" w16cid:durableId="866258526">
    <w:abstractNumId w:val="40"/>
  </w:num>
  <w:num w:numId="12" w16cid:durableId="171335598">
    <w:abstractNumId w:val="41"/>
  </w:num>
  <w:num w:numId="13" w16cid:durableId="752550714">
    <w:abstractNumId w:val="49"/>
  </w:num>
  <w:num w:numId="14" w16cid:durableId="728965123">
    <w:abstractNumId w:val="2"/>
  </w:num>
  <w:num w:numId="15" w16cid:durableId="1621453753">
    <w:abstractNumId w:val="3"/>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9"/>
  </w:num>
  <w:num w:numId="26" w16cid:durableId="660161155">
    <w:abstractNumId w:val="20"/>
  </w:num>
  <w:num w:numId="27" w16cid:durableId="2016032229">
    <w:abstractNumId w:val="23"/>
  </w:num>
  <w:num w:numId="28" w16cid:durableId="1169757202">
    <w:abstractNumId w:val="24"/>
  </w:num>
  <w:num w:numId="29" w16cid:durableId="1713113596">
    <w:abstractNumId w:val="25"/>
  </w:num>
  <w:num w:numId="30" w16cid:durableId="217321478">
    <w:abstractNumId w:val="27"/>
  </w:num>
  <w:num w:numId="31" w16cid:durableId="2001157105">
    <w:abstractNumId w:val="30"/>
  </w:num>
  <w:num w:numId="32" w16cid:durableId="1680884154">
    <w:abstractNumId w:val="31"/>
  </w:num>
  <w:num w:numId="33" w16cid:durableId="1152284582">
    <w:abstractNumId w:val="32"/>
  </w:num>
  <w:num w:numId="34" w16cid:durableId="676424681">
    <w:abstractNumId w:val="33"/>
  </w:num>
  <w:num w:numId="35" w16cid:durableId="894270057">
    <w:abstractNumId w:val="34"/>
  </w:num>
  <w:num w:numId="36" w16cid:durableId="988172318">
    <w:abstractNumId w:val="36"/>
  </w:num>
  <w:num w:numId="37" w16cid:durableId="550464103">
    <w:abstractNumId w:val="37"/>
  </w:num>
  <w:num w:numId="38" w16cid:durableId="923027620">
    <w:abstractNumId w:val="38"/>
  </w:num>
  <w:num w:numId="39" w16cid:durableId="257376164">
    <w:abstractNumId w:val="42"/>
  </w:num>
  <w:num w:numId="40" w16cid:durableId="1595551088">
    <w:abstractNumId w:val="43"/>
  </w:num>
  <w:num w:numId="41" w16cid:durableId="1901792458">
    <w:abstractNumId w:val="51"/>
  </w:num>
  <w:num w:numId="42" w16cid:durableId="2066679574">
    <w:abstractNumId w:val="53"/>
  </w:num>
  <w:num w:numId="43" w16cid:durableId="1855076713">
    <w:abstractNumId w:val="56"/>
  </w:num>
  <w:num w:numId="44" w16cid:durableId="101000019">
    <w:abstractNumId w:val="58"/>
  </w:num>
  <w:num w:numId="45" w16cid:durableId="1260337889">
    <w:abstractNumId w:val="59"/>
  </w:num>
  <w:num w:numId="46" w16cid:durableId="1866938194">
    <w:abstractNumId w:val="61"/>
  </w:num>
  <w:num w:numId="47" w16cid:durableId="1627587656">
    <w:abstractNumId w:val="62"/>
  </w:num>
  <w:num w:numId="48" w16cid:durableId="43716973">
    <w:abstractNumId w:val="63"/>
  </w:num>
  <w:num w:numId="49" w16cid:durableId="795217068">
    <w:abstractNumId w:val="66"/>
  </w:num>
  <w:num w:numId="50" w16cid:durableId="1981417420">
    <w:abstractNumId w:val="67"/>
  </w:num>
  <w:num w:numId="51" w16cid:durableId="1472405985">
    <w:abstractNumId w:val="21"/>
  </w:num>
  <w:num w:numId="52" w16cid:durableId="1310091464">
    <w:abstractNumId w:val="44"/>
  </w:num>
  <w:num w:numId="53" w16cid:durableId="88084230">
    <w:abstractNumId w:val="57"/>
  </w:num>
  <w:num w:numId="54" w16cid:durableId="1659263601">
    <w:abstractNumId w:val="50"/>
  </w:num>
  <w:num w:numId="55" w16cid:durableId="1823621252">
    <w:abstractNumId w:val="47"/>
  </w:num>
  <w:num w:numId="56" w16cid:durableId="1618171722">
    <w:abstractNumId w:val="28"/>
  </w:num>
  <w:num w:numId="57" w16cid:durableId="979261358">
    <w:abstractNumId w:val="26"/>
  </w:num>
  <w:num w:numId="58" w16cid:durableId="55784951">
    <w:abstractNumId w:val="39"/>
  </w:num>
  <w:num w:numId="59" w16cid:durableId="665792024">
    <w:abstractNumId w:val="64"/>
  </w:num>
  <w:num w:numId="60" w16cid:durableId="712732366">
    <w:abstractNumId w:val="35"/>
  </w:num>
  <w:num w:numId="61" w16cid:durableId="1097671741">
    <w:abstractNumId w:val="48"/>
  </w:num>
  <w:num w:numId="62" w16cid:durableId="1840730130">
    <w:abstractNumId w:val="55"/>
  </w:num>
  <w:num w:numId="63" w16cid:durableId="369187513">
    <w:abstractNumId w:val="4"/>
  </w:num>
  <w:num w:numId="64" w16cid:durableId="1345014131">
    <w:abstractNumId w:val="0"/>
  </w:num>
  <w:num w:numId="65" w16cid:durableId="1022364344">
    <w:abstractNumId w:val="45"/>
  </w:num>
  <w:num w:numId="66" w16cid:durableId="1720862206">
    <w:abstractNumId w:val="17"/>
  </w:num>
  <w:num w:numId="67" w16cid:durableId="679891875">
    <w:abstractNumId w:val="54"/>
  </w:num>
  <w:num w:numId="68" w16cid:durableId="780993025">
    <w:abstractNumId w:val="6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6E1F"/>
    <w:rsid w:val="000070D7"/>
    <w:rsid w:val="00007E23"/>
    <w:rsid w:val="00013182"/>
    <w:rsid w:val="0001788C"/>
    <w:rsid w:val="00017979"/>
    <w:rsid w:val="00024DE3"/>
    <w:rsid w:val="00025725"/>
    <w:rsid w:val="00030ED7"/>
    <w:rsid w:val="00031494"/>
    <w:rsid w:val="00032246"/>
    <w:rsid w:val="000336E7"/>
    <w:rsid w:val="000337EF"/>
    <w:rsid w:val="00040C3A"/>
    <w:rsid w:val="00040EAE"/>
    <w:rsid w:val="000419AD"/>
    <w:rsid w:val="000433C9"/>
    <w:rsid w:val="000444E7"/>
    <w:rsid w:val="0004514E"/>
    <w:rsid w:val="000472C6"/>
    <w:rsid w:val="0004759E"/>
    <w:rsid w:val="000539D5"/>
    <w:rsid w:val="00054D01"/>
    <w:rsid w:val="00057379"/>
    <w:rsid w:val="00062E15"/>
    <w:rsid w:val="000630CE"/>
    <w:rsid w:val="00065AB4"/>
    <w:rsid w:val="00066C33"/>
    <w:rsid w:val="00067BA4"/>
    <w:rsid w:val="00071174"/>
    <w:rsid w:val="000716C5"/>
    <w:rsid w:val="00075E23"/>
    <w:rsid w:val="000769B9"/>
    <w:rsid w:val="00085D2B"/>
    <w:rsid w:val="00091A11"/>
    <w:rsid w:val="00092479"/>
    <w:rsid w:val="0009344A"/>
    <w:rsid w:val="00094203"/>
    <w:rsid w:val="000970F4"/>
    <w:rsid w:val="000A16D0"/>
    <w:rsid w:val="000A392E"/>
    <w:rsid w:val="000A575F"/>
    <w:rsid w:val="000B6575"/>
    <w:rsid w:val="000B66F4"/>
    <w:rsid w:val="000B7730"/>
    <w:rsid w:val="000C7238"/>
    <w:rsid w:val="000C7E9A"/>
    <w:rsid w:val="000D05CB"/>
    <w:rsid w:val="000D10DB"/>
    <w:rsid w:val="000D5CBC"/>
    <w:rsid w:val="000D6704"/>
    <w:rsid w:val="000E361A"/>
    <w:rsid w:val="000E5EB5"/>
    <w:rsid w:val="000E73F0"/>
    <w:rsid w:val="000F35ED"/>
    <w:rsid w:val="000F3D16"/>
    <w:rsid w:val="000F5EE0"/>
    <w:rsid w:val="00100CDB"/>
    <w:rsid w:val="0010550C"/>
    <w:rsid w:val="00107131"/>
    <w:rsid w:val="0010736F"/>
    <w:rsid w:val="00107CF3"/>
    <w:rsid w:val="0011075B"/>
    <w:rsid w:val="0011085F"/>
    <w:rsid w:val="001112E6"/>
    <w:rsid w:val="001123F5"/>
    <w:rsid w:val="00113F73"/>
    <w:rsid w:val="0011794D"/>
    <w:rsid w:val="00121CC2"/>
    <w:rsid w:val="00131425"/>
    <w:rsid w:val="001334BA"/>
    <w:rsid w:val="001336A1"/>
    <w:rsid w:val="00133EE5"/>
    <w:rsid w:val="0014021E"/>
    <w:rsid w:val="001443F7"/>
    <w:rsid w:val="00147696"/>
    <w:rsid w:val="00164460"/>
    <w:rsid w:val="00165562"/>
    <w:rsid w:val="00165CC7"/>
    <w:rsid w:val="00167A34"/>
    <w:rsid w:val="00172C07"/>
    <w:rsid w:val="001741BE"/>
    <w:rsid w:val="001757FF"/>
    <w:rsid w:val="00177297"/>
    <w:rsid w:val="0017734D"/>
    <w:rsid w:val="00190B3C"/>
    <w:rsid w:val="001912DA"/>
    <w:rsid w:val="00191BBD"/>
    <w:rsid w:val="00192BE2"/>
    <w:rsid w:val="001A1420"/>
    <w:rsid w:val="001A3321"/>
    <w:rsid w:val="001A493B"/>
    <w:rsid w:val="001A520D"/>
    <w:rsid w:val="001A5FEE"/>
    <w:rsid w:val="001A71D6"/>
    <w:rsid w:val="001A7870"/>
    <w:rsid w:val="001A7CC7"/>
    <w:rsid w:val="001A7D7B"/>
    <w:rsid w:val="001B3A00"/>
    <w:rsid w:val="001B3E22"/>
    <w:rsid w:val="001B55B1"/>
    <w:rsid w:val="001B6BAC"/>
    <w:rsid w:val="001C1B41"/>
    <w:rsid w:val="001C205F"/>
    <w:rsid w:val="001C5E10"/>
    <w:rsid w:val="001D02A6"/>
    <w:rsid w:val="001D21C7"/>
    <w:rsid w:val="001D2F0F"/>
    <w:rsid w:val="001D368B"/>
    <w:rsid w:val="001D4987"/>
    <w:rsid w:val="001D65EF"/>
    <w:rsid w:val="001E0AA0"/>
    <w:rsid w:val="001E15E7"/>
    <w:rsid w:val="001E49E7"/>
    <w:rsid w:val="001E4BB9"/>
    <w:rsid w:val="001E7268"/>
    <w:rsid w:val="001F0A5A"/>
    <w:rsid w:val="001F3901"/>
    <w:rsid w:val="001F44BF"/>
    <w:rsid w:val="001F4A8F"/>
    <w:rsid w:val="001F7201"/>
    <w:rsid w:val="001F7D9C"/>
    <w:rsid w:val="002007E5"/>
    <w:rsid w:val="00203769"/>
    <w:rsid w:val="00206C91"/>
    <w:rsid w:val="00210E6D"/>
    <w:rsid w:val="002206C6"/>
    <w:rsid w:val="00221AD9"/>
    <w:rsid w:val="00222F86"/>
    <w:rsid w:val="00223A29"/>
    <w:rsid w:val="002249E7"/>
    <w:rsid w:val="002250A3"/>
    <w:rsid w:val="0022523E"/>
    <w:rsid w:val="0022545A"/>
    <w:rsid w:val="002261E0"/>
    <w:rsid w:val="002264B8"/>
    <w:rsid w:val="00234F71"/>
    <w:rsid w:val="00235217"/>
    <w:rsid w:val="00235E51"/>
    <w:rsid w:val="00237C68"/>
    <w:rsid w:val="002410E9"/>
    <w:rsid w:val="00241B96"/>
    <w:rsid w:val="00244158"/>
    <w:rsid w:val="00246D1F"/>
    <w:rsid w:val="002470A6"/>
    <w:rsid w:val="00247403"/>
    <w:rsid w:val="00247542"/>
    <w:rsid w:val="00253993"/>
    <w:rsid w:val="00253A4F"/>
    <w:rsid w:val="0026174C"/>
    <w:rsid w:val="00266B61"/>
    <w:rsid w:val="0026712A"/>
    <w:rsid w:val="002678E1"/>
    <w:rsid w:val="002704DB"/>
    <w:rsid w:val="00274B08"/>
    <w:rsid w:val="00280B37"/>
    <w:rsid w:val="00283BB7"/>
    <w:rsid w:val="00284E46"/>
    <w:rsid w:val="00286ED1"/>
    <w:rsid w:val="002878D8"/>
    <w:rsid w:val="00291B41"/>
    <w:rsid w:val="00292B66"/>
    <w:rsid w:val="002970AF"/>
    <w:rsid w:val="002A0AAE"/>
    <w:rsid w:val="002A5820"/>
    <w:rsid w:val="002A6870"/>
    <w:rsid w:val="002B1533"/>
    <w:rsid w:val="002B15B4"/>
    <w:rsid w:val="002B6756"/>
    <w:rsid w:val="002C3BEC"/>
    <w:rsid w:val="002C533A"/>
    <w:rsid w:val="002D0D7C"/>
    <w:rsid w:val="002D144E"/>
    <w:rsid w:val="002D2B26"/>
    <w:rsid w:val="002D7EA2"/>
    <w:rsid w:val="002E0D9D"/>
    <w:rsid w:val="002E0DBE"/>
    <w:rsid w:val="002E187C"/>
    <w:rsid w:val="002E39F7"/>
    <w:rsid w:val="002E5103"/>
    <w:rsid w:val="002E516C"/>
    <w:rsid w:val="002E733F"/>
    <w:rsid w:val="002E7C7F"/>
    <w:rsid w:val="002E7F86"/>
    <w:rsid w:val="002F0A58"/>
    <w:rsid w:val="002F3F5C"/>
    <w:rsid w:val="002F3F8C"/>
    <w:rsid w:val="002F4386"/>
    <w:rsid w:val="002F5D52"/>
    <w:rsid w:val="00301316"/>
    <w:rsid w:val="00302733"/>
    <w:rsid w:val="003040AB"/>
    <w:rsid w:val="00304171"/>
    <w:rsid w:val="0030563B"/>
    <w:rsid w:val="00305835"/>
    <w:rsid w:val="00306F33"/>
    <w:rsid w:val="00314078"/>
    <w:rsid w:val="0031535D"/>
    <w:rsid w:val="003239B8"/>
    <w:rsid w:val="003248A6"/>
    <w:rsid w:val="00327003"/>
    <w:rsid w:val="003301DE"/>
    <w:rsid w:val="0033169F"/>
    <w:rsid w:val="00332232"/>
    <w:rsid w:val="00334BF5"/>
    <w:rsid w:val="00337472"/>
    <w:rsid w:val="00344977"/>
    <w:rsid w:val="003459D0"/>
    <w:rsid w:val="00346C95"/>
    <w:rsid w:val="00350D2D"/>
    <w:rsid w:val="003523F5"/>
    <w:rsid w:val="00356185"/>
    <w:rsid w:val="003568AD"/>
    <w:rsid w:val="00357269"/>
    <w:rsid w:val="00360380"/>
    <w:rsid w:val="00363074"/>
    <w:rsid w:val="003744E8"/>
    <w:rsid w:val="0037519E"/>
    <w:rsid w:val="0037725C"/>
    <w:rsid w:val="00380295"/>
    <w:rsid w:val="0038323E"/>
    <w:rsid w:val="0038572B"/>
    <w:rsid w:val="00386CF0"/>
    <w:rsid w:val="0039052A"/>
    <w:rsid w:val="003A4D4D"/>
    <w:rsid w:val="003A5780"/>
    <w:rsid w:val="003B15CE"/>
    <w:rsid w:val="003B70FB"/>
    <w:rsid w:val="003B7105"/>
    <w:rsid w:val="003C0D9B"/>
    <w:rsid w:val="003C4FD9"/>
    <w:rsid w:val="003C676B"/>
    <w:rsid w:val="003D2841"/>
    <w:rsid w:val="003D31E7"/>
    <w:rsid w:val="003D337C"/>
    <w:rsid w:val="003D39B9"/>
    <w:rsid w:val="003D3BC2"/>
    <w:rsid w:val="003D67A9"/>
    <w:rsid w:val="003D6A1D"/>
    <w:rsid w:val="003E51E9"/>
    <w:rsid w:val="003E6CA1"/>
    <w:rsid w:val="003F333E"/>
    <w:rsid w:val="003F48E9"/>
    <w:rsid w:val="003F5154"/>
    <w:rsid w:val="003F6B0E"/>
    <w:rsid w:val="00405F9C"/>
    <w:rsid w:val="004065A8"/>
    <w:rsid w:val="00410B10"/>
    <w:rsid w:val="00412273"/>
    <w:rsid w:val="00412879"/>
    <w:rsid w:val="004165C2"/>
    <w:rsid w:val="00416A6D"/>
    <w:rsid w:val="004205D0"/>
    <w:rsid w:val="0042101C"/>
    <w:rsid w:val="004241A0"/>
    <w:rsid w:val="004268A8"/>
    <w:rsid w:val="00427B38"/>
    <w:rsid w:val="00441ECB"/>
    <w:rsid w:val="00445193"/>
    <w:rsid w:val="004474EB"/>
    <w:rsid w:val="0045796E"/>
    <w:rsid w:val="00457C3C"/>
    <w:rsid w:val="00461C5E"/>
    <w:rsid w:val="00462C1B"/>
    <w:rsid w:val="00463AD9"/>
    <w:rsid w:val="004666EB"/>
    <w:rsid w:val="00467B7E"/>
    <w:rsid w:val="00473BB4"/>
    <w:rsid w:val="00477592"/>
    <w:rsid w:val="004803DE"/>
    <w:rsid w:val="00480DE8"/>
    <w:rsid w:val="00486F1C"/>
    <w:rsid w:val="004917AB"/>
    <w:rsid w:val="00491908"/>
    <w:rsid w:val="0049419D"/>
    <w:rsid w:val="004A057B"/>
    <w:rsid w:val="004A1A74"/>
    <w:rsid w:val="004A230D"/>
    <w:rsid w:val="004A6A54"/>
    <w:rsid w:val="004B2C41"/>
    <w:rsid w:val="004B421C"/>
    <w:rsid w:val="004B45D0"/>
    <w:rsid w:val="004B5553"/>
    <w:rsid w:val="004C20D2"/>
    <w:rsid w:val="004C2312"/>
    <w:rsid w:val="004C27D6"/>
    <w:rsid w:val="004C2EC9"/>
    <w:rsid w:val="004C4B62"/>
    <w:rsid w:val="004C54C9"/>
    <w:rsid w:val="004D4ABA"/>
    <w:rsid w:val="004D5510"/>
    <w:rsid w:val="004D6025"/>
    <w:rsid w:val="004D687F"/>
    <w:rsid w:val="004E013A"/>
    <w:rsid w:val="004E1AB4"/>
    <w:rsid w:val="004E2649"/>
    <w:rsid w:val="004F1840"/>
    <w:rsid w:val="004F19BE"/>
    <w:rsid w:val="004F1B17"/>
    <w:rsid w:val="004F626F"/>
    <w:rsid w:val="00501399"/>
    <w:rsid w:val="005040B1"/>
    <w:rsid w:val="005047ED"/>
    <w:rsid w:val="00505322"/>
    <w:rsid w:val="0050633D"/>
    <w:rsid w:val="00507343"/>
    <w:rsid w:val="00507BC4"/>
    <w:rsid w:val="005128E4"/>
    <w:rsid w:val="005133DB"/>
    <w:rsid w:val="00514504"/>
    <w:rsid w:val="0051453E"/>
    <w:rsid w:val="005166E6"/>
    <w:rsid w:val="00516EF3"/>
    <w:rsid w:val="00521E1F"/>
    <w:rsid w:val="005240FE"/>
    <w:rsid w:val="00525560"/>
    <w:rsid w:val="00532EBC"/>
    <w:rsid w:val="00535856"/>
    <w:rsid w:val="00535BE0"/>
    <w:rsid w:val="005403A2"/>
    <w:rsid w:val="00542AE5"/>
    <w:rsid w:val="00544C49"/>
    <w:rsid w:val="005458E4"/>
    <w:rsid w:val="005503AA"/>
    <w:rsid w:val="005511FD"/>
    <w:rsid w:val="005516A1"/>
    <w:rsid w:val="0055373E"/>
    <w:rsid w:val="0055521B"/>
    <w:rsid w:val="005558E8"/>
    <w:rsid w:val="005559EF"/>
    <w:rsid w:val="005612B8"/>
    <w:rsid w:val="005627DD"/>
    <w:rsid w:val="00563557"/>
    <w:rsid w:val="00564A4E"/>
    <w:rsid w:val="0057402A"/>
    <w:rsid w:val="00575E01"/>
    <w:rsid w:val="005771D0"/>
    <w:rsid w:val="00585D5C"/>
    <w:rsid w:val="0059191A"/>
    <w:rsid w:val="005921FF"/>
    <w:rsid w:val="005A24ED"/>
    <w:rsid w:val="005A6D0E"/>
    <w:rsid w:val="005B039F"/>
    <w:rsid w:val="005B2E0D"/>
    <w:rsid w:val="005B4A7C"/>
    <w:rsid w:val="005B52B0"/>
    <w:rsid w:val="005B6806"/>
    <w:rsid w:val="005C4225"/>
    <w:rsid w:val="005C57C4"/>
    <w:rsid w:val="005D362D"/>
    <w:rsid w:val="005D6A88"/>
    <w:rsid w:val="005D70AA"/>
    <w:rsid w:val="005E310F"/>
    <w:rsid w:val="005E7B9A"/>
    <w:rsid w:val="005F0DAD"/>
    <w:rsid w:val="005F0F33"/>
    <w:rsid w:val="005F20D6"/>
    <w:rsid w:val="005F22AE"/>
    <w:rsid w:val="005F3724"/>
    <w:rsid w:val="00600355"/>
    <w:rsid w:val="00600DEB"/>
    <w:rsid w:val="00603BA0"/>
    <w:rsid w:val="00603E64"/>
    <w:rsid w:val="006051A0"/>
    <w:rsid w:val="006114A0"/>
    <w:rsid w:val="00612AA0"/>
    <w:rsid w:val="0061461E"/>
    <w:rsid w:val="00620330"/>
    <w:rsid w:val="006269E0"/>
    <w:rsid w:val="00627562"/>
    <w:rsid w:val="00627C9F"/>
    <w:rsid w:val="006311E9"/>
    <w:rsid w:val="00632354"/>
    <w:rsid w:val="006346B6"/>
    <w:rsid w:val="00634772"/>
    <w:rsid w:val="00635421"/>
    <w:rsid w:val="00635B94"/>
    <w:rsid w:val="00637038"/>
    <w:rsid w:val="00637275"/>
    <w:rsid w:val="006404C3"/>
    <w:rsid w:val="00642810"/>
    <w:rsid w:val="00652333"/>
    <w:rsid w:val="00652938"/>
    <w:rsid w:val="006543A3"/>
    <w:rsid w:val="00660E83"/>
    <w:rsid w:val="00664052"/>
    <w:rsid w:val="00667519"/>
    <w:rsid w:val="006713A5"/>
    <w:rsid w:val="006718A4"/>
    <w:rsid w:val="006721DA"/>
    <w:rsid w:val="00673C7E"/>
    <w:rsid w:val="0067683B"/>
    <w:rsid w:val="00676B28"/>
    <w:rsid w:val="0068009E"/>
    <w:rsid w:val="00682474"/>
    <w:rsid w:val="00685450"/>
    <w:rsid w:val="00686178"/>
    <w:rsid w:val="00692219"/>
    <w:rsid w:val="00693EB9"/>
    <w:rsid w:val="006A17D2"/>
    <w:rsid w:val="006A1AEA"/>
    <w:rsid w:val="006A1FDE"/>
    <w:rsid w:val="006A2CE3"/>
    <w:rsid w:val="006A516A"/>
    <w:rsid w:val="006A6342"/>
    <w:rsid w:val="006A73E6"/>
    <w:rsid w:val="006B1063"/>
    <w:rsid w:val="006B23D7"/>
    <w:rsid w:val="006B2D5C"/>
    <w:rsid w:val="006C0ECF"/>
    <w:rsid w:val="006C1C8C"/>
    <w:rsid w:val="006C4EB1"/>
    <w:rsid w:val="006C5274"/>
    <w:rsid w:val="006D51B7"/>
    <w:rsid w:val="006E0166"/>
    <w:rsid w:val="006E16B1"/>
    <w:rsid w:val="006E2FFB"/>
    <w:rsid w:val="006E3BAD"/>
    <w:rsid w:val="006E7B34"/>
    <w:rsid w:val="006F4B46"/>
    <w:rsid w:val="00705CFF"/>
    <w:rsid w:val="00706596"/>
    <w:rsid w:val="0070697F"/>
    <w:rsid w:val="007103C4"/>
    <w:rsid w:val="00712D48"/>
    <w:rsid w:val="00715C19"/>
    <w:rsid w:val="00721863"/>
    <w:rsid w:val="0072199C"/>
    <w:rsid w:val="0072288A"/>
    <w:rsid w:val="00722C9F"/>
    <w:rsid w:val="00723817"/>
    <w:rsid w:val="007253B8"/>
    <w:rsid w:val="0073487D"/>
    <w:rsid w:val="00737314"/>
    <w:rsid w:val="0073741F"/>
    <w:rsid w:val="00737ED2"/>
    <w:rsid w:val="007456EC"/>
    <w:rsid w:val="00747819"/>
    <w:rsid w:val="00750BAB"/>
    <w:rsid w:val="00752F03"/>
    <w:rsid w:val="0075590E"/>
    <w:rsid w:val="00760A07"/>
    <w:rsid w:val="00763720"/>
    <w:rsid w:val="00765666"/>
    <w:rsid w:val="0076643F"/>
    <w:rsid w:val="007667CB"/>
    <w:rsid w:val="00766BBA"/>
    <w:rsid w:val="007720FF"/>
    <w:rsid w:val="007760FF"/>
    <w:rsid w:val="007768D8"/>
    <w:rsid w:val="00777F63"/>
    <w:rsid w:val="00780790"/>
    <w:rsid w:val="00785B6C"/>
    <w:rsid w:val="00785C39"/>
    <w:rsid w:val="00790698"/>
    <w:rsid w:val="00791DD3"/>
    <w:rsid w:val="00793F1C"/>
    <w:rsid w:val="00795B50"/>
    <w:rsid w:val="007A2194"/>
    <w:rsid w:val="007A39B0"/>
    <w:rsid w:val="007A5817"/>
    <w:rsid w:val="007B05C4"/>
    <w:rsid w:val="007B44CC"/>
    <w:rsid w:val="007B53DD"/>
    <w:rsid w:val="007B60E9"/>
    <w:rsid w:val="007B6595"/>
    <w:rsid w:val="007B6976"/>
    <w:rsid w:val="007B6CC3"/>
    <w:rsid w:val="007B76D3"/>
    <w:rsid w:val="007B79D5"/>
    <w:rsid w:val="007C3334"/>
    <w:rsid w:val="007C55DF"/>
    <w:rsid w:val="007C6179"/>
    <w:rsid w:val="007C6835"/>
    <w:rsid w:val="007D1789"/>
    <w:rsid w:val="007D2B98"/>
    <w:rsid w:val="007E16F7"/>
    <w:rsid w:val="007E21BC"/>
    <w:rsid w:val="007E26CD"/>
    <w:rsid w:val="007E64CF"/>
    <w:rsid w:val="007E6888"/>
    <w:rsid w:val="007E7592"/>
    <w:rsid w:val="007E778E"/>
    <w:rsid w:val="007E7C82"/>
    <w:rsid w:val="007F01D7"/>
    <w:rsid w:val="007F2AA1"/>
    <w:rsid w:val="007F588D"/>
    <w:rsid w:val="00803F1C"/>
    <w:rsid w:val="0080600E"/>
    <w:rsid w:val="00806116"/>
    <w:rsid w:val="008113D7"/>
    <w:rsid w:val="00814688"/>
    <w:rsid w:val="00815CDC"/>
    <w:rsid w:val="008165F7"/>
    <w:rsid w:val="00817612"/>
    <w:rsid w:val="00817A45"/>
    <w:rsid w:val="008314CE"/>
    <w:rsid w:val="008338A4"/>
    <w:rsid w:val="00834D49"/>
    <w:rsid w:val="00837C45"/>
    <w:rsid w:val="00841CD0"/>
    <w:rsid w:val="0084236E"/>
    <w:rsid w:val="00842A71"/>
    <w:rsid w:val="00842B5B"/>
    <w:rsid w:val="008431BA"/>
    <w:rsid w:val="0084454F"/>
    <w:rsid w:val="00844730"/>
    <w:rsid w:val="008457C2"/>
    <w:rsid w:val="00847767"/>
    <w:rsid w:val="008517BC"/>
    <w:rsid w:val="008573A7"/>
    <w:rsid w:val="00857919"/>
    <w:rsid w:val="00857A82"/>
    <w:rsid w:val="008611DF"/>
    <w:rsid w:val="00861490"/>
    <w:rsid w:val="00861563"/>
    <w:rsid w:val="00872CBE"/>
    <w:rsid w:val="00873836"/>
    <w:rsid w:val="008778B7"/>
    <w:rsid w:val="0088151D"/>
    <w:rsid w:val="0088228F"/>
    <w:rsid w:val="00882A97"/>
    <w:rsid w:val="00885737"/>
    <w:rsid w:val="00890650"/>
    <w:rsid w:val="00891115"/>
    <w:rsid w:val="008917DE"/>
    <w:rsid w:val="00892AD5"/>
    <w:rsid w:val="008944DC"/>
    <w:rsid w:val="00895F48"/>
    <w:rsid w:val="00897E12"/>
    <w:rsid w:val="008A39C8"/>
    <w:rsid w:val="008A73D0"/>
    <w:rsid w:val="008A7E0F"/>
    <w:rsid w:val="008B089E"/>
    <w:rsid w:val="008B12F5"/>
    <w:rsid w:val="008B6505"/>
    <w:rsid w:val="008C5E2D"/>
    <w:rsid w:val="008D288A"/>
    <w:rsid w:val="008D768D"/>
    <w:rsid w:val="008E2546"/>
    <w:rsid w:val="008E3759"/>
    <w:rsid w:val="008E3BFE"/>
    <w:rsid w:val="008E3F88"/>
    <w:rsid w:val="008E66C5"/>
    <w:rsid w:val="008F1912"/>
    <w:rsid w:val="008F4A6F"/>
    <w:rsid w:val="009013FD"/>
    <w:rsid w:val="0090270B"/>
    <w:rsid w:val="009041DC"/>
    <w:rsid w:val="00906AA1"/>
    <w:rsid w:val="00913A84"/>
    <w:rsid w:val="00917B5A"/>
    <w:rsid w:val="00920A58"/>
    <w:rsid w:val="00920A8C"/>
    <w:rsid w:val="00934229"/>
    <w:rsid w:val="00934A2C"/>
    <w:rsid w:val="009370E2"/>
    <w:rsid w:val="0095139A"/>
    <w:rsid w:val="00955D72"/>
    <w:rsid w:val="00957C0E"/>
    <w:rsid w:val="0096706E"/>
    <w:rsid w:val="009674E4"/>
    <w:rsid w:val="00973A6E"/>
    <w:rsid w:val="00973F6A"/>
    <w:rsid w:val="00974312"/>
    <w:rsid w:val="00974491"/>
    <w:rsid w:val="00975C4E"/>
    <w:rsid w:val="009773CC"/>
    <w:rsid w:val="009777F6"/>
    <w:rsid w:val="00981FBA"/>
    <w:rsid w:val="00982364"/>
    <w:rsid w:val="00983760"/>
    <w:rsid w:val="009840C7"/>
    <w:rsid w:val="00997BC5"/>
    <w:rsid w:val="009A039A"/>
    <w:rsid w:val="009A4F41"/>
    <w:rsid w:val="009A7C54"/>
    <w:rsid w:val="009B0226"/>
    <w:rsid w:val="009B107B"/>
    <w:rsid w:val="009B2969"/>
    <w:rsid w:val="009B381B"/>
    <w:rsid w:val="009B5F53"/>
    <w:rsid w:val="009B7B09"/>
    <w:rsid w:val="009C009E"/>
    <w:rsid w:val="009C71A1"/>
    <w:rsid w:val="009D15CA"/>
    <w:rsid w:val="009D1753"/>
    <w:rsid w:val="009D2D7C"/>
    <w:rsid w:val="009D30CA"/>
    <w:rsid w:val="009D7611"/>
    <w:rsid w:val="009E0B61"/>
    <w:rsid w:val="009E1C1A"/>
    <w:rsid w:val="009E4AE6"/>
    <w:rsid w:val="009E53DE"/>
    <w:rsid w:val="009E7F46"/>
    <w:rsid w:val="009F74EF"/>
    <w:rsid w:val="00A004BB"/>
    <w:rsid w:val="00A03C11"/>
    <w:rsid w:val="00A04DF9"/>
    <w:rsid w:val="00A11212"/>
    <w:rsid w:val="00A11E44"/>
    <w:rsid w:val="00A13484"/>
    <w:rsid w:val="00A1740A"/>
    <w:rsid w:val="00A20986"/>
    <w:rsid w:val="00A21438"/>
    <w:rsid w:val="00A2366E"/>
    <w:rsid w:val="00A2403D"/>
    <w:rsid w:val="00A2648A"/>
    <w:rsid w:val="00A30100"/>
    <w:rsid w:val="00A328B3"/>
    <w:rsid w:val="00A3329B"/>
    <w:rsid w:val="00A34797"/>
    <w:rsid w:val="00A364D2"/>
    <w:rsid w:val="00A41EE2"/>
    <w:rsid w:val="00A42CE5"/>
    <w:rsid w:val="00A50FCF"/>
    <w:rsid w:val="00A528D1"/>
    <w:rsid w:val="00A53688"/>
    <w:rsid w:val="00A54CEE"/>
    <w:rsid w:val="00A55668"/>
    <w:rsid w:val="00A610CD"/>
    <w:rsid w:val="00A63DCF"/>
    <w:rsid w:val="00A64D2B"/>
    <w:rsid w:val="00A64DB8"/>
    <w:rsid w:val="00A654BB"/>
    <w:rsid w:val="00A734DC"/>
    <w:rsid w:val="00A758AA"/>
    <w:rsid w:val="00A7706E"/>
    <w:rsid w:val="00A84241"/>
    <w:rsid w:val="00A9343F"/>
    <w:rsid w:val="00A955F6"/>
    <w:rsid w:val="00A95FC1"/>
    <w:rsid w:val="00A96DAD"/>
    <w:rsid w:val="00AA0573"/>
    <w:rsid w:val="00AA09A2"/>
    <w:rsid w:val="00AA3F5E"/>
    <w:rsid w:val="00AA6323"/>
    <w:rsid w:val="00AA7996"/>
    <w:rsid w:val="00AA7EAD"/>
    <w:rsid w:val="00AB3141"/>
    <w:rsid w:val="00AB47A5"/>
    <w:rsid w:val="00AC01A2"/>
    <w:rsid w:val="00AC01CD"/>
    <w:rsid w:val="00AC19CB"/>
    <w:rsid w:val="00AC5AE7"/>
    <w:rsid w:val="00AC7FE3"/>
    <w:rsid w:val="00AD40BB"/>
    <w:rsid w:val="00AD468A"/>
    <w:rsid w:val="00AD4D75"/>
    <w:rsid w:val="00AE34B7"/>
    <w:rsid w:val="00AE5488"/>
    <w:rsid w:val="00AE5A55"/>
    <w:rsid w:val="00AE62FC"/>
    <w:rsid w:val="00AE6F91"/>
    <w:rsid w:val="00AF068A"/>
    <w:rsid w:val="00AF196B"/>
    <w:rsid w:val="00AF1AF9"/>
    <w:rsid w:val="00AF5571"/>
    <w:rsid w:val="00AF7199"/>
    <w:rsid w:val="00B013B6"/>
    <w:rsid w:val="00B0247A"/>
    <w:rsid w:val="00B050D2"/>
    <w:rsid w:val="00B06FF5"/>
    <w:rsid w:val="00B07341"/>
    <w:rsid w:val="00B10793"/>
    <w:rsid w:val="00B12D92"/>
    <w:rsid w:val="00B2084E"/>
    <w:rsid w:val="00B30539"/>
    <w:rsid w:val="00B3126F"/>
    <w:rsid w:val="00B314DB"/>
    <w:rsid w:val="00B361F2"/>
    <w:rsid w:val="00B3718B"/>
    <w:rsid w:val="00B3745F"/>
    <w:rsid w:val="00B37C87"/>
    <w:rsid w:val="00B42C02"/>
    <w:rsid w:val="00B4632A"/>
    <w:rsid w:val="00B530F1"/>
    <w:rsid w:val="00B555E8"/>
    <w:rsid w:val="00B81C81"/>
    <w:rsid w:val="00B83158"/>
    <w:rsid w:val="00B8367C"/>
    <w:rsid w:val="00B8394D"/>
    <w:rsid w:val="00B862F9"/>
    <w:rsid w:val="00B87101"/>
    <w:rsid w:val="00B909C7"/>
    <w:rsid w:val="00B90BF3"/>
    <w:rsid w:val="00B91073"/>
    <w:rsid w:val="00B93D7F"/>
    <w:rsid w:val="00B9716F"/>
    <w:rsid w:val="00BA2401"/>
    <w:rsid w:val="00BA276C"/>
    <w:rsid w:val="00BA27E4"/>
    <w:rsid w:val="00BA383F"/>
    <w:rsid w:val="00BB019D"/>
    <w:rsid w:val="00BB27F4"/>
    <w:rsid w:val="00BB306F"/>
    <w:rsid w:val="00BB469B"/>
    <w:rsid w:val="00BB562C"/>
    <w:rsid w:val="00BB66C8"/>
    <w:rsid w:val="00BB6B26"/>
    <w:rsid w:val="00BC31F2"/>
    <w:rsid w:val="00BC3E52"/>
    <w:rsid w:val="00BC3F49"/>
    <w:rsid w:val="00BD021E"/>
    <w:rsid w:val="00BD0FF5"/>
    <w:rsid w:val="00BD4655"/>
    <w:rsid w:val="00BD4B89"/>
    <w:rsid w:val="00BD5922"/>
    <w:rsid w:val="00BE2FF6"/>
    <w:rsid w:val="00BE6456"/>
    <w:rsid w:val="00BF02CB"/>
    <w:rsid w:val="00BF59B6"/>
    <w:rsid w:val="00BF6FD8"/>
    <w:rsid w:val="00C01FC4"/>
    <w:rsid w:val="00C0212B"/>
    <w:rsid w:val="00C02CBF"/>
    <w:rsid w:val="00C03680"/>
    <w:rsid w:val="00C054DF"/>
    <w:rsid w:val="00C07B9F"/>
    <w:rsid w:val="00C10E34"/>
    <w:rsid w:val="00C1137B"/>
    <w:rsid w:val="00C1717D"/>
    <w:rsid w:val="00C177C8"/>
    <w:rsid w:val="00C21762"/>
    <w:rsid w:val="00C219A1"/>
    <w:rsid w:val="00C21FEF"/>
    <w:rsid w:val="00C224B8"/>
    <w:rsid w:val="00C23BA4"/>
    <w:rsid w:val="00C24543"/>
    <w:rsid w:val="00C256A2"/>
    <w:rsid w:val="00C25ADB"/>
    <w:rsid w:val="00C2693B"/>
    <w:rsid w:val="00C318F3"/>
    <w:rsid w:val="00C3243D"/>
    <w:rsid w:val="00C51515"/>
    <w:rsid w:val="00C51BE0"/>
    <w:rsid w:val="00C5342D"/>
    <w:rsid w:val="00C5660B"/>
    <w:rsid w:val="00C56831"/>
    <w:rsid w:val="00C64F8D"/>
    <w:rsid w:val="00C66B72"/>
    <w:rsid w:val="00C70619"/>
    <w:rsid w:val="00C720E8"/>
    <w:rsid w:val="00C721DB"/>
    <w:rsid w:val="00C73B1C"/>
    <w:rsid w:val="00C74882"/>
    <w:rsid w:val="00C76CAA"/>
    <w:rsid w:val="00C80AB6"/>
    <w:rsid w:val="00C81094"/>
    <w:rsid w:val="00C813A3"/>
    <w:rsid w:val="00C8359E"/>
    <w:rsid w:val="00C83F77"/>
    <w:rsid w:val="00C866C7"/>
    <w:rsid w:val="00C87AC4"/>
    <w:rsid w:val="00C9124E"/>
    <w:rsid w:val="00C91C88"/>
    <w:rsid w:val="00C92925"/>
    <w:rsid w:val="00C9567A"/>
    <w:rsid w:val="00CA6976"/>
    <w:rsid w:val="00CB16C7"/>
    <w:rsid w:val="00CB212D"/>
    <w:rsid w:val="00CB22B8"/>
    <w:rsid w:val="00CB2660"/>
    <w:rsid w:val="00CB31A7"/>
    <w:rsid w:val="00CB3F74"/>
    <w:rsid w:val="00CB7424"/>
    <w:rsid w:val="00CB7C8F"/>
    <w:rsid w:val="00CC5E90"/>
    <w:rsid w:val="00CD046C"/>
    <w:rsid w:val="00CD443B"/>
    <w:rsid w:val="00CD6F28"/>
    <w:rsid w:val="00CE076C"/>
    <w:rsid w:val="00CE0C66"/>
    <w:rsid w:val="00CE4A5B"/>
    <w:rsid w:val="00CE5199"/>
    <w:rsid w:val="00CE66D5"/>
    <w:rsid w:val="00CE7AB7"/>
    <w:rsid w:val="00CF6174"/>
    <w:rsid w:val="00CF637A"/>
    <w:rsid w:val="00D001B5"/>
    <w:rsid w:val="00D02C81"/>
    <w:rsid w:val="00D04EC2"/>
    <w:rsid w:val="00D059DE"/>
    <w:rsid w:val="00D05ABD"/>
    <w:rsid w:val="00D13321"/>
    <w:rsid w:val="00D13FCE"/>
    <w:rsid w:val="00D17646"/>
    <w:rsid w:val="00D26AD6"/>
    <w:rsid w:val="00D27519"/>
    <w:rsid w:val="00D306D1"/>
    <w:rsid w:val="00D30800"/>
    <w:rsid w:val="00D34786"/>
    <w:rsid w:val="00D37BFC"/>
    <w:rsid w:val="00D4583B"/>
    <w:rsid w:val="00D471A2"/>
    <w:rsid w:val="00D47A8E"/>
    <w:rsid w:val="00D52D14"/>
    <w:rsid w:val="00D57C4B"/>
    <w:rsid w:val="00D6739A"/>
    <w:rsid w:val="00D67C22"/>
    <w:rsid w:val="00D712D3"/>
    <w:rsid w:val="00D71422"/>
    <w:rsid w:val="00D72DC6"/>
    <w:rsid w:val="00D7558D"/>
    <w:rsid w:val="00D81D92"/>
    <w:rsid w:val="00D844B4"/>
    <w:rsid w:val="00D84B93"/>
    <w:rsid w:val="00D8769D"/>
    <w:rsid w:val="00D876F9"/>
    <w:rsid w:val="00D87AC2"/>
    <w:rsid w:val="00D9268E"/>
    <w:rsid w:val="00D92F63"/>
    <w:rsid w:val="00D9403D"/>
    <w:rsid w:val="00D958A8"/>
    <w:rsid w:val="00DA0257"/>
    <w:rsid w:val="00DA647E"/>
    <w:rsid w:val="00DA77C2"/>
    <w:rsid w:val="00DA7B5F"/>
    <w:rsid w:val="00DB2530"/>
    <w:rsid w:val="00DB27E3"/>
    <w:rsid w:val="00DC0B0B"/>
    <w:rsid w:val="00DC11E7"/>
    <w:rsid w:val="00DC24E3"/>
    <w:rsid w:val="00DC466A"/>
    <w:rsid w:val="00DC7023"/>
    <w:rsid w:val="00DC769A"/>
    <w:rsid w:val="00DC7950"/>
    <w:rsid w:val="00DD227E"/>
    <w:rsid w:val="00DD3D86"/>
    <w:rsid w:val="00DD4AD2"/>
    <w:rsid w:val="00DD7D0F"/>
    <w:rsid w:val="00DE0A58"/>
    <w:rsid w:val="00DE10D7"/>
    <w:rsid w:val="00DE2862"/>
    <w:rsid w:val="00DE2B30"/>
    <w:rsid w:val="00DF1EC4"/>
    <w:rsid w:val="00DF1F36"/>
    <w:rsid w:val="00DF2D53"/>
    <w:rsid w:val="00DF2FFA"/>
    <w:rsid w:val="00DF4D42"/>
    <w:rsid w:val="00E01237"/>
    <w:rsid w:val="00E017C5"/>
    <w:rsid w:val="00E01C97"/>
    <w:rsid w:val="00E0340B"/>
    <w:rsid w:val="00E0371E"/>
    <w:rsid w:val="00E04A29"/>
    <w:rsid w:val="00E04A90"/>
    <w:rsid w:val="00E0551F"/>
    <w:rsid w:val="00E07E2B"/>
    <w:rsid w:val="00E15774"/>
    <w:rsid w:val="00E173BF"/>
    <w:rsid w:val="00E17433"/>
    <w:rsid w:val="00E219C7"/>
    <w:rsid w:val="00E21ED9"/>
    <w:rsid w:val="00E22230"/>
    <w:rsid w:val="00E2321A"/>
    <w:rsid w:val="00E247AD"/>
    <w:rsid w:val="00E24925"/>
    <w:rsid w:val="00E265E3"/>
    <w:rsid w:val="00E27DF3"/>
    <w:rsid w:val="00E300D7"/>
    <w:rsid w:val="00E313D1"/>
    <w:rsid w:val="00E31E56"/>
    <w:rsid w:val="00E348B6"/>
    <w:rsid w:val="00E375DF"/>
    <w:rsid w:val="00E40CE4"/>
    <w:rsid w:val="00E40E47"/>
    <w:rsid w:val="00E4118C"/>
    <w:rsid w:val="00E411DE"/>
    <w:rsid w:val="00E421FA"/>
    <w:rsid w:val="00E42404"/>
    <w:rsid w:val="00E43157"/>
    <w:rsid w:val="00E461CE"/>
    <w:rsid w:val="00E54FF5"/>
    <w:rsid w:val="00E56336"/>
    <w:rsid w:val="00E573E4"/>
    <w:rsid w:val="00E64C3D"/>
    <w:rsid w:val="00E64E86"/>
    <w:rsid w:val="00E659E3"/>
    <w:rsid w:val="00E7107A"/>
    <w:rsid w:val="00E720CA"/>
    <w:rsid w:val="00E7716C"/>
    <w:rsid w:val="00E811FD"/>
    <w:rsid w:val="00E84EB5"/>
    <w:rsid w:val="00E85662"/>
    <w:rsid w:val="00E8789F"/>
    <w:rsid w:val="00E907CA"/>
    <w:rsid w:val="00E91BCA"/>
    <w:rsid w:val="00E935E0"/>
    <w:rsid w:val="00E9667E"/>
    <w:rsid w:val="00E97B71"/>
    <w:rsid w:val="00EA26F0"/>
    <w:rsid w:val="00EA3D34"/>
    <w:rsid w:val="00EA5E51"/>
    <w:rsid w:val="00EA641E"/>
    <w:rsid w:val="00EB0BBE"/>
    <w:rsid w:val="00EB0D15"/>
    <w:rsid w:val="00EB454D"/>
    <w:rsid w:val="00EB77C7"/>
    <w:rsid w:val="00EC3C33"/>
    <w:rsid w:val="00ED0D11"/>
    <w:rsid w:val="00ED18E2"/>
    <w:rsid w:val="00ED549D"/>
    <w:rsid w:val="00ED5E10"/>
    <w:rsid w:val="00ED76BE"/>
    <w:rsid w:val="00EE00E9"/>
    <w:rsid w:val="00EE0451"/>
    <w:rsid w:val="00EE36C0"/>
    <w:rsid w:val="00EE4586"/>
    <w:rsid w:val="00EF0606"/>
    <w:rsid w:val="00EF1AAA"/>
    <w:rsid w:val="00EF2205"/>
    <w:rsid w:val="00EF4ED0"/>
    <w:rsid w:val="00EF619B"/>
    <w:rsid w:val="00EF7EB3"/>
    <w:rsid w:val="00F00B55"/>
    <w:rsid w:val="00F01EF1"/>
    <w:rsid w:val="00F02AD1"/>
    <w:rsid w:val="00F0431D"/>
    <w:rsid w:val="00F046D0"/>
    <w:rsid w:val="00F139E5"/>
    <w:rsid w:val="00F17172"/>
    <w:rsid w:val="00F17870"/>
    <w:rsid w:val="00F253CC"/>
    <w:rsid w:val="00F3117D"/>
    <w:rsid w:val="00F3182C"/>
    <w:rsid w:val="00F33C9E"/>
    <w:rsid w:val="00F37106"/>
    <w:rsid w:val="00F40CA7"/>
    <w:rsid w:val="00F44E25"/>
    <w:rsid w:val="00F50376"/>
    <w:rsid w:val="00F519CF"/>
    <w:rsid w:val="00F51DA0"/>
    <w:rsid w:val="00F54C18"/>
    <w:rsid w:val="00F56006"/>
    <w:rsid w:val="00F56BA5"/>
    <w:rsid w:val="00F577A1"/>
    <w:rsid w:val="00F60C89"/>
    <w:rsid w:val="00F60E22"/>
    <w:rsid w:val="00F61A6C"/>
    <w:rsid w:val="00F65504"/>
    <w:rsid w:val="00F711C3"/>
    <w:rsid w:val="00F71A7B"/>
    <w:rsid w:val="00F80D59"/>
    <w:rsid w:val="00F81395"/>
    <w:rsid w:val="00F81BB8"/>
    <w:rsid w:val="00F8227D"/>
    <w:rsid w:val="00F84895"/>
    <w:rsid w:val="00F90926"/>
    <w:rsid w:val="00F90C64"/>
    <w:rsid w:val="00F917D1"/>
    <w:rsid w:val="00F94136"/>
    <w:rsid w:val="00F95C17"/>
    <w:rsid w:val="00F9653B"/>
    <w:rsid w:val="00FA3A3F"/>
    <w:rsid w:val="00FA6AEF"/>
    <w:rsid w:val="00FB052D"/>
    <w:rsid w:val="00FB2B41"/>
    <w:rsid w:val="00FB507A"/>
    <w:rsid w:val="00FB50BC"/>
    <w:rsid w:val="00FB5108"/>
    <w:rsid w:val="00FB5C9E"/>
    <w:rsid w:val="00FB62CF"/>
    <w:rsid w:val="00FB713A"/>
    <w:rsid w:val="00FC19E6"/>
    <w:rsid w:val="00FC20DB"/>
    <w:rsid w:val="00FC6219"/>
    <w:rsid w:val="00FC66E2"/>
    <w:rsid w:val="00FD0F47"/>
    <w:rsid w:val="00FD3C3B"/>
    <w:rsid w:val="00FD4A99"/>
    <w:rsid w:val="00FD7203"/>
    <w:rsid w:val="00FE07DD"/>
    <w:rsid w:val="00FE0AF1"/>
    <w:rsid w:val="00FE6B45"/>
    <w:rsid w:val="00FF127F"/>
    <w:rsid w:val="00FF2079"/>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f1"/>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E01237"/>
  </w:style>
  <w:style w:type="paragraph" w:customStyle="1" w:styleId="paragraph">
    <w:name w:val="paragraph"/>
    <w:basedOn w:val="Normal"/>
    <w:rsid w:val="00B37C8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B37C87"/>
  </w:style>
  <w:style w:type="character" w:customStyle="1" w:styleId="eop">
    <w:name w:val="eop"/>
    <w:basedOn w:val="DefaultParagraphFont"/>
    <w:rsid w:val="00B37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88429312">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499278248">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78904335">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978192160">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189298587">
      <w:bodyDiv w:val="1"/>
      <w:marLeft w:val="0"/>
      <w:marRight w:val="0"/>
      <w:marTop w:val="0"/>
      <w:marBottom w:val="0"/>
      <w:divBdr>
        <w:top w:val="none" w:sz="0" w:space="0" w:color="auto"/>
        <w:left w:val="none" w:sz="0" w:space="0" w:color="auto"/>
        <w:bottom w:val="none" w:sz="0" w:space="0" w:color="auto"/>
        <w:right w:val="none" w:sz="0" w:space="0" w:color="auto"/>
      </w:divBdr>
    </w:div>
    <w:div w:id="1204248081">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71529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64554039">
      <w:bodyDiv w:val="1"/>
      <w:marLeft w:val="0"/>
      <w:marRight w:val="0"/>
      <w:marTop w:val="0"/>
      <w:marBottom w:val="0"/>
      <w:divBdr>
        <w:top w:val="none" w:sz="0" w:space="0" w:color="auto"/>
        <w:left w:val="none" w:sz="0" w:space="0" w:color="auto"/>
        <w:bottom w:val="none" w:sz="0" w:space="0" w:color="auto"/>
        <w:right w:val="none" w:sz="0" w:space="0" w:color="auto"/>
      </w:divBdr>
    </w:div>
    <w:div w:id="1541237808">
      <w:bodyDiv w:val="1"/>
      <w:marLeft w:val="0"/>
      <w:marRight w:val="0"/>
      <w:marTop w:val="0"/>
      <w:marBottom w:val="0"/>
      <w:divBdr>
        <w:top w:val="none" w:sz="0" w:space="0" w:color="auto"/>
        <w:left w:val="none" w:sz="0" w:space="0" w:color="auto"/>
        <w:bottom w:val="none" w:sz="0" w:space="0" w:color="auto"/>
        <w:right w:val="none" w:sz="0" w:space="0" w:color="auto"/>
      </w:divBdr>
    </w:div>
    <w:div w:id="17118831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1973175533">
      <w:bodyDiv w:val="1"/>
      <w:marLeft w:val="0"/>
      <w:marRight w:val="0"/>
      <w:marTop w:val="0"/>
      <w:marBottom w:val="0"/>
      <w:divBdr>
        <w:top w:val="none" w:sz="0" w:space="0" w:color="auto"/>
        <w:left w:val="none" w:sz="0" w:space="0" w:color="auto"/>
        <w:bottom w:val="none" w:sz="0" w:space="0" w:color="auto"/>
        <w:right w:val="none" w:sz="0" w:space="0" w:color="auto"/>
      </w:divBdr>
    </w:div>
    <w:div w:id="2077193665">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exchangerates.org.uk/COP-USD-spot-exchange-rates-history-2010.html" TargetMode="External"/><Relationship Id="rId1" Type="http://schemas.openxmlformats.org/officeDocument/2006/relationships/hyperlink" Target="https://www.consultorcontable.com/datos-hist%C3%B3ricos/salario-m%C3%ADnimo-histori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DDB538A9E3499B8828FD094DBE3FA4"/>
        <w:category>
          <w:name w:val="General"/>
          <w:gallery w:val="placeholder"/>
        </w:category>
        <w:types>
          <w:type w:val="bbPlcHdr"/>
        </w:types>
        <w:behaviors>
          <w:behavior w:val="content"/>
        </w:behaviors>
        <w:guid w:val="{2D6A3131-DA5C-4C05-A91C-17A2D5634F3B}"/>
      </w:docPartPr>
      <w:docPartBody>
        <w:p w:rsidR="006F05EB" w:rsidRDefault="0060198A" w:rsidP="0060198A">
          <w:pPr>
            <w:pStyle w:val="51DDB538A9E3499B8828FD094DBE3FA4"/>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A4FD3"/>
    <w:rsid w:val="000B0471"/>
    <w:rsid w:val="000E60FB"/>
    <w:rsid w:val="00200821"/>
    <w:rsid w:val="0025245B"/>
    <w:rsid w:val="002A3923"/>
    <w:rsid w:val="002E0DBE"/>
    <w:rsid w:val="0032227B"/>
    <w:rsid w:val="00394049"/>
    <w:rsid w:val="003B0C71"/>
    <w:rsid w:val="004B5BBB"/>
    <w:rsid w:val="004C5C69"/>
    <w:rsid w:val="004F2DF8"/>
    <w:rsid w:val="00517E2A"/>
    <w:rsid w:val="00564093"/>
    <w:rsid w:val="00600F86"/>
    <w:rsid w:val="0060198A"/>
    <w:rsid w:val="006D12AA"/>
    <w:rsid w:val="006F05EB"/>
    <w:rsid w:val="006F24A1"/>
    <w:rsid w:val="00775C63"/>
    <w:rsid w:val="007B240B"/>
    <w:rsid w:val="00825A6A"/>
    <w:rsid w:val="00875B8A"/>
    <w:rsid w:val="008B444B"/>
    <w:rsid w:val="00947EEF"/>
    <w:rsid w:val="00983BCC"/>
    <w:rsid w:val="009931FC"/>
    <w:rsid w:val="009A261B"/>
    <w:rsid w:val="009B4116"/>
    <w:rsid w:val="00A313FB"/>
    <w:rsid w:val="00AA2E17"/>
    <w:rsid w:val="00AC15A4"/>
    <w:rsid w:val="00AE3E89"/>
    <w:rsid w:val="00B0336C"/>
    <w:rsid w:val="00BB1767"/>
    <w:rsid w:val="00BD73DB"/>
    <w:rsid w:val="00CE6EC1"/>
    <w:rsid w:val="00D241E9"/>
    <w:rsid w:val="00D7750D"/>
    <w:rsid w:val="00DD52F0"/>
    <w:rsid w:val="00E42404"/>
    <w:rsid w:val="00E65915"/>
    <w:rsid w:val="00F00D2F"/>
    <w:rsid w:val="00F124B2"/>
    <w:rsid w:val="00F128DF"/>
    <w:rsid w:val="00F44B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98A"/>
    <w:rPr>
      <w:color w:val="808080"/>
    </w:rPr>
  </w:style>
  <w:style w:type="paragraph" w:customStyle="1" w:styleId="51DDB538A9E3499B8828FD094DBE3FA4">
    <w:name w:val="51DDB538A9E3499B8828FD094DBE3FA4"/>
    <w:rsid w:val="0060198A"/>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2800</Words>
  <Characters>15963</Characters>
  <Application>Microsoft Office Word</Application>
  <DocSecurity>0</DocSecurity>
  <Lines>133</Lines>
  <Paragraphs>37</Paragraphs>
  <ScaleCrop>false</ScaleCrop>
  <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84/24</dc:title>
  <dc:creator/>
  <cp:lastModifiedBy/>
  <cp:revision>1</cp:revision>
  <dcterms:created xsi:type="dcterms:W3CDTF">2024-08-20T21:46:00Z</dcterms:created>
  <dcterms:modified xsi:type="dcterms:W3CDTF">2024-08-22T13:52:00Z</dcterms:modified>
</cp:coreProperties>
</file>