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6C273472">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5CA7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0DC10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4E80">
                              <w:rPr>
                                <w:rFonts w:asciiTheme="majorHAnsi" w:hAnsiTheme="majorHAnsi" w:cs="Arial"/>
                                <w:b/>
                                <w:bCs/>
                                <w:color w:val="0D0D0D" w:themeColor="text1" w:themeTint="F2"/>
                                <w:sz w:val="36"/>
                                <w:szCs w:val="22"/>
                                <w:lang w:val="es-ES_tradnl"/>
                              </w:rPr>
                              <w:t>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03247">
                              <w:rPr>
                                <w:rFonts w:asciiTheme="majorHAnsi" w:hAnsiTheme="majorHAnsi" w:cs="Arial"/>
                                <w:b/>
                                <w:bCs/>
                                <w:color w:val="0D0D0D" w:themeColor="text1" w:themeTint="F2"/>
                                <w:sz w:val="36"/>
                                <w:szCs w:val="22"/>
                                <w:lang w:val="es-ES_tradnl"/>
                              </w:rPr>
                              <w:t>4</w:t>
                            </w:r>
                          </w:p>
                          <w:p w14:paraId="09C54AB3" w14:textId="0FB578E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96E">
                              <w:rPr>
                                <w:rFonts w:asciiTheme="majorHAnsi" w:hAnsiTheme="majorHAnsi" w:cs="Arial"/>
                                <w:b/>
                                <w:color w:val="0D0D0D" w:themeColor="text1" w:themeTint="F2"/>
                                <w:sz w:val="36"/>
                                <w:szCs w:val="22"/>
                                <w:lang w:val="es-ES_tradnl"/>
                              </w:rPr>
                              <w:t>1592</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8EE57E8" w:rsidR="005B52B0" w:rsidRPr="0016296E" w:rsidRDefault="0016296E" w:rsidP="00997BC5">
                            <w:pPr>
                              <w:spacing w:line="276" w:lineRule="auto"/>
                              <w:rPr>
                                <w:rFonts w:asciiTheme="majorHAnsi" w:hAnsiTheme="majorHAnsi" w:cs="Arial"/>
                                <w:color w:val="0D0D0D" w:themeColor="text1" w:themeTint="F2"/>
                                <w:szCs w:val="22"/>
                                <w:lang w:val="pt-BR"/>
                              </w:rPr>
                            </w:pPr>
                            <w:r w:rsidRPr="0016296E">
                              <w:rPr>
                                <w:rFonts w:asciiTheme="majorHAnsi" w:hAnsiTheme="majorHAnsi" w:cs="Arial"/>
                                <w:color w:val="0D0D0D" w:themeColor="text1" w:themeTint="F2"/>
                                <w:szCs w:val="22"/>
                                <w:lang w:val="pt-BR"/>
                              </w:rPr>
                              <w:t>RANDALL VARGAS PÉ</w:t>
                            </w:r>
                            <w:r>
                              <w:rPr>
                                <w:rFonts w:asciiTheme="majorHAnsi" w:hAnsiTheme="majorHAnsi" w:cs="Arial"/>
                                <w:color w:val="0D0D0D" w:themeColor="text1" w:themeTint="F2"/>
                                <w:szCs w:val="22"/>
                                <w:lang w:val="pt-BR"/>
                              </w:rPr>
                              <w:t>REZ</w:t>
                            </w:r>
                          </w:p>
                          <w:bookmarkEnd w:id="0"/>
                          <w:p w14:paraId="35068D0D" w14:textId="0DC00239" w:rsidR="005B52B0" w:rsidRPr="0016296E" w:rsidRDefault="00441E0D" w:rsidP="00997BC5">
                            <w:pPr>
                              <w:spacing w:line="276" w:lineRule="auto"/>
                              <w:rPr>
                                <w:rFonts w:asciiTheme="majorHAnsi" w:hAnsiTheme="majorHAnsi" w:cs="Arial"/>
                                <w:color w:val="0D0D0D" w:themeColor="text1" w:themeTint="F2"/>
                                <w:szCs w:val="22"/>
                                <w:lang w:val="pt-BR"/>
                              </w:rPr>
                            </w:pPr>
                            <w:r w:rsidRPr="0016296E">
                              <w:rPr>
                                <w:rFonts w:asciiTheme="majorHAnsi" w:hAnsiTheme="majorHAnsi" w:cs="Arial"/>
                                <w:color w:val="0D0D0D" w:themeColor="text1" w:themeTint="F2"/>
                                <w:szCs w:val="22"/>
                                <w:lang w:val="pt-BR"/>
                              </w:rPr>
                              <w:t>COSTA RICA</w:t>
                            </w:r>
                          </w:p>
                          <w:p w14:paraId="575DFD52" w14:textId="77777777" w:rsidR="005B52B0" w:rsidRPr="0016296E"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0DC10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4E80">
                        <w:rPr>
                          <w:rFonts w:asciiTheme="majorHAnsi" w:hAnsiTheme="majorHAnsi" w:cs="Arial"/>
                          <w:b/>
                          <w:bCs/>
                          <w:color w:val="0D0D0D" w:themeColor="text1" w:themeTint="F2"/>
                          <w:sz w:val="36"/>
                          <w:szCs w:val="22"/>
                          <w:lang w:val="es-ES_tradnl"/>
                        </w:rPr>
                        <w:t>12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103247">
                        <w:rPr>
                          <w:rFonts w:asciiTheme="majorHAnsi" w:hAnsiTheme="majorHAnsi" w:cs="Arial"/>
                          <w:b/>
                          <w:bCs/>
                          <w:color w:val="0D0D0D" w:themeColor="text1" w:themeTint="F2"/>
                          <w:sz w:val="36"/>
                          <w:szCs w:val="22"/>
                          <w:lang w:val="es-ES_tradnl"/>
                        </w:rPr>
                        <w:t>4</w:t>
                      </w:r>
                    </w:p>
                    <w:p w14:paraId="09C54AB3" w14:textId="0FB578E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6296E">
                        <w:rPr>
                          <w:rFonts w:asciiTheme="majorHAnsi" w:hAnsiTheme="majorHAnsi" w:cs="Arial"/>
                          <w:b/>
                          <w:color w:val="0D0D0D" w:themeColor="text1" w:themeTint="F2"/>
                          <w:sz w:val="36"/>
                          <w:szCs w:val="22"/>
                          <w:lang w:val="es-ES_tradnl"/>
                        </w:rPr>
                        <w:t>1592</w:t>
                      </w:r>
                      <w:r w:rsidR="00246D1F" w:rsidRPr="004E2649">
                        <w:rPr>
                          <w:rFonts w:asciiTheme="majorHAnsi" w:hAnsiTheme="majorHAnsi" w:cs="Arial"/>
                          <w:b/>
                          <w:color w:val="0D0D0D" w:themeColor="text1" w:themeTint="F2"/>
                          <w:sz w:val="36"/>
                          <w:szCs w:val="22"/>
                          <w:lang w:val="es-ES_tradnl"/>
                        </w:rPr>
                        <w:t>-</w:t>
                      </w:r>
                      <w:r w:rsidR="0016296E">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70CF6833" w14:textId="6623D22F"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8EE57E8" w:rsidR="005B52B0" w:rsidRPr="0016296E" w:rsidRDefault="0016296E" w:rsidP="00997BC5">
                      <w:pPr>
                        <w:spacing w:line="276" w:lineRule="auto"/>
                        <w:rPr>
                          <w:rFonts w:asciiTheme="majorHAnsi" w:hAnsiTheme="majorHAnsi" w:cs="Arial"/>
                          <w:color w:val="0D0D0D" w:themeColor="text1" w:themeTint="F2"/>
                          <w:szCs w:val="22"/>
                          <w:lang w:val="pt-BR"/>
                        </w:rPr>
                      </w:pPr>
                      <w:r w:rsidRPr="0016296E">
                        <w:rPr>
                          <w:rFonts w:asciiTheme="majorHAnsi" w:hAnsiTheme="majorHAnsi" w:cs="Arial"/>
                          <w:color w:val="0D0D0D" w:themeColor="text1" w:themeTint="F2"/>
                          <w:szCs w:val="22"/>
                          <w:lang w:val="pt-BR"/>
                        </w:rPr>
                        <w:t>RANDALL VARGAS PÉ</w:t>
                      </w:r>
                      <w:r>
                        <w:rPr>
                          <w:rFonts w:asciiTheme="majorHAnsi" w:hAnsiTheme="majorHAnsi" w:cs="Arial"/>
                          <w:color w:val="0D0D0D" w:themeColor="text1" w:themeTint="F2"/>
                          <w:szCs w:val="22"/>
                          <w:lang w:val="pt-BR"/>
                        </w:rPr>
                        <w:t>REZ</w:t>
                      </w:r>
                    </w:p>
                    <w:bookmarkEnd w:id="1"/>
                    <w:p w14:paraId="35068D0D" w14:textId="0DC00239" w:rsidR="005B52B0" w:rsidRPr="0016296E" w:rsidRDefault="00441E0D" w:rsidP="00997BC5">
                      <w:pPr>
                        <w:spacing w:line="276" w:lineRule="auto"/>
                        <w:rPr>
                          <w:rFonts w:asciiTheme="majorHAnsi" w:hAnsiTheme="majorHAnsi" w:cs="Arial"/>
                          <w:color w:val="0D0D0D" w:themeColor="text1" w:themeTint="F2"/>
                          <w:szCs w:val="22"/>
                          <w:lang w:val="pt-BR"/>
                        </w:rPr>
                      </w:pPr>
                      <w:r w:rsidRPr="0016296E">
                        <w:rPr>
                          <w:rFonts w:asciiTheme="majorHAnsi" w:hAnsiTheme="majorHAnsi" w:cs="Arial"/>
                          <w:color w:val="0D0D0D" w:themeColor="text1" w:themeTint="F2"/>
                          <w:szCs w:val="22"/>
                          <w:lang w:val="pt-BR"/>
                        </w:rPr>
                        <w:t>COSTA RICA</w:t>
                      </w:r>
                    </w:p>
                    <w:p w14:paraId="575DFD52" w14:textId="77777777" w:rsidR="005B52B0" w:rsidRPr="0016296E" w:rsidRDefault="005B52B0" w:rsidP="007A5817">
                      <w:pPr>
                        <w:rPr>
                          <w:color w:val="0D0D0D" w:themeColor="text1" w:themeTint="F2"/>
                          <w:lang w:val="pt-BR"/>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EBA92A9" w:rsidR="00627C9F" w:rsidRPr="00123077" w:rsidRDefault="00834D49" w:rsidP="007A5817">
                            <w:pPr>
                              <w:spacing w:line="276" w:lineRule="auto"/>
                              <w:jc w:val="right"/>
                              <w:rPr>
                                <w:rFonts w:asciiTheme="minorHAnsi" w:hAnsiTheme="minorHAnsi"/>
                                <w:color w:val="FFFFFF" w:themeColor="background1"/>
                                <w:sz w:val="22"/>
                                <w:lang w:val="es-ES"/>
                              </w:rPr>
                            </w:pPr>
                            <w:r w:rsidRPr="00123077">
                              <w:rPr>
                                <w:rFonts w:asciiTheme="minorHAnsi" w:hAnsiTheme="minorHAnsi"/>
                                <w:color w:val="FFFFFF" w:themeColor="background1"/>
                                <w:sz w:val="22"/>
                                <w:lang w:val="es-ES"/>
                              </w:rPr>
                              <w:t>OEA/Ser.L/V/II</w:t>
                            </w:r>
                          </w:p>
                          <w:p w14:paraId="6A41611B" w14:textId="7947CE03" w:rsidR="00627C9F" w:rsidRPr="00123077" w:rsidRDefault="00627C9F" w:rsidP="007A5817">
                            <w:pPr>
                              <w:spacing w:line="276" w:lineRule="auto"/>
                              <w:jc w:val="right"/>
                              <w:rPr>
                                <w:rFonts w:asciiTheme="minorHAnsi" w:hAnsiTheme="minorHAnsi"/>
                                <w:color w:val="FFFFFF" w:themeColor="background1"/>
                                <w:sz w:val="22"/>
                                <w:lang w:val="es-ES"/>
                              </w:rPr>
                            </w:pPr>
                            <w:r w:rsidRPr="00123077">
                              <w:rPr>
                                <w:rFonts w:asciiTheme="minorHAnsi" w:hAnsiTheme="minorHAnsi"/>
                                <w:color w:val="FFFFFF" w:themeColor="background1"/>
                                <w:sz w:val="22"/>
                                <w:lang w:val="es-ES"/>
                              </w:rPr>
                              <w:t xml:space="preserve">Doc. </w:t>
                            </w:r>
                            <w:r w:rsidR="00A86A91" w:rsidRPr="00123077">
                              <w:rPr>
                                <w:rFonts w:asciiTheme="minorHAnsi" w:hAnsiTheme="minorHAnsi"/>
                                <w:color w:val="FFFFFF" w:themeColor="background1"/>
                                <w:sz w:val="22"/>
                                <w:lang w:val="es-ES"/>
                              </w:rPr>
                              <w:t>14</w:t>
                            </w:r>
                          </w:p>
                          <w:p w14:paraId="69373ED2" w14:textId="02F57CC2" w:rsidR="00627C9F" w:rsidRPr="00C25ADB" w:rsidRDefault="00A86A9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3247">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EBA92A9" w:rsidR="00627C9F" w:rsidRPr="00123077" w:rsidRDefault="00834D49" w:rsidP="007A5817">
                      <w:pPr>
                        <w:spacing w:line="276" w:lineRule="auto"/>
                        <w:jc w:val="right"/>
                        <w:rPr>
                          <w:rFonts w:asciiTheme="minorHAnsi" w:hAnsiTheme="minorHAnsi"/>
                          <w:color w:val="FFFFFF" w:themeColor="background1"/>
                          <w:sz w:val="22"/>
                          <w:lang w:val="es-ES"/>
                        </w:rPr>
                      </w:pPr>
                      <w:r w:rsidRPr="00123077">
                        <w:rPr>
                          <w:rFonts w:asciiTheme="minorHAnsi" w:hAnsiTheme="minorHAnsi"/>
                          <w:color w:val="FFFFFF" w:themeColor="background1"/>
                          <w:sz w:val="22"/>
                          <w:lang w:val="es-ES"/>
                        </w:rPr>
                        <w:t>OEA/Ser.L/V/II</w:t>
                      </w:r>
                    </w:p>
                    <w:p w14:paraId="6A41611B" w14:textId="7947CE03" w:rsidR="00627C9F" w:rsidRPr="00123077" w:rsidRDefault="00627C9F" w:rsidP="007A5817">
                      <w:pPr>
                        <w:spacing w:line="276" w:lineRule="auto"/>
                        <w:jc w:val="right"/>
                        <w:rPr>
                          <w:rFonts w:asciiTheme="minorHAnsi" w:hAnsiTheme="minorHAnsi"/>
                          <w:color w:val="FFFFFF" w:themeColor="background1"/>
                          <w:sz w:val="22"/>
                          <w:lang w:val="es-ES"/>
                        </w:rPr>
                      </w:pPr>
                      <w:r w:rsidRPr="00123077">
                        <w:rPr>
                          <w:rFonts w:asciiTheme="minorHAnsi" w:hAnsiTheme="minorHAnsi"/>
                          <w:color w:val="FFFFFF" w:themeColor="background1"/>
                          <w:sz w:val="22"/>
                          <w:lang w:val="es-ES"/>
                        </w:rPr>
                        <w:t xml:space="preserve">Doc. </w:t>
                      </w:r>
                      <w:r w:rsidR="00A86A91" w:rsidRPr="00123077">
                        <w:rPr>
                          <w:rFonts w:asciiTheme="minorHAnsi" w:hAnsiTheme="minorHAnsi"/>
                          <w:color w:val="FFFFFF" w:themeColor="background1"/>
                          <w:sz w:val="22"/>
                          <w:lang w:val="es-ES"/>
                        </w:rPr>
                        <w:t>14</w:t>
                      </w:r>
                    </w:p>
                    <w:p w14:paraId="69373ED2" w14:textId="02F57CC2" w:rsidR="00627C9F" w:rsidRPr="00C25ADB" w:rsidRDefault="00A86A9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103247">
                        <w:rPr>
                          <w:rFonts w:asciiTheme="minorHAnsi" w:hAnsiTheme="minorHAnsi"/>
                          <w:color w:val="FFFFFF" w:themeColor="background1"/>
                          <w:sz w:val="22"/>
                          <w:lang w:val="es-PA"/>
                        </w:rPr>
                        <w:t>4</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5816C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0573D">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0573D">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03247">
                              <w:rPr>
                                <w:rFonts w:asciiTheme="majorHAnsi" w:hAnsiTheme="majorHAnsi"/>
                                <w:color w:val="0D0D0D" w:themeColor="text1" w:themeTint="F2"/>
                                <w:sz w:val="18"/>
                                <w:szCs w:val="22"/>
                                <w:lang w:val="es-ES"/>
                              </w:rPr>
                              <w:t>4</w:t>
                            </w:r>
                            <w:r w:rsidR="0050573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15816C2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50573D">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sidR="0050573D">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03247">
                        <w:rPr>
                          <w:rFonts w:asciiTheme="majorHAnsi" w:hAnsiTheme="majorHAnsi"/>
                          <w:color w:val="0D0D0D" w:themeColor="text1" w:themeTint="F2"/>
                          <w:sz w:val="18"/>
                          <w:szCs w:val="22"/>
                          <w:lang w:val="es-ES"/>
                        </w:rPr>
                        <w:t>4</w:t>
                      </w:r>
                      <w:r w:rsidR="0050573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5A887" w14:textId="77777777" w:rsidR="005B6B1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0573D" w:rsidRPr="0050573D">
                              <w:rPr>
                                <w:rFonts w:asciiTheme="majorHAnsi" w:hAnsiTheme="majorHAnsi"/>
                                <w:color w:val="595959" w:themeColor="text1" w:themeTint="A6"/>
                                <w:sz w:val="18"/>
                                <w:szCs w:val="18"/>
                                <w:lang w:val="pt-BR"/>
                              </w:rPr>
                              <w:t>12/24</w:t>
                            </w:r>
                            <w:r w:rsidRPr="0050573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6296E">
                              <w:rPr>
                                <w:rFonts w:asciiTheme="majorHAnsi" w:hAnsiTheme="majorHAnsi"/>
                                <w:color w:val="595959" w:themeColor="text1" w:themeTint="A6"/>
                                <w:sz w:val="18"/>
                                <w:szCs w:val="18"/>
                                <w:lang w:val="es-ES"/>
                              </w:rPr>
                              <w:t>1592</w:t>
                            </w:r>
                            <w:r w:rsidR="00441E0D">
                              <w:rPr>
                                <w:rFonts w:asciiTheme="majorHAnsi" w:hAnsiTheme="majorHAnsi"/>
                                <w:color w:val="595959" w:themeColor="text1" w:themeTint="A6"/>
                                <w:sz w:val="18"/>
                                <w:szCs w:val="18"/>
                                <w:lang w:val="es-ES"/>
                              </w:rPr>
                              <w:t>-</w:t>
                            </w:r>
                            <w:r w:rsidR="0016296E">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55C344DD" w:rsidR="00113F73" w:rsidRPr="007B05C4" w:rsidRDefault="0016296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Randall Vargas</w:t>
                            </w:r>
                            <w:r w:rsidR="00123077" w:rsidRPr="00123077">
                              <w:rPr>
                                <w:rFonts w:asciiTheme="majorHAnsi" w:hAnsiTheme="majorHAnsi"/>
                                <w:color w:val="595959" w:themeColor="text1" w:themeTint="A6"/>
                                <w:sz w:val="18"/>
                                <w:szCs w:val="18"/>
                                <w:lang w:val="es-ES_tradnl"/>
                              </w:rPr>
                              <w:t xml:space="preserve"> </w:t>
                            </w:r>
                            <w:r w:rsidR="00123077">
                              <w:rPr>
                                <w:rFonts w:asciiTheme="majorHAnsi" w:hAnsiTheme="majorHAnsi"/>
                                <w:color w:val="595959" w:themeColor="text1" w:themeTint="A6"/>
                                <w:sz w:val="18"/>
                                <w:szCs w:val="18"/>
                                <w:lang w:val="es-ES_tradnl"/>
                              </w:rPr>
                              <w:t>Pérez</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B839E9">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F35A887" w14:textId="77777777" w:rsidR="005B6B1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0573D" w:rsidRPr="0050573D">
                        <w:rPr>
                          <w:rFonts w:asciiTheme="majorHAnsi" w:hAnsiTheme="majorHAnsi"/>
                          <w:color w:val="595959" w:themeColor="text1" w:themeTint="A6"/>
                          <w:sz w:val="18"/>
                          <w:szCs w:val="18"/>
                          <w:lang w:val="pt-BR"/>
                        </w:rPr>
                        <w:t>12/24</w:t>
                      </w:r>
                      <w:r w:rsidRPr="0050573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6296E">
                        <w:rPr>
                          <w:rFonts w:asciiTheme="majorHAnsi" w:hAnsiTheme="majorHAnsi"/>
                          <w:color w:val="595959" w:themeColor="text1" w:themeTint="A6"/>
                          <w:sz w:val="18"/>
                          <w:szCs w:val="18"/>
                          <w:lang w:val="es-ES"/>
                        </w:rPr>
                        <w:t>1592</w:t>
                      </w:r>
                      <w:r w:rsidR="00441E0D">
                        <w:rPr>
                          <w:rFonts w:asciiTheme="majorHAnsi" w:hAnsiTheme="majorHAnsi"/>
                          <w:color w:val="595959" w:themeColor="text1" w:themeTint="A6"/>
                          <w:sz w:val="18"/>
                          <w:szCs w:val="18"/>
                          <w:lang w:val="es-ES"/>
                        </w:rPr>
                        <w:t>-</w:t>
                      </w:r>
                      <w:r w:rsidR="0016296E">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55C344DD" w:rsidR="00113F73" w:rsidRPr="007B05C4" w:rsidRDefault="0016296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Randall Vargas</w:t>
                      </w:r>
                      <w:r w:rsidR="00123077" w:rsidRPr="00123077">
                        <w:rPr>
                          <w:rFonts w:asciiTheme="majorHAnsi" w:hAnsiTheme="majorHAnsi"/>
                          <w:color w:val="595959" w:themeColor="text1" w:themeTint="A6"/>
                          <w:sz w:val="18"/>
                          <w:szCs w:val="18"/>
                          <w:lang w:val="es-ES_tradnl"/>
                        </w:rPr>
                        <w:t xml:space="preserve"> </w:t>
                      </w:r>
                      <w:r w:rsidR="00123077">
                        <w:rPr>
                          <w:rFonts w:asciiTheme="majorHAnsi" w:hAnsiTheme="majorHAnsi"/>
                          <w:color w:val="595959" w:themeColor="text1" w:themeTint="A6"/>
                          <w:sz w:val="18"/>
                          <w:szCs w:val="18"/>
                          <w:lang w:val="es-ES_tradnl"/>
                        </w:rPr>
                        <w:t>Pérez</w:t>
                      </w:r>
                      <w:r w:rsidR="00113F73" w:rsidRPr="00890650">
                        <w:rPr>
                          <w:rFonts w:asciiTheme="majorHAnsi" w:hAnsiTheme="majorHAnsi"/>
                          <w:color w:val="595959" w:themeColor="text1" w:themeTint="A6"/>
                          <w:sz w:val="18"/>
                          <w:szCs w:val="18"/>
                          <w:lang w:val="es-ES_tradnl"/>
                        </w:rPr>
                        <w:t xml:space="preserve">. </w:t>
                      </w:r>
                      <w:r w:rsidR="00441E0D">
                        <w:rPr>
                          <w:rFonts w:asciiTheme="majorHAnsi" w:hAnsiTheme="majorHAnsi"/>
                          <w:color w:val="595959" w:themeColor="text1" w:themeTint="A6"/>
                          <w:sz w:val="18"/>
                          <w:szCs w:val="18"/>
                          <w:lang w:val="es-ES_tradnl"/>
                        </w:rPr>
                        <w:t>Costa Rica</w:t>
                      </w:r>
                      <w:r w:rsidR="00113F73" w:rsidRPr="00890650">
                        <w:rPr>
                          <w:rFonts w:asciiTheme="majorHAnsi" w:hAnsiTheme="majorHAnsi"/>
                          <w:color w:val="595959" w:themeColor="text1" w:themeTint="A6"/>
                          <w:sz w:val="18"/>
                          <w:szCs w:val="18"/>
                          <w:lang w:val="es-ES_tradnl"/>
                        </w:rPr>
                        <w:t xml:space="preserve">. </w:t>
                      </w:r>
                      <w:r w:rsidR="00B839E9">
                        <w:rPr>
                          <w:rFonts w:asciiTheme="majorHAnsi" w:hAnsiTheme="majorHAnsi"/>
                          <w:color w:val="595959" w:themeColor="text1" w:themeTint="A6"/>
                          <w:sz w:val="18"/>
                          <w:szCs w:val="18"/>
                          <w:lang w:val="es-ES"/>
                        </w:rPr>
                        <w:t>24 de abril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CA6CFF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1DBBEE4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684BFB9" w:rsidR="0070697F" w:rsidRDefault="005B6B12"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4A315CA">
                <wp:simplePos x="0" y="0"/>
                <wp:positionH relativeFrom="column">
                  <wp:posOffset>1301115</wp:posOffset>
                </wp:positionH>
                <wp:positionV relativeFrom="paragraph">
                  <wp:posOffset>533563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1B07AA5" w:rsidR="00D72DC6" w:rsidRPr="00D72DC6" w:rsidRDefault="005541A6" w:rsidP="00F02AD1">
                            <w:pPr>
                              <w:rPr>
                                <w:color w:val="FFFFFF" w:themeColor="background1"/>
                                <w14:textFill>
                                  <w14:noFill/>
                                </w14:textFill>
                              </w:rPr>
                            </w:pPr>
                            <w:r>
                              <w:rPr>
                                <w:noProof/>
                                <w:color w:val="FFFFFF" w:themeColor="background1"/>
                              </w:rPr>
                              <w:drawing>
                                <wp:inline distT="0" distB="0" distL="0" distR="0" wp14:anchorId="5A5DDC57" wp14:editId="5DDACB9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2.45pt;margin-top:4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35fgz+EA&#10;AAAKAQAADwAAAAAAAAAAAAAAAADUBAAAZHJzL2Rvd25yZXYueG1sUEsFBgAAAAAEAAQA8wAAAOIF&#10;AAAAAA==&#10;" fillcolor="white [3201]" stroked="f" strokeweight=".5pt">
                <v:textbox>
                  <w:txbxContent>
                    <w:p w14:paraId="2A1ECD3C" w14:textId="31B07AA5" w:rsidR="00D72DC6" w:rsidRPr="00D72DC6" w:rsidRDefault="005541A6" w:rsidP="00F02AD1">
                      <w:pPr>
                        <w:rPr>
                          <w:color w:val="FFFFFF" w:themeColor="background1"/>
                          <w14:textFill>
                            <w14:noFill/>
                          </w14:textFill>
                        </w:rPr>
                      </w:pPr>
                      <w:r>
                        <w:rPr>
                          <w:noProof/>
                          <w:color w:val="FFFFFF" w:themeColor="background1"/>
                        </w:rPr>
                        <w:drawing>
                          <wp:inline distT="0" distB="0" distL="0" distR="0" wp14:anchorId="5A5DDC57" wp14:editId="5DDACB9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41E0D"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4E38A94" w:rsidR="003239B8" w:rsidRPr="005A254F" w:rsidRDefault="004B5430" w:rsidP="008D2290">
            <w:pPr>
              <w:jc w:val="both"/>
              <w:rPr>
                <w:rFonts w:ascii="Cambria" w:hAnsi="Cambria"/>
                <w:bCs/>
                <w:sz w:val="20"/>
                <w:szCs w:val="20"/>
                <w:lang w:val="es-PE"/>
              </w:rPr>
            </w:pPr>
            <w:r>
              <w:rPr>
                <w:rFonts w:ascii="Cambria" w:hAnsi="Cambria"/>
                <w:bCs/>
                <w:sz w:val="20"/>
                <w:szCs w:val="20"/>
                <w:lang w:val="es-PE"/>
              </w:rPr>
              <w:t>Yorleny Clarke Martínez</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40C12"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18059DC2" w:rsidR="003239B8" w:rsidRPr="000D05CB" w:rsidRDefault="004B5430" w:rsidP="008D2290">
            <w:pPr>
              <w:jc w:val="both"/>
              <w:rPr>
                <w:rFonts w:ascii="Cambria" w:hAnsi="Cambria"/>
                <w:bCs/>
                <w:sz w:val="20"/>
                <w:szCs w:val="20"/>
                <w:lang w:val="es-ES"/>
              </w:rPr>
            </w:pPr>
            <w:r>
              <w:rPr>
                <w:rFonts w:ascii="Cambria" w:hAnsi="Cambria"/>
                <w:bCs/>
                <w:sz w:val="20"/>
                <w:szCs w:val="20"/>
                <w:lang w:val="es-ES"/>
              </w:rPr>
              <w:t>Randall Vargas Pérez</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2EA411B2" w:rsidR="003239B8" w:rsidRPr="000D05CB" w:rsidRDefault="00441E0D" w:rsidP="008D2290">
            <w:pPr>
              <w:jc w:val="both"/>
              <w:rPr>
                <w:rFonts w:ascii="Cambria" w:hAnsi="Cambria"/>
                <w:bCs/>
                <w:sz w:val="20"/>
                <w:szCs w:val="20"/>
              </w:rPr>
            </w:pPr>
            <w:r>
              <w:rPr>
                <w:rFonts w:ascii="Cambria" w:hAnsi="Cambria"/>
                <w:bCs/>
                <w:sz w:val="20"/>
                <w:szCs w:val="20"/>
              </w:rPr>
              <w:t>Costa Rica</w:t>
            </w:r>
          </w:p>
        </w:tc>
      </w:tr>
      <w:tr w:rsidR="00223A29" w:rsidRPr="007D327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6854BCA" w:rsidR="00223A29" w:rsidRPr="0061609D" w:rsidRDefault="0061609D" w:rsidP="008D2290">
            <w:pPr>
              <w:jc w:val="both"/>
              <w:rPr>
                <w:rFonts w:ascii="Cambria" w:hAnsi="Cambria"/>
                <w:bCs/>
                <w:sz w:val="20"/>
                <w:szCs w:val="20"/>
                <w:lang w:val="es-US"/>
              </w:rPr>
            </w:pPr>
            <w:r w:rsidRPr="001E2981">
              <w:rPr>
                <w:rFonts w:ascii="Cambria" w:hAnsi="Cambria"/>
                <w:bCs/>
                <w:sz w:val="20"/>
                <w:szCs w:val="20"/>
                <w:lang w:val="es-PE"/>
              </w:rPr>
              <w:t>Artículos</w:t>
            </w:r>
            <w:r>
              <w:rPr>
                <w:rFonts w:ascii="Cambria" w:hAnsi="Cambria"/>
                <w:bCs/>
                <w:sz w:val="20"/>
                <w:szCs w:val="20"/>
                <w:lang w:val="es-PE"/>
              </w:rPr>
              <w:t xml:space="preserve"> </w:t>
            </w:r>
            <w:r w:rsidR="006B1B78">
              <w:rPr>
                <w:rFonts w:ascii="Cambria" w:hAnsi="Cambria"/>
                <w:bCs/>
                <w:sz w:val="20"/>
                <w:szCs w:val="20"/>
                <w:lang w:val="es-PE"/>
              </w:rPr>
              <w:t xml:space="preserve">7 (libertad personal), </w:t>
            </w:r>
            <w:r>
              <w:rPr>
                <w:rFonts w:ascii="Cambria" w:hAnsi="Cambria"/>
                <w:bCs/>
                <w:sz w:val="20"/>
                <w:szCs w:val="20"/>
                <w:lang w:val="es-ES"/>
              </w:rPr>
              <w:t>8 (garantías judiciales)</w:t>
            </w:r>
            <w:r w:rsidR="007449B3">
              <w:rPr>
                <w:rFonts w:ascii="Cambria" w:hAnsi="Cambria"/>
                <w:bCs/>
                <w:sz w:val="20"/>
                <w:szCs w:val="20"/>
                <w:lang w:val="es-ES"/>
              </w:rPr>
              <w:t>, 9 (principio de legalidad y de retroactividad)</w:t>
            </w:r>
            <w:r w:rsidR="006B1B78">
              <w:rPr>
                <w:rFonts w:ascii="Cambria" w:hAnsi="Cambria"/>
                <w:bCs/>
                <w:sz w:val="20"/>
                <w:szCs w:val="20"/>
                <w:lang w:val="es-ES"/>
              </w:rPr>
              <w:t>, 11 (protección de la honra y dignidad), 23 (derechos políticos)</w:t>
            </w:r>
            <w:r>
              <w:rPr>
                <w:rFonts w:ascii="Cambria" w:hAnsi="Cambria"/>
                <w:bCs/>
                <w:sz w:val="20"/>
                <w:szCs w:val="20"/>
                <w:lang w:val="es-ES"/>
              </w:rPr>
              <w:t xml:space="preserve"> y 25 (protección judicial) de la Convención Americana sobre Derechos Humanos</w:t>
            </w:r>
            <w:r>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4A4756DB" w:rsidR="004C2312" w:rsidRPr="003239B8" w:rsidRDefault="00EE750D" w:rsidP="002625EA">
            <w:pPr>
              <w:jc w:val="both"/>
              <w:rPr>
                <w:rFonts w:ascii="Cambria" w:hAnsi="Cambria"/>
                <w:bCs/>
                <w:sz w:val="20"/>
                <w:szCs w:val="20"/>
                <w:lang w:val="es-ES"/>
              </w:rPr>
            </w:pPr>
            <w:r>
              <w:rPr>
                <w:rFonts w:ascii="Cambria" w:hAnsi="Cambria"/>
                <w:bCs/>
                <w:sz w:val="20"/>
                <w:szCs w:val="20"/>
                <w:lang w:val="es-ES"/>
              </w:rPr>
              <w:t>11 noviembre de 2011</w:t>
            </w:r>
          </w:p>
        </w:tc>
      </w:tr>
      <w:tr w:rsidR="00131425" w:rsidRPr="0016296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48719B" w:rsidRDefault="00131425" w:rsidP="004A6A54">
            <w:pPr>
              <w:jc w:val="center"/>
              <w:rPr>
                <w:rFonts w:ascii="Cambria" w:hAnsi="Cambria"/>
                <w:b/>
                <w:bCs/>
                <w:color w:val="FFFFFF" w:themeColor="background1"/>
                <w:sz w:val="20"/>
                <w:szCs w:val="20"/>
                <w:lang w:val="es-PE"/>
              </w:rPr>
            </w:pPr>
            <w:r w:rsidRPr="0048719B">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01A88F4A" w:rsidR="00131425" w:rsidRPr="00A47ED2" w:rsidRDefault="00674A49" w:rsidP="002625EA">
            <w:pPr>
              <w:jc w:val="both"/>
              <w:rPr>
                <w:rFonts w:ascii="Cambria" w:hAnsi="Cambria"/>
                <w:bCs/>
                <w:sz w:val="20"/>
                <w:szCs w:val="20"/>
                <w:lang w:val="es-PE"/>
              </w:rPr>
            </w:pPr>
            <w:r>
              <w:rPr>
                <w:rFonts w:ascii="Cambria" w:hAnsi="Cambria"/>
                <w:bCs/>
                <w:sz w:val="20"/>
                <w:szCs w:val="20"/>
                <w:lang w:val="es-PE"/>
              </w:rPr>
              <w:t>24 de noviembre de 2016</w:t>
            </w:r>
          </w:p>
        </w:tc>
      </w:tr>
      <w:tr w:rsidR="004C2312" w:rsidRPr="006C0D4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N</w:t>
            </w:r>
            <w:r w:rsidR="004C2312" w:rsidRPr="0048719B">
              <w:rPr>
                <w:rFonts w:ascii="Cambria" w:hAnsi="Cambria"/>
                <w:b/>
                <w:color w:val="FFFFFF" w:themeColor="background1"/>
                <w:sz w:val="20"/>
                <w:szCs w:val="20"/>
                <w:lang w:val="es-PE"/>
              </w:rPr>
              <w:t>otificación de la petición al Estado:</w:t>
            </w:r>
          </w:p>
        </w:tc>
        <w:tc>
          <w:tcPr>
            <w:tcW w:w="5760" w:type="dxa"/>
            <w:vAlign w:val="center"/>
          </w:tcPr>
          <w:p w14:paraId="1519DA6A" w14:textId="70FB0D7F" w:rsidR="004C2312" w:rsidRPr="0048719B" w:rsidRDefault="00D904E2" w:rsidP="008D2290">
            <w:pPr>
              <w:jc w:val="both"/>
              <w:rPr>
                <w:rFonts w:ascii="Cambria" w:hAnsi="Cambria"/>
                <w:bCs/>
                <w:sz w:val="20"/>
                <w:szCs w:val="20"/>
                <w:lang w:val="es-PE"/>
              </w:rPr>
            </w:pPr>
            <w:r>
              <w:rPr>
                <w:rFonts w:ascii="Cambria" w:hAnsi="Cambria"/>
                <w:bCs/>
                <w:sz w:val="20"/>
                <w:szCs w:val="20"/>
                <w:lang w:val="es-PE"/>
              </w:rPr>
              <w:t>24 de marzo de 2017</w:t>
            </w:r>
          </w:p>
        </w:tc>
      </w:tr>
      <w:tr w:rsidR="004C2312" w:rsidRPr="0016296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48719B" w:rsidRDefault="004A6A54" w:rsidP="004A6A54">
            <w:pPr>
              <w:jc w:val="center"/>
              <w:rPr>
                <w:rFonts w:ascii="Cambria" w:hAnsi="Cambria"/>
                <w:b/>
                <w:bCs/>
                <w:color w:val="FFFFFF" w:themeColor="background1"/>
                <w:sz w:val="20"/>
                <w:szCs w:val="20"/>
                <w:lang w:val="es-PE"/>
              </w:rPr>
            </w:pPr>
            <w:r w:rsidRPr="0048719B">
              <w:rPr>
                <w:rFonts w:ascii="Cambria" w:hAnsi="Cambria"/>
                <w:b/>
                <w:color w:val="FFFFFF" w:themeColor="background1"/>
                <w:sz w:val="20"/>
                <w:szCs w:val="20"/>
                <w:lang w:val="es-PE"/>
              </w:rPr>
              <w:t>P</w:t>
            </w:r>
            <w:r w:rsidR="004C2312" w:rsidRPr="0048719B">
              <w:rPr>
                <w:rFonts w:ascii="Cambria" w:hAnsi="Cambria"/>
                <w:b/>
                <w:color w:val="FFFFFF" w:themeColor="background1"/>
                <w:sz w:val="20"/>
                <w:szCs w:val="20"/>
                <w:lang w:val="es-PE"/>
              </w:rPr>
              <w:t>rimera respuesta del Estado:</w:t>
            </w:r>
          </w:p>
        </w:tc>
        <w:tc>
          <w:tcPr>
            <w:tcW w:w="5760" w:type="dxa"/>
            <w:vAlign w:val="center"/>
          </w:tcPr>
          <w:p w14:paraId="1972B99E" w14:textId="32253DE2" w:rsidR="004C2312" w:rsidRPr="0048719B" w:rsidRDefault="00F84C22" w:rsidP="008D2290">
            <w:pPr>
              <w:jc w:val="both"/>
              <w:rPr>
                <w:rFonts w:ascii="Cambria" w:hAnsi="Cambria"/>
                <w:bCs/>
                <w:sz w:val="20"/>
                <w:szCs w:val="20"/>
                <w:lang w:val="es-PE"/>
              </w:rPr>
            </w:pPr>
            <w:r>
              <w:rPr>
                <w:rFonts w:ascii="Cambria" w:hAnsi="Cambria"/>
                <w:bCs/>
                <w:sz w:val="20"/>
                <w:szCs w:val="20"/>
                <w:lang w:val="es-PE"/>
              </w:rPr>
              <w:t>24 de julio de 2017</w:t>
            </w:r>
          </w:p>
        </w:tc>
      </w:tr>
      <w:tr w:rsidR="00791760" w:rsidRPr="007572A8" w14:paraId="196F8C00" w14:textId="77777777" w:rsidTr="004A6A54">
        <w:tc>
          <w:tcPr>
            <w:tcW w:w="3600" w:type="dxa"/>
            <w:tcBorders>
              <w:top w:val="single" w:sz="6" w:space="0" w:color="auto"/>
              <w:bottom w:val="single" w:sz="6" w:space="0" w:color="auto"/>
            </w:tcBorders>
            <w:shd w:val="clear" w:color="auto" w:fill="386294"/>
            <w:vAlign w:val="center"/>
          </w:tcPr>
          <w:p w14:paraId="08A5BE10" w14:textId="63418C36" w:rsidR="00791760" w:rsidRPr="0048719B" w:rsidRDefault="00AF620C" w:rsidP="004A6A54">
            <w:pPr>
              <w:jc w:val="center"/>
              <w:rPr>
                <w:rFonts w:ascii="Cambria" w:hAnsi="Cambria"/>
                <w:b/>
                <w:color w:val="FFFFFF" w:themeColor="background1"/>
                <w:sz w:val="20"/>
                <w:szCs w:val="20"/>
                <w:lang w:val="es-PE"/>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59793192" w14:textId="53525FC9" w:rsidR="00791760" w:rsidRDefault="00700998" w:rsidP="008D2290">
            <w:pPr>
              <w:jc w:val="both"/>
              <w:rPr>
                <w:rFonts w:ascii="Cambria" w:hAnsi="Cambria"/>
                <w:bCs/>
                <w:sz w:val="20"/>
                <w:szCs w:val="20"/>
                <w:lang w:val="es-PE"/>
              </w:rPr>
            </w:pPr>
            <w:r>
              <w:rPr>
                <w:rFonts w:ascii="Cambria" w:hAnsi="Cambria"/>
                <w:bCs/>
                <w:sz w:val="20"/>
                <w:szCs w:val="20"/>
                <w:lang w:val="es-PE"/>
              </w:rPr>
              <w:t>13 de octubre de 2017</w:t>
            </w:r>
          </w:p>
        </w:tc>
      </w:tr>
      <w:tr w:rsidR="00303948" w:rsidRPr="007D327B" w14:paraId="275AD04F" w14:textId="77777777" w:rsidTr="004A6A54">
        <w:tc>
          <w:tcPr>
            <w:tcW w:w="3600" w:type="dxa"/>
            <w:tcBorders>
              <w:top w:val="single" w:sz="6" w:space="0" w:color="auto"/>
              <w:bottom w:val="single" w:sz="6" w:space="0" w:color="auto"/>
            </w:tcBorders>
            <w:shd w:val="clear" w:color="auto" w:fill="386294"/>
            <w:vAlign w:val="center"/>
          </w:tcPr>
          <w:p w14:paraId="6AAD5C12" w14:textId="1FDF6153" w:rsidR="00303948" w:rsidRPr="0048719B" w:rsidRDefault="0046105F" w:rsidP="0046105F">
            <w:pPr>
              <w:jc w:val="center"/>
              <w:rPr>
                <w:rFonts w:ascii="Cambria" w:hAnsi="Cambria"/>
                <w:b/>
                <w:color w:val="FFFFFF" w:themeColor="background1"/>
                <w:sz w:val="20"/>
                <w:szCs w:val="20"/>
                <w:lang w:val="es-PE"/>
              </w:rPr>
            </w:pPr>
            <w:r w:rsidRPr="0048719B">
              <w:rPr>
                <w:rFonts w:ascii="Cambria" w:hAnsi="Cambria"/>
                <w:b/>
                <w:bCs/>
                <w:color w:val="FFFFFF" w:themeColor="background1"/>
                <w:sz w:val="20"/>
                <w:szCs w:val="20"/>
                <w:lang w:val="es-PE"/>
              </w:rPr>
              <w:t>Observaciones adicionales del Estado</w:t>
            </w:r>
            <w:r>
              <w:rPr>
                <w:rFonts w:ascii="Cambria" w:hAnsi="Cambria"/>
                <w:b/>
                <w:bCs/>
                <w:color w:val="FFFFFF" w:themeColor="background1"/>
                <w:sz w:val="20"/>
                <w:szCs w:val="20"/>
                <w:lang w:val="es-PE"/>
              </w:rPr>
              <w:t>:</w:t>
            </w:r>
          </w:p>
        </w:tc>
        <w:tc>
          <w:tcPr>
            <w:tcW w:w="5760" w:type="dxa"/>
            <w:vAlign w:val="center"/>
          </w:tcPr>
          <w:p w14:paraId="17B21EF8" w14:textId="268D1D3E" w:rsidR="00303948" w:rsidRPr="0048719B" w:rsidRDefault="0002557B" w:rsidP="008D2290">
            <w:pPr>
              <w:jc w:val="both"/>
              <w:rPr>
                <w:rFonts w:ascii="Cambria" w:hAnsi="Cambria"/>
                <w:bCs/>
                <w:sz w:val="20"/>
                <w:szCs w:val="20"/>
                <w:lang w:val="es-PE"/>
              </w:rPr>
            </w:pPr>
            <w:r>
              <w:rPr>
                <w:rFonts w:ascii="Cambria" w:hAnsi="Cambria"/>
                <w:bCs/>
                <w:sz w:val="20"/>
                <w:szCs w:val="20"/>
                <w:lang w:val="es-PE"/>
              </w:rPr>
              <w:t>18 de septiembre de 2018</w:t>
            </w:r>
            <w:r w:rsidR="00860F4A">
              <w:rPr>
                <w:rFonts w:ascii="Cambria" w:hAnsi="Cambria"/>
                <w:bCs/>
                <w:sz w:val="20"/>
                <w:szCs w:val="20"/>
                <w:lang w:val="es-PE"/>
              </w:rPr>
              <w:t>, 31 de octubre de 2018</w:t>
            </w:r>
            <w:r w:rsidR="00BE2440">
              <w:rPr>
                <w:rFonts w:ascii="Cambria" w:hAnsi="Cambria"/>
                <w:bCs/>
                <w:sz w:val="20"/>
                <w:szCs w:val="20"/>
                <w:lang w:val="es-PE"/>
              </w:rPr>
              <w:t xml:space="preserve"> y 19 de octubre de 2022</w:t>
            </w:r>
          </w:p>
        </w:tc>
      </w:tr>
      <w:tr w:rsidR="007B1DBC" w:rsidRPr="004D51FD" w14:paraId="79B1D7A2" w14:textId="77777777" w:rsidTr="004A6A54">
        <w:tc>
          <w:tcPr>
            <w:tcW w:w="3600" w:type="dxa"/>
            <w:tcBorders>
              <w:top w:val="single" w:sz="6" w:space="0" w:color="auto"/>
              <w:bottom w:val="single" w:sz="6" w:space="0" w:color="auto"/>
            </w:tcBorders>
            <w:shd w:val="clear" w:color="auto" w:fill="386294"/>
            <w:vAlign w:val="center"/>
          </w:tcPr>
          <w:p w14:paraId="160AA649" w14:textId="390BDF3C" w:rsidR="007B1DBC" w:rsidRPr="0048719B" w:rsidRDefault="007B1DBC" w:rsidP="007B1DBC">
            <w:pPr>
              <w:jc w:val="center"/>
              <w:rPr>
                <w:rFonts w:ascii="Cambria" w:hAnsi="Cambria"/>
                <w:b/>
                <w:bCs/>
                <w:color w:val="FFFFFF" w:themeColor="background1"/>
                <w:sz w:val="20"/>
                <w:szCs w:val="20"/>
                <w:lang w:val="es-PE"/>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3199F0A6" w14:textId="6E667DFF" w:rsidR="007B1DBC" w:rsidRDefault="00114301" w:rsidP="007B1DBC">
            <w:pPr>
              <w:jc w:val="both"/>
              <w:rPr>
                <w:rFonts w:ascii="Cambria" w:hAnsi="Cambria"/>
                <w:bCs/>
                <w:sz w:val="20"/>
                <w:szCs w:val="20"/>
                <w:lang w:val="es-PE"/>
              </w:rPr>
            </w:pPr>
            <w:r>
              <w:rPr>
                <w:rFonts w:ascii="Cambria" w:hAnsi="Cambria"/>
                <w:bCs/>
                <w:sz w:val="20"/>
                <w:szCs w:val="20"/>
                <w:lang w:val="es-PE"/>
              </w:rPr>
              <w:t>25 de mayo de 2022</w:t>
            </w:r>
          </w:p>
        </w:tc>
      </w:tr>
      <w:tr w:rsidR="007B1DBC" w:rsidRPr="004D51FD" w14:paraId="0F7931EB" w14:textId="77777777" w:rsidTr="004A6A54">
        <w:tc>
          <w:tcPr>
            <w:tcW w:w="3600" w:type="dxa"/>
            <w:tcBorders>
              <w:top w:val="single" w:sz="6" w:space="0" w:color="auto"/>
              <w:bottom w:val="single" w:sz="6" w:space="0" w:color="auto"/>
            </w:tcBorders>
            <w:shd w:val="clear" w:color="auto" w:fill="386294"/>
            <w:vAlign w:val="center"/>
          </w:tcPr>
          <w:p w14:paraId="25A4A07B" w14:textId="377CCC27" w:rsidR="007B1DBC" w:rsidRDefault="007B1DBC" w:rsidP="007B1DBC">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37AD53EB" w14:textId="1A31970F" w:rsidR="007B1DBC" w:rsidRDefault="00033260" w:rsidP="007B1DBC">
            <w:pPr>
              <w:jc w:val="both"/>
              <w:rPr>
                <w:rFonts w:ascii="Cambria" w:hAnsi="Cambria"/>
                <w:bCs/>
                <w:sz w:val="20"/>
                <w:szCs w:val="20"/>
                <w:lang w:val="es-PE"/>
              </w:rPr>
            </w:pPr>
            <w:r>
              <w:rPr>
                <w:rFonts w:ascii="Cambria" w:hAnsi="Cambria"/>
                <w:bCs/>
                <w:sz w:val="20"/>
                <w:szCs w:val="20"/>
                <w:lang w:val="es-PE"/>
              </w:rPr>
              <w:t>27 de junio de 2022</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072532AD" w14:textId="77777777" w:rsidTr="00103247">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74293C" w:rsidRDefault="003239B8" w:rsidP="008D2290">
            <w:pPr>
              <w:jc w:val="center"/>
              <w:rPr>
                <w:rFonts w:ascii="Cambria" w:hAnsi="Cambria"/>
                <w:b/>
                <w:bCs/>
                <w:i/>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personae:</w:t>
            </w:r>
          </w:p>
        </w:tc>
        <w:tc>
          <w:tcPr>
            <w:tcW w:w="5776" w:type="dxa"/>
            <w:vAlign w:val="center"/>
          </w:tcPr>
          <w:p w14:paraId="7707F3E9" w14:textId="58FDBB2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B8802DA" w14:textId="77777777" w:rsidTr="00103247">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loci</w:t>
            </w:r>
            <w:r w:rsidRPr="0074293C">
              <w:rPr>
                <w:rFonts w:ascii="Cambria" w:hAnsi="Cambria"/>
                <w:b/>
                <w:bCs/>
                <w:color w:val="FFFFFF" w:themeColor="background1"/>
                <w:sz w:val="20"/>
                <w:szCs w:val="20"/>
                <w:lang w:val="es-PE"/>
              </w:rPr>
              <w:t>:</w:t>
            </w:r>
          </w:p>
        </w:tc>
        <w:tc>
          <w:tcPr>
            <w:tcW w:w="5776" w:type="dxa"/>
            <w:vAlign w:val="center"/>
          </w:tcPr>
          <w:p w14:paraId="12C931CB" w14:textId="7EDE1F5B"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540F17" w14:paraId="4362FDF3" w14:textId="77777777" w:rsidTr="00103247">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temporis</w:t>
            </w:r>
            <w:r w:rsidRPr="0074293C">
              <w:rPr>
                <w:rFonts w:ascii="Cambria" w:hAnsi="Cambria"/>
                <w:b/>
                <w:bCs/>
                <w:color w:val="FFFFFF" w:themeColor="background1"/>
                <w:sz w:val="20"/>
                <w:szCs w:val="20"/>
                <w:lang w:val="es-PE"/>
              </w:rPr>
              <w:t>:</w:t>
            </w:r>
          </w:p>
        </w:tc>
        <w:tc>
          <w:tcPr>
            <w:tcW w:w="5776" w:type="dxa"/>
            <w:vAlign w:val="center"/>
          </w:tcPr>
          <w:p w14:paraId="6F8B059B" w14:textId="2114778A" w:rsidR="003239B8" w:rsidRPr="0074293C" w:rsidRDefault="00C9230A" w:rsidP="008D2290">
            <w:pPr>
              <w:rPr>
                <w:rFonts w:ascii="Cambria" w:hAnsi="Cambria"/>
                <w:bCs/>
                <w:sz w:val="20"/>
                <w:szCs w:val="20"/>
                <w:lang w:val="es-PE"/>
              </w:rPr>
            </w:pPr>
            <w:r w:rsidRPr="0074293C">
              <w:rPr>
                <w:rFonts w:ascii="Cambria" w:hAnsi="Cambria"/>
                <w:bCs/>
                <w:sz w:val="20"/>
                <w:szCs w:val="20"/>
                <w:lang w:val="es-PE"/>
              </w:rPr>
              <w:t>Sí</w:t>
            </w:r>
          </w:p>
        </w:tc>
      </w:tr>
      <w:tr w:rsidR="003239B8" w:rsidRPr="007D327B" w14:paraId="30ABEC3E" w14:textId="77777777" w:rsidTr="00103247">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74293C" w:rsidRDefault="003239B8" w:rsidP="008D2290">
            <w:pPr>
              <w:jc w:val="center"/>
              <w:rPr>
                <w:rFonts w:ascii="Cambria" w:hAnsi="Cambria"/>
                <w:b/>
                <w:bCs/>
                <w:color w:val="FFFFFF" w:themeColor="background1"/>
                <w:sz w:val="20"/>
                <w:szCs w:val="20"/>
                <w:lang w:val="es-PE"/>
              </w:rPr>
            </w:pPr>
            <w:r w:rsidRPr="0074293C">
              <w:rPr>
                <w:rFonts w:ascii="Cambria" w:hAnsi="Cambria"/>
                <w:b/>
                <w:bCs/>
                <w:color w:val="FFFFFF" w:themeColor="background1"/>
                <w:sz w:val="20"/>
                <w:szCs w:val="20"/>
                <w:lang w:val="es-PE"/>
              </w:rPr>
              <w:t>Competencia</w:t>
            </w:r>
            <w:r w:rsidRPr="0074293C">
              <w:rPr>
                <w:rFonts w:ascii="Cambria" w:hAnsi="Cambria"/>
                <w:b/>
                <w:bCs/>
                <w:i/>
                <w:color w:val="FFFFFF" w:themeColor="background1"/>
                <w:sz w:val="20"/>
                <w:szCs w:val="20"/>
                <w:lang w:val="es-PE"/>
              </w:rPr>
              <w:t xml:space="preserve"> Ratione materia</w:t>
            </w:r>
            <w:r w:rsidR="00EE00E9" w:rsidRPr="0074293C">
              <w:rPr>
                <w:rFonts w:ascii="Cambria" w:hAnsi="Cambria"/>
                <w:b/>
                <w:bCs/>
                <w:i/>
                <w:color w:val="FFFFFF" w:themeColor="background1"/>
                <w:sz w:val="20"/>
                <w:szCs w:val="20"/>
                <w:lang w:val="es-PE"/>
              </w:rPr>
              <w:t>e</w:t>
            </w:r>
            <w:r w:rsidRPr="0074293C">
              <w:rPr>
                <w:rFonts w:ascii="Cambria" w:hAnsi="Cambria"/>
                <w:b/>
                <w:bCs/>
                <w:color w:val="FFFFFF" w:themeColor="background1"/>
                <w:sz w:val="20"/>
                <w:szCs w:val="20"/>
                <w:lang w:val="es-PE"/>
              </w:rPr>
              <w:t>:</w:t>
            </w:r>
          </w:p>
        </w:tc>
        <w:tc>
          <w:tcPr>
            <w:tcW w:w="5776" w:type="dxa"/>
            <w:vAlign w:val="center"/>
          </w:tcPr>
          <w:p w14:paraId="0C122F44" w14:textId="410C8E10" w:rsidR="003239B8" w:rsidRPr="0074293C" w:rsidRDefault="00B472EC" w:rsidP="008D2290">
            <w:pPr>
              <w:jc w:val="both"/>
              <w:rPr>
                <w:rFonts w:ascii="Cambria" w:hAnsi="Cambria"/>
                <w:bCs/>
                <w:sz w:val="20"/>
                <w:szCs w:val="20"/>
                <w:lang w:val="es-PE"/>
              </w:rPr>
            </w:pPr>
            <w:r w:rsidRPr="0074293C">
              <w:rPr>
                <w:rFonts w:ascii="Cambria" w:hAnsi="Cambria"/>
                <w:bCs/>
                <w:sz w:val="20"/>
                <w:szCs w:val="20"/>
                <w:lang w:val="es-PE"/>
              </w:rPr>
              <w:t>Sí, Convención Americana (depósito del instrumento de ratificación realizado el 8 de abril de 1970)</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6D1946" w14:paraId="1231C988" w14:textId="77777777" w:rsidTr="00103247">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A715263" w:rsidR="00EE00E9" w:rsidRPr="00DC24E3" w:rsidRDefault="005F327D"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103247">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A7EAD23" w:rsidR="003239B8" w:rsidRPr="005F327D" w:rsidRDefault="005F327D" w:rsidP="008D2290">
            <w:pPr>
              <w:jc w:val="both"/>
              <w:rPr>
                <w:rFonts w:ascii="Cambria" w:hAnsi="Cambria"/>
                <w:bCs/>
                <w:sz w:val="20"/>
                <w:szCs w:val="20"/>
                <w:lang w:val="es-PE"/>
              </w:rPr>
            </w:pPr>
            <w:r w:rsidRPr="005F327D">
              <w:rPr>
                <w:rFonts w:ascii="Cambria" w:hAnsi="Cambria"/>
                <w:bCs/>
                <w:sz w:val="20"/>
                <w:szCs w:val="20"/>
                <w:lang w:val="es-PE"/>
              </w:rPr>
              <w:t>Ninguno</w:t>
            </w:r>
          </w:p>
        </w:tc>
      </w:tr>
      <w:tr w:rsidR="003239B8" w:rsidRPr="007D327B" w14:paraId="4EFD141E" w14:textId="77777777" w:rsidTr="00103247">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5632E5F8" w:rsidR="003239B8" w:rsidRPr="00DC24E3" w:rsidRDefault="005F327D" w:rsidP="008D2290">
            <w:pPr>
              <w:rPr>
                <w:rFonts w:ascii="Cambria" w:hAnsi="Cambria"/>
                <w:bCs/>
                <w:sz w:val="20"/>
                <w:szCs w:val="20"/>
                <w:lang w:val="es-ES"/>
              </w:rPr>
            </w:pPr>
            <w:r>
              <w:rPr>
                <w:rFonts w:ascii="Cambria" w:hAnsi="Cambria"/>
                <w:bCs/>
                <w:sz w:val="20"/>
                <w:szCs w:val="20"/>
                <w:lang w:val="es-ES"/>
              </w:rPr>
              <w:t>Sí, en los términos de la sección VII</w:t>
            </w:r>
          </w:p>
        </w:tc>
      </w:tr>
      <w:tr w:rsidR="003239B8" w:rsidRPr="007D327B" w14:paraId="52B5BA17" w14:textId="77777777" w:rsidTr="00103247">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09869D9F" w:rsidR="003239B8" w:rsidRPr="005F327D" w:rsidRDefault="005F327D" w:rsidP="008D2290">
            <w:pPr>
              <w:rPr>
                <w:rFonts w:ascii="Cambria" w:hAnsi="Cambria"/>
                <w:bCs/>
                <w:sz w:val="20"/>
                <w:szCs w:val="20"/>
                <w:lang w:val="es-US"/>
              </w:rPr>
            </w:pPr>
            <w:r>
              <w:rPr>
                <w:rFonts w:ascii="Cambria" w:hAnsi="Cambria"/>
                <w:bCs/>
                <w:sz w:val="20"/>
                <w:szCs w:val="20"/>
                <w:lang w:val="es-ES"/>
              </w:rPr>
              <w:t>Sí, en los términos de la sección VII</w:t>
            </w:r>
          </w:p>
        </w:tc>
      </w:tr>
    </w:tbl>
    <w:p w14:paraId="18E6423B" w14:textId="0107F3A7" w:rsidR="003239B8" w:rsidRPr="009F4093" w:rsidRDefault="00223A29" w:rsidP="009F4093">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sidRPr="009F4093">
        <w:rPr>
          <w:rFonts w:asciiTheme="majorHAnsi" w:hAnsiTheme="majorHAnsi"/>
          <w:b/>
          <w:sz w:val="20"/>
          <w:szCs w:val="20"/>
          <w:lang w:val="es-ES_tradnl"/>
        </w:rPr>
        <w:t>POSICIÓN DE LAS PARTES</w:t>
      </w:r>
    </w:p>
    <w:p w14:paraId="6CB72300" w14:textId="41137ED5" w:rsidR="00BA237E" w:rsidRPr="009F4093" w:rsidRDefault="008E3587" w:rsidP="009F4093">
      <w:pPr>
        <w:spacing w:before="240" w:after="240"/>
        <w:ind w:firstLine="720"/>
        <w:jc w:val="both"/>
        <w:rPr>
          <w:rFonts w:asciiTheme="majorHAnsi" w:hAnsiTheme="majorHAnsi"/>
          <w:bCs/>
          <w:i/>
          <w:iCs/>
          <w:sz w:val="20"/>
          <w:szCs w:val="20"/>
          <w:lang w:val="es-ES_tradnl"/>
        </w:rPr>
      </w:pPr>
      <w:r w:rsidRPr="009F4093">
        <w:rPr>
          <w:rFonts w:asciiTheme="majorHAnsi" w:hAnsiTheme="majorHAnsi"/>
          <w:bCs/>
          <w:i/>
          <w:iCs/>
          <w:sz w:val="20"/>
          <w:szCs w:val="20"/>
          <w:lang w:val="es-ES_tradnl"/>
        </w:rPr>
        <w:t>Alegatos de la parte peticionaria</w:t>
      </w:r>
    </w:p>
    <w:p w14:paraId="2F7D0A27" w14:textId="7320E4AF" w:rsidR="004B5430" w:rsidRPr="009F4093" w:rsidRDefault="00F278C3"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4093">
        <w:rPr>
          <w:rFonts w:ascii="Cambria" w:hAnsi="Cambria"/>
          <w:sz w:val="20"/>
          <w:szCs w:val="20"/>
          <w:lang w:val="es-ES_tradnl"/>
        </w:rPr>
        <w:t>La parte peticionaria denuncia que</w:t>
      </w:r>
      <w:r w:rsidR="003C10AC" w:rsidRPr="009F4093">
        <w:rPr>
          <w:rFonts w:ascii="Cambria" w:hAnsi="Cambria"/>
          <w:sz w:val="20"/>
          <w:szCs w:val="20"/>
          <w:lang w:val="es-ES_tradnl"/>
        </w:rPr>
        <w:t xml:space="preserve"> el </w:t>
      </w:r>
      <w:r w:rsidR="00BC5E49" w:rsidRPr="009F4093">
        <w:rPr>
          <w:rFonts w:ascii="Cambria" w:hAnsi="Cambria"/>
          <w:sz w:val="20"/>
          <w:szCs w:val="20"/>
          <w:lang w:val="es-ES_tradnl"/>
        </w:rPr>
        <w:t xml:space="preserve">señor Vargas Pérez no tuvo acceso a un recurso que permita la revisión integral de su condena por </w:t>
      </w:r>
      <w:r w:rsidR="00BC5E49" w:rsidRPr="009F4093">
        <w:rPr>
          <w:rFonts w:asciiTheme="majorHAnsi" w:hAnsiTheme="majorHAnsi"/>
          <w:sz w:val="20"/>
          <w:szCs w:val="20"/>
          <w:lang w:val="es-ES_tradnl"/>
        </w:rPr>
        <w:t xml:space="preserve">los delitos de destrucción de documento público y de falsedad </w:t>
      </w:r>
      <w:r w:rsidR="00BC5E49" w:rsidRPr="009F4093">
        <w:rPr>
          <w:rFonts w:asciiTheme="majorHAnsi" w:hAnsiTheme="majorHAnsi"/>
          <w:sz w:val="20"/>
          <w:szCs w:val="20"/>
          <w:lang w:val="es-ES_tradnl"/>
        </w:rPr>
        <w:lastRenderedPageBreak/>
        <w:t>ideológica</w:t>
      </w:r>
      <w:r w:rsidR="00BC5E49" w:rsidRPr="009F4093">
        <w:rPr>
          <w:rFonts w:ascii="Cambria" w:hAnsi="Cambria"/>
          <w:sz w:val="20"/>
          <w:szCs w:val="20"/>
          <w:lang w:val="es-ES_tradnl"/>
        </w:rPr>
        <w:t>. Asimismo, arguye que dicha sentencia no estuvo debidamente fundamentada y que afectó distintas garantías judiciales.</w:t>
      </w:r>
    </w:p>
    <w:p w14:paraId="216289A9" w14:textId="56F51185" w:rsidR="001304BB" w:rsidRPr="009F4093" w:rsidRDefault="00D13487"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27A63E3">
        <w:rPr>
          <w:rFonts w:asciiTheme="majorHAnsi" w:hAnsiTheme="majorHAnsi"/>
          <w:sz w:val="20"/>
          <w:szCs w:val="20"/>
          <w:lang w:val="es-ES"/>
        </w:rPr>
        <w:t>Informa que el 5 de octubre de 2009 el</w:t>
      </w:r>
      <w:r w:rsidR="00554C78" w:rsidRPr="627A63E3">
        <w:rPr>
          <w:rFonts w:asciiTheme="majorHAnsi" w:hAnsiTheme="majorHAnsi"/>
          <w:sz w:val="20"/>
          <w:szCs w:val="20"/>
          <w:lang w:val="es-ES"/>
        </w:rPr>
        <w:t xml:space="preserve"> Tribunal de Juicio II de San José</w:t>
      </w:r>
      <w:r w:rsidRPr="627A63E3">
        <w:rPr>
          <w:rFonts w:asciiTheme="majorHAnsi" w:hAnsiTheme="majorHAnsi"/>
          <w:sz w:val="20"/>
          <w:szCs w:val="20"/>
          <w:lang w:val="es-ES"/>
        </w:rPr>
        <w:t xml:space="preserve">, mediante la sentencia </w:t>
      </w:r>
      <w:r w:rsidR="002059C6" w:rsidRPr="627A63E3">
        <w:rPr>
          <w:rFonts w:asciiTheme="majorHAnsi" w:hAnsiTheme="majorHAnsi"/>
          <w:sz w:val="20"/>
          <w:szCs w:val="20"/>
          <w:lang w:val="es-ES"/>
        </w:rPr>
        <w:t xml:space="preserve">N.º 370-2009, condenó </w:t>
      </w:r>
      <w:r w:rsidR="00934A8B" w:rsidRPr="627A63E3">
        <w:rPr>
          <w:rFonts w:asciiTheme="majorHAnsi" w:hAnsiTheme="majorHAnsi"/>
          <w:sz w:val="20"/>
          <w:szCs w:val="20"/>
          <w:lang w:val="es-ES"/>
        </w:rPr>
        <w:t xml:space="preserve">al señor Vargas Pérez </w:t>
      </w:r>
      <w:r w:rsidR="002059C6" w:rsidRPr="627A63E3">
        <w:rPr>
          <w:rFonts w:asciiTheme="majorHAnsi" w:hAnsiTheme="majorHAnsi"/>
          <w:sz w:val="20"/>
          <w:szCs w:val="20"/>
          <w:lang w:val="es-ES"/>
        </w:rPr>
        <w:t xml:space="preserve">a </w:t>
      </w:r>
      <w:r w:rsidR="00934A8B" w:rsidRPr="627A63E3">
        <w:rPr>
          <w:rFonts w:asciiTheme="majorHAnsi" w:hAnsiTheme="majorHAnsi"/>
          <w:sz w:val="20"/>
          <w:szCs w:val="20"/>
          <w:lang w:val="es-ES"/>
        </w:rPr>
        <w:t xml:space="preserve">dos años de prisión por </w:t>
      </w:r>
      <w:r w:rsidR="00BC5E49" w:rsidRPr="627A63E3">
        <w:rPr>
          <w:rFonts w:asciiTheme="majorHAnsi" w:hAnsiTheme="majorHAnsi"/>
          <w:sz w:val="20"/>
          <w:szCs w:val="20"/>
          <w:lang w:val="es-ES"/>
        </w:rPr>
        <w:t xml:space="preserve">los </w:t>
      </w:r>
      <w:r w:rsidR="00934A8B" w:rsidRPr="627A63E3">
        <w:rPr>
          <w:rFonts w:asciiTheme="majorHAnsi" w:hAnsiTheme="majorHAnsi"/>
          <w:sz w:val="20"/>
          <w:szCs w:val="20"/>
          <w:lang w:val="es-ES"/>
        </w:rPr>
        <w:t>delito</w:t>
      </w:r>
      <w:r w:rsidR="00BC5E49" w:rsidRPr="627A63E3">
        <w:rPr>
          <w:rFonts w:asciiTheme="majorHAnsi" w:hAnsiTheme="majorHAnsi"/>
          <w:sz w:val="20"/>
          <w:szCs w:val="20"/>
          <w:lang w:val="es-ES"/>
        </w:rPr>
        <w:t>s</w:t>
      </w:r>
      <w:r w:rsidR="00934A8B" w:rsidRPr="627A63E3">
        <w:rPr>
          <w:rFonts w:asciiTheme="majorHAnsi" w:hAnsiTheme="majorHAnsi"/>
          <w:sz w:val="20"/>
          <w:szCs w:val="20"/>
          <w:lang w:val="es-ES"/>
        </w:rPr>
        <w:t xml:space="preserve"> de destrucción de documento público y de falsedad ideológica. </w:t>
      </w:r>
      <w:r w:rsidR="000F0D45" w:rsidRPr="627A63E3">
        <w:rPr>
          <w:rFonts w:asciiTheme="majorHAnsi" w:hAnsiTheme="majorHAnsi"/>
          <w:sz w:val="20"/>
          <w:szCs w:val="20"/>
          <w:lang w:val="es-ES"/>
        </w:rPr>
        <w:t>Ante ello, a</w:t>
      </w:r>
      <w:r w:rsidR="00934A8B" w:rsidRPr="627A63E3">
        <w:rPr>
          <w:rFonts w:asciiTheme="majorHAnsi" w:hAnsiTheme="majorHAnsi"/>
          <w:sz w:val="20"/>
          <w:szCs w:val="20"/>
          <w:lang w:val="es-ES"/>
        </w:rPr>
        <w:t>firma que</w:t>
      </w:r>
      <w:r w:rsidR="0062626E" w:rsidRPr="627A63E3">
        <w:rPr>
          <w:rFonts w:asciiTheme="majorHAnsi" w:hAnsiTheme="majorHAnsi"/>
          <w:sz w:val="20"/>
          <w:szCs w:val="20"/>
          <w:lang w:val="es-ES"/>
        </w:rPr>
        <w:t xml:space="preserve"> la defensora pública de la presunta víctima presentó un recurso de casación contra esta decisión, cuestiona</w:t>
      </w:r>
      <w:r w:rsidR="000F0D45" w:rsidRPr="627A63E3">
        <w:rPr>
          <w:rFonts w:asciiTheme="majorHAnsi" w:hAnsiTheme="majorHAnsi"/>
          <w:sz w:val="20"/>
          <w:szCs w:val="20"/>
          <w:lang w:val="es-ES"/>
        </w:rPr>
        <w:t>n</w:t>
      </w:r>
      <w:r w:rsidR="0062626E" w:rsidRPr="627A63E3">
        <w:rPr>
          <w:rFonts w:asciiTheme="majorHAnsi" w:hAnsiTheme="majorHAnsi"/>
          <w:sz w:val="20"/>
          <w:szCs w:val="20"/>
          <w:lang w:val="es-ES"/>
        </w:rPr>
        <w:t>do</w:t>
      </w:r>
      <w:r w:rsidR="008A5CB8" w:rsidRPr="627A63E3">
        <w:rPr>
          <w:rFonts w:asciiTheme="majorHAnsi" w:hAnsiTheme="majorHAnsi"/>
          <w:sz w:val="20"/>
          <w:szCs w:val="20"/>
          <w:lang w:val="es-ES"/>
        </w:rPr>
        <w:t xml:space="preserve"> que:</w:t>
      </w:r>
      <w:r w:rsidR="0062626E" w:rsidRPr="627A63E3">
        <w:rPr>
          <w:rFonts w:asciiTheme="majorHAnsi" w:hAnsiTheme="majorHAnsi"/>
          <w:sz w:val="20"/>
          <w:szCs w:val="20"/>
          <w:lang w:val="es-ES"/>
        </w:rPr>
        <w:t xml:space="preserve"> i) </w:t>
      </w:r>
      <w:r w:rsidR="004C01DA" w:rsidRPr="627A63E3">
        <w:rPr>
          <w:rFonts w:asciiTheme="majorHAnsi" w:hAnsiTheme="majorHAnsi"/>
          <w:sz w:val="20"/>
          <w:szCs w:val="20"/>
          <w:lang w:val="es-ES"/>
        </w:rPr>
        <w:t>existió una violación al debido proceso por falta de fundamentación en la sentencia;</w:t>
      </w:r>
      <w:r w:rsidR="00414014" w:rsidRPr="627A63E3">
        <w:rPr>
          <w:rFonts w:asciiTheme="majorHAnsi" w:hAnsiTheme="majorHAnsi"/>
          <w:sz w:val="20"/>
          <w:szCs w:val="20"/>
          <w:lang w:val="es-ES"/>
        </w:rPr>
        <w:t xml:space="preserve"> y</w:t>
      </w:r>
      <w:r w:rsidR="004C01DA" w:rsidRPr="627A63E3">
        <w:rPr>
          <w:rFonts w:asciiTheme="majorHAnsi" w:hAnsiTheme="majorHAnsi"/>
          <w:sz w:val="20"/>
          <w:szCs w:val="20"/>
          <w:lang w:val="es-ES"/>
        </w:rPr>
        <w:t xml:space="preserve"> ii)</w:t>
      </w:r>
      <w:r w:rsidR="00283F92" w:rsidRPr="627A63E3">
        <w:rPr>
          <w:rFonts w:asciiTheme="majorHAnsi" w:hAnsiTheme="majorHAnsi"/>
          <w:sz w:val="20"/>
          <w:szCs w:val="20"/>
          <w:lang w:val="es-ES"/>
        </w:rPr>
        <w:t xml:space="preserve"> </w:t>
      </w:r>
      <w:r w:rsidR="008A5CB8" w:rsidRPr="627A63E3">
        <w:rPr>
          <w:rFonts w:asciiTheme="majorHAnsi" w:hAnsiTheme="majorHAnsi"/>
          <w:sz w:val="20"/>
          <w:szCs w:val="20"/>
          <w:lang w:val="es-ES"/>
        </w:rPr>
        <w:t>se aplicó indebidamente el tipo penal previsto en el artículo 360 del Código Penal</w:t>
      </w:r>
      <w:r w:rsidR="00414014" w:rsidRPr="627A63E3">
        <w:rPr>
          <w:rFonts w:asciiTheme="majorHAnsi" w:hAnsiTheme="majorHAnsi"/>
          <w:sz w:val="20"/>
          <w:szCs w:val="20"/>
          <w:lang w:val="es-ES"/>
        </w:rPr>
        <w:t xml:space="preserve">. Sin embargo, </w:t>
      </w:r>
      <w:r w:rsidR="00A67AD7" w:rsidRPr="627A63E3">
        <w:rPr>
          <w:rFonts w:asciiTheme="majorHAnsi" w:hAnsiTheme="majorHAnsi"/>
          <w:sz w:val="20"/>
          <w:szCs w:val="20"/>
          <w:lang w:val="es-ES"/>
        </w:rPr>
        <w:t xml:space="preserve">el 11 de mayo de 2011 </w:t>
      </w:r>
      <w:r w:rsidR="003430DE" w:rsidRPr="627A63E3">
        <w:rPr>
          <w:rFonts w:asciiTheme="majorHAnsi" w:hAnsiTheme="majorHAnsi"/>
          <w:sz w:val="20"/>
          <w:szCs w:val="20"/>
          <w:lang w:val="es-ES"/>
        </w:rPr>
        <w:t>la Sala Tercera de la Corte Suprema de Justicia</w:t>
      </w:r>
      <w:r w:rsidR="008B0911" w:rsidRPr="627A63E3">
        <w:rPr>
          <w:rFonts w:asciiTheme="majorHAnsi" w:hAnsiTheme="majorHAnsi"/>
          <w:sz w:val="20"/>
          <w:szCs w:val="20"/>
          <w:lang w:val="es-ES"/>
        </w:rPr>
        <w:t xml:space="preserve"> desestimó la citada demanda</w:t>
      </w:r>
      <w:r w:rsidR="00E23914" w:rsidRPr="627A63E3">
        <w:rPr>
          <w:rFonts w:asciiTheme="majorHAnsi" w:hAnsiTheme="majorHAnsi"/>
          <w:sz w:val="20"/>
          <w:szCs w:val="20"/>
          <w:lang w:val="es-ES"/>
        </w:rPr>
        <w:t xml:space="preserve">, al </w:t>
      </w:r>
      <w:r w:rsidR="004172B0" w:rsidRPr="627A63E3">
        <w:rPr>
          <w:rFonts w:asciiTheme="majorHAnsi" w:hAnsiTheme="majorHAnsi"/>
          <w:sz w:val="20"/>
          <w:szCs w:val="20"/>
          <w:lang w:val="es-ES"/>
        </w:rPr>
        <w:t>estimar</w:t>
      </w:r>
      <w:r w:rsidR="00E23914" w:rsidRPr="627A63E3">
        <w:rPr>
          <w:rFonts w:asciiTheme="majorHAnsi" w:hAnsiTheme="majorHAnsi"/>
          <w:sz w:val="20"/>
          <w:szCs w:val="20"/>
          <w:lang w:val="es-ES"/>
        </w:rPr>
        <w:t xml:space="preserve"> que el fallo de primera instancia estaba debidamente motivado</w:t>
      </w:r>
      <w:r w:rsidR="008B0911" w:rsidRPr="627A63E3">
        <w:rPr>
          <w:rFonts w:asciiTheme="majorHAnsi" w:hAnsiTheme="majorHAnsi"/>
          <w:sz w:val="20"/>
          <w:szCs w:val="20"/>
          <w:lang w:val="es-ES"/>
        </w:rPr>
        <w:t xml:space="preserve">. </w:t>
      </w:r>
      <w:r w:rsidR="00F430CB" w:rsidRPr="627A63E3">
        <w:rPr>
          <w:rFonts w:asciiTheme="majorHAnsi" w:hAnsiTheme="majorHAnsi"/>
          <w:sz w:val="20"/>
          <w:szCs w:val="20"/>
          <w:lang w:val="es-ES"/>
        </w:rPr>
        <w:t>Esta decisión se notificó el 17 de mayo de 2011.</w:t>
      </w:r>
    </w:p>
    <w:p w14:paraId="711867EA" w14:textId="5CC80F8B" w:rsidR="00CE13E5" w:rsidRPr="009F4093" w:rsidRDefault="00A85490"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27A63E3">
        <w:rPr>
          <w:rFonts w:asciiTheme="majorHAnsi" w:hAnsiTheme="majorHAnsi"/>
          <w:sz w:val="20"/>
          <w:szCs w:val="20"/>
          <w:lang w:val="es-ES"/>
        </w:rPr>
        <w:t xml:space="preserve">Con base en las citadas consideraciones, la parte peticionaria denuncia que </w:t>
      </w:r>
      <w:r w:rsidR="00C522C9" w:rsidRPr="627A63E3">
        <w:rPr>
          <w:rFonts w:ascii="Cambria" w:hAnsi="Cambria"/>
          <w:sz w:val="20"/>
          <w:szCs w:val="20"/>
          <w:lang w:val="es-ES"/>
        </w:rPr>
        <w:t xml:space="preserve">el Estado vulneró el derecho a recurrir el fallo de la presunta víctima, debido a que no contó con un recurso que permita la revisión integral de su condena de primera instancia. </w:t>
      </w:r>
      <w:r w:rsidR="00CE13E5" w:rsidRPr="627A63E3">
        <w:rPr>
          <w:rFonts w:ascii="Cambria" w:hAnsi="Cambria"/>
          <w:sz w:val="20"/>
          <w:szCs w:val="20"/>
          <w:lang w:val="es-ES"/>
        </w:rPr>
        <w:t>Además, arguye que se afectó el derecho a la defensa y a la prueba de</w:t>
      </w:r>
      <w:r w:rsidR="00787715" w:rsidRPr="627A63E3">
        <w:rPr>
          <w:rFonts w:ascii="Cambria" w:hAnsi="Cambria"/>
          <w:sz w:val="20"/>
          <w:szCs w:val="20"/>
          <w:lang w:val="es-ES"/>
        </w:rPr>
        <w:t>l señor Vargas Pérez</w:t>
      </w:r>
      <w:r w:rsidR="00CE13E5" w:rsidRPr="627A63E3">
        <w:rPr>
          <w:rFonts w:ascii="Cambria" w:hAnsi="Cambria"/>
          <w:sz w:val="20"/>
          <w:szCs w:val="20"/>
          <w:lang w:val="es-ES"/>
        </w:rPr>
        <w:t xml:space="preserve">, pues no se le permitió a su defensa obtener la comparecencia como peritos </w:t>
      </w:r>
      <w:r w:rsidR="00C178C0" w:rsidRPr="627A63E3">
        <w:rPr>
          <w:rFonts w:ascii="Cambria" w:hAnsi="Cambria"/>
          <w:sz w:val="20"/>
          <w:szCs w:val="20"/>
          <w:lang w:val="es-ES"/>
        </w:rPr>
        <w:t>de</w:t>
      </w:r>
      <w:r w:rsidR="0001449C" w:rsidRPr="627A63E3">
        <w:rPr>
          <w:rFonts w:ascii="Cambria" w:hAnsi="Cambria"/>
          <w:sz w:val="20"/>
          <w:szCs w:val="20"/>
          <w:lang w:val="es-ES"/>
        </w:rPr>
        <w:t xml:space="preserve"> dos expertos en materias importantes para demostrar su inocencia. </w:t>
      </w:r>
      <w:r w:rsidR="00CE13E5" w:rsidRPr="627A63E3">
        <w:rPr>
          <w:rFonts w:ascii="Cambria" w:hAnsi="Cambria"/>
          <w:sz w:val="20"/>
          <w:szCs w:val="20"/>
          <w:lang w:val="es-ES"/>
        </w:rPr>
        <w:t xml:space="preserve"> </w:t>
      </w:r>
    </w:p>
    <w:p w14:paraId="3AA2570F" w14:textId="378A7D99" w:rsidR="00BD2868" w:rsidRPr="009F4093" w:rsidRDefault="00BD2868"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27A63E3">
        <w:rPr>
          <w:rFonts w:ascii="Cambria" w:hAnsi="Cambria"/>
          <w:sz w:val="20"/>
          <w:szCs w:val="20"/>
          <w:lang w:val="es-ES"/>
        </w:rPr>
        <w:t xml:space="preserve">Asimismo, refiere que se </w:t>
      </w:r>
      <w:r w:rsidR="00B5754B" w:rsidRPr="627A63E3">
        <w:rPr>
          <w:rFonts w:ascii="Cambria" w:hAnsi="Cambria"/>
          <w:sz w:val="20"/>
          <w:szCs w:val="20"/>
          <w:lang w:val="es-ES"/>
        </w:rPr>
        <w:t xml:space="preserve">vulneró </w:t>
      </w:r>
      <w:r w:rsidRPr="627A63E3">
        <w:rPr>
          <w:rFonts w:ascii="Cambria" w:hAnsi="Cambria"/>
          <w:sz w:val="20"/>
          <w:szCs w:val="20"/>
          <w:lang w:val="es-ES"/>
        </w:rPr>
        <w:t xml:space="preserve">su derecho al juez natural, </w:t>
      </w:r>
      <w:r w:rsidR="009542C9" w:rsidRPr="627A63E3">
        <w:rPr>
          <w:rFonts w:ascii="Cambria" w:hAnsi="Cambria"/>
          <w:sz w:val="20"/>
          <w:szCs w:val="20"/>
          <w:lang w:val="es-ES"/>
        </w:rPr>
        <w:t>dado que,</w:t>
      </w:r>
      <w:r w:rsidRPr="627A63E3">
        <w:rPr>
          <w:rFonts w:ascii="Cambria" w:hAnsi="Cambria"/>
          <w:sz w:val="20"/>
          <w:szCs w:val="20"/>
          <w:lang w:val="es-ES"/>
        </w:rPr>
        <w:t xml:space="preserve"> tanto en primera instancia como en sede de casación, </w:t>
      </w:r>
      <w:r w:rsidR="009542C9" w:rsidRPr="627A63E3">
        <w:rPr>
          <w:rFonts w:ascii="Cambria" w:hAnsi="Cambria"/>
          <w:sz w:val="20"/>
          <w:szCs w:val="20"/>
          <w:lang w:val="es-ES"/>
        </w:rPr>
        <w:t>uno de los jueces que conformaban el tribunal que analizó su caso tuvo que ser su</w:t>
      </w:r>
      <w:r w:rsidR="00C178C0" w:rsidRPr="627A63E3">
        <w:rPr>
          <w:rFonts w:ascii="Cambria" w:hAnsi="Cambria"/>
          <w:sz w:val="20"/>
          <w:szCs w:val="20"/>
          <w:lang w:val="es-ES"/>
        </w:rPr>
        <w:t>stituido</w:t>
      </w:r>
      <w:r w:rsidR="009542C9" w:rsidRPr="627A63E3">
        <w:rPr>
          <w:rFonts w:ascii="Cambria" w:hAnsi="Cambria"/>
          <w:sz w:val="20"/>
          <w:szCs w:val="20"/>
          <w:lang w:val="es-ES"/>
        </w:rPr>
        <w:t xml:space="preserve"> por un magistrado suplente. </w:t>
      </w:r>
      <w:r w:rsidR="00C178C0" w:rsidRPr="627A63E3">
        <w:rPr>
          <w:rFonts w:ascii="Cambria" w:hAnsi="Cambria"/>
          <w:sz w:val="20"/>
          <w:szCs w:val="20"/>
          <w:lang w:val="es-ES"/>
        </w:rPr>
        <w:t>Agrega</w:t>
      </w:r>
      <w:r w:rsidR="00F86D58" w:rsidRPr="627A63E3">
        <w:rPr>
          <w:rFonts w:ascii="Cambria" w:hAnsi="Cambria"/>
          <w:sz w:val="20"/>
          <w:szCs w:val="20"/>
          <w:lang w:val="es-ES"/>
        </w:rPr>
        <w:t xml:space="preserve"> que</w:t>
      </w:r>
      <w:r w:rsidR="009542C9" w:rsidRPr="627A63E3">
        <w:rPr>
          <w:rFonts w:ascii="Cambria" w:hAnsi="Cambria"/>
          <w:sz w:val="20"/>
          <w:szCs w:val="20"/>
          <w:lang w:val="es-ES"/>
        </w:rPr>
        <w:t xml:space="preserve"> </w:t>
      </w:r>
      <w:r w:rsidR="00841F38" w:rsidRPr="627A63E3">
        <w:rPr>
          <w:rFonts w:ascii="Cambria" w:hAnsi="Cambria"/>
          <w:sz w:val="20"/>
          <w:szCs w:val="20"/>
          <w:lang w:val="es-ES"/>
        </w:rPr>
        <w:t xml:space="preserve">tal sustitución provocó una afectación al principio de inmediación penal, pues los nuevos magistrados no participaron activamente en </w:t>
      </w:r>
      <w:r w:rsidR="00C178C0" w:rsidRPr="627A63E3">
        <w:rPr>
          <w:rFonts w:ascii="Cambria" w:hAnsi="Cambria"/>
          <w:sz w:val="20"/>
          <w:szCs w:val="20"/>
          <w:lang w:val="es-ES"/>
        </w:rPr>
        <w:t>su juicio oral</w:t>
      </w:r>
      <w:r w:rsidR="002246FF" w:rsidRPr="627A63E3">
        <w:rPr>
          <w:rFonts w:ascii="Cambria" w:hAnsi="Cambria"/>
          <w:sz w:val="20"/>
          <w:szCs w:val="20"/>
          <w:lang w:val="es-ES"/>
        </w:rPr>
        <w:t>.</w:t>
      </w:r>
    </w:p>
    <w:p w14:paraId="0A48DCCD" w14:textId="57012A5A" w:rsidR="00841F38" w:rsidRPr="009F4093" w:rsidRDefault="00963875"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4093">
        <w:rPr>
          <w:rFonts w:ascii="Cambria" w:hAnsi="Cambria"/>
          <w:sz w:val="20"/>
          <w:szCs w:val="20"/>
          <w:lang w:val="es-ES_tradnl"/>
        </w:rPr>
        <w:t>Por otra parte</w:t>
      </w:r>
      <w:r w:rsidR="00841F38" w:rsidRPr="009F4093">
        <w:rPr>
          <w:rFonts w:ascii="Cambria" w:hAnsi="Cambria"/>
          <w:sz w:val="20"/>
          <w:szCs w:val="20"/>
          <w:lang w:val="es-ES_tradnl"/>
        </w:rPr>
        <w:t xml:space="preserve">, </w:t>
      </w:r>
      <w:r w:rsidR="00320C8A" w:rsidRPr="009F4093">
        <w:rPr>
          <w:rFonts w:ascii="Cambria" w:hAnsi="Cambria"/>
          <w:sz w:val="20"/>
          <w:szCs w:val="20"/>
          <w:lang w:val="es-ES_tradnl"/>
        </w:rPr>
        <w:t xml:space="preserve">alega </w:t>
      </w:r>
      <w:r w:rsidR="00841F38" w:rsidRPr="009F4093">
        <w:rPr>
          <w:rFonts w:ascii="Cambria" w:hAnsi="Cambria"/>
          <w:sz w:val="20"/>
          <w:szCs w:val="20"/>
          <w:lang w:val="es-ES_tradnl"/>
        </w:rPr>
        <w:t xml:space="preserve">que </w:t>
      </w:r>
      <w:r w:rsidR="002F1880" w:rsidRPr="009F4093">
        <w:rPr>
          <w:rFonts w:ascii="Cambria" w:hAnsi="Cambria"/>
          <w:sz w:val="20"/>
          <w:szCs w:val="20"/>
          <w:lang w:val="es-ES_tradnl"/>
        </w:rPr>
        <w:t xml:space="preserve">también se produjo una afectación al principio de legalidad, toda vez que el tipo penal utilizado para condenar a la presunta víctima no contempla explícitamente una sanción y, </w:t>
      </w:r>
      <w:r w:rsidR="00645D22" w:rsidRPr="009F4093">
        <w:rPr>
          <w:rFonts w:ascii="Cambria" w:hAnsi="Cambria"/>
          <w:sz w:val="20"/>
          <w:szCs w:val="20"/>
          <w:lang w:val="es-ES_tradnl"/>
        </w:rPr>
        <w:t>debido a ello, el tribunal tuvo que emplear una analogía para determinar la pena aplicable.</w:t>
      </w:r>
      <w:r w:rsidR="00F86D58" w:rsidRPr="009F4093">
        <w:rPr>
          <w:rFonts w:ascii="Cambria" w:hAnsi="Cambria"/>
          <w:sz w:val="20"/>
          <w:szCs w:val="20"/>
          <w:lang w:val="es-ES_tradnl"/>
        </w:rPr>
        <w:t xml:space="preserve"> A criterio de la parte peticionaria, dicha falencia de la norma penal </w:t>
      </w:r>
      <w:r w:rsidR="00EA1759" w:rsidRPr="009F4093">
        <w:rPr>
          <w:rFonts w:ascii="Cambria" w:hAnsi="Cambria"/>
          <w:sz w:val="20"/>
          <w:szCs w:val="20"/>
          <w:lang w:val="es-ES_tradnl"/>
        </w:rPr>
        <w:t xml:space="preserve">provocó que tanto su tribunal de primera instancia como la Sala Tercera de la Corte Suprema utilicen un método de integración jurídica prohibido en el ámbito penal. </w:t>
      </w:r>
    </w:p>
    <w:p w14:paraId="2BBEA5EE" w14:textId="18366438" w:rsidR="00E17338" w:rsidRPr="009F4093" w:rsidRDefault="00963875"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9F4093">
        <w:rPr>
          <w:rFonts w:ascii="Cambria" w:hAnsi="Cambria"/>
          <w:sz w:val="20"/>
          <w:szCs w:val="20"/>
          <w:lang w:val="es-ES_tradnl"/>
        </w:rPr>
        <w:t xml:space="preserve">Finalmente, </w:t>
      </w:r>
      <w:r w:rsidR="00006C6F" w:rsidRPr="009F4093">
        <w:rPr>
          <w:rFonts w:ascii="Cambria" w:hAnsi="Cambria"/>
          <w:sz w:val="20"/>
          <w:szCs w:val="20"/>
          <w:lang w:val="es-ES_tradnl"/>
        </w:rPr>
        <w:t xml:space="preserve">la parte peticionaria denuncia que </w:t>
      </w:r>
      <w:r w:rsidR="00187645" w:rsidRPr="009F4093">
        <w:rPr>
          <w:rFonts w:ascii="Cambria" w:hAnsi="Cambria"/>
          <w:sz w:val="20"/>
          <w:szCs w:val="20"/>
          <w:lang w:val="es-ES_tradnl"/>
        </w:rPr>
        <w:t xml:space="preserve">las autoridades a lo largo de la investigación y proceso penal contra la presunta víctima afectaron sus derechos y limitaron sus posibilidades de ejercer debidamente su defensa. En particular, si bien la presunta víctima </w:t>
      </w:r>
      <w:r w:rsidR="002246FF" w:rsidRPr="009F4093">
        <w:rPr>
          <w:rFonts w:ascii="Cambria" w:hAnsi="Cambria"/>
          <w:sz w:val="20"/>
          <w:szCs w:val="20"/>
          <w:lang w:val="es-ES_tradnl"/>
        </w:rPr>
        <w:t xml:space="preserve">afirma que </w:t>
      </w:r>
      <w:r w:rsidR="00187645" w:rsidRPr="009F4093">
        <w:rPr>
          <w:rFonts w:ascii="Cambria" w:hAnsi="Cambria"/>
          <w:sz w:val="20"/>
          <w:szCs w:val="20"/>
          <w:lang w:val="es-ES_tradnl"/>
        </w:rPr>
        <w:t>denunció haber sufrido hostigamientos y amenazas</w:t>
      </w:r>
      <w:r w:rsidR="00E17338" w:rsidRPr="009F4093">
        <w:rPr>
          <w:rFonts w:ascii="Cambria" w:hAnsi="Cambria"/>
          <w:sz w:val="20"/>
          <w:szCs w:val="20"/>
          <w:lang w:val="es-ES_tradnl"/>
        </w:rPr>
        <w:t xml:space="preserve"> y solicitó su incorporación a un programa de atención de testigos</w:t>
      </w:r>
      <w:r w:rsidR="00187645" w:rsidRPr="009F4093">
        <w:rPr>
          <w:rFonts w:ascii="Cambria" w:hAnsi="Cambria"/>
          <w:sz w:val="20"/>
          <w:szCs w:val="20"/>
          <w:lang w:val="es-ES_tradnl"/>
        </w:rPr>
        <w:t xml:space="preserve">, los funcionarios </w:t>
      </w:r>
      <w:r w:rsidR="00E17338" w:rsidRPr="009F4093">
        <w:rPr>
          <w:rFonts w:ascii="Cambria" w:hAnsi="Cambria"/>
          <w:sz w:val="20"/>
          <w:szCs w:val="20"/>
          <w:lang w:val="es-ES_tradnl"/>
        </w:rPr>
        <w:t>no aceptaron tal pedido. Por el contrario, refiere que los representantes del Ministerio Público lo hostigaron para que declarar</w:t>
      </w:r>
      <w:r w:rsidR="00212090" w:rsidRPr="009F4093">
        <w:rPr>
          <w:rFonts w:ascii="Cambria" w:hAnsi="Cambria"/>
          <w:sz w:val="20"/>
          <w:szCs w:val="20"/>
          <w:lang w:val="es-ES_tradnl"/>
        </w:rPr>
        <w:t>a</w:t>
      </w:r>
      <w:r w:rsidR="00E17338" w:rsidRPr="009F4093">
        <w:rPr>
          <w:rFonts w:ascii="Cambria" w:hAnsi="Cambria"/>
          <w:sz w:val="20"/>
          <w:szCs w:val="20"/>
          <w:lang w:val="es-ES_tradnl"/>
        </w:rPr>
        <w:t xml:space="preserve"> en un proceso abreviado y que inculpar</w:t>
      </w:r>
      <w:r w:rsidR="00212090" w:rsidRPr="009F4093">
        <w:rPr>
          <w:rFonts w:ascii="Cambria" w:hAnsi="Cambria"/>
          <w:sz w:val="20"/>
          <w:szCs w:val="20"/>
          <w:lang w:val="es-ES_tradnl"/>
        </w:rPr>
        <w:t>a</w:t>
      </w:r>
      <w:r w:rsidR="00E17338" w:rsidRPr="009F4093">
        <w:rPr>
          <w:rFonts w:ascii="Cambria" w:hAnsi="Cambria"/>
          <w:sz w:val="20"/>
          <w:szCs w:val="20"/>
          <w:lang w:val="es-ES_tradnl"/>
        </w:rPr>
        <w:t xml:space="preserve"> a ciertas personas, y además filtraron información incorrecta sobre su persona a la opinión pública para presionarlo.</w:t>
      </w:r>
    </w:p>
    <w:p w14:paraId="4D689013" w14:textId="60CA2783" w:rsidR="00522C3B" w:rsidRPr="009F4093" w:rsidRDefault="00522C3B" w:rsidP="009F40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9F4093">
        <w:rPr>
          <w:rFonts w:asciiTheme="majorHAnsi" w:hAnsiTheme="majorHAnsi"/>
          <w:i/>
          <w:iCs/>
          <w:sz w:val="20"/>
          <w:szCs w:val="20"/>
          <w:lang w:val="es-ES_tradnl"/>
        </w:rPr>
        <w:t>Alegatos del Estado</w:t>
      </w:r>
    </w:p>
    <w:p w14:paraId="6781DE42" w14:textId="3ABFCD26" w:rsidR="00A86EBC" w:rsidRPr="009F4093" w:rsidRDefault="00A86EBC"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9F4093">
        <w:rPr>
          <w:rFonts w:ascii="Cambria" w:hAnsi="Cambria"/>
          <w:sz w:val="20"/>
          <w:szCs w:val="20"/>
          <w:lang w:val="es-ES_tradnl"/>
        </w:rPr>
        <w:t xml:space="preserve">Por su parte, el Estado plantea que la petición es inadmisible por falta de agotamiento de la jurisdicción doméstica. Al respecto, arguye </w:t>
      </w:r>
      <w:r w:rsidR="00E0052A" w:rsidRPr="009F4093">
        <w:rPr>
          <w:rFonts w:ascii="Cambria" w:hAnsi="Cambria"/>
          <w:sz w:val="20"/>
          <w:szCs w:val="20"/>
          <w:lang w:val="es-ES_tradnl"/>
        </w:rPr>
        <w:t>que el señor Vargas Pérez, si</w:t>
      </w:r>
      <w:r w:rsidRPr="009F4093">
        <w:rPr>
          <w:rFonts w:ascii="Cambria" w:hAnsi="Cambria"/>
          <w:sz w:val="20"/>
          <w:szCs w:val="20"/>
          <w:lang w:val="es-ES_tradnl"/>
        </w:rPr>
        <w:t xml:space="preserve"> </w:t>
      </w:r>
      <w:r w:rsidR="00E0052A" w:rsidRPr="009F4093">
        <w:rPr>
          <w:rFonts w:ascii="Cambria" w:hAnsi="Cambria"/>
          <w:sz w:val="20"/>
          <w:szCs w:val="20"/>
          <w:lang w:val="es-ES_tradnl"/>
        </w:rPr>
        <w:t xml:space="preserve">consideraba que el fallo de casación no había brindado una respuesta a </w:t>
      </w:r>
      <w:r w:rsidR="00212090" w:rsidRPr="009F4093">
        <w:rPr>
          <w:rFonts w:ascii="Cambria" w:hAnsi="Cambria"/>
          <w:sz w:val="20"/>
          <w:szCs w:val="20"/>
          <w:lang w:val="es-ES_tradnl"/>
        </w:rPr>
        <w:t xml:space="preserve">sus </w:t>
      </w:r>
      <w:r w:rsidR="00E0052A" w:rsidRPr="009F4093">
        <w:rPr>
          <w:rFonts w:ascii="Cambria" w:hAnsi="Cambria"/>
          <w:sz w:val="20"/>
          <w:szCs w:val="20"/>
          <w:lang w:val="es-ES_tradnl"/>
        </w:rPr>
        <w:t xml:space="preserve">reclamos, podía iniciar </w:t>
      </w:r>
      <w:r w:rsidR="00637AAC" w:rsidRPr="009F4093">
        <w:rPr>
          <w:rFonts w:ascii="Cambria" w:hAnsi="Cambria"/>
          <w:sz w:val="20"/>
          <w:szCs w:val="20"/>
          <w:lang w:val="es-ES_tradnl"/>
        </w:rPr>
        <w:t>un procedimiento de revisión</w:t>
      </w:r>
      <w:r w:rsidR="00E0052A" w:rsidRPr="009F4093">
        <w:rPr>
          <w:rFonts w:ascii="Cambria" w:hAnsi="Cambria"/>
          <w:sz w:val="20"/>
          <w:szCs w:val="20"/>
          <w:lang w:val="es-ES_tradnl"/>
        </w:rPr>
        <w:t xml:space="preserve"> y, a pesar de ello, no utilizó tal vía.</w:t>
      </w:r>
    </w:p>
    <w:p w14:paraId="1381FFC7" w14:textId="62C29B61" w:rsidR="00B34026" w:rsidRPr="009F4093" w:rsidRDefault="00A86EBC"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627A63E3">
        <w:rPr>
          <w:rFonts w:ascii="Cambria" w:hAnsi="Cambria"/>
          <w:sz w:val="20"/>
          <w:szCs w:val="20"/>
          <w:lang w:val="es-ES"/>
        </w:rPr>
        <w:t xml:space="preserve">Asimismo, argumenta que el señor Vargas Pérez </w:t>
      </w:r>
      <w:r w:rsidR="00E0052A" w:rsidRPr="627A63E3">
        <w:rPr>
          <w:rFonts w:ascii="Cambria" w:hAnsi="Cambria"/>
          <w:sz w:val="20"/>
          <w:szCs w:val="20"/>
          <w:lang w:val="es-ES"/>
        </w:rPr>
        <w:t>tampoco</w:t>
      </w:r>
      <w:r w:rsidRPr="627A63E3">
        <w:rPr>
          <w:rFonts w:ascii="Cambria" w:hAnsi="Cambria"/>
          <w:sz w:val="20"/>
          <w:szCs w:val="20"/>
          <w:lang w:val="es-ES"/>
        </w:rPr>
        <w:t xml:space="preserve"> utilizó los mecanismos especiales de revisión, a pesar de que están ideados precisamente para aquellas personas con sentencias condenatorias en firme, que consideran vulnerado su derecho a recurrir su fallo condenatorio de conformidad con el artículo 8.2.h) de la Convención. En esa línea, manifiesta que la presunta víctima tuvo la oportunidad de interponer el procedimiento de revisión especial establecido en el Transitorio III de la Ley N.º 8837 y, a pesar de ello, decidió no hacerlo.</w:t>
      </w:r>
      <w:r w:rsidR="00E0052A" w:rsidRPr="627A63E3">
        <w:rPr>
          <w:rFonts w:ascii="Cambria" w:hAnsi="Cambria"/>
          <w:sz w:val="20"/>
          <w:szCs w:val="20"/>
          <w:lang w:val="es-ES"/>
        </w:rPr>
        <w:t xml:space="preserve"> </w:t>
      </w:r>
    </w:p>
    <w:p w14:paraId="1997E798" w14:textId="336F5281" w:rsidR="00A86EBC" w:rsidRPr="009F4093" w:rsidRDefault="00B3402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27A63E3">
        <w:rPr>
          <w:rFonts w:ascii="Cambria" w:hAnsi="Cambria"/>
          <w:sz w:val="20"/>
          <w:szCs w:val="20"/>
          <w:lang w:val="es-ES"/>
        </w:rPr>
        <w:t>En</w:t>
      </w:r>
      <w:r w:rsidR="007A217F" w:rsidRPr="627A63E3">
        <w:rPr>
          <w:rFonts w:ascii="Cambria" w:hAnsi="Cambria"/>
          <w:sz w:val="20"/>
          <w:szCs w:val="20"/>
          <w:lang w:val="es-ES"/>
        </w:rPr>
        <w:t xml:space="preserve"> cuanto al alegato referido a la supuesta ilegalidad del tipo penal utilizado para condenar a la presunta víctima, refiere que el señor Vargas Pérez </w:t>
      </w:r>
      <w:r w:rsidR="00DD2BB6" w:rsidRPr="627A63E3">
        <w:rPr>
          <w:rFonts w:ascii="Cambria" w:hAnsi="Cambria"/>
          <w:sz w:val="20"/>
          <w:szCs w:val="20"/>
          <w:lang w:val="es-ES"/>
        </w:rPr>
        <w:t xml:space="preserve">podía presentar una acción de inconstitucionalidad ante la Sala Constitucional de Costa Rica, la cual hubiese permitido cuestionar dicha norma. En sentido similar, señala que la presunta víctima </w:t>
      </w:r>
      <w:r w:rsidR="00B660DE" w:rsidRPr="627A63E3">
        <w:rPr>
          <w:rFonts w:ascii="Cambria" w:hAnsi="Cambria"/>
          <w:sz w:val="20"/>
          <w:szCs w:val="20"/>
          <w:lang w:val="es-ES"/>
        </w:rPr>
        <w:t xml:space="preserve">tampoco interpuso una demanda de amparo </w:t>
      </w:r>
      <w:r w:rsidR="00FC45AD" w:rsidRPr="627A63E3">
        <w:rPr>
          <w:rFonts w:ascii="Cambria" w:hAnsi="Cambria"/>
          <w:sz w:val="20"/>
          <w:szCs w:val="20"/>
          <w:lang w:val="es-ES"/>
        </w:rPr>
        <w:t xml:space="preserve">para cuestionar la presunta </w:t>
      </w:r>
      <w:r w:rsidR="00FC45AD" w:rsidRPr="627A63E3">
        <w:rPr>
          <w:rFonts w:ascii="Cambria" w:hAnsi="Cambria"/>
          <w:sz w:val="20"/>
          <w:szCs w:val="20"/>
          <w:lang w:val="es-ES"/>
        </w:rPr>
        <w:lastRenderedPageBreak/>
        <w:t>negativa de las autoridades de incorporarlo a un programa de atención a testigos</w:t>
      </w:r>
      <w:r w:rsidR="008025D9" w:rsidRPr="627A63E3">
        <w:rPr>
          <w:rFonts w:ascii="Cambria" w:hAnsi="Cambria"/>
          <w:sz w:val="20"/>
          <w:szCs w:val="20"/>
          <w:lang w:val="es-ES"/>
        </w:rPr>
        <w:t xml:space="preserve">, así como la alegada coacción que sufrió </w:t>
      </w:r>
      <w:r w:rsidR="00712E19" w:rsidRPr="627A63E3">
        <w:rPr>
          <w:rFonts w:ascii="Cambria" w:hAnsi="Cambria"/>
          <w:sz w:val="20"/>
          <w:szCs w:val="20"/>
          <w:lang w:val="es-ES"/>
        </w:rPr>
        <w:t xml:space="preserve">por parte de dichos funcionarios para que declarara </w:t>
      </w:r>
      <w:r w:rsidR="00212090" w:rsidRPr="627A63E3">
        <w:rPr>
          <w:rFonts w:ascii="Cambria" w:hAnsi="Cambria"/>
          <w:sz w:val="20"/>
          <w:szCs w:val="20"/>
          <w:lang w:val="es-ES"/>
        </w:rPr>
        <w:t xml:space="preserve">en un proceso abreviado </w:t>
      </w:r>
      <w:r w:rsidR="00712E19" w:rsidRPr="627A63E3">
        <w:rPr>
          <w:rFonts w:ascii="Cambria" w:hAnsi="Cambria"/>
          <w:sz w:val="20"/>
          <w:szCs w:val="20"/>
          <w:lang w:val="es-ES"/>
        </w:rPr>
        <w:t xml:space="preserve">y el supuesto manejo incorrecto de información ante la opinión pública. </w:t>
      </w:r>
      <w:r w:rsidR="00E0052A" w:rsidRPr="627A63E3">
        <w:rPr>
          <w:rFonts w:ascii="Cambria" w:hAnsi="Cambria"/>
          <w:sz w:val="20"/>
          <w:szCs w:val="20"/>
          <w:lang w:val="es-ES"/>
        </w:rPr>
        <w:t>Por las razones expuestas, Costa Rica considera que el presente reclamo no cumple con el requisito previsto en el artículo 46.1.a) de la Convención.</w:t>
      </w:r>
    </w:p>
    <w:p w14:paraId="0E077EF9" w14:textId="77777777" w:rsidR="00156355" w:rsidRPr="009F4093" w:rsidRDefault="00156355"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9F4093">
        <w:rPr>
          <w:rFonts w:asciiTheme="majorHAnsi" w:hAnsiTheme="majorHAnsi"/>
          <w:bCs/>
          <w:sz w:val="20"/>
          <w:szCs w:val="20"/>
          <w:lang w:val="es-ES_tradnl"/>
        </w:rPr>
        <w:t xml:space="preserve">Por último, Costa Rica plantea que los hechos alegados no caracterizan una violación de derechos humanos que le sea atribuible. Por el contrario, arguye que la parte peticionaria pretende que la Comisión actúe como una cuarta instancia judicial y revise las valoraciones de hecho y de derecho efectuadas por los jueces y tribunales internos que actuaron en la esfera de su competencia. </w:t>
      </w:r>
    </w:p>
    <w:p w14:paraId="509ED4CC" w14:textId="1554869A" w:rsidR="00156355" w:rsidRPr="009F4093" w:rsidRDefault="00156355"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27A63E3">
        <w:rPr>
          <w:rFonts w:ascii="Cambria" w:hAnsi="Cambria"/>
          <w:sz w:val="20"/>
          <w:szCs w:val="20"/>
          <w:lang w:val="es-ES"/>
        </w:rPr>
        <w:t xml:space="preserve">En esa línea, afirma que el señor </w:t>
      </w:r>
      <w:r w:rsidR="00832C84" w:rsidRPr="627A63E3">
        <w:rPr>
          <w:rFonts w:ascii="Cambria" w:hAnsi="Cambria"/>
          <w:sz w:val="20"/>
          <w:szCs w:val="20"/>
          <w:lang w:val="es-ES"/>
        </w:rPr>
        <w:t xml:space="preserve">Vargas </w:t>
      </w:r>
      <w:r w:rsidR="00793567" w:rsidRPr="627A63E3">
        <w:rPr>
          <w:rFonts w:ascii="Cambria" w:hAnsi="Cambria"/>
          <w:sz w:val="20"/>
          <w:szCs w:val="20"/>
          <w:lang w:val="es-ES"/>
        </w:rPr>
        <w:t>Pérez contó</w:t>
      </w:r>
      <w:r w:rsidRPr="627A63E3">
        <w:rPr>
          <w:rFonts w:ascii="Cambria" w:hAnsi="Cambria"/>
          <w:sz w:val="20"/>
          <w:szCs w:val="20"/>
          <w:lang w:val="es-ES"/>
        </w:rPr>
        <w:t xml:space="preserve"> con una normativa procesal ajustada a los parámetros interamericanos en cuanto al derecho a la revisión integral del fallo, toda vez que la Sala Tercera de la Corte Suprema de Justicia conoció y resolvió su recurso de casación con posterioridad a la promulgación de la Ley N.º 8503 de Apertura de Casación Penal. Resalta que dicha norma incorporó a la normativa procesal penal un mecanismo adecuado y eficaz que permite cuestionar tanto errores de hecho como de derecho que pudieran encontrarse en una sentencia condenatoria de primera instancia, y por tanto garantiza a las personas la protección de su derecho a la revisión integral del fallo, contemplado en el artículo 8.2.h) de la Convención Americana. </w:t>
      </w:r>
    </w:p>
    <w:p w14:paraId="785674BE" w14:textId="6D6425FB" w:rsidR="00156355" w:rsidRPr="009F4093" w:rsidRDefault="00156355"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F4093">
        <w:rPr>
          <w:rFonts w:ascii="Cambria" w:hAnsi="Cambria"/>
          <w:sz w:val="20"/>
          <w:szCs w:val="20"/>
          <w:lang w:val="es-ES_tradnl"/>
        </w:rPr>
        <w:t xml:space="preserve">Finalmente, arguye que la Sala Tercera de la Corte Suprema de Justicia, al momento de resolver el recurso de casación, atendió los cuestionamientos presentados por el peticionario respecto </w:t>
      </w:r>
      <w:r w:rsidR="00212090" w:rsidRPr="009F4093">
        <w:rPr>
          <w:rFonts w:ascii="Cambria" w:hAnsi="Cambria"/>
          <w:sz w:val="20"/>
          <w:szCs w:val="20"/>
          <w:lang w:val="es-ES_tradnl"/>
        </w:rPr>
        <w:t>a</w:t>
      </w:r>
      <w:r w:rsidRPr="009F4093">
        <w:rPr>
          <w:rFonts w:ascii="Cambria" w:hAnsi="Cambria"/>
          <w:sz w:val="20"/>
          <w:szCs w:val="20"/>
          <w:lang w:val="es-ES_tradnl"/>
        </w:rPr>
        <w:t xml:space="preserve"> la conformación e integración de su tribunal de juicio</w:t>
      </w:r>
      <w:r w:rsidR="00B93518" w:rsidRPr="009F4093">
        <w:rPr>
          <w:rFonts w:ascii="Cambria" w:hAnsi="Cambria"/>
          <w:sz w:val="20"/>
          <w:szCs w:val="20"/>
          <w:lang w:val="es-ES_tradnl"/>
        </w:rPr>
        <w:t xml:space="preserve"> y de la propia Sala Tercera</w:t>
      </w:r>
      <w:r w:rsidRPr="009F4093">
        <w:rPr>
          <w:rFonts w:ascii="Cambria" w:hAnsi="Cambria"/>
          <w:sz w:val="20"/>
          <w:szCs w:val="20"/>
          <w:lang w:val="es-ES_tradnl"/>
        </w:rPr>
        <w:t xml:space="preserve">. Así, destaca que la citada instancia estimó que toda vez que uno de los jueces </w:t>
      </w:r>
      <w:r w:rsidR="00B93518" w:rsidRPr="009F4093">
        <w:rPr>
          <w:rFonts w:ascii="Cambria" w:hAnsi="Cambria"/>
          <w:sz w:val="20"/>
          <w:szCs w:val="20"/>
          <w:lang w:val="es-ES_tradnl"/>
        </w:rPr>
        <w:t>del tribunal se enfermó, y que en etapa de casación otro se jubiló</w:t>
      </w:r>
      <w:r w:rsidRPr="009F4093">
        <w:rPr>
          <w:rFonts w:ascii="Cambria" w:hAnsi="Cambria"/>
          <w:sz w:val="20"/>
          <w:szCs w:val="20"/>
          <w:lang w:val="es-ES_tradnl"/>
        </w:rPr>
        <w:t xml:space="preserve">, resultaba procedente incorporar </w:t>
      </w:r>
      <w:r w:rsidR="00B93518" w:rsidRPr="009F4093">
        <w:rPr>
          <w:rFonts w:ascii="Cambria" w:hAnsi="Cambria"/>
          <w:sz w:val="20"/>
          <w:szCs w:val="20"/>
          <w:lang w:val="es-ES_tradnl"/>
        </w:rPr>
        <w:t>a los</w:t>
      </w:r>
      <w:r w:rsidRPr="009F4093">
        <w:rPr>
          <w:rFonts w:ascii="Cambria" w:hAnsi="Cambria"/>
          <w:sz w:val="20"/>
          <w:szCs w:val="20"/>
          <w:lang w:val="es-ES_tradnl"/>
        </w:rPr>
        <w:t xml:space="preserve"> magistrado</w:t>
      </w:r>
      <w:r w:rsidR="00B93518" w:rsidRPr="009F4093">
        <w:rPr>
          <w:rFonts w:ascii="Cambria" w:hAnsi="Cambria"/>
          <w:sz w:val="20"/>
          <w:szCs w:val="20"/>
          <w:lang w:val="es-ES_tradnl"/>
        </w:rPr>
        <w:t>s</w:t>
      </w:r>
      <w:r w:rsidRPr="009F4093">
        <w:rPr>
          <w:rFonts w:ascii="Cambria" w:hAnsi="Cambria"/>
          <w:sz w:val="20"/>
          <w:szCs w:val="20"/>
          <w:lang w:val="es-ES_tradnl"/>
        </w:rPr>
        <w:t xml:space="preserve"> suplente</w:t>
      </w:r>
      <w:r w:rsidR="00B93518" w:rsidRPr="009F4093">
        <w:rPr>
          <w:rFonts w:ascii="Cambria" w:hAnsi="Cambria"/>
          <w:sz w:val="20"/>
          <w:szCs w:val="20"/>
          <w:lang w:val="es-ES_tradnl"/>
        </w:rPr>
        <w:t>s de cada instancia</w:t>
      </w:r>
      <w:r w:rsidRPr="009F4093">
        <w:rPr>
          <w:rFonts w:ascii="Cambria" w:hAnsi="Cambria"/>
          <w:sz w:val="20"/>
          <w:szCs w:val="20"/>
          <w:lang w:val="es-ES_tradnl"/>
        </w:rPr>
        <w:t>, quien</w:t>
      </w:r>
      <w:r w:rsidR="00B93518" w:rsidRPr="009F4093">
        <w:rPr>
          <w:rFonts w:ascii="Cambria" w:hAnsi="Cambria"/>
          <w:sz w:val="20"/>
          <w:szCs w:val="20"/>
          <w:lang w:val="es-ES_tradnl"/>
        </w:rPr>
        <w:t>es</w:t>
      </w:r>
      <w:r w:rsidRPr="009F4093">
        <w:rPr>
          <w:rFonts w:ascii="Cambria" w:hAnsi="Cambria"/>
          <w:sz w:val="20"/>
          <w:szCs w:val="20"/>
          <w:lang w:val="es-ES_tradnl"/>
        </w:rPr>
        <w:t xml:space="preserve"> estaba</w:t>
      </w:r>
      <w:r w:rsidR="00B93518" w:rsidRPr="009F4093">
        <w:rPr>
          <w:rFonts w:ascii="Cambria" w:hAnsi="Cambria"/>
          <w:sz w:val="20"/>
          <w:szCs w:val="20"/>
          <w:lang w:val="es-ES_tradnl"/>
        </w:rPr>
        <w:t>n</w:t>
      </w:r>
      <w:r w:rsidRPr="009F4093">
        <w:rPr>
          <w:rFonts w:ascii="Cambria" w:hAnsi="Cambria"/>
          <w:sz w:val="20"/>
          <w:szCs w:val="20"/>
          <w:lang w:val="es-ES_tradnl"/>
        </w:rPr>
        <w:t xml:space="preserve"> legitimado</w:t>
      </w:r>
      <w:r w:rsidR="00B93518" w:rsidRPr="009F4093">
        <w:rPr>
          <w:rFonts w:ascii="Cambria" w:hAnsi="Cambria"/>
          <w:sz w:val="20"/>
          <w:szCs w:val="20"/>
          <w:lang w:val="es-ES_tradnl"/>
        </w:rPr>
        <w:t>s</w:t>
      </w:r>
      <w:r w:rsidRPr="009F4093">
        <w:rPr>
          <w:rFonts w:ascii="Cambria" w:hAnsi="Cambria"/>
          <w:sz w:val="20"/>
          <w:szCs w:val="20"/>
          <w:lang w:val="es-ES_tradnl"/>
        </w:rPr>
        <w:t xml:space="preserve"> para ocupar </w:t>
      </w:r>
      <w:r w:rsidR="00B93518" w:rsidRPr="009F4093">
        <w:rPr>
          <w:rFonts w:ascii="Cambria" w:hAnsi="Cambria"/>
          <w:sz w:val="20"/>
          <w:szCs w:val="20"/>
          <w:lang w:val="es-ES_tradnl"/>
        </w:rPr>
        <w:t xml:space="preserve">tal </w:t>
      </w:r>
      <w:r w:rsidRPr="009F4093">
        <w:rPr>
          <w:rFonts w:ascii="Cambria" w:hAnsi="Cambria"/>
          <w:sz w:val="20"/>
          <w:szCs w:val="20"/>
          <w:lang w:val="es-ES_tradnl"/>
        </w:rPr>
        <w:t>lugar</w:t>
      </w:r>
      <w:r w:rsidR="00443C74" w:rsidRPr="009F4093">
        <w:rPr>
          <w:rFonts w:ascii="Cambria" w:hAnsi="Cambria"/>
          <w:sz w:val="20"/>
          <w:szCs w:val="20"/>
          <w:lang w:val="es-ES_tradnl"/>
        </w:rPr>
        <w:t>.</w:t>
      </w:r>
      <w:r w:rsidRPr="009F4093">
        <w:rPr>
          <w:rFonts w:ascii="Cambria" w:hAnsi="Cambria"/>
          <w:sz w:val="20"/>
          <w:szCs w:val="20"/>
          <w:lang w:val="es-ES_tradnl"/>
        </w:rPr>
        <w:t xml:space="preserve"> Destaca que esta situación estaba autorizada por el Código Procesal Penal y, en consecuencia, no se produjo una transgresión a los principios del juez natural ni de inmediación del juicio. </w:t>
      </w:r>
      <w:r w:rsidR="0086032D" w:rsidRPr="009F4093">
        <w:rPr>
          <w:rFonts w:ascii="Cambria" w:hAnsi="Cambria"/>
          <w:sz w:val="20"/>
          <w:szCs w:val="20"/>
          <w:lang w:val="es-ES_tradnl"/>
        </w:rPr>
        <w:t>Por lo tanto</w:t>
      </w:r>
      <w:r w:rsidRPr="009F4093">
        <w:rPr>
          <w:rFonts w:ascii="Cambria" w:hAnsi="Cambria"/>
          <w:sz w:val="20"/>
          <w:szCs w:val="20"/>
          <w:lang w:val="es-ES_tradnl"/>
        </w:rPr>
        <w:t xml:space="preserve">, Costa Rica solicita que se declare inadmisible el presente asunto, toda vez que los alegatos expuestos por el peticionario no caracterizan, ni </w:t>
      </w:r>
      <w:r w:rsidRPr="009F4093">
        <w:rPr>
          <w:rFonts w:ascii="Cambria" w:hAnsi="Cambria"/>
          <w:i/>
          <w:iCs/>
          <w:sz w:val="20"/>
          <w:szCs w:val="20"/>
          <w:lang w:val="es-ES_tradnl"/>
        </w:rPr>
        <w:t>prima facie</w:t>
      </w:r>
      <w:r w:rsidRPr="009F4093">
        <w:rPr>
          <w:rFonts w:ascii="Cambria" w:hAnsi="Cambria"/>
          <w:sz w:val="20"/>
          <w:szCs w:val="20"/>
          <w:lang w:val="es-ES_tradnl"/>
        </w:rPr>
        <w:t xml:space="preserve">, una afectación de derechos. </w:t>
      </w:r>
    </w:p>
    <w:p w14:paraId="3CDBB522" w14:textId="51F75D96" w:rsidR="007705D7" w:rsidRPr="009F4093" w:rsidRDefault="007705D7" w:rsidP="009F40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9F4093">
        <w:rPr>
          <w:rFonts w:asciiTheme="majorHAnsi" w:hAnsiTheme="majorHAnsi"/>
          <w:b/>
          <w:bCs/>
          <w:sz w:val="20"/>
          <w:szCs w:val="20"/>
          <w:lang w:val="es-ES_tradnl"/>
        </w:rPr>
        <w:t>VI.</w:t>
      </w:r>
      <w:r w:rsidRPr="009F4093">
        <w:rPr>
          <w:rFonts w:asciiTheme="majorHAnsi" w:hAnsiTheme="majorHAnsi"/>
          <w:b/>
          <w:bCs/>
          <w:sz w:val="20"/>
          <w:szCs w:val="20"/>
          <w:lang w:val="es-ES_tradnl"/>
        </w:rPr>
        <w:tab/>
        <w:t>CONSIDERACIONES PREVIAS</w:t>
      </w:r>
    </w:p>
    <w:p w14:paraId="4A12D7E1" w14:textId="12ADFCA7" w:rsidR="00CD17F6" w:rsidRPr="009F4093" w:rsidRDefault="00CD17F6"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9F4093">
        <w:rPr>
          <w:rFonts w:asciiTheme="majorHAnsi" w:hAnsiTheme="majorHAnsi"/>
          <w:bCs/>
          <w:sz w:val="20"/>
          <w:szCs w:val="20"/>
          <w:lang w:val="es-ES_tradnl"/>
        </w:rPr>
        <w:t xml:space="preserve">La Comisión observa que el objeto principal de </w:t>
      </w:r>
      <w:r w:rsidR="007115CA" w:rsidRPr="009F4093">
        <w:rPr>
          <w:rFonts w:asciiTheme="majorHAnsi" w:hAnsiTheme="majorHAnsi"/>
          <w:bCs/>
          <w:sz w:val="20"/>
          <w:szCs w:val="20"/>
          <w:lang w:val="es-ES_tradnl"/>
        </w:rPr>
        <w:t xml:space="preserve">esta </w:t>
      </w:r>
      <w:r w:rsidRPr="009F4093">
        <w:rPr>
          <w:rFonts w:asciiTheme="majorHAnsi" w:hAnsiTheme="majorHAnsi"/>
          <w:bCs/>
          <w:sz w:val="20"/>
          <w:szCs w:val="20"/>
          <w:lang w:val="es-ES_tradnl"/>
        </w:rPr>
        <w:t xml:space="preserve">petición se centra en cuestionar la afectación al derecho a recurrir el fallo, contemplado en el artículo 8.2.h) de la Convención Americana. En razón a ello, dado que se han emitido distintas decisiones dentro del sistema interamericano sobre esta temática, en función de las modificaciones implementadas en la legislación procesal penal costarricense, la CIDH estima necesario realizar un recuento de estos pronunciamientos a efectos de identificar estándares que permitan resolver adecuadamente la petición. </w:t>
      </w:r>
    </w:p>
    <w:p w14:paraId="4FF09DE4" w14:textId="77777777" w:rsidR="00CD17F6" w:rsidRDefault="00CD17F6"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4093">
        <w:rPr>
          <w:rFonts w:asciiTheme="majorHAnsi" w:hAnsiTheme="majorHAnsi"/>
          <w:bCs/>
          <w:sz w:val="20"/>
          <w:szCs w:val="20"/>
          <w:lang w:val="es-ES_tradnl"/>
        </w:rPr>
        <w:t xml:space="preserve">Así, la CIDH recuerda que en la sentencia del caso </w:t>
      </w:r>
      <w:r w:rsidRPr="009F4093">
        <w:rPr>
          <w:rFonts w:asciiTheme="majorHAnsi" w:hAnsiTheme="majorHAnsi"/>
          <w:bCs/>
          <w:i/>
          <w:iCs/>
          <w:sz w:val="20"/>
          <w:szCs w:val="20"/>
          <w:lang w:val="es-ES_tradnl"/>
        </w:rPr>
        <w:t xml:space="preserve">Herrera Ulloa vs. Costa Rica </w:t>
      </w:r>
      <w:r w:rsidRPr="009F4093">
        <w:rPr>
          <w:rFonts w:asciiTheme="majorHAnsi" w:hAnsiTheme="majorHAnsi"/>
          <w:bCs/>
          <w:sz w:val="20"/>
          <w:szCs w:val="20"/>
          <w:lang w:val="es-ES_tradnl"/>
        </w:rPr>
        <w:t>del 2 de julio de 2004, la Corte Interamericana de Derechos Humanos</w:t>
      </w:r>
      <w:r w:rsidRPr="009F4093">
        <w:rPr>
          <w:rStyle w:val="FootnoteReference"/>
          <w:rFonts w:asciiTheme="majorHAnsi" w:hAnsiTheme="majorHAnsi"/>
          <w:bCs/>
          <w:sz w:val="20"/>
          <w:szCs w:val="20"/>
          <w:lang w:val="es-ES_tradnl"/>
        </w:rPr>
        <w:footnoteReference w:id="4"/>
      </w:r>
      <w:r w:rsidRPr="009F4093">
        <w:rPr>
          <w:rFonts w:asciiTheme="majorHAnsi" w:hAnsiTheme="majorHAnsi"/>
          <w:bCs/>
          <w:sz w:val="20"/>
          <w:szCs w:val="20"/>
          <w:lang w:val="es-ES_tradnl"/>
        </w:rPr>
        <w:t xml:space="preserve"> examinó la regulación establecida en el Código Procesal Penal vigente desde 1998; y concluyó que no contaba con “</w:t>
      </w:r>
      <w:r w:rsidRPr="009F4093">
        <w:rPr>
          <w:rFonts w:asciiTheme="majorHAnsi" w:hAnsiTheme="majorHAnsi"/>
          <w:bCs/>
          <w:i/>
          <w:iCs/>
          <w:sz w:val="20"/>
          <w:szCs w:val="20"/>
          <w:lang w:val="es-ES_tradnl"/>
        </w:rPr>
        <w:t xml:space="preserve">un recurso que </w:t>
      </w:r>
      <w:r w:rsidRPr="009F4093">
        <w:rPr>
          <w:rFonts w:asciiTheme="majorHAnsi" w:hAnsiTheme="majorHAnsi"/>
          <w:i/>
          <w:iCs/>
          <w:sz w:val="20"/>
          <w:szCs w:val="20"/>
          <w:lang w:val="es-ES_tradnl"/>
        </w:rPr>
        <w:t>permitiera que el tribunal superior realizara un análisis o examen comprensivo e integral de todas las cuestiones debatidas y analizadas por el tribunal inferior</w:t>
      </w:r>
      <w:r w:rsidRPr="009F4093">
        <w:rPr>
          <w:rFonts w:asciiTheme="majorHAnsi" w:hAnsiTheme="majorHAnsi"/>
          <w:sz w:val="20"/>
          <w:szCs w:val="20"/>
          <w:lang w:val="es-ES_tradnl"/>
        </w:rPr>
        <w:t>”, dada las limitaciones que tenía la regulación del recurso de casación en el ámbito penal</w:t>
      </w:r>
      <w:r w:rsidRPr="009F4093">
        <w:rPr>
          <w:rStyle w:val="FootnoteReference"/>
          <w:rFonts w:asciiTheme="majorHAnsi" w:hAnsiTheme="majorHAnsi"/>
          <w:sz w:val="20"/>
          <w:szCs w:val="20"/>
          <w:lang w:val="es-ES_tradnl"/>
        </w:rPr>
        <w:footnoteReference w:id="5"/>
      </w:r>
      <w:r w:rsidRPr="009F4093">
        <w:rPr>
          <w:rFonts w:asciiTheme="majorHAnsi" w:hAnsiTheme="majorHAnsi"/>
          <w:sz w:val="20"/>
          <w:szCs w:val="20"/>
          <w:lang w:val="es-ES_tradnl"/>
        </w:rPr>
        <w:t>. En consecuencia, la Corte IDH declaró que el Estado costarricense violó el artículo 8.2.h) de la Convención en relación con sus artículos 1.1 y 2 en perjuicio del señor Mauricio Herrera Ulloa, al no haber garantizado su derecho a recurrir el fallo; y ordenó a Costa Rica “</w:t>
      </w:r>
      <w:r w:rsidRPr="009F4093">
        <w:rPr>
          <w:rFonts w:asciiTheme="majorHAnsi" w:hAnsiTheme="majorHAnsi"/>
          <w:i/>
          <w:iCs/>
          <w:sz w:val="20"/>
          <w:szCs w:val="20"/>
          <w:lang w:val="es-ES_tradnl"/>
        </w:rPr>
        <w:t>adecuar su ordenamiento jurídico interno a lo establecido en el artículo 8.2.h de la Convención Americana, en relación con el artículo 2 de la misma</w:t>
      </w:r>
      <w:r w:rsidRPr="009F4093">
        <w:rPr>
          <w:rFonts w:asciiTheme="majorHAnsi" w:hAnsiTheme="majorHAnsi"/>
          <w:sz w:val="20"/>
          <w:szCs w:val="20"/>
          <w:lang w:val="es-ES_tradnl"/>
        </w:rPr>
        <w:t>”</w:t>
      </w:r>
      <w:r w:rsidRPr="009F4093">
        <w:rPr>
          <w:rStyle w:val="FootnoteReference"/>
          <w:rFonts w:asciiTheme="majorHAnsi" w:hAnsiTheme="majorHAnsi"/>
          <w:sz w:val="20"/>
          <w:szCs w:val="20"/>
          <w:lang w:val="es-ES_tradnl"/>
        </w:rPr>
        <w:footnoteReference w:id="6"/>
      </w:r>
      <w:r w:rsidRPr="009F4093">
        <w:rPr>
          <w:rFonts w:asciiTheme="majorHAnsi" w:hAnsiTheme="majorHAnsi"/>
          <w:sz w:val="20"/>
          <w:szCs w:val="20"/>
          <w:lang w:val="es-ES_tradnl"/>
        </w:rPr>
        <w:t>.</w:t>
      </w:r>
    </w:p>
    <w:p w14:paraId="5F03378C" w14:textId="77777777" w:rsidR="004D271E" w:rsidRPr="009F4093" w:rsidRDefault="004D271E" w:rsidP="004D271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5CE614C9" w14:textId="0607F7FC" w:rsidR="00CD17F6" w:rsidRPr="009F4093" w:rsidRDefault="00CD17F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27A63E3">
        <w:rPr>
          <w:rFonts w:asciiTheme="majorHAnsi" w:hAnsiTheme="majorHAnsi"/>
          <w:sz w:val="20"/>
          <w:szCs w:val="20"/>
          <w:lang w:val="es-ES"/>
        </w:rPr>
        <w:lastRenderedPageBreak/>
        <w:t xml:space="preserve">Como consecuencia de esta sentencia, Costa Rica reformó la regulación de su sistema procesal penal a efectos de contar con una regulación acorde con las obligaciones contempladas en el artículo 8.2.h) de la Convención Americana. Así, el 6 de junio de 2006 entró en vigor la Ley No. 8503, denominada “Ley de Apertura de la Casación Penal”, la cual modificó y adicionó distintos artículos del Código Procesal Penal relacionados con los recursos de casación y revisión. </w:t>
      </w:r>
      <w:r w:rsidR="004172B0" w:rsidRPr="627A63E3">
        <w:rPr>
          <w:rFonts w:asciiTheme="majorHAnsi" w:hAnsiTheme="majorHAnsi"/>
          <w:sz w:val="20"/>
          <w:szCs w:val="20"/>
          <w:lang w:val="es-ES"/>
        </w:rPr>
        <w:t>T</w:t>
      </w:r>
      <w:r w:rsidRPr="627A63E3">
        <w:rPr>
          <w:rFonts w:asciiTheme="majorHAnsi" w:hAnsiTheme="majorHAnsi"/>
          <w:sz w:val="20"/>
          <w:szCs w:val="20"/>
          <w:lang w:val="es-ES"/>
        </w:rPr>
        <w:t>al legislación estableció en su Transitorio I, un procedimiento de revisión especial para “</w:t>
      </w:r>
      <w:r w:rsidRPr="627A63E3">
        <w:rPr>
          <w:rFonts w:asciiTheme="majorHAnsi" w:hAnsiTheme="majorHAnsi"/>
          <w:i/>
          <w:iCs/>
          <w:sz w:val="20"/>
          <w:szCs w:val="20"/>
          <w:lang w:val="es-ES"/>
        </w:rPr>
        <w:t>las personas condenadas por un hecho delictivo con fecha anterior a esta Ley, a quienes se les haya obstaculizado formular recurso de casación contra la sentencia, en razón de las reglas que regulaban su admisibilidad en aquella fecha […] invocando, en cada caso, el agravio y los aspectos de hecho y de derecho que no fueron posibles de conocer en casación</w:t>
      </w:r>
      <w:r w:rsidRPr="627A63E3">
        <w:rPr>
          <w:rFonts w:asciiTheme="majorHAnsi" w:hAnsiTheme="majorHAnsi"/>
          <w:sz w:val="20"/>
          <w:szCs w:val="20"/>
          <w:lang w:val="es-ES"/>
        </w:rPr>
        <w:t>”. En virtud de ello, la Corte Interamericana consideró que “</w:t>
      </w:r>
      <w:r w:rsidRPr="627A63E3">
        <w:rPr>
          <w:rFonts w:asciiTheme="majorHAnsi" w:hAnsiTheme="majorHAnsi"/>
          <w:i/>
          <w:iCs/>
          <w:sz w:val="20"/>
          <w:szCs w:val="20"/>
          <w:lang w:val="es-ES"/>
        </w:rPr>
        <w:t>a través de la causal de revisión creada por el Transitorio I, una persona condenada penalmente podría, en principio, obtener una revisión integral de su sentencia que incluya tanto cuestiones de hecho como de derecho</w:t>
      </w:r>
      <w:r w:rsidRPr="627A63E3">
        <w:rPr>
          <w:rFonts w:asciiTheme="majorHAnsi" w:hAnsiTheme="majorHAnsi"/>
          <w:sz w:val="20"/>
          <w:szCs w:val="20"/>
          <w:lang w:val="es-ES"/>
        </w:rPr>
        <w:t>”</w:t>
      </w:r>
      <w:r w:rsidRPr="627A63E3">
        <w:rPr>
          <w:rStyle w:val="FootnoteReference"/>
          <w:rFonts w:asciiTheme="majorHAnsi" w:hAnsiTheme="majorHAnsi"/>
          <w:sz w:val="20"/>
          <w:szCs w:val="20"/>
          <w:lang w:val="es-ES"/>
        </w:rPr>
        <w:footnoteReference w:id="7"/>
      </w:r>
      <w:r w:rsidRPr="627A63E3">
        <w:rPr>
          <w:rFonts w:asciiTheme="majorHAnsi" w:hAnsiTheme="majorHAnsi"/>
          <w:sz w:val="20"/>
          <w:szCs w:val="20"/>
          <w:lang w:val="es-ES"/>
        </w:rPr>
        <w:t>.</w:t>
      </w:r>
    </w:p>
    <w:p w14:paraId="01B83E83" w14:textId="2F9B5F3E" w:rsidR="00CD17F6" w:rsidRPr="009F4093" w:rsidRDefault="00E107D7"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627A63E3">
        <w:rPr>
          <w:rFonts w:asciiTheme="majorHAnsi" w:hAnsiTheme="majorHAnsi"/>
          <w:sz w:val="20"/>
          <w:szCs w:val="20"/>
          <w:lang w:val="es-ES"/>
        </w:rPr>
        <w:t xml:space="preserve">Por lo demás, </w:t>
      </w:r>
      <w:r w:rsidR="007C1952" w:rsidRPr="627A63E3">
        <w:rPr>
          <w:rFonts w:asciiTheme="majorHAnsi" w:hAnsiTheme="majorHAnsi"/>
          <w:sz w:val="20"/>
          <w:szCs w:val="20"/>
          <w:lang w:val="es-ES"/>
        </w:rPr>
        <w:t xml:space="preserve">y en lo relevante para el presente caso, </w:t>
      </w:r>
      <w:r w:rsidR="00CD17F6" w:rsidRPr="627A63E3">
        <w:rPr>
          <w:rFonts w:asciiTheme="majorHAnsi" w:hAnsiTheme="majorHAnsi"/>
          <w:sz w:val="20"/>
          <w:szCs w:val="20"/>
          <w:lang w:val="es-ES"/>
        </w:rPr>
        <w:t xml:space="preserve">la citada ley incorporó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En segundo lugar, y con respecto a la amplitud del examen del tribunal de casación, la </w:t>
      </w:r>
      <w:r w:rsidR="00100379" w:rsidRPr="627A63E3">
        <w:rPr>
          <w:rFonts w:asciiTheme="majorHAnsi" w:hAnsiTheme="majorHAnsi"/>
          <w:sz w:val="20"/>
          <w:szCs w:val="20"/>
          <w:lang w:val="es-ES"/>
        </w:rPr>
        <w:t>L</w:t>
      </w:r>
      <w:r w:rsidR="00CD17F6" w:rsidRPr="627A63E3">
        <w:rPr>
          <w:rFonts w:asciiTheme="majorHAnsi" w:hAnsiTheme="majorHAnsi"/>
          <w:sz w:val="20"/>
          <w:szCs w:val="20"/>
          <w:lang w:val="es-ES"/>
        </w:rPr>
        <w:t xml:space="preserve">ey </w:t>
      </w:r>
      <w:r w:rsidR="00100379" w:rsidRPr="627A63E3">
        <w:rPr>
          <w:rFonts w:asciiTheme="majorHAnsi" w:hAnsiTheme="majorHAnsi"/>
          <w:sz w:val="20"/>
          <w:szCs w:val="20"/>
          <w:lang w:val="es-ES"/>
        </w:rPr>
        <w:t xml:space="preserve">Nº </w:t>
      </w:r>
      <w:r w:rsidR="00CD17F6" w:rsidRPr="627A63E3">
        <w:rPr>
          <w:rFonts w:asciiTheme="majorHAnsi" w:hAnsiTheme="majorHAnsi"/>
          <w:sz w:val="20"/>
          <w:szCs w:val="20"/>
          <w:lang w:val="es-ES"/>
        </w:rPr>
        <w:t xml:space="preserve">8503 incorporó el artículo 449 bis al Código Procesal Penal, el cual reza: </w:t>
      </w:r>
    </w:p>
    <w:p w14:paraId="1442D2C0" w14:textId="77777777" w:rsidR="00CD17F6" w:rsidRPr="009F4093" w:rsidRDefault="00CD17F6" w:rsidP="627A63E3">
      <w:pPr>
        <w:pStyle w:val="NormalWeb"/>
        <w:spacing w:before="0" w:beforeAutospacing="0" w:after="0" w:afterAutospacing="0"/>
        <w:ind w:left="709" w:right="798"/>
        <w:jc w:val="both"/>
        <w:rPr>
          <w:rFonts w:asciiTheme="majorHAnsi" w:hAnsiTheme="majorHAnsi" w:cs="Calibri"/>
          <w:sz w:val="20"/>
          <w:szCs w:val="20"/>
          <w:lang w:val="es-ES"/>
        </w:rPr>
      </w:pPr>
      <w:r w:rsidRPr="627A63E3">
        <w:rPr>
          <w:rFonts w:asciiTheme="majorHAnsi" w:hAnsiTheme="majorHAnsi"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29BDB34" w14:textId="77777777" w:rsidR="00CD17F6" w:rsidRPr="009F4093" w:rsidRDefault="00CD17F6" w:rsidP="009F4093">
      <w:pPr>
        <w:pStyle w:val="NormalWeb"/>
        <w:spacing w:before="0" w:beforeAutospacing="0" w:after="0" w:afterAutospacing="0"/>
        <w:ind w:left="709" w:right="798"/>
        <w:jc w:val="both"/>
        <w:rPr>
          <w:rFonts w:asciiTheme="majorHAnsi" w:hAnsiTheme="majorHAnsi"/>
          <w:sz w:val="20"/>
          <w:szCs w:val="20"/>
          <w:lang w:val="es-ES_tradnl"/>
        </w:rPr>
      </w:pPr>
    </w:p>
    <w:p w14:paraId="1035475D" w14:textId="77777777" w:rsidR="00CD17F6" w:rsidRPr="009F4093" w:rsidRDefault="00CD17F6" w:rsidP="009F4093">
      <w:pPr>
        <w:pStyle w:val="NormalWeb"/>
        <w:spacing w:before="0" w:beforeAutospacing="0" w:after="0" w:afterAutospacing="0"/>
        <w:ind w:left="709" w:right="798"/>
        <w:jc w:val="both"/>
        <w:rPr>
          <w:rFonts w:asciiTheme="majorHAnsi" w:hAnsiTheme="majorHAnsi" w:cs="Calibri"/>
          <w:sz w:val="20"/>
          <w:szCs w:val="20"/>
          <w:lang w:val="es-ES_tradnl"/>
        </w:rPr>
      </w:pPr>
      <w:r w:rsidRPr="009F4093">
        <w:rPr>
          <w:rFonts w:asciiTheme="majorHAnsi" w:hAnsiTheme="majorHAnsi" w:cs="Calibri"/>
          <w:sz w:val="20"/>
          <w:szCs w:val="20"/>
          <w:lang w:val="es-ES_tradnl"/>
        </w:rPr>
        <w:t>De igual manera, podrá valorar en forma directa la prueba que se haya introducido por escrito al juicio.</w:t>
      </w:r>
    </w:p>
    <w:p w14:paraId="66FF7CB8" w14:textId="77777777" w:rsidR="00CD17F6" w:rsidRPr="009F4093" w:rsidRDefault="00CD17F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627A63E3">
        <w:rPr>
          <w:rFonts w:asciiTheme="majorHAnsi" w:hAnsiTheme="majorHAnsi"/>
          <w:sz w:val="20"/>
          <w:szCs w:val="20"/>
          <w:lang w:val="es-ES"/>
        </w:rPr>
        <w:t>Adicionalmente, tanto la Comisión como la Corte IDH también constataron que el 9 de junio de 2010 se publicó la Ley No. 8837, denominada “Creación del recurso de apelación de la sentencia, otras reformas al régimen de impugnación e implementación de nuevas reglas de oralidad en el proceso penal”, vigente a partir del 9 de diciembre de 2011; la cual creó y reguló el recurso de apelación. Además, el Transitorio III de dicha norma reguló dos supuestos adicionales: i) para las personas cuyas sentencias estaban firmes para el momento de entrada en vigencia de la ley, se estableció que pueden interponer, por única vez, un procedimiento de revisión en los primeros seis meses; y ii) para las personas cuyos recursos de casación se encontraban pendientes de resolución al momento de la entrada en vigencia de la ley, se estableció que podían solicitar la conversión del recurso de casación ya presentado a uno de apelación conforme a la nueva norma.</w:t>
      </w:r>
    </w:p>
    <w:p w14:paraId="7260990D" w14:textId="77777777" w:rsidR="00CD17F6" w:rsidRPr="009F4093" w:rsidRDefault="00CD17F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627A63E3">
        <w:rPr>
          <w:rFonts w:asciiTheme="majorHAnsi" w:hAnsiTheme="majorHAnsi"/>
          <w:sz w:val="20"/>
          <w:szCs w:val="20"/>
          <w:lang w:val="es-ES"/>
        </w:rPr>
        <w:t xml:space="preserve">Como consecuencia de las citadas modificaciones, en la sentencia del caso </w:t>
      </w:r>
      <w:r w:rsidRPr="627A63E3">
        <w:rPr>
          <w:rFonts w:asciiTheme="majorHAnsi" w:hAnsiTheme="majorHAnsi"/>
          <w:i/>
          <w:iCs/>
          <w:sz w:val="20"/>
          <w:szCs w:val="20"/>
          <w:lang w:val="es-ES"/>
        </w:rPr>
        <w:t>Amrhein y otros vs. Costa Rica</w:t>
      </w:r>
      <w:r w:rsidRPr="627A63E3">
        <w:rPr>
          <w:rFonts w:asciiTheme="majorHAnsi" w:hAnsiTheme="majorHAnsi"/>
          <w:sz w:val="20"/>
          <w:szCs w:val="20"/>
          <w:lang w:val="es-ES"/>
        </w:rPr>
        <w:t xml:space="preserve"> del 25 de abril de 2018, la Corte Interamericana evaluó nuevamente la regulación procesal penal costarricense; y amplió sus criterios jurídicos tanto respecto al agotamiento de la jurisdicción interna, como al análisis de fondo de casos sobre la misma temática. </w:t>
      </w:r>
    </w:p>
    <w:p w14:paraId="7EDC6B60" w14:textId="2EAF13C2" w:rsidR="00CD17F6" w:rsidRPr="009F4093" w:rsidRDefault="00CD17F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627A63E3">
        <w:rPr>
          <w:rFonts w:asciiTheme="majorHAnsi" w:hAnsiTheme="majorHAnsi"/>
          <w:sz w:val="20"/>
          <w:szCs w:val="20"/>
          <w:lang w:val="es-ES"/>
        </w:rPr>
        <w:t xml:space="preserve">En relación con el primer punto, la Comisión destaca que, en el citado caso, la Corte IDH </w:t>
      </w:r>
      <w:r w:rsidR="004172B0" w:rsidRPr="627A63E3">
        <w:rPr>
          <w:rFonts w:asciiTheme="majorHAnsi" w:hAnsiTheme="majorHAnsi"/>
          <w:sz w:val="20"/>
          <w:szCs w:val="20"/>
          <w:lang w:val="es-ES"/>
        </w:rPr>
        <w:t>dijo</w:t>
      </w:r>
      <w:r w:rsidRPr="627A63E3">
        <w:rPr>
          <w:rFonts w:asciiTheme="majorHAnsi" w:hAnsiTheme="majorHAnsi"/>
          <w:sz w:val="20"/>
          <w:szCs w:val="20"/>
          <w:lang w:val="es-ES"/>
        </w:rPr>
        <w:t xml:space="preserve"> que las presuntas víctimas debieron haber interpuesto el recurso de revisión especial con base en el Transitorio I de la </w:t>
      </w:r>
      <w:r w:rsidR="00100379" w:rsidRPr="627A63E3">
        <w:rPr>
          <w:rFonts w:asciiTheme="majorHAnsi" w:hAnsiTheme="majorHAnsi"/>
          <w:sz w:val="20"/>
          <w:szCs w:val="20"/>
          <w:lang w:val="es-ES"/>
        </w:rPr>
        <w:t xml:space="preserve">Nº </w:t>
      </w:r>
      <w:r w:rsidRPr="627A63E3">
        <w:rPr>
          <w:rFonts w:asciiTheme="majorHAnsi" w:hAnsiTheme="majorHAnsi"/>
          <w:sz w:val="20"/>
          <w:szCs w:val="20"/>
          <w:lang w:val="es-ES"/>
        </w:rPr>
        <w:t>Ley 8503 de 2006 durante el trámite de admisibilidad de la petición, pues estaba destinado específicamente a personas con condenas ya en firme; y por ello, “</w:t>
      </w:r>
      <w:r w:rsidRPr="627A63E3">
        <w:rPr>
          <w:rFonts w:asciiTheme="majorHAnsi" w:hAnsiTheme="majorHAnsi"/>
          <w:i/>
          <w:iCs/>
          <w:sz w:val="20"/>
          <w:szCs w:val="20"/>
          <w:lang w:val="es-ES"/>
        </w:rPr>
        <w:t>el hecho de que se trataría de un recurso extraordinario no puede ser determinante, per se, para concluir su inefectividad”</w:t>
      </w:r>
      <w:r w:rsidRPr="627A63E3">
        <w:rPr>
          <w:rStyle w:val="FootnoteReference"/>
          <w:rFonts w:asciiTheme="majorHAnsi" w:hAnsiTheme="majorHAnsi"/>
          <w:i/>
          <w:iCs/>
          <w:sz w:val="20"/>
          <w:szCs w:val="20"/>
          <w:lang w:val="es-ES"/>
        </w:rPr>
        <w:footnoteReference w:id="8"/>
      </w:r>
      <w:r w:rsidRPr="627A63E3">
        <w:rPr>
          <w:rFonts w:asciiTheme="majorHAnsi" w:hAnsiTheme="majorHAnsi"/>
          <w:i/>
          <w:iCs/>
          <w:sz w:val="20"/>
          <w:szCs w:val="20"/>
          <w:lang w:val="es-ES"/>
        </w:rPr>
        <w:t xml:space="preserve">. </w:t>
      </w:r>
      <w:r w:rsidRPr="627A63E3">
        <w:rPr>
          <w:rFonts w:asciiTheme="majorHAnsi" w:hAnsiTheme="majorHAnsi"/>
          <w:sz w:val="20"/>
          <w:szCs w:val="20"/>
          <w:lang w:val="es-ES"/>
        </w:rPr>
        <w:t>En</w:t>
      </w:r>
      <w:r w:rsidR="00E24973" w:rsidRPr="627A63E3">
        <w:rPr>
          <w:rFonts w:asciiTheme="majorHAnsi" w:hAnsiTheme="majorHAnsi"/>
          <w:sz w:val="20"/>
          <w:szCs w:val="20"/>
          <w:lang w:val="es-ES"/>
        </w:rPr>
        <w:t>tonces</w:t>
      </w:r>
      <w:r w:rsidRPr="627A63E3">
        <w:rPr>
          <w:rFonts w:asciiTheme="majorHAnsi" w:hAnsiTheme="majorHAnsi"/>
          <w:sz w:val="20"/>
          <w:szCs w:val="20"/>
          <w:lang w:val="es-ES"/>
        </w:rPr>
        <w:t xml:space="preserve">, siguiendo la citada jurisprudencia, la Comisión </w:t>
      </w:r>
      <w:r w:rsidR="00E24973" w:rsidRPr="627A63E3">
        <w:rPr>
          <w:rFonts w:asciiTheme="majorHAnsi" w:hAnsiTheme="majorHAnsi"/>
          <w:sz w:val="20"/>
          <w:szCs w:val="20"/>
          <w:lang w:val="es-ES"/>
        </w:rPr>
        <w:t xml:space="preserve">entiende </w:t>
      </w:r>
      <w:r w:rsidRPr="627A63E3">
        <w:rPr>
          <w:rFonts w:asciiTheme="majorHAnsi" w:hAnsiTheme="majorHAnsi"/>
          <w:sz w:val="20"/>
          <w:szCs w:val="20"/>
          <w:lang w:val="es-ES"/>
        </w:rPr>
        <w:t xml:space="preserve">que </w:t>
      </w:r>
      <w:r w:rsidR="004172B0" w:rsidRPr="627A63E3">
        <w:rPr>
          <w:rFonts w:asciiTheme="majorHAnsi" w:hAnsiTheme="majorHAnsi"/>
          <w:sz w:val="20"/>
          <w:szCs w:val="20"/>
          <w:lang w:val="es-ES"/>
        </w:rPr>
        <w:t>para</w:t>
      </w:r>
      <w:r w:rsidRPr="627A63E3">
        <w:rPr>
          <w:rFonts w:asciiTheme="majorHAnsi" w:hAnsiTheme="majorHAnsi"/>
          <w:sz w:val="20"/>
          <w:szCs w:val="20"/>
          <w:lang w:val="es-ES"/>
        </w:rPr>
        <w:t xml:space="preserve"> determinar la admisibilidad de un asunto sobre esta temática </w:t>
      </w:r>
      <w:r w:rsidRPr="627A63E3">
        <w:rPr>
          <w:rFonts w:asciiTheme="majorHAnsi" w:hAnsiTheme="majorHAnsi"/>
          <w:sz w:val="20"/>
          <w:szCs w:val="20"/>
          <w:lang w:val="es-ES"/>
        </w:rPr>
        <w:lastRenderedPageBreak/>
        <w:t xml:space="preserve">debe determinar si la citada vía recursiva estuvo a disposición de las presuntas víctimas tras la emisión de su condena, y de ser este el supuesto, verificar si agotaron o no tal recurso. </w:t>
      </w:r>
    </w:p>
    <w:p w14:paraId="69103231" w14:textId="6EB62F37" w:rsidR="00CD17F6" w:rsidRPr="009F4093" w:rsidRDefault="00CD17F6"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9F4093">
        <w:rPr>
          <w:rFonts w:asciiTheme="majorHAnsi" w:hAnsiTheme="majorHAnsi"/>
          <w:sz w:val="20"/>
          <w:szCs w:val="20"/>
          <w:lang w:val="es-ES_tradnl"/>
        </w:rPr>
        <w:t>Finalmente,</w:t>
      </w:r>
      <w:r w:rsidR="00C61767" w:rsidRPr="009F4093">
        <w:rPr>
          <w:rFonts w:asciiTheme="majorHAnsi" w:hAnsiTheme="majorHAnsi"/>
          <w:sz w:val="20"/>
          <w:szCs w:val="20"/>
          <w:lang w:val="es-ES_tradnl"/>
        </w:rPr>
        <w:t xml:space="preserve"> para </w:t>
      </w:r>
      <w:r w:rsidRPr="009F4093">
        <w:rPr>
          <w:rFonts w:asciiTheme="majorHAnsi" w:hAnsiTheme="majorHAnsi"/>
          <w:sz w:val="20"/>
          <w:szCs w:val="20"/>
          <w:lang w:val="es-ES_tradnl"/>
        </w:rPr>
        <w:t>el análisis de caracterización de las peticiones, la Comisión nota que la Corte Interamericana concluyó en la citada sentencia que no correspondía “</w:t>
      </w:r>
      <w:r w:rsidRPr="009F4093">
        <w:rPr>
          <w:rFonts w:asciiTheme="majorHAnsi" w:hAnsiTheme="majorHAnsi"/>
          <w:i/>
          <w:iCs/>
          <w:sz w:val="20"/>
          <w:szCs w:val="20"/>
          <w:lang w:val="es-ES_tradnl"/>
        </w:rPr>
        <w:t>declarar una violación al artículo 2 de la Convención Americana por la forma en que está regulado el sistema recursivo costarricense, ni por la forma en que dicho Estado atendió la situación de personas cuyas sentencias ya estaban en firme con anterioridad a la vigencia de las Leyes 8503 y 8837, ya que, a través de dichas reformas, subsanó las deficiencias en la aplicación de las normas recursivas</w:t>
      </w:r>
      <w:r w:rsidRPr="009F4093">
        <w:rPr>
          <w:rFonts w:asciiTheme="majorHAnsi" w:hAnsiTheme="majorHAnsi"/>
          <w:sz w:val="20"/>
          <w:szCs w:val="20"/>
          <w:lang w:val="es-ES_tradnl"/>
        </w:rPr>
        <w:t xml:space="preserve"> […]”</w:t>
      </w:r>
      <w:r w:rsidRPr="009F4093">
        <w:rPr>
          <w:rStyle w:val="FootnoteReference"/>
          <w:rFonts w:asciiTheme="majorHAnsi" w:hAnsiTheme="majorHAnsi"/>
          <w:sz w:val="20"/>
          <w:szCs w:val="20"/>
          <w:lang w:val="es-ES_tradnl"/>
        </w:rPr>
        <w:footnoteReference w:id="9"/>
      </w:r>
      <w:r w:rsidRPr="009F4093">
        <w:rPr>
          <w:rFonts w:asciiTheme="majorHAnsi" w:hAnsiTheme="majorHAnsi"/>
          <w:sz w:val="20"/>
          <w:szCs w:val="20"/>
          <w:lang w:val="es-ES_tradnl"/>
        </w:rPr>
        <w:t xml:space="preserve">. Asimismo, recuerda que en la resolución de supervisión de cumplimiento del 22 de noviembre de 2010 del caso </w:t>
      </w:r>
      <w:r w:rsidRPr="009F4093">
        <w:rPr>
          <w:rFonts w:asciiTheme="majorHAnsi" w:hAnsiTheme="majorHAnsi"/>
          <w:i/>
          <w:iCs/>
          <w:sz w:val="20"/>
          <w:szCs w:val="20"/>
          <w:lang w:val="es-ES_tradnl"/>
        </w:rPr>
        <w:t xml:space="preserve">Herrera Ulloa vs. Costa Rica, </w:t>
      </w:r>
      <w:r w:rsidRPr="009F4093">
        <w:rPr>
          <w:rFonts w:asciiTheme="majorHAnsi" w:hAnsiTheme="majorHAnsi"/>
          <w:sz w:val="20"/>
          <w:szCs w:val="20"/>
          <w:lang w:val="es-ES_tradnl"/>
        </w:rPr>
        <w:t xml:space="preserve">el Tribunal valoró positivamente las reformas introducidas en la legislación procesal penal; y en virtud de tales modificaciones </w:t>
      </w:r>
      <w:r w:rsidR="00AA44C3" w:rsidRPr="009F4093">
        <w:rPr>
          <w:rFonts w:asciiTheme="majorHAnsi" w:hAnsiTheme="majorHAnsi"/>
          <w:sz w:val="20"/>
          <w:szCs w:val="20"/>
          <w:lang w:val="es-ES_tradnl"/>
        </w:rPr>
        <w:t xml:space="preserve">ponderó </w:t>
      </w:r>
      <w:r w:rsidRPr="009F4093">
        <w:rPr>
          <w:rFonts w:asciiTheme="majorHAnsi" w:hAnsiTheme="majorHAnsi"/>
          <w:sz w:val="20"/>
          <w:szCs w:val="20"/>
          <w:lang w:val="es-ES_tradnl"/>
        </w:rPr>
        <w:t>que “</w:t>
      </w:r>
      <w:r w:rsidRPr="009F4093">
        <w:rPr>
          <w:rFonts w:asciiTheme="majorHAnsi" w:hAnsiTheme="majorHAnsi"/>
          <w:i/>
          <w:iCs/>
          <w:sz w:val="20"/>
          <w:szCs w:val="20"/>
          <w:lang w:val="es-ES_tradnl"/>
        </w:rPr>
        <w:t>al garantizar la posibilidad de un amplio control de la sentencia emitida por un tribunal de juicio en materia penal a nivel interno</w:t>
      </w:r>
      <w:r w:rsidRPr="009F4093">
        <w:rPr>
          <w:rFonts w:asciiTheme="majorHAnsi" w:hAnsiTheme="majorHAnsi"/>
          <w:sz w:val="20"/>
          <w:szCs w:val="20"/>
          <w:lang w:val="es-ES_tradnl"/>
        </w:rPr>
        <w:t>”</w:t>
      </w:r>
      <w:r w:rsidRPr="009F4093">
        <w:rPr>
          <w:rStyle w:val="FootnoteReference"/>
          <w:rFonts w:asciiTheme="majorHAnsi" w:hAnsiTheme="majorHAnsi"/>
          <w:sz w:val="20"/>
          <w:szCs w:val="20"/>
          <w:lang w:val="es-ES_tradnl"/>
        </w:rPr>
        <w:footnoteReference w:id="10"/>
      </w:r>
      <w:r w:rsidRPr="009F4093">
        <w:rPr>
          <w:rFonts w:asciiTheme="majorHAnsi" w:hAnsiTheme="majorHAnsi"/>
          <w:sz w:val="20"/>
          <w:szCs w:val="20"/>
          <w:lang w:val="es-ES_tradnl"/>
        </w:rPr>
        <w:t xml:space="preserve">, Costa Rica había cumplido con adecuar su legislación interna. </w:t>
      </w:r>
    </w:p>
    <w:p w14:paraId="2D62666E" w14:textId="5E3E3323" w:rsidR="00CD17F6" w:rsidRPr="003D4E80" w:rsidRDefault="00CD17F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3D4E80">
        <w:rPr>
          <w:rFonts w:asciiTheme="majorHAnsi" w:hAnsiTheme="majorHAnsi"/>
          <w:sz w:val="20"/>
          <w:szCs w:val="20"/>
          <w:lang w:val="es-ES"/>
        </w:rPr>
        <w:t>Sin perjuicio de ello, la Comisión destaca que las citadas normas</w:t>
      </w:r>
      <w:r w:rsidRPr="003D4E80">
        <w:rPr>
          <w:rFonts w:asciiTheme="majorHAnsi" w:hAnsiTheme="majorHAnsi" w:cs="Calibri"/>
          <w:sz w:val="20"/>
          <w:szCs w:val="20"/>
          <w:lang w:val="es-ES"/>
        </w:rPr>
        <w:t xml:space="preserve"> reconocieron a aquellas personas cuyas sentencias condenatorias ya habían adquirido calidad de cosa juzgada la posibilidad de interponer un procedimiento de revisión, aunque supeditado al cumplimiento de ciertos requisitos. En el caso de la </w:t>
      </w:r>
      <w:r w:rsidR="004C2B8F" w:rsidRPr="003D4E80">
        <w:rPr>
          <w:rFonts w:asciiTheme="majorHAnsi" w:hAnsiTheme="majorHAnsi" w:cs="Calibri"/>
          <w:sz w:val="20"/>
          <w:szCs w:val="20"/>
          <w:lang w:val="es-ES"/>
        </w:rPr>
        <w:t>L</w:t>
      </w:r>
      <w:r w:rsidRPr="003D4E80">
        <w:rPr>
          <w:rFonts w:asciiTheme="majorHAnsi" w:hAnsiTheme="majorHAnsi" w:cs="Calibri"/>
          <w:sz w:val="20"/>
          <w:szCs w:val="20"/>
          <w:lang w:val="es-ES"/>
        </w:rPr>
        <w:t xml:space="preserve">ey </w:t>
      </w:r>
      <w:r w:rsidR="004C2B8F" w:rsidRPr="003D4E80">
        <w:rPr>
          <w:rFonts w:asciiTheme="majorHAnsi" w:hAnsiTheme="majorHAnsi" w:cs="Calibri"/>
          <w:sz w:val="20"/>
          <w:szCs w:val="20"/>
          <w:lang w:val="es-ES"/>
        </w:rPr>
        <w:t xml:space="preserve">Nº </w:t>
      </w:r>
      <w:r w:rsidRPr="003D4E80">
        <w:rPr>
          <w:rFonts w:asciiTheme="majorHAnsi" w:hAnsiTheme="majorHAnsi" w:cs="Calibri"/>
          <w:sz w:val="20"/>
          <w:szCs w:val="20"/>
          <w:lang w:val="es-ES"/>
        </w:rPr>
        <w:t>8503, la Comisión destaca que se exigía que el recurrente invoque en su presentación “</w:t>
      </w:r>
      <w:r w:rsidRPr="003D4E80">
        <w:rPr>
          <w:rFonts w:asciiTheme="majorHAnsi" w:hAnsiTheme="majorHAnsi" w:cs="Calibri"/>
          <w:i/>
          <w:iCs/>
          <w:sz w:val="20"/>
          <w:szCs w:val="20"/>
          <w:lang w:val="es-ES"/>
        </w:rPr>
        <w:t>el agravio y los aspectos de hecho y derecho que no fueron posibles de conocer en casación</w:t>
      </w:r>
      <w:r w:rsidRPr="003D4E80">
        <w:rPr>
          <w:rFonts w:asciiTheme="majorHAnsi" w:hAnsiTheme="majorHAnsi" w:cs="Calibri"/>
          <w:sz w:val="20"/>
          <w:szCs w:val="20"/>
          <w:lang w:val="es-ES"/>
        </w:rPr>
        <w:t>”. Por su parte, el Transitorio III de la ley 8837 demandaba para la procedencia del procedimiento de revisión que el condenado “</w:t>
      </w:r>
      <w:r w:rsidRPr="003D4E80">
        <w:rPr>
          <w:rFonts w:asciiTheme="majorHAnsi" w:hAnsiTheme="majorHAnsi" w:cs="Calibri"/>
          <w:i/>
          <w:iCs/>
          <w:sz w:val="20"/>
          <w:szCs w:val="20"/>
          <w:lang w:val="es-ES"/>
        </w:rPr>
        <w:t>haya alegado con anterioridad la vulneración del artículo 8.2.h de la Convención</w:t>
      </w:r>
      <w:r w:rsidRPr="003D4E80">
        <w:rPr>
          <w:rFonts w:asciiTheme="majorHAnsi" w:hAnsiTheme="majorHAnsi" w:cs="Calibri"/>
          <w:sz w:val="20"/>
          <w:szCs w:val="20"/>
          <w:lang w:val="es-ES"/>
        </w:rPr>
        <w:t xml:space="preserve">”.   </w:t>
      </w:r>
    </w:p>
    <w:p w14:paraId="330061A1" w14:textId="177CDF5D" w:rsidR="00CD17F6" w:rsidRPr="009F4093" w:rsidRDefault="00CD17F6" w:rsidP="627A63E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
        </w:rPr>
      </w:pPr>
      <w:r w:rsidRPr="627A63E3">
        <w:rPr>
          <w:rFonts w:asciiTheme="majorHAnsi" w:hAnsiTheme="majorHAnsi" w:cs="Calibri"/>
          <w:color w:val="auto"/>
          <w:sz w:val="20"/>
          <w:szCs w:val="20"/>
          <w:lang w:val="es-ES"/>
        </w:rPr>
        <w:t xml:space="preserve">En tal sentido, la Comisión reafirma que la manera en que se encontraba regulado el procedimiento de revisión establecido por el Transitorio I de la </w:t>
      </w:r>
      <w:r w:rsidR="004C2B8F" w:rsidRPr="627A63E3">
        <w:rPr>
          <w:rFonts w:asciiTheme="majorHAnsi" w:hAnsiTheme="majorHAnsi" w:cs="Calibri"/>
          <w:color w:val="auto"/>
          <w:sz w:val="20"/>
          <w:szCs w:val="20"/>
          <w:lang w:val="es-ES"/>
        </w:rPr>
        <w:t>L</w:t>
      </w:r>
      <w:r w:rsidRPr="627A63E3">
        <w:rPr>
          <w:rFonts w:asciiTheme="majorHAnsi" w:hAnsiTheme="majorHAnsi" w:cs="Calibri"/>
          <w:color w:val="auto"/>
          <w:sz w:val="20"/>
          <w:szCs w:val="20"/>
          <w:lang w:val="es-ES"/>
        </w:rPr>
        <w:t xml:space="preserve">ey </w:t>
      </w:r>
      <w:r w:rsidR="004C2B8F" w:rsidRPr="627A63E3">
        <w:rPr>
          <w:rFonts w:asciiTheme="majorHAnsi" w:hAnsiTheme="majorHAnsi" w:cs="Calibri"/>
          <w:color w:val="auto"/>
          <w:sz w:val="20"/>
          <w:szCs w:val="20"/>
          <w:lang w:val="es-ES"/>
        </w:rPr>
        <w:t xml:space="preserve">Nº </w:t>
      </w:r>
      <w:r w:rsidRPr="627A63E3">
        <w:rPr>
          <w:rFonts w:asciiTheme="majorHAnsi" w:hAnsiTheme="majorHAnsi" w:cs="Calibri"/>
          <w:color w:val="auto"/>
          <w:sz w:val="20"/>
          <w:szCs w:val="20"/>
          <w:lang w:val="es-ES"/>
        </w:rPr>
        <w:t>8503 podía generar limitaciones en términos de la accesibilidad del recurso, y, en consecuencia, no garantiza en sí mismo el derecho a la revisión integral del fallo condenatorio a todos aquellos que fueron condenados durante la vigencia del texto originario del Código Procesal Penal</w:t>
      </w:r>
      <w:r w:rsidRPr="627A63E3">
        <w:rPr>
          <w:rStyle w:val="FootnoteReference"/>
          <w:rFonts w:asciiTheme="majorHAnsi" w:hAnsiTheme="majorHAnsi" w:cs="Calibri"/>
          <w:color w:val="auto"/>
          <w:sz w:val="20"/>
          <w:szCs w:val="20"/>
          <w:lang w:val="es-ES"/>
        </w:rPr>
        <w:footnoteReference w:id="11"/>
      </w:r>
      <w:r w:rsidRPr="627A63E3">
        <w:rPr>
          <w:rFonts w:asciiTheme="majorHAnsi" w:hAnsiTheme="majorHAnsi" w:cs="Calibri"/>
          <w:color w:val="auto"/>
          <w:sz w:val="20"/>
          <w:szCs w:val="20"/>
          <w:lang w:val="es-ES"/>
        </w:rPr>
        <w:t xml:space="preserve">. Idéntica conclusión cabe realizar respecto del recurso de revisión consagrado en el Transitorio III de la </w:t>
      </w:r>
      <w:r w:rsidR="004C2B8F" w:rsidRPr="627A63E3">
        <w:rPr>
          <w:rFonts w:asciiTheme="majorHAnsi" w:hAnsiTheme="majorHAnsi" w:cs="Calibri"/>
          <w:color w:val="auto"/>
          <w:sz w:val="20"/>
          <w:szCs w:val="20"/>
          <w:lang w:val="es-ES"/>
        </w:rPr>
        <w:t>L</w:t>
      </w:r>
      <w:r w:rsidRPr="627A63E3">
        <w:rPr>
          <w:rFonts w:asciiTheme="majorHAnsi" w:hAnsiTheme="majorHAnsi" w:cs="Calibri"/>
          <w:color w:val="auto"/>
          <w:sz w:val="20"/>
          <w:szCs w:val="20"/>
          <w:lang w:val="es-ES"/>
        </w:rPr>
        <w:t xml:space="preserve">ey </w:t>
      </w:r>
      <w:r w:rsidR="004C2B8F" w:rsidRPr="627A63E3">
        <w:rPr>
          <w:rFonts w:asciiTheme="majorHAnsi" w:hAnsiTheme="majorHAnsi" w:cs="Calibri"/>
          <w:color w:val="auto"/>
          <w:sz w:val="20"/>
          <w:szCs w:val="20"/>
          <w:lang w:val="es-ES"/>
        </w:rPr>
        <w:t xml:space="preserve">Nº </w:t>
      </w:r>
      <w:r w:rsidRPr="627A63E3">
        <w:rPr>
          <w:rFonts w:asciiTheme="majorHAnsi" w:hAnsiTheme="majorHAnsi" w:cs="Calibri"/>
          <w:color w:val="auto"/>
          <w:sz w:val="20"/>
          <w:szCs w:val="20"/>
          <w:lang w:val="es-ES"/>
        </w:rPr>
        <w:t xml:space="preserve">8837, toda vez que la norma incluía la exigencia de haber alegado previamente la vulneración del derecho al recurso como un requisito de procedibilidad del recurso de revisión. </w:t>
      </w:r>
    </w:p>
    <w:p w14:paraId="30AE24E5" w14:textId="77777777" w:rsidR="00CD17F6" w:rsidRPr="009F4093" w:rsidRDefault="00CD17F6" w:rsidP="009F409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23CA4301" w14:textId="77777777" w:rsidR="00CD17F6" w:rsidRPr="009F4093" w:rsidRDefault="00CD17F6" w:rsidP="009F409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9F4093">
        <w:rPr>
          <w:rFonts w:asciiTheme="majorHAnsi" w:hAnsiTheme="majorHAnsi"/>
          <w:color w:val="auto"/>
          <w:sz w:val="20"/>
          <w:szCs w:val="20"/>
          <w:lang w:val="es-ES_tradnl"/>
        </w:rPr>
        <w:t>No obstante, la Comisión reconoce, en primer término, que la Sala Constitucional de la Corte Suprema de Justicia de Costa Rica se refirió en reiterados pronunciamientos a la necesidad de “</w:t>
      </w:r>
      <w:r w:rsidRPr="009F4093">
        <w:rPr>
          <w:rFonts w:asciiTheme="majorHAnsi" w:hAnsiTheme="majorHAnsi"/>
          <w:i/>
          <w:iCs/>
          <w:color w:val="auto"/>
          <w:sz w:val="20"/>
          <w:szCs w:val="20"/>
          <w:lang w:val="es-ES_tradnl"/>
        </w:rPr>
        <w:t>asegurar el derecho al recurso, excluyendo formalismos que impidieran la revisión de las sentencias de condena, a fin de satisfacer lo dispuesto por el artículo 8.2.h de la Convención</w:t>
      </w:r>
      <w:r w:rsidRPr="009F4093">
        <w:rPr>
          <w:rFonts w:asciiTheme="majorHAnsi" w:hAnsiTheme="majorHAnsi"/>
          <w:color w:val="auto"/>
          <w:sz w:val="20"/>
          <w:szCs w:val="20"/>
          <w:lang w:val="es-ES_tradnl"/>
        </w:rPr>
        <w:t>”</w:t>
      </w:r>
      <w:r w:rsidRPr="009F4093">
        <w:rPr>
          <w:rStyle w:val="FootnoteReference"/>
          <w:rFonts w:asciiTheme="majorHAnsi" w:hAnsiTheme="majorHAnsi"/>
          <w:color w:val="auto"/>
          <w:sz w:val="20"/>
          <w:szCs w:val="20"/>
          <w:lang w:val="es-ES_tradnl"/>
        </w:rPr>
        <w:footnoteReference w:id="12"/>
      </w:r>
      <w:r w:rsidRPr="009F4093">
        <w:rPr>
          <w:rFonts w:asciiTheme="majorHAnsi" w:hAnsiTheme="majorHAnsi"/>
          <w:color w:val="auto"/>
          <w:sz w:val="20"/>
          <w:szCs w:val="20"/>
          <w:lang w:val="es-ES_tradnl"/>
        </w:rPr>
        <w:t>.</w:t>
      </w:r>
    </w:p>
    <w:p w14:paraId="217940BA" w14:textId="77777777" w:rsidR="00CD17F6" w:rsidRPr="009F4093" w:rsidRDefault="00CD17F6" w:rsidP="009F409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43B4DE5C" w14:textId="2C91BBFE" w:rsidR="00CD17F6" w:rsidRPr="009F4093" w:rsidRDefault="00CD17F6" w:rsidP="627A63E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
        </w:rPr>
      </w:pPr>
      <w:r w:rsidRPr="627A63E3">
        <w:rPr>
          <w:rFonts w:asciiTheme="majorHAnsi" w:hAnsiTheme="majorHAnsi"/>
          <w:color w:val="auto"/>
          <w:sz w:val="20"/>
          <w:szCs w:val="20"/>
          <w:lang w:val="es-ES"/>
        </w:rPr>
        <w:t xml:space="preserve">Asimismo, la CIDH considera que, a pesar de los obstáculos a la procedencia del recurso incorporados en la redacción del Transitorio I de la </w:t>
      </w:r>
      <w:r w:rsidR="009E6B20" w:rsidRPr="627A63E3">
        <w:rPr>
          <w:rFonts w:asciiTheme="majorHAnsi" w:hAnsiTheme="majorHAnsi"/>
          <w:color w:val="auto"/>
          <w:sz w:val="20"/>
          <w:szCs w:val="20"/>
          <w:lang w:val="es-ES"/>
        </w:rPr>
        <w:t>L</w:t>
      </w:r>
      <w:r w:rsidRPr="627A63E3">
        <w:rPr>
          <w:rFonts w:asciiTheme="majorHAnsi" w:hAnsiTheme="majorHAnsi"/>
          <w:color w:val="auto"/>
          <w:sz w:val="20"/>
          <w:szCs w:val="20"/>
          <w:lang w:val="es-ES"/>
        </w:rPr>
        <w:t xml:space="preserve">ey </w:t>
      </w:r>
      <w:r w:rsidR="009E6B20" w:rsidRPr="627A63E3">
        <w:rPr>
          <w:rFonts w:asciiTheme="majorHAnsi" w:hAnsiTheme="majorHAnsi"/>
          <w:color w:val="auto"/>
          <w:sz w:val="20"/>
          <w:szCs w:val="20"/>
          <w:lang w:val="es-ES"/>
        </w:rPr>
        <w:t xml:space="preserve">Nº </w:t>
      </w:r>
      <w:r w:rsidRPr="627A63E3">
        <w:rPr>
          <w:rFonts w:asciiTheme="majorHAnsi" w:hAnsiTheme="majorHAnsi"/>
          <w:color w:val="auto"/>
          <w:sz w:val="20"/>
          <w:szCs w:val="20"/>
          <w:lang w:val="es-ES"/>
        </w:rPr>
        <w:t xml:space="preserve">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w:t>
      </w:r>
      <w:r w:rsidRPr="627A63E3">
        <w:rPr>
          <w:rFonts w:asciiTheme="majorHAnsi" w:hAnsiTheme="majorHAnsi"/>
          <w:i/>
          <w:iCs/>
          <w:color w:val="auto"/>
          <w:sz w:val="20"/>
          <w:szCs w:val="20"/>
          <w:lang w:val="es-ES"/>
        </w:rPr>
        <w:t>Herrera Ulloa</w:t>
      </w:r>
      <w:r w:rsidRPr="627A63E3">
        <w:rPr>
          <w:rFonts w:asciiTheme="majorHAnsi" w:hAnsiTheme="majorHAnsi"/>
          <w:color w:val="auto"/>
          <w:sz w:val="20"/>
          <w:szCs w:val="20"/>
          <w:lang w:val="es-ES"/>
        </w:rPr>
        <w:t xml:space="preserve">. </w:t>
      </w:r>
    </w:p>
    <w:p w14:paraId="0CC35182" w14:textId="77777777" w:rsidR="00CD17F6" w:rsidRPr="009F4093" w:rsidRDefault="00CD17F6" w:rsidP="009F409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3C1A92C9" w14:textId="6DE5C481" w:rsidR="00CD17F6" w:rsidRPr="009F4093" w:rsidRDefault="00CD17F6" w:rsidP="009F409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r w:rsidRPr="009F4093">
        <w:rPr>
          <w:rFonts w:asciiTheme="majorHAnsi" w:hAnsiTheme="majorHAnsi"/>
          <w:color w:val="auto"/>
          <w:sz w:val="20"/>
          <w:szCs w:val="20"/>
          <w:lang w:val="es-ES_tradnl"/>
        </w:rPr>
        <w:t xml:space="preserve">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w:t>
      </w:r>
      <w:r w:rsidR="004B012B" w:rsidRPr="009F4093">
        <w:rPr>
          <w:rFonts w:asciiTheme="majorHAnsi" w:hAnsiTheme="majorHAnsi"/>
          <w:color w:val="auto"/>
          <w:sz w:val="20"/>
          <w:szCs w:val="20"/>
          <w:lang w:val="es-ES_tradnl"/>
        </w:rPr>
        <w:t>es</w:t>
      </w:r>
      <w:r w:rsidRPr="009F4093">
        <w:rPr>
          <w:rFonts w:asciiTheme="majorHAnsi" w:hAnsiTheme="majorHAnsi"/>
          <w:color w:val="auto"/>
          <w:sz w:val="20"/>
          <w:szCs w:val="20"/>
          <w:lang w:val="es-ES_tradnl"/>
        </w:rPr>
        <w:t xml:space="preserve"> razonable como causal de admisibilidad del recurso que los interesados deban invocar los posibles errores que hubiera podido cometer el juez o tribunal de la instancia inferior.</w:t>
      </w:r>
    </w:p>
    <w:p w14:paraId="627E0973" w14:textId="77777777" w:rsidR="00CD17F6" w:rsidRPr="009F4093" w:rsidRDefault="00CD17F6" w:rsidP="009F409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Theme="majorHAnsi" w:hAnsiTheme="majorHAnsi"/>
          <w:color w:val="auto"/>
          <w:sz w:val="20"/>
          <w:szCs w:val="20"/>
          <w:lang w:val="es-ES_tradnl"/>
        </w:rPr>
      </w:pPr>
    </w:p>
    <w:p w14:paraId="401CE00D" w14:textId="1D37CD94" w:rsidR="00D96818" w:rsidRPr="009F4093" w:rsidRDefault="00CD17F6"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27A63E3">
        <w:rPr>
          <w:rFonts w:asciiTheme="majorHAnsi" w:hAnsiTheme="majorHAnsi"/>
          <w:sz w:val="20"/>
          <w:szCs w:val="20"/>
          <w:lang w:val="es-ES"/>
        </w:rPr>
        <w:t xml:space="preserve">En consecuencia, teniendo en cuenta las especificidades existentes respecto de este tema en el sistema costarricense, </w:t>
      </w:r>
      <w:r w:rsidR="004172B0" w:rsidRPr="627A63E3">
        <w:rPr>
          <w:rFonts w:asciiTheme="majorHAnsi" w:hAnsiTheme="majorHAnsi"/>
          <w:sz w:val="20"/>
          <w:szCs w:val="20"/>
          <w:lang w:val="es-ES"/>
        </w:rPr>
        <w:t xml:space="preserve">a raíz </w:t>
      </w:r>
      <w:r w:rsidRPr="627A63E3">
        <w:rPr>
          <w:rFonts w:asciiTheme="majorHAnsi" w:hAnsiTheme="majorHAnsi"/>
          <w:sz w:val="20"/>
          <w:szCs w:val="20"/>
          <w:lang w:val="es-ES"/>
        </w:rPr>
        <w:t xml:space="preserve">de las </w:t>
      </w:r>
      <w:r w:rsidR="00DA0925" w:rsidRPr="627A63E3">
        <w:rPr>
          <w:rFonts w:asciiTheme="majorHAnsi" w:hAnsiTheme="majorHAnsi"/>
          <w:sz w:val="20"/>
          <w:szCs w:val="20"/>
          <w:lang w:val="es-ES"/>
        </w:rPr>
        <w:t xml:space="preserve">decisiones </w:t>
      </w:r>
      <w:r w:rsidRPr="627A63E3">
        <w:rPr>
          <w:rFonts w:asciiTheme="majorHAnsi" w:hAnsiTheme="majorHAnsi"/>
          <w:sz w:val="20"/>
          <w:szCs w:val="20"/>
          <w:lang w:val="es-ES"/>
        </w:rPr>
        <w:t xml:space="preserve">dictadas por el Sistema Interamericano, y concretamente con lo señalado por la Corte IDH en el caso “Amrhein”, la Comisión considera que no </w:t>
      </w:r>
      <w:r w:rsidR="009210E5" w:rsidRPr="627A63E3">
        <w:rPr>
          <w:rFonts w:asciiTheme="majorHAnsi" w:hAnsiTheme="majorHAnsi"/>
          <w:sz w:val="20"/>
          <w:szCs w:val="20"/>
          <w:lang w:val="es-ES"/>
        </w:rPr>
        <w:t xml:space="preserve">es </w:t>
      </w:r>
      <w:r w:rsidRPr="627A63E3">
        <w:rPr>
          <w:rFonts w:asciiTheme="majorHAnsi" w:hAnsiTheme="majorHAnsi"/>
          <w:sz w:val="20"/>
          <w:szCs w:val="20"/>
          <w:lang w:val="es-ES"/>
        </w:rPr>
        <w:t>apropiado realizar una evaluación en abstracto de cada uno de los recursos disponibles en la legislación procesal penal, sino que se debe efectuar “</w:t>
      </w:r>
      <w:r w:rsidRPr="627A63E3">
        <w:rPr>
          <w:rFonts w:asciiTheme="majorHAnsi" w:hAnsiTheme="majorHAnsi"/>
          <w:i/>
          <w:iCs/>
          <w:sz w:val="20"/>
          <w:szCs w:val="20"/>
          <w:lang w:val="es-ES"/>
        </w:rPr>
        <w:t>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Pr="627A63E3">
        <w:rPr>
          <w:rFonts w:asciiTheme="majorHAnsi" w:hAnsiTheme="majorHAnsi"/>
          <w:sz w:val="20"/>
          <w:szCs w:val="20"/>
          <w:lang w:val="es-ES"/>
        </w:rPr>
        <w:t>”</w:t>
      </w:r>
      <w:r w:rsidRPr="627A63E3">
        <w:rPr>
          <w:rStyle w:val="FootnoteReference"/>
          <w:rFonts w:asciiTheme="majorHAnsi" w:hAnsiTheme="majorHAnsi"/>
          <w:sz w:val="20"/>
          <w:szCs w:val="20"/>
          <w:lang w:val="es-ES"/>
        </w:rPr>
        <w:footnoteReference w:id="13"/>
      </w:r>
      <w:r w:rsidRPr="627A63E3">
        <w:rPr>
          <w:rFonts w:asciiTheme="majorHAnsi" w:hAnsiTheme="majorHAnsi"/>
          <w:sz w:val="20"/>
          <w:szCs w:val="20"/>
          <w:lang w:val="es-ES"/>
        </w:rPr>
        <w:t xml:space="preserve">. Lo que en principio requiere de un análisis de fondo por parte de la CIDH, salvo que de la información de las partes se observe que los hechos planteados por el peticionario no caractericen </w:t>
      </w:r>
      <w:r w:rsidRPr="627A63E3">
        <w:rPr>
          <w:rFonts w:asciiTheme="majorHAnsi" w:hAnsiTheme="majorHAnsi"/>
          <w:i/>
          <w:iCs/>
          <w:sz w:val="20"/>
          <w:szCs w:val="20"/>
          <w:lang w:val="es-ES"/>
        </w:rPr>
        <w:t>prima facie</w:t>
      </w:r>
      <w:r w:rsidRPr="627A63E3">
        <w:rPr>
          <w:rFonts w:asciiTheme="majorHAnsi" w:hAnsiTheme="majorHAnsi"/>
          <w:sz w:val="20"/>
          <w:szCs w:val="20"/>
          <w:lang w:val="es-ES"/>
        </w:rPr>
        <w:t xml:space="preserve"> violaciones a la Convención Americana, en los términos de su artículo 47.</w:t>
      </w:r>
    </w:p>
    <w:p w14:paraId="6F4D4171" w14:textId="0D2EBA06" w:rsidR="003239B8" w:rsidRPr="009F4093" w:rsidRDefault="00D96818" w:rsidP="009F4093">
      <w:pPr>
        <w:spacing w:before="240" w:after="240"/>
        <w:ind w:firstLine="720"/>
        <w:jc w:val="both"/>
        <w:rPr>
          <w:rFonts w:ascii="Cambria" w:hAnsi="Cambria"/>
          <w:sz w:val="20"/>
          <w:szCs w:val="20"/>
          <w:lang w:val="es-ES_tradnl"/>
        </w:rPr>
      </w:pPr>
      <w:r w:rsidRPr="009F4093">
        <w:rPr>
          <w:rFonts w:asciiTheme="majorHAnsi" w:eastAsia="Cambria" w:hAnsiTheme="majorHAnsi" w:cs="Cambria"/>
          <w:b/>
          <w:bCs/>
          <w:sz w:val="20"/>
          <w:szCs w:val="20"/>
          <w:u w:color="000000"/>
          <w:lang w:val="es-ES_tradnl" w:eastAsia="es-ES"/>
        </w:rPr>
        <w:t>V</w:t>
      </w:r>
      <w:r w:rsidR="00445CE8" w:rsidRPr="009F4093">
        <w:rPr>
          <w:rFonts w:asciiTheme="majorHAnsi" w:eastAsia="Cambria" w:hAnsiTheme="majorHAnsi" w:cs="Cambria"/>
          <w:b/>
          <w:bCs/>
          <w:sz w:val="20"/>
          <w:szCs w:val="20"/>
          <w:u w:color="000000"/>
          <w:lang w:val="es-ES_tradnl" w:eastAsia="es-ES"/>
        </w:rPr>
        <w:t>I</w:t>
      </w:r>
      <w:r w:rsidRPr="009F4093">
        <w:rPr>
          <w:rFonts w:asciiTheme="majorHAnsi" w:eastAsia="Cambria" w:hAnsiTheme="majorHAnsi" w:cs="Cambria"/>
          <w:b/>
          <w:bCs/>
          <w:sz w:val="20"/>
          <w:szCs w:val="20"/>
          <w:u w:color="000000"/>
          <w:lang w:val="es-ES_tradnl" w:eastAsia="es-ES"/>
        </w:rPr>
        <w:t xml:space="preserve">I. </w:t>
      </w:r>
      <w:r w:rsidR="00E6378C" w:rsidRPr="009F4093">
        <w:rPr>
          <w:rFonts w:asciiTheme="majorHAnsi" w:eastAsia="Cambria" w:hAnsiTheme="majorHAnsi" w:cs="Cambria"/>
          <w:b/>
          <w:bCs/>
          <w:sz w:val="20"/>
          <w:szCs w:val="20"/>
          <w:u w:color="000000"/>
          <w:lang w:val="es-ES_tradnl" w:eastAsia="es-ES"/>
        </w:rPr>
        <w:tab/>
      </w:r>
      <w:r w:rsidR="004A6A54" w:rsidRPr="009F4093">
        <w:rPr>
          <w:rFonts w:asciiTheme="majorHAnsi" w:hAnsiTheme="majorHAnsi"/>
          <w:b/>
          <w:bCs/>
          <w:sz w:val="20"/>
          <w:szCs w:val="20"/>
          <w:lang w:val="es-ES_tradnl"/>
        </w:rPr>
        <w:t xml:space="preserve">ANÁLISIS DE </w:t>
      </w:r>
      <w:r w:rsidR="00C21FEF" w:rsidRPr="009F4093">
        <w:rPr>
          <w:rFonts w:asciiTheme="majorHAnsi" w:hAnsiTheme="majorHAnsi"/>
          <w:b/>
          <w:sz w:val="20"/>
          <w:szCs w:val="20"/>
          <w:lang w:val="es-ES_tradnl"/>
        </w:rPr>
        <w:t>AGOTAMIENTO DE LOS RECURSOS INTERNOS Y PLAZO DE PRESENTACIÓN</w:t>
      </w:r>
      <w:r w:rsidR="00C21FEF" w:rsidRPr="009F4093">
        <w:rPr>
          <w:rFonts w:asciiTheme="majorHAnsi" w:eastAsia="Cambria" w:hAnsiTheme="majorHAnsi" w:cs="Cambria"/>
          <w:b/>
          <w:bCs/>
          <w:sz w:val="20"/>
          <w:szCs w:val="20"/>
          <w:u w:color="000000"/>
          <w:lang w:val="es-ES_tradnl" w:eastAsia="es-ES"/>
        </w:rPr>
        <w:t xml:space="preserve"> </w:t>
      </w:r>
    </w:p>
    <w:p w14:paraId="41ADA9A1" w14:textId="48386B4A" w:rsidR="00343758" w:rsidRPr="009F4093" w:rsidRDefault="00212090"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4093">
        <w:rPr>
          <w:rFonts w:asciiTheme="majorHAnsi" w:hAnsiTheme="majorHAnsi"/>
          <w:sz w:val="20"/>
          <w:szCs w:val="20"/>
          <w:lang w:val="es-ES_tradnl"/>
        </w:rPr>
        <w:t>En relación con la presunta afectación al derecho a recurrir el fallo condenatorio y otras garantías judiciales, l</w:t>
      </w:r>
      <w:r w:rsidR="00343758" w:rsidRPr="009F4093">
        <w:rPr>
          <w:rFonts w:asciiTheme="majorHAnsi" w:hAnsiTheme="majorHAnsi"/>
          <w:sz w:val="20"/>
          <w:szCs w:val="20"/>
          <w:lang w:val="es-ES_tradnl"/>
        </w:rPr>
        <w:t xml:space="preserve">a Comisión observa que el </w:t>
      </w:r>
      <w:r w:rsidR="00FE74CB" w:rsidRPr="009F4093">
        <w:rPr>
          <w:rFonts w:asciiTheme="majorHAnsi" w:hAnsiTheme="majorHAnsi"/>
          <w:sz w:val="20"/>
          <w:szCs w:val="20"/>
          <w:lang w:val="es-ES_tradnl"/>
        </w:rPr>
        <w:t>11 de mayo de 2011</w:t>
      </w:r>
      <w:r w:rsidR="00343758" w:rsidRPr="009F4093">
        <w:rPr>
          <w:rFonts w:asciiTheme="majorHAnsi" w:hAnsiTheme="majorHAnsi"/>
          <w:sz w:val="20"/>
          <w:szCs w:val="20"/>
          <w:lang w:val="es-ES_tradnl"/>
        </w:rPr>
        <w:t xml:space="preserve"> </w:t>
      </w:r>
      <w:r w:rsidR="00FE74CB" w:rsidRPr="009F4093">
        <w:rPr>
          <w:rFonts w:asciiTheme="majorHAnsi" w:hAnsiTheme="majorHAnsi"/>
          <w:sz w:val="20"/>
          <w:szCs w:val="20"/>
          <w:lang w:val="es-ES_tradnl"/>
        </w:rPr>
        <w:t>la Sala Tercera de la Corte Suprema de Justicia</w:t>
      </w:r>
      <w:r w:rsidR="00343758" w:rsidRPr="009F4093">
        <w:rPr>
          <w:rFonts w:asciiTheme="majorHAnsi" w:hAnsiTheme="majorHAnsi"/>
          <w:sz w:val="20"/>
          <w:szCs w:val="20"/>
          <w:lang w:val="es-ES_tradnl"/>
        </w:rPr>
        <w:t xml:space="preserve"> rechazó el recurso de casación </w:t>
      </w:r>
      <w:r w:rsidR="00C81846" w:rsidRPr="009F4093">
        <w:rPr>
          <w:rFonts w:asciiTheme="majorHAnsi" w:hAnsiTheme="majorHAnsi"/>
          <w:sz w:val="20"/>
          <w:szCs w:val="20"/>
          <w:lang w:val="es-ES_tradnl"/>
        </w:rPr>
        <w:t>interpuesto</w:t>
      </w:r>
      <w:r w:rsidR="00343758" w:rsidRPr="009F4093">
        <w:rPr>
          <w:rFonts w:asciiTheme="majorHAnsi" w:hAnsiTheme="majorHAnsi"/>
          <w:sz w:val="20"/>
          <w:szCs w:val="20"/>
          <w:lang w:val="es-ES_tradnl"/>
        </w:rPr>
        <w:t xml:space="preserve"> por la presunta víctima contra su sentencia condenatoria de primera instancia. Al respecto, el Estado plantea que la presunta víctima aún podía </w:t>
      </w:r>
      <w:r w:rsidR="006922B5" w:rsidRPr="009F4093">
        <w:rPr>
          <w:rFonts w:asciiTheme="majorHAnsi" w:hAnsiTheme="majorHAnsi"/>
          <w:sz w:val="20"/>
          <w:szCs w:val="20"/>
          <w:lang w:val="es-ES_tradnl"/>
        </w:rPr>
        <w:t xml:space="preserve">interponer </w:t>
      </w:r>
      <w:r w:rsidR="00343758" w:rsidRPr="009F4093">
        <w:rPr>
          <w:rFonts w:asciiTheme="majorHAnsi" w:hAnsiTheme="majorHAnsi"/>
          <w:sz w:val="20"/>
          <w:szCs w:val="20"/>
          <w:lang w:val="es-ES_tradnl"/>
        </w:rPr>
        <w:t>el procedimiento especial de revisión contemplado en el Transitorio IIII de la Ley N.º 8837, dado que este entró en vigor el 9 de diciembre de 2011. No obstante, la Comisión recuerda que, como regla general, la parte peticionaria solo tiene en principio la obligación de agotar las vías ordinarias a nivel interno</w:t>
      </w:r>
      <w:bookmarkStart w:id="2" w:name="_Hlk140146590"/>
      <w:r w:rsidR="00343758" w:rsidRPr="009F4093">
        <w:rPr>
          <w:rStyle w:val="FootnoteReference"/>
          <w:rFonts w:asciiTheme="majorHAnsi" w:hAnsiTheme="majorHAnsi"/>
          <w:sz w:val="20"/>
          <w:szCs w:val="20"/>
          <w:lang w:val="es-ES_tradnl"/>
        </w:rPr>
        <w:footnoteReference w:id="14"/>
      </w:r>
      <w:bookmarkEnd w:id="2"/>
      <w:r w:rsidR="00343758" w:rsidRPr="009F4093">
        <w:rPr>
          <w:rFonts w:asciiTheme="majorHAnsi" w:hAnsiTheme="majorHAnsi"/>
          <w:sz w:val="20"/>
          <w:szCs w:val="20"/>
          <w:lang w:val="es-ES_tradnl"/>
        </w:rPr>
        <w:t>. En tal sentido,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343758" w:rsidRPr="009F4093">
        <w:rPr>
          <w:rStyle w:val="FootnoteReference"/>
          <w:rFonts w:asciiTheme="majorHAnsi" w:hAnsiTheme="majorHAnsi"/>
          <w:sz w:val="20"/>
          <w:szCs w:val="20"/>
          <w:lang w:val="es-ES_tradnl"/>
        </w:rPr>
        <w:footnoteReference w:id="15"/>
      </w:r>
      <w:r w:rsidR="00343758" w:rsidRPr="009F4093">
        <w:rPr>
          <w:rFonts w:asciiTheme="majorHAnsi" w:hAnsiTheme="majorHAnsi"/>
          <w:sz w:val="20"/>
          <w:szCs w:val="20"/>
          <w:lang w:val="es-ES_tradnl"/>
        </w:rPr>
        <w:t xml:space="preserve">. </w:t>
      </w:r>
    </w:p>
    <w:p w14:paraId="52E84981" w14:textId="25DA70D7" w:rsidR="00343758" w:rsidRPr="009F4093" w:rsidRDefault="00343758" w:rsidP="009F4093">
      <w:pPr>
        <w:pStyle w:val="ListParagraph"/>
        <w:numPr>
          <w:ilvl w:val="0"/>
          <w:numId w:val="103"/>
        </w:numPr>
        <w:jc w:val="both"/>
        <w:rPr>
          <w:color w:val="auto"/>
          <w:sz w:val="20"/>
          <w:szCs w:val="20"/>
          <w:lang w:val="es-ES_tradnl"/>
        </w:rPr>
      </w:pPr>
      <w:r w:rsidRPr="009F4093">
        <w:rPr>
          <w:rFonts w:asciiTheme="majorHAnsi" w:hAnsiTheme="majorHAnsi"/>
          <w:color w:val="auto"/>
          <w:sz w:val="20"/>
          <w:szCs w:val="20"/>
          <w:lang w:val="es-ES_tradnl"/>
        </w:rPr>
        <w:t>En el presente asunto, la Comisión considera que, por la forma cómo se encuentra regulado y por su posición dentro del p</w:t>
      </w:r>
      <w:r w:rsidR="00735C12" w:rsidRPr="009F4093">
        <w:rPr>
          <w:rFonts w:asciiTheme="majorHAnsi" w:hAnsiTheme="majorHAnsi"/>
          <w:color w:val="auto"/>
          <w:sz w:val="20"/>
          <w:szCs w:val="20"/>
          <w:lang w:val="es-ES_tradnl"/>
        </w:rPr>
        <w:t>roceso</w:t>
      </w:r>
      <w:r w:rsidRPr="009F4093">
        <w:rPr>
          <w:rFonts w:asciiTheme="majorHAnsi" w:hAnsiTheme="majorHAnsi"/>
          <w:color w:val="auto"/>
          <w:sz w:val="20"/>
          <w:szCs w:val="20"/>
          <w:lang w:val="es-ES_tradnl"/>
        </w:rPr>
        <w:t xml:space="preserve"> penal costarricense, el procedimiento especial de revisión contemplado en el Transitorio III de la Ley N.º 8837 es extraordinario. En consecuencia, su agotamiento no resultaba obligatorio para la presunta víctima, en tanto esta cumplió con utilizar previamente la </w:t>
      </w:r>
      <w:r w:rsidRPr="009F4093">
        <w:rPr>
          <w:color w:val="auto"/>
          <w:sz w:val="20"/>
          <w:szCs w:val="20"/>
          <w:lang w:val="es-ES_tradnl"/>
        </w:rPr>
        <w:t xml:space="preserve">vía de casación, la cual, en virtud de las modificaciones introducidas por la </w:t>
      </w:r>
      <w:r w:rsidRPr="009F4093">
        <w:rPr>
          <w:rFonts w:asciiTheme="majorHAnsi" w:hAnsiTheme="majorHAnsi"/>
          <w:color w:val="auto"/>
          <w:sz w:val="20"/>
          <w:szCs w:val="20"/>
          <w:lang w:val="es-ES_tradnl"/>
        </w:rPr>
        <w:t xml:space="preserve">Ley </w:t>
      </w:r>
      <w:r w:rsidRPr="009F4093">
        <w:rPr>
          <w:color w:val="auto"/>
          <w:sz w:val="20"/>
          <w:szCs w:val="20"/>
          <w:lang w:val="es-ES_tradnl"/>
        </w:rPr>
        <w:t>N.º</w:t>
      </w:r>
      <w:r w:rsidRPr="009F4093">
        <w:rPr>
          <w:rFonts w:asciiTheme="majorHAnsi" w:hAnsiTheme="majorHAnsi"/>
          <w:color w:val="auto"/>
          <w:sz w:val="20"/>
          <w:szCs w:val="20"/>
          <w:lang w:val="es-ES_tradnl"/>
        </w:rPr>
        <w:t xml:space="preserve"> 8503, </w:t>
      </w:r>
      <w:r w:rsidR="00FD1F41" w:rsidRPr="009F4093">
        <w:rPr>
          <w:rFonts w:asciiTheme="majorHAnsi" w:hAnsiTheme="majorHAnsi"/>
          <w:color w:val="auto"/>
          <w:sz w:val="20"/>
          <w:szCs w:val="20"/>
          <w:lang w:val="es-ES_tradnl"/>
        </w:rPr>
        <w:t xml:space="preserve">era </w:t>
      </w:r>
      <w:r w:rsidRPr="009F4093">
        <w:rPr>
          <w:rFonts w:asciiTheme="majorHAnsi" w:hAnsiTheme="majorHAnsi"/>
          <w:color w:val="auto"/>
          <w:sz w:val="20"/>
          <w:szCs w:val="20"/>
          <w:lang w:val="es-ES_tradnl"/>
        </w:rPr>
        <w:t>en principio una vía idónea para que sus reclamos</w:t>
      </w:r>
      <w:r w:rsidRPr="009F4093">
        <w:rPr>
          <w:color w:val="auto"/>
          <w:sz w:val="20"/>
          <w:szCs w:val="20"/>
          <w:lang w:val="es-ES_tradnl"/>
        </w:rPr>
        <w:t xml:space="preserve"> </w:t>
      </w:r>
      <w:r w:rsidRPr="009F4093">
        <w:rPr>
          <w:rFonts w:asciiTheme="majorHAnsi" w:hAnsiTheme="majorHAnsi"/>
          <w:color w:val="auto"/>
          <w:sz w:val="20"/>
          <w:szCs w:val="20"/>
          <w:lang w:val="es-ES_tradnl"/>
        </w:rPr>
        <w:t xml:space="preserve">sean debidamente atendidos. </w:t>
      </w:r>
    </w:p>
    <w:p w14:paraId="6B397769" w14:textId="77777777" w:rsidR="009D6E86" w:rsidRPr="009F4093" w:rsidRDefault="009D6E86" w:rsidP="009F4093">
      <w:pPr>
        <w:pStyle w:val="ListParagraph"/>
        <w:jc w:val="both"/>
        <w:rPr>
          <w:color w:val="auto"/>
          <w:sz w:val="20"/>
          <w:szCs w:val="20"/>
          <w:lang w:val="es-ES_tradnl"/>
        </w:rPr>
      </w:pPr>
    </w:p>
    <w:p w14:paraId="1B60E60E" w14:textId="50BCF37C" w:rsidR="009D6E86" w:rsidRPr="009F4093" w:rsidRDefault="009D6E86" w:rsidP="009F4093">
      <w:pPr>
        <w:pStyle w:val="ListParagraph"/>
        <w:numPr>
          <w:ilvl w:val="0"/>
          <w:numId w:val="103"/>
        </w:numPr>
        <w:jc w:val="both"/>
        <w:rPr>
          <w:color w:val="auto"/>
          <w:sz w:val="20"/>
          <w:szCs w:val="20"/>
          <w:lang w:val="es-ES_tradnl"/>
        </w:rPr>
      </w:pPr>
      <w:r w:rsidRPr="009F4093">
        <w:rPr>
          <w:color w:val="auto"/>
          <w:sz w:val="20"/>
          <w:szCs w:val="20"/>
          <w:lang w:val="es-ES_tradnl"/>
        </w:rPr>
        <w:t>En sentido similar, dadas las características del caso</w:t>
      </w:r>
      <w:r w:rsidR="00943D01" w:rsidRPr="009F4093">
        <w:rPr>
          <w:color w:val="auto"/>
          <w:sz w:val="20"/>
          <w:szCs w:val="20"/>
          <w:lang w:val="es-ES_tradnl"/>
        </w:rPr>
        <w:t xml:space="preserve"> bajo estudio</w:t>
      </w:r>
      <w:r w:rsidRPr="009F4093">
        <w:rPr>
          <w:color w:val="auto"/>
          <w:sz w:val="20"/>
          <w:szCs w:val="20"/>
          <w:lang w:val="es-ES_tradnl"/>
        </w:rPr>
        <w:t xml:space="preserve">, la Comisión </w:t>
      </w:r>
      <w:r w:rsidR="00943D01" w:rsidRPr="009F4093">
        <w:rPr>
          <w:color w:val="auto"/>
          <w:sz w:val="20"/>
          <w:szCs w:val="20"/>
          <w:lang w:val="es-ES_tradnl"/>
        </w:rPr>
        <w:t xml:space="preserve">advierte </w:t>
      </w:r>
      <w:r w:rsidRPr="009F4093">
        <w:rPr>
          <w:color w:val="auto"/>
          <w:sz w:val="20"/>
          <w:szCs w:val="20"/>
          <w:lang w:val="es-ES_tradnl"/>
        </w:rPr>
        <w:t xml:space="preserve">que </w:t>
      </w:r>
      <w:r w:rsidR="00902526" w:rsidRPr="009F4093">
        <w:rPr>
          <w:color w:val="auto"/>
          <w:sz w:val="20"/>
          <w:szCs w:val="20"/>
          <w:lang w:val="es-ES_tradnl"/>
        </w:rPr>
        <w:t xml:space="preserve">el procedimiento </w:t>
      </w:r>
      <w:r w:rsidRPr="009F4093">
        <w:rPr>
          <w:color w:val="auto"/>
          <w:sz w:val="20"/>
          <w:szCs w:val="20"/>
          <w:lang w:val="es-ES_tradnl"/>
        </w:rPr>
        <w:t>de revisión ordinari</w:t>
      </w:r>
      <w:r w:rsidR="00902526" w:rsidRPr="009F4093">
        <w:rPr>
          <w:color w:val="auto"/>
          <w:sz w:val="20"/>
          <w:szCs w:val="20"/>
          <w:lang w:val="es-ES_tradnl"/>
        </w:rPr>
        <w:t>o</w:t>
      </w:r>
      <w:r w:rsidRPr="009F4093">
        <w:rPr>
          <w:color w:val="auto"/>
          <w:sz w:val="20"/>
          <w:szCs w:val="20"/>
          <w:lang w:val="es-ES_tradnl"/>
        </w:rPr>
        <w:t xml:space="preserve"> tampoco </w:t>
      </w:r>
      <w:r w:rsidR="00C81846" w:rsidRPr="009F4093">
        <w:rPr>
          <w:color w:val="auto"/>
          <w:sz w:val="20"/>
          <w:szCs w:val="20"/>
          <w:lang w:val="es-ES_tradnl"/>
        </w:rPr>
        <w:t>era</w:t>
      </w:r>
      <w:r w:rsidRPr="009F4093">
        <w:rPr>
          <w:color w:val="auto"/>
          <w:sz w:val="20"/>
          <w:szCs w:val="20"/>
          <w:lang w:val="es-ES_tradnl"/>
        </w:rPr>
        <w:t xml:space="preserve"> una vía obligatoria a efectos de cumplir con el requisito previsto en el artículo 46.1.a) de la Convención Americana, toda vez que, al momento de los hechos, el recurso de casación </w:t>
      </w:r>
      <w:r w:rsidR="00053B63" w:rsidRPr="009F4093">
        <w:rPr>
          <w:color w:val="auto"/>
          <w:sz w:val="20"/>
          <w:szCs w:val="20"/>
          <w:lang w:val="es-ES_tradnl"/>
        </w:rPr>
        <w:t>era</w:t>
      </w:r>
      <w:r w:rsidRPr="009F4093">
        <w:rPr>
          <w:color w:val="auto"/>
          <w:sz w:val="20"/>
          <w:szCs w:val="20"/>
          <w:lang w:val="es-ES_tradnl"/>
        </w:rPr>
        <w:t xml:space="preserve">, en principio, el mecanismo ordinario para que el señor Vargas Pérez canalice sus cuestionamientos contra su sentencia condenatoria de primera instancia. </w:t>
      </w:r>
    </w:p>
    <w:p w14:paraId="410BB304" w14:textId="77777777" w:rsidR="009D6E86" w:rsidRPr="009F4093" w:rsidRDefault="009D6E86" w:rsidP="009F4093">
      <w:pPr>
        <w:pStyle w:val="ListParagraph"/>
        <w:jc w:val="both"/>
        <w:rPr>
          <w:color w:val="auto"/>
          <w:sz w:val="20"/>
          <w:szCs w:val="20"/>
          <w:lang w:val="es-ES_tradnl"/>
        </w:rPr>
      </w:pPr>
    </w:p>
    <w:p w14:paraId="5169792F" w14:textId="1B964C86" w:rsidR="00C27964" w:rsidRPr="009F4093" w:rsidRDefault="00343758"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F4093">
        <w:rPr>
          <w:rFonts w:ascii="Cambria" w:hAnsi="Cambria"/>
          <w:sz w:val="20"/>
          <w:szCs w:val="20"/>
          <w:lang w:val="es-ES_tradnl"/>
        </w:rPr>
        <w:t xml:space="preserve">En consecuencia, la Comisión </w:t>
      </w:r>
      <w:r w:rsidR="00C81846" w:rsidRPr="009F4093">
        <w:rPr>
          <w:rFonts w:ascii="Cambria" w:hAnsi="Cambria"/>
          <w:sz w:val="20"/>
          <w:szCs w:val="20"/>
          <w:lang w:val="es-ES_tradnl"/>
        </w:rPr>
        <w:t>estima</w:t>
      </w:r>
      <w:r w:rsidRPr="009F4093">
        <w:rPr>
          <w:rFonts w:ascii="Cambria" w:hAnsi="Cambria"/>
          <w:sz w:val="20"/>
          <w:szCs w:val="20"/>
          <w:lang w:val="es-ES_tradnl"/>
        </w:rPr>
        <w:t xml:space="preserve"> que el Estado tuvo la oportunidad de solventar l</w:t>
      </w:r>
      <w:r w:rsidR="00A57BB3" w:rsidRPr="009F4093">
        <w:rPr>
          <w:rFonts w:ascii="Cambria" w:hAnsi="Cambria"/>
          <w:sz w:val="20"/>
          <w:szCs w:val="20"/>
          <w:lang w:val="es-ES_tradnl"/>
        </w:rPr>
        <w:t>os reclamos del señor Vargas Pérez</w:t>
      </w:r>
      <w:r w:rsidRPr="009F4093">
        <w:rPr>
          <w:rFonts w:ascii="Cambria" w:hAnsi="Cambria"/>
          <w:sz w:val="20"/>
          <w:szCs w:val="20"/>
          <w:lang w:val="es-ES_tradnl"/>
        </w:rPr>
        <w:t xml:space="preserve"> mediante sus mecanismos internos y, por ende, se cumple el requisito previsto en el artículo 46.1.a) de la Convención Americana. Asimismo, </w:t>
      </w:r>
      <w:r w:rsidR="00541F92" w:rsidRPr="009F4093">
        <w:rPr>
          <w:rFonts w:ascii="Cambria" w:hAnsi="Cambria"/>
          <w:sz w:val="20"/>
          <w:szCs w:val="20"/>
          <w:lang w:val="es-ES_tradnl"/>
        </w:rPr>
        <w:t xml:space="preserve">dado que </w:t>
      </w:r>
      <w:r w:rsidR="00E727AD" w:rsidRPr="009F4093">
        <w:rPr>
          <w:rFonts w:ascii="Cambria" w:hAnsi="Cambria"/>
          <w:sz w:val="20"/>
          <w:szCs w:val="20"/>
          <w:lang w:val="es-ES_tradnl"/>
        </w:rPr>
        <w:t xml:space="preserve">las autoridades notificaron el citado recurso de casación el 17 de mayo de 2011 y </w:t>
      </w:r>
      <w:r w:rsidR="00541F92" w:rsidRPr="009F4093">
        <w:rPr>
          <w:rFonts w:ascii="Cambria" w:hAnsi="Cambria"/>
          <w:sz w:val="20"/>
          <w:szCs w:val="20"/>
          <w:lang w:val="es-ES_tradnl"/>
        </w:rPr>
        <w:t xml:space="preserve">que </w:t>
      </w:r>
      <w:r w:rsidR="00E727AD" w:rsidRPr="009F4093">
        <w:rPr>
          <w:rFonts w:ascii="Cambria" w:hAnsi="Cambria"/>
          <w:sz w:val="20"/>
          <w:szCs w:val="20"/>
          <w:lang w:val="es-ES_tradnl"/>
        </w:rPr>
        <w:t xml:space="preserve">la parte peticionaria presentó este reclamo el </w:t>
      </w:r>
      <w:r w:rsidR="00E727AD" w:rsidRPr="009F4093">
        <w:rPr>
          <w:rFonts w:ascii="Cambria" w:hAnsi="Cambria"/>
          <w:bCs/>
          <w:sz w:val="20"/>
          <w:szCs w:val="20"/>
          <w:lang w:val="es-ES_tradnl"/>
        </w:rPr>
        <w:t xml:space="preserve">11 noviembre de 2011, la Comisión </w:t>
      </w:r>
      <w:r w:rsidRPr="009F4093">
        <w:rPr>
          <w:rFonts w:ascii="Cambria" w:hAnsi="Cambria"/>
          <w:sz w:val="20"/>
          <w:szCs w:val="20"/>
          <w:lang w:val="es-ES_tradnl"/>
        </w:rPr>
        <w:t>concluye que también se cumple el requisito de plazo previsto en el artículo 46.1.b) de la Convención.</w:t>
      </w:r>
    </w:p>
    <w:p w14:paraId="69577918" w14:textId="23A09DC2" w:rsidR="00A57BB3" w:rsidRPr="009F4093" w:rsidRDefault="00A57BB3"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27A63E3">
        <w:rPr>
          <w:rFonts w:ascii="Cambria" w:hAnsi="Cambria"/>
          <w:sz w:val="20"/>
          <w:szCs w:val="20"/>
          <w:lang w:val="es-ES"/>
        </w:rPr>
        <w:t xml:space="preserve">Sin perjuicio de ello, la Comisión aprecia que el señor Vargas Pérez no reclamó en su recurso de casación la presunta ilegalidad del tipo penal utilizado para condenarlo, ni cuestionó que el tribunal de juicio haya empleado un método de integración jurídica prohibido por el ordenamiento interno. En razón a ello, </w:t>
      </w:r>
      <w:r w:rsidR="00912A8C" w:rsidRPr="627A63E3">
        <w:rPr>
          <w:rFonts w:ascii="Cambria" w:hAnsi="Cambria"/>
          <w:sz w:val="20"/>
          <w:szCs w:val="20"/>
          <w:lang w:val="es-ES"/>
        </w:rPr>
        <w:t xml:space="preserve">para </w:t>
      </w:r>
      <w:r w:rsidRPr="627A63E3">
        <w:rPr>
          <w:rFonts w:ascii="Cambria" w:hAnsi="Cambria"/>
          <w:sz w:val="20"/>
          <w:szCs w:val="20"/>
          <w:lang w:val="es-ES"/>
        </w:rPr>
        <w:lastRenderedPageBreak/>
        <w:t>la Comisión</w:t>
      </w:r>
      <w:r w:rsidR="00891793" w:rsidRPr="627A63E3">
        <w:rPr>
          <w:rFonts w:ascii="Cambria" w:hAnsi="Cambria"/>
          <w:sz w:val="20"/>
          <w:szCs w:val="20"/>
          <w:lang w:val="es-ES"/>
        </w:rPr>
        <w:t>,</w:t>
      </w:r>
      <w:r w:rsidRPr="627A63E3">
        <w:rPr>
          <w:rFonts w:ascii="Cambria" w:hAnsi="Cambria"/>
          <w:sz w:val="20"/>
          <w:szCs w:val="20"/>
          <w:lang w:val="es-ES"/>
        </w:rPr>
        <w:t xml:space="preserve"> el presente extremo de la petición no cumple con el requisito previsto en el artículo 46.1.a) de la Convención. </w:t>
      </w:r>
    </w:p>
    <w:p w14:paraId="34A3E979" w14:textId="018FD078" w:rsidR="00A57BB3" w:rsidRPr="009F4093" w:rsidRDefault="00A57BB3"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F4093">
        <w:rPr>
          <w:rFonts w:ascii="Cambria" w:hAnsi="Cambria"/>
          <w:sz w:val="20"/>
          <w:szCs w:val="20"/>
          <w:lang w:val="es-ES_tradnl"/>
        </w:rPr>
        <w:t xml:space="preserve">En sentido similar, la Comisión nota que la presunta víctima tampoco empleó ninguna vía judicial para controvertir los supuestas omisiones y actos de hostigamientos realizados por los representantes del Ministerio Público. </w:t>
      </w:r>
      <w:r w:rsidR="00A703D4" w:rsidRPr="009F4093">
        <w:rPr>
          <w:rFonts w:ascii="Cambria" w:hAnsi="Cambria"/>
          <w:sz w:val="20"/>
          <w:szCs w:val="20"/>
          <w:lang w:val="es-ES_tradnl"/>
        </w:rPr>
        <w:t xml:space="preserve">En particular, la Comisión destaca que ni siquiera en la vía de casación el señor Vargas Pérez presentó tales alegatos. Por las citadas razones, la Comisión concluye que tales alegatos tampoco cumplen con el requisito previsto en el artículo 46.1.a) de la Convención Americana. </w:t>
      </w:r>
    </w:p>
    <w:p w14:paraId="25297839" w14:textId="1B473E7E" w:rsidR="00C27964" w:rsidRPr="009F4093" w:rsidRDefault="003239B8" w:rsidP="009F40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_tradnl"/>
        </w:rPr>
      </w:pPr>
      <w:r w:rsidRPr="009F4093">
        <w:rPr>
          <w:rFonts w:asciiTheme="majorHAnsi" w:hAnsiTheme="majorHAnsi"/>
          <w:b/>
          <w:bCs/>
          <w:sz w:val="20"/>
          <w:szCs w:val="20"/>
          <w:lang w:val="es-ES_tradnl"/>
        </w:rPr>
        <w:t>VI</w:t>
      </w:r>
      <w:r w:rsidR="00445CE8" w:rsidRPr="009F4093">
        <w:rPr>
          <w:rFonts w:asciiTheme="majorHAnsi" w:hAnsiTheme="majorHAnsi"/>
          <w:b/>
          <w:bCs/>
          <w:sz w:val="20"/>
          <w:szCs w:val="20"/>
          <w:lang w:val="es-ES_tradnl"/>
        </w:rPr>
        <w:t>I</w:t>
      </w:r>
      <w:r w:rsidRPr="009F4093">
        <w:rPr>
          <w:rFonts w:asciiTheme="majorHAnsi" w:hAnsiTheme="majorHAnsi"/>
          <w:b/>
          <w:bCs/>
          <w:sz w:val="20"/>
          <w:szCs w:val="20"/>
          <w:lang w:val="es-ES_tradnl"/>
        </w:rPr>
        <w:t>I.</w:t>
      </w:r>
      <w:r w:rsidRPr="009F4093">
        <w:rPr>
          <w:rFonts w:asciiTheme="majorHAnsi" w:hAnsiTheme="majorHAnsi"/>
          <w:b/>
          <w:bCs/>
          <w:sz w:val="20"/>
          <w:szCs w:val="20"/>
          <w:lang w:val="es-ES_tradnl"/>
        </w:rPr>
        <w:tab/>
      </w:r>
      <w:r w:rsidR="004A6A54" w:rsidRPr="009F4093">
        <w:rPr>
          <w:rFonts w:asciiTheme="majorHAnsi" w:hAnsiTheme="majorHAnsi"/>
          <w:b/>
          <w:bCs/>
          <w:sz w:val="20"/>
          <w:szCs w:val="20"/>
          <w:lang w:val="es-ES_tradnl"/>
        </w:rPr>
        <w:t xml:space="preserve">ANÁLISIS DE </w:t>
      </w:r>
      <w:r w:rsidR="00C21FEF" w:rsidRPr="009F4093">
        <w:rPr>
          <w:rFonts w:asciiTheme="majorHAnsi" w:hAnsiTheme="majorHAnsi"/>
          <w:b/>
          <w:bCs/>
          <w:sz w:val="20"/>
          <w:szCs w:val="20"/>
          <w:lang w:val="es-ES_tradnl"/>
        </w:rPr>
        <w:t>CARACTERIZACIÓN DE LOS HECHOS ALEGADOS</w:t>
      </w:r>
    </w:p>
    <w:p w14:paraId="15D67ADD" w14:textId="77777777" w:rsidR="00B765BB" w:rsidRPr="009F4093" w:rsidRDefault="00B765BB" w:rsidP="009F4093">
      <w:pPr>
        <w:pStyle w:val="ListParagraph"/>
        <w:numPr>
          <w:ilvl w:val="0"/>
          <w:numId w:val="103"/>
        </w:numPr>
        <w:jc w:val="both"/>
        <w:rPr>
          <w:color w:val="auto"/>
          <w:sz w:val="20"/>
          <w:szCs w:val="20"/>
          <w:lang w:val="es-ES_tradnl"/>
        </w:rPr>
      </w:pPr>
      <w:r w:rsidRPr="009F4093">
        <w:rPr>
          <w:color w:val="auto"/>
          <w:sz w:val="20"/>
          <w:szCs w:val="20"/>
          <w:lang w:val="es-ES_tradnl"/>
        </w:rPr>
        <w:t>La Comisión recuerda que 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 derecho y evitar que una decisión injusta adquiera calidad de cosa juzgada</w:t>
      </w:r>
      <w:r w:rsidRPr="009F4093">
        <w:rPr>
          <w:color w:val="auto"/>
          <w:sz w:val="20"/>
          <w:szCs w:val="20"/>
          <w:vertAlign w:val="superscript"/>
          <w:lang w:val="es-ES_tradnl"/>
        </w:rPr>
        <w:footnoteReference w:id="16"/>
      </w:r>
      <w:r w:rsidRPr="009F4093">
        <w:rPr>
          <w:color w:val="auto"/>
          <w:sz w:val="20"/>
          <w:szCs w:val="20"/>
          <w:lang w:val="es-ES_tradnl"/>
        </w:rPr>
        <w:t>. En esa línea, la Comisión reitera que resulta irrelevante para el derecho internacional de los derechos humanos la denominación o el nombre con el que se designe el recurso disponible</w:t>
      </w:r>
      <w:r w:rsidRPr="009F4093">
        <w:rPr>
          <w:color w:val="auto"/>
          <w:sz w:val="20"/>
          <w:szCs w:val="20"/>
          <w:vertAlign w:val="superscript"/>
          <w:lang w:val="es-ES_tradnl"/>
        </w:rPr>
        <w:footnoteReference w:id="17"/>
      </w:r>
      <w:r w:rsidRPr="009F4093">
        <w:rPr>
          <w:color w:val="auto"/>
          <w:sz w:val="20"/>
          <w:szCs w:val="20"/>
          <w:lang w:val="es-ES_tradnl"/>
        </w:rPr>
        <w:t>. Lo importante es que el recurso contemplado en la normativa interna satisfaga una serie de estándares y, en tal sentido, cumpla con ser oportuno</w:t>
      </w:r>
      <w:r w:rsidRPr="009F4093">
        <w:rPr>
          <w:rStyle w:val="FootnoteReference"/>
          <w:color w:val="auto"/>
          <w:sz w:val="20"/>
          <w:szCs w:val="20"/>
          <w:lang w:val="es-ES_tradnl"/>
        </w:rPr>
        <w:footnoteReference w:id="18"/>
      </w:r>
      <w:r w:rsidRPr="009F4093">
        <w:rPr>
          <w:color w:val="auto"/>
          <w:sz w:val="20"/>
          <w:szCs w:val="20"/>
          <w:lang w:val="es-ES_tradnl"/>
        </w:rPr>
        <w:t>, accesible</w:t>
      </w:r>
      <w:r w:rsidRPr="009F4093">
        <w:rPr>
          <w:rStyle w:val="FootnoteReference"/>
          <w:color w:val="auto"/>
          <w:sz w:val="20"/>
          <w:szCs w:val="20"/>
          <w:lang w:val="es-ES_tradnl"/>
        </w:rPr>
        <w:footnoteReference w:id="19"/>
      </w:r>
      <w:r w:rsidRPr="009F4093">
        <w:rPr>
          <w:color w:val="auto"/>
          <w:sz w:val="20"/>
          <w:szCs w:val="20"/>
          <w:lang w:val="es-ES_tradnl"/>
        </w:rPr>
        <w:t>, eficaz</w:t>
      </w:r>
      <w:r w:rsidRPr="009F4093">
        <w:rPr>
          <w:rStyle w:val="FootnoteReference"/>
          <w:color w:val="auto"/>
          <w:sz w:val="20"/>
          <w:szCs w:val="20"/>
          <w:lang w:val="es-ES_tradnl"/>
        </w:rPr>
        <w:footnoteReference w:id="20"/>
      </w:r>
      <w:r w:rsidRPr="009F4093">
        <w:rPr>
          <w:color w:val="auto"/>
          <w:sz w:val="20"/>
          <w:szCs w:val="20"/>
          <w:lang w:val="es-ES_tradnl"/>
        </w:rPr>
        <w:t xml:space="preserve"> y, en particular, que permita la revisión integral de la condena</w:t>
      </w:r>
      <w:r w:rsidRPr="009F4093">
        <w:rPr>
          <w:rStyle w:val="FootnoteReference"/>
          <w:color w:val="auto"/>
          <w:sz w:val="20"/>
          <w:szCs w:val="20"/>
          <w:lang w:val="es-ES_tradnl"/>
        </w:rPr>
        <w:footnoteReference w:id="21"/>
      </w:r>
      <w:r w:rsidRPr="009F4093">
        <w:rPr>
          <w:color w:val="auto"/>
          <w:sz w:val="20"/>
          <w:szCs w:val="20"/>
          <w:lang w:val="es-ES_tradnl"/>
        </w:rPr>
        <w:t>.</w:t>
      </w:r>
    </w:p>
    <w:p w14:paraId="60342DF3" w14:textId="77777777" w:rsidR="00B765BB" w:rsidRPr="009F4093" w:rsidRDefault="00B765BB" w:rsidP="009F4093">
      <w:pPr>
        <w:pStyle w:val="ListParagraph"/>
        <w:jc w:val="both"/>
        <w:rPr>
          <w:color w:val="auto"/>
          <w:sz w:val="20"/>
          <w:szCs w:val="20"/>
          <w:lang w:val="es-ES_tradnl"/>
        </w:rPr>
      </w:pPr>
    </w:p>
    <w:p w14:paraId="4CD3AFEC" w14:textId="77777777" w:rsidR="00B765BB" w:rsidRPr="009F4093" w:rsidRDefault="00B765BB"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contextualSpacing/>
        <w:jc w:val="both"/>
        <w:rPr>
          <w:rFonts w:ascii="Cambria" w:eastAsia="Cambria" w:hAnsi="Cambria" w:cs="Cambria"/>
          <w:sz w:val="20"/>
          <w:szCs w:val="20"/>
          <w:u w:color="000000"/>
          <w:lang w:val="es-ES_tradnl" w:eastAsia="es-ES"/>
        </w:rPr>
      </w:pPr>
      <w:r w:rsidRPr="009F4093">
        <w:rPr>
          <w:rFonts w:ascii="Cambria" w:eastAsia="Cambria" w:hAnsi="Cambria" w:cs="Cambria"/>
          <w:sz w:val="20"/>
          <w:szCs w:val="20"/>
          <w:u w:color="000000"/>
          <w:lang w:val="es-ES_tradnl" w:eastAsia="es-ES"/>
        </w:rPr>
        <w:t xml:space="preserve">En torno a este último punto, la Comisión Interamericana indicó en el caso Abella respecto de Argentina: </w:t>
      </w:r>
    </w:p>
    <w:p w14:paraId="7010D91B" w14:textId="77777777" w:rsidR="00B765BB" w:rsidRPr="009F4093" w:rsidRDefault="00B765BB" w:rsidP="009F4093">
      <w:pPr>
        <w:tabs>
          <w:tab w:val="left" w:pos="567"/>
        </w:tabs>
        <w:ind w:left="720"/>
        <w:jc w:val="both"/>
        <w:rPr>
          <w:rFonts w:ascii="Cambria" w:eastAsia="Cambria" w:hAnsi="Cambria" w:cs="Cambria"/>
          <w:sz w:val="20"/>
          <w:szCs w:val="20"/>
          <w:u w:color="000000"/>
          <w:lang w:val="es-ES_tradnl" w:eastAsia="es-ES"/>
        </w:rPr>
      </w:pPr>
    </w:p>
    <w:p w14:paraId="5165E1FC" w14:textId="77777777" w:rsidR="00B765BB" w:rsidRPr="009F4093" w:rsidRDefault="00B765BB" w:rsidP="009F4093">
      <w:pPr>
        <w:tabs>
          <w:tab w:val="left" w:pos="567"/>
        </w:tabs>
        <w:ind w:left="709" w:right="798"/>
        <w:jc w:val="both"/>
        <w:rPr>
          <w:rFonts w:ascii="Cambria" w:hAnsi="Cambria"/>
          <w:sz w:val="18"/>
          <w:szCs w:val="18"/>
          <w:lang w:val="es-ES_tradnl"/>
        </w:rPr>
      </w:pPr>
      <w:r w:rsidRPr="009F4093">
        <w:rPr>
          <w:rFonts w:ascii="Cambria" w:hAnsi="Cambria"/>
          <w:sz w:val="18"/>
          <w:szCs w:val="18"/>
          <w:lang w:val="es-ES_tradnl"/>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9F4093">
        <w:rPr>
          <w:rFonts w:ascii="Cambria" w:hAnsi="Cambria"/>
          <w:sz w:val="18"/>
          <w:szCs w:val="18"/>
          <w:vertAlign w:val="superscript"/>
          <w:lang w:val="es-ES_tradnl"/>
        </w:rPr>
        <w:footnoteReference w:id="22"/>
      </w:r>
      <w:r w:rsidRPr="009F4093">
        <w:rPr>
          <w:rFonts w:ascii="Cambria" w:hAnsi="Cambria"/>
          <w:sz w:val="18"/>
          <w:szCs w:val="18"/>
          <w:lang w:val="es-ES_tradnl"/>
        </w:rPr>
        <w:t xml:space="preserve">. </w:t>
      </w:r>
    </w:p>
    <w:p w14:paraId="4C9B6014" w14:textId="77777777" w:rsidR="00B765BB" w:rsidRPr="009F4093" w:rsidRDefault="00B765BB" w:rsidP="009F4093">
      <w:pPr>
        <w:tabs>
          <w:tab w:val="left" w:pos="567"/>
        </w:tabs>
        <w:ind w:right="798"/>
        <w:jc w:val="both"/>
        <w:rPr>
          <w:rFonts w:ascii="Cambria" w:hAnsi="Cambria"/>
          <w:sz w:val="20"/>
          <w:szCs w:val="20"/>
          <w:lang w:val="es-ES_tradnl"/>
        </w:rPr>
      </w:pPr>
    </w:p>
    <w:p w14:paraId="7FC1CFCE" w14:textId="771D8E71" w:rsidR="00B765BB" w:rsidRPr="009F4093" w:rsidRDefault="00B765BB"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contextualSpacing/>
        <w:jc w:val="both"/>
        <w:rPr>
          <w:rFonts w:ascii="Cambria" w:eastAsia="Cambria" w:hAnsi="Cambria" w:cs="Cambria"/>
          <w:sz w:val="20"/>
          <w:szCs w:val="20"/>
          <w:u w:color="000000"/>
          <w:lang w:val="es-ES_tradnl" w:eastAsia="es-ES"/>
        </w:rPr>
      </w:pPr>
      <w:r w:rsidRPr="009F4093">
        <w:rPr>
          <w:rFonts w:ascii="Cambria" w:eastAsia="Cambria" w:hAnsi="Cambria" w:cs="Cambria"/>
          <w:sz w:val="20"/>
          <w:szCs w:val="20"/>
          <w:u w:color="000000"/>
          <w:lang w:val="es-ES_tradnl" w:eastAsia="es-ES"/>
        </w:rPr>
        <w:t xml:space="preserve">En esa línea, la CIDH ha destacado que, si bien el derecho a recurrir no implica necesariamente un nuevo juicio o una nueva audiencia, siempre que el tribunal que realiza la revisión no esté impedido de estudiar los hechos de la causa, </w:t>
      </w:r>
      <w:r w:rsidR="00C81846" w:rsidRPr="009F4093">
        <w:rPr>
          <w:rFonts w:ascii="Cambria" w:eastAsia="Cambria" w:hAnsi="Cambria" w:cs="Cambria"/>
          <w:sz w:val="20"/>
          <w:szCs w:val="20"/>
          <w:u w:color="000000"/>
          <w:lang w:val="es-ES_tradnl" w:eastAsia="es-ES"/>
        </w:rPr>
        <w:t>es</w:t>
      </w:r>
      <w:r w:rsidRPr="009F4093">
        <w:rPr>
          <w:rFonts w:ascii="Cambria" w:eastAsia="Cambria" w:hAnsi="Cambria" w:cs="Cambria"/>
          <w:sz w:val="20"/>
          <w:szCs w:val="20"/>
          <w:u w:color="000000"/>
          <w:lang w:val="es-ES_tradnl" w:eastAsia="es-ES"/>
        </w:rPr>
        <w:t xml:space="preserve"> necesario a la luz del artículo 8.2.h de la Convención que exista la posibilidad de señalar y obtener respuesta sobre errores que hubiera podido cometer el juez o tribunal de la instancia inferior. Ello significa que no </w:t>
      </w:r>
      <w:r w:rsidR="00C00002" w:rsidRPr="009F4093">
        <w:rPr>
          <w:rFonts w:ascii="Cambria" w:eastAsia="Cambria" w:hAnsi="Cambria" w:cs="Cambria"/>
          <w:sz w:val="20"/>
          <w:szCs w:val="20"/>
          <w:u w:color="000000"/>
          <w:lang w:val="es-ES_tradnl" w:eastAsia="es-ES"/>
        </w:rPr>
        <w:t xml:space="preserve">es </w:t>
      </w:r>
      <w:r w:rsidRPr="009F4093">
        <w:rPr>
          <w:rFonts w:ascii="Cambria" w:eastAsia="Cambria" w:hAnsi="Cambria" w:cs="Cambria"/>
          <w:sz w:val="20"/>
          <w:szCs w:val="20"/>
          <w:u w:color="000000"/>
          <w:lang w:val="es-ES_tradnl" w:eastAsia="es-ES"/>
        </w:rPr>
        <w:t xml:space="preserve">posible excluir del ámbito del recurso ciertas categorías como las de índole fácticas, la manera en que se incorporaron de las pruebas al proceso y la valoración que los magistrados de la instancia inferior hicieron de ellas. La forma y los medios a través de los cuales se realice la revisión dependerán </w:t>
      </w:r>
      <w:r w:rsidRPr="009F4093">
        <w:rPr>
          <w:rFonts w:ascii="Cambria" w:eastAsia="Cambria" w:hAnsi="Cambria" w:cs="Cambria"/>
          <w:sz w:val="20"/>
          <w:szCs w:val="20"/>
          <w:u w:color="000000"/>
          <w:lang w:val="es-ES_tradnl" w:eastAsia="es-ES"/>
        </w:rPr>
        <w:lastRenderedPageBreak/>
        <w:t>de la naturaleza de las cuestiones en debate, así como de las particularidades del sistema procesal penal de los respectivos Estados</w:t>
      </w:r>
      <w:r w:rsidRPr="009F4093">
        <w:rPr>
          <w:rFonts w:ascii="Cambria" w:eastAsia="Cambria" w:hAnsi="Cambria" w:cs="Cambria"/>
          <w:sz w:val="20"/>
          <w:szCs w:val="20"/>
          <w:u w:color="000000"/>
          <w:vertAlign w:val="superscript"/>
          <w:lang w:val="es-ES_tradnl" w:eastAsia="es-ES"/>
        </w:rPr>
        <w:footnoteReference w:id="23"/>
      </w:r>
      <w:r w:rsidRPr="009F4093">
        <w:rPr>
          <w:rFonts w:ascii="Cambria" w:eastAsia="Cambria" w:hAnsi="Cambria" w:cs="Cambria"/>
          <w:sz w:val="20"/>
          <w:szCs w:val="20"/>
          <w:u w:color="000000"/>
          <w:lang w:val="es-ES_tradnl" w:eastAsia="es-ES"/>
        </w:rPr>
        <w:t xml:space="preserve">. </w:t>
      </w:r>
    </w:p>
    <w:p w14:paraId="494E0B4B" w14:textId="77777777" w:rsidR="00B765BB" w:rsidRPr="009F4093" w:rsidRDefault="00B765BB" w:rsidP="009F40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720"/>
        <w:contextualSpacing/>
        <w:jc w:val="both"/>
        <w:rPr>
          <w:rFonts w:ascii="Cambria" w:eastAsia="Cambria" w:hAnsi="Cambria" w:cs="Cambria"/>
          <w:sz w:val="20"/>
          <w:szCs w:val="20"/>
          <w:u w:color="000000"/>
          <w:lang w:val="es-ES_tradnl" w:eastAsia="es-ES"/>
        </w:rPr>
      </w:pPr>
    </w:p>
    <w:p w14:paraId="2245F28A" w14:textId="636ECB41" w:rsidR="00ED5097" w:rsidRPr="009F4093" w:rsidRDefault="00B765BB"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ES_tradnl"/>
        </w:rPr>
      </w:pPr>
      <w:r w:rsidRPr="009F4093">
        <w:rPr>
          <w:rFonts w:asciiTheme="majorHAnsi" w:hAnsiTheme="majorHAnsi"/>
          <w:sz w:val="20"/>
          <w:szCs w:val="20"/>
          <w:lang w:val="es-ES_tradnl"/>
        </w:rPr>
        <w:t xml:space="preserve">Con base en las citadas consideraciones, en el presente asunto la Comisión observa que el </w:t>
      </w:r>
      <w:r w:rsidR="00ED5097" w:rsidRPr="009F4093">
        <w:rPr>
          <w:rFonts w:asciiTheme="majorHAnsi" w:hAnsiTheme="majorHAnsi"/>
          <w:sz w:val="20"/>
          <w:szCs w:val="20"/>
          <w:lang w:val="es-ES_tradnl"/>
        </w:rPr>
        <w:t>5 de octubre de 2009</w:t>
      </w:r>
      <w:r w:rsidRPr="009F4093">
        <w:rPr>
          <w:rFonts w:asciiTheme="majorHAnsi" w:hAnsiTheme="majorHAnsi"/>
          <w:sz w:val="20"/>
          <w:szCs w:val="20"/>
          <w:lang w:val="es-ES_tradnl"/>
        </w:rPr>
        <w:t xml:space="preserve"> el Tribunal </w:t>
      </w:r>
      <w:r w:rsidR="00ED5097" w:rsidRPr="009F4093">
        <w:rPr>
          <w:rFonts w:asciiTheme="majorHAnsi" w:hAnsiTheme="majorHAnsi"/>
          <w:sz w:val="20"/>
          <w:szCs w:val="20"/>
          <w:lang w:val="es-ES_tradnl"/>
        </w:rPr>
        <w:t>de Juicio II de San José</w:t>
      </w:r>
      <w:r w:rsidRPr="009F4093">
        <w:rPr>
          <w:rFonts w:ascii="Cambria" w:hAnsi="Cambria"/>
          <w:sz w:val="20"/>
          <w:szCs w:val="20"/>
          <w:lang w:val="es-ES_tradnl"/>
        </w:rPr>
        <w:t xml:space="preserve"> condenó a la presunta víctima por </w:t>
      </w:r>
      <w:r w:rsidR="00ED5097" w:rsidRPr="009F4093">
        <w:rPr>
          <w:rFonts w:asciiTheme="majorHAnsi" w:hAnsiTheme="majorHAnsi"/>
          <w:sz w:val="20"/>
          <w:szCs w:val="20"/>
          <w:lang w:val="es-ES_tradnl"/>
        </w:rPr>
        <w:t>los delitos de destrucción de documento público y falsedad ideológica</w:t>
      </w:r>
      <w:r w:rsidRPr="009F4093">
        <w:rPr>
          <w:rFonts w:ascii="Cambria" w:hAnsi="Cambria"/>
          <w:sz w:val="20"/>
          <w:szCs w:val="20"/>
          <w:lang w:val="es-ES_tradnl"/>
        </w:rPr>
        <w:t>.</w:t>
      </w:r>
      <w:r w:rsidRPr="009F4093">
        <w:rPr>
          <w:rFonts w:ascii="Cambria" w:hAnsi="Cambria"/>
          <w:i/>
          <w:iCs/>
          <w:sz w:val="20"/>
          <w:szCs w:val="20"/>
          <w:lang w:val="es-ES_tradnl"/>
        </w:rPr>
        <w:t xml:space="preserve"> </w:t>
      </w:r>
      <w:r w:rsidRPr="009F4093">
        <w:rPr>
          <w:rFonts w:asciiTheme="majorHAnsi" w:hAnsiTheme="majorHAnsi"/>
          <w:sz w:val="20"/>
          <w:szCs w:val="20"/>
          <w:lang w:val="es-ES_tradnl"/>
        </w:rPr>
        <w:t xml:space="preserve">Frente a ello, la presunta interpuso un recurso de casación, pero el </w:t>
      </w:r>
      <w:r w:rsidR="00A67AD7" w:rsidRPr="009F4093">
        <w:rPr>
          <w:rFonts w:asciiTheme="majorHAnsi" w:hAnsiTheme="majorHAnsi"/>
          <w:sz w:val="20"/>
          <w:szCs w:val="20"/>
          <w:lang w:val="es-ES_tradnl"/>
        </w:rPr>
        <w:t>11 de mayo</w:t>
      </w:r>
      <w:r w:rsidRPr="009F4093">
        <w:rPr>
          <w:rFonts w:asciiTheme="majorHAnsi" w:hAnsiTheme="majorHAnsi"/>
          <w:sz w:val="20"/>
          <w:szCs w:val="20"/>
          <w:lang w:val="es-ES_tradnl"/>
        </w:rPr>
        <w:t xml:space="preserve"> de 2011 la Sala Tercera de la Corte Suprema de Justicia</w:t>
      </w:r>
      <w:r w:rsidR="00A67AD7" w:rsidRPr="009F4093">
        <w:rPr>
          <w:rFonts w:asciiTheme="majorHAnsi" w:hAnsiTheme="majorHAnsi"/>
          <w:sz w:val="20"/>
          <w:szCs w:val="20"/>
          <w:lang w:val="es-ES_tradnl"/>
        </w:rPr>
        <w:t xml:space="preserve"> desestimó tal acción. </w:t>
      </w:r>
    </w:p>
    <w:p w14:paraId="748A50EE" w14:textId="0F761CF5" w:rsidR="008C52CC" w:rsidRPr="009F4093" w:rsidRDefault="00B765BB" w:rsidP="627A63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627A63E3">
        <w:rPr>
          <w:rFonts w:asciiTheme="majorHAnsi" w:hAnsiTheme="majorHAnsi"/>
          <w:sz w:val="20"/>
          <w:szCs w:val="20"/>
          <w:lang w:val="es-ES"/>
        </w:rPr>
        <w:t xml:space="preserve">Al respecto, </w:t>
      </w:r>
      <w:r w:rsidRPr="627A63E3">
        <w:rPr>
          <w:rFonts w:ascii="Cambria" w:hAnsi="Cambria"/>
          <w:sz w:val="20"/>
          <w:szCs w:val="20"/>
          <w:lang w:val="es-ES"/>
        </w:rPr>
        <w:t xml:space="preserve">a partir de la lectura del texto de esta última resolución, la Comisión considera que la Sala Tercera de la Corte Suprema de Justicia analizó detenidamente </w:t>
      </w:r>
      <w:r w:rsidR="00A67AD7" w:rsidRPr="627A63E3">
        <w:rPr>
          <w:rFonts w:ascii="Cambria" w:hAnsi="Cambria"/>
          <w:sz w:val="20"/>
          <w:szCs w:val="20"/>
          <w:lang w:val="es-ES"/>
        </w:rPr>
        <w:t xml:space="preserve">los </w:t>
      </w:r>
      <w:r w:rsidRPr="627A63E3">
        <w:rPr>
          <w:rFonts w:ascii="Cambria" w:hAnsi="Cambria"/>
          <w:sz w:val="20"/>
          <w:szCs w:val="20"/>
          <w:lang w:val="es-ES"/>
        </w:rPr>
        <w:t xml:space="preserve">cuestionamientos de la presunta víctima y brindó una respuesta motivada respecto a cada uno. En ese sentido, la Comisión aprecia que el tribunal ingresó en el análisis de </w:t>
      </w:r>
      <w:r w:rsidR="00DB602B" w:rsidRPr="627A63E3">
        <w:rPr>
          <w:rFonts w:ascii="Cambria" w:hAnsi="Cambria"/>
          <w:sz w:val="20"/>
          <w:szCs w:val="20"/>
          <w:lang w:val="es-ES"/>
        </w:rPr>
        <w:t xml:space="preserve">aspectos </w:t>
      </w:r>
      <w:r w:rsidRPr="627A63E3">
        <w:rPr>
          <w:rFonts w:ascii="Cambria" w:hAnsi="Cambria"/>
          <w:sz w:val="20"/>
          <w:szCs w:val="20"/>
          <w:lang w:val="es-ES"/>
        </w:rPr>
        <w:t>probatori</w:t>
      </w:r>
      <w:r w:rsidR="00DB602B" w:rsidRPr="627A63E3">
        <w:rPr>
          <w:rFonts w:ascii="Cambria" w:hAnsi="Cambria"/>
          <w:sz w:val="20"/>
          <w:szCs w:val="20"/>
          <w:lang w:val="es-ES"/>
        </w:rPr>
        <w:t>o</w:t>
      </w:r>
      <w:r w:rsidRPr="627A63E3">
        <w:rPr>
          <w:rFonts w:ascii="Cambria" w:hAnsi="Cambria"/>
          <w:sz w:val="20"/>
          <w:szCs w:val="20"/>
          <w:lang w:val="es-ES"/>
        </w:rPr>
        <w:t xml:space="preserve">s y actividades procesales realizadas a lo largo del proceso, de acuerdo con lo solicitado por </w:t>
      </w:r>
      <w:r w:rsidR="00A627CC" w:rsidRPr="627A63E3">
        <w:rPr>
          <w:rFonts w:ascii="Cambria" w:hAnsi="Cambria"/>
          <w:sz w:val="20"/>
          <w:szCs w:val="20"/>
          <w:lang w:val="es-ES"/>
        </w:rPr>
        <w:t>el señor Vargas Pérez</w:t>
      </w:r>
      <w:r w:rsidRPr="627A63E3">
        <w:rPr>
          <w:rFonts w:ascii="Cambria" w:hAnsi="Cambria"/>
          <w:sz w:val="20"/>
          <w:szCs w:val="20"/>
          <w:lang w:val="es-ES"/>
        </w:rPr>
        <w:t xml:space="preserve">. Por ende, la Comisión </w:t>
      </w:r>
      <w:r w:rsidR="00DB602B" w:rsidRPr="627A63E3">
        <w:rPr>
          <w:rFonts w:ascii="Cambria" w:hAnsi="Cambria"/>
          <w:sz w:val="20"/>
          <w:szCs w:val="20"/>
          <w:lang w:val="es-ES"/>
        </w:rPr>
        <w:t>entiende</w:t>
      </w:r>
      <w:r w:rsidRPr="627A63E3">
        <w:rPr>
          <w:rFonts w:ascii="Cambria" w:hAnsi="Cambria"/>
          <w:sz w:val="20"/>
          <w:szCs w:val="20"/>
          <w:lang w:val="es-ES"/>
        </w:rPr>
        <w:t xml:space="preserve"> que, </w:t>
      </w:r>
      <w:r w:rsidRPr="627A63E3">
        <w:rPr>
          <w:rFonts w:ascii="Cambria" w:hAnsi="Cambria"/>
          <w:i/>
          <w:iCs/>
          <w:sz w:val="20"/>
          <w:szCs w:val="20"/>
          <w:lang w:val="es-ES"/>
        </w:rPr>
        <w:t xml:space="preserve">prima facie, </w:t>
      </w:r>
      <w:r w:rsidRPr="627A63E3">
        <w:rPr>
          <w:rFonts w:ascii="Cambria" w:hAnsi="Cambria"/>
          <w:sz w:val="20"/>
          <w:szCs w:val="20"/>
          <w:lang w:val="es-ES"/>
        </w:rPr>
        <w:t xml:space="preserve">no se han presentado argumentos o pruebas que permitan identificar alguna restricción o limitación que hayan evitado un análisis integral de los </w:t>
      </w:r>
      <w:r w:rsidR="009F4093" w:rsidRPr="627A63E3">
        <w:rPr>
          <w:rFonts w:ascii="Cambria" w:hAnsi="Cambria"/>
          <w:sz w:val="20"/>
          <w:szCs w:val="20"/>
          <w:lang w:val="es-ES"/>
        </w:rPr>
        <w:t>reclamos</w:t>
      </w:r>
      <w:r w:rsidRPr="627A63E3">
        <w:rPr>
          <w:rFonts w:ascii="Cambria" w:hAnsi="Cambria"/>
          <w:sz w:val="20"/>
          <w:szCs w:val="20"/>
          <w:lang w:val="es-ES"/>
        </w:rPr>
        <w:t xml:space="preserve"> planteados por la presunta víctima contra su fallo condenatorio de primera instancia. Por consiguiente, la CIDH concluye que, </w:t>
      </w:r>
      <w:r w:rsidRPr="627A63E3">
        <w:rPr>
          <w:rFonts w:ascii="Cambria" w:hAnsi="Cambria"/>
          <w:i/>
          <w:iCs/>
          <w:sz w:val="20"/>
          <w:szCs w:val="20"/>
          <w:lang w:val="es-ES"/>
        </w:rPr>
        <w:t xml:space="preserve">prima facie, </w:t>
      </w:r>
      <w:r w:rsidRPr="627A63E3">
        <w:rPr>
          <w:rFonts w:ascii="Cambria" w:hAnsi="Cambria"/>
          <w:sz w:val="20"/>
          <w:szCs w:val="20"/>
          <w:lang w:val="es-ES"/>
        </w:rPr>
        <w:t>no se han aportado elementos que permitan identificar una posible vulneración al derecho contemplado en el artículo 8.2.h) de la Convención.</w:t>
      </w:r>
    </w:p>
    <w:p w14:paraId="6D432DF1" w14:textId="5A775B71" w:rsidR="00C27964" w:rsidRPr="009F4093" w:rsidRDefault="00A627CC"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F4093">
        <w:rPr>
          <w:rFonts w:ascii="Cambria" w:hAnsi="Cambria"/>
          <w:sz w:val="20"/>
          <w:szCs w:val="20"/>
          <w:lang w:val="es-ES_tradnl"/>
        </w:rPr>
        <w:t xml:space="preserve">Por otra parte, </w:t>
      </w:r>
      <w:r w:rsidR="009F4093" w:rsidRPr="009F4093">
        <w:rPr>
          <w:rFonts w:ascii="Cambria" w:hAnsi="Cambria"/>
          <w:sz w:val="20"/>
          <w:szCs w:val="20"/>
          <w:lang w:val="es-ES_tradnl"/>
        </w:rPr>
        <w:t>con relación</w:t>
      </w:r>
      <w:r w:rsidRPr="009F4093">
        <w:rPr>
          <w:rFonts w:ascii="Cambria" w:hAnsi="Cambria"/>
          <w:sz w:val="20"/>
          <w:szCs w:val="20"/>
          <w:lang w:val="es-ES_tradnl"/>
        </w:rPr>
        <w:t xml:space="preserve"> </w:t>
      </w:r>
      <w:r w:rsidR="008C52CC" w:rsidRPr="009F4093">
        <w:rPr>
          <w:rFonts w:ascii="Cambria" w:hAnsi="Cambria"/>
          <w:sz w:val="20"/>
          <w:szCs w:val="20"/>
          <w:lang w:val="es-ES_tradnl"/>
        </w:rPr>
        <w:t xml:space="preserve">a la afectación al derecho al juez predeterminado por ley, la Comisión observa que la Sala Tercera de la Corte Suprema de Justicia resolvió el reclamo planteado por la presunta víctima, indicando que el reemplazo de un magistrado titular por uno suplente estaba autorizado expresamente por el Código Procesal Penal y, además, en el caso concreto, no se incumplía el principio de inmediación, pues </w:t>
      </w:r>
      <w:r w:rsidR="00B93518" w:rsidRPr="009F4093">
        <w:rPr>
          <w:rFonts w:ascii="Cambria" w:hAnsi="Cambria"/>
          <w:sz w:val="20"/>
          <w:szCs w:val="20"/>
          <w:lang w:val="es-ES_tradnl"/>
        </w:rPr>
        <w:t xml:space="preserve">los </w:t>
      </w:r>
      <w:r w:rsidR="008C52CC" w:rsidRPr="009F4093">
        <w:rPr>
          <w:rFonts w:ascii="Cambria" w:hAnsi="Cambria"/>
          <w:sz w:val="20"/>
          <w:szCs w:val="20"/>
          <w:lang w:val="es-ES_tradnl"/>
        </w:rPr>
        <w:t>funcionario</w:t>
      </w:r>
      <w:r w:rsidR="00B93518" w:rsidRPr="009F4093">
        <w:rPr>
          <w:rFonts w:ascii="Cambria" w:hAnsi="Cambria"/>
          <w:sz w:val="20"/>
          <w:szCs w:val="20"/>
          <w:lang w:val="es-ES_tradnl"/>
        </w:rPr>
        <w:t>s incorporados</w:t>
      </w:r>
      <w:r w:rsidR="008C52CC" w:rsidRPr="009F4093">
        <w:rPr>
          <w:rFonts w:ascii="Cambria" w:hAnsi="Cambria"/>
          <w:sz w:val="20"/>
          <w:szCs w:val="20"/>
          <w:lang w:val="es-ES_tradnl"/>
        </w:rPr>
        <w:t xml:space="preserve"> estuv</w:t>
      </w:r>
      <w:r w:rsidR="00B93518" w:rsidRPr="009F4093">
        <w:rPr>
          <w:rFonts w:ascii="Cambria" w:hAnsi="Cambria"/>
          <w:sz w:val="20"/>
          <w:szCs w:val="20"/>
          <w:lang w:val="es-ES_tradnl"/>
        </w:rPr>
        <w:t>ieron</w:t>
      </w:r>
      <w:r w:rsidR="008C52CC" w:rsidRPr="009F4093">
        <w:rPr>
          <w:rFonts w:ascii="Cambria" w:hAnsi="Cambria"/>
          <w:sz w:val="20"/>
          <w:szCs w:val="20"/>
          <w:lang w:val="es-ES_tradnl"/>
        </w:rPr>
        <w:t xml:space="preserve"> presente</w:t>
      </w:r>
      <w:r w:rsidR="00B93518" w:rsidRPr="009F4093">
        <w:rPr>
          <w:rFonts w:ascii="Cambria" w:hAnsi="Cambria"/>
          <w:sz w:val="20"/>
          <w:szCs w:val="20"/>
          <w:lang w:val="es-ES_tradnl"/>
        </w:rPr>
        <w:t>s</w:t>
      </w:r>
      <w:r w:rsidR="008C52CC" w:rsidRPr="009F4093">
        <w:rPr>
          <w:rFonts w:ascii="Cambria" w:hAnsi="Cambria"/>
          <w:sz w:val="20"/>
          <w:szCs w:val="20"/>
          <w:lang w:val="es-ES_tradnl"/>
        </w:rPr>
        <w:t xml:space="preserve"> en todas las audiencias del proceso. A juicio de la Comisión, no se han aportado alegatos que muestren la </w:t>
      </w:r>
      <w:r w:rsidR="009F4093" w:rsidRPr="009F4093">
        <w:rPr>
          <w:rFonts w:ascii="Cambria" w:hAnsi="Cambria"/>
          <w:sz w:val="20"/>
          <w:szCs w:val="20"/>
          <w:lang w:val="es-ES_tradnl"/>
        </w:rPr>
        <w:t>existencia</w:t>
      </w:r>
      <w:r w:rsidR="008C52CC" w:rsidRPr="009F4093">
        <w:rPr>
          <w:rFonts w:ascii="Cambria" w:hAnsi="Cambria"/>
          <w:sz w:val="20"/>
          <w:szCs w:val="20"/>
          <w:lang w:val="es-ES_tradnl"/>
        </w:rPr>
        <w:t xml:space="preserve"> de un error en esta decisión que afecte algún derecho consagrado en la Convención. Por ello, c</w:t>
      </w:r>
      <w:r w:rsidR="008C52CC" w:rsidRPr="009F4093">
        <w:rPr>
          <w:rFonts w:ascii="Cambria" w:eastAsia="Cambria" w:hAnsi="Cambria" w:cs="Cambria"/>
          <w:sz w:val="20"/>
          <w:szCs w:val="20"/>
          <w:u w:color="000000"/>
          <w:lang w:val="es-ES_tradnl" w:eastAsia="es-ES"/>
        </w:rPr>
        <w:t>on base en estas consideraciones, la Comisión concluye que el</w:t>
      </w:r>
      <w:r w:rsidR="00F7535B" w:rsidRPr="009F4093">
        <w:rPr>
          <w:rFonts w:ascii="Cambria" w:eastAsia="Cambria" w:hAnsi="Cambria" w:cs="Cambria"/>
          <w:sz w:val="20"/>
          <w:szCs w:val="20"/>
          <w:u w:color="000000"/>
          <w:lang w:val="es-ES_tradnl" w:eastAsia="es-ES"/>
        </w:rPr>
        <w:t xml:space="preserve"> </w:t>
      </w:r>
      <w:r w:rsidR="008C52CC" w:rsidRPr="009F4093">
        <w:rPr>
          <w:rFonts w:ascii="Cambria" w:eastAsia="Cambria" w:hAnsi="Cambria" w:cs="Cambria"/>
          <w:sz w:val="20"/>
          <w:szCs w:val="20"/>
          <w:u w:color="000000"/>
          <w:lang w:val="es-ES_tradnl" w:eastAsia="es-ES"/>
        </w:rPr>
        <w:t>asunto</w:t>
      </w:r>
      <w:r w:rsidR="00F7535B" w:rsidRPr="009F4093">
        <w:rPr>
          <w:rFonts w:ascii="Cambria" w:eastAsia="Cambria" w:hAnsi="Cambria" w:cs="Cambria"/>
          <w:sz w:val="20"/>
          <w:szCs w:val="20"/>
          <w:u w:color="000000"/>
          <w:lang w:val="es-ES_tradnl" w:eastAsia="es-ES"/>
        </w:rPr>
        <w:t xml:space="preserve"> bajo estudio</w:t>
      </w:r>
      <w:r w:rsidR="008C52CC" w:rsidRPr="009F4093">
        <w:rPr>
          <w:rFonts w:ascii="Cambria" w:eastAsia="Cambria" w:hAnsi="Cambria" w:cs="Cambria"/>
          <w:sz w:val="20"/>
          <w:szCs w:val="20"/>
          <w:u w:color="000000"/>
          <w:lang w:val="es-ES_tradnl" w:eastAsia="es-ES"/>
        </w:rPr>
        <w:t xml:space="preserve"> </w:t>
      </w:r>
      <w:r w:rsidRPr="009F4093">
        <w:rPr>
          <w:rFonts w:ascii="Cambria" w:eastAsia="Cambria" w:hAnsi="Cambria" w:cs="Cambria"/>
          <w:sz w:val="20"/>
          <w:szCs w:val="20"/>
          <w:u w:color="000000"/>
          <w:lang w:val="es-ES_tradnl" w:eastAsia="es-ES"/>
        </w:rPr>
        <w:t xml:space="preserve">tampoco </w:t>
      </w:r>
      <w:r w:rsidR="008C52CC" w:rsidRPr="009F4093">
        <w:rPr>
          <w:rFonts w:ascii="Cambria" w:eastAsia="Cambria" w:hAnsi="Cambria" w:cs="Cambria"/>
          <w:sz w:val="20"/>
          <w:szCs w:val="20"/>
          <w:u w:color="000000"/>
          <w:lang w:val="es-ES_tradnl" w:eastAsia="es-ES"/>
        </w:rPr>
        <w:t xml:space="preserve">presenta elementos que puedan involucrar una posible afectación de los derechos consagrados en la Convención Americana u otros tratados interamericanos.  </w:t>
      </w:r>
    </w:p>
    <w:p w14:paraId="2A622DF7" w14:textId="6C2E70A5" w:rsidR="00A627CC" w:rsidRPr="009F4093" w:rsidRDefault="00A627CC" w:rsidP="009F409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F4093">
        <w:rPr>
          <w:rFonts w:ascii="Cambria" w:hAnsi="Cambria"/>
          <w:sz w:val="20"/>
          <w:szCs w:val="20"/>
          <w:lang w:val="es-ES_tradnl"/>
        </w:rPr>
        <w:t>Finalmente, sin perjuicio que en el acápite anterior se concluyó que no se cumplía con el requisito del previo agotamiento de la jurisdicción interna respecto de este alegato, la Comisión considera</w:t>
      </w:r>
      <w:r w:rsidR="000934F3" w:rsidRPr="009F4093">
        <w:rPr>
          <w:rFonts w:ascii="Cambria" w:hAnsi="Cambria"/>
          <w:sz w:val="20"/>
          <w:szCs w:val="20"/>
          <w:lang w:val="es-ES_tradnl"/>
        </w:rPr>
        <w:t xml:space="preserve"> importante destacar</w:t>
      </w:r>
      <w:r w:rsidRPr="009F4093">
        <w:rPr>
          <w:rFonts w:ascii="Cambria" w:hAnsi="Cambria"/>
          <w:sz w:val="20"/>
          <w:szCs w:val="20"/>
          <w:lang w:val="es-ES_tradnl"/>
        </w:rPr>
        <w:t xml:space="preserve"> que tampoco se aprecia una posible afectación al principio de legalidad en razón al tipo penal utilizado para condenar al señor Vargas Pérez. </w:t>
      </w:r>
      <w:r w:rsidR="009F4093" w:rsidRPr="009F4093">
        <w:rPr>
          <w:rFonts w:ascii="Cambria" w:hAnsi="Cambria"/>
          <w:sz w:val="20"/>
          <w:szCs w:val="20"/>
          <w:lang w:val="es-ES_tradnl"/>
        </w:rPr>
        <w:t>E</w:t>
      </w:r>
      <w:r w:rsidR="00144C32" w:rsidRPr="009F4093">
        <w:rPr>
          <w:rFonts w:ascii="Cambria" w:hAnsi="Cambria"/>
          <w:sz w:val="20"/>
          <w:szCs w:val="20"/>
          <w:lang w:val="es-ES_tradnl"/>
        </w:rPr>
        <w:t xml:space="preserve">l artículo 362 del Código Penal de Costa Rica, el cual contempla el delito </w:t>
      </w:r>
      <w:r w:rsidR="000934F3" w:rsidRPr="009F4093">
        <w:rPr>
          <w:rFonts w:ascii="Cambria" w:hAnsi="Cambria"/>
          <w:sz w:val="20"/>
          <w:szCs w:val="20"/>
          <w:lang w:val="es-ES_tradnl"/>
        </w:rPr>
        <w:t>que se utilizó en la condena</w:t>
      </w:r>
      <w:r w:rsidR="00144C32" w:rsidRPr="009F4093">
        <w:rPr>
          <w:rFonts w:ascii="Cambria" w:hAnsi="Cambria"/>
          <w:sz w:val="20"/>
          <w:szCs w:val="20"/>
          <w:lang w:val="es-ES_tradnl"/>
        </w:rPr>
        <w:t xml:space="preserve"> </w:t>
      </w:r>
      <w:r w:rsidR="000934F3" w:rsidRPr="009F4093">
        <w:rPr>
          <w:rFonts w:ascii="Cambria" w:hAnsi="Cambria"/>
          <w:sz w:val="20"/>
          <w:szCs w:val="20"/>
          <w:lang w:val="es-ES_tradnl"/>
        </w:rPr>
        <w:t>de</w:t>
      </w:r>
      <w:r w:rsidR="00144C32" w:rsidRPr="009F4093">
        <w:rPr>
          <w:rFonts w:ascii="Cambria" w:hAnsi="Cambria"/>
          <w:sz w:val="20"/>
          <w:szCs w:val="20"/>
          <w:lang w:val="es-ES_tradnl"/>
        </w:rPr>
        <w:t xml:space="preserve"> la presunta víctima, establece una pena </w:t>
      </w:r>
      <w:r w:rsidR="000934F3" w:rsidRPr="009F4093">
        <w:rPr>
          <w:rFonts w:ascii="Cambria" w:hAnsi="Cambria"/>
          <w:sz w:val="20"/>
          <w:szCs w:val="20"/>
          <w:lang w:val="es-ES_tradnl"/>
        </w:rPr>
        <w:t>por medio</w:t>
      </w:r>
      <w:r w:rsidR="00144C32" w:rsidRPr="009F4093">
        <w:rPr>
          <w:rFonts w:ascii="Cambria" w:hAnsi="Cambria"/>
          <w:sz w:val="20"/>
          <w:szCs w:val="20"/>
          <w:lang w:val="es-ES_tradnl"/>
        </w:rPr>
        <w:t xml:space="preserve"> de una remisión directa a las disposiciones anteriores</w:t>
      </w:r>
      <w:r w:rsidR="00144C32" w:rsidRPr="009F4093">
        <w:rPr>
          <w:rStyle w:val="FootnoteReference"/>
          <w:rFonts w:ascii="Cambria" w:hAnsi="Cambria"/>
          <w:sz w:val="20"/>
          <w:szCs w:val="20"/>
          <w:lang w:val="es-ES_tradnl"/>
        </w:rPr>
        <w:footnoteReference w:id="24"/>
      </w:r>
      <w:r w:rsidR="00144C32" w:rsidRPr="009F4093">
        <w:rPr>
          <w:rFonts w:ascii="Cambria" w:hAnsi="Cambria"/>
          <w:sz w:val="20"/>
          <w:szCs w:val="20"/>
          <w:lang w:val="es-ES_tradnl"/>
        </w:rPr>
        <w:t xml:space="preserve">. En tal sentido, no se trata de una disposición que carezca de una sanción o que, en el caso concreto, haya implicado la imposición de una pena arbitraria o carente de motivación. Por lo expuesto, la Comisión también concluye que este extremo de la petición no caracteriza una afectación de derechos.  </w:t>
      </w:r>
    </w:p>
    <w:p w14:paraId="29BB41F5" w14:textId="685FA2A3" w:rsidR="003239B8" w:rsidRPr="009F4093" w:rsidRDefault="00445CE8" w:rsidP="009F4093">
      <w:pPr>
        <w:pStyle w:val="ListParagraph"/>
        <w:jc w:val="both"/>
        <w:rPr>
          <w:rFonts w:asciiTheme="majorHAnsi" w:hAnsiTheme="majorHAnsi"/>
          <w:b/>
          <w:bCs/>
          <w:color w:val="auto"/>
          <w:sz w:val="20"/>
          <w:szCs w:val="20"/>
          <w:lang w:val="es-ES_tradnl"/>
        </w:rPr>
      </w:pPr>
      <w:r w:rsidRPr="009F4093">
        <w:rPr>
          <w:rFonts w:asciiTheme="majorHAnsi" w:hAnsiTheme="majorHAnsi"/>
          <w:b/>
          <w:bCs/>
          <w:color w:val="auto"/>
          <w:sz w:val="20"/>
          <w:szCs w:val="20"/>
          <w:lang w:val="es-ES_tradnl"/>
        </w:rPr>
        <w:t>IX</w:t>
      </w:r>
      <w:r w:rsidR="003239B8" w:rsidRPr="009F4093">
        <w:rPr>
          <w:rFonts w:asciiTheme="majorHAnsi" w:hAnsiTheme="majorHAnsi"/>
          <w:b/>
          <w:bCs/>
          <w:color w:val="auto"/>
          <w:sz w:val="20"/>
          <w:szCs w:val="20"/>
          <w:lang w:val="es-ES_tradnl"/>
        </w:rPr>
        <w:t xml:space="preserve">. </w:t>
      </w:r>
      <w:r w:rsidR="003239B8" w:rsidRPr="009F4093">
        <w:rPr>
          <w:rFonts w:asciiTheme="majorHAnsi" w:hAnsiTheme="majorHAnsi"/>
          <w:b/>
          <w:bCs/>
          <w:color w:val="auto"/>
          <w:sz w:val="20"/>
          <w:szCs w:val="20"/>
          <w:lang w:val="es-ES_tradnl"/>
        </w:rPr>
        <w:tab/>
        <w:t>DECISIÓN</w:t>
      </w:r>
    </w:p>
    <w:p w14:paraId="378F2698" w14:textId="77777777" w:rsidR="00C27964" w:rsidRPr="009F4093" w:rsidRDefault="00C27964" w:rsidP="009F4093">
      <w:pPr>
        <w:jc w:val="both"/>
        <w:rPr>
          <w:rFonts w:asciiTheme="majorHAnsi" w:hAnsiTheme="majorHAnsi"/>
          <w:b/>
          <w:bCs/>
          <w:sz w:val="20"/>
          <w:szCs w:val="20"/>
          <w:lang w:val="es-ES_tradnl"/>
        </w:rPr>
      </w:pPr>
    </w:p>
    <w:p w14:paraId="570DA61C" w14:textId="6A55D282" w:rsidR="000419AD" w:rsidRPr="009F4093" w:rsidRDefault="000419AD" w:rsidP="009F4093">
      <w:pPr>
        <w:pStyle w:val="ListParagraph"/>
        <w:numPr>
          <w:ilvl w:val="0"/>
          <w:numId w:val="109"/>
        </w:numPr>
        <w:rPr>
          <w:rFonts w:eastAsia="Arial Unicode MS" w:cs="Times New Roman"/>
          <w:color w:val="auto"/>
          <w:sz w:val="20"/>
          <w:szCs w:val="20"/>
          <w:lang w:val="es-ES_tradnl" w:eastAsia="en-US"/>
        </w:rPr>
      </w:pPr>
      <w:r w:rsidRPr="009F4093">
        <w:rPr>
          <w:rFonts w:eastAsia="Arial Unicode MS" w:cs="Times New Roman"/>
          <w:color w:val="auto"/>
          <w:sz w:val="20"/>
          <w:szCs w:val="20"/>
          <w:lang w:val="es-ES_tradnl" w:eastAsia="en-US"/>
        </w:rPr>
        <w:t>Declarar inadmisible la presente petición</w:t>
      </w:r>
      <w:r w:rsidR="00A758AA" w:rsidRPr="009F4093">
        <w:rPr>
          <w:rFonts w:eastAsia="Arial Unicode MS" w:cs="Times New Roman"/>
          <w:color w:val="auto"/>
          <w:sz w:val="20"/>
          <w:szCs w:val="20"/>
          <w:lang w:val="es-ES_tradnl" w:eastAsia="en-US"/>
        </w:rPr>
        <w:t>;</w:t>
      </w:r>
      <w:r w:rsidR="004A6A54" w:rsidRPr="009F4093">
        <w:rPr>
          <w:rFonts w:eastAsia="Arial Unicode MS" w:cs="Times New Roman"/>
          <w:color w:val="auto"/>
          <w:sz w:val="20"/>
          <w:szCs w:val="20"/>
          <w:lang w:val="es-ES_tradnl" w:eastAsia="en-US"/>
        </w:rPr>
        <w:t xml:space="preserve"> y</w:t>
      </w:r>
    </w:p>
    <w:p w14:paraId="41AA5BF6" w14:textId="77777777" w:rsidR="000419AD" w:rsidRPr="009F4093" w:rsidRDefault="000419AD" w:rsidP="009F4093">
      <w:pPr>
        <w:pStyle w:val="ListParagraph"/>
        <w:rPr>
          <w:rFonts w:eastAsia="Arial Unicode MS" w:cs="Times New Roman"/>
          <w:color w:val="auto"/>
          <w:sz w:val="20"/>
          <w:szCs w:val="20"/>
          <w:lang w:val="es-ES_tradnl" w:eastAsia="en-US"/>
        </w:rPr>
      </w:pPr>
    </w:p>
    <w:p w14:paraId="707749EE" w14:textId="61A9A8BA" w:rsidR="00F83BBC" w:rsidRPr="00D85945" w:rsidRDefault="004A6A54" w:rsidP="00D8594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Style w:val="normaltextrun"/>
          <w:rFonts w:asciiTheme="majorHAnsi" w:hAnsiTheme="majorHAnsi"/>
          <w:sz w:val="20"/>
          <w:szCs w:val="20"/>
          <w:lang w:val="es-ES_tradnl"/>
        </w:rPr>
      </w:pPr>
      <w:r w:rsidRPr="009F4093">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062B28A6" w14:textId="77777777" w:rsidR="00F83BBC" w:rsidRDefault="00F83BBC" w:rsidP="00F83BBC">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642C68E" w14:textId="796C21C6" w:rsidR="008D768D" w:rsidRPr="007D327B" w:rsidRDefault="00F83BBC" w:rsidP="007D327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24 días del mes de abril de 2024.  (Firmado): Carlos Bernal Pulido, Primer Vicepresidente; José Luis Caballero Ochoa, Segundo Vicepresidente; Edgar Stuardo Ralón Orellana y Andrea Pochak, </w:t>
      </w:r>
      <w:r w:rsidR="007D327B">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C80CA6" w14:textId="77777777" w:rsidR="00722C9F" w:rsidRPr="009F4093" w:rsidRDefault="00722C9F" w:rsidP="009F4093">
      <w:pPr>
        <w:rPr>
          <w:rFonts w:ascii="Cambria" w:hAnsi="Cambria" w:cs="Calibri"/>
          <w:sz w:val="20"/>
          <w:szCs w:val="20"/>
          <w:lang w:val="es-ES_tradnl"/>
        </w:rPr>
      </w:pPr>
    </w:p>
    <w:sectPr w:rsidR="00722C9F" w:rsidRPr="009F40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8D3A" w14:textId="77777777" w:rsidR="008764A8" w:rsidRDefault="008764A8">
      <w:r>
        <w:separator/>
      </w:r>
    </w:p>
  </w:endnote>
  <w:endnote w:type="continuationSeparator" w:id="0">
    <w:p w14:paraId="471EAD5F" w14:textId="77777777" w:rsidR="008764A8" w:rsidRDefault="008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3EE7" w14:textId="77777777" w:rsidR="008764A8" w:rsidRPr="000F35ED" w:rsidRDefault="008764A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EF34D6" w14:textId="77777777" w:rsidR="008764A8" w:rsidRPr="000F35ED" w:rsidRDefault="008764A8" w:rsidP="000F35ED">
      <w:pPr>
        <w:rPr>
          <w:rFonts w:asciiTheme="majorHAnsi" w:hAnsiTheme="majorHAnsi"/>
          <w:sz w:val="16"/>
          <w:szCs w:val="16"/>
        </w:rPr>
      </w:pPr>
      <w:r w:rsidRPr="000F35ED">
        <w:rPr>
          <w:rFonts w:asciiTheme="majorHAnsi" w:hAnsiTheme="majorHAnsi"/>
          <w:sz w:val="16"/>
          <w:szCs w:val="16"/>
        </w:rPr>
        <w:separator/>
      </w:r>
    </w:p>
    <w:p w14:paraId="49CAC7A3" w14:textId="77777777" w:rsidR="008764A8" w:rsidRPr="000F35ED" w:rsidRDefault="008764A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155B174" w14:textId="77777777" w:rsidR="008764A8" w:rsidRPr="000F35ED" w:rsidRDefault="008764A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153C417" w14:textId="1E3258CE" w:rsidR="0061609D" w:rsidRPr="00916C1D" w:rsidRDefault="0061609D" w:rsidP="00103247">
      <w:pPr>
        <w:pStyle w:val="FootnoteText"/>
        <w:ind w:firstLine="720"/>
        <w:jc w:val="both"/>
        <w:rPr>
          <w:lang w:val="es-US"/>
        </w:rPr>
      </w:pPr>
      <w:r w:rsidRPr="00916C1D">
        <w:rPr>
          <w:rStyle w:val="FootnoteReference"/>
          <w:rFonts w:asciiTheme="majorHAnsi" w:hAnsiTheme="majorHAnsi"/>
          <w:sz w:val="16"/>
          <w:szCs w:val="16"/>
        </w:rPr>
        <w:footnoteRef/>
      </w:r>
      <w:r w:rsidRPr="00916C1D">
        <w:rPr>
          <w:rFonts w:asciiTheme="majorHAnsi" w:hAnsiTheme="majorHAnsi"/>
          <w:sz w:val="16"/>
          <w:szCs w:val="16"/>
          <w:lang w:val="es-US"/>
        </w:rPr>
        <w:t xml:space="preserve"> En adelante, “la Convención Americana” o “la Convención”</w:t>
      </w:r>
      <w:r w:rsidR="006A2925">
        <w:rPr>
          <w:rFonts w:asciiTheme="majorHAnsi" w:hAnsiTheme="majorHAnsi"/>
          <w:sz w:val="16"/>
          <w:szCs w:val="16"/>
          <w:lang w:val="es-US"/>
        </w:rPr>
        <w:t>.</w:t>
      </w:r>
    </w:p>
  </w:footnote>
  <w:footnote w:id="3">
    <w:p w14:paraId="79F07139" w14:textId="77777777" w:rsidR="008E3BFE" w:rsidRPr="00537490" w:rsidRDefault="008E3BFE" w:rsidP="00103247">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09399DFD" w14:textId="77777777" w:rsidR="00CD17F6" w:rsidRPr="00EA3787" w:rsidRDefault="00CD17F6" w:rsidP="0010324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es-US"/>
        </w:rPr>
        <w:t xml:space="preserve"> En adelante, la “Corte Interamericana” o la “Corte IDH”.</w:t>
      </w:r>
    </w:p>
  </w:footnote>
  <w:footnote w:id="5">
    <w:p w14:paraId="026EBBBF" w14:textId="4CEE63A3" w:rsidR="00CD17F6" w:rsidRPr="004D0E62" w:rsidRDefault="00CD17F6" w:rsidP="00103247">
      <w:pPr>
        <w:pStyle w:val="FootnoteText"/>
        <w:ind w:firstLine="720"/>
        <w:jc w:val="both"/>
        <w:rPr>
          <w:rFonts w:asciiTheme="majorHAnsi" w:hAnsiTheme="majorHAnsi"/>
          <w:sz w:val="16"/>
          <w:szCs w:val="16"/>
          <w:lang w:val="es-US"/>
        </w:rPr>
      </w:pPr>
      <w:r w:rsidRPr="00EA3787">
        <w:rPr>
          <w:rStyle w:val="FootnoteReference"/>
          <w:rFonts w:asciiTheme="majorHAnsi" w:hAnsiTheme="majorHAnsi"/>
          <w:sz w:val="16"/>
          <w:szCs w:val="16"/>
        </w:rPr>
        <w:footnoteRef/>
      </w:r>
      <w:r w:rsidRPr="00EA3787">
        <w:rPr>
          <w:rFonts w:asciiTheme="majorHAnsi" w:hAnsiTheme="majorHAnsi"/>
          <w:sz w:val="16"/>
          <w:szCs w:val="16"/>
          <w:lang w:val="pt-BR"/>
        </w:rPr>
        <w:t xml:space="preserve"> Corte IDH. Caso Herrera Ulloa Vs. </w:t>
      </w:r>
      <w:r w:rsidRPr="00EA3787">
        <w:rPr>
          <w:rFonts w:asciiTheme="majorHAnsi" w:hAnsiTheme="majorHAnsi"/>
          <w:sz w:val="16"/>
          <w:szCs w:val="16"/>
          <w:lang w:val="es-US"/>
        </w:rPr>
        <w:t xml:space="preserve">Costa Rica. Excepciones Preliminares, Fondo, Reparaciones y Costas. </w:t>
      </w:r>
      <w:r w:rsidRPr="004D0E62">
        <w:rPr>
          <w:rFonts w:asciiTheme="majorHAnsi" w:hAnsiTheme="majorHAnsi"/>
          <w:sz w:val="16"/>
          <w:szCs w:val="16"/>
          <w:lang w:val="es-US"/>
        </w:rPr>
        <w:t>Sentencia de</w:t>
      </w:r>
      <w:r w:rsidR="001C78DF">
        <w:rPr>
          <w:rFonts w:asciiTheme="majorHAnsi" w:hAnsiTheme="majorHAnsi"/>
          <w:sz w:val="16"/>
          <w:szCs w:val="16"/>
          <w:lang w:val="es-US"/>
        </w:rPr>
        <w:t>l</w:t>
      </w:r>
      <w:r w:rsidRPr="004D0E62">
        <w:rPr>
          <w:rFonts w:asciiTheme="majorHAnsi" w:hAnsiTheme="majorHAnsi"/>
          <w:sz w:val="16"/>
          <w:szCs w:val="16"/>
          <w:lang w:val="es-US"/>
        </w:rPr>
        <w:t xml:space="preserve"> 2 de julio de 2004. Serie C No. 107, párr. 167. </w:t>
      </w:r>
    </w:p>
  </w:footnote>
  <w:footnote w:id="6">
    <w:p w14:paraId="6D2530C7" w14:textId="7071331D" w:rsidR="00CD17F6" w:rsidRPr="008A508D" w:rsidRDefault="00CD17F6" w:rsidP="00103247">
      <w:pPr>
        <w:pStyle w:val="FootnoteText"/>
        <w:ind w:firstLine="720"/>
        <w:jc w:val="both"/>
        <w:rPr>
          <w:lang w:val="es-US"/>
        </w:rPr>
      </w:pPr>
      <w:r w:rsidRPr="004D0E62">
        <w:rPr>
          <w:rStyle w:val="FootnoteReference"/>
          <w:rFonts w:asciiTheme="majorHAnsi" w:hAnsiTheme="majorHAnsi"/>
          <w:sz w:val="16"/>
          <w:szCs w:val="16"/>
        </w:rPr>
        <w:footnoteRef/>
      </w:r>
      <w:r w:rsidRPr="007D327B">
        <w:rPr>
          <w:rFonts w:asciiTheme="majorHAnsi" w:hAnsiTheme="majorHAnsi"/>
          <w:sz w:val="16"/>
          <w:szCs w:val="16"/>
          <w:lang w:val="es-AR"/>
        </w:rPr>
        <w:t xml:space="preserve"> Corte IDH. Caso Herrera Ulloa Vs. </w:t>
      </w:r>
      <w:r w:rsidRPr="004D0E62">
        <w:rPr>
          <w:rFonts w:asciiTheme="majorHAnsi" w:hAnsiTheme="majorHAnsi"/>
          <w:sz w:val="16"/>
          <w:szCs w:val="16"/>
          <w:lang w:val="es-US"/>
        </w:rPr>
        <w:t xml:space="preserve">Costa Rica. Excepciones Preliminares, Fondo, Reparaciones y Costas. </w:t>
      </w:r>
      <w:r w:rsidRPr="003869D1">
        <w:rPr>
          <w:rFonts w:asciiTheme="majorHAnsi" w:hAnsiTheme="majorHAnsi"/>
          <w:sz w:val="16"/>
          <w:szCs w:val="16"/>
          <w:lang w:val="es-ES"/>
        </w:rPr>
        <w:t>Sentencia de</w:t>
      </w:r>
      <w:r w:rsidR="001C78DF">
        <w:rPr>
          <w:rFonts w:asciiTheme="majorHAnsi" w:hAnsiTheme="majorHAnsi"/>
          <w:sz w:val="16"/>
          <w:szCs w:val="16"/>
          <w:lang w:val="es-ES"/>
        </w:rPr>
        <w:t>l</w:t>
      </w:r>
      <w:r w:rsidRPr="003869D1">
        <w:rPr>
          <w:rFonts w:asciiTheme="majorHAnsi" w:hAnsiTheme="majorHAnsi"/>
          <w:sz w:val="16"/>
          <w:szCs w:val="16"/>
          <w:lang w:val="es-ES"/>
        </w:rPr>
        <w:t xml:space="preserve"> 2 de julio de 2004. Serie C No. 107, párr. 198.</w:t>
      </w:r>
    </w:p>
  </w:footnote>
  <w:footnote w:id="7">
    <w:p w14:paraId="46CD2A72" w14:textId="0851A4F0" w:rsidR="00CD17F6" w:rsidRPr="00565232" w:rsidRDefault="00CD17F6" w:rsidP="00103247">
      <w:pPr>
        <w:pStyle w:val="FootnoteText"/>
        <w:ind w:firstLine="720"/>
        <w:jc w:val="both"/>
        <w:rPr>
          <w:rFonts w:asciiTheme="majorHAnsi" w:hAnsiTheme="majorHAnsi"/>
          <w:sz w:val="16"/>
          <w:szCs w:val="16"/>
          <w:lang w:val="es-US"/>
        </w:rPr>
      </w:pPr>
      <w:r w:rsidRPr="006A7DCD">
        <w:rPr>
          <w:rStyle w:val="FootnoteReference"/>
          <w:rFonts w:asciiTheme="majorHAnsi" w:hAnsiTheme="majorHAnsi"/>
          <w:sz w:val="16"/>
          <w:szCs w:val="16"/>
        </w:rPr>
        <w:footnoteRef/>
      </w:r>
      <w:r w:rsidRPr="006A7DCD">
        <w:rPr>
          <w:rFonts w:asciiTheme="majorHAnsi" w:hAnsiTheme="majorHAnsi"/>
          <w:sz w:val="16"/>
          <w:szCs w:val="16"/>
          <w:lang w:val="es-US"/>
        </w:rPr>
        <w:t xml:space="preserve"> Corte IDH. Caso Amrhein y otros Vs. Costa Rica. Excepciones Preliminares, Fondo, Reparaciones y Costas. Sentencia de</w:t>
      </w:r>
      <w:r w:rsidR="00100379">
        <w:rPr>
          <w:rFonts w:asciiTheme="majorHAnsi" w:hAnsiTheme="majorHAnsi"/>
          <w:sz w:val="16"/>
          <w:szCs w:val="16"/>
          <w:lang w:val="es-US"/>
        </w:rPr>
        <w:t>l</w:t>
      </w:r>
      <w:r w:rsidRPr="006A7DCD">
        <w:rPr>
          <w:rFonts w:asciiTheme="majorHAnsi" w:hAnsiTheme="majorHAnsi"/>
          <w:sz w:val="16"/>
          <w:szCs w:val="16"/>
          <w:lang w:val="es-US"/>
        </w:rPr>
        <w:t xml:space="preserve"> 25 de abril de 2018. Serie C No. 354, párr. 262.</w:t>
      </w:r>
    </w:p>
  </w:footnote>
  <w:footnote w:id="8">
    <w:p w14:paraId="47E23466" w14:textId="3F314CAD" w:rsidR="00CD17F6" w:rsidRPr="004D0E62" w:rsidRDefault="00CD17F6" w:rsidP="00103247">
      <w:pPr>
        <w:pStyle w:val="FootnoteText"/>
        <w:ind w:firstLine="720"/>
        <w:jc w:val="both"/>
        <w:rPr>
          <w:rFonts w:asciiTheme="majorHAnsi" w:hAnsiTheme="majorHAnsi"/>
          <w:sz w:val="16"/>
          <w:szCs w:val="16"/>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w:t>
      </w:r>
      <w:r w:rsidR="00100379">
        <w:rPr>
          <w:rFonts w:asciiTheme="majorHAnsi" w:hAnsiTheme="majorHAnsi"/>
          <w:sz w:val="16"/>
          <w:szCs w:val="16"/>
          <w:lang w:val="es-US"/>
        </w:rPr>
        <w:t>l</w:t>
      </w:r>
      <w:r w:rsidRPr="004D0E62">
        <w:rPr>
          <w:rFonts w:asciiTheme="majorHAnsi" w:hAnsiTheme="majorHAnsi"/>
          <w:sz w:val="16"/>
          <w:szCs w:val="16"/>
          <w:lang w:val="es-US"/>
        </w:rPr>
        <w:t xml:space="preserve"> 25 de abril de 2018. Serie C No. 354, párr. 48. </w:t>
      </w:r>
    </w:p>
  </w:footnote>
  <w:footnote w:id="9">
    <w:p w14:paraId="4C0116DA" w14:textId="6157593E" w:rsidR="00CD17F6" w:rsidRPr="008A508D" w:rsidRDefault="00CD17F6" w:rsidP="00103247">
      <w:pPr>
        <w:pStyle w:val="FootnoteText"/>
        <w:ind w:firstLine="720"/>
        <w:jc w:val="both"/>
        <w:rPr>
          <w:lang w:val="es-US"/>
        </w:rPr>
      </w:pPr>
      <w:r w:rsidRPr="004D0E62">
        <w:rPr>
          <w:rStyle w:val="FootnoteReference"/>
          <w:rFonts w:asciiTheme="majorHAnsi" w:hAnsiTheme="majorHAnsi"/>
          <w:sz w:val="16"/>
          <w:szCs w:val="16"/>
        </w:rPr>
        <w:footnoteRef/>
      </w:r>
      <w:r w:rsidRPr="004D0E62">
        <w:rPr>
          <w:rFonts w:asciiTheme="majorHAnsi" w:hAnsiTheme="majorHAnsi"/>
          <w:sz w:val="16"/>
          <w:szCs w:val="16"/>
          <w:lang w:val="es-US"/>
        </w:rPr>
        <w:t xml:space="preserve"> Corte IDH. Caso Amrhein y otros Vs. Costa Rica. Excepciones Preliminares, Fondo, Reparaciones y Costas. Sentencia de</w:t>
      </w:r>
      <w:r w:rsidR="00100379">
        <w:rPr>
          <w:rFonts w:asciiTheme="majorHAnsi" w:hAnsiTheme="majorHAnsi"/>
          <w:sz w:val="16"/>
          <w:szCs w:val="16"/>
          <w:lang w:val="es-US"/>
        </w:rPr>
        <w:t>l</w:t>
      </w:r>
      <w:r w:rsidRPr="004D0E62">
        <w:rPr>
          <w:rFonts w:asciiTheme="majorHAnsi" w:hAnsiTheme="majorHAnsi"/>
          <w:sz w:val="16"/>
          <w:szCs w:val="16"/>
          <w:lang w:val="es-US"/>
        </w:rPr>
        <w:t xml:space="preserve"> 25 de abril de 2018. Serie C No. 354</w:t>
      </w:r>
      <w:r>
        <w:rPr>
          <w:rFonts w:asciiTheme="majorHAnsi" w:hAnsiTheme="majorHAnsi"/>
          <w:sz w:val="16"/>
          <w:szCs w:val="16"/>
          <w:lang w:val="es-US"/>
        </w:rPr>
        <w:t xml:space="preserve">, párr. 265. </w:t>
      </w:r>
    </w:p>
  </w:footnote>
  <w:footnote w:id="10">
    <w:p w14:paraId="60D69551" w14:textId="77777777" w:rsidR="00CD17F6" w:rsidRPr="00EE7817" w:rsidRDefault="00CD17F6" w:rsidP="00103247">
      <w:pPr>
        <w:pStyle w:val="FootnoteText"/>
        <w:ind w:firstLine="720"/>
        <w:jc w:val="both"/>
        <w:rPr>
          <w:rFonts w:asciiTheme="majorHAnsi" w:hAnsiTheme="majorHAnsi"/>
          <w:sz w:val="16"/>
          <w:szCs w:val="16"/>
          <w:lang w:val="es-US"/>
        </w:rPr>
      </w:pPr>
      <w:r w:rsidRPr="00EE7817">
        <w:rPr>
          <w:rStyle w:val="FootnoteReference"/>
          <w:rFonts w:asciiTheme="majorHAnsi" w:hAnsiTheme="majorHAnsi"/>
          <w:sz w:val="16"/>
          <w:szCs w:val="16"/>
        </w:rPr>
        <w:footnoteRef/>
      </w:r>
      <w:r w:rsidRPr="007D327B">
        <w:rPr>
          <w:rFonts w:asciiTheme="majorHAnsi" w:hAnsiTheme="majorHAnsi"/>
          <w:sz w:val="16"/>
          <w:szCs w:val="16"/>
          <w:lang w:val="es-AR"/>
        </w:rPr>
        <w:t xml:space="preserve"> Corte IDH. Caso Herrera Ulloa Vs. </w:t>
      </w:r>
      <w:r w:rsidRPr="00EE7817">
        <w:rPr>
          <w:rFonts w:asciiTheme="majorHAnsi" w:hAnsiTheme="majorHAnsi"/>
          <w:sz w:val="16"/>
          <w:szCs w:val="16"/>
          <w:lang w:val="es-US"/>
        </w:rPr>
        <w:t>Costa Rica. Supervisión de Cumplimiento de Sentencia. Resolución de la Corte Interamericana de Derechos Humanos de 22 de noviembre de 2010</w:t>
      </w:r>
      <w:r>
        <w:rPr>
          <w:rFonts w:asciiTheme="majorHAnsi" w:hAnsiTheme="majorHAnsi"/>
          <w:sz w:val="16"/>
          <w:szCs w:val="16"/>
          <w:lang w:val="es-US"/>
        </w:rPr>
        <w:t xml:space="preserve">, párr. 16. </w:t>
      </w:r>
    </w:p>
  </w:footnote>
  <w:footnote w:id="11">
    <w:p w14:paraId="232B2263" w14:textId="72AE9F65" w:rsidR="00CD17F6" w:rsidRPr="007D327B" w:rsidRDefault="00CD17F6" w:rsidP="00103247">
      <w:pPr>
        <w:pStyle w:val="FootnoteText"/>
        <w:ind w:firstLine="720"/>
        <w:jc w:val="both"/>
        <w:rPr>
          <w:rFonts w:ascii="Cambria" w:hAnsi="Cambria"/>
          <w:sz w:val="16"/>
          <w:szCs w:val="16"/>
          <w:lang w:val="es-AR"/>
        </w:rPr>
      </w:pPr>
      <w:r w:rsidRPr="00FA73F6">
        <w:rPr>
          <w:rStyle w:val="FootnoteReference"/>
          <w:rFonts w:ascii="Cambria" w:hAnsi="Cambria"/>
          <w:sz w:val="16"/>
          <w:szCs w:val="16"/>
        </w:rPr>
        <w:footnoteRef/>
      </w:r>
      <w:r w:rsidRPr="00FA73F6">
        <w:rPr>
          <w:rFonts w:ascii="Cambria" w:hAnsi="Cambria"/>
          <w:sz w:val="16"/>
          <w:szCs w:val="16"/>
          <w:lang w:val="es-US"/>
        </w:rPr>
        <w:t xml:space="preserve"> </w:t>
      </w:r>
      <w:r w:rsidRPr="00FA73F6">
        <w:rPr>
          <w:rFonts w:ascii="Cambria" w:hAnsi="Cambria"/>
          <w:sz w:val="16"/>
          <w:szCs w:val="16"/>
          <w:lang w:val="es-ES"/>
        </w:rPr>
        <w:t xml:space="preserve">CIDH. Informe No. 33/14. Caso 12.820. Fondo. Manfred Amrhein y otros. </w:t>
      </w:r>
      <w:r w:rsidRPr="007D327B">
        <w:rPr>
          <w:rFonts w:ascii="Cambria" w:hAnsi="Cambria"/>
          <w:sz w:val="16"/>
          <w:szCs w:val="16"/>
          <w:lang w:val="es-AR"/>
        </w:rPr>
        <w:t>Costa Rica. 4 de abril de 2014</w:t>
      </w:r>
      <w:r w:rsidR="00D92859" w:rsidRPr="007D327B">
        <w:rPr>
          <w:rFonts w:ascii="Cambria" w:hAnsi="Cambria"/>
          <w:sz w:val="16"/>
          <w:szCs w:val="16"/>
          <w:lang w:val="es-AR"/>
        </w:rPr>
        <w:t>, p</w:t>
      </w:r>
      <w:r w:rsidRPr="007D327B">
        <w:rPr>
          <w:rFonts w:ascii="Cambria" w:hAnsi="Cambria"/>
          <w:sz w:val="16"/>
          <w:szCs w:val="16"/>
          <w:lang w:val="es-AR"/>
        </w:rPr>
        <w:t>árr</w:t>
      </w:r>
      <w:r w:rsidR="00D92859" w:rsidRPr="007D327B">
        <w:rPr>
          <w:rFonts w:ascii="Cambria" w:hAnsi="Cambria"/>
          <w:sz w:val="16"/>
          <w:szCs w:val="16"/>
          <w:lang w:val="es-AR"/>
        </w:rPr>
        <w:t>s</w:t>
      </w:r>
      <w:r w:rsidRPr="007D327B">
        <w:rPr>
          <w:rFonts w:ascii="Cambria" w:hAnsi="Cambria"/>
          <w:sz w:val="16"/>
          <w:szCs w:val="16"/>
          <w:lang w:val="es-AR"/>
        </w:rPr>
        <w:t xml:space="preserve">. 217 a 220. </w:t>
      </w:r>
    </w:p>
  </w:footnote>
  <w:footnote w:id="12">
    <w:p w14:paraId="48D30143" w14:textId="3025C84C" w:rsidR="00CD17F6" w:rsidRPr="00CE3C79" w:rsidRDefault="00CD17F6" w:rsidP="00103247">
      <w:pPr>
        <w:pStyle w:val="FootnoteText"/>
        <w:ind w:firstLine="720"/>
        <w:jc w:val="both"/>
        <w:rPr>
          <w:sz w:val="16"/>
          <w:szCs w:val="16"/>
          <w:lang w:val="es-US"/>
        </w:rPr>
      </w:pPr>
      <w:r w:rsidRPr="00FA73F6">
        <w:rPr>
          <w:rStyle w:val="FootnoteReference"/>
          <w:rFonts w:ascii="Cambria" w:hAnsi="Cambria"/>
          <w:sz w:val="16"/>
          <w:szCs w:val="16"/>
        </w:rPr>
        <w:footnoteRef/>
      </w:r>
      <w:r w:rsidRPr="007D327B">
        <w:rPr>
          <w:rFonts w:ascii="Cambria" w:hAnsi="Cambria"/>
          <w:sz w:val="16"/>
          <w:szCs w:val="16"/>
          <w:lang w:val="es-AR"/>
        </w:rPr>
        <w:t xml:space="preserve"> </w:t>
      </w:r>
      <w:r w:rsidRPr="007D327B">
        <w:rPr>
          <w:rFonts w:ascii="Cambria" w:hAnsi="Cambria"/>
          <w:bCs/>
          <w:sz w:val="16"/>
          <w:szCs w:val="16"/>
          <w:shd w:val="clear" w:color="auto" w:fill="FFFFFF"/>
          <w:lang w:val="es-AR"/>
        </w:rPr>
        <w:t xml:space="preserve">Corte IDH. </w:t>
      </w:r>
      <w:r w:rsidRPr="00FA73F6">
        <w:rPr>
          <w:rFonts w:ascii="Cambria" w:hAnsi="Cambria"/>
          <w:bCs/>
          <w:i/>
          <w:sz w:val="16"/>
          <w:szCs w:val="16"/>
          <w:shd w:val="clear" w:color="auto" w:fill="FFFFFF"/>
          <w:lang w:val="es-ES"/>
        </w:rPr>
        <w:t>Caso Amrhein y otros Vs. Costa Rica</w:t>
      </w:r>
      <w:r w:rsidRPr="00FA73F6">
        <w:rPr>
          <w:rFonts w:ascii="Cambria" w:hAnsi="Cambria"/>
          <w:bCs/>
          <w:sz w:val="16"/>
          <w:szCs w:val="16"/>
          <w:shd w:val="clear" w:color="auto" w:fill="FFFFFF"/>
          <w:lang w:val="es-ES"/>
        </w:rPr>
        <w:t xml:space="preserve">. Excepciones Preliminares, Fondo, Reparaciones y Costas. </w:t>
      </w:r>
      <w:r w:rsidRPr="00CE3C79">
        <w:rPr>
          <w:rFonts w:ascii="Cambria" w:hAnsi="Cambria"/>
          <w:bCs/>
          <w:sz w:val="16"/>
          <w:szCs w:val="16"/>
          <w:shd w:val="clear" w:color="auto" w:fill="FFFFFF"/>
          <w:lang w:val="es-US"/>
        </w:rPr>
        <w:t>Sentencia de</w:t>
      </w:r>
      <w:r w:rsidR="00D92859">
        <w:rPr>
          <w:rFonts w:ascii="Cambria" w:hAnsi="Cambria"/>
          <w:bCs/>
          <w:sz w:val="16"/>
          <w:szCs w:val="16"/>
          <w:shd w:val="clear" w:color="auto" w:fill="FFFFFF"/>
          <w:lang w:val="es-US"/>
        </w:rPr>
        <w:t>l</w:t>
      </w:r>
      <w:r w:rsidRPr="00CE3C79">
        <w:rPr>
          <w:rFonts w:ascii="Cambria" w:hAnsi="Cambria"/>
          <w:bCs/>
          <w:sz w:val="16"/>
          <w:szCs w:val="16"/>
          <w:shd w:val="clear" w:color="auto" w:fill="FFFFFF"/>
          <w:lang w:val="es-US"/>
        </w:rPr>
        <w:t xml:space="preserve"> 25 de abril de 2018. Serie C No. 354</w:t>
      </w:r>
      <w:r w:rsidR="00D92859">
        <w:rPr>
          <w:rFonts w:ascii="Cambria" w:hAnsi="Cambria"/>
          <w:bCs/>
          <w:sz w:val="16"/>
          <w:szCs w:val="16"/>
          <w:shd w:val="clear" w:color="auto" w:fill="FFFFFF"/>
          <w:lang w:val="es-US"/>
        </w:rPr>
        <w:t>, p</w:t>
      </w:r>
      <w:r w:rsidRPr="00CE3C79">
        <w:rPr>
          <w:rFonts w:ascii="Cambria" w:hAnsi="Cambria"/>
          <w:bCs/>
          <w:sz w:val="16"/>
          <w:szCs w:val="16"/>
          <w:shd w:val="clear" w:color="auto" w:fill="FFFFFF"/>
          <w:lang w:val="es-US"/>
        </w:rPr>
        <w:t>árr. 260.</w:t>
      </w:r>
    </w:p>
  </w:footnote>
  <w:footnote w:id="13">
    <w:p w14:paraId="61E44440" w14:textId="3481E6F3" w:rsidR="00CD17F6" w:rsidRPr="00C70A03" w:rsidRDefault="00CD17F6" w:rsidP="00103247">
      <w:pPr>
        <w:pStyle w:val="FootnoteText"/>
        <w:ind w:firstLine="720"/>
        <w:jc w:val="both"/>
        <w:rPr>
          <w:rFonts w:asciiTheme="majorHAnsi" w:hAnsiTheme="majorHAnsi"/>
          <w:color w:val="auto"/>
          <w:sz w:val="16"/>
          <w:szCs w:val="16"/>
          <w:lang w:val="es-US"/>
        </w:rPr>
      </w:pPr>
      <w:r w:rsidRPr="00534D20">
        <w:rPr>
          <w:rStyle w:val="FootnoteReference"/>
          <w:rFonts w:ascii="Cambria" w:hAnsi="Cambria"/>
          <w:sz w:val="16"/>
          <w:szCs w:val="16"/>
          <w:lang w:val="es-ES"/>
        </w:rPr>
        <w:footnoteRef/>
      </w:r>
      <w:r w:rsidRPr="00534D20">
        <w:rPr>
          <w:rFonts w:ascii="Cambria" w:hAnsi="Cambria"/>
          <w:sz w:val="16"/>
          <w:szCs w:val="16"/>
          <w:lang w:val="es-ES"/>
        </w:rPr>
        <w:t xml:space="preserve"> </w:t>
      </w:r>
      <w:r w:rsidRPr="00534D20">
        <w:rPr>
          <w:rFonts w:ascii="Cambria" w:hAnsi="Cambria"/>
          <w:bCs/>
          <w:sz w:val="16"/>
          <w:szCs w:val="16"/>
          <w:shd w:val="clear" w:color="auto" w:fill="FFFFFF"/>
          <w:lang w:val="es-ES"/>
        </w:rPr>
        <w:t xml:space="preserve">Corte IDH. </w:t>
      </w:r>
      <w:r w:rsidRPr="00534D20">
        <w:rPr>
          <w:rFonts w:ascii="Cambria" w:hAnsi="Cambria"/>
          <w:bCs/>
          <w:i/>
          <w:sz w:val="16"/>
          <w:szCs w:val="16"/>
          <w:shd w:val="clear" w:color="auto" w:fill="FFFFFF"/>
          <w:lang w:val="es-ES"/>
        </w:rPr>
        <w:t>Caso Amrhein y otros Vs. Costa Rica</w:t>
      </w:r>
      <w:r w:rsidRPr="00534D20">
        <w:rPr>
          <w:rFonts w:ascii="Cambria" w:hAnsi="Cambria"/>
          <w:bCs/>
          <w:sz w:val="16"/>
          <w:szCs w:val="16"/>
          <w:shd w:val="clear" w:color="auto" w:fill="FFFFFF"/>
          <w:lang w:val="es-ES"/>
        </w:rPr>
        <w:t>. Excepciones Preliminares, Fondo, Reparaciones y Costas. Sentencia de</w:t>
      </w:r>
      <w:r w:rsidR="00912A8C">
        <w:rPr>
          <w:rFonts w:ascii="Cambria" w:hAnsi="Cambria"/>
          <w:bCs/>
          <w:sz w:val="16"/>
          <w:szCs w:val="16"/>
          <w:shd w:val="clear" w:color="auto" w:fill="FFFFFF"/>
          <w:lang w:val="es-ES"/>
        </w:rPr>
        <w:t>l</w:t>
      </w:r>
      <w:r w:rsidRPr="00534D20">
        <w:rPr>
          <w:rFonts w:ascii="Cambria" w:hAnsi="Cambria"/>
          <w:bCs/>
          <w:sz w:val="16"/>
          <w:szCs w:val="16"/>
          <w:shd w:val="clear" w:color="auto" w:fill="FFFFFF"/>
          <w:lang w:val="es-ES"/>
        </w:rPr>
        <w:t xml:space="preserve"> 25 de abril de </w:t>
      </w:r>
      <w:r w:rsidRPr="00090967">
        <w:rPr>
          <w:rFonts w:ascii="Cambria" w:hAnsi="Cambria"/>
          <w:bCs/>
          <w:sz w:val="16"/>
          <w:szCs w:val="16"/>
          <w:shd w:val="clear" w:color="auto" w:fill="FFFFFF"/>
          <w:lang w:val="es-ES"/>
        </w:rPr>
        <w:t xml:space="preserve">2018. Serie </w:t>
      </w:r>
      <w:r w:rsidRPr="0013395A">
        <w:rPr>
          <w:rFonts w:asciiTheme="majorHAnsi" w:hAnsiTheme="majorHAnsi"/>
          <w:bCs/>
          <w:sz w:val="16"/>
          <w:szCs w:val="16"/>
          <w:shd w:val="clear" w:color="auto" w:fill="FFFFFF"/>
          <w:lang w:val="es-ES"/>
        </w:rPr>
        <w:t>C No. 354</w:t>
      </w:r>
      <w:r w:rsidR="00082132">
        <w:rPr>
          <w:rFonts w:asciiTheme="majorHAnsi" w:hAnsiTheme="majorHAnsi"/>
          <w:bCs/>
          <w:sz w:val="16"/>
          <w:szCs w:val="16"/>
          <w:shd w:val="clear" w:color="auto" w:fill="FFFFFF"/>
          <w:lang w:val="es-ES"/>
        </w:rPr>
        <w:t>, p</w:t>
      </w:r>
      <w:r w:rsidRPr="0013395A">
        <w:rPr>
          <w:rFonts w:asciiTheme="majorHAnsi" w:hAnsiTheme="majorHAnsi"/>
          <w:bCs/>
          <w:sz w:val="16"/>
          <w:szCs w:val="16"/>
          <w:shd w:val="clear" w:color="auto" w:fill="FFFFFF"/>
          <w:lang w:val="es-ES"/>
        </w:rPr>
        <w:t xml:space="preserve">árr. </w:t>
      </w:r>
      <w:r w:rsidRPr="00C70A03">
        <w:rPr>
          <w:rFonts w:asciiTheme="majorHAnsi" w:hAnsiTheme="majorHAnsi"/>
          <w:bCs/>
          <w:color w:val="auto"/>
          <w:sz w:val="16"/>
          <w:szCs w:val="16"/>
          <w:shd w:val="clear" w:color="auto" w:fill="FFFFFF"/>
          <w:lang w:val="es-ES"/>
        </w:rPr>
        <w:t xml:space="preserve">266. </w:t>
      </w:r>
    </w:p>
  </w:footnote>
  <w:footnote w:id="14">
    <w:p w14:paraId="4D59CAE0" w14:textId="77777777" w:rsidR="00343758" w:rsidRPr="00515E64" w:rsidRDefault="00343758" w:rsidP="00103247">
      <w:pPr>
        <w:pStyle w:val="FootnoteText"/>
        <w:ind w:firstLine="720"/>
        <w:jc w:val="both"/>
        <w:rPr>
          <w:rFonts w:asciiTheme="majorHAnsi" w:hAnsiTheme="majorHAnsi"/>
          <w:sz w:val="16"/>
          <w:szCs w:val="16"/>
          <w:lang w:val="es-US"/>
        </w:rPr>
      </w:pPr>
      <w:r w:rsidRPr="004A71F9">
        <w:rPr>
          <w:rStyle w:val="FootnoteReference"/>
          <w:rFonts w:asciiTheme="majorHAnsi" w:hAnsiTheme="majorHAnsi"/>
          <w:sz w:val="16"/>
          <w:szCs w:val="16"/>
        </w:rPr>
        <w:footnoteRef/>
      </w:r>
      <w:r w:rsidRPr="004A71F9">
        <w:rPr>
          <w:rFonts w:asciiTheme="majorHAnsi" w:hAnsiTheme="majorHAnsi"/>
          <w:sz w:val="16"/>
          <w:szCs w:val="16"/>
          <w:lang w:val="es-US"/>
        </w:rPr>
        <w:t xml:space="preserve"> CIDH, Informe No. 161/17, Petición 29-07. Admisibilidad. </w:t>
      </w:r>
      <w:r w:rsidRPr="007D327B">
        <w:rPr>
          <w:rFonts w:asciiTheme="majorHAnsi" w:hAnsiTheme="majorHAnsi"/>
          <w:sz w:val="16"/>
          <w:szCs w:val="16"/>
          <w:lang w:val="es-AR"/>
        </w:rPr>
        <w:t xml:space="preserve">Andy Williams Garcés Suárez y familia. </w:t>
      </w:r>
      <w:r w:rsidRPr="00515E64">
        <w:rPr>
          <w:rFonts w:asciiTheme="majorHAnsi" w:hAnsiTheme="majorHAnsi"/>
          <w:sz w:val="16"/>
          <w:szCs w:val="16"/>
          <w:lang w:val="es-US"/>
        </w:rPr>
        <w:t>Perú. 30 de noviembre de 2017, párr. 12.</w:t>
      </w:r>
    </w:p>
  </w:footnote>
  <w:footnote w:id="15">
    <w:p w14:paraId="08C8DE14" w14:textId="77777777" w:rsidR="00343758" w:rsidRPr="00515E64" w:rsidRDefault="00343758" w:rsidP="00103247">
      <w:pPr>
        <w:pStyle w:val="FootnoteText"/>
        <w:ind w:firstLine="720"/>
        <w:jc w:val="both"/>
        <w:rPr>
          <w:rFonts w:asciiTheme="majorHAnsi" w:hAnsiTheme="majorHAnsi"/>
          <w:sz w:val="16"/>
          <w:szCs w:val="16"/>
          <w:lang w:val="es-US"/>
        </w:rPr>
      </w:pPr>
      <w:r w:rsidRPr="00515E64">
        <w:rPr>
          <w:rStyle w:val="FootnoteReference"/>
          <w:rFonts w:asciiTheme="majorHAnsi" w:hAnsiTheme="majorHAnsi"/>
          <w:sz w:val="16"/>
          <w:szCs w:val="16"/>
        </w:rPr>
        <w:footnoteRef/>
      </w:r>
      <w:r w:rsidRPr="00515E64">
        <w:rPr>
          <w:rFonts w:asciiTheme="majorHAnsi" w:hAnsiTheme="majorHAnsi"/>
          <w:sz w:val="16"/>
          <w:szCs w:val="16"/>
          <w:lang w:val="es-US"/>
        </w:rPr>
        <w:t xml:space="preserve"> CIDH, Informe No. 70/04, Petición 667/01, Admisibilidad, Jesús Manuel Naranjo Cárdenas y otros, Jubilados de la empresa</w:t>
      </w:r>
      <w:r>
        <w:rPr>
          <w:rFonts w:asciiTheme="majorHAnsi" w:hAnsiTheme="majorHAnsi"/>
          <w:sz w:val="16"/>
          <w:szCs w:val="16"/>
          <w:lang w:val="es-US"/>
        </w:rPr>
        <w:t xml:space="preserve"> </w:t>
      </w:r>
      <w:r w:rsidRPr="00515E64">
        <w:rPr>
          <w:rFonts w:asciiTheme="majorHAnsi" w:hAnsiTheme="majorHAnsi"/>
          <w:sz w:val="16"/>
          <w:szCs w:val="16"/>
          <w:lang w:val="es-US"/>
        </w:rPr>
        <w:t>venezolana de aviación VIASA. Venezuela, 15 de octubre de 2004, párr. 52.</w:t>
      </w:r>
    </w:p>
  </w:footnote>
  <w:footnote w:id="16">
    <w:p w14:paraId="4753A7DB" w14:textId="0384E0FC" w:rsidR="00B765BB" w:rsidRPr="001272CB" w:rsidRDefault="00B765BB" w:rsidP="00103247">
      <w:pPr>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7D327B">
        <w:rPr>
          <w:rFonts w:asciiTheme="majorHAnsi" w:hAnsiTheme="majorHAnsi"/>
          <w:sz w:val="16"/>
          <w:szCs w:val="16"/>
          <w:lang w:val="es-AR"/>
        </w:rPr>
        <w:t xml:space="preserve"> </w:t>
      </w:r>
      <w:r w:rsidRPr="007D327B">
        <w:rPr>
          <w:rFonts w:asciiTheme="majorHAnsi" w:hAnsiTheme="majorHAnsi"/>
          <w:bCs/>
          <w:sz w:val="16"/>
          <w:szCs w:val="16"/>
          <w:shd w:val="clear" w:color="auto" w:fill="FFFFFF"/>
          <w:lang w:val="es-AR"/>
        </w:rPr>
        <w:t xml:space="preserve">Corte IDH. Caso Herrera Ulloa Vs. </w:t>
      </w:r>
      <w:r w:rsidRPr="001272CB">
        <w:rPr>
          <w:rFonts w:asciiTheme="majorHAnsi" w:hAnsiTheme="majorHAnsi"/>
          <w:bCs/>
          <w:sz w:val="16"/>
          <w:szCs w:val="16"/>
          <w:shd w:val="clear" w:color="auto" w:fill="FFFFFF"/>
          <w:lang w:val="es-PE"/>
        </w:rPr>
        <w:t>Costa Rica. Excepciones Preliminares, Fondo, Reparaciones y Costas. Sentencia de</w:t>
      </w:r>
      <w:r w:rsidR="00A03C6B">
        <w:rPr>
          <w:rFonts w:asciiTheme="majorHAnsi" w:hAnsiTheme="majorHAnsi"/>
          <w:bCs/>
          <w:sz w:val="16"/>
          <w:szCs w:val="16"/>
          <w:shd w:val="clear" w:color="auto" w:fill="FFFFFF"/>
          <w:lang w:val="es-PE"/>
        </w:rPr>
        <w:t>l</w:t>
      </w:r>
      <w:r w:rsidRPr="001272CB">
        <w:rPr>
          <w:rFonts w:asciiTheme="majorHAnsi" w:hAnsiTheme="majorHAnsi"/>
          <w:bCs/>
          <w:sz w:val="16"/>
          <w:szCs w:val="16"/>
          <w:shd w:val="clear" w:color="auto" w:fill="FFFFFF"/>
          <w:lang w:val="es-PE"/>
        </w:rPr>
        <w:t xml:space="preserve"> 2 de julio de 2004. Serie C No. 107</w:t>
      </w:r>
      <w:r w:rsidR="00BE0D78">
        <w:rPr>
          <w:rFonts w:asciiTheme="majorHAnsi" w:hAnsiTheme="majorHAnsi"/>
          <w:bCs/>
          <w:sz w:val="16"/>
          <w:szCs w:val="16"/>
          <w:shd w:val="clear" w:color="auto" w:fill="FFFFFF"/>
          <w:lang w:val="es-PE"/>
        </w:rPr>
        <w:t>, p</w:t>
      </w:r>
      <w:r w:rsidRPr="001272CB">
        <w:rPr>
          <w:rFonts w:asciiTheme="majorHAnsi" w:hAnsiTheme="majorHAnsi"/>
          <w:bCs/>
          <w:sz w:val="16"/>
          <w:szCs w:val="16"/>
          <w:shd w:val="clear" w:color="auto" w:fill="FFFFFF"/>
          <w:lang w:val="es-PE"/>
        </w:rPr>
        <w:t>árr. 158 a 161; Corte IDH. Caso Mendoza y otros Vs. Argentina. Excepciones Preliminares, Fondo y Reparaciones. Sentencia de</w:t>
      </w:r>
      <w:r w:rsidR="00BE0D78">
        <w:rPr>
          <w:rFonts w:asciiTheme="majorHAnsi" w:hAnsiTheme="majorHAnsi"/>
          <w:bCs/>
          <w:sz w:val="16"/>
          <w:szCs w:val="16"/>
          <w:shd w:val="clear" w:color="auto" w:fill="FFFFFF"/>
          <w:lang w:val="es-PE"/>
        </w:rPr>
        <w:t>l</w:t>
      </w:r>
      <w:r w:rsidRPr="001272CB">
        <w:rPr>
          <w:rFonts w:asciiTheme="majorHAnsi" w:hAnsiTheme="majorHAnsi"/>
          <w:bCs/>
          <w:sz w:val="16"/>
          <w:szCs w:val="16"/>
          <w:shd w:val="clear" w:color="auto" w:fill="FFFFFF"/>
          <w:lang w:val="es-PE"/>
        </w:rPr>
        <w:t xml:space="preserve"> 14 de mayo de 2013. Serie C No. 260</w:t>
      </w:r>
      <w:r w:rsidR="00A03C6B">
        <w:rPr>
          <w:rFonts w:asciiTheme="majorHAnsi" w:hAnsiTheme="majorHAnsi"/>
          <w:bCs/>
          <w:sz w:val="16"/>
          <w:szCs w:val="16"/>
          <w:shd w:val="clear" w:color="auto" w:fill="FFFFFF"/>
          <w:lang w:val="es-PE"/>
        </w:rPr>
        <w:t>, p</w:t>
      </w:r>
      <w:r w:rsidRPr="001272CB">
        <w:rPr>
          <w:rFonts w:asciiTheme="majorHAnsi" w:hAnsiTheme="majorHAnsi"/>
          <w:bCs/>
          <w:sz w:val="16"/>
          <w:szCs w:val="16"/>
          <w:shd w:val="clear" w:color="auto" w:fill="FFFFFF"/>
          <w:lang w:val="es-PE"/>
        </w:rPr>
        <w:t xml:space="preserve">árr. 242. </w:t>
      </w:r>
      <w:r w:rsidRPr="001272CB">
        <w:rPr>
          <w:rFonts w:asciiTheme="majorHAnsi" w:hAnsiTheme="majorHAnsi"/>
          <w:sz w:val="16"/>
          <w:szCs w:val="16"/>
          <w:lang w:val="es-PE"/>
        </w:rPr>
        <w:t xml:space="preserve"> </w:t>
      </w:r>
    </w:p>
  </w:footnote>
  <w:footnote w:id="17">
    <w:p w14:paraId="6F5B520D" w14:textId="1BB7D2FB" w:rsidR="00B765BB" w:rsidRPr="001272CB" w:rsidRDefault="00B765BB" w:rsidP="00103247">
      <w:pPr>
        <w:pStyle w:val="NormalWeb"/>
        <w:spacing w:before="0" w:beforeAutospacing="0" w:after="0" w:afterAutospacing="0"/>
        <w:ind w:firstLine="720"/>
        <w:jc w:val="both"/>
        <w:rPr>
          <w:rFonts w:asciiTheme="majorHAnsi" w:hAnsiTheme="majorHAnsi"/>
          <w:sz w:val="16"/>
          <w:szCs w:val="16"/>
          <w:lang w:val="es-PE"/>
        </w:rPr>
      </w:pPr>
      <w:r w:rsidRPr="001272CB">
        <w:rPr>
          <w:rStyle w:val="FootnoteReference"/>
          <w:rFonts w:asciiTheme="majorHAnsi" w:eastAsia="Trebuchet MS" w:hAnsiTheme="majorHAnsi"/>
          <w:sz w:val="16"/>
          <w:szCs w:val="16"/>
          <w:lang w:val="es-PE"/>
        </w:rPr>
        <w:footnoteRef/>
      </w:r>
      <w:r w:rsidRPr="007D327B">
        <w:rPr>
          <w:rFonts w:asciiTheme="majorHAnsi" w:hAnsiTheme="majorHAnsi"/>
          <w:sz w:val="16"/>
          <w:szCs w:val="16"/>
          <w:lang w:val="es-AR"/>
        </w:rPr>
        <w:t xml:space="preserve"> </w:t>
      </w:r>
      <w:r w:rsidRPr="007D327B">
        <w:rPr>
          <w:rFonts w:asciiTheme="majorHAnsi" w:hAnsiTheme="majorHAnsi" w:cs="Calibri"/>
          <w:sz w:val="16"/>
          <w:szCs w:val="16"/>
          <w:lang w:val="es-AR"/>
        </w:rPr>
        <w:t xml:space="preserve">Corte IDH. </w:t>
      </w:r>
      <w:r w:rsidRPr="007D327B">
        <w:rPr>
          <w:rFonts w:asciiTheme="majorHAnsi" w:hAnsiTheme="majorHAnsi" w:cs="Calibri"/>
          <w:iCs/>
          <w:sz w:val="16"/>
          <w:szCs w:val="16"/>
          <w:lang w:val="es-AR"/>
        </w:rPr>
        <w:t xml:space="preserve">Caso Herrera Ulloa Vs. </w:t>
      </w:r>
      <w:r w:rsidRPr="001272CB">
        <w:rPr>
          <w:rFonts w:asciiTheme="majorHAnsi" w:hAnsiTheme="majorHAnsi" w:cs="Calibri"/>
          <w:iCs/>
          <w:sz w:val="16"/>
          <w:szCs w:val="16"/>
          <w:lang w:val="es-PE"/>
        </w:rPr>
        <w:t>Costa Rica</w:t>
      </w:r>
      <w:r w:rsidRPr="001272CB">
        <w:rPr>
          <w:rFonts w:asciiTheme="majorHAnsi" w:hAnsiTheme="majorHAnsi" w:cs="Calibri"/>
          <w:sz w:val="16"/>
          <w:szCs w:val="16"/>
          <w:lang w:val="es-PE"/>
        </w:rPr>
        <w:t xml:space="preserve">. Sentencia de Excepciones Preliminares, Fondo, Reparaciones y Costas. 2 de julio de 2004. Serie C No. 107, párr. 165; ONU, Comité́ de Derechos Humanos. </w:t>
      </w:r>
      <w:r w:rsidRPr="001272CB">
        <w:rPr>
          <w:rFonts w:asciiTheme="majorHAnsi" w:hAnsiTheme="majorHAnsi" w:cs="Calibri"/>
          <w:iCs/>
          <w:sz w:val="16"/>
          <w:szCs w:val="16"/>
          <w:lang w:val="es-PE"/>
        </w:rPr>
        <w:t>Gómez Vázquez v. España</w:t>
      </w:r>
      <w:r w:rsidRPr="001272CB">
        <w:rPr>
          <w:rFonts w:asciiTheme="majorHAnsi" w:hAnsiTheme="majorHAnsi" w:cs="Calibri"/>
          <w:sz w:val="16"/>
          <w:szCs w:val="16"/>
          <w:lang w:val="es-PE"/>
        </w:rPr>
        <w:t xml:space="preserve">. Comunicación No. 701/1996. Decisión de 11 de agosto de 2000, párr. 11.1. </w:t>
      </w:r>
    </w:p>
  </w:footnote>
  <w:footnote w:id="18">
    <w:p w14:paraId="1D67A03B" w14:textId="762599D5" w:rsidR="00B765BB" w:rsidRPr="001272CB" w:rsidRDefault="00B765BB" w:rsidP="00103247">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7D327B">
        <w:rPr>
          <w:rFonts w:asciiTheme="majorHAnsi" w:hAnsiTheme="majorHAnsi"/>
          <w:sz w:val="16"/>
          <w:szCs w:val="16"/>
          <w:lang w:val="es-AR"/>
        </w:rPr>
        <w:t xml:space="preserve"> Corte IDH, </w:t>
      </w:r>
      <w:r w:rsidRPr="007D327B">
        <w:rPr>
          <w:rFonts w:asciiTheme="majorHAnsi" w:hAnsiTheme="majorHAnsi"/>
          <w:iCs/>
          <w:sz w:val="16"/>
          <w:szCs w:val="16"/>
          <w:lang w:val="es-AR"/>
        </w:rPr>
        <w:t xml:space="preserve">Caso Herrera Ulloa Vs. </w:t>
      </w:r>
      <w:r w:rsidRPr="001272CB">
        <w:rPr>
          <w:rFonts w:asciiTheme="majorHAnsi" w:hAnsiTheme="majorHAnsi"/>
          <w:iCs/>
          <w:sz w:val="16"/>
          <w:szCs w:val="16"/>
          <w:lang w:val="es-PE"/>
        </w:rPr>
        <w:t>Costa Rica</w:t>
      </w:r>
      <w:r w:rsidRPr="001272CB">
        <w:rPr>
          <w:rFonts w:asciiTheme="majorHAnsi" w:hAnsiTheme="majorHAnsi"/>
          <w:sz w:val="16"/>
          <w:szCs w:val="16"/>
          <w:lang w:val="es-PE"/>
        </w:rPr>
        <w:t>. Sentencia de Excepciones Preliminares, Fondo, Reparaciones y Costas. 2 de julio de 2004. Serie C No. 107, párr. 158</w:t>
      </w:r>
      <w:r w:rsidR="0084766D">
        <w:rPr>
          <w:rFonts w:asciiTheme="majorHAnsi" w:hAnsiTheme="majorHAnsi"/>
          <w:sz w:val="16"/>
          <w:szCs w:val="16"/>
          <w:lang w:val="es-PE"/>
        </w:rPr>
        <w:t>.</w:t>
      </w:r>
    </w:p>
  </w:footnote>
  <w:footnote w:id="19">
    <w:p w14:paraId="2B7AB34E" w14:textId="77777777" w:rsidR="00B765BB" w:rsidRPr="001272CB" w:rsidRDefault="00B765BB" w:rsidP="00103247">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7D327B">
        <w:rPr>
          <w:rFonts w:asciiTheme="majorHAnsi" w:hAnsiTheme="majorHAnsi"/>
          <w:sz w:val="16"/>
          <w:szCs w:val="16"/>
          <w:lang w:val="es-PE"/>
        </w:rPr>
        <w:t xml:space="preserve"> Corte IDH. </w:t>
      </w:r>
      <w:r w:rsidRPr="007D327B">
        <w:rPr>
          <w:rFonts w:asciiTheme="majorHAnsi" w:hAnsiTheme="majorHAnsi"/>
          <w:iCs/>
          <w:sz w:val="16"/>
          <w:szCs w:val="16"/>
          <w:lang w:val="es-PE"/>
        </w:rPr>
        <w:t xml:space="preserve">Caso Barreto Leiva Vs. </w:t>
      </w:r>
      <w:r w:rsidRPr="001272CB">
        <w:rPr>
          <w:rFonts w:asciiTheme="majorHAnsi" w:hAnsiTheme="majorHAnsi"/>
          <w:iCs/>
          <w:sz w:val="16"/>
          <w:szCs w:val="16"/>
          <w:lang w:val="es-PE"/>
        </w:rPr>
        <w:t xml:space="preserve">Venezuela. </w:t>
      </w:r>
      <w:r w:rsidRPr="001272CB">
        <w:rPr>
          <w:rFonts w:asciiTheme="majorHAnsi" w:hAnsiTheme="majorHAnsi"/>
          <w:sz w:val="16"/>
          <w:szCs w:val="16"/>
          <w:lang w:val="es-PE"/>
        </w:rPr>
        <w:t>Sentencia de Fondo, Reparaciones y Costas 17 de noviembre de 2009. Serie C No. 206</w:t>
      </w:r>
      <w:r w:rsidRPr="001272CB">
        <w:rPr>
          <w:rFonts w:asciiTheme="majorHAnsi" w:hAnsiTheme="majorHAnsi"/>
          <w:iCs/>
          <w:sz w:val="16"/>
          <w:szCs w:val="16"/>
          <w:lang w:val="es-PE"/>
        </w:rPr>
        <w:t xml:space="preserve">, </w:t>
      </w:r>
      <w:r w:rsidRPr="001272CB">
        <w:rPr>
          <w:rFonts w:asciiTheme="majorHAnsi" w:hAnsiTheme="majorHAnsi"/>
          <w:sz w:val="16"/>
          <w:szCs w:val="16"/>
          <w:lang w:val="es-PE"/>
        </w:rPr>
        <w:t>párr. 90.</w:t>
      </w:r>
    </w:p>
  </w:footnote>
  <w:footnote w:id="20">
    <w:p w14:paraId="1D3D6FD6" w14:textId="1B8B787E" w:rsidR="00B765BB" w:rsidRPr="001272CB" w:rsidRDefault="00B765BB" w:rsidP="00103247">
      <w:pPr>
        <w:pStyle w:val="FootnoteText"/>
        <w:ind w:firstLine="720"/>
        <w:jc w:val="both"/>
        <w:rPr>
          <w:rFonts w:asciiTheme="majorHAnsi" w:hAnsiTheme="majorHAnsi"/>
          <w:sz w:val="16"/>
          <w:szCs w:val="16"/>
          <w:lang w:val="es-PE"/>
        </w:rPr>
      </w:pPr>
      <w:r w:rsidRPr="001272CB">
        <w:rPr>
          <w:rStyle w:val="FootnoteReference"/>
          <w:rFonts w:asciiTheme="majorHAnsi" w:hAnsiTheme="majorHAnsi"/>
          <w:sz w:val="16"/>
          <w:szCs w:val="16"/>
          <w:lang w:val="es-PE"/>
        </w:rPr>
        <w:footnoteRef/>
      </w:r>
      <w:r w:rsidRPr="001272CB">
        <w:rPr>
          <w:rFonts w:asciiTheme="majorHAnsi" w:hAnsiTheme="majorHAnsi"/>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w:t>
      </w:r>
      <w:r w:rsidRPr="001272CB">
        <w:rPr>
          <w:rStyle w:val="Strong"/>
          <w:rFonts w:asciiTheme="majorHAnsi" w:eastAsia="Cambria" w:hAnsiTheme="majorHAnsi"/>
          <w:sz w:val="16"/>
          <w:szCs w:val="16"/>
          <w:shd w:val="clear" w:color="auto" w:fill="FFFFFF"/>
          <w:lang w:val="es-PE"/>
        </w:rPr>
        <w:t xml:space="preserve"> </w:t>
      </w:r>
      <w:r w:rsidRPr="001272CB">
        <w:rPr>
          <w:rFonts w:asciiTheme="majorHAnsi" w:hAnsiTheme="majorHAnsi"/>
          <w:sz w:val="16"/>
          <w:szCs w:val="16"/>
          <w:shd w:val="clear" w:color="auto" w:fill="FFFFFF"/>
          <w:lang w:val="es-PE"/>
        </w:rPr>
        <w:t>Caso Amrhein y otros Vs. Costa Rica. Excepciones Preliminares, Fondo, Reparaciones y Costas. Sentencia de</w:t>
      </w:r>
      <w:r w:rsidR="00751A7D">
        <w:rPr>
          <w:rFonts w:asciiTheme="majorHAnsi" w:hAnsiTheme="majorHAnsi"/>
          <w:sz w:val="16"/>
          <w:szCs w:val="16"/>
          <w:shd w:val="clear" w:color="auto" w:fill="FFFFFF"/>
          <w:lang w:val="es-PE"/>
        </w:rPr>
        <w:t>l</w:t>
      </w:r>
      <w:r w:rsidRPr="001272CB">
        <w:rPr>
          <w:rFonts w:asciiTheme="majorHAnsi" w:hAnsiTheme="majorHAnsi"/>
          <w:sz w:val="16"/>
          <w:szCs w:val="16"/>
          <w:shd w:val="clear" w:color="auto" w:fill="FFFFFF"/>
          <w:lang w:val="es-PE"/>
        </w:rPr>
        <w:t xml:space="preserve"> 25 de abril de 2018. Serie C No. 354</w:t>
      </w:r>
      <w:r w:rsidR="0084766D">
        <w:rPr>
          <w:rFonts w:asciiTheme="majorHAnsi" w:hAnsiTheme="majorHAnsi"/>
          <w:sz w:val="16"/>
          <w:szCs w:val="16"/>
          <w:shd w:val="clear" w:color="auto" w:fill="FFFFFF"/>
          <w:lang w:val="es-PE"/>
        </w:rPr>
        <w:t>, p</w:t>
      </w:r>
      <w:r w:rsidRPr="001272CB">
        <w:rPr>
          <w:rFonts w:asciiTheme="majorHAnsi" w:hAnsiTheme="majorHAnsi"/>
          <w:sz w:val="16"/>
          <w:szCs w:val="16"/>
          <w:shd w:val="clear" w:color="auto" w:fill="FFFFFF"/>
          <w:lang w:val="es-PE"/>
        </w:rPr>
        <w:t>árr</w:t>
      </w:r>
      <w:r w:rsidR="0084766D">
        <w:rPr>
          <w:rFonts w:asciiTheme="majorHAnsi" w:hAnsiTheme="majorHAnsi"/>
          <w:sz w:val="16"/>
          <w:szCs w:val="16"/>
          <w:shd w:val="clear" w:color="auto" w:fill="FFFFFF"/>
          <w:lang w:val="es-PE"/>
        </w:rPr>
        <w:t>s</w:t>
      </w:r>
      <w:r w:rsidRPr="001272CB">
        <w:rPr>
          <w:rFonts w:asciiTheme="majorHAnsi" w:hAnsiTheme="majorHAnsi"/>
          <w:sz w:val="16"/>
          <w:szCs w:val="16"/>
          <w:shd w:val="clear" w:color="auto" w:fill="FFFFFF"/>
          <w:lang w:val="es-PE"/>
        </w:rPr>
        <w:t>. 272 a 274.</w:t>
      </w:r>
    </w:p>
  </w:footnote>
  <w:footnote w:id="21">
    <w:p w14:paraId="58F81691" w14:textId="509A33D8" w:rsidR="00B765BB" w:rsidRPr="002433B3" w:rsidRDefault="00B765BB" w:rsidP="00103247">
      <w:pPr>
        <w:pStyle w:val="FootnoteText"/>
        <w:ind w:firstLine="720"/>
        <w:jc w:val="both"/>
        <w:rPr>
          <w:b/>
          <w:bCs/>
          <w:sz w:val="16"/>
          <w:szCs w:val="16"/>
          <w:lang w:val="es-US"/>
        </w:rPr>
      </w:pPr>
      <w:r w:rsidRPr="002433B3">
        <w:rPr>
          <w:rStyle w:val="FootnoteReference"/>
          <w:rFonts w:asciiTheme="majorHAnsi" w:hAnsiTheme="majorHAnsi"/>
          <w:b/>
          <w:bCs/>
          <w:sz w:val="16"/>
          <w:szCs w:val="16"/>
          <w:lang w:val="es-PE"/>
        </w:rPr>
        <w:footnoteRef/>
      </w:r>
      <w:r w:rsidRPr="002433B3">
        <w:rPr>
          <w:rFonts w:asciiTheme="majorHAnsi" w:hAnsiTheme="majorHAnsi"/>
          <w:b/>
          <w:bCs/>
          <w:sz w:val="16"/>
          <w:szCs w:val="16"/>
          <w:lang w:val="es-PE"/>
        </w:rPr>
        <w:t xml:space="preserve"> </w:t>
      </w:r>
      <w:r w:rsidRPr="002433B3">
        <w:rPr>
          <w:rStyle w:val="Strong"/>
          <w:rFonts w:asciiTheme="majorHAnsi" w:eastAsia="Cambria" w:hAnsiTheme="majorHAnsi"/>
          <w:b w:val="0"/>
          <w:bCs w:val="0"/>
          <w:sz w:val="16"/>
          <w:szCs w:val="16"/>
          <w:shd w:val="clear" w:color="auto" w:fill="FFFFFF"/>
          <w:lang w:val="es-PE"/>
        </w:rPr>
        <w:t>Corte IDH. Caso Norín Catrimán y otros (Dirigentes, Miembros y Activista del Pueblo Indígena Mapuche) Vs. Chile. Fondo, Reparaciones y Costas. Sentencia de</w:t>
      </w:r>
      <w:r w:rsidR="003B6FAB">
        <w:rPr>
          <w:rStyle w:val="Strong"/>
          <w:rFonts w:asciiTheme="majorHAnsi" w:eastAsia="Cambria" w:hAnsiTheme="majorHAnsi"/>
          <w:b w:val="0"/>
          <w:bCs w:val="0"/>
          <w:sz w:val="16"/>
          <w:szCs w:val="16"/>
          <w:shd w:val="clear" w:color="auto" w:fill="FFFFFF"/>
          <w:lang w:val="es-PE"/>
        </w:rPr>
        <w:t>l</w:t>
      </w:r>
      <w:r w:rsidRPr="002433B3">
        <w:rPr>
          <w:rStyle w:val="Strong"/>
          <w:rFonts w:asciiTheme="majorHAnsi" w:eastAsia="Cambria" w:hAnsiTheme="majorHAnsi"/>
          <w:b w:val="0"/>
          <w:bCs w:val="0"/>
          <w:sz w:val="16"/>
          <w:szCs w:val="16"/>
          <w:shd w:val="clear" w:color="auto" w:fill="FFFFFF"/>
          <w:lang w:val="es-PE"/>
        </w:rPr>
        <w:t xml:space="preserve"> 29 de mayo de 2014. Serie C No. 279</w:t>
      </w:r>
      <w:r w:rsidR="0084766D">
        <w:rPr>
          <w:rStyle w:val="Strong"/>
          <w:rFonts w:asciiTheme="majorHAnsi" w:eastAsia="Cambria" w:hAnsiTheme="majorHAnsi"/>
          <w:b w:val="0"/>
          <w:bCs w:val="0"/>
          <w:sz w:val="16"/>
          <w:szCs w:val="16"/>
          <w:shd w:val="clear" w:color="auto" w:fill="FFFFFF"/>
          <w:lang w:val="es-PE"/>
        </w:rPr>
        <w:t>, p</w:t>
      </w:r>
      <w:r w:rsidRPr="002433B3">
        <w:rPr>
          <w:rStyle w:val="Strong"/>
          <w:rFonts w:asciiTheme="majorHAnsi" w:eastAsia="Cambria" w:hAnsiTheme="majorHAnsi"/>
          <w:b w:val="0"/>
          <w:bCs w:val="0"/>
          <w:sz w:val="16"/>
          <w:szCs w:val="16"/>
          <w:shd w:val="clear" w:color="auto" w:fill="FFFFFF"/>
          <w:lang w:val="es-PE"/>
        </w:rPr>
        <w:t xml:space="preserve">árr. 270. </w:t>
      </w:r>
      <w:r w:rsidRPr="002433B3">
        <w:rPr>
          <w:rFonts w:asciiTheme="majorHAnsi" w:hAnsiTheme="majorHAnsi"/>
          <w:b/>
          <w:bCs/>
          <w:sz w:val="16"/>
          <w:szCs w:val="16"/>
          <w:lang w:val="es-PE"/>
        </w:rPr>
        <w:t xml:space="preserve">  </w:t>
      </w:r>
    </w:p>
  </w:footnote>
  <w:footnote w:id="22">
    <w:p w14:paraId="4086B0DC" w14:textId="46C3B68B" w:rsidR="00B765BB" w:rsidRPr="001272CB" w:rsidRDefault="00B765BB" w:rsidP="00103247">
      <w:pPr>
        <w:pStyle w:val="FootnoteText"/>
        <w:ind w:firstLine="720"/>
        <w:jc w:val="both"/>
        <w:rPr>
          <w:rFonts w:ascii="Cambria" w:hAnsi="Cambria"/>
          <w:sz w:val="16"/>
          <w:szCs w:val="16"/>
          <w:lang w:val="es-AR"/>
        </w:rPr>
      </w:pPr>
      <w:r w:rsidRPr="001272CB">
        <w:rPr>
          <w:rStyle w:val="FootnoteReference"/>
          <w:rFonts w:ascii="Cambria" w:hAnsi="Cambria"/>
          <w:sz w:val="16"/>
          <w:szCs w:val="16"/>
        </w:rPr>
        <w:footnoteRef/>
      </w:r>
      <w:r w:rsidRPr="001272CB">
        <w:rPr>
          <w:rFonts w:ascii="Cambria" w:hAnsi="Cambria"/>
          <w:sz w:val="16"/>
          <w:szCs w:val="16"/>
          <w:lang w:val="es-AR"/>
        </w:rPr>
        <w:t xml:space="preserve"> CIDH. Informe No. 55/97. Caso 11.137. Fondo. Juan Carlos Abella. Argentina. 18 de noviembre de 1997</w:t>
      </w:r>
      <w:r w:rsidR="0084766D">
        <w:rPr>
          <w:rFonts w:ascii="Cambria" w:hAnsi="Cambria"/>
          <w:sz w:val="16"/>
          <w:szCs w:val="16"/>
          <w:lang w:val="es-AR"/>
        </w:rPr>
        <w:t>, p</w:t>
      </w:r>
      <w:r w:rsidRPr="001272CB">
        <w:rPr>
          <w:rFonts w:ascii="Cambria" w:hAnsi="Cambria"/>
          <w:sz w:val="16"/>
          <w:szCs w:val="16"/>
          <w:lang w:val="es-AR"/>
        </w:rPr>
        <w:t xml:space="preserve">árr. 261. </w:t>
      </w:r>
    </w:p>
  </w:footnote>
  <w:footnote w:id="23">
    <w:p w14:paraId="0A3BCF40" w14:textId="77777777" w:rsidR="00B765BB" w:rsidRPr="00144C32" w:rsidRDefault="00B765BB" w:rsidP="00103247">
      <w:pPr>
        <w:pStyle w:val="NormalWeb"/>
        <w:spacing w:before="0" w:beforeAutospacing="0" w:after="0" w:afterAutospacing="0"/>
        <w:ind w:firstLine="720"/>
        <w:jc w:val="both"/>
        <w:rPr>
          <w:rFonts w:asciiTheme="majorHAnsi" w:hAnsiTheme="majorHAnsi"/>
          <w:sz w:val="16"/>
          <w:szCs w:val="16"/>
          <w:lang w:val="es-ES"/>
        </w:rPr>
      </w:pPr>
      <w:r w:rsidRPr="001272CB">
        <w:rPr>
          <w:rStyle w:val="FootnoteReference"/>
          <w:rFonts w:ascii="Cambria" w:eastAsia="Trebuchet MS" w:hAnsi="Cambria"/>
          <w:sz w:val="16"/>
          <w:szCs w:val="16"/>
          <w:lang w:val="es-ES"/>
        </w:rPr>
        <w:footnoteRef/>
      </w:r>
      <w:r w:rsidRPr="001272CB">
        <w:rPr>
          <w:rFonts w:ascii="Cambria" w:hAnsi="Cambria"/>
          <w:sz w:val="16"/>
          <w:szCs w:val="16"/>
          <w:lang w:val="es-ES"/>
        </w:rPr>
        <w:t xml:space="preserve"> </w:t>
      </w:r>
      <w:r w:rsidRPr="001272CB">
        <w:rPr>
          <w:rFonts w:ascii="Cambria" w:hAnsi="Cambria" w:cs="Calibri"/>
          <w:sz w:val="16"/>
          <w:szCs w:val="16"/>
          <w:lang w:val="es-ES"/>
        </w:rPr>
        <w:t>CIDH, Informe No. 172/10, Caso 12.561, Fo</w:t>
      </w:r>
      <w:r w:rsidRPr="00144C32">
        <w:rPr>
          <w:rFonts w:asciiTheme="majorHAnsi" w:hAnsiTheme="majorHAnsi" w:cs="Calibri"/>
          <w:sz w:val="16"/>
          <w:szCs w:val="16"/>
          <w:lang w:val="es-ES"/>
        </w:rPr>
        <w:t xml:space="preserve">ndo, César Alberto Mendoza y otros (Prisión y reclusión perpetuas de adolescentes), Argentina, 2 de noviembre de 2010, párr. 189. </w:t>
      </w:r>
    </w:p>
  </w:footnote>
  <w:footnote w:id="24">
    <w:p w14:paraId="6E019AEA" w14:textId="04047F77" w:rsidR="00144C32" w:rsidRPr="00144C32" w:rsidRDefault="00144C32" w:rsidP="00103247">
      <w:pPr>
        <w:pStyle w:val="FootnoteText"/>
        <w:ind w:firstLine="720"/>
        <w:jc w:val="both"/>
        <w:rPr>
          <w:rFonts w:asciiTheme="majorHAnsi" w:hAnsiTheme="majorHAnsi"/>
          <w:sz w:val="16"/>
          <w:szCs w:val="16"/>
          <w:lang w:val="es-US"/>
        </w:rPr>
      </w:pPr>
      <w:r w:rsidRPr="00144C32">
        <w:rPr>
          <w:rStyle w:val="FootnoteReference"/>
          <w:rFonts w:asciiTheme="majorHAnsi" w:hAnsiTheme="majorHAnsi"/>
          <w:sz w:val="16"/>
          <w:szCs w:val="16"/>
        </w:rPr>
        <w:footnoteRef/>
      </w:r>
      <w:r w:rsidRPr="007D327B">
        <w:rPr>
          <w:rFonts w:asciiTheme="majorHAnsi" w:hAnsiTheme="majorHAnsi"/>
          <w:sz w:val="16"/>
          <w:szCs w:val="16"/>
          <w:lang w:val="es-AR"/>
        </w:rPr>
        <w:t xml:space="preserve"> Código Penal de Costa Rica. </w:t>
      </w:r>
      <w:r w:rsidRPr="00144C32">
        <w:rPr>
          <w:rFonts w:asciiTheme="majorHAnsi" w:hAnsiTheme="majorHAnsi"/>
          <w:sz w:val="16"/>
          <w:szCs w:val="16"/>
          <w:lang w:val="es-US"/>
        </w:rPr>
        <w:t>A</w:t>
      </w:r>
      <w:r>
        <w:rPr>
          <w:rFonts w:asciiTheme="majorHAnsi" w:hAnsiTheme="majorHAnsi"/>
          <w:sz w:val="16"/>
          <w:szCs w:val="16"/>
          <w:lang w:val="es-US"/>
        </w:rPr>
        <w:t>rtículo</w:t>
      </w:r>
      <w:r w:rsidRPr="00144C32">
        <w:rPr>
          <w:rFonts w:asciiTheme="majorHAnsi" w:hAnsiTheme="majorHAnsi"/>
          <w:sz w:val="16"/>
          <w:szCs w:val="16"/>
          <w:lang w:val="es-US"/>
        </w:rPr>
        <w:t xml:space="preserve"> 362.-</w:t>
      </w:r>
      <w:r>
        <w:rPr>
          <w:rFonts w:asciiTheme="majorHAnsi" w:hAnsiTheme="majorHAnsi"/>
          <w:sz w:val="16"/>
          <w:szCs w:val="16"/>
          <w:lang w:val="es-US"/>
        </w:rPr>
        <w:t xml:space="preserve"> </w:t>
      </w:r>
      <w:r w:rsidRPr="00144C32">
        <w:rPr>
          <w:rFonts w:asciiTheme="majorHAnsi" w:hAnsiTheme="majorHAnsi"/>
          <w:sz w:val="16"/>
          <w:szCs w:val="16"/>
          <w:lang w:val="es-US"/>
        </w:rPr>
        <w:t>Será reprimido con las penas señaladas en los artículos anteriores, en los casos</w:t>
      </w:r>
    </w:p>
    <w:p w14:paraId="25025350" w14:textId="786CE902" w:rsidR="00144C32" w:rsidRPr="00144C32" w:rsidRDefault="00144C32" w:rsidP="00103247">
      <w:pPr>
        <w:pStyle w:val="FootnoteText"/>
        <w:jc w:val="both"/>
        <w:rPr>
          <w:rFonts w:asciiTheme="majorHAnsi" w:hAnsiTheme="majorHAnsi"/>
          <w:sz w:val="16"/>
          <w:szCs w:val="16"/>
          <w:lang w:val="es-US"/>
        </w:rPr>
      </w:pPr>
      <w:r w:rsidRPr="00144C32">
        <w:rPr>
          <w:rFonts w:asciiTheme="majorHAnsi" w:hAnsiTheme="majorHAnsi"/>
          <w:sz w:val="16"/>
          <w:szCs w:val="16"/>
          <w:lang w:val="es-US"/>
        </w:rPr>
        <w:t>respectivos, el que suprimiere, ocultare o destruyere, en todo o en parte, un</w:t>
      </w:r>
      <w:r>
        <w:rPr>
          <w:rFonts w:asciiTheme="majorHAnsi" w:hAnsiTheme="majorHAnsi"/>
          <w:sz w:val="16"/>
          <w:szCs w:val="16"/>
          <w:lang w:val="es-US"/>
        </w:rPr>
        <w:t xml:space="preserve"> </w:t>
      </w:r>
      <w:r w:rsidRPr="00144C32">
        <w:rPr>
          <w:rFonts w:asciiTheme="majorHAnsi" w:hAnsiTheme="majorHAnsi"/>
          <w:sz w:val="16"/>
          <w:szCs w:val="16"/>
          <w:lang w:val="es-US"/>
        </w:rPr>
        <w:t>documento de modo que pueda resultar perjuicio.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40C12"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3340BC6"/>
    <w:lvl w:ilvl="0" w:tplc="F9DE747E">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5412"/>
    <w:rsid w:val="00006C6F"/>
    <w:rsid w:val="00006E1F"/>
    <w:rsid w:val="000070D7"/>
    <w:rsid w:val="0001449C"/>
    <w:rsid w:val="0001788C"/>
    <w:rsid w:val="0002557B"/>
    <w:rsid w:val="0002627F"/>
    <w:rsid w:val="00033260"/>
    <w:rsid w:val="000337EF"/>
    <w:rsid w:val="00033A10"/>
    <w:rsid w:val="00040C3A"/>
    <w:rsid w:val="000419AD"/>
    <w:rsid w:val="000433C9"/>
    <w:rsid w:val="000465E3"/>
    <w:rsid w:val="00053B63"/>
    <w:rsid w:val="000560E8"/>
    <w:rsid w:val="00056686"/>
    <w:rsid w:val="00067EFC"/>
    <w:rsid w:val="000716C5"/>
    <w:rsid w:val="00075E23"/>
    <w:rsid w:val="00082132"/>
    <w:rsid w:val="00083768"/>
    <w:rsid w:val="00087200"/>
    <w:rsid w:val="0009344A"/>
    <w:rsid w:val="000934F3"/>
    <w:rsid w:val="000A34E1"/>
    <w:rsid w:val="000A392E"/>
    <w:rsid w:val="000A575F"/>
    <w:rsid w:val="000B062C"/>
    <w:rsid w:val="000B795A"/>
    <w:rsid w:val="000B7BDE"/>
    <w:rsid w:val="000C6B62"/>
    <w:rsid w:val="000D05CB"/>
    <w:rsid w:val="000D10DB"/>
    <w:rsid w:val="000E09B4"/>
    <w:rsid w:val="000E4267"/>
    <w:rsid w:val="000E5EB5"/>
    <w:rsid w:val="000F06B5"/>
    <w:rsid w:val="000F0D45"/>
    <w:rsid w:val="000F21CE"/>
    <w:rsid w:val="000F35ED"/>
    <w:rsid w:val="000F553A"/>
    <w:rsid w:val="00100379"/>
    <w:rsid w:val="001006EF"/>
    <w:rsid w:val="00103247"/>
    <w:rsid w:val="001056E4"/>
    <w:rsid w:val="00106DC8"/>
    <w:rsid w:val="00107131"/>
    <w:rsid w:val="0010736F"/>
    <w:rsid w:val="00113F73"/>
    <w:rsid w:val="00114301"/>
    <w:rsid w:val="00116EA5"/>
    <w:rsid w:val="00121CC2"/>
    <w:rsid w:val="00123077"/>
    <w:rsid w:val="001304BB"/>
    <w:rsid w:val="00131425"/>
    <w:rsid w:val="00133EE5"/>
    <w:rsid w:val="001372F5"/>
    <w:rsid w:val="00144C32"/>
    <w:rsid w:val="00146B41"/>
    <w:rsid w:val="00147573"/>
    <w:rsid w:val="00156355"/>
    <w:rsid w:val="0016296E"/>
    <w:rsid w:val="00167A34"/>
    <w:rsid w:val="0017094D"/>
    <w:rsid w:val="00187645"/>
    <w:rsid w:val="0019703D"/>
    <w:rsid w:val="001A3700"/>
    <w:rsid w:val="001A7870"/>
    <w:rsid w:val="001B3A00"/>
    <w:rsid w:val="001B6211"/>
    <w:rsid w:val="001C1B41"/>
    <w:rsid w:val="001C2C15"/>
    <w:rsid w:val="001C78DF"/>
    <w:rsid w:val="001D65EF"/>
    <w:rsid w:val="001D68F0"/>
    <w:rsid w:val="001D7945"/>
    <w:rsid w:val="001E49E7"/>
    <w:rsid w:val="001F5511"/>
    <w:rsid w:val="001F659C"/>
    <w:rsid w:val="001F7201"/>
    <w:rsid w:val="00201930"/>
    <w:rsid w:val="0020204D"/>
    <w:rsid w:val="0020539A"/>
    <w:rsid w:val="002059C6"/>
    <w:rsid w:val="00212090"/>
    <w:rsid w:val="00223A29"/>
    <w:rsid w:val="00223FA3"/>
    <w:rsid w:val="002246FF"/>
    <w:rsid w:val="002250A3"/>
    <w:rsid w:val="002274BB"/>
    <w:rsid w:val="00235217"/>
    <w:rsid w:val="002434D9"/>
    <w:rsid w:val="002469D2"/>
    <w:rsid w:val="00246D1F"/>
    <w:rsid w:val="00247403"/>
    <w:rsid w:val="00247542"/>
    <w:rsid w:val="00247FAA"/>
    <w:rsid w:val="002534DA"/>
    <w:rsid w:val="0026020D"/>
    <w:rsid w:val="00265738"/>
    <w:rsid w:val="00266B61"/>
    <w:rsid w:val="0026712A"/>
    <w:rsid w:val="00267436"/>
    <w:rsid w:val="002704DB"/>
    <w:rsid w:val="00283F92"/>
    <w:rsid w:val="002866C1"/>
    <w:rsid w:val="00291293"/>
    <w:rsid w:val="002956AC"/>
    <w:rsid w:val="002A0AAE"/>
    <w:rsid w:val="002A4154"/>
    <w:rsid w:val="002A5820"/>
    <w:rsid w:val="002B2AB9"/>
    <w:rsid w:val="002B4563"/>
    <w:rsid w:val="002D2B26"/>
    <w:rsid w:val="002D7EA2"/>
    <w:rsid w:val="002E187C"/>
    <w:rsid w:val="002E2EBB"/>
    <w:rsid w:val="002E3D1B"/>
    <w:rsid w:val="002E5381"/>
    <w:rsid w:val="002F1096"/>
    <w:rsid w:val="002F1716"/>
    <w:rsid w:val="002F1880"/>
    <w:rsid w:val="002F414A"/>
    <w:rsid w:val="00302733"/>
    <w:rsid w:val="00303948"/>
    <w:rsid w:val="003075BE"/>
    <w:rsid w:val="00310356"/>
    <w:rsid w:val="00312267"/>
    <w:rsid w:val="00314078"/>
    <w:rsid w:val="0031535D"/>
    <w:rsid w:val="00320C8A"/>
    <w:rsid w:val="003239B8"/>
    <w:rsid w:val="00331632"/>
    <w:rsid w:val="0033169F"/>
    <w:rsid w:val="003430DE"/>
    <w:rsid w:val="00343758"/>
    <w:rsid w:val="00344977"/>
    <w:rsid w:val="00346C95"/>
    <w:rsid w:val="00356185"/>
    <w:rsid w:val="00360380"/>
    <w:rsid w:val="00371F31"/>
    <w:rsid w:val="0037519E"/>
    <w:rsid w:val="003770EE"/>
    <w:rsid w:val="00377313"/>
    <w:rsid w:val="003855D2"/>
    <w:rsid w:val="00386CF0"/>
    <w:rsid w:val="00394049"/>
    <w:rsid w:val="00396A57"/>
    <w:rsid w:val="003A2069"/>
    <w:rsid w:val="003A2583"/>
    <w:rsid w:val="003B0026"/>
    <w:rsid w:val="003B1A05"/>
    <w:rsid w:val="003B3458"/>
    <w:rsid w:val="003B6FAB"/>
    <w:rsid w:val="003B70FB"/>
    <w:rsid w:val="003C0AE7"/>
    <w:rsid w:val="003C10AC"/>
    <w:rsid w:val="003C676B"/>
    <w:rsid w:val="003D3BC2"/>
    <w:rsid w:val="003D4E80"/>
    <w:rsid w:val="003E6CA1"/>
    <w:rsid w:val="003E74F8"/>
    <w:rsid w:val="003F63AD"/>
    <w:rsid w:val="00405F9C"/>
    <w:rsid w:val="004065A8"/>
    <w:rsid w:val="00414014"/>
    <w:rsid w:val="004165C2"/>
    <w:rsid w:val="004172B0"/>
    <w:rsid w:val="00420789"/>
    <w:rsid w:val="00441524"/>
    <w:rsid w:val="00441E0D"/>
    <w:rsid w:val="00441ECB"/>
    <w:rsid w:val="00443C74"/>
    <w:rsid w:val="004445EF"/>
    <w:rsid w:val="00445193"/>
    <w:rsid w:val="00445CE8"/>
    <w:rsid w:val="00451F84"/>
    <w:rsid w:val="0045662F"/>
    <w:rsid w:val="0046105F"/>
    <w:rsid w:val="00462C1B"/>
    <w:rsid w:val="00465CCE"/>
    <w:rsid w:val="00467B7E"/>
    <w:rsid w:val="00472E35"/>
    <w:rsid w:val="00473BB4"/>
    <w:rsid w:val="00477592"/>
    <w:rsid w:val="00481037"/>
    <w:rsid w:val="00486F1C"/>
    <w:rsid w:val="0048719B"/>
    <w:rsid w:val="0049419D"/>
    <w:rsid w:val="004A0CC6"/>
    <w:rsid w:val="004A5246"/>
    <w:rsid w:val="004A6A54"/>
    <w:rsid w:val="004B012B"/>
    <w:rsid w:val="004B5430"/>
    <w:rsid w:val="004B6C88"/>
    <w:rsid w:val="004C01DA"/>
    <w:rsid w:val="004C20D2"/>
    <w:rsid w:val="004C2312"/>
    <w:rsid w:val="004C2B8F"/>
    <w:rsid w:val="004C2E3B"/>
    <w:rsid w:val="004C4B62"/>
    <w:rsid w:val="004C54C9"/>
    <w:rsid w:val="004D271E"/>
    <w:rsid w:val="004D4ABA"/>
    <w:rsid w:val="004D51FD"/>
    <w:rsid w:val="004D6025"/>
    <w:rsid w:val="004E2649"/>
    <w:rsid w:val="004F23B8"/>
    <w:rsid w:val="004F43FC"/>
    <w:rsid w:val="004F626F"/>
    <w:rsid w:val="004F7C52"/>
    <w:rsid w:val="00501399"/>
    <w:rsid w:val="0050496D"/>
    <w:rsid w:val="0050573D"/>
    <w:rsid w:val="0050633D"/>
    <w:rsid w:val="00507BC4"/>
    <w:rsid w:val="005128E4"/>
    <w:rsid w:val="005133DB"/>
    <w:rsid w:val="00514504"/>
    <w:rsid w:val="00522C3B"/>
    <w:rsid w:val="00525560"/>
    <w:rsid w:val="00541F92"/>
    <w:rsid w:val="00544C49"/>
    <w:rsid w:val="00546BED"/>
    <w:rsid w:val="0055061C"/>
    <w:rsid w:val="005516A1"/>
    <w:rsid w:val="00552E25"/>
    <w:rsid w:val="00553647"/>
    <w:rsid w:val="005541A6"/>
    <w:rsid w:val="00554C78"/>
    <w:rsid w:val="005559EF"/>
    <w:rsid w:val="005564B7"/>
    <w:rsid w:val="00563557"/>
    <w:rsid w:val="005663DB"/>
    <w:rsid w:val="005719E7"/>
    <w:rsid w:val="0057402A"/>
    <w:rsid w:val="005771D0"/>
    <w:rsid w:val="0059191A"/>
    <w:rsid w:val="005921FF"/>
    <w:rsid w:val="00596F59"/>
    <w:rsid w:val="005A24ED"/>
    <w:rsid w:val="005A254F"/>
    <w:rsid w:val="005A6D0E"/>
    <w:rsid w:val="005B52B0"/>
    <w:rsid w:val="005B6806"/>
    <w:rsid w:val="005B6B12"/>
    <w:rsid w:val="005C4225"/>
    <w:rsid w:val="005D38F9"/>
    <w:rsid w:val="005F0DAD"/>
    <w:rsid w:val="005F0F33"/>
    <w:rsid w:val="005F1B57"/>
    <w:rsid w:val="005F327D"/>
    <w:rsid w:val="005F6BF4"/>
    <w:rsid w:val="006004C1"/>
    <w:rsid w:val="00600DEB"/>
    <w:rsid w:val="00601964"/>
    <w:rsid w:val="0061609D"/>
    <w:rsid w:val="0062626E"/>
    <w:rsid w:val="00627C9F"/>
    <w:rsid w:val="006311E9"/>
    <w:rsid w:val="00631DA5"/>
    <w:rsid w:val="00632354"/>
    <w:rsid w:val="00635421"/>
    <w:rsid w:val="00637AAC"/>
    <w:rsid w:val="006416A3"/>
    <w:rsid w:val="00642810"/>
    <w:rsid w:val="00645D22"/>
    <w:rsid w:val="00652333"/>
    <w:rsid w:val="00666CC8"/>
    <w:rsid w:val="006671FF"/>
    <w:rsid w:val="00672AA1"/>
    <w:rsid w:val="00674A49"/>
    <w:rsid w:val="00676AEE"/>
    <w:rsid w:val="0068009E"/>
    <w:rsid w:val="00692219"/>
    <w:rsid w:val="006922B5"/>
    <w:rsid w:val="006944F4"/>
    <w:rsid w:val="006A17D2"/>
    <w:rsid w:val="006A2925"/>
    <w:rsid w:val="006A6369"/>
    <w:rsid w:val="006A73E6"/>
    <w:rsid w:val="006B0AE2"/>
    <w:rsid w:val="006B1B78"/>
    <w:rsid w:val="006B2D5C"/>
    <w:rsid w:val="006C0D4C"/>
    <w:rsid w:val="006C3484"/>
    <w:rsid w:val="006C4877"/>
    <w:rsid w:val="006C4EB1"/>
    <w:rsid w:val="006C7BD9"/>
    <w:rsid w:val="006D1946"/>
    <w:rsid w:val="006D5B19"/>
    <w:rsid w:val="006E0166"/>
    <w:rsid w:val="006E2FFB"/>
    <w:rsid w:val="006E7B34"/>
    <w:rsid w:val="006F2C73"/>
    <w:rsid w:val="006F3857"/>
    <w:rsid w:val="00700998"/>
    <w:rsid w:val="007022DE"/>
    <w:rsid w:val="007067B6"/>
    <w:rsid w:val="007068EB"/>
    <w:rsid w:val="0070697F"/>
    <w:rsid w:val="007115CA"/>
    <w:rsid w:val="00712E19"/>
    <w:rsid w:val="0072199C"/>
    <w:rsid w:val="007219D6"/>
    <w:rsid w:val="00722C9F"/>
    <w:rsid w:val="007253B8"/>
    <w:rsid w:val="00735C12"/>
    <w:rsid w:val="0073741F"/>
    <w:rsid w:val="007410F1"/>
    <w:rsid w:val="0074293C"/>
    <w:rsid w:val="007449B3"/>
    <w:rsid w:val="007513A7"/>
    <w:rsid w:val="00751A7D"/>
    <w:rsid w:val="007572A8"/>
    <w:rsid w:val="00761282"/>
    <w:rsid w:val="0076643F"/>
    <w:rsid w:val="00766E19"/>
    <w:rsid w:val="007705D7"/>
    <w:rsid w:val="007714AC"/>
    <w:rsid w:val="00771636"/>
    <w:rsid w:val="007775C5"/>
    <w:rsid w:val="00777F63"/>
    <w:rsid w:val="00787715"/>
    <w:rsid w:val="00790210"/>
    <w:rsid w:val="00791760"/>
    <w:rsid w:val="00791949"/>
    <w:rsid w:val="00793567"/>
    <w:rsid w:val="007950F0"/>
    <w:rsid w:val="007A1532"/>
    <w:rsid w:val="007A1C02"/>
    <w:rsid w:val="007A217F"/>
    <w:rsid w:val="007A3237"/>
    <w:rsid w:val="007A5817"/>
    <w:rsid w:val="007B05C4"/>
    <w:rsid w:val="007B1DBC"/>
    <w:rsid w:val="007B2DBC"/>
    <w:rsid w:val="007B2EF6"/>
    <w:rsid w:val="007B60E9"/>
    <w:rsid w:val="007B6CC3"/>
    <w:rsid w:val="007B76D3"/>
    <w:rsid w:val="007C1952"/>
    <w:rsid w:val="007C3334"/>
    <w:rsid w:val="007D2B98"/>
    <w:rsid w:val="007D327B"/>
    <w:rsid w:val="007D6A9B"/>
    <w:rsid w:val="007E21BC"/>
    <w:rsid w:val="007E3F0D"/>
    <w:rsid w:val="007E7C82"/>
    <w:rsid w:val="007F2AA1"/>
    <w:rsid w:val="007F588D"/>
    <w:rsid w:val="008025D9"/>
    <w:rsid w:val="00803F1C"/>
    <w:rsid w:val="0080600E"/>
    <w:rsid w:val="00806934"/>
    <w:rsid w:val="00814688"/>
    <w:rsid w:val="00817612"/>
    <w:rsid w:val="00817D5C"/>
    <w:rsid w:val="008220E8"/>
    <w:rsid w:val="00826661"/>
    <w:rsid w:val="00832C84"/>
    <w:rsid w:val="008338A4"/>
    <w:rsid w:val="008346DD"/>
    <w:rsid w:val="00834D49"/>
    <w:rsid w:val="008359DB"/>
    <w:rsid w:val="00836F55"/>
    <w:rsid w:val="00837C45"/>
    <w:rsid w:val="00840D88"/>
    <w:rsid w:val="00841F38"/>
    <w:rsid w:val="008439E2"/>
    <w:rsid w:val="00844730"/>
    <w:rsid w:val="008457C2"/>
    <w:rsid w:val="008462EE"/>
    <w:rsid w:val="0084766D"/>
    <w:rsid w:val="00854698"/>
    <w:rsid w:val="00857A82"/>
    <w:rsid w:val="0086032D"/>
    <w:rsid w:val="00860F4A"/>
    <w:rsid w:val="0086188B"/>
    <w:rsid w:val="00862395"/>
    <w:rsid w:val="00867314"/>
    <w:rsid w:val="00873836"/>
    <w:rsid w:val="0087414F"/>
    <w:rsid w:val="00875668"/>
    <w:rsid w:val="008764A8"/>
    <w:rsid w:val="00884F29"/>
    <w:rsid w:val="00885737"/>
    <w:rsid w:val="00890650"/>
    <w:rsid w:val="00891793"/>
    <w:rsid w:val="00897E12"/>
    <w:rsid w:val="008A1119"/>
    <w:rsid w:val="008A5CB8"/>
    <w:rsid w:val="008A7E0F"/>
    <w:rsid w:val="008B0911"/>
    <w:rsid w:val="008B12F5"/>
    <w:rsid w:val="008B1438"/>
    <w:rsid w:val="008B3BA2"/>
    <w:rsid w:val="008C0D8B"/>
    <w:rsid w:val="008C52CC"/>
    <w:rsid w:val="008C5E2D"/>
    <w:rsid w:val="008C7DE1"/>
    <w:rsid w:val="008D03E9"/>
    <w:rsid w:val="008D55F5"/>
    <w:rsid w:val="008D768D"/>
    <w:rsid w:val="008E3587"/>
    <w:rsid w:val="008E3759"/>
    <w:rsid w:val="008E3BFE"/>
    <w:rsid w:val="008F1912"/>
    <w:rsid w:val="008F6691"/>
    <w:rsid w:val="00902526"/>
    <w:rsid w:val="0090270B"/>
    <w:rsid w:val="009041DC"/>
    <w:rsid w:val="00912A8C"/>
    <w:rsid w:val="00913939"/>
    <w:rsid w:val="00917B5A"/>
    <w:rsid w:val="00920A58"/>
    <w:rsid w:val="00920A8C"/>
    <w:rsid w:val="009210E5"/>
    <w:rsid w:val="00934A2C"/>
    <w:rsid w:val="00934A8B"/>
    <w:rsid w:val="00935053"/>
    <w:rsid w:val="00940C12"/>
    <w:rsid w:val="00943D01"/>
    <w:rsid w:val="00945FC7"/>
    <w:rsid w:val="009542C9"/>
    <w:rsid w:val="0095542E"/>
    <w:rsid w:val="00960011"/>
    <w:rsid w:val="00961C78"/>
    <w:rsid w:val="0096317E"/>
    <w:rsid w:val="0096351A"/>
    <w:rsid w:val="00963875"/>
    <w:rsid w:val="0096706E"/>
    <w:rsid w:val="00974491"/>
    <w:rsid w:val="00974946"/>
    <w:rsid w:val="00975C4E"/>
    <w:rsid w:val="009812D1"/>
    <w:rsid w:val="00981FBA"/>
    <w:rsid w:val="00985B21"/>
    <w:rsid w:val="009973D7"/>
    <w:rsid w:val="00997BC5"/>
    <w:rsid w:val="009A0667"/>
    <w:rsid w:val="009A12E3"/>
    <w:rsid w:val="009A4F41"/>
    <w:rsid w:val="009A7AAA"/>
    <w:rsid w:val="009A7EE9"/>
    <w:rsid w:val="009B381B"/>
    <w:rsid w:val="009C30CA"/>
    <w:rsid w:val="009D1753"/>
    <w:rsid w:val="009D6E86"/>
    <w:rsid w:val="009D7611"/>
    <w:rsid w:val="009D769D"/>
    <w:rsid w:val="009E0B61"/>
    <w:rsid w:val="009E2847"/>
    <w:rsid w:val="009E53DE"/>
    <w:rsid w:val="009E6B20"/>
    <w:rsid w:val="009F4093"/>
    <w:rsid w:val="009F5F8F"/>
    <w:rsid w:val="00A00331"/>
    <w:rsid w:val="00A03C6B"/>
    <w:rsid w:val="00A074FF"/>
    <w:rsid w:val="00A10DAF"/>
    <w:rsid w:val="00A11212"/>
    <w:rsid w:val="00A11E44"/>
    <w:rsid w:val="00A1795B"/>
    <w:rsid w:val="00A23907"/>
    <w:rsid w:val="00A27FDD"/>
    <w:rsid w:val="00A30100"/>
    <w:rsid w:val="00A328B3"/>
    <w:rsid w:val="00A457DB"/>
    <w:rsid w:val="00A47ED2"/>
    <w:rsid w:val="00A50FCF"/>
    <w:rsid w:val="00A528D1"/>
    <w:rsid w:val="00A534E3"/>
    <w:rsid w:val="00A57BB3"/>
    <w:rsid w:val="00A610CD"/>
    <w:rsid w:val="00A627CC"/>
    <w:rsid w:val="00A67AD7"/>
    <w:rsid w:val="00A703D4"/>
    <w:rsid w:val="00A758AA"/>
    <w:rsid w:val="00A77BF5"/>
    <w:rsid w:val="00A85490"/>
    <w:rsid w:val="00A86A91"/>
    <w:rsid w:val="00A86EBC"/>
    <w:rsid w:val="00A918B9"/>
    <w:rsid w:val="00AA09A2"/>
    <w:rsid w:val="00AA44C3"/>
    <w:rsid w:val="00AA7996"/>
    <w:rsid w:val="00AC19CB"/>
    <w:rsid w:val="00AC1C04"/>
    <w:rsid w:val="00AC6A4B"/>
    <w:rsid w:val="00AD2910"/>
    <w:rsid w:val="00AE255F"/>
    <w:rsid w:val="00AE5488"/>
    <w:rsid w:val="00AE6F91"/>
    <w:rsid w:val="00AF1D78"/>
    <w:rsid w:val="00AF5571"/>
    <w:rsid w:val="00AF578C"/>
    <w:rsid w:val="00AF620C"/>
    <w:rsid w:val="00B07341"/>
    <w:rsid w:val="00B21C69"/>
    <w:rsid w:val="00B23D63"/>
    <w:rsid w:val="00B2483A"/>
    <w:rsid w:val="00B30539"/>
    <w:rsid w:val="00B314DB"/>
    <w:rsid w:val="00B34026"/>
    <w:rsid w:val="00B343AD"/>
    <w:rsid w:val="00B361F2"/>
    <w:rsid w:val="00B3718B"/>
    <w:rsid w:val="00B3745F"/>
    <w:rsid w:val="00B4632A"/>
    <w:rsid w:val="00B472EC"/>
    <w:rsid w:val="00B530F1"/>
    <w:rsid w:val="00B5490A"/>
    <w:rsid w:val="00B5754B"/>
    <w:rsid w:val="00B660DE"/>
    <w:rsid w:val="00B67DB0"/>
    <w:rsid w:val="00B765BB"/>
    <w:rsid w:val="00B82A11"/>
    <w:rsid w:val="00B839E9"/>
    <w:rsid w:val="00B86917"/>
    <w:rsid w:val="00B93518"/>
    <w:rsid w:val="00BA0C51"/>
    <w:rsid w:val="00BA237E"/>
    <w:rsid w:val="00BA276C"/>
    <w:rsid w:val="00BB306F"/>
    <w:rsid w:val="00BB45A7"/>
    <w:rsid w:val="00BB527E"/>
    <w:rsid w:val="00BB7AA2"/>
    <w:rsid w:val="00BC563B"/>
    <w:rsid w:val="00BC58B0"/>
    <w:rsid w:val="00BC5E49"/>
    <w:rsid w:val="00BD2868"/>
    <w:rsid w:val="00BD46CB"/>
    <w:rsid w:val="00BD4B89"/>
    <w:rsid w:val="00BD5922"/>
    <w:rsid w:val="00BE0D78"/>
    <w:rsid w:val="00BE2440"/>
    <w:rsid w:val="00BF02CB"/>
    <w:rsid w:val="00BF0C2A"/>
    <w:rsid w:val="00BF6FD8"/>
    <w:rsid w:val="00C00002"/>
    <w:rsid w:val="00C0339F"/>
    <w:rsid w:val="00C03680"/>
    <w:rsid w:val="00C054DF"/>
    <w:rsid w:val="00C133B9"/>
    <w:rsid w:val="00C13AB2"/>
    <w:rsid w:val="00C178C0"/>
    <w:rsid w:val="00C20721"/>
    <w:rsid w:val="00C21762"/>
    <w:rsid w:val="00C21FEF"/>
    <w:rsid w:val="00C23BA4"/>
    <w:rsid w:val="00C24543"/>
    <w:rsid w:val="00C256A2"/>
    <w:rsid w:val="00C25ADB"/>
    <w:rsid w:val="00C27964"/>
    <w:rsid w:val="00C4761A"/>
    <w:rsid w:val="00C51515"/>
    <w:rsid w:val="00C522C9"/>
    <w:rsid w:val="00C5660B"/>
    <w:rsid w:val="00C56B94"/>
    <w:rsid w:val="00C56E24"/>
    <w:rsid w:val="00C6033E"/>
    <w:rsid w:val="00C61767"/>
    <w:rsid w:val="00C66B72"/>
    <w:rsid w:val="00C741C1"/>
    <w:rsid w:val="00C74333"/>
    <w:rsid w:val="00C81846"/>
    <w:rsid w:val="00C8322A"/>
    <w:rsid w:val="00C85993"/>
    <w:rsid w:val="00C87AC4"/>
    <w:rsid w:val="00C9230A"/>
    <w:rsid w:val="00C93E9A"/>
    <w:rsid w:val="00C95242"/>
    <w:rsid w:val="00C9567A"/>
    <w:rsid w:val="00C95E53"/>
    <w:rsid w:val="00C96DAA"/>
    <w:rsid w:val="00CB212D"/>
    <w:rsid w:val="00CB2660"/>
    <w:rsid w:val="00CC09B1"/>
    <w:rsid w:val="00CC2389"/>
    <w:rsid w:val="00CC576F"/>
    <w:rsid w:val="00CC5E90"/>
    <w:rsid w:val="00CD046C"/>
    <w:rsid w:val="00CD17F6"/>
    <w:rsid w:val="00CD4E1F"/>
    <w:rsid w:val="00CD659C"/>
    <w:rsid w:val="00CE076C"/>
    <w:rsid w:val="00CE13B3"/>
    <w:rsid w:val="00CE13E5"/>
    <w:rsid w:val="00CE4AAC"/>
    <w:rsid w:val="00CE5199"/>
    <w:rsid w:val="00CE66D5"/>
    <w:rsid w:val="00CF192A"/>
    <w:rsid w:val="00CF570E"/>
    <w:rsid w:val="00CF637A"/>
    <w:rsid w:val="00CF6971"/>
    <w:rsid w:val="00D00DB2"/>
    <w:rsid w:val="00D059DE"/>
    <w:rsid w:val="00D05ABD"/>
    <w:rsid w:val="00D11B63"/>
    <w:rsid w:val="00D13487"/>
    <w:rsid w:val="00D13FCE"/>
    <w:rsid w:val="00D154D8"/>
    <w:rsid w:val="00D25590"/>
    <w:rsid w:val="00D2705D"/>
    <w:rsid w:val="00D306D1"/>
    <w:rsid w:val="00D30800"/>
    <w:rsid w:val="00D34786"/>
    <w:rsid w:val="00D37340"/>
    <w:rsid w:val="00D37BFC"/>
    <w:rsid w:val="00D47A8E"/>
    <w:rsid w:val="00D52D14"/>
    <w:rsid w:val="00D55E0D"/>
    <w:rsid w:val="00D600AA"/>
    <w:rsid w:val="00D658F9"/>
    <w:rsid w:val="00D712D3"/>
    <w:rsid w:val="00D71422"/>
    <w:rsid w:val="00D72DC6"/>
    <w:rsid w:val="00D7558D"/>
    <w:rsid w:val="00D81D92"/>
    <w:rsid w:val="00D850DE"/>
    <w:rsid w:val="00D85511"/>
    <w:rsid w:val="00D85945"/>
    <w:rsid w:val="00D876F9"/>
    <w:rsid w:val="00D904E2"/>
    <w:rsid w:val="00D90A07"/>
    <w:rsid w:val="00D92859"/>
    <w:rsid w:val="00D96818"/>
    <w:rsid w:val="00DA0925"/>
    <w:rsid w:val="00DA7B5F"/>
    <w:rsid w:val="00DB0C88"/>
    <w:rsid w:val="00DB602B"/>
    <w:rsid w:val="00DB6B4C"/>
    <w:rsid w:val="00DC11E7"/>
    <w:rsid w:val="00DC1B8A"/>
    <w:rsid w:val="00DC24E3"/>
    <w:rsid w:val="00DC64EA"/>
    <w:rsid w:val="00DC7023"/>
    <w:rsid w:val="00DC769A"/>
    <w:rsid w:val="00DD0D97"/>
    <w:rsid w:val="00DD2BB6"/>
    <w:rsid w:val="00DD304B"/>
    <w:rsid w:val="00DD3D86"/>
    <w:rsid w:val="00DD4AD2"/>
    <w:rsid w:val="00DF142E"/>
    <w:rsid w:val="00DF1EC4"/>
    <w:rsid w:val="00E0052A"/>
    <w:rsid w:val="00E00EA2"/>
    <w:rsid w:val="00E0340B"/>
    <w:rsid w:val="00E04659"/>
    <w:rsid w:val="00E04A90"/>
    <w:rsid w:val="00E0551F"/>
    <w:rsid w:val="00E107D7"/>
    <w:rsid w:val="00E14045"/>
    <w:rsid w:val="00E155D2"/>
    <w:rsid w:val="00E15B69"/>
    <w:rsid w:val="00E17338"/>
    <w:rsid w:val="00E219C7"/>
    <w:rsid w:val="00E22E9B"/>
    <w:rsid w:val="00E2339E"/>
    <w:rsid w:val="00E23914"/>
    <w:rsid w:val="00E24973"/>
    <w:rsid w:val="00E410BC"/>
    <w:rsid w:val="00E4118C"/>
    <w:rsid w:val="00E418B5"/>
    <w:rsid w:val="00E43157"/>
    <w:rsid w:val="00E44BB5"/>
    <w:rsid w:val="00E461CE"/>
    <w:rsid w:val="00E55C2E"/>
    <w:rsid w:val="00E573E4"/>
    <w:rsid w:val="00E6378C"/>
    <w:rsid w:val="00E64C3D"/>
    <w:rsid w:val="00E715C2"/>
    <w:rsid w:val="00E71AA9"/>
    <w:rsid w:val="00E720CA"/>
    <w:rsid w:val="00E727AD"/>
    <w:rsid w:val="00E82DDC"/>
    <w:rsid w:val="00E84EB5"/>
    <w:rsid w:val="00E85662"/>
    <w:rsid w:val="00E8789F"/>
    <w:rsid w:val="00E913F2"/>
    <w:rsid w:val="00E97B71"/>
    <w:rsid w:val="00EA0F24"/>
    <w:rsid w:val="00EA1759"/>
    <w:rsid w:val="00EA3D34"/>
    <w:rsid w:val="00EB13C6"/>
    <w:rsid w:val="00EB454D"/>
    <w:rsid w:val="00ED2E67"/>
    <w:rsid w:val="00ED36EA"/>
    <w:rsid w:val="00ED5097"/>
    <w:rsid w:val="00ED549D"/>
    <w:rsid w:val="00ED7651"/>
    <w:rsid w:val="00ED76BE"/>
    <w:rsid w:val="00EE00E9"/>
    <w:rsid w:val="00EE18F1"/>
    <w:rsid w:val="00EE4A80"/>
    <w:rsid w:val="00EE750D"/>
    <w:rsid w:val="00EF1AAA"/>
    <w:rsid w:val="00EF619B"/>
    <w:rsid w:val="00F00B55"/>
    <w:rsid w:val="00F02AD1"/>
    <w:rsid w:val="00F076B9"/>
    <w:rsid w:val="00F177F7"/>
    <w:rsid w:val="00F23605"/>
    <w:rsid w:val="00F24B14"/>
    <w:rsid w:val="00F253CC"/>
    <w:rsid w:val="00F278C3"/>
    <w:rsid w:val="00F347FB"/>
    <w:rsid w:val="00F348FD"/>
    <w:rsid w:val="00F36AC3"/>
    <w:rsid w:val="00F37106"/>
    <w:rsid w:val="00F430CB"/>
    <w:rsid w:val="00F44E25"/>
    <w:rsid w:val="00F508CC"/>
    <w:rsid w:val="00F50D49"/>
    <w:rsid w:val="00F519CF"/>
    <w:rsid w:val="00F56BA5"/>
    <w:rsid w:val="00F57F5D"/>
    <w:rsid w:val="00F60E22"/>
    <w:rsid w:val="00F64B3C"/>
    <w:rsid w:val="00F724F7"/>
    <w:rsid w:val="00F737E8"/>
    <w:rsid w:val="00F7535B"/>
    <w:rsid w:val="00F81395"/>
    <w:rsid w:val="00F81BB8"/>
    <w:rsid w:val="00F82419"/>
    <w:rsid w:val="00F8343E"/>
    <w:rsid w:val="00F83BBC"/>
    <w:rsid w:val="00F84C22"/>
    <w:rsid w:val="00F86D58"/>
    <w:rsid w:val="00F86F28"/>
    <w:rsid w:val="00F90C64"/>
    <w:rsid w:val="00F917D1"/>
    <w:rsid w:val="00F94115"/>
    <w:rsid w:val="00F9653B"/>
    <w:rsid w:val="00FB363E"/>
    <w:rsid w:val="00FB58F8"/>
    <w:rsid w:val="00FB62CF"/>
    <w:rsid w:val="00FB69B3"/>
    <w:rsid w:val="00FC1A8D"/>
    <w:rsid w:val="00FC45AD"/>
    <w:rsid w:val="00FD1F41"/>
    <w:rsid w:val="00FD2E8A"/>
    <w:rsid w:val="00FD3C3B"/>
    <w:rsid w:val="00FE07DD"/>
    <w:rsid w:val="00FE6B45"/>
    <w:rsid w:val="00FE74CB"/>
    <w:rsid w:val="00FF07FD"/>
    <w:rsid w:val="00FF55F3"/>
    <w:rsid w:val="00FF5851"/>
    <w:rsid w:val="00FF7B79"/>
    <w:rsid w:val="627A63E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0">
    <w:name w:val="List 210"/>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0"/>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0"/>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0">
    <w:name w:val="List 510"/>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61609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CD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CD17F6"/>
    <w:rPr>
      <w:rFonts w:ascii="Cambria" w:eastAsia="Cambria" w:hAnsi="Cambria" w:cs="Cambria"/>
      <w:color w:val="000000"/>
      <w:sz w:val="24"/>
      <w:szCs w:val="24"/>
      <w:u w:color="000000"/>
      <w:lang w:val="en-US"/>
    </w:rPr>
  </w:style>
  <w:style w:type="character" w:styleId="Strong">
    <w:name w:val="Strong"/>
    <w:uiPriority w:val="22"/>
    <w:qFormat/>
    <w:rsid w:val="00C2072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806934"/>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02627F"/>
    <w:rPr>
      <w:sz w:val="16"/>
      <w:szCs w:val="16"/>
    </w:rPr>
  </w:style>
  <w:style w:type="paragraph" w:styleId="CommentText">
    <w:name w:val="annotation text"/>
    <w:basedOn w:val="Normal"/>
    <w:link w:val="CommentTextChar"/>
    <w:uiPriority w:val="99"/>
    <w:semiHidden/>
    <w:unhideWhenUsed/>
    <w:rsid w:val="0002627F"/>
    <w:rPr>
      <w:sz w:val="20"/>
      <w:szCs w:val="20"/>
    </w:rPr>
  </w:style>
  <w:style w:type="character" w:customStyle="1" w:styleId="CommentTextChar">
    <w:name w:val="Comment Text Char"/>
    <w:basedOn w:val="DefaultParagraphFont"/>
    <w:link w:val="CommentText"/>
    <w:uiPriority w:val="99"/>
    <w:semiHidden/>
    <w:rsid w:val="0002627F"/>
    <w:rPr>
      <w:lang w:val="en-US" w:eastAsia="en-US"/>
    </w:rPr>
  </w:style>
  <w:style w:type="paragraph" w:styleId="CommentSubject">
    <w:name w:val="annotation subject"/>
    <w:basedOn w:val="CommentText"/>
    <w:next w:val="CommentText"/>
    <w:link w:val="CommentSubjectChar"/>
    <w:uiPriority w:val="99"/>
    <w:semiHidden/>
    <w:unhideWhenUsed/>
    <w:rsid w:val="0002627F"/>
    <w:rPr>
      <w:b/>
      <w:bCs/>
    </w:rPr>
  </w:style>
  <w:style w:type="character" w:customStyle="1" w:styleId="CommentSubjectChar">
    <w:name w:val="Comment Subject Char"/>
    <w:basedOn w:val="CommentTextChar"/>
    <w:link w:val="CommentSubject"/>
    <w:uiPriority w:val="99"/>
    <w:semiHidden/>
    <w:rsid w:val="0002627F"/>
    <w:rPr>
      <w:b/>
      <w:bCs/>
      <w:lang w:val="en-US" w:eastAsia="en-US"/>
    </w:rPr>
  </w:style>
  <w:style w:type="paragraph" w:styleId="Revision">
    <w:name w:val="Revision"/>
    <w:hidden/>
    <w:uiPriority w:val="99"/>
    <w:semiHidden/>
    <w:rsid w:val="00417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F508C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508CC"/>
  </w:style>
  <w:style w:type="character" w:customStyle="1" w:styleId="eop">
    <w:name w:val="eop"/>
    <w:basedOn w:val="DefaultParagraphFont"/>
    <w:rsid w:val="00F50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45D3B"/>
    <w:rsid w:val="001B6211"/>
    <w:rsid w:val="001C4BC0"/>
    <w:rsid w:val="00200821"/>
    <w:rsid w:val="00201CE6"/>
    <w:rsid w:val="0025245B"/>
    <w:rsid w:val="002958DC"/>
    <w:rsid w:val="002A3923"/>
    <w:rsid w:val="00394049"/>
    <w:rsid w:val="004B5BBB"/>
    <w:rsid w:val="004F2DF8"/>
    <w:rsid w:val="006971F7"/>
    <w:rsid w:val="006D27A2"/>
    <w:rsid w:val="006F24A1"/>
    <w:rsid w:val="007079C8"/>
    <w:rsid w:val="00777B1B"/>
    <w:rsid w:val="009A261B"/>
    <w:rsid w:val="00A4418E"/>
    <w:rsid w:val="00A57B69"/>
    <w:rsid w:val="00AA2E17"/>
    <w:rsid w:val="00AC15A4"/>
    <w:rsid w:val="00B0336C"/>
    <w:rsid w:val="00B30277"/>
    <w:rsid w:val="00B76348"/>
    <w:rsid w:val="00BA5AC6"/>
    <w:rsid w:val="00D241E9"/>
    <w:rsid w:val="00D7750D"/>
    <w:rsid w:val="00DF7F1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4525</Words>
  <Characters>25794</Characters>
  <Application>Microsoft Office Word</Application>
  <DocSecurity>0</DocSecurity>
  <Lines>214</Lines>
  <Paragraphs>60</Paragraphs>
  <ScaleCrop>false</ScaleCrop>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2024-06-26T13:30:00Z</dcterms:created>
  <dcterms:modified xsi:type="dcterms:W3CDTF">2024-06-26T13:30:00Z</dcterms:modified>
</cp:coreProperties>
</file>