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4E15B1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0EFE">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82732">
                              <w:rPr>
                                <w:rFonts w:asciiTheme="majorHAnsi" w:hAnsiTheme="majorHAnsi" w:cs="Arial"/>
                                <w:b/>
                                <w:bCs/>
                                <w:color w:val="0D0D0D" w:themeColor="text1" w:themeTint="F2"/>
                                <w:sz w:val="36"/>
                                <w:szCs w:val="22"/>
                                <w:lang w:val="es-ES_tradnl"/>
                              </w:rPr>
                              <w:t>4</w:t>
                            </w:r>
                          </w:p>
                          <w:p w14:paraId="09C54AB3" w14:textId="25938D5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96E">
                              <w:rPr>
                                <w:rFonts w:asciiTheme="majorHAnsi" w:hAnsiTheme="majorHAnsi" w:cs="Arial"/>
                                <w:b/>
                                <w:color w:val="0D0D0D" w:themeColor="text1" w:themeTint="F2"/>
                                <w:sz w:val="36"/>
                                <w:szCs w:val="22"/>
                                <w:lang w:val="es-ES_tradnl"/>
                              </w:rPr>
                              <w:t>1</w:t>
                            </w:r>
                            <w:r w:rsidR="00AE068C">
                              <w:rPr>
                                <w:rFonts w:asciiTheme="majorHAnsi" w:hAnsiTheme="majorHAnsi" w:cs="Arial"/>
                                <w:b/>
                                <w:color w:val="0D0D0D" w:themeColor="text1" w:themeTint="F2"/>
                                <w:sz w:val="36"/>
                                <w:szCs w:val="22"/>
                                <w:lang w:val="es-ES_tradnl"/>
                              </w:rPr>
                              <w:t>676</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F7C0160" w:rsidR="005B52B0" w:rsidRPr="00AE068C" w:rsidRDefault="00AE068C"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ALEJANDRO A</w:t>
                            </w:r>
                            <w:r w:rsidR="00065B2D">
                              <w:rPr>
                                <w:rFonts w:asciiTheme="majorHAnsi" w:hAnsiTheme="majorHAnsi" w:cs="Arial"/>
                                <w:color w:val="0D0D0D" w:themeColor="text1" w:themeTint="F2"/>
                                <w:szCs w:val="22"/>
                                <w:lang w:val="es-US"/>
                              </w:rPr>
                              <w:t>R</w:t>
                            </w:r>
                            <w:r>
                              <w:rPr>
                                <w:rFonts w:asciiTheme="majorHAnsi" w:hAnsiTheme="majorHAnsi" w:cs="Arial"/>
                                <w:color w:val="0D0D0D" w:themeColor="text1" w:themeTint="F2"/>
                                <w:szCs w:val="22"/>
                                <w:lang w:val="es-US"/>
                              </w:rPr>
                              <w:t>RIETA TORRES Y PABLO ARRIETA TORRES</w:t>
                            </w:r>
                          </w:p>
                          <w:bookmarkEnd w:id="0"/>
                          <w:p w14:paraId="35068D0D" w14:textId="0DC00239" w:rsidR="005B52B0" w:rsidRPr="00AE068C" w:rsidRDefault="00441E0D" w:rsidP="00997BC5">
                            <w:pPr>
                              <w:spacing w:line="276" w:lineRule="auto"/>
                              <w:rPr>
                                <w:rFonts w:asciiTheme="majorHAnsi" w:hAnsiTheme="majorHAnsi" w:cs="Arial"/>
                                <w:color w:val="0D0D0D" w:themeColor="text1" w:themeTint="F2"/>
                                <w:szCs w:val="22"/>
                                <w:lang w:val="es-US"/>
                              </w:rPr>
                            </w:pPr>
                            <w:r w:rsidRPr="00AE068C">
                              <w:rPr>
                                <w:rFonts w:asciiTheme="majorHAnsi" w:hAnsiTheme="majorHAnsi" w:cs="Arial"/>
                                <w:color w:val="0D0D0D" w:themeColor="text1" w:themeTint="F2"/>
                                <w:szCs w:val="22"/>
                                <w:lang w:val="es-US"/>
                              </w:rPr>
                              <w:t>COSTA RICA</w:t>
                            </w:r>
                          </w:p>
                          <w:p w14:paraId="575DFD52" w14:textId="77777777" w:rsidR="005B52B0" w:rsidRPr="00AE068C"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4E15B1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0EFE">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82732">
                        <w:rPr>
                          <w:rFonts w:asciiTheme="majorHAnsi" w:hAnsiTheme="majorHAnsi" w:cs="Arial"/>
                          <w:b/>
                          <w:bCs/>
                          <w:color w:val="0D0D0D" w:themeColor="text1" w:themeTint="F2"/>
                          <w:sz w:val="36"/>
                          <w:szCs w:val="22"/>
                          <w:lang w:val="es-ES_tradnl"/>
                        </w:rPr>
                        <w:t>4</w:t>
                      </w:r>
                    </w:p>
                    <w:p w14:paraId="09C54AB3" w14:textId="25938D5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96E">
                        <w:rPr>
                          <w:rFonts w:asciiTheme="majorHAnsi" w:hAnsiTheme="majorHAnsi" w:cs="Arial"/>
                          <w:b/>
                          <w:color w:val="0D0D0D" w:themeColor="text1" w:themeTint="F2"/>
                          <w:sz w:val="36"/>
                          <w:szCs w:val="22"/>
                          <w:lang w:val="es-ES_tradnl"/>
                        </w:rPr>
                        <w:t>1</w:t>
                      </w:r>
                      <w:r w:rsidR="00AE068C">
                        <w:rPr>
                          <w:rFonts w:asciiTheme="majorHAnsi" w:hAnsiTheme="majorHAnsi" w:cs="Arial"/>
                          <w:b/>
                          <w:color w:val="0D0D0D" w:themeColor="text1" w:themeTint="F2"/>
                          <w:sz w:val="36"/>
                          <w:szCs w:val="22"/>
                          <w:lang w:val="es-ES_tradnl"/>
                        </w:rPr>
                        <w:t>676</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F7C0160" w:rsidR="005B52B0" w:rsidRPr="00AE068C" w:rsidRDefault="00AE068C"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ALEJANDRO A</w:t>
                      </w:r>
                      <w:r w:rsidR="00065B2D">
                        <w:rPr>
                          <w:rFonts w:asciiTheme="majorHAnsi" w:hAnsiTheme="majorHAnsi" w:cs="Arial"/>
                          <w:color w:val="0D0D0D" w:themeColor="text1" w:themeTint="F2"/>
                          <w:szCs w:val="22"/>
                          <w:lang w:val="es-US"/>
                        </w:rPr>
                        <w:t>R</w:t>
                      </w:r>
                      <w:r>
                        <w:rPr>
                          <w:rFonts w:asciiTheme="majorHAnsi" w:hAnsiTheme="majorHAnsi" w:cs="Arial"/>
                          <w:color w:val="0D0D0D" w:themeColor="text1" w:themeTint="F2"/>
                          <w:szCs w:val="22"/>
                          <w:lang w:val="es-US"/>
                        </w:rPr>
                        <w:t>RIETA TORRES Y PABLO ARRIETA TORRES</w:t>
                      </w:r>
                    </w:p>
                    <w:bookmarkEnd w:id="1"/>
                    <w:p w14:paraId="35068D0D" w14:textId="0DC00239" w:rsidR="005B52B0" w:rsidRPr="00AE068C" w:rsidRDefault="00441E0D" w:rsidP="00997BC5">
                      <w:pPr>
                        <w:spacing w:line="276" w:lineRule="auto"/>
                        <w:rPr>
                          <w:rFonts w:asciiTheme="majorHAnsi" w:hAnsiTheme="majorHAnsi" w:cs="Arial"/>
                          <w:color w:val="0D0D0D" w:themeColor="text1" w:themeTint="F2"/>
                          <w:szCs w:val="22"/>
                          <w:lang w:val="es-US"/>
                        </w:rPr>
                      </w:pPr>
                      <w:r w:rsidRPr="00AE068C">
                        <w:rPr>
                          <w:rFonts w:asciiTheme="majorHAnsi" w:hAnsiTheme="majorHAnsi" w:cs="Arial"/>
                          <w:color w:val="0D0D0D" w:themeColor="text1" w:themeTint="F2"/>
                          <w:szCs w:val="22"/>
                          <w:lang w:val="es-US"/>
                        </w:rPr>
                        <w:t>COSTA RICA</w:t>
                      </w:r>
                    </w:p>
                    <w:p w14:paraId="575DFD52" w14:textId="77777777" w:rsidR="005B52B0" w:rsidRPr="00AE068C"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35A586E" w:rsidR="00627C9F" w:rsidRPr="00065B2D" w:rsidRDefault="00834D49" w:rsidP="007A5817">
                            <w:pPr>
                              <w:spacing w:line="276" w:lineRule="auto"/>
                              <w:jc w:val="right"/>
                              <w:rPr>
                                <w:rFonts w:asciiTheme="minorHAnsi" w:hAnsiTheme="minorHAnsi"/>
                                <w:color w:val="FFFFFF" w:themeColor="background1"/>
                                <w:sz w:val="22"/>
                                <w:lang w:val="es-ES"/>
                              </w:rPr>
                            </w:pPr>
                            <w:r w:rsidRPr="00065B2D">
                              <w:rPr>
                                <w:rFonts w:asciiTheme="minorHAnsi" w:hAnsiTheme="minorHAnsi"/>
                                <w:color w:val="FFFFFF" w:themeColor="background1"/>
                                <w:sz w:val="22"/>
                                <w:lang w:val="es-ES"/>
                              </w:rPr>
                              <w:t>OEA/Ser.L/V/II</w:t>
                            </w:r>
                          </w:p>
                          <w:p w14:paraId="6A41611B" w14:textId="28F428DD" w:rsidR="00627C9F" w:rsidRPr="00065B2D" w:rsidRDefault="00627C9F" w:rsidP="007A5817">
                            <w:pPr>
                              <w:spacing w:line="276" w:lineRule="auto"/>
                              <w:jc w:val="right"/>
                              <w:rPr>
                                <w:rFonts w:asciiTheme="minorHAnsi" w:hAnsiTheme="minorHAnsi"/>
                                <w:color w:val="FFFFFF" w:themeColor="background1"/>
                                <w:sz w:val="22"/>
                                <w:lang w:val="es-ES"/>
                              </w:rPr>
                            </w:pPr>
                            <w:r w:rsidRPr="00065B2D">
                              <w:rPr>
                                <w:rFonts w:asciiTheme="minorHAnsi" w:hAnsiTheme="minorHAnsi"/>
                                <w:color w:val="FFFFFF" w:themeColor="background1"/>
                                <w:sz w:val="22"/>
                                <w:lang w:val="es-ES"/>
                              </w:rPr>
                              <w:t xml:space="preserve">Doc. </w:t>
                            </w:r>
                            <w:r w:rsidR="00210D62" w:rsidRPr="00065B2D">
                              <w:rPr>
                                <w:rFonts w:asciiTheme="minorHAnsi" w:hAnsiTheme="minorHAnsi"/>
                                <w:color w:val="FFFFFF" w:themeColor="background1"/>
                                <w:sz w:val="22"/>
                                <w:lang w:val="es-ES"/>
                              </w:rPr>
                              <w:t>15</w:t>
                            </w:r>
                          </w:p>
                          <w:p w14:paraId="69373ED2" w14:textId="066A4730" w:rsidR="00627C9F" w:rsidRPr="00C25ADB" w:rsidRDefault="00210D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82732">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35A586E" w:rsidR="00627C9F" w:rsidRPr="00065B2D" w:rsidRDefault="00834D49" w:rsidP="007A5817">
                      <w:pPr>
                        <w:spacing w:line="276" w:lineRule="auto"/>
                        <w:jc w:val="right"/>
                        <w:rPr>
                          <w:rFonts w:asciiTheme="minorHAnsi" w:hAnsiTheme="minorHAnsi"/>
                          <w:color w:val="FFFFFF" w:themeColor="background1"/>
                          <w:sz w:val="22"/>
                          <w:lang w:val="es-ES"/>
                        </w:rPr>
                      </w:pPr>
                      <w:r w:rsidRPr="00065B2D">
                        <w:rPr>
                          <w:rFonts w:asciiTheme="minorHAnsi" w:hAnsiTheme="minorHAnsi"/>
                          <w:color w:val="FFFFFF" w:themeColor="background1"/>
                          <w:sz w:val="22"/>
                          <w:lang w:val="es-ES"/>
                        </w:rPr>
                        <w:t>OEA/Ser.L/V/II</w:t>
                      </w:r>
                    </w:p>
                    <w:p w14:paraId="6A41611B" w14:textId="28F428DD" w:rsidR="00627C9F" w:rsidRPr="00065B2D" w:rsidRDefault="00627C9F" w:rsidP="007A5817">
                      <w:pPr>
                        <w:spacing w:line="276" w:lineRule="auto"/>
                        <w:jc w:val="right"/>
                        <w:rPr>
                          <w:rFonts w:asciiTheme="minorHAnsi" w:hAnsiTheme="minorHAnsi"/>
                          <w:color w:val="FFFFFF" w:themeColor="background1"/>
                          <w:sz w:val="22"/>
                          <w:lang w:val="es-ES"/>
                        </w:rPr>
                      </w:pPr>
                      <w:r w:rsidRPr="00065B2D">
                        <w:rPr>
                          <w:rFonts w:asciiTheme="minorHAnsi" w:hAnsiTheme="minorHAnsi"/>
                          <w:color w:val="FFFFFF" w:themeColor="background1"/>
                          <w:sz w:val="22"/>
                          <w:lang w:val="es-ES"/>
                        </w:rPr>
                        <w:t xml:space="preserve">Doc. </w:t>
                      </w:r>
                      <w:r w:rsidR="00210D62" w:rsidRPr="00065B2D">
                        <w:rPr>
                          <w:rFonts w:asciiTheme="minorHAnsi" w:hAnsiTheme="minorHAnsi"/>
                          <w:color w:val="FFFFFF" w:themeColor="background1"/>
                          <w:sz w:val="22"/>
                          <w:lang w:val="es-ES"/>
                        </w:rPr>
                        <w:t>15</w:t>
                      </w:r>
                    </w:p>
                    <w:p w14:paraId="69373ED2" w14:textId="066A4730" w:rsidR="00627C9F" w:rsidRPr="00C25ADB" w:rsidRDefault="00210D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82732">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C3D04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50EF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50EF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82732">
                              <w:rPr>
                                <w:rFonts w:asciiTheme="majorHAnsi" w:hAnsiTheme="majorHAnsi"/>
                                <w:color w:val="0D0D0D" w:themeColor="text1" w:themeTint="F2"/>
                                <w:sz w:val="18"/>
                                <w:szCs w:val="22"/>
                                <w:lang w:val="es-ES"/>
                              </w:rPr>
                              <w:t>4</w:t>
                            </w:r>
                            <w:r w:rsidR="00650EF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C3D04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50EF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50EF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82732">
                        <w:rPr>
                          <w:rFonts w:asciiTheme="majorHAnsi" w:hAnsiTheme="majorHAnsi"/>
                          <w:color w:val="0D0D0D" w:themeColor="text1" w:themeTint="F2"/>
                          <w:sz w:val="18"/>
                          <w:szCs w:val="22"/>
                          <w:lang w:val="es-ES"/>
                        </w:rPr>
                        <w:t>4</w:t>
                      </w:r>
                      <w:r w:rsidR="00650EF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A7B64" w14:textId="77777777" w:rsidR="00650EF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50EFE" w:rsidRPr="00650EFE">
                              <w:rPr>
                                <w:rFonts w:asciiTheme="majorHAnsi" w:hAnsiTheme="majorHAnsi"/>
                                <w:color w:val="595959" w:themeColor="text1" w:themeTint="A6"/>
                                <w:sz w:val="18"/>
                                <w:szCs w:val="18"/>
                                <w:lang w:val="pt-BR"/>
                              </w:rPr>
                              <w:t>13/24</w:t>
                            </w:r>
                            <w:r w:rsidRPr="00650E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6296E">
                              <w:rPr>
                                <w:rFonts w:asciiTheme="majorHAnsi" w:hAnsiTheme="majorHAnsi"/>
                                <w:color w:val="595959" w:themeColor="text1" w:themeTint="A6"/>
                                <w:sz w:val="18"/>
                                <w:szCs w:val="18"/>
                                <w:lang w:val="es-ES"/>
                              </w:rPr>
                              <w:t>1</w:t>
                            </w:r>
                            <w:r w:rsidR="00AE068C">
                              <w:rPr>
                                <w:rFonts w:asciiTheme="majorHAnsi" w:hAnsiTheme="majorHAnsi"/>
                                <w:color w:val="595959" w:themeColor="text1" w:themeTint="A6"/>
                                <w:sz w:val="18"/>
                                <w:szCs w:val="18"/>
                                <w:lang w:val="es-ES"/>
                              </w:rPr>
                              <w:t>676</w:t>
                            </w:r>
                            <w:r w:rsidR="00441E0D">
                              <w:rPr>
                                <w:rFonts w:asciiTheme="majorHAnsi" w:hAnsiTheme="majorHAnsi"/>
                                <w:color w:val="595959" w:themeColor="text1" w:themeTint="A6"/>
                                <w:sz w:val="18"/>
                                <w:szCs w:val="18"/>
                                <w:lang w:val="es-ES"/>
                              </w:rPr>
                              <w:t>-</w:t>
                            </w:r>
                            <w:r w:rsidR="0016296E">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2F661BCF" w:rsidR="00113F73" w:rsidRPr="007B05C4" w:rsidRDefault="00AE068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Alejandro Arrieta Torres y Pablo Arrieta Torres</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650EFE">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64A7B64" w14:textId="77777777" w:rsidR="00650EF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50EFE" w:rsidRPr="00650EFE">
                        <w:rPr>
                          <w:rFonts w:asciiTheme="majorHAnsi" w:hAnsiTheme="majorHAnsi"/>
                          <w:color w:val="595959" w:themeColor="text1" w:themeTint="A6"/>
                          <w:sz w:val="18"/>
                          <w:szCs w:val="18"/>
                          <w:lang w:val="pt-BR"/>
                        </w:rPr>
                        <w:t>13/24</w:t>
                      </w:r>
                      <w:r w:rsidRPr="00650E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6296E">
                        <w:rPr>
                          <w:rFonts w:asciiTheme="majorHAnsi" w:hAnsiTheme="majorHAnsi"/>
                          <w:color w:val="595959" w:themeColor="text1" w:themeTint="A6"/>
                          <w:sz w:val="18"/>
                          <w:szCs w:val="18"/>
                          <w:lang w:val="es-ES"/>
                        </w:rPr>
                        <w:t>1</w:t>
                      </w:r>
                      <w:r w:rsidR="00AE068C">
                        <w:rPr>
                          <w:rFonts w:asciiTheme="majorHAnsi" w:hAnsiTheme="majorHAnsi"/>
                          <w:color w:val="595959" w:themeColor="text1" w:themeTint="A6"/>
                          <w:sz w:val="18"/>
                          <w:szCs w:val="18"/>
                          <w:lang w:val="es-ES"/>
                        </w:rPr>
                        <w:t>676</w:t>
                      </w:r>
                      <w:r w:rsidR="00441E0D">
                        <w:rPr>
                          <w:rFonts w:asciiTheme="majorHAnsi" w:hAnsiTheme="majorHAnsi"/>
                          <w:color w:val="595959" w:themeColor="text1" w:themeTint="A6"/>
                          <w:sz w:val="18"/>
                          <w:szCs w:val="18"/>
                          <w:lang w:val="es-ES"/>
                        </w:rPr>
                        <w:t>-</w:t>
                      </w:r>
                      <w:r w:rsidR="0016296E">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2F661BCF" w:rsidR="00113F73" w:rsidRPr="007B05C4" w:rsidRDefault="00AE068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Alejandro Arrieta Torres y Pablo Arrieta Torres</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650EFE">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9B7C82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06482E7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A875EB0" w:rsidR="0070697F" w:rsidRDefault="0068344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04B27A1">
                <wp:simplePos x="0" y="0"/>
                <wp:positionH relativeFrom="column">
                  <wp:posOffset>1310005</wp:posOffset>
                </wp:positionH>
                <wp:positionV relativeFrom="paragraph">
                  <wp:posOffset>551343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72B39C9" w:rsidR="00D72DC6" w:rsidRPr="00D72DC6" w:rsidRDefault="00683443" w:rsidP="00F02AD1">
                            <w:pPr>
                              <w:rPr>
                                <w:color w:val="FFFFFF" w:themeColor="background1"/>
                                <w14:textFill>
                                  <w14:noFill/>
                                </w14:textFill>
                              </w:rPr>
                            </w:pPr>
                            <w:r>
                              <w:rPr>
                                <w:noProof/>
                                <w:color w:val="FFFFFF" w:themeColor="background1"/>
                              </w:rPr>
                              <w:drawing>
                                <wp:inline distT="0" distB="0" distL="0" distR="0" wp14:anchorId="4054A9F6" wp14:editId="0B09295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15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wgzgluEA&#10;AAAKAQAADwAAAAAAAAAAAAAAAADUBAAAZHJzL2Rvd25yZXYueG1sUEsFBgAAAAAEAAQA8wAAAOIF&#10;AAAAAA==&#10;" fillcolor="white [3201]" stroked="f" strokeweight=".5pt">
                <v:textbox>
                  <w:txbxContent>
                    <w:p w14:paraId="2A1ECD3C" w14:textId="272B39C9" w:rsidR="00D72DC6" w:rsidRPr="00D72DC6" w:rsidRDefault="00683443" w:rsidP="00F02AD1">
                      <w:pPr>
                        <w:rPr>
                          <w:color w:val="FFFFFF" w:themeColor="background1"/>
                          <w14:textFill>
                            <w14:noFill/>
                          </w14:textFill>
                        </w:rPr>
                      </w:pPr>
                      <w:r>
                        <w:rPr>
                          <w:noProof/>
                          <w:color w:val="FFFFFF" w:themeColor="background1"/>
                        </w:rPr>
                        <w:drawing>
                          <wp:inline distT="0" distB="0" distL="0" distR="0" wp14:anchorId="4054A9F6" wp14:editId="0B09295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3550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1888C11" w:rsidR="003239B8" w:rsidRPr="005A254F" w:rsidRDefault="00AE068C" w:rsidP="008D2290">
            <w:pPr>
              <w:jc w:val="both"/>
              <w:rPr>
                <w:rFonts w:ascii="Cambria" w:hAnsi="Cambria"/>
                <w:bCs/>
                <w:sz w:val="20"/>
                <w:szCs w:val="20"/>
                <w:lang w:val="es-PE"/>
              </w:rPr>
            </w:pPr>
            <w:r>
              <w:rPr>
                <w:rFonts w:ascii="Cambria" w:hAnsi="Cambria"/>
                <w:bCs/>
                <w:sz w:val="20"/>
                <w:szCs w:val="20"/>
                <w:lang w:val="es-PE"/>
              </w:rPr>
              <w:t>Alejandro Arrieta Torres y Pablo Arrieta Torres</w:t>
            </w:r>
          </w:p>
        </w:tc>
      </w:tr>
      <w:tr w:rsidR="003239B8" w:rsidRPr="00F3550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B16B9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873E9EA" w:rsidR="003239B8" w:rsidRPr="000D05CB" w:rsidRDefault="00AE068C" w:rsidP="008D2290">
            <w:pPr>
              <w:jc w:val="both"/>
              <w:rPr>
                <w:rFonts w:ascii="Cambria" w:hAnsi="Cambria"/>
                <w:bCs/>
                <w:sz w:val="20"/>
                <w:szCs w:val="20"/>
                <w:lang w:val="es-ES"/>
              </w:rPr>
            </w:pPr>
            <w:r>
              <w:rPr>
                <w:rFonts w:ascii="Cambria" w:hAnsi="Cambria"/>
                <w:bCs/>
                <w:sz w:val="20"/>
                <w:szCs w:val="20"/>
                <w:lang w:val="es-PE"/>
              </w:rPr>
              <w:t>Alejandro Arrieta Torres y Pablo Arrieta Torres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F3550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C8CE0E9"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Pr>
                <w:rFonts w:ascii="Cambria" w:hAnsi="Cambria"/>
                <w:bCs/>
                <w:sz w:val="20"/>
                <w:szCs w:val="20"/>
                <w:lang w:val="es-ES"/>
              </w:rPr>
              <w:t>8 (garantías judiciales)</w:t>
            </w:r>
            <w:r w:rsidR="007449B3">
              <w:rPr>
                <w:rFonts w:ascii="Cambria" w:hAnsi="Cambria"/>
                <w:bCs/>
                <w:sz w:val="20"/>
                <w:szCs w:val="20"/>
                <w:lang w:val="es-ES"/>
              </w:rPr>
              <w:t>, 9 (principio de legalidad y de retroactividad)</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28C4024" w:rsidR="004C2312" w:rsidRPr="003239B8" w:rsidRDefault="00EB0DD8" w:rsidP="002625EA">
            <w:pPr>
              <w:jc w:val="both"/>
              <w:rPr>
                <w:rFonts w:ascii="Cambria" w:hAnsi="Cambria"/>
                <w:bCs/>
                <w:sz w:val="20"/>
                <w:szCs w:val="20"/>
                <w:lang w:val="es-ES"/>
              </w:rPr>
            </w:pPr>
            <w:r>
              <w:rPr>
                <w:rFonts w:ascii="Cambria" w:hAnsi="Cambria"/>
                <w:bCs/>
                <w:sz w:val="20"/>
                <w:szCs w:val="20"/>
                <w:lang w:val="es-ES"/>
              </w:rPr>
              <w:t>23 de noviembre de 2011</w:t>
            </w:r>
          </w:p>
        </w:tc>
      </w:tr>
      <w:tr w:rsidR="00131425" w:rsidRPr="00F3550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5F10BF15" w:rsidR="00131425" w:rsidRPr="00A47ED2" w:rsidRDefault="00A135DF" w:rsidP="002625EA">
            <w:pPr>
              <w:jc w:val="both"/>
              <w:rPr>
                <w:rFonts w:ascii="Cambria" w:hAnsi="Cambria"/>
                <w:bCs/>
                <w:sz w:val="20"/>
                <w:szCs w:val="20"/>
                <w:lang w:val="es-PE"/>
              </w:rPr>
            </w:pPr>
            <w:r>
              <w:rPr>
                <w:rFonts w:ascii="Cambria" w:hAnsi="Cambria"/>
                <w:bCs/>
                <w:sz w:val="20"/>
                <w:szCs w:val="20"/>
                <w:lang w:val="es-PE"/>
              </w:rPr>
              <w:t>23 de enero de 2013</w:t>
            </w:r>
            <w:r w:rsidR="009105E8">
              <w:rPr>
                <w:rFonts w:ascii="Cambria" w:hAnsi="Cambria"/>
                <w:bCs/>
                <w:sz w:val="20"/>
                <w:szCs w:val="20"/>
                <w:lang w:val="es-PE"/>
              </w:rPr>
              <w:t>, 26 de abril de 2016</w:t>
            </w:r>
            <w:r w:rsidR="00395A06">
              <w:rPr>
                <w:rFonts w:ascii="Cambria" w:hAnsi="Cambria"/>
                <w:bCs/>
                <w:sz w:val="20"/>
                <w:szCs w:val="20"/>
                <w:lang w:val="es-PE"/>
              </w:rPr>
              <w:t>2</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6146F990" w:rsidR="004C2312" w:rsidRPr="0048719B" w:rsidRDefault="00395A06" w:rsidP="008D2290">
            <w:pPr>
              <w:jc w:val="both"/>
              <w:rPr>
                <w:rFonts w:ascii="Cambria" w:hAnsi="Cambria"/>
                <w:bCs/>
                <w:sz w:val="20"/>
                <w:szCs w:val="20"/>
                <w:lang w:val="es-PE"/>
              </w:rPr>
            </w:pPr>
            <w:r>
              <w:rPr>
                <w:rFonts w:ascii="Cambria" w:hAnsi="Cambria"/>
                <w:bCs/>
                <w:sz w:val="20"/>
                <w:szCs w:val="20"/>
                <w:lang w:val="es-PE"/>
              </w:rPr>
              <w:t>25 de octubre de 2016</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5DCF245E" w:rsidR="004C2312" w:rsidRPr="0048719B" w:rsidRDefault="000071B2" w:rsidP="008D2290">
            <w:pPr>
              <w:jc w:val="both"/>
              <w:rPr>
                <w:rFonts w:ascii="Cambria" w:hAnsi="Cambria"/>
                <w:bCs/>
                <w:sz w:val="20"/>
                <w:szCs w:val="20"/>
                <w:lang w:val="es-PE"/>
              </w:rPr>
            </w:pPr>
            <w:r>
              <w:rPr>
                <w:rFonts w:ascii="Cambria" w:hAnsi="Cambria"/>
                <w:bCs/>
                <w:sz w:val="20"/>
                <w:szCs w:val="20"/>
                <w:lang w:val="es-PE"/>
              </w:rPr>
              <w:t>25 de enero de 2017</w:t>
            </w:r>
          </w:p>
        </w:tc>
      </w:tr>
      <w:tr w:rsidR="00791760" w:rsidRPr="00F35509"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61083F73" w:rsidR="00791760" w:rsidRDefault="00806C1C" w:rsidP="008D2290">
            <w:pPr>
              <w:jc w:val="both"/>
              <w:rPr>
                <w:rFonts w:ascii="Cambria" w:hAnsi="Cambria"/>
                <w:bCs/>
                <w:sz w:val="20"/>
                <w:szCs w:val="20"/>
                <w:lang w:val="es-PE"/>
              </w:rPr>
            </w:pPr>
            <w:r>
              <w:rPr>
                <w:rFonts w:ascii="Cambria" w:hAnsi="Cambria"/>
                <w:bCs/>
                <w:sz w:val="20"/>
                <w:szCs w:val="20"/>
                <w:lang w:val="es-PE"/>
              </w:rPr>
              <w:t>11 de octubre de 2017</w:t>
            </w:r>
            <w:r w:rsidR="008D6079">
              <w:rPr>
                <w:rFonts w:ascii="Cambria" w:hAnsi="Cambria"/>
                <w:bCs/>
                <w:sz w:val="20"/>
                <w:szCs w:val="20"/>
                <w:lang w:val="es-PE"/>
              </w:rPr>
              <w:t>, 15 de febrero de 2019</w:t>
            </w:r>
            <w:r w:rsidR="001E163E">
              <w:rPr>
                <w:rFonts w:ascii="Cambria" w:hAnsi="Cambria"/>
                <w:bCs/>
                <w:sz w:val="20"/>
                <w:szCs w:val="20"/>
                <w:lang w:val="es-PE"/>
              </w:rPr>
              <w:t>, 30 de junio de 2020</w:t>
            </w:r>
            <w:r w:rsidR="005D3A5C">
              <w:rPr>
                <w:rFonts w:ascii="Cambria" w:hAnsi="Cambria"/>
                <w:bCs/>
                <w:sz w:val="20"/>
                <w:szCs w:val="20"/>
                <w:lang w:val="es-PE"/>
              </w:rPr>
              <w:t>, 9 de febrero de 2021</w:t>
            </w:r>
            <w:r w:rsidR="00F52C55">
              <w:rPr>
                <w:rFonts w:ascii="Cambria" w:hAnsi="Cambria"/>
                <w:bCs/>
                <w:sz w:val="20"/>
                <w:szCs w:val="20"/>
                <w:lang w:val="es-PE"/>
              </w:rPr>
              <w:t>, 25 de marzo de 2021</w:t>
            </w:r>
            <w:r w:rsidR="00A753B8">
              <w:rPr>
                <w:rFonts w:ascii="Cambria" w:hAnsi="Cambria"/>
                <w:bCs/>
                <w:sz w:val="20"/>
                <w:szCs w:val="20"/>
                <w:lang w:val="es-PE"/>
              </w:rPr>
              <w:t xml:space="preserve"> y</w:t>
            </w:r>
            <w:r w:rsidR="006A0723">
              <w:rPr>
                <w:rFonts w:ascii="Cambria" w:hAnsi="Cambria"/>
                <w:bCs/>
                <w:sz w:val="20"/>
                <w:szCs w:val="20"/>
                <w:lang w:val="es-PE"/>
              </w:rPr>
              <w:t xml:space="preserve"> 10 de mayo de 2021</w:t>
            </w:r>
          </w:p>
        </w:tc>
      </w:tr>
      <w:tr w:rsidR="00303948" w:rsidRPr="00F35509"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6D694591" w:rsidR="00303948" w:rsidRPr="0048719B" w:rsidRDefault="00B514BA" w:rsidP="008D2290">
            <w:pPr>
              <w:jc w:val="both"/>
              <w:rPr>
                <w:rFonts w:ascii="Cambria" w:hAnsi="Cambria"/>
                <w:bCs/>
                <w:sz w:val="20"/>
                <w:szCs w:val="20"/>
                <w:lang w:val="es-PE"/>
              </w:rPr>
            </w:pPr>
            <w:r>
              <w:rPr>
                <w:rFonts w:ascii="Cambria" w:hAnsi="Cambria"/>
                <w:bCs/>
                <w:sz w:val="20"/>
                <w:szCs w:val="20"/>
                <w:lang w:val="es-PE"/>
              </w:rPr>
              <w:t>15 de septiembre de 2018</w:t>
            </w:r>
            <w:r w:rsidR="008B69F5">
              <w:rPr>
                <w:rFonts w:ascii="Cambria" w:hAnsi="Cambria"/>
                <w:bCs/>
                <w:sz w:val="20"/>
                <w:szCs w:val="20"/>
                <w:lang w:val="es-PE"/>
              </w:rPr>
              <w:t>, 18 de mayo de 2020</w:t>
            </w:r>
            <w:r w:rsidR="00BF4463">
              <w:rPr>
                <w:rFonts w:ascii="Cambria" w:hAnsi="Cambria"/>
                <w:bCs/>
                <w:sz w:val="20"/>
                <w:szCs w:val="20"/>
                <w:lang w:val="es-PE"/>
              </w:rPr>
              <w:t>, 1 de octubre de 2020</w:t>
            </w:r>
            <w:r w:rsidR="00255A41">
              <w:rPr>
                <w:rFonts w:ascii="Cambria" w:hAnsi="Cambria"/>
                <w:bCs/>
                <w:sz w:val="20"/>
                <w:szCs w:val="20"/>
                <w:lang w:val="es-PE"/>
              </w:rPr>
              <w:t>, 7 de diciembre de 2020</w:t>
            </w:r>
            <w:r w:rsidR="00F5542B">
              <w:rPr>
                <w:rFonts w:ascii="Cambria" w:hAnsi="Cambria"/>
                <w:bCs/>
                <w:sz w:val="20"/>
                <w:szCs w:val="20"/>
                <w:lang w:val="es-PE"/>
              </w:rPr>
              <w:t xml:space="preserve"> y</w:t>
            </w:r>
            <w:r w:rsidR="00034242">
              <w:rPr>
                <w:rFonts w:ascii="Cambria" w:hAnsi="Cambria"/>
                <w:bCs/>
                <w:sz w:val="20"/>
                <w:szCs w:val="20"/>
                <w:lang w:val="es-PE"/>
              </w:rPr>
              <w:t xml:space="preserve"> 20 de mayo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60"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60"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60"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F3550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60"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F3550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F3550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Pr="00B54F0A"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B54F0A">
        <w:rPr>
          <w:rFonts w:asciiTheme="majorHAnsi" w:hAnsiTheme="majorHAnsi"/>
          <w:b/>
          <w:sz w:val="20"/>
          <w:szCs w:val="20"/>
          <w:lang w:val="es-ES"/>
        </w:rPr>
        <w:t>POSICIÓN DE LAS PARTES</w:t>
      </w:r>
    </w:p>
    <w:p w14:paraId="6CB72300" w14:textId="41137ED5" w:rsidR="00BA237E" w:rsidRPr="00B54F0A" w:rsidRDefault="008E3587" w:rsidP="003239B8">
      <w:pPr>
        <w:spacing w:before="240" w:after="240"/>
        <w:ind w:firstLine="720"/>
        <w:jc w:val="both"/>
        <w:rPr>
          <w:rFonts w:asciiTheme="majorHAnsi" w:hAnsiTheme="majorHAnsi"/>
          <w:bCs/>
          <w:i/>
          <w:iCs/>
          <w:sz w:val="20"/>
          <w:szCs w:val="20"/>
          <w:lang w:val="es-ES"/>
        </w:rPr>
      </w:pPr>
      <w:r w:rsidRPr="00B54F0A">
        <w:rPr>
          <w:rFonts w:asciiTheme="majorHAnsi" w:hAnsiTheme="majorHAnsi"/>
          <w:bCs/>
          <w:i/>
          <w:iCs/>
          <w:sz w:val="20"/>
          <w:szCs w:val="20"/>
          <w:lang w:val="es-ES"/>
        </w:rPr>
        <w:t>Alegatos de la parte peticionaria</w:t>
      </w:r>
    </w:p>
    <w:p w14:paraId="2F7D0A27" w14:textId="7C000303" w:rsidR="004B5430" w:rsidRPr="00B54F0A" w:rsidRDefault="006B0A87" w:rsidP="004B5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Cambria" w:hAnsi="Cambria"/>
          <w:sz w:val="20"/>
          <w:szCs w:val="20"/>
          <w:lang w:val="es-ES"/>
        </w:rPr>
        <w:t xml:space="preserve">Los señores Alejandro Arrieta Torres y Pablo Arrieta Torres, en su condición de presuntas víctimas y peticionarios, denuncian que </w:t>
      </w:r>
      <w:r w:rsidR="00BB3A40" w:rsidRPr="00B54F0A">
        <w:rPr>
          <w:rFonts w:ascii="Cambria" w:hAnsi="Cambria"/>
          <w:sz w:val="20"/>
          <w:szCs w:val="20"/>
          <w:lang w:val="es-ES"/>
        </w:rPr>
        <w:t>no tuv</w:t>
      </w:r>
      <w:r w:rsidR="003506F6" w:rsidRPr="00B54F0A">
        <w:rPr>
          <w:rFonts w:ascii="Cambria" w:hAnsi="Cambria"/>
          <w:sz w:val="20"/>
          <w:szCs w:val="20"/>
          <w:lang w:val="es-ES"/>
        </w:rPr>
        <w:t>ieron</w:t>
      </w:r>
      <w:r w:rsidR="00BB3A40" w:rsidRPr="00B54F0A">
        <w:rPr>
          <w:rFonts w:ascii="Cambria" w:hAnsi="Cambria"/>
          <w:sz w:val="20"/>
          <w:szCs w:val="20"/>
          <w:lang w:val="es-ES"/>
        </w:rPr>
        <w:t xml:space="preserve"> acceso a un recurso que permita la revisión integral de su</w:t>
      </w:r>
      <w:r w:rsidR="0072563B">
        <w:rPr>
          <w:rFonts w:ascii="Cambria" w:hAnsi="Cambria"/>
          <w:sz w:val="20"/>
          <w:szCs w:val="20"/>
          <w:lang w:val="es-ES"/>
        </w:rPr>
        <w:t>s</w:t>
      </w:r>
      <w:r w:rsidR="00BB3A40" w:rsidRPr="00B54F0A">
        <w:rPr>
          <w:rFonts w:ascii="Cambria" w:hAnsi="Cambria"/>
          <w:sz w:val="20"/>
          <w:szCs w:val="20"/>
          <w:lang w:val="es-ES"/>
        </w:rPr>
        <w:t xml:space="preserve"> condena</w:t>
      </w:r>
      <w:r w:rsidR="0072563B">
        <w:rPr>
          <w:rFonts w:ascii="Cambria" w:hAnsi="Cambria"/>
          <w:sz w:val="20"/>
          <w:szCs w:val="20"/>
          <w:lang w:val="es-ES"/>
        </w:rPr>
        <w:t>s</w:t>
      </w:r>
      <w:r w:rsidR="00BB3A40" w:rsidRPr="00B54F0A">
        <w:rPr>
          <w:rFonts w:ascii="Cambria" w:hAnsi="Cambria"/>
          <w:sz w:val="20"/>
          <w:szCs w:val="20"/>
          <w:lang w:val="es-ES"/>
        </w:rPr>
        <w:t xml:space="preserve"> por el delito de</w:t>
      </w:r>
      <w:r w:rsidR="003506F6" w:rsidRPr="00B54F0A">
        <w:rPr>
          <w:rFonts w:ascii="Cambria" w:hAnsi="Cambria"/>
          <w:sz w:val="20"/>
          <w:szCs w:val="20"/>
          <w:lang w:val="es-ES"/>
        </w:rPr>
        <w:t xml:space="preserve"> estafa. </w:t>
      </w:r>
    </w:p>
    <w:p w14:paraId="216289A9" w14:textId="3A2E9D12" w:rsidR="001304BB" w:rsidRPr="00B54F0A" w:rsidRDefault="001D2711" w:rsidP="00E15B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sz w:val="20"/>
          <w:szCs w:val="20"/>
          <w:lang w:val="es-ES"/>
        </w:rPr>
        <w:t>Afirman que e</w:t>
      </w:r>
      <w:r w:rsidR="007574C3" w:rsidRPr="00B54F0A">
        <w:rPr>
          <w:rFonts w:asciiTheme="majorHAnsi" w:hAnsiTheme="majorHAnsi"/>
          <w:sz w:val="20"/>
          <w:szCs w:val="20"/>
          <w:lang w:val="es-ES"/>
        </w:rPr>
        <w:t xml:space="preserve">l 19 de mayo de </w:t>
      </w:r>
      <w:r w:rsidR="00C15343" w:rsidRPr="00B54F0A">
        <w:rPr>
          <w:rFonts w:asciiTheme="majorHAnsi" w:hAnsiTheme="majorHAnsi"/>
          <w:sz w:val="20"/>
          <w:szCs w:val="20"/>
          <w:lang w:val="es-ES"/>
        </w:rPr>
        <w:t xml:space="preserve">2010 el Tribunal Penal de Juicio de Cartago, mediante sentencia </w:t>
      </w:r>
      <w:r w:rsidRPr="00B54F0A">
        <w:rPr>
          <w:rFonts w:asciiTheme="majorHAnsi" w:hAnsiTheme="majorHAnsi"/>
          <w:sz w:val="20"/>
          <w:szCs w:val="20"/>
          <w:lang w:val="es-ES"/>
        </w:rPr>
        <w:t>N.º 254-2010</w:t>
      </w:r>
      <w:r w:rsidR="006F744B" w:rsidRPr="00B54F0A">
        <w:rPr>
          <w:rFonts w:asciiTheme="majorHAnsi" w:hAnsiTheme="majorHAnsi"/>
          <w:sz w:val="20"/>
          <w:szCs w:val="20"/>
          <w:lang w:val="es-ES"/>
        </w:rPr>
        <w:t xml:space="preserve">, </w:t>
      </w:r>
      <w:r w:rsidRPr="00B54F0A">
        <w:rPr>
          <w:rFonts w:asciiTheme="majorHAnsi" w:hAnsiTheme="majorHAnsi"/>
          <w:sz w:val="20"/>
          <w:szCs w:val="20"/>
          <w:lang w:val="es-ES"/>
        </w:rPr>
        <w:t>los condenó</w:t>
      </w:r>
      <w:r w:rsidR="00C10889" w:rsidRPr="00B54F0A">
        <w:rPr>
          <w:rFonts w:asciiTheme="majorHAnsi" w:hAnsiTheme="majorHAnsi"/>
          <w:sz w:val="20"/>
          <w:szCs w:val="20"/>
          <w:lang w:val="es-ES"/>
        </w:rPr>
        <w:t xml:space="preserve"> junto a otras personas</w:t>
      </w:r>
      <w:r w:rsidRPr="00B54F0A">
        <w:rPr>
          <w:rFonts w:asciiTheme="majorHAnsi" w:hAnsiTheme="majorHAnsi"/>
          <w:sz w:val="20"/>
          <w:szCs w:val="20"/>
          <w:lang w:val="es-ES"/>
        </w:rPr>
        <w:t xml:space="preserve"> </w:t>
      </w:r>
      <w:r w:rsidR="009B2EC8" w:rsidRPr="00B54F0A">
        <w:rPr>
          <w:rFonts w:asciiTheme="majorHAnsi" w:hAnsiTheme="majorHAnsi"/>
          <w:sz w:val="20"/>
          <w:szCs w:val="20"/>
          <w:lang w:val="es-ES"/>
        </w:rPr>
        <w:t xml:space="preserve">a ocho años de pena privativa de </w:t>
      </w:r>
      <w:r w:rsidR="006F744B" w:rsidRPr="00B54F0A">
        <w:rPr>
          <w:rFonts w:asciiTheme="majorHAnsi" w:hAnsiTheme="majorHAnsi"/>
          <w:sz w:val="20"/>
          <w:szCs w:val="20"/>
          <w:lang w:val="es-ES"/>
        </w:rPr>
        <w:t xml:space="preserve">la </w:t>
      </w:r>
      <w:r w:rsidR="009B2EC8" w:rsidRPr="00B54F0A">
        <w:rPr>
          <w:rFonts w:asciiTheme="majorHAnsi" w:hAnsiTheme="majorHAnsi"/>
          <w:sz w:val="20"/>
          <w:szCs w:val="20"/>
          <w:lang w:val="es-ES"/>
        </w:rPr>
        <w:t xml:space="preserve">libertad </w:t>
      </w:r>
      <w:r w:rsidR="00D1282F" w:rsidRPr="00B54F0A">
        <w:rPr>
          <w:rFonts w:asciiTheme="majorHAnsi" w:hAnsiTheme="majorHAnsi"/>
          <w:sz w:val="20"/>
          <w:szCs w:val="20"/>
          <w:lang w:val="es-ES"/>
        </w:rPr>
        <w:t xml:space="preserve">por </w:t>
      </w:r>
      <w:r w:rsidR="009B2EC8" w:rsidRPr="00B54F0A">
        <w:rPr>
          <w:rFonts w:asciiTheme="majorHAnsi" w:hAnsiTheme="majorHAnsi"/>
          <w:sz w:val="20"/>
          <w:szCs w:val="20"/>
          <w:lang w:val="es-ES"/>
        </w:rPr>
        <w:t xml:space="preserve">el </w:t>
      </w:r>
      <w:r w:rsidRPr="00B54F0A">
        <w:rPr>
          <w:rFonts w:asciiTheme="majorHAnsi" w:hAnsiTheme="majorHAnsi"/>
          <w:sz w:val="20"/>
          <w:szCs w:val="20"/>
          <w:lang w:val="es-ES"/>
        </w:rPr>
        <w:t xml:space="preserve">delito de </w:t>
      </w:r>
      <w:r w:rsidR="009B2EC8" w:rsidRPr="00B54F0A">
        <w:rPr>
          <w:rFonts w:asciiTheme="majorHAnsi" w:hAnsiTheme="majorHAnsi"/>
          <w:sz w:val="20"/>
          <w:szCs w:val="20"/>
          <w:lang w:val="es-ES"/>
        </w:rPr>
        <w:lastRenderedPageBreak/>
        <w:t>estafa.</w:t>
      </w:r>
      <w:r w:rsidRPr="00B54F0A">
        <w:rPr>
          <w:rFonts w:asciiTheme="majorHAnsi" w:hAnsiTheme="majorHAnsi"/>
          <w:sz w:val="20"/>
          <w:szCs w:val="20"/>
          <w:lang w:val="es-ES"/>
        </w:rPr>
        <w:t xml:space="preserve"> Ante ello, refieren que interpusieron un recurso de casación</w:t>
      </w:r>
      <w:r w:rsidR="00C10889" w:rsidRPr="00B54F0A">
        <w:rPr>
          <w:rFonts w:asciiTheme="majorHAnsi" w:hAnsiTheme="majorHAnsi"/>
          <w:sz w:val="20"/>
          <w:szCs w:val="20"/>
          <w:lang w:val="es-ES"/>
        </w:rPr>
        <w:t>, arguyendo</w:t>
      </w:r>
      <w:r w:rsidR="00790969" w:rsidRPr="00B54F0A">
        <w:rPr>
          <w:rFonts w:asciiTheme="majorHAnsi" w:hAnsiTheme="majorHAnsi"/>
          <w:sz w:val="20"/>
          <w:szCs w:val="20"/>
          <w:lang w:val="es-ES"/>
        </w:rPr>
        <w:t xml:space="preserve"> que: i) hubo una indebida valoración probatoria; ii) </w:t>
      </w:r>
      <w:r w:rsidR="00130609" w:rsidRPr="00B54F0A">
        <w:rPr>
          <w:rFonts w:asciiTheme="majorHAnsi" w:hAnsiTheme="majorHAnsi"/>
          <w:sz w:val="20"/>
          <w:szCs w:val="20"/>
          <w:lang w:val="es-ES"/>
        </w:rPr>
        <w:t xml:space="preserve">no se motivó de forma suficiente la decisión; iii) </w:t>
      </w:r>
      <w:r w:rsidR="006F744B" w:rsidRPr="00B54F0A">
        <w:rPr>
          <w:rFonts w:asciiTheme="majorHAnsi" w:hAnsiTheme="majorHAnsi"/>
          <w:sz w:val="20"/>
          <w:szCs w:val="20"/>
          <w:lang w:val="es-ES"/>
        </w:rPr>
        <w:t xml:space="preserve">se produjo una </w:t>
      </w:r>
      <w:r w:rsidR="00516A5A" w:rsidRPr="00B54F0A">
        <w:rPr>
          <w:rFonts w:asciiTheme="majorHAnsi" w:hAnsiTheme="majorHAnsi"/>
          <w:sz w:val="20"/>
          <w:szCs w:val="20"/>
          <w:lang w:val="es-ES"/>
        </w:rPr>
        <w:t xml:space="preserve">violación al principio in dubio </w:t>
      </w:r>
      <w:r w:rsidR="00D1282F" w:rsidRPr="00B54F0A">
        <w:rPr>
          <w:rFonts w:asciiTheme="majorHAnsi" w:hAnsiTheme="majorHAnsi"/>
          <w:sz w:val="20"/>
          <w:szCs w:val="20"/>
          <w:lang w:val="es-ES"/>
        </w:rPr>
        <w:t>pro-reo</w:t>
      </w:r>
      <w:r w:rsidR="00516A5A" w:rsidRPr="00B54F0A">
        <w:rPr>
          <w:rFonts w:asciiTheme="majorHAnsi" w:hAnsiTheme="majorHAnsi"/>
          <w:sz w:val="20"/>
          <w:szCs w:val="20"/>
          <w:lang w:val="es-ES"/>
        </w:rPr>
        <w:t>; iv)</w:t>
      </w:r>
      <w:r w:rsidR="006F744B" w:rsidRPr="00B54F0A">
        <w:rPr>
          <w:rFonts w:asciiTheme="majorHAnsi" w:hAnsiTheme="majorHAnsi"/>
          <w:sz w:val="20"/>
          <w:szCs w:val="20"/>
          <w:lang w:val="es-ES"/>
        </w:rPr>
        <w:t xml:space="preserve"> </w:t>
      </w:r>
      <w:r w:rsidR="00106C7F">
        <w:rPr>
          <w:rFonts w:asciiTheme="majorHAnsi" w:hAnsiTheme="majorHAnsi"/>
          <w:sz w:val="20"/>
          <w:szCs w:val="20"/>
          <w:lang w:val="es-ES"/>
        </w:rPr>
        <w:t xml:space="preserve">no se realizó </w:t>
      </w:r>
      <w:r w:rsidR="006F744B" w:rsidRPr="00B54F0A">
        <w:rPr>
          <w:rFonts w:asciiTheme="majorHAnsi" w:hAnsiTheme="majorHAnsi"/>
          <w:sz w:val="20"/>
          <w:szCs w:val="20"/>
          <w:lang w:val="es-ES"/>
        </w:rPr>
        <w:t xml:space="preserve">una </w:t>
      </w:r>
      <w:r w:rsidR="00106C7F">
        <w:rPr>
          <w:rFonts w:asciiTheme="majorHAnsi" w:hAnsiTheme="majorHAnsi"/>
          <w:sz w:val="20"/>
          <w:szCs w:val="20"/>
          <w:lang w:val="es-ES"/>
        </w:rPr>
        <w:t>fundamentación</w:t>
      </w:r>
      <w:r w:rsidR="004372F5" w:rsidRPr="00B54F0A">
        <w:rPr>
          <w:rFonts w:asciiTheme="majorHAnsi" w:hAnsiTheme="majorHAnsi"/>
          <w:sz w:val="20"/>
          <w:szCs w:val="20"/>
          <w:lang w:val="es-ES"/>
        </w:rPr>
        <w:t xml:space="preserve"> completa </w:t>
      </w:r>
      <w:r w:rsidR="00B66A96" w:rsidRPr="00B54F0A">
        <w:rPr>
          <w:rFonts w:asciiTheme="majorHAnsi" w:hAnsiTheme="majorHAnsi"/>
          <w:sz w:val="20"/>
          <w:szCs w:val="20"/>
          <w:lang w:val="es-ES"/>
        </w:rPr>
        <w:t xml:space="preserve">con respecto a la acción civil resarcitoria </w:t>
      </w:r>
      <w:r w:rsidR="0023759B" w:rsidRPr="00B54F0A">
        <w:rPr>
          <w:rFonts w:asciiTheme="majorHAnsi" w:hAnsiTheme="majorHAnsi"/>
          <w:sz w:val="20"/>
          <w:szCs w:val="20"/>
          <w:lang w:val="es-ES"/>
        </w:rPr>
        <w:t xml:space="preserve">y v) </w:t>
      </w:r>
      <w:r w:rsidR="009A43E0" w:rsidRPr="00B54F0A">
        <w:rPr>
          <w:rFonts w:asciiTheme="majorHAnsi" w:hAnsiTheme="majorHAnsi"/>
          <w:sz w:val="20"/>
          <w:szCs w:val="20"/>
          <w:lang w:val="es-ES"/>
        </w:rPr>
        <w:t>la ausencia</w:t>
      </w:r>
      <w:r w:rsidR="0023759B" w:rsidRPr="00B54F0A">
        <w:rPr>
          <w:rFonts w:asciiTheme="majorHAnsi" w:hAnsiTheme="majorHAnsi"/>
          <w:sz w:val="20"/>
          <w:szCs w:val="20"/>
          <w:lang w:val="es-ES"/>
        </w:rPr>
        <w:t xml:space="preserve"> de </w:t>
      </w:r>
      <w:r w:rsidR="00106C7F">
        <w:rPr>
          <w:rFonts w:asciiTheme="majorHAnsi" w:hAnsiTheme="majorHAnsi"/>
          <w:sz w:val="20"/>
          <w:szCs w:val="20"/>
          <w:lang w:val="es-ES"/>
        </w:rPr>
        <w:t>justificación</w:t>
      </w:r>
      <w:r w:rsidR="0023759B" w:rsidRPr="00B54F0A">
        <w:rPr>
          <w:rFonts w:asciiTheme="majorHAnsi" w:hAnsiTheme="majorHAnsi"/>
          <w:sz w:val="20"/>
          <w:szCs w:val="20"/>
          <w:lang w:val="es-ES"/>
        </w:rPr>
        <w:t xml:space="preserve"> de la</w:t>
      </w:r>
      <w:r w:rsidR="00D1282F" w:rsidRPr="00B54F0A">
        <w:rPr>
          <w:rFonts w:asciiTheme="majorHAnsi" w:hAnsiTheme="majorHAnsi"/>
          <w:sz w:val="20"/>
          <w:szCs w:val="20"/>
          <w:lang w:val="es-ES"/>
        </w:rPr>
        <w:t xml:space="preserve"> pena</w:t>
      </w:r>
      <w:r w:rsidR="0023759B" w:rsidRPr="00B54F0A">
        <w:rPr>
          <w:rFonts w:asciiTheme="majorHAnsi" w:hAnsiTheme="majorHAnsi"/>
          <w:sz w:val="20"/>
          <w:szCs w:val="20"/>
          <w:lang w:val="es-ES"/>
        </w:rPr>
        <w:t xml:space="preserve"> impuesta.</w:t>
      </w:r>
      <w:r w:rsidR="00C10889" w:rsidRPr="00B54F0A">
        <w:rPr>
          <w:rFonts w:asciiTheme="majorHAnsi" w:hAnsiTheme="majorHAnsi"/>
          <w:sz w:val="20"/>
          <w:szCs w:val="20"/>
          <w:lang w:val="es-ES"/>
        </w:rPr>
        <w:t xml:space="preserve"> Como resultado,</w:t>
      </w:r>
      <w:r w:rsidR="00531101" w:rsidRPr="00B54F0A">
        <w:rPr>
          <w:rFonts w:asciiTheme="majorHAnsi" w:hAnsiTheme="majorHAnsi"/>
          <w:sz w:val="20"/>
          <w:szCs w:val="20"/>
          <w:lang w:val="es-ES"/>
        </w:rPr>
        <w:t xml:space="preserve"> el 21 de octubre de 2011 la Sala Tercera de la Corte Suprema de Justicia, </w:t>
      </w:r>
      <w:r w:rsidR="00106C7F">
        <w:rPr>
          <w:rFonts w:asciiTheme="majorHAnsi" w:hAnsiTheme="majorHAnsi"/>
          <w:sz w:val="20"/>
          <w:szCs w:val="20"/>
          <w:lang w:val="es-ES"/>
        </w:rPr>
        <w:t>por medio de</w:t>
      </w:r>
      <w:r w:rsidR="00531101" w:rsidRPr="00B54F0A">
        <w:rPr>
          <w:rFonts w:asciiTheme="majorHAnsi" w:hAnsiTheme="majorHAnsi"/>
          <w:sz w:val="20"/>
          <w:szCs w:val="20"/>
          <w:lang w:val="es-ES"/>
        </w:rPr>
        <w:t xml:space="preserve"> la resolución N.º 2011-01293</w:t>
      </w:r>
      <w:r w:rsidR="00F81912" w:rsidRPr="00B54F0A">
        <w:rPr>
          <w:rFonts w:asciiTheme="majorHAnsi" w:hAnsiTheme="majorHAnsi"/>
          <w:sz w:val="20"/>
          <w:szCs w:val="20"/>
          <w:lang w:val="es-ES"/>
        </w:rPr>
        <w:t xml:space="preserve">, declaró fundado </w:t>
      </w:r>
      <w:r w:rsidR="0029235F" w:rsidRPr="00B54F0A">
        <w:rPr>
          <w:rFonts w:asciiTheme="majorHAnsi" w:hAnsiTheme="majorHAnsi"/>
          <w:sz w:val="20"/>
          <w:szCs w:val="20"/>
          <w:lang w:val="es-ES"/>
        </w:rPr>
        <w:t xml:space="preserve">únicamente </w:t>
      </w:r>
      <w:r w:rsidR="00F81912" w:rsidRPr="00B54F0A">
        <w:rPr>
          <w:rFonts w:asciiTheme="majorHAnsi" w:hAnsiTheme="majorHAnsi"/>
          <w:sz w:val="20"/>
          <w:szCs w:val="20"/>
          <w:lang w:val="es-ES"/>
        </w:rPr>
        <w:t>el reclamo</w:t>
      </w:r>
      <w:r w:rsidR="005F57F4" w:rsidRPr="00B54F0A">
        <w:rPr>
          <w:rFonts w:asciiTheme="majorHAnsi" w:hAnsiTheme="majorHAnsi"/>
          <w:sz w:val="20"/>
          <w:szCs w:val="20"/>
          <w:lang w:val="es-ES"/>
        </w:rPr>
        <w:t xml:space="preserve"> respecto a la acción civil resarcitoria</w:t>
      </w:r>
      <w:r w:rsidR="0029235F" w:rsidRPr="00B54F0A">
        <w:rPr>
          <w:rFonts w:asciiTheme="majorHAnsi" w:hAnsiTheme="majorHAnsi"/>
          <w:sz w:val="20"/>
          <w:szCs w:val="20"/>
          <w:lang w:val="es-ES"/>
        </w:rPr>
        <w:t>, por lo cual</w:t>
      </w:r>
      <w:r w:rsidR="00CD5CFF" w:rsidRPr="00B54F0A">
        <w:rPr>
          <w:rFonts w:asciiTheme="majorHAnsi" w:hAnsiTheme="majorHAnsi"/>
          <w:sz w:val="20"/>
          <w:szCs w:val="20"/>
          <w:lang w:val="es-ES"/>
        </w:rPr>
        <w:t xml:space="preserve"> anul</w:t>
      </w:r>
      <w:r w:rsidR="005F57F4" w:rsidRPr="00B54F0A">
        <w:rPr>
          <w:rFonts w:asciiTheme="majorHAnsi" w:hAnsiTheme="majorHAnsi"/>
          <w:sz w:val="20"/>
          <w:szCs w:val="20"/>
          <w:lang w:val="es-ES"/>
        </w:rPr>
        <w:t>ó</w:t>
      </w:r>
      <w:r w:rsidR="00CD5CFF" w:rsidRPr="00B54F0A">
        <w:rPr>
          <w:rFonts w:asciiTheme="majorHAnsi" w:hAnsiTheme="majorHAnsi"/>
          <w:sz w:val="20"/>
          <w:szCs w:val="20"/>
          <w:lang w:val="es-ES"/>
        </w:rPr>
        <w:t xml:space="preserve"> </w:t>
      </w:r>
      <w:r w:rsidR="00E96A97" w:rsidRPr="00B54F0A">
        <w:rPr>
          <w:rFonts w:asciiTheme="majorHAnsi" w:hAnsiTheme="majorHAnsi"/>
          <w:sz w:val="20"/>
          <w:szCs w:val="20"/>
          <w:lang w:val="es-ES"/>
        </w:rPr>
        <w:t xml:space="preserve">tal extremo </w:t>
      </w:r>
      <w:r w:rsidR="00D63965" w:rsidRPr="00B54F0A">
        <w:rPr>
          <w:rFonts w:asciiTheme="majorHAnsi" w:hAnsiTheme="majorHAnsi"/>
          <w:sz w:val="20"/>
          <w:szCs w:val="20"/>
          <w:lang w:val="es-ES"/>
        </w:rPr>
        <w:t xml:space="preserve">de </w:t>
      </w:r>
      <w:r w:rsidR="00CD5CFF" w:rsidRPr="00B54F0A">
        <w:rPr>
          <w:rFonts w:asciiTheme="majorHAnsi" w:hAnsiTheme="majorHAnsi"/>
          <w:sz w:val="20"/>
          <w:szCs w:val="20"/>
          <w:lang w:val="es-ES"/>
        </w:rPr>
        <w:t xml:space="preserve">la sentencia recurrida y dispuso </w:t>
      </w:r>
      <w:r w:rsidR="00E26E94" w:rsidRPr="00B54F0A">
        <w:rPr>
          <w:rFonts w:asciiTheme="majorHAnsi" w:hAnsiTheme="majorHAnsi"/>
          <w:sz w:val="20"/>
          <w:szCs w:val="20"/>
          <w:lang w:val="es-ES"/>
        </w:rPr>
        <w:t xml:space="preserve">el reenvío al tribunal para que vuelva a analizar </w:t>
      </w:r>
      <w:r w:rsidR="00E96A97" w:rsidRPr="00B54F0A">
        <w:rPr>
          <w:rFonts w:asciiTheme="majorHAnsi" w:hAnsiTheme="majorHAnsi"/>
          <w:sz w:val="20"/>
          <w:szCs w:val="20"/>
          <w:lang w:val="es-ES"/>
        </w:rPr>
        <w:t>dicho aspecto</w:t>
      </w:r>
      <w:r w:rsidR="00E26E94" w:rsidRPr="00B54F0A">
        <w:rPr>
          <w:rFonts w:asciiTheme="majorHAnsi" w:hAnsiTheme="majorHAnsi"/>
          <w:sz w:val="20"/>
          <w:szCs w:val="20"/>
          <w:lang w:val="es-ES"/>
        </w:rPr>
        <w:t>.</w:t>
      </w:r>
      <w:r w:rsidR="00E96A97" w:rsidRPr="00B54F0A">
        <w:rPr>
          <w:rFonts w:asciiTheme="majorHAnsi" w:hAnsiTheme="majorHAnsi"/>
          <w:sz w:val="20"/>
          <w:szCs w:val="20"/>
          <w:lang w:val="es-ES"/>
        </w:rPr>
        <w:t xml:space="preserve"> No obstante, la referida Sala Tercera declaró </w:t>
      </w:r>
      <w:r w:rsidR="00BB19BE" w:rsidRPr="00B54F0A">
        <w:rPr>
          <w:rFonts w:asciiTheme="majorHAnsi" w:hAnsiTheme="majorHAnsi"/>
          <w:sz w:val="20"/>
          <w:szCs w:val="20"/>
          <w:lang w:val="es-ES"/>
        </w:rPr>
        <w:t xml:space="preserve">sin lugar el resto de </w:t>
      </w:r>
      <w:r w:rsidR="008656B0" w:rsidRPr="00B54F0A">
        <w:rPr>
          <w:rFonts w:asciiTheme="majorHAnsi" w:hAnsiTheme="majorHAnsi"/>
          <w:sz w:val="20"/>
          <w:szCs w:val="20"/>
          <w:lang w:val="es-ES"/>
        </w:rPr>
        <w:t>los reclamos</w:t>
      </w:r>
      <w:r w:rsidR="00BB19BE" w:rsidRPr="00B54F0A">
        <w:rPr>
          <w:rFonts w:asciiTheme="majorHAnsi" w:hAnsiTheme="majorHAnsi"/>
          <w:sz w:val="20"/>
          <w:szCs w:val="20"/>
          <w:lang w:val="es-ES"/>
        </w:rPr>
        <w:t xml:space="preserve"> presentes en el recurso de casación.</w:t>
      </w:r>
      <w:r w:rsidR="006F649A" w:rsidRPr="00B54F0A">
        <w:rPr>
          <w:rFonts w:asciiTheme="majorHAnsi" w:hAnsiTheme="majorHAnsi"/>
          <w:sz w:val="20"/>
          <w:szCs w:val="20"/>
          <w:lang w:val="es-ES"/>
        </w:rPr>
        <w:t xml:space="preserve"> Esta decisión se notificó el 16 de diciembre de 2011. </w:t>
      </w:r>
    </w:p>
    <w:p w14:paraId="0FF8637B" w14:textId="36F59063" w:rsidR="00BB19BE" w:rsidRPr="00B54F0A" w:rsidRDefault="00BB19BE" w:rsidP="003C32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sz w:val="20"/>
          <w:szCs w:val="20"/>
          <w:lang w:val="es-ES"/>
        </w:rPr>
        <w:t xml:space="preserve">Frente a ello, afirman que iniciaron </w:t>
      </w:r>
      <w:r w:rsidR="005F13FE" w:rsidRPr="00B54F0A">
        <w:rPr>
          <w:rFonts w:asciiTheme="majorHAnsi" w:hAnsiTheme="majorHAnsi"/>
          <w:sz w:val="20"/>
          <w:szCs w:val="20"/>
          <w:lang w:val="es-ES"/>
        </w:rPr>
        <w:t xml:space="preserve">dos </w:t>
      </w:r>
      <w:r w:rsidRPr="00B54F0A">
        <w:rPr>
          <w:rFonts w:asciiTheme="majorHAnsi" w:hAnsiTheme="majorHAnsi"/>
          <w:sz w:val="20"/>
          <w:szCs w:val="20"/>
          <w:lang w:val="es-ES"/>
        </w:rPr>
        <w:t>procedimientos de revisión</w:t>
      </w:r>
      <w:r w:rsidR="00FB471D" w:rsidRPr="00B54F0A">
        <w:rPr>
          <w:rFonts w:asciiTheme="majorHAnsi" w:hAnsiTheme="majorHAnsi"/>
          <w:sz w:val="20"/>
          <w:szCs w:val="20"/>
          <w:lang w:val="es-ES"/>
        </w:rPr>
        <w:t>,</w:t>
      </w:r>
      <w:r w:rsidR="00C53351" w:rsidRPr="00B54F0A">
        <w:rPr>
          <w:rFonts w:asciiTheme="majorHAnsi" w:hAnsiTheme="majorHAnsi"/>
          <w:sz w:val="20"/>
          <w:szCs w:val="20"/>
          <w:lang w:val="es-ES"/>
        </w:rPr>
        <w:t xml:space="preserve"> en los cu</w:t>
      </w:r>
      <w:r w:rsidR="00D415B4">
        <w:rPr>
          <w:rFonts w:asciiTheme="majorHAnsi" w:hAnsiTheme="majorHAnsi"/>
          <w:sz w:val="20"/>
          <w:szCs w:val="20"/>
          <w:lang w:val="es-ES"/>
        </w:rPr>
        <w:t>a</w:t>
      </w:r>
      <w:r w:rsidR="00C53351" w:rsidRPr="00B54F0A">
        <w:rPr>
          <w:rFonts w:asciiTheme="majorHAnsi" w:hAnsiTheme="majorHAnsi"/>
          <w:sz w:val="20"/>
          <w:szCs w:val="20"/>
          <w:lang w:val="es-ES"/>
        </w:rPr>
        <w:t>les denunciaron</w:t>
      </w:r>
      <w:r w:rsidR="003A26DA" w:rsidRPr="00B54F0A">
        <w:rPr>
          <w:rFonts w:asciiTheme="majorHAnsi" w:hAnsiTheme="majorHAnsi"/>
          <w:sz w:val="20"/>
          <w:szCs w:val="20"/>
          <w:lang w:val="es-ES"/>
        </w:rPr>
        <w:t xml:space="preserve"> en líneas generales</w:t>
      </w:r>
      <w:r w:rsidR="00C53351" w:rsidRPr="00B54F0A">
        <w:rPr>
          <w:rFonts w:asciiTheme="majorHAnsi" w:hAnsiTheme="majorHAnsi"/>
          <w:sz w:val="20"/>
          <w:szCs w:val="20"/>
          <w:lang w:val="es-ES"/>
        </w:rPr>
        <w:t>: i)</w:t>
      </w:r>
      <w:r w:rsidR="009A43E0" w:rsidRPr="00B54F0A">
        <w:rPr>
          <w:rFonts w:asciiTheme="majorHAnsi" w:hAnsiTheme="majorHAnsi"/>
          <w:sz w:val="20"/>
          <w:szCs w:val="20"/>
          <w:lang w:val="es-ES"/>
        </w:rPr>
        <w:t xml:space="preserve"> la</w:t>
      </w:r>
      <w:r w:rsidR="00C53351" w:rsidRPr="00B54F0A">
        <w:rPr>
          <w:rFonts w:asciiTheme="majorHAnsi" w:hAnsiTheme="majorHAnsi"/>
          <w:sz w:val="20"/>
          <w:szCs w:val="20"/>
          <w:lang w:val="es-ES"/>
        </w:rPr>
        <w:t xml:space="preserve"> violación al debido proceso por falta de correlación entre </w:t>
      </w:r>
      <w:r w:rsidR="009A43E0" w:rsidRPr="00B54F0A">
        <w:rPr>
          <w:rFonts w:asciiTheme="majorHAnsi" w:hAnsiTheme="majorHAnsi"/>
          <w:sz w:val="20"/>
          <w:szCs w:val="20"/>
          <w:lang w:val="es-ES"/>
        </w:rPr>
        <w:t xml:space="preserve">la </w:t>
      </w:r>
      <w:r w:rsidR="00C53351" w:rsidRPr="00B54F0A">
        <w:rPr>
          <w:rFonts w:asciiTheme="majorHAnsi" w:hAnsiTheme="majorHAnsi"/>
          <w:sz w:val="20"/>
          <w:szCs w:val="20"/>
          <w:lang w:val="es-ES"/>
        </w:rPr>
        <w:t>acusación y</w:t>
      </w:r>
      <w:r w:rsidR="009A43E0" w:rsidRPr="00B54F0A">
        <w:rPr>
          <w:rFonts w:asciiTheme="majorHAnsi" w:hAnsiTheme="majorHAnsi"/>
          <w:sz w:val="20"/>
          <w:szCs w:val="20"/>
          <w:lang w:val="es-ES"/>
        </w:rPr>
        <w:t xml:space="preserve"> la</w:t>
      </w:r>
      <w:r w:rsidR="00C53351" w:rsidRPr="00B54F0A">
        <w:rPr>
          <w:rFonts w:asciiTheme="majorHAnsi" w:hAnsiTheme="majorHAnsi"/>
          <w:sz w:val="20"/>
          <w:szCs w:val="20"/>
          <w:lang w:val="es-ES"/>
        </w:rPr>
        <w:t xml:space="preserve"> sentencia; ii) </w:t>
      </w:r>
      <w:r w:rsidR="009A43E0" w:rsidRPr="00B54F0A">
        <w:rPr>
          <w:rFonts w:asciiTheme="majorHAnsi" w:hAnsiTheme="majorHAnsi"/>
          <w:sz w:val="20"/>
          <w:szCs w:val="20"/>
          <w:lang w:val="es-ES"/>
        </w:rPr>
        <w:t xml:space="preserve">la </w:t>
      </w:r>
      <w:r w:rsidR="00C53351" w:rsidRPr="00B54F0A">
        <w:rPr>
          <w:rFonts w:asciiTheme="majorHAnsi" w:hAnsiTheme="majorHAnsi"/>
          <w:sz w:val="20"/>
          <w:szCs w:val="20"/>
          <w:lang w:val="es-ES"/>
        </w:rPr>
        <w:t xml:space="preserve">falta de fundamentación de la pena impuesta; iii) </w:t>
      </w:r>
      <w:r w:rsidR="009A43E0" w:rsidRPr="00B54F0A">
        <w:rPr>
          <w:rFonts w:asciiTheme="majorHAnsi" w:hAnsiTheme="majorHAnsi"/>
          <w:sz w:val="20"/>
          <w:szCs w:val="20"/>
          <w:lang w:val="es-ES"/>
        </w:rPr>
        <w:t xml:space="preserve">la </w:t>
      </w:r>
      <w:r w:rsidR="00C53351" w:rsidRPr="00B54F0A">
        <w:rPr>
          <w:rFonts w:asciiTheme="majorHAnsi" w:hAnsiTheme="majorHAnsi"/>
          <w:sz w:val="20"/>
          <w:szCs w:val="20"/>
          <w:lang w:val="es-ES"/>
        </w:rPr>
        <w:t xml:space="preserve">errónea aplicación de la ley sustantiva; iv) </w:t>
      </w:r>
      <w:r w:rsidR="009A43E0" w:rsidRPr="00B54F0A">
        <w:rPr>
          <w:rFonts w:asciiTheme="majorHAnsi" w:hAnsiTheme="majorHAnsi"/>
          <w:sz w:val="20"/>
          <w:szCs w:val="20"/>
          <w:lang w:val="es-ES"/>
        </w:rPr>
        <w:t xml:space="preserve">la </w:t>
      </w:r>
      <w:r w:rsidR="00C53351" w:rsidRPr="00B54F0A">
        <w:rPr>
          <w:rFonts w:asciiTheme="majorHAnsi" w:hAnsiTheme="majorHAnsi"/>
          <w:sz w:val="20"/>
          <w:szCs w:val="20"/>
          <w:lang w:val="es-ES"/>
        </w:rPr>
        <w:t xml:space="preserve">falta de fundamentación probatoria intelectiva; v) </w:t>
      </w:r>
      <w:r w:rsidR="009A43E0" w:rsidRPr="00B54F0A">
        <w:rPr>
          <w:rFonts w:asciiTheme="majorHAnsi" w:hAnsiTheme="majorHAnsi"/>
          <w:sz w:val="20"/>
          <w:szCs w:val="20"/>
          <w:lang w:val="es-ES"/>
        </w:rPr>
        <w:t xml:space="preserve">la </w:t>
      </w:r>
      <w:r w:rsidR="00C53351" w:rsidRPr="00B54F0A">
        <w:rPr>
          <w:rFonts w:asciiTheme="majorHAnsi" w:hAnsiTheme="majorHAnsi"/>
          <w:sz w:val="20"/>
          <w:szCs w:val="20"/>
          <w:lang w:val="es-ES"/>
        </w:rPr>
        <w:t>violación al derecho a recurrir y a la segunda instancia</w:t>
      </w:r>
      <w:r w:rsidR="00EC6185" w:rsidRPr="00B54F0A">
        <w:rPr>
          <w:rFonts w:asciiTheme="majorHAnsi" w:hAnsiTheme="majorHAnsi"/>
          <w:sz w:val="20"/>
          <w:szCs w:val="20"/>
          <w:lang w:val="es-ES"/>
        </w:rPr>
        <w:t>;</w:t>
      </w:r>
      <w:r w:rsidR="003A26DA" w:rsidRPr="00B54F0A">
        <w:rPr>
          <w:rFonts w:asciiTheme="majorHAnsi" w:hAnsiTheme="majorHAnsi"/>
          <w:sz w:val="20"/>
          <w:szCs w:val="20"/>
          <w:lang w:val="es-ES"/>
        </w:rPr>
        <w:t xml:space="preserve"> </w:t>
      </w:r>
      <w:r w:rsidR="00EC6185" w:rsidRPr="00B54F0A">
        <w:rPr>
          <w:rFonts w:asciiTheme="majorHAnsi" w:hAnsiTheme="majorHAnsi"/>
          <w:sz w:val="20"/>
          <w:szCs w:val="20"/>
          <w:lang w:val="es-ES"/>
        </w:rPr>
        <w:t xml:space="preserve">vi) </w:t>
      </w:r>
      <w:r w:rsidR="009A43E0" w:rsidRPr="00B54F0A">
        <w:rPr>
          <w:rFonts w:asciiTheme="majorHAnsi" w:hAnsiTheme="majorHAnsi"/>
          <w:sz w:val="20"/>
          <w:szCs w:val="20"/>
          <w:lang w:val="es-ES"/>
        </w:rPr>
        <w:t xml:space="preserve">la </w:t>
      </w:r>
      <w:r w:rsidR="00EC6185" w:rsidRPr="00B54F0A">
        <w:rPr>
          <w:rFonts w:asciiTheme="majorHAnsi" w:hAnsiTheme="majorHAnsi"/>
          <w:sz w:val="20"/>
          <w:szCs w:val="20"/>
          <w:lang w:val="es-ES"/>
        </w:rPr>
        <w:t xml:space="preserve">afectación al principio </w:t>
      </w:r>
      <w:r w:rsidR="00EC6185" w:rsidRPr="00B54F0A">
        <w:rPr>
          <w:rFonts w:asciiTheme="majorHAnsi" w:hAnsiTheme="majorHAnsi"/>
          <w:i/>
          <w:iCs/>
          <w:sz w:val="20"/>
          <w:szCs w:val="20"/>
          <w:lang w:val="es-ES"/>
        </w:rPr>
        <w:t xml:space="preserve">non bis in ídem; </w:t>
      </w:r>
      <w:r w:rsidR="00EC6185" w:rsidRPr="00B54F0A">
        <w:rPr>
          <w:rFonts w:asciiTheme="majorHAnsi" w:hAnsiTheme="majorHAnsi"/>
          <w:sz w:val="20"/>
          <w:szCs w:val="20"/>
          <w:lang w:val="es-ES"/>
        </w:rPr>
        <w:t xml:space="preserve">vii) </w:t>
      </w:r>
      <w:r w:rsidR="009A43E0" w:rsidRPr="00B54F0A">
        <w:rPr>
          <w:rFonts w:asciiTheme="majorHAnsi" w:hAnsiTheme="majorHAnsi"/>
          <w:sz w:val="20"/>
          <w:szCs w:val="20"/>
          <w:lang w:val="es-ES"/>
        </w:rPr>
        <w:t xml:space="preserve">la </w:t>
      </w:r>
      <w:r w:rsidR="003A26DA" w:rsidRPr="00B54F0A">
        <w:rPr>
          <w:rFonts w:asciiTheme="majorHAnsi" w:hAnsiTheme="majorHAnsi"/>
          <w:sz w:val="20"/>
          <w:szCs w:val="20"/>
          <w:lang w:val="es-ES"/>
        </w:rPr>
        <w:t>falta de legitimación del querellante</w:t>
      </w:r>
      <w:r w:rsidR="003C32C5" w:rsidRPr="00B54F0A">
        <w:rPr>
          <w:rFonts w:asciiTheme="majorHAnsi" w:hAnsiTheme="majorHAnsi"/>
          <w:sz w:val="20"/>
          <w:szCs w:val="20"/>
          <w:lang w:val="es-ES"/>
        </w:rPr>
        <w:t xml:space="preserve">; y viii) </w:t>
      </w:r>
      <w:r w:rsidR="009A43E0" w:rsidRPr="00B54F0A">
        <w:rPr>
          <w:rFonts w:asciiTheme="majorHAnsi" w:hAnsiTheme="majorHAnsi"/>
          <w:sz w:val="20"/>
          <w:szCs w:val="20"/>
          <w:lang w:val="es-ES"/>
        </w:rPr>
        <w:t xml:space="preserve">la </w:t>
      </w:r>
      <w:r w:rsidR="003C32C5" w:rsidRPr="00B54F0A">
        <w:rPr>
          <w:rFonts w:asciiTheme="majorHAnsi" w:hAnsiTheme="majorHAnsi"/>
          <w:sz w:val="20"/>
          <w:szCs w:val="20"/>
          <w:lang w:val="es-ES"/>
        </w:rPr>
        <w:t>afectación al principio de legalidad. No obstante,</w:t>
      </w:r>
      <w:r w:rsidR="005F13FE" w:rsidRPr="00B54F0A">
        <w:rPr>
          <w:rFonts w:asciiTheme="majorHAnsi" w:hAnsiTheme="majorHAnsi"/>
          <w:sz w:val="20"/>
          <w:szCs w:val="20"/>
          <w:lang w:val="es-ES"/>
        </w:rPr>
        <w:t xml:space="preserve"> el 8 de diciembre de 2011 y el 7 de mayo de 2012</w:t>
      </w:r>
      <w:r w:rsidR="00FB471D" w:rsidRPr="00B54F0A">
        <w:rPr>
          <w:rFonts w:asciiTheme="majorHAnsi" w:hAnsiTheme="majorHAnsi"/>
          <w:sz w:val="20"/>
          <w:szCs w:val="20"/>
          <w:lang w:val="es-ES"/>
        </w:rPr>
        <w:t xml:space="preserve"> </w:t>
      </w:r>
      <w:r w:rsidR="005F13FE" w:rsidRPr="00B54F0A">
        <w:rPr>
          <w:rFonts w:asciiTheme="majorHAnsi" w:hAnsiTheme="majorHAnsi"/>
          <w:sz w:val="20"/>
          <w:szCs w:val="20"/>
          <w:lang w:val="es-ES"/>
        </w:rPr>
        <w:t>la Sala Tercera de la Corte Suprema, mediante las resoluciones recaídas en los expedientes N.º 2-000201-0006-PE y 11-000408-0006-PE, los declaró inadmisibles</w:t>
      </w:r>
      <w:r w:rsidR="006F7B36" w:rsidRPr="00B54F0A">
        <w:rPr>
          <w:rFonts w:asciiTheme="majorHAnsi" w:hAnsiTheme="majorHAnsi"/>
          <w:sz w:val="20"/>
          <w:szCs w:val="20"/>
          <w:lang w:val="es-ES"/>
        </w:rPr>
        <w:t xml:space="preserve">, </w:t>
      </w:r>
      <w:r w:rsidR="000058F9">
        <w:rPr>
          <w:rFonts w:asciiTheme="majorHAnsi" w:hAnsiTheme="majorHAnsi"/>
          <w:sz w:val="20"/>
          <w:szCs w:val="20"/>
          <w:lang w:val="es-ES"/>
        </w:rPr>
        <w:t>aduciendo</w:t>
      </w:r>
      <w:r w:rsidR="000058F9" w:rsidRPr="00B54F0A">
        <w:rPr>
          <w:rFonts w:asciiTheme="majorHAnsi" w:hAnsiTheme="majorHAnsi"/>
          <w:sz w:val="20"/>
          <w:szCs w:val="20"/>
          <w:lang w:val="es-ES"/>
        </w:rPr>
        <w:t xml:space="preserve"> </w:t>
      </w:r>
      <w:r w:rsidR="006F7B36" w:rsidRPr="00B54F0A">
        <w:rPr>
          <w:rFonts w:asciiTheme="majorHAnsi" w:hAnsiTheme="majorHAnsi"/>
          <w:sz w:val="20"/>
          <w:szCs w:val="20"/>
          <w:lang w:val="es-ES"/>
        </w:rPr>
        <w:t xml:space="preserve">que </w:t>
      </w:r>
      <w:r w:rsidR="003018D9" w:rsidRPr="00B54F0A">
        <w:rPr>
          <w:rFonts w:asciiTheme="majorHAnsi" w:hAnsiTheme="majorHAnsi"/>
          <w:sz w:val="20"/>
          <w:szCs w:val="20"/>
          <w:lang w:val="es-ES"/>
        </w:rPr>
        <w:t xml:space="preserve">parte de </w:t>
      </w:r>
      <w:r w:rsidR="00E56374" w:rsidRPr="00B54F0A">
        <w:rPr>
          <w:rFonts w:asciiTheme="majorHAnsi" w:hAnsiTheme="majorHAnsi"/>
          <w:sz w:val="20"/>
          <w:szCs w:val="20"/>
          <w:lang w:val="es-ES"/>
        </w:rPr>
        <w:t>los argumentos presentados fueron debidamente conocidos y res</w:t>
      </w:r>
      <w:r w:rsidR="009A43E0" w:rsidRPr="00B54F0A">
        <w:rPr>
          <w:rFonts w:asciiTheme="majorHAnsi" w:hAnsiTheme="majorHAnsi"/>
          <w:sz w:val="20"/>
          <w:szCs w:val="20"/>
          <w:lang w:val="es-ES"/>
        </w:rPr>
        <w:t>u</w:t>
      </w:r>
      <w:r w:rsidR="00E56374" w:rsidRPr="00B54F0A">
        <w:rPr>
          <w:rFonts w:asciiTheme="majorHAnsi" w:hAnsiTheme="majorHAnsi"/>
          <w:sz w:val="20"/>
          <w:szCs w:val="20"/>
          <w:lang w:val="es-ES"/>
        </w:rPr>
        <w:t>eltos en vía de casación</w:t>
      </w:r>
      <w:r w:rsidR="003018D9" w:rsidRPr="00B54F0A">
        <w:rPr>
          <w:rFonts w:asciiTheme="majorHAnsi" w:hAnsiTheme="majorHAnsi"/>
          <w:sz w:val="20"/>
          <w:szCs w:val="20"/>
          <w:lang w:val="es-ES"/>
        </w:rPr>
        <w:t xml:space="preserve">; y que el resto no podían ser analizados en </w:t>
      </w:r>
      <w:r w:rsidR="006F6D7B" w:rsidRPr="00B54F0A">
        <w:rPr>
          <w:rFonts w:asciiTheme="majorHAnsi" w:hAnsiTheme="majorHAnsi"/>
          <w:sz w:val="20"/>
          <w:szCs w:val="20"/>
          <w:lang w:val="es-ES"/>
        </w:rPr>
        <w:t>un recurso</w:t>
      </w:r>
      <w:r w:rsidR="003018D9" w:rsidRPr="00B54F0A">
        <w:rPr>
          <w:rFonts w:asciiTheme="majorHAnsi" w:hAnsiTheme="majorHAnsi"/>
          <w:sz w:val="20"/>
          <w:szCs w:val="20"/>
          <w:lang w:val="es-ES"/>
        </w:rPr>
        <w:t xml:space="preserve"> de revisión ordinaria, por tratarse de </w:t>
      </w:r>
      <w:r w:rsidR="009A43E0" w:rsidRPr="00B54F0A">
        <w:rPr>
          <w:rFonts w:asciiTheme="majorHAnsi" w:hAnsiTheme="majorHAnsi"/>
          <w:sz w:val="20"/>
          <w:szCs w:val="20"/>
          <w:lang w:val="es-ES"/>
        </w:rPr>
        <w:t>alegaciones referidas a presuntas</w:t>
      </w:r>
      <w:r w:rsidR="003018D9" w:rsidRPr="00B54F0A">
        <w:rPr>
          <w:rFonts w:asciiTheme="majorHAnsi" w:hAnsiTheme="majorHAnsi"/>
          <w:sz w:val="20"/>
          <w:szCs w:val="20"/>
          <w:lang w:val="es-ES"/>
        </w:rPr>
        <w:t xml:space="preserve"> afectaciones al debido proceso y al derecho a la defensa. </w:t>
      </w:r>
    </w:p>
    <w:p w14:paraId="4FFC3C2F" w14:textId="31FEA4F7" w:rsidR="008E238F" w:rsidRPr="00B54F0A" w:rsidRDefault="008E238F" w:rsidP="00E15B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Cambria" w:hAnsi="Cambria"/>
          <w:sz w:val="20"/>
          <w:szCs w:val="20"/>
          <w:lang w:val="es-ES"/>
        </w:rPr>
        <w:t xml:space="preserve">Con base en estas consideraciones, </w:t>
      </w:r>
      <w:r w:rsidR="0072563B">
        <w:rPr>
          <w:rFonts w:ascii="Cambria" w:hAnsi="Cambria"/>
          <w:sz w:val="20"/>
          <w:szCs w:val="20"/>
          <w:lang w:val="es-ES"/>
        </w:rPr>
        <w:t>los peticionarios</w:t>
      </w:r>
      <w:r w:rsidRPr="00B54F0A">
        <w:rPr>
          <w:rFonts w:ascii="Cambria" w:hAnsi="Cambria"/>
          <w:sz w:val="20"/>
          <w:szCs w:val="20"/>
          <w:lang w:val="es-ES"/>
        </w:rPr>
        <w:t xml:space="preserve"> denuncia</w:t>
      </w:r>
      <w:r w:rsidR="0072563B">
        <w:rPr>
          <w:rFonts w:ascii="Cambria" w:hAnsi="Cambria"/>
          <w:sz w:val="20"/>
          <w:szCs w:val="20"/>
          <w:lang w:val="es-ES"/>
        </w:rPr>
        <w:t>n</w:t>
      </w:r>
      <w:r w:rsidRPr="00B54F0A">
        <w:rPr>
          <w:rFonts w:ascii="Cambria" w:hAnsi="Cambria"/>
          <w:sz w:val="20"/>
          <w:szCs w:val="20"/>
          <w:lang w:val="es-ES"/>
        </w:rPr>
        <w:t xml:space="preserve"> que el Estado vulneró el derecho a recurrir el fallo de la presunta víctima, debido a que no contó con un recurso que permita la revisión integral de su condena de primera instancia. Señala</w:t>
      </w:r>
      <w:r w:rsidR="0072563B">
        <w:rPr>
          <w:rFonts w:ascii="Cambria" w:hAnsi="Cambria"/>
          <w:sz w:val="20"/>
          <w:szCs w:val="20"/>
          <w:lang w:val="es-ES"/>
        </w:rPr>
        <w:t>n</w:t>
      </w:r>
      <w:r w:rsidRPr="00B54F0A">
        <w:rPr>
          <w:rFonts w:ascii="Cambria" w:hAnsi="Cambria"/>
          <w:sz w:val="20"/>
          <w:szCs w:val="20"/>
          <w:lang w:val="es-ES"/>
        </w:rPr>
        <w:t xml:space="preserve"> que la Sala Tercera de la Corte Suprema no analizó la totalidad de sus reclamos y</w:t>
      </w:r>
      <w:r w:rsidR="006F6D7B" w:rsidRPr="00B54F0A">
        <w:rPr>
          <w:rFonts w:ascii="Cambria" w:hAnsi="Cambria"/>
          <w:sz w:val="20"/>
          <w:szCs w:val="20"/>
          <w:lang w:val="es-ES"/>
        </w:rPr>
        <w:t xml:space="preserve"> que</w:t>
      </w:r>
      <w:r w:rsidRPr="00B54F0A">
        <w:rPr>
          <w:rFonts w:ascii="Cambria" w:hAnsi="Cambria"/>
          <w:sz w:val="20"/>
          <w:szCs w:val="20"/>
          <w:lang w:val="es-ES"/>
        </w:rPr>
        <w:t>, pese a ello, los recursos interpuestos ulteriormente cuestionando este aspecto fueron desestimados.</w:t>
      </w:r>
    </w:p>
    <w:p w14:paraId="4D689013" w14:textId="52F5DED8" w:rsidR="00522C3B" w:rsidRPr="00B54F0A" w:rsidRDefault="00522C3B" w:rsidP="003075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i/>
          <w:iCs/>
          <w:sz w:val="20"/>
          <w:szCs w:val="20"/>
          <w:lang w:val="es-ES"/>
        </w:rPr>
      </w:pPr>
      <w:r w:rsidRPr="00B54F0A">
        <w:rPr>
          <w:i/>
          <w:iCs/>
          <w:sz w:val="20"/>
          <w:szCs w:val="20"/>
          <w:lang w:val="es-ES"/>
        </w:rPr>
        <w:t>Alegatos del Estado</w:t>
      </w:r>
    </w:p>
    <w:p w14:paraId="2B902731" w14:textId="0447E330" w:rsidR="00BF1F4A" w:rsidRPr="00B54F0A" w:rsidRDefault="00BF1F4A" w:rsidP="00BF1F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B54F0A">
        <w:rPr>
          <w:rFonts w:ascii="Cambria" w:hAnsi="Cambria"/>
          <w:sz w:val="20"/>
          <w:szCs w:val="20"/>
          <w:lang w:val="es-ES"/>
        </w:rPr>
        <w:t xml:space="preserve">Por su parte, el Estado replica que la petición es inadmisible por falta de agotamiento de la jurisdicción interna. Destaca que cuando </w:t>
      </w:r>
      <w:r w:rsidR="008A623A">
        <w:rPr>
          <w:rFonts w:ascii="Cambria" w:hAnsi="Cambria"/>
          <w:sz w:val="20"/>
          <w:szCs w:val="20"/>
          <w:lang w:val="es-ES"/>
        </w:rPr>
        <w:t>los peticionarios</w:t>
      </w:r>
      <w:r w:rsidRPr="00B54F0A">
        <w:rPr>
          <w:rFonts w:ascii="Cambria" w:hAnsi="Cambria"/>
          <w:sz w:val="20"/>
          <w:szCs w:val="20"/>
          <w:lang w:val="es-ES"/>
        </w:rPr>
        <w:t xml:space="preserve"> present</w:t>
      </w:r>
      <w:r w:rsidR="008A623A">
        <w:rPr>
          <w:rFonts w:ascii="Cambria" w:hAnsi="Cambria"/>
          <w:sz w:val="20"/>
          <w:szCs w:val="20"/>
          <w:lang w:val="es-ES"/>
        </w:rPr>
        <w:t>aron</w:t>
      </w:r>
      <w:r w:rsidRPr="00B54F0A">
        <w:rPr>
          <w:rFonts w:ascii="Cambria" w:hAnsi="Cambria"/>
          <w:sz w:val="20"/>
          <w:szCs w:val="20"/>
          <w:lang w:val="es-ES"/>
        </w:rPr>
        <w:t xml:space="preserve"> esta petición, la Sala Tercera de la Corte Suprema aún no había resuelto </w:t>
      </w:r>
      <w:r w:rsidR="008A623A">
        <w:rPr>
          <w:rFonts w:ascii="Cambria" w:hAnsi="Cambria"/>
          <w:sz w:val="20"/>
          <w:szCs w:val="20"/>
          <w:lang w:val="es-ES"/>
        </w:rPr>
        <w:t>sus</w:t>
      </w:r>
      <w:r w:rsidRPr="00B54F0A">
        <w:rPr>
          <w:rFonts w:ascii="Cambria" w:hAnsi="Cambria"/>
          <w:sz w:val="20"/>
          <w:szCs w:val="20"/>
          <w:lang w:val="es-ES"/>
        </w:rPr>
        <w:t xml:space="preserve"> procedimientos de revisión. </w:t>
      </w:r>
    </w:p>
    <w:p w14:paraId="5500A7F4" w14:textId="6FD1F817" w:rsidR="00D11B63" w:rsidRPr="00B54F0A" w:rsidRDefault="002B38B2" w:rsidP="002B38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B54F0A">
        <w:rPr>
          <w:rFonts w:asciiTheme="majorHAnsi" w:hAnsiTheme="majorHAnsi"/>
          <w:bCs/>
          <w:sz w:val="20"/>
          <w:szCs w:val="20"/>
          <w:lang w:val="es-ES"/>
        </w:rPr>
        <w:t xml:space="preserve">Por último, Costa Rica plantea que los hechos alegados no caracterizan una violación de derechos humanos que le sea atribuible. Por el contrario, arguye que </w:t>
      </w:r>
      <w:r w:rsidR="0072563B">
        <w:rPr>
          <w:rFonts w:asciiTheme="majorHAnsi" w:hAnsiTheme="majorHAnsi"/>
          <w:bCs/>
          <w:sz w:val="20"/>
          <w:szCs w:val="20"/>
          <w:lang w:val="es-ES"/>
        </w:rPr>
        <w:t>las presuntas víctimas</w:t>
      </w:r>
      <w:r w:rsidRPr="00B54F0A">
        <w:rPr>
          <w:rFonts w:asciiTheme="majorHAnsi" w:hAnsiTheme="majorHAnsi"/>
          <w:bCs/>
          <w:sz w:val="20"/>
          <w:szCs w:val="20"/>
          <w:lang w:val="es-ES"/>
        </w:rPr>
        <w:t xml:space="preserve"> pretenden que la Comisión actúe como una cuarta instancia judicial y revise las valoraciones de hecho y de derecho efectuadas por los jueces y tribunales internos que actuaron en la esfera de su competencia, sin</w:t>
      </w:r>
      <w:r w:rsidRPr="00B54F0A">
        <w:rPr>
          <w:rFonts w:ascii="Cambria" w:hAnsi="Cambria"/>
          <w:sz w:val="20"/>
          <w:szCs w:val="20"/>
          <w:lang w:val="es-ES"/>
        </w:rPr>
        <w:t xml:space="preserve"> </w:t>
      </w:r>
      <w:r w:rsidRPr="00B54F0A">
        <w:rPr>
          <w:rFonts w:asciiTheme="majorHAnsi" w:hAnsiTheme="majorHAnsi"/>
          <w:bCs/>
          <w:sz w:val="20"/>
          <w:szCs w:val="20"/>
          <w:lang w:val="es-ES"/>
        </w:rPr>
        <w:t xml:space="preserve">demostrar que estos hayan vulnerado algún derecho reconocido en la Convención. En tal sentido, destaca que </w:t>
      </w:r>
      <w:r w:rsidR="0072563B">
        <w:rPr>
          <w:rFonts w:asciiTheme="majorHAnsi" w:hAnsiTheme="majorHAnsi"/>
          <w:bCs/>
          <w:sz w:val="20"/>
          <w:szCs w:val="20"/>
          <w:lang w:val="es-ES"/>
        </w:rPr>
        <w:t>estos</w:t>
      </w:r>
      <w:r w:rsidRPr="00B54F0A">
        <w:rPr>
          <w:rFonts w:asciiTheme="majorHAnsi" w:hAnsiTheme="majorHAnsi"/>
          <w:bCs/>
          <w:sz w:val="20"/>
          <w:szCs w:val="20"/>
          <w:lang w:val="es-ES"/>
        </w:rPr>
        <w:t xml:space="preserve"> solo manifiestan su disconformidad con las decisiones internas, a pesar de que la vía de casación dio una respuesta integral a todos sus cuestionamientos.</w:t>
      </w:r>
    </w:p>
    <w:p w14:paraId="3CDBB522" w14:textId="51F75D96" w:rsidR="007705D7" w:rsidRPr="00B54F0A" w:rsidRDefault="007705D7" w:rsidP="00E15B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B54F0A">
        <w:rPr>
          <w:rFonts w:asciiTheme="majorHAnsi" w:hAnsiTheme="majorHAnsi"/>
          <w:b/>
          <w:bCs/>
          <w:sz w:val="20"/>
          <w:szCs w:val="20"/>
          <w:lang w:val="es-ES"/>
        </w:rPr>
        <w:t>VI.</w:t>
      </w:r>
      <w:r w:rsidRPr="00B54F0A">
        <w:rPr>
          <w:rFonts w:asciiTheme="majorHAnsi" w:hAnsiTheme="majorHAnsi"/>
          <w:b/>
          <w:bCs/>
          <w:sz w:val="20"/>
          <w:szCs w:val="20"/>
          <w:lang w:val="es-ES"/>
        </w:rPr>
        <w:tab/>
        <w:t>CONSIDERACIONES PREVIAS</w:t>
      </w:r>
    </w:p>
    <w:p w14:paraId="4A12D7E1" w14:textId="374D44EC"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B54F0A">
        <w:rPr>
          <w:rFonts w:asciiTheme="majorHAnsi" w:hAnsiTheme="majorHAnsi"/>
          <w:bCs/>
          <w:sz w:val="20"/>
          <w:szCs w:val="20"/>
          <w:lang w:val="es-ES"/>
        </w:rPr>
        <w:t>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w:t>
      </w:r>
      <w:r w:rsidR="00106C7F">
        <w:rPr>
          <w:rFonts w:asciiTheme="majorHAnsi" w:hAnsiTheme="majorHAnsi"/>
          <w:bCs/>
          <w:sz w:val="20"/>
          <w:szCs w:val="20"/>
          <w:lang w:val="es-ES"/>
        </w:rPr>
        <w:t xml:space="preserve"> este reclamo. </w:t>
      </w:r>
      <w:r w:rsidRPr="00B54F0A">
        <w:rPr>
          <w:rFonts w:asciiTheme="majorHAnsi" w:hAnsiTheme="majorHAnsi"/>
          <w:bCs/>
          <w:sz w:val="20"/>
          <w:szCs w:val="20"/>
          <w:lang w:val="es-ES"/>
        </w:rPr>
        <w:t xml:space="preserve"> </w:t>
      </w:r>
    </w:p>
    <w:p w14:paraId="4FF09DE4" w14:textId="77777777"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bCs/>
          <w:sz w:val="20"/>
          <w:szCs w:val="20"/>
          <w:lang w:val="es-ES"/>
        </w:rPr>
        <w:t xml:space="preserve">Así, la CIDH recuerda que en la sentencia del caso </w:t>
      </w:r>
      <w:r w:rsidRPr="00B54F0A">
        <w:rPr>
          <w:rFonts w:asciiTheme="majorHAnsi" w:hAnsiTheme="majorHAnsi"/>
          <w:bCs/>
          <w:i/>
          <w:iCs/>
          <w:sz w:val="20"/>
          <w:szCs w:val="20"/>
          <w:lang w:val="es-ES"/>
        </w:rPr>
        <w:t xml:space="preserve">Herrera Ulloa vs. Costa Rica </w:t>
      </w:r>
      <w:r w:rsidRPr="00B54F0A">
        <w:rPr>
          <w:rFonts w:asciiTheme="majorHAnsi" w:hAnsiTheme="majorHAnsi"/>
          <w:bCs/>
          <w:sz w:val="20"/>
          <w:szCs w:val="20"/>
          <w:lang w:val="es-ES"/>
        </w:rPr>
        <w:t>del 2 de julio de 2004, la Corte Interamericana de Derechos Humanos</w:t>
      </w:r>
      <w:r w:rsidRPr="00B54F0A">
        <w:rPr>
          <w:rStyle w:val="FootnoteReference"/>
          <w:rFonts w:asciiTheme="majorHAnsi" w:hAnsiTheme="majorHAnsi"/>
          <w:bCs/>
          <w:sz w:val="20"/>
          <w:szCs w:val="20"/>
          <w:lang w:val="es-ES"/>
        </w:rPr>
        <w:footnoteReference w:id="4"/>
      </w:r>
      <w:r w:rsidRPr="00B54F0A">
        <w:rPr>
          <w:rFonts w:asciiTheme="majorHAnsi" w:hAnsiTheme="majorHAnsi"/>
          <w:bCs/>
          <w:sz w:val="20"/>
          <w:szCs w:val="20"/>
          <w:lang w:val="es-ES"/>
        </w:rPr>
        <w:t xml:space="preserve"> examinó la regulación establecida en el Código Procesal Penal vigente desde 1998; y concluyó que no contaba con “</w:t>
      </w:r>
      <w:r w:rsidRPr="00B54F0A">
        <w:rPr>
          <w:rFonts w:asciiTheme="majorHAnsi" w:hAnsiTheme="majorHAnsi"/>
          <w:bCs/>
          <w:i/>
          <w:iCs/>
          <w:sz w:val="20"/>
          <w:szCs w:val="20"/>
          <w:lang w:val="es-ES"/>
        </w:rPr>
        <w:t xml:space="preserve">un recurso que </w:t>
      </w:r>
      <w:r w:rsidRPr="00B54F0A">
        <w:rPr>
          <w:rFonts w:asciiTheme="majorHAnsi" w:hAnsiTheme="majorHAnsi"/>
          <w:i/>
          <w:iCs/>
          <w:sz w:val="20"/>
          <w:szCs w:val="20"/>
          <w:lang w:val="es-ES"/>
        </w:rPr>
        <w:t xml:space="preserve">permitiera que el tribunal superior realizara un análisis o examen comprensivo e integral de todas las cuestiones debatidas y analizadas por el </w:t>
      </w:r>
      <w:r w:rsidRPr="00B54F0A">
        <w:rPr>
          <w:rFonts w:asciiTheme="majorHAnsi" w:hAnsiTheme="majorHAnsi"/>
          <w:i/>
          <w:iCs/>
          <w:sz w:val="20"/>
          <w:szCs w:val="20"/>
          <w:lang w:val="es-ES"/>
        </w:rPr>
        <w:lastRenderedPageBreak/>
        <w:t>tribunal inferior</w:t>
      </w:r>
      <w:r w:rsidRPr="00B54F0A">
        <w:rPr>
          <w:rFonts w:asciiTheme="majorHAnsi" w:hAnsiTheme="majorHAnsi"/>
          <w:sz w:val="20"/>
          <w:szCs w:val="20"/>
          <w:lang w:val="es-ES"/>
        </w:rPr>
        <w:t>”, dada las limitaciones que tenía la regulación del recurso de casación en el ámbito penal</w:t>
      </w:r>
      <w:r w:rsidRPr="00B54F0A">
        <w:rPr>
          <w:rStyle w:val="FootnoteReference"/>
          <w:rFonts w:asciiTheme="majorHAnsi" w:hAnsiTheme="majorHAnsi"/>
          <w:sz w:val="20"/>
          <w:szCs w:val="20"/>
          <w:lang w:val="es-ES"/>
        </w:rPr>
        <w:footnoteReference w:id="5"/>
      </w:r>
      <w:r w:rsidRPr="00B54F0A">
        <w:rPr>
          <w:rFonts w:asciiTheme="majorHAnsi" w:hAnsiTheme="majorHAnsi"/>
          <w:sz w:val="20"/>
          <w:szCs w:val="20"/>
          <w:lang w:val="es-ES"/>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B54F0A">
        <w:rPr>
          <w:rFonts w:asciiTheme="majorHAnsi" w:hAnsiTheme="majorHAnsi"/>
          <w:i/>
          <w:iCs/>
          <w:sz w:val="20"/>
          <w:szCs w:val="20"/>
          <w:lang w:val="es-ES"/>
        </w:rPr>
        <w:t>adecuar su ordenamiento jurídico interno a lo establecido en el artículo 8.2.h de la Convención Americana, en relación con el artículo 2 de la misma</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6"/>
      </w:r>
      <w:r w:rsidRPr="00B54F0A">
        <w:rPr>
          <w:rFonts w:asciiTheme="majorHAnsi" w:hAnsiTheme="majorHAnsi"/>
          <w:sz w:val="20"/>
          <w:szCs w:val="20"/>
          <w:lang w:val="es-ES"/>
        </w:rPr>
        <w:t>.</w:t>
      </w:r>
    </w:p>
    <w:p w14:paraId="5CE614C9" w14:textId="05B0FDC9"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bCs/>
          <w:sz w:val="20"/>
          <w:szCs w:val="20"/>
          <w:lang w:val="es-ES"/>
        </w:rPr>
        <w:t>Como consecuencia de esta sentencia, Costa Rica reformó la regulación de su sistema procesal penal a efectos de contar con una regulación acorde con las obligaciones contempladas en el artículo 8.2.h) de la Convención Americana. Así, el 6 de</w:t>
      </w:r>
      <w:r w:rsidRPr="00B54F0A">
        <w:rPr>
          <w:rFonts w:asciiTheme="majorHAnsi" w:hAnsiTheme="majorHAnsi"/>
          <w:sz w:val="20"/>
          <w:szCs w:val="20"/>
          <w:lang w:val="es-ES"/>
        </w:rPr>
        <w:t xml:space="preserve"> junio de 2006 entró en vigor la Ley </w:t>
      </w:r>
      <w:r w:rsidR="00106C7F">
        <w:rPr>
          <w:rFonts w:asciiTheme="majorHAnsi" w:hAnsiTheme="majorHAnsi"/>
          <w:sz w:val="20"/>
          <w:szCs w:val="20"/>
          <w:lang w:val="es-ES_tradnl"/>
        </w:rPr>
        <w:t>Nº</w:t>
      </w:r>
      <w:r w:rsidR="00106C7F" w:rsidRPr="00B54F0A">
        <w:rPr>
          <w:rFonts w:asciiTheme="majorHAnsi" w:hAnsiTheme="majorHAnsi"/>
          <w:sz w:val="20"/>
          <w:szCs w:val="20"/>
          <w:lang w:val="es-ES"/>
        </w:rPr>
        <w:t xml:space="preserve"> </w:t>
      </w:r>
      <w:r w:rsidRPr="00B54F0A">
        <w:rPr>
          <w:rFonts w:asciiTheme="majorHAnsi" w:hAnsiTheme="majorHAnsi"/>
          <w:sz w:val="20"/>
          <w:szCs w:val="20"/>
          <w:lang w:val="es-ES"/>
        </w:rPr>
        <w:t>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B54F0A">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w:t>
      </w:r>
      <w:r w:rsidR="00190DE8" w:rsidRPr="00B54F0A">
        <w:rPr>
          <w:rFonts w:asciiTheme="majorHAnsi" w:hAnsiTheme="majorHAnsi"/>
          <w:i/>
          <w:iCs/>
          <w:sz w:val="20"/>
          <w:szCs w:val="20"/>
          <w:lang w:val="es-ES"/>
        </w:rPr>
        <w:t>-</w:t>
      </w:r>
      <w:r w:rsidRPr="00B54F0A">
        <w:rPr>
          <w:rFonts w:asciiTheme="majorHAnsi" w:hAnsiTheme="majorHAnsi"/>
          <w:i/>
          <w:iCs/>
          <w:sz w:val="20"/>
          <w:szCs w:val="20"/>
          <w:lang w:val="es-ES"/>
        </w:rPr>
        <w:t xml:space="preserve"> conocer en casación</w:t>
      </w:r>
      <w:r w:rsidRPr="00B54F0A">
        <w:rPr>
          <w:rFonts w:asciiTheme="majorHAnsi" w:hAnsiTheme="majorHAnsi"/>
          <w:sz w:val="20"/>
          <w:szCs w:val="20"/>
          <w:lang w:val="es-ES"/>
        </w:rPr>
        <w:t>”. En virtud de ello, la Corte Interamericana consideró que “</w:t>
      </w:r>
      <w:r w:rsidRPr="00B54F0A">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7"/>
      </w:r>
      <w:r w:rsidRPr="00B54F0A">
        <w:rPr>
          <w:rFonts w:asciiTheme="majorHAnsi" w:hAnsiTheme="majorHAnsi"/>
          <w:sz w:val="20"/>
          <w:szCs w:val="20"/>
          <w:lang w:val="es-ES"/>
        </w:rPr>
        <w:t>.</w:t>
      </w:r>
    </w:p>
    <w:p w14:paraId="01B83E83" w14:textId="2880E27F" w:rsidR="00CD17F6" w:rsidRPr="00B54F0A" w:rsidRDefault="00106C7F"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Además</w:t>
      </w:r>
      <w:r w:rsidR="007C1952" w:rsidRPr="00B54F0A">
        <w:rPr>
          <w:rFonts w:asciiTheme="majorHAnsi" w:hAnsiTheme="majorHAnsi"/>
          <w:sz w:val="20"/>
          <w:szCs w:val="20"/>
          <w:lang w:val="es-ES"/>
        </w:rPr>
        <w:t>,</w:t>
      </w:r>
      <w:r w:rsidR="00CD17F6" w:rsidRPr="00B54F0A">
        <w:rPr>
          <w:rFonts w:asciiTheme="majorHAnsi" w:hAnsiTheme="majorHAnsi"/>
          <w:sz w:val="20"/>
          <w:szCs w:val="20"/>
          <w:lang w:val="es-ES"/>
        </w:rPr>
        <w:t xml:space="preserve"> </w:t>
      </w:r>
      <w:r w:rsidR="007C1952" w:rsidRPr="00B54F0A">
        <w:rPr>
          <w:rFonts w:asciiTheme="majorHAnsi" w:hAnsiTheme="majorHAnsi"/>
          <w:sz w:val="20"/>
          <w:szCs w:val="20"/>
          <w:lang w:val="es-ES"/>
        </w:rPr>
        <w:t xml:space="preserve">y en lo relevante para el presente caso, </w:t>
      </w:r>
      <w:r w:rsidR="00CD17F6" w:rsidRPr="00B54F0A">
        <w:rPr>
          <w:rFonts w:asciiTheme="majorHAnsi" w:hAnsiTheme="majorHAnsi"/>
          <w:sz w:val="20"/>
          <w:szCs w:val="20"/>
          <w:lang w:val="es-ES"/>
        </w:rPr>
        <w:t xml:space="preserve">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w:t>
      </w:r>
      <w:r>
        <w:rPr>
          <w:rFonts w:asciiTheme="majorHAnsi" w:hAnsiTheme="majorHAnsi"/>
          <w:sz w:val="20"/>
          <w:szCs w:val="20"/>
          <w:lang w:val="es-ES"/>
        </w:rPr>
        <w:t>L</w:t>
      </w:r>
      <w:r w:rsidR="00CD17F6" w:rsidRPr="00B54F0A">
        <w:rPr>
          <w:rFonts w:asciiTheme="majorHAnsi" w:hAnsiTheme="majorHAnsi"/>
          <w:sz w:val="20"/>
          <w:szCs w:val="20"/>
          <w:lang w:val="es-ES"/>
        </w:rPr>
        <w:t xml:space="preserve">ey </w:t>
      </w:r>
      <w:r>
        <w:rPr>
          <w:rFonts w:asciiTheme="majorHAnsi" w:hAnsiTheme="majorHAnsi"/>
          <w:sz w:val="20"/>
          <w:szCs w:val="20"/>
          <w:lang w:val="es-ES_tradnl"/>
        </w:rPr>
        <w:t>Nº</w:t>
      </w:r>
      <w:r w:rsidRPr="00B54F0A">
        <w:rPr>
          <w:rFonts w:asciiTheme="majorHAnsi" w:hAnsiTheme="majorHAnsi"/>
          <w:sz w:val="20"/>
          <w:szCs w:val="20"/>
          <w:lang w:val="es-ES"/>
        </w:rPr>
        <w:t xml:space="preserve"> </w:t>
      </w:r>
      <w:r w:rsidR="00CD17F6" w:rsidRPr="00B54F0A">
        <w:rPr>
          <w:rFonts w:asciiTheme="majorHAnsi" w:hAnsiTheme="majorHAnsi"/>
          <w:sz w:val="20"/>
          <w:szCs w:val="20"/>
          <w:lang w:val="es-ES"/>
        </w:rPr>
        <w:t xml:space="preserve">8503 incorporó el artículo 449 </w:t>
      </w:r>
      <w:r w:rsidR="00CD17F6" w:rsidRPr="008656B0">
        <w:rPr>
          <w:rFonts w:asciiTheme="majorHAnsi" w:hAnsiTheme="majorHAnsi"/>
          <w:i/>
          <w:iCs/>
          <w:sz w:val="20"/>
          <w:szCs w:val="20"/>
          <w:lang w:val="es-ES"/>
        </w:rPr>
        <w:t>bis</w:t>
      </w:r>
      <w:r w:rsidR="00CD17F6" w:rsidRPr="00B54F0A">
        <w:rPr>
          <w:rFonts w:asciiTheme="majorHAnsi" w:hAnsiTheme="majorHAnsi"/>
          <w:sz w:val="20"/>
          <w:szCs w:val="20"/>
          <w:lang w:val="es-ES"/>
        </w:rPr>
        <w:t xml:space="preserve"> al Código Procesal Penal, el cual reza: </w:t>
      </w:r>
    </w:p>
    <w:p w14:paraId="1442D2C0" w14:textId="77777777" w:rsidR="00CD17F6" w:rsidRPr="00B54F0A"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B54F0A">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B54F0A" w:rsidRDefault="00CD17F6" w:rsidP="00CD17F6">
      <w:pPr>
        <w:pStyle w:val="NormalWeb"/>
        <w:spacing w:before="0" w:beforeAutospacing="0" w:after="0" w:afterAutospacing="0"/>
        <w:ind w:left="709" w:right="798"/>
        <w:jc w:val="both"/>
        <w:rPr>
          <w:rFonts w:asciiTheme="majorHAnsi" w:hAnsiTheme="majorHAnsi"/>
          <w:sz w:val="20"/>
          <w:szCs w:val="20"/>
          <w:lang w:val="es-ES"/>
        </w:rPr>
      </w:pPr>
    </w:p>
    <w:p w14:paraId="1035475D" w14:textId="77777777" w:rsidR="00CD17F6" w:rsidRPr="00B54F0A"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B54F0A">
        <w:rPr>
          <w:rFonts w:asciiTheme="majorHAnsi" w:hAnsiTheme="majorHAnsi" w:cs="Calibri"/>
          <w:sz w:val="20"/>
          <w:szCs w:val="20"/>
          <w:lang w:val="es-ES"/>
        </w:rPr>
        <w:t>De igual manera, podrá valorar en forma directa la prueba que se haya introducido por escrito al juicio.</w:t>
      </w:r>
    </w:p>
    <w:p w14:paraId="66FF7CB8" w14:textId="2281F4B4"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bCs/>
          <w:sz w:val="20"/>
          <w:szCs w:val="20"/>
          <w:lang w:val="es-ES"/>
        </w:rPr>
        <w:t>Adicionalmente, tanto la Comisión como la Corte IDH también constataron que e</w:t>
      </w:r>
      <w:r w:rsidRPr="00B54F0A">
        <w:rPr>
          <w:rFonts w:asciiTheme="majorHAnsi" w:hAnsiTheme="majorHAnsi"/>
          <w:sz w:val="20"/>
          <w:szCs w:val="20"/>
          <w:lang w:val="es-ES"/>
        </w:rPr>
        <w:t xml:space="preserve">l 9 de junio de 2010 se publicó la Ley </w:t>
      </w:r>
      <w:r w:rsidR="00106C7F">
        <w:rPr>
          <w:rFonts w:asciiTheme="majorHAnsi" w:hAnsiTheme="majorHAnsi"/>
          <w:sz w:val="20"/>
          <w:szCs w:val="20"/>
          <w:lang w:val="es-ES_tradnl"/>
        </w:rPr>
        <w:t>Nº</w:t>
      </w:r>
      <w:r w:rsidR="00106C7F" w:rsidRPr="00B54F0A">
        <w:rPr>
          <w:rFonts w:asciiTheme="majorHAnsi" w:hAnsiTheme="majorHAnsi"/>
          <w:sz w:val="20"/>
          <w:szCs w:val="20"/>
          <w:lang w:val="es-ES"/>
        </w:rPr>
        <w:t xml:space="preserve"> </w:t>
      </w:r>
      <w:r w:rsidRPr="00B54F0A">
        <w:rPr>
          <w:rFonts w:asciiTheme="majorHAnsi" w:hAnsiTheme="majorHAnsi"/>
          <w:sz w:val="20"/>
          <w:szCs w:val="20"/>
          <w:lang w:val="es-ES"/>
        </w:rPr>
        <w:t>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36300E51"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Como </w:t>
      </w:r>
      <w:r w:rsidR="00106C7F">
        <w:rPr>
          <w:rFonts w:asciiTheme="majorHAnsi" w:hAnsiTheme="majorHAnsi"/>
          <w:sz w:val="20"/>
          <w:szCs w:val="20"/>
          <w:lang w:val="es-ES"/>
        </w:rPr>
        <w:t>resultado</w:t>
      </w:r>
      <w:r w:rsidRPr="00B54F0A">
        <w:rPr>
          <w:rFonts w:asciiTheme="majorHAnsi" w:hAnsiTheme="majorHAnsi"/>
          <w:sz w:val="20"/>
          <w:szCs w:val="20"/>
          <w:lang w:val="es-ES"/>
        </w:rPr>
        <w:t xml:space="preserve"> de las citadas modificaciones, en la sentencia del caso </w:t>
      </w:r>
      <w:r w:rsidRPr="00B54F0A">
        <w:rPr>
          <w:rFonts w:asciiTheme="majorHAnsi" w:hAnsiTheme="majorHAnsi"/>
          <w:i/>
          <w:iCs/>
          <w:sz w:val="20"/>
          <w:szCs w:val="20"/>
          <w:lang w:val="es-ES"/>
        </w:rPr>
        <w:t>Amrhein y otros vs. Costa Rica</w:t>
      </w:r>
      <w:r w:rsidRPr="00B54F0A">
        <w:rPr>
          <w:rFonts w:asciiTheme="majorHAnsi" w:hAnsiTheme="majorHAnsi"/>
          <w:sz w:val="20"/>
          <w:szCs w:val="20"/>
          <w:lang w:val="es-ES"/>
        </w:rPr>
        <w:t xml:space="preserve"> del 25 de abril de 2018, la Corte Interamericana evaluó nuevamente la regulación procesal penal </w:t>
      </w:r>
      <w:r w:rsidRPr="00B54F0A">
        <w:rPr>
          <w:rFonts w:asciiTheme="majorHAnsi" w:hAnsiTheme="majorHAnsi"/>
          <w:sz w:val="20"/>
          <w:szCs w:val="20"/>
          <w:lang w:val="es-ES"/>
        </w:rPr>
        <w:lastRenderedPageBreak/>
        <w:t xml:space="preserve">costarricense; y amplió sus criterios jurídicos tanto respecto al agotamiento de la jurisdicción interna, como al análisis de fondo de casos sobre la misma temática. </w:t>
      </w:r>
    </w:p>
    <w:p w14:paraId="7EDC6B60" w14:textId="16F4BD0F"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En relación con el primer punto, la Comisión destaca que, en el citado caso, la Corte IDH </w:t>
      </w:r>
      <w:r w:rsidR="00106C7F">
        <w:rPr>
          <w:rFonts w:asciiTheme="majorHAnsi" w:hAnsiTheme="majorHAnsi"/>
          <w:sz w:val="20"/>
          <w:szCs w:val="20"/>
          <w:lang w:val="es-ES"/>
        </w:rPr>
        <w:t>concluyó</w:t>
      </w:r>
      <w:r w:rsidRPr="00B54F0A">
        <w:rPr>
          <w:rFonts w:asciiTheme="majorHAnsi" w:hAnsiTheme="majorHAnsi"/>
          <w:sz w:val="20"/>
          <w:szCs w:val="20"/>
          <w:lang w:val="es-ES"/>
        </w:rPr>
        <w:t xml:space="preserve"> que las presuntas víctimas debieron haber interpuesto el recurso de revisión especial con base en el Transitorio I de la Ley</w:t>
      </w:r>
      <w:r w:rsidR="00106C7F">
        <w:rPr>
          <w:rFonts w:asciiTheme="majorHAnsi" w:hAnsiTheme="majorHAnsi"/>
          <w:sz w:val="20"/>
          <w:szCs w:val="20"/>
          <w:lang w:val="es-ES"/>
        </w:rPr>
        <w:t xml:space="preserve"> </w:t>
      </w:r>
      <w:r w:rsidR="00106C7F">
        <w:rPr>
          <w:rFonts w:asciiTheme="majorHAnsi" w:hAnsiTheme="majorHAnsi"/>
          <w:sz w:val="20"/>
          <w:szCs w:val="20"/>
          <w:lang w:val="es-ES_tradnl"/>
        </w:rPr>
        <w:t>Nº</w:t>
      </w:r>
      <w:r w:rsidRPr="00B54F0A">
        <w:rPr>
          <w:rFonts w:asciiTheme="majorHAnsi" w:hAnsiTheme="majorHAnsi"/>
          <w:sz w:val="20"/>
          <w:szCs w:val="20"/>
          <w:lang w:val="es-ES"/>
        </w:rPr>
        <w:t xml:space="preserve"> 8503 de 2006 durante el trámite de admisibilidad de la petición, pues estaba destinado específicamente a personas con condenas ya en firme; y por ello, “</w:t>
      </w:r>
      <w:r w:rsidRPr="00B54F0A">
        <w:rPr>
          <w:rFonts w:asciiTheme="majorHAnsi" w:hAnsiTheme="majorHAnsi"/>
          <w:i/>
          <w:iCs/>
          <w:sz w:val="20"/>
          <w:szCs w:val="20"/>
          <w:lang w:val="es-ES"/>
        </w:rPr>
        <w:t>el hecho de que se trataría de un recurso extraordinario no puede ser determinante, per se, para concluir su inefectividad”</w:t>
      </w:r>
      <w:r w:rsidRPr="00B54F0A">
        <w:rPr>
          <w:rStyle w:val="FootnoteReference"/>
          <w:rFonts w:asciiTheme="majorHAnsi" w:hAnsiTheme="majorHAnsi"/>
          <w:i/>
          <w:iCs/>
          <w:sz w:val="20"/>
          <w:szCs w:val="20"/>
          <w:lang w:val="es-ES"/>
        </w:rPr>
        <w:footnoteReference w:id="8"/>
      </w:r>
      <w:r w:rsidRPr="00B54F0A">
        <w:rPr>
          <w:rFonts w:asciiTheme="majorHAnsi" w:hAnsiTheme="majorHAnsi"/>
          <w:i/>
          <w:iCs/>
          <w:sz w:val="20"/>
          <w:szCs w:val="20"/>
          <w:lang w:val="es-ES"/>
        </w:rPr>
        <w:t xml:space="preserve">. </w:t>
      </w:r>
      <w:r w:rsidRPr="00B54F0A">
        <w:rPr>
          <w:rFonts w:asciiTheme="majorHAnsi" w:hAnsiTheme="majorHAnsi"/>
          <w:sz w:val="20"/>
          <w:szCs w:val="20"/>
          <w:lang w:val="es-ES"/>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264C5C6C"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Finalmente, </w:t>
      </w:r>
      <w:r w:rsidR="00106C7F">
        <w:rPr>
          <w:rFonts w:asciiTheme="majorHAnsi" w:hAnsiTheme="majorHAnsi"/>
          <w:sz w:val="20"/>
          <w:szCs w:val="20"/>
          <w:lang w:val="es-ES"/>
        </w:rPr>
        <w:t>respecto al</w:t>
      </w:r>
      <w:r w:rsidRPr="00B54F0A">
        <w:rPr>
          <w:rFonts w:asciiTheme="majorHAnsi" w:hAnsiTheme="majorHAnsi"/>
          <w:sz w:val="20"/>
          <w:szCs w:val="20"/>
          <w:lang w:val="es-ES"/>
        </w:rPr>
        <w:t xml:space="preserve"> análisis de caracterización de las peticiones, la Comisión nota que la Corte Interamericana </w:t>
      </w:r>
      <w:r w:rsidR="00106C7F">
        <w:rPr>
          <w:rFonts w:asciiTheme="majorHAnsi" w:hAnsiTheme="majorHAnsi"/>
          <w:sz w:val="20"/>
          <w:szCs w:val="20"/>
          <w:lang w:val="es-ES"/>
        </w:rPr>
        <w:t>argumentó</w:t>
      </w:r>
      <w:r w:rsidRPr="00B54F0A">
        <w:rPr>
          <w:rFonts w:asciiTheme="majorHAnsi" w:hAnsiTheme="majorHAnsi"/>
          <w:sz w:val="20"/>
          <w:szCs w:val="20"/>
          <w:lang w:val="es-ES"/>
        </w:rPr>
        <w:t xml:space="preserve"> en la citada sentencia que no correspondía “</w:t>
      </w:r>
      <w:r w:rsidRPr="00B54F0A">
        <w:rPr>
          <w:rFonts w:asciiTheme="majorHAnsi" w:hAnsiTheme="majorHAnsi"/>
          <w:i/>
          <w:iCs/>
          <w:sz w:val="20"/>
          <w:szCs w:val="20"/>
          <w:lang w:val="es-ES"/>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B54F0A">
        <w:rPr>
          <w:rFonts w:asciiTheme="majorHAnsi" w:hAnsiTheme="majorHAnsi"/>
          <w:sz w:val="20"/>
          <w:szCs w:val="20"/>
          <w:lang w:val="es-ES"/>
        </w:rPr>
        <w:t xml:space="preserve"> […]”</w:t>
      </w:r>
      <w:r w:rsidRPr="00B54F0A">
        <w:rPr>
          <w:rStyle w:val="FootnoteReference"/>
          <w:rFonts w:asciiTheme="majorHAnsi" w:hAnsiTheme="majorHAnsi"/>
          <w:sz w:val="20"/>
          <w:szCs w:val="20"/>
          <w:lang w:val="es-ES"/>
        </w:rPr>
        <w:footnoteReference w:id="9"/>
      </w:r>
      <w:r w:rsidRPr="00B54F0A">
        <w:rPr>
          <w:rFonts w:asciiTheme="majorHAnsi" w:hAnsiTheme="majorHAnsi"/>
          <w:sz w:val="20"/>
          <w:szCs w:val="20"/>
          <w:lang w:val="es-ES"/>
        </w:rPr>
        <w:t xml:space="preserve">. Asimismo, recuerda que en la resolución de supervisión de cumplimiento del 22 de noviembre de 2010 del caso </w:t>
      </w:r>
      <w:r w:rsidRPr="00B54F0A">
        <w:rPr>
          <w:rFonts w:asciiTheme="majorHAnsi" w:hAnsiTheme="majorHAnsi"/>
          <w:i/>
          <w:iCs/>
          <w:sz w:val="20"/>
          <w:szCs w:val="20"/>
          <w:lang w:val="es-ES"/>
        </w:rPr>
        <w:t xml:space="preserve">Herrera Ulloa vs. Costa Rica, </w:t>
      </w:r>
      <w:r w:rsidRPr="00B54F0A">
        <w:rPr>
          <w:rFonts w:asciiTheme="majorHAnsi" w:hAnsiTheme="majorHAnsi"/>
          <w:sz w:val="20"/>
          <w:szCs w:val="20"/>
          <w:lang w:val="es-ES"/>
        </w:rPr>
        <w:t>el Tribunal valoró positivamente las reformas introducidas en la legislación procesal penal; y en virtud de tales modificaciones concluyó que “</w:t>
      </w:r>
      <w:r w:rsidRPr="00B54F0A">
        <w:rPr>
          <w:rFonts w:asciiTheme="majorHAnsi" w:hAnsiTheme="majorHAnsi"/>
          <w:i/>
          <w:iCs/>
          <w:sz w:val="20"/>
          <w:szCs w:val="20"/>
          <w:lang w:val="es-ES"/>
        </w:rPr>
        <w:t>al garantizar la posibilidad de un amplio control de la sentencia emitida por un tribunal de juicio en materia penal a nivel interno</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0"/>
      </w:r>
      <w:r w:rsidRPr="00B54F0A">
        <w:rPr>
          <w:rFonts w:asciiTheme="majorHAnsi" w:hAnsiTheme="majorHAnsi"/>
          <w:sz w:val="20"/>
          <w:szCs w:val="20"/>
          <w:lang w:val="es-ES"/>
        </w:rPr>
        <w:t xml:space="preserve">, Costa Rica había cumplido con adecuar su legislación interna. </w:t>
      </w:r>
    </w:p>
    <w:p w14:paraId="2D62666E" w14:textId="7204B6FF" w:rsidR="00CD17F6" w:rsidRPr="00B54F0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Sin perjuicio de ello, la Comisión destaca que las citadas normas</w:t>
      </w:r>
      <w:r w:rsidRPr="00B54F0A">
        <w:rPr>
          <w:rFonts w:asciiTheme="majorHAnsi" w:hAnsiTheme="majorHAnsi" w:cs="Calibri"/>
          <w:sz w:val="20"/>
          <w:szCs w:val="20"/>
          <w:lang w:val="es-ES"/>
        </w:rPr>
        <w:t xml:space="preserve"> reconocieron a aquellas personas cuyas sentencias condenatorias ya habían adquirido calidad de cosa juzgada la posibilidad de interponer un procedimiento de revisión, aunque supeditado al cumplimiento de ciertos requisitos. En el caso de la </w:t>
      </w:r>
      <w:r w:rsidR="00106C7F">
        <w:rPr>
          <w:rFonts w:asciiTheme="majorHAnsi" w:hAnsiTheme="majorHAnsi" w:cs="Calibri"/>
          <w:sz w:val="20"/>
          <w:szCs w:val="20"/>
          <w:lang w:val="es-ES"/>
        </w:rPr>
        <w:t>L</w:t>
      </w:r>
      <w:r w:rsidRPr="00B54F0A">
        <w:rPr>
          <w:rFonts w:asciiTheme="majorHAnsi" w:hAnsiTheme="majorHAnsi" w:cs="Calibri"/>
          <w:sz w:val="20"/>
          <w:szCs w:val="20"/>
          <w:lang w:val="es-ES"/>
        </w:rPr>
        <w:t>ey</w:t>
      </w:r>
      <w:r w:rsidR="00106C7F" w:rsidRPr="00106C7F">
        <w:rPr>
          <w:rFonts w:asciiTheme="majorHAnsi" w:hAnsiTheme="majorHAnsi"/>
          <w:sz w:val="20"/>
          <w:szCs w:val="20"/>
          <w:lang w:val="es-ES_tradnl"/>
        </w:rPr>
        <w:t xml:space="preserve"> </w:t>
      </w:r>
      <w:r w:rsidR="00106C7F">
        <w:rPr>
          <w:rFonts w:asciiTheme="majorHAnsi" w:hAnsiTheme="majorHAnsi"/>
          <w:sz w:val="20"/>
          <w:szCs w:val="20"/>
          <w:lang w:val="es-ES_tradnl"/>
        </w:rPr>
        <w:t>Nº</w:t>
      </w:r>
      <w:r w:rsidRPr="00B54F0A">
        <w:rPr>
          <w:rFonts w:asciiTheme="majorHAnsi" w:hAnsiTheme="majorHAnsi" w:cs="Calibri"/>
          <w:sz w:val="20"/>
          <w:szCs w:val="20"/>
          <w:lang w:val="es-ES"/>
        </w:rPr>
        <w:t xml:space="preserve"> 8503, la Comisión </w:t>
      </w:r>
      <w:r w:rsidR="0079157F">
        <w:rPr>
          <w:rFonts w:asciiTheme="majorHAnsi" w:hAnsiTheme="majorHAnsi" w:cs="Calibri"/>
          <w:sz w:val="20"/>
          <w:szCs w:val="20"/>
          <w:lang w:val="es-ES"/>
        </w:rPr>
        <w:t>resalta</w:t>
      </w:r>
      <w:r w:rsidR="0079157F" w:rsidRPr="00B54F0A">
        <w:rPr>
          <w:rFonts w:asciiTheme="majorHAnsi" w:hAnsiTheme="majorHAnsi" w:cs="Calibri"/>
          <w:sz w:val="20"/>
          <w:szCs w:val="20"/>
          <w:lang w:val="es-ES"/>
        </w:rPr>
        <w:t xml:space="preserve"> </w:t>
      </w:r>
      <w:r w:rsidRPr="00B54F0A">
        <w:rPr>
          <w:rFonts w:asciiTheme="majorHAnsi" w:hAnsiTheme="majorHAnsi" w:cs="Calibri"/>
          <w:sz w:val="20"/>
          <w:szCs w:val="20"/>
          <w:lang w:val="es-ES"/>
        </w:rPr>
        <w:t>que se exigía que el recurrente invoque en su presentación “</w:t>
      </w:r>
      <w:r w:rsidRPr="00B54F0A">
        <w:rPr>
          <w:rFonts w:asciiTheme="majorHAnsi" w:hAnsiTheme="majorHAnsi" w:cs="Calibri"/>
          <w:i/>
          <w:iCs/>
          <w:sz w:val="20"/>
          <w:szCs w:val="20"/>
          <w:lang w:val="es-ES"/>
        </w:rPr>
        <w:t>el agravio y los aspectos de hecho y derecho que no fueron posibles de conocer en casación</w:t>
      </w:r>
      <w:r w:rsidRPr="00B54F0A">
        <w:rPr>
          <w:rFonts w:asciiTheme="majorHAnsi" w:hAnsiTheme="majorHAnsi" w:cs="Calibri"/>
          <w:sz w:val="20"/>
          <w:szCs w:val="20"/>
          <w:lang w:val="es-ES"/>
        </w:rPr>
        <w:t xml:space="preserve">”. Por su parte, el Transitorio III de la </w:t>
      </w:r>
      <w:r w:rsidR="00106C7F">
        <w:rPr>
          <w:rFonts w:asciiTheme="majorHAnsi" w:hAnsiTheme="majorHAnsi" w:cs="Calibri"/>
          <w:sz w:val="20"/>
          <w:szCs w:val="20"/>
          <w:lang w:val="es-ES"/>
        </w:rPr>
        <w:t>L</w:t>
      </w:r>
      <w:r w:rsidRPr="00B54F0A">
        <w:rPr>
          <w:rFonts w:asciiTheme="majorHAnsi" w:hAnsiTheme="majorHAnsi" w:cs="Calibri"/>
          <w:sz w:val="20"/>
          <w:szCs w:val="20"/>
          <w:lang w:val="es-ES"/>
        </w:rPr>
        <w:t xml:space="preserve">ey </w:t>
      </w:r>
      <w:r w:rsidR="00106C7F">
        <w:rPr>
          <w:rFonts w:asciiTheme="majorHAnsi" w:hAnsiTheme="majorHAnsi"/>
          <w:sz w:val="20"/>
          <w:szCs w:val="20"/>
          <w:lang w:val="es-ES_tradnl"/>
        </w:rPr>
        <w:t>Nº</w:t>
      </w:r>
      <w:r w:rsidR="00106C7F" w:rsidRPr="00B54F0A">
        <w:rPr>
          <w:rFonts w:asciiTheme="majorHAnsi" w:hAnsiTheme="majorHAnsi" w:cs="Calibri"/>
          <w:sz w:val="20"/>
          <w:szCs w:val="20"/>
          <w:lang w:val="es-ES"/>
        </w:rPr>
        <w:t xml:space="preserve"> </w:t>
      </w:r>
      <w:r w:rsidRPr="00B54F0A">
        <w:rPr>
          <w:rFonts w:asciiTheme="majorHAnsi" w:hAnsiTheme="majorHAnsi" w:cs="Calibri"/>
          <w:sz w:val="20"/>
          <w:szCs w:val="20"/>
          <w:lang w:val="es-ES"/>
        </w:rPr>
        <w:t>8837 demandaba para la procedencia del procedimiento de revisión que el condenado “</w:t>
      </w:r>
      <w:r w:rsidRPr="00B54F0A">
        <w:rPr>
          <w:rFonts w:asciiTheme="majorHAnsi" w:hAnsiTheme="majorHAnsi" w:cs="Calibri"/>
          <w:i/>
          <w:iCs/>
          <w:sz w:val="20"/>
          <w:szCs w:val="20"/>
          <w:lang w:val="es-ES"/>
        </w:rPr>
        <w:t>haya alegado con anterioridad la vulneración del artículo 8.2.h de la Convención</w:t>
      </w:r>
      <w:r w:rsidRPr="00B54F0A">
        <w:rPr>
          <w:rFonts w:asciiTheme="majorHAnsi" w:hAnsiTheme="majorHAnsi" w:cs="Calibri"/>
          <w:sz w:val="20"/>
          <w:szCs w:val="20"/>
          <w:lang w:val="es-ES"/>
        </w:rPr>
        <w:t xml:space="preserve">”.   </w:t>
      </w:r>
    </w:p>
    <w:p w14:paraId="330061A1" w14:textId="0FCD3A2A" w:rsidR="00CD17F6" w:rsidRPr="00B54F0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cs="Calibri"/>
          <w:sz w:val="20"/>
          <w:szCs w:val="20"/>
          <w:lang w:val="es-ES"/>
        </w:rPr>
        <w:t xml:space="preserve">En tal sentido, la Comisión reafirma que la manera en que se encontraba regulado el procedimiento de revisión establecido por el Transitorio I de la </w:t>
      </w:r>
      <w:r w:rsidR="00106C7F">
        <w:rPr>
          <w:rFonts w:asciiTheme="majorHAnsi" w:hAnsiTheme="majorHAnsi" w:cs="Calibri"/>
          <w:sz w:val="20"/>
          <w:szCs w:val="20"/>
          <w:lang w:val="es-ES"/>
        </w:rPr>
        <w:t>L</w:t>
      </w:r>
      <w:r w:rsidRPr="00B54F0A">
        <w:rPr>
          <w:rFonts w:asciiTheme="majorHAnsi" w:hAnsiTheme="majorHAnsi" w:cs="Calibri"/>
          <w:sz w:val="20"/>
          <w:szCs w:val="20"/>
          <w:lang w:val="es-ES"/>
        </w:rPr>
        <w:t>ey</w:t>
      </w:r>
      <w:r w:rsidR="00106C7F">
        <w:rPr>
          <w:rFonts w:asciiTheme="majorHAnsi" w:hAnsiTheme="majorHAnsi" w:cs="Calibri"/>
          <w:sz w:val="20"/>
          <w:szCs w:val="20"/>
          <w:lang w:val="es-ES"/>
        </w:rPr>
        <w:t xml:space="preserve"> </w:t>
      </w:r>
      <w:r w:rsidR="00106C7F">
        <w:rPr>
          <w:rFonts w:asciiTheme="majorHAnsi" w:hAnsiTheme="majorHAnsi"/>
          <w:sz w:val="20"/>
          <w:szCs w:val="20"/>
          <w:lang w:val="es-ES_tradnl"/>
        </w:rPr>
        <w:t>Nº</w:t>
      </w:r>
      <w:r w:rsidRPr="00B54F0A">
        <w:rPr>
          <w:rFonts w:asciiTheme="majorHAnsi" w:hAnsiTheme="majorHAnsi" w:cs="Calibri"/>
          <w:sz w:val="20"/>
          <w:szCs w:val="20"/>
          <w:lang w:val="es-ES"/>
        </w:rPr>
        <w:t xml:space="preserve">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B54F0A">
        <w:rPr>
          <w:rStyle w:val="FootnoteReference"/>
          <w:rFonts w:asciiTheme="majorHAnsi" w:hAnsiTheme="majorHAnsi" w:cs="Calibri"/>
          <w:sz w:val="20"/>
          <w:szCs w:val="20"/>
          <w:lang w:val="es-ES"/>
        </w:rPr>
        <w:footnoteReference w:id="11"/>
      </w:r>
      <w:r w:rsidRPr="00B54F0A">
        <w:rPr>
          <w:rFonts w:asciiTheme="majorHAnsi" w:hAnsiTheme="majorHAnsi" w:cs="Calibri"/>
          <w:sz w:val="20"/>
          <w:szCs w:val="20"/>
          <w:lang w:val="es-ES"/>
        </w:rPr>
        <w:t xml:space="preserve">. Idéntica conclusión cabe realizar respecto del recurso de revisión consagrado en el Transitorio III de la </w:t>
      </w:r>
      <w:r w:rsidR="00106C7F">
        <w:rPr>
          <w:rFonts w:asciiTheme="majorHAnsi" w:hAnsiTheme="majorHAnsi" w:cs="Calibri"/>
          <w:sz w:val="20"/>
          <w:szCs w:val="20"/>
          <w:lang w:val="es-ES"/>
        </w:rPr>
        <w:t>L</w:t>
      </w:r>
      <w:r w:rsidRPr="00B54F0A">
        <w:rPr>
          <w:rFonts w:asciiTheme="majorHAnsi" w:hAnsiTheme="majorHAnsi" w:cs="Calibri"/>
          <w:sz w:val="20"/>
          <w:szCs w:val="20"/>
          <w:lang w:val="es-ES"/>
        </w:rPr>
        <w:t xml:space="preserve">ey </w:t>
      </w:r>
      <w:r w:rsidR="00106C7F">
        <w:rPr>
          <w:rFonts w:asciiTheme="majorHAnsi" w:hAnsiTheme="majorHAnsi"/>
          <w:sz w:val="20"/>
          <w:szCs w:val="20"/>
          <w:lang w:val="es-ES_tradnl"/>
        </w:rPr>
        <w:t>Nº</w:t>
      </w:r>
      <w:r w:rsidR="00106C7F" w:rsidRPr="00B54F0A">
        <w:rPr>
          <w:rFonts w:asciiTheme="majorHAnsi" w:hAnsiTheme="majorHAnsi" w:cs="Calibri"/>
          <w:sz w:val="20"/>
          <w:szCs w:val="20"/>
          <w:lang w:val="es-ES"/>
        </w:rPr>
        <w:t xml:space="preserve"> </w:t>
      </w:r>
      <w:r w:rsidRPr="00B54F0A">
        <w:rPr>
          <w:rFonts w:asciiTheme="majorHAnsi" w:hAnsiTheme="majorHAnsi" w:cs="Calibri"/>
          <w:sz w:val="20"/>
          <w:szCs w:val="20"/>
          <w:lang w:val="es-ES"/>
        </w:rPr>
        <w:t xml:space="preserve">8837, toda vez que la norma incluía la exigencia de haber alegado previamente la vulneración del derecho al recurso como un requisito de procedibilidad del recurso de revisión. </w:t>
      </w:r>
    </w:p>
    <w:p w14:paraId="30AE24E5" w14:textId="77777777" w:rsidR="00CD17F6" w:rsidRPr="00B54F0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23CA4301" w14:textId="77777777" w:rsidR="00CD17F6" w:rsidRPr="00B54F0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No obstante, la Comisión reconoce, en primer término, que la Sala Constitucional de la Corte Suprema de Justicia de Costa Rica se refirió en reiterados pronunciamientos a la necesidad de “</w:t>
      </w:r>
      <w:r w:rsidRPr="00B54F0A">
        <w:rPr>
          <w:rFonts w:asciiTheme="majorHAnsi" w:hAnsiTheme="majorHAnsi"/>
          <w:i/>
          <w:iCs/>
          <w:sz w:val="20"/>
          <w:szCs w:val="20"/>
          <w:lang w:val="es-ES"/>
        </w:rPr>
        <w:t>asegurar el derecho al recurso, excluyendo formalismos que impidieran la revisión de las sentencias de condena, a fin de satisfacer lo dispuesto por el artículo 8.2.h de la Convención</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2"/>
      </w:r>
      <w:r w:rsidRPr="00B54F0A">
        <w:rPr>
          <w:rFonts w:asciiTheme="majorHAnsi" w:hAnsiTheme="majorHAnsi"/>
          <w:sz w:val="20"/>
          <w:szCs w:val="20"/>
          <w:lang w:val="es-ES"/>
        </w:rPr>
        <w:t>.</w:t>
      </w:r>
    </w:p>
    <w:p w14:paraId="217940BA" w14:textId="77777777" w:rsidR="00CD17F6" w:rsidRPr="00B54F0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3B4DE5C" w14:textId="39ED5092" w:rsidR="00CD17F6" w:rsidRPr="00B54F0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 xml:space="preserve">Asimismo, la CIDH considera que, a pesar de los obstáculos a la procedencia del recurso incorporados en la redacción del Transitorio I de la </w:t>
      </w:r>
      <w:r w:rsidR="00106C7F">
        <w:rPr>
          <w:rFonts w:asciiTheme="majorHAnsi" w:hAnsiTheme="majorHAnsi"/>
          <w:sz w:val="20"/>
          <w:szCs w:val="20"/>
          <w:lang w:val="es-ES"/>
        </w:rPr>
        <w:t>L</w:t>
      </w:r>
      <w:r w:rsidRPr="00B54F0A">
        <w:rPr>
          <w:rFonts w:asciiTheme="majorHAnsi" w:hAnsiTheme="majorHAnsi"/>
          <w:sz w:val="20"/>
          <w:szCs w:val="20"/>
          <w:lang w:val="es-ES"/>
        </w:rPr>
        <w:t>ey</w:t>
      </w:r>
      <w:r w:rsidR="00106C7F">
        <w:rPr>
          <w:rFonts w:asciiTheme="majorHAnsi" w:hAnsiTheme="majorHAnsi"/>
          <w:sz w:val="20"/>
          <w:szCs w:val="20"/>
          <w:lang w:val="es-ES"/>
        </w:rPr>
        <w:t xml:space="preserve"> </w:t>
      </w:r>
      <w:r w:rsidR="00106C7F">
        <w:rPr>
          <w:rFonts w:asciiTheme="majorHAnsi" w:hAnsiTheme="majorHAnsi"/>
          <w:sz w:val="20"/>
          <w:szCs w:val="20"/>
          <w:lang w:val="es-ES_tradnl"/>
        </w:rPr>
        <w:t>Nº</w:t>
      </w:r>
      <w:r w:rsidRPr="00B54F0A">
        <w:rPr>
          <w:rFonts w:asciiTheme="majorHAnsi" w:hAnsiTheme="majorHAnsi"/>
          <w:sz w:val="20"/>
          <w:szCs w:val="20"/>
          <w:lang w:val="es-ES"/>
        </w:rPr>
        <w:t xml:space="preserve"> 8503, el recurso de revisión allí reconocido significó una oportunidad adicional al recurso de casación para que una persona condenada pudiera obtener una </w:t>
      </w:r>
      <w:r w:rsidRPr="00B54F0A">
        <w:rPr>
          <w:rFonts w:asciiTheme="majorHAnsi" w:hAnsiTheme="majorHAnsi"/>
          <w:sz w:val="20"/>
          <w:szCs w:val="20"/>
          <w:lang w:val="es-ES"/>
        </w:rPr>
        <w:lastRenderedPageBreak/>
        <w:t>revisión integral de su sentencia. Dicha revisión integral dependía, en esencia, de la forma en que l</w:t>
      </w:r>
      <w:r w:rsidR="00224D49">
        <w:rPr>
          <w:rFonts w:asciiTheme="majorHAnsi" w:hAnsiTheme="majorHAnsi"/>
          <w:sz w:val="20"/>
          <w:szCs w:val="20"/>
          <w:lang w:val="es-ES"/>
        </w:rPr>
        <w:t xml:space="preserve">as personas a cargo de impartir justicia </w:t>
      </w:r>
      <w:r w:rsidRPr="00B54F0A">
        <w:rPr>
          <w:rFonts w:asciiTheme="majorHAnsi" w:hAnsiTheme="majorHAnsi"/>
          <w:sz w:val="20"/>
          <w:szCs w:val="20"/>
          <w:lang w:val="es-ES"/>
        </w:rPr>
        <w:t xml:space="preserve">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B54F0A">
        <w:rPr>
          <w:rFonts w:asciiTheme="majorHAnsi" w:hAnsiTheme="majorHAnsi"/>
          <w:i/>
          <w:iCs/>
          <w:sz w:val="20"/>
          <w:szCs w:val="20"/>
          <w:lang w:val="es-ES"/>
        </w:rPr>
        <w:t>Herrera Ulloa</w:t>
      </w:r>
      <w:r w:rsidRPr="00B54F0A">
        <w:rPr>
          <w:rFonts w:asciiTheme="majorHAnsi" w:hAnsiTheme="majorHAnsi"/>
          <w:sz w:val="20"/>
          <w:szCs w:val="20"/>
          <w:lang w:val="es-ES"/>
        </w:rPr>
        <w:t xml:space="preserve">. </w:t>
      </w:r>
    </w:p>
    <w:p w14:paraId="0CC35182" w14:textId="77777777" w:rsidR="00CD17F6" w:rsidRPr="00B54F0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3C1A92C9" w14:textId="6F559DE1" w:rsidR="00CD17F6" w:rsidRPr="00B54F0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 xml:space="preserve">En particular, y en línea con lo decidido por la Corte, la Comisión observa que, teniendo en cuenta que tales modificaciones legislativas al sistema recursivo costarricense fueron adoptadas como </w:t>
      </w:r>
      <w:r w:rsidR="00106C7F">
        <w:rPr>
          <w:rFonts w:asciiTheme="majorHAnsi" w:hAnsiTheme="majorHAnsi"/>
          <w:sz w:val="20"/>
          <w:szCs w:val="20"/>
          <w:lang w:val="es-ES"/>
        </w:rPr>
        <w:t>consecuencia</w:t>
      </w:r>
      <w:r w:rsidRPr="00B54F0A">
        <w:rPr>
          <w:rFonts w:asciiTheme="majorHAnsi" w:hAnsiTheme="majorHAnsi"/>
          <w:sz w:val="20"/>
          <w:szCs w:val="20"/>
          <w:lang w:val="es-ES"/>
        </w:rPr>
        <w:t xml:space="preserve"> de los pronunciamientos de los órganos del Sistema Interamericano de derechos humanos, </w:t>
      </w:r>
      <w:r w:rsidR="00106C7F">
        <w:rPr>
          <w:rFonts w:asciiTheme="majorHAnsi" w:hAnsiTheme="majorHAnsi"/>
          <w:sz w:val="20"/>
          <w:szCs w:val="20"/>
          <w:lang w:val="es-ES"/>
        </w:rPr>
        <w:t>es</w:t>
      </w:r>
      <w:r w:rsidRPr="00B54F0A">
        <w:rPr>
          <w:rFonts w:asciiTheme="majorHAnsi" w:hAnsiTheme="majorHAnsi"/>
          <w:sz w:val="20"/>
          <w:szCs w:val="20"/>
          <w:lang w:val="es-ES"/>
        </w:rPr>
        <w:t xml:space="preserve"> razonable </w:t>
      </w:r>
      <w:r w:rsidR="00106C7F">
        <w:rPr>
          <w:rFonts w:asciiTheme="majorHAnsi" w:hAnsiTheme="majorHAnsi"/>
          <w:sz w:val="20"/>
          <w:szCs w:val="20"/>
          <w:lang w:val="es-ES"/>
        </w:rPr>
        <w:t xml:space="preserve">aceptar </w:t>
      </w:r>
      <w:r w:rsidRPr="00B54F0A">
        <w:rPr>
          <w:rFonts w:asciiTheme="majorHAnsi" w:hAnsiTheme="majorHAnsi"/>
          <w:sz w:val="20"/>
          <w:szCs w:val="20"/>
          <w:lang w:val="es-ES"/>
        </w:rPr>
        <w:t>como causal de admisibilidad del recurso que los interesados deban invocar los posibles errores que hubiera podido cometer el juez o tribunal de la instancia inferior.</w:t>
      </w:r>
    </w:p>
    <w:p w14:paraId="627E0973" w14:textId="77777777" w:rsidR="00CD17F6" w:rsidRPr="00B54F0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01CE00D" w14:textId="7A9010A7" w:rsidR="00D96818" w:rsidRPr="00B54F0A" w:rsidRDefault="00106C7F"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Por ende</w:t>
      </w:r>
      <w:r w:rsidR="00CD17F6" w:rsidRPr="00B54F0A">
        <w:rPr>
          <w:rFonts w:asciiTheme="majorHAnsi" w:hAnsiTheme="majorHAnsi"/>
          <w:sz w:val="20"/>
          <w:szCs w:val="20"/>
          <w:lang w:val="es-ES"/>
        </w:rPr>
        <w:t xml:space="preserve">, </w:t>
      </w:r>
      <w:r w:rsidR="006C5839">
        <w:rPr>
          <w:rFonts w:asciiTheme="majorHAnsi" w:hAnsiTheme="majorHAnsi"/>
          <w:sz w:val="20"/>
          <w:szCs w:val="20"/>
          <w:lang w:val="es-ES"/>
        </w:rPr>
        <w:t xml:space="preserve">considerando </w:t>
      </w:r>
      <w:r w:rsidR="00CD17F6" w:rsidRPr="00B54F0A">
        <w:rPr>
          <w:rFonts w:asciiTheme="majorHAnsi" w:hAnsiTheme="majorHAnsi"/>
          <w:sz w:val="20"/>
          <w:szCs w:val="20"/>
          <w:lang w:val="es-ES"/>
        </w:rPr>
        <w:t xml:space="preserve">las especificidades existentes respecto de este tema en el sistema costarricense, como resultado de las </w:t>
      </w:r>
      <w:r>
        <w:rPr>
          <w:rFonts w:asciiTheme="majorHAnsi" w:hAnsiTheme="majorHAnsi"/>
          <w:sz w:val="20"/>
          <w:szCs w:val="20"/>
          <w:lang w:val="es-ES"/>
        </w:rPr>
        <w:t>decisiones</w:t>
      </w:r>
      <w:r w:rsidR="00CD17F6" w:rsidRPr="00B54F0A">
        <w:rPr>
          <w:rFonts w:asciiTheme="majorHAnsi" w:hAnsiTheme="majorHAnsi"/>
          <w:sz w:val="20"/>
          <w:szCs w:val="20"/>
          <w:lang w:val="es-ES"/>
        </w:rPr>
        <w:t xml:space="preserve"> dictadas por el Sistema Interamericano, y concretamente con lo señalado por la Corte IDH en el caso “Amrhein”, la Comisión </w:t>
      </w:r>
      <w:r w:rsidR="006C5839">
        <w:rPr>
          <w:rFonts w:asciiTheme="majorHAnsi" w:hAnsiTheme="majorHAnsi"/>
          <w:sz w:val="20"/>
          <w:szCs w:val="20"/>
          <w:lang w:val="es-ES"/>
        </w:rPr>
        <w:t>advierte</w:t>
      </w:r>
      <w:r w:rsidR="006C5839" w:rsidRPr="00B54F0A">
        <w:rPr>
          <w:rFonts w:asciiTheme="majorHAnsi" w:hAnsiTheme="majorHAnsi"/>
          <w:sz w:val="20"/>
          <w:szCs w:val="20"/>
          <w:lang w:val="es-ES"/>
        </w:rPr>
        <w:t xml:space="preserve"> </w:t>
      </w:r>
      <w:r w:rsidR="00CD17F6" w:rsidRPr="00B54F0A">
        <w:rPr>
          <w:rFonts w:asciiTheme="majorHAnsi" w:hAnsiTheme="majorHAnsi"/>
          <w:sz w:val="20"/>
          <w:szCs w:val="20"/>
          <w:lang w:val="es-ES"/>
        </w:rPr>
        <w:t xml:space="preserve">que no </w:t>
      </w:r>
      <w:r>
        <w:rPr>
          <w:rFonts w:asciiTheme="majorHAnsi" w:hAnsiTheme="majorHAnsi"/>
          <w:sz w:val="20"/>
          <w:szCs w:val="20"/>
          <w:lang w:val="es-ES"/>
        </w:rPr>
        <w:t>es</w:t>
      </w:r>
      <w:r w:rsidR="00CD17F6" w:rsidRPr="00B54F0A">
        <w:rPr>
          <w:rFonts w:asciiTheme="majorHAnsi" w:hAnsiTheme="majorHAnsi"/>
          <w:sz w:val="20"/>
          <w:szCs w:val="20"/>
          <w:lang w:val="es-ES"/>
        </w:rPr>
        <w:t xml:space="preserve"> apropiado realizar una evaluación en abstracto de cada uno de los recursos disponibles en la legislación procesal penal, sino que se debe efectuar “</w:t>
      </w:r>
      <w:r w:rsidR="00CD17F6" w:rsidRPr="00B54F0A">
        <w:rPr>
          <w:rFonts w:asciiTheme="majorHAnsi" w:hAnsiTheme="majorHAnsi"/>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00CD17F6" w:rsidRPr="00B54F0A">
        <w:rPr>
          <w:rFonts w:asciiTheme="majorHAnsi" w:hAnsiTheme="majorHAnsi"/>
          <w:sz w:val="20"/>
          <w:szCs w:val="20"/>
          <w:lang w:val="es-ES"/>
        </w:rPr>
        <w:t>”</w:t>
      </w:r>
      <w:r w:rsidR="00CD17F6" w:rsidRPr="00B54F0A">
        <w:rPr>
          <w:rStyle w:val="FootnoteReference"/>
          <w:rFonts w:asciiTheme="majorHAnsi" w:hAnsiTheme="majorHAnsi"/>
          <w:sz w:val="20"/>
          <w:szCs w:val="20"/>
          <w:lang w:val="es-ES"/>
        </w:rPr>
        <w:footnoteReference w:id="13"/>
      </w:r>
      <w:r w:rsidR="00CD17F6" w:rsidRPr="00B54F0A">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00CD17F6" w:rsidRPr="00B54F0A">
        <w:rPr>
          <w:rFonts w:asciiTheme="majorHAnsi" w:hAnsiTheme="majorHAnsi"/>
          <w:i/>
          <w:iCs/>
          <w:sz w:val="20"/>
          <w:szCs w:val="20"/>
          <w:lang w:val="es-ES"/>
        </w:rPr>
        <w:t>prima facie</w:t>
      </w:r>
      <w:r w:rsidR="00CD17F6" w:rsidRPr="00B54F0A">
        <w:rPr>
          <w:rFonts w:asciiTheme="majorHAnsi" w:hAnsiTheme="majorHAnsi"/>
          <w:sz w:val="20"/>
          <w:szCs w:val="20"/>
          <w:lang w:val="es-ES"/>
        </w:rPr>
        <w:t xml:space="preserve"> violaciones a la Convención Americana, en los términos de su artículo 47.</w:t>
      </w:r>
    </w:p>
    <w:p w14:paraId="6F4D4171" w14:textId="7FD92D56" w:rsidR="003239B8" w:rsidRPr="00B54F0A" w:rsidRDefault="00D96818" w:rsidP="003239B8">
      <w:pPr>
        <w:spacing w:before="240" w:after="240"/>
        <w:ind w:firstLine="720"/>
        <w:jc w:val="both"/>
        <w:rPr>
          <w:rFonts w:ascii="Cambria" w:hAnsi="Cambria"/>
          <w:sz w:val="20"/>
          <w:szCs w:val="20"/>
          <w:lang w:val="es-ES"/>
        </w:rPr>
      </w:pPr>
      <w:r w:rsidRPr="00B54F0A">
        <w:rPr>
          <w:rFonts w:asciiTheme="majorHAnsi" w:eastAsia="Cambria" w:hAnsiTheme="majorHAnsi" w:cs="Cambria"/>
          <w:b/>
          <w:bCs/>
          <w:color w:val="000000"/>
          <w:sz w:val="20"/>
          <w:szCs w:val="20"/>
          <w:u w:color="000000"/>
          <w:lang w:val="es-ES" w:eastAsia="es-ES"/>
        </w:rPr>
        <w:t>VI</w:t>
      </w:r>
      <w:r w:rsidR="00B674C3" w:rsidRPr="00B54F0A">
        <w:rPr>
          <w:rFonts w:asciiTheme="majorHAnsi" w:eastAsia="Cambria" w:hAnsiTheme="majorHAnsi" w:cs="Cambria"/>
          <w:b/>
          <w:bCs/>
          <w:color w:val="000000"/>
          <w:sz w:val="20"/>
          <w:szCs w:val="20"/>
          <w:u w:color="000000"/>
          <w:lang w:val="es-ES" w:eastAsia="es-ES"/>
        </w:rPr>
        <w:t>I</w:t>
      </w:r>
      <w:r w:rsidRPr="00B54F0A">
        <w:rPr>
          <w:rFonts w:asciiTheme="majorHAnsi" w:eastAsia="Cambria" w:hAnsiTheme="majorHAnsi" w:cs="Cambria"/>
          <w:b/>
          <w:bCs/>
          <w:color w:val="000000"/>
          <w:sz w:val="20"/>
          <w:szCs w:val="20"/>
          <w:u w:color="000000"/>
          <w:lang w:val="es-ES" w:eastAsia="es-ES"/>
        </w:rPr>
        <w:t xml:space="preserve">. </w:t>
      </w:r>
      <w:r w:rsidR="00E6378C" w:rsidRPr="00B54F0A">
        <w:rPr>
          <w:rFonts w:asciiTheme="majorHAnsi" w:eastAsia="Cambria" w:hAnsiTheme="majorHAnsi" w:cs="Cambria"/>
          <w:b/>
          <w:bCs/>
          <w:color w:val="000000"/>
          <w:sz w:val="20"/>
          <w:szCs w:val="20"/>
          <w:u w:color="000000"/>
          <w:lang w:val="es-ES" w:eastAsia="es-ES"/>
        </w:rPr>
        <w:tab/>
      </w:r>
      <w:r w:rsidR="004A6A54" w:rsidRPr="00B54F0A">
        <w:rPr>
          <w:rFonts w:asciiTheme="majorHAnsi" w:hAnsiTheme="majorHAnsi"/>
          <w:b/>
          <w:bCs/>
          <w:sz w:val="20"/>
          <w:szCs w:val="20"/>
          <w:lang w:val="es-ES"/>
        </w:rPr>
        <w:t xml:space="preserve">ANÁLISIS DE </w:t>
      </w:r>
      <w:r w:rsidR="00C21FEF" w:rsidRPr="00B54F0A">
        <w:rPr>
          <w:rFonts w:asciiTheme="majorHAnsi" w:hAnsiTheme="majorHAnsi"/>
          <w:b/>
          <w:sz w:val="20"/>
          <w:szCs w:val="20"/>
          <w:lang w:val="es-ES"/>
        </w:rPr>
        <w:t>AGOTAMIENTO DE LOS RECURSOS INTERNOS Y PLAZO DE PRESENTACIÓN</w:t>
      </w:r>
      <w:r w:rsidR="00C21FEF" w:rsidRPr="00B54F0A">
        <w:rPr>
          <w:rFonts w:asciiTheme="majorHAnsi" w:eastAsia="Cambria" w:hAnsiTheme="majorHAnsi" w:cs="Cambria"/>
          <w:b/>
          <w:bCs/>
          <w:color w:val="000000"/>
          <w:sz w:val="20"/>
          <w:szCs w:val="20"/>
          <w:u w:color="000000"/>
          <w:lang w:val="es-ES" w:eastAsia="es-ES"/>
        </w:rPr>
        <w:t xml:space="preserve"> </w:t>
      </w:r>
    </w:p>
    <w:p w14:paraId="5169792F" w14:textId="47CA2427" w:rsidR="00C27964" w:rsidRPr="00B54F0A" w:rsidRDefault="008A623A" w:rsidP="00FC2C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Cambria" w:hAnsi="Cambria"/>
          <w:sz w:val="20"/>
          <w:szCs w:val="20"/>
          <w:lang w:val="es-ES"/>
        </w:rPr>
        <w:t>En relación con el</w:t>
      </w:r>
      <w:r w:rsidR="00FC2CA6" w:rsidRPr="00B54F0A">
        <w:rPr>
          <w:rFonts w:ascii="Cambria" w:hAnsi="Cambria"/>
          <w:sz w:val="20"/>
          <w:szCs w:val="20"/>
          <w:lang w:val="es-ES"/>
        </w:rPr>
        <w:t xml:space="preserve"> cuestionamiento del Estado </w:t>
      </w:r>
      <w:r>
        <w:rPr>
          <w:rFonts w:ascii="Cambria" w:hAnsi="Cambria"/>
          <w:sz w:val="20"/>
          <w:szCs w:val="20"/>
          <w:lang w:val="es-ES"/>
        </w:rPr>
        <w:t>referido a</w:t>
      </w:r>
      <w:r w:rsidR="00FC2CA6" w:rsidRPr="00B54F0A">
        <w:rPr>
          <w:rFonts w:ascii="Cambria" w:hAnsi="Cambria"/>
          <w:sz w:val="20"/>
          <w:szCs w:val="20"/>
          <w:lang w:val="es-ES"/>
        </w:rPr>
        <w:t xml:space="preserv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w:t>
      </w:r>
      <w:r>
        <w:rPr>
          <w:rFonts w:ascii="Cambria" w:hAnsi="Cambria"/>
          <w:sz w:val="20"/>
          <w:szCs w:val="20"/>
          <w:lang w:val="es-ES"/>
        </w:rPr>
        <w:t>determina</w:t>
      </w:r>
      <w:r w:rsidR="00FC2CA6" w:rsidRPr="00B54F0A">
        <w:rPr>
          <w:rFonts w:ascii="Cambria" w:hAnsi="Cambria"/>
          <w:sz w:val="20"/>
          <w:szCs w:val="20"/>
          <w:lang w:val="es-ES"/>
        </w:rPr>
        <w:t xml:space="preserv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FC2CA6" w:rsidRPr="00B54F0A">
        <w:rPr>
          <w:rStyle w:val="FootnoteReference"/>
          <w:rFonts w:ascii="Cambria" w:hAnsi="Cambria"/>
          <w:sz w:val="20"/>
          <w:szCs w:val="20"/>
          <w:lang w:val="es-ES"/>
        </w:rPr>
        <w:footnoteReference w:id="14"/>
      </w:r>
      <w:r w:rsidR="00FC2CA6" w:rsidRPr="00B54F0A">
        <w:rPr>
          <w:rFonts w:ascii="Cambria" w:hAnsi="Cambria"/>
          <w:sz w:val="20"/>
          <w:szCs w:val="20"/>
          <w:lang w:val="es-ES"/>
        </w:rPr>
        <w:t>.</w:t>
      </w:r>
    </w:p>
    <w:p w14:paraId="5AD9DE87" w14:textId="63681D2D" w:rsidR="001B0FCE" w:rsidRPr="00B54F0A" w:rsidRDefault="009D3D8F" w:rsidP="007844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4F0A">
        <w:rPr>
          <w:rFonts w:ascii="Cambria" w:hAnsi="Cambria"/>
          <w:sz w:val="20"/>
          <w:szCs w:val="20"/>
          <w:lang w:val="es-ES"/>
        </w:rPr>
        <w:t>En el presente caso, l</w:t>
      </w:r>
      <w:r w:rsidR="001B0FCE" w:rsidRPr="00B54F0A">
        <w:rPr>
          <w:rFonts w:ascii="Cambria" w:hAnsi="Cambria"/>
          <w:sz w:val="20"/>
          <w:szCs w:val="20"/>
          <w:lang w:val="es-ES"/>
        </w:rPr>
        <w:t xml:space="preserve">a Comisión observa que </w:t>
      </w:r>
      <w:r w:rsidR="00FC2CA6" w:rsidRPr="00B54F0A">
        <w:rPr>
          <w:rFonts w:asciiTheme="majorHAnsi" w:hAnsiTheme="majorHAnsi"/>
          <w:sz w:val="20"/>
          <w:szCs w:val="20"/>
          <w:lang w:val="es-ES"/>
        </w:rPr>
        <w:t>el 21 de octubre de 2011 la Sala Tercera de la Corte Suprema de Justicia</w:t>
      </w:r>
      <w:r w:rsidR="001B0FCE" w:rsidRPr="00B54F0A">
        <w:rPr>
          <w:rFonts w:ascii="Cambria" w:hAnsi="Cambria"/>
          <w:sz w:val="20"/>
          <w:szCs w:val="20"/>
          <w:lang w:val="es-ES"/>
        </w:rPr>
        <w:t xml:space="preserve"> rechazó </w:t>
      </w:r>
      <w:r w:rsidR="00FC2CA6" w:rsidRPr="00B54F0A">
        <w:rPr>
          <w:rFonts w:ascii="Cambria" w:hAnsi="Cambria"/>
          <w:sz w:val="20"/>
          <w:szCs w:val="20"/>
          <w:lang w:val="es-ES"/>
        </w:rPr>
        <w:t xml:space="preserve">en vía de casación los cuestionamientos de las presuntas víctimas </w:t>
      </w:r>
      <w:r w:rsidR="008A623A">
        <w:rPr>
          <w:rFonts w:ascii="Cambria" w:hAnsi="Cambria"/>
          <w:sz w:val="20"/>
          <w:szCs w:val="20"/>
          <w:lang w:val="es-ES"/>
        </w:rPr>
        <w:t>hacia</w:t>
      </w:r>
      <w:r w:rsidR="00FC2CA6" w:rsidRPr="00B54F0A">
        <w:rPr>
          <w:rFonts w:ascii="Cambria" w:hAnsi="Cambria"/>
          <w:sz w:val="20"/>
          <w:szCs w:val="20"/>
          <w:lang w:val="es-ES"/>
        </w:rPr>
        <w:t xml:space="preserve"> su</w:t>
      </w:r>
      <w:r w:rsidR="007844AE" w:rsidRPr="00B54F0A">
        <w:rPr>
          <w:rFonts w:ascii="Cambria" w:hAnsi="Cambria"/>
          <w:sz w:val="20"/>
          <w:szCs w:val="20"/>
          <w:lang w:val="es-ES"/>
        </w:rPr>
        <w:t>s sentencias condenatorias de primera instancia.</w:t>
      </w:r>
      <w:r w:rsidR="001B0FCE" w:rsidRPr="00B54F0A">
        <w:rPr>
          <w:rFonts w:ascii="Cambria" w:hAnsi="Cambria"/>
          <w:sz w:val="20"/>
          <w:szCs w:val="20"/>
          <w:lang w:val="es-ES"/>
        </w:rPr>
        <w:t xml:space="preserve"> Tras ello, la Comisión destaca que </w:t>
      </w:r>
      <w:r w:rsidR="009255A8" w:rsidRPr="00B54F0A">
        <w:rPr>
          <w:rFonts w:ascii="Cambria" w:hAnsi="Cambria"/>
          <w:sz w:val="20"/>
          <w:szCs w:val="20"/>
          <w:lang w:val="es-ES"/>
        </w:rPr>
        <w:t>las presuntas víctimas presentaron hasta dos</w:t>
      </w:r>
      <w:r w:rsidR="001B0FCE" w:rsidRPr="00B54F0A">
        <w:rPr>
          <w:rFonts w:ascii="Cambria" w:hAnsi="Cambria"/>
          <w:sz w:val="20"/>
          <w:szCs w:val="20"/>
          <w:lang w:val="es-ES"/>
        </w:rPr>
        <w:t xml:space="preserve"> procedimiento</w:t>
      </w:r>
      <w:r w:rsidR="009255A8" w:rsidRPr="00B54F0A">
        <w:rPr>
          <w:rFonts w:ascii="Cambria" w:hAnsi="Cambria"/>
          <w:sz w:val="20"/>
          <w:szCs w:val="20"/>
          <w:lang w:val="es-ES"/>
        </w:rPr>
        <w:t>s</w:t>
      </w:r>
      <w:r w:rsidR="001B0FCE" w:rsidRPr="00B54F0A">
        <w:rPr>
          <w:rFonts w:ascii="Cambria" w:hAnsi="Cambria"/>
          <w:sz w:val="20"/>
          <w:szCs w:val="20"/>
          <w:lang w:val="es-ES"/>
        </w:rPr>
        <w:t xml:space="preserve"> de revisión, </w:t>
      </w:r>
      <w:r w:rsidR="009255A8" w:rsidRPr="00B54F0A">
        <w:rPr>
          <w:rFonts w:ascii="Cambria" w:hAnsi="Cambria"/>
          <w:sz w:val="20"/>
          <w:szCs w:val="20"/>
          <w:lang w:val="es-ES"/>
        </w:rPr>
        <w:t xml:space="preserve">pero </w:t>
      </w:r>
      <w:r w:rsidR="001B0FCE" w:rsidRPr="00B54F0A">
        <w:rPr>
          <w:rFonts w:ascii="Cambria" w:hAnsi="Cambria"/>
          <w:sz w:val="20"/>
          <w:szCs w:val="20"/>
          <w:lang w:val="es-ES"/>
        </w:rPr>
        <w:t>la Sala Tercera de la Corte Suprema rechaz</w:t>
      </w:r>
      <w:r w:rsidR="009255A8" w:rsidRPr="00B54F0A">
        <w:rPr>
          <w:rFonts w:ascii="Cambria" w:hAnsi="Cambria"/>
          <w:sz w:val="20"/>
          <w:szCs w:val="20"/>
          <w:lang w:val="es-ES"/>
        </w:rPr>
        <w:t>ó</w:t>
      </w:r>
      <w:r w:rsidR="001B0FCE" w:rsidRPr="00B54F0A">
        <w:rPr>
          <w:rFonts w:ascii="Cambria" w:hAnsi="Cambria"/>
          <w:sz w:val="20"/>
          <w:szCs w:val="20"/>
          <w:lang w:val="es-ES"/>
        </w:rPr>
        <w:t xml:space="preserve"> estas acciones </w:t>
      </w:r>
      <w:r w:rsidR="009255A8" w:rsidRPr="00B54F0A">
        <w:rPr>
          <w:rFonts w:asciiTheme="majorHAnsi" w:hAnsiTheme="majorHAnsi"/>
          <w:sz w:val="20"/>
          <w:szCs w:val="20"/>
          <w:lang w:val="es-ES"/>
        </w:rPr>
        <w:t>el 8 de diciembre de 2011 y el 7 de mayo de 2012</w:t>
      </w:r>
      <w:r w:rsidR="001B0FCE" w:rsidRPr="00B54F0A">
        <w:rPr>
          <w:rFonts w:ascii="Cambria" w:hAnsi="Cambria"/>
          <w:sz w:val="20"/>
          <w:szCs w:val="20"/>
          <w:lang w:val="es-ES"/>
        </w:rPr>
        <w:t xml:space="preserve">, respectivamente. </w:t>
      </w:r>
    </w:p>
    <w:p w14:paraId="094FF0E9" w14:textId="03DBD407" w:rsidR="001B0FCE" w:rsidRPr="00B54F0A" w:rsidRDefault="001B0FCE" w:rsidP="000337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B54F0A">
        <w:rPr>
          <w:rFonts w:ascii="Cambria" w:hAnsi="Cambria"/>
          <w:sz w:val="20"/>
          <w:szCs w:val="20"/>
          <w:lang w:val="es-ES"/>
        </w:rPr>
        <w:t xml:space="preserve">En consecuencia, toda vez que Costa Rica no cuestiona </w:t>
      </w:r>
      <w:r w:rsidR="00033768" w:rsidRPr="00B54F0A">
        <w:rPr>
          <w:rFonts w:ascii="Cambria" w:hAnsi="Cambria"/>
          <w:sz w:val="20"/>
          <w:szCs w:val="20"/>
          <w:lang w:val="es-ES"/>
        </w:rPr>
        <w:t>que las presuntas víctimas hayan omitido emplear una vía judicial</w:t>
      </w:r>
      <w:r w:rsidR="009D3D8F" w:rsidRPr="00B54F0A">
        <w:rPr>
          <w:rFonts w:ascii="Cambria" w:hAnsi="Cambria"/>
          <w:sz w:val="20"/>
          <w:szCs w:val="20"/>
          <w:lang w:val="es-ES"/>
        </w:rPr>
        <w:t xml:space="preserve"> ordinaria para canalizar sus reclamos, o que hayan hecho uso indebido de los recursos internos</w:t>
      </w:r>
      <w:r w:rsidRPr="00B54F0A">
        <w:rPr>
          <w:rFonts w:ascii="Cambria" w:hAnsi="Cambria"/>
          <w:sz w:val="20"/>
          <w:szCs w:val="20"/>
          <w:lang w:val="es-ES"/>
        </w:rPr>
        <w:t xml:space="preserve">, la Comisión considera que las autoridades </w:t>
      </w:r>
      <w:r w:rsidR="009D3D8F" w:rsidRPr="00B54F0A">
        <w:rPr>
          <w:rFonts w:ascii="Cambria" w:hAnsi="Cambria"/>
          <w:sz w:val="20"/>
          <w:szCs w:val="20"/>
          <w:lang w:val="es-ES"/>
        </w:rPr>
        <w:t>nacionales</w:t>
      </w:r>
      <w:r w:rsidRPr="00B54F0A">
        <w:rPr>
          <w:rFonts w:ascii="Cambria" w:hAnsi="Cambria"/>
          <w:sz w:val="20"/>
          <w:szCs w:val="20"/>
          <w:lang w:val="es-ES"/>
        </w:rPr>
        <w:t xml:space="preserve"> tuvieron la oportunidad de solventar la situación denunciada mediante sus mecanismos internos y, por ende, se cumple el requisito previsto en el artículo 46.1.a) de la Convención Americana. Asimismo, dado que la resolución</w:t>
      </w:r>
      <w:r w:rsidR="00033768" w:rsidRPr="00B54F0A">
        <w:rPr>
          <w:rFonts w:ascii="Cambria" w:hAnsi="Cambria"/>
          <w:sz w:val="20"/>
          <w:szCs w:val="20"/>
          <w:lang w:val="es-ES"/>
        </w:rPr>
        <w:t xml:space="preserve"> de los procedimientos de revisión</w:t>
      </w:r>
      <w:r w:rsidRPr="00B54F0A">
        <w:rPr>
          <w:rFonts w:ascii="Cambria" w:hAnsi="Cambria"/>
          <w:sz w:val="20"/>
          <w:szCs w:val="20"/>
          <w:lang w:val="es-ES"/>
        </w:rPr>
        <w:t xml:space="preserve"> se </w:t>
      </w:r>
      <w:r w:rsidR="00DD58BD">
        <w:rPr>
          <w:rFonts w:ascii="Cambria" w:hAnsi="Cambria"/>
          <w:sz w:val="20"/>
          <w:szCs w:val="20"/>
          <w:lang w:val="es-ES"/>
        </w:rPr>
        <w:t>emitió</w:t>
      </w:r>
      <w:r w:rsidR="00DD58BD" w:rsidRPr="00B54F0A">
        <w:rPr>
          <w:rFonts w:ascii="Cambria" w:hAnsi="Cambria"/>
          <w:sz w:val="20"/>
          <w:szCs w:val="20"/>
          <w:lang w:val="es-ES"/>
        </w:rPr>
        <w:t xml:space="preserve"> </w:t>
      </w:r>
      <w:r w:rsidRPr="00B54F0A">
        <w:rPr>
          <w:rFonts w:ascii="Cambria" w:hAnsi="Cambria"/>
          <w:sz w:val="20"/>
          <w:szCs w:val="20"/>
          <w:lang w:val="es-ES"/>
        </w:rPr>
        <w:t>cuando el presente asunto se encontraba bajo estudio de admisibilidad, la Comisión concluye que también se cumple el requisito de plazo previsto en el artículo 46.1.b) de la Convención.</w:t>
      </w:r>
    </w:p>
    <w:p w14:paraId="4FFBE378" w14:textId="49AD315B" w:rsidR="003239B8" w:rsidRPr="00B54F0A" w:rsidRDefault="003239B8"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B54F0A">
        <w:rPr>
          <w:rFonts w:asciiTheme="majorHAnsi" w:hAnsiTheme="majorHAnsi"/>
          <w:b/>
          <w:bCs/>
          <w:sz w:val="20"/>
          <w:szCs w:val="20"/>
          <w:lang w:val="es-ES"/>
        </w:rPr>
        <w:t>V</w:t>
      </w:r>
      <w:r w:rsidR="00B674C3" w:rsidRPr="00B54F0A">
        <w:rPr>
          <w:rFonts w:asciiTheme="majorHAnsi" w:hAnsiTheme="majorHAnsi"/>
          <w:b/>
          <w:bCs/>
          <w:sz w:val="20"/>
          <w:szCs w:val="20"/>
          <w:lang w:val="es-ES"/>
        </w:rPr>
        <w:t>I</w:t>
      </w:r>
      <w:r w:rsidRPr="00B54F0A">
        <w:rPr>
          <w:rFonts w:asciiTheme="majorHAnsi" w:hAnsiTheme="majorHAnsi"/>
          <w:b/>
          <w:bCs/>
          <w:sz w:val="20"/>
          <w:szCs w:val="20"/>
          <w:lang w:val="es-ES"/>
        </w:rPr>
        <w:t>II.</w:t>
      </w:r>
      <w:r w:rsidRPr="00B54F0A">
        <w:rPr>
          <w:rFonts w:asciiTheme="majorHAnsi" w:hAnsiTheme="majorHAnsi"/>
          <w:b/>
          <w:bCs/>
          <w:sz w:val="20"/>
          <w:szCs w:val="20"/>
          <w:lang w:val="es-ES"/>
        </w:rPr>
        <w:tab/>
      </w:r>
      <w:r w:rsidR="004A6A54" w:rsidRPr="00B54F0A">
        <w:rPr>
          <w:rFonts w:asciiTheme="majorHAnsi" w:hAnsiTheme="majorHAnsi"/>
          <w:b/>
          <w:bCs/>
          <w:sz w:val="20"/>
          <w:szCs w:val="20"/>
          <w:lang w:val="es-ES"/>
        </w:rPr>
        <w:t xml:space="preserve">ANÁLISIS DE </w:t>
      </w:r>
      <w:r w:rsidR="00C21FEF" w:rsidRPr="00B54F0A">
        <w:rPr>
          <w:rFonts w:asciiTheme="majorHAnsi" w:hAnsiTheme="majorHAnsi"/>
          <w:b/>
          <w:bCs/>
          <w:sz w:val="20"/>
          <w:szCs w:val="20"/>
          <w:lang w:val="es-ES"/>
        </w:rPr>
        <w:t>CARACTERIZACIÓN DE LOS HECHOS ALEGADOS</w:t>
      </w:r>
    </w:p>
    <w:p w14:paraId="181F214A" w14:textId="77777777" w:rsidR="00B674C3" w:rsidRPr="00B54F0A" w:rsidRDefault="00B674C3" w:rsidP="00B674C3">
      <w:pPr>
        <w:pStyle w:val="ListParagraph"/>
        <w:numPr>
          <w:ilvl w:val="0"/>
          <w:numId w:val="103"/>
        </w:numPr>
        <w:jc w:val="both"/>
        <w:rPr>
          <w:sz w:val="20"/>
          <w:szCs w:val="20"/>
          <w:lang w:val="es-ES"/>
        </w:rPr>
      </w:pPr>
      <w:r w:rsidRPr="00B54F0A">
        <w:rPr>
          <w:sz w:val="20"/>
          <w:szCs w:val="20"/>
          <w:lang w:val="es-ES"/>
        </w:rPr>
        <w:t xml:space="preserve">La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w:t>
      </w:r>
      <w:r w:rsidRPr="00B54F0A">
        <w:rPr>
          <w:sz w:val="20"/>
          <w:szCs w:val="20"/>
          <w:lang w:val="es-ES"/>
        </w:rPr>
        <w:lastRenderedPageBreak/>
        <w:t>posibilidad de corregir decisiones judiciales contrarias a derecho y evitar que una decisión injusta adquiera calidad de cosa juzgada</w:t>
      </w:r>
      <w:r w:rsidRPr="00B54F0A">
        <w:rPr>
          <w:sz w:val="20"/>
          <w:szCs w:val="20"/>
          <w:vertAlign w:val="superscript"/>
          <w:lang w:val="es-ES"/>
        </w:rPr>
        <w:footnoteReference w:id="15"/>
      </w:r>
      <w:r w:rsidRPr="00B54F0A">
        <w:rPr>
          <w:sz w:val="20"/>
          <w:szCs w:val="20"/>
          <w:lang w:val="es-ES"/>
        </w:rPr>
        <w:t>. En esa línea, la Comisión reitera que resulta irrelevante para el derecho internacional de los derechos humanos la denominación o el nombre con el que se designe el recurso disponible</w:t>
      </w:r>
      <w:r w:rsidRPr="00B54F0A">
        <w:rPr>
          <w:sz w:val="20"/>
          <w:szCs w:val="20"/>
          <w:vertAlign w:val="superscript"/>
          <w:lang w:val="es-ES"/>
        </w:rPr>
        <w:footnoteReference w:id="16"/>
      </w:r>
      <w:r w:rsidRPr="00B54F0A">
        <w:rPr>
          <w:sz w:val="20"/>
          <w:szCs w:val="20"/>
          <w:lang w:val="es-ES"/>
        </w:rPr>
        <w:t>. Lo importante es que el recurso contemplado en la normativa interna satisfaga una serie de estándares y, en tal sentido, cumpla con ser oportuno</w:t>
      </w:r>
      <w:r w:rsidRPr="00B54F0A">
        <w:rPr>
          <w:rStyle w:val="FootnoteReference"/>
          <w:sz w:val="20"/>
          <w:szCs w:val="20"/>
          <w:lang w:val="es-ES"/>
        </w:rPr>
        <w:footnoteReference w:id="17"/>
      </w:r>
      <w:r w:rsidRPr="00B54F0A">
        <w:rPr>
          <w:sz w:val="20"/>
          <w:szCs w:val="20"/>
          <w:lang w:val="es-ES"/>
        </w:rPr>
        <w:t>, accesible</w:t>
      </w:r>
      <w:r w:rsidRPr="00B54F0A">
        <w:rPr>
          <w:rStyle w:val="FootnoteReference"/>
          <w:sz w:val="20"/>
          <w:szCs w:val="20"/>
          <w:lang w:val="es-ES"/>
        </w:rPr>
        <w:footnoteReference w:id="18"/>
      </w:r>
      <w:r w:rsidRPr="00B54F0A">
        <w:rPr>
          <w:sz w:val="20"/>
          <w:szCs w:val="20"/>
          <w:lang w:val="es-ES"/>
        </w:rPr>
        <w:t>, eficaz</w:t>
      </w:r>
      <w:r w:rsidRPr="00B54F0A">
        <w:rPr>
          <w:rStyle w:val="FootnoteReference"/>
          <w:sz w:val="20"/>
          <w:szCs w:val="20"/>
          <w:lang w:val="es-ES"/>
        </w:rPr>
        <w:footnoteReference w:id="19"/>
      </w:r>
      <w:r w:rsidRPr="00B54F0A">
        <w:rPr>
          <w:sz w:val="20"/>
          <w:szCs w:val="20"/>
          <w:lang w:val="es-ES"/>
        </w:rPr>
        <w:t xml:space="preserve"> y, en particular, que permita la revisión integral de la condena</w:t>
      </w:r>
      <w:r w:rsidRPr="00B54F0A">
        <w:rPr>
          <w:rStyle w:val="FootnoteReference"/>
          <w:sz w:val="20"/>
          <w:szCs w:val="20"/>
          <w:lang w:val="es-ES"/>
        </w:rPr>
        <w:footnoteReference w:id="20"/>
      </w:r>
      <w:r w:rsidRPr="00B54F0A">
        <w:rPr>
          <w:sz w:val="20"/>
          <w:szCs w:val="20"/>
          <w:lang w:val="es-ES"/>
        </w:rPr>
        <w:t>.</w:t>
      </w:r>
    </w:p>
    <w:p w14:paraId="7D4CD48B" w14:textId="77777777" w:rsidR="00B674C3" w:rsidRPr="00B54F0A" w:rsidRDefault="00B674C3" w:rsidP="00B674C3">
      <w:pPr>
        <w:pStyle w:val="ListParagraph"/>
        <w:jc w:val="both"/>
        <w:rPr>
          <w:sz w:val="20"/>
          <w:szCs w:val="20"/>
          <w:lang w:val="es-ES"/>
        </w:rPr>
      </w:pPr>
    </w:p>
    <w:p w14:paraId="0782CF56" w14:textId="77777777" w:rsidR="00B674C3" w:rsidRPr="00B54F0A" w:rsidRDefault="00B674C3" w:rsidP="00B674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 w:eastAsia="es-ES"/>
        </w:rPr>
      </w:pPr>
      <w:r w:rsidRPr="00B54F0A">
        <w:rPr>
          <w:rFonts w:ascii="Cambria" w:eastAsia="Cambria" w:hAnsi="Cambria" w:cs="Cambria"/>
          <w:color w:val="000000"/>
          <w:sz w:val="20"/>
          <w:szCs w:val="20"/>
          <w:u w:color="000000"/>
          <w:lang w:val="es-ES" w:eastAsia="es-ES"/>
        </w:rPr>
        <w:t xml:space="preserve">En torno a este último punto, la Comisión Interamericana indicó en el </w:t>
      </w:r>
      <w:r w:rsidRPr="008656B0">
        <w:rPr>
          <w:rFonts w:ascii="Cambria" w:eastAsia="Cambria" w:hAnsi="Cambria" w:cs="Cambria"/>
          <w:i/>
          <w:iCs/>
          <w:color w:val="000000"/>
          <w:sz w:val="20"/>
          <w:szCs w:val="20"/>
          <w:u w:color="000000"/>
          <w:lang w:val="es-ES" w:eastAsia="es-ES"/>
        </w:rPr>
        <w:t>caso Abella</w:t>
      </w:r>
      <w:r w:rsidRPr="00B54F0A">
        <w:rPr>
          <w:rFonts w:ascii="Cambria" w:eastAsia="Cambria" w:hAnsi="Cambria" w:cs="Cambria"/>
          <w:color w:val="000000"/>
          <w:sz w:val="20"/>
          <w:szCs w:val="20"/>
          <w:u w:color="000000"/>
          <w:lang w:val="es-ES" w:eastAsia="es-ES"/>
        </w:rPr>
        <w:t xml:space="preserve"> respecto de Argentina: </w:t>
      </w:r>
    </w:p>
    <w:p w14:paraId="4058CD04" w14:textId="77777777" w:rsidR="00B674C3" w:rsidRPr="00B54F0A" w:rsidRDefault="00B674C3" w:rsidP="00B674C3">
      <w:pPr>
        <w:tabs>
          <w:tab w:val="left" w:pos="567"/>
        </w:tabs>
        <w:ind w:left="720"/>
        <w:jc w:val="both"/>
        <w:rPr>
          <w:rFonts w:ascii="Cambria" w:eastAsia="Cambria" w:hAnsi="Cambria" w:cs="Cambria"/>
          <w:color w:val="000000"/>
          <w:sz w:val="20"/>
          <w:szCs w:val="20"/>
          <w:u w:color="000000"/>
          <w:lang w:val="es-ES" w:eastAsia="es-ES"/>
        </w:rPr>
      </w:pPr>
    </w:p>
    <w:p w14:paraId="29BDE3D4" w14:textId="77777777" w:rsidR="00B674C3" w:rsidRPr="00B54F0A" w:rsidRDefault="00B674C3" w:rsidP="00B674C3">
      <w:pPr>
        <w:tabs>
          <w:tab w:val="left" w:pos="567"/>
        </w:tabs>
        <w:ind w:left="709" w:right="798"/>
        <w:jc w:val="both"/>
        <w:rPr>
          <w:rFonts w:ascii="Cambria" w:hAnsi="Cambria"/>
          <w:sz w:val="18"/>
          <w:szCs w:val="18"/>
          <w:lang w:val="es-ES"/>
        </w:rPr>
      </w:pPr>
      <w:r w:rsidRPr="00B54F0A">
        <w:rPr>
          <w:rFonts w:ascii="Cambria" w:hAnsi="Cambria"/>
          <w:sz w:val="18"/>
          <w:szCs w:val="18"/>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B54F0A">
        <w:rPr>
          <w:rFonts w:ascii="Cambria" w:hAnsi="Cambria"/>
          <w:sz w:val="18"/>
          <w:szCs w:val="18"/>
          <w:vertAlign w:val="superscript"/>
          <w:lang w:val="es-ES"/>
        </w:rPr>
        <w:footnoteReference w:id="21"/>
      </w:r>
      <w:r w:rsidRPr="00B54F0A">
        <w:rPr>
          <w:rFonts w:ascii="Cambria" w:hAnsi="Cambria"/>
          <w:sz w:val="18"/>
          <w:szCs w:val="18"/>
          <w:lang w:val="es-ES"/>
        </w:rPr>
        <w:t xml:space="preserve">. </w:t>
      </w:r>
    </w:p>
    <w:p w14:paraId="74D9F987" w14:textId="77777777" w:rsidR="00B674C3" w:rsidRPr="00B54F0A" w:rsidRDefault="00B674C3" w:rsidP="00B674C3">
      <w:pPr>
        <w:tabs>
          <w:tab w:val="left" w:pos="567"/>
        </w:tabs>
        <w:ind w:right="798"/>
        <w:jc w:val="both"/>
        <w:rPr>
          <w:rFonts w:ascii="Cambria" w:hAnsi="Cambria"/>
          <w:sz w:val="20"/>
          <w:szCs w:val="20"/>
          <w:lang w:val="es-ES"/>
        </w:rPr>
      </w:pPr>
    </w:p>
    <w:p w14:paraId="6946B51D" w14:textId="32ABE67D" w:rsidR="00B674C3" w:rsidRPr="00B54F0A" w:rsidRDefault="00B674C3" w:rsidP="00B674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 w:eastAsia="es-ES"/>
        </w:rPr>
      </w:pPr>
      <w:r w:rsidRPr="00B54F0A">
        <w:rPr>
          <w:rFonts w:ascii="Cambria" w:eastAsia="Cambria" w:hAnsi="Cambria" w:cs="Cambria"/>
          <w:color w:val="000000"/>
          <w:sz w:val="20"/>
          <w:szCs w:val="20"/>
          <w:u w:color="000000"/>
          <w:lang w:val="es-ES" w:eastAsia="es-ES"/>
        </w:rPr>
        <w:t xml:space="preserve">En esa línea, la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w:t>
      </w:r>
      <w:r w:rsidR="008A623A">
        <w:rPr>
          <w:rFonts w:ascii="Cambria" w:eastAsia="Cambria" w:hAnsi="Cambria" w:cs="Cambria"/>
          <w:color w:val="000000"/>
          <w:sz w:val="20"/>
          <w:szCs w:val="20"/>
          <w:u w:color="000000"/>
          <w:lang w:val="es-ES" w:eastAsia="es-ES"/>
        </w:rPr>
        <w:t>es</w:t>
      </w:r>
      <w:r w:rsidRPr="00B54F0A">
        <w:rPr>
          <w:rFonts w:ascii="Cambria" w:eastAsia="Cambria" w:hAnsi="Cambria" w:cs="Cambria"/>
          <w:color w:val="000000"/>
          <w:sz w:val="20"/>
          <w:szCs w:val="20"/>
          <w:u w:color="000000"/>
          <w:lang w:val="es-ES" w:eastAsia="es-ES"/>
        </w:rPr>
        <w:t xml:space="preserve"> posible excluir del ámbito del recurso ciertas categorías como las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B54F0A">
        <w:rPr>
          <w:rFonts w:ascii="Cambria" w:eastAsia="Cambria" w:hAnsi="Cambria" w:cs="Cambria"/>
          <w:color w:val="000000"/>
          <w:sz w:val="20"/>
          <w:szCs w:val="20"/>
          <w:u w:color="000000"/>
          <w:vertAlign w:val="superscript"/>
          <w:lang w:val="es-ES" w:eastAsia="es-ES"/>
        </w:rPr>
        <w:footnoteReference w:id="22"/>
      </w:r>
      <w:r w:rsidRPr="00B54F0A">
        <w:rPr>
          <w:rFonts w:ascii="Cambria" w:eastAsia="Cambria" w:hAnsi="Cambria" w:cs="Cambria"/>
          <w:color w:val="000000"/>
          <w:sz w:val="20"/>
          <w:szCs w:val="20"/>
          <w:u w:color="000000"/>
          <w:lang w:val="es-ES" w:eastAsia="es-ES"/>
        </w:rPr>
        <w:t xml:space="preserve">. </w:t>
      </w:r>
    </w:p>
    <w:p w14:paraId="589F0A27" w14:textId="77777777" w:rsidR="00B674C3" w:rsidRPr="00B54F0A" w:rsidRDefault="00B674C3" w:rsidP="00B674C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 w:eastAsia="es-ES"/>
        </w:rPr>
      </w:pPr>
    </w:p>
    <w:p w14:paraId="71F195BF" w14:textId="4A1C5007" w:rsidR="002B3B94" w:rsidRPr="00B54F0A" w:rsidRDefault="002B3B94" w:rsidP="002B3B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ES"/>
        </w:rPr>
      </w:pPr>
      <w:r w:rsidRPr="00B54F0A">
        <w:rPr>
          <w:rFonts w:asciiTheme="majorHAnsi" w:hAnsiTheme="majorHAnsi"/>
          <w:sz w:val="20"/>
          <w:szCs w:val="20"/>
          <w:lang w:val="es-ES"/>
        </w:rPr>
        <w:t xml:space="preserve">Con base en las citadas consideraciones, en el presente asunto la Comisión observa que </w:t>
      </w:r>
      <w:r w:rsidR="001D2D60" w:rsidRPr="00B54F0A">
        <w:rPr>
          <w:rFonts w:asciiTheme="majorHAnsi" w:hAnsiTheme="majorHAnsi"/>
          <w:sz w:val="20"/>
          <w:szCs w:val="20"/>
          <w:lang w:val="es-ES"/>
        </w:rPr>
        <w:t>el 19 de mayo de 2010 el Tribunal Penal de Juicio de Cartago</w:t>
      </w:r>
      <w:r w:rsidRPr="00B54F0A">
        <w:rPr>
          <w:rFonts w:ascii="Cambria" w:hAnsi="Cambria"/>
          <w:sz w:val="20"/>
          <w:szCs w:val="20"/>
          <w:lang w:val="es-ES"/>
        </w:rPr>
        <w:t xml:space="preserve"> condenó a la</w:t>
      </w:r>
      <w:r w:rsidR="00196ADD" w:rsidRPr="00B54F0A">
        <w:rPr>
          <w:rFonts w:ascii="Cambria" w:hAnsi="Cambria"/>
          <w:sz w:val="20"/>
          <w:szCs w:val="20"/>
          <w:lang w:val="es-ES"/>
        </w:rPr>
        <w:t>s</w:t>
      </w:r>
      <w:r w:rsidRPr="00B54F0A">
        <w:rPr>
          <w:rFonts w:ascii="Cambria" w:hAnsi="Cambria"/>
          <w:sz w:val="20"/>
          <w:szCs w:val="20"/>
          <w:lang w:val="es-ES"/>
        </w:rPr>
        <w:t xml:space="preserve"> presunta</w:t>
      </w:r>
      <w:r w:rsidR="00196ADD" w:rsidRPr="00B54F0A">
        <w:rPr>
          <w:rFonts w:ascii="Cambria" w:hAnsi="Cambria"/>
          <w:sz w:val="20"/>
          <w:szCs w:val="20"/>
          <w:lang w:val="es-ES"/>
        </w:rPr>
        <w:t>s</w:t>
      </w:r>
      <w:r w:rsidRPr="00B54F0A">
        <w:rPr>
          <w:rFonts w:ascii="Cambria" w:hAnsi="Cambria"/>
          <w:sz w:val="20"/>
          <w:szCs w:val="20"/>
          <w:lang w:val="es-ES"/>
        </w:rPr>
        <w:t xml:space="preserve"> víctima</w:t>
      </w:r>
      <w:r w:rsidR="00196ADD" w:rsidRPr="00B54F0A">
        <w:rPr>
          <w:rFonts w:ascii="Cambria" w:hAnsi="Cambria"/>
          <w:sz w:val="20"/>
          <w:szCs w:val="20"/>
          <w:lang w:val="es-ES"/>
        </w:rPr>
        <w:t>s</w:t>
      </w:r>
      <w:r w:rsidRPr="00B54F0A">
        <w:rPr>
          <w:rFonts w:ascii="Cambria" w:hAnsi="Cambria"/>
          <w:sz w:val="20"/>
          <w:szCs w:val="20"/>
          <w:lang w:val="es-ES"/>
        </w:rPr>
        <w:t xml:space="preserve"> por </w:t>
      </w:r>
      <w:r w:rsidRPr="00B54F0A">
        <w:rPr>
          <w:rFonts w:asciiTheme="majorHAnsi" w:hAnsiTheme="majorHAnsi"/>
          <w:sz w:val="20"/>
          <w:szCs w:val="20"/>
          <w:lang w:val="es-ES"/>
        </w:rPr>
        <w:t xml:space="preserve">el delito de </w:t>
      </w:r>
      <w:r w:rsidR="00196ADD" w:rsidRPr="00B54F0A">
        <w:rPr>
          <w:rFonts w:asciiTheme="majorHAnsi" w:hAnsiTheme="majorHAnsi"/>
          <w:sz w:val="20"/>
          <w:szCs w:val="20"/>
          <w:lang w:val="es-ES"/>
        </w:rPr>
        <w:t>estafa</w:t>
      </w:r>
      <w:r w:rsidRPr="00B54F0A">
        <w:rPr>
          <w:rFonts w:ascii="Cambria" w:hAnsi="Cambria"/>
          <w:sz w:val="20"/>
          <w:szCs w:val="20"/>
          <w:lang w:val="es-ES"/>
        </w:rPr>
        <w:t>.</w:t>
      </w:r>
      <w:r w:rsidRPr="00B54F0A">
        <w:rPr>
          <w:rFonts w:ascii="Cambria" w:hAnsi="Cambria"/>
          <w:i/>
          <w:iCs/>
          <w:sz w:val="20"/>
          <w:szCs w:val="20"/>
          <w:lang w:val="es-ES"/>
        </w:rPr>
        <w:t xml:space="preserve"> </w:t>
      </w:r>
      <w:r w:rsidRPr="00B54F0A">
        <w:rPr>
          <w:rFonts w:asciiTheme="majorHAnsi" w:hAnsiTheme="majorHAnsi"/>
          <w:sz w:val="20"/>
          <w:szCs w:val="20"/>
          <w:lang w:val="es-ES"/>
        </w:rPr>
        <w:t>Frente a ello, la presunta interpuso un recurso de casación,</w:t>
      </w:r>
      <w:r w:rsidR="00FD7673" w:rsidRPr="00B54F0A">
        <w:rPr>
          <w:rFonts w:asciiTheme="majorHAnsi" w:hAnsiTheme="majorHAnsi"/>
          <w:sz w:val="20"/>
          <w:szCs w:val="20"/>
          <w:lang w:val="es-ES"/>
        </w:rPr>
        <w:t xml:space="preserve"> pero el 21 de octubre de 2011 la Sala Tercera de la Corte Suprema de Justicia, mediante la resolución N.º 2011-01293</w:t>
      </w:r>
      <w:r w:rsidR="00FD7673" w:rsidRPr="00B54F0A">
        <w:rPr>
          <w:rFonts w:ascii="Cambria" w:hAnsi="Cambria"/>
          <w:sz w:val="20"/>
          <w:szCs w:val="20"/>
          <w:lang w:val="es-ES"/>
        </w:rPr>
        <w:t>, desestim</w:t>
      </w:r>
      <w:r w:rsidR="00750F55" w:rsidRPr="00B54F0A">
        <w:rPr>
          <w:rFonts w:ascii="Cambria" w:hAnsi="Cambria"/>
          <w:sz w:val="20"/>
          <w:szCs w:val="20"/>
          <w:lang w:val="es-ES"/>
        </w:rPr>
        <w:t>ó todos los</w:t>
      </w:r>
      <w:r w:rsidR="00FD7673" w:rsidRPr="00B54F0A">
        <w:rPr>
          <w:rFonts w:ascii="Cambria" w:hAnsi="Cambria"/>
          <w:sz w:val="20"/>
          <w:szCs w:val="20"/>
          <w:lang w:val="es-ES"/>
        </w:rPr>
        <w:t xml:space="preserve"> alegatos referidos a los aspectos penales de su condena</w:t>
      </w:r>
      <w:r w:rsidR="00750F55" w:rsidRPr="00B54F0A">
        <w:rPr>
          <w:rFonts w:ascii="Cambria" w:hAnsi="Cambria"/>
          <w:sz w:val="20"/>
          <w:szCs w:val="20"/>
          <w:lang w:val="es-ES"/>
        </w:rPr>
        <w:t xml:space="preserve"> </w:t>
      </w:r>
      <w:r w:rsidR="008A623A">
        <w:rPr>
          <w:rFonts w:ascii="Cambria" w:hAnsi="Cambria"/>
          <w:sz w:val="20"/>
          <w:szCs w:val="20"/>
          <w:lang w:val="es-ES"/>
        </w:rPr>
        <w:t>sustentados</w:t>
      </w:r>
      <w:r w:rsidR="00750F55" w:rsidRPr="00B54F0A">
        <w:rPr>
          <w:rFonts w:ascii="Cambria" w:hAnsi="Cambria"/>
          <w:sz w:val="20"/>
          <w:szCs w:val="20"/>
          <w:lang w:val="es-ES"/>
        </w:rPr>
        <w:t xml:space="preserve"> en tal acción. </w:t>
      </w:r>
    </w:p>
    <w:p w14:paraId="5C0AA47D" w14:textId="78030CFC" w:rsidR="002B3B94" w:rsidRPr="00B54F0A" w:rsidRDefault="008A623A" w:rsidP="002B3B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Así</w:t>
      </w:r>
      <w:r w:rsidR="002B3B94" w:rsidRPr="00B54F0A">
        <w:rPr>
          <w:rFonts w:asciiTheme="majorHAnsi" w:hAnsiTheme="majorHAnsi"/>
          <w:sz w:val="20"/>
          <w:szCs w:val="20"/>
          <w:lang w:val="es-ES"/>
        </w:rPr>
        <w:t xml:space="preserve">, </w:t>
      </w:r>
      <w:r w:rsidR="002B3B94" w:rsidRPr="00B54F0A">
        <w:rPr>
          <w:rFonts w:ascii="Cambria" w:hAnsi="Cambria"/>
          <w:sz w:val="20"/>
          <w:szCs w:val="20"/>
          <w:lang w:val="es-ES"/>
        </w:rPr>
        <w:t xml:space="preserve">a partir de la lectura del texto de esta última resolución, la Comisión </w:t>
      </w:r>
      <w:r>
        <w:rPr>
          <w:rFonts w:ascii="Cambria" w:hAnsi="Cambria"/>
          <w:sz w:val="20"/>
          <w:szCs w:val="20"/>
          <w:lang w:val="es-ES"/>
        </w:rPr>
        <w:t xml:space="preserve">nota </w:t>
      </w:r>
      <w:r w:rsidR="002B3B94" w:rsidRPr="00B54F0A">
        <w:rPr>
          <w:rFonts w:ascii="Cambria" w:hAnsi="Cambria"/>
          <w:sz w:val="20"/>
          <w:szCs w:val="20"/>
          <w:lang w:val="es-ES"/>
        </w:rPr>
        <w:t xml:space="preserve">que </w:t>
      </w:r>
      <w:r w:rsidR="00FD7673" w:rsidRPr="00B54F0A">
        <w:rPr>
          <w:rFonts w:ascii="Cambria" w:hAnsi="Cambria"/>
          <w:sz w:val="20"/>
          <w:szCs w:val="20"/>
          <w:lang w:val="es-ES"/>
        </w:rPr>
        <w:t xml:space="preserve">la Sala Tercera de la Corte Suprema de Justicia </w:t>
      </w:r>
      <w:r w:rsidR="002B3B94" w:rsidRPr="00B54F0A">
        <w:rPr>
          <w:rFonts w:ascii="Cambria" w:hAnsi="Cambria"/>
          <w:sz w:val="20"/>
          <w:szCs w:val="20"/>
          <w:lang w:val="es-ES"/>
        </w:rPr>
        <w:t xml:space="preserve">analizó detenidamente </w:t>
      </w:r>
      <w:r w:rsidR="004F6D77" w:rsidRPr="00B54F0A">
        <w:rPr>
          <w:rFonts w:ascii="Cambria" w:hAnsi="Cambria"/>
          <w:sz w:val="20"/>
          <w:szCs w:val="20"/>
          <w:lang w:val="es-ES"/>
        </w:rPr>
        <w:t xml:space="preserve">los </w:t>
      </w:r>
      <w:r w:rsidR="002B3B94" w:rsidRPr="00B54F0A">
        <w:rPr>
          <w:rFonts w:ascii="Cambria" w:hAnsi="Cambria"/>
          <w:sz w:val="20"/>
          <w:szCs w:val="20"/>
          <w:lang w:val="es-ES"/>
        </w:rPr>
        <w:t>cuestionamientos de la</w:t>
      </w:r>
      <w:r w:rsidR="004F6D77" w:rsidRPr="00B54F0A">
        <w:rPr>
          <w:rFonts w:ascii="Cambria" w:hAnsi="Cambria"/>
          <w:sz w:val="20"/>
          <w:szCs w:val="20"/>
          <w:lang w:val="es-ES"/>
        </w:rPr>
        <w:t>s</w:t>
      </w:r>
      <w:r w:rsidR="002B3B94" w:rsidRPr="00B54F0A">
        <w:rPr>
          <w:rFonts w:ascii="Cambria" w:hAnsi="Cambria"/>
          <w:sz w:val="20"/>
          <w:szCs w:val="20"/>
          <w:lang w:val="es-ES"/>
        </w:rPr>
        <w:t xml:space="preserve"> presunta</w:t>
      </w:r>
      <w:r w:rsidR="004F6D77" w:rsidRPr="00B54F0A">
        <w:rPr>
          <w:rFonts w:ascii="Cambria" w:hAnsi="Cambria"/>
          <w:sz w:val="20"/>
          <w:szCs w:val="20"/>
          <w:lang w:val="es-ES"/>
        </w:rPr>
        <w:t>s</w:t>
      </w:r>
      <w:r w:rsidR="002B3B94" w:rsidRPr="00B54F0A">
        <w:rPr>
          <w:rFonts w:ascii="Cambria" w:hAnsi="Cambria"/>
          <w:sz w:val="20"/>
          <w:szCs w:val="20"/>
          <w:lang w:val="es-ES"/>
        </w:rPr>
        <w:t xml:space="preserve"> víctima</w:t>
      </w:r>
      <w:r w:rsidR="004F6D77" w:rsidRPr="00B54F0A">
        <w:rPr>
          <w:rFonts w:ascii="Cambria" w:hAnsi="Cambria"/>
          <w:sz w:val="20"/>
          <w:szCs w:val="20"/>
          <w:lang w:val="es-ES"/>
        </w:rPr>
        <w:t>s</w:t>
      </w:r>
      <w:r w:rsidR="002B3B94" w:rsidRPr="00B54F0A">
        <w:rPr>
          <w:rFonts w:ascii="Cambria" w:hAnsi="Cambria"/>
          <w:sz w:val="20"/>
          <w:szCs w:val="20"/>
          <w:lang w:val="es-ES"/>
        </w:rPr>
        <w:t xml:space="preserve"> y brindó una respuesta motivada </w:t>
      </w:r>
      <w:r>
        <w:rPr>
          <w:rFonts w:ascii="Cambria" w:hAnsi="Cambria"/>
          <w:sz w:val="20"/>
          <w:szCs w:val="20"/>
          <w:lang w:val="es-ES"/>
        </w:rPr>
        <w:t>sobre</w:t>
      </w:r>
      <w:r w:rsidR="002B3B94" w:rsidRPr="00B54F0A">
        <w:rPr>
          <w:rFonts w:ascii="Cambria" w:hAnsi="Cambria"/>
          <w:sz w:val="20"/>
          <w:szCs w:val="20"/>
          <w:lang w:val="es-ES"/>
        </w:rPr>
        <w:t xml:space="preserve"> cada uno. En ese sentido, la Comisión aprecia que el tribunal </w:t>
      </w:r>
      <w:r w:rsidR="003866CA" w:rsidRPr="00B54F0A">
        <w:rPr>
          <w:rFonts w:ascii="Cambria" w:hAnsi="Cambria"/>
          <w:sz w:val="20"/>
          <w:szCs w:val="20"/>
          <w:lang w:val="es-ES"/>
        </w:rPr>
        <w:t xml:space="preserve">entró a </w:t>
      </w:r>
      <w:r w:rsidR="00755AB4">
        <w:rPr>
          <w:rFonts w:ascii="Cambria" w:hAnsi="Cambria"/>
          <w:sz w:val="20"/>
          <w:szCs w:val="20"/>
          <w:lang w:val="es-ES"/>
        </w:rPr>
        <w:t>ponderar</w:t>
      </w:r>
      <w:r w:rsidR="00755AB4" w:rsidRPr="00B54F0A">
        <w:rPr>
          <w:rFonts w:ascii="Cambria" w:hAnsi="Cambria"/>
          <w:sz w:val="20"/>
          <w:szCs w:val="20"/>
          <w:lang w:val="es-ES"/>
        </w:rPr>
        <w:t xml:space="preserve"> </w:t>
      </w:r>
      <w:r>
        <w:rPr>
          <w:rFonts w:ascii="Cambria" w:hAnsi="Cambria"/>
          <w:sz w:val="20"/>
          <w:szCs w:val="20"/>
          <w:lang w:val="es-ES"/>
        </w:rPr>
        <w:t>aspectos</w:t>
      </w:r>
      <w:r w:rsidR="002B3B94" w:rsidRPr="00B54F0A">
        <w:rPr>
          <w:rFonts w:ascii="Cambria" w:hAnsi="Cambria"/>
          <w:sz w:val="20"/>
          <w:szCs w:val="20"/>
          <w:lang w:val="es-ES"/>
        </w:rPr>
        <w:t xml:space="preserve"> probatori</w:t>
      </w:r>
      <w:r>
        <w:rPr>
          <w:rFonts w:ascii="Cambria" w:hAnsi="Cambria"/>
          <w:sz w:val="20"/>
          <w:szCs w:val="20"/>
          <w:lang w:val="es-ES"/>
        </w:rPr>
        <w:t>o</w:t>
      </w:r>
      <w:r w:rsidR="002B3B94" w:rsidRPr="00B54F0A">
        <w:rPr>
          <w:rFonts w:ascii="Cambria" w:hAnsi="Cambria"/>
          <w:sz w:val="20"/>
          <w:szCs w:val="20"/>
          <w:lang w:val="es-ES"/>
        </w:rPr>
        <w:t xml:space="preserve">s y actividades procesales realizadas a lo largo del proceso, de acuerdo con lo </w:t>
      </w:r>
      <w:r w:rsidR="002B3B94" w:rsidRPr="00B54F0A">
        <w:rPr>
          <w:rFonts w:ascii="Cambria" w:hAnsi="Cambria"/>
          <w:sz w:val="20"/>
          <w:szCs w:val="20"/>
          <w:lang w:val="es-ES"/>
        </w:rPr>
        <w:lastRenderedPageBreak/>
        <w:t>solicitado por l</w:t>
      </w:r>
      <w:r w:rsidR="00FD7673" w:rsidRPr="00B54F0A">
        <w:rPr>
          <w:rFonts w:ascii="Cambria" w:hAnsi="Cambria"/>
          <w:sz w:val="20"/>
          <w:szCs w:val="20"/>
          <w:lang w:val="es-ES"/>
        </w:rPr>
        <w:t>os señores Alejandro Arrieta Torres y Pablo Arrieta Torres</w:t>
      </w:r>
      <w:r w:rsidR="002B3B94" w:rsidRPr="00B54F0A">
        <w:rPr>
          <w:rFonts w:ascii="Cambria" w:hAnsi="Cambria"/>
          <w:sz w:val="20"/>
          <w:szCs w:val="20"/>
          <w:lang w:val="es-ES"/>
        </w:rPr>
        <w:t xml:space="preserve">. Por ende, la Comisión </w:t>
      </w:r>
      <w:r>
        <w:rPr>
          <w:rFonts w:ascii="Cambria" w:hAnsi="Cambria"/>
          <w:sz w:val="20"/>
          <w:szCs w:val="20"/>
          <w:lang w:val="es-ES"/>
        </w:rPr>
        <w:t>entiende</w:t>
      </w:r>
      <w:r w:rsidR="002B3B94" w:rsidRPr="00B54F0A">
        <w:rPr>
          <w:rFonts w:ascii="Cambria" w:hAnsi="Cambria"/>
          <w:sz w:val="20"/>
          <w:szCs w:val="20"/>
          <w:lang w:val="es-ES"/>
        </w:rPr>
        <w:t xml:space="preserve"> que, </w:t>
      </w:r>
      <w:r w:rsidR="002B3B94" w:rsidRPr="00B54F0A">
        <w:rPr>
          <w:rFonts w:ascii="Cambria" w:hAnsi="Cambria"/>
          <w:i/>
          <w:iCs/>
          <w:sz w:val="20"/>
          <w:szCs w:val="20"/>
          <w:lang w:val="es-ES"/>
        </w:rPr>
        <w:t xml:space="preserve">prima facie, </w:t>
      </w:r>
      <w:r w:rsidR="002B3B94" w:rsidRPr="00B54F0A">
        <w:rPr>
          <w:rFonts w:ascii="Cambria" w:hAnsi="Cambria"/>
          <w:sz w:val="20"/>
          <w:szCs w:val="20"/>
          <w:lang w:val="es-ES"/>
        </w:rPr>
        <w:t xml:space="preserve">no se han presentado argumentos o pruebas que permitan identificar alguna restricción o limitación que hayan evitado un análisis integral de los </w:t>
      </w:r>
      <w:r>
        <w:rPr>
          <w:rFonts w:ascii="Cambria" w:hAnsi="Cambria"/>
          <w:sz w:val="20"/>
          <w:szCs w:val="20"/>
          <w:lang w:val="es-ES"/>
        </w:rPr>
        <w:t>alegatos</w:t>
      </w:r>
      <w:r w:rsidR="002B3B94" w:rsidRPr="00B54F0A">
        <w:rPr>
          <w:rFonts w:ascii="Cambria" w:hAnsi="Cambria"/>
          <w:sz w:val="20"/>
          <w:szCs w:val="20"/>
          <w:lang w:val="es-ES"/>
        </w:rPr>
        <w:t xml:space="preserve"> planteados por la presunta víctima contra su fallo condenatorio de primera instancia. </w:t>
      </w:r>
    </w:p>
    <w:p w14:paraId="6D432DF1" w14:textId="6429E424" w:rsidR="00C27964" w:rsidRPr="00B54F0A" w:rsidRDefault="002B3B94"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4F0A">
        <w:rPr>
          <w:rFonts w:ascii="Cambria" w:hAnsi="Cambria"/>
          <w:sz w:val="20"/>
          <w:szCs w:val="20"/>
          <w:lang w:val="es-ES"/>
        </w:rPr>
        <w:t xml:space="preserve">Por consiguiente, la CIDH concluye que, </w:t>
      </w:r>
      <w:r w:rsidRPr="00B54F0A">
        <w:rPr>
          <w:rFonts w:ascii="Cambria" w:hAnsi="Cambria"/>
          <w:i/>
          <w:iCs/>
          <w:sz w:val="20"/>
          <w:szCs w:val="20"/>
          <w:lang w:val="es-ES"/>
        </w:rPr>
        <w:t xml:space="preserve">prima facie, </w:t>
      </w:r>
      <w:r w:rsidRPr="00B54F0A">
        <w:rPr>
          <w:rFonts w:ascii="Cambria" w:hAnsi="Cambria"/>
          <w:sz w:val="20"/>
          <w:szCs w:val="20"/>
          <w:lang w:val="es-ES"/>
        </w:rPr>
        <w:t>no se han aportado elementos que permitan identificar una posible vulneración al derecho contemplado en el artículo 8.2.h) de la Convención.</w:t>
      </w:r>
    </w:p>
    <w:p w14:paraId="29BB41F5" w14:textId="42F5DD9A" w:rsidR="003239B8" w:rsidRPr="00B54F0A" w:rsidRDefault="003239B8" w:rsidP="00C27964">
      <w:pPr>
        <w:pStyle w:val="ListParagraph"/>
        <w:jc w:val="both"/>
        <w:rPr>
          <w:rFonts w:asciiTheme="majorHAnsi" w:hAnsiTheme="majorHAnsi"/>
          <w:b/>
          <w:bCs/>
          <w:sz w:val="20"/>
          <w:szCs w:val="20"/>
          <w:lang w:val="es-ES"/>
        </w:rPr>
      </w:pPr>
      <w:r w:rsidRPr="00B54F0A">
        <w:rPr>
          <w:rFonts w:asciiTheme="majorHAnsi" w:hAnsiTheme="majorHAnsi"/>
          <w:b/>
          <w:bCs/>
          <w:sz w:val="20"/>
          <w:szCs w:val="20"/>
          <w:lang w:val="es-ES"/>
        </w:rPr>
        <w:t xml:space="preserve">VIII. </w:t>
      </w:r>
      <w:r w:rsidRPr="00B54F0A">
        <w:rPr>
          <w:rFonts w:asciiTheme="majorHAnsi" w:hAnsiTheme="majorHAnsi"/>
          <w:b/>
          <w:bCs/>
          <w:sz w:val="20"/>
          <w:szCs w:val="20"/>
          <w:lang w:val="es-ES"/>
        </w:rPr>
        <w:tab/>
        <w:t>DECISIÓN</w:t>
      </w:r>
    </w:p>
    <w:p w14:paraId="378F2698" w14:textId="77777777" w:rsidR="00C27964" w:rsidRPr="00B54F0A" w:rsidRDefault="00C27964" w:rsidP="00C27964">
      <w:pPr>
        <w:jc w:val="both"/>
        <w:rPr>
          <w:rFonts w:asciiTheme="majorHAnsi" w:hAnsiTheme="majorHAnsi"/>
          <w:b/>
          <w:bCs/>
          <w:sz w:val="20"/>
          <w:szCs w:val="20"/>
          <w:lang w:val="es-ES"/>
        </w:rPr>
      </w:pPr>
    </w:p>
    <w:p w14:paraId="570DA61C" w14:textId="6A55D282" w:rsidR="000419AD" w:rsidRPr="00B54F0A" w:rsidRDefault="000419AD" w:rsidP="000419AD">
      <w:pPr>
        <w:pStyle w:val="ListParagraph"/>
        <w:numPr>
          <w:ilvl w:val="0"/>
          <w:numId w:val="109"/>
        </w:numPr>
        <w:rPr>
          <w:rFonts w:eastAsia="Arial Unicode MS" w:cs="Times New Roman"/>
          <w:color w:val="auto"/>
          <w:sz w:val="20"/>
          <w:szCs w:val="20"/>
          <w:lang w:val="es-ES" w:eastAsia="en-US"/>
        </w:rPr>
      </w:pPr>
      <w:r w:rsidRPr="00B54F0A">
        <w:rPr>
          <w:rFonts w:eastAsia="Arial Unicode MS" w:cs="Times New Roman"/>
          <w:color w:val="auto"/>
          <w:sz w:val="20"/>
          <w:szCs w:val="20"/>
          <w:lang w:val="es-ES" w:eastAsia="en-US"/>
        </w:rPr>
        <w:t>Decla</w:t>
      </w:r>
      <w:r w:rsidRPr="00667801">
        <w:rPr>
          <w:rFonts w:eastAsia="Arial Unicode MS" w:cs="Times New Roman"/>
          <w:color w:val="auto"/>
          <w:sz w:val="20"/>
          <w:szCs w:val="20"/>
          <w:lang w:val="es-ES" w:eastAsia="en-US"/>
        </w:rPr>
        <w:t>rar inadmisible la pr</w:t>
      </w:r>
      <w:r w:rsidRPr="00B54F0A">
        <w:rPr>
          <w:rFonts w:eastAsia="Arial Unicode MS" w:cs="Times New Roman"/>
          <w:color w:val="auto"/>
          <w:sz w:val="20"/>
          <w:szCs w:val="20"/>
          <w:lang w:val="es-ES" w:eastAsia="en-US"/>
        </w:rPr>
        <w:t>esente petición</w:t>
      </w:r>
      <w:r w:rsidR="00A758AA" w:rsidRPr="00B54F0A">
        <w:rPr>
          <w:rFonts w:eastAsia="Arial Unicode MS" w:cs="Times New Roman"/>
          <w:color w:val="auto"/>
          <w:sz w:val="20"/>
          <w:szCs w:val="20"/>
          <w:lang w:val="es-ES" w:eastAsia="en-US"/>
        </w:rPr>
        <w:t>;</w:t>
      </w:r>
      <w:r w:rsidR="004A6A54" w:rsidRPr="00B54F0A">
        <w:rPr>
          <w:rFonts w:eastAsia="Arial Unicode MS" w:cs="Times New Roman"/>
          <w:color w:val="auto"/>
          <w:sz w:val="20"/>
          <w:szCs w:val="20"/>
          <w:lang w:val="es-ES" w:eastAsia="en-US"/>
        </w:rPr>
        <w:t xml:space="preserve"> y</w:t>
      </w:r>
    </w:p>
    <w:p w14:paraId="41AA5BF6" w14:textId="77777777" w:rsidR="000419AD" w:rsidRPr="00B54F0A" w:rsidRDefault="000419AD" w:rsidP="000419AD">
      <w:pPr>
        <w:pStyle w:val="ListParagraph"/>
        <w:rPr>
          <w:rFonts w:eastAsia="Arial Unicode MS" w:cs="Times New Roman"/>
          <w:color w:val="auto"/>
          <w:sz w:val="20"/>
          <w:szCs w:val="20"/>
          <w:lang w:val="es-ES" w:eastAsia="en-US"/>
        </w:rPr>
      </w:pPr>
    </w:p>
    <w:p w14:paraId="12A7002C" w14:textId="7979BBE9"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CD4DFBD" w14:textId="2F2124D6" w:rsidR="003239B8" w:rsidRPr="00DC413F" w:rsidRDefault="00667801" w:rsidP="00DC413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abril de 2024.  (Firmado): Carlos Bernal Pulido, Primer Vicepresidente; José Luis Caballero Ochoa, Segundo Vicepresidente; Edgar Stuardo Ralón Orellana y Andrea Pochak, </w:t>
      </w:r>
      <w:r w:rsidR="00DC413F">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D98495A" w14:textId="77777777" w:rsidR="008D768D" w:rsidRPr="00B54F0A"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B54F0A" w:rsidRDefault="008D768D" w:rsidP="001D65EF">
      <w:pPr>
        <w:tabs>
          <w:tab w:val="center" w:pos="5400"/>
        </w:tabs>
        <w:suppressAutoHyphens/>
        <w:spacing w:line="276" w:lineRule="auto"/>
        <w:rPr>
          <w:rFonts w:asciiTheme="majorHAnsi" w:hAnsiTheme="majorHAnsi"/>
          <w:sz w:val="20"/>
          <w:szCs w:val="20"/>
          <w:lang w:val="es-ES"/>
        </w:rPr>
      </w:pPr>
    </w:p>
    <w:p w14:paraId="6AC80CA6" w14:textId="77777777" w:rsidR="00722C9F" w:rsidRPr="00B54F0A" w:rsidRDefault="00722C9F" w:rsidP="00974491">
      <w:pPr>
        <w:rPr>
          <w:rFonts w:ascii="Cambria" w:hAnsi="Cambria" w:cs="Calibri"/>
          <w:sz w:val="20"/>
          <w:szCs w:val="20"/>
          <w:lang w:val="es-ES"/>
        </w:rPr>
      </w:pPr>
    </w:p>
    <w:sectPr w:rsidR="00722C9F" w:rsidRPr="00B54F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3D89" w14:textId="77777777" w:rsidR="00856F6E" w:rsidRDefault="00856F6E">
      <w:r>
        <w:separator/>
      </w:r>
    </w:p>
  </w:endnote>
  <w:endnote w:type="continuationSeparator" w:id="0">
    <w:p w14:paraId="07229086" w14:textId="77777777" w:rsidR="00856F6E" w:rsidRDefault="0085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2579" w14:textId="77777777" w:rsidR="00856F6E" w:rsidRPr="000F35ED" w:rsidRDefault="00856F6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384379" w14:textId="77777777" w:rsidR="00856F6E" w:rsidRPr="000F35ED" w:rsidRDefault="00856F6E" w:rsidP="000F35ED">
      <w:pPr>
        <w:rPr>
          <w:rFonts w:asciiTheme="majorHAnsi" w:hAnsiTheme="majorHAnsi"/>
          <w:sz w:val="16"/>
          <w:szCs w:val="16"/>
        </w:rPr>
      </w:pPr>
      <w:r w:rsidRPr="000F35ED">
        <w:rPr>
          <w:rFonts w:asciiTheme="majorHAnsi" w:hAnsiTheme="majorHAnsi"/>
          <w:sz w:val="16"/>
          <w:szCs w:val="16"/>
        </w:rPr>
        <w:separator/>
      </w:r>
    </w:p>
    <w:p w14:paraId="23816B3A" w14:textId="77777777" w:rsidR="00856F6E" w:rsidRPr="000F35ED" w:rsidRDefault="00856F6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5E0366" w14:textId="77777777" w:rsidR="00856F6E" w:rsidRPr="000F35ED" w:rsidRDefault="00856F6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03E874B6" w:rsidR="0061609D" w:rsidRPr="00916C1D" w:rsidRDefault="0061609D" w:rsidP="00B54F0A">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r w:rsidR="009638F9">
        <w:rPr>
          <w:rFonts w:asciiTheme="majorHAnsi" w:hAnsiTheme="majorHAnsi"/>
          <w:sz w:val="16"/>
          <w:szCs w:val="16"/>
          <w:lang w:val="es-US"/>
        </w:rPr>
        <w:t>.</w:t>
      </w:r>
    </w:p>
  </w:footnote>
  <w:footnote w:id="3">
    <w:p w14:paraId="79F07139" w14:textId="77777777" w:rsidR="008E3BFE" w:rsidRPr="00537490" w:rsidRDefault="008E3BFE" w:rsidP="00B54F0A">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B54F0A">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72535B19" w:rsidR="00CD17F6" w:rsidRPr="004D0E62" w:rsidRDefault="00CD17F6" w:rsidP="00B54F0A">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w:t>
      </w:r>
      <w:r w:rsidR="00B036CD">
        <w:rPr>
          <w:rFonts w:asciiTheme="majorHAnsi" w:hAnsiTheme="majorHAnsi"/>
          <w:sz w:val="16"/>
          <w:szCs w:val="16"/>
          <w:lang w:val="pt-BR"/>
        </w:rPr>
        <w:t>,</w:t>
      </w:r>
      <w:r w:rsidRPr="00EA3787">
        <w:rPr>
          <w:rFonts w:asciiTheme="majorHAnsi" w:hAnsiTheme="majorHAnsi"/>
          <w:sz w:val="16"/>
          <w:szCs w:val="16"/>
          <w:lang w:val="pt-BR"/>
        </w:rPr>
        <w:t xml:space="preserve"> Caso Herrera Ulloa Vs. </w:t>
      </w:r>
      <w:r w:rsidRPr="00EA3787">
        <w:rPr>
          <w:rFonts w:asciiTheme="majorHAnsi" w:hAnsiTheme="majorHAnsi"/>
          <w:sz w:val="16"/>
          <w:szCs w:val="16"/>
          <w:lang w:val="es-US"/>
        </w:rPr>
        <w:t>Costa Rica</w:t>
      </w:r>
      <w:r w:rsidR="00B036CD">
        <w:rPr>
          <w:rFonts w:asciiTheme="majorHAnsi" w:hAnsiTheme="majorHAnsi"/>
          <w:sz w:val="16"/>
          <w:szCs w:val="16"/>
          <w:lang w:val="es-US"/>
        </w:rPr>
        <w:t>,</w:t>
      </w:r>
      <w:r w:rsidRPr="00EA3787">
        <w:rPr>
          <w:rFonts w:asciiTheme="majorHAnsi" w:hAnsiTheme="majorHAnsi"/>
          <w:sz w:val="16"/>
          <w:szCs w:val="16"/>
          <w:lang w:val="es-US"/>
        </w:rPr>
        <w:t xml:space="preserve"> Excepciones Preliminares, Fondo, Reparaciones y Costas</w:t>
      </w:r>
      <w:r w:rsidR="00B036CD">
        <w:rPr>
          <w:rFonts w:asciiTheme="majorHAnsi" w:hAnsiTheme="majorHAnsi"/>
          <w:sz w:val="16"/>
          <w:szCs w:val="16"/>
          <w:lang w:val="es-US"/>
        </w:rPr>
        <w:t>,</w:t>
      </w:r>
      <w:r w:rsidRPr="00EA3787">
        <w:rPr>
          <w:rFonts w:asciiTheme="majorHAnsi" w:hAnsiTheme="majorHAnsi"/>
          <w:sz w:val="16"/>
          <w:szCs w:val="16"/>
          <w:lang w:val="es-US"/>
        </w:rPr>
        <w:t xml:space="preserve"> </w:t>
      </w:r>
      <w:r w:rsidRPr="004D0E62">
        <w:rPr>
          <w:rFonts w:asciiTheme="majorHAnsi" w:hAnsiTheme="majorHAnsi"/>
          <w:sz w:val="16"/>
          <w:szCs w:val="16"/>
          <w:lang w:val="es-US"/>
        </w:rPr>
        <w:t>Sentencia de</w:t>
      </w:r>
      <w:r w:rsidR="00B036CD">
        <w:rPr>
          <w:rFonts w:asciiTheme="majorHAnsi" w:hAnsiTheme="majorHAnsi"/>
          <w:sz w:val="16"/>
          <w:szCs w:val="16"/>
          <w:lang w:val="es-US"/>
        </w:rPr>
        <w:t>l</w:t>
      </w:r>
      <w:r w:rsidRPr="004D0E62">
        <w:rPr>
          <w:rFonts w:asciiTheme="majorHAnsi" w:hAnsiTheme="majorHAnsi"/>
          <w:sz w:val="16"/>
          <w:szCs w:val="16"/>
          <w:lang w:val="es-US"/>
        </w:rPr>
        <w:t xml:space="preserve"> 2 de julio de 2004</w:t>
      </w:r>
      <w:r w:rsidR="00B036CD">
        <w:rPr>
          <w:rFonts w:asciiTheme="majorHAnsi" w:hAnsiTheme="majorHAnsi"/>
          <w:sz w:val="16"/>
          <w:szCs w:val="16"/>
          <w:lang w:val="es-US"/>
        </w:rPr>
        <w:t>,</w:t>
      </w:r>
      <w:r w:rsidRPr="004D0E62">
        <w:rPr>
          <w:rFonts w:asciiTheme="majorHAnsi" w:hAnsiTheme="majorHAnsi"/>
          <w:sz w:val="16"/>
          <w:szCs w:val="16"/>
          <w:lang w:val="es-US"/>
        </w:rPr>
        <w:t xml:space="preserve"> Serie C No. 107, párr. 167. </w:t>
      </w:r>
    </w:p>
  </w:footnote>
  <w:footnote w:id="6">
    <w:p w14:paraId="6D2530C7" w14:textId="534C0938" w:rsidR="00CD17F6" w:rsidRPr="008A508D" w:rsidRDefault="00CD17F6" w:rsidP="00B54F0A">
      <w:pPr>
        <w:pStyle w:val="FootnoteText"/>
        <w:ind w:firstLine="720"/>
        <w:jc w:val="both"/>
        <w:rPr>
          <w:lang w:val="es-US"/>
        </w:rPr>
      </w:pPr>
      <w:r w:rsidRPr="004D0E62">
        <w:rPr>
          <w:rStyle w:val="FootnoteReference"/>
          <w:rFonts w:asciiTheme="majorHAnsi" w:hAnsiTheme="majorHAnsi"/>
          <w:sz w:val="16"/>
          <w:szCs w:val="16"/>
        </w:rPr>
        <w:footnoteRef/>
      </w:r>
      <w:r w:rsidRPr="008656B0">
        <w:rPr>
          <w:rFonts w:asciiTheme="majorHAnsi" w:hAnsiTheme="majorHAnsi"/>
          <w:sz w:val="16"/>
          <w:szCs w:val="16"/>
          <w:lang w:val="es-ES"/>
        </w:rPr>
        <w:t xml:space="preserve"> Corte IDH</w:t>
      </w:r>
      <w:r w:rsidR="00540544" w:rsidRPr="008656B0">
        <w:rPr>
          <w:rFonts w:asciiTheme="majorHAnsi" w:hAnsiTheme="majorHAnsi"/>
          <w:sz w:val="16"/>
          <w:szCs w:val="16"/>
          <w:lang w:val="es-ES"/>
        </w:rPr>
        <w:t>,</w:t>
      </w:r>
      <w:r w:rsidRPr="008656B0">
        <w:rPr>
          <w:rFonts w:asciiTheme="majorHAnsi" w:hAnsiTheme="majorHAnsi"/>
          <w:sz w:val="16"/>
          <w:szCs w:val="16"/>
          <w:lang w:val="es-ES"/>
        </w:rPr>
        <w:t xml:space="preserve"> Caso Herrera Ulloa Vs. </w:t>
      </w:r>
      <w:r w:rsidRPr="004D0E62">
        <w:rPr>
          <w:rFonts w:asciiTheme="majorHAnsi" w:hAnsiTheme="majorHAnsi"/>
          <w:sz w:val="16"/>
          <w:szCs w:val="16"/>
          <w:lang w:val="es-US"/>
        </w:rPr>
        <w:t>Costa Rica</w:t>
      </w:r>
      <w:r w:rsidR="00540544">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540544">
        <w:rPr>
          <w:rFonts w:asciiTheme="majorHAnsi" w:hAnsiTheme="majorHAnsi"/>
          <w:sz w:val="16"/>
          <w:szCs w:val="16"/>
          <w:lang w:val="es-US"/>
        </w:rPr>
        <w:t>,</w:t>
      </w:r>
      <w:r w:rsidRPr="004D0E62">
        <w:rPr>
          <w:rFonts w:asciiTheme="majorHAnsi" w:hAnsiTheme="majorHAnsi"/>
          <w:sz w:val="16"/>
          <w:szCs w:val="16"/>
          <w:lang w:val="es-US"/>
        </w:rPr>
        <w:t xml:space="preserve"> </w:t>
      </w:r>
      <w:r w:rsidRPr="003869D1">
        <w:rPr>
          <w:rFonts w:asciiTheme="majorHAnsi" w:hAnsiTheme="majorHAnsi"/>
          <w:sz w:val="16"/>
          <w:szCs w:val="16"/>
          <w:lang w:val="es-ES"/>
        </w:rPr>
        <w:t>Sentencia de</w:t>
      </w:r>
      <w:r w:rsidR="00540544">
        <w:rPr>
          <w:rFonts w:asciiTheme="majorHAnsi" w:hAnsiTheme="majorHAnsi"/>
          <w:sz w:val="16"/>
          <w:szCs w:val="16"/>
          <w:lang w:val="es-ES"/>
        </w:rPr>
        <w:t>l</w:t>
      </w:r>
      <w:r w:rsidRPr="003869D1">
        <w:rPr>
          <w:rFonts w:asciiTheme="majorHAnsi" w:hAnsiTheme="majorHAnsi"/>
          <w:sz w:val="16"/>
          <w:szCs w:val="16"/>
          <w:lang w:val="es-ES"/>
        </w:rPr>
        <w:t xml:space="preserve"> 2 de julio de 2004</w:t>
      </w:r>
      <w:r w:rsidR="00540544">
        <w:rPr>
          <w:rFonts w:asciiTheme="majorHAnsi" w:hAnsiTheme="majorHAnsi"/>
          <w:sz w:val="16"/>
          <w:szCs w:val="16"/>
          <w:lang w:val="es-ES"/>
        </w:rPr>
        <w:t>,</w:t>
      </w:r>
      <w:r w:rsidRPr="003869D1">
        <w:rPr>
          <w:rFonts w:asciiTheme="majorHAnsi" w:hAnsiTheme="majorHAnsi"/>
          <w:sz w:val="16"/>
          <w:szCs w:val="16"/>
          <w:lang w:val="es-ES"/>
        </w:rPr>
        <w:t xml:space="preserve"> Serie C No. 107, párr. 198.</w:t>
      </w:r>
    </w:p>
  </w:footnote>
  <w:footnote w:id="7">
    <w:p w14:paraId="46CD2A72" w14:textId="027528D5" w:rsidR="00CD17F6" w:rsidRPr="00565232" w:rsidRDefault="00CD17F6" w:rsidP="00B54F0A">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w:t>
      </w:r>
      <w:r w:rsidR="00540544">
        <w:rPr>
          <w:rFonts w:asciiTheme="majorHAnsi" w:hAnsiTheme="majorHAnsi"/>
          <w:sz w:val="16"/>
          <w:szCs w:val="16"/>
          <w:lang w:val="es-US"/>
        </w:rPr>
        <w:t>,</w:t>
      </w:r>
      <w:r w:rsidRPr="006A7DCD">
        <w:rPr>
          <w:rFonts w:asciiTheme="majorHAnsi" w:hAnsiTheme="majorHAnsi"/>
          <w:sz w:val="16"/>
          <w:szCs w:val="16"/>
          <w:lang w:val="es-US"/>
        </w:rPr>
        <w:t xml:space="preserve"> Caso Amrhein y otros Vs. Costa Rica</w:t>
      </w:r>
      <w:r w:rsidR="00540544">
        <w:rPr>
          <w:rFonts w:asciiTheme="majorHAnsi" w:hAnsiTheme="majorHAnsi"/>
          <w:sz w:val="16"/>
          <w:szCs w:val="16"/>
          <w:lang w:val="es-US"/>
        </w:rPr>
        <w:t>,</w:t>
      </w:r>
      <w:r w:rsidRPr="006A7DCD">
        <w:rPr>
          <w:rFonts w:asciiTheme="majorHAnsi" w:hAnsiTheme="majorHAnsi"/>
          <w:sz w:val="16"/>
          <w:szCs w:val="16"/>
          <w:lang w:val="es-US"/>
        </w:rPr>
        <w:t xml:space="preserve"> Excepciones Preliminares, Fondo, Reparaciones y Costas</w:t>
      </w:r>
      <w:r w:rsidR="00540544">
        <w:rPr>
          <w:rFonts w:asciiTheme="majorHAnsi" w:hAnsiTheme="majorHAnsi"/>
          <w:sz w:val="16"/>
          <w:szCs w:val="16"/>
          <w:lang w:val="es-US"/>
        </w:rPr>
        <w:t>,</w:t>
      </w:r>
      <w:r w:rsidRPr="006A7DCD">
        <w:rPr>
          <w:rFonts w:asciiTheme="majorHAnsi" w:hAnsiTheme="majorHAnsi"/>
          <w:sz w:val="16"/>
          <w:szCs w:val="16"/>
          <w:lang w:val="es-US"/>
        </w:rPr>
        <w:t xml:space="preserve"> Sentencia de</w:t>
      </w:r>
      <w:r w:rsidR="00540544">
        <w:rPr>
          <w:rFonts w:asciiTheme="majorHAnsi" w:hAnsiTheme="majorHAnsi"/>
          <w:sz w:val="16"/>
          <w:szCs w:val="16"/>
          <w:lang w:val="es-US"/>
        </w:rPr>
        <w:t>l</w:t>
      </w:r>
      <w:r w:rsidRPr="006A7DCD">
        <w:rPr>
          <w:rFonts w:asciiTheme="majorHAnsi" w:hAnsiTheme="majorHAnsi"/>
          <w:sz w:val="16"/>
          <w:szCs w:val="16"/>
          <w:lang w:val="es-US"/>
        </w:rPr>
        <w:t xml:space="preserve"> 25 de abril de 2018</w:t>
      </w:r>
      <w:r w:rsidR="00540544">
        <w:rPr>
          <w:rFonts w:asciiTheme="majorHAnsi" w:hAnsiTheme="majorHAnsi"/>
          <w:sz w:val="16"/>
          <w:szCs w:val="16"/>
          <w:lang w:val="es-US"/>
        </w:rPr>
        <w:t>,</w:t>
      </w:r>
      <w:r w:rsidRPr="006A7DCD">
        <w:rPr>
          <w:rFonts w:asciiTheme="majorHAnsi" w:hAnsiTheme="majorHAnsi"/>
          <w:sz w:val="16"/>
          <w:szCs w:val="16"/>
          <w:lang w:val="es-US"/>
        </w:rPr>
        <w:t xml:space="preserve"> Serie C No. 354, párr. 262.</w:t>
      </w:r>
    </w:p>
  </w:footnote>
  <w:footnote w:id="8">
    <w:p w14:paraId="47E23466" w14:textId="617F3368" w:rsidR="00CD17F6" w:rsidRPr="004D0E62" w:rsidRDefault="00CD17F6" w:rsidP="00B54F0A">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32093F">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32093F">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C6291F">
        <w:rPr>
          <w:rFonts w:asciiTheme="majorHAnsi" w:hAnsiTheme="majorHAnsi"/>
          <w:sz w:val="16"/>
          <w:szCs w:val="16"/>
          <w:lang w:val="es-US"/>
        </w:rPr>
        <w:t>,</w:t>
      </w:r>
      <w:r w:rsidRPr="004D0E62">
        <w:rPr>
          <w:rFonts w:asciiTheme="majorHAnsi" w:hAnsiTheme="majorHAnsi"/>
          <w:sz w:val="16"/>
          <w:szCs w:val="16"/>
          <w:lang w:val="es-US"/>
        </w:rPr>
        <w:t xml:space="preserve"> Sentencia de</w:t>
      </w:r>
      <w:r w:rsidR="00C6291F">
        <w:rPr>
          <w:rFonts w:asciiTheme="majorHAnsi" w:hAnsiTheme="majorHAnsi"/>
          <w:sz w:val="16"/>
          <w:szCs w:val="16"/>
          <w:lang w:val="es-US"/>
        </w:rPr>
        <w:t>l</w:t>
      </w:r>
      <w:r w:rsidRPr="004D0E62">
        <w:rPr>
          <w:rFonts w:asciiTheme="majorHAnsi" w:hAnsiTheme="majorHAnsi"/>
          <w:sz w:val="16"/>
          <w:szCs w:val="16"/>
          <w:lang w:val="es-US"/>
        </w:rPr>
        <w:t xml:space="preserve"> 25 de abril de 2018</w:t>
      </w:r>
      <w:r w:rsidR="00C6291F">
        <w:rPr>
          <w:rFonts w:asciiTheme="majorHAnsi" w:hAnsiTheme="majorHAnsi"/>
          <w:sz w:val="16"/>
          <w:szCs w:val="16"/>
          <w:lang w:val="es-US"/>
        </w:rPr>
        <w:t>,</w:t>
      </w:r>
      <w:r w:rsidRPr="004D0E62">
        <w:rPr>
          <w:rFonts w:asciiTheme="majorHAnsi" w:hAnsiTheme="majorHAnsi"/>
          <w:sz w:val="16"/>
          <w:szCs w:val="16"/>
          <w:lang w:val="es-US"/>
        </w:rPr>
        <w:t xml:space="preserve"> Serie C No. 354, párr. 48. </w:t>
      </w:r>
    </w:p>
  </w:footnote>
  <w:footnote w:id="9">
    <w:p w14:paraId="4C0116DA" w14:textId="461A04CC" w:rsidR="00CD17F6" w:rsidRPr="008A508D" w:rsidRDefault="00CD17F6" w:rsidP="00B54F0A">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32093F">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32093F">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C6291F">
        <w:rPr>
          <w:rFonts w:asciiTheme="majorHAnsi" w:hAnsiTheme="majorHAnsi"/>
          <w:sz w:val="16"/>
          <w:szCs w:val="16"/>
          <w:lang w:val="es-US"/>
        </w:rPr>
        <w:t>,</w:t>
      </w:r>
      <w:r w:rsidRPr="004D0E62">
        <w:rPr>
          <w:rFonts w:asciiTheme="majorHAnsi" w:hAnsiTheme="majorHAnsi"/>
          <w:sz w:val="16"/>
          <w:szCs w:val="16"/>
          <w:lang w:val="es-US"/>
        </w:rPr>
        <w:t xml:space="preserve"> Sentencia de</w:t>
      </w:r>
      <w:r w:rsidR="00C6291F">
        <w:rPr>
          <w:rFonts w:asciiTheme="majorHAnsi" w:hAnsiTheme="majorHAnsi"/>
          <w:sz w:val="16"/>
          <w:szCs w:val="16"/>
          <w:lang w:val="es-US"/>
        </w:rPr>
        <w:t>l</w:t>
      </w:r>
      <w:r w:rsidRPr="004D0E62">
        <w:rPr>
          <w:rFonts w:asciiTheme="majorHAnsi" w:hAnsiTheme="majorHAnsi"/>
          <w:sz w:val="16"/>
          <w:szCs w:val="16"/>
          <w:lang w:val="es-US"/>
        </w:rPr>
        <w:t xml:space="preserve"> 25 de abril de 2018</w:t>
      </w:r>
      <w:r w:rsidR="00C6291F">
        <w:rPr>
          <w:rFonts w:asciiTheme="majorHAnsi" w:hAnsiTheme="majorHAnsi"/>
          <w:sz w:val="16"/>
          <w:szCs w:val="16"/>
          <w:lang w:val="es-US"/>
        </w:rPr>
        <w:t>,</w:t>
      </w:r>
      <w:r w:rsidRPr="004D0E62">
        <w:rPr>
          <w:rFonts w:asciiTheme="majorHAnsi" w:hAnsiTheme="majorHAnsi"/>
          <w:sz w:val="16"/>
          <w:szCs w:val="16"/>
          <w:lang w:val="es-US"/>
        </w:rPr>
        <w:t xml:space="preserve"> Serie C No. 354</w:t>
      </w:r>
      <w:r>
        <w:rPr>
          <w:rFonts w:asciiTheme="majorHAnsi" w:hAnsiTheme="majorHAnsi"/>
          <w:sz w:val="16"/>
          <w:szCs w:val="16"/>
          <w:lang w:val="es-US"/>
        </w:rPr>
        <w:t xml:space="preserve">, párr. 265. </w:t>
      </w:r>
    </w:p>
  </w:footnote>
  <w:footnote w:id="10">
    <w:p w14:paraId="60D69551" w14:textId="355D34D3" w:rsidR="00CD17F6" w:rsidRPr="00EE7817" w:rsidRDefault="00CD17F6" w:rsidP="00B54F0A">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667801">
        <w:rPr>
          <w:rFonts w:asciiTheme="majorHAnsi" w:hAnsiTheme="majorHAnsi"/>
          <w:sz w:val="16"/>
          <w:szCs w:val="16"/>
          <w:lang w:val="es-ES"/>
        </w:rPr>
        <w:t xml:space="preserve"> Corte IDH</w:t>
      </w:r>
      <w:r w:rsidR="0032093F" w:rsidRPr="00667801">
        <w:rPr>
          <w:rFonts w:asciiTheme="majorHAnsi" w:hAnsiTheme="majorHAnsi"/>
          <w:sz w:val="16"/>
          <w:szCs w:val="16"/>
          <w:lang w:val="es-ES"/>
        </w:rPr>
        <w:t>,</w:t>
      </w:r>
      <w:r w:rsidRPr="00667801">
        <w:rPr>
          <w:rFonts w:asciiTheme="majorHAnsi" w:hAnsiTheme="majorHAnsi"/>
          <w:sz w:val="16"/>
          <w:szCs w:val="16"/>
          <w:lang w:val="es-ES"/>
        </w:rPr>
        <w:t xml:space="preserve"> Caso Herrera Ulloa Vs. </w:t>
      </w:r>
      <w:r w:rsidRPr="00EE7817">
        <w:rPr>
          <w:rFonts w:asciiTheme="majorHAnsi" w:hAnsiTheme="majorHAnsi"/>
          <w:sz w:val="16"/>
          <w:szCs w:val="16"/>
          <w:lang w:val="es-US"/>
        </w:rPr>
        <w:t>Costa Rica</w:t>
      </w:r>
      <w:r w:rsidR="0032093F">
        <w:rPr>
          <w:rFonts w:asciiTheme="majorHAnsi" w:hAnsiTheme="majorHAnsi"/>
          <w:sz w:val="16"/>
          <w:szCs w:val="16"/>
          <w:lang w:val="es-US"/>
        </w:rPr>
        <w:t>,</w:t>
      </w:r>
      <w:r w:rsidRPr="00EE7817">
        <w:rPr>
          <w:rFonts w:asciiTheme="majorHAnsi" w:hAnsiTheme="majorHAnsi"/>
          <w:sz w:val="16"/>
          <w:szCs w:val="16"/>
          <w:lang w:val="es-US"/>
        </w:rPr>
        <w:t xml:space="preserve"> Supervisión de Cumplimiento de Sentencia</w:t>
      </w:r>
      <w:r w:rsidR="00C6291F">
        <w:rPr>
          <w:rFonts w:asciiTheme="majorHAnsi" w:hAnsiTheme="majorHAnsi"/>
          <w:sz w:val="16"/>
          <w:szCs w:val="16"/>
          <w:lang w:val="es-US"/>
        </w:rPr>
        <w:t>,</w:t>
      </w:r>
      <w:r w:rsidRPr="00EE7817">
        <w:rPr>
          <w:rFonts w:asciiTheme="majorHAnsi" w:hAnsiTheme="majorHAnsi"/>
          <w:sz w:val="16"/>
          <w:szCs w:val="16"/>
          <w:lang w:val="es-US"/>
        </w:rPr>
        <w:t xml:space="preserve">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30D37DE4" w:rsidR="00CD17F6" w:rsidRPr="00735708" w:rsidRDefault="00CD17F6" w:rsidP="00B54F0A">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CIDH</w:t>
      </w:r>
      <w:r w:rsidR="0032093F">
        <w:rPr>
          <w:rFonts w:ascii="Cambria" w:hAnsi="Cambria"/>
          <w:sz w:val="16"/>
          <w:szCs w:val="16"/>
          <w:lang w:val="es-ES"/>
        </w:rPr>
        <w:t>,</w:t>
      </w:r>
      <w:r w:rsidRPr="00FA73F6">
        <w:rPr>
          <w:rFonts w:ascii="Cambria" w:hAnsi="Cambria"/>
          <w:sz w:val="16"/>
          <w:szCs w:val="16"/>
          <w:lang w:val="es-ES"/>
        </w:rPr>
        <w:t xml:space="preserve"> Informe No. 33/14</w:t>
      </w:r>
      <w:r w:rsidR="0032093F">
        <w:rPr>
          <w:rFonts w:ascii="Cambria" w:hAnsi="Cambria"/>
          <w:sz w:val="16"/>
          <w:szCs w:val="16"/>
          <w:lang w:val="es-ES"/>
        </w:rPr>
        <w:t>,</w:t>
      </w:r>
      <w:r w:rsidRPr="00FA73F6">
        <w:rPr>
          <w:rFonts w:ascii="Cambria" w:hAnsi="Cambria"/>
          <w:sz w:val="16"/>
          <w:szCs w:val="16"/>
          <w:lang w:val="es-ES"/>
        </w:rPr>
        <w:t xml:space="preserve"> Caso 12.820</w:t>
      </w:r>
      <w:r w:rsidR="0032093F">
        <w:rPr>
          <w:rFonts w:ascii="Cambria" w:hAnsi="Cambria"/>
          <w:sz w:val="16"/>
          <w:szCs w:val="16"/>
          <w:lang w:val="es-ES"/>
        </w:rPr>
        <w:t>,</w:t>
      </w:r>
      <w:r w:rsidRPr="00FA73F6">
        <w:rPr>
          <w:rFonts w:ascii="Cambria" w:hAnsi="Cambria"/>
          <w:sz w:val="16"/>
          <w:szCs w:val="16"/>
          <w:lang w:val="es-ES"/>
        </w:rPr>
        <w:t xml:space="preserve"> Fondo. Manfred Amrhein y otros </w:t>
      </w:r>
      <w:r w:rsidR="0032093F">
        <w:rPr>
          <w:rFonts w:ascii="Cambria" w:hAnsi="Cambria"/>
          <w:sz w:val="16"/>
          <w:szCs w:val="16"/>
          <w:lang w:val="es-ES"/>
        </w:rPr>
        <w:t>(</w:t>
      </w:r>
      <w:r w:rsidRPr="00FA73F6">
        <w:rPr>
          <w:rFonts w:ascii="Cambria" w:hAnsi="Cambria"/>
          <w:sz w:val="16"/>
          <w:szCs w:val="16"/>
          <w:lang w:val="es-ES"/>
        </w:rPr>
        <w:t>Costa Rica</w:t>
      </w:r>
      <w:r w:rsidR="0032093F">
        <w:rPr>
          <w:rFonts w:ascii="Cambria" w:hAnsi="Cambria"/>
          <w:sz w:val="16"/>
          <w:szCs w:val="16"/>
          <w:lang w:val="es-ES"/>
        </w:rPr>
        <w:t>),</w:t>
      </w:r>
      <w:r w:rsidRPr="00FA73F6">
        <w:rPr>
          <w:rFonts w:ascii="Cambria" w:hAnsi="Cambria"/>
          <w:sz w:val="16"/>
          <w:szCs w:val="16"/>
          <w:lang w:val="es-ES"/>
        </w:rPr>
        <w:t xml:space="preserve"> 4 de abril de 2014</w:t>
      </w:r>
      <w:r w:rsidR="0032093F">
        <w:rPr>
          <w:rFonts w:ascii="Cambria" w:hAnsi="Cambria"/>
          <w:sz w:val="16"/>
          <w:szCs w:val="16"/>
          <w:lang w:val="es-ES"/>
        </w:rPr>
        <w:t>, p</w:t>
      </w:r>
      <w:r w:rsidRPr="00FA73F6">
        <w:rPr>
          <w:rFonts w:ascii="Cambria" w:hAnsi="Cambria"/>
          <w:sz w:val="16"/>
          <w:szCs w:val="16"/>
          <w:lang w:val="es-ES"/>
        </w:rPr>
        <w:t>árr</w:t>
      </w:r>
      <w:r w:rsidR="0032093F">
        <w:rPr>
          <w:rFonts w:ascii="Cambria" w:hAnsi="Cambria"/>
          <w:sz w:val="16"/>
          <w:szCs w:val="16"/>
          <w:lang w:val="es-ES"/>
        </w:rPr>
        <w:t>s</w:t>
      </w:r>
      <w:r w:rsidRPr="00FA73F6">
        <w:rPr>
          <w:rFonts w:ascii="Cambria" w:hAnsi="Cambria"/>
          <w:sz w:val="16"/>
          <w:szCs w:val="16"/>
          <w:lang w:val="es-ES"/>
        </w:rPr>
        <w:t xml:space="preserve">. 217 a 220. </w:t>
      </w:r>
    </w:p>
  </w:footnote>
  <w:footnote w:id="12">
    <w:p w14:paraId="48D30143" w14:textId="5C937066" w:rsidR="00CD17F6" w:rsidRPr="0032093F" w:rsidRDefault="00CD17F6" w:rsidP="00B54F0A">
      <w:pPr>
        <w:pStyle w:val="FootnoteText"/>
        <w:ind w:firstLine="720"/>
        <w:jc w:val="both"/>
        <w:rPr>
          <w:sz w:val="16"/>
          <w:szCs w:val="16"/>
          <w:lang w:val="es-US"/>
        </w:rPr>
      </w:pPr>
      <w:r w:rsidRPr="0032093F">
        <w:rPr>
          <w:rStyle w:val="FootnoteReference"/>
          <w:rFonts w:ascii="Cambria" w:hAnsi="Cambria"/>
          <w:sz w:val="16"/>
          <w:szCs w:val="16"/>
        </w:rPr>
        <w:footnoteRef/>
      </w:r>
      <w:r w:rsidRPr="0032093F">
        <w:rPr>
          <w:rFonts w:ascii="Cambria" w:hAnsi="Cambria"/>
          <w:sz w:val="16"/>
          <w:szCs w:val="16"/>
          <w:lang w:val="es-AR"/>
        </w:rPr>
        <w:t xml:space="preserve"> </w:t>
      </w:r>
      <w:r w:rsidRPr="0032093F">
        <w:rPr>
          <w:rFonts w:ascii="Cambria" w:hAnsi="Cambria"/>
          <w:bCs/>
          <w:sz w:val="16"/>
          <w:szCs w:val="16"/>
          <w:shd w:val="clear" w:color="auto" w:fill="FFFFFF"/>
          <w:lang w:val="es-ES"/>
        </w:rPr>
        <w:t>Corte IDH</w:t>
      </w:r>
      <w:r w:rsidR="0032093F" w:rsidRPr="0032093F">
        <w:rPr>
          <w:rFonts w:ascii="Cambria" w:hAnsi="Cambria"/>
          <w:bCs/>
          <w:sz w:val="16"/>
          <w:szCs w:val="16"/>
          <w:shd w:val="clear" w:color="auto" w:fill="FFFFFF"/>
          <w:lang w:val="es-ES"/>
        </w:rPr>
        <w:t>,</w:t>
      </w:r>
      <w:r w:rsidRPr="0032093F">
        <w:rPr>
          <w:rFonts w:ascii="Cambria" w:hAnsi="Cambria"/>
          <w:bCs/>
          <w:sz w:val="16"/>
          <w:szCs w:val="16"/>
          <w:shd w:val="clear" w:color="auto" w:fill="FFFFFF"/>
          <w:lang w:val="es-ES"/>
        </w:rPr>
        <w:t xml:space="preserve"> </w:t>
      </w:r>
      <w:r w:rsidRPr="008656B0">
        <w:rPr>
          <w:rFonts w:ascii="Cambria" w:hAnsi="Cambria"/>
          <w:bCs/>
          <w:sz w:val="16"/>
          <w:szCs w:val="16"/>
          <w:shd w:val="clear" w:color="auto" w:fill="FFFFFF"/>
          <w:lang w:val="es-ES"/>
        </w:rPr>
        <w:t>Caso Amrhein y otros Vs. Costa Rica</w:t>
      </w:r>
      <w:r w:rsidR="0032093F" w:rsidRPr="0032093F">
        <w:rPr>
          <w:rFonts w:ascii="Cambria" w:hAnsi="Cambria"/>
          <w:bCs/>
          <w:sz w:val="16"/>
          <w:szCs w:val="16"/>
          <w:shd w:val="clear" w:color="auto" w:fill="FFFFFF"/>
          <w:lang w:val="es-ES"/>
        </w:rPr>
        <w:t>,</w:t>
      </w:r>
      <w:r w:rsidRPr="0032093F">
        <w:rPr>
          <w:rFonts w:ascii="Cambria" w:hAnsi="Cambria"/>
          <w:bCs/>
          <w:sz w:val="16"/>
          <w:szCs w:val="16"/>
          <w:shd w:val="clear" w:color="auto" w:fill="FFFFFF"/>
          <w:lang w:val="es-ES"/>
        </w:rPr>
        <w:t xml:space="preserve"> Excepciones Preliminares, Fondo, Reparaciones y Costas</w:t>
      </w:r>
      <w:r w:rsidR="0032093F">
        <w:rPr>
          <w:rFonts w:ascii="Cambria" w:hAnsi="Cambria"/>
          <w:bCs/>
          <w:sz w:val="16"/>
          <w:szCs w:val="16"/>
          <w:shd w:val="clear" w:color="auto" w:fill="FFFFFF"/>
          <w:lang w:val="es-ES"/>
        </w:rPr>
        <w:t>,</w:t>
      </w:r>
      <w:r w:rsidRPr="0032093F">
        <w:rPr>
          <w:rFonts w:ascii="Cambria" w:hAnsi="Cambria"/>
          <w:bCs/>
          <w:sz w:val="16"/>
          <w:szCs w:val="16"/>
          <w:shd w:val="clear" w:color="auto" w:fill="FFFFFF"/>
          <w:lang w:val="es-ES"/>
        </w:rPr>
        <w:t xml:space="preserve"> </w:t>
      </w:r>
      <w:r w:rsidRPr="0032093F">
        <w:rPr>
          <w:rFonts w:ascii="Cambria" w:hAnsi="Cambria"/>
          <w:bCs/>
          <w:sz w:val="16"/>
          <w:szCs w:val="16"/>
          <w:shd w:val="clear" w:color="auto" w:fill="FFFFFF"/>
          <w:lang w:val="es-US"/>
        </w:rPr>
        <w:t>Sentencia de</w:t>
      </w:r>
      <w:r w:rsidR="0032093F">
        <w:rPr>
          <w:rFonts w:ascii="Cambria" w:hAnsi="Cambria"/>
          <w:bCs/>
          <w:sz w:val="16"/>
          <w:szCs w:val="16"/>
          <w:shd w:val="clear" w:color="auto" w:fill="FFFFFF"/>
          <w:lang w:val="es-US"/>
        </w:rPr>
        <w:t>l</w:t>
      </w:r>
      <w:r w:rsidRPr="0032093F">
        <w:rPr>
          <w:rFonts w:ascii="Cambria" w:hAnsi="Cambria"/>
          <w:bCs/>
          <w:sz w:val="16"/>
          <w:szCs w:val="16"/>
          <w:shd w:val="clear" w:color="auto" w:fill="FFFFFF"/>
          <w:lang w:val="es-US"/>
        </w:rPr>
        <w:t xml:space="preserve"> 25 de abril de 2018</w:t>
      </w:r>
      <w:r w:rsidR="0032093F">
        <w:rPr>
          <w:rFonts w:ascii="Cambria" w:hAnsi="Cambria"/>
          <w:bCs/>
          <w:sz w:val="16"/>
          <w:szCs w:val="16"/>
          <w:shd w:val="clear" w:color="auto" w:fill="FFFFFF"/>
          <w:lang w:val="es-US"/>
        </w:rPr>
        <w:t>,</w:t>
      </w:r>
      <w:r w:rsidRPr="0032093F">
        <w:rPr>
          <w:rFonts w:ascii="Cambria" w:hAnsi="Cambria"/>
          <w:bCs/>
          <w:sz w:val="16"/>
          <w:szCs w:val="16"/>
          <w:shd w:val="clear" w:color="auto" w:fill="FFFFFF"/>
          <w:lang w:val="es-US"/>
        </w:rPr>
        <w:t xml:space="preserve"> Serie C No. 354</w:t>
      </w:r>
      <w:r w:rsidR="0032093F">
        <w:rPr>
          <w:rFonts w:ascii="Cambria" w:hAnsi="Cambria"/>
          <w:bCs/>
          <w:sz w:val="16"/>
          <w:szCs w:val="16"/>
          <w:shd w:val="clear" w:color="auto" w:fill="FFFFFF"/>
          <w:lang w:val="es-US"/>
        </w:rPr>
        <w:t>,</w:t>
      </w:r>
      <w:r w:rsidRPr="0032093F">
        <w:rPr>
          <w:rFonts w:ascii="Cambria" w:hAnsi="Cambria"/>
          <w:bCs/>
          <w:sz w:val="16"/>
          <w:szCs w:val="16"/>
          <w:shd w:val="clear" w:color="auto" w:fill="FFFFFF"/>
          <w:lang w:val="es-US"/>
        </w:rPr>
        <w:t xml:space="preserve"> </w:t>
      </w:r>
      <w:r w:rsidR="0032093F">
        <w:rPr>
          <w:rFonts w:ascii="Cambria" w:hAnsi="Cambria"/>
          <w:bCs/>
          <w:sz w:val="16"/>
          <w:szCs w:val="16"/>
          <w:shd w:val="clear" w:color="auto" w:fill="FFFFFF"/>
          <w:lang w:val="es-US"/>
        </w:rPr>
        <w:t>p</w:t>
      </w:r>
      <w:r w:rsidRPr="0032093F">
        <w:rPr>
          <w:rFonts w:ascii="Cambria" w:hAnsi="Cambria"/>
          <w:bCs/>
          <w:sz w:val="16"/>
          <w:szCs w:val="16"/>
          <w:shd w:val="clear" w:color="auto" w:fill="FFFFFF"/>
          <w:lang w:val="es-US"/>
        </w:rPr>
        <w:t>árr. 260.</w:t>
      </w:r>
    </w:p>
  </w:footnote>
  <w:footnote w:id="13">
    <w:p w14:paraId="61E44440" w14:textId="5F21D277" w:rsidR="00CD17F6" w:rsidRPr="00C70A03" w:rsidRDefault="00CD17F6" w:rsidP="00B54F0A">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Corte IDH</w:t>
      </w:r>
      <w:r w:rsidR="00DD58BD">
        <w:rPr>
          <w:rFonts w:ascii="Cambria" w:hAnsi="Cambria"/>
          <w:bCs/>
          <w:sz w:val="16"/>
          <w:szCs w:val="16"/>
          <w:shd w:val="clear" w:color="auto" w:fill="FFFFFF"/>
          <w:lang w:val="es-ES"/>
        </w:rPr>
        <w:t>,</w:t>
      </w:r>
      <w:r w:rsidRPr="00534D20">
        <w:rPr>
          <w:rFonts w:ascii="Cambria" w:hAnsi="Cambria"/>
          <w:bCs/>
          <w:sz w:val="16"/>
          <w:szCs w:val="16"/>
          <w:shd w:val="clear" w:color="auto" w:fill="FFFFFF"/>
          <w:lang w:val="es-ES"/>
        </w:rPr>
        <w:t xml:space="preserve"> </w:t>
      </w:r>
      <w:r w:rsidRPr="00534D20">
        <w:rPr>
          <w:rFonts w:ascii="Cambria" w:hAnsi="Cambria"/>
          <w:bCs/>
          <w:i/>
          <w:sz w:val="16"/>
          <w:szCs w:val="16"/>
          <w:shd w:val="clear" w:color="auto" w:fill="FFFFFF"/>
          <w:lang w:val="es-ES"/>
        </w:rPr>
        <w:t>Caso Amrhein y otros Vs. Costa Rica</w:t>
      </w:r>
      <w:r w:rsidR="00DD58BD">
        <w:rPr>
          <w:rFonts w:ascii="Cambria" w:hAnsi="Cambria"/>
          <w:bCs/>
          <w:sz w:val="16"/>
          <w:szCs w:val="16"/>
          <w:shd w:val="clear" w:color="auto" w:fill="FFFFFF"/>
          <w:lang w:val="es-ES"/>
        </w:rPr>
        <w:t>,</w:t>
      </w:r>
      <w:r w:rsidRPr="00534D20">
        <w:rPr>
          <w:rFonts w:ascii="Cambria" w:hAnsi="Cambria"/>
          <w:bCs/>
          <w:sz w:val="16"/>
          <w:szCs w:val="16"/>
          <w:shd w:val="clear" w:color="auto" w:fill="FFFFFF"/>
          <w:lang w:val="es-ES"/>
        </w:rPr>
        <w:t xml:space="preserve"> Excepciones Preliminares, Fondo, Reparaciones y Costas</w:t>
      </w:r>
      <w:r w:rsidR="00DD58BD">
        <w:rPr>
          <w:rFonts w:ascii="Cambria" w:hAnsi="Cambria"/>
          <w:bCs/>
          <w:sz w:val="16"/>
          <w:szCs w:val="16"/>
          <w:shd w:val="clear" w:color="auto" w:fill="FFFFFF"/>
          <w:lang w:val="es-ES"/>
        </w:rPr>
        <w:t>,</w:t>
      </w:r>
      <w:r w:rsidRPr="00534D20">
        <w:rPr>
          <w:rFonts w:ascii="Cambria" w:hAnsi="Cambria"/>
          <w:bCs/>
          <w:sz w:val="16"/>
          <w:szCs w:val="16"/>
          <w:shd w:val="clear" w:color="auto" w:fill="FFFFFF"/>
          <w:lang w:val="es-ES"/>
        </w:rPr>
        <w:t xml:space="preserve"> Sentencia de</w:t>
      </w:r>
      <w:r w:rsidR="00DD58BD">
        <w:rPr>
          <w:rFonts w:ascii="Cambria" w:hAnsi="Cambria"/>
          <w:bCs/>
          <w:sz w:val="16"/>
          <w:szCs w:val="16"/>
          <w:shd w:val="clear" w:color="auto" w:fill="FFFFFF"/>
          <w:lang w:val="es-ES"/>
        </w:rPr>
        <w:t>l</w:t>
      </w:r>
      <w:r w:rsidRPr="00534D20">
        <w:rPr>
          <w:rFonts w:ascii="Cambria" w:hAnsi="Cambria"/>
          <w:bCs/>
          <w:sz w:val="16"/>
          <w:szCs w:val="16"/>
          <w:shd w:val="clear" w:color="auto" w:fill="FFFFFF"/>
          <w:lang w:val="es-ES"/>
        </w:rPr>
        <w:t xml:space="preserve"> 25 de abril de </w:t>
      </w:r>
      <w:r w:rsidRPr="00090967">
        <w:rPr>
          <w:rFonts w:ascii="Cambria" w:hAnsi="Cambria"/>
          <w:bCs/>
          <w:sz w:val="16"/>
          <w:szCs w:val="16"/>
          <w:shd w:val="clear" w:color="auto" w:fill="FFFFFF"/>
          <w:lang w:val="es-ES"/>
        </w:rPr>
        <w:t>2018</w:t>
      </w:r>
      <w:r w:rsidR="00DD58BD">
        <w:rPr>
          <w:rFonts w:ascii="Cambria" w:hAnsi="Cambria"/>
          <w:bCs/>
          <w:sz w:val="16"/>
          <w:szCs w:val="16"/>
          <w:shd w:val="clear" w:color="auto" w:fill="FFFFFF"/>
          <w:lang w:val="es-ES"/>
        </w:rPr>
        <w:t>,</w:t>
      </w:r>
      <w:r w:rsidRPr="00090967">
        <w:rPr>
          <w:rFonts w:ascii="Cambria" w:hAnsi="Cambria"/>
          <w:bCs/>
          <w:sz w:val="16"/>
          <w:szCs w:val="16"/>
          <w:shd w:val="clear" w:color="auto" w:fill="FFFFFF"/>
          <w:lang w:val="es-ES"/>
        </w:rPr>
        <w:t xml:space="preserve"> Serie </w:t>
      </w:r>
      <w:r w:rsidRPr="0013395A">
        <w:rPr>
          <w:rFonts w:asciiTheme="majorHAnsi" w:hAnsiTheme="majorHAnsi"/>
          <w:bCs/>
          <w:sz w:val="16"/>
          <w:szCs w:val="16"/>
          <w:shd w:val="clear" w:color="auto" w:fill="FFFFFF"/>
          <w:lang w:val="es-ES"/>
        </w:rPr>
        <w:t>C No. 354</w:t>
      </w:r>
      <w:r w:rsidR="00DD58BD">
        <w:rPr>
          <w:rFonts w:asciiTheme="majorHAnsi" w:hAnsiTheme="majorHAnsi"/>
          <w:bCs/>
          <w:sz w:val="16"/>
          <w:szCs w:val="16"/>
          <w:shd w:val="clear" w:color="auto" w:fill="FFFFFF"/>
          <w:lang w:val="es-ES"/>
        </w:rPr>
        <w:t>,</w:t>
      </w:r>
      <w:r w:rsidRPr="0013395A">
        <w:rPr>
          <w:rFonts w:asciiTheme="majorHAnsi" w:hAnsiTheme="majorHAnsi"/>
          <w:bCs/>
          <w:sz w:val="16"/>
          <w:szCs w:val="16"/>
          <w:shd w:val="clear" w:color="auto" w:fill="FFFFFF"/>
          <w:lang w:val="es-ES"/>
        </w:rPr>
        <w:t xml:space="preserve"> </w:t>
      </w:r>
      <w:r w:rsidR="00DD58BD">
        <w:rPr>
          <w:rFonts w:asciiTheme="majorHAnsi" w:hAnsiTheme="majorHAnsi"/>
          <w:bCs/>
          <w:sz w:val="16"/>
          <w:szCs w:val="16"/>
          <w:shd w:val="clear" w:color="auto" w:fill="FFFFFF"/>
          <w:lang w:val="es-ES"/>
        </w:rPr>
        <w:t>p</w:t>
      </w:r>
      <w:r w:rsidRPr="0013395A">
        <w:rPr>
          <w:rFonts w:asciiTheme="majorHAnsi" w:hAnsiTheme="majorHAnsi"/>
          <w:bCs/>
          <w:sz w:val="16"/>
          <w:szCs w:val="16"/>
          <w:shd w:val="clear" w:color="auto" w:fill="FFFFFF"/>
          <w:lang w:val="es-ES"/>
        </w:rPr>
        <w:t xml:space="preserve">árr. </w:t>
      </w:r>
      <w:r w:rsidRPr="00C70A03">
        <w:rPr>
          <w:rFonts w:asciiTheme="majorHAnsi" w:hAnsiTheme="majorHAnsi"/>
          <w:bCs/>
          <w:color w:val="auto"/>
          <w:sz w:val="16"/>
          <w:szCs w:val="16"/>
          <w:shd w:val="clear" w:color="auto" w:fill="FFFFFF"/>
          <w:lang w:val="es-ES"/>
        </w:rPr>
        <w:t xml:space="preserve">266. </w:t>
      </w:r>
    </w:p>
  </w:footnote>
  <w:footnote w:id="14">
    <w:p w14:paraId="41D27825" w14:textId="0C3C7895" w:rsidR="00FC2CA6" w:rsidRPr="00C70A03" w:rsidRDefault="00FC2CA6" w:rsidP="00B54F0A">
      <w:pPr>
        <w:pStyle w:val="FootnoteText"/>
        <w:ind w:firstLine="720"/>
        <w:jc w:val="both"/>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w:t>
      </w:r>
      <w:r w:rsidR="0033332A">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Admisibilidad. Carlos Manuel Veraza Ustusuástegui</w:t>
      </w:r>
      <w:r w:rsidR="0033332A">
        <w:rPr>
          <w:rFonts w:asciiTheme="majorHAnsi" w:hAnsiTheme="majorHAnsi"/>
          <w:color w:val="auto"/>
          <w:sz w:val="16"/>
          <w:szCs w:val="16"/>
          <w:lang w:val="es-US"/>
        </w:rPr>
        <w:t xml:space="preserve"> (</w:t>
      </w:r>
      <w:r w:rsidRPr="00C70A03">
        <w:rPr>
          <w:rFonts w:asciiTheme="majorHAnsi" w:hAnsiTheme="majorHAnsi"/>
          <w:color w:val="auto"/>
          <w:sz w:val="16"/>
          <w:szCs w:val="16"/>
          <w:lang w:val="es-US"/>
        </w:rPr>
        <w:t>México</w:t>
      </w:r>
      <w:r w:rsidR="0033332A">
        <w:rPr>
          <w:rFonts w:asciiTheme="majorHAnsi" w:hAnsiTheme="majorHAnsi"/>
          <w:color w:val="auto"/>
          <w:sz w:val="16"/>
          <w:szCs w:val="16"/>
          <w:lang w:val="es-US"/>
        </w:rPr>
        <w:t xml:space="preserve">), </w:t>
      </w:r>
      <w:r w:rsidRPr="00C70A03">
        <w:rPr>
          <w:rFonts w:asciiTheme="majorHAnsi" w:hAnsiTheme="majorHAnsi"/>
          <w:color w:val="auto"/>
          <w:sz w:val="16"/>
          <w:szCs w:val="16"/>
          <w:lang w:val="es-US"/>
        </w:rPr>
        <w:t>29 de julio de 2016, párr. 33.</w:t>
      </w:r>
    </w:p>
  </w:footnote>
  <w:footnote w:id="15">
    <w:p w14:paraId="2C8D4203" w14:textId="06A8D911" w:rsidR="00B674C3" w:rsidRPr="001272CB" w:rsidRDefault="00B674C3" w:rsidP="00B54F0A">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667801">
        <w:rPr>
          <w:rFonts w:asciiTheme="majorHAnsi" w:hAnsiTheme="majorHAnsi"/>
          <w:sz w:val="16"/>
          <w:szCs w:val="16"/>
          <w:lang w:val="es-ES"/>
        </w:rPr>
        <w:t xml:space="preserve"> </w:t>
      </w:r>
      <w:r w:rsidRPr="00667801">
        <w:rPr>
          <w:rFonts w:asciiTheme="majorHAnsi" w:hAnsiTheme="majorHAnsi"/>
          <w:bCs/>
          <w:sz w:val="16"/>
          <w:szCs w:val="16"/>
          <w:shd w:val="clear" w:color="auto" w:fill="FFFFFF"/>
          <w:lang w:val="es-ES"/>
        </w:rPr>
        <w:t>Corte IDH</w:t>
      </w:r>
      <w:r w:rsidR="00E71274" w:rsidRPr="00667801">
        <w:rPr>
          <w:rFonts w:asciiTheme="majorHAnsi" w:hAnsiTheme="majorHAnsi"/>
          <w:bCs/>
          <w:sz w:val="16"/>
          <w:szCs w:val="16"/>
          <w:shd w:val="clear" w:color="auto" w:fill="FFFFFF"/>
          <w:lang w:val="es-ES"/>
        </w:rPr>
        <w:t>,</w:t>
      </w:r>
      <w:r w:rsidRPr="00667801">
        <w:rPr>
          <w:rFonts w:asciiTheme="majorHAnsi" w:hAnsiTheme="majorHAnsi"/>
          <w:bCs/>
          <w:sz w:val="16"/>
          <w:szCs w:val="16"/>
          <w:shd w:val="clear" w:color="auto" w:fill="FFFFFF"/>
          <w:lang w:val="es-ES"/>
        </w:rPr>
        <w:t xml:space="preserve"> Caso Herrera Ulloa Vs. </w:t>
      </w:r>
      <w:r w:rsidRPr="001272CB">
        <w:rPr>
          <w:rFonts w:asciiTheme="majorHAnsi" w:hAnsiTheme="majorHAnsi"/>
          <w:bCs/>
          <w:sz w:val="16"/>
          <w:szCs w:val="16"/>
          <w:shd w:val="clear" w:color="auto" w:fill="FFFFFF"/>
          <w:lang w:val="es-PE"/>
        </w:rPr>
        <w:t>Costa Rica</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Excepciones Preliminares, Fondo, Reparaciones y Costas</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Sentencia de</w:t>
      </w:r>
      <w:r w:rsidR="0001456A">
        <w:rPr>
          <w:rFonts w:asciiTheme="majorHAnsi" w:hAnsiTheme="majorHAnsi"/>
          <w:bCs/>
          <w:sz w:val="16"/>
          <w:szCs w:val="16"/>
          <w:shd w:val="clear" w:color="auto" w:fill="FFFFFF"/>
          <w:lang w:val="es-PE"/>
        </w:rPr>
        <w:t>l</w:t>
      </w:r>
      <w:r w:rsidRPr="001272CB">
        <w:rPr>
          <w:rFonts w:asciiTheme="majorHAnsi" w:hAnsiTheme="majorHAnsi"/>
          <w:bCs/>
          <w:sz w:val="16"/>
          <w:szCs w:val="16"/>
          <w:shd w:val="clear" w:color="auto" w:fill="FFFFFF"/>
          <w:lang w:val="es-PE"/>
        </w:rPr>
        <w:t xml:space="preserve"> 2 de julio de 2004</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Serie C No. 107</w:t>
      </w:r>
      <w:r w:rsidR="0001456A">
        <w:rPr>
          <w:rFonts w:asciiTheme="majorHAnsi" w:hAnsiTheme="majorHAnsi"/>
          <w:bCs/>
          <w:sz w:val="16"/>
          <w:szCs w:val="16"/>
          <w:shd w:val="clear" w:color="auto" w:fill="FFFFFF"/>
          <w:lang w:val="es-PE"/>
        </w:rPr>
        <w:t>, p</w:t>
      </w:r>
      <w:r w:rsidRPr="001272CB">
        <w:rPr>
          <w:rFonts w:asciiTheme="majorHAnsi" w:hAnsiTheme="majorHAnsi"/>
          <w:bCs/>
          <w:sz w:val="16"/>
          <w:szCs w:val="16"/>
          <w:shd w:val="clear" w:color="auto" w:fill="FFFFFF"/>
          <w:lang w:val="es-PE"/>
        </w:rPr>
        <w:t>árr</w:t>
      </w:r>
      <w:r w:rsidR="0001456A">
        <w:rPr>
          <w:rFonts w:asciiTheme="majorHAnsi" w:hAnsiTheme="majorHAnsi"/>
          <w:bCs/>
          <w:sz w:val="16"/>
          <w:szCs w:val="16"/>
          <w:shd w:val="clear" w:color="auto" w:fill="FFFFFF"/>
          <w:lang w:val="es-PE"/>
        </w:rPr>
        <w:t>s</w:t>
      </w:r>
      <w:r w:rsidRPr="001272CB">
        <w:rPr>
          <w:rFonts w:asciiTheme="majorHAnsi" w:hAnsiTheme="majorHAnsi"/>
          <w:bCs/>
          <w:sz w:val="16"/>
          <w:szCs w:val="16"/>
          <w:shd w:val="clear" w:color="auto" w:fill="FFFFFF"/>
          <w:lang w:val="es-PE"/>
        </w:rPr>
        <w:t>. 158 a 161; Corte IDH</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Caso Mendoza y otros Vs. Argentina</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Excepciones Preliminares, Fondo y Reparaciones</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Sentencia de</w:t>
      </w:r>
      <w:r w:rsidR="0001456A">
        <w:rPr>
          <w:rFonts w:asciiTheme="majorHAnsi" w:hAnsiTheme="majorHAnsi"/>
          <w:bCs/>
          <w:sz w:val="16"/>
          <w:szCs w:val="16"/>
          <w:shd w:val="clear" w:color="auto" w:fill="FFFFFF"/>
          <w:lang w:val="es-PE"/>
        </w:rPr>
        <w:t>l</w:t>
      </w:r>
      <w:r w:rsidRPr="001272CB">
        <w:rPr>
          <w:rFonts w:asciiTheme="majorHAnsi" w:hAnsiTheme="majorHAnsi"/>
          <w:bCs/>
          <w:sz w:val="16"/>
          <w:szCs w:val="16"/>
          <w:shd w:val="clear" w:color="auto" w:fill="FFFFFF"/>
          <w:lang w:val="es-PE"/>
        </w:rPr>
        <w:t xml:space="preserve"> 14 de mayo de 2013</w:t>
      </w:r>
      <w:r w:rsidR="0001456A">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Serie C No. 260</w:t>
      </w:r>
      <w:r w:rsidR="00267EF3">
        <w:rPr>
          <w:rFonts w:asciiTheme="majorHAnsi" w:hAnsiTheme="majorHAnsi"/>
          <w:bCs/>
          <w:sz w:val="16"/>
          <w:szCs w:val="16"/>
          <w:shd w:val="clear" w:color="auto" w:fill="FFFFFF"/>
          <w:lang w:val="es-PE"/>
        </w:rPr>
        <w:t>, p</w:t>
      </w:r>
      <w:r w:rsidRPr="001272CB">
        <w:rPr>
          <w:rFonts w:asciiTheme="majorHAnsi" w:hAnsiTheme="majorHAnsi"/>
          <w:bCs/>
          <w:sz w:val="16"/>
          <w:szCs w:val="16"/>
          <w:shd w:val="clear" w:color="auto" w:fill="FFFFFF"/>
          <w:lang w:val="es-PE"/>
        </w:rPr>
        <w:t xml:space="preserve">árr. 242. </w:t>
      </w:r>
      <w:r w:rsidRPr="001272CB">
        <w:rPr>
          <w:rFonts w:asciiTheme="majorHAnsi" w:hAnsiTheme="majorHAnsi"/>
          <w:sz w:val="16"/>
          <w:szCs w:val="16"/>
          <w:lang w:val="es-PE"/>
        </w:rPr>
        <w:t xml:space="preserve"> </w:t>
      </w:r>
    </w:p>
  </w:footnote>
  <w:footnote w:id="16">
    <w:p w14:paraId="422A3A1E" w14:textId="32275D06" w:rsidR="00B674C3" w:rsidRPr="001272CB" w:rsidRDefault="00B674C3" w:rsidP="00B54F0A">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8656B0">
        <w:rPr>
          <w:rFonts w:asciiTheme="majorHAnsi" w:hAnsiTheme="majorHAnsi"/>
          <w:sz w:val="16"/>
          <w:szCs w:val="16"/>
          <w:lang w:val="es-ES"/>
        </w:rPr>
        <w:t xml:space="preserve"> </w:t>
      </w:r>
      <w:r w:rsidRPr="008656B0">
        <w:rPr>
          <w:rFonts w:asciiTheme="majorHAnsi" w:hAnsiTheme="majorHAnsi" w:cs="Calibri"/>
          <w:sz w:val="16"/>
          <w:szCs w:val="16"/>
          <w:lang w:val="es-ES"/>
        </w:rPr>
        <w:t xml:space="preserve">Corte IDH, </w:t>
      </w:r>
      <w:r w:rsidRPr="008656B0">
        <w:rPr>
          <w:rFonts w:asciiTheme="majorHAnsi" w:hAnsiTheme="majorHAnsi" w:cs="Calibri"/>
          <w:iCs/>
          <w:sz w:val="16"/>
          <w:szCs w:val="16"/>
          <w:lang w:val="es-ES"/>
        </w:rPr>
        <w:t xml:space="preserve">Caso Herrera Ulloa Vs. </w:t>
      </w:r>
      <w:r w:rsidRPr="001272CB">
        <w:rPr>
          <w:rFonts w:asciiTheme="majorHAnsi" w:hAnsiTheme="majorHAnsi" w:cs="Calibri"/>
          <w:iCs/>
          <w:sz w:val="16"/>
          <w:szCs w:val="16"/>
          <w:lang w:val="es-PE"/>
        </w:rPr>
        <w:t>Costa Rica</w:t>
      </w:r>
      <w:r w:rsidR="008016D6">
        <w:rPr>
          <w:rFonts w:asciiTheme="majorHAnsi" w:hAnsiTheme="majorHAnsi" w:cs="Calibri"/>
          <w:sz w:val="16"/>
          <w:szCs w:val="16"/>
          <w:lang w:val="es-PE"/>
        </w:rPr>
        <w:t>,</w:t>
      </w:r>
      <w:r w:rsidRPr="001272CB">
        <w:rPr>
          <w:rFonts w:asciiTheme="majorHAnsi" w:hAnsiTheme="majorHAnsi" w:cs="Calibri"/>
          <w:sz w:val="16"/>
          <w:szCs w:val="16"/>
          <w:lang w:val="es-PE"/>
        </w:rPr>
        <w:t xml:space="preserve"> Sentencia de Excepciones Preliminares, Fondo, Reparaciones y Costas</w:t>
      </w:r>
      <w:r w:rsidR="008016D6">
        <w:rPr>
          <w:rFonts w:asciiTheme="majorHAnsi" w:hAnsiTheme="majorHAnsi" w:cs="Calibri"/>
          <w:sz w:val="16"/>
          <w:szCs w:val="16"/>
          <w:lang w:val="es-PE"/>
        </w:rPr>
        <w:t>,</w:t>
      </w:r>
      <w:r w:rsidRPr="001272CB">
        <w:rPr>
          <w:rFonts w:asciiTheme="majorHAnsi" w:hAnsiTheme="majorHAnsi" w:cs="Calibri"/>
          <w:sz w:val="16"/>
          <w:szCs w:val="16"/>
          <w:lang w:val="es-PE"/>
        </w:rPr>
        <w:t xml:space="preserve"> 2 de julio de 2004</w:t>
      </w:r>
      <w:r w:rsidR="008016D6">
        <w:rPr>
          <w:rFonts w:asciiTheme="majorHAnsi" w:hAnsiTheme="majorHAnsi" w:cs="Calibri"/>
          <w:sz w:val="16"/>
          <w:szCs w:val="16"/>
          <w:lang w:val="es-PE"/>
        </w:rPr>
        <w:t>,</w:t>
      </w:r>
      <w:r w:rsidRPr="001272CB">
        <w:rPr>
          <w:rFonts w:asciiTheme="majorHAnsi" w:hAnsiTheme="majorHAnsi" w:cs="Calibri"/>
          <w:sz w:val="16"/>
          <w:szCs w:val="16"/>
          <w:lang w:val="es-PE"/>
        </w:rPr>
        <w:t xml:space="preserve"> Serie C No. 107, párr. 165; ONU, Comité́ de Derechos Humanos. </w:t>
      </w:r>
      <w:r w:rsidRPr="001272CB">
        <w:rPr>
          <w:rFonts w:asciiTheme="majorHAnsi" w:hAnsiTheme="majorHAnsi" w:cs="Calibri"/>
          <w:iCs/>
          <w:sz w:val="16"/>
          <w:szCs w:val="16"/>
          <w:lang w:val="es-PE"/>
        </w:rPr>
        <w:t>Gómez Vázquez v. España</w:t>
      </w:r>
      <w:r w:rsidR="008016D6">
        <w:rPr>
          <w:rFonts w:asciiTheme="majorHAnsi" w:hAnsiTheme="majorHAnsi" w:cs="Calibri"/>
          <w:sz w:val="16"/>
          <w:szCs w:val="16"/>
          <w:lang w:val="es-PE"/>
        </w:rPr>
        <w:t>,</w:t>
      </w:r>
      <w:r w:rsidRPr="001272CB">
        <w:rPr>
          <w:rFonts w:asciiTheme="majorHAnsi" w:hAnsiTheme="majorHAnsi" w:cs="Calibri"/>
          <w:sz w:val="16"/>
          <w:szCs w:val="16"/>
          <w:lang w:val="es-PE"/>
        </w:rPr>
        <w:t xml:space="preserve"> Comunicación No. 701/1996</w:t>
      </w:r>
      <w:r w:rsidR="008016D6">
        <w:rPr>
          <w:rFonts w:asciiTheme="majorHAnsi" w:hAnsiTheme="majorHAnsi" w:cs="Calibri"/>
          <w:sz w:val="16"/>
          <w:szCs w:val="16"/>
          <w:lang w:val="es-PE"/>
        </w:rPr>
        <w:t>,</w:t>
      </w:r>
      <w:r w:rsidRPr="001272CB">
        <w:rPr>
          <w:rFonts w:asciiTheme="majorHAnsi" w:hAnsiTheme="majorHAnsi" w:cs="Calibri"/>
          <w:sz w:val="16"/>
          <w:szCs w:val="16"/>
          <w:lang w:val="es-PE"/>
        </w:rPr>
        <w:t xml:space="preserve"> Decisión de</w:t>
      </w:r>
      <w:r w:rsidR="008016D6">
        <w:rPr>
          <w:rFonts w:asciiTheme="majorHAnsi" w:hAnsiTheme="majorHAnsi" w:cs="Calibri"/>
          <w:sz w:val="16"/>
          <w:szCs w:val="16"/>
          <w:lang w:val="es-PE"/>
        </w:rPr>
        <w:t>l</w:t>
      </w:r>
      <w:r w:rsidRPr="001272CB">
        <w:rPr>
          <w:rFonts w:asciiTheme="majorHAnsi" w:hAnsiTheme="majorHAnsi" w:cs="Calibri"/>
          <w:sz w:val="16"/>
          <w:szCs w:val="16"/>
          <w:lang w:val="es-PE"/>
        </w:rPr>
        <w:t xml:space="preserve"> 11 de agosto de 2000, párr. 11.1. </w:t>
      </w:r>
    </w:p>
  </w:footnote>
  <w:footnote w:id="17">
    <w:p w14:paraId="6904603F" w14:textId="1D701B2B" w:rsidR="00B674C3" w:rsidRPr="001272CB" w:rsidRDefault="00B674C3" w:rsidP="00B54F0A">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667801">
        <w:rPr>
          <w:rFonts w:asciiTheme="majorHAnsi" w:hAnsiTheme="majorHAnsi"/>
          <w:sz w:val="16"/>
          <w:szCs w:val="16"/>
          <w:lang w:val="es-ES"/>
        </w:rPr>
        <w:t xml:space="preserve"> Corte IDH, </w:t>
      </w:r>
      <w:r w:rsidRPr="00667801">
        <w:rPr>
          <w:rFonts w:asciiTheme="majorHAnsi" w:hAnsiTheme="majorHAnsi"/>
          <w:iCs/>
          <w:sz w:val="16"/>
          <w:szCs w:val="16"/>
          <w:lang w:val="es-ES"/>
        </w:rPr>
        <w:t xml:space="preserve">Caso Herrera Ulloa Vs. </w:t>
      </w:r>
      <w:r w:rsidRPr="001272CB">
        <w:rPr>
          <w:rFonts w:asciiTheme="majorHAnsi" w:hAnsiTheme="majorHAnsi"/>
          <w:iCs/>
          <w:sz w:val="16"/>
          <w:szCs w:val="16"/>
          <w:lang w:val="es-PE"/>
        </w:rPr>
        <w:t>Costa Rica</w:t>
      </w:r>
      <w:r w:rsidR="008F6881">
        <w:rPr>
          <w:rFonts w:asciiTheme="majorHAnsi" w:hAnsiTheme="majorHAnsi"/>
          <w:sz w:val="16"/>
          <w:szCs w:val="16"/>
          <w:lang w:val="es-PE"/>
        </w:rPr>
        <w:t>,</w:t>
      </w:r>
      <w:r w:rsidRPr="001272CB">
        <w:rPr>
          <w:rFonts w:asciiTheme="majorHAnsi" w:hAnsiTheme="majorHAnsi"/>
          <w:sz w:val="16"/>
          <w:szCs w:val="16"/>
          <w:lang w:val="es-PE"/>
        </w:rPr>
        <w:t xml:space="preserve"> Sentencia de Excepciones Preliminares, Fondo, Reparaciones y Costas</w:t>
      </w:r>
      <w:r w:rsidR="00C56F11">
        <w:rPr>
          <w:rFonts w:asciiTheme="majorHAnsi" w:hAnsiTheme="majorHAnsi"/>
          <w:sz w:val="16"/>
          <w:szCs w:val="16"/>
          <w:lang w:val="es-PE"/>
        </w:rPr>
        <w:t>,</w:t>
      </w:r>
      <w:r w:rsidRPr="001272CB">
        <w:rPr>
          <w:rFonts w:asciiTheme="majorHAnsi" w:hAnsiTheme="majorHAnsi"/>
          <w:sz w:val="16"/>
          <w:szCs w:val="16"/>
          <w:lang w:val="es-PE"/>
        </w:rPr>
        <w:t xml:space="preserve"> 2 de julio de 2004</w:t>
      </w:r>
      <w:r w:rsidR="00C56F11">
        <w:rPr>
          <w:rFonts w:asciiTheme="majorHAnsi" w:hAnsiTheme="majorHAnsi"/>
          <w:sz w:val="16"/>
          <w:szCs w:val="16"/>
          <w:lang w:val="es-PE"/>
        </w:rPr>
        <w:t>,</w:t>
      </w:r>
      <w:r w:rsidRPr="001272CB">
        <w:rPr>
          <w:rFonts w:asciiTheme="majorHAnsi" w:hAnsiTheme="majorHAnsi"/>
          <w:sz w:val="16"/>
          <w:szCs w:val="16"/>
          <w:lang w:val="es-PE"/>
        </w:rPr>
        <w:t xml:space="preserve"> Serie C No. 107, párr. 158</w:t>
      </w:r>
      <w:r w:rsidR="00267EF3">
        <w:rPr>
          <w:rFonts w:asciiTheme="majorHAnsi" w:hAnsiTheme="majorHAnsi"/>
          <w:sz w:val="16"/>
          <w:szCs w:val="16"/>
          <w:lang w:val="es-PE"/>
        </w:rPr>
        <w:t>.</w:t>
      </w:r>
    </w:p>
  </w:footnote>
  <w:footnote w:id="18">
    <w:p w14:paraId="67ED386F" w14:textId="104F511C" w:rsidR="00B674C3" w:rsidRPr="001272CB" w:rsidRDefault="00B674C3" w:rsidP="00B54F0A">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8656B0">
        <w:rPr>
          <w:rFonts w:asciiTheme="majorHAnsi" w:hAnsiTheme="majorHAnsi"/>
          <w:sz w:val="16"/>
          <w:szCs w:val="16"/>
          <w:lang w:val="es-PE"/>
        </w:rPr>
        <w:t xml:space="preserve"> Corte IDH</w:t>
      </w:r>
      <w:r w:rsidR="00267EF3" w:rsidRPr="008656B0">
        <w:rPr>
          <w:rFonts w:asciiTheme="majorHAnsi" w:hAnsiTheme="majorHAnsi"/>
          <w:sz w:val="16"/>
          <w:szCs w:val="16"/>
          <w:lang w:val="es-PE"/>
        </w:rPr>
        <w:t>,</w:t>
      </w:r>
      <w:r w:rsidRPr="008656B0">
        <w:rPr>
          <w:rFonts w:asciiTheme="majorHAnsi" w:hAnsiTheme="majorHAnsi"/>
          <w:sz w:val="16"/>
          <w:szCs w:val="16"/>
          <w:lang w:val="es-PE"/>
        </w:rPr>
        <w:t xml:space="preserve"> </w:t>
      </w:r>
      <w:r w:rsidRPr="008656B0">
        <w:rPr>
          <w:rFonts w:asciiTheme="majorHAnsi" w:hAnsiTheme="majorHAnsi"/>
          <w:iCs/>
          <w:sz w:val="16"/>
          <w:szCs w:val="16"/>
          <w:lang w:val="es-PE"/>
        </w:rPr>
        <w:t xml:space="preserve">Caso Barreto Leiva Vs. </w:t>
      </w:r>
      <w:r w:rsidRPr="001272CB">
        <w:rPr>
          <w:rFonts w:asciiTheme="majorHAnsi" w:hAnsiTheme="majorHAnsi"/>
          <w:iCs/>
          <w:sz w:val="16"/>
          <w:szCs w:val="16"/>
          <w:lang w:val="es-PE"/>
        </w:rPr>
        <w:t>Venezuela</w:t>
      </w:r>
      <w:r w:rsidR="008F6881">
        <w:rPr>
          <w:rFonts w:asciiTheme="majorHAnsi" w:hAnsiTheme="majorHAnsi"/>
          <w:iCs/>
          <w:sz w:val="16"/>
          <w:szCs w:val="16"/>
          <w:lang w:val="es-PE"/>
        </w:rPr>
        <w:t>,</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Sentencia de Fondo, Reparaciones y Costas</w:t>
      </w:r>
      <w:r w:rsidR="00C56F11">
        <w:rPr>
          <w:rFonts w:asciiTheme="majorHAnsi" w:hAnsiTheme="majorHAnsi"/>
          <w:sz w:val="16"/>
          <w:szCs w:val="16"/>
          <w:lang w:val="es-PE"/>
        </w:rPr>
        <w:t>,</w:t>
      </w:r>
      <w:r w:rsidRPr="001272CB">
        <w:rPr>
          <w:rFonts w:asciiTheme="majorHAnsi" w:hAnsiTheme="majorHAnsi"/>
          <w:sz w:val="16"/>
          <w:szCs w:val="16"/>
          <w:lang w:val="es-PE"/>
        </w:rPr>
        <w:t xml:space="preserve"> 17 de noviembre de 2009</w:t>
      </w:r>
      <w:r w:rsidR="00C56F11">
        <w:rPr>
          <w:rFonts w:asciiTheme="majorHAnsi" w:hAnsiTheme="majorHAnsi"/>
          <w:sz w:val="16"/>
          <w:szCs w:val="16"/>
          <w:lang w:val="es-PE"/>
        </w:rPr>
        <w:t>,</w:t>
      </w:r>
      <w:r w:rsidRPr="001272CB">
        <w:rPr>
          <w:rFonts w:asciiTheme="majorHAnsi" w:hAnsiTheme="majorHAnsi"/>
          <w:sz w:val="16"/>
          <w:szCs w:val="16"/>
          <w:lang w:val="es-PE"/>
        </w:rPr>
        <w:t xml:space="preserve">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19">
    <w:p w14:paraId="129AFB94" w14:textId="19206EB2" w:rsidR="00B674C3" w:rsidRPr="001272CB" w:rsidRDefault="00B674C3" w:rsidP="00B54F0A">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w:t>
      </w:r>
      <w:r w:rsidR="00267EF3">
        <w:rPr>
          <w:rStyle w:val="Strong"/>
          <w:rFonts w:asciiTheme="majorHAnsi" w:eastAsia="Cambria" w:hAnsiTheme="majorHAnsi"/>
          <w:b w:val="0"/>
          <w:bCs w:val="0"/>
          <w:sz w:val="16"/>
          <w:szCs w:val="16"/>
          <w:shd w:val="clear" w:color="auto" w:fill="FFFFFF"/>
          <w:lang w:val="es-PE"/>
        </w:rPr>
        <w:t>,</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w:t>
      </w:r>
      <w:r w:rsidR="008F6881">
        <w:rPr>
          <w:rFonts w:asciiTheme="majorHAnsi" w:hAnsiTheme="majorHAnsi"/>
          <w:sz w:val="16"/>
          <w:szCs w:val="16"/>
          <w:shd w:val="clear" w:color="auto" w:fill="FFFFFF"/>
          <w:lang w:val="es-PE"/>
        </w:rPr>
        <w:t>,</w:t>
      </w:r>
      <w:r w:rsidRPr="001272CB">
        <w:rPr>
          <w:rFonts w:asciiTheme="majorHAnsi" w:hAnsiTheme="majorHAnsi"/>
          <w:sz w:val="16"/>
          <w:szCs w:val="16"/>
          <w:shd w:val="clear" w:color="auto" w:fill="FFFFFF"/>
          <w:lang w:val="es-PE"/>
        </w:rPr>
        <w:t xml:space="preserve"> Excepciones Preliminares, Fondo, Reparaciones y Costas</w:t>
      </w:r>
      <w:r w:rsidR="00C56F11">
        <w:rPr>
          <w:rFonts w:asciiTheme="majorHAnsi" w:hAnsiTheme="majorHAnsi"/>
          <w:sz w:val="16"/>
          <w:szCs w:val="16"/>
          <w:shd w:val="clear" w:color="auto" w:fill="FFFFFF"/>
          <w:lang w:val="es-PE"/>
        </w:rPr>
        <w:t>,</w:t>
      </w:r>
      <w:r w:rsidRPr="001272CB">
        <w:rPr>
          <w:rFonts w:asciiTheme="majorHAnsi" w:hAnsiTheme="majorHAnsi"/>
          <w:sz w:val="16"/>
          <w:szCs w:val="16"/>
          <w:shd w:val="clear" w:color="auto" w:fill="FFFFFF"/>
          <w:lang w:val="es-PE"/>
        </w:rPr>
        <w:t xml:space="preserve"> Sentencia de</w:t>
      </w:r>
      <w:r w:rsidR="00C56F11">
        <w:rPr>
          <w:rFonts w:asciiTheme="majorHAnsi" w:hAnsiTheme="majorHAnsi"/>
          <w:sz w:val="16"/>
          <w:szCs w:val="16"/>
          <w:shd w:val="clear" w:color="auto" w:fill="FFFFFF"/>
          <w:lang w:val="es-PE"/>
        </w:rPr>
        <w:t>l</w:t>
      </w:r>
      <w:r w:rsidRPr="001272CB">
        <w:rPr>
          <w:rFonts w:asciiTheme="majorHAnsi" w:hAnsiTheme="majorHAnsi"/>
          <w:sz w:val="16"/>
          <w:szCs w:val="16"/>
          <w:shd w:val="clear" w:color="auto" w:fill="FFFFFF"/>
          <w:lang w:val="es-PE"/>
        </w:rPr>
        <w:t xml:space="preserve"> 25 de abril de 2018</w:t>
      </w:r>
      <w:r w:rsidR="00C56F11">
        <w:rPr>
          <w:rFonts w:asciiTheme="majorHAnsi" w:hAnsiTheme="majorHAnsi"/>
          <w:sz w:val="16"/>
          <w:szCs w:val="16"/>
          <w:shd w:val="clear" w:color="auto" w:fill="FFFFFF"/>
          <w:lang w:val="es-PE"/>
        </w:rPr>
        <w:t>,</w:t>
      </w:r>
      <w:r w:rsidRPr="001272CB">
        <w:rPr>
          <w:rFonts w:asciiTheme="majorHAnsi" w:hAnsiTheme="majorHAnsi"/>
          <w:sz w:val="16"/>
          <w:szCs w:val="16"/>
          <w:shd w:val="clear" w:color="auto" w:fill="FFFFFF"/>
          <w:lang w:val="es-PE"/>
        </w:rPr>
        <w:t xml:space="preserve"> Serie C No. 354</w:t>
      </w:r>
      <w:r w:rsidR="00267EF3">
        <w:rPr>
          <w:rFonts w:asciiTheme="majorHAnsi" w:hAnsiTheme="majorHAnsi"/>
          <w:sz w:val="16"/>
          <w:szCs w:val="16"/>
          <w:shd w:val="clear" w:color="auto" w:fill="FFFFFF"/>
          <w:lang w:val="es-PE"/>
        </w:rPr>
        <w:t>, p</w:t>
      </w:r>
      <w:r w:rsidRPr="001272CB">
        <w:rPr>
          <w:rFonts w:asciiTheme="majorHAnsi" w:hAnsiTheme="majorHAnsi"/>
          <w:sz w:val="16"/>
          <w:szCs w:val="16"/>
          <w:shd w:val="clear" w:color="auto" w:fill="FFFFFF"/>
          <w:lang w:val="es-PE"/>
        </w:rPr>
        <w:t>árr</w:t>
      </w:r>
      <w:r w:rsidR="00267EF3">
        <w:rPr>
          <w:rFonts w:asciiTheme="majorHAnsi" w:hAnsiTheme="majorHAnsi"/>
          <w:sz w:val="16"/>
          <w:szCs w:val="16"/>
          <w:shd w:val="clear" w:color="auto" w:fill="FFFFFF"/>
          <w:lang w:val="es-PE"/>
        </w:rPr>
        <w:t>s</w:t>
      </w:r>
      <w:r w:rsidRPr="001272CB">
        <w:rPr>
          <w:rFonts w:asciiTheme="majorHAnsi" w:hAnsiTheme="majorHAnsi"/>
          <w:sz w:val="16"/>
          <w:szCs w:val="16"/>
          <w:shd w:val="clear" w:color="auto" w:fill="FFFFFF"/>
          <w:lang w:val="es-PE"/>
        </w:rPr>
        <w:t>. 272 a 274.</w:t>
      </w:r>
    </w:p>
  </w:footnote>
  <w:footnote w:id="20">
    <w:p w14:paraId="5EB21CE7" w14:textId="36FFF2C0" w:rsidR="00B674C3" w:rsidRPr="002433B3" w:rsidRDefault="00B674C3" w:rsidP="00B54F0A">
      <w:pPr>
        <w:pStyle w:val="FootnoteText"/>
        <w:ind w:firstLine="720"/>
        <w:jc w:val="both"/>
        <w:rPr>
          <w:b/>
          <w:bCs/>
          <w:sz w:val="16"/>
          <w:szCs w:val="16"/>
          <w:lang w:val="es-US"/>
        </w:rPr>
      </w:pPr>
      <w:r w:rsidRPr="005B7AAB">
        <w:rPr>
          <w:rStyle w:val="FootnoteReference"/>
          <w:rFonts w:asciiTheme="majorHAnsi" w:hAnsiTheme="majorHAnsi"/>
          <w:sz w:val="16"/>
          <w:szCs w:val="16"/>
          <w:lang w:val="es-PE"/>
        </w:rPr>
        <w:footnoteRef/>
      </w:r>
      <w:r w:rsidRPr="005B7AAB">
        <w:rPr>
          <w:rFonts w:asciiTheme="majorHAnsi" w:hAnsiTheme="majorHAnsi"/>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w:t>
      </w:r>
      <w:r w:rsidR="00267EF3">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Caso Norín Catrimán y otros (Dirigentes, Miembros y Activista del Pueblo Indígena Mapuche) Vs. Chile</w:t>
      </w:r>
      <w:r w:rsidR="008F6881">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Fondo, Reparaciones y Costas</w:t>
      </w:r>
      <w:r w:rsidR="00755AB4">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Sentencia de</w:t>
      </w:r>
      <w:r w:rsidR="00755AB4">
        <w:rPr>
          <w:rStyle w:val="Strong"/>
          <w:rFonts w:asciiTheme="majorHAnsi" w:eastAsia="Cambria" w:hAnsiTheme="majorHAnsi"/>
          <w:b w:val="0"/>
          <w:bCs w:val="0"/>
          <w:sz w:val="16"/>
          <w:szCs w:val="16"/>
          <w:shd w:val="clear" w:color="auto" w:fill="FFFFFF"/>
          <w:lang w:val="es-PE"/>
        </w:rPr>
        <w:t>l</w:t>
      </w:r>
      <w:r w:rsidRPr="002433B3">
        <w:rPr>
          <w:rStyle w:val="Strong"/>
          <w:rFonts w:asciiTheme="majorHAnsi" w:eastAsia="Cambria" w:hAnsiTheme="majorHAnsi"/>
          <w:b w:val="0"/>
          <w:bCs w:val="0"/>
          <w:sz w:val="16"/>
          <w:szCs w:val="16"/>
          <w:shd w:val="clear" w:color="auto" w:fill="FFFFFF"/>
          <w:lang w:val="es-PE"/>
        </w:rPr>
        <w:t xml:space="preserve"> 29 de mayo de 2014</w:t>
      </w:r>
      <w:r w:rsidR="00755AB4">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Serie C No. 279</w:t>
      </w:r>
      <w:r w:rsidR="00267EF3">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w:t>
      </w:r>
      <w:r w:rsidR="00267EF3">
        <w:rPr>
          <w:rStyle w:val="Strong"/>
          <w:rFonts w:asciiTheme="majorHAnsi" w:eastAsia="Cambria" w:hAnsiTheme="majorHAnsi"/>
          <w:b w:val="0"/>
          <w:bCs w:val="0"/>
          <w:sz w:val="16"/>
          <w:szCs w:val="16"/>
          <w:shd w:val="clear" w:color="auto" w:fill="FFFFFF"/>
          <w:lang w:val="es-PE"/>
        </w:rPr>
        <w:t>p</w:t>
      </w:r>
      <w:r w:rsidRPr="002433B3">
        <w:rPr>
          <w:rStyle w:val="Strong"/>
          <w:rFonts w:asciiTheme="majorHAnsi" w:eastAsia="Cambria" w:hAnsiTheme="majorHAnsi"/>
          <w:b w:val="0"/>
          <w:bCs w:val="0"/>
          <w:sz w:val="16"/>
          <w:szCs w:val="16"/>
          <w:shd w:val="clear" w:color="auto" w:fill="FFFFFF"/>
          <w:lang w:val="es-PE"/>
        </w:rPr>
        <w:t xml:space="preserve">árr. 270. </w:t>
      </w:r>
      <w:r w:rsidRPr="002433B3">
        <w:rPr>
          <w:rFonts w:asciiTheme="majorHAnsi" w:hAnsiTheme="majorHAnsi"/>
          <w:b/>
          <w:bCs/>
          <w:sz w:val="16"/>
          <w:szCs w:val="16"/>
          <w:lang w:val="es-PE"/>
        </w:rPr>
        <w:t xml:space="preserve">  </w:t>
      </w:r>
    </w:p>
  </w:footnote>
  <w:footnote w:id="21">
    <w:p w14:paraId="720BB656" w14:textId="0CD7E297" w:rsidR="00B674C3" w:rsidRPr="001272CB" w:rsidRDefault="00B674C3" w:rsidP="00B54F0A">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w:t>
      </w:r>
      <w:r w:rsidR="00267EF3">
        <w:rPr>
          <w:rFonts w:ascii="Cambria" w:hAnsi="Cambria"/>
          <w:sz w:val="16"/>
          <w:szCs w:val="16"/>
          <w:lang w:val="es-AR"/>
        </w:rPr>
        <w:t>,</w:t>
      </w:r>
      <w:r w:rsidRPr="001272CB">
        <w:rPr>
          <w:rFonts w:ascii="Cambria" w:hAnsi="Cambria"/>
          <w:sz w:val="16"/>
          <w:szCs w:val="16"/>
          <w:lang w:val="es-AR"/>
        </w:rPr>
        <w:t xml:space="preserve"> Informe No. 55/97</w:t>
      </w:r>
      <w:r w:rsidR="008F6881">
        <w:rPr>
          <w:rFonts w:ascii="Cambria" w:hAnsi="Cambria"/>
          <w:sz w:val="16"/>
          <w:szCs w:val="16"/>
          <w:lang w:val="es-AR"/>
        </w:rPr>
        <w:t>,</w:t>
      </w:r>
      <w:r w:rsidRPr="001272CB">
        <w:rPr>
          <w:rFonts w:ascii="Cambria" w:hAnsi="Cambria"/>
          <w:sz w:val="16"/>
          <w:szCs w:val="16"/>
          <w:lang w:val="es-AR"/>
        </w:rPr>
        <w:t xml:space="preserve"> Caso 11.137</w:t>
      </w:r>
      <w:r w:rsidR="008F6881">
        <w:rPr>
          <w:rFonts w:ascii="Cambria" w:hAnsi="Cambria"/>
          <w:sz w:val="16"/>
          <w:szCs w:val="16"/>
          <w:lang w:val="es-AR"/>
        </w:rPr>
        <w:t>,</w:t>
      </w:r>
      <w:r w:rsidRPr="001272CB">
        <w:rPr>
          <w:rFonts w:ascii="Cambria" w:hAnsi="Cambria"/>
          <w:sz w:val="16"/>
          <w:szCs w:val="16"/>
          <w:lang w:val="es-AR"/>
        </w:rPr>
        <w:t xml:space="preserve"> Fondo</w:t>
      </w:r>
      <w:r w:rsidR="008F6881">
        <w:rPr>
          <w:rFonts w:ascii="Cambria" w:hAnsi="Cambria"/>
          <w:sz w:val="16"/>
          <w:szCs w:val="16"/>
          <w:lang w:val="es-AR"/>
        </w:rPr>
        <w:t>,</w:t>
      </w:r>
      <w:r w:rsidRPr="001272CB">
        <w:rPr>
          <w:rFonts w:ascii="Cambria" w:hAnsi="Cambria"/>
          <w:sz w:val="16"/>
          <w:szCs w:val="16"/>
          <w:lang w:val="es-AR"/>
        </w:rPr>
        <w:t xml:space="preserve"> Juan Carlos Abella</w:t>
      </w:r>
      <w:r w:rsidR="008F6881">
        <w:rPr>
          <w:rFonts w:ascii="Cambria" w:hAnsi="Cambria"/>
          <w:sz w:val="16"/>
          <w:szCs w:val="16"/>
          <w:lang w:val="es-AR"/>
        </w:rPr>
        <w:t xml:space="preserve"> (</w:t>
      </w:r>
      <w:r w:rsidRPr="001272CB">
        <w:rPr>
          <w:rFonts w:ascii="Cambria" w:hAnsi="Cambria"/>
          <w:sz w:val="16"/>
          <w:szCs w:val="16"/>
          <w:lang w:val="es-AR"/>
        </w:rPr>
        <w:t>Argentina</w:t>
      </w:r>
      <w:r w:rsidR="008F6881">
        <w:rPr>
          <w:rFonts w:ascii="Cambria" w:hAnsi="Cambria"/>
          <w:sz w:val="16"/>
          <w:szCs w:val="16"/>
          <w:lang w:val="es-AR"/>
        </w:rPr>
        <w:t xml:space="preserve">), </w:t>
      </w:r>
      <w:r w:rsidRPr="001272CB">
        <w:rPr>
          <w:rFonts w:ascii="Cambria" w:hAnsi="Cambria"/>
          <w:sz w:val="16"/>
          <w:szCs w:val="16"/>
          <w:lang w:val="es-AR"/>
        </w:rPr>
        <w:t>18 de noviembre de 1997</w:t>
      </w:r>
      <w:r w:rsidR="00267EF3">
        <w:rPr>
          <w:rFonts w:ascii="Cambria" w:hAnsi="Cambria"/>
          <w:sz w:val="16"/>
          <w:szCs w:val="16"/>
          <w:lang w:val="es-AR"/>
        </w:rPr>
        <w:t>, p</w:t>
      </w:r>
      <w:r w:rsidRPr="001272CB">
        <w:rPr>
          <w:rFonts w:ascii="Cambria" w:hAnsi="Cambria"/>
          <w:sz w:val="16"/>
          <w:szCs w:val="16"/>
          <w:lang w:val="es-AR"/>
        </w:rPr>
        <w:t xml:space="preserve">árr. 261. </w:t>
      </w:r>
    </w:p>
  </w:footnote>
  <w:footnote w:id="22">
    <w:p w14:paraId="465EFB13" w14:textId="77777777" w:rsidR="00B674C3" w:rsidRPr="008B0B56" w:rsidRDefault="00B674C3" w:rsidP="00B54F0A">
      <w:pPr>
        <w:pStyle w:val="NormalWeb"/>
        <w:spacing w:before="0" w:beforeAutospacing="0" w:after="0" w:afterAutospacing="0"/>
        <w:ind w:firstLine="720"/>
        <w:jc w:val="both"/>
        <w:rPr>
          <w:rFonts w:ascii="Cambria" w:hAnsi="Cambria"/>
          <w:sz w:val="16"/>
          <w:szCs w:val="16"/>
          <w:lang w:val="es-ES"/>
        </w:rPr>
      </w:pPr>
      <w:r w:rsidRPr="001272CB">
        <w:rPr>
          <w:rStyle w:val="FootnoteReference"/>
          <w:rFonts w:ascii="Cambria" w:eastAsia="Trebuchet MS" w:hAnsi="Cambria"/>
          <w:sz w:val="16"/>
          <w:szCs w:val="16"/>
          <w:lang w:val="es-ES"/>
        </w:rPr>
        <w:footnoteRef/>
      </w:r>
      <w:r w:rsidRPr="001272CB">
        <w:rPr>
          <w:rFonts w:ascii="Cambria" w:hAnsi="Cambria"/>
          <w:sz w:val="16"/>
          <w:szCs w:val="16"/>
          <w:lang w:val="es-ES"/>
        </w:rPr>
        <w:t xml:space="preserve"> </w:t>
      </w:r>
      <w:r w:rsidRPr="001272CB">
        <w:rPr>
          <w:rFonts w:ascii="Cambria" w:hAnsi="Cambria" w:cs="Calibri"/>
          <w:sz w:val="16"/>
          <w:szCs w:val="16"/>
          <w:lang w:val="es-ES"/>
        </w:rPr>
        <w:t xml:space="preserve">CIDH, Informe No. 172/10, Caso 12.561, Fondo, César Alberto Mendoza y otros (Prisión y reclusión perpetuas de adolescentes), Argentina, 2 de noviembre de 2010, párr. 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16B93"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58F9"/>
    <w:rsid w:val="00006E1F"/>
    <w:rsid w:val="000070D7"/>
    <w:rsid w:val="000071B2"/>
    <w:rsid w:val="0001456A"/>
    <w:rsid w:val="0001788C"/>
    <w:rsid w:val="0002557B"/>
    <w:rsid w:val="00033260"/>
    <w:rsid w:val="00033768"/>
    <w:rsid w:val="000337EF"/>
    <w:rsid w:val="00033A10"/>
    <w:rsid w:val="00034242"/>
    <w:rsid w:val="00040C3A"/>
    <w:rsid w:val="000419AD"/>
    <w:rsid w:val="000433C9"/>
    <w:rsid w:val="000560E8"/>
    <w:rsid w:val="00056686"/>
    <w:rsid w:val="00065B2D"/>
    <w:rsid w:val="00067EFC"/>
    <w:rsid w:val="000716C5"/>
    <w:rsid w:val="00075E23"/>
    <w:rsid w:val="00087200"/>
    <w:rsid w:val="0009344A"/>
    <w:rsid w:val="000A34E1"/>
    <w:rsid w:val="000A392E"/>
    <w:rsid w:val="000A575F"/>
    <w:rsid w:val="000B062C"/>
    <w:rsid w:val="000B795A"/>
    <w:rsid w:val="000B7BDE"/>
    <w:rsid w:val="000C6B62"/>
    <w:rsid w:val="000D05CB"/>
    <w:rsid w:val="000D10DB"/>
    <w:rsid w:val="000E09B4"/>
    <w:rsid w:val="000E4267"/>
    <w:rsid w:val="000E5EB5"/>
    <w:rsid w:val="000F06B5"/>
    <w:rsid w:val="000F21CE"/>
    <w:rsid w:val="000F35ED"/>
    <w:rsid w:val="000F553A"/>
    <w:rsid w:val="001006EF"/>
    <w:rsid w:val="001056E4"/>
    <w:rsid w:val="00106C7F"/>
    <w:rsid w:val="00106DC8"/>
    <w:rsid w:val="00107131"/>
    <w:rsid w:val="0010736F"/>
    <w:rsid w:val="00113F73"/>
    <w:rsid w:val="00114301"/>
    <w:rsid w:val="00116EA5"/>
    <w:rsid w:val="00121CC2"/>
    <w:rsid w:val="001304BB"/>
    <w:rsid w:val="00130609"/>
    <w:rsid w:val="00131425"/>
    <w:rsid w:val="00133EE5"/>
    <w:rsid w:val="00146B41"/>
    <w:rsid w:val="00147573"/>
    <w:rsid w:val="0016296E"/>
    <w:rsid w:val="00164823"/>
    <w:rsid w:val="00167A34"/>
    <w:rsid w:val="0017094D"/>
    <w:rsid w:val="00190DE8"/>
    <w:rsid w:val="00196ADD"/>
    <w:rsid w:val="0019703D"/>
    <w:rsid w:val="001A3700"/>
    <w:rsid w:val="001A7870"/>
    <w:rsid w:val="001B0FCE"/>
    <w:rsid w:val="001B3A00"/>
    <w:rsid w:val="001C1B41"/>
    <w:rsid w:val="001C2C15"/>
    <w:rsid w:val="001D2711"/>
    <w:rsid w:val="001D2D60"/>
    <w:rsid w:val="001D65EF"/>
    <w:rsid w:val="001D68F0"/>
    <w:rsid w:val="001D7945"/>
    <w:rsid w:val="001E163E"/>
    <w:rsid w:val="001E49E7"/>
    <w:rsid w:val="001F5511"/>
    <w:rsid w:val="001F659C"/>
    <w:rsid w:val="001F7201"/>
    <w:rsid w:val="00201930"/>
    <w:rsid w:val="0020204D"/>
    <w:rsid w:val="00210D62"/>
    <w:rsid w:val="002126D6"/>
    <w:rsid w:val="00223A29"/>
    <w:rsid w:val="00224D49"/>
    <w:rsid w:val="002250A3"/>
    <w:rsid w:val="002274BB"/>
    <w:rsid w:val="00235217"/>
    <w:rsid w:val="0023759B"/>
    <w:rsid w:val="002434D9"/>
    <w:rsid w:val="002469D2"/>
    <w:rsid w:val="00246D1F"/>
    <w:rsid w:val="00247403"/>
    <w:rsid w:val="00247542"/>
    <w:rsid w:val="00247FAA"/>
    <w:rsid w:val="00251EB4"/>
    <w:rsid w:val="002534DA"/>
    <w:rsid w:val="00255A41"/>
    <w:rsid w:val="0026020D"/>
    <w:rsid w:val="00265738"/>
    <w:rsid w:val="00266B61"/>
    <w:rsid w:val="0026712A"/>
    <w:rsid w:val="00267436"/>
    <w:rsid w:val="00267EF3"/>
    <w:rsid w:val="002704DB"/>
    <w:rsid w:val="00282EB8"/>
    <w:rsid w:val="00283EB0"/>
    <w:rsid w:val="002866C1"/>
    <w:rsid w:val="00291293"/>
    <w:rsid w:val="0029235F"/>
    <w:rsid w:val="002956AC"/>
    <w:rsid w:val="002A0AAE"/>
    <w:rsid w:val="002A5820"/>
    <w:rsid w:val="002B2AB9"/>
    <w:rsid w:val="002B38B2"/>
    <w:rsid w:val="002B3B94"/>
    <w:rsid w:val="002B4563"/>
    <w:rsid w:val="002D2B26"/>
    <w:rsid w:val="002D7EA2"/>
    <w:rsid w:val="002E187C"/>
    <w:rsid w:val="002E2EBB"/>
    <w:rsid w:val="002E3D1B"/>
    <w:rsid w:val="002E5381"/>
    <w:rsid w:val="002F1096"/>
    <w:rsid w:val="002F1716"/>
    <w:rsid w:val="002F414A"/>
    <w:rsid w:val="003018D9"/>
    <w:rsid w:val="00302733"/>
    <w:rsid w:val="00303948"/>
    <w:rsid w:val="003075BE"/>
    <w:rsid w:val="00310356"/>
    <w:rsid w:val="00314078"/>
    <w:rsid w:val="0031535D"/>
    <w:rsid w:val="0032093F"/>
    <w:rsid w:val="003239B8"/>
    <w:rsid w:val="00331632"/>
    <w:rsid w:val="0033169F"/>
    <w:rsid w:val="0033332A"/>
    <w:rsid w:val="00337107"/>
    <w:rsid w:val="00344977"/>
    <w:rsid w:val="00346C95"/>
    <w:rsid w:val="003506F6"/>
    <w:rsid w:val="00356185"/>
    <w:rsid w:val="00360380"/>
    <w:rsid w:val="00371F31"/>
    <w:rsid w:val="0037519E"/>
    <w:rsid w:val="003770EE"/>
    <w:rsid w:val="00377313"/>
    <w:rsid w:val="003855D2"/>
    <w:rsid w:val="003866CA"/>
    <w:rsid w:val="00386CF0"/>
    <w:rsid w:val="00395A06"/>
    <w:rsid w:val="003A2069"/>
    <w:rsid w:val="003A2583"/>
    <w:rsid w:val="003A26DA"/>
    <w:rsid w:val="003B0026"/>
    <w:rsid w:val="003B1A05"/>
    <w:rsid w:val="003B3458"/>
    <w:rsid w:val="003B70FB"/>
    <w:rsid w:val="003C0AE7"/>
    <w:rsid w:val="003C32C5"/>
    <w:rsid w:val="003C676B"/>
    <w:rsid w:val="003D3BC2"/>
    <w:rsid w:val="003E5ECE"/>
    <w:rsid w:val="003E6CA1"/>
    <w:rsid w:val="003E74F8"/>
    <w:rsid w:val="003F63AD"/>
    <w:rsid w:val="00405F9C"/>
    <w:rsid w:val="004065A8"/>
    <w:rsid w:val="004165C2"/>
    <w:rsid w:val="00433714"/>
    <w:rsid w:val="004372F5"/>
    <w:rsid w:val="00441524"/>
    <w:rsid w:val="00441E0D"/>
    <w:rsid w:val="00441ECB"/>
    <w:rsid w:val="004445EF"/>
    <w:rsid w:val="00445193"/>
    <w:rsid w:val="0045662F"/>
    <w:rsid w:val="0046105F"/>
    <w:rsid w:val="00462C1B"/>
    <w:rsid w:val="00465CCE"/>
    <w:rsid w:val="00467B7E"/>
    <w:rsid w:val="00472E35"/>
    <w:rsid w:val="00473BB4"/>
    <w:rsid w:val="00477592"/>
    <w:rsid w:val="00481037"/>
    <w:rsid w:val="00486F1C"/>
    <w:rsid w:val="0048719B"/>
    <w:rsid w:val="0049419D"/>
    <w:rsid w:val="004A0CC6"/>
    <w:rsid w:val="004A5246"/>
    <w:rsid w:val="004A6A54"/>
    <w:rsid w:val="004B5430"/>
    <w:rsid w:val="004B6C88"/>
    <w:rsid w:val="004C20D2"/>
    <w:rsid w:val="004C2312"/>
    <w:rsid w:val="004C2E3B"/>
    <w:rsid w:val="004C4B62"/>
    <w:rsid w:val="004C54C9"/>
    <w:rsid w:val="004D4ABA"/>
    <w:rsid w:val="004D51FD"/>
    <w:rsid w:val="004D6025"/>
    <w:rsid w:val="004E2649"/>
    <w:rsid w:val="004F23B8"/>
    <w:rsid w:val="004F43FC"/>
    <w:rsid w:val="004F626F"/>
    <w:rsid w:val="004F6D77"/>
    <w:rsid w:val="004F7C52"/>
    <w:rsid w:val="00501399"/>
    <w:rsid w:val="0050496D"/>
    <w:rsid w:val="0050633D"/>
    <w:rsid w:val="00507BC4"/>
    <w:rsid w:val="005128E4"/>
    <w:rsid w:val="005133DB"/>
    <w:rsid w:val="00514504"/>
    <w:rsid w:val="00516A5A"/>
    <w:rsid w:val="00522C21"/>
    <w:rsid w:val="00522C3B"/>
    <w:rsid w:val="00525560"/>
    <w:rsid w:val="00531101"/>
    <w:rsid w:val="00540544"/>
    <w:rsid w:val="00544C49"/>
    <w:rsid w:val="00546BED"/>
    <w:rsid w:val="0055061C"/>
    <w:rsid w:val="005516A1"/>
    <w:rsid w:val="00552E25"/>
    <w:rsid w:val="00553647"/>
    <w:rsid w:val="005559EF"/>
    <w:rsid w:val="005564B7"/>
    <w:rsid w:val="00563557"/>
    <w:rsid w:val="0057402A"/>
    <w:rsid w:val="005771D0"/>
    <w:rsid w:val="0059191A"/>
    <w:rsid w:val="005921FF"/>
    <w:rsid w:val="00596F59"/>
    <w:rsid w:val="005A24ED"/>
    <w:rsid w:val="005A254F"/>
    <w:rsid w:val="005A6D0E"/>
    <w:rsid w:val="005B52B0"/>
    <w:rsid w:val="005B6806"/>
    <w:rsid w:val="005B7AAB"/>
    <w:rsid w:val="005C4225"/>
    <w:rsid w:val="005D1FA3"/>
    <w:rsid w:val="005D38F9"/>
    <w:rsid w:val="005D3A5C"/>
    <w:rsid w:val="005F0DAD"/>
    <w:rsid w:val="005F0F33"/>
    <w:rsid w:val="005F13FE"/>
    <w:rsid w:val="005F1B57"/>
    <w:rsid w:val="005F327D"/>
    <w:rsid w:val="005F57F4"/>
    <w:rsid w:val="005F6BF4"/>
    <w:rsid w:val="006004C1"/>
    <w:rsid w:val="00600DEB"/>
    <w:rsid w:val="0061609D"/>
    <w:rsid w:val="00627C9F"/>
    <w:rsid w:val="006311E9"/>
    <w:rsid w:val="00631DA5"/>
    <w:rsid w:val="00632354"/>
    <w:rsid w:val="00635421"/>
    <w:rsid w:val="006416A3"/>
    <w:rsid w:val="00642810"/>
    <w:rsid w:val="006454D0"/>
    <w:rsid w:val="00650EFE"/>
    <w:rsid w:val="00652333"/>
    <w:rsid w:val="00666CC8"/>
    <w:rsid w:val="006671FF"/>
    <w:rsid w:val="00667801"/>
    <w:rsid w:val="00672AA1"/>
    <w:rsid w:val="00674A49"/>
    <w:rsid w:val="00676AEE"/>
    <w:rsid w:val="0068009E"/>
    <w:rsid w:val="00682732"/>
    <w:rsid w:val="00683443"/>
    <w:rsid w:val="006875D2"/>
    <w:rsid w:val="00692219"/>
    <w:rsid w:val="006A0723"/>
    <w:rsid w:val="006A17D2"/>
    <w:rsid w:val="006A6369"/>
    <w:rsid w:val="006A73E6"/>
    <w:rsid w:val="006B0A87"/>
    <w:rsid w:val="006B0AE2"/>
    <w:rsid w:val="006B2D5C"/>
    <w:rsid w:val="006C0D4C"/>
    <w:rsid w:val="006C3484"/>
    <w:rsid w:val="006C4877"/>
    <w:rsid w:val="006C4EB1"/>
    <w:rsid w:val="006C5839"/>
    <w:rsid w:val="006C7BD9"/>
    <w:rsid w:val="006D1946"/>
    <w:rsid w:val="006D5B19"/>
    <w:rsid w:val="006E0166"/>
    <w:rsid w:val="006E2FFB"/>
    <w:rsid w:val="006E7B34"/>
    <w:rsid w:val="006E7D80"/>
    <w:rsid w:val="006F2C73"/>
    <w:rsid w:val="006F3857"/>
    <w:rsid w:val="006F649A"/>
    <w:rsid w:val="006F6D7B"/>
    <w:rsid w:val="006F744B"/>
    <w:rsid w:val="006F7B36"/>
    <w:rsid w:val="00700998"/>
    <w:rsid w:val="007022DE"/>
    <w:rsid w:val="007067B6"/>
    <w:rsid w:val="007068EB"/>
    <w:rsid w:val="0070697F"/>
    <w:rsid w:val="0072199C"/>
    <w:rsid w:val="007219D6"/>
    <w:rsid w:val="00722C9F"/>
    <w:rsid w:val="007253B8"/>
    <w:rsid w:val="0072563B"/>
    <w:rsid w:val="0073741F"/>
    <w:rsid w:val="007410F1"/>
    <w:rsid w:val="0074293C"/>
    <w:rsid w:val="007449B3"/>
    <w:rsid w:val="00750F55"/>
    <w:rsid w:val="007513A7"/>
    <w:rsid w:val="00755AB4"/>
    <w:rsid w:val="007572A8"/>
    <w:rsid w:val="007574C3"/>
    <w:rsid w:val="00761282"/>
    <w:rsid w:val="0076643F"/>
    <w:rsid w:val="00766E19"/>
    <w:rsid w:val="007705D7"/>
    <w:rsid w:val="007714AC"/>
    <w:rsid w:val="007775C5"/>
    <w:rsid w:val="00777F63"/>
    <w:rsid w:val="007844AE"/>
    <w:rsid w:val="00790210"/>
    <w:rsid w:val="00790969"/>
    <w:rsid w:val="0079157F"/>
    <w:rsid w:val="00791760"/>
    <w:rsid w:val="00791949"/>
    <w:rsid w:val="007950F0"/>
    <w:rsid w:val="007A1C02"/>
    <w:rsid w:val="007A3237"/>
    <w:rsid w:val="007A5817"/>
    <w:rsid w:val="007B05C4"/>
    <w:rsid w:val="007B1DBC"/>
    <w:rsid w:val="007B2DBC"/>
    <w:rsid w:val="007B2EF6"/>
    <w:rsid w:val="007B60E9"/>
    <w:rsid w:val="007B6CC3"/>
    <w:rsid w:val="007B76D3"/>
    <w:rsid w:val="007C1952"/>
    <w:rsid w:val="007C3334"/>
    <w:rsid w:val="007D2B98"/>
    <w:rsid w:val="007D6A9B"/>
    <w:rsid w:val="007E21BC"/>
    <w:rsid w:val="007E3F0D"/>
    <w:rsid w:val="007E7C82"/>
    <w:rsid w:val="007F2AA1"/>
    <w:rsid w:val="007F588D"/>
    <w:rsid w:val="008016D6"/>
    <w:rsid w:val="00803F1C"/>
    <w:rsid w:val="0080600E"/>
    <w:rsid w:val="00806934"/>
    <w:rsid w:val="00806C1C"/>
    <w:rsid w:val="00814688"/>
    <w:rsid w:val="00817612"/>
    <w:rsid w:val="00817D5C"/>
    <w:rsid w:val="008220E8"/>
    <w:rsid w:val="00826661"/>
    <w:rsid w:val="008338A4"/>
    <w:rsid w:val="00834D49"/>
    <w:rsid w:val="008359DB"/>
    <w:rsid w:val="00836F55"/>
    <w:rsid w:val="00837C45"/>
    <w:rsid w:val="00840D88"/>
    <w:rsid w:val="008439E2"/>
    <w:rsid w:val="00844730"/>
    <w:rsid w:val="008457C2"/>
    <w:rsid w:val="008462EE"/>
    <w:rsid w:val="00854698"/>
    <w:rsid w:val="00856F6E"/>
    <w:rsid w:val="00857A82"/>
    <w:rsid w:val="00860F4A"/>
    <w:rsid w:val="00862395"/>
    <w:rsid w:val="008656B0"/>
    <w:rsid w:val="00867314"/>
    <w:rsid w:val="00873836"/>
    <w:rsid w:val="0087414F"/>
    <w:rsid w:val="00875668"/>
    <w:rsid w:val="00884F29"/>
    <w:rsid w:val="00885737"/>
    <w:rsid w:val="00890650"/>
    <w:rsid w:val="00897E12"/>
    <w:rsid w:val="008A1119"/>
    <w:rsid w:val="008A623A"/>
    <w:rsid w:val="008A7E0F"/>
    <w:rsid w:val="008B12F5"/>
    <w:rsid w:val="008B1438"/>
    <w:rsid w:val="008B3BA2"/>
    <w:rsid w:val="008B69F5"/>
    <w:rsid w:val="008C0D8B"/>
    <w:rsid w:val="008C5E2D"/>
    <w:rsid w:val="008C7DE1"/>
    <w:rsid w:val="008D03E9"/>
    <w:rsid w:val="008D6079"/>
    <w:rsid w:val="008D768D"/>
    <w:rsid w:val="008E102F"/>
    <w:rsid w:val="008E238F"/>
    <w:rsid w:val="008E3587"/>
    <w:rsid w:val="008E3759"/>
    <w:rsid w:val="008E3BFE"/>
    <w:rsid w:val="008F1912"/>
    <w:rsid w:val="008F6691"/>
    <w:rsid w:val="008F6881"/>
    <w:rsid w:val="0090270B"/>
    <w:rsid w:val="009041DC"/>
    <w:rsid w:val="009105E8"/>
    <w:rsid w:val="00917B5A"/>
    <w:rsid w:val="00920A58"/>
    <w:rsid w:val="00920A8C"/>
    <w:rsid w:val="009255A8"/>
    <w:rsid w:val="009258C5"/>
    <w:rsid w:val="00934A2C"/>
    <w:rsid w:val="00935053"/>
    <w:rsid w:val="00945FC7"/>
    <w:rsid w:val="0095542E"/>
    <w:rsid w:val="00960011"/>
    <w:rsid w:val="00961C78"/>
    <w:rsid w:val="0096317E"/>
    <w:rsid w:val="0096351A"/>
    <w:rsid w:val="009638F9"/>
    <w:rsid w:val="0096706E"/>
    <w:rsid w:val="00974491"/>
    <w:rsid w:val="00974946"/>
    <w:rsid w:val="00975C4E"/>
    <w:rsid w:val="009812D1"/>
    <w:rsid w:val="00981FBA"/>
    <w:rsid w:val="00985B21"/>
    <w:rsid w:val="009973D7"/>
    <w:rsid w:val="00997BC5"/>
    <w:rsid w:val="009A0667"/>
    <w:rsid w:val="009A12E3"/>
    <w:rsid w:val="009A43E0"/>
    <w:rsid w:val="009A4F41"/>
    <w:rsid w:val="009A7AAA"/>
    <w:rsid w:val="009A7EE9"/>
    <w:rsid w:val="009B2EC8"/>
    <w:rsid w:val="009B381B"/>
    <w:rsid w:val="009C30CA"/>
    <w:rsid w:val="009D1753"/>
    <w:rsid w:val="009D3D8F"/>
    <w:rsid w:val="009D7611"/>
    <w:rsid w:val="009D769D"/>
    <w:rsid w:val="009E0B61"/>
    <w:rsid w:val="009E2847"/>
    <w:rsid w:val="009E53DE"/>
    <w:rsid w:val="009F5F8F"/>
    <w:rsid w:val="00A00331"/>
    <w:rsid w:val="00A10DAF"/>
    <w:rsid w:val="00A11212"/>
    <w:rsid w:val="00A11E44"/>
    <w:rsid w:val="00A135DF"/>
    <w:rsid w:val="00A1795B"/>
    <w:rsid w:val="00A23907"/>
    <w:rsid w:val="00A27FDD"/>
    <w:rsid w:val="00A30100"/>
    <w:rsid w:val="00A328B3"/>
    <w:rsid w:val="00A457DB"/>
    <w:rsid w:val="00A47ED2"/>
    <w:rsid w:val="00A50FCF"/>
    <w:rsid w:val="00A528D1"/>
    <w:rsid w:val="00A534E3"/>
    <w:rsid w:val="00A610CD"/>
    <w:rsid w:val="00A753B8"/>
    <w:rsid w:val="00A758AA"/>
    <w:rsid w:val="00A77BF5"/>
    <w:rsid w:val="00AA09A2"/>
    <w:rsid w:val="00AA7996"/>
    <w:rsid w:val="00AC19CB"/>
    <w:rsid w:val="00AC1C04"/>
    <w:rsid w:val="00AD2910"/>
    <w:rsid w:val="00AE068C"/>
    <w:rsid w:val="00AE255F"/>
    <w:rsid w:val="00AE5488"/>
    <w:rsid w:val="00AE6F91"/>
    <w:rsid w:val="00AF1D78"/>
    <w:rsid w:val="00AF5571"/>
    <w:rsid w:val="00AF578C"/>
    <w:rsid w:val="00AF620C"/>
    <w:rsid w:val="00B036CD"/>
    <w:rsid w:val="00B07341"/>
    <w:rsid w:val="00B16B93"/>
    <w:rsid w:val="00B21C69"/>
    <w:rsid w:val="00B23D63"/>
    <w:rsid w:val="00B2483A"/>
    <w:rsid w:val="00B30539"/>
    <w:rsid w:val="00B314DB"/>
    <w:rsid w:val="00B3345B"/>
    <w:rsid w:val="00B343AD"/>
    <w:rsid w:val="00B361F2"/>
    <w:rsid w:val="00B3718B"/>
    <w:rsid w:val="00B3745F"/>
    <w:rsid w:val="00B4632A"/>
    <w:rsid w:val="00B472EC"/>
    <w:rsid w:val="00B514BA"/>
    <w:rsid w:val="00B530F1"/>
    <w:rsid w:val="00B5490A"/>
    <w:rsid w:val="00B54F0A"/>
    <w:rsid w:val="00B62317"/>
    <w:rsid w:val="00B66A96"/>
    <w:rsid w:val="00B674C3"/>
    <w:rsid w:val="00B67DB0"/>
    <w:rsid w:val="00B776B8"/>
    <w:rsid w:val="00B9511F"/>
    <w:rsid w:val="00BA0C51"/>
    <w:rsid w:val="00BA237E"/>
    <w:rsid w:val="00BA276C"/>
    <w:rsid w:val="00BB19BE"/>
    <w:rsid w:val="00BB306F"/>
    <w:rsid w:val="00BB3A40"/>
    <w:rsid w:val="00BB45A7"/>
    <w:rsid w:val="00BB527E"/>
    <w:rsid w:val="00BC563B"/>
    <w:rsid w:val="00BC58B0"/>
    <w:rsid w:val="00BD46CB"/>
    <w:rsid w:val="00BD4B89"/>
    <w:rsid w:val="00BD5922"/>
    <w:rsid w:val="00BE2440"/>
    <w:rsid w:val="00BF02CB"/>
    <w:rsid w:val="00BF0C2A"/>
    <w:rsid w:val="00BF1F4A"/>
    <w:rsid w:val="00BF34B1"/>
    <w:rsid w:val="00BF4463"/>
    <w:rsid w:val="00BF6FD8"/>
    <w:rsid w:val="00C0339F"/>
    <w:rsid w:val="00C03680"/>
    <w:rsid w:val="00C054DF"/>
    <w:rsid w:val="00C10889"/>
    <w:rsid w:val="00C133B9"/>
    <w:rsid w:val="00C13AB2"/>
    <w:rsid w:val="00C15343"/>
    <w:rsid w:val="00C20721"/>
    <w:rsid w:val="00C21762"/>
    <w:rsid w:val="00C21FEF"/>
    <w:rsid w:val="00C23BA4"/>
    <w:rsid w:val="00C24535"/>
    <w:rsid w:val="00C24543"/>
    <w:rsid w:val="00C256A2"/>
    <w:rsid w:val="00C25ADB"/>
    <w:rsid w:val="00C27964"/>
    <w:rsid w:val="00C4761A"/>
    <w:rsid w:val="00C51515"/>
    <w:rsid w:val="00C53351"/>
    <w:rsid w:val="00C5660B"/>
    <w:rsid w:val="00C56B94"/>
    <w:rsid w:val="00C56E24"/>
    <w:rsid w:val="00C56F11"/>
    <w:rsid w:val="00C6033E"/>
    <w:rsid w:val="00C6291F"/>
    <w:rsid w:val="00C66B72"/>
    <w:rsid w:val="00C741C1"/>
    <w:rsid w:val="00C74333"/>
    <w:rsid w:val="00C8322A"/>
    <w:rsid w:val="00C87AC4"/>
    <w:rsid w:val="00C9230A"/>
    <w:rsid w:val="00C93E9A"/>
    <w:rsid w:val="00C95242"/>
    <w:rsid w:val="00C9567A"/>
    <w:rsid w:val="00C95E53"/>
    <w:rsid w:val="00C96DAA"/>
    <w:rsid w:val="00CB212D"/>
    <w:rsid w:val="00CB2660"/>
    <w:rsid w:val="00CC09B1"/>
    <w:rsid w:val="00CC277A"/>
    <w:rsid w:val="00CC576F"/>
    <w:rsid w:val="00CC5E90"/>
    <w:rsid w:val="00CD046C"/>
    <w:rsid w:val="00CD17F6"/>
    <w:rsid w:val="00CD4E1F"/>
    <w:rsid w:val="00CD5CFF"/>
    <w:rsid w:val="00CD659C"/>
    <w:rsid w:val="00CE076C"/>
    <w:rsid w:val="00CE13B3"/>
    <w:rsid w:val="00CE4AAC"/>
    <w:rsid w:val="00CE5199"/>
    <w:rsid w:val="00CE66D5"/>
    <w:rsid w:val="00CF192A"/>
    <w:rsid w:val="00CF570E"/>
    <w:rsid w:val="00CF637A"/>
    <w:rsid w:val="00CF6971"/>
    <w:rsid w:val="00D00DB2"/>
    <w:rsid w:val="00D059DE"/>
    <w:rsid w:val="00D05ABD"/>
    <w:rsid w:val="00D11B63"/>
    <w:rsid w:val="00D1282F"/>
    <w:rsid w:val="00D13FCE"/>
    <w:rsid w:val="00D154D8"/>
    <w:rsid w:val="00D2705D"/>
    <w:rsid w:val="00D306D1"/>
    <w:rsid w:val="00D30800"/>
    <w:rsid w:val="00D34786"/>
    <w:rsid w:val="00D37340"/>
    <w:rsid w:val="00D37BFC"/>
    <w:rsid w:val="00D415B4"/>
    <w:rsid w:val="00D47A8E"/>
    <w:rsid w:val="00D52D14"/>
    <w:rsid w:val="00D55E0D"/>
    <w:rsid w:val="00D600AA"/>
    <w:rsid w:val="00D63965"/>
    <w:rsid w:val="00D658F9"/>
    <w:rsid w:val="00D712D3"/>
    <w:rsid w:val="00D71311"/>
    <w:rsid w:val="00D71422"/>
    <w:rsid w:val="00D72DC6"/>
    <w:rsid w:val="00D7558D"/>
    <w:rsid w:val="00D80282"/>
    <w:rsid w:val="00D81D92"/>
    <w:rsid w:val="00D850DE"/>
    <w:rsid w:val="00D876F9"/>
    <w:rsid w:val="00D904E2"/>
    <w:rsid w:val="00D90A07"/>
    <w:rsid w:val="00D96818"/>
    <w:rsid w:val="00DA7B5F"/>
    <w:rsid w:val="00DB0C88"/>
    <w:rsid w:val="00DB6B4C"/>
    <w:rsid w:val="00DC11E7"/>
    <w:rsid w:val="00DC1B8A"/>
    <w:rsid w:val="00DC24E3"/>
    <w:rsid w:val="00DC32B1"/>
    <w:rsid w:val="00DC413F"/>
    <w:rsid w:val="00DC64EA"/>
    <w:rsid w:val="00DC7023"/>
    <w:rsid w:val="00DC769A"/>
    <w:rsid w:val="00DD0D97"/>
    <w:rsid w:val="00DD3D86"/>
    <w:rsid w:val="00DD4AD2"/>
    <w:rsid w:val="00DD58BD"/>
    <w:rsid w:val="00DF142E"/>
    <w:rsid w:val="00DF1EC4"/>
    <w:rsid w:val="00E00EA2"/>
    <w:rsid w:val="00E0340B"/>
    <w:rsid w:val="00E04659"/>
    <w:rsid w:val="00E04A90"/>
    <w:rsid w:val="00E0551F"/>
    <w:rsid w:val="00E14045"/>
    <w:rsid w:val="00E155D2"/>
    <w:rsid w:val="00E15B69"/>
    <w:rsid w:val="00E165DD"/>
    <w:rsid w:val="00E219C7"/>
    <w:rsid w:val="00E22E9B"/>
    <w:rsid w:val="00E2339E"/>
    <w:rsid w:val="00E25F16"/>
    <w:rsid w:val="00E26E94"/>
    <w:rsid w:val="00E4118C"/>
    <w:rsid w:val="00E418B5"/>
    <w:rsid w:val="00E43157"/>
    <w:rsid w:val="00E44BB5"/>
    <w:rsid w:val="00E461CE"/>
    <w:rsid w:val="00E56374"/>
    <w:rsid w:val="00E573E4"/>
    <w:rsid w:val="00E6378C"/>
    <w:rsid w:val="00E64C3D"/>
    <w:rsid w:val="00E71274"/>
    <w:rsid w:val="00E71AA9"/>
    <w:rsid w:val="00E720CA"/>
    <w:rsid w:val="00E82DDC"/>
    <w:rsid w:val="00E84EB5"/>
    <w:rsid w:val="00E85662"/>
    <w:rsid w:val="00E8789F"/>
    <w:rsid w:val="00E913F2"/>
    <w:rsid w:val="00E96A97"/>
    <w:rsid w:val="00E97B71"/>
    <w:rsid w:val="00EA3D34"/>
    <w:rsid w:val="00EB0DD8"/>
    <w:rsid w:val="00EB454D"/>
    <w:rsid w:val="00EC6185"/>
    <w:rsid w:val="00ED2E67"/>
    <w:rsid w:val="00ED36EA"/>
    <w:rsid w:val="00ED549D"/>
    <w:rsid w:val="00ED7651"/>
    <w:rsid w:val="00ED76BE"/>
    <w:rsid w:val="00EE00E9"/>
    <w:rsid w:val="00EE18F1"/>
    <w:rsid w:val="00EE4A80"/>
    <w:rsid w:val="00EE64C2"/>
    <w:rsid w:val="00EE750D"/>
    <w:rsid w:val="00EF0DA0"/>
    <w:rsid w:val="00EF1AAA"/>
    <w:rsid w:val="00EF619B"/>
    <w:rsid w:val="00F00B55"/>
    <w:rsid w:val="00F02AD1"/>
    <w:rsid w:val="00F06ACF"/>
    <w:rsid w:val="00F23605"/>
    <w:rsid w:val="00F24B14"/>
    <w:rsid w:val="00F253CC"/>
    <w:rsid w:val="00F278C3"/>
    <w:rsid w:val="00F347FB"/>
    <w:rsid w:val="00F348FD"/>
    <w:rsid w:val="00F35509"/>
    <w:rsid w:val="00F36AC3"/>
    <w:rsid w:val="00F37106"/>
    <w:rsid w:val="00F44E25"/>
    <w:rsid w:val="00F519CF"/>
    <w:rsid w:val="00F52C55"/>
    <w:rsid w:val="00F54F08"/>
    <w:rsid w:val="00F5542B"/>
    <w:rsid w:val="00F56BA5"/>
    <w:rsid w:val="00F57F5D"/>
    <w:rsid w:val="00F60E22"/>
    <w:rsid w:val="00F64B3C"/>
    <w:rsid w:val="00F724F7"/>
    <w:rsid w:val="00F737E8"/>
    <w:rsid w:val="00F81395"/>
    <w:rsid w:val="00F81912"/>
    <w:rsid w:val="00F81BB8"/>
    <w:rsid w:val="00F82419"/>
    <w:rsid w:val="00F8343E"/>
    <w:rsid w:val="00F84C22"/>
    <w:rsid w:val="00F86F28"/>
    <w:rsid w:val="00F90C64"/>
    <w:rsid w:val="00F917D1"/>
    <w:rsid w:val="00F94115"/>
    <w:rsid w:val="00F9653B"/>
    <w:rsid w:val="00FB363E"/>
    <w:rsid w:val="00FB471D"/>
    <w:rsid w:val="00FB58F8"/>
    <w:rsid w:val="00FB62CF"/>
    <w:rsid w:val="00FC2CA6"/>
    <w:rsid w:val="00FD2E8A"/>
    <w:rsid w:val="00FD3C3B"/>
    <w:rsid w:val="00FD7673"/>
    <w:rsid w:val="00FE07DD"/>
    <w:rsid w:val="00FE15FE"/>
    <w:rsid w:val="00FE48E7"/>
    <w:rsid w:val="00FE6B45"/>
    <w:rsid w:val="00FF07F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8656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678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67801"/>
  </w:style>
  <w:style w:type="character" w:customStyle="1" w:styleId="eop">
    <w:name w:val="eop"/>
    <w:basedOn w:val="DefaultParagraphFont"/>
    <w:rsid w:val="0066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45D3B"/>
    <w:rsid w:val="001C4BC0"/>
    <w:rsid w:val="00200821"/>
    <w:rsid w:val="00201CE6"/>
    <w:rsid w:val="0025245B"/>
    <w:rsid w:val="002A3923"/>
    <w:rsid w:val="00394049"/>
    <w:rsid w:val="004B5BBB"/>
    <w:rsid w:val="004F2DF8"/>
    <w:rsid w:val="005C1A15"/>
    <w:rsid w:val="006971F7"/>
    <w:rsid w:val="006D27A2"/>
    <w:rsid w:val="006F24A1"/>
    <w:rsid w:val="007079C8"/>
    <w:rsid w:val="00715B52"/>
    <w:rsid w:val="008525AB"/>
    <w:rsid w:val="009A261B"/>
    <w:rsid w:val="00A4418E"/>
    <w:rsid w:val="00A57B69"/>
    <w:rsid w:val="00AA2E17"/>
    <w:rsid w:val="00AC15A4"/>
    <w:rsid w:val="00B0336C"/>
    <w:rsid w:val="00B26051"/>
    <w:rsid w:val="00B30277"/>
    <w:rsid w:val="00B76348"/>
    <w:rsid w:val="00D241E9"/>
    <w:rsid w:val="00D7750D"/>
    <w:rsid w:val="00DF7F10"/>
    <w:rsid w:val="00E4169B"/>
    <w:rsid w:val="00E65AD1"/>
    <w:rsid w:val="00F00D2F"/>
    <w:rsid w:val="00F128DF"/>
    <w:rsid w:val="00FE15FE"/>
    <w:rsid w:val="00FE4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3554</Words>
  <Characters>20261</Characters>
  <Application>Microsoft Office Word</Application>
  <DocSecurity>0</DocSecurity>
  <Lines>168</Lines>
  <Paragraphs>47</Paragraphs>
  <ScaleCrop>false</ScaleCrop>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2024-06-26T13:30:00Z</dcterms:created>
  <dcterms:modified xsi:type="dcterms:W3CDTF">2024-06-26T13:30:00Z</dcterms:modified>
</cp:coreProperties>
</file>