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F303" w14:textId="77777777" w:rsidR="001E4463" w:rsidRDefault="001E4463" w:rsidP="001E4463">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E61036E" wp14:editId="3ACD40B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F399230" wp14:editId="0EAA1B20">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EDF4C74" wp14:editId="4784CFF6">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8AC21" w14:textId="77777777" w:rsidR="001E4463" w:rsidRPr="00411A74" w:rsidRDefault="001E4463" w:rsidP="001E4463">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EB0595C" w14:textId="77777777" w:rsidR="001E4463" w:rsidRDefault="001E4463" w:rsidP="001E4463">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0352CF98" w14:textId="77777777" w:rsidR="00985D96" w:rsidRPr="005A750D" w:rsidRDefault="00985D96">
      <w:pPr>
        <w:pBdr>
          <w:top w:val="nil"/>
          <w:left w:val="nil"/>
          <w:bottom w:val="nil"/>
          <w:right w:val="nil"/>
          <w:between w:val="nil"/>
        </w:pBdr>
        <w:tabs>
          <w:tab w:val="center" w:pos="4419"/>
          <w:tab w:val="right" w:pos="8838"/>
        </w:tabs>
        <w:spacing w:after="0" w:line="240" w:lineRule="auto"/>
        <w:jc w:val="center"/>
        <w:rPr>
          <w:rFonts w:ascii="Calibri Light" w:hAnsi="Calibri Light"/>
          <w:color w:val="000000"/>
        </w:rPr>
      </w:pPr>
    </w:p>
    <w:tbl>
      <w:tblPr>
        <w:tblStyle w:val="a"/>
        <w:tblW w:w="8505" w:type="dxa"/>
        <w:tblInd w:w="0" w:type="dxa"/>
        <w:tblBorders>
          <w:top w:val="single" w:sz="4" w:space="0" w:color="9CC3E5"/>
          <w:bottom w:val="single" w:sz="4" w:space="0" w:color="9CC3E5"/>
          <w:insideH w:val="single" w:sz="4" w:space="0" w:color="9CC3E5"/>
        </w:tblBorders>
        <w:tblLayout w:type="fixed"/>
        <w:tblLook w:val="04A0" w:firstRow="1" w:lastRow="0" w:firstColumn="1" w:lastColumn="0" w:noHBand="0" w:noVBand="1"/>
      </w:tblPr>
      <w:tblGrid>
        <w:gridCol w:w="3587"/>
        <w:gridCol w:w="2429"/>
        <w:gridCol w:w="2489"/>
      </w:tblGrid>
      <w:tr w:rsidR="00985D96" w:rsidRPr="005A750D" w14:paraId="50C6BD76" w14:textId="77777777" w:rsidTr="0047563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07047344" w14:textId="21F76406" w:rsidR="00985D96" w:rsidRPr="00475637"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t>Datos generales</w:t>
            </w:r>
          </w:p>
        </w:tc>
      </w:tr>
      <w:tr w:rsidR="00985D96" w:rsidRPr="005A750D" w14:paraId="0370F50D" w14:textId="77777777" w:rsidTr="00985D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7" w:type="dxa"/>
          </w:tcPr>
          <w:p w14:paraId="735F35D3" w14:textId="77777777" w:rsidR="00985D96" w:rsidRPr="005A750D" w:rsidRDefault="00984336">
            <w:pPr>
              <w:numPr>
                <w:ilvl w:val="0"/>
                <w:numId w:val="4"/>
              </w:numPr>
              <w:pBdr>
                <w:top w:val="nil"/>
                <w:left w:val="nil"/>
                <w:bottom w:val="nil"/>
                <w:right w:val="nil"/>
                <w:between w:val="nil"/>
              </w:pBdr>
              <w:contextualSpacing/>
              <w:rPr>
                <w:rFonts w:ascii="Calibri Light" w:hAnsi="Calibri Light"/>
                <w:color w:val="000000"/>
              </w:rPr>
            </w:pPr>
            <w:r w:rsidRPr="005A750D">
              <w:rPr>
                <w:rFonts w:ascii="Calibri Light" w:hAnsi="Calibri Light"/>
                <w:color w:val="000000"/>
              </w:rPr>
              <w:t>Nombre del caso</w:t>
            </w:r>
          </w:p>
        </w:tc>
        <w:tc>
          <w:tcPr>
            <w:tcW w:w="4918" w:type="dxa"/>
            <w:gridSpan w:val="2"/>
          </w:tcPr>
          <w:p w14:paraId="26A0D751" w14:textId="3C0B52AC" w:rsidR="00985D96" w:rsidRPr="005A750D" w:rsidRDefault="0098433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750D">
              <w:rPr>
                <w:rFonts w:ascii="Calibri Light" w:hAnsi="Calibri Light"/>
              </w:rPr>
              <w:t>María</w:t>
            </w:r>
            <w:r w:rsidR="00475637">
              <w:rPr>
                <w:rFonts w:ascii="Calibri Light" w:hAnsi="Calibri Light"/>
              </w:rPr>
              <w:t xml:space="preserve"> Eugenia Villaseñor y familia,</w:t>
            </w:r>
            <w:r w:rsidRPr="005A750D">
              <w:rPr>
                <w:rFonts w:ascii="Calibri Light" w:hAnsi="Calibri Light"/>
              </w:rPr>
              <w:t xml:space="preserve"> Guatemala</w:t>
            </w:r>
          </w:p>
        </w:tc>
      </w:tr>
      <w:tr w:rsidR="00985D96" w:rsidRPr="005A750D" w14:paraId="4FA112CA" w14:textId="77777777" w:rsidTr="00985D96">
        <w:trPr>
          <w:trHeight w:val="260"/>
        </w:trPr>
        <w:tc>
          <w:tcPr>
            <w:cnfStyle w:val="001000000000" w:firstRow="0" w:lastRow="0" w:firstColumn="1" w:lastColumn="0" w:oddVBand="0" w:evenVBand="0" w:oddHBand="0" w:evenHBand="0" w:firstRowFirstColumn="0" w:firstRowLastColumn="0" w:lastRowFirstColumn="0" w:lastRowLastColumn="0"/>
            <w:tcW w:w="3587" w:type="dxa"/>
          </w:tcPr>
          <w:p w14:paraId="1F75B729" w14:textId="1550E58B" w:rsidR="00985D96" w:rsidRPr="005A750D" w:rsidRDefault="00475637">
            <w:pPr>
              <w:numPr>
                <w:ilvl w:val="0"/>
                <w:numId w:val="4"/>
              </w:numPr>
              <w:pBdr>
                <w:top w:val="nil"/>
                <w:left w:val="nil"/>
                <w:bottom w:val="nil"/>
                <w:right w:val="nil"/>
                <w:between w:val="nil"/>
              </w:pBdr>
              <w:contextualSpacing/>
              <w:rPr>
                <w:rFonts w:ascii="Calibri Light" w:hAnsi="Calibri Light"/>
                <w:color w:val="000000"/>
              </w:rPr>
            </w:pPr>
            <w:r>
              <w:rPr>
                <w:rFonts w:ascii="Calibri Light" w:hAnsi="Calibri Light"/>
                <w:color w:val="000000"/>
              </w:rPr>
              <w:t>Parte peticionaria</w:t>
            </w:r>
          </w:p>
        </w:tc>
        <w:tc>
          <w:tcPr>
            <w:tcW w:w="4918" w:type="dxa"/>
            <w:gridSpan w:val="2"/>
          </w:tcPr>
          <w:p w14:paraId="020065A8" w14:textId="77777777" w:rsidR="00985D96" w:rsidRPr="005A750D" w:rsidRDefault="009843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750D">
              <w:rPr>
                <w:rFonts w:ascii="Calibri Light" w:hAnsi="Calibri Light"/>
              </w:rPr>
              <w:t>Oficina de Derechos Humanos del Arzobispado de Guatemala (1994-2013)</w:t>
            </w:r>
          </w:p>
          <w:p w14:paraId="644895A0" w14:textId="77777777" w:rsidR="00985D96" w:rsidRPr="005A750D" w:rsidRDefault="009843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750D">
              <w:rPr>
                <w:rFonts w:ascii="Calibri Light" w:hAnsi="Calibri Light"/>
              </w:rPr>
              <w:t>María Eugenia Villaseñor (2013 - en adelante)</w:t>
            </w:r>
          </w:p>
        </w:tc>
      </w:tr>
      <w:tr w:rsidR="00985D96" w:rsidRPr="005A750D" w14:paraId="7E5DA9B5" w14:textId="77777777" w:rsidTr="00985D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7" w:type="dxa"/>
          </w:tcPr>
          <w:p w14:paraId="715A9CEE" w14:textId="77777777" w:rsidR="00985D96" w:rsidRPr="005A750D" w:rsidRDefault="00984336">
            <w:pPr>
              <w:numPr>
                <w:ilvl w:val="0"/>
                <w:numId w:val="4"/>
              </w:numPr>
              <w:pBdr>
                <w:top w:val="nil"/>
                <w:left w:val="nil"/>
                <w:bottom w:val="nil"/>
                <w:right w:val="nil"/>
                <w:between w:val="nil"/>
              </w:pBdr>
              <w:contextualSpacing/>
              <w:rPr>
                <w:rFonts w:ascii="Calibri Light" w:hAnsi="Calibri Light"/>
                <w:color w:val="000000"/>
              </w:rPr>
            </w:pPr>
            <w:r w:rsidRPr="005A750D">
              <w:rPr>
                <w:rFonts w:ascii="Calibri Light" w:hAnsi="Calibri Light"/>
                <w:color w:val="000000"/>
              </w:rPr>
              <w:t xml:space="preserve">Número de Informe </w:t>
            </w:r>
          </w:p>
        </w:tc>
        <w:tc>
          <w:tcPr>
            <w:tcW w:w="4918" w:type="dxa"/>
            <w:gridSpan w:val="2"/>
          </w:tcPr>
          <w:p w14:paraId="3C435697" w14:textId="77777777" w:rsidR="00985D96" w:rsidRPr="005A750D" w:rsidRDefault="00D27F8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1">
              <w:r w:rsidR="00984336" w:rsidRPr="005A750D">
                <w:rPr>
                  <w:rFonts w:ascii="Calibri Light" w:hAnsi="Calibri Light"/>
                  <w:color w:val="0000FF"/>
                  <w:u w:val="single"/>
                </w:rPr>
                <w:t>Informe No. 46/16</w:t>
              </w:r>
            </w:hyperlink>
          </w:p>
        </w:tc>
      </w:tr>
      <w:tr w:rsidR="00985D96" w:rsidRPr="005A750D" w14:paraId="0569FE45" w14:textId="77777777" w:rsidTr="00985D96">
        <w:trPr>
          <w:trHeight w:val="200"/>
        </w:trPr>
        <w:tc>
          <w:tcPr>
            <w:cnfStyle w:val="001000000000" w:firstRow="0" w:lastRow="0" w:firstColumn="1" w:lastColumn="0" w:oddVBand="0" w:evenVBand="0" w:oddHBand="0" w:evenHBand="0" w:firstRowFirstColumn="0" w:firstRowLastColumn="0" w:lastRowFirstColumn="0" w:lastRowLastColumn="0"/>
            <w:tcW w:w="3587" w:type="dxa"/>
          </w:tcPr>
          <w:p w14:paraId="6A447033" w14:textId="77777777" w:rsidR="00985D96" w:rsidRPr="005A750D" w:rsidRDefault="00984336">
            <w:pPr>
              <w:numPr>
                <w:ilvl w:val="0"/>
                <w:numId w:val="4"/>
              </w:numPr>
              <w:pBdr>
                <w:top w:val="nil"/>
                <w:left w:val="nil"/>
                <w:bottom w:val="nil"/>
                <w:right w:val="nil"/>
                <w:between w:val="nil"/>
              </w:pBdr>
              <w:contextualSpacing/>
              <w:rPr>
                <w:rFonts w:ascii="Calibri Light" w:hAnsi="Calibri Light"/>
              </w:rPr>
            </w:pPr>
            <w:r w:rsidRPr="005A750D">
              <w:rPr>
                <w:rFonts w:ascii="Calibri Light" w:hAnsi="Calibri Light"/>
                <w:color w:val="000000"/>
              </w:rPr>
              <w:t xml:space="preserve">Tipo de informe </w:t>
            </w:r>
          </w:p>
        </w:tc>
        <w:tc>
          <w:tcPr>
            <w:tcW w:w="4918" w:type="dxa"/>
            <w:gridSpan w:val="2"/>
          </w:tcPr>
          <w:p w14:paraId="5E9140A6" w14:textId="77777777" w:rsidR="00985D96" w:rsidRPr="005A750D" w:rsidRDefault="009843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5A750D">
              <w:rPr>
                <w:rFonts w:ascii="Calibri Light" w:hAnsi="Calibri Light"/>
              </w:rPr>
              <w:t>Informe de</w:t>
            </w:r>
            <w:r w:rsidR="00E03916">
              <w:rPr>
                <w:rFonts w:ascii="Calibri Light" w:hAnsi="Calibri Light"/>
              </w:rPr>
              <w:t xml:space="preserve"> Admisibilidad y</w:t>
            </w:r>
            <w:r w:rsidRPr="005A750D">
              <w:rPr>
                <w:rFonts w:ascii="Calibri Light" w:hAnsi="Calibri Light"/>
              </w:rPr>
              <w:t xml:space="preserve"> Fondo (Caso en la Corte IDH)</w:t>
            </w:r>
          </w:p>
        </w:tc>
      </w:tr>
      <w:tr w:rsidR="00985D96" w:rsidRPr="005A750D" w14:paraId="5A904179" w14:textId="77777777" w:rsidTr="00806B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87" w:type="dxa"/>
          </w:tcPr>
          <w:p w14:paraId="4E4C4800" w14:textId="77777777" w:rsidR="00985D96" w:rsidRPr="005A750D" w:rsidRDefault="00984336">
            <w:pPr>
              <w:numPr>
                <w:ilvl w:val="0"/>
                <w:numId w:val="4"/>
              </w:numPr>
              <w:pBdr>
                <w:top w:val="nil"/>
                <w:left w:val="nil"/>
                <w:bottom w:val="nil"/>
                <w:right w:val="nil"/>
                <w:between w:val="nil"/>
              </w:pBdr>
              <w:contextualSpacing/>
              <w:rPr>
                <w:rFonts w:ascii="Calibri Light" w:hAnsi="Calibri Light"/>
                <w:color w:val="000000"/>
              </w:rPr>
            </w:pPr>
            <w:r w:rsidRPr="005A750D">
              <w:rPr>
                <w:rFonts w:ascii="Calibri Light" w:hAnsi="Calibri Light"/>
                <w:color w:val="000000"/>
              </w:rPr>
              <w:t xml:space="preserve">Fecha </w:t>
            </w:r>
          </w:p>
        </w:tc>
        <w:tc>
          <w:tcPr>
            <w:tcW w:w="4918" w:type="dxa"/>
            <w:gridSpan w:val="2"/>
          </w:tcPr>
          <w:p w14:paraId="5F7304E9" w14:textId="77777777" w:rsidR="00985D96" w:rsidRPr="005A750D" w:rsidRDefault="0098433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750D">
              <w:rPr>
                <w:rFonts w:ascii="Calibri Light" w:hAnsi="Calibri Light"/>
              </w:rPr>
              <w:t>29 de noviembre de 2016</w:t>
            </w:r>
          </w:p>
        </w:tc>
      </w:tr>
      <w:tr w:rsidR="00985D96" w:rsidRPr="005A750D" w14:paraId="1FB42416" w14:textId="77777777" w:rsidTr="00A13A63">
        <w:trPr>
          <w:trHeight w:val="600"/>
        </w:trPr>
        <w:tc>
          <w:tcPr>
            <w:cnfStyle w:val="001000000000" w:firstRow="0" w:lastRow="0" w:firstColumn="1" w:lastColumn="0" w:oddVBand="0" w:evenVBand="0" w:oddHBand="0" w:evenHBand="0" w:firstRowFirstColumn="0" w:firstRowLastColumn="0" w:lastRowFirstColumn="0" w:lastRowLastColumn="0"/>
            <w:tcW w:w="3587" w:type="dxa"/>
          </w:tcPr>
          <w:p w14:paraId="6B2CAF33" w14:textId="77777777" w:rsidR="00985D96" w:rsidRPr="005A750D" w:rsidRDefault="00984336">
            <w:pPr>
              <w:numPr>
                <w:ilvl w:val="0"/>
                <w:numId w:val="4"/>
              </w:numPr>
              <w:pBdr>
                <w:top w:val="nil"/>
                <w:left w:val="nil"/>
                <w:bottom w:val="nil"/>
                <w:right w:val="nil"/>
                <w:between w:val="nil"/>
              </w:pBdr>
              <w:contextualSpacing/>
              <w:rPr>
                <w:rFonts w:ascii="Calibri Light" w:hAnsi="Calibri Light"/>
                <w:color w:val="000000"/>
              </w:rPr>
            </w:pPr>
            <w:r w:rsidRPr="005A750D">
              <w:rPr>
                <w:rFonts w:ascii="Calibri Light" w:hAnsi="Calibri Light"/>
                <w:color w:val="000000"/>
              </w:rPr>
              <w:t>Decisiones de la CIDH y/o la Corte IDH, relacionadas</w:t>
            </w:r>
          </w:p>
        </w:tc>
        <w:tc>
          <w:tcPr>
            <w:tcW w:w="4918" w:type="dxa"/>
            <w:gridSpan w:val="2"/>
            <w:vAlign w:val="center"/>
          </w:tcPr>
          <w:p w14:paraId="36549B22" w14:textId="77777777" w:rsidR="00985D96" w:rsidRDefault="00984336" w:rsidP="00A13A63">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750D">
              <w:rPr>
                <w:rFonts w:ascii="Calibri Light" w:hAnsi="Calibri Light"/>
                <w:color w:val="000000"/>
              </w:rPr>
              <w:t>Medidas Cautelares</w:t>
            </w:r>
            <w:r w:rsidRPr="005A750D">
              <w:rPr>
                <w:rFonts w:ascii="Calibri Light" w:hAnsi="Calibri Light"/>
              </w:rPr>
              <w:t xml:space="preserve"> (</w:t>
            </w:r>
            <w:hyperlink r:id="rId12" w:anchor="GUATEMALA">
              <w:r w:rsidRPr="005A750D">
                <w:rPr>
                  <w:rFonts w:ascii="Calibri Light" w:hAnsi="Calibri Light"/>
                  <w:color w:val="0000FF"/>
                  <w:u w:val="single"/>
                </w:rPr>
                <w:t>Informe Anual CIDH 1994</w:t>
              </w:r>
            </w:hyperlink>
            <w:r w:rsidRPr="005A750D">
              <w:rPr>
                <w:rFonts w:ascii="Calibri Light" w:hAnsi="Calibri Light"/>
              </w:rPr>
              <w:t>)</w:t>
            </w:r>
          </w:p>
          <w:p w14:paraId="3118CE6E" w14:textId="2B6D1B29" w:rsidR="001E4463" w:rsidRPr="005A750D" w:rsidRDefault="001E4463" w:rsidP="001E446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Villaseñor Velarde y otros vs. Guatemala (</w:t>
            </w:r>
            <w:hyperlink r:id="rId13" w:history="1">
              <w:r w:rsidRPr="001E4463">
                <w:rPr>
                  <w:rStyle w:val="Hyperlink"/>
                  <w:rFonts w:ascii="Calibri Light" w:hAnsi="Calibri Light"/>
                </w:rPr>
                <w:t>Sentencia de 5 de febrero de 2019</w:t>
              </w:r>
            </w:hyperlink>
            <w:r>
              <w:rPr>
                <w:rFonts w:ascii="Calibri Light" w:hAnsi="Calibri Light"/>
              </w:rPr>
              <w:t>)</w:t>
            </w:r>
          </w:p>
        </w:tc>
      </w:tr>
      <w:tr w:rsidR="00985D96" w:rsidRPr="005A750D" w14:paraId="192CF9B9" w14:textId="77777777" w:rsidTr="00985D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87" w:type="dxa"/>
            <w:vMerge w:val="restart"/>
          </w:tcPr>
          <w:p w14:paraId="5CD91677" w14:textId="77777777" w:rsidR="00985D96" w:rsidRPr="005A750D" w:rsidRDefault="00984336">
            <w:pPr>
              <w:numPr>
                <w:ilvl w:val="0"/>
                <w:numId w:val="4"/>
              </w:numPr>
              <w:pBdr>
                <w:top w:val="nil"/>
                <w:left w:val="nil"/>
                <w:bottom w:val="nil"/>
                <w:right w:val="nil"/>
                <w:between w:val="nil"/>
              </w:pBdr>
              <w:contextualSpacing/>
              <w:rPr>
                <w:rFonts w:ascii="Calibri Light" w:hAnsi="Calibri Light"/>
                <w:color w:val="000000"/>
              </w:rPr>
            </w:pPr>
            <w:r w:rsidRPr="005A750D">
              <w:rPr>
                <w:rFonts w:ascii="Calibri Light" w:hAnsi="Calibri Light"/>
                <w:color w:val="000000"/>
              </w:rPr>
              <w:t>Artículos analizados</w:t>
            </w:r>
          </w:p>
        </w:tc>
        <w:tc>
          <w:tcPr>
            <w:tcW w:w="4918" w:type="dxa"/>
            <w:gridSpan w:val="2"/>
          </w:tcPr>
          <w:p w14:paraId="0F3FAF19" w14:textId="77777777" w:rsidR="00985D96" w:rsidRPr="005A750D" w:rsidRDefault="0098433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750D">
              <w:rPr>
                <w:rFonts w:ascii="Calibri Light" w:hAnsi="Calibri Light"/>
              </w:rPr>
              <w:t>Convención Americana sobre Derechos Humanos</w:t>
            </w:r>
          </w:p>
        </w:tc>
      </w:tr>
      <w:tr w:rsidR="00985D96" w:rsidRPr="005A750D" w14:paraId="15705504" w14:textId="77777777" w:rsidTr="00985D96">
        <w:trPr>
          <w:trHeight w:val="540"/>
        </w:trPr>
        <w:tc>
          <w:tcPr>
            <w:cnfStyle w:val="001000000000" w:firstRow="0" w:lastRow="0" w:firstColumn="1" w:lastColumn="0" w:oddVBand="0" w:evenVBand="0" w:oddHBand="0" w:evenHBand="0" w:firstRowFirstColumn="0" w:firstRowLastColumn="0" w:lastRowFirstColumn="0" w:lastRowLastColumn="0"/>
            <w:tcW w:w="3587" w:type="dxa"/>
            <w:vMerge/>
          </w:tcPr>
          <w:p w14:paraId="6D74E50D" w14:textId="77777777" w:rsidR="00985D96" w:rsidRPr="005A750D" w:rsidRDefault="00985D96">
            <w:pPr>
              <w:widowControl w:val="0"/>
              <w:pBdr>
                <w:top w:val="nil"/>
                <w:left w:val="nil"/>
                <w:bottom w:val="nil"/>
                <w:right w:val="nil"/>
                <w:between w:val="nil"/>
              </w:pBdr>
              <w:spacing w:line="276" w:lineRule="auto"/>
              <w:rPr>
                <w:rFonts w:ascii="Calibri Light" w:hAnsi="Calibri Light"/>
              </w:rPr>
            </w:pPr>
          </w:p>
        </w:tc>
        <w:tc>
          <w:tcPr>
            <w:tcW w:w="2429" w:type="dxa"/>
          </w:tcPr>
          <w:p w14:paraId="3884226D" w14:textId="77777777" w:rsidR="00985D96" w:rsidRPr="005A750D" w:rsidRDefault="009843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750D">
              <w:rPr>
                <w:rFonts w:ascii="Calibri Light" w:hAnsi="Calibri Light"/>
              </w:rPr>
              <w:t>Artículos analizados declarados violados</w:t>
            </w:r>
          </w:p>
        </w:tc>
        <w:tc>
          <w:tcPr>
            <w:tcW w:w="2489" w:type="dxa"/>
          </w:tcPr>
          <w:p w14:paraId="40298F6E" w14:textId="77777777" w:rsidR="00985D96" w:rsidRPr="005A750D" w:rsidRDefault="009843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A750D">
              <w:rPr>
                <w:rFonts w:ascii="Calibri Light" w:hAnsi="Calibri Light"/>
              </w:rPr>
              <w:t>Artículos analizados no declarados violados</w:t>
            </w:r>
          </w:p>
        </w:tc>
      </w:tr>
      <w:tr w:rsidR="00985D96" w:rsidRPr="005A750D" w14:paraId="3ED35A35" w14:textId="77777777" w:rsidTr="00985D9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87" w:type="dxa"/>
            <w:vMerge/>
          </w:tcPr>
          <w:p w14:paraId="117A3D11" w14:textId="77777777" w:rsidR="00985D96" w:rsidRPr="005A750D" w:rsidRDefault="00985D96">
            <w:pPr>
              <w:widowControl w:val="0"/>
              <w:pBdr>
                <w:top w:val="nil"/>
                <w:left w:val="nil"/>
                <w:bottom w:val="nil"/>
                <w:right w:val="nil"/>
                <w:between w:val="nil"/>
              </w:pBdr>
              <w:spacing w:line="276" w:lineRule="auto"/>
              <w:rPr>
                <w:rFonts w:ascii="Calibri Light" w:hAnsi="Calibri Light"/>
              </w:rPr>
            </w:pPr>
          </w:p>
        </w:tc>
        <w:tc>
          <w:tcPr>
            <w:tcW w:w="2429" w:type="dxa"/>
          </w:tcPr>
          <w:p w14:paraId="19857B03" w14:textId="77777777" w:rsidR="00985D96" w:rsidRPr="005A750D" w:rsidRDefault="0098433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750D">
              <w:rPr>
                <w:rFonts w:ascii="Calibri Light" w:hAnsi="Calibri Light"/>
              </w:rPr>
              <w:t>Art. 1, art. 5, art. 8, art. 25</w:t>
            </w:r>
          </w:p>
        </w:tc>
        <w:tc>
          <w:tcPr>
            <w:tcW w:w="2489" w:type="dxa"/>
            <w:vAlign w:val="center"/>
          </w:tcPr>
          <w:p w14:paraId="30CCE0A8" w14:textId="77777777" w:rsidR="00985D96" w:rsidRPr="005A750D" w:rsidRDefault="0098433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A750D">
              <w:rPr>
                <w:rFonts w:ascii="Calibri Light" w:hAnsi="Calibri Light"/>
              </w:rPr>
              <w:t>-</w:t>
            </w:r>
          </w:p>
        </w:tc>
      </w:tr>
      <w:tr w:rsidR="00985D96" w:rsidRPr="005A750D" w14:paraId="4C80D665" w14:textId="77777777" w:rsidTr="00475637">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491883B0" w14:textId="20929D21" w:rsidR="00985D96" w:rsidRPr="00475637"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t>Sumilla</w:t>
            </w:r>
          </w:p>
        </w:tc>
      </w:tr>
      <w:tr w:rsidR="00985D96" w:rsidRPr="005A750D" w14:paraId="7EFDEAE9" w14:textId="77777777" w:rsidTr="00985D9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5" w:type="dxa"/>
            <w:gridSpan w:val="3"/>
          </w:tcPr>
          <w:p w14:paraId="05ADCA45" w14:textId="77777777" w:rsidR="00985D96" w:rsidRPr="005A750D" w:rsidRDefault="00985D96">
            <w:pPr>
              <w:jc w:val="both"/>
              <w:rPr>
                <w:rFonts w:ascii="Calibri Light" w:hAnsi="Calibri Light"/>
              </w:rPr>
            </w:pPr>
          </w:p>
          <w:p w14:paraId="773569EB" w14:textId="161C2A9B" w:rsidR="00985D96" w:rsidRPr="005A750D" w:rsidRDefault="00984336">
            <w:pPr>
              <w:jc w:val="both"/>
              <w:rPr>
                <w:rFonts w:ascii="Calibri Light" w:hAnsi="Calibri Light"/>
              </w:rPr>
            </w:pPr>
            <w:r w:rsidRPr="005A750D">
              <w:rPr>
                <w:rFonts w:ascii="Calibri Light" w:hAnsi="Calibri Light"/>
                <w:b w:val="0"/>
              </w:rPr>
              <w:t xml:space="preserve">El caso aborda las fallas en la determinación de un esquema de </w:t>
            </w:r>
            <w:r w:rsidR="00BD24C3">
              <w:rPr>
                <w:rFonts w:ascii="Calibri Light" w:hAnsi="Calibri Light"/>
                <w:b w:val="0"/>
              </w:rPr>
              <w:t xml:space="preserve">protección adecuado para </w:t>
            </w:r>
            <w:r w:rsidRPr="005A750D">
              <w:rPr>
                <w:rFonts w:ascii="Calibri Light" w:hAnsi="Calibri Light"/>
                <w:b w:val="0"/>
              </w:rPr>
              <w:t xml:space="preserve">María Eugenia Villaseñor y su familia tras las denuncias de diversas formas de hostigamiento y persecución, como amenazas, robos de información personal, el intento de secuestro de su hija, entre otras, de las que fue víctima en el marco de su trabajo como jueza del Organismo Judicial de Guatemala. Por otro lado, también trata </w:t>
            </w:r>
            <w:r w:rsidR="00BD24C3">
              <w:rPr>
                <w:rFonts w:ascii="Calibri Light" w:hAnsi="Calibri Light"/>
                <w:b w:val="0"/>
              </w:rPr>
              <w:t xml:space="preserve">sobre </w:t>
            </w:r>
            <w:r w:rsidRPr="005A750D">
              <w:rPr>
                <w:rFonts w:ascii="Calibri Light" w:hAnsi="Calibri Light"/>
                <w:b w:val="0"/>
              </w:rPr>
              <w:t>la falta de una investigación seria y diligente por parte del Estado sobre las denuncias presentadas ante dichos actos.</w:t>
            </w:r>
          </w:p>
          <w:p w14:paraId="572D46B1" w14:textId="77777777" w:rsidR="00985D96" w:rsidRPr="005A750D" w:rsidRDefault="00985D96">
            <w:pPr>
              <w:jc w:val="both"/>
              <w:rPr>
                <w:rFonts w:ascii="Calibri Light" w:hAnsi="Calibri Light"/>
              </w:rPr>
            </w:pPr>
          </w:p>
        </w:tc>
      </w:tr>
      <w:tr w:rsidR="00985D96" w:rsidRPr="005A750D" w14:paraId="6FCCD76F" w14:textId="77777777" w:rsidTr="00475637">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24586FFC" w14:textId="261A73BB" w:rsidR="00985D96" w:rsidRPr="00475637"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t>Palabras clave</w:t>
            </w:r>
          </w:p>
        </w:tc>
      </w:tr>
      <w:tr w:rsidR="00985D96" w:rsidRPr="005A750D" w14:paraId="304AA88A" w14:textId="77777777" w:rsidTr="00985D9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2071A2B4" w14:textId="77777777" w:rsidR="00985D96" w:rsidRPr="005A750D" w:rsidRDefault="00985D96">
            <w:pPr>
              <w:rPr>
                <w:rFonts w:ascii="Calibri Light" w:hAnsi="Calibri Light"/>
              </w:rPr>
            </w:pPr>
          </w:p>
          <w:p w14:paraId="427BA417" w14:textId="77777777" w:rsidR="00985D96" w:rsidRPr="005A750D" w:rsidRDefault="00984336">
            <w:pPr>
              <w:rPr>
                <w:rFonts w:ascii="Calibri Light" w:hAnsi="Calibri Light"/>
              </w:rPr>
            </w:pPr>
            <w:r w:rsidRPr="005A750D">
              <w:rPr>
                <w:rFonts w:ascii="Calibri Light" w:hAnsi="Calibri Light"/>
                <w:b w:val="0"/>
              </w:rPr>
              <w:t>Integridad personal, Protección judicial y garantías judiciales</w:t>
            </w:r>
          </w:p>
          <w:p w14:paraId="1C52D1E3" w14:textId="77777777" w:rsidR="00985D96" w:rsidRPr="005A750D" w:rsidRDefault="00985D96">
            <w:pPr>
              <w:rPr>
                <w:rFonts w:ascii="Calibri Light" w:hAnsi="Calibri Light"/>
              </w:rPr>
            </w:pPr>
          </w:p>
        </w:tc>
      </w:tr>
      <w:tr w:rsidR="00985D96" w:rsidRPr="005A750D" w14:paraId="026A502B" w14:textId="77777777" w:rsidTr="00475637">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7570C609" w14:textId="45789ED8" w:rsidR="00985D96" w:rsidRPr="00475637"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t>Hechos</w:t>
            </w:r>
          </w:p>
        </w:tc>
      </w:tr>
      <w:tr w:rsidR="00985D96" w:rsidRPr="005A750D" w14:paraId="09CBBEC2" w14:textId="77777777" w:rsidTr="00985D9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505" w:type="dxa"/>
            <w:gridSpan w:val="3"/>
          </w:tcPr>
          <w:p w14:paraId="43922FB4" w14:textId="77777777" w:rsidR="00985D96" w:rsidRPr="005A750D" w:rsidRDefault="00985D96">
            <w:pPr>
              <w:jc w:val="both"/>
              <w:rPr>
                <w:rFonts w:ascii="Calibri Light" w:hAnsi="Calibri Light"/>
              </w:rPr>
            </w:pPr>
          </w:p>
          <w:p w14:paraId="5A3CDB11" w14:textId="06B7B9E6" w:rsidR="00985D96" w:rsidRPr="005A750D" w:rsidRDefault="00984336">
            <w:pPr>
              <w:jc w:val="both"/>
              <w:rPr>
                <w:rFonts w:ascii="Calibri Light" w:hAnsi="Calibri Light"/>
              </w:rPr>
            </w:pPr>
            <w:r w:rsidRPr="005A750D">
              <w:rPr>
                <w:rFonts w:ascii="Calibri Light" w:hAnsi="Calibri Light"/>
                <w:b w:val="0"/>
              </w:rPr>
              <w:t xml:space="preserve">Durante la década de los noventa, Guatemala atravesó una etapa de intensificación de la violencia contra magistrados y magistradas. </w:t>
            </w:r>
            <w:r w:rsidR="00F46482">
              <w:rPr>
                <w:rFonts w:ascii="Calibri Light" w:hAnsi="Calibri Light"/>
                <w:b w:val="0"/>
              </w:rPr>
              <w:t xml:space="preserve">En ese periodo, </w:t>
            </w:r>
            <w:r w:rsidRPr="005A750D">
              <w:rPr>
                <w:rFonts w:ascii="Calibri Light" w:hAnsi="Calibri Light"/>
                <w:b w:val="0"/>
              </w:rPr>
              <w:t>María Eugenia Villaseñor se desempeñaba como magistrada del Organismo Judicial de Guatemala</w:t>
            </w:r>
            <w:r w:rsidR="00F46482">
              <w:rPr>
                <w:rFonts w:ascii="Calibri Light" w:hAnsi="Calibri Light"/>
                <w:b w:val="0"/>
              </w:rPr>
              <w:t>, conociendo</w:t>
            </w:r>
            <w:r w:rsidRPr="005A750D">
              <w:rPr>
                <w:rFonts w:ascii="Calibri Light" w:hAnsi="Calibri Light"/>
                <w:b w:val="0"/>
              </w:rPr>
              <w:t xml:space="preserve"> procesos relacionados</w:t>
            </w:r>
            <w:r w:rsidR="00F46482">
              <w:rPr>
                <w:rFonts w:ascii="Calibri Light" w:hAnsi="Calibri Light"/>
                <w:b w:val="0"/>
              </w:rPr>
              <w:t>, entre otros,</w:t>
            </w:r>
            <w:r w:rsidRPr="005A750D">
              <w:rPr>
                <w:rFonts w:ascii="Calibri Light" w:hAnsi="Calibri Light"/>
                <w:b w:val="0"/>
              </w:rPr>
              <w:t xml:space="preserve"> con violaciones de derechos humanos, como el caso de la ejecución extrajudicial de Myrna Mack Chang.</w:t>
            </w:r>
          </w:p>
          <w:p w14:paraId="6BAD0160" w14:textId="77777777" w:rsidR="00985D96" w:rsidRPr="005A750D" w:rsidRDefault="00985D96">
            <w:pPr>
              <w:jc w:val="both"/>
              <w:rPr>
                <w:rFonts w:ascii="Calibri Light" w:hAnsi="Calibri Light"/>
              </w:rPr>
            </w:pPr>
          </w:p>
          <w:p w14:paraId="671AB6C9" w14:textId="43ED1723" w:rsidR="00985D96" w:rsidRPr="005A750D" w:rsidRDefault="00CE2341">
            <w:pPr>
              <w:jc w:val="both"/>
              <w:rPr>
                <w:rFonts w:ascii="Calibri Light" w:hAnsi="Calibri Light"/>
              </w:rPr>
            </w:pPr>
            <w:r>
              <w:rPr>
                <w:rFonts w:ascii="Calibri Light" w:hAnsi="Calibri Light"/>
                <w:b w:val="0"/>
              </w:rPr>
              <w:t>P</w:t>
            </w:r>
            <w:r w:rsidR="00984336" w:rsidRPr="005A750D">
              <w:rPr>
                <w:rFonts w:ascii="Calibri Light" w:hAnsi="Calibri Light"/>
                <w:b w:val="0"/>
              </w:rPr>
              <w:t>recisamente</w:t>
            </w:r>
            <w:r>
              <w:rPr>
                <w:rFonts w:ascii="Calibri Light" w:hAnsi="Calibri Light"/>
                <w:b w:val="0"/>
              </w:rPr>
              <w:t>, desde comienzos de dicha década,</w:t>
            </w:r>
            <w:r w:rsidR="00984336" w:rsidRPr="005A750D">
              <w:rPr>
                <w:rFonts w:ascii="Calibri Light" w:hAnsi="Calibri Light"/>
                <w:b w:val="0"/>
              </w:rPr>
              <w:t xml:space="preserve"> la señora Villaseñor </w:t>
            </w:r>
            <w:r>
              <w:rPr>
                <w:rFonts w:ascii="Calibri Light" w:hAnsi="Calibri Light"/>
                <w:b w:val="0"/>
              </w:rPr>
              <w:t>experimentó</w:t>
            </w:r>
            <w:r w:rsidR="00984336" w:rsidRPr="005A750D">
              <w:rPr>
                <w:rFonts w:ascii="Calibri Light" w:hAnsi="Calibri Light"/>
                <w:b w:val="0"/>
              </w:rPr>
              <w:t xml:space="preserve"> amenazas </w:t>
            </w:r>
            <w:r w:rsidR="00984336" w:rsidRPr="005A750D">
              <w:rPr>
                <w:rFonts w:ascii="Calibri Light" w:hAnsi="Calibri Light"/>
                <w:b w:val="0"/>
              </w:rPr>
              <w:lastRenderedPageBreak/>
              <w:t xml:space="preserve">y otras formas de persecución, </w:t>
            </w:r>
            <w:r>
              <w:rPr>
                <w:rFonts w:ascii="Calibri Light" w:hAnsi="Calibri Light"/>
                <w:b w:val="0"/>
              </w:rPr>
              <w:t>que</w:t>
            </w:r>
            <w:r w:rsidR="00984336" w:rsidRPr="005A750D">
              <w:rPr>
                <w:rFonts w:ascii="Calibri Light" w:hAnsi="Calibri Light"/>
                <w:b w:val="0"/>
              </w:rPr>
              <w:t xml:space="preserve"> coincidieron con puntos relevantes en su carrera como jueza. Así, entre 1994 y 2012</w:t>
            </w:r>
            <w:r>
              <w:rPr>
                <w:rFonts w:ascii="Calibri Light" w:hAnsi="Calibri Light"/>
                <w:b w:val="0"/>
              </w:rPr>
              <w:t>,</w:t>
            </w:r>
            <w:r w:rsidR="00984336" w:rsidRPr="005A750D">
              <w:rPr>
                <w:rFonts w:ascii="Calibri Light" w:hAnsi="Calibri Light"/>
                <w:b w:val="0"/>
              </w:rPr>
              <w:t xml:space="preserve"> fue víctima de actos como el robo de sus pertenencias, </w:t>
            </w:r>
            <w:r w:rsidR="0097565B">
              <w:rPr>
                <w:rFonts w:ascii="Calibri Light" w:hAnsi="Calibri Light"/>
                <w:b w:val="0"/>
              </w:rPr>
              <w:t xml:space="preserve">intentos de ingreso a </w:t>
            </w:r>
            <w:r w:rsidR="0097565B" w:rsidRPr="005A750D">
              <w:rPr>
                <w:rFonts w:ascii="Calibri Light" w:hAnsi="Calibri Light"/>
                <w:b w:val="0"/>
              </w:rPr>
              <w:t>s</w:t>
            </w:r>
            <w:r w:rsidR="0097565B">
              <w:rPr>
                <w:rFonts w:ascii="Calibri Light" w:hAnsi="Calibri Light"/>
                <w:b w:val="0"/>
              </w:rPr>
              <w:t>u vehículo y daños en las llantas</w:t>
            </w:r>
            <w:r w:rsidR="00984336" w:rsidRPr="005A750D">
              <w:rPr>
                <w:rFonts w:ascii="Calibri Light" w:hAnsi="Calibri Light"/>
                <w:b w:val="0"/>
              </w:rPr>
              <w:t>, intentos de allanamiento de su domicilio por parte de personas que aparentemente eran soldados, el intento de secuestro de su hija, amenazas de muerte, vigilancia, entre otros.</w:t>
            </w:r>
            <w:r>
              <w:rPr>
                <w:rFonts w:ascii="Calibri Light" w:hAnsi="Calibri Light"/>
                <w:b w:val="0"/>
              </w:rPr>
              <w:t xml:space="preserve"> Estos hechos fueron objeto de preocupación del</w:t>
            </w:r>
            <w:r w:rsidR="00984336" w:rsidRPr="005A750D">
              <w:rPr>
                <w:rFonts w:ascii="Calibri Light" w:hAnsi="Calibri Light"/>
                <w:b w:val="0"/>
              </w:rPr>
              <w:t xml:space="preserve"> Relator Especial de Naciones Unidas sobre la independ</w:t>
            </w:r>
            <w:r w:rsidR="00C94BB1">
              <w:rPr>
                <w:rFonts w:ascii="Calibri Light" w:hAnsi="Calibri Light"/>
                <w:b w:val="0"/>
              </w:rPr>
              <w:t xml:space="preserve">encia de magistrados y abogados, </w:t>
            </w:r>
            <w:r>
              <w:rPr>
                <w:rFonts w:ascii="Calibri Light" w:hAnsi="Calibri Light"/>
                <w:b w:val="0"/>
              </w:rPr>
              <w:t xml:space="preserve">quien manifestó </w:t>
            </w:r>
            <w:r w:rsidR="00C94BB1" w:rsidRPr="005A750D">
              <w:rPr>
                <w:rFonts w:ascii="Calibri Light" w:hAnsi="Calibri Light"/>
                <w:b w:val="0"/>
              </w:rPr>
              <w:t>en el 2000</w:t>
            </w:r>
            <w:r w:rsidR="00C94BB1">
              <w:rPr>
                <w:rFonts w:ascii="Calibri Light" w:hAnsi="Calibri Light"/>
                <w:b w:val="0"/>
              </w:rPr>
              <w:t xml:space="preserve"> </w:t>
            </w:r>
            <w:r>
              <w:rPr>
                <w:rFonts w:ascii="Calibri Light" w:hAnsi="Calibri Light"/>
                <w:b w:val="0"/>
              </w:rPr>
              <w:t xml:space="preserve">su inquietud por las amenazas a </w:t>
            </w:r>
            <w:r w:rsidRPr="005A750D">
              <w:rPr>
                <w:rFonts w:ascii="Calibri Light" w:hAnsi="Calibri Light"/>
                <w:b w:val="0"/>
              </w:rPr>
              <w:t>la señora Villaseñor</w:t>
            </w:r>
            <w:r>
              <w:rPr>
                <w:rFonts w:ascii="Calibri Light" w:hAnsi="Calibri Light"/>
                <w:b w:val="0"/>
              </w:rPr>
              <w:t xml:space="preserve"> relacionadas a su participación</w:t>
            </w:r>
            <w:r w:rsidR="00984336" w:rsidRPr="005A750D">
              <w:rPr>
                <w:rFonts w:ascii="Calibri Light" w:hAnsi="Calibri Light"/>
                <w:b w:val="0"/>
              </w:rPr>
              <w:t xml:space="preserve"> en la etapa de investigación del caso Myrna Mack Chang.</w:t>
            </w:r>
          </w:p>
          <w:p w14:paraId="06E3210D" w14:textId="77777777" w:rsidR="00985D96" w:rsidRPr="005A750D" w:rsidRDefault="00985D96">
            <w:pPr>
              <w:jc w:val="both"/>
              <w:rPr>
                <w:rFonts w:ascii="Calibri Light" w:hAnsi="Calibri Light"/>
              </w:rPr>
            </w:pPr>
          </w:p>
          <w:p w14:paraId="4A572979" w14:textId="739FFF4E" w:rsidR="00985D96" w:rsidRPr="005A750D" w:rsidRDefault="00984336">
            <w:pPr>
              <w:jc w:val="both"/>
              <w:rPr>
                <w:rFonts w:ascii="Calibri Light" w:hAnsi="Calibri Light"/>
              </w:rPr>
            </w:pPr>
            <w:r w:rsidRPr="005A750D">
              <w:rPr>
                <w:rFonts w:ascii="Calibri Light" w:hAnsi="Calibri Light"/>
                <w:b w:val="0"/>
              </w:rPr>
              <w:t xml:space="preserve">En repetidas ocasiones, la señora Villaseñor presentó denuncias </w:t>
            </w:r>
            <w:r w:rsidR="00D04726">
              <w:rPr>
                <w:rFonts w:ascii="Calibri Light" w:hAnsi="Calibri Light"/>
                <w:b w:val="0"/>
              </w:rPr>
              <w:t>por</w:t>
            </w:r>
            <w:r w:rsidRPr="005A750D">
              <w:rPr>
                <w:rFonts w:ascii="Calibri Light" w:hAnsi="Calibri Light"/>
                <w:b w:val="0"/>
              </w:rPr>
              <w:t xml:space="preserve"> los hechos referidos</w:t>
            </w:r>
            <w:r w:rsidR="00CE2341">
              <w:rPr>
                <w:rFonts w:ascii="Calibri Light" w:hAnsi="Calibri Light"/>
                <w:b w:val="0"/>
              </w:rPr>
              <w:t>.</w:t>
            </w:r>
            <w:r w:rsidRPr="005A750D">
              <w:rPr>
                <w:rFonts w:ascii="Calibri Light" w:hAnsi="Calibri Light"/>
                <w:b w:val="0"/>
              </w:rPr>
              <w:t xml:space="preserve"> </w:t>
            </w:r>
            <w:r w:rsidR="00CE2341">
              <w:rPr>
                <w:rFonts w:ascii="Calibri Light" w:hAnsi="Calibri Light"/>
                <w:b w:val="0"/>
              </w:rPr>
              <w:t>S</w:t>
            </w:r>
            <w:r w:rsidRPr="005A750D">
              <w:rPr>
                <w:rFonts w:ascii="Calibri Light" w:hAnsi="Calibri Light"/>
                <w:b w:val="0"/>
              </w:rPr>
              <w:t>in embargo, solo consiguió pronunciamientos por parte del Procurador de los Derechos Humanos</w:t>
            </w:r>
            <w:r w:rsidR="00C94BB1">
              <w:rPr>
                <w:rFonts w:ascii="Calibri Light" w:hAnsi="Calibri Light"/>
                <w:b w:val="0"/>
              </w:rPr>
              <w:t>,</w:t>
            </w:r>
            <w:r w:rsidRPr="005A750D">
              <w:rPr>
                <w:rFonts w:ascii="Calibri Light" w:hAnsi="Calibri Light"/>
                <w:b w:val="0"/>
              </w:rPr>
              <w:t xml:space="preserve"> en los cuales se dejaba sentado el peligro que corría y la afectación a su integridad y seguridad.</w:t>
            </w:r>
            <w:r w:rsidR="00C94BB1">
              <w:rPr>
                <w:rFonts w:ascii="Calibri Light" w:hAnsi="Calibri Light"/>
              </w:rPr>
              <w:t xml:space="preserve"> </w:t>
            </w:r>
            <w:r w:rsidR="00264A70">
              <w:rPr>
                <w:rFonts w:ascii="Calibri Light" w:hAnsi="Calibri Light"/>
                <w:b w:val="0"/>
              </w:rPr>
              <w:t>Si bien la señora Villaseñor no logr</w:t>
            </w:r>
            <w:r w:rsidR="007A60E3">
              <w:rPr>
                <w:rFonts w:ascii="Calibri Light" w:hAnsi="Calibri Light"/>
                <w:b w:val="0"/>
              </w:rPr>
              <w:t>ó que las investigaciones por sus denuncias individualizaran a los responsables de las amenazas u hostigamiento que sufrió</w:t>
            </w:r>
            <w:r w:rsidR="00264A70">
              <w:rPr>
                <w:rFonts w:ascii="Calibri Light" w:hAnsi="Calibri Light"/>
                <w:b w:val="0"/>
              </w:rPr>
              <w:t>, e</w:t>
            </w:r>
            <w:r w:rsidRPr="005A750D">
              <w:rPr>
                <w:rFonts w:ascii="Calibri Light" w:hAnsi="Calibri Light"/>
                <w:b w:val="0"/>
              </w:rPr>
              <w:t>n 1994</w:t>
            </w:r>
            <w:r w:rsidR="00C94BB1">
              <w:rPr>
                <w:rFonts w:ascii="Calibri Light" w:hAnsi="Calibri Light"/>
                <w:b w:val="0"/>
              </w:rPr>
              <w:t>,</w:t>
            </w:r>
            <w:r w:rsidRPr="005A750D">
              <w:rPr>
                <w:rFonts w:ascii="Calibri Light" w:hAnsi="Calibri Light"/>
                <w:b w:val="0"/>
              </w:rPr>
              <w:t xml:space="preserve"> la CIDH </w:t>
            </w:r>
            <w:r w:rsidR="00C94BB1">
              <w:rPr>
                <w:rFonts w:ascii="Calibri Light" w:hAnsi="Calibri Light"/>
                <w:b w:val="0"/>
              </w:rPr>
              <w:t>otorgó</w:t>
            </w:r>
            <w:r w:rsidRPr="005A750D">
              <w:rPr>
                <w:rFonts w:ascii="Calibri Light" w:hAnsi="Calibri Light"/>
                <w:b w:val="0"/>
              </w:rPr>
              <w:t xml:space="preserve"> </w:t>
            </w:r>
            <w:r w:rsidR="00C94BB1">
              <w:rPr>
                <w:rFonts w:ascii="Calibri Light" w:hAnsi="Calibri Light"/>
                <w:b w:val="0"/>
              </w:rPr>
              <w:t>una medida cautelar a su favor</w:t>
            </w:r>
            <w:r w:rsidR="00264A70">
              <w:rPr>
                <w:rFonts w:ascii="Calibri Light" w:hAnsi="Calibri Light"/>
                <w:b w:val="0"/>
              </w:rPr>
              <w:t>, por lo que el Estado de Guatemala</w:t>
            </w:r>
            <w:r w:rsidRPr="005A750D">
              <w:rPr>
                <w:rFonts w:ascii="Calibri Light" w:hAnsi="Calibri Light"/>
                <w:b w:val="0"/>
              </w:rPr>
              <w:t xml:space="preserve"> asignó personal policial para su resguardo. Sin embargo, el esquema de protección diseñado por los agentes policiales a cargo de su seguridad presentó problemas a lo largo de los años. Por ejemplo, no se habían previsto reemplazos para cuando uno de los agentes designados tomara un periodo de vacaciones, ni se les proveía una asignación por alimentos, por lo que ella debía cubrir esos gastos.</w:t>
            </w:r>
          </w:p>
          <w:p w14:paraId="0CDEE67E" w14:textId="77777777" w:rsidR="00985D96" w:rsidRPr="005A750D" w:rsidRDefault="00985D96">
            <w:pPr>
              <w:jc w:val="both"/>
              <w:rPr>
                <w:rFonts w:ascii="Calibri Light" w:hAnsi="Calibri Light"/>
              </w:rPr>
            </w:pPr>
          </w:p>
          <w:p w14:paraId="5E3D39F3" w14:textId="6819F896" w:rsidR="00985D96" w:rsidRPr="005A750D" w:rsidRDefault="00A5258A">
            <w:pPr>
              <w:jc w:val="both"/>
              <w:rPr>
                <w:rFonts w:ascii="Calibri Light" w:hAnsi="Calibri Light"/>
              </w:rPr>
            </w:pPr>
            <w:r>
              <w:rPr>
                <w:rFonts w:ascii="Calibri Light" w:hAnsi="Calibri Light"/>
                <w:b w:val="0"/>
              </w:rPr>
              <w:t>La medida cautelar se mantuvo vigente desde 1994 hasta el 2013, cuando la CIDH decidió</w:t>
            </w:r>
            <w:r w:rsidRPr="005A750D">
              <w:rPr>
                <w:rFonts w:ascii="Calibri Light" w:hAnsi="Calibri Light"/>
                <w:b w:val="0"/>
              </w:rPr>
              <w:t xml:space="preserve"> levantar</w:t>
            </w:r>
            <w:r w:rsidR="002052C9">
              <w:rPr>
                <w:rFonts w:ascii="Calibri Light" w:hAnsi="Calibri Light"/>
                <w:b w:val="0"/>
              </w:rPr>
              <w:t>la</w:t>
            </w:r>
            <w:r>
              <w:rPr>
                <w:rFonts w:ascii="Calibri Light" w:hAnsi="Calibri Light"/>
                <w:b w:val="0"/>
              </w:rPr>
              <w:t>, y el Estado decidió</w:t>
            </w:r>
            <w:r w:rsidRPr="005A750D">
              <w:rPr>
                <w:rFonts w:ascii="Calibri Light" w:hAnsi="Calibri Light"/>
                <w:b w:val="0"/>
              </w:rPr>
              <w:t xml:space="preserve"> retirarle la escolta que tenía as</w:t>
            </w:r>
            <w:r>
              <w:rPr>
                <w:rFonts w:ascii="Calibri Light" w:hAnsi="Calibri Light"/>
                <w:b w:val="0"/>
              </w:rPr>
              <w:t xml:space="preserve">ignada. De forma previa, </w:t>
            </w:r>
            <w:r w:rsidR="00984336" w:rsidRPr="005A750D">
              <w:rPr>
                <w:rFonts w:ascii="Calibri Light" w:hAnsi="Calibri Light"/>
                <w:b w:val="0"/>
              </w:rPr>
              <w:t>en 2012,</w:t>
            </w:r>
            <w:r w:rsidR="00A1656D">
              <w:rPr>
                <w:rFonts w:ascii="Calibri Light" w:hAnsi="Calibri Light"/>
                <w:b w:val="0"/>
              </w:rPr>
              <w:t xml:space="preserve"> el Estado</w:t>
            </w:r>
            <w:r w:rsidR="00FA4CF5">
              <w:rPr>
                <w:rFonts w:ascii="Calibri Light" w:hAnsi="Calibri Light"/>
                <w:b w:val="0"/>
              </w:rPr>
              <w:t xml:space="preserve"> había realizado</w:t>
            </w:r>
            <w:r w:rsidR="00984336" w:rsidRPr="005A750D">
              <w:rPr>
                <w:rFonts w:ascii="Calibri Light" w:hAnsi="Calibri Light"/>
                <w:b w:val="0"/>
              </w:rPr>
              <w:t xml:space="preserve"> </w:t>
            </w:r>
            <w:r>
              <w:rPr>
                <w:rFonts w:ascii="Calibri Light" w:hAnsi="Calibri Light"/>
                <w:b w:val="0"/>
              </w:rPr>
              <w:t xml:space="preserve">a la señora Villaseñor </w:t>
            </w:r>
            <w:r w:rsidR="00984336" w:rsidRPr="005A750D">
              <w:rPr>
                <w:rFonts w:ascii="Calibri Light" w:hAnsi="Calibri Light"/>
                <w:b w:val="0"/>
              </w:rPr>
              <w:t>un análisis de riesgo</w:t>
            </w:r>
            <w:r w:rsidR="00A85BD9">
              <w:rPr>
                <w:rFonts w:ascii="Calibri Light" w:hAnsi="Calibri Light"/>
                <w:b w:val="0"/>
              </w:rPr>
              <w:t>, para lo cual fue entrevistada</w:t>
            </w:r>
            <w:r w:rsidR="00B15F79">
              <w:rPr>
                <w:rFonts w:ascii="Calibri Light" w:hAnsi="Calibri Light"/>
                <w:b w:val="0"/>
              </w:rPr>
              <w:t xml:space="preserve"> por orden del Sub-Director General de la Policía Nacional Civil</w:t>
            </w:r>
            <w:r w:rsidR="00984336" w:rsidRPr="005A750D">
              <w:rPr>
                <w:rFonts w:ascii="Calibri Light" w:hAnsi="Calibri Light"/>
                <w:b w:val="0"/>
              </w:rPr>
              <w:t>. La conclusión de dicho análisis fue que la señora Villaseñor se encontraba en u</w:t>
            </w:r>
            <w:r w:rsidR="00475637">
              <w:rPr>
                <w:rFonts w:ascii="Calibri Light" w:hAnsi="Calibri Light"/>
                <w:b w:val="0"/>
              </w:rPr>
              <w:t>n riesgo medio, y que “no se [habían]</w:t>
            </w:r>
            <w:r w:rsidR="00984336" w:rsidRPr="005A750D">
              <w:rPr>
                <w:rFonts w:ascii="Calibri Light" w:hAnsi="Calibri Light"/>
                <w:b w:val="0"/>
              </w:rPr>
              <w:t xml:space="preserve"> registrado nuevos hechos que atenten contra su segurida</w:t>
            </w:r>
            <w:r w:rsidR="00D80FCC">
              <w:rPr>
                <w:rFonts w:ascii="Calibri Light" w:hAnsi="Calibri Light"/>
                <w:b w:val="0"/>
              </w:rPr>
              <w:t>d”.</w:t>
            </w:r>
          </w:p>
          <w:p w14:paraId="6DE518BC" w14:textId="77777777" w:rsidR="00985D96" w:rsidRPr="005A750D" w:rsidRDefault="00985D96">
            <w:pPr>
              <w:jc w:val="both"/>
              <w:rPr>
                <w:rFonts w:ascii="Calibri Light" w:hAnsi="Calibri Light"/>
              </w:rPr>
            </w:pPr>
          </w:p>
          <w:p w14:paraId="6C8D6FD3" w14:textId="302B6CB1" w:rsidR="00475637" w:rsidRPr="005A750D" w:rsidRDefault="00C94BB1" w:rsidP="00475637">
            <w:pPr>
              <w:jc w:val="both"/>
              <w:rPr>
                <w:rFonts w:ascii="Calibri Light" w:hAnsi="Calibri Light"/>
              </w:rPr>
            </w:pPr>
            <w:r>
              <w:rPr>
                <w:rFonts w:ascii="Calibri Light" w:hAnsi="Calibri Light"/>
                <w:b w:val="0"/>
              </w:rPr>
              <w:t>Frente a estos hechos, e</w:t>
            </w:r>
            <w:r w:rsidR="007E0481">
              <w:rPr>
                <w:rFonts w:ascii="Calibri Light" w:hAnsi="Calibri Light"/>
                <w:b w:val="0"/>
              </w:rPr>
              <w:t>l 22 de septiembre de 1994</w:t>
            </w:r>
            <w:r w:rsidR="00984336" w:rsidRPr="005A750D">
              <w:rPr>
                <w:rFonts w:ascii="Calibri Light" w:hAnsi="Calibri Light"/>
                <w:b w:val="0"/>
              </w:rPr>
              <w:t xml:space="preserve">, la Oficina de Derechos Humanos del Arzobispado de Guatemala presentó una petición ante la CIDH, denunciando que el Estado de Guatemala había vulnerado los derechos </w:t>
            </w:r>
            <w:r w:rsidRPr="005A750D">
              <w:rPr>
                <w:rFonts w:ascii="Calibri Light" w:hAnsi="Calibri Light"/>
                <w:b w:val="0"/>
              </w:rPr>
              <w:t xml:space="preserve">de la señora María Eugenia Villaseñor y </w:t>
            </w:r>
            <w:r>
              <w:rPr>
                <w:rFonts w:ascii="Calibri Light" w:hAnsi="Calibri Light"/>
                <w:b w:val="0"/>
              </w:rPr>
              <w:t xml:space="preserve">su </w:t>
            </w:r>
            <w:r w:rsidRPr="005A750D">
              <w:rPr>
                <w:rFonts w:ascii="Calibri Light" w:hAnsi="Calibri Light"/>
                <w:b w:val="0"/>
              </w:rPr>
              <w:t xml:space="preserve">familia </w:t>
            </w:r>
            <w:r w:rsidR="00984336" w:rsidRPr="005A750D">
              <w:rPr>
                <w:rFonts w:ascii="Calibri Light" w:hAnsi="Calibri Light"/>
                <w:b w:val="0"/>
              </w:rPr>
              <w:t>a la integridad personal</w:t>
            </w:r>
            <w:r w:rsidR="007E0481">
              <w:rPr>
                <w:rFonts w:ascii="Calibri Light" w:hAnsi="Calibri Light"/>
                <w:b w:val="0"/>
              </w:rPr>
              <w:t xml:space="preserve"> (artículo 5)</w:t>
            </w:r>
            <w:r w:rsidR="00984336" w:rsidRPr="005A750D">
              <w:rPr>
                <w:rFonts w:ascii="Calibri Light" w:hAnsi="Calibri Light"/>
                <w:b w:val="0"/>
              </w:rPr>
              <w:t>, libertad personal</w:t>
            </w:r>
            <w:r w:rsidR="007E0481">
              <w:rPr>
                <w:rFonts w:ascii="Calibri Light" w:hAnsi="Calibri Light"/>
                <w:b w:val="0"/>
              </w:rPr>
              <w:t xml:space="preserve"> (artículo 7)</w:t>
            </w:r>
            <w:r w:rsidR="00984336" w:rsidRPr="005A750D">
              <w:rPr>
                <w:rFonts w:ascii="Calibri Light" w:hAnsi="Calibri Light"/>
                <w:b w:val="0"/>
              </w:rPr>
              <w:t>, garantías judiciales</w:t>
            </w:r>
            <w:r w:rsidR="007E0481">
              <w:rPr>
                <w:rFonts w:ascii="Calibri Light" w:hAnsi="Calibri Light"/>
                <w:b w:val="0"/>
              </w:rPr>
              <w:t xml:space="preserve"> (artículo 8)</w:t>
            </w:r>
            <w:r w:rsidR="00984336" w:rsidRPr="005A750D">
              <w:rPr>
                <w:rFonts w:ascii="Calibri Light" w:hAnsi="Calibri Light"/>
                <w:b w:val="0"/>
              </w:rPr>
              <w:t>, la honra y dignidad</w:t>
            </w:r>
            <w:r w:rsidR="007E0481">
              <w:rPr>
                <w:rFonts w:ascii="Calibri Light" w:hAnsi="Calibri Light"/>
                <w:b w:val="0"/>
              </w:rPr>
              <w:t xml:space="preserve"> (artículo 11)</w:t>
            </w:r>
            <w:r w:rsidR="00984336" w:rsidRPr="005A750D">
              <w:rPr>
                <w:rFonts w:ascii="Calibri Light" w:hAnsi="Calibri Light"/>
                <w:b w:val="0"/>
              </w:rPr>
              <w:t>, protección de la familia</w:t>
            </w:r>
            <w:r w:rsidR="007E0481">
              <w:rPr>
                <w:rFonts w:ascii="Calibri Light" w:hAnsi="Calibri Light"/>
                <w:b w:val="0"/>
              </w:rPr>
              <w:t xml:space="preserve"> (artículo 17)</w:t>
            </w:r>
            <w:r w:rsidR="00984336" w:rsidRPr="005A750D">
              <w:rPr>
                <w:rFonts w:ascii="Calibri Light" w:hAnsi="Calibri Light"/>
                <w:b w:val="0"/>
              </w:rPr>
              <w:t xml:space="preserve">, y protección judicial </w:t>
            </w:r>
            <w:r w:rsidR="007E0481">
              <w:rPr>
                <w:rFonts w:ascii="Calibri Light" w:hAnsi="Calibri Light"/>
                <w:b w:val="0"/>
              </w:rPr>
              <w:t>(artículo 25)</w:t>
            </w:r>
            <w:r w:rsidR="00984336" w:rsidRPr="005A750D">
              <w:rPr>
                <w:rFonts w:ascii="Calibri Light" w:hAnsi="Calibri Light"/>
                <w:b w:val="0"/>
              </w:rPr>
              <w:t>, reconocidos en la Convención Americana sobr</w:t>
            </w:r>
            <w:r w:rsidR="004E2A2F">
              <w:rPr>
                <w:rFonts w:ascii="Calibri Light" w:hAnsi="Calibri Light"/>
                <w:b w:val="0"/>
              </w:rPr>
              <w:t>e Derechos Humanos (</w:t>
            </w:r>
            <w:r w:rsidR="00984336" w:rsidRPr="005A750D">
              <w:rPr>
                <w:rFonts w:ascii="Calibri Light" w:hAnsi="Calibri Light"/>
                <w:b w:val="0"/>
              </w:rPr>
              <w:t>CADH).</w:t>
            </w:r>
            <w:r w:rsidR="00483300">
              <w:rPr>
                <w:rFonts w:ascii="Calibri Light" w:hAnsi="Calibri Light"/>
                <w:b w:val="0"/>
              </w:rPr>
              <w:t xml:space="preserve"> El 13 de junio de 2013,</w:t>
            </w:r>
            <w:r w:rsidR="000C4012">
              <w:rPr>
                <w:rFonts w:ascii="Calibri Light" w:hAnsi="Calibri Light"/>
                <w:b w:val="0"/>
              </w:rPr>
              <w:t xml:space="preserve"> </w:t>
            </w:r>
            <w:r w:rsidR="00D6228E">
              <w:rPr>
                <w:rFonts w:ascii="Calibri Light" w:hAnsi="Calibri Light"/>
                <w:b w:val="0"/>
              </w:rPr>
              <w:t>la señora Villaseñor indic</w:t>
            </w:r>
            <w:r w:rsidR="00F85995">
              <w:rPr>
                <w:rFonts w:ascii="Calibri Light" w:hAnsi="Calibri Light"/>
                <w:b w:val="0"/>
              </w:rPr>
              <w:t>ó</w:t>
            </w:r>
            <w:r w:rsidR="00D6228E">
              <w:rPr>
                <w:rFonts w:ascii="Calibri Light" w:hAnsi="Calibri Light"/>
                <w:b w:val="0"/>
              </w:rPr>
              <w:t xml:space="preserve"> que ella continuaría con su defensa. </w:t>
            </w:r>
            <w:r w:rsidR="0088167E">
              <w:rPr>
                <w:rFonts w:ascii="Calibri Light" w:hAnsi="Calibri Light"/>
                <w:b w:val="0"/>
              </w:rPr>
              <w:t>La CIDH declaró la admisibilidad de la petición solamente en relación con los artículos 5, 8 y 25.</w:t>
            </w:r>
          </w:p>
          <w:p w14:paraId="65FBD949" w14:textId="77777777" w:rsidR="00985D96" w:rsidRPr="005A750D" w:rsidRDefault="00985D96">
            <w:pPr>
              <w:jc w:val="both"/>
              <w:rPr>
                <w:rFonts w:ascii="Calibri Light" w:hAnsi="Calibri Light"/>
              </w:rPr>
            </w:pPr>
          </w:p>
        </w:tc>
      </w:tr>
      <w:tr w:rsidR="00985D96" w:rsidRPr="005A750D" w14:paraId="1F6FEC6B" w14:textId="77777777" w:rsidTr="00475637">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2A627D5C" w14:textId="39A2F663" w:rsidR="00985D96" w:rsidRPr="00475637"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lastRenderedPageBreak/>
              <w:t>Análisis jurídico</w:t>
            </w:r>
          </w:p>
        </w:tc>
      </w:tr>
      <w:tr w:rsidR="00985D96" w:rsidRPr="005A750D" w14:paraId="18C11505" w14:textId="77777777" w:rsidTr="00985D9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505" w:type="dxa"/>
            <w:gridSpan w:val="3"/>
          </w:tcPr>
          <w:p w14:paraId="4163C795" w14:textId="733D2E90" w:rsidR="00985D96" w:rsidRPr="005A750D" w:rsidRDefault="00985D96">
            <w:pPr>
              <w:jc w:val="both"/>
              <w:rPr>
                <w:rFonts w:ascii="Calibri Light" w:hAnsi="Calibri Light"/>
              </w:rPr>
            </w:pPr>
          </w:p>
          <w:p w14:paraId="2BEC827C" w14:textId="05B5D0F2" w:rsidR="00985D96" w:rsidRPr="005A750D" w:rsidRDefault="00984336">
            <w:pPr>
              <w:jc w:val="both"/>
              <w:rPr>
                <w:rFonts w:ascii="Calibri Light" w:hAnsi="Calibri Light"/>
              </w:rPr>
            </w:pPr>
            <w:r w:rsidRPr="005A750D">
              <w:rPr>
                <w:rFonts w:ascii="Calibri Light" w:hAnsi="Calibri Light"/>
              </w:rPr>
              <w:t>Derechos a las garantías judiciales y a la protección judicial en relación con el derecho a la integridad de María Eugenia Villaseñor y familia (artículos 8</w:t>
            </w:r>
            <w:r w:rsidR="00F204E6">
              <w:rPr>
                <w:rFonts w:ascii="Calibri Light" w:hAnsi="Calibri Light"/>
              </w:rPr>
              <w:t xml:space="preserve">, </w:t>
            </w:r>
            <w:r w:rsidRPr="005A750D">
              <w:rPr>
                <w:rFonts w:ascii="Calibri Light" w:hAnsi="Calibri Light"/>
              </w:rPr>
              <w:t>25</w:t>
            </w:r>
            <w:r w:rsidR="00F204E6">
              <w:rPr>
                <w:rFonts w:ascii="Calibri Light" w:hAnsi="Calibri Light"/>
              </w:rPr>
              <w:t xml:space="preserve"> y 5</w:t>
            </w:r>
            <w:r w:rsidRPr="005A750D">
              <w:rPr>
                <w:rFonts w:ascii="Calibri Light" w:hAnsi="Calibri Light"/>
              </w:rPr>
              <w:t xml:space="preserve"> de la CADH)</w:t>
            </w:r>
          </w:p>
          <w:p w14:paraId="67912231" w14:textId="77777777" w:rsidR="00985D96" w:rsidRPr="005A750D" w:rsidRDefault="00985D96">
            <w:pPr>
              <w:jc w:val="both"/>
              <w:rPr>
                <w:rFonts w:ascii="Calibri Light" w:hAnsi="Calibri Light"/>
              </w:rPr>
            </w:pPr>
          </w:p>
          <w:p w14:paraId="2057AC15" w14:textId="39641054" w:rsidR="00985D96" w:rsidRPr="005A750D" w:rsidRDefault="00984336" w:rsidP="00756041">
            <w:pPr>
              <w:jc w:val="both"/>
              <w:rPr>
                <w:rFonts w:ascii="Calibri Light" w:hAnsi="Calibri Light"/>
              </w:rPr>
            </w:pPr>
            <w:r w:rsidRPr="005A750D">
              <w:rPr>
                <w:rFonts w:ascii="Calibri Light" w:hAnsi="Calibri Light"/>
                <w:b w:val="0"/>
              </w:rPr>
              <w:t xml:space="preserve">El principio de independencia judicial, </w:t>
            </w:r>
            <w:r w:rsidR="00756041">
              <w:rPr>
                <w:rFonts w:ascii="Calibri Light" w:hAnsi="Calibri Light"/>
                <w:b w:val="0"/>
              </w:rPr>
              <w:t>reconocido</w:t>
            </w:r>
            <w:r w:rsidR="00756041" w:rsidRPr="005A750D">
              <w:rPr>
                <w:rFonts w:ascii="Calibri Light" w:hAnsi="Calibri Light"/>
                <w:b w:val="0"/>
              </w:rPr>
              <w:t xml:space="preserve"> </w:t>
            </w:r>
            <w:r w:rsidRPr="005A750D">
              <w:rPr>
                <w:rFonts w:ascii="Calibri Light" w:hAnsi="Calibri Light"/>
                <w:b w:val="0"/>
              </w:rPr>
              <w:t xml:space="preserve">en el artículo 8.1 de la CADH, es vital para el correcto funcionamiento del sistema de justicia. Si bien en la CADH se encuentra </w:t>
            </w:r>
            <w:r w:rsidR="00756041">
              <w:rPr>
                <w:rFonts w:ascii="Calibri Light" w:hAnsi="Calibri Light"/>
                <w:b w:val="0"/>
              </w:rPr>
              <w:t>protegido</w:t>
            </w:r>
            <w:r w:rsidR="00756041" w:rsidRPr="005A750D">
              <w:rPr>
                <w:rFonts w:ascii="Calibri Light" w:hAnsi="Calibri Light"/>
                <w:b w:val="0"/>
              </w:rPr>
              <w:t xml:space="preserve"> </w:t>
            </w:r>
            <w:r w:rsidRPr="005A750D">
              <w:rPr>
                <w:rFonts w:ascii="Calibri Light" w:hAnsi="Calibri Light"/>
                <w:b w:val="0"/>
              </w:rPr>
              <w:t>como una garantía para los derechos de los justiciables, tiene implicaciones en el ejercicio de los derechos humanos de los jueces y juezas individualmente considerados.</w:t>
            </w:r>
            <w:r w:rsidR="00756041">
              <w:rPr>
                <w:rFonts w:ascii="Calibri Light" w:hAnsi="Calibri Light"/>
                <w:b w:val="0"/>
              </w:rPr>
              <w:t xml:space="preserve"> En ese sentido, la </w:t>
            </w:r>
            <w:r w:rsidRPr="005A750D">
              <w:rPr>
                <w:rFonts w:ascii="Calibri Light" w:hAnsi="Calibri Light"/>
                <w:b w:val="0"/>
              </w:rPr>
              <w:t>Corte IDH ha determinado en su jurisprudencia que, en tanto la independencia judicial es un elemento esencial para el ejercicio de su labor, merece una protección reforzada por parte de los Estados, ya que tiene como objetivo que no existan restricciones en el ejercicio de su función. Entre las garantías desarrolladas en el S</w:t>
            </w:r>
            <w:r w:rsidR="00556E40">
              <w:rPr>
                <w:rFonts w:ascii="Calibri Light" w:hAnsi="Calibri Light"/>
                <w:b w:val="0"/>
              </w:rPr>
              <w:t xml:space="preserve">istema </w:t>
            </w:r>
            <w:r w:rsidRPr="005A750D">
              <w:rPr>
                <w:rFonts w:ascii="Calibri Light" w:hAnsi="Calibri Light"/>
                <w:b w:val="0"/>
              </w:rPr>
              <w:t>I</w:t>
            </w:r>
            <w:r w:rsidR="00556E40">
              <w:rPr>
                <w:rFonts w:ascii="Calibri Light" w:hAnsi="Calibri Light"/>
                <w:b w:val="0"/>
              </w:rPr>
              <w:t xml:space="preserve">nteramericano de </w:t>
            </w:r>
            <w:r w:rsidRPr="005A750D">
              <w:rPr>
                <w:rFonts w:ascii="Calibri Light" w:hAnsi="Calibri Light"/>
                <w:b w:val="0"/>
              </w:rPr>
              <w:t>D</w:t>
            </w:r>
            <w:r w:rsidR="00556E40">
              <w:rPr>
                <w:rFonts w:ascii="Calibri Light" w:hAnsi="Calibri Light"/>
                <w:b w:val="0"/>
              </w:rPr>
              <w:t xml:space="preserve">erechos </w:t>
            </w:r>
            <w:r w:rsidRPr="005A750D">
              <w:rPr>
                <w:rFonts w:ascii="Calibri Light" w:hAnsi="Calibri Light"/>
                <w:b w:val="0"/>
              </w:rPr>
              <w:lastRenderedPageBreak/>
              <w:t>H</w:t>
            </w:r>
            <w:r w:rsidR="00556E40">
              <w:rPr>
                <w:rFonts w:ascii="Calibri Light" w:hAnsi="Calibri Light"/>
                <w:b w:val="0"/>
              </w:rPr>
              <w:t>umanos (SIDH)</w:t>
            </w:r>
            <w:r w:rsidRPr="005A750D">
              <w:rPr>
                <w:rFonts w:ascii="Calibri Light" w:hAnsi="Calibri Light"/>
                <w:b w:val="0"/>
              </w:rPr>
              <w:t xml:space="preserve"> sobre la independencia judicial, se encuentran: </w:t>
            </w:r>
            <w:r w:rsidR="00C10F1C">
              <w:rPr>
                <w:rFonts w:ascii="Calibri Light" w:hAnsi="Calibri Light"/>
                <w:b w:val="0"/>
              </w:rPr>
              <w:t>i</w:t>
            </w:r>
            <w:r w:rsidR="00A63E36">
              <w:rPr>
                <w:rFonts w:ascii="Calibri Light" w:hAnsi="Calibri Light"/>
                <w:b w:val="0"/>
              </w:rPr>
              <w:t xml:space="preserve">) </w:t>
            </w:r>
            <w:r w:rsidRPr="005A750D">
              <w:rPr>
                <w:rFonts w:ascii="Calibri Light" w:hAnsi="Calibri Light"/>
                <w:b w:val="0"/>
              </w:rPr>
              <w:t xml:space="preserve">procesos adecuados de nombramiento, </w:t>
            </w:r>
            <w:r w:rsidR="00C10F1C">
              <w:rPr>
                <w:rFonts w:ascii="Calibri Light" w:hAnsi="Calibri Light"/>
                <w:b w:val="0"/>
              </w:rPr>
              <w:t>ii</w:t>
            </w:r>
            <w:r w:rsidR="00A63E36">
              <w:rPr>
                <w:rFonts w:ascii="Calibri Light" w:hAnsi="Calibri Light"/>
                <w:b w:val="0"/>
              </w:rPr>
              <w:t xml:space="preserve">) </w:t>
            </w:r>
            <w:r w:rsidRPr="005A750D">
              <w:rPr>
                <w:rFonts w:ascii="Calibri Light" w:hAnsi="Calibri Light"/>
                <w:b w:val="0"/>
              </w:rPr>
              <w:t xml:space="preserve">duración establecida del cargo, y </w:t>
            </w:r>
            <w:r w:rsidR="00C10F1C">
              <w:rPr>
                <w:rFonts w:ascii="Calibri Light" w:hAnsi="Calibri Light"/>
                <w:b w:val="0"/>
              </w:rPr>
              <w:t>iii</w:t>
            </w:r>
            <w:r w:rsidR="00A63E36">
              <w:rPr>
                <w:rFonts w:ascii="Calibri Light" w:hAnsi="Calibri Light"/>
                <w:b w:val="0"/>
              </w:rPr>
              <w:t xml:space="preserve">) </w:t>
            </w:r>
            <w:r w:rsidRPr="005A750D">
              <w:rPr>
                <w:rFonts w:ascii="Calibri Light" w:hAnsi="Calibri Light"/>
                <w:b w:val="0"/>
              </w:rPr>
              <w:t>salvaguardas contra presiones externas.</w:t>
            </w:r>
          </w:p>
          <w:p w14:paraId="5E716AFB" w14:textId="77777777" w:rsidR="00985D96" w:rsidRPr="005A750D" w:rsidRDefault="00985D96">
            <w:pPr>
              <w:jc w:val="both"/>
              <w:rPr>
                <w:rFonts w:ascii="Calibri Light" w:hAnsi="Calibri Light"/>
              </w:rPr>
            </w:pPr>
          </w:p>
          <w:p w14:paraId="402218B8" w14:textId="32379BCF" w:rsidR="00985D96" w:rsidRPr="005A750D" w:rsidRDefault="00984336">
            <w:pPr>
              <w:jc w:val="both"/>
              <w:rPr>
                <w:rFonts w:ascii="Calibri Light" w:hAnsi="Calibri Light"/>
              </w:rPr>
            </w:pPr>
            <w:r w:rsidRPr="005A750D">
              <w:rPr>
                <w:rFonts w:ascii="Calibri Light" w:hAnsi="Calibri Light"/>
                <w:b w:val="0"/>
              </w:rPr>
              <w:t xml:space="preserve">Respecto a </w:t>
            </w:r>
            <w:r w:rsidR="00756041">
              <w:rPr>
                <w:rFonts w:ascii="Calibri Light" w:hAnsi="Calibri Light"/>
                <w:b w:val="0"/>
              </w:rPr>
              <w:t xml:space="preserve">esta </w:t>
            </w:r>
            <w:r w:rsidRPr="005A750D">
              <w:rPr>
                <w:rFonts w:ascii="Calibri Light" w:hAnsi="Calibri Light"/>
                <w:b w:val="0"/>
              </w:rPr>
              <w:t>últim</w:t>
            </w:r>
            <w:r w:rsidR="00756041">
              <w:rPr>
                <w:rFonts w:ascii="Calibri Light" w:hAnsi="Calibri Light"/>
                <w:b w:val="0"/>
              </w:rPr>
              <w:t>a garantía</w:t>
            </w:r>
            <w:r w:rsidRPr="005A750D">
              <w:rPr>
                <w:rFonts w:ascii="Calibri Light" w:hAnsi="Calibri Light"/>
                <w:b w:val="0"/>
              </w:rPr>
              <w:t xml:space="preserve">, </w:t>
            </w:r>
            <w:r w:rsidR="00A63E36">
              <w:rPr>
                <w:rFonts w:ascii="Calibri Light" w:hAnsi="Calibri Light"/>
                <w:b w:val="0"/>
              </w:rPr>
              <w:t>la CIDH resalt</w:t>
            </w:r>
            <w:r w:rsidR="007E654F">
              <w:rPr>
                <w:rFonts w:ascii="Calibri Light" w:hAnsi="Calibri Light"/>
                <w:b w:val="0"/>
              </w:rPr>
              <w:t xml:space="preserve">ó la importancia de </w:t>
            </w:r>
            <w:r w:rsidR="00A63E36">
              <w:rPr>
                <w:rFonts w:ascii="Calibri Light" w:hAnsi="Calibri Light"/>
                <w:b w:val="0"/>
              </w:rPr>
              <w:t xml:space="preserve">los Principios Básicos relativos a la independencia de la judicatura de </w:t>
            </w:r>
            <w:r w:rsidR="003A4A6F">
              <w:rPr>
                <w:rFonts w:ascii="Calibri Light" w:hAnsi="Calibri Light"/>
                <w:b w:val="0"/>
              </w:rPr>
              <w:t xml:space="preserve">las </w:t>
            </w:r>
            <w:r w:rsidR="00A63E36">
              <w:rPr>
                <w:rFonts w:ascii="Calibri Light" w:hAnsi="Calibri Light"/>
                <w:b w:val="0"/>
              </w:rPr>
              <w:t xml:space="preserve">Naciones Unidas, los cuales establecen que </w:t>
            </w:r>
            <w:r w:rsidRPr="005A750D">
              <w:rPr>
                <w:rFonts w:ascii="Calibri Light" w:hAnsi="Calibri Light"/>
                <w:b w:val="0"/>
              </w:rPr>
              <w:t xml:space="preserve"> los jueces resolverán asuntos que conozcan con imparcialidad, sin restricción alguna y sin influencias, alicientes, presiones, amenazas, o intromisiones indebidas, sean directas o indirectas. </w:t>
            </w:r>
            <w:r w:rsidR="00B62088" w:rsidRPr="00A13A63">
              <w:rPr>
                <w:rFonts w:ascii="Calibri Light" w:hAnsi="Calibri Light"/>
                <w:b w:val="0"/>
              </w:rPr>
              <w:t>Sobre este particular</w:t>
            </w:r>
            <w:r w:rsidR="00D2161F" w:rsidRPr="00A13A63">
              <w:rPr>
                <w:rFonts w:ascii="Calibri Light" w:hAnsi="Calibri Light"/>
                <w:b w:val="0"/>
              </w:rPr>
              <w:t>, s</w:t>
            </w:r>
            <w:r w:rsidRPr="00A13A63">
              <w:rPr>
                <w:rFonts w:ascii="Calibri Light" w:hAnsi="Calibri Light"/>
                <w:b w:val="0"/>
              </w:rPr>
              <w:t xml:space="preserve">e ha determinado </w:t>
            </w:r>
            <w:r w:rsidR="00B62088" w:rsidRPr="00A13A63">
              <w:rPr>
                <w:rFonts w:ascii="Calibri Light" w:hAnsi="Calibri Light"/>
                <w:b w:val="0"/>
              </w:rPr>
              <w:t xml:space="preserve">además </w:t>
            </w:r>
            <w:r w:rsidRPr="00A13A63">
              <w:rPr>
                <w:rFonts w:ascii="Calibri Light" w:hAnsi="Calibri Light"/>
                <w:b w:val="0"/>
              </w:rPr>
              <w:t>que los Estados deben proteger a los jueces y adoptar medidas para poder cumplir con ello.</w:t>
            </w:r>
            <w:r w:rsidR="00D2161F">
              <w:rPr>
                <w:rFonts w:ascii="Calibri Light" w:hAnsi="Calibri Light"/>
                <w:b w:val="0"/>
              </w:rPr>
              <w:t xml:space="preserve"> </w:t>
            </w:r>
          </w:p>
          <w:p w14:paraId="771B1625" w14:textId="77777777" w:rsidR="00985D96" w:rsidRPr="005A750D" w:rsidRDefault="00985D96">
            <w:pPr>
              <w:jc w:val="both"/>
              <w:rPr>
                <w:rFonts w:ascii="Calibri Light" w:hAnsi="Calibri Light"/>
              </w:rPr>
            </w:pPr>
          </w:p>
          <w:p w14:paraId="652D7855" w14:textId="5F920EB7" w:rsidR="00985D96" w:rsidRPr="005A750D" w:rsidRDefault="00B62088">
            <w:pPr>
              <w:jc w:val="both"/>
              <w:rPr>
                <w:rFonts w:ascii="Calibri Light" w:hAnsi="Calibri Light"/>
              </w:rPr>
            </w:pPr>
            <w:r>
              <w:rPr>
                <w:rFonts w:ascii="Calibri Light" w:hAnsi="Calibri Light"/>
                <w:b w:val="0"/>
              </w:rPr>
              <w:t>Por otra parte, e</w:t>
            </w:r>
            <w:r w:rsidR="00984336" w:rsidRPr="005A750D">
              <w:rPr>
                <w:rFonts w:ascii="Calibri Light" w:hAnsi="Calibri Light"/>
                <w:b w:val="0"/>
              </w:rPr>
              <w:t>n caso se report</w:t>
            </w:r>
            <w:r>
              <w:rPr>
                <w:rFonts w:ascii="Calibri Light" w:hAnsi="Calibri Light"/>
                <w:b w:val="0"/>
              </w:rPr>
              <w:t>en</w:t>
            </w:r>
            <w:r w:rsidR="00984336" w:rsidRPr="005A750D">
              <w:rPr>
                <w:rFonts w:ascii="Calibri Light" w:hAnsi="Calibri Light"/>
                <w:b w:val="0"/>
              </w:rPr>
              <w:t xml:space="preserve"> posibles ataques o amenazas</w:t>
            </w:r>
            <w:r w:rsidR="00A13A63">
              <w:rPr>
                <w:rFonts w:ascii="Calibri Light" w:hAnsi="Calibri Light"/>
                <w:b w:val="0"/>
              </w:rPr>
              <w:t xml:space="preserve"> en contra de los jueces y juezas</w:t>
            </w:r>
            <w:r w:rsidR="00984336" w:rsidRPr="005A750D">
              <w:rPr>
                <w:rFonts w:ascii="Calibri Light" w:hAnsi="Calibri Light"/>
                <w:b w:val="0"/>
              </w:rPr>
              <w:t>, estos han de ser investigados a fin de someter a los responsables a juicio y reparar a las víctimas. La obligación del Estado en este sentido es llevar la investigación con debida diligencia, en un plazo razonable y con todas las demás garantías que brinda el debido proceso. Ello resulta fundamental en atención al vínculo que existe entre la debida investigación de agresiones, amenazas, o similares, que puedan sufrir jueces o juezas, y l</w:t>
            </w:r>
            <w:r w:rsidR="003C242D">
              <w:rPr>
                <w:rFonts w:ascii="Calibri Light" w:hAnsi="Calibri Light"/>
                <w:b w:val="0"/>
              </w:rPr>
              <w:t>a desarticulación de las mismas,</w:t>
            </w:r>
            <w:r w:rsidR="00984336" w:rsidRPr="005A750D">
              <w:rPr>
                <w:rFonts w:ascii="Calibri Light" w:hAnsi="Calibri Light"/>
                <w:b w:val="0"/>
              </w:rPr>
              <w:t xml:space="preserve"> incluyendo la implementación de medidas de protección que respondan de forma idónea a la situación.</w:t>
            </w:r>
          </w:p>
          <w:p w14:paraId="1C6E4E7D" w14:textId="77777777" w:rsidR="00985D96" w:rsidRPr="005A750D" w:rsidRDefault="00985D96">
            <w:pPr>
              <w:jc w:val="both"/>
              <w:rPr>
                <w:rFonts w:ascii="Calibri Light" w:hAnsi="Calibri Light"/>
              </w:rPr>
            </w:pPr>
            <w:bookmarkStart w:id="0" w:name="_gjdgxs" w:colFirst="0" w:colLast="0"/>
            <w:bookmarkEnd w:id="0"/>
          </w:p>
          <w:p w14:paraId="10E0BB2C" w14:textId="57EFA0B5" w:rsidR="00985D96" w:rsidRPr="005A750D" w:rsidRDefault="00D04726">
            <w:pPr>
              <w:jc w:val="both"/>
              <w:rPr>
                <w:rFonts w:ascii="Calibri Light" w:hAnsi="Calibri Light"/>
              </w:rPr>
            </w:pPr>
            <w:r>
              <w:rPr>
                <w:rFonts w:ascii="Calibri Light" w:hAnsi="Calibri Light"/>
                <w:b w:val="0"/>
              </w:rPr>
              <w:t>Asimismo, la CIDH recordó que l</w:t>
            </w:r>
            <w:r w:rsidR="00984336" w:rsidRPr="00261703">
              <w:rPr>
                <w:rFonts w:ascii="Calibri Light" w:hAnsi="Calibri Light"/>
                <w:b w:val="0"/>
              </w:rPr>
              <w:t>a garantía de la integridad personal de los jueces deriva del artículo 5.1 de la CADH, y es una condición esencial para garantizar el debido proceso</w:t>
            </w:r>
            <w:r w:rsidR="00FC7497" w:rsidRPr="00261703">
              <w:rPr>
                <w:rFonts w:ascii="Calibri Light" w:hAnsi="Calibri Light"/>
                <w:b w:val="0"/>
              </w:rPr>
              <w:t xml:space="preserve"> y la protección judicial sobre</w:t>
            </w:r>
            <w:r w:rsidR="00B55967" w:rsidRPr="00261703">
              <w:rPr>
                <w:rFonts w:ascii="Calibri Light" w:hAnsi="Calibri Light"/>
                <w:b w:val="0"/>
              </w:rPr>
              <w:t xml:space="preserve"> las investigaciones relacionadas con violaciones a derechos humanos de opera</w:t>
            </w:r>
            <w:r w:rsidR="00261703" w:rsidRPr="00261703">
              <w:rPr>
                <w:rFonts w:ascii="Calibri Light" w:hAnsi="Calibri Light"/>
                <w:b w:val="0"/>
              </w:rPr>
              <w:t>dores</w:t>
            </w:r>
            <w:r w:rsidR="00B55967" w:rsidRPr="00261703">
              <w:rPr>
                <w:rFonts w:ascii="Calibri Light" w:hAnsi="Calibri Light"/>
                <w:b w:val="0"/>
              </w:rPr>
              <w:t xml:space="preserve"> de justicia</w:t>
            </w:r>
            <w:r w:rsidR="00984336" w:rsidRPr="00261703">
              <w:rPr>
                <w:rFonts w:ascii="Calibri Light" w:hAnsi="Calibri Light"/>
                <w:b w:val="0"/>
              </w:rPr>
              <w:t>.</w:t>
            </w:r>
            <w:r w:rsidR="00984336" w:rsidRPr="005A750D">
              <w:rPr>
                <w:rFonts w:ascii="Calibri Light" w:hAnsi="Calibri Light"/>
                <w:b w:val="0"/>
              </w:rPr>
              <w:t xml:space="preserve"> Así, el Estado está obligado a garantizar que cuenten con un sistema de seguridad y protección adecuado, y que este permita que desempeñen sus funciones con debida diligencia. Si no se da dicha garantía, protegiéndolos de represalias externas, incluso las dirigidas contra su familia, entonces el ejercicio de la función jurisdiccional puede verse seriamente afectado.</w:t>
            </w:r>
          </w:p>
          <w:p w14:paraId="18792F60" w14:textId="77777777" w:rsidR="00985D96" w:rsidRPr="005A750D" w:rsidRDefault="00985D96">
            <w:pPr>
              <w:jc w:val="both"/>
              <w:rPr>
                <w:rFonts w:ascii="Calibri Light" w:hAnsi="Calibri Light"/>
              </w:rPr>
            </w:pPr>
          </w:p>
          <w:p w14:paraId="7C1B25AD" w14:textId="16B7D85D" w:rsidR="00985D96" w:rsidRPr="005A750D" w:rsidRDefault="00023414">
            <w:pPr>
              <w:jc w:val="both"/>
              <w:rPr>
                <w:rFonts w:ascii="Calibri Light" w:hAnsi="Calibri Light"/>
              </w:rPr>
            </w:pPr>
            <w:r>
              <w:rPr>
                <w:rFonts w:ascii="Calibri Light" w:hAnsi="Calibri Light"/>
                <w:b w:val="0"/>
              </w:rPr>
              <w:t>La CIDH</w:t>
            </w:r>
            <w:r w:rsidR="00984336" w:rsidRPr="005A750D">
              <w:rPr>
                <w:rFonts w:ascii="Calibri Light" w:hAnsi="Calibri Light"/>
                <w:b w:val="0"/>
              </w:rPr>
              <w:t xml:space="preserve"> ha identificado que muchos de los casos de hostigamiento y persecución contra jueces y juezas está</w:t>
            </w:r>
            <w:r w:rsidR="00F204E6">
              <w:rPr>
                <w:rFonts w:ascii="Calibri Light" w:hAnsi="Calibri Light"/>
                <w:b w:val="0"/>
              </w:rPr>
              <w:t>n</w:t>
            </w:r>
            <w:r w:rsidR="00984336" w:rsidRPr="005A750D">
              <w:rPr>
                <w:rFonts w:ascii="Calibri Light" w:hAnsi="Calibri Light"/>
                <w:b w:val="0"/>
              </w:rPr>
              <w:t xml:space="preserve"> relacionado</w:t>
            </w:r>
            <w:r w:rsidR="001131AA">
              <w:rPr>
                <w:rFonts w:ascii="Calibri Light" w:hAnsi="Calibri Light"/>
                <w:b w:val="0"/>
              </w:rPr>
              <w:t>s</w:t>
            </w:r>
            <w:r w:rsidR="00984336" w:rsidRPr="005A750D">
              <w:rPr>
                <w:rFonts w:ascii="Calibri Light" w:hAnsi="Calibri Light"/>
                <w:b w:val="0"/>
              </w:rPr>
              <w:t xml:space="preserve"> directamente con la labor de desempeñan. En muchas ocasiones, los ataques de los que son víctimas están precedidos de amedrentamientos no solo dirigidos hacia ellos, sino también a sus familias. En vista de ello, los Estados deben emprender una política de prevención y protección</w:t>
            </w:r>
            <w:r w:rsidR="00C808D9">
              <w:rPr>
                <w:rFonts w:ascii="Calibri Light" w:hAnsi="Calibri Light"/>
                <w:b w:val="0"/>
              </w:rPr>
              <w:t>, y realizar</w:t>
            </w:r>
            <w:r w:rsidR="00984336" w:rsidRPr="005A750D">
              <w:rPr>
                <w:rFonts w:ascii="Calibri Light" w:hAnsi="Calibri Light"/>
                <w:b w:val="0"/>
              </w:rPr>
              <w:t xml:space="preserve"> investigaciones prontas, exhaustivas y diligentes en los casos que se presenten amenazas, hostigamientos, atentados, o asesinatos, </w:t>
            </w:r>
            <w:r w:rsidR="00984336" w:rsidRPr="00C808D9">
              <w:rPr>
                <w:rFonts w:ascii="Calibri Light" w:hAnsi="Calibri Light"/>
                <w:b w:val="0"/>
              </w:rPr>
              <w:t>así como cuando</w:t>
            </w:r>
            <w:r w:rsidR="00984336" w:rsidRPr="005A750D">
              <w:rPr>
                <w:rFonts w:ascii="Calibri Light" w:hAnsi="Calibri Light"/>
                <w:b w:val="0"/>
              </w:rPr>
              <w:t xml:space="preserve"> su vida privada </w:t>
            </w:r>
            <w:r w:rsidR="00C808D9">
              <w:rPr>
                <w:rFonts w:ascii="Calibri Light" w:hAnsi="Calibri Light"/>
                <w:b w:val="0"/>
              </w:rPr>
              <w:t>sea</w:t>
            </w:r>
            <w:r w:rsidR="00984336" w:rsidRPr="005A750D">
              <w:rPr>
                <w:rFonts w:ascii="Calibri Light" w:hAnsi="Calibri Light"/>
                <w:b w:val="0"/>
              </w:rPr>
              <w:t xml:space="preserve"> violentada o </w:t>
            </w:r>
            <w:r w:rsidR="00C808D9">
              <w:rPr>
                <w:rFonts w:ascii="Calibri Light" w:hAnsi="Calibri Light"/>
                <w:b w:val="0"/>
              </w:rPr>
              <w:t>se intercepten</w:t>
            </w:r>
            <w:r w:rsidR="00984336" w:rsidRPr="005A750D">
              <w:rPr>
                <w:rFonts w:ascii="Calibri Light" w:hAnsi="Calibri Light"/>
                <w:b w:val="0"/>
              </w:rPr>
              <w:t xml:space="preserve"> </w:t>
            </w:r>
            <w:r w:rsidR="00C808D9">
              <w:rPr>
                <w:rFonts w:ascii="Calibri Light" w:hAnsi="Calibri Light"/>
                <w:b w:val="0"/>
              </w:rPr>
              <w:t xml:space="preserve">ilegalmente </w:t>
            </w:r>
            <w:r w:rsidR="00984336" w:rsidRPr="005A750D">
              <w:rPr>
                <w:rFonts w:ascii="Calibri Light" w:hAnsi="Calibri Light"/>
                <w:b w:val="0"/>
              </w:rPr>
              <w:t>sus comunicaciones.</w:t>
            </w:r>
          </w:p>
          <w:p w14:paraId="2698E04C" w14:textId="77777777" w:rsidR="00985D96" w:rsidRPr="005A750D" w:rsidRDefault="00985D96">
            <w:pPr>
              <w:jc w:val="both"/>
              <w:rPr>
                <w:rFonts w:ascii="Calibri Light" w:hAnsi="Calibri Light"/>
              </w:rPr>
            </w:pPr>
          </w:p>
          <w:p w14:paraId="077D41D7" w14:textId="044A1681" w:rsidR="00985D96" w:rsidRPr="005A750D" w:rsidRDefault="00C808D9">
            <w:pPr>
              <w:jc w:val="both"/>
              <w:rPr>
                <w:rFonts w:ascii="Calibri Light" w:hAnsi="Calibri Light"/>
              </w:rPr>
            </w:pPr>
            <w:r>
              <w:rPr>
                <w:rFonts w:ascii="Calibri Light" w:hAnsi="Calibri Light"/>
                <w:b w:val="0"/>
              </w:rPr>
              <w:t>En el caso concreto, l</w:t>
            </w:r>
            <w:r w:rsidR="00B73FE6">
              <w:rPr>
                <w:rFonts w:ascii="Calibri Light" w:hAnsi="Calibri Light"/>
                <w:b w:val="0"/>
              </w:rPr>
              <w:t xml:space="preserve">a CIDH </w:t>
            </w:r>
            <w:r w:rsidR="00B73FE6" w:rsidRPr="00B73FE6">
              <w:rPr>
                <w:rFonts w:ascii="Calibri Light" w:hAnsi="Calibri Light"/>
                <w:b w:val="0"/>
              </w:rPr>
              <w:t>consideró que</w:t>
            </w:r>
            <w:r w:rsidR="00B12186">
              <w:rPr>
                <w:rFonts w:ascii="Calibri Light" w:hAnsi="Calibri Light"/>
                <w:b w:val="0"/>
              </w:rPr>
              <w:t>,</w:t>
            </w:r>
            <w:r w:rsidR="00B73FE6" w:rsidRPr="00B73FE6">
              <w:rPr>
                <w:rFonts w:ascii="Calibri Light" w:hAnsi="Calibri Light"/>
                <w:b w:val="0"/>
              </w:rPr>
              <w:t xml:space="preserve"> </w:t>
            </w:r>
            <w:r w:rsidR="008F4D8F">
              <w:rPr>
                <w:rFonts w:ascii="Calibri Light" w:hAnsi="Calibri Light"/>
                <w:b w:val="0"/>
              </w:rPr>
              <w:t xml:space="preserve">aunque </w:t>
            </w:r>
            <w:r w:rsidR="00B73FE6" w:rsidRPr="00B73FE6">
              <w:rPr>
                <w:rFonts w:ascii="Calibri Light" w:hAnsi="Calibri Light"/>
                <w:b w:val="0"/>
              </w:rPr>
              <w:t>el Estado tenía conocimiento de las amenazas</w:t>
            </w:r>
            <w:r w:rsidR="00840C77">
              <w:rPr>
                <w:rFonts w:ascii="Calibri Light" w:hAnsi="Calibri Light"/>
                <w:b w:val="0"/>
              </w:rPr>
              <w:t xml:space="preserve"> y hostigamiento</w:t>
            </w:r>
            <w:r w:rsidR="00B32B42">
              <w:rPr>
                <w:rFonts w:ascii="Calibri Light" w:hAnsi="Calibri Light"/>
                <w:b w:val="0"/>
              </w:rPr>
              <w:t xml:space="preserve"> hacia la señora Villaseñor</w:t>
            </w:r>
            <w:r w:rsidR="00B73FE6" w:rsidRPr="00B73FE6">
              <w:rPr>
                <w:rFonts w:ascii="Calibri Light" w:hAnsi="Calibri Light"/>
                <w:b w:val="0"/>
              </w:rPr>
              <w:t xml:space="preserve"> por sus denu</w:t>
            </w:r>
            <w:r w:rsidR="00BA203F">
              <w:rPr>
                <w:rFonts w:ascii="Calibri Light" w:hAnsi="Calibri Light"/>
                <w:b w:val="0"/>
              </w:rPr>
              <w:t xml:space="preserve">ncias, </w:t>
            </w:r>
            <w:r w:rsidR="00BA203F" w:rsidRPr="005A750D">
              <w:rPr>
                <w:rFonts w:ascii="Calibri Light" w:hAnsi="Calibri Light"/>
                <w:b w:val="0"/>
              </w:rPr>
              <w:t xml:space="preserve">estas nunca fueron investigadas seriamente para identificar las fuentes de riesgo, de modo que se contribuyera a erradicarlas, </w:t>
            </w:r>
            <w:r w:rsidR="00D2161F">
              <w:rPr>
                <w:rFonts w:ascii="Calibri Light" w:hAnsi="Calibri Light"/>
                <w:b w:val="0"/>
              </w:rPr>
              <w:t xml:space="preserve">se </w:t>
            </w:r>
            <w:r w:rsidR="00BA203F" w:rsidRPr="005A750D">
              <w:rPr>
                <w:rFonts w:ascii="Calibri Light" w:hAnsi="Calibri Light"/>
                <w:b w:val="0"/>
              </w:rPr>
              <w:t>identificar</w:t>
            </w:r>
            <w:r w:rsidR="00D2161F">
              <w:rPr>
                <w:rFonts w:ascii="Calibri Light" w:hAnsi="Calibri Light"/>
                <w:b w:val="0"/>
              </w:rPr>
              <w:t>a</w:t>
            </w:r>
            <w:r w:rsidR="00BA203F" w:rsidRPr="005A750D">
              <w:rPr>
                <w:rFonts w:ascii="Calibri Light" w:hAnsi="Calibri Light"/>
                <w:b w:val="0"/>
              </w:rPr>
              <w:t xml:space="preserve"> a los responsables </w:t>
            </w:r>
            <w:r w:rsidR="00D2161F">
              <w:rPr>
                <w:rFonts w:ascii="Calibri Light" w:hAnsi="Calibri Light"/>
                <w:b w:val="0"/>
              </w:rPr>
              <w:t>y se imponiera</w:t>
            </w:r>
            <w:r w:rsidR="00B12186">
              <w:rPr>
                <w:rFonts w:ascii="Calibri Light" w:hAnsi="Calibri Light"/>
                <w:b w:val="0"/>
              </w:rPr>
              <w:t xml:space="preserve"> las sanciones correspondientes. De este modo, el Estado de Guatemala incumplió su</w:t>
            </w:r>
            <w:r w:rsidR="00653997">
              <w:rPr>
                <w:rFonts w:ascii="Calibri Light" w:hAnsi="Calibri Light"/>
                <w:b w:val="0"/>
              </w:rPr>
              <w:t xml:space="preserve"> deber de adoptar especial diligencia en las investigaciones de las amenazas o ataques contra jueces y juezas.</w:t>
            </w:r>
            <w:r w:rsidR="00984336" w:rsidRPr="005A750D">
              <w:rPr>
                <w:rFonts w:ascii="Calibri Light" w:hAnsi="Calibri Light"/>
                <w:b w:val="0"/>
              </w:rPr>
              <w:t xml:space="preserve"> </w:t>
            </w:r>
            <w:r w:rsidR="00984336" w:rsidRPr="00C808D9">
              <w:rPr>
                <w:rFonts w:ascii="Calibri Light" w:hAnsi="Calibri Light"/>
                <w:b w:val="0"/>
              </w:rPr>
              <w:t xml:space="preserve">La situación detallada se </w:t>
            </w:r>
            <w:r w:rsidR="003037B8" w:rsidRPr="00C808D9">
              <w:rPr>
                <w:rFonts w:ascii="Calibri Light" w:hAnsi="Calibri Light"/>
                <w:b w:val="0"/>
              </w:rPr>
              <w:t>vio</w:t>
            </w:r>
            <w:r w:rsidR="00984336" w:rsidRPr="00C808D9">
              <w:rPr>
                <w:rFonts w:ascii="Calibri Light" w:hAnsi="Calibri Light"/>
                <w:b w:val="0"/>
              </w:rPr>
              <w:t xml:space="preserve"> agravada </w:t>
            </w:r>
            <w:r w:rsidR="00F204E6" w:rsidRPr="00C808D9">
              <w:rPr>
                <w:rFonts w:ascii="Calibri Light" w:hAnsi="Calibri Light"/>
                <w:b w:val="0"/>
              </w:rPr>
              <w:t>por</w:t>
            </w:r>
            <w:r w:rsidR="00984336" w:rsidRPr="00C808D9">
              <w:rPr>
                <w:rFonts w:ascii="Calibri Light" w:hAnsi="Calibri Light"/>
                <w:b w:val="0"/>
              </w:rPr>
              <w:t xml:space="preserve"> la participación de la señora Villaseñor como jueza en diversos casos de violaciones de derechos humanos o delitos patrimoniales relacionados con agentes o funcionarios estatales</w:t>
            </w:r>
            <w:r w:rsidR="00D84737" w:rsidRPr="00C808D9">
              <w:rPr>
                <w:rFonts w:ascii="Calibri Light" w:hAnsi="Calibri Light"/>
                <w:b w:val="0"/>
              </w:rPr>
              <w:t>, en tanto</w:t>
            </w:r>
            <w:r w:rsidR="00984336" w:rsidRPr="00C808D9">
              <w:rPr>
                <w:rFonts w:ascii="Calibri Light" w:hAnsi="Calibri Light"/>
                <w:b w:val="0"/>
              </w:rPr>
              <w:t xml:space="preserve"> e</w:t>
            </w:r>
            <w:r w:rsidR="00D84737" w:rsidRPr="00C808D9">
              <w:rPr>
                <w:rFonts w:ascii="Calibri Light" w:hAnsi="Calibri Light"/>
                <w:b w:val="0"/>
              </w:rPr>
              <w:t>l deber de adoptar especial diligencia en la investigación se</w:t>
            </w:r>
            <w:r w:rsidR="00984336" w:rsidRPr="00C808D9">
              <w:rPr>
                <w:rFonts w:ascii="Calibri Light" w:hAnsi="Calibri Light"/>
                <w:b w:val="0"/>
              </w:rPr>
              <w:t xml:space="preserve"> refuerza cuando las amenazas o persecución </w:t>
            </w:r>
            <w:r w:rsidR="00231757" w:rsidRPr="00C808D9">
              <w:rPr>
                <w:rFonts w:ascii="Calibri Light" w:hAnsi="Calibri Light"/>
                <w:b w:val="0"/>
              </w:rPr>
              <w:t xml:space="preserve">hacia jueces o juezas </w:t>
            </w:r>
            <w:r w:rsidR="00984336" w:rsidRPr="00C808D9">
              <w:rPr>
                <w:rFonts w:ascii="Calibri Light" w:hAnsi="Calibri Light"/>
                <w:b w:val="0"/>
              </w:rPr>
              <w:t>provenga, o pueda provenir, de agentes estatales.</w:t>
            </w:r>
          </w:p>
          <w:p w14:paraId="6B538176" w14:textId="77777777" w:rsidR="00985D96" w:rsidRPr="005A750D" w:rsidRDefault="00985D96">
            <w:pPr>
              <w:jc w:val="both"/>
              <w:rPr>
                <w:rFonts w:ascii="Calibri Light" w:hAnsi="Calibri Light"/>
              </w:rPr>
            </w:pPr>
          </w:p>
          <w:p w14:paraId="07036B32" w14:textId="3189C6F3" w:rsidR="00985D96" w:rsidRPr="005A750D" w:rsidRDefault="00C808D9">
            <w:pPr>
              <w:jc w:val="both"/>
              <w:rPr>
                <w:rFonts w:ascii="Calibri Light" w:hAnsi="Calibri Light"/>
              </w:rPr>
            </w:pPr>
            <w:r>
              <w:rPr>
                <w:rFonts w:ascii="Calibri Light" w:hAnsi="Calibri Light"/>
                <w:b w:val="0"/>
              </w:rPr>
              <w:t>De</w:t>
            </w:r>
            <w:r w:rsidR="00984336" w:rsidRPr="005A750D">
              <w:rPr>
                <w:rFonts w:ascii="Calibri Light" w:hAnsi="Calibri Light"/>
                <w:b w:val="0"/>
              </w:rPr>
              <w:t xml:space="preserve"> otro lado, </w:t>
            </w:r>
            <w:r w:rsidR="00E93875">
              <w:rPr>
                <w:rFonts w:ascii="Calibri Light" w:hAnsi="Calibri Light"/>
                <w:b w:val="0"/>
              </w:rPr>
              <w:t xml:space="preserve">la CIDH resaltó que </w:t>
            </w:r>
            <w:r w:rsidR="00BD0C4A">
              <w:rPr>
                <w:rFonts w:ascii="Calibri Light" w:hAnsi="Calibri Light"/>
                <w:b w:val="0"/>
              </w:rPr>
              <w:t xml:space="preserve">las falencias identificadas en las medidas de protección que el Estado debía brindar se encontraban directamente relacionadas con la falta de diligencia </w:t>
            </w:r>
            <w:r w:rsidR="00BD0C4A">
              <w:rPr>
                <w:rFonts w:ascii="Calibri Light" w:hAnsi="Calibri Light"/>
                <w:b w:val="0"/>
              </w:rPr>
              <w:lastRenderedPageBreak/>
              <w:t>en la investigaci</w:t>
            </w:r>
            <w:r w:rsidR="00B871F8">
              <w:rPr>
                <w:rFonts w:ascii="Calibri Light" w:hAnsi="Calibri Light"/>
                <w:b w:val="0"/>
              </w:rPr>
              <w:t>ón</w:t>
            </w:r>
            <w:r w:rsidR="00F07B0F">
              <w:rPr>
                <w:rFonts w:ascii="Calibri Light" w:hAnsi="Calibri Light"/>
                <w:b w:val="0"/>
              </w:rPr>
              <w:t xml:space="preserve"> de las denuncias presentadas, en tanto una debida investigación era necesaria para determinar las medidas idóneas de protección frente a las amenazas y el hostigamiento de las que la señora Villaseñor fue víctima.</w:t>
            </w:r>
            <w:r w:rsidR="00D2161F">
              <w:rPr>
                <w:rFonts w:ascii="Calibri Light" w:hAnsi="Calibri Light"/>
              </w:rPr>
              <w:t xml:space="preserve"> </w:t>
            </w:r>
            <w:r w:rsidR="00984336" w:rsidRPr="005A750D">
              <w:rPr>
                <w:rFonts w:ascii="Calibri Light" w:hAnsi="Calibri Light"/>
                <w:b w:val="0"/>
              </w:rPr>
              <w:t xml:space="preserve">Así, </w:t>
            </w:r>
            <w:r w:rsidR="00D2161F">
              <w:rPr>
                <w:rFonts w:ascii="Calibri Light" w:hAnsi="Calibri Light"/>
                <w:b w:val="0"/>
              </w:rPr>
              <w:t>la CIDH concluyó</w:t>
            </w:r>
            <w:r w:rsidR="00984336" w:rsidRPr="005A750D">
              <w:rPr>
                <w:rFonts w:ascii="Calibri Light" w:hAnsi="Calibri Light"/>
                <w:b w:val="0"/>
              </w:rPr>
              <w:t xml:space="preserve"> que de haber realizado una investigación que se ajustara a los estándares internacionales, se habría podido diseñar un esquema de protección más adecuado a las circunstancias y prevenir los riesgos que corrió la señora Villaseñor y que fueron denunciados por ella. La falla en ello generó daño también a su integridad personal.</w:t>
            </w:r>
          </w:p>
          <w:p w14:paraId="2934210D" w14:textId="77777777" w:rsidR="00985D96" w:rsidRPr="005A750D" w:rsidRDefault="00985D96">
            <w:pPr>
              <w:jc w:val="both"/>
              <w:rPr>
                <w:rFonts w:ascii="Calibri Light" w:hAnsi="Calibri Light"/>
              </w:rPr>
            </w:pPr>
          </w:p>
          <w:p w14:paraId="4FE4B8ED" w14:textId="65472A22" w:rsidR="00985D96" w:rsidRPr="005A750D" w:rsidRDefault="00984336">
            <w:pPr>
              <w:jc w:val="both"/>
              <w:rPr>
                <w:rFonts w:ascii="Calibri Light" w:hAnsi="Calibri Light"/>
              </w:rPr>
            </w:pPr>
            <w:r w:rsidRPr="005A750D">
              <w:rPr>
                <w:rFonts w:ascii="Calibri Light" w:hAnsi="Calibri Light"/>
                <w:b w:val="0"/>
              </w:rPr>
              <w:t>Además, la CIDH resalt</w:t>
            </w:r>
            <w:r w:rsidR="00904398">
              <w:rPr>
                <w:rFonts w:ascii="Calibri Light" w:hAnsi="Calibri Light"/>
                <w:b w:val="0"/>
              </w:rPr>
              <w:t>ó</w:t>
            </w:r>
            <w:r w:rsidRPr="005A750D">
              <w:rPr>
                <w:rFonts w:ascii="Calibri Light" w:hAnsi="Calibri Light"/>
                <w:b w:val="0"/>
              </w:rPr>
              <w:t xml:space="preserve"> la correlación existente entre la independencia judicial y la integridad personal en el caso de la señora Villaseñor. Asimismo, </w:t>
            </w:r>
            <w:r w:rsidR="00A16825">
              <w:rPr>
                <w:rFonts w:ascii="Calibri Light" w:hAnsi="Calibri Light"/>
                <w:b w:val="0"/>
              </w:rPr>
              <w:t>evidenció</w:t>
            </w:r>
            <w:r w:rsidRPr="005A750D">
              <w:rPr>
                <w:rFonts w:ascii="Calibri Light" w:hAnsi="Calibri Light"/>
                <w:b w:val="0"/>
              </w:rPr>
              <w:t xml:space="preserve"> que las denuncias de los actos de amenaza y persecución contra la señora Villaseñor y su familia que no fueron atendidas, entre los años 1991 y 2012 que ella se desempeñó como magistrada, </w:t>
            </w:r>
            <w:r w:rsidR="00A16825">
              <w:rPr>
                <w:rFonts w:ascii="Calibri Light" w:hAnsi="Calibri Light"/>
                <w:b w:val="0"/>
              </w:rPr>
              <w:t>tuvieron</w:t>
            </w:r>
            <w:r w:rsidRPr="005A750D">
              <w:rPr>
                <w:rFonts w:ascii="Calibri Light" w:hAnsi="Calibri Light"/>
                <w:b w:val="0"/>
              </w:rPr>
              <w:t xml:space="preserve"> como correlato el contexto de inseguridad de magistrados y magistradas en Guatemala, en particular relacionados al conocimiento de casos en los que la responsabilidad por los delitos recaía sobre agentes estatales.</w:t>
            </w:r>
          </w:p>
          <w:p w14:paraId="149747B3" w14:textId="77777777" w:rsidR="00985D96" w:rsidRPr="005A750D" w:rsidRDefault="00985D96">
            <w:pPr>
              <w:jc w:val="both"/>
              <w:rPr>
                <w:rFonts w:ascii="Calibri Light" w:hAnsi="Calibri Light"/>
              </w:rPr>
            </w:pPr>
          </w:p>
          <w:p w14:paraId="21BB0958" w14:textId="299B2CA0" w:rsidR="00985D96" w:rsidRPr="005A750D" w:rsidRDefault="00984336">
            <w:pPr>
              <w:jc w:val="both"/>
              <w:rPr>
                <w:rFonts w:ascii="Calibri Light" w:hAnsi="Calibri Light"/>
              </w:rPr>
            </w:pPr>
            <w:r w:rsidRPr="005A750D">
              <w:rPr>
                <w:rFonts w:ascii="Calibri Light" w:hAnsi="Calibri Light"/>
                <w:b w:val="0"/>
              </w:rPr>
              <w:t>Finalmente, la CIDH consider</w:t>
            </w:r>
            <w:r w:rsidR="00904398">
              <w:rPr>
                <w:rFonts w:ascii="Calibri Light" w:hAnsi="Calibri Light"/>
                <w:b w:val="0"/>
              </w:rPr>
              <w:t>ó</w:t>
            </w:r>
            <w:r w:rsidRPr="005A750D">
              <w:rPr>
                <w:rFonts w:ascii="Calibri Light" w:hAnsi="Calibri Light"/>
                <w:b w:val="0"/>
              </w:rPr>
              <w:t xml:space="preserve"> que el Estado, al no realizar investigaciones diligentes y en un plazo razonable sobre las denuncias presentadas por la señora Villaseñor, destinadas a identificar a los responsables y sancionarlos, generó impunidad sobre las mismas y </w:t>
            </w:r>
            <w:r w:rsidR="00904398" w:rsidRPr="005A750D">
              <w:rPr>
                <w:rFonts w:ascii="Calibri Light" w:hAnsi="Calibri Light"/>
                <w:b w:val="0"/>
              </w:rPr>
              <w:t>viol</w:t>
            </w:r>
            <w:r w:rsidR="00904398">
              <w:rPr>
                <w:rFonts w:ascii="Calibri Light" w:hAnsi="Calibri Light"/>
                <w:b w:val="0"/>
              </w:rPr>
              <w:t>ó</w:t>
            </w:r>
            <w:r w:rsidR="00904398" w:rsidRPr="005A750D">
              <w:rPr>
                <w:rFonts w:ascii="Calibri Light" w:hAnsi="Calibri Light"/>
                <w:b w:val="0"/>
              </w:rPr>
              <w:t xml:space="preserve"> </w:t>
            </w:r>
            <w:r w:rsidRPr="005A750D">
              <w:rPr>
                <w:rFonts w:ascii="Calibri Light" w:hAnsi="Calibri Light"/>
                <w:b w:val="0"/>
              </w:rPr>
              <w:t>sus derechos a las garantías judiciales y a la protección judicial.</w:t>
            </w:r>
            <w:r w:rsidR="00D2161F">
              <w:rPr>
                <w:rFonts w:ascii="Calibri Light" w:hAnsi="Calibri Light"/>
              </w:rPr>
              <w:t xml:space="preserve"> </w:t>
            </w:r>
            <w:r w:rsidRPr="005A750D">
              <w:rPr>
                <w:rFonts w:ascii="Calibri Light" w:hAnsi="Calibri Light"/>
                <w:b w:val="0"/>
              </w:rPr>
              <w:t>Por ello, la CIDH declaró que se había violado los artículos 5.1, 8.1 y 25.1 de la CADH en relación con el artículo 1.1 en perjuicio de la señora María Eugenia Villaseñor, y el artículo 5.1 de la CADH</w:t>
            </w:r>
            <w:r w:rsidR="00D2161F">
              <w:rPr>
                <w:rFonts w:ascii="Calibri Light" w:hAnsi="Calibri Light"/>
                <w:b w:val="0"/>
              </w:rPr>
              <w:t>,</w:t>
            </w:r>
            <w:r w:rsidRPr="005A750D">
              <w:rPr>
                <w:rFonts w:ascii="Calibri Light" w:hAnsi="Calibri Light"/>
                <w:b w:val="0"/>
              </w:rPr>
              <w:t xml:space="preserve"> en relación con el artículo 1.1</w:t>
            </w:r>
            <w:r w:rsidR="00D2161F">
              <w:rPr>
                <w:rFonts w:ascii="Calibri Light" w:hAnsi="Calibri Light"/>
                <w:b w:val="0"/>
              </w:rPr>
              <w:t>,</w:t>
            </w:r>
            <w:r w:rsidRPr="005A750D">
              <w:rPr>
                <w:rFonts w:ascii="Calibri Light" w:hAnsi="Calibri Light"/>
                <w:b w:val="0"/>
              </w:rPr>
              <w:t xml:space="preserve"> en perjuicio de los familiares de la señora Villaseñor.</w:t>
            </w:r>
          </w:p>
          <w:p w14:paraId="1F624A17" w14:textId="77777777" w:rsidR="00985D96" w:rsidRPr="005A750D" w:rsidRDefault="00985D96">
            <w:pPr>
              <w:jc w:val="both"/>
              <w:rPr>
                <w:rFonts w:ascii="Calibri Light" w:hAnsi="Calibri Light"/>
              </w:rPr>
            </w:pPr>
          </w:p>
        </w:tc>
      </w:tr>
      <w:tr w:rsidR="00985D96" w:rsidRPr="005A750D" w14:paraId="6BC67789" w14:textId="77777777" w:rsidTr="00475637">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5516EE72" w14:textId="231B46D6" w:rsidR="00985D96" w:rsidRPr="00475637"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lastRenderedPageBreak/>
              <w:t>Recomendaciones</w:t>
            </w:r>
            <w:r w:rsidR="0097565B">
              <w:rPr>
                <w:rFonts w:ascii="Calibri Light" w:hAnsi="Calibri Light"/>
                <w:color w:val="000000"/>
              </w:rPr>
              <w:t xml:space="preserve"> de la CIDH al Estado</w:t>
            </w:r>
          </w:p>
        </w:tc>
      </w:tr>
      <w:tr w:rsidR="00985D96" w:rsidRPr="005A750D" w14:paraId="5C8CD148" w14:textId="77777777" w:rsidTr="00985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58F6F761" w14:textId="77777777" w:rsidR="00756041" w:rsidRPr="002E4EB9" w:rsidRDefault="00756041" w:rsidP="00D2161F">
            <w:pPr>
              <w:jc w:val="both"/>
              <w:rPr>
                <w:rFonts w:ascii="Calibri Light" w:hAnsi="Calibri Light"/>
                <w:b w:val="0"/>
              </w:rPr>
            </w:pPr>
          </w:p>
          <w:p w14:paraId="157D2F17" w14:textId="77777777" w:rsidR="00985D96" w:rsidRPr="00A16825" w:rsidRDefault="00984336">
            <w:pPr>
              <w:numPr>
                <w:ilvl w:val="0"/>
                <w:numId w:val="2"/>
              </w:numPr>
              <w:pBdr>
                <w:top w:val="nil"/>
                <w:left w:val="nil"/>
                <w:bottom w:val="nil"/>
                <w:right w:val="nil"/>
                <w:between w:val="nil"/>
              </w:pBdr>
              <w:spacing w:before="240"/>
              <w:contextualSpacing/>
              <w:jc w:val="both"/>
              <w:rPr>
                <w:rFonts w:ascii="Calibri Light" w:hAnsi="Calibri Light"/>
                <w:color w:val="000000"/>
              </w:rPr>
            </w:pPr>
            <w:r w:rsidRPr="005A750D">
              <w:rPr>
                <w:rFonts w:ascii="Calibri Light" w:hAnsi="Calibri Light"/>
                <w:b w:val="0"/>
                <w:color w:val="000000"/>
              </w:rPr>
              <w:t>Reparar integralmente las vulneraciones a derechos humanas determinadas en el caso.</w:t>
            </w:r>
          </w:p>
          <w:p w14:paraId="76284D4A" w14:textId="77777777" w:rsidR="00A16825" w:rsidRPr="005A750D" w:rsidRDefault="00A16825" w:rsidP="00A16825">
            <w:pPr>
              <w:pBdr>
                <w:top w:val="nil"/>
                <w:left w:val="nil"/>
                <w:bottom w:val="nil"/>
                <w:right w:val="nil"/>
                <w:between w:val="nil"/>
              </w:pBdr>
              <w:spacing w:before="240"/>
              <w:ind w:left="720"/>
              <w:contextualSpacing/>
              <w:jc w:val="both"/>
              <w:rPr>
                <w:rFonts w:ascii="Calibri Light" w:hAnsi="Calibri Light"/>
                <w:color w:val="000000"/>
              </w:rPr>
            </w:pPr>
          </w:p>
          <w:p w14:paraId="7E843994" w14:textId="1586F723" w:rsidR="00985D96" w:rsidRPr="00A16825" w:rsidRDefault="00984336">
            <w:pPr>
              <w:numPr>
                <w:ilvl w:val="0"/>
                <w:numId w:val="2"/>
              </w:numPr>
              <w:pBdr>
                <w:top w:val="nil"/>
                <w:left w:val="nil"/>
                <w:bottom w:val="nil"/>
                <w:right w:val="nil"/>
                <w:between w:val="nil"/>
              </w:pBdr>
              <w:contextualSpacing/>
              <w:jc w:val="both"/>
              <w:rPr>
                <w:rFonts w:ascii="Calibri Light" w:hAnsi="Calibri Light"/>
                <w:color w:val="000000"/>
              </w:rPr>
            </w:pPr>
            <w:r w:rsidRPr="005A750D">
              <w:rPr>
                <w:rFonts w:ascii="Calibri Light" w:hAnsi="Calibri Light"/>
                <w:b w:val="0"/>
                <w:color w:val="000000"/>
              </w:rPr>
              <w:t xml:space="preserve">Desarrollar y completar una investigación que cumpla con los estándares internacionales sobre las denuncias presentadas por </w:t>
            </w:r>
            <w:r w:rsidR="00A16825">
              <w:rPr>
                <w:rFonts w:ascii="Calibri Light" w:hAnsi="Calibri Light"/>
                <w:b w:val="0"/>
                <w:color w:val="000000"/>
              </w:rPr>
              <w:t xml:space="preserve">la </w:t>
            </w:r>
            <w:r w:rsidRPr="005A750D">
              <w:rPr>
                <w:rFonts w:ascii="Calibri Light" w:hAnsi="Calibri Light"/>
                <w:b w:val="0"/>
                <w:color w:val="000000"/>
              </w:rPr>
              <w:t>señora Villaseñor.</w:t>
            </w:r>
          </w:p>
          <w:p w14:paraId="032A0227" w14:textId="77777777" w:rsidR="00A16825" w:rsidRPr="005A750D" w:rsidRDefault="00A16825" w:rsidP="00A16825">
            <w:pPr>
              <w:pBdr>
                <w:top w:val="nil"/>
                <w:left w:val="nil"/>
                <w:bottom w:val="nil"/>
                <w:right w:val="nil"/>
                <w:between w:val="nil"/>
              </w:pBdr>
              <w:contextualSpacing/>
              <w:jc w:val="both"/>
              <w:rPr>
                <w:rFonts w:ascii="Calibri Light" w:hAnsi="Calibri Light"/>
                <w:color w:val="000000"/>
              </w:rPr>
            </w:pPr>
          </w:p>
          <w:p w14:paraId="31A1D3C2" w14:textId="77777777" w:rsidR="00985D96" w:rsidRPr="00A16825" w:rsidRDefault="00984336">
            <w:pPr>
              <w:numPr>
                <w:ilvl w:val="0"/>
                <w:numId w:val="2"/>
              </w:numPr>
              <w:pBdr>
                <w:top w:val="nil"/>
                <w:left w:val="nil"/>
                <w:bottom w:val="nil"/>
                <w:right w:val="nil"/>
                <w:between w:val="nil"/>
              </w:pBdr>
              <w:contextualSpacing/>
              <w:jc w:val="both"/>
              <w:rPr>
                <w:rFonts w:ascii="Calibri Light" w:hAnsi="Calibri Light"/>
                <w:color w:val="000000"/>
              </w:rPr>
            </w:pPr>
            <w:r w:rsidRPr="005A750D">
              <w:rPr>
                <w:rFonts w:ascii="Calibri Light" w:hAnsi="Calibri Light"/>
                <w:b w:val="0"/>
                <w:color w:val="000000"/>
              </w:rPr>
              <w:t>Disponer las medidas necesarias para la sanción de las acciones u omisiones de funcionarios estatales que contribuyeron a la denegación de justicia e impunidad detalladas en el caso.</w:t>
            </w:r>
          </w:p>
          <w:p w14:paraId="0254F4F1" w14:textId="77777777" w:rsidR="00A16825" w:rsidRPr="005A750D" w:rsidRDefault="00A16825" w:rsidP="00A16825">
            <w:pPr>
              <w:pBdr>
                <w:top w:val="nil"/>
                <w:left w:val="nil"/>
                <w:bottom w:val="nil"/>
                <w:right w:val="nil"/>
                <w:between w:val="nil"/>
              </w:pBdr>
              <w:contextualSpacing/>
              <w:jc w:val="both"/>
              <w:rPr>
                <w:rFonts w:ascii="Calibri Light" w:hAnsi="Calibri Light"/>
                <w:color w:val="000000"/>
              </w:rPr>
            </w:pPr>
          </w:p>
          <w:p w14:paraId="63A8A5E5" w14:textId="77777777" w:rsidR="00985D96" w:rsidRDefault="00984336" w:rsidP="00A71A26">
            <w:pPr>
              <w:numPr>
                <w:ilvl w:val="0"/>
                <w:numId w:val="2"/>
              </w:numPr>
              <w:pBdr>
                <w:top w:val="nil"/>
                <w:left w:val="nil"/>
                <w:bottom w:val="nil"/>
                <w:right w:val="nil"/>
                <w:between w:val="nil"/>
              </w:pBdr>
              <w:contextualSpacing/>
              <w:jc w:val="both"/>
              <w:rPr>
                <w:rFonts w:ascii="Calibri Light" w:hAnsi="Calibri Light"/>
                <w:color w:val="000000"/>
              </w:rPr>
            </w:pPr>
            <w:r w:rsidRPr="005A750D">
              <w:rPr>
                <w:rFonts w:ascii="Calibri Light" w:hAnsi="Calibri Light"/>
                <w:b w:val="0"/>
                <w:color w:val="000000"/>
              </w:rPr>
              <w:t>Implementar medidas de no repetición para asegurar que las denuncias realizadas por juezas y jueces, así como las medidas de seguridad establecidas a su favor, cumplan con los estándares señalados en este informe.</w:t>
            </w:r>
          </w:p>
          <w:p w14:paraId="0FB2E1CB" w14:textId="04419974" w:rsidR="00A71A26" w:rsidRPr="00A71A26" w:rsidRDefault="00A71A26" w:rsidP="00A71A26">
            <w:pPr>
              <w:pBdr>
                <w:top w:val="nil"/>
                <w:left w:val="nil"/>
                <w:bottom w:val="nil"/>
                <w:right w:val="nil"/>
                <w:between w:val="nil"/>
              </w:pBdr>
              <w:ind w:left="360"/>
              <w:contextualSpacing/>
              <w:jc w:val="both"/>
              <w:rPr>
                <w:rFonts w:ascii="Calibri Light" w:hAnsi="Calibri Light"/>
                <w:color w:val="000000"/>
              </w:rPr>
            </w:pPr>
          </w:p>
        </w:tc>
      </w:tr>
      <w:tr w:rsidR="00985D96" w:rsidRPr="005A750D" w14:paraId="0FD4345D" w14:textId="77777777" w:rsidTr="00475637">
        <w:trPr>
          <w:trHeight w:val="510"/>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7E6F531B" w14:textId="6ED6B2EF" w:rsidR="00985D96" w:rsidRPr="005A750D" w:rsidRDefault="00984336" w:rsidP="00475637">
            <w:pPr>
              <w:numPr>
                <w:ilvl w:val="0"/>
                <w:numId w:val="3"/>
              </w:numPr>
              <w:pBdr>
                <w:top w:val="nil"/>
                <w:left w:val="nil"/>
                <w:bottom w:val="nil"/>
                <w:right w:val="nil"/>
                <w:between w:val="nil"/>
              </w:pBdr>
              <w:contextualSpacing/>
              <w:jc w:val="center"/>
              <w:rPr>
                <w:rFonts w:ascii="Calibri Light" w:hAnsi="Calibri Light"/>
                <w:color w:val="000000"/>
              </w:rPr>
            </w:pPr>
            <w:r w:rsidRPr="005A750D">
              <w:rPr>
                <w:rFonts w:ascii="Calibri Light" w:hAnsi="Calibri Light"/>
                <w:color w:val="000000"/>
              </w:rPr>
              <w:t>Análisis de cumplimiento de las recomendaciones</w:t>
            </w:r>
          </w:p>
        </w:tc>
      </w:tr>
      <w:tr w:rsidR="00985D96" w:rsidRPr="005A750D" w14:paraId="11939DFF" w14:textId="77777777" w:rsidTr="00985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5AE98982" w14:textId="77777777" w:rsidR="00985D96" w:rsidRPr="005A750D" w:rsidRDefault="00985D96">
            <w:pPr>
              <w:pBdr>
                <w:top w:val="nil"/>
                <w:left w:val="nil"/>
                <w:bottom w:val="nil"/>
                <w:right w:val="nil"/>
                <w:between w:val="nil"/>
              </w:pBdr>
              <w:ind w:hanging="720"/>
              <w:jc w:val="both"/>
              <w:rPr>
                <w:rFonts w:ascii="Calibri Light" w:hAnsi="Calibri Light"/>
                <w:color w:val="000000"/>
              </w:rPr>
            </w:pPr>
          </w:p>
          <w:p w14:paraId="4C4D2322" w14:textId="77777777" w:rsidR="00985D96" w:rsidRPr="005A750D" w:rsidRDefault="00984336">
            <w:pPr>
              <w:pBdr>
                <w:top w:val="nil"/>
                <w:left w:val="nil"/>
                <w:bottom w:val="nil"/>
                <w:right w:val="nil"/>
                <w:between w:val="nil"/>
              </w:pBdr>
              <w:ind w:hanging="720"/>
              <w:jc w:val="center"/>
              <w:rPr>
                <w:rFonts w:ascii="Calibri Light" w:hAnsi="Calibri Light"/>
                <w:color w:val="000000"/>
              </w:rPr>
            </w:pPr>
            <w:r w:rsidRPr="005A750D">
              <w:rPr>
                <w:rFonts w:ascii="Calibri Light" w:hAnsi="Calibri Light"/>
                <w:b w:val="0"/>
                <w:color w:val="000000"/>
              </w:rPr>
              <w:t>-</w:t>
            </w:r>
          </w:p>
          <w:p w14:paraId="4649A033" w14:textId="77777777" w:rsidR="00985D96" w:rsidRPr="005A750D" w:rsidRDefault="00985D96">
            <w:pPr>
              <w:pBdr>
                <w:top w:val="nil"/>
                <w:left w:val="nil"/>
                <w:bottom w:val="nil"/>
                <w:right w:val="nil"/>
                <w:between w:val="nil"/>
              </w:pBdr>
              <w:ind w:hanging="720"/>
              <w:jc w:val="center"/>
              <w:rPr>
                <w:rFonts w:ascii="Calibri Light" w:hAnsi="Calibri Light"/>
                <w:color w:val="000000"/>
              </w:rPr>
            </w:pPr>
          </w:p>
        </w:tc>
      </w:tr>
    </w:tbl>
    <w:p w14:paraId="75693939" w14:textId="77777777" w:rsidR="00985D96" w:rsidRPr="005A750D" w:rsidRDefault="00985D96">
      <w:pPr>
        <w:spacing w:line="240" w:lineRule="auto"/>
        <w:rPr>
          <w:rFonts w:ascii="Calibri Light" w:hAnsi="Calibri Light"/>
        </w:rPr>
      </w:pPr>
    </w:p>
    <w:sectPr w:rsidR="00985D96" w:rsidRPr="005A750D">
      <w:footerReference w:type="default" r:id="rId14"/>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7210" w14:textId="77777777" w:rsidR="004E3302" w:rsidRDefault="004E3302">
      <w:pPr>
        <w:spacing w:after="0" w:line="240" w:lineRule="auto"/>
      </w:pPr>
      <w:r>
        <w:separator/>
      </w:r>
    </w:p>
  </w:endnote>
  <w:endnote w:type="continuationSeparator" w:id="0">
    <w:p w14:paraId="54680876" w14:textId="77777777" w:rsidR="004E3302" w:rsidRDefault="004E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E822" w14:textId="7590394B" w:rsidR="00C10F1C" w:rsidRDefault="00C10F1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47BB">
      <w:rPr>
        <w:noProof/>
        <w:color w:val="000000"/>
      </w:rPr>
      <w:t>4</w:t>
    </w:r>
    <w:r>
      <w:rPr>
        <w:color w:val="000000"/>
      </w:rPr>
      <w:fldChar w:fldCharType="end"/>
    </w:r>
  </w:p>
  <w:p w14:paraId="5060462E" w14:textId="77777777" w:rsidR="00C10F1C" w:rsidRDefault="00C10F1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5601" w14:textId="77777777" w:rsidR="004E3302" w:rsidRDefault="004E3302">
      <w:pPr>
        <w:spacing w:after="0" w:line="240" w:lineRule="auto"/>
      </w:pPr>
      <w:r>
        <w:separator/>
      </w:r>
    </w:p>
  </w:footnote>
  <w:footnote w:type="continuationSeparator" w:id="0">
    <w:p w14:paraId="38EEB48E" w14:textId="77777777" w:rsidR="004E3302" w:rsidRDefault="004E3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A5E"/>
    <w:multiLevelType w:val="multilevel"/>
    <w:tmpl w:val="5AD4F2DA"/>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F27B60"/>
    <w:multiLevelType w:val="multilevel"/>
    <w:tmpl w:val="CAFE2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7195D"/>
    <w:multiLevelType w:val="multilevel"/>
    <w:tmpl w:val="56F6A3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2631FF"/>
    <w:multiLevelType w:val="multilevel"/>
    <w:tmpl w:val="B7E42B1C"/>
    <w:lvl w:ilvl="0">
      <w:start w:val="1"/>
      <w:numFmt w:val="decimal"/>
      <w:lvlText w:val="%1."/>
      <w:lvlJc w:val="left"/>
      <w:pPr>
        <w:ind w:left="360" w:hanging="360"/>
      </w:pPr>
      <w:rPr>
        <w:rFonts w:ascii="Calibri Light" w:eastAsia="Calibri" w:hAnsi="Calibri Light" w:cs="Calibr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5D96"/>
    <w:rsid w:val="00023414"/>
    <w:rsid w:val="00041835"/>
    <w:rsid w:val="000454C6"/>
    <w:rsid w:val="00047457"/>
    <w:rsid w:val="000C4012"/>
    <w:rsid w:val="000F1911"/>
    <w:rsid w:val="001131AA"/>
    <w:rsid w:val="00114F2D"/>
    <w:rsid w:val="001404D5"/>
    <w:rsid w:val="00177068"/>
    <w:rsid w:val="001B04C8"/>
    <w:rsid w:val="001C6698"/>
    <w:rsid w:val="001E4463"/>
    <w:rsid w:val="002052C9"/>
    <w:rsid w:val="00205520"/>
    <w:rsid w:val="00231757"/>
    <w:rsid w:val="00261703"/>
    <w:rsid w:val="00264A70"/>
    <w:rsid w:val="0028511C"/>
    <w:rsid w:val="002B6D24"/>
    <w:rsid w:val="002C2BC6"/>
    <w:rsid w:val="002E4EB9"/>
    <w:rsid w:val="003037B8"/>
    <w:rsid w:val="00325505"/>
    <w:rsid w:val="003257DA"/>
    <w:rsid w:val="00343D3C"/>
    <w:rsid w:val="0035724F"/>
    <w:rsid w:val="003971A0"/>
    <w:rsid w:val="003A4A6F"/>
    <w:rsid w:val="003B2180"/>
    <w:rsid w:val="003C242D"/>
    <w:rsid w:val="003E28F9"/>
    <w:rsid w:val="003F26D1"/>
    <w:rsid w:val="003F4788"/>
    <w:rsid w:val="00457DDC"/>
    <w:rsid w:val="00460685"/>
    <w:rsid w:val="00475637"/>
    <w:rsid w:val="00483300"/>
    <w:rsid w:val="0049312D"/>
    <w:rsid w:val="0049363D"/>
    <w:rsid w:val="004D65FE"/>
    <w:rsid w:val="004E2A2F"/>
    <w:rsid w:val="004E3302"/>
    <w:rsid w:val="004F3B6C"/>
    <w:rsid w:val="004F7B88"/>
    <w:rsid w:val="005110EB"/>
    <w:rsid w:val="00524D6C"/>
    <w:rsid w:val="005317FF"/>
    <w:rsid w:val="00535FBA"/>
    <w:rsid w:val="00536D4A"/>
    <w:rsid w:val="00556E40"/>
    <w:rsid w:val="00560EEA"/>
    <w:rsid w:val="005A750D"/>
    <w:rsid w:val="005C77A1"/>
    <w:rsid w:val="005F431E"/>
    <w:rsid w:val="006045E9"/>
    <w:rsid w:val="00613652"/>
    <w:rsid w:val="00621889"/>
    <w:rsid w:val="00632241"/>
    <w:rsid w:val="00641CAE"/>
    <w:rsid w:val="00647424"/>
    <w:rsid w:val="00653997"/>
    <w:rsid w:val="00665CCA"/>
    <w:rsid w:val="00666411"/>
    <w:rsid w:val="00684E07"/>
    <w:rsid w:val="0068669D"/>
    <w:rsid w:val="006A2E93"/>
    <w:rsid w:val="006A372A"/>
    <w:rsid w:val="006C70A1"/>
    <w:rsid w:val="006D7FAD"/>
    <w:rsid w:val="006E67DC"/>
    <w:rsid w:val="0073677E"/>
    <w:rsid w:val="00756041"/>
    <w:rsid w:val="00764F47"/>
    <w:rsid w:val="00786D03"/>
    <w:rsid w:val="00792A50"/>
    <w:rsid w:val="007955AB"/>
    <w:rsid w:val="007A60E3"/>
    <w:rsid w:val="007B649B"/>
    <w:rsid w:val="007D15FF"/>
    <w:rsid w:val="007E0481"/>
    <w:rsid w:val="007E654F"/>
    <w:rsid w:val="007F549D"/>
    <w:rsid w:val="00806B06"/>
    <w:rsid w:val="00813BAC"/>
    <w:rsid w:val="00840C77"/>
    <w:rsid w:val="00866BC8"/>
    <w:rsid w:val="0088167E"/>
    <w:rsid w:val="008853F8"/>
    <w:rsid w:val="00895359"/>
    <w:rsid w:val="008A5257"/>
    <w:rsid w:val="008A7D33"/>
    <w:rsid w:val="008A7EEE"/>
    <w:rsid w:val="008D26AE"/>
    <w:rsid w:val="008F4D8F"/>
    <w:rsid w:val="00904398"/>
    <w:rsid w:val="00913BD3"/>
    <w:rsid w:val="009274F5"/>
    <w:rsid w:val="009514D2"/>
    <w:rsid w:val="00954C23"/>
    <w:rsid w:val="0097565B"/>
    <w:rsid w:val="00975B6E"/>
    <w:rsid w:val="00984336"/>
    <w:rsid w:val="00985D96"/>
    <w:rsid w:val="00996CD8"/>
    <w:rsid w:val="009A1276"/>
    <w:rsid w:val="009F0510"/>
    <w:rsid w:val="00A1329E"/>
    <w:rsid w:val="00A13A63"/>
    <w:rsid w:val="00A1656D"/>
    <w:rsid w:val="00A16732"/>
    <w:rsid w:val="00A16825"/>
    <w:rsid w:val="00A328FA"/>
    <w:rsid w:val="00A420B9"/>
    <w:rsid w:val="00A45E9A"/>
    <w:rsid w:val="00A5258A"/>
    <w:rsid w:val="00A5684D"/>
    <w:rsid w:val="00A6076B"/>
    <w:rsid w:val="00A63E36"/>
    <w:rsid w:val="00A71A26"/>
    <w:rsid w:val="00A75C66"/>
    <w:rsid w:val="00A85BD9"/>
    <w:rsid w:val="00A94B75"/>
    <w:rsid w:val="00AA5BA5"/>
    <w:rsid w:val="00AC490B"/>
    <w:rsid w:val="00AC5B18"/>
    <w:rsid w:val="00AD455B"/>
    <w:rsid w:val="00AF5833"/>
    <w:rsid w:val="00B12186"/>
    <w:rsid w:val="00B15F79"/>
    <w:rsid w:val="00B32B42"/>
    <w:rsid w:val="00B46746"/>
    <w:rsid w:val="00B55967"/>
    <w:rsid w:val="00B62088"/>
    <w:rsid w:val="00B73FE6"/>
    <w:rsid w:val="00B871F8"/>
    <w:rsid w:val="00BA203F"/>
    <w:rsid w:val="00BB72AE"/>
    <w:rsid w:val="00BD0C4A"/>
    <w:rsid w:val="00BD24C3"/>
    <w:rsid w:val="00BD4BBB"/>
    <w:rsid w:val="00BD6B0E"/>
    <w:rsid w:val="00C0275D"/>
    <w:rsid w:val="00C10F1C"/>
    <w:rsid w:val="00C318C9"/>
    <w:rsid w:val="00C44BA3"/>
    <w:rsid w:val="00C647BB"/>
    <w:rsid w:val="00C679DA"/>
    <w:rsid w:val="00C67CAE"/>
    <w:rsid w:val="00C733E8"/>
    <w:rsid w:val="00C808D9"/>
    <w:rsid w:val="00C94BB1"/>
    <w:rsid w:val="00CA00A4"/>
    <w:rsid w:val="00CA5F19"/>
    <w:rsid w:val="00CD3623"/>
    <w:rsid w:val="00CD61C1"/>
    <w:rsid w:val="00CE2341"/>
    <w:rsid w:val="00D01559"/>
    <w:rsid w:val="00D04726"/>
    <w:rsid w:val="00D0554F"/>
    <w:rsid w:val="00D16722"/>
    <w:rsid w:val="00D2161F"/>
    <w:rsid w:val="00D27F8E"/>
    <w:rsid w:val="00D6228E"/>
    <w:rsid w:val="00D62305"/>
    <w:rsid w:val="00D64E01"/>
    <w:rsid w:val="00D80FCC"/>
    <w:rsid w:val="00D84737"/>
    <w:rsid w:val="00DE4795"/>
    <w:rsid w:val="00DF40FB"/>
    <w:rsid w:val="00E03916"/>
    <w:rsid w:val="00E35B2F"/>
    <w:rsid w:val="00E51AAF"/>
    <w:rsid w:val="00E533AA"/>
    <w:rsid w:val="00E57FFD"/>
    <w:rsid w:val="00E61730"/>
    <w:rsid w:val="00E747C1"/>
    <w:rsid w:val="00E93875"/>
    <w:rsid w:val="00EA5547"/>
    <w:rsid w:val="00EB32E8"/>
    <w:rsid w:val="00ED7016"/>
    <w:rsid w:val="00EE02D2"/>
    <w:rsid w:val="00EF731E"/>
    <w:rsid w:val="00F07B0F"/>
    <w:rsid w:val="00F14D7E"/>
    <w:rsid w:val="00F15157"/>
    <w:rsid w:val="00F15A7E"/>
    <w:rsid w:val="00F204E6"/>
    <w:rsid w:val="00F31CF2"/>
    <w:rsid w:val="00F46482"/>
    <w:rsid w:val="00F76E16"/>
    <w:rsid w:val="00F85995"/>
    <w:rsid w:val="00F86268"/>
    <w:rsid w:val="00F96FF0"/>
    <w:rsid w:val="00FA4CF5"/>
    <w:rsid w:val="00FB6C1A"/>
    <w:rsid w:val="00FC0D38"/>
    <w:rsid w:val="00FC7497"/>
    <w:rsid w:val="00FF51B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styleId="CommentReference">
    <w:name w:val="annotation reference"/>
    <w:basedOn w:val="DefaultParagraphFont"/>
    <w:uiPriority w:val="99"/>
    <w:semiHidden/>
    <w:unhideWhenUsed/>
    <w:rsid w:val="00343D3C"/>
    <w:rPr>
      <w:sz w:val="16"/>
      <w:szCs w:val="16"/>
    </w:rPr>
  </w:style>
  <w:style w:type="paragraph" w:styleId="CommentText">
    <w:name w:val="annotation text"/>
    <w:basedOn w:val="Normal"/>
    <w:link w:val="CommentTextChar"/>
    <w:uiPriority w:val="99"/>
    <w:semiHidden/>
    <w:unhideWhenUsed/>
    <w:rsid w:val="00343D3C"/>
    <w:pPr>
      <w:spacing w:line="240" w:lineRule="auto"/>
    </w:pPr>
    <w:rPr>
      <w:sz w:val="20"/>
      <w:szCs w:val="20"/>
    </w:rPr>
  </w:style>
  <w:style w:type="character" w:customStyle="1" w:styleId="CommentTextChar">
    <w:name w:val="Comment Text Char"/>
    <w:basedOn w:val="DefaultParagraphFont"/>
    <w:link w:val="CommentText"/>
    <w:uiPriority w:val="99"/>
    <w:semiHidden/>
    <w:rsid w:val="00343D3C"/>
    <w:rPr>
      <w:sz w:val="20"/>
      <w:szCs w:val="20"/>
    </w:rPr>
  </w:style>
  <w:style w:type="paragraph" w:styleId="CommentSubject">
    <w:name w:val="annotation subject"/>
    <w:basedOn w:val="CommentText"/>
    <w:next w:val="CommentText"/>
    <w:link w:val="CommentSubjectChar"/>
    <w:uiPriority w:val="99"/>
    <w:semiHidden/>
    <w:unhideWhenUsed/>
    <w:rsid w:val="00343D3C"/>
    <w:rPr>
      <w:b/>
      <w:bCs/>
    </w:rPr>
  </w:style>
  <w:style w:type="character" w:customStyle="1" w:styleId="CommentSubjectChar">
    <w:name w:val="Comment Subject Char"/>
    <w:basedOn w:val="CommentTextChar"/>
    <w:link w:val="CommentSubject"/>
    <w:uiPriority w:val="99"/>
    <w:semiHidden/>
    <w:rsid w:val="00343D3C"/>
    <w:rPr>
      <w:b/>
      <w:bCs/>
      <w:sz w:val="20"/>
      <w:szCs w:val="20"/>
    </w:rPr>
  </w:style>
  <w:style w:type="paragraph" w:styleId="BalloonText">
    <w:name w:val="Balloon Text"/>
    <w:basedOn w:val="Normal"/>
    <w:link w:val="BalloonTextChar"/>
    <w:uiPriority w:val="99"/>
    <w:semiHidden/>
    <w:unhideWhenUsed/>
    <w:rsid w:val="0034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3C"/>
    <w:rPr>
      <w:rFonts w:ascii="Tahoma" w:hAnsi="Tahoma" w:cs="Tahoma"/>
      <w:sz w:val="16"/>
      <w:szCs w:val="16"/>
    </w:rPr>
  </w:style>
  <w:style w:type="paragraph" w:styleId="Header">
    <w:name w:val="header"/>
    <w:basedOn w:val="Normal"/>
    <w:link w:val="HeaderChar"/>
    <w:uiPriority w:val="99"/>
    <w:unhideWhenUsed/>
    <w:rsid w:val="00B46746"/>
    <w:pPr>
      <w:tabs>
        <w:tab w:val="center" w:pos="4419"/>
        <w:tab w:val="right" w:pos="8838"/>
      </w:tabs>
      <w:spacing w:after="0" w:line="240" w:lineRule="auto"/>
    </w:pPr>
    <w:rPr>
      <w:rFonts w:cs="Times New Roman"/>
      <w:lang w:eastAsia="en-US"/>
    </w:rPr>
  </w:style>
  <w:style w:type="character" w:customStyle="1" w:styleId="HeaderChar">
    <w:name w:val="Header Char"/>
    <w:basedOn w:val="DefaultParagraphFont"/>
    <w:link w:val="Header"/>
    <w:uiPriority w:val="99"/>
    <w:rsid w:val="00B46746"/>
    <w:rPr>
      <w:rFonts w:cs="Times New Roman"/>
      <w:lang w:eastAsia="en-US"/>
    </w:rPr>
  </w:style>
  <w:style w:type="paragraph" w:styleId="ListParagraph">
    <w:name w:val="List Paragraph"/>
    <w:basedOn w:val="Normal"/>
    <w:uiPriority w:val="34"/>
    <w:qFormat/>
    <w:rsid w:val="00A16825"/>
    <w:pPr>
      <w:ind w:left="720"/>
      <w:contextualSpacing/>
    </w:pPr>
  </w:style>
  <w:style w:type="character" w:styleId="Hyperlink">
    <w:name w:val="Hyperlink"/>
    <w:basedOn w:val="DefaultParagraphFont"/>
    <w:uiPriority w:val="99"/>
    <w:unhideWhenUsed/>
    <w:rsid w:val="001E4463"/>
    <w:rPr>
      <w:color w:val="0000FF" w:themeColor="hyperlink"/>
      <w:u w:val="single"/>
    </w:rPr>
  </w:style>
  <w:style w:type="character" w:styleId="UnresolvedMention">
    <w:name w:val="Unresolved Mention"/>
    <w:basedOn w:val="DefaultParagraphFont"/>
    <w:uiPriority w:val="99"/>
    <w:semiHidden/>
    <w:unhideWhenUsed/>
    <w:rsid w:val="001E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http://dpp.graduateinstitute.ch/files/live/sites/dpp/files/shared/images/IDEHPUCP%20%20color.jpg" TargetMode="External"/><Relationship Id="rId13" Type="http://schemas.openxmlformats.org/officeDocument/2006/relationships/hyperlink" Target="https://www.corteidh.or.cr/docs/casos/articulos/seriec_374_esp.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dh.oas.org/annualrep/94span/cap.IV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decisiones/corte/2017/11388Fondo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