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7D635" w14:textId="77777777" w:rsidR="0091188B" w:rsidRDefault="0091188B" w:rsidP="0091188B">
      <w:pPr>
        <w:pStyle w:val="Header"/>
        <w:jc w:val="center"/>
        <w:rPr>
          <w:rFonts w:ascii="Calibri Light" w:hAnsi="Calibri Light"/>
          <w:lang w:val="es-PE"/>
        </w:rPr>
      </w:pPr>
      <w:r w:rsidRPr="00C80A19">
        <w:rPr>
          <w:rFonts w:ascii="Calibri Light" w:hAnsi="Calibri Light"/>
          <w:noProof/>
          <w:lang w:val="es-PE"/>
        </w:rPr>
        <w:drawing>
          <wp:anchor distT="0" distB="0" distL="114300" distR="114300" simplePos="0" relativeHeight="251661312" behindDoc="1" locked="0" layoutInCell="1" allowOverlap="1" wp14:anchorId="56B0B6C1" wp14:editId="545FDDA9">
            <wp:simplePos x="0" y="0"/>
            <wp:positionH relativeFrom="margin">
              <wp:posOffset>4020820</wp:posOffset>
            </wp:positionH>
            <wp:positionV relativeFrom="margin">
              <wp:posOffset>-271145</wp:posOffset>
            </wp:positionV>
            <wp:extent cx="1849755" cy="789940"/>
            <wp:effectExtent l="0" t="0" r="4445" b="0"/>
            <wp:wrapTight wrapText="bothSides">
              <wp:wrapPolygon edited="0">
                <wp:start x="0" y="0"/>
                <wp:lineTo x="0" y="21183"/>
                <wp:lineTo x="21504" y="21183"/>
                <wp:lineTo x="21504" y="0"/>
                <wp:lineTo x="0" y="0"/>
              </wp:wrapPolygon>
            </wp:wrapTight>
            <wp:docPr id="3" name="Imagen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rotWithShape="1">
                    <a:blip r:embed="rId8" r:link="rId9" cstate="print">
                      <a:extLst>
                        <a:ext uri="{28A0092B-C50C-407E-A947-70E740481C1C}">
                          <a14:useLocalDpi xmlns:a14="http://schemas.microsoft.com/office/drawing/2010/main" val="0"/>
                        </a:ext>
                      </a:extLst>
                    </a:blip>
                    <a:srcRect l="5442" t="27352" r="6449" b="25571"/>
                    <a:stretch/>
                  </pic:blipFill>
                  <pic:spPr bwMode="auto">
                    <a:xfrm>
                      <a:off x="0" y="0"/>
                      <a:ext cx="1849755" cy="7899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60288" behindDoc="1" locked="0" layoutInCell="1" allowOverlap="1" wp14:anchorId="7CC7728F" wp14:editId="0A82D3CF">
            <wp:simplePos x="0" y="0"/>
            <wp:positionH relativeFrom="column">
              <wp:posOffset>1399540</wp:posOffset>
            </wp:positionH>
            <wp:positionV relativeFrom="paragraph">
              <wp:posOffset>-107950</wp:posOffset>
            </wp:positionV>
            <wp:extent cx="2564130" cy="626110"/>
            <wp:effectExtent l="0" t="0" r="1270" b="0"/>
            <wp:wrapTight wrapText="bothSides">
              <wp:wrapPolygon edited="0">
                <wp:start x="1605" y="2629"/>
                <wp:lineTo x="1070" y="5258"/>
                <wp:lineTo x="642" y="7886"/>
                <wp:lineTo x="642" y="11830"/>
                <wp:lineTo x="1284" y="17087"/>
                <wp:lineTo x="1498" y="17963"/>
                <wp:lineTo x="21397" y="17963"/>
                <wp:lineTo x="21504" y="16649"/>
                <wp:lineTo x="21183" y="9639"/>
                <wp:lineTo x="15406" y="2629"/>
                <wp:lineTo x="1605" y="2629"/>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rotWithShape="1">
                    <a:blip r:embed="rId10"/>
                    <a:srcRect r="3349"/>
                    <a:stretch/>
                  </pic:blipFill>
                  <pic:spPr bwMode="auto">
                    <a:xfrm>
                      <a:off x="0" y="0"/>
                      <a:ext cx="2564130" cy="6261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80A19">
        <w:rPr>
          <w:rFonts w:ascii="Calibri Light" w:hAnsi="Calibri Light"/>
          <w:noProof/>
          <w:lang w:val="es-PE"/>
        </w:rPr>
        <w:drawing>
          <wp:anchor distT="0" distB="0" distL="114300" distR="114300" simplePos="0" relativeHeight="251659264" behindDoc="1" locked="0" layoutInCell="1" allowOverlap="1" wp14:anchorId="5804696A" wp14:editId="3C4CF0B5">
            <wp:simplePos x="0" y="0"/>
            <wp:positionH relativeFrom="column">
              <wp:posOffset>-407474</wp:posOffset>
            </wp:positionH>
            <wp:positionV relativeFrom="paragraph">
              <wp:posOffset>-200514</wp:posOffset>
            </wp:positionV>
            <wp:extent cx="1735455" cy="727710"/>
            <wp:effectExtent l="0" t="0" r="0" b="0"/>
            <wp:wrapTight wrapText="bothSides">
              <wp:wrapPolygon edited="0">
                <wp:start x="316" y="754"/>
                <wp:lineTo x="316" y="18094"/>
                <wp:lineTo x="632" y="19602"/>
                <wp:lineTo x="1739" y="20356"/>
                <wp:lineTo x="13436" y="20356"/>
                <wp:lineTo x="21181" y="19602"/>
                <wp:lineTo x="21339" y="14325"/>
                <wp:lineTo x="20075" y="13571"/>
                <wp:lineTo x="21181" y="10178"/>
                <wp:lineTo x="21181" y="7539"/>
                <wp:lineTo x="18652" y="3393"/>
                <wp:lineTo x="17546" y="754"/>
                <wp:lineTo x="316" y="754"/>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1"/>
                    <a:srcRect l="11357" t="20875" r="13129" b="18785"/>
                    <a:stretch/>
                  </pic:blipFill>
                  <pic:spPr bwMode="auto">
                    <a:xfrm>
                      <a:off x="0" y="0"/>
                      <a:ext cx="1735455" cy="7277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A217323" w14:textId="77777777" w:rsidR="0091188B" w:rsidRPr="00411A74" w:rsidRDefault="0091188B" w:rsidP="0091188B">
      <w:pPr>
        <w:pStyle w:val="Header"/>
        <w:jc w:val="center"/>
        <w:rPr>
          <w:rFonts w:ascii="Calibri Light" w:hAnsi="Calibri Light"/>
          <w:lang w:val="es-PE"/>
        </w:rPr>
      </w:pPr>
      <w:r w:rsidRPr="00411A74">
        <w:rPr>
          <w:rFonts w:ascii="Calibri Light" w:hAnsi="Calibri Light"/>
          <w:lang w:val="es-PE"/>
        </w:rPr>
        <w:t>Difundiendo los estándares para la protección de los DDHH de la CIDH</w:t>
      </w:r>
    </w:p>
    <w:p w14:paraId="33AF6FA7" w14:textId="2032640F" w:rsidR="00F725A5" w:rsidRPr="0091188B" w:rsidRDefault="0091188B" w:rsidP="0091188B">
      <w:pPr>
        <w:spacing w:after="0" w:line="240" w:lineRule="auto"/>
        <w:jc w:val="center"/>
        <w:outlineLvl w:val="0"/>
        <w:rPr>
          <w:rFonts w:ascii="Calibri Light" w:hAnsi="Calibri Light"/>
          <w:b/>
          <w:i/>
          <w:lang w:val="es-PE"/>
        </w:rPr>
      </w:pPr>
      <w:r>
        <w:rPr>
          <w:rFonts w:ascii="Calibri Light" w:hAnsi="Calibri Light"/>
          <w:b/>
          <w:i/>
          <w:lang w:val="es-PE"/>
        </w:rPr>
        <w:t>Ficha de R</w:t>
      </w:r>
      <w:r w:rsidRPr="00411A74">
        <w:rPr>
          <w:rFonts w:ascii="Calibri Light" w:hAnsi="Calibri Light"/>
          <w:b/>
          <w:i/>
          <w:lang w:val="es-PE"/>
        </w:rPr>
        <w:t xml:space="preserve">esumen </w:t>
      </w:r>
      <w:r w:rsidRPr="009B7C6C">
        <w:rPr>
          <w:rFonts w:ascii="Calibri Light" w:hAnsi="Calibri Light"/>
          <w:b/>
          <w:i/>
        </w:rPr>
        <w:br/>
      </w:r>
    </w:p>
    <w:tbl>
      <w:tblPr>
        <w:tblStyle w:val="Tabladelista2-nfasis11"/>
        <w:tblW w:w="0" w:type="auto"/>
        <w:tblLook w:val="04A0" w:firstRow="1" w:lastRow="0" w:firstColumn="1" w:lastColumn="0" w:noHBand="0" w:noVBand="1"/>
      </w:tblPr>
      <w:tblGrid>
        <w:gridCol w:w="3678"/>
        <w:gridCol w:w="2460"/>
        <w:gridCol w:w="2583"/>
      </w:tblGrid>
      <w:tr w:rsidR="005173CF" w:rsidRPr="00000BDF" w14:paraId="01A2F61A" w14:textId="77777777" w:rsidTr="004C4BA2">
        <w:trPr>
          <w:cnfStyle w:val="100000000000" w:firstRow="1" w:lastRow="0" w:firstColumn="0" w:lastColumn="0" w:oddVBand="0" w:evenVBand="0" w:oddHBand="0"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8721" w:type="dxa"/>
            <w:gridSpan w:val="3"/>
          </w:tcPr>
          <w:p w14:paraId="07609204" w14:textId="77777777" w:rsidR="00AC6F31" w:rsidRPr="00080011" w:rsidRDefault="00AC6F31" w:rsidP="00AC6F31">
            <w:pPr>
              <w:pStyle w:val="ListParagraph"/>
              <w:rPr>
                <w:rFonts w:ascii="Calibri Light" w:hAnsi="Calibri Light"/>
              </w:rPr>
            </w:pPr>
          </w:p>
          <w:p w14:paraId="160CE2AC" w14:textId="77777777" w:rsidR="00212F62" w:rsidRPr="00080011" w:rsidRDefault="007A6C56" w:rsidP="00AC6F31">
            <w:pPr>
              <w:pStyle w:val="ListParagraph"/>
              <w:numPr>
                <w:ilvl w:val="0"/>
                <w:numId w:val="2"/>
              </w:numPr>
              <w:jc w:val="center"/>
              <w:rPr>
                <w:rFonts w:ascii="Calibri Light" w:hAnsi="Calibri Light"/>
              </w:rPr>
            </w:pPr>
            <w:r w:rsidRPr="00080011">
              <w:rPr>
                <w:rFonts w:ascii="Calibri Light" w:hAnsi="Calibri Light"/>
              </w:rPr>
              <w:t>Datos generales</w:t>
            </w:r>
          </w:p>
          <w:p w14:paraId="6C5B323B" w14:textId="6BA3A748" w:rsidR="00AC6F31" w:rsidRPr="00080011" w:rsidRDefault="00AC6F31" w:rsidP="00AC6F31">
            <w:pPr>
              <w:pStyle w:val="ListParagraph"/>
              <w:rPr>
                <w:rFonts w:ascii="Calibri Light" w:hAnsi="Calibri Light"/>
              </w:rPr>
            </w:pPr>
          </w:p>
        </w:tc>
      </w:tr>
      <w:tr w:rsidR="004533E5" w:rsidRPr="00000BDF" w14:paraId="275AD1EA" w14:textId="77777777" w:rsidTr="004C4BA2">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3678" w:type="dxa"/>
          </w:tcPr>
          <w:p w14:paraId="63C7EFE0" w14:textId="77777777" w:rsidR="005173CF" w:rsidRPr="00080011" w:rsidRDefault="007A6C56" w:rsidP="00A65231">
            <w:pPr>
              <w:pStyle w:val="ListParagraph"/>
              <w:numPr>
                <w:ilvl w:val="0"/>
                <w:numId w:val="3"/>
              </w:numPr>
              <w:rPr>
                <w:rFonts w:ascii="Calibri Light" w:hAnsi="Calibri Light"/>
              </w:rPr>
            </w:pPr>
            <w:r w:rsidRPr="00080011">
              <w:rPr>
                <w:rFonts w:ascii="Calibri Light" w:hAnsi="Calibri Light"/>
              </w:rPr>
              <w:t>Nombre del caso</w:t>
            </w:r>
          </w:p>
        </w:tc>
        <w:tc>
          <w:tcPr>
            <w:tcW w:w="5043" w:type="dxa"/>
            <w:gridSpan w:val="2"/>
          </w:tcPr>
          <w:p w14:paraId="084A5991" w14:textId="655918F7" w:rsidR="005173CF" w:rsidRPr="00080011" w:rsidRDefault="00192BFF" w:rsidP="00A133CC">
            <w:pPr>
              <w:cnfStyle w:val="000000100000" w:firstRow="0" w:lastRow="0" w:firstColumn="0" w:lastColumn="0" w:oddVBand="0" w:evenVBand="0" w:oddHBand="1" w:evenHBand="0" w:firstRowFirstColumn="0" w:firstRowLastColumn="0" w:lastRowFirstColumn="0" w:lastRowLastColumn="0"/>
              <w:rPr>
                <w:rFonts w:ascii="Calibri Light" w:hAnsi="Calibri Light"/>
              </w:rPr>
            </w:pPr>
            <w:r>
              <w:rPr>
                <w:rFonts w:ascii="Calibri Light" w:hAnsi="Calibri Light"/>
              </w:rPr>
              <w:t>O</w:t>
            </w:r>
            <w:r w:rsidR="00C27B2A">
              <w:rPr>
                <w:rFonts w:ascii="Calibri Light" w:hAnsi="Calibri Light"/>
              </w:rPr>
              <w:t xml:space="preserve">scar Muelle Flores, </w:t>
            </w:r>
            <w:r w:rsidR="00000BDF" w:rsidRPr="00080011">
              <w:rPr>
                <w:rFonts w:ascii="Calibri Light" w:hAnsi="Calibri Light"/>
              </w:rPr>
              <w:t xml:space="preserve">Perú </w:t>
            </w:r>
          </w:p>
        </w:tc>
      </w:tr>
      <w:tr w:rsidR="00F464EC" w:rsidRPr="00000BDF" w14:paraId="59A6A8A1" w14:textId="77777777" w:rsidTr="004C4BA2">
        <w:trPr>
          <w:trHeight w:val="263"/>
        </w:trPr>
        <w:tc>
          <w:tcPr>
            <w:cnfStyle w:val="001000000000" w:firstRow="0" w:lastRow="0" w:firstColumn="1" w:lastColumn="0" w:oddVBand="0" w:evenVBand="0" w:oddHBand="0" w:evenHBand="0" w:firstRowFirstColumn="0" w:firstRowLastColumn="0" w:lastRowFirstColumn="0" w:lastRowLastColumn="0"/>
            <w:tcW w:w="3678" w:type="dxa"/>
          </w:tcPr>
          <w:p w14:paraId="7FA9FC90" w14:textId="27B0B192" w:rsidR="00F464EC" w:rsidRPr="00080011" w:rsidRDefault="00C27B2A" w:rsidP="00A65231">
            <w:pPr>
              <w:pStyle w:val="ListParagraph"/>
              <w:numPr>
                <w:ilvl w:val="0"/>
                <w:numId w:val="3"/>
              </w:numPr>
              <w:rPr>
                <w:rFonts w:ascii="Calibri Light" w:hAnsi="Calibri Light"/>
              </w:rPr>
            </w:pPr>
            <w:r>
              <w:rPr>
                <w:rFonts w:ascii="Calibri Light" w:hAnsi="Calibri Light"/>
              </w:rPr>
              <w:t>Parte peticionaria</w:t>
            </w:r>
          </w:p>
        </w:tc>
        <w:tc>
          <w:tcPr>
            <w:tcW w:w="5043" w:type="dxa"/>
            <w:gridSpan w:val="2"/>
          </w:tcPr>
          <w:p w14:paraId="374B2A68" w14:textId="10E9A4F8" w:rsidR="00BF7857" w:rsidRPr="00080011" w:rsidRDefault="00192BFF" w:rsidP="00B07E72">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O</w:t>
            </w:r>
            <w:r w:rsidR="00000BDF" w:rsidRPr="00080011">
              <w:rPr>
                <w:rFonts w:ascii="Calibri Light" w:hAnsi="Calibri Light"/>
              </w:rPr>
              <w:t>scar Muelle Flores</w:t>
            </w:r>
          </w:p>
        </w:tc>
      </w:tr>
      <w:tr w:rsidR="005173CF" w:rsidRPr="00000BDF" w14:paraId="3A483B4F" w14:textId="77777777" w:rsidTr="004C4BA2">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3678" w:type="dxa"/>
          </w:tcPr>
          <w:p w14:paraId="6233C75C" w14:textId="77777777" w:rsidR="005173CF" w:rsidRPr="00080011" w:rsidRDefault="007A6C56" w:rsidP="00A65231">
            <w:pPr>
              <w:pStyle w:val="ListParagraph"/>
              <w:numPr>
                <w:ilvl w:val="0"/>
                <w:numId w:val="3"/>
              </w:numPr>
              <w:rPr>
                <w:rFonts w:ascii="Calibri Light" w:hAnsi="Calibri Light"/>
              </w:rPr>
            </w:pPr>
            <w:r w:rsidRPr="00080011">
              <w:rPr>
                <w:rFonts w:ascii="Calibri Light" w:hAnsi="Calibri Light"/>
              </w:rPr>
              <w:t xml:space="preserve">Número de Informe </w:t>
            </w:r>
          </w:p>
        </w:tc>
        <w:tc>
          <w:tcPr>
            <w:tcW w:w="5043" w:type="dxa"/>
            <w:gridSpan w:val="2"/>
          </w:tcPr>
          <w:p w14:paraId="77740DF4" w14:textId="1C11A25E" w:rsidR="005173CF" w:rsidRPr="00080011" w:rsidRDefault="00C855AA" w:rsidP="004C4BA2">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hyperlink r:id="rId12" w:history="1">
              <w:r w:rsidR="00000BDF" w:rsidRPr="00080011">
                <w:rPr>
                  <w:rStyle w:val="Hyperlink"/>
                  <w:rFonts w:ascii="Calibri Light" w:hAnsi="Calibri Light"/>
                </w:rPr>
                <w:t>Informe No. 3/17</w:t>
              </w:r>
            </w:hyperlink>
          </w:p>
        </w:tc>
      </w:tr>
      <w:tr w:rsidR="004533E5" w:rsidRPr="00000BDF" w14:paraId="5EC10F5F" w14:textId="77777777" w:rsidTr="004C4BA2">
        <w:trPr>
          <w:trHeight w:val="212"/>
        </w:trPr>
        <w:tc>
          <w:tcPr>
            <w:cnfStyle w:val="001000000000" w:firstRow="0" w:lastRow="0" w:firstColumn="1" w:lastColumn="0" w:oddVBand="0" w:evenVBand="0" w:oddHBand="0" w:evenHBand="0" w:firstRowFirstColumn="0" w:firstRowLastColumn="0" w:lastRowFirstColumn="0" w:lastRowLastColumn="0"/>
            <w:tcW w:w="3678" w:type="dxa"/>
          </w:tcPr>
          <w:p w14:paraId="00180E4F" w14:textId="77777777" w:rsidR="005173CF" w:rsidRPr="00080011" w:rsidRDefault="00954E20" w:rsidP="00954E20">
            <w:pPr>
              <w:pStyle w:val="ListParagraph"/>
              <w:numPr>
                <w:ilvl w:val="0"/>
                <w:numId w:val="3"/>
              </w:numPr>
              <w:rPr>
                <w:rFonts w:ascii="Calibri Light" w:hAnsi="Calibri Light"/>
              </w:rPr>
            </w:pPr>
            <w:r w:rsidRPr="00080011">
              <w:rPr>
                <w:rFonts w:ascii="Calibri Light" w:hAnsi="Calibri Light"/>
              </w:rPr>
              <w:t xml:space="preserve">Tipo de informe </w:t>
            </w:r>
          </w:p>
        </w:tc>
        <w:tc>
          <w:tcPr>
            <w:tcW w:w="5043" w:type="dxa"/>
            <w:gridSpan w:val="2"/>
          </w:tcPr>
          <w:p w14:paraId="35E9A08D" w14:textId="712362F7" w:rsidR="005173CF" w:rsidRPr="00080011" w:rsidRDefault="00000BDF" w:rsidP="00954E20">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80011">
              <w:rPr>
                <w:rFonts w:ascii="Calibri Light" w:hAnsi="Calibri Light"/>
              </w:rPr>
              <w:t>Informe de Fondo (Caso en la Corte IDH)</w:t>
            </w:r>
          </w:p>
        </w:tc>
      </w:tr>
      <w:tr w:rsidR="005173CF" w:rsidRPr="00000BDF" w14:paraId="7ED5AB61" w14:textId="77777777" w:rsidTr="004C4BA2">
        <w:trPr>
          <w:cnfStyle w:val="000000100000" w:firstRow="0" w:lastRow="0" w:firstColumn="0" w:lastColumn="0" w:oddVBand="0" w:evenVBand="0" w:oddHBand="1" w:evenHBand="0" w:firstRowFirstColumn="0" w:firstRowLastColumn="0" w:lastRowFirstColumn="0" w:lastRowLastColumn="0"/>
          <w:trHeight w:val="331"/>
        </w:trPr>
        <w:tc>
          <w:tcPr>
            <w:cnfStyle w:val="001000000000" w:firstRow="0" w:lastRow="0" w:firstColumn="1" w:lastColumn="0" w:oddVBand="0" w:evenVBand="0" w:oddHBand="0" w:evenHBand="0" w:firstRowFirstColumn="0" w:firstRowLastColumn="0" w:lastRowFirstColumn="0" w:lastRowLastColumn="0"/>
            <w:tcW w:w="3678" w:type="dxa"/>
          </w:tcPr>
          <w:p w14:paraId="2F77A84C" w14:textId="77777777" w:rsidR="005173CF" w:rsidRPr="00080011" w:rsidRDefault="00954E20" w:rsidP="00A65231">
            <w:pPr>
              <w:pStyle w:val="ListParagraph"/>
              <w:numPr>
                <w:ilvl w:val="0"/>
                <w:numId w:val="3"/>
              </w:numPr>
              <w:rPr>
                <w:rFonts w:ascii="Calibri Light" w:hAnsi="Calibri Light"/>
              </w:rPr>
            </w:pPr>
            <w:r w:rsidRPr="00080011">
              <w:rPr>
                <w:rFonts w:ascii="Calibri Light" w:hAnsi="Calibri Light"/>
              </w:rPr>
              <w:t>Fecha</w:t>
            </w:r>
            <w:r w:rsidR="007A6C56" w:rsidRPr="00080011">
              <w:rPr>
                <w:rFonts w:ascii="Calibri Light" w:hAnsi="Calibri Light"/>
              </w:rPr>
              <w:t xml:space="preserve"> </w:t>
            </w:r>
          </w:p>
        </w:tc>
        <w:tc>
          <w:tcPr>
            <w:tcW w:w="5043" w:type="dxa"/>
            <w:gridSpan w:val="2"/>
          </w:tcPr>
          <w:p w14:paraId="1C803DF5" w14:textId="75989D08" w:rsidR="005173CF" w:rsidRPr="00080011" w:rsidRDefault="00000BDF" w:rsidP="002624AB">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080011">
              <w:rPr>
                <w:rFonts w:ascii="Calibri Light" w:hAnsi="Calibri Light"/>
              </w:rPr>
              <w:t>27 de enero de 2017</w:t>
            </w:r>
          </w:p>
        </w:tc>
      </w:tr>
      <w:tr w:rsidR="004533E5" w:rsidRPr="00000BDF" w14:paraId="1A0D058F" w14:textId="77777777" w:rsidTr="00080011">
        <w:trPr>
          <w:trHeight w:val="602"/>
        </w:trPr>
        <w:tc>
          <w:tcPr>
            <w:cnfStyle w:val="001000000000" w:firstRow="0" w:lastRow="0" w:firstColumn="1" w:lastColumn="0" w:oddVBand="0" w:evenVBand="0" w:oddHBand="0" w:evenHBand="0" w:firstRowFirstColumn="0" w:firstRowLastColumn="0" w:lastRowFirstColumn="0" w:lastRowLastColumn="0"/>
            <w:tcW w:w="3678" w:type="dxa"/>
          </w:tcPr>
          <w:p w14:paraId="661C9E19" w14:textId="1119002C" w:rsidR="005173CF" w:rsidRPr="00080011" w:rsidRDefault="00BB61C6" w:rsidP="00A65231">
            <w:pPr>
              <w:pStyle w:val="ListParagraph"/>
              <w:numPr>
                <w:ilvl w:val="0"/>
                <w:numId w:val="3"/>
              </w:numPr>
              <w:rPr>
                <w:rFonts w:ascii="Calibri Light" w:hAnsi="Calibri Light"/>
              </w:rPr>
            </w:pPr>
            <w:r w:rsidRPr="00080011">
              <w:rPr>
                <w:rFonts w:ascii="Calibri Light" w:hAnsi="Calibri Light"/>
              </w:rPr>
              <w:t>Decisiones de la CIDH</w:t>
            </w:r>
            <w:r w:rsidR="007A6C56" w:rsidRPr="00080011">
              <w:rPr>
                <w:rFonts w:ascii="Calibri Light" w:hAnsi="Calibri Light"/>
              </w:rPr>
              <w:t xml:space="preserve"> </w:t>
            </w:r>
            <w:r w:rsidR="00DD3C7C" w:rsidRPr="00080011">
              <w:rPr>
                <w:rFonts w:ascii="Calibri Light" w:hAnsi="Calibri Light"/>
              </w:rPr>
              <w:t xml:space="preserve">y/o la Corte IDH, </w:t>
            </w:r>
            <w:r w:rsidR="007A6C56" w:rsidRPr="00080011">
              <w:rPr>
                <w:rFonts w:ascii="Calibri Light" w:hAnsi="Calibri Light"/>
              </w:rPr>
              <w:t>relacionadas</w:t>
            </w:r>
          </w:p>
        </w:tc>
        <w:tc>
          <w:tcPr>
            <w:tcW w:w="5043" w:type="dxa"/>
            <w:gridSpan w:val="2"/>
            <w:vAlign w:val="center"/>
          </w:tcPr>
          <w:p w14:paraId="3FF45800" w14:textId="77777777" w:rsidR="00AC6F31" w:rsidRDefault="00690161" w:rsidP="0008001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80011">
              <w:rPr>
                <w:rFonts w:ascii="Calibri Light" w:hAnsi="Calibri Light"/>
              </w:rPr>
              <w:t>Informe No. 106/10 (</w:t>
            </w:r>
            <w:hyperlink r:id="rId13" w:history="1">
              <w:r w:rsidRPr="00080011">
                <w:rPr>
                  <w:rStyle w:val="Hyperlink"/>
                  <w:rFonts w:ascii="Calibri Light" w:hAnsi="Calibri Light"/>
                </w:rPr>
                <w:t>Admisibilidad</w:t>
              </w:r>
            </w:hyperlink>
            <w:r w:rsidRPr="00080011">
              <w:rPr>
                <w:rFonts w:ascii="Calibri Light" w:hAnsi="Calibri Light"/>
              </w:rPr>
              <w:t>)</w:t>
            </w:r>
          </w:p>
          <w:p w14:paraId="72EA1AA4" w14:textId="35C42404" w:rsidR="0091188B" w:rsidRPr="00080011" w:rsidRDefault="0091188B" w:rsidP="0008001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Pr>
                <w:rFonts w:ascii="Calibri Light" w:hAnsi="Calibri Light"/>
              </w:rPr>
              <w:t>Caso Muelle Flores vs. Perú (</w:t>
            </w:r>
            <w:hyperlink r:id="rId14" w:history="1">
              <w:r w:rsidRPr="0091188B">
                <w:rPr>
                  <w:rStyle w:val="Hyperlink"/>
                  <w:rFonts w:ascii="Calibri Light" w:hAnsi="Calibri Light"/>
                </w:rPr>
                <w:t>Sentencia de 6 de marzo de 2019</w:t>
              </w:r>
            </w:hyperlink>
            <w:r>
              <w:rPr>
                <w:rFonts w:ascii="Calibri Light" w:hAnsi="Calibri Light"/>
              </w:rPr>
              <w:t>)</w:t>
            </w:r>
          </w:p>
        </w:tc>
      </w:tr>
      <w:tr w:rsidR="004C4BA2" w:rsidRPr="00000BDF" w14:paraId="570485B4" w14:textId="77777777" w:rsidTr="004C4BA2">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678" w:type="dxa"/>
            <w:vMerge w:val="restart"/>
          </w:tcPr>
          <w:p w14:paraId="3FCF8D6E" w14:textId="568477D0" w:rsidR="004C4BA2" w:rsidRPr="00080011" w:rsidRDefault="004C4BA2" w:rsidP="00A65231">
            <w:pPr>
              <w:pStyle w:val="ListParagraph"/>
              <w:numPr>
                <w:ilvl w:val="0"/>
                <w:numId w:val="3"/>
              </w:numPr>
              <w:rPr>
                <w:rFonts w:ascii="Calibri Light" w:hAnsi="Calibri Light"/>
              </w:rPr>
            </w:pPr>
            <w:r w:rsidRPr="00080011">
              <w:rPr>
                <w:rFonts w:ascii="Calibri Light" w:hAnsi="Calibri Light"/>
              </w:rPr>
              <w:t>Artículos analizados</w:t>
            </w:r>
          </w:p>
        </w:tc>
        <w:tc>
          <w:tcPr>
            <w:tcW w:w="5043" w:type="dxa"/>
            <w:gridSpan w:val="2"/>
          </w:tcPr>
          <w:p w14:paraId="18718B95" w14:textId="3BE4E63A" w:rsidR="004C4BA2" w:rsidRPr="00080011" w:rsidRDefault="00BF7857"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rPr>
            </w:pPr>
            <w:r w:rsidRPr="00080011">
              <w:rPr>
                <w:rFonts w:ascii="Calibri Light" w:hAnsi="Calibri Light"/>
              </w:rPr>
              <w:t>Convención Americana sobre Derechos Humanos</w:t>
            </w:r>
          </w:p>
        </w:tc>
      </w:tr>
      <w:tr w:rsidR="004C4BA2" w:rsidRPr="00000BDF" w14:paraId="02274C95" w14:textId="0B04EC5A" w:rsidTr="004C4BA2">
        <w:trPr>
          <w:trHeight w:val="255"/>
        </w:trPr>
        <w:tc>
          <w:tcPr>
            <w:cnfStyle w:val="001000000000" w:firstRow="0" w:lastRow="0" w:firstColumn="1" w:lastColumn="0" w:oddVBand="0" w:evenVBand="0" w:oddHBand="0" w:evenHBand="0" w:firstRowFirstColumn="0" w:firstRowLastColumn="0" w:lastRowFirstColumn="0" w:lastRowLastColumn="0"/>
            <w:tcW w:w="3678" w:type="dxa"/>
            <w:vMerge/>
          </w:tcPr>
          <w:p w14:paraId="7910398A" w14:textId="77777777" w:rsidR="004C4BA2" w:rsidRPr="00080011" w:rsidRDefault="004C4BA2" w:rsidP="00A65231">
            <w:pPr>
              <w:pStyle w:val="ListParagraph"/>
              <w:numPr>
                <w:ilvl w:val="0"/>
                <w:numId w:val="3"/>
              </w:numPr>
              <w:rPr>
                <w:rFonts w:ascii="Calibri Light" w:hAnsi="Calibri Light"/>
              </w:rPr>
            </w:pPr>
          </w:p>
        </w:tc>
        <w:tc>
          <w:tcPr>
            <w:tcW w:w="2460" w:type="dxa"/>
          </w:tcPr>
          <w:p w14:paraId="7E7C5073" w14:textId="5B312E53" w:rsidR="004C4BA2" w:rsidRPr="00080011" w:rsidRDefault="004C4BA2" w:rsidP="0069016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80011">
              <w:rPr>
                <w:rFonts w:ascii="Calibri Light" w:hAnsi="Calibri Light"/>
              </w:rPr>
              <w:t xml:space="preserve">Artículos </w:t>
            </w:r>
            <w:r w:rsidR="00690161" w:rsidRPr="00080011">
              <w:rPr>
                <w:rFonts w:ascii="Calibri Light" w:hAnsi="Calibri Light"/>
              </w:rPr>
              <w:t>analizados declarados violados</w:t>
            </w:r>
          </w:p>
        </w:tc>
        <w:tc>
          <w:tcPr>
            <w:tcW w:w="2583" w:type="dxa"/>
          </w:tcPr>
          <w:p w14:paraId="56EBE9FF" w14:textId="729CD8F9" w:rsidR="004C4BA2" w:rsidRPr="00080011" w:rsidRDefault="004C4BA2" w:rsidP="00690161">
            <w:pPr>
              <w:jc w:val="both"/>
              <w:cnfStyle w:val="000000000000" w:firstRow="0" w:lastRow="0" w:firstColumn="0" w:lastColumn="0" w:oddVBand="0" w:evenVBand="0" w:oddHBand="0" w:evenHBand="0" w:firstRowFirstColumn="0" w:firstRowLastColumn="0" w:lastRowFirstColumn="0" w:lastRowLastColumn="0"/>
              <w:rPr>
                <w:rFonts w:ascii="Calibri Light" w:hAnsi="Calibri Light"/>
              </w:rPr>
            </w:pPr>
            <w:r w:rsidRPr="00080011">
              <w:rPr>
                <w:rFonts w:ascii="Calibri Light" w:hAnsi="Calibri Light"/>
              </w:rPr>
              <w:t xml:space="preserve">Artículos </w:t>
            </w:r>
            <w:r w:rsidR="00690161" w:rsidRPr="00080011">
              <w:rPr>
                <w:rFonts w:ascii="Calibri Light" w:hAnsi="Calibri Light"/>
              </w:rPr>
              <w:t>analizados no declarados violados</w:t>
            </w:r>
          </w:p>
        </w:tc>
      </w:tr>
      <w:tr w:rsidR="004C4BA2" w:rsidRPr="00690161" w14:paraId="73ED3887" w14:textId="15885575" w:rsidTr="00080011">
        <w:trPr>
          <w:cnfStyle w:val="000000100000" w:firstRow="0" w:lastRow="0" w:firstColumn="0" w:lastColumn="0" w:oddVBand="0" w:evenVBand="0" w:oddHBand="1" w:evenHBand="0" w:firstRowFirstColumn="0" w:firstRowLastColumn="0" w:lastRowFirstColumn="0" w:lastRowLastColumn="0"/>
          <w:trHeight w:val="267"/>
        </w:trPr>
        <w:tc>
          <w:tcPr>
            <w:cnfStyle w:val="001000000000" w:firstRow="0" w:lastRow="0" w:firstColumn="1" w:lastColumn="0" w:oddVBand="0" w:evenVBand="0" w:oddHBand="0" w:evenHBand="0" w:firstRowFirstColumn="0" w:firstRowLastColumn="0" w:lastRowFirstColumn="0" w:lastRowLastColumn="0"/>
            <w:tcW w:w="3678" w:type="dxa"/>
            <w:vMerge/>
          </w:tcPr>
          <w:p w14:paraId="77152006" w14:textId="77777777" w:rsidR="004C4BA2" w:rsidRPr="00080011" w:rsidRDefault="004C4BA2" w:rsidP="00A65231">
            <w:pPr>
              <w:pStyle w:val="ListParagraph"/>
              <w:numPr>
                <w:ilvl w:val="0"/>
                <w:numId w:val="3"/>
              </w:numPr>
              <w:rPr>
                <w:rFonts w:ascii="Calibri Light" w:hAnsi="Calibri Light"/>
              </w:rPr>
            </w:pPr>
          </w:p>
        </w:tc>
        <w:tc>
          <w:tcPr>
            <w:tcW w:w="2460" w:type="dxa"/>
          </w:tcPr>
          <w:p w14:paraId="007A6E7C" w14:textId="5975ECC4" w:rsidR="004C4BA2" w:rsidRPr="00080011" w:rsidRDefault="00690161" w:rsidP="00AC6F31">
            <w:pPr>
              <w:jc w:val="both"/>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sidRPr="00080011">
              <w:rPr>
                <w:rFonts w:ascii="Calibri Light" w:hAnsi="Calibri Light"/>
                <w:lang w:val="en-US"/>
              </w:rPr>
              <w:t>Art. 1, art. 2, art. 8, art. 21, art. 25</w:t>
            </w:r>
          </w:p>
        </w:tc>
        <w:tc>
          <w:tcPr>
            <w:tcW w:w="2583" w:type="dxa"/>
            <w:vAlign w:val="center"/>
          </w:tcPr>
          <w:p w14:paraId="2A431424" w14:textId="2D82515E" w:rsidR="004C4BA2" w:rsidRPr="00080011" w:rsidRDefault="00080011" w:rsidP="00080011">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lang w:val="en-US"/>
              </w:rPr>
            </w:pPr>
            <w:r>
              <w:rPr>
                <w:rFonts w:ascii="Calibri Light" w:hAnsi="Calibri Light"/>
                <w:lang w:val="en-US"/>
              </w:rPr>
              <w:t>-</w:t>
            </w:r>
          </w:p>
        </w:tc>
      </w:tr>
      <w:tr w:rsidR="005173CF" w:rsidRPr="00000BDF" w14:paraId="54B7813B"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6D4895DD" w14:textId="77777777" w:rsidR="00AC6F31" w:rsidRPr="00080011" w:rsidRDefault="00AC6F31" w:rsidP="00AC6F31">
            <w:pPr>
              <w:pStyle w:val="ListParagraph"/>
              <w:rPr>
                <w:rFonts w:ascii="Calibri Light" w:hAnsi="Calibri Light"/>
                <w:lang w:val="en-US"/>
              </w:rPr>
            </w:pPr>
          </w:p>
          <w:p w14:paraId="1ECE5967" w14:textId="77777777" w:rsidR="005173CF" w:rsidRPr="00080011" w:rsidRDefault="007A6C56" w:rsidP="0029671B">
            <w:pPr>
              <w:pStyle w:val="ListParagraph"/>
              <w:numPr>
                <w:ilvl w:val="0"/>
                <w:numId w:val="2"/>
              </w:numPr>
              <w:jc w:val="center"/>
              <w:rPr>
                <w:rFonts w:ascii="Calibri Light" w:hAnsi="Calibri Light"/>
              </w:rPr>
            </w:pPr>
            <w:r w:rsidRPr="00080011">
              <w:rPr>
                <w:rFonts w:ascii="Calibri Light" w:hAnsi="Calibri Light"/>
              </w:rPr>
              <w:t>Sumilla</w:t>
            </w:r>
          </w:p>
          <w:p w14:paraId="009AFBB8" w14:textId="77777777" w:rsidR="00AC6F31" w:rsidRPr="00080011" w:rsidRDefault="00AC6F31" w:rsidP="00AC6F31">
            <w:pPr>
              <w:pStyle w:val="ListParagraph"/>
              <w:rPr>
                <w:rFonts w:ascii="Calibri Light" w:hAnsi="Calibri Light"/>
              </w:rPr>
            </w:pPr>
          </w:p>
        </w:tc>
      </w:tr>
      <w:tr w:rsidR="007A6C56" w:rsidRPr="00000BDF" w14:paraId="6B670455" w14:textId="77777777" w:rsidTr="004C4BA2">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8721" w:type="dxa"/>
            <w:gridSpan w:val="3"/>
          </w:tcPr>
          <w:p w14:paraId="03C967CD" w14:textId="77777777" w:rsidR="00AC6F31" w:rsidRDefault="00AC6F31" w:rsidP="00931244">
            <w:pPr>
              <w:jc w:val="both"/>
              <w:rPr>
                <w:rFonts w:ascii="Calibri Light" w:hAnsi="Calibri Light"/>
                <w:b w:val="0"/>
              </w:rPr>
            </w:pPr>
          </w:p>
          <w:p w14:paraId="772E1E26" w14:textId="2A765F36" w:rsidR="00DD3A46" w:rsidRPr="00080011" w:rsidRDefault="00DD3A46" w:rsidP="00931244">
            <w:pPr>
              <w:jc w:val="both"/>
              <w:rPr>
                <w:rFonts w:ascii="Calibri Light" w:hAnsi="Calibri Light"/>
                <w:b w:val="0"/>
              </w:rPr>
            </w:pPr>
            <w:r>
              <w:rPr>
                <w:rFonts w:ascii="Calibri Light" w:hAnsi="Calibri Light"/>
                <w:b w:val="0"/>
              </w:rPr>
              <w:t>El caso trata sobre el incumplimiento de una sentencia de la Corte Suprema de Justicia de Perú</w:t>
            </w:r>
            <w:r w:rsidR="001C525A">
              <w:rPr>
                <w:rFonts w:ascii="Calibri Light" w:hAnsi="Calibri Light"/>
                <w:b w:val="0"/>
              </w:rPr>
              <w:t xml:space="preserve"> de 1993</w:t>
            </w:r>
            <w:r>
              <w:rPr>
                <w:rFonts w:ascii="Calibri Light" w:hAnsi="Calibri Light"/>
                <w:b w:val="0"/>
              </w:rPr>
              <w:t xml:space="preserve">, que ordenaba a la empresa estatal Tintaya reincorporar en el régimen pensionario del Decreto Ley No. 20530 al señor Muelle. A pesar de haber obtenido una sentencia favorable y </w:t>
            </w:r>
            <w:r w:rsidR="00E73FA4">
              <w:rPr>
                <w:rFonts w:ascii="Calibri Light" w:hAnsi="Calibri Light"/>
                <w:b w:val="0"/>
              </w:rPr>
              <w:t xml:space="preserve">un </w:t>
            </w:r>
            <w:r>
              <w:rPr>
                <w:rFonts w:ascii="Calibri Light" w:hAnsi="Calibri Light"/>
                <w:b w:val="0"/>
              </w:rPr>
              <w:t xml:space="preserve">pronunciamiento posterior del Tribunal </w:t>
            </w:r>
            <w:r w:rsidR="00E73FA4">
              <w:rPr>
                <w:rFonts w:ascii="Calibri Light" w:hAnsi="Calibri Light"/>
                <w:b w:val="0"/>
              </w:rPr>
              <w:t>Constitucional sobre la materia</w:t>
            </w:r>
            <w:r>
              <w:rPr>
                <w:rFonts w:ascii="Calibri Light" w:hAnsi="Calibri Light"/>
                <w:b w:val="0"/>
              </w:rPr>
              <w:t xml:space="preserve">, </w:t>
            </w:r>
            <w:r w:rsidR="00E73FA4">
              <w:rPr>
                <w:rFonts w:ascii="Calibri Light" w:hAnsi="Calibri Light"/>
                <w:b w:val="0"/>
              </w:rPr>
              <w:t xml:space="preserve">a la fecha del informe de la CIDH, </w:t>
            </w:r>
            <w:r>
              <w:rPr>
                <w:rFonts w:ascii="Calibri Light" w:hAnsi="Calibri Light"/>
                <w:b w:val="0"/>
              </w:rPr>
              <w:t xml:space="preserve">la sentencia </w:t>
            </w:r>
            <w:r w:rsidR="00E73FA4">
              <w:rPr>
                <w:rFonts w:ascii="Calibri Light" w:hAnsi="Calibri Light"/>
                <w:b w:val="0"/>
              </w:rPr>
              <w:t>continuaba sin ser cumplida</w:t>
            </w:r>
            <w:r>
              <w:rPr>
                <w:rFonts w:ascii="Calibri Light" w:hAnsi="Calibri Light"/>
                <w:b w:val="0"/>
              </w:rPr>
              <w:t xml:space="preserve">. </w:t>
            </w:r>
          </w:p>
          <w:p w14:paraId="1EE5A7E7" w14:textId="69048BF9" w:rsidR="00AC6F31" w:rsidRPr="00080011" w:rsidRDefault="00AC6F31" w:rsidP="004C4BA2">
            <w:pPr>
              <w:jc w:val="both"/>
              <w:rPr>
                <w:rFonts w:ascii="Calibri Light" w:hAnsi="Calibri Light"/>
                <w:b w:val="0"/>
              </w:rPr>
            </w:pPr>
          </w:p>
        </w:tc>
      </w:tr>
      <w:tr w:rsidR="007A6C56" w:rsidRPr="00000BDF" w14:paraId="238A2196"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76D9AAF2" w14:textId="77777777" w:rsidR="00AC6F31" w:rsidRPr="00080011" w:rsidRDefault="00AC6F31" w:rsidP="00AC6F31">
            <w:pPr>
              <w:pStyle w:val="ListParagraph"/>
              <w:rPr>
                <w:rFonts w:ascii="Calibri Light" w:hAnsi="Calibri Light"/>
              </w:rPr>
            </w:pPr>
          </w:p>
          <w:p w14:paraId="6E7AC4B8" w14:textId="77777777" w:rsidR="007A6C56" w:rsidRPr="00080011" w:rsidRDefault="007A6C56" w:rsidP="0029671B">
            <w:pPr>
              <w:pStyle w:val="ListParagraph"/>
              <w:numPr>
                <w:ilvl w:val="0"/>
                <w:numId w:val="2"/>
              </w:numPr>
              <w:jc w:val="center"/>
              <w:rPr>
                <w:rFonts w:ascii="Calibri Light" w:hAnsi="Calibri Light"/>
              </w:rPr>
            </w:pPr>
            <w:r w:rsidRPr="00080011">
              <w:rPr>
                <w:rFonts w:ascii="Calibri Light" w:hAnsi="Calibri Light"/>
              </w:rPr>
              <w:t>Palabras clave</w:t>
            </w:r>
          </w:p>
          <w:p w14:paraId="6A1E32A7" w14:textId="77777777" w:rsidR="00AC6F31" w:rsidRPr="00080011" w:rsidRDefault="00AC6F31" w:rsidP="00AC6F31">
            <w:pPr>
              <w:pStyle w:val="ListParagraph"/>
              <w:rPr>
                <w:rFonts w:ascii="Calibri Light" w:hAnsi="Calibri Light"/>
              </w:rPr>
            </w:pPr>
          </w:p>
        </w:tc>
      </w:tr>
      <w:tr w:rsidR="007A6C56" w:rsidRPr="00000BDF" w14:paraId="34AE2D45" w14:textId="77777777" w:rsidTr="004C4BA2">
        <w:trPr>
          <w:cnfStyle w:val="000000100000" w:firstRow="0" w:lastRow="0" w:firstColumn="0" w:lastColumn="0" w:oddVBand="0" w:evenVBand="0" w:oddHBand="1" w:evenHBand="0" w:firstRowFirstColumn="0" w:firstRowLastColumn="0" w:lastRowFirstColumn="0" w:lastRowLastColumn="0"/>
          <w:trHeight w:val="509"/>
        </w:trPr>
        <w:tc>
          <w:tcPr>
            <w:cnfStyle w:val="001000000000" w:firstRow="0" w:lastRow="0" w:firstColumn="1" w:lastColumn="0" w:oddVBand="0" w:evenVBand="0" w:oddHBand="0" w:evenHBand="0" w:firstRowFirstColumn="0" w:firstRowLastColumn="0" w:lastRowFirstColumn="0" w:lastRowLastColumn="0"/>
            <w:tcW w:w="8721" w:type="dxa"/>
            <w:gridSpan w:val="3"/>
          </w:tcPr>
          <w:p w14:paraId="611A1841" w14:textId="77777777" w:rsidR="00AC6F31" w:rsidRPr="00080011" w:rsidRDefault="00AC6F31" w:rsidP="005D4FDF">
            <w:pPr>
              <w:jc w:val="both"/>
              <w:rPr>
                <w:rFonts w:ascii="Calibri Light" w:hAnsi="Calibri Light"/>
                <w:b w:val="0"/>
              </w:rPr>
            </w:pPr>
          </w:p>
          <w:p w14:paraId="2D54AD4A" w14:textId="54DFF65A" w:rsidR="002E6E77" w:rsidRPr="00080011" w:rsidRDefault="00570E1B" w:rsidP="002E6E77">
            <w:pPr>
              <w:jc w:val="both"/>
              <w:rPr>
                <w:rFonts w:ascii="Calibri Light" w:hAnsi="Calibri Light" w:cs="Calibri Light"/>
                <w:b w:val="0"/>
                <w:u w:val="single"/>
              </w:rPr>
            </w:pPr>
            <w:r w:rsidRPr="00080011">
              <w:rPr>
                <w:rFonts w:ascii="Calibri Light" w:hAnsi="Calibri Light" w:cs="Calibri Light"/>
                <w:b w:val="0"/>
              </w:rPr>
              <w:t xml:space="preserve">Adultos mayores, </w:t>
            </w:r>
            <w:r w:rsidR="002E6E77" w:rsidRPr="00080011">
              <w:rPr>
                <w:rFonts w:ascii="Calibri Light" w:hAnsi="Calibri Light" w:cs="Calibri Light"/>
                <w:b w:val="0"/>
              </w:rPr>
              <w:t>DESCA, Propiedad, Protección judicial y garantías judiciales, Seguridad social</w:t>
            </w:r>
          </w:p>
          <w:p w14:paraId="05374712" w14:textId="38607452" w:rsidR="00AC6F31" w:rsidRPr="00080011" w:rsidRDefault="00AC6F31" w:rsidP="004C4BA2">
            <w:pPr>
              <w:jc w:val="both"/>
              <w:rPr>
                <w:rFonts w:ascii="Calibri Light" w:hAnsi="Calibri Light"/>
                <w:b w:val="0"/>
              </w:rPr>
            </w:pPr>
          </w:p>
        </w:tc>
      </w:tr>
      <w:tr w:rsidR="005173CF" w:rsidRPr="00000BDF" w14:paraId="69044E7B"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23949460" w14:textId="77777777" w:rsidR="00AC6F31" w:rsidRPr="00080011" w:rsidRDefault="00AC6F31" w:rsidP="00AC6F31">
            <w:pPr>
              <w:pStyle w:val="ListParagraph"/>
              <w:rPr>
                <w:rFonts w:ascii="Calibri Light" w:hAnsi="Calibri Light"/>
              </w:rPr>
            </w:pPr>
          </w:p>
          <w:p w14:paraId="177FF988" w14:textId="77777777" w:rsidR="005173CF" w:rsidRPr="00080011" w:rsidRDefault="007A6C56" w:rsidP="0029671B">
            <w:pPr>
              <w:pStyle w:val="ListParagraph"/>
              <w:numPr>
                <w:ilvl w:val="0"/>
                <w:numId w:val="2"/>
              </w:numPr>
              <w:jc w:val="center"/>
              <w:rPr>
                <w:rFonts w:ascii="Calibri Light" w:hAnsi="Calibri Light"/>
              </w:rPr>
            </w:pPr>
            <w:r w:rsidRPr="00080011">
              <w:rPr>
                <w:rFonts w:ascii="Calibri Light" w:hAnsi="Calibri Light"/>
              </w:rPr>
              <w:t>Hechos</w:t>
            </w:r>
          </w:p>
          <w:p w14:paraId="190B7E98" w14:textId="77777777" w:rsidR="00AC6F31" w:rsidRPr="00080011" w:rsidRDefault="00AC6F31" w:rsidP="00AC6F31">
            <w:pPr>
              <w:pStyle w:val="ListParagraph"/>
              <w:rPr>
                <w:rFonts w:ascii="Calibri Light" w:hAnsi="Calibri Light"/>
              </w:rPr>
            </w:pPr>
          </w:p>
        </w:tc>
      </w:tr>
      <w:tr w:rsidR="005173CF" w:rsidRPr="00000BDF" w14:paraId="6F58DE83" w14:textId="77777777" w:rsidTr="004C4BA2">
        <w:trPr>
          <w:cnfStyle w:val="000000100000" w:firstRow="0" w:lastRow="0" w:firstColumn="0" w:lastColumn="0" w:oddVBand="0" w:evenVBand="0" w:oddHBand="1" w:evenHBand="0" w:firstRowFirstColumn="0" w:firstRowLastColumn="0" w:lastRowFirstColumn="0" w:lastRowLastColumn="0"/>
          <w:trHeight w:val="662"/>
        </w:trPr>
        <w:tc>
          <w:tcPr>
            <w:cnfStyle w:val="001000000000" w:firstRow="0" w:lastRow="0" w:firstColumn="1" w:lastColumn="0" w:oddVBand="0" w:evenVBand="0" w:oddHBand="0" w:evenHBand="0" w:firstRowFirstColumn="0" w:firstRowLastColumn="0" w:lastRowFirstColumn="0" w:lastRowLastColumn="0"/>
            <w:tcW w:w="8721" w:type="dxa"/>
            <w:gridSpan w:val="3"/>
          </w:tcPr>
          <w:p w14:paraId="470EC13D" w14:textId="25403454" w:rsidR="00AC6F31" w:rsidRDefault="00AC6F31" w:rsidP="008036E7">
            <w:pPr>
              <w:jc w:val="both"/>
              <w:rPr>
                <w:rFonts w:ascii="Calibri Light" w:hAnsi="Calibri Light"/>
                <w:b w:val="0"/>
              </w:rPr>
            </w:pPr>
          </w:p>
          <w:p w14:paraId="58C88783" w14:textId="460FEAFD" w:rsidR="005751AC" w:rsidRDefault="00192BFF" w:rsidP="004C1089">
            <w:pPr>
              <w:jc w:val="both"/>
              <w:rPr>
                <w:rFonts w:ascii="Calibri Light" w:hAnsi="Calibri Light"/>
                <w:b w:val="0"/>
              </w:rPr>
            </w:pPr>
            <w:r>
              <w:rPr>
                <w:rFonts w:ascii="Calibri Light" w:hAnsi="Calibri Light"/>
                <w:b w:val="0"/>
              </w:rPr>
              <w:t xml:space="preserve">El 15 de mayo de 1990, </w:t>
            </w:r>
            <w:r w:rsidR="005751AC">
              <w:rPr>
                <w:rFonts w:ascii="Calibri Light" w:hAnsi="Calibri Light"/>
                <w:b w:val="0"/>
              </w:rPr>
              <w:t xml:space="preserve">mediante la Resolución No. AD_0884/90-R, </w:t>
            </w:r>
            <w:r>
              <w:rPr>
                <w:rFonts w:ascii="Calibri Light" w:hAnsi="Calibri Light"/>
                <w:b w:val="0"/>
              </w:rPr>
              <w:t>la empresa minera estatal Tintaya</w:t>
            </w:r>
            <w:r w:rsidR="00ED191C">
              <w:rPr>
                <w:rFonts w:ascii="Calibri Light" w:hAnsi="Calibri Light"/>
                <w:b w:val="0"/>
              </w:rPr>
              <w:t xml:space="preserve"> (en adelante, la empresa)</w:t>
            </w:r>
            <w:r>
              <w:rPr>
                <w:rFonts w:ascii="Calibri Light" w:hAnsi="Calibri Light"/>
                <w:b w:val="0"/>
              </w:rPr>
              <w:t xml:space="preserve"> incorporó</w:t>
            </w:r>
            <w:r w:rsidR="005751AC">
              <w:rPr>
                <w:rFonts w:ascii="Calibri Light" w:hAnsi="Calibri Light"/>
                <w:b w:val="0"/>
              </w:rPr>
              <w:t xml:space="preserve"> </w:t>
            </w:r>
            <w:r>
              <w:rPr>
                <w:rFonts w:ascii="Calibri Light" w:hAnsi="Calibri Light"/>
                <w:b w:val="0"/>
              </w:rPr>
              <w:t xml:space="preserve">en el régimen pensionario del Decreto </w:t>
            </w:r>
            <w:r w:rsidR="00F213E1">
              <w:rPr>
                <w:rFonts w:ascii="Calibri Light" w:hAnsi="Calibri Light"/>
                <w:b w:val="0"/>
              </w:rPr>
              <w:t xml:space="preserve">Ley </w:t>
            </w:r>
            <w:r w:rsidR="00ED191C">
              <w:rPr>
                <w:rFonts w:ascii="Calibri Light" w:hAnsi="Calibri Light"/>
                <w:b w:val="0"/>
              </w:rPr>
              <w:t xml:space="preserve">No. </w:t>
            </w:r>
            <w:r>
              <w:rPr>
                <w:rFonts w:ascii="Calibri Light" w:hAnsi="Calibri Light"/>
                <w:b w:val="0"/>
              </w:rPr>
              <w:t xml:space="preserve">20530 a Oscar Muelle Flores, quien hasta ese entonces </w:t>
            </w:r>
            <w:r w:rsidR="00ED191C">
              <w:rPr>
                <w:rFonts w:ascii="Calibri Light" w:hAnsi="Calibri Light"/>
                <w:b w:val="0"/>
              </w:rPr>
              <w:t>se había desempeñado</w:t>
            </w:r>
            <w:r>
              <w:rPr>
                <w:rFonts w:ascii="Calibri Light" w:hAnsi="Calibri Light"/>
                <w:b w:val="0"/>
              </w:rPr>
              <w:t xml:space="preserve"> como Gerente General</w:t>
            </w:r>
            <w:r w:rsidR="005751AC">
              <w:rPr>
                <w:rFonts w:ascii="Calibri Light" w:hAnsi="Calibri Light"/>
                <w:b w:val="0"/>
              </w:rPr>
              <w:t xml:space="preserve"> de la empresa</w:t>
            </w:r>
            <w:r>
              <w:rPr>
                <w:rFonts w:ascii="Calibri Light" w:hAnsi="Calibri Light"/>
                <w:b w:val="0"/>
              </w:rPr>
              <w:t xml:space="preserve">. </w:t>
            </w:r>
            <w:r w:rsidR="005751AC">
              <w:rPr>
                <w:rFonts w:ascii="Calibri Light" w:hAnsi="Calibri Light"/>
                <w:b w:val="0"/>
              </w:rPr>
              <w:t>Esta decisión se basó en los Acuerdos de Directorio No</w:t>
            </w:r>
            <w:r w:rsidR="00F213E1">
              <w:rPr>
                <w:rFonts w:ascii="Calibri Light" w:hAnsi="Calibri Light"/>
                <w:b w:val="0"/>
              </w:rPr>
              <w:t>.</w:t>
            </w:r>
            <w:r w:rsidR="005751AC">
              <w:rPr>
                <w:rFonts w:ascii="Calibri Light" w:hAnsi="Calibri Light"/>
                <w:b w:val="0"/>
              </w:rPr>
              <w:t xml:space="preserve"> 155/88 y 029/90, que autorizaban a la Administración Pública </w:t>
            </w:r>
            <w:r w:rsidR="004824E1">
              <w:rPr>
                <w:rFonts w:ascii="Calibri Light" w:hAnsi="Calibri Light"/>
                <w:b w:val="0"/>
              </w:rPr>
              <w:t xml:space="preserve">a </w:t>
            </w:r>
            <w:r w:rsidR="005751AC">
              <w:rPr>
                <w:rFonts w:ascii="Calibri Light" w:hAnsi="Calibri Light"/>
                <w:b w:val="0"/>
              </w:rPr>
              <w:t>realizar este tipo de incorporaciones. El régime</w:t>
            </w:r>
            <w:r w:rsidR="00F213E1">
              <w:rPr>
                <w:rFonts w:ascii="Calibri Light" w:hAnsi="Calibri Light"/>
                <w:b w:val="0"/>
              </w:rPr>
              <w:t>n pensionario del Decreto Ley</w:t>
            </w:r>
            <w:r w:rsidR="005751AC">
              <w:rPr>
                <w:rFonts w:ascii="Calibri Light" w:hAnsi="Calibri Light"/>
                <w:b w:val="0"/>
              </w:rPr>
              <w:t xml:space="preserve"> </w:t>
            </w:r>
            <w:r w:rsidR="00C106DA">
              <w:rPr>
                <w:rFonts w:ascii="Calibri Light" w:hAnsi="Calibri Light"/>
                <w:b w:val="0"/>
              </w:rPr>
              <w:t xml:space="preserve">No. </w:t>
            </w:r>
            <w:r w:rsidR="005751AC">
              <w:rPr>
                <w:rFonts w:ascii="Calibri Light" w:hAnsi="Calibri Light"/>
                <w:b w:val="0"/>
              </w:rPr>
              <w:t>20530</w:t>
            </w:r>
            <w:r w:rsidR="00F213E1">
              <w:rPr>
                <w:rFonts w:ascii="Calibri Light" w:hAnsi="Calibri Light"/>
                <w:b w:val="0"/>
              </w:rPr>
              <w:t xml:space="preserve"> establecía la nivelación de las pensiones </w:t>
            </w:r>
            <w:r w:rsidR="004824E1">
              <w:rPr>
                <w:rFonts w:ascii="Calibri Light" w:hAnsi="Calibri Light"/>
                <w:b w:val="0"/>
              </w:rPr>
              <w:t xml:space="preserve">de los servidores públicos retirados </w:t>
            </w:r>
            <w:r w:rsidR="00F213E1">
              <w:rPr>
                <w:rFonts w:ascii="Calibri Light" w:hAnsi="Calibri Light"/>
                <w:b w:val="0"/>
              </w:rPr>
              <w:t xml:space="preserve">con los haberes de los servidores públicos en actividad. El señor Muelle recibió su pensión conforme a esta normativa hasta el 27 de febrero de 1991, cuando se </w:t>
            </w:r>
            <w:r w:rsidR="00F213E1">
              <w:rPr>
                <w:rFonts w:ascii="Calibri Light" w:hAnsi="Calibri Light"/>
                <w:b w:val="0"/>
              </w:rPr>
              <w:lastRenderedPageBreak/>
              <w:t xml:space="preserve">le comunicó la suspensión de su aplicación. </w:t>
            </w:r>
          </w:p>
          <w:p w14:paraId="23C862DC" w14:textId="77777777" w:rsidR="00F213E1" w:rsidRDefault="00F213E1" w:rsidP="004C1089">
            <w:pPr>
              <w:jc w:val="both"/>
              <w:rPr>
                <w:rFonts w:ascii="Calibri Light" w:hAnsi="Calibri Light"/>
                <w:b w:val="0"/>
              </w:rPr>
            </w:pPr>
          </w:p>
          <w:p w14:paraId="3EC4C9F8" w14:textId="6BB6C1DA" w:rsidR="00F213E1" w:rsidRDefault="00F213E1" w:rsidP="004C1089">
            <w:pPr>
              <w:jc w:val="both"/>
              <w:rPr>
                <w:rFonts w:ascii="Calibri Light" w:hAnsi="Calibri Light"/>
                <w:b w:val="0"/>
              </w:rPr>
            </w:pPr>
            <w:r>
              <w:rPr>
                <w:rFonts w:ascii="Calibri Light" w:hAnsi="Calibri Light"/>
                <w:b w:val="0"/>
              </w:rPr>
              <w:t xml:space="preserve">Ante esta situación, el señor Muelle interpuso un recurso de amparo, solicitando su reincorporación en el Decreto Ley </w:t>
            </w:r>
            <w:r w:rsidR="00ED191C">
              <w:rPr>
                <w:rFonts w:ascii="Calibri Light" w:hAnsi="Calibri Light"/>
                <w:b w:val="0"/>
              </w:rPr>
              <w:t xml:space="preserve">No. </w:t>
            </w:r>
            <w:r>
              <w:rPr>
                <w:rFonts w:ascii="Calibri Light" w:hAnsi="Calibri Light"/>
                <w:b w:val="0"/>
              </w:rPr>
              <w:t xml:space="preserve">20530. La demanda fue declarada fundada </w:t>
            </w:r>
            <w:r w:rsidR="004824E1">
              <w:rPr>
                <w:rFonts w:ascii="Calibri Light" w:hAnsi="Calibri Light"/>
                <w:b w:val="0"/>
              </w:rPr>
              <w:t>y posteriormente, confirmada por la Corte Suprema el 2 de febrero de 1993. Tras ello, la empresa expidió el Acuerdo de Directorio No. 023/93, que dejó sin efecto los acuerdos antes mencionados, lo cual tuvo como consecuencia</w:t>
            </w:r>
            <w:r w:rsidR="00ED191C">
              <w:rPr>
                <w:rFonts w:ascii="Calibri Light" w:hAnsi="Calibri Light"/>
                <w:b w:val="0"/>
              </w:rPr>
              <w:t xml:space="preserve"> </w:t>
            </w:r>
            <w:r w:rsidR="004824E1">
              <w:rPr>
                <w:rFonts w:ascii="Calibri Light" w:hAnsi="Calibri Light"/>
                <w:b w:val="0"/>
              </w:rPr>
              <w:t xml:space="preserve">la suspensión del pago de pensiones de jubilación de sus ex trabajadores. Frente a ello, el señor Muelle interpuso un nuevo recurso de amparo, solicitando la inaplicación del Acuerdo de Directorio No. 023/93 y su restitución en el régimen del Decreto Ley 20530. </w:t>
            </w:r>
            <w:r w:rsidR="001C525A">
              <w:rPr>
                <w:rFonts w:ascii="Calibri Light" w:hAnsi="Calibri Light"/>
                <w:b w:val="0"/>
              </w:rPr>
              <w:t>Inicialmente, l</w:t>
            </w:r>
            <w:r w:rsidR="004824E1">
              <w:rPr>
                <w:rFonts w:ascii="Calibri Light" w:hAnsi="Calibri Light"/>
                <w:b w:val="0"/>
              </w:rPr>
              <w:t>a demanda fue declarada improcedente; sin embargo, al conocer el caso</w:t>
            </w:r>
            <w:r w:rsidR="00ED191C">
              <w:rPr>
                <w:rFonts w:ascii="Calibri Light" w:hAnsi="Calibri Light"/>
                <w:b w:val="0"/>
              </w:rPr>
              <w:t xml:space="preserve"> en</w:t>
            </w:r>
            <w:r w:rsidR="00D25644">
              <w:rPr>
                <w:rFonts w:ascii="Calibri Light" w:hAnsi="Calibri Light"/>
                <w:b w:val="0"/>
              </w:rPr>
              <w:t xml:space="preserve"> diciembre de </w:t>
            </w:r>
            <w:r w:rsidR="004824E1">
              <w:rPr>
                <w:rFonts w:ascii="Calibri Light" w:hAnsi="Calibri Light"/>
                <w:b w:val="0"/>
              </w:rPr>
              <w:t xml:space="preserve">1999, el Tribunal Constitucional la declaró fundada. </w:t>
            </w:r>
          </w:p>
          <w:p w14:paraId="0E038241" w14:textId="77777777" w:rsidR="004F612D" w:rsidRDefault="004F612D" w:rsidP="004C1089">
            <w:pPr>
              <w:jc w:val="both"/>
              <w:rPr>
                <w:rFonts w:ascii="Calibri Light" w:hAnsi="Calibri Light"/>
                <w:b w:val="0"/>
              </w:rPr>
            </w:pPr>
          </w:p>
          <w:p w14:paraId="49711378" w14:textId="5D37AF25" w:rsidR="004F612D" w:rsidRDefault="00D75145" w:rsidP="004C1089">
            <w:pPr>
              <w:jc w:val="both"/>
              <w:rPr>
                <w:rFonts w:ascii="Calibri Light" w:hAnsi="Calibri Light"/>
                <w:b w:val="0"/>
              </w:rPr>
            </w:pPr>
            <w:r>
              <w:rPr>
                <w:rFonts w:ascii="Calibri Light" w:hAnsi="Calibri Light"/>
                <w:b w:val="0"/>
              </w:rPr>
              <w:t xml:space="preserve">A lo largo de los años, la sentencia fue incumplida por la empresa, tal y como evidencia el hecho de </w:t>
            </w:r>
            <w:r w:rsidR="00C106DA">
              <w:rPr>
                <w:rFonts w:ascii="Calibri Light" w:hAnsi="Calibri Light"/>
                <w:b w:val="0"/>
              </w:rPr>
              <w:t xml:space="preserve">que </w:t>
            </w:r>
            <w:r w:rsidR="00BD0A88">
              <w:rPr>
                <w:rFonts w:ascii="Calibri Light" w:hAnsi="Calibri Light"/>
                <w:b w:val="0"/>
              </w:rPr>
              <w:t>para el</w:t>
            </w:r>
            <w:r>
              <w:rPr>
                <w:rFonts w:ascii="Calibri Light" w:hAnsi="Calibri Light"/>
                <w:b w:val="0"/>
              </w:rPr>
              <w:t xml:space="preserve"> 2009, el 38vo. Juzga</w:t>
            </w:r>
            <w:r w:rsidR="00BD0A88">
              <w:rPr>
                <w:rFonts w:ascii="Calibri Light" w:hAnsi="Calibri Light"/>
                <w:b w:val="0"/>
              </w:rPr>
              <w:t>do Civil de Lima</w:t>
            </w:r>
            <w:r>
              <w:rPr>
                <w:rFonts w:ascii="Calibri Light" w:hAnsi="Calibri Light"/>
                <w:b w:val="0"/>
              </w:rPr>
              <w:t xml:space="preserve">, entidad que asumió la competencia para la ejecución, </w:t>
            </w:r>
            <w:r w:rsidR="00BD0A88">
              <w:rPr>
                <w:rFonts w:ascii="Calibri Light" w:hAnsi="Calibri Light"/>
                <w:b w:val="0"/>
              </w:rPr>
              <w:t>continuara requiriendo</w:t>
            </w:r>
            <w:r>
              <w:rPr>
                <w:rFonts w:ascii="Calibri Light" w:hAnsi="Calibri Light"/>
                <w:b w:val="0"/>
              </w:rPr>
              <w:t xml:space="preserve"> el cumplimiento</w:t>
            </w:r>
            <w:r w:rsidR="00BD0A88">
              <w:rPr>
                <w:rFonts w:ascii="Calibri Light" w:hAnsi="Calibri Light"/>
                <w:b w:val="0"/>
              </w:rPr>
              <w:t xml:space="preserve"> de la misma</w:t>
            </w:r>
            <w:r>
              <w:rPr>
                <w:rFonts w:ascii="Calibri Light" w:hAnsi="Calibri Light"/>
                <w:b w:val="0"/>
              </w:rPr>
              <w:t>. En abril de 2010, esta</w:t>
            </w:r>
            <w:r w:rsidR="00BD0A88">
              <w:rPr>
                <w:rFonts w:ascii="Calibri Light" w:hAnsi="Calibri Light"/>
                <w:b w:val="0"/>
              </w:rPr>
              <w:t xml:space="preserve"> misma </w:t>
            </w:r>
            <w:r>
              <w:rPr>
                <w:rFonts w:ascii="Calibri Light" w:hAnsi="Calibri Light"/>
                <w:b w:val="0"/>
              </w:rPr>
              <w:t>ins</w:t>
            </w:r>
            <w:r w:rsidR="001C525A">
              <w:rPr>
                <w:rFonts w:ascii="Calibri Light" w:hAnsi="Calibri Light"/>
                <w:b w:val="0"/>
              </w:rPr>
              <w:t>tancia</w:t>
            </w:r>
            <w:r>
              <w:rPr>
                <w:rFonts w:ascii="Calibri Light" w:hAnsi="Calibri Light"/>
                <w:b w:val="0"/>
              </w:rPr>
              <w:t xml:space="preserve"> emitió una resolución señalando que la pretensi</w:t>
            </w:r>
            <w:r w:rsidR="00BD0A88">
              <w:rPr>
                <w:rFonts w:ascii="Calibri Light" w:hAnsi="Calibri Light"/>
                <w:b w:val="0"/>
              </w:rPr>
              <w:t>ón del señor Muelle era inviable, porque la empresa había sido privatizada y ya no existía. La resolución fue apelada y anulada por la Segunda Sala Civil de Lima en abril de 2011 (</w:t>
            </w:r>
            <w:r w:rsidR="001C525A">
              <w:rPr>
                <w:rFonts w:ascii="Calibri Light" w:hAnsi="Calibri Light"/>
                <w:b w:val="0"/>
              </w:rPr>
              <w:t xml:space="preserve">en adelante, </w:t>
            </w:r>
            <w:r w:rsidR="00BD0A88">
              <w:rPr>
                <w:rFonts w:ascii="Calibri Light" w:hAnsi="Calibri Light"/>
                <w:b w:val="0"/>
              </w:rPr>
              <w:t xml:space="preserve">Segunda Sala). En mayo de 2012, el 33vo. Juzgado Civil de Lima ordenó nuevamente el cumplimiento de la sentencia de la Corte Suprema de 1993. Esta decisión fue apelada por la empresa y resuelta en octubre de 2013 por la Segunda Sala Civil, </w:t>
            </w:r>
            <w:r w:rsidR="002A2AA3">
              <w:rPr>
                <w:rFonts w:ascii="Calibri Light" w:hAnsi="Calibri Light"/>
                <w:b w:val="0"/>
              </w:rPr>
              <w:t>la cual</w:t>
            </w:r>
            <w:r w:rsidR="00BD0A88">
              <w:rPr>
                <w:rFonts w:ascii="Calibri Light" w:hAnsi="Calibri Light"/>
                <w:b w:val="0"/>
              </w:rPr>
              <w:t xml:space="preserve"> anuló la resolución del 33vo. Juzgado y señaló que no era posible </w:t>
            </w:r>
            <w:r w:rsidR="002A2AA3">
              <w:rPr>
                <w:rFonts w:ascii="Calibri Light" w:hAnsi="Calibri Light"/>
                <w:b w:val="0"/>
              </w:rPr>
              <w:t>exigir a una empresa privada el pago de derechos pensiona</w:t>
            </w:r>
            <w:r w:rsidR="004623C7">
              <w:rPr>
                <w:rFonts w:ascii="Calibri Light" w:hAnsi="Calibri Light"/>
                <w:b w:val="0"/>
              </w:rPr>
              <w:t>rios, pues no administraba este tipo de</w:t>
            </w:r>
            <w:r w:rsidR="002A2AA3">
              <w:rPr>
                <w:rFonts w:ascii="Calibri Light" w:hAnsi="Calibri Light"/>
                <w:b w:val="0"/>
              </w:rPr>
              <w:t xml:space="preserve"> fondos y no había asumido dicha obligación</w:t>
            </w:r>
            <w:r w:rsidR="004623C7">
              <w:rPr>
                <w:rFonts w:ascii="Calibri Light" w:hAnsi="Calibri Light"/>
                <w:b w:val="0"/>
              </w:rPr>
              <w:t xml:space="preserve"> al momento de la privatización</w:t>
            </w:r>
            <w:r w:rsidR="002A2AA3">
              <w:rPr>
                <w:rFonts w:ascii="Calibri Light" w:hAnsi="Calibri Light"/>
                <w:b w:val="0"/>
              </w:rPr>
              <w:t xml:space="preserve">. La Segunda Sala ordenó expedir una nueva resolución. No obstante, la CIDH no cuenta con </w:t>
            </w:r>
            <w:r w:rsidR="00DD3A46">
              <w:rPr>
                <w:rFonts w:ascii="Calibri Light" w:hAnsi="Calibri Light"/>
                <w:b w:val="0"/>
              </w:rPr>
              <w:t xml:space="preserve">mayor </w:t>
            </w:r>
            <w:r w:rsidR="002A2AA3">
              <w:rPr>
                <w:rFonts w:ascii="Calibri Light" w:hAnsi="Calibri Light"/>
                <w:b w:val="0"/>
              </w:rPr>
              <w:t xml:space="preserve">información sobre los trámites posteriores al respecto. </w:t>
            </w:r>
            <w:r w:rsidR="001C525A">
              <w:rPr>
                <w:rFonts w:ascii="Calibri Light" w:hAnsi="Calibri Light"/>
                <w:b w:val="0"/>
              </w:rPr>
              <w:t>La sentencia continú</w:t>
            </w:r>
            <w:r w:rsidR="00DD3A46">
              <w:rPr>
                <w:rFonts w:ascii="Calibri Light" w:hAnsi="Calibri Light"/>
                <w:b w:val="0"/>
              </w:rPr>
              <w:t xml:space="preserve">a a la fecha sin haberse ejecutado. </w:t>
            </w:r>
            <w:r w:rsidR="00BD0A88">
              <w:rPr>
                <w:rFonts w:ascii="Calibri Light" w:hAnsi="Calibri Light"/>
                <w:b w:val="0"/>
              </w:rPr>
              <w:t xml:space="preserve"> </w:t>
            </w:r>
          </w:p>
          <w:p w14:paraId="79539743" w14:textId="77777777" w:rsidR="00FC1FD4" w:rsidRDefault="00FC1FD4" w:rsidP="004C1089">
            <w:pPr>
              <w:jc w:val="both"/>
              <w:rPr>
                <w:rFonts w:ascii="Calibri Light" w:hAnsi="Calibri Light"/>
                <w:b w:val="0"/>
              </w:rPr>
            </w:pPr>
          </w:p>
          <w:p w14:paraId="1941C3F6" w14:textId="05906207" w:rsidR="004C1089" w:rsidRPr="00080011" w:rsidRDefault="004C1089" w:rsidP="004C1089">
            <w:pPr>
              <w:jc w:val="both"/>
              <w:rPr>
                <w:rFonts w:ascii="Calibri Light" w:hAnsi="Calibri Light"/>
                <w:b w:val="0"/>
              </w:rPr>
            </w:pPr>
            <w:r w:rsidRPr="00080011">
              <w:rPr>
                <w:rFonts w:ascii="Calibri Light" w:hAnsi="Calibri Light"/>
                <w:b w:val="0"/>
              </w:rPr>
              <w:t xml:space="preserve">Frente a tales hechos, </w:t>
            </w:r>
            <w:r w:rsidR="00192BFF">
              <w:rPr>
                <w:rFonts w:ascii="Calibri Light" w:hAnsi="Calibri Light"/>
                <w:b w:val="0"/>
              </w:rPr>
              <w:t>O</w:t>
            </w:r>
            <w:r w:rsidRPr="00080011">
              <w:rPr>
                <w:rFonts w:ascii="Calibri Light" w:hAnsi="Calibri Light"/>
                <w:b w:val="0"/>
              </w:rPr>
              <w:t xml:space="preserve">scar Muelle Flores presentó una petición ante la CIDH, denunciando que el Estado de Perú había violado los derechos a la igualdad ante la ley y a la protección judicial, reconocidos en la Convención Americana sobre Derecho Humanos (CADH). En su Informe de Admisibilidad, la CIDH determinó que los hechos del caso se relacionaban a posibles violaciones de los derechos a las garantías judiciales, </w:t>
            </w:r>
            <w:r w:rsidR="00080011" w:rsidRPr="00080011">
              <w:rPr>
                <w:rFonts w:ascii="Calibri Light" w:hAnsi="Calibri Light"/>
                <w:b w:val="0"/>
              </w:rPr>
              <w:t xml:space="preserve">a la </w:t>
            </w:r>
            <w:r w:rsidRPr="00080011">
              <w:rPr>
                <w:rFonts w:ascii="Calibri Light" w:hAnsi="Calibri Light"/>
                <w:b w:val="0"/>
              </w:rPr>
              <w:t xml:space="preserve">propiedad </w:t>
            </w:r>
            <w:r w:rsidR="00080011" w:rsidRPr="00080011">
              <w:rPr>
                <w:rFonts w:ascii="Calibri Light" w:hAnsi="Calibri Light"/>
                <w:b w:val="0"/>
              </w:rPr>
              <w:t xml:space="preserve">privada </w:t>
            </w:r>
            <w:r w:rsidRPr="00080011">
              <w:rPr>
                <w:rFonts w:ascii="Calibri Light" w:hAnsi="Calibri Light"/>
                <w:b w:val="0"/>
              </w:rPr>
              <w:t xml:space="preserve">y </w:t>
            </w:r>
            <w:r w:rsidR="00080011" w:rsidRPr="00080011">
              <w:rPr>
                <w:rFonts w:ascii="Calibri Light" w:hAnsi="Calibri Light"/>
                <w:b w:val="0"/>
              </w:rPr>
              <w:t xml:space="preserve">a la </w:t>
            </w:r>
            <w:r w:rsidRPr="00080011">
              <w:rPr>
                <w:rFonts w:ascii="Calibri Light" w:hAnsi="Calibri Light"/>
                <w:b w:val="0"/>
              </w:rPr>
              <w:t xml:space="preserve">protección judicial, reconocidos en la CADH. </w:t>
            </w:r>
          </w:p>
          <w:p w14:paraId="6543A68A" w14:textId="7049058E" w:rsidR="00AC6F31" w:rsidRPr="00080011" w:rsidRDefault="00AC6F31" w:rsidP="004C4BA2">
            <w:pPr>
              <w:jc w:val="both"/>
              <w:rPr>
                <w:rFonts w:ascii="Calibri Light" w:hAnsi="Calibri Light"/>
                <w:b w:val="0"/>
              </w:rPr>
            </w:pPr>
          </w:p>
        </w:tc>
      </w:tr>
      <w:tr w:rsidR="00F55CD0" w:rsidRPr="00000BDF" w14:paraId="75AF89E9"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14AA2A23" w14:textId="77777777" w:rsidR="00AC6F31" w:rsidRPr="00080011" w:rsidRDefault="00AC6F31" w:rsidP="00F55CD0">
            <w:pPr>
              <w:jc w:val="center"/>
              <w:rPr>
                <w:rFonts w:ascii="Calibri Light" w:hAnsi="Calibri Light"/>
              </w:rPr>
            </w:pPr>
          </w:p>
          <w:p w14:paraId="5F1F3517" w14:textId="7BDFF923" w:rsidR="00F55CD0" w:rsidRPr="00080011" w:rsidRDefault="002624AB" w:rsidP="004C4BA2">
            <w:pPr>
              <w:pStyle w:val="ListParagraph"/>
              <w:numPr>
                <w:ilvl w:val="0"/>
                <w:numId w:val="2"/>
              </w:numPr>
              <w:jc w:val="center"/>
              <w:rPr>
                <w:rFonts w:ascii="Calibri Light" w:hAnsi="Calibri Light"/>
              </w:rPr>
            </w:pPr>
            <w:r w:rsidRPr="00080011">
              <w:rPr>
                <w:rFonts w:ascii="Calibri Light" w:hAnsi="Calibri Light"/>
              </w:rPr>
              <w:t>Análisis jurídico</w:t>
            </w:r>
          </w:p>
          <w:p w14:paraId="3F5D3463" w14:textId="77777777" w:rsidR="00AC6F31" w:rsidRPr="00080011" w:rsidRDefault="00AC6F31" w:rsidP="00F55CD0">
            <w:pPr>
              <w:jc w:val="center"/>
              <w:rPr>
                <w:rFonts w:ascii="Calibri Light" w:hAnsi="Calibri Light"/>
              </w:rPr>
            </w:pPr>
          </w:p>
        </w:tc>
      </w:tr>
      <w:tr w:rsidR="00F55CD0" w:rsidRPr="00000BDF" w14:paraId="4D321633" w14:textId="77777777" w:rsidTr="004C4BA2">
        <w:trPr>
          <w:cnfStyle w:val="000000100000" w:firstRow="0" w:lastRow="0" w:firstColumn="0" w:lastColumn="0" w:oddVBand="0" w:evenVBand="0" w:oddHBand="1" w:evenHBand="0" w:firstRowFirstColumn="0" w:firstRowLastColumn="0" w:lastRowFirstColumn="0" w:lastRowLastColumn="0"/>
          <w:trHeight w:val="166"/>
        </w:trPr>
        <w:tc>
          <w:tcPr>
            <w:cnfStyle w:val="001000000000" w:firstRow="0" w:lastRow="0" w:firstColumn="1" w:lastColumn="0" w:oddVBand="0" w:evenVBand="0" w:oddHBand="0" w:evenHBand="0" w:firstRowFirstColumn="0" w:firstRowLastColumn="0" w:lastRowFirstColumn="0" w:lastRowLastColumn="0"/>
            <w:tcW w:w="8721" w:type="dxa"/>
            <w:gridSpan w:val="3"/>
          </w:tcPr>
          <w:p w14:paraId="21807E4F" w14:textId="06077D76" w:rsidR="00AC6F31" w:rsidRPr="00080011" w:rsidRDefault="00AC6F31" w:rsidP="004F061A">
            <w:pPr>
              <w:jc w:val="both"/>
              <w:rPr>
                <w:rFonts w:ascii="Calibri Light" w:hAnsi="Calibri Light"/>
                <w:b w:val="0"/>
              </w:rPr>
            </w:pPr>
          </w:p>
          <w:p w14:paraId="79EFB712" w14:textId="77777777" w:rsidR="00676230" w:rsidRPr="00080011" w:rsidRDefault="00933A64" w:rsidP="002624AB">
            <w:pPr>
              <w:jc w:val="both"/>
              <w:rPr>
                <w:rFonts w:ascii="Calibri Light" w:hAnsi="Calibri Light"/>
              </w:rPr>
            </w:pPr>
            <w:r w:rsidRPr="00080011">
              <w:rPr>
                <w:rFonts w:ascii="Calibri Light" w:hAnsi="Calibri Light"/>
              </w:rPr>
              <w:t>Derechos a las garantías judiciales, propiedad privada y protección judicial (artículos 8, 21 y 25 de la CADH)</w:t>
            </w:r>
          </w:p>
          <w:p w14:paraId="055B3B09" w14:textId="77777777" w:rsidR="00933A64" w:rsidRPr="00080011" w:rsidRDefault="00933A64" w:rsidP="002624AB">
            <w:pPr>
              <w:jc w:val="both"/>
              <w:rPr>
                <w:rFonts w:ascii="Calibri Light" w:hAnsi="Calibri Light"/>
              </w:rPr>
            </w:pPr>
          </w:p>
          <w:p w14:paraId="4FCCF07C" w14:textId="77777777" w:rsidR="00933A64" w:rsidRPr="00080011" w:rsidRDefault="00933A64" w:rsidP="00933A64">
            <w:pPr>
              <w:pStyle w:val="ListParagraph"/>
              <w:numPr>
                <w:ilvl w:val="0"/>
                <w:numId w:val="11"/>
              </w:numPr>
              <w:jc w:val="both"/>
              <w:rPr>
                <w:rFonts w:ascii="Calibri Light" w:hAnsi="Calibri Light"/>
              </w:rPr>
            </w:pPr>
            <w:r w:rsidRPr="00080011">
              <w:rPr>
                <w:rFonts w:ascii="Calibri Light" w:hAnsi="Calibri Light"/>
              </w:rPr>
              <w:t>Consideraciones generales sobre la tutela jurisdiccional efectiva y el cumplimiento de los fallos internos</w:t>
            </w:r>
          </w:p>
          <w:p w14:paraId="21FB1539" w14:textId="77777777" w:rsidR="00933A64" w:rsidRDefault="00933A64" w:rsidP="00933A64">
            <w:pPr>
              <w:jc w:val="both"/>
              <w:rPr>
                <w:rFonts w:ascii="Calibri Light" w:hAnsi="Calibri Light"/>
              </w:rPr>
            </w:pPr>
          </w:p>
          <w:p w14:paraId="1A2F5716" w14:textId="2DDDE3E8" w:rsidR="00E73FA4" w:rsidRDefault="00DF47E0" w:rsidP="00933A64">
            <w:pPr>
              <w:jc w:val="both"/>
              <w:rPr>
                <w:rFonts w:ascii="Calibri Light" w:hAnsi="Calibri Light"/>
                <w:b w:val="0"/>
              </w:rPr>
            </w:pPr>
            <w:r>
              <w:rPr>
                <w:rFonts w:ascii="Calibri Light" w:hAnsi="Calibri Light"/>
                <w:b w:val="0"/>
              </w:rPr>
              <w:t xml:space="preserve">La ejecución de las decisiones y sentencias definitivas es uno de los componentes del derecho a la protección judicial, reconocido en el artículo 25 de la CADH. En </w:t>
            </w:r>
            <w:r w:rsidR="00FD0D3B">
              <w:rPr>
                <w:rFonts w:ascii="Calibri Light" w:hAnsi="Calibri Light"/>
                <w:b w:val="0"/>
              </w:rPr>
              <w:t>ese sentido</w:t>
            </w:r>
            <w:r>
              <w:rPr>
                <w:rFonts w:ascii="Calibri Light" w:hAnsi="Calibri Light"/>
                <w:b w:val="0"/>
              </w:rPr>
              <w:t xml:space="preserve">, la efectividad de una sentencia se encuentra sujeta a su ejecución. </w:t>
            </w:r>
          </w:p>
          <w:p w14:paraId="2A69FF77" w14:textId="77777777" w:rsidR="00DF47E0" w:rsidRPr="00DF47E0" w:rsidRDefault="00DF47E0" w:rsidP="00933A64">
            <w:pPr>
              <w:jc w:val="both"/>
              <w:rPr>
                <w:rFonts w:ascii="Calibri Light" w:hAnsi="Calibri Light"/>
                <w:b w:val="0"/>
              </w:rPr>
            </w:pPr>
          </w:p>
          <w:p w14:paraId="6EE5371E" w14:textId="77777777" w:rsidR="00933A64" w:rsidRDefault="00933A64" w:rsidP="00933A64">
            <w:pPr>
              <w:pStyle w:val="ListParagraph"/>
              <w:numPr>
                <w:ilvl w:val="0"/>
                <w:numId w:val="11"/>
              </w:numPr>
              <w:jc w:val="both"/>
              <w:rPr>
                <w:rFonts w:ascii="Calibri Light" w:hAnsi="Calibri Light"/>
              </w:rPr>
            </w:pPr>
            <w:r w:rsidRPr="00080011">
              <w:rPr>
                <w:rFonts w:ascii="Calibri Light" w:hAnsi="Calibri Light"/>
              </w:rPr>
              <w:t>Información sobre la problemática de incumplimiento de fallos internos en Perú</w:t>
            </w:r>
          </w:p>
          <w:p w14:paraId="323E7E2A" w14:textId="77777777" w:rsidR="00FD0D3B" w:rsidRPr="00FD0D3B" w:rsidRDefault="00FD0D3B" w:rsidP="00FD0D3B">
            <w:pPr>
              <w:jc w:val="both"/>
              <w:rPr>
                <w:rFonts w:ascii="Calibri Light" w:hAnsi="Calibri Light"/>
              </w:rPr>
            </w:pPr>
          </w:p>
          <w:p w14:paraId="7EB1B4F3" w14:textId="0CFCCDCF" w:rsidR="00933A64" w:rsidRDefault="00FD0D3B" w:rsidP="00933A64">
            <w:pPr>
              <w:jc w:val="both"/>
              <w:rPr>
                <w:rFonts w:ascii="Calibri Light" w:hAnsi="Calibri Light"/>
                <w:b w:val="0"/>
              </w:rPr>
            </w:pPr>
            <w:r>
              <w:rPr>
                <w:rFonts w:ascii="Calibri Light" w:hAnsi="Calibri Light"/>
                <w:b w:val="0"/>
              </w:rPr>
              <w:t xml:space="preserve">En el Perú, existe un problema con el cumplimiento de las sentencias dictadas por el Poder </w:t>
            </w:r>
            <w:r>
              <w:rPr>
                <w:rFonts w:ascii="Calibri Light" w:hAnsi="Calibri Light"/>
                <w:b w:val="0"/>
              </w:rPr>
              <w:lastRenderedPageBreak/>
              <w:t xml:space="preserve">Judicial que trasciende </w:t>
            </w:r>
            <w:r w:rsidR="00C106DA">
              <w:rPr>
                <w:rFonts w:ascii="Calibri Light" w:hAnsi="Calibri Light"/>
                <w:b w:val="0"/>
              </w:rPr>
              <w:t>a la situación del señor Muelle</w:t>
            </w:r>
            <w:r>
              <w:rPr>
                <w:rFonts w:ascii="Calibri Light" w:hAnsi="Calibri Light"/>
                <w:b w:val="0"/>
              </w:rPr>
              <w:t xml:space="preserve">. Esto ha sido evidenciado en las sentencias de la Corte IDH en los casos </w:t>
            </w:r>
            <w:r w:rsidRPr="00FD0D3B">
              <w:rPr>
                <w:rFonts w:ascii="Calibri Light" w:hAnsi="Calibri Light"/>
                <w:b w:val="0"/>
                <w:i/>
              </w:rPr>
              <w:t>“Cinco Pensionistas” vs. Perú</w:t>
            </w:r>
            <w:r>
              <w:rPr>
                <w:rFonts w:ascii="Calibri Light" w:hAnsi="Calibri Light"/>
                <w:b w:val="0"/>
              </w:rPr>
              <w:t xml:space="preserve"> y </w:t>
            </w:r>
            <w:r w:rsidRPr="00FD0D3B">
              <w:rPr>
                <w:rFonts w:ascii="Calibri Light" w:hAnsi="Calibri Light"/>
                <w:b w:val="0"/>
                <w:i/>
              </w:rPr>
              <w:t>Acevedo Buendía y otros vs. Perú</w:t>
            </w:r>
            <w:r>
              <w:rPr>
                <w:rFonts w:ascii="Calibri Light" w:hAnsi="Calibri Light"/>
                <w:b w:val="0"/>
              </w:rPr>
              <w:t xml:space="preserve">, y en las peticiones que ha admitido la CIDH sobre la misma problemática. </w:t>
            </w:r>
          </w:p>
          <w:p w14:paraId="30FB3228" w14:textId="77777777" w:rsidR="00FD0D3B" w:rsidRPr="00FD0D3B" w:rsidRDefault="00FD0D3B" w:rsidP="00933A64">
            <w:pPr>
              <w:jc w:val="both"/>
              <w:rPr>
                <w:rFonts w:ascii="Calibri Light" w:hAnsi="Calibri Light"/>
                <w:b w:val="0"/>
              </w:rPr>
            </w:pPr>
          </w:p>
          <w:p w14:paraId="411AA4C0" w14:textId="77777777" w:rsidR="00933A64" w:rsidRPr="00080011" w:rsidRDefault="00933A64" w:rsidP="00933A64">
            <w:pPr>
              <w:pStyle w:val="ListParagraph"/>
              <w:numPr>
                <w:ilvl w:val="0"/>
                <w:numId w:val="11"/>
              </w:numPr>
              <w:jc w:val="both"/>
              <w:rPr>
                <w:rFonts w:ascii="Calibri Light" w:hAnsi="Calibri Light"/>
              </w:rPr>
            </w:pPr>
            <w:r w:rsidRPr="00080011">
              <w:rPr>
                <w:rFonts w:ascii="Calibri Light" w:hAnsi="Calibri Light"/>
              </w:rPr>
              <w:t>Análisis del caso concreto</w:t>
            </w:r>
          </w:p>
          <w:p w14:paraId="3869F703" w14:textId="77777777" w:rsidR="00933A64" w:rsidRDefault="00933A64" w:rsidP="00933A64">
            <w:pPr>
              <w:jc w:val="both"/>
              <w:rPr>
                <w:rFonts w:ascii="Calibri Light" w:hAnsi="Calibri Light"/>
              </w:rPr>
            </w:pPr>
          </w:p>
          <w:p w14:paraId="5F734F3D" w14:textId="77777777" w:rsidR="00A91E58" w:rsidRDefault="005116E1" w:rsidP="00933A64">
            <w:pPr>
              <w:jc w:val="both"/>
              <w:rPr>
                <w:rFonts w:ascii="Calibri Light" w:hAnsi="Calibri Light"/>
                <w:b w:val="0"/>
              </w:rPr>
            </w:pPr>
            <w:r>
              <w:rPr>
                <w:rFonts w:ascii="Calibri Light" w:hAnsi="Calibri Light"/>
                <w:b w:val="0"/>
              </w:rPr>
              <w:t xml:space="preserve">La CIDH consideró </w:t>
            </w:r>
            <w:r w:rsidR="00A91E58">
              <w:rPr>
                <w:rFonts w:ascii="Calibri Light" w:hAnsi="Calibri Light"/>
                <w:b w:val="0"/>
              </w:rPr>
              <w:t>en base a los hechos del caso</w:t>
            </w:r>
            <w:r>
              <w:rPr>
                <w:rFonts w:ascii="Calibri Light" w:hAnsi="Calibri Light"/>
                <w:b w:val="0"/>
              </w:rPr>
              <w:t xml:space="preserve"> que el incumplimien</w:t>
            </w:r>
            <w:r w:rsidR="00A91E58">
              <w:rPr>
                <w:rFonts w:ascii="Calibri Light" w:hAnsi="Calibri Light"/>
                <w:b w:val="0"/>
              </w:rPr>
              <w:t>to de la sentencia era evidente y que a</w:t>
            </w:r>
            <w:r>
              <w:rPr>
                <w:rFonts w:ascii="Calibri Light" w:hAnsi="Calibri Light"/>
                <w:b w:val="0"/>
              </w:rPr>
              <w:t xml:space="preserve"> pesar de ello, las autoridades judiciales no </w:t>
            </w:r>
            <w:r w:rsidR="00A91E58">
              <w:rPr>
                <w:rFonts w:ascii="Calibri Light" w:hAnsi="Calibri Light"/>
                <w:b w:val="0"/>
              </w:rPr>
              <w:t xml:space="preserve">habían </w:t>
            </w:r>
            <w:r>
              <w:rPr>
                <w:rFonts w:ascii="Calibri Light" w:hAnsi="Calibri Light"/>
                <w:b w:val="0"/>
              </w:rPr>
              <w:t xml:space="preserve">implementaron medidas coercitivas para asegurar que se materializara el derecho reconocido al señor Muelle.  </w:t>
            </w:r>
            <w:r w:rsidR="00A91E58">
              <w:rPr>
                <w:rFonts w:ascii="Calibri Light" w:hAnsi="Calibri Light"/>
                <w:b w:val="0"/>
              </w:rPr>
              <w:t xml:space="preserve">Adicionalmente, </w:t>
            </w:r>
            <w:r>
              <w:rPr>
                <w:rFonts w:ascii="Calibri Light" w:hAnsi="Calibri Light"/>
                <w:b w:val="0"/>
              </w:rPr>
              <w:t xml:space="preserve">tomando en cuenta los pronunciamientos del Comité de Derechos Económicos, Sociales y Culturales y del Tribunal Europeo de Derechos Humanos en el caso </w:t>
            </w:r>
            <w:r>
              <w:rPr>
                <w:rFonts w:ascii="Calibri Light" w:hAnsi="Calibri Light"/>
                <w:b w:val="0"/>
                <w:i/>
              </w:rPr>
              <w:t>Arras y otros vs. Italia</w:t>
            </w:r>
            <w:r w:rsidR="00A91E58" w:rsidRPr="00A91E58">
              <w:rPr>
                <w:rFonts w:ascii="Calibri Light" w:hAnsi="Calibri Light"/>
                <w:b w:val="0"/>
              </w:rPr>
              <w:t>,</w:t>
            </w:r>
            <w:r w:rsidR="00A91E58">
              <w:rPr>
                <w:rFonts w:ascii="Calibri Light" w:hAnsi="Calibri Light"/>
                <w:b w:val="0"/>
                <w:i/>
              </w:rPr>
              <w:t xml:space="preserve"> </w:t>
            </w:r>
            <w:r>
              <w:rPr>
                <w:rFonts w:ascii="Calibri Light" w:hAnsi="Calibri Light"/>
                <w:b w:val="0"/>
              </w:rPr>
              <w:t xml:space="preserve">estableció que el derecho a la tutela jurisdiccional efectiva implicaba que los Estados se aseguren </w:t>
            </w:r>
            <w:r w:rsidR="00A91E58">
              <w:rPr>
                <w:rFonts w:ascii="Calibri Light" w:hAnsi="Calibri Light"/>
                <w:b w:val="0"/>
              </w:rPr>
              <w:t xml:space="preserve">de </w:t>
            </w:r>
            <w:r>
              <w:rPr>
                <w:rFonts w:ascii="Calibri Light" w:hAnsi="Calibri Light"/>
                <w:b w:val="0"/>
              </w:rPr>
              <w:t xml:space="preserve">que la privatización de una empresa estatal no vacíe el contenido del derecho a la pensión de sus trabajadores. </w:t>
            </w:r>
          </w:p>
          <w:p w14:paraId="3B5D6A5E" w14:textId="77777777" w:rsidR="00A91E58" w:rsidRDefault="00A91E58" w:rsidP="00933A64">
            <w:pPr>
              <w:jc w:val="both"/>
              <w:rPr>
                <w:rFonts w:ascii="Calibri Light" w:hAnsi="Calibri Light"/>
                <w:b w:val="0"/>
              </w:rPr>
            </w:pPr>
          </w:p>
          <w:p w14:paraId="1E365955" w14:textId="2E90DB89" w:rsidR="00A91E58" w:rsidRDefault="00A91E58" w:rsidP="00933A64">
            <w:pPr>
              <w:jc w:val="both"/>
              <w:rPr>
                <w:rFonts w:ascii="Calibri Light" w:hAnsi="Calibri Light"/>
                <w:b w:val="0"/>
              </w:rPr>
            </w:pPr>
            <w:r>
              <w:rPr>
                <w:rFonts w:ascii="Calibri Light" w:hAnsi="Calibri Light"/>
                <w:b w:val="0"/>
              </w:rPr>
              <w:t>Concretamente, en este</w:t>
            </w:r>
            <w:r w:rsidR="004623C7">
              <w:rPr>
                <w:rFonts w:ascii="Calibri Light" w:hAnsi="Calibri Light"/>
                <w:b w:val="0"/>
              </w:rPr>
              <w:t xml:space="preserve"> caso</w:t>
            </w:r>
            <w:r w:rsidR="005116E1">
              <w:rPr>
                <w:rFonts w:ascii="Calibri Light" w:hAnsi="Calibri Light"/>
                <w:b w:val="0"/>
              </w:rPr>
              <w:t xml:space="preserve">, la CIDH determinó que el Estado no había adoptado ninguna medida para evitar que la privatización de la empresa estatal Tintaya socave el derecho a la tutela judicial efectiva del señor Muelle. </w:t>
            </w:r>
            <w:r>
              <w:rPr>
                <w:rFonts w:ascii="Calibri Light" w:hAnsi="Calibri Light"/>
                <w:b w:val="0"/>
              </w:rPr>
              <w:t xml:space="preserve">Además, las resoluciones que evaluaron la ejecución de la sentencia no adoptaron medidas para verificar si la empresa privatizada había asumido los pasivos de la empresa estatal y de no ser así, determinar la autoridad estatal que debía cumplir con la sentencia de la Corte Suprema. </w:t>
            </w:r>
          </w:p>
          <w:p w14:paraId="78FA29FF" w14:textId="77777777" w:rsidR="00A91E58" w:rsidRDefault="00A91E58" w:rsidP="00933A64">
            <w:pPr>
              <w:jc w:val="both"/>
              <w:rPr>
                <w:rFonts w:ascii="Calibri Light" w:hAnsi="Calibri Light"/>
                <w:b w:val="0"/>
              </w:rPr>
            </w:pPr>
          </w:p>
          <w:p w14:paraId="7C0BFE7F" w14:textId="0EDB9CEE" w:rsidR="00A91E58" w:rsidRPr="005116E1" w:rsidRDefault="00A91E58" w:rsidP="00933A64">
            <w:pPr>
              <w:jc w:val="both"/>
              <w:rPr>
                <w:rFonts w:ascii="Calibri Light" w:hAnsi="Calibri Light"/>
                <w:b w:val="0"/>
              </w:rPr>
            </w:pPr>
            <w:r>
              <w:rPr>
                <w:rFonts w:ascii="Calibri Light" w:hAnsi="Calibri Light"/>
                <w:b w:val="0"/>
              </w:rPr>
              <w:t>Por estas razones - y en vista de que más de 20 años después de emitida la primera sentencia a favor del señor Muelle, esta continúa sin ser cumplida – la CIDH estableció que el Estado peruano era responsable por la violación de los artículos 25.1 y 25.2.c) de la CADH, en relaci</w:t>
            </w:r>
            <w:r w:rsidR="00AB3250">
              <w:rPr>
                <w:rFonts w:ascii="Calibri Light" w:hAnsi="Calibri Light"/>
                <w:b w:val="0"/>
              </w:rPr>
              <w:t>ón a su</w:t>
            </w:r>
            <w:r>
              <w:rPr>
                <w:rFonts w:ascii="Calibri Light" w:hAnsi="Calibri Light"/>
                <w:b w:val="0"/>
              </w:rPr>
              <w:t xml:space="preserve"> artículo 1.1</w:t>
            </w:r>
            <w:r w:rsidR="00AB3250">
              <w:rPr>
                <w:rFonts w:ascii="Calibri Light" w:hAnsi="Calibri Light"/>
                <w:b w:val="0"/>
              </w:rPr>
              <w:t xml:space="preserve">, en perjuicio del señor Muelle. Asimismo, al no haber adoptado medidas para remediar y evitar la repetición de la problemática estructural de incumplimiento de sentencias, de la que es parte el caso del señor Muelle, la CIDH consideró que el Estado también había violado el artículo 2 de la CADH. </w:t>
            </w:r>
          </w:p>
          <w:p w14:paraId="7B5E03AE" w14:textId="77777777" w:rsidR="00A91E58" w:rsidRPr="00FD0D3B" w:rsidRDefault="00A91E58" w:rsidP="00933A64">
            <w:pPr>
              <w:jc w:val="both"/>
              <w:rPr>
                <w:rFonts w:ascii="Calibri Light" w:hAnsi="Calibri Light"/>
                <w:b w:val="0"/>
              </w:rPr>
            </w:pPr>
          </w:p>
          <w:p w14:paraId="5E5044AF" w14:textId="77777777" w:rsidR="00933A64" w:rsidRPr="00080011" w:rsidRDefault="00933A64" w:rsidP="00933A64">
            <w:pPr>
              <w:pStyle w:val="ListParagraph"/>
              <w:numPr>
                <w:ilvl w:val="0"/>
                <w:numId w:val="11"/>
              </w:numPr>
              <w:jc w:val="both"/>
              <w:rPr>
                <w:rFonts w:ascii="Calibri Light" w:hAnsi="Calibri Light"/>
              </w:rPr>
            </w:pPr>
            <w:r w:rsidRPr="00080011">
              <w:rPr>
                <w:rFonts w:ascii="Calibri Light" w:hAnsi="Calibri Light"/>
              </w:rPr>
              <w:t>Plazo razonable en la ejecución de fallos internos</w:t>
            </w:r>
          </w:p>
          <w:p w14:paraId="17609EE6" w14:textId="77777777" w:rsidR="00933A64" w:rsidRPr="00080011" w:rsidRDefault="00933A64" w:rsidP="00933A64">
            <w:pPr>
              <w:jc w:val="both"/>
              <w:rPr>
                <w:rFonts w:ascii="Calibri Light" w:hAnsi="Calibri Light"/>
              </w:rPr>
            </w:pPr>
          </w:p>
          <w:p w14:paraId="04382757" w14:textId="2046CD50" w:rsidR="00AB3250" w:rsidRDefault="00AB3250" w:rsidP="00933A64">
            <w:pPr>
              <w:jc w:val="both"/>
              <w:rPr>
                <w:rFonts w:ascii="Calibri Light" w:hAnsi="Calibri Light"/>
                <w:b w:val="0"/>
              </w:rPr>
            </w:pPr>
            <w:r w:rsidRPr="00AB3250">
              <w:rPr>
                <w:rFonts w:ascii="Calibri Light" w:hAnsi="Calibri Light"/>
                <w:b w:val="0"/>
              </w:rPr>
              <w:t xml:space="preserve">La CIDH reiteró que una de las garantías </w:t>
            </w:r>
            <w:r>
              <w:rPr>
                <w:rFonts w:ascii="Calibri Light" w:hAnsi="Calibri Light"/>
                <w:b w:val="0"/>
              </w:rPr>
              <w:t>protegidas por</w:t>
            </w:r>
            <w:r w:rsidRPr="00AB3250">
              <w:rPr>
                <w:rFonts w:ascii="Calibri Light" w:hAnsi="Calibri Light"/>
                <w:b w:val="0"/>
              </w:rPr>
              <w:t xml:space="preserve"> el artículo 8.1 de la CADH es el plazo razonable. </w:t>
            </w:r>
            <w:r>
              <w:rPr>
                <w:rFonts w:ascii="Calibri Light" w:hAnsi="Calibri Light"/>
                <w:b w:val="0"/>
              </w:rPr>
              <w:t xml:space="preserve">Esta resulta igualmente aplicable para casos, como el presente, de ejecución de una sentencia judicial firme. Para el análisis de esta garantía, se deben tomar en cuenta cuatro elementos: i) la complejidad del asunto, ii) la actividad procesal del interesado, iii) la conducta de las autoridades judiciales, y iv) la afectación generada en la situación jurídica de la persona involucrada en el proceso. </w:t>
            </w:r>
          </w:p>
          <w:p w14:paraId="01BBAF90" w14:textId="77777777" w:rsidR="00AB3250" w:rsidRDefault="00AB3250" w:rsidP="00933A64">
            <w:pPr>
              <w:jc w:val="both"/>
              <w:rPr>
                <w:rFonts w:ascii="Calibri Light" w:hAnsi="Calibri Light"/>
                <w:b w:val="0"/>
              </w:rPr>
            </w:pPr>
          </w:p>
          <w:p w14:paraId="4FA06249" w14:textId="0642D929" w:rsidR="003A2A1C" w:rsidRDefault="00AB3250" w:rsidP="00933A64">
            <w:pPr>
              <w:jc w:val="both"/>
              <w:rPr>
                <w:rFonts w:ascii="Calibri Light" w:hAnsi="Calibri Light"/>
                <w:b w:val="0"/>
              </w:rPr>
            </w:pPr>
            <w:r>
              <w:rPr>
                <w:rFonts w:ascii="Calibri Light" w:hAnsi="Calibri Light"/>
                <w:b w:val="0"/>
              </w:rPr>
              <w:t>En cuanto al primer elemento, la CIDH consider</w:t>
            </w:r>
            <w:r w:rsidR="003A2A1C">
              <w:rPr>
                <w:rFonts w:ascii="Calibri Light" w:hAnsi="Calibri Light"/>
                <w:b w:val="0"/>
              </w:rPr>
              <w:t xml:space="preserve">ó que el asunto no era complejo, pues se trataba de un decisión firme que solo debía ser ejecutada. En relación al segundo elemento, la CIDH consideró que el señor Muelle había impulsado la ejecución de la sentencia, quejándose en reiteradas ocasiones por la demora en el trámite. Respecto del tercer elemento, la CIDH estimó que las resoluciones que dieron seguimiento a la ejecución fueron inefectivas. Además, notó los periodos de inactividad </w:t>
            </w:r>
            <w:r w:rsidR="004623C7">
              <w:rPr>
                <w:rFonts w:ascii="Calibri Light" w:hAnsi="Calibri Light"/>
                <w:b w:val="0"/>
              </w:rPr>
              <w:t xml:space="preserve">judicial </w:t>
            </w:r>
            <w:r w:rsidR="003A2A1C">
              <w:rPr>
                <w:rFonts w:ascii="Calibri Light" w:hAnsi="Calibri Light"/>
                <w:b w:val="0"/>
              </w:rPr>
              <w:t xml:space="preserve">y demoras injustificadas ocurridas en el marco de dicho proceso. </w:t>
            </w:r>
          </w:p>
          <w:p w14:paraId="045B621C" w14:textId="77777777" w:rsidR="003A2A1C" w:rsidRDefault="003A2A1C" w:rsidP="00933A64">
            <w:pPr>
              <w:jc w:val="both"/>
              <w:rPr>
                <w:rFonts w:ascii="Calibri Light" w:hAnsi="Calibri Light"/>
                <w:b w:val="0"/>
              </w:rPr>
            </w:pPr>
          </w:p>
          <w:p w14:paraId="184AD3E6" w14:textId="5D464D58" w:rsidR="00AB3250" w:rsidRDefault="003A2A1C" w:rsidP="00933A64">
            <w:pPr>
              <w:jc w:val="both"/>
              <w:rPr>
                <w:rFonts w:ascii="Calibri Light" w:hAnsi="Calibri Light"/>
                <w:b w:val="0"/>
              </w:rPr>
            </w:pPr>
            <w:r>
              <w:rPr>
                <w:rFonts w:ascii="Calibri Light" w:hAnsi="Calibri Light"/>
                <w:b w:val="0"/>
              </w:rPr>
              <w:t>Finalmente, en relación al cuarto elemento, la CIDH recordó que se debía tomar en cuenta tanto la afectación generada por la duración del proceso en la situación jurídica de la persona involucrado como los intereses en juego. En este caso, la CIDH tomó en cuenta que el señor Muelle e</w:t>
            </w:r>
            <w:r w:rsidR="00E077C4">
              <w:rPr>
                <w:rFonts w:ascii="Calibri Light" w:hAnsi="Calibri Light"/>
                <w:b w:val="0"/>
              </w:rPr>
              <w:t>ra</w:t>
            </w:r>
            <w:r>
              <w:rPr>
                <w:rFonts w:ascii="Calibri Light" w:hAnsi="Calibri Light"/>
                <w:b w:val="0"/>
              </w:rPr>
              <w:t xml:space="preserve"> un adulto mayor de 80 años y que más de 20 años después de haberse jubilado, aún no goza</w:t>
            </w:r>
            <w:r w:rsidR="00E077C4">
              <w:rPr>
                <w:rFonts w:ascii="Calibri Light" w:hAnsi="Calibri Light"/>
                <w:b w:val="0"/>
              </w:rPr>
              <w:t>ba</w:t>
            </w:r>
            <w:r>
              <w:rPr>
                <w:rFonts w:ascii="Calibri Light" w:hAnsi="Calibri Light"/>
                <w:b w:val="0"/>
              </w:rPr>
              <w:t xml:space="preserve"> de su pe</w:t>
            </w:r>
            <w:r w:rsidR="004623C7">
              <w:rPr>
                <w:rFonts w:ascii="Calibri Light" w:hAnsi="Calibri Light"/>
                <w:b w:val="0"/>
              </w:rPr>
              <w:t xml:space="preserve">nsión en los términos </w:t>
            </w:r>
            <w:r w:rsidR="00E077C4">
              <w:rPr>
                <w:rFonts w:ascii="Calibri Light" w:hAnsi="Calibri Light"/>
                <w:b w:val="0"/>
              </w:rPr>
              <w:t xml:space="preserve">en </w:t>
            </w:r>
            <w:r w:rsidR="004623C7">
              <w:rPr>
                <w:rFonts w:ascii="Calibri Light" w:hAnsi="Calibri Light"/>
                <w:b w:val="0"/>
              </w:rPr>
              <w:t xml:space="preserve">que </w:t>
            </w:r>
            <w:r w:rsidR="00E077C4">
              <w:rPr>
                <w:rFonts w:ascii="Calibri Light" w:hAnsi="Calibri Light"/>
                <w:b w:val="0"/>
              </w:rPr>
              <w:t>había</w:t>
            </w:r>
            <w:r>
              <w:rPr>
                <w:rFonts w:ascii="Calibri Light" w:hAnsi="Calibri Light"/>
                <w:b w:val="0"/>
              </w:rPr>
              <w:t xml:space="preserve"> reconocid</w:t>
            </w:r>
            <w:r w:rsidR="004623C7">
              <w:rPr>
                <w:rFonts w:ascii="Calibri Light" w:hAnsi="Calibri Light"/>
                <w:b w:val="0"/>
              </w:rPr>
              <w:t>a</w:t>
            </w:r>
            <w:r>
              <w:rPr>
                <w:rFonts w:ascii="Calibri Light" w:hAnsi="Calibri Light"/>
                <w:b w:val="0"/>
              </w:rPr>
              <w:t xml:space="preserve"> judicialmente. En base a estas consideraciones, la CIDH determinó que el plazo de ejecución de la sentencia de la Corte </w:t>
            </w:r>
            <w:r>
              <w:rPr>
                <w:rFonts w:ascii="Calibri Light" w:hAnsi="Calibri Light"/>
                <w:b w:val="0"/>
              </w:rPr>
              <w:lastRenderedPageBreak/>
              <w:t xml:space="preserve">Suprema no era razonable y que consecuentemente, el Estado de Perú había violado el artículo 8.1 de la CADH, en relación a su artículo 1.1, en perjuicio del señor Muelle. </w:t>
            </w:r>
          </w:p>
          <w:p w14:paraId="49D6B793" w14:textId="77777777" w:rsidR="00AB3250" w:rsidRPr="00080011" w:rsidRDefault="00AB3250" w:rsidP="00933A64">
            <w:pPr>
              <w:jc w:val="both"/>
              <w:rPr>
                <w:rFonts w:ascii="Calibri Light" w:hAnsi="Calibri Light"/>
              </w:rPr>
            </w:pPr>
          </w:p>
          <w:p w14:paraId="48CBFD22" w14:textId="77777777" w:rsidR="00933A64" w:rsidRPr="00080011" w:rsidRDefault="00933A64" w:rsidP="00933A64">
            <w:pPr>
              <w:pStyle w:val="ListParagraph"/>
              <w:numPr>
                <w:ilvl w:val="0"/>
                <w:numId w:val="11"/>
              </w:numPr>
              <w:jc w:val="both"/>
              <w:rPr>
                <w:rFonts w:ascii="Calibri Light" w:hAnsi="Calibri Light"/>
              </w:rPr>
            </w:pPr>
            <w:r w:rsidRPr="00080011">
              <w:rPr>
                <w:rFonts w:ascii="Calibri Light" w:hAnsi="Calibri Light"/>
              </w:rPr>
              <w:t>El derecho a la propiedad privada en relación con la falta de ejecución de fallos internos relativos a la pensión</w:t>
            </w:r>
          </w:p>
          <w:p w14:paraId="65234749" w14:textId="77777777" w:rsidR="00933A64" w:rsidRDefault="00933A64" w:rsidP="00933A64">
            <w:pPr>
              <w:jc w:val="both"/>
              <w:rPr>
                <w:rFonts w:ascii="Calibri Light" w:hAnsi="Calibri Light"/>
              </w:rPr>
            </w:pPr>
          </w:p>
          <w:p w14:paraId="3FD789A6" w14:textId="1B2981D7" w:rsidR="003A2A1C" w:rsidRDefault="001154CD" w:rsidP="001154CD">
            <w:pPr>
              <w:jc w:val="both"/>
              <w:rPr>
                <w:rFonts w:ascii="Calibri Light" w:hAnsi="Calibri Light"/>
                <w:b w:val="0"/>
              </w:rPr>
            </w:pPr>
            <w:r>
              <w:rPr>
                <w:rFonts w:ascii="Calibri Light" w:hAnsi="Calibri Light"/>
                <w:b w:val="0"/>
              </w:rPr>
              <w:t xml:space="preserve">El concepto de propiedad reconocido en la CADH ha sido entendido tanto por la CIDH como por la Corte IDH de manera amplia, protegiendo por ejemplo, a cualquier derecho que pueda formar parte del patrimonio de una persona, como sucede con los derechos adquiridos. Precisamente, esta situación se evidenció en los casos </w:t>
            </w:r>
            <w:r w:rsidRPr="001154CD">
              <w:rPr>
                <w:rFonts w:ascii="Calibri Light" w:hAnsi="Calibri Light"/>
                <w:b w:val="0"/>
                <w:i/>
              </w:rPr>
              <w:t>Cinco Pensionistas vs. Perú</w:t>
            </w:r>
            <w:r>
              <w:rPr>
                <w:rFonts w:ascii="Calibri Light" w:hAnsi="Calibri Light"/>
                <w:b w:val="0"/>
              </w:rPr>
              <w:t xml:space="preserve"> y </w:t>
            </w:r>
            <w:r w:rsidRPr="001154CD">
              <w:rPr>
                <w:rFonts w:ascii="Calibri Light" w:hAnsi="Calibri Light"/>
                <w:b w:val="0"/>
                <w:i/>
              </w:rPr>
              <w:t>Acevedo Buendía vs. Perú</w:t>
            </w:r>
            <w:r>
              <w:rPr>
                <w:rFonts w:ascii="Calibri Light" w:hAnsi="Calibri Light"/>
                <w:b w:val="0"/>
              </w:rPr>
              <w:t xml:space="preserve">, en los que la Corte IDH reconoció que el derecho a la pensión adquirido por las víctimas había tenido un efecto en el patrimonio de las mismas. En estos casos, también existía un incumplimiento de sentencias que </w:t>
            </w:r>
            <w:r w:rsidR="006810FD">
              <w:rPr>
                <w:rFonts w:ascii="Calibri Light" w:hAnsi="Calibri Light"/>
                <w:b w:val="0"/>
              </w:rPr>
              <w:t xml:space="preserve">reconocían a las víctimas derechos pensionarios bajo el régimen del Decreto Ley No. 20530, y por ello, se declaró la violación del artículo 21 de la CADH. </w:t>
            </w:r>
          </w:p>
          <w:p w14:paraId="6C8A3340" w14:textId="77777777" w:rsidR="006810FD" w:rsidRDefault="006810FD" w:rsidP="001154CD">
            <w:pPr>
              <w:jc w:val="both"/>
              <w:rPr>
                <w:rFonts w:ascii="Calibri Light" w:hAnsi="Calibri Light"/>
                <w:b w:val="0"/>
              </w:rPr>
            </w:pPr>
          </w:p>
          <w:p w14:paraId="2266C549" w14:textId="6AFF02F5" w:rsidR="006810FD" w:rsidRDefault="006810FD" w:rsidP="001154CD">
            <w:pPr>
              <w:jc w:val="both"/>
              <w:rPr>
                <w:rFonts w:ascii="Calibri Light" w:hAnsi="Calibri Light"/>
                <w:b w:val="0"/>
              </w:rPr>
            </w:pPr>
            <w:r>
              <w:rPr>
                <w:rFonts w:ascii="Calibri Light" w:hAnsi="Calibri Light"/>
                <w:b w:val="0"/>
              </w:rPr>
              <w:t>La CIDH consideró que la situación del señor Muelle era similar a la de estos dos casos en tanto que: i) había accedido legalmente al régimen del Decreto Ley No. 20530, ii) se le suspend</w:t>
            </w:r>
            <w:r w:rsidR="0014232C">
              <w:rPr>
                <w:rFonts w:ascii="Calibri Light" w:hAnsi="Calibri Light"/>
                <w:b w:val="0"/>
              </w:rPr>
              <w:t>ieron</w:t>
            </w:r>
            <w:r>
              <w:rPr>
                <w:rFonts w:ascii="Calibri Light" w:hAnsi="Calibri Light"/>
                <w:b w:val="0"/>
              </w:rPr>
              <w:t xml:space="preserve"> los pagos bajo dicho régimen, iii) </w:t>
            </w:r>
            <w:r w:rsidR="0014232C">
              <w:rPr>
                <w:rFonts w:ascii="Calibri Light" w:hAnsi="Calibri Light"/>
                <w:b w:val="0"/>
              </w:rPr>
              <w:t xml:space="preserve">había </w:t>
            </w:r>
            <w:r>
              <w:rPr>
                <w:rFonts w:ascii="Calibri Light" w:hAnsi="Calibri Light"/>
                <w:b w:val="0"/>
              </w:rPr>
              <w:t>present</w:t>
            </w:r>
            <w:r w:rsidR="0014232C">
              <w:rPr>
                <w:rFonts w:ascii="Calibri Light" w:hAnsi="Calibri Light"/>
                <w:b w:val="0"/>
              </w:rPr>
              <w:t>ado</w:t>
            </w:r>
            <w:r>
              <w:rPr>
                <w:rFonts w:ascii="Calibri Light" w:hAnsi="Calibri Light"/>
                <w:b w:val="0"/>
              </w:rPr>
              <w:t xml:space="preserve"> recursos judiciales para ser reincorporado en el régimen, iv) obtuvo sentencias favorables a su pretensión, y v) las sentencias no han sido cumplidas hasta la fecha. </w:t>
            </w:r>
            <w:r w:rsidR="0014232C">
              <w:rPr>
                <w:rFonts w:ascii="Calibri Light" w:hAnsi="Calibri Light"/>
                <w:b w:val="0"/>
              </w:rPr>
              <w:t xml:space="preserve">Para la CIDH, estos hechos </w:t>
            </w:r>
            <w:r w:rsidR="00E077C4">
              <w:rPr>
                <w:rFonts w:ascii="Calibri Light" w:hAnsi="Calibri Light"/>
                <w:b w:val="0"/>
              </w:rPr>
              <w:t>tuvieron</w:t>
            </w:r>
            <w:r w:rsidR="0014232C">
              <w:rPr>
                <w:rFonts w:ascii="Calibri Light" w:hAnsi="Calibri Light"/>
                <w:b w:val="0"/>
              </w:rPr>
              <w:t xml:space="preserve"> un efecto en su patrimonio, por lo cual el Estado violó el artículo 21 de la CADH, en relación a su artículo 1.1, en perjuicio del señor Muelle. </w:t>
            </w:r>
          </w:p>
          <w:p w14:paraId="6A4AA894" w14:textId="5C92E6CA" w:rsidR="006810FD" w:rsidRPr="001154CD" w:rsidRDefault="006810FD" w:rsidP="006810FD">
            <w:pPr>
              <w:jc w:val="both"/>
              <w:rPr>
                <w:rFonts w:ascii="Calibri Light" w:hAnsi="Calibri Light"/>
                <w:b w:val="0"/>
              </w:rPr>
            </w:pPr>
          </w:p>
        </w:tc>
      </w:tr>
      <w:tr w:rsidR="005173CF" w:rsidRPr="00000BDF" w14:paraId="7B81A2F3" w14:textId="77777777" w:rsidTr="004C4BA2">
        <w:trPr>
          <w:trHeight w:val="265"/>
        </w:trPr>
        <w:tc>
          <w:tcPr>
            <w:cnfStyle w:val="001000000000" w:firstRow="0" w:lastRow="0" w:firstColumn="1" w:lastColumn="0" w:oddVBand="0" w:evenVBand="0" w:oddHBand="0" w:evenHBand="0" w:firstRowFirstColumn="0" w:firstRowLastColumn="0" w:lastRowFirstColumn="0" w:lastRowLastColumn="0"/>
            <w:tcW w:w="8721" w:type="dxa"/>
            <w:gridSpan w:val="3"/>
          </w:tcPr>
          <w:p w14:paraId="1B38EC78" w14:textId="77777777" w:rsidR="002624AB" w:rsidRPr="00080011" w:rsidRDefault="002624AB" w:rsidP="002624AB">
            <w:pPr>
              <w:pStyle w:val="ListParagraph"/>
              <w:rPr>
                <w:rFonts w:ascii="Calibri Light" w:hAnsi="Calibri Light"/>
              </w:rPr>
            </w:pPr>
          </w:p>
          <w:p w14:paraId="1FB8AB09" w14:textId="4098F9A4" w:rsidR="005173CF" w:rsidRPr="00080011" w:rsidRDefault="002624AB" w:rsidP="003E6AB8">
            <w:pPr>
              <w:pStyle w:val="ListParagraph"/>
              <w:numPr>
                <w:ilvl w:val="0"/>
                <w:numId w:val="2"/>
              </w:numPr>
              <w:jc w:val="center"/>
              <w:rPr>
                <w:rFonts w:ascii="Calibri Light" w:hAnsi="Calibri Light"/>
              </w:rPr>
            </w:pPr>
            <w:r w:rsidRPr="00080011">
              <w:rPr>
                <w:rFonts w:ascii="Calibri Light" w:hAnsi="Calibri Light"/>
              </w:rPr>
              <w:t>Recomendaciones</w:t>
            </w:r>
            <w:r w:rsidR="00C27B2A">
              <w:rPr>
                <w:rFonts w:ascii="Calibri Light" w:hAnsi="Calibri Light"/>
              </w:rPr>
              <w:t xml:space="preserve"> de la CIDH al Estado</w:t>
            </w:r>
          </w:p>
          <w:p w14:paraId="158A739A" w14:textId="77777777" w:rsidR="00AC6F31" w:rsidRPr="00080011" w:rsidRDefault="00AC6F31" w:rsidP="00AC6F31">
            <w:pPr>
              <w:pStyle w:val="ListParagraph"/>
              <w:rPr>
                <w:rFonts w:ascii="Calibri Light" w:hAnsi="Calibri Light"/>
              </w:rPr>
            </w:pPr>
          </w:p>
        </w:tc>
      </w:tr>
      <w:tr w:rsidR="005173CF" w:rsidRPr="00000BDF" w14:paraId="71AB3B44" w14:textId="77777777" w:rsidTr="004C4BA2">
        <w:trPr>
          <w:cnfStyle w:val="000000100000" w:firstRow="0" w:lastRow="0" w:firstColumn="0" w:lastColumn="0" w:oddVBand="0" w:evenVBand="0" w:oddHBand="1" w:evenHBand="0" w:firstRowFirstColumn="0" w:firstRowLastColumn="0" w:lastRowFirstColumn="0" w:lastRowLastColumn="0"/>
          <w:trHeight w:val="1147"/>
        </w:trPr>
        <w:tc>
          <w:tcPr>
            <w:cnfStyle w:val="001000000000" w:firstRow="0" w:lastRow="0" w:firstColumn="1" w:lastColumn="0" w:oddVBand="0" w:evenVBand="0" w:oddHBand="0" w:evenHBand="0" w:firstRowFirstColumn="0" w:firstRowLastColumn="0" w:lastRowFirstColumn="0" w:lastRowLastColumn="0"/>
            <w:tcW w:w="8721" w:type="dxa"/>
            <w:gridSpan w:val="3"/>
          </w:tcPr>
          <w:p w14:paraId="26AC653F" w14:textId="0F0D9E46" w:rsidR="00AC6F31" w:rsidRPr="00080011" w:rsidRDefault="00AC6F31" w:rsidP="00AC6F31">
            <w:pPr>
              <w:pStyle w:val="ListParagraph"/>
              <w:ind w:left="360"/>
              <w:jc w:val="both"/>
              <w:rPr>
                <w:rFonts w:ascii="Calibri Light" w:hAnsi="Calibri Light"/>
                <w:b w:val="0"/>
              </w:rPr>
            </w:pPr>
          </w:p>
          <w:p w14:paraId="20FE53D3" w14:textId="77777777" w:rsidR="003F7B7C" w:rsidRPr="00080011" w:rsidRDefault="008B34BC" w:rsidP="003F7B7C">
            <w:pPr>
              <w:pStyle w:val="ListParagraph"/>
              <w:numPr>
                <w:ilvl w:val="0"/>
                <w:numId w:val="10"/>
              </w:numPr>
              <w:jc w:val="both"/>
              <w:rPr>
                <w:rFonts w:ascii="Calibri Light" w:hAnsi="Calibri Light"/>
                <w:b w:val="0"/>
              </w:rPr>
            </w:pPr>
            <w:r w:rsidRPr="00080011">
              <w:rPr>
                <w:rFonts w:ascii="Calibri Light" w:hAnsi="Calibri Light"/>
                <w:b w:val="0"/>
              </w:rPr>
              <w:t>Dar cumplimiento a la mayor brevedad posible a las sentencias de la Corte Suprema de Justicia de 2 de febrero de 1993 y del Tribunal Constitucional de 10 de diciembre de 1999. Esto implica la adopción inmediata por parte del Estado peruano de las medidas necesarias para el pago de la pensión al señor Muelle Flores en los términos en los cuales le fue reconocido judicialmente, es decir, bajo el régimen del Decreto Ley 20530. Lo anterior incluye el pago de las pensiones dejadas de percibir desde el momento de su jubilación hasta la fecha en que se haga efectivo el pago. Tomando en cuenta los estándares desarrollados en el presente informe sobre las obligaciones del Estado en el marco de privatización de empresas estatales, Perú no podrá oponer la privatización de la empresa para abstenerse de cumplir con esta recomendación.</w:t>
            </w:r>
          </w:p>
          <w:p w14:paraId="124C8DD4" w14:textId="57E283FE" w:rsidR="008B34BC" w:rsidRPr="00080011" w:rsidRDefault="008B34BC" w:rsidP="003F7B7C">
            <w:pPr>
              <w:pStyle w:val="ListParagraph"/>
              <w:ind w:left="360"/>
              <w:jc w:val="both"/>
              <w:rPr>
                <w:rFonts w:ascii="Calibri Light" w:hAnsi="Calibri Light"/>
                <w:b w:val="0"/>
              </w:rPr>
            </w:pPr>
            <w:r w:rsidRPr="00080011">
              <w:rPr>
                <w:rFonts w:ascii="Calibri Light" w:hAnsi="Calibri Light"/>
                <w:b w:val="0"/>
              </w:rPr>
              <w:t xml:space="preserve"> </w:t>
            </w:r>
          </w:p>
          <w:p w14:paraId="2798F3FA" w14:textId="057048E9" w:rsidR="008B34BC" w:rsidRPr="00080011" w:rsidRDefault="008B34BC" w:rsidP="003F7B7C">
            <w:pPr>
              <w:pStyle w:val="ListParagraph"/>
              <w:numPr>
                <w:ilvl w:val="0"/>
                <w:numId w:val="10"/>
              </w:numPr>
              <w:jc w:val="both"/>
              <w:rPr>
                <w:rFonts w:ascii="Calibri Light" w:hAnsi="Calibri Light"/>
                <w:b w:val="0"/>
              </w:rPr>
            </w:pPr>
            <w:r w:rsidRPr="00080011">
              <w:rPr>
                <w:rFonts w:ascii="Calibri Light" w:hAnsi="Calibri Light"/>
                <w:b w:val="0"/>
              </w:rPr>
              <w:t xml:space="preserve">Reparar integralmente las violaciones declaradas, incluyendo una debida compensación que incluya el daño material e inmaterial causado. </w:t>
            </w:r>
          </w:p>
          <w:p w14:paraId="27EE85E9" w14:textId="77777777" w:rsidR="003F7B7C" w:rsidRPr="00080011" w:rsidRDefault="003F7B7C" w:rsidP="003F7B7C">
            <w:pPr>
              <w:jc w:val="both"/>
              <w:rPr>
                <w:rFonts w:ascii="Calibri Light" w:hAnsi="Calibri Light"/>
              </w:rPr>
            </w:pPr>
          </w:p>
          <w:p w14:paraId="7AF11E9A" w14:textId="77777777" w:rsidR="008B34BC" w:rsidRPr="00080011" w:rsidRDefault="008B34BC" w:rsidP="003F7B7C">
            <w:pPr>
              <w:pStyle w:val="ListParagraph"/>
              <w:numPr>
                <w:ilvl w:val="0"/>
                <w:numId w:val="10"/>
              </w:numPr>
              <w:jc w:val="both"/>
              <w:rPr>
                <w:rFonts w:ascii="Calibri Light" w:hAnsi="Calibri Light"/>
              </w:rPr>
            </w:pPr>
            <w:r w:rsidRPr="00080011">
              <w:rPr>
                <w:rFonts w:ascii="Calibri Light" w:hAnsi="Calibri Light"/>
                <w:b w:val="0"/>
              </w:rPr>
              <w:t xml:space="preserve">Adoptar las medidas legislativas o de otra índole necesarias para evitar la repetición de las violaciones declaradas en el presente informe. Al respecto, el Estado deberá disponer las medidas necesarias para: i) Asegurar que las empresas estatales cumplan con los fallos judiciales que reconocen derechos pensionarios a ex-trabajadores; ii) Asegurar que en el marco de la privatización de empresas privadas se dispongan las debidas salvaguardas para que tal actuación no impida el cumplimiento de sentencias judiciales a favor de las personas jubiladas; iii) Asegurar que los procesos de ejecución de sentencia cumplan con el estándar convencional de sencillez y rapidez; y iv) Asegurar que las autoridades judiciales que conocen tales procesos se encuentren facultados legalmente y apliquen en la práctica los </w:t>
            </w:r>
            <w:r w:rsidRPr="00080011">
              <w:rPr>
                <w:rFonts w:ascii="Calibri Light" w:hAnsi="Calibri Light"/>
                <w:b w:val="0"/>
              </w:rPr>
              <w:lastRenderedPageBreak/>
              <w:t>mecanismos coercitivos necesarios para garantizar el cumpli</w:t>
            </w:r>
            <w:r w:rsidR="003F7B7C" w:rsidRPr="00080011">
              <w:rPr>
                <w:rFonts w:ascii="Calibri Light" w:hAnsi="Calibri Light"/>
                <w:b w:val="0"/>
              </w:rPr>
              <w:t>miento de los fallos judiciales</w:t>
            </w:r>
          </w:p>
          <w:p w14:paraId="5AA471B6" w14:textId="1CD6E3E2" w:rsidR="003F7B7C" w:rsidRPr="00080011" w:rsidRDefault="003F7B7C" w:rsidP="003F7B7C">
            <w:pPr>
              <w:jc w:val="both"/>
              <w:rPr>
                <w:rFonts w:ascii="Calibri Light" w:hAnsi="Calibri Light"/>
              </w:rPr>
            </w:pPr>
          </w:p>
        </w:tc>
      </w:tr>
      <w:tr w:rsidR="002624AB" w:rsidRPr="00000BDF" w14:paraId="6C57DC5A" w14:textId="77777777" w:rsidTr="002624AB">
        <w:trPr>
          <w:trHeight w:val="668"/>
        </w:trPr>
        <w:tc>
          <w:tcPr>
            <w:cnfStyle w:val="001000000000" w:firstRow="0" w:lastRow="0" w:firstColumn="1" w:lastColumn="0" w:oddVBand="0" w:evenVBand="0" w:oddHBand="0" w:evenHBand="0" w:firstRowFirstColumn="0" w:firstRowLastColumn="0" w:lastRowFirstColumn="0" w:lastRowLastColumn="0"/>
            <w:tcW w:w="8721" w:type="dxa"/>
            <w:gridSpan w:val="3"/>
          </w:tcPr>
          <w:p w14:paraId="722978D6" w14:textId="6131CB40" w:rsidR="002624AB" w:rsidRPr="00080011" w:rsidRDefault="002624AB" w:rsidP="00AC6F31">
            <w:pPr>
              <w:pStyle w:val="ListParagraph"/>
              <w:ind w:left="360"/>
              <w:jc w:val="both"/>
              <w:rPr>
                <w:rFonts w:ascii="Calibri Light" w:hAnsi="Calibri Light"/>
                <w:b w:val="0"/>
              </w:rPr>
            </w:pPr>
          </w:p>
          <w:p w14:paraId="09857DA5" w14:textId="77777777" w:rsidR="002624AB" w:rsidRPr="00080011" w:rsidRDefault="002624AB" w:rsidP="002624AB">
            <w:pPr>
              <w:pStyle w:val="ListParagraph"/>
              <w:numPr>
                <w:ilvl w:val="0"/>
                <w:numId w:val="2"/>
              </w:numPr>
              <w:jc w:val="center"/>
              <w:rPr>
                <w:rFonts w:ascii="Calibri Light" w:hAnsi="Calibri Light"/>
              </w:rPr>
            </w:pPr>
            <w:r w:rsidRPr="00080011">
              <w:rPr>
                <w:rFonts w:ascii="Calibri Light" w:hAnsi="Calibri Light"/>
              </w:rPr>
              <w:t>Análisis de cumplimiento de las recomendaciones</w:t>
            </w:r>
          </w:p>
          <w:p w14:paraId="7DE59A28" w14:textId="4E7C16DA" w:rsidR="002624AB" w:rsidRPr="00080011" w:rsidRDefault="002624AB" w:rsidP="002624AB">
            <w:pPr>
              <w:pStyle w:val="ListParagraph"/>
              <w:jc w:val="center"/>
              <w:rPr>
                <w:rFonts w:ascii="Calibri Light" w:hAnsi="Calibri Light"/>
                <w:b w:val="0"/>
              </w:rPr>
            </w:pPr>
          </w:p>
        </w:tc>
      </w:tr>
      <w:tr w:rsidR="002624AB" w:rsidRPr="00000BDF" w14:paraId="501FE1E2" w14:textId="77777777" w:rsidTr="003F7B7C">
        <w:trPr>
          <w:cnfStyle w:val="000000100000" w:firstRow="0" w:lastRow="0" w:firstColumn="0" w:lastColumn="0" w:oddVBand="0" w:evenVBand="0" w:oddHBand="1" w:evenHBand="0" w:firstRowFirstColumn="0" w:firstRowLastColumn="0" w:lastRowFirstColumn="0" w:lastRowLastColumn="0"/>
          <w:trHeight w:val="544"/>
        </w:trPr>
        <w:tc>
          <w:tcPr>
            <w:cnfStyle w:val="001000000000" w:firstRow="0" w:lastRow="0" w:firstColumn="1" w:lastColumn="0" w:oddVBand="0" w:evenVBand="0" w:oddHBand="0" w:evenHBand="0" w:firstRowFirstColumn="0" w:firstRowLastColumn="0" w:lastRowFirstColumn="0" w:lastRowLastColumn="0"/>
            <w:tcW w:w="8721" w:type="dxa"/>
            <w:gridSpan w:val="3"/>
            <w:vAlign w:val="center"/>
          </w:tcPr>
          <w:p w14:paraId="7111BA2A" w14:textId="3FA9C359" w:rsidR="002624AB" w:rsidRPr="00080011" w:rsidRDefault="003F7B7C" w:rsidP="003F7B7C">
            <w:pPr>
              <w:pStyle w:val="ListParagraph"/>
              <w:ind w:left="360"/>
              <w:jc w:val="center"/>
              <w:rPr>
                <w:rFonts w:ascii="Calibri Light" w:hAnsi="Calibri Light"/>
                <w:b w:val="0"/>
              </w:rPr>
            </w:pPr>
            <w:r w:rsidRPr="00080011">
              <w:rPr>
                <w:rFonts w:ascii="Calibri Light" w:hAnsi="Calibri Light"/>
                <w:b w:val="0"/>
              </w:rPr>
              <w:t>-</w:t>
            </w:r>
          </w:p>
        </w:tc>
      </w:tr>
    </w:tbl>
    <w:p w14:paraId="23A9A3C3" w14:textId="77777777" w:rsidR="00714E42" w:rsidRPr="00000BDF" w:rsidRDefault="00714E42" w:rsidP="00A65231">
      <w:pPr>
        <w:rPr>
          <w:rFonts w:ascii="Calibri Light" w:hAnsi="Calibri Light"/>
        </w:rPr>
      </w:pPr>
    </w:p>
    <w:sectPr w:rsidR="00714E42" w:rsidRPr="00000BDF" w:rsidSect="00A65231">
      <w:footerReference w:type="default" r:id="rId15"/>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86B541" w14:textId="77777777" w:rsidR="006348C0" w:rsidRDefault="006348C0" w:rsidP="00A65231">
      <w:pPr>
        <w:spacing w:after="0" w:line="240" w:lineRule="auto"/>
      </w:pPr>
      <w:r>
        <w:separator/>
      </w:r>
    </w:p>
  </w:endnote>
  <w:endnote w:type="continuationSeparator" w:id="0">
    <w:p w14:paraId="3BF07489" w14:textId="77777777" w:rsidR="006348C0" w:rsidRDefault="006348C0" w:rsidP="00A65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0471937"/>
      <w:docPartObj>
        <w:docPartGallery w:val="Page Numbers (Bottom of Page)"/>
        <w:docPartUnique/>
      </w:docPartObj>
    </w:sdtPr>
    <w:sdtEndPr/>
    <w:sdtContent>
      <w:p w14:paraId="23A746CC" w14:textId="77777777" w:rsidR="00A65231" w:rsidRDefault="00A65231">
        <w:pPr>
          <w:pStyle w:val="Footer"/>
          <w:jc w:val="right"/>
        </w:pPr>
        <w:r>
          <w:fldChar w:fldCharType="begin"/>
        </w:r>
        <w:r>
          <w:instrText>PAGE   \* MERGEFORMAT</w:instrText>
        </w:r>
        <w:r>
          <w:fldChar w:fldCharType="separate"/>
        </w:r>
        <w:r w:rsidR="009C4143" w:rsidRPr="009C4143">
          <w:rPr>
            <w:noProof/>
            <w:lang w:val="es-ES"/>
          </w:rPr>
          <w:t>4</w:t>
        </w:r>
        <w:r>
          <w:fldChar w:fldCharType="end"/>
        </w:r>
      </w:p>
    </w:sdtContent>
  </w:sdt>
  <w:p w14:paraId="6353BB13" w14:textId="77777777" w:rsidR="00A65231" w:rsidRDefault="00A652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907E3" w14:textId="77777777" w:rsidR="006348C0" w:rsidRDefault="006348C0" w:rsidP="00A65231">
      <w:pPr>
        <w:spacing w:after="0" w:line="240" w:lineRule="auto"/>
      </w:pPr>
      <w:r>
        <w:separator/>
      </w:r>
    </w:p>
  </w:footnote>
  <w:footnote w:type="continuationSeparator" w:id="0">
    <w:p w14:paraId="58FFAA1C" w14:textId="77777777" w:rsidR="006348C0" w:rsidRDefault="006348C0" w:rsidP="00A652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0026A"/>
    <w:multiLevelType w:val="hybridMultilevel"/>
    <w:tmpl w:val="B86EC16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97E6373"/>
    <w:multiLevelType w:val="hybridMultilevel"/>
    <w:tmpl w:val="AE48B0D2"/>
    <w:lvl w:ilvl="0" w:tplc="5DC24A60">
      <w:start w:val="1"/>
      <w:numFmt w:val="lowerRoman"/>
      <w:lvlText w:val="%1."/>
      <w:lvlJc w:val="left"/>
      <w:pPr>
        <w:ind w:left="720" w:hanging="72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 w15:restartNumberingAfterBreak="0">
    <w:nsid w:val="0D1A5EBA"/>
    <w:multiLevelType w:val="hybridMultilevel"/>
    <w:tmpl w:val="FA94C2CE"/>
    <w:lvl w:ilvl="0" w:tplc="FAD2DECC">
      <w:start w:val="1"/>
      <w:numFmt w:val="decimal"/>
      <w:lvlText w:val="%1."/>
      <w:lvlJc w:val="left"/>
      <w:pPr>
        <w:ind w:left="360" w:hanging="360"/>
      </w:pPr>
      <w:rPr>
        <w:rFonts w:hint="default"/>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D81334F"/>
    <w:multiLevelType w:val="hybridMultilevel"/>
    <w:tmpl w:val="66322A9C"/>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05A010C"/>
    <w:multiLevelType w:val="hybridMultilevel"/>
    <w:tmpl w:val="8D1013B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45046FB2"/>
    <w:multiLevelType w:val="hybridMultilevel"/>
    <w:tmpl w:val="7BB2EC6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511A22F4"/>
    <w:multiLevelType w:val="hybridMultilevel"/>
    <w:tmpl w:val="C1A0C3EA"/>
    <w:lvl w:ilvl="0" w:tplc="080A0013">
      <w:start w:val="1"/>
      <w:numFmt w:val="upperRoman"/>
      <w:lvlText w:val="%1."/>
      <w:lvlJc w:val="right"/>
      <w:pPr>
        <w:ind w:left="720" w:hanging="180"/>
      </w:pPr>
    </w:lvl>
    <w:lvl w:ilvl="1" w:tplc="080A0011">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0F96EEC"/>
    <w:multiLevelType w:val="hybridMultilevel"/>
    <w:tmpl w:val="485EB47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71BF0003"/>
    <w:multiLevelType w:val="hybridMultilevel"/>
    <w:tmpl w:val="2ECCC950"/>
    <w:lvl w:ilvl="0" w:tplc="280A0015">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73694256"/>
    <w:multiLevelType w:val="hybridMultilevel"/>
    <w:tmpl w:val="AC54C0AE"/>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0" w15:restartNumberingAfterBreak="0">
    <w:nsid w:val="7ECE774C"/>
    <w:multiLevelType w:val="hybridMultilevel"/>
    <w:tmpl w:val="C60AE780"/>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5"/>
  </w:num>
  <w:num w:numId="6">
    <w:abstractNumId w:val="8"/>
  </w:num>
  <w:num w:numId="7">
    <w:abstractNumId w:val="9"/>
  </w:num>
  <w:num w:numId="8">
    <w:abstractNumId w:val="0"/>
  </w:num>
  <w:num w:numId="9">
    <w:abstractNumId w:val="7"/>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1359"/>
    <w:rsid w:val="00000BDF"/>
    <w:rsid w:val="00080011"/>
    <w:rsid w:val="000C2ED1"/>
    <w:rsid w:val="000C5A72"/>
    <w:rsid w:val="000D3CF2"/>
    <w:rsid w:val="000F2C70"/>
    <w:rsid w:val="00107EA7"/>
    <w:rsid w:val="001154CD"/>
    <w:rsid w:val="0014138B"/>
    <w:rsid w:val="0014232C"/>
    <w:rsid w:val="00192BFF"/>
    <w:rsid w:val="001A14F7"/>
    <w:rsid w:val="001B71CA"/>
    <w:rsid w:val="001C28EC"/>
    <w:rsid w:val="001C525A"/>
    <w:rsid w:val="00212F62"/>
    <w:rsid w:val="00213757"/>
    <w:rsid w:val="00220B75"/>
    <w:rsid w:val="00241775"/>
    <w:rsid w:val="002624AB"/>
    <w:rsid w:val="0029671B"/>
    <w:rsid w:val="002A2AA3"/>
    <w:rsid w:val="002E059D"/>
    <w:rsid w:val="002E6E77"/>
    <w:rsid w:val="00317EE5"/>
    <w:rsid w:val="003A2A1C"/>
    <w:rsid w:val="003A7AE9"/>
    <w:rsid w:val="003E6AB8"/>
    <w:rsid w:val="003F7B7C"/>
    <w:rsid w:val="00411A74"/>
    <w:rsid w:val="00421D6C"/>
    <w:rsid w:val="00451809"/>
    <w:rsid w:val="00452AA6"/>
    <w:rsid w:val="004533E5"/>
    <w:rsid w:val="004623C7"/>
    <w:rsid w:val="00464CAC"/>
    <w:rsid w:val="004824E1"/>
    <w:rsid w:val="004858A8"/>
    <w:rsid w:val="004861D8"/>
    <w:rsid w:val="004B1311"/>
    <w:rsid w:val="004C1089"/>
    <w:rsid w:val="004C4BA2"/>
    <w:rsid w:val="004E678F"/>
    <w:rsid w:val="004F061A"/>
    <w:rsid w:val="004F612D"/>
    <w:rsid w:val="005116E1"/>
    <w:rsid w:val="005173CF"/>
    <w:rsid w:val="00557C90"/>
    <w:rsid w:val="00561359"/>
    <w:rsid w:val="00570E1B"/>
    <w:rsid w:val="005751AC"/>
    <w:rsid w:val="005A68F1"/>
    <w:rsid w:val="005C3229"/>
    <w:rsid w:val="005D4FDF"/>
    <w:rsid w:val="006348C0"/>
    <w:rsid w:val="006407DD"/>
    <w:rsid w:val="00676230"/>
    <w:rsid w:val="006810FD"/>
    <w:rsid w:val="00685F04"/>
    <w:rsid w:val="00690161"/>
    <w:rsid w:val="006D488A"/>
    <w:rsid w:val="00714E42"/>
    <w:rsid w:val="00747E22"/>
    <w:rsid w:val="0079477F"/>
    <w:rsid w:val="007A6C56"/>
    <w:rsid w:val="007B7ED8"/>
    <w:rsid w:val="007E382B"/>
    <w:rsid w:val="008036E7"/>
    <w:rsid w:val="0083689F"/>
    <w:rsid w:val="00841B0E"/>
    <w:rsid w:val="00862D27"/>
    <w:rsid w:val="00865442"/>
    <w:rsid w:val="00866A4D"/>
    <w:rsid w:val="008B34BC"/>
    <w:rsid w:val="0090367F"/>
    <w:rsid w:val="0091188B"/>
    <w:rsid w:val="00931244"/>
    <w:rsid w:val="00933A64"/>
    <w:rsid w:val="00954E20"/>
    <w:rsid w:val="009C4143"/>
    <w:rsid w:val="00A133CC"/>
    <w:rsid w:val="00A271BF"/>
    <w:rsid w:val="00A4435A"/>
    <w:rsid w:val="00A65231"/>
    <w:rsid w:val="00A67BD5"/>
    <w:rsid w:val="00A91B24"/>
    <w:rsid w:val="00A91E58"/>
    <w:rsid w:val="00AB3250"/>
    <w:rsid w:val="00AC6F31"/>
    <w:rsid w:val="00B07E72"/>
    <w:rsid w:val="00B4622E"/>
    <w:rsid w:val="00B66A98"/>
    <w:rsid w:val="00B71B8C"/>
    <w:rsid w:val="00B771B5"/>
    <w:rsid w:val="00B93CB9"/>
    <w:rsid w:val="00BB61C6"/>
    <w:rsid w:val="00BD0A88"/>
    <w:rsid w:val="00BD48E5"/>
    <w:rsid w:val="00BE6FA1"/>
    <w:rsid w:val="00BF7857"/>
    <w:rsid w:val="00C106DA"/>
    <w:rsid w:val="00C27B2A"/>
    <w:rsid w:val="00C31DFF"/>
    <w:rsid w:val="00C63B25"/>
    <w:rsid w:val="00C855AA"/>
    <w:rsid w:val="00D0696E"/>
    <w:rsid w:val="00D25644"/>
    <w:rsid w:val="00D30EF0"/>
    <w:rsid w:val="00D75145"/>
    <w:rsid w:val="00D945C3"/>
    <w:rsid w:val="00DC4987"/>
    <w:rsid w:val="00DD3A46"/>
    <w:rsid w:val="00DD3C7C"/>
    <w:rsid w:val="00DF2AFB"/>
    <w:rsid w:val="00DF47E0"/>
    <w:rsid w:val="00E077C4"/>
    <w:rsid w:val="00E35FF7"/>
    <w:rsid w:val="00E73FA4"/>
    <w:rsid w:val="00E76430"/>
    <w:rsid w:val="00ED191C"/>
    <w:rsid w:val="00F06184"/>
    <w:rsid w:val="00F213E1"/>
    <w:rsid w:val="00F35633"/>
    <w:rsid w:val="00F464EC"/>
    <w:rsid w:val="00F53444"/>
    <w:rsid w:val="00F55CD0"/>
    <w:rsid w:val="00F725A5"/>
    <w:rsid w:val="00F83405"/>
    <w:rsid w:val="00FB0F60"/>
    <w:rsid w:val="00FB1D17"/>
    <w:rsid w:val="00FB7259"/>
    <w:rsid w:val="00FC1FD4"/>
    <w:rsid w:val="00FD0D3B"/>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F67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1359"/>
    <w:rPr>
      <w:rFonts w:ascii="Calibri" w:eastAsia="Calibri" w:hAnsi="Calibri" w:cs="Times New Roman"/>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1359"/>
    <w:pPr>
      <w:tabs>
        <w:tab w:val="center" w:pos="4419"/>
        <w:tab w:val="right" w:pos="8838"/>
      </w:tabs>
      <w:spacing w:after="0" w:line="240" w:lineRule="auto"/>
    </w:pPr>
  </w:style>
  <w:style w:type="character" w:customStyle="1" w:styleId="HeaderChar">
    <w:name w:val="Header Char"/>
    <w:basedOn w:val="DefaultParagraphFont"/>
    <w:link w:val="Header"/>
    <w:uiPriority w:val="99"/>
    <w:rsid w:val="00561359"/>
    <w:rPr>
      <w:rFonts w:ascii="Calibri" w:eastAsia="Calibri" w:hAnsi="Calibri" w:cs="Times New Roman"/>
      <w:lang w:val="es-MX"/>
    </w:rPr>
  </w:style>
  <w:style w:type="table" w:styleId="TableGrid">
    <w:name w:val="Table Grid"/>
    <w:basedOn w:val="TableNormal"/>
    <w:uiPriority w:val="59"/>
    <w:rsid w:val="0051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5173C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Shading1-Accent5">
    <w:name w:val="Medium Shading 1 Accent 5"/>
    <w:basedOn w:val="TableNormal"/>
    <w:uiPriority w:val="63"/>
    <w:rsid w:val="005173CF"/>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Shading-Accent4">
    <w:name w:val="Light Shading Accent 4"/>
    <w:basedOn w:val="TableNormal"/>
    <w:uiPriority w:val="60"/>
    <w:rsid w:val="005173C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MediumGrid1-Accent3">
    <w:name w:val="Medium Grid 1 Accent 3"/>
    <w:basedOn w:val="TableNormal"/>
    <w:uiPriority w:val="67"/>
    <w:rsid w:val="005173CF"/>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1">
    <w:name w:val="Medium Grid 1 Accent 1"/>
    <w:basedOn w:val="TableNormal"/>
    <w:uiPriority w:val="67"/>
    <w:rsid w:val="005173CF"/>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ListParagraph">
    <w:name w:val="List Paragraph"/>
    <w:basedOn w:val="Normal"/>
    <w:uiPriority w:val="34"/>
    <w:qFormat/>
    <w:rsid w:val="007A6C56"/>
    <w:pPr>
      <w:ind w:left="720"/>
      <w:contextualSpacing/>
    </w:pPr>
  </w:style>
  <w:style w:type="paragraph" w:styleId="Footer">
    <w:name w:val="footer"/>
    <w:basedOn w:val="Normal"/>
    <w:link w:val="FooterChar"/>
    <w:uiPriority w:val="99"/>
    <w:unhideWhenUsed/>
    <w:rsid w:val="00A65231"/>
    <w:pPr>
      <w:tabs>
        <w:tab w:val="center" w:pos="4419"/>
        <w:tab w:val="right" w:pos="8838"/>
      </w:tabs>
      <w:spacing w:after="0" w:line="240" w:lineRule="auto"/>
    </w:pPr>
  </w:style>
  <w:style w:type="character" w:customStyle="1" w:styleId="FooterChar">
    <w:name w:val="Footer Char"/>
    <w:basedOn w:val="DefaultParagraphFont"/>
    <w:link w:val="Footer"/>
    <w:uiPriority w:val="99"/>
    <w:rsid w:val="00A65231"/>
    <w:rPr>
      <w:rFonts w:ascii="Calibri" w:eastAsia="Calibri" w:hAnsi="Calibri" w:cs="Times New Roman"/>
      <w:lang w:val="es-MX"/>
    </w:rPr>
  </w:style>
  <w:style w:type="paragraph" w:styleId="BalloonText">
    <w:name w:val="Balloon Text"/>
    <w:basedOn w:val="Normal"/>
    <w:link w:val="BalloonTextChar"/>
    <w:uiPriority w:val="99"/>
    <w:semiHidden/>
    <w:unhideWhenUsed/>
    <w:rsid w:val="00954E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E20"/>
    <w:rPr>
      <w:rFonts w:ascii="Tahoma" w:eastAsia="Calibri" w:hAnsi="Tahoma" w:cs="Tahoma"/>
      <w:sz w:val="16"/>
      <w:szCs w:val="16"/>
      <w:lang w:val="es-MX"/>
    </w:rPr>
  </w:style>
  <w:style w:type="table" w:customStyle="1" w:styleId="Tabladelista2-nfasis11">
    <w:name w:val="Tabla de lista 2 - Énfasis 11"/>
    <w:basedOn w:val="TableNormal"/>
    <w:uiPriority w:val="47"/>
    <w:rsid w:val="007B7ED8"/>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styleId="CommentReference">
    <w:name w:val="annotation reference"/>
    <w:basedOn w:val="DefaultParagraphFont"/>
    <w:uiPriority w:val="99"/>
    <w:semiHidden/>
    <w:unhideWhenUsed/>
    <w:rsid w:val="00F06184"/>
    <w:rPr>
      <w:sz w:val="18"/>
      <w:szCs w:val="18"/>
    </w:rPr>
  </w:style>
  <w:style w:type="paragraph" w:styleId="CommentText">
    <w:name w:val="annotation text"/>
    <w:basedOn w:val="Normal"/>
    <w:link w:val="CommentTextChar"/>
    <w:uiPriority w:val="99"/>
    <w:semiHidden/>
    <w:unhideWhenUsed/>
    <w:rsid w:val="00F06184"/>
    <w:pPr>
      <w:spacing w:line="240" w:lineRule="auto"/>
    </w:pPr>
    <w:rPr>
      <w:sz w:val="24"/>
      <w:szCs w:val="24"/>
    </w:rPr>
  </w:style>
  <w:style w:type="character" w:customStyle="1" w:styleId="CommentTextChar">
    <w:name w:val="Comment Text Char"/>
    <w:basedOn w:val="DefaultParagraphFont"/>
    <w:link w:val="CommentText"/>
    <w:uiPriority w:val="99"/>
    <w:semiHidden/>
    <w:rsid w:val="00F06184"/>
    <w:rPr>
      <w:rFonts w:ascii="Calibri" w:eastAsia="Calibri" w:hAnsi="Calibri" w:cs="Times New Roman"/>
      <w:sz w:val="24"/>
      <w:szCs w:val="24"/>
      <w:lang w:val="es-MX"/>
    </w:rPr>
  </w:style>
  <w:style w:type="paragraph" w:styleId="CommentSubject">
    <w:name w:val="annotation subject"/>
    <w:basedOn w:val="CommentText"/>
    <w:next w:val="CommentText"/>
    <w:link w:val="CommentSubjectChar"/>
    <w:uiPriority w:val="99"/>
    <w:semiHidden/>
    <w:unhideWhenUsed/>
    <w:rsid w:val="00F06184"/>
    <w:rPr>
      <w:b/>
      <w:bCs/>
      <w:sz w:val="20"/>
      <w:szCs w:val="20"/>
    </w:rPr>
  </w:style>
  <w:style w:type="character" w:customStyle="1" w:styleId="CommentSubjectChar">
    <w:name w:val="Comment Subject Char"/>
    <w:basedOn w:val="CommentTextChar"/>
    <w:link w:val="CommentSubject"/>
    <w:uiPriority w:val="99"/>
    <w:semiHidden/>
    <w:rsid w:val="00F06184"/>
    <w:rPr>
      <w:rFonts w:ascii="Calibri" w:eastAsia="Calibri" w:hAnsi="Calibri" w:cs="Times New Roman"/>
      <w:b/>
      <w:bCs/>
      <w:sz w:val="20"/>
      <w:szCs w:val="20"/>
      <w:lang w:val="es-MX"/>
    </w:rPr>
  </w:style>
  <w:style w:type="character" w:styleId="Hyperlink">
    <w:name w:val="Hyperlink"/>
    <w:basedOn w:val="DefaultParagraphFont"/>
    <w:uiPriority w:val="99"/>
    <w:unhideWhenUsed/>
    <w:rsid w:val="004C4BA2"/>
    <w:rPr>
      <w:color w:val="0000FF" w:themeColor="hyperlink"/>
      <w:u w:val="single"/>
    </w:rPr>
  </w:style>
  <w:style w:type="character" w:styleId="UnresolvedMention">
    <w:name w:val="Unresolved Mention"/>
    <w:basedOn w:val="DefaultParagraphFont"/>
    <w:uiPriority w:val="99"/>
    <w:semiHidden/>
    <w:unhideWhenUsed/>
    <w:rsid w:val="009118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idh.oas.org/annualrep/2010sp/PEAD147-98%20ES.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as.org/es/cidh/decisiones/corte/2017/12772FondoEs.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http://dpp.graduateinstitute.ch/files/live/sites/dpp/files/shared/images/IDEHPUCP%20%20color.jpg" TargetMode="External"/><Relationship Id="rId14" Type="http://schemas.openxmlformats.org/officeDocument/2006/relationships/hyperlink" Target="http://www.corteidh.or.cr/docs/casos/articulos/seriec_375_esp.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7783A-899E-4CB6-B91A-F941D87D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1913</Words>
  <Characters>10910</Characters>
  <Application>Microsoft Office Word</Application>
  <DocSecurity>0</DocSecurity>
  <Lines>90</Lines>
  <Paragraphs>25</Paragraphs>
  <ScaleCrop>false</ScaleCrop>
  <Company/>
  <LinksUpToDate>false</LinksUpToDate>
  <CharactersWithSpaces>12798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2021-02-11T09:48:00Z</dcterms:created>
  <dcterms:modified xsi:type="dcterms:W3CDTF">2021-02-11T09:48:00Z</dcterms:modified>
</cp:coreProperties>
</file>