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919A0" w14:textId="77777777" w:rsidR="00455403" w:rsidRDefault="00455403" w:rsidP="00455403">
      <w:pPr>
        <w:pStyle w:val="Header"/>
        <w:jc w:val="center"/>
        <w:rPr>
          <w:rFonts w:ascii="Calibri Light" w:hAnsi="Calibri Light"/>
          <w:lang w:val="es-PE"/>
        </w:rPr>
      </w:pPr>
      <w:r w:rsidRPr="00C80A19">
        <w:rPr>
          <w:rFonts w:ascii="Calibri Light" w:hAnsi="Calibri Light"/>
          <w:noProof/>
          <w:lang w:val="es-PE"/>
        </w:rPr>
        <w:drawing>
          <wp:anchor distT="0" distB="0" distL="114300" distR="114300" simplePos="0" relativeHeight="251661312" behindDoc="1" locked="0" layoutInCell="1" allowOverlap="1" wp14:anchorId="542A135F" wp14:editId="6D3613D4">
            <wp:simplePos x="0" y="0"/>
            <wp:positionH relativeFrom="margin">
              <wp:posOffset>4020820</wp:posOffset>
            </wp:positionH>
            <wp:positionV relativeFrom="margin">
              <wp:posOffset>-271145</wp:posOffset>
            </wp:positionV>
            <wp:extent cx="1849755" cy="789940"/>
            <wp:effectExtent l="0" t="0" r="4445" b="0"/>
            <wp:wrapTight wrapText="bothSides">
              <wp:wrapPolygon edited="0">
                <wp:start x="0" y="0"/>
                <wp:lineTo x="0" y="21183"/>
                <wp:lineTo x="21504" y="21183"/>
                <wp:lineTo x="21504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 rotWithShape="1"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2" t="27352" r="6449" b="25571"/>
                    <a:stretch/>
                  </pic:blipFill>
                  <pic:spPr bwMode="auto">
                    <a:xfrm>
                      <a:off x="0" y="0"/>
                      <a:ext cx="184975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A19">
        <w:rPr>
          <w:rFonts w:ascii="Calibri Light" w:hAnsi="Calibri Light"/>
          <w:noProof/>
          <w:lang w:val="es-PE"/>
        </w:rPr>
        <w:drawing>
          <wp:anchor distT="0" distB="0" distL="114300" distR="114300" simplePos="0" relativeHeight="251660288" behindDoc="1" locked="0" layoutInCell="1" allowOverlap="1" wp14:anchorId="4EA39092" wp14:editId="73EE01E2">
            <wp:simplePos x="0" y="0"/>
            <wp:positionH relativeFrom="column">
              <wp:posOffset>1399540</wp:posOffset>
            </wp:positionH>
            <wp:positionV relativeFrom="paragraph">
              <wp:posOffset>-107950</wp:posOffset>
            </wp:positionV>
            <wp:extent cx="2564130" cy="626110"/>
            <wp:effectExtent l="0" t="0" r="1270" b="0"/>
            <wp:wrapTight wrapText="bothSides">
              <wp:wrapPolygon edited="0">
                <wp:start x="1605" y="2629"/>
                <wp:lineTo x="1070" y="5258"/>
                <wp:lineTo x="642" y="7886"/>
                <wp:lineTo x="642" y="11830"/>
                <wp:lineTo x="1284" y="17087"/>
                <wp:lineTo x="1498" y="17963"/>
                <wp:lineTo x="21397" y="17963"/>
                <wp:lineTo x="21504" y="16649"/>
                <wp:lineTo x="21183" y="9639"/>
                <wp:lineTo x="15406" y="2629"/>
                <wp:lineTo x="1605" y="2629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10"/>
                    <a:srcRect r="3349"/>
                    <a:stretch/>
                  </pic:blipFill>
                  <pic:spPr bwMode="auto">
                    <a:xfrm>
                      <a:off x="0" y="0"/>
                      <a:ext cx="2564130" cy="626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0A19">
        <w:rPr>
          <w:rFonts w:ascii="Calibri Light" w:hAnsi="Calibri Light"/>
          <w:noProof/>
          <w:lang w:val="es-PE"/>
        </w:rPr>
        <w:drawing>
          <wp:anchor distT="0" distB="0" distL="114300" distR="114300" simplePos="0" relativeHeight="251659264" behindDoc="1" locked="0" layoutInCell="1" allowOverlap="1" wp14:anchorId="0CCB3AEF" wp14:editId="6BA091CD">
            <wp:simplePos x="0" y="0"/>
            <wp:positionH relativeFrom="column">
              <wp:posOffset>-407474</wp:posOffset>
            </wp:positionH>
            <wp:positionV relativeFrom="paragraph">
              <wp:posOffset>-200514</wp:posOffset>
            </wp:positionV>
            <wp:extent cx="1735455" cy="727710"/>
            <wp:effectExtent l="0" t="0" r="0" b="0"/>
            <wp:wrapTight wrapText="bothSides">
              <wp:wrapPolygon edited="0">
                <wp:start x="316" y="754"/>
                <wp:lineTo x="316" y="18094"/>
                <wp:lineTo x="632" y="19602"/>
                <wp:lineTo x="1739" y="20356"/>
                <wp:lineTo x="13436" y="20356"/>
                <wp:lineTo x="21181" y="19602"/>
                <wp:lineTo x="21339" y="14325"/>
                <wp:lineTo x="20075" y="13571"/>
                <wp:lineTo x="21181" y="10178"/>
                <wp:lineTo x="21181" y="7539"/>
                <wp:lineTo x="18652" y="3393"/>
                <wp:lineTo x="17546" y="754"/>
                <wp:lineTo x="316" y="754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11"/>
                    <a:srcRect l="11357" t="20875" r="13129" b="18785"/>
                    <a:stretch/>
                  </pic:blipFill>
                  <pic:spPr bwMode="auto">
                    <a:xfrm>
                      <a:off x="0" y="0"/>
                      <a:ext cx="1735455" cy="727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78F841" w14:textId="77777777" w:rsidR="00455403" w:rsidRPr="00411A74" w:rsidRDefault="00455403" w:rsidP="00455403">
      <w:pPr>
        <w:pStyle w:val="Header"/>
        <w:jc w:val="center"/>
        <w:rPr>
          <w:rFonts w:ascii="Calibri Light" w:hAnsi="Calibri Light"/>
          <w:lang w:val="es-PE"/>
        </w:rPr>
      </w:pPr>
      <w:r w:rsidRPr="00411A74">
        <w:rPr>
          <w:rFonts w:ascii="Calibri Light" w:hAnsi="Calibri Light"/>
          <w:lang w:val="es-PE"/>
        </w:rPr>
        <w:t>Difundiendo los estándares para la protección de los DDHH de la CIDH</w:t>
      </w:r>
    </w:p>
    <w:p w14:paraId="73D88318" w14:textId="77777777" w:rsidR="00455403" w:rsidRDefault="00455403" w:rsidP="00455403">
      <w:pPr>
        <w:spacing w:after="0" w:line="240" w:lineRule="auto"/>
        <w:jc w:val="center"/>
        <w:outlineLvl w:val="0"/>
        <w:rPr>
          <w:rFonts w:ascii="Calibri Light" w:hAnsi="Calibri Light"/>
          <w:b/>
          <w:i/>
          <w:lang w:val="es-PE"/>
        </w:rPr>
      </w:pPr>
      <w:r>
        <w:rPr>
          <w:rFonts w:ascii="Calibri Light" w:hAnsi="Calibri Light"/>
          <w:b/>
          <w:i/>
          <w:lang w:val="es-PE"/>
        </w:rPr>
        <w:t>Ficha de R</w:t>
      </w:r>
      <w:r w:rsidRPr="00411A74">
        <w:rPr>
          <w:rFonts w:ascii="Calibri Light" w:hAnsi="Calibri Light"/>
          <w:b/>
          <w:i/>
          <w:lang w:val="es-PE"/>
        </w:rPr>
        <w:t xml:space="preserve">esumen </w:t>
      </w:r>
    </w:p>
    <w:p w14:paraId="62FB1876" w14:textId="77777777" w:rsidR="000636DA" w:rsidRPr="000636DA" w:rsidRDefault="000636DA" w:rsidP="000636DA">
      <w:pPr>
        <w:spacing w:after="0" w:line="240" w:lineRule="auto"/>
        <w:jc w:val="center"/>
        <w:outlineLvl w:val="0"/>
        <w:rPr>
          <w:rFonts w:ascii="Calibri Light" w:hAnsi="Calibri Light"/>
          <w:b/>
          <w:i/>
          <w:lang w:val="es-PE"/>
        </w:rPr>
      </w:pPr>
    </w:p>
    <w:tbl>
      <w:tblPr>
        <w:tblStyle w:val="Tabladelista2-nfasis11"/>
        <w:tblW w:w="0" w:type="auto"/>
        <w:tblLook w:val="04A0" w:firstRow="1" w:lastRow="0" w:firstColumn="1" w:lastColumn="0" w:noHBand="0" w:noVBand="1"/>
      </w:tblPr>
      <w:tblGrid>
        <w:gridCol w:w="3676"/>
        <w:gridCol w:w="2524"/>
        <w:gridCol w:w="47"/>
        <w:gridCol w:w="2474"/>
      </w:tblGrid>
      <w:tr w:rsidR="005173CF" w:rsidRPr="000636DA" w14:paraId="01A2F61A" w14:textId="77777777" w:rsidTr="000636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4"/>
          </w:tcPr>
          <w:p w14:paraId="07609204" w14:textId="77777777" w:rsidR="00AC6F31" w:rsidRPr="000636DA" w:rsidRDefault="00AC6F31" w:rsidP="00AC6F31">
            <w:pPr>
              <w:pStyle w:val="ListParagraph"/>
              <w:rPr>
                <w:rFonts w:ascii="Calibri Light" w:hAnsi="Calibri Light"/>
              </w:rPr>
            </w:pPr>
          </w:p>
          <w:p w14:paraId="160CE2AC" w14:textId="77777777" w:rsidR="00212F62" w:rsidRPr="000636DA" w:rsidRDefault="007A6C56" w:rsidP="00AC6F3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 Light" w:hAnsi="Calibri Light"/>
              </w:rPr>
            </w:pPr>
            <w:r w:rsidRPr="000636DA">
              <w:rPr>
                <w:rFonts w:ascii="Calibri Light" w:hAnsi="Calibri Light"/>
              </w:rPr>
              <w:t>Datos generales</w:t>
            </w:r>
          </w:p>
          <w:p w14:paraId="6C5B323B" w14:textId="6BA3A748" w:rsidR="00AC6F31" w:rsidRPr="000636DA" w:rsidRDefault="00AC6F31" w:rsidP="00AC6F31">
            <w:pPr>
              <w:pStyle w:val="ListParagraph"/>
              <w:rPr>
                <w:rFonts w:ascii="Calibri Light" w:hAnsi="Calibri Light"/>
              </w:rPr>
            </w:pPr>
          </w:p>
        </w:tc>
      </w:tr>
      <w:tr w:rsidR="004533E5" w:rsidRPr="000636DA" w14:paraId="275AD1EA" w14:textId="77777777" w:rsidTr="00063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63C7EFE0" w14:textId="77777777" w:rsidR="005173CF" w:rsidRPr="000636DA" w:rsidRDefault="007A6C56" w:rsidP="00A6523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 w:rsidRPr="000636DA">
              <w:rPr>
                <w:rFonts w:ascii="Calibri Light" w:hAnsi="Calibri Light"/>
              </w:rPr>
              <w:t>Nombre del caso</w:t>
            </w:r>
          </w:p>
        </w:tc>
        <w:tc>
          <w:tcPr>
            <w:tcW w:w="5045" w:type="dxa"/>
            <w:gridSpan w:val="3"/>
          </w:tcPr>
          <w:p w14:paraId="084A5991" w14:textId="676D20DA" w:rsidR="00C7023F" w:rsidRPr="000636DA" w:rsidRDefault="00E90214" w:rsidP="00DF02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0636DA">
              <w:rPr>
                <w:rFonts w:ascii="Calibri Light" w:hAnsi="Calibri Light"/>
              </w:rPr>
              <w:t>Azul Rojas Marín y otra, Perú</w:t>
            </w:r>
          </w:p>
        </w:tc>
      </w:tr>
      <w:tr w:rsidR="00F464EC" w:rsidRPr="000636DA" w14:paraId="59A6A8A1" w14:textId="77777777" w:rsidTr="000636DA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7FA9FC90" w14:textId="45EF0668" w:rsidR="00F464EC" w:rsidRPr="000636DA" w:rsidRDefault="00C7023F" w:rsidP="00A6523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 w:rsidRPr="000636DA">
              <w:rPr>
                <w:rFonts w:ascii="Calibri Light" w:hAnsi="Calibri Light"/>
              </w:rPr>
              <w:t>Parte peticionaria</w:t>
            </w:r>
          </w:p>
        </w:tc>
        <w:tc>
          <w:tcPr>
            <w:tcW w:w="5045" w:type="dxa"/>
            <w:gridSpan w:val="3"/>
          </w:tcPr>
          <w:p w14:paraId="08A03E51" w14:textId="77777777" w:rsidR="00C7023F" w:rsidRPr="000636DA" w:rsidRDefault="000D2BF8" w:rsidP="00DF02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0636DA">
              <w:rPr>
                <w:rFonts w:ascii="Calibri Light" w:hAnsi="Calibri Light"/>
              </w:rPr>
              <w:t>Coordinadora Nacional de Derechos Humanos</w:t>
            </w:r>
          </w:p>
          <w:p w14:paraId="2C418DE7" w14:textId="77777777" w:rsidR="000D2BF8" w:rsidRPr="000636DA" w:rsidRDefault="000D2BF8" w:rsidP="00DF02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0636DA">
              <w:rPr>
                <w:rFonts w:ascii="Calibri Light" w:hAnsi="Calibri Light"/>
              </w:rPr>
              <w:t>Centro de Promoción y Defensa de los Derechos Sexuales y Reproductivos (PROMSEX)</w:t>
            </w:r>
          </w:p>
          <w:p w14:paraId="374B2A68" w14:textId="5C91EBF1" w:rsidR="000D2BF8" w:rsidRPr="000636DA" w:rsidRDefault="000D2BF8" w:rsidP="00DF02A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0636DA">
              <w:rPr>
                <w:rFonts w:ascii="Calibri Light" w:hAnsi="Calibri Light"/>
              </w:rPr>
              <w:t>Redress Trust</w:t>
            </w:r>
          </w:p>
        </w:tc>
      </w:tr>
      <w:tr w:rsidR="005173CF" w:rsidRPr="000636DA" w14:paraId="3A483B4F" w14:textId="77777777" w:rsidTr="00063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6233C75C" w14:textId="69EDA2F8" w:rsidR="005173CF" w:rsidRPr="000636DA" w:rsidRDefault="007A6C56" w:rsidP="00A6523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 w:rsidRPr="000636DA">
              <w:rPr>
                <w:rFonts w:ascii="Calibri Light" w:hAnsi="Calibri Light"/>
              </w:rPr>
              <w:t xml:space="preserve">Número de Informe </w:t>
            </w:r>
          </w:p>
        </w:tc>
        <w:tc>
          <w:tcPr>
            <w:tcW w:w="5045" w:type="dxa"/>
            <w:gridSpan w:val="3"/>
          </w:tcPr>
          <w:p w14:paraId="77740DF4" w14:textId="448F5CA1" w:rsidR="005173CF" w:rsidRPr="000636DA" w:rsidRDefault="00712BB7" w:rsidP="00B07E7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hyperlink r:id="rId12" w:history="1">
              <w:r w:rsidR="00E90214" w:rsidRPr="000636DA">
                <w:rPr>
                  <w:rStyle w:val="Hyperlink"/>
                  <w:rFonts w:ascii="Calibri Light" w:hAnsi="Calibri Light"/>
                </w:rPr>
                <w:t>Informe No. 24/18</w:t>
              </w:r>
            </w:hyperlink>
          </w:p>
        </w:tc>
      </w:tr>
      <w:tr w:rsidR="007F0D54" w:rsidRPr="000636DA" w14:paraId="5EC10F5F" w14:textId="77777777" w:rsidTr="000636DA">
        <w:trPr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00180E4F" w14:textId="77777777" w:rsidR="007F0D54" w:rsidRPr="000636DA" w:rsidRDefault="007F0D54" w:rsidP="00954E20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 w:rsidRPr="000636DA">
              <w:rPr>
                <w:rFonts w:ascii="Calibri Light" w:hAnsi="Calibri Light"/>
              </w:rPr>
              <w:t xml:space="preserve">Tipo de informe </w:t>
            </w:r>
          </w:p>
        </w:tc>
        <w:tc>
          <w:tcPr>
            <w:tcW w:w="5045" w:type="dxa"/>
            <w:gridSpan w:val="3"/>
          </w:tcPr>
          <w:p w14:paraId="35E9A08D" w14:textId="663E26EA" w:rsidR="007F0D54" w:rsidRPr="000636DA" w:rsidRDefault="00E90214" w:rsidP="00954E2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0636DA">
              <w:rPr>
                <w:rFonts w:ascii="Calibri Light" w:hAnsi="Calibri Light"/>
              </w:rPr>
              <w:t>Informe de Fondo (Caso en la Corte IDH)</w:t>
            </w:r>
          </w:p>
        </w:tc>
      </w:tr>
      <w:tr w:rsidR="007F0D54" w:rsidRPr="000636DA" w14:paraId="7ED5AB61" w14:textId="77777777" w:rsidTr="001239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2F77A84C" w14:textId="77777777" w:rsidR="007F0D54" w:rsidRPr="000636DA" w:rsidRDefault="007F0D54" w:rsidP="00A6523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 w:rsidRPr="000636DA">
              <w:rPr>
                <w:rFonts w:ascii="Calibri Light" w:hAnsi="Calibri Light"/>
              </w:rPr>
              <w:t xml:space="preserve">Fecha </w:t>
            </w:r>
          </w:p>
        </w:tc>
        <w:tc>
          <w:tcPr>
            <w:tcW w:w="5045" w:type="dxa"/>
            <w:gridSpan w:val="3"/>
          </w:tcPr>
          <w:p w14:paraId="1C803DF5" w14:textId="4AE164AE" w:rsidR="007F0D54" w:rsidRPr="000636DA" w:rsidRDefault="00E90214" w:rsidP="00BB61C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0636DA">
              <w:rPr>
                <w:rFonts w:ascii="Calibri Light" w:hAnsi="Calibri Light"/>
              </w:rPr>
              <w:t>24 de febrero de 2018</w:t>
            </w:r>
          </w:p>
        </w:tc>
      </w:tr>
      <w:tr w:rsidR="007F0D54" w:rsidRPr="000636DA" w14:paraId="1A0D058F" w14:textId="77777777" w:rsidTr="00B775EA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</w:tcPr>
          <w:p w14:paraId="661C9E19" w14:textId="1119002C" w:rsidR="007F0D54" w:rsidRPr="000636DA" w:rsidRDefault="007F0D54" w:rsidP="00A6523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 w:rsidRPr="000636DA">
              <w:rPr>
                <w:rFonts w:ascii="Calibri Light" w:hAnsi="Calibri Light"/>
              </w:rPr>
              <w:t>Decisiones de la CIDH y/o la Corte IDH, relacionadas</w:t>
            </w:r>
          </w:p>
        </w:tc>
        <w:tc>
          <w:tcPr>
            <w:tcW w:w="5045" w:type="dxa"/>
            <w:gridSpan w:val="3"/>
            <w:vAlign w:val="center"/>
          </w:tcPr>
          <w:p w14:paraId="11E25835" w14:textId="77777777" w:rsidR="007F0D54" w:rsidRDefault="000D2BF8" w:rsidP="000636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0636DA">
              <w:rPr>
                <w:rFonts w:ascii="Calibri Light" w:hAnsi="Calibri Light"/>
              </w:rPr>
              <w:t xml:space="preserve">Informe </w:t>
            </w:r>
            <w:r w:rsidR="00A00B8E" w:rsidRPr="000636DA">
              <w:rPr>
                <w:rFonts w:ascii="Calibri Light" w:hAnsi="Calibri Light"/>
              </w:rPr>
              <w:t>No. 99/14</w:t>
            </w:r>
            <w:r w:rsidR="000636DA">
              <w:rPr>
                <w:rFonts w:ascii="Calibri Light" w:hAnsi="Calibri Light"/>
              </w:rPr>
              <w:t xml:space="preserve"> (</w:t>
            </w:r>
            <w:hyperlink r:id="rId13" w:history="1">
              <w:r w:rsidR="000636DA" w:rsidRPr="000636DA">
                <w:rPr>
                  <w:rStyle w:val="Hyperlink"/>
                  <w:rFonts w:ascii="Calibri Light" w:hAnsi="Calibri Light"/>
                </w:rPr>
                <w:t>Admisibilidad</w:t>
              </w:r>
            </w:hyperlink>
            <w:r w:rsidR="000636DA">
              <w:rPr>
                <w:rFonts w:ascii="Calibri Light" w:hAnsi="Calibri Light"/>
              </w:rPr>
              <w:t>)</w:t>
            </w:r>
          </w:p>
          <w:p w14:paraId="72EA1AA4" w14:textId="71518390" w:rsidR="00455403" w:rsidRPr="000636DA" w:rsidRDefault="00455403" w:rsidP="000636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Caso Rojas Marín y otra vs. Perú (</w:t>
            </w:r>
            <w:hyperlink r:id="rId14" w:history="1">
              <w:r w:rsidRPr="00455403">
                <w:rPr>
                  <w:rStyle w:val="Hyperlink"/>
                  <w:rFonts w:ascii="Calibri Light" w:hAnsi="Calibri Light"/>
                </w:rPr>
                <w:t>Sentencia de 12 de marzo de 2020</w:t>
              </w:r>
            </w:hyperlink>
            <w:r>
              <w:rPr>
                <w:rFonts w:ascii="Calibri Light" w:hAnsi="Calibri Light"/>
              </w:rPr>
              <w:t>)</w:t>
            </w:r>
          </w:p>
        </w:tc>
      </w:tr>
      <w:tr w:rsidR="007F0D54" w:rsidRPr="000636DA" w14:paraId="570485B4" w14:textId="77777777" w:rsidTr="00063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vMerge w:val="restart"/>
          </w:tcPr>
          <w:p w14:paraId="3FCF8D6E" w14:textId="568477D0" w:rsidR="007F0D54" w:rsidRPr="000636DA" w:rsidRDefault="007F0D54" w:rsidP="00A6523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  <w:r w:rsidRPr="000636DA">
              <w:rPr>
                <w:rFonts w:ascii="Calibri Light" w:hAnsi="Calibri Light"/>
              </w:rPr>
              <w:t>Artículos analizados</w:t>
            </w:r>
          </w:p>
        </w:tc>
        <w:tc>
          <w:tcPr>
            <w:tcW w:w="5045" w:type="dxa"/>
            <w:gridSpan w:val="3"/>
          </w:tcPr>
          <w:p w14:paraId="18718B95" w14:textId="3A554E77" w:rsidR="007F0D54" w:rsidRPr="000636DA" w:rsidRDefault="000355B3" w:rsidP="00AC6F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0636DA">
              <w:rPr>
                <w:rFonts w:ascii="Calibri Light" w:hAnsi="Calibri Light"/>
              </w:rPr>
              <w:t>Convención Americana sobre Derechos Humanos</w:t>
            </w:r>
          </w:p>
        </w:tc>
      </w:tr>
      <w:tr w:rsidR="00486028" w:rsidRPr="000636DA" w14:paraId="5172B2A3" w14:textId="77777777" w:rsidTr="000636DA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vMerge/>
          </w:tcPr>
          <w:p w14:paraId="41FA0205" w14:textId="77777777" w:rsidR="00486028" w:rsidRPr="000636DA" w:rsidRDefault="00486028" w:rsidP="00A6523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</w:p>
        </w:tc>
        <w:tc>
          <w:tcPr>
            <w:tcW w:w="2524" w:type="dxa"/>
          </w:tcPr>
          <w:p w14:paraId="4B3143F5" w14:textId="01767E4B" w:rsidR="00486028" w:rsidRPr="000636DA" w:rsidRDefault="00486028" w:rsidP="00AC6F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0636DA">
              <w:rPr>
                <w:rFonts w:ascii="Calibri Light" w:hAnsi="Calibri Light"/>
              </w:rPr>
              <w:t>Artículos analizados declarados violados</w:t>
            </w:r>
          </w:p>
        </w:tc>
        <w:tc>
          <w:tcPr>
            <w:tcW w:w="2521" w:type="dxa"/>
            <w:gridSpan w:val="2"/>
          </w:tcPr>
          <w:p w14:paraId="2F2C4C2A" w14:textId="39D7AF3B" w:rsidR="00486028" w:rsidRPr="000636DA" w:rsidRDefault="00486028" w:rsidP="00AC6F3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0636DA">
              <w:rPr>
                <w:rFonts w:ascii="Calibri Light" w:hAnsi="Calibri Light"/>
              </w:rPr>
              <w:t>Artículos analizados no declarados violados</w:t>
            </w:r>
          </w:p>
        </w:tc>
      </w:tr>
      <w:tr w:rsidR="000636DA" w:rsidRPr="000636DA" w14:paraId="16318432" w14:textId="7E961B58" w:rsidTr="00063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vMerge/>
          </w:tcPr>
          <w:p w14:paraId="04E24676" w14:textId="77777777" w:rsidR="000636DA" w:rsidRPr="000636DA" w:rsidRDefault="000636DA" w:rsidP="00A6523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</w:rPr>
            </w:pPr>
          </w:p>
        </w:tc>
        <w:tc>
          <w:tcPr>
            <w:tcW w:w="2524" w:type="dxa"/>
          </w:tcPr>
          <w:p w14:paraId="77B5D822" w14:textId="420DDAC1" w:rsidR="000636DA" w:rsidRPr="000636DA" w:rsidRDefault="000636DA" w:rsidP="000355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lang w:val="en-US"/>
              </w:rPr>
            </w:pPr>
            <w:r w:rsidRPr="000636DA">
              <w:rPr>
                <w:rFonts w:ascii="Calibri Light" w:hAnsi="Calibri Light"/>
                <w:lang w:val="en-US"/>
              </w:rPr>
              <w:t>Art. 5, art, 7, art. 8, art. 11</w:t>
            </w:r>
            <w:r>
              <w:rPr>
                <w:rFonts w:ascii="Calibri Light" w:hAnsi="Calibri Light"/>
                <w:lang w:val="en-US"/>
              </w:rPr>
              <w:t xml:space="preserve">, </w:t>
            </w:r>
            <w:r w:rsidRPr="000636DA">
              <w:rPr>
                <w:rFonts w:ascii="Calibri Light" w:hAnsi="Calibri Light"/>
                <w:lang w:val="en-US"/>
              </w:rPr>
              <w:t>art. 24, art. 25</w:t>
            </w:r>
          </w:p>
        </w:tc>
        <w:tc>
          <w:tcPr>
            <w:tcW w:w="2521" w:type="dxa"/>
            <w:gridSpan w:val="2"/>
            <w:vAlign w:val="center"/>
          </w:tcPr>
          <w:p w14:paraId="5FA3EC70" w14:textId="0BB51D0B" w:rsidR="000636DA" w:rsidRPr="000636DA" w:rsidRDefault="000636DA" w:rsidP="00063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>-</w:t>
            </w:r>
          </w:p>
        </w:tc>
      </w:tr>
      <w:tr w:rsidR="000355B3" w:rsidRPr="000636DA" w14:paraId="1C81DF9C" w14:textId="77777777" w:rsidTr="000636DA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vMerge/>
          </w:tcPr>
          <w:p w14:paraId="6C1085C8" w14:textId="77777777" w:rsidR="000355B3" w:rsidRPr="000636DA" w:rsidRDefault="000355B3" w:rsidP="00A6523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  <w:lang w:val="en-US"/>
              </w:rPr>
            </w:pPr>
          </w:p>
        </w:tc>
        <w:tc>
          <w:tcPr>
            <w:tcW w:w="5045" w:type="dxa"/>
            <w:gridSpan w:val="3"/>
          </w:tcPr>
          <w:p w14:paraId="50E92D76" w14:textId="71C35C67" w:rsidR="000355B3" w:rsidRPr="000636DA" w:rsidRDefault="000355B3" w:rsidP="000355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lang w:val="es-PE"/>
              </w:rPr>
            </w:pPr>
            <w:r w:rsidRPr="000636DA">
              <w:rPr>
                <w:rFonts w:ascii="Calibri Light" w:hAnsi="Calibri Light"/>
                <w:lang w:val="es-PE"/>
              </w:rPr>
              <w:t>Convención Interamericana para Prevenir y Sancionar la Tortura</w:t>
            </w:r>
          </w:p>
        </w:tc>
      </w:tr>
      <w:tr w:rsidR="000636DA" w:rsidRPr="000636DA" w14:paraId="6B5911F4" w14:textId="3FCEC465" w:rsidTr="00063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vMerge/>
          </w:tcPr>
          <w:p w14:paraId="383BE6B7" w14:textId="77777777" w:rsidR="000636DA" w:rsidRPr="000636DA" w:rsidRDefault="000636DA" w:rsidP="00A65231">
            <w:pPr>
              <w:pStyle w:val="ListParagraph"/>
              <w:numPr>
                <w:ilvl w:val="0"/>
                <w:numId w:val="3"/>
              </w:numPr>
              <w:rPr>
                <w:rFonts w:ascii="Calibri Light" w:hAnsi="Calibri Light"/>
                <w:lang w:val="es-PE"/>
              </w:rPr>
            </w:pPr>
          </w:p>
        </w:tc>
        <w:tc>
          <w:tcPr>
            <w:tcW w:w="2571" w:type="dxa"/>
            <w:gridSpan w:val="2"/>
          </w:tcPr>
          <w:p w14:paraId="6D0EC99A" w14:textId="5E1FB60F" w:rsidR="000636DA" w:rsidRPr="000636DA" w:rsidRDefault="000636DA" w:rsidP="00AC6F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lang w:val="es-PE"/>
              </w:rPr>
            </w:pPr>
            <w:r w:rsidRPr="000636DA">
              <w:rPr>
                <w:rFonts w:ascii="Calibri Light" w:hAnsi="Calibri Light"/>
                <w:lang w:val="es-PE"/>
              </w:rPr>
              <w:t xml:space="preserve"> Art. 1, art. 6, art. 8</w:t>
            </w:r>
          </w:p>
        </w:tc>
        <w:tc>
          <w:tcPr>
            <w:tcW w:w="2474" w:type="dxa"/>
          </w:tcPr>
          <w:p w14:paraId="7A511D7F" w14:textId="3E27E685" w:rsidR="000636DA" w:rsidRPr="000636DA" w:rsidRDefault="000636DA" w:rsidP="00063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lang w:val="es-PE"/>
              </w:rPr>
            </w:pPr>
            <w:r>
              <w:rPr>
                <w:rFonts w:ascii="Calibri Light" w:hAnsi="Calibri Light"/>
                <w:lang w:val="es-PE"/>
              </w:rPr>
              <w:t>-</w:t>
            </w:r>
          </w:p>
        </w:tc>
      </w:tr>
      <w:tr w:rsidR="00486028" w:rsidRPr="000636DA" w14:paraId="54B7813B" w14:textId="77777777" w:rsidTr="000636DA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4"/>
          </w:tcPr>
          <w:p w14:paraId="6D4895DD" w14:textId="14839C82" w:rsidR="00486028" w:rsidRPr="000636DA" w:rsidRDefault="00486028" w:rsidP="00AC6F31">
            <w:pPr>
              <w:pStyle w:val="ListParagraph"/>
              <w:rPr>
                <w:rFonts w:ascii="Calibri Light" w:hAnsi="Calibri Light"/>
                <w:lang w:val="es-PE"/>
              </w:rPr>
            </w:pPr>
          </w:p>
          <w:p w14:paraId="1ECE5967" w14:textId="77777777" w:rsidR="00486028" w:rsidRPr="000636DA" w:rsidRDefault="00486028" w:rsidP="002967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 Light" w:hAnsi="Calibri Light"/>
              </w:rPr>
            </w:pPr>
            <w:r w:rsidRPr="000636DA">
              <w:rPr>
                <w:rFonts w:ascii="Calibri Light" w:hAnsi="Calibri Light"/>
              </w:rPr>
              <w:t>Sumilla</w:t>
            </w:r>
          </w:p>
          <w:p w14:paraId="009AFBB8" w14:textId="77777777" w:rsidR="00486028" w:rsidRPr="000636DA" w:rsidRDefault="00486028" w:rsidP="00AC6F31">
            <w:pPr>
              <w:pStyle w:val="ListParagraph"/>
              <w:rPr>
                <w:rFonts w:ascii="Calibri Light" w:hAnsi="Calibri Light"/>
              </w:rPr>
            </w:pPr>
          </w:p>
        </w:tc>
      </w:tr>
      <w:tr w:rsidR="00486028" w:rsidRPr="000636DA" w14:paraId="6B670455" w14:textId="77777777" w:rsidTr="00063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4"/>
          </w:tcPr>
          <w:p w14:paraId="6FBA53DB" w14:textId="77777777" w:rsidR="000636DA" w:rsidRDefault="000636DA" w:rsidP="00C7023F">
            <w:pPr>
              <w:jc w:val="both"/>
              <w:rPr>
                <w:rFonts w:ascii="Calibri Light" w:hAnsi="Calibri Light"/>
                <w:b w:val="0"/>
              </w:rPr>
            </w:pPr>
          </w:p>
          <w:p w14:paraId="4173282D" w14:textId="0DAA6319" w:rsidR="00005885" w:rsidRDefault="00005885" w:rsidP="00005885">
            <w:pPr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 xml:space="preserve">El caso trata sobre la detención de Azul Rojas Marín, una mujer trans que para el momento de los hechos se identificaba como un hombre gay. </w:t>
            </w:r>
            <w:r w:rsidR="00DE5748">
              <w:rPr>
                <w:rFonts w:ascii="Calibri Light" w:hAnsi="Calibri Light"/>
                <w:b w:val="0"/>
              </w:rPr>
              <w:t>Durante su detención, fue insultada con frases que hacían referencia a su orientación sexual. Asimismo, fue víctima de agresiones verbales y físicas, que incluyeron violación sexual. Si bien la Fiscalía inició una investigación por estos hechos, no se incluy</w:t>
            </w:r>
            <w:r w:rsidR="004211C1">
              <w:rPr>
                <w:rFonts w:ascii="Calibri Light" w:hAnsi="Calibri Light"/>
                <w:b w:val="0"/>
              </w:rPr>
              <w:t xml:space="preserve">ó al delito de tortura. Posteriormente, dicha investigación fue archivada por </w:t>
            </w:r>
            <w:r w:rsidR="00797327">
              <w:rPr>
                <w:rFonts w:ascii="Calibri Light" w:hAnsi="Calibri Light"/>
                <w:b w:val="0"/>
              </w:rPr>
              <w:t xml:space="preserve">la presunta </w:t>
            </w:r>
            <w:r w:rsidR="004211C1">
              <w:rPr>
                <w:rFonts w:ascii="Calibri Light" w:hAnsi="Calibri Light"/>
                <w:b w:val="0"/>
              </w:rPr>
              <w:t xml:space="preserve">falta de elementos de convicción. </w:t>
            </w:r>
          </w:p>
          <w:p w14:paraId="1EE5A7E7" w14:textId="2B81F501" w:rsidR="00005885" w:rsidRPr="000636DA" w:rsidRDefault="00005885" w:rsidP="00005885">
            <w:pPr>
              <w:jc w:val="both"/>
              <w:rPr>
                <w:rFonts w:ascii="Calibri Light" w:hAnsi="Calibri Light"/>
                <w:b w:val="0"/>
              </w:rPr>
            </w:pPr>
          </w:p>
        </w:tc>
      </w:tr>
      <w:tr w:rsidR="00486028" w:rsidRPr="000636DA" w14:paraId="238A2196" w14:textId="77777777" w:rsidTr="000636DA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4"/>
          </w:tcPr>
          <w:p w14:paraId="76D9AAF2" w14:textId="77777777" w:rsidR="00486028" w:rsidRPr="000636DA" w:rsidRDefault="00486028" w:rsidP="00AC6F31">
            <w:pPr>
              <w:pStyle w:val="ListParagraph"/>
              <w:rPr>
                <w:rFonts w:ascii="Calibri Light" w:hAnsi="Calibri Light"/>
              </w:rPr>
            </w:pPr>
          </w:p>
          <w:p w14:paraId="6E7AC4B8" w14:textId="77777777" w:rsidR="00486028" w:rsidRPr="000636DA" w:rsidRDefault="00486028" w:rsidP="002967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 Light" w:hAnsi="Calibri Light"/>
              </w:rPr>
            </w:pPr>
            <w:r w:rsidRPr="000636DA">
              <w:rPr>
                <w:rFonts w:ascii="Calibri Light" w:hAnsi="Calibri Light"/>
              </w:rPr>
              <w:t>Palabras clave</w:t>
            </w:r>
          </w:p>
          <w:p w14:paraId="6A1E32A7" w14:textId="77777777" w:rsidR="00486028" w:rsidRPr="000636DA" w:rsidRDefault="00486028" w:rsidP="00AC6F31">
            <w:pPr>
              <w:pStyle w:val="ListParagraph"/>
              <w:rPr>
                <w:rFonts w:ascii="Calibri Light" w:hAnsi="Calibri Light"/>
              </w:rPr>
            </w:pPr>
          </w:p>
        </w:tc>
      </w:tr>
      <w:tr w:rsidR="00486028" w:rsidRPr="000636DA" w14:paraId="34AE2D45" w14:textId="77777777" w:rsidTr="00063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4"/>
          </w:tcPr>
          <w:p w14:paraId="6AA99D65" w14:textId="77777777" w:rsidR="00B775EA" w:rsidRDefault="00B775EA" w:rsidP="00AD2C1E">
            <w:pPr>
              <w:tabs>
                <w:tab w:val="left" w:pos="4111"/>
              </w:tabs>
              <w:jc w:val="both"/>
              <w:rPr>
                <w:rFonts w:ascii="Calibri Light" w:hAnsi="Calibri Light"/>
                <w:b w:val="0"/>
              </w:rPr>
            </w:pPr>
          </w:p>
          <w:p w14:paraId="080828C0" w14:textId="717F0D1A" w:rsidR="00486028" w:rsidRDefault="007B2515" w:rsidP="00AD2C1E">
            <w:pPr>
              <w:tabs>
                <w:tab w:val="left" w:pos="4111"/>
              </w:tabs>
              <w:jc w:val="both"/>
              <w:rPr>
                <w:rFonts w:ascii="Calibri Light" w:hAnsi="Calibri Light"/>
                <w:b w:val="0"/>
              </w:rPr>
            </w:pPr>
            <w:r w:rsidRPr="00AD2C1E">
              <w:rPr>
                <w:rFonts w:ascii="Calibri Light" w:hAnsi="Calibri Light"/>
                <w:b w:val="0"/>
              </w:rPr>
              <w:t>CIPST,</w:t>
            </w:r>
            <w:r w:rsidR="00AD2C1E" w:rsidRPr="00AD2C1E">
              <w:rPr>
                <w:rFonts w:ascii="Calibri Light" w:hAnsi="Calibri Light"/>
                <w:b w:val="0"/>
              </w:rPr>
              <w:t xml:space="preserve"> Integridad personal,</w:t>
            </w:r>
            <w:r w:rsidRPr="00AD2C1E">
              <w:rPr>
                <w:rFonts w:ascii="Calibri Light" w:hAnsi="Calibri Light"/>
                <w:b w:val="0"/>
              </w:rPr>
              <w:t xml:space="preserve"> </w:t>
            </w:r>
            <w:r w:rsidR="00B775EA" w:rsidRPr="00AD2C1E">
              <w:rPr>
                <w:rFonts w:ascii="Calibri Light" w:hAnsi="Calibri Light"/>
                <w:b w:val="0"/>
              </w:rPr>
              <w:t xml:space="preserve">LGTBIQ, </w:t>
            </w:r>
            <w:r w:rsidR="00AD2C1E" w:rsidRPr="00AD2C1E">
              <w:rPr>
                <w:rFonts w:ascii="Calibri Light" w:hAnsi="Calibri Light"/>
                <w:b w:val="0"/>
              </w:rPr>
              <w:t>Libertad personal</w:t>
            </w:r>
            <w:r w:rsidR="00AD2C1E">
              <w:rPr>
                <w:rFonts w:ascii="Calibri Light" w:hAnsi="Calibri Light"/>
                <w:b w:val="0"/>
              </w:rPr>
              <w:t xml:space="preserve">, No discriminación, </w:t>
            </w:r>
            <w:r w:rsidR="00B775EA" w:rsidRPr="00AD2C1E">
              <w:rPr>
                <w:rFonts w:ascii="Calibri Light" w:hAnsi="Calibri Light"/>
                <w:b w:val="0"/>
              </w:rPr>
              <w:t>Protección judicial y garantías judiciales</w:t>
            </w:r>
            <w:r w:rsidR="00B775EA">
              <w:rPr>
                <w:rFonts w:ascii="Calibri Light" w:hAnsi="Calibri Light"/>
                <w:b w:val="0"/>
              </w:rPr>
              <w:t xml:space="preserve">, </w:t>
            </w:r>
            <w:r w:rsidR="00AD2C1E" w:rsidRPr="00AD2C1E">
              <w:rPr>
                <w:rFonts w:ascii="Calibri Light" w:hAnsi="Calibri Light"/>
                <w:b w:val="0"/>
              </w:rPr>
              <w:t>Tortura, tratos crueles, inhumanos o degradantes, Vida privada</w:t>
            </w:r>
          </w:p>
          <w:p w14:paraId="05374712" w14:textId="451EC152" w:rsidR="00B775EA" w:rsidRPr="000636DA" w:rsidRDefault="00B775EA" w:rsidP="00AD2C1E">
            <w:pPr>
              <w:tabs>
                <w:tab w:val="left" w:pos="4111"/>
              </w:tabs>
              <w:jc w:val="both"/>
              <w:rPr>
                <w:rFonts w:ascii="Calibri Light" w:hAnsi="Calibri Light"/>
                <w:b w:val="0"/>
              </w:rPr>
            </w:pPr>
          </w:p>
        </w:tc>
      </w:tr>
      <w:tr w:rsidR="00486028" w:rsidRPr="000636DA" w14:paraId="69044E7B" w14:textId="77777777" w:rsidTr="000636DA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4"/>
          </w:tcPr>
          <w:p w14:paraId="23949460" w14:textId="77777777" w:rsidR="00486028" w:rsidRPr="000636DA" w:rsidRDefault="00486028" w:rsidP="00AC6F31">
            <w:pPr>
              <w:pStyle w:val="ListParagraph"/>
              <w:rPr>
                <w:rFonts w:ascii="Calibri Light" w:hAnsi="Calibri Light"/>
              </w:rPr>
            </w:pPr>
          </w:p>
          <w:p w14:paraId="177FF988" w14:textId="77777777" w:rsidR="00486028" w:rsidRPr="000636DA" w:rsidRDefault="00486028" w:rsidP="002967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 Light" w:hAnsi="Calibri Light"/>
              </w:rPr>
            </w:pPr>
            <w:r w:rsidRPr="000636DA">
              <w:rPr>
                <w:rFonts w:ascii="Calibri Light" w:hAnsi="Calibri Light"/>
              </w:rPr>
              <w:t>Hechos</w:t>
            </w:r>
          </w:p>
          <w:p w14:paraId="190B7E98" w14:textId="77777777" w:rsidR="00486028" w:rsidRPr="000636DA" w:rsidRDefault="00486028" w:rsidP="00AC6F31">
            <w:pPr>
              <w:pStyle w:val="ListParagraph"/>
              <w:rPr>
                <w:rFonts w:ascii="Calibri Light" w:hAnsi="Calibri Light"/>
              </w:rPr>
            </w:pPr>
          </w:p>
        </w:tc>
      </w:tr>
      <w:tr w:rsidR="00486028" w:rsidRPr="000636DA" w14:paraId="6F58DE83" w14:textId="77777777" w:rsidTr="00063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4"/>
          </w:tcPr>
          <w:p w14:paraId="1176F18A" w14:textId="77777777" w:rsidR="000636DA" w:rsidRDefault="000636DA" w:rsidP="00E5301D">
            <w:pPr>
              <w:jc w:val="both"/>
              <w:rPr>
                <w:rFonts w:ascii="Calibri Light" w:hAnsi="Calibri Light"/>
                <w:b w:val="0"/>
              </w:rPr>
            </w:pPr>
          </w:p>
          <w:p w14:paraId="6B4B70A4" w14:textId="4CA8A81B" w:rsidR="00E5301D" w:rsidRPr="000636DA" w:rsidRDefault="00B775EA" w:rsidP="00E5301D">
            <w:pPr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 xml:space="preserve">En la madrugada del 25 de febrero de 2008, </w:t>
            </w:r>
            <w:r w:rsidR="000D2BF8" w:rsidRPr="000636DA">
              <w:rPr>
                <w:rFonts w:ascii="Calibri Light" w:hAnsi="Calibri Light"/>
                <w:b w:val="0"/>
              </w:rPr>
              <w:t>Azul Rojas Marín</w:t>
            </w:r>
            <w:r>
              <w:rPr>
                <w:rFonts w:ascii="Calibri Light" w:hAnsi="Calibri Light"/>
                <w:b w:val="0"/>
              </w:rPr>
              <w:t xml:space="preserve">, </w:t>
            </w:r>
            <w:r w:rsidR="00C16544">
              <w:rPr>
                <w:rFonts w:ascii="Calibri Light" w:hAnsi="Calibri Light"/>
                <w:b w:val="0"/>
              </w:rPr>
              <w:t xml:space="preserve">una mujer trans </w:t>
            </w:r>
            <w:r w:rsidR="007B2515">
              <w:rPr>
                <w:rFonts w:ascii="Calibri Light" w:hAnsi="Calibri Light"/>
                <w:b w:val="0"/>
              </w:rPr>
              <w:t>qu</w:t>
            </w:r>
            <w:r w:rsidR="00C16544">
              <w:rPr>
                <w:rFonts w:ascii="Calibri Light" w:hAnsi="Calibri Light"/>
                <w:b w:val="0"/>
              </w:rPr>
              <w:t>e</w:t>
            </w:r>
            <w:r w:rsidR="007B2515">
              <w:rPr>
                <w:rFonts w:ascii="Calibri Light" w:hAnsi="Calibri Light"/>
                <w:b w:val="0"/>
              </w:rPr>
              <w:t xml:space="preserve"> para el momento de los hechos se identificaba como un hombre gay</w:t>
            </w:r>
            <w:r>
              <w:rPr>
                <w:rFonts w:ascii="Calibri Light" w:hAnsi="Calibri Light"/>
                <w:b w:val="0"/>
              </w:rPr>
              <w:t xml:space="preserve">, </w:t>
            </w:r>
            <w:r w:rsidR="000D2BF8" w:rsidRPr="000636DA">
              <w:rPr>
                <w:rFonts w:ascii="Calibri Light" w:hAnsi="Calibri Light"/>
                <w:b w:val="0"/>
              </w:rPr>
              <w:t xml:space="preserve">fue detenida de forma ilegal y arbitraria, </w:t>
            </w:r>
            <w:r w:rsidR="00DF409E" w:rsidRPr="000636DA">
              <w:rPr>
                <w:rFonts w:ascii="Calibri Light" w:hAnsi="Calibri Light"/>
                <w:b w:val="0"/>
              </w:rPr>
              <w:t>por personal de s</w:t>
            </w:r>
            <w:r w:rsidR="00A97C1D" w:rsidRPr="000636DA">
              <w:rPr>
                <w:rFonts w:ascii="Calibri Light" w:hAnsi="Calibri Light"/>
                <w:b w:val="0"/>
              </w:rPr>
              <w:t xml:space="preserve">erenazgo y un agente de policía. </w:t>
            </w:r>
            <w:r w:rsidR="00F551AE" w:rsidRPr="000636DA">
              <w:rPr>
                <w:rFonts w:ascii="Calibri Light" w:hAnsi="Calibri Light"/>
                <w:b w:val="0"/>
              </w:rPr>
              <w:t>Dado que</w:t>
            </w:r>
            <w:r w:rsidR="00B847B4" w:rsidRPr="000636DA">
              <w:rPr>
                <w:rFonts w:ascii="Calibri Light" w:hAnsi="Calibri Light"/>
                <w:b w:val="0"/>
              </w:rPr>
              <w:t xml:space="preserve"> no tenía </w:t>
            </w:r>
            <w:r w:rsidR="00E5301D" w:rsidRPr="000636DA">
              <w:rPr>
                <w:rFonts w:ascii="Calibri Light" w:hAnsi="Calibri Light"/>
                <w:b w:val="0"/>
              </w:rPr>
              <w:t xml:space="preserve">documentos </w:t>
            </w:r>
            <w:r w:rsidR="00B847B4" w:rsidRPr="000636DA">
              <w:rPr>
                <w:rFonts w:ascii="Calibri Light" w:hAnsi="Calibri Light"/>
                <w:b w:val="0"/>
              </w:rPr>
              <w:lastRenderedPageBreak/>
              <w:t xml:space="preserve">personales, </w:t>
            </w:r>
            <w:r w:rsidR="00F551AE" w:rsidRPr="000636DA">
              <w:rPr>
                <w:rFonts w:ascii="Calibri Light" w:hAnsi="Calibri Light"/>
                <w:b w:val="0"/>
              </w:rPr>
              <w:t xml:space="preserve">fue </w:t>
            </w:r>
            <w:r w:rsidR="00E5301D" w:rsidRPr="000636DA">
              <w:rPr>
                <w:rFonts w:ascii="Calibri Light" w:hAnsi="Calibri Light"/>
                <w:b w:val="0"/>
              </w:rPr>
              <w:t>conducida a la Comisaría de la</w:t>
            </w:r>
            <w:r w:rsidR="00B847B4" w:rsidRPr="000636DA">
              <w:rPr>
                <w:rFonts w:ascii="Calibri Light" w:hAnsi="Calibri Light"/>
                <w:b w:val="0"/>
              </w:rPr>
              <w:t xml:space="preserve"> </w:t>
            </w:r>
            <w:r w:rsidR="00531202" w:rsidRPr="000636DA">
              <w:rPr>
                <w:rFonts w:ascii="Calibri Light" w:hAnsi="Calibri Light"/>
                <w:b w:val="0"/>
              </w:rPr>
              <w:t xml:space="preserve">Policía Nacional </w:t>
            </w:r>
            <w:r w:rsidR="00B847B4" w:rsidRPr="000636DA">
              <w:rPr>
                <w:rFonts w:ascii="Calibri Light" w:hAnsi="Calibri Light"/>
                <w:b w:val="0"/>
              </w:rPr>
              <w:t>de Casa Grande</w:t>
            </w:r>
            <w:r w:rsidR="00A06977">
              <w:rPr>
                <w:rFonts w:ascii="Calibri Light" w:hAnsi="Calibri Light"/>
                <w:b w:val="0"/>
              </w:rPr>
              <w:t xml:space="preserve">, </w:t>
            </w:r>
            <w:r>
              <w:rPr>
                <w:rFonts w:ascii="Calibri Light" w:hAnsi="Calibri Light"/>
                <w:b w:val="0"/>
              </w:rPr>
              <w:t>ubicada en la Provincia de Ascope en</w:t>
            </w:r>
            <w:r w:rsidR="00A06977">
              <w:rPr>
                <w:rFonts w:ascii="Calibri Light" w:hAnsi="Calibri Light"/>
                <w:b w:val="0"/>
              </w:rPr>
              <w:t xml:space="preserve"> La Libertad</w:t>
            </w:r>
            <w:r w:rsidR="00B847B4" w:rsidRPr="000636DA">
              <w:rPr>
                <w:rFonts w:ascii="Calibri Light" w:hAnsi="Calibri Light"/>
                <w:b w:val="0"/>
              </w:rPr>
              <w:t xml:space="preserve">. </w:t>
            </w:r>
            <w:r w:rsidR="006954C5" w:rsidRPr="000636DA">
              <w:rPr>
                <w:rFonts w:ascii="Calibri Light" w:hAnsi="Calibri Light"/>
                <w:b w:val="0"/>
              </w:rPr>
              <w:t xml:space="preserve">Los agentes justificaron la detención en </w:t>
            </w:r>
            <w:r w:rsidR="000636DA">
              <w:rPr>
                <w:rFonts w:ascii="Calibri Light" w:hAnsi="Calibri Light"/>
                <w:b w:val="0"/>
              </w:rPr>
              <w:t>base a</w:t>
            </w:r>
            <w:r w:rsidR="006954C5" w:rsidRPr="000636DA">
              <w:rPr>
                <w:rFonts w:ascii="Calibri Light" w:hAnsi="Calibri Light"/>
                <w:b w:val="0"/>
              </w:rPr>
              <w:t>l artículo 205 del Código Procesal Penal</w:t>
            </w:r>
            <w:r w:rsidR="00F70710" w:rsidRPr="000636DA">
              <w:rPr>
                <w:rFonts w:ascii="Calibri Light" w:hAnsi="Calibri Light"/>
                <w:b w:val="0"/>
              </w:rPr>
              <w:t xml:space="preserve"> (en adelante, CPP)</w:t>
            </w:r>
            <w:r w:rsidR="006954C5" w:rsidRPr="000636DA">
              <w:rPr>
                <w:rFonts w:ascii="Calibri Light" w:hAnsi="Calibri Light"/>
                <w:b w:val="0"/>
              </w:rPr>
              <w:t xml:space="preserve">, </w:t>
            </w:r>
            <w:r w:rsidR="000636DA">
              <w:rPr>
                <w:rFonts w:ascii="Calibri Light" w:hAnsi="Calibri Light"/>
                <w:b w:val="0"/>
              </w:rPr>
              <w:t xml:space="preserve">el cual </w:t>
            </w:r>
            <w:r w:rsidR="006954C5" w:rsidRPr="000636DA">
              <w:rPr>
                <w:rFonts w:ascii="Calibri Light" w:hAnsi="Calibri Light"/>
                <w:b w:val="0"/>
              </w:rPr>
              <w:t xml:space="preserve">otorgaba facultades a la </w:t>
            </w:r>
            <w:r w:rsidR="000636DA">
              <w:rPr>
                <w:rFonts w:ascii="Calibri Light" w:hAnsi="Calibri Light"/>
                <w:b w:val="0"/>
              </w:rPr>
              <w:t>P</w:t>
            </w:r>
            <w:r w:rsidR="006954C5" w:rsidRPr="000636DA">
              <w:rPr>
                <w:rFonts w:ascii="Calibri Light" w:hAnsi="Calibri Light"/>
                <w:b w:val="0"/>
              </w:rPr>
              <w:t xml:space="preserve">olicía para detener y requerir documentación cuando sea necesario para evitar un hecho punible. La detención duró más de cuatro horas y </w:t>
            </w:r>
            <w:r w:rsidR="00B847B4" w:rsidRPr="000636DA">
              <w:rPr>
                <w:rFonts w:ascii="Calibri Light" w:hAnsi="Calibri Light"/>
                <w:b w:val="0"/>
              </w:rPr>
              <w:t xml:space="preserve">se omitió dejar constancia en el Libro de Registro </w:t>
            </w:r>
            <w:r w:rsidR="00F551AE" w:rsidRPr="000636DA">
              <w:rPr>
                <w:rFonts w:ascii="Calibri Light" w:hAnsi="Calibri Light"/>
                <w:b w:val="0"/>
              </w:rPr>
              <w:t xml:space="preserve">de </w:t>
            </w:r>
            <w:r w:rsidR="000636DA">
              <w:rPr>
                <w:rFonts w:ascii="Calibri Light" w:hAnsi="Calibri Light"/>
                <w:b w:val="0"/>
              </w:rPr>
              <w:t>D</w:t>
            </w:r>
            <w:r w:rsidR="00F551AE" w:rsidRPr="000636DA">
              <w:rPr>
                <w:rFonts w:ascii="Calibri Light" w:hAnsi="Calibri Light"/>
                <w:b w:val="0"/>
              </w:rPr>
              <w:t>etención.</w:t>
            </w:r>
          </w:p>
          <w:p w14:paraId="7E22A8C0" w14:textId="77777777" w:rsidR="00B847B4" w:rsidRPr="000636DA" w:rsidRDefault="00B847B4" w:rsidP="00E5301D">
            <w:pPr>
              <w:jc w:val="both"/>
              <w:rPr>
                <w:rFonts w:ascii="Calibri Light" w:hAnsi="Calibri Light"/>
              </w:rPr>
            </w:pPr>
          </w:p>
          <w:p w14:paraId="2BDCC986" w14:textId="4CEB2972" w:rsidR="00B847B4" w:rsidRPr="000636DA" w:rsidRDefault="00411635" w:rsidP="00E5301D">
            <w:pPr>
              <w:jc w:val="both"/>
              <w:rPr>
                <w:rFonts w:ascii="Calibri Light" w:hAnsi="Calibri Light"/>
                <w:b w:val="0"/>
              </w:rPr>
            </w:pPr>
            <w:r w:rsidRPr="000636DA">
              <w:rPr>
                <w:rFonts w:ascii="Calibri Light" w:hAnsi="Calibri Light"/>
                <w:b w:val="0"/>
              </w:rPr>
              <w:t>El</w:t>
            </w:r>
            <w:r w:rsidR="004502D5" w:rsidRPr="000636DA">
              <w:rPr>
                <w:rFonts w:ascii="Calibri Light" w:hAnsi="Calibri Light"/>
                <w:b w:val="0"/>
              </w:rPr>
              <w:t xml:space="preserve"> 27 de febrero de 2008</w:t>
            </w:r>
            <w:r w:rsidR="00B775EA">
              <w:rPr>
                <w:rFonts w:ascii="Calibri Light" w:hAnsi="Calibri Light"/>
                <w:b w:val="0"/>
              </w:rPr>
              <w:t>,</w:t>
            </w:r>
            <w:r w:rsidRPr="000636DA">
              <w:rPr>
                <w:rFonts w:ascii="Calibri Light" w:hAnsi="Calibri Light"/>
                <w:b w:val="0"/>
              </w:rPr>
              <w:t xml:space="preserve"> Azul Rojas realizó su primera </w:t>
            </w:r>
            <w:r w:rsidR="00E236FF">
              <w:rPr>
                <w:rFonts w:ascii="Calibri Light" w:hAnsi="Calibri Light"/>
                <w:b w:val="0"/>
              </w:rPr>
              <w:t xml:space="preserve">denuncia y </w:t>
            </w:r>
            <w:r w:rsidRPr="000636DA">
              <w:rPr>
                <w:rFonts w:ascii="Calibri Light" w:hAnsi="Calibri Light"/>
                <w:b w:val="0"/>
              </w:rPr>
              <w:t>declaración indicando</w:t>
            </w:r>
            <w:r w:rsidR="004502D5" w:rsidRPr="000636DA">
              <w:rPr>
                <w:rFonts w:ascii="Calibri Light" w:hAnsi="Calibri Light"/>
                <w:b w:val="0"/>
              </w:rPr>
              <w:t xml:space="preserve"> que mientras caminaba por la vía pública, de un vehículo </w:t>
            </w:r>
            <w:r w:rsidR="00123965">
              <w:rPr>
                <w:rFonts w:ascii="Calibri Light" w:hAnsi="Calibri Light"/>
                <w:b w:val="0"/>
              </w:rPr>
              <w:t>bajó</w:t>
            </w:r>
            <w:r w:rsidRPr="000636DA">
              <w:rPr>
                <w:rFonts w:ascii="Calibri Light" w:hAnsi="Calibri Light"/>
                <w:b w:val="0"/>
              </w:rPr>
              <w:t xml:space="preserve"> un agente policial y le preguntó a donde se dirigía, indicándole que iba a su casa. </w:t>
            </w:r>
            <w:r w:rsidR="00123965">
              <w:rPr>
                <w:rFonts w:ascii="Calibri Light" w:hAnsi="Calibri Light"/>
                <w:b w:val="0"/>
              </w:rPr>
              <w:t>Metros más adelante, bajó</w:t>
            </w:r>
            <w:r w:rsidR="004502D5" w:rsidRPr="000636DA">
              <w:rPr>
                <w:rFonts w:ascii="Calibri Light" w:hAnsi="Calibri Light"/>
                <w:b w:val="0"/>
              </w:rPr>
              <w:t xml:space="preserve"> otro agente policial y le gritó tres veces: “sube cabro concha de tu madre”, luego empezó a golpearle en el estómago </w:t>
            </w:r>
            <w:r w:rsidR="00123965" w:rsidRPr="000636DA">
              <w:rPr>
                <w:rFonts w:ascii="Calibri Light" w:hAnsi="Calibri Light"/>
                <w:b w:val="0"/>
              </w:rPr>
              <w:t xml:space="preserve">con su vara de ley </w:t>
            </w:r>
            <w:r w:rsidR="004502D5" w:rsidRPr="000636DA">
              <w:rPr>
                <w:rFonts w:ascii="Calibri Light" w:hAnsi="Calibri Light"/>
                <w:b w:val="0"/>
              </w:rPr>
              <w:t xml:space="preserve">para </w:t>
            </w:r>
            <w:r w:rsidR="00F72FED" w:rsidRPr="000636DA">
              <w:rPr>
                <w:rFonts w:ascii="Calibri Light" w:hAnsi="Calibri Light"/>
                <w:b w:val="0"/>
              </w:rPr>
              <w:t>que suba</w:t>
            </w:r>
            <w:r w:rsidR="00123965">
              <w:rPr>
                <w:rFonts w:ascii="Calibri Light" w:hAnsi="Calibri Light"/>
                <w:b w:val="0"/>
              </w:rPr>
              <w:t xml:space="preserve"> a la camioneta. También bajó</w:t>
            </w:r>
            <w:r w:rsidR="004502D5" w:rsidRPr="000636DA">
              <w:rPr>
                <w:rFonts w:ascii="Calibri Light" w:hAnsi="Calibri Light"/>
                <w:b w:val="0"/>
              </w:rPr>
              <w:t xml:space="preserve"> un efectivo de serenazgo, quien le agarró de las</w:t>
            </w:r>
            <w:r w:rsidR="00531202" w:rsidRPr="000636DA">
              <w:rPr>
                <w:rFonts w:ascii="Calibri Light" w:hAnsi="Calibri Light"/>
                <w:b w:val="0"/>
              </w:rPr>
              <w:t xml:space="preserve"> piernas, </w:t>
            </w:r>
            <w:r w:rsidR="004502D5" w:rsidRPr="000636DA">
              <w:rPr>
                <w:rFonts w:ascii="Calibri Light" w:hAnsi="Calibri Light"/>
                <w:b w:val="0"/>
              </w:rPr>
              <w:t>y empeza</w:t>
            </w:r>
            <w:r w:rsidR="00531202" w:rsidRPr="000636DA">
              <w:rPr>
                <w:rFonts w:ascii="Calibri Light" w:hAnsi="Calibri Light"/>
                <w:b w:val="0"/>
              </w:rPr>
              <w:t>ron</w:t>
            </w:r>
            <w:r w:rsidR="004502D5" w:rsidRPr="000636DA">
              <w:rPr>
                <w:rFonts w:ascii="Calibri Light" w:hAnsi="Calibri Light"/>
                <w:b w:val="0"/>
              </w:rPr>
              <w:t xml:space="preserve"> a forcejear</w:t>
            </w:r>
            <w:r w:rsidR="00531202" w:rsidRPr="000636DA">
              <w:rPr>
                <w:rFonts w:ascii="Calibri Light" w:hAnsi="Calibri Light"/>
                <w:b w:val="0"/>
              </w:rPr>
              <w:t>.</w:t>
            </w:r>
            <w:r w:rsidR="00F551AE" w:rsidRPr="000636DA">
              <w:rPr>
                <w:rFonts w:ascii="Calibri Light" w:hAnsi="Calibri Light"/>
                <w:b w:val="0"/>
              </w:rPr>
              <w:t xml:space="preserve"> </w:t>
            </w:r>
            <w:r w:rsidR="00531202" w:rsidRPr="000636DA">
              <w:rPr>
                <w:rFonts w:ascii="Calibri Light" w:hAnsi="Calibri Light"/>
                <w:b w:val="0"/>
              </w:rPr>
              <w:t xml:space="preserve">Al llegar a la Comisaría de Casa Grande, la hicieron entrar </w:t>
            </w:r>
            <w:r w:rsidRPr="000636DA">
              <w:rPr>
                <w:rFonts w:ascii="Calibri Light" w:hAnsi="Calibri Light"/>
                <w:b w:val="0"/>
              </w:rPr>
              <w:t xml:space="preserve">a una habitación, </w:t>
            </w:r>
            <w:r w:rsidR="00531202" w:rsidRPr="000636DA">
              <w:rPr>
                <w:rFonts w:ascii="Calibri Light" w:hAnsi="Calibri Light"/>
                <w:b w:val="0"/>
              </w:rPr>
              <w:t>luego entraron tres policías</w:t>
            </w:r>
            <w:r w:rsidR="00F72FED" w:rsidRPr="000636DA">
              <w:rPr>
                <w:rFonts w:ascii="Calibri Light" w:hAnsi="Calibri Light"/>
                <w:b w:val="0"/>
              </w:rPr>
              <w:t xml:space="preserve"> y </w:t>
            </w:r>
            <w:r w:rsidR="00531202" w:rsidRPr="000636DA">
              <w:rPr>
                <w:rFonts w:ascii="Calibri Light" w:hAnsi="Calibri Light"/>
                <w:b w:val="0"/>
              </w:rPr>
              <w:t>uno de ellos le comenzó a decir “te gusta la pin…, concha de tu madre, sácate la ropa”. Al no querer sacársela le tiraron dos cachetadas, le sacaron la ropa a la fuerza, un policía trató de meterle la vara a</w:t>
            </w:r>
            <w:r w:rsidR="000636DA">
              <w:rPr>
                <w:rFonts w:ascii="Calibri Light" w:hAnsi="Calibri Light"/>
                <w:b w:val="0"/>
              </w:rPr>
              <w:t>l</w:t>
            </w:r>
            <w:r w:rsidR="00531202" w:rsidRPr="000636DA">
              <w:rPr>
                <w:rFonts w:ascii="Calibri Light" w:hAnsi="Calibri Light"/>
                <w:b w:val="0"/>
              </w:rPr>
              <w:t xml:space="preserve"> ano, </w:t>
            </w:r>
            <w:r w:rsidRPr="000636DA">
              <w:rPr>
                <w:rFonts w:ascii="Calibri Light" w:hAnsi="Calibri Light"/>
                <w:b w:val="0"/>
              </w:rPr>
              <w:t xml:space="preserve">y </w:t>
            </w:r>
            <w:r w:rsidR="00682C15" w:rsidRPr="000636DA">
              <w:rPr>
                <w:rFonts w:ascii="Calibri Light" w:hAnsi="Calibri Light"/>
                <w:b w:val="0"/>
              </w:rPr>
              <w:t>la dejaron</w:t>
            </w:r>
            <w:r w:rsidR="00531202" w:rsidRPr="000636DA">
              <w:rPr>
                <w:rFonts w:ascii="Calibri Light" w:hAnsi="Calibri Light"/>
                <w:b w:val="0"/>
              </w:rPr>
              <w:t xml:space="preserve"> desnuda hasta las 6:00</w:t>
            </w:r>
            <w:r w:rsidR="00C16544">
              <w:rPr>
                <w:rFonts w:ascii="Calibri Light" w:hAnsi="Calibri Light"/>
                <w:b w:val="0"/>
              </w:rPr>
              <w:t xml:space="preserve"> </w:t>
            </w:r>
            <w:r w:rsidR="00F72FED" w:rsidRPr="000636DA">
              <w:rPr>
                <w:rFonts w:ascii="Calibri Light" w:hAnsi="Calibri Light"/>
                <w:b w:val="0"/>
              </w:rPr>
              <w:t>a</w:t>
            </w:r>
            <w:r w:rsidR="00C16544">
              <w:rPr>
                <w:rFonts w:ascii="Calibri Light" w:hAnsi="Calibri Light"/>
                <w:b w:val="0"/>
              </w:rPr>
              <w:t>.</w:t>
            </w:r>
            <w:r w:rsidR="00F72FED" w:rsidRPr="000636DA">
              <w:rPr>
                <w:rFonts w:ascii="Calibri Light" w:hAnsi="Calibri Light"/>
                <w:b w:val="0"/>
              </w:rPr>
              <w:t xml:space="preserve">m. En la mañana, </w:t>
            </w:r>
            <w:r w:rsidR="00C16544">
              <w:rPr>
                <w:rFonts w:ascii="Calibri Light" w:hAnsi="Calibri Light"/>
                <w:b w:val="0"/>
              </w:rPr>
              <w:t>un técnico</w:t>
            </w:r>
            <w:r w:rsidR="00F72FED" w:rsidRPr="000636DA">
              <w:rPr>
                <w:rFonts w:ascii="Calibri Light" w:hAnsi="Calibri Light"/>
                <w:b w:val="0"/>
              </w:rPr>
              <w:t xml:space="preserve"> </w:t>
            </w:r>
            <w:r w:rsidRPr="000636DA">
              <w:rPr>
                <w:rFonts w:ascii="Calibri Light" w:hAnsi="Calibri Light"/>
                <w:b w:val="0"/>
              </w:rPr>
              <w:t>le entregó</w:t>
            </w:r>
            <w:r w:rsidR="00EE3AD2" w:rsidRPr="000636DA">
              <w:rPr>
                <w:rFonts w:ascii="Calibri Light" w:hAnsi="Calibri Light"/>
                <w:b w:val="0"/>
              </w:rPr>
              <w:t xml:space="preserve"> sus cosas y le dijo “lár</w:t>
            </w:r>
            <w:r w:rsidR="000D0B83" w:rsidRPr="000636DA">
              <w:rPr>
                <w:rFonts w:ascii="Calibri Light" w:hAnsi="Calibri Light"/>
                <w:b w:val="0"/>
              </w:rPr>
              <w:t>gate maricón concha de tu madre</w:t>
            </w:r>
            <w:r w:rsidR="00EE3AD2" w:rsidRPr="000636DA">
              <w:rPr>
                <w:rFonts w:ascii="Calibri Light" w:hAnsi="Calibri Light"/>
                <w:b w:val="0"/>
              </w:rPr>
              <w:t>, te hubiera metido al calabozo para que te cachen todos”.</w:t>
            </w:r>
          </w:p>
          <w:p w14:paraId="502BD878" w14:textId="77777777" w:rsidR="00B847B4" w:rsidRPr="000636DA" w:rsidRDefault="00B847B4" w:rsidP="00E5301D">
            <w:pPr>
              <w:jc w:val="both"/>
              <w:rPr>
                <w:rFonts w:ascii="Calibri Light" w:hAnsi="Calibri Light"/>
                <w:b w:val="0"/>
              </w:rPr>
            </w:pPr>
          </w:p>
          <w:p w14:paraId="1A687FE7" w14:textId="1AAF7DF1" w:rsidR="004865A2" w:rsidRPr="000636DA" w:rsidRDefault="00682C15" w:rsidP="00E5301D">
            <w:pPr>
              <w:jc w:val="both"/>
              <w:rPr>
                <w:rFonts w:ascii="Calibri Light" w:hAnsi="Calibri Light"/>
                <w:b w:val="0"/>
              </w:rPr>
            </w:pPr>
            <w:r w:rsidRPr="000636DA">
              <w:rPr>
                <w:rFonts w:ascii="Calibri Light" w:hAnsi="Calibri Light"/>
                <w:b w:val="0"/>
              </w:rPr>
              <w:t>E</w:t>
            </w:r>
            <w:r w:rsidR="000636DA">
              <w:rPr>
                <w:rFonts w:ascii="Calibri Light" w:hAnsi="Calibri Light"/>
                <w:b w:val="0"/>
              </w:rPr>
              <w:t>se</w:t>
            </w:r>
            <w:r w:rsidRPr="000636DA">
              <w:rPr>
                <w:rFonts w:ascii="Calibri Light" w:hAnsi="Calibri Light"/>
                <w:b w:val="0"/>
              </w:rPr>
              <w:t xml:space="preserve"> mismo </w:t>
            </w:r>
            <w:r w:rsidR="00EE3AD2" w:rsidRPr="000636DA">
              <w:rPr>
                <w:rFonts w:ascii="Calibri Light" w:hAnsi="Calibri Light"/>
                <w:b w:val="0"/>
              </w:rPr>
              <w:t>día</w:t>
            </w:r>
            <w:r w:rsidR="000636DA">
              <w:rPr>
                <w:rFonts w:ascii="Calibri Light" w:hAnsi="Calibri Light"/>
                <w:b w:val="0"/>
              </w:rPr>
              <w:t>,</w:t>
            </w:r>
            <w:r w:rsidR="00EE3AD2" w:rsidRPr="000636DA">
              <w:rPr>
                <w:rFonts w:ascii="Calibri Light" w:hAnsi="Calibri Light"/>
                <w:b w:val="0"/>
              </w:rPr>
              <w:t xml:space="preserve"> </w:t>
            </w:r>
            <w:r w:rsidR="00411635" w:rsidRPr="000636DA">
              <w:rPr>
                <w:rFonts w:ascii="Calibri Light" w:hAnsi="Calibri Light"/>
                <w:b w:val="0"/>
              </w:rPr>
              <w:t>se realizó el a</w:t>
            </w:r>
            <w:r w:rsidR="00EE3AD2" w:rsidRPr="000636DA">
              <w:rPr>
                <w:rFonts w:ascii="Calibri Light" w:hAnsi="Calibri Light"/>
                <w:b w:val="0"/>
              </w:rPr>
              <w:t xml:space="preserve">cta de reconocimiento </w:t>
            </w:r>
            <w:r w:rsidR="006B041C" w:rsidRPr="000636DA">
              <w:rPr>
                <w:rFonts w:ascii="Calibri Light" w:hAnsi="Calibri Light"/>
                <w:b w:val="0"/>
              </w:rPr>
              <w:t xml:space="preserve">en presencia de la </w:t>
            </w:r>
            <w:r w:rsidR="00C60D7D" w:rsidRPr="000636DA">
              <w:rPr>
                <w:rFonts w:ascii="Calibri Light" w:hAnsi="Calibri Light"/>
                <w:b w:val="0"/>
              </w:rPr>
              <w:t>Fiscalía</w:t>
            </w:r>
            <w:r w:rsidR="006B041C" w:rsidRPr="000636DA">
              <w:rPr>
                <w:rFonts w:ascii="Calibri Light" w:hAnsi="Calibri Light"/>
                <w:b w:val="0"/>
              </w:rPr>
              <w:t xml:space="preserve"> de Ascope, </w:t>
            </w:r>
            <w:r w:rsidR="00B775EA">
              <w:rPr>
                <w:rFonts w:ascii="Calibri Light" w:hAnsi="Calibri Light"/>
                <w:b w:val="0"/>
              </w:rPr>
              <w:t xml:space="preserve">en esta, Azul Rojas </w:t>
            </w:r>
            <w:r w:rsidRPr="000636DA">
              <w:rPr>
                <w:rFonts w:ascii="Calibri Light" w:hAnsi="Calibri Light"/>
                <w:b w:val="0"/>
              </w:rPr>
              <w:t xml:space="preserve">identificó y describió a los </w:t>
            </w:r>
            <w:r w:rsidR="00F72FED" w:rsidRPr="000636DA">
              <w:rPr>
                <w:rFonts w:ascii="Calibri Light" w:hAnsi="Calibri Light"/>
                <w:b w:val="0"/>
              </w:rPr>
              <w:t>agentes</w:t>
            </w:r>
            <w:r w:rsidRPr="000636DA">
              <w:rPr>
                <w:rFonts w:ascii="Calibri Light" w:hAnsi="Calibri Light"/>
                <w:b w:val="0"/>
              </w:rPr>
              <w:t xml:space="preserve"> </w:t>
            </w:r>
            <w:r w:rsidR="00411635" w:rsidRPr="000636DA">
              <w:rPr>
                <w:rFonts w:ascii="Calibri Light" w:hAnsi="Calibri Light"/>
                <w:b w:val="0"/>
              </w:rPr>
              <w:t xml:space="preserve">policiales. </w:t>
            </w:r>
            <w:r w:rsidR="004865A2" w:rsidRPr="000636DA">
              <w:rPr>
                <w:rFonts w:ascii="Calibri Light" w:hAnsi="Calibri Light"/>
                <w:b w:val="0"/>
              </w:rPr>
              <w:t xml:space="preserve">Al día siguiente, rindió una segunda declaración en la cual narró los hechos </w:t>
            </w:r>
            <w:r w:rsidR="00F72FED" w:rsidRPr="000636DA">
              <w:rPr>
                <w:rFonts w:ascii="Calibri Light" w:hAnsi="Calibri Light"/>
                <w:b w:val="0"/>
              </w:rPr>
              <w:t>de forma similar</w:t>
            </w:r>
            <w:r w:rsidR="008067E0" w:rsidRPr="000636DA">
              <w:rPr>
                <w:rFonts w:ascii="Calibri Light" w:hAnsi="Calibri Light"/>
                <w:b w:val="0"/>
              </w:rPr>
              <w:t xml:space="preserve">, y </w:t>
            </w:r>
            <w:r w:rsidR="00F351EE">
              <w:rPr>
                <w:rFonts w:ascii="Calibri Light" w:hAnsi="Calibri Light"/>
                <w:b w:val="0"/>
              </w:rPr>
              <w:t xml:space="preserve">agregó </w:t>
            </w:r>
            <w:r w:rsidR="004865A2" w:rsidRPr="000636DA">
              <w:rPr>
                <w:rFonts w:ascii="Calibri Light" w:hAnsi="Calibri Light"/>
                <w:b w:val="0"/>
              </w:rPr>
              <w:t>que no le habían querido recibir la denuncia</w:t>
            </w:r>
            <w:r w:rsidR="006B041C" w:rsidRPr="000636DA">
              <w:rPr>
                <w:rFonts w:ascii="Calibri Light" w:hAnsi="Calibri Light"/>
                <w:b w:val="0"/>
              </w:rPr>
              <w:t xml:space="preserve"> en la Comisaría de Casa Grande, por lo que </w:t>
            </w:r>
            <w:r w:rsidR="008067E0" w:rsidRPr="000636DA">
              <w:rPr>
                <w:rFonts w:ascii="Calibri Light" w:hAnsi="Calibri Light"/>
                <w:b w:val="0"/>
              </w:rPr>
              <w:t>decidió</w:t>
            </w:r>
            <w:r w:rsidR="004865A2" w:rsidRPr="000636DA">
              <w:rPr>
                <w:rFonts w:ascii="Calibri Light" w:hAnsi="Calibri Light"/>
                <w:b w:val="0"/>
              </w:rPr>
              <w:t xml:space="preserve"> hacer una denuncia pública en los medios de comunicación.</w:t>
            </w:r>
            <w:r w:rsidR="00F551AE" w:rsidRPr="000636DA">
              <w:rPr>
                <w:rFonts w:ascii="Calibri Light" w:hAnsi="Calibri Light"/>
                <w:b w:val="0"/>
              </w:rPr>
              <w:t xml:space="preserve"> </w:t>
            </w:r>
            <w:r w:rsidR="006B041C" w:rsidRPr="000636DA">
              <w:rPr>
                <w:rFonts w:ascii="Calibri Light" w:hAnsi="Calibri Light"/>
                <w:b w:val="0"/>
              </w:rPr>
              <w:t xml:space="preserve">El 29 de febrero de 2008, </w:t>
            </w:r>
            <w:r w:rsidR="004865A2" w:rsidRPr="000636DA">
              <w:rPr>
                <w:rFonts w:ascii="Calibri Light" w:hAnsi="Calibri Light"/>
                <w:b w:val="0"/>
              </w:rPr>
              <w:t xml:space="preserve">se </w:t>
            </w:r>
            <w:r w:rsidR="006B041C" w:rsidRPr="000636DA">
              <w:rPr>
                <w:rFonts w:ascii="Calibri Light" w:hAnsi="Calibri Light"/>
                <w:b w:val="0"/>
              </w:rPr>
              <w:t xml:space="preserve">le </w:t>
            </w:r>
            <w:r w:rsidR="004865A2" w:rsidRPr="000636DA">
              <w:rPr>
                <w:rFonts w:ascii="Calibri Light" w:hAnsi="Calibri Light"/>
                <w:b w:val="0"/>
              </w:rPr>
              <w:t>practicó un examen médico legal</w:t>
            </w:r>
            <w:r w:rsidR="006B041C" w:rsidRPr="000636DA">
              <w:rPr>
                <w:rFonts w:ascii="Calibri Light" w:hAnsi="Calibri Light"/>
                <w:b w:val="0"/>
              </w:rPr>
              <w:t xml:space="preserve"> </w:t>
            </w:r>
            <w:r w:rsidR="00B775EA">
              <w:rPr>
                <w:rFonts w:ascii="Calibri Light" w:hAnsi="Calibri Light"/>
                <w:b w:val="0"/>
              </w:rPr>
              <w:t>que</w:t>
            </w:r>
            <w:r w:rsidR="006B041C" w:rsidRPr="000636DA">
              <w:rPr>
                <w:rFonts w:ascii="Calibri Light" w:hAnsi="Calibri Light"/>
                <w:b w:val="0"/>
              </w:rPr>
              <w:t xml:space="preserve"> certificó lesiones anales</w:t>
            </w:r>
            <w:r w:rsidR="008067E0" w:rsidRPr="000636DA">
              <w:rPr>
                <w:rFonts w:ascii="Calibri Light" w:hAnsi="Calibri Light"/>
                <w:b w:val="0"/>
              </w:rPr>
              <w:t xml:space="preserve"> </w:t>
            </w:r>
            <w:r w:rsidR="004865A2" w:rsidRPr="000636DA">
              <w:rPr>
                <w:rFonts w:ascii="Calibri Light" w:hAnsi="Calibri Light"/>
                <w:b w:val="0"/>
              </w:rPr>
              <w:t>con signo</w:t>
            </w:r>
            <w:r w:rsidR="006B041C" w:rsidRPr="000636DA">
              <w:rPr>
                <w:rFonts w:ascii="Calibri Light" w:hAnsi="Calibri Light"/>
                <w:b w:val="0"/>
              </w:rPr>
              <w:t>s de acto contranatura reciente</w:t>
            </w:r>
            <w:r w:rsidR="00123965">
              <w:rPr>
                <w:rFonts w:ascii="Calibri Light" w:hAnsi="Calibri Light"/>
                <w:b w:val="0"/>
              </w:rPr>
              <w:t xml:space="preserve">. El informe de este examen </w:t>
            </w:r>
            <w:r w:rsidR="000955BE">
              <w:rPr>
                <w:rFonts w:ascii="Calibri Light" w:hAnsi="Calibri Light"/>
                <w:b w:val="0"/>
              </w:rPr>
              <w:t>hacía</w:t>
            </w:r>
            <w:r w:rsidR="004865A2" w:rsidRPr="000636DA">
              <w:rPr>
                <w:rFonts w:ascii="Calibri Light" w:hAnsi="Calibri Light"/>
                <w:b w:val="0"/>
              </w:rPr>
              <w:t xml:space="preserve"> referencias </w:t>
            </w:r>
            <w:r w:rsidR="008067E0" w:rsidRPr="000636DA">
              <w:rPr>
                <w:rFonts w:ascii="Calibri Light" w:hAnsi="Calibri Light"/>
                <w:b w:val="0"/>
              </w:rPr>
              <w:t xml:space="preserve">a </w:t>
            </w:r>
            <w:r w:rsidR="000955BE">
              <w:rPr>
                <w:rFonts w:ascii="Calibri Light" w:hAnsi="Calibri Light"/>
                <w:b w:val="0"/>
              </w:rPr>
              <w:t>su</w:t>
            </w:r>
            <w:r w:rsidR="000955BE" w:rsidRPr="000636DA">
              <w:rPr>
                <w:rFonts w:ascii="Calibri Light" w:hAnsi="Calibri Light"/>
                <w:b w:val="0"/>
              </w:rPr>
              <w:t xml:space="preserve"> </w:t>
            </w:r>
            <w:r w:rsidR="00411635" w:rsidRPr="000636DA">
              <w:rPr>
                <w:rFonts w:ascii="Calibri Light" w:hAnsi="Calibri Light"/>
                <w:b w:val="0"/>
              </w:rPr>
              <w:t>vida sexual.</w:t>
            </w:r>
            <w:r w:rsidR="008067E0" w:rsidRPr="000636DA">
              <w:rPr>
                <w:rFonts w:ascii="Calibri Light" w:hAnsi="Calibri Light"/>
                <w:b w:val="0"/>
              </w:rPr>
              <w:t xml:space="preserve"> </w:t>
            </w:r>
            <w:r w:rsidR="00C16544">
              <w:rPr>
                <w:rFonts w:ascii="Calibri Light" w:hAnsi="Calibri Light"/>
                <w:b w:val="0"/>
              </w:rPr>
              <w:t>También se realizó una</w:t>
            </w:r>
            <w:r w:rsidR="008067E0" w:rsidRPr="000636DA">
              <w:rPr>
                <w:rFonts w:ascii="Calibri Light" w:hAnsi="Calibri Light"/>
                <w:b w:val="0"/>
              </w:rPr>
              <w:t xml:space="preserve"> perici</w:t>
            </w:r>
            <w:r w:rsidR="000955BE">
              <w:rPr>
                <w:rFonts w:ascii="Calibri Light" w:hAnsi="Calibri Light"/>
                <w:b w:val="0"/>
              </w:rPr>
              <w:t>a</w:t>
            </w:r>
            <w:r w:rsidR="008067E0" w:rsidRPr="000636DA">
              <w:rPr>
                <w:rFonts w:ascii="Calibri Light" w:hAnsi="Calibri Light"/>
                <w:b w:val="0"/>
              </w:rPr>
              <w:t xml:space="preserve"> psicol</w:t>
            </w:r>
            <w:r w:rsidR="000955BE">
              <w:rPr>
                <w:rFonts w:ascii="Calibri Light" w:hAnsi="Calibri Light"/>
                <w:b w:val="0"/>
              </w:rPr>
              <w:t>ó</w:t>
            </w:r>
            <w:r w:rsidR="008067E0" w:rsidRPr="000636DA">
              <w:rPr>
                <w:rFonts w:ascii="Calibri Light" w:hAnsi="Calibri Light"/>
                <w:b w:val="0"/>
              </w:rPr>
              <w:t>gica</w:t>
            </w:r>
            <w:r w:rsidR="000955BE">
              <w:rPr>
                <w:rFonts w:ascii="Calibri Light" w:hAnsi="Calibri Light"/>
                <w:b w:val="0"/>
              </w:rPr>
              <w:t>,</w:t>
            </w:r>
            <w:r w:rsidR="008067E0" w:rsidRPr="000636DA">
              <w:rPr>
                <w:rFonts w:ascii="Calibri Light" w:hAnsi="Calibri Light"/>
                <w:b w:val="0"/>
              </w:rPr>
              <w:t xml:space="preserve"> </w:t>
            </w:r>
            <w:r w:rsidR="00C16544">
              <w:rPr>
                <w:rFonts w:ascii="Calibri Light" w:hAnsi="Calibri Light"/>
                <w:b w:val="0"/>
              </w:rPr>
              <w:t xml:space="preserve">en la que </w:t>
            </w:r>
            <w:r w:rsidR="00123965">
              <w:rPr>
                <w:rFonts w:ascii="Calibri Light" w:hAnsi="Calibri Light"/>
                <w:b w:val="0"/>
              </w:rPr>
              <w:t>Azul Rojas</w:t>
            </w:r>
            <w:r w:rsidR="008067E0" w:rsidRPr="000636DA">
              <w:rPr>
                <w:rFonts w:ascii="Calibri Light" w:hAnsi="Calibri Light"/>
                <w:b w:val="0"/>
              </w:rPr>
              <w:t xml:space="preserve"> </w:t>
            </w:r>
            <w:r w:rsidR="000D0B83" w:rsidRPr="000636DA">
              <w:rPr>
                <w:rFonts w:ascii="Calibri Light" w:hAnsi="Calibri Light"/>
                <w:b w:val="0"/>
              </w:rPr>
              <w:t xml:space="preserve">manifestó </w:t>
            </w:r>
            <w:r w:rsidR="004865A2" w:rsidRPr="000636DA">
              <w:rPr>
                <w:rFonts w:ascii="Calibri Light" w:hAnsi="Calibri Light"/>
                <w:b w:val="0"/>
              </w:rPr>
              <w:t>que la h</w:t>
            </w:r>
            <w:r w:rsidR="00411635" w:rsidRPr="000636DA">
              <w:rPr>
                <w:rFonts w:ascii="Calibri Light" w:hAnsi="Calibri Light"/>
                <w:b w:val="0"/>
              </w:rPr>
              <w:t>abían torturado</w:t>
            </w:r>
            <w:r w:rsidR="008067E0" w:rsidRPr="000636DA">
              <w:rPr>
                <w:rFonts w:ascii="Calibri Light" w:hAnsi="Calibri Light"/>
                <w:b w:val="0"/>
              </w:rPr>
              <w:t xml:space="preserve">, y se </w:t>
            </w:r>
            <w:r w:rsidR="00411635" w:rsidRPr="000636DA">
              <w:rPr>
                <w:rFonts w:ascii="Calibri Light" w:hAnsi="Calibri Light"/>
                <w:b w:val="0"/>
              </w:rPr>
              <w:t>determinó que</w:t>
            </w:r>
            <w:r w:rsidR="004865A2" w:rsidRPr="000636DA">
              <w:rPr>
                <w:rFonts w:ascii="Calibri Light" w:hAnsi="Calibri Light"/>
                <w:b w:val="0"/>
              </w:rPr>
              <w:t xml:space="preserve"> requería apoyo psicoterapéutico</w:t>
            </w:r>
            <w:r w:rsidR="008067E0" w:rsidRPr="000636DA">
              <w:rPr>
                <w:rFonts w:ascii="Calibri Light" w:hAnsi="Calibri Light"/>
                <w:b w:val="0"/>
              </w:rPr>
              <w:t>.</w:t>
            </w:r>
            <w:r w:rsidR="000955BE">
              <w:rPr>
                <w:rFonts w:ascii="Calibri Light" w:hAnsi="Calibri Light"/>
                <w:b w:val="0"/>
              </w:rPr>
              <w:t xml:space="preserve"> </w:t>
            </w:r>
            <w:r w:rsidR="006B041C" w:rsidRPr="000636DA">
              <w:rPr>
                <w:rFonts w:ascii="Calibri Light" w:hAnsi="Calibri Light"/>
                <w:b w:val="0"/>
              </w:rPr>
              <w:t xml:space="preserve">El 6 de marzo de 2008, </w:t>
            </w:r>
            <w:r w:rsidR="000D0B83" w:rsidRPr="000636DA">
              <w:rPr>
                <w:rFonts w:ascii="Calibri Light" w:hAnsi="Calibri Light"/>
                <w:b w:val="0"/>
              </w:rPr>
              <w:t xml:space="preserve">en su tercera declaración, </w:t>
            </w:r>
            <w:r w:rsidR="00F351EE">
              <w:rPr>
                <w:rFonts w:ascii="Calibri Light" w:hAnsi="Calibri Light"/>
                <w:b w:val="0"/>
              </w:rPr>
              <w:t>agregó</w:t>
            </w:r>
            <w:r w:rsidR="00F351EE" w:rsidRPr="000636DA">
              <w:rPr>
                <w:rFonts w:ascii="Calibri Light" w:hAnsi="Calibri Light"/>
                <w:b w:val="0"/>
              </w:rPr>
              <w:t xml:space="preserve"> </w:t>
            </w:r>
            <w:r w:rsidR="004865A2" w:rsidRPr="000636DA">
              <w:rPr>
                <w:rFonts w:ascii="Calibri Light" w:hAnsi="Calibri Light"/>
                <w:b w:val="0"/>
              </w:rPr>
              <w:t xml:space="preserve">que su </w:t>
            </w:r>
            <w:r w:rsidR="00D2195B" w:rsidRPr="000636DA">
              <w:rPr>
                <w:rFonts w:ascii="Calibri Light" w:hAnsi="Calibri Light"/>
                <w:b w:val="0"/>
              </w:rPr>
              <w:t xml:space="preserve">denuncia era </w:t>
            </w:r>
            <w:r w:rsidR="00D65B07">
              <w:rPr>
                <w:rFonts w:ascii="Calibri Light" w:hAnsi="Calibri Light"/>
                <w:b w:val="0"/>
              </w:rPr>
              <w:t>p</w:t>
            </w:r>
            <w:r w:rsidR="004865A2" w:rsidRPr="000636DA">
              <w:rPr>
                <w:rFonts w:ascii="Calibri Light" w:hAnsi="Calibri Light"/>
                <w:b w:val="0"/>
              </w:rPr>
              <w:t>or violación sexual</w:t>
            </w:r>
            <w:r w:rsidR="000955BE">
              <w:rPr>
                <w:rFonts w:ascii="Calibri Light" w:hAnsi="Calibri Light"/>
                <w:b w:val="0"/>
              </w:rPr>
              <w:t>. Al respecto</w:t>
            </w:r>
            <w:r w:rsidR="004865A2" w:rsidRPr="000636DA">
              <w:rPr>
                <w:rFonts w:ascii="Calibri Light" w:hAnsi="Calibri Light"/>
                <w:b w:val="0"/>
              </w:rPr>
              <w:t xml:space="preserve">, </w:t>
            </w:r>
            <w:r w:rsidR="000955BE">
              <w:rPr>
                <w:rFonts w:ascii="Calibri Light" w:hAnsi="Calibri Light"/>
                <w:b w:val="0"/>
              </w:rPr>
              <w:t>se le pidió precisar:</w:t>
            </w:r>
            <w:r w:rsidR="00C60D7D" w:rsidRPr="000636DA">
              <w:rPr>
                <w:rFonts w:ascii="Calibri Light" w:hAnsi="Calibri Light"/>
                <w:b w:val="0"/>
              </w:rPr>
              <w:t xml:space="preserve"> </w:t>
            </w:r>
            <w:r w:rsidR="00411635" w:rsidRPr="000636DA">
              <w:rPr>
                <w:rFonts w:ascii="Calibri Light" w:hAnsi="Calibri Light"/>
                <w:b w:val="0"/>
              </w:rPr>
              <w:t xml:space="preserve">i) </w:t>
            </w:r>
            <w:r w:rsidR="004865A2" w:rsidRPr="000636DA">
              <w:rPr>
                <w:rFonts w:ascii="Calibri Light" w:hAnsi="Calibri Light"/>
                <w:b w:val="0"/>
              </w:rPr>
              <w:t xml:space="preserve">si la vara de goma </w:t>
            </w:r>
            <w:r w:rsidR="00411635" w:rsidRPr="000636DA">
              <w:rPr>
                <w:rFonts w:ascii="Calibri Light" w:hAnsi="Calibri Light"/>
                <w:b w:val="0"/>
              </w:rPr>
              <w:t>fue introducida</w:t>
            </w:r>
            <w:r w:rsidR="004865A2" w:rsidRPr="000636DA">
              <w:rPr>
                <w:rFonts w:ascii="Calibri Light" w:hAnsi="Calibri Light"/>
                <w:b w:val="0"/>
              </w:rPr>
              <w:t xml:space="preserve"> en su recto o solame</w:t>
            </w:r>
            <w:r w:rsidR="00411635" w:rsidRPr="000636DA">
              <w:rPr>
                <w:rFonts w:ascii="Calibri Light" w:hAnsi="Calibri Light"/>
                <w:b w:val="0"/>
              </w:rPr>
              <w:t xml:space="preserve">nte fue un intento; ii) si después de la penetración </w:t>
            </w:r>
            <w:r w:rsidR="004865A2" w:rsidRPr="000636DA">
              <w:rPr>
                <w:rFonts w:ascii="Calibri Light" w:hAnsi="Calibri Light"/>
                <w:b w:val="0"/>
              </w:rPr>
              <w:t>h</w:t>
            </w:r>
            <w:r w:rsidR="00D3554B">
              <w:rPr>
                <w:rFonts w:ascii="Calibri Light" w:hAnsi="Calibri Light"/>
                <w:b w:val="0"/>
              </w:rPr>
              <w:t>ubo</w:t>
            </w:r>
            <w:r w:rsidR="004865A2" w:rsidRPr="000636DA">
              <w:rPr>
                <w:rFonts w:ascii="Calibri Light" w:hAnsi="Calibri Light"/>
                <w:b w:val="0"/>
              </w:rPr>
              <w:t xml:space="preserve"> sangrado y </w:t>
            </w:r>
            <w:r w:rsidR="00411635" w:rsidRPr="000636DA">
              <w:rPr>
                <w:rFonts w:ascii="Calibri Light" w:hAnsi="Calibri Light"/>
                <w:b w:val="0"/>
              </w:rPr>
              <w:t>en qué proporción</w:t>
            </w:r>
            <w:r w:rsidR="004865A2" w:rsidRPr="000636DA">
              <w:rPr>
                <w:rFonts w:ascii="Calibri Light" w:hAnsi="Calibri Light"/>
                <w:b w:val="0"/>
              </w:rPr>
              <w:t xml:space="preserve">; </w:t>
            </w:r>
            <w:r w:rsidR="000955BE">
              <w:rPr>
                <w:rFonts w:ascii="Calibri Light" w:hAnsi="Calibri Light"/>
                <w:b w:val="0"/>
              </w:rPr>
              <w:t xml:space="preserve">y </w:t>
            </w:r>
            <w:r w:rsidR="004865A2" w:rsidRPr="000636DA">
              <w:rPr>
                <w:rFonts w:ascii="Calibri Light" w:hAnsi="Calibri Light"/>
                <w:b w:val="0"/>
              </w:rPr>
              <w:t>iii)</w:t>
            </w:r>
            <w:r w:rsidR="00411635" w:rsidRPr="000636DA">
              <w:rPr>
                <w:rFonts w:ascii="Calibri Light" w:hAnsi="Calibri Light"/>
                <w:b w:val="0"/>
              </w:rPr>
              <w:t xml:space="preserve"> cuánto tiempo le había durado </w:t>
            </w:r>
            <w:r w:rsidR="004865A2" w:rsidRPr="000636DA">
              <w:rPr>
                <w:rFonts w:ascii="Calibri Light" w:hAnsi="Calibri Light"/>
                <w:b w:val="0"/>
              </w:rPr>
              <w:t>el dolor en el ano</w:t>
            </w:r>
            <w:r w:rsidR="00411635" w:rsidRPr="000636DA">
              <w:rPr>
                <w:rFonts w:ascii="Calibri Light" w:hAnsi="Calibri Light"/>
                <w:b w:val="0"/>
              </w:rPr>
              <w:t>.</w:t>
            </w:r>
          </w:p>
          <w:p w14:paraId="3F18B8F1" w14:textId="77777777" w:rsidR="004865A2" w:rsidRPr="000636DA" w:rsidRDefault="004865A2" w:rsidP="00E5301D">
            <w:pPr>
              <w:jc w:val="both"/>
              <w:rPr>
                <w:rFonts w:ascii="Calibri Light" w:hAnsi="Calibri Light"/>
              </w:rPr>
            </w:pPr>
          </w:p>
          <w:p w14:paraId="285751AE" w14:textId="3B37C9DC" w:rsidR="000355B3" w:rsidRPr="000636DA" w:rsidRDefault="00C60D7D" w:rsidP="00E5301D">
            <w:pPr>
              <w:jc w:val="both"/>
              <w:rPr>
                <w:rFonts w:ascii="Calibri Light" w:hAnsi="Calibri Light"/>
                <w:bCs w:val="0"/>
              </w:rPr>
            </w:pPr>
            <w:r w:rsidRPr="000636DA">
              <w:rPr>
                <w:rFonts w:ascii="Calibri Light" w:hAnsi="Calibri Light"/>
                <w:b w:val="0"/>
              </w:rPr>
              <w:t xml:space="preserve">El 2 de abril de 2008, </w:t>
            </w:r>
            <w:r w:rsidR="008067E0" w:rsidRPr="000636DA">
              <w:rPr>
                <w:rFonts w:ascii="Calibri Light" w:hAnsi="Calibri Light"/>
                <w:b w:val="0"/>
              </w:rPr>
              <w:t xml:space="preserve">la Fiscalía de Ascope </w:t>
            </w:r>
            <w:r w:rsidRPr="000636DA">
              <w:rPr>
                <w:rFonts w:ascii="Calibri Light" w:hAnsi="Calibri Light"/>
                <w:b w:val="0"/>
              </w:rPr>
              <w:t xml:space="preserve">dispuso formalizar investigación preparatoria por </w:t>
            </w:r>
            <w:r w:rsidR="006807C4" w:rsidRPr="000636DA">
              <w:rPr>
                <w:rFonts w:ascii="Calibri Light" w:hAnsi="Calibri Light"/>
                <w:b w:val="0"/>
              </w:rPr>
              <w:t>el delito de violación sexual y abuso de autoridad en contra de</w:t>
            </w:r>
            <w:r w:rsidR="00411635" w:rsidRPr="000636DA">
              <w:rPr>
                <w:rFonts w:ascii="Calibri Light" w:hAnsi="Calibri Light"/>
                <w:b w:val="0"/>
              </w:rPr>
              <w:t xml:space="preserve"> tres funcionarios policiales</w:t>
            </w:r>
            <w:r w:rsidR="006807C4" w:rsidRPr="000636DA">
              <w:rPr>
                <w:rFonts w:ascii="Calibri Light" w:hAnsi="Calibri Light"/>
                <w:b w:val="0"/>
              </w:rPr>
              <w:t>. El 5 de mayo, Azul Rojas presentó una solicitud para que la investigación se ampl</w:t>
            </w:r>
            <w:r w:rsidR="00411635" w:rsidRPr="000636DA">
              <w:rPr>
                <w:rFonts w:ascii="Calibri Light" w:hAnsi="Calibri Light"/>
                <w:b w:val="0"/>
              </w:rPr>
              <w:t xml:space="preserve">iara por el delito de tortura </w:t>
            </w:r>
            <w:r w:rsidR="000955BE">
              <w:rPr>
                <w:rFonts w:ascii="Calibri Light" w:hAnsi="Calibri Light"/>
                <w:b w:val="0"/>
              </w:rPr>
              <w:t>establecido en el</w:t>
            </w:r>
            <w:r w:rsidR="000955BE" w:rsidRPr="000636DA">
              <w:rPr>
                <w:rFonts w:ascii="Calibri Light" w:hAnsi="Calibri Light"/>
                <w:b w:val="0"/>
              </w:rPr>
              <w:t xml:space="preserve"> </w:t>
            </w:r>
            <w:r w:rsidR="006807C4" w:rsidRPr="000636DA">
              <w:rPr>
                <w:rFonts w:ascii="Calibri Light" w:hAnsi="Calibri Light"/>
                <w:b w:val="0"/>
              </w:rPr>
              <w:t>artículo 321 del Código Penal</w:t>
            </w:r>
            <w:r w:rsidR="008067E0" w:rsidRPr="000636DA">
              <w:rPr>
                <w:rFonts w:ascii="Calibri Light" w:hAnsi="Calibri Light"/>
                <w:b w:val="0"/>
              </w:rPr>
              <w:t xml:space="preserve">; sin embargo, se indicó </w:t>
            </w:r>
            <w:r w:rsidR="006807C4" w:rsidRPr="000636DA">
              <w:rPr>
                <w:rFonts w:ascii="Calibri Light" w:hAnsi="Calibri Light"/>
                <w:b w:val="0"/>
              </w:rPr>
              <w:t xml:space="preserve">que </w:t>
            </w:r>
            <w:r w:rsidR="007F3C82" w:rsidRPr="000636DA">
              <w:rPr>
                <w:rFonts w:ascii="Calibri Light" w:hAnsi="Calibri Light"/>
                <w:b w:val="0"/>
              </w:rPr>
              <w:t>ello no procedía</w:t>
            </w:r>
            <w:r w:rsidR="006807C4" w:rsidRPr="000636DA">
              <w:rPr>
                <w:rFonts w:ascii="Calibri Light" w:hAnsi="Calibri Light"/>
                <w:b w:val="0"/>
              </w:rPr>
              <w:t xml:space="preserve"> porque no se evidenciaba el dolo de dichos funciona</w:t>
            </w:r>
            <w:r w:rsidR="00411635" w:rsidRPr="000636DA">
              <w:rPr>
                <w:rFonts w:ascii="Calibri Light" w:hAnsi="Calibri Light"/>
                <w:b w:val="0"/>
              </w:rPr>
              <w:t>rios</w:t>
            </w:r>
            <w:r w:rsidR="008067E0" w:rsidRPr="000636DA">
              <w:rPr>
                <w:rFonts w:ascii="Calibri Light" w:hAnsi="Calibri Light"/>
                <w:b w:val="0"/>
              </w:rPr>
              <w:t>. E</w:t>
            </w:r>
            <w:r w:rsidR="006807C4" w:rsidRPr="000636DA">
              <w:rPr>
                <w:rFonts w:ascii="Calibri Light" w:hAnsi="Calibri Light"/>
                <w:b w:val="0"/>
              </w:rPr>
              <w:t>l 28 de agosto, tras un recurso de queja interpuesto por Azul Rojas</w:t>
            </w:r>
            <w:r w:rsidR="000955BE">
              <w:rPr>
                <w:rFonts w:ascii="Calibri Light" w:hAnsi="Calibri Light"/>
                <w:b w:val="0"/>
              </w:rPr>
              <w:t>,</w:t>
            </w:r>
            <w:r w:rsidR="006807C4" w:rsidRPr="000636DA">
              <w:rPr>
                <w:rFonts w:ascii="Calibri Light" w:hAnsi="Calibri Light"/>
                <w:b w:val="0"/>
              </w:rPr>
              <w:t xml:space="preserve"> se</w:t>
            </w:r>
            <w:r w:rsidR="007F3C82" w:rsidRPr="000636DA">
              <w:rPr>
                <w:rFonts w:ascii="Calibri Light" w:hAnsi="Calibri Light"/>
                <w:b w:val="0"/>
              </w:rPr>
              <w:t xml:space="preserve"> confirmó dicha</w:t>
            </w:r>
            <w:r w:rsidR="006807C4" w:rsidRPr="000636DA">
              <w:rPr>
                <w:rFonts w:ascii="Calibri Light" w:hAnsi="Calibri Light"/>
                <w:b w:val="0"/>
              </w:rPr>
              <w:t xml:space="preserve"> decisión.</w:t>
            </w:r>
            <w:r w:rsidR="006807C4" w:rsidRPr="000636DA">
              <w:rPr>
                <w:rFonts w:ascii="Calibri Light" w:hAnsi="Calibri Light"/>
              </w:rPr>
              <w:t xml:space="preserve"> </w:t>
            </w:r>
            <w:r w:rsidR="006807C4" w:rsidRPr="000636DA">
              <w:rPr>
                <w:rFonts w:ascii="Calibri Light" w:hAnsi="Calibri Light"/>
                <w:b w:val="0"/>
              </w:rPr>
              <w:t xml:space="preserve">El 21 de octubre, la Fiscalía presentó ante el </w:t>
            </w:r>
            <w:r w:rsidR="008067E0" w:rsidRPr="000636DA">
              <w:rPr>
                <w:rFonts w:ascii="Calibri Light" w:hAnsi="Calibri Light"/>
                <w:b w:val="0"/>
              </w:rPr>
              <w:t>J</w:t>
            </w:r>
            <w:r w:rsidR="006807C4" w:rsidRPr="000636DA">
              <w:rPr>
                <w:rFonts w:ascii="Calibri Light" w:hAnsi="Calibri Light"/>
                <w:b w:val="0"/>
              </w:rPr>
              <w:t xml:space="preserve">uez de </w:t>
            </w:r>
            <w:r w:rsidR="008067E0" w:rsidRPr="000636DA">
              <w:rPr>
                <w:rFonts w:ascii="Calibri Light" w:hAnsi="Calibri Light"/>
                <w:b w:val="0"/>
              </w:rPr>
              <w:t>I</w:t>
            </w:r>
            <w:r w:rsidR="006807C4" w:rsidRPr="000636DA">
              <w:rPr>
                <w:rFonts w:ascii="Calibri Light" w:hAnsi="Calibri Light"/>
                <w:b w:val="0"/>
              </w:rPr>
              <w:t xml:space="preserve">nvestigación </w:t>
            </w:r>
            <w:r w:rsidR="008067E0" w:rsidRPr="000636DA">
              <w:rPr>
                <w:rFonts w:ascii="Calibri Light" w:hAnsi="Calibri Light"/>
                <w:b w:val="0"/>
              </w:rPr>
              <w:t>P</w:t>
            </w:r>
            <w:r w:rsidR="006807C4" w:rsidRPr="000636DA">
              <w:rPr>
                <w:rFonts w:ascii="Calibri Light" w:hAnsi="Calibri Light"/>
                <w:b w:val="0"/>
              </w:rPr>
              <w:t>reparatoria un requerimiento de sobreseimiento por falta de elementos de convicción</w:t>
            </w:r>
            <w:r w:rsidR="008067E0" w:rsidRPr="000636DA">
              <w:rPr>
                <w:rFonts w:ascii="Calibri Light" w:hAnsi="Calibri Light"/>
                <w:b w:val="0"/>
              </w:rPr>
              <w:t>, y</w:t>
            </w:r>
            <w:r w:rsidR="00036EA4" w:rsidRPr="000636DA">
              <w:rPr>
                <w:rFonts w:ascii="Calibri Light" w:hAnsi="Calibri Light"/>
              </w:rPr>
              <w:t xml:space="preserve"> </w:t>
            </w:r>
            <w:r w:rsidR="008067E0" w:rsidRPr="000636DA">
              <w:rPr>
                <w:rFonts w:ascii="Calibri Light" w:hAnsi="Calibri Light"/>
                <w:b w:val="0"/>
              </w:rPr>
              <w:t>e</w:t>
            </w:r>
            <w:r w:rsidR="00036EA4" w:rsidRPr="000636DA">
              <w:rPr>
                <w:rFonts w:ascii="Calibri Light" w:hAnsi="Calibri Light"/>
                <w:b w:val="0"/>
              </w:rPr>
              <w:t>l 9 de enero de 2009</w:t>
            </w:r>
            <w:r w:rsidR="002B7FBA" w:rsidRPr="000636DA">
              <w:rPr>
                <w:rFonts w:ascii="Calibri Light" w:hAnsi="Calibri Light"/>
                <w:b w:val="0"/>
              </w:rPr>
              <w:t xml:space="preserve">, </w:t>
            </w:r>
            <w:r w:rsidR="008067E0" w:rsidRPr="000636DA">
              <w:rPr>
                <w:rFonts w:ascii="Calibri Light" w:hAnsi="Calibri Light"/>
                <w:b w:val="0"/>
              </w:rPr>
              <w:t>se declaró</w:t>
            </w:r>
            <w:r w:rsidR="00036EA4" w:rsidRPr="000636DA">
              <w:rPr>
                <w:rFonts w:ascii="Calibri Light" w:hAnsi="Calibri Light"/>
                <w:b w:val="0"/>
              </w:rPr>
              <w:t xml:space="preserve"> fundado e</w:t>
            </w:r>
            <w:r w:rsidR="008067E0" w:rsidRPr="000636DA">
              <w:rPr>
                <w:rFonts w:ascii="Calibri Light" w:hAnsi="Calibri Light"/>
                <w:b w:val="0"/>
              </w:rPr>
              <w:t xml:space="preserve">ste </w:t>
            </w:r>
            <w:r w:rsidR="00D3554B">
              <w:rPr>
                <w:rFonts w:ascii="Calibri Light" w:hAnsi="Calibri Light"/>
                <w:b w:val="0"/>
              </w:rPr>
              <w:t>r</w:t>
            </w:r>
            <w:r w:rsidR="00036EA4" w:rsidRPr="000636DA">
              <w:rPr>
                <w:rFonts w:ascii="Calibri Light" w:hAnsi="Calibri Light"/>
                <w:b w:val="0"/>
              </w:rPr>
              <w:t>equerimiento.</w:t>
            </w:r>
            <w:r w:rsidR="002B7FBA" w:rsidRPr="000636DA">
              <w:rPr>
                <w:rFonts w:ascii="Calibri Light" w:hAnsi="Calibri Light"/>
                <w:b w:val="0"/>
              </w:rPr>
              <w:t xml:space="preserve"> El 22 de enero de 2009, </w:t>
            </w:r>
            <w:r w:rsidR="00F551AE" w:rsidRPr="000636DA">
              <w:rPr>
                <w:rFonts w:ascii="Calibri Light" w:hAnsi="Calibri Light"/>
                <w:b w:val="0"/>
              </w:rPr>
              <w:t>se apeló</w:t>
            </w:r>
            <w:r w:rsidR="002B7FBA" w:rsidRPr="000636DA">
              <w:rPr>
                <w:rFonts w:ascii="Calibri Light" w:hAnsi="Calibri Light"/>
                <w:b w:val="0"/>
              </w:rPr>
              <w:t xml:space="preserve"> dicha decisión, pero </w:t>
            </w:r>
            <w:r w:rsidR="007E1AE3">
              <w:rPr>
                <w:rFonts w:ascii="Calibri Light" w:hAnsi="Calibri Light"/>
                <w:b w:val="0"/>
              </w:rPr>
              <w:t xml:space="preserve">el pedido </w:t>
            </w:r>
            <w:r w:rsidR="002B7FBA" w:rsidRPr="000636DA">
              <w:rPr>
                <w:rFonts w:ascii="Calibri Light" w:hAnsi="Calibri Light"/>
                <w:b w:val="0"/>
              </w:rPr>
              <w:t>fue declarado improcedente por presentarse fuera del plazo establecido en la norma penal.</w:t>
            </w:r>
            <w:r w:rsidR="002A0945" w:rsidRPr="000636DA">
              <w:rPr>
                <w:rFonts w:ascii="Calibri Light" w:hAnsi="Calibri Light"/>
              </w:rPr>
              <w:t xml:space="preserve"> </w:t>
            </w:r>
          </w:p>
          <w:p w14:paraId="4AB03133" w14:textId="77777777" w:rsidR="009864C5" w:rsidRPr="008F2734" w:rsidRDefault="009864C5" w:rsidP="00E5301D">
            <w:pPr>
              <w:jc w:val="both"/>
              <w:rPr>
                <w:rFonts w:ascii="Calibri Light" w:hAnsi="Calibri Light"/>
                <w:b w:val="0"/>
              </w:rPr>
            </w:pPr>
          </w:p>
          <w:p w14:paraId="6543A68A" w14:textId="40F344E3" w:rsidR="004211C1" w:rsidRPr="000636DA" w:rsidRDefault="009864C5" w:rsidP="004211C1">
            <w:pPr>
              <w:jc w:val="both"/>
              <w:rPr>
                <w:rFonts w:ascii="Calibri Light" w:hAnsi="Calibri Light"/>
                <w:b w:val="0"/>
              </w:rPr>
            </w:pPr>
            <w:r w:rsidRPr="000636DA">
              <w:rPr>
                <w:rFonts w:ascii="Calibri Light" w:hAnsi="Calibri Light"/>
                <w:b w:val="0"/>
              </w:rPr>
              <w:t xml:space="preserve">Frente a estos hechos, </w:t>
            </w:r>
            <w:r w:rsidR="008F2734">
              <w:rPr>
                <w:rFonts w:ascii="Calibri Light" w:hAnsi="Calibri Light"/>
                <w:b w:val="0"/>
              </w:rPr>
              <w:t xml:space="preserve">la </w:t>
            </w:r>
            <w:r w:rsidR="008F2734" w:rsidRPr="008F2734">
              <w:rPr>
                <w:rFonts w:ascii="Calibri Light" w:hAnsi="Calibri Light"/>
                <w:b w:val="0"/>
              </w:rPr>
              <w:t>Coordinadora Nacional de Derechos Humanos, el Centro de Promoción y Defensa de los Derechos Sex</w:t>
            </w:r>
            <w:r w:rsidR="008F2734">
              <w:rPr>
                <w:rFonts w:ascii="Calibri Light" w:hAnsi="Calibri Light"/>
                <w:b w:val="0"/>
              </w:rPr>
              <w:t>uales y Reproductivos</w:t>
            </w:r>
            <w:r w:rsidR="00D3554B">
              <w:rPr>
                <w:rFonts w:ascii="Calibri Light" w:hAnsi="Calibri Light"/>
                <w:b w:val="0"/>
              </w:rPr>
              <w:t>,</w:t>
            </w:r>
            <w:r w:rsidR="008F2734">
              <w:rPr>
                <w:rFonts w:ascii="Calibri Light" w:hAnsi="Calibri Light"/>
                <w:b w:val="0"/>
              </w:rPr>
              <w:t xml:space="preserve"> </w:t>
            </w:r>
            <w:r w:rsidR="008F2734" w:rsidRPr="008F2734">
              <w:rPr>
                <w:rFonts w:ascii="Calibri Light" w:hAnsi="Calibri Light"/>
                <w:b w:val="0"/>
              </w:rPr>
              <w:t>y Redress Trust</w:t>
            </w:r>
            <w:r w:rsidR="008F2734" w:rsidRPr="000636DA">
              <w:rPr>
                <w:rFonts w:ascii="Calibri Light" w:hAnsi="Calibri Light"/>
                <w:b w:val="0"/>
              </w:rPr>
              <w:t xml:space="preserve"> </w:t>
            </w:r>
            <w:r w:rsidR="000955BE" w:rsidRPr="00AC56D8">
              <w:rPr>
                <w:rFonts w:ascii="Calibri Light" w:hAnsi="Calibri Light"/>
                <w:b w:val="0"/>
              </w:rPr>
              <w:t>present</w:t>
            </w:r>
            <w:r w:rsidR="008F2734">
              <w:rPr>
                <w:rFonts w:ascii="Calibri Light" w:hAnsi="Calibri Light"/>
                <w:b w:val="0"/>
              </w:rPr>
              <w:t>aron</w:t>
            </w:r>
            <w:r w:rsidR="000955BE" w:rsidRPr="00AC56D8">
              <w:rPr>
                <w:rFonts w:ascii="Calibri Light" w:hAnsi="Calibri Light"/>
                <w:b w:val="0"/>
              </w:rPr>
              <w:t xml:space="preserve"> una petición ante la CIDH, denunciando que el Estado de </w:t>
            </w:r>
            <w:r w:rsidR="000955BE">
              <w:rPr>
                <w:rFonts w:ascii="Calibri Light" w:hAnsi="Calibri Light"/>
                <w:b w:val="0"/>
              </w:rPr>
              <w:t>Perú</w:t>
            </w:r>
            <w:r w:rsidR="000955BE" w:rsidRPr="00AC56D8">
              <w:rPr>
                <w:rFonts w:ascii="Calibri Light" w:hAnsi="Calibri Light"/>
                <w:b w:val="0"/>
              </w:rPr>
              <w:t xml:space="preserve"> había </w:t>
            </w:r>
            <w:r w:rsidR="000955BE">
              <w:rPr>
                <w:rFonts w:ascii="Calibri Light" w:hAnsi="Calibri Light"/>
                <w:b w:val="0"/>
              </w:rPr>
              <w:t xml:space="preserve">vulnerado los derechos a la integridad personal, la libertad personal, las garantías judiciales, la protección de la honra y la dignidad, y la protección judicial, reconocidos en la </w:t>
            </w:r>
            <w:r w:rsidR="00F551AE" w:rsidRPr="000636DA">
              <w:rPr>
                <w:rFonts w:ascii="Calibri Light" w:hAnsi="Calibri Light"/>
                <w:b w:val="0"/>
              </w:rPr>
              <w:t>Con</w:t>
            </w:r>
            <w:r w:rsidR="00C05A8E" w:rsidRPr="000636DA">
              <w:rPr>
                <w:rFonts w:ascii="Calibri Light" w:hAnsi="Calibri Light"/>
                <w:b w:val="0"/>
              </w:rPr>
              <w:t>v</w:t>
            </w:r>
            <w:r w:rsidR="00F551AE" w:rsidRPr="000636DA">
              <w:rPr>
                <w:rFonts w:ascii="Calibri Light" w:hAnsi="Calibri Light"/>
                <w:b w:val="0"/>
              </w:rPr>
              <w:t xml:space="preserve">ención Americana sobre Derechos Humanos (en adelante, </w:t>
            </w:r>
            <w:r w:rsidR="00511D40" w:rsidRPr="000636DA">
              <w:rPr>
                <w:rFonts w:ascii="Calibri Light" w:hAnsi="Calibri Light"/>
                <w:b w:val="0"/>
              </w:rPr>
              <w:t>CADH</w:t>
            </w:r>
            <w:r w:rsidR="00F551AE" w:rsidRPr="000636DA">
              <w:rPr>
                <w:rFonts w:ascii="Calibri Light" w:hAnsi="Calibri Light"/>
                <w:b w:val="0"/>
              </w:rPr>
              <w:t>)</w:t>
            </w:r>
            <w:r w:rsidR="0074258E" w:rsidRPr="000636DA">
              <w:rPr>
                <w:rFonts w:ascii="Calibri Light" w:hAnsi="Calibri Light"/>
                <w:b w:val="0"/>
              </w:rPr>
              <w:t xml:space="preserve">. </w:t>
            </w:r>
            <w:r w:rsidR="000355B3" w:rsidRPr="000636DA">
              <w:rPr>
                <w:rFonts w:ascii="Calibri Light" w:hAnsi="Calibri Light"/>
                <w:b w:val="0"/>
              </w:rPr>
              <w:t xml:space="preserve">Asimismo, alegaron </w:t>
            </w:r>
            <w:r w:rsidR="00C05A8E" w:rsidRPr="000636DA">
              <w:rPr>
                <w:rFonts w:ascii="Calibri Light" w:hAnsi="Calibri Light"/>
                <w:b w:val="0"/>
              </w:rPr>
              <w:t>la violación de</w:t>
            </w:r>
            <w:r w:rsidR="000355B3" w:rsidRPr="000636DA">
              <w:rPr>
                <w:rFonts w:ascii="Calibri Light" w:hAnsi="Calibri Light"/>
                <w:b w:val="0"/>
              </w:rPr>
              <w:t xml:space="preserve"> los </w:t>
            </w:r>
            <w:r w:rsidR="000955BE">
              <w:rPr>
                <w:rFonts w:ascii="Calibri Light" w:hAnsi="Calibri Light"/>
                <w:b w:val="0"/>
              </w:rPr>
              <w:t xml:space="preserve">deberes de </w:t>
            </w:r>
            <w:r w:rsidR="008F2734">
              <w:rPr>
                <w:rFonts w:ascii="Calibri Light" w:hAnsi="Calibri Light"/>
                <w:b w:val="0"/>
              </w:rPr>
              <w:t>prevención y  sanción de</w:t>
            </w:r>
            <w:r w:rsidR="008F2734" w:rsidRPr="008F2734">
              <w:rPr>
                <w:rFonts w:ascii="Calibri Light" w:hAnsi="Calibri Light"/>
                <w:b w:val="0"/>
              </w:rPr>
              <w:t xml:space="preserve"> la tortura</w:t>
            </w:r>
            <w:r w:rsidR="008F2734">
              <w:rPr>
                <w:rFonts w:ascii="Calibri Light" w:hAnsi="Calibri Light"/>
                <w:b w:val="0"/>
              </w:rPr>
              <w:t xml:space="preserve">, </w:t>
            </w:r>
            <w:r w:rsidR="000955BE">
              <w:rPr>
                <w:rFonts w:ascii="Calibri Light" w:hAnsi="Calibri Light"/>
                <w:b w:val="0"/>
              </w:rPr>
              <w:t xml:space="preserve">reconocidos en los </w:t>
            </w:r>
            <w:r w:rsidR="000355B3" w:rsidRPr="000636DA">
              <w:rPr>
                <w:rFonts w:ascii="Calibri Light" w:hAnsi="Calibri Light"/>
                <w:b w:val="0"/>
              </w:rPr>
              <w:t>artícu</w:t>
            </w:r>
            <w:r w:rsidR="0074258E" w:rsidRPr="000636DA">
              <w:rPr>
                <w:rFonts w:ascii="Calibri Light" w:hAnsi="Calibri Light"/>
                <w:b w:val="0"/>
              </w:rPr>
              <w:t xml:space="preserve">los 1, 6 y 8 de la </w:t>
            </w:r>
            <w:r w:rsidR="00F551AE" w:rsidRPr="000636DA">
              <w:rPr>
                <w:rFonts w:ascii="Calibri Light" w:hAnsi="Calibri Light"/>
                <w:b w:val="0"/>
              </w:rPr>
              <w:t xml:space="preserve">Convención Interamericana para Prevenir y Sancionar la Tortura (en adelante, </w:t>
            </w:r>
            <w:r w:rsidR="0074258E" w:rsidRPr="000636DA">
              <w:rPr>
                <w:rFonts w:ascii="Calibri Light" w:hAnsi="Calibri Light"/>
                <w:b w:val="0"/>
              </w:rPr>
              <w:t>CIPST</w:t>
            </w:r>
            <w:r w:rsidR="00F551AE" w:rsidRPr="000636DA">
              <w:rPr>
                <w:rFonts w:ascii="Calibri Light" w:hAnsi="Calibri Light"/>
                <w:b w:val="0"/>
              </w:rPr>
              <w:t>)</w:t>
            </w:r>
            <w:r w:rsidR="0074258E" w:rsidRPr="000636DA">
              <w:rPr>
                <w:rFonts w:ascii="Calibri Light" w:hAnsi="Calibri Light"/>
                <w:b w:val="0"/>
              </w:rPr>
              <w:t>, todo en perjuicio de Azul Rojas.</w:t>
            </w:r>
          </w:p>
        </w:tc>
      </w:tr>
      <w:tr w:rsidR="00486028" w:rsidRPr="000636DA" w14:paraId="7B81A2F3" w14:textId="77777777" w:rsidTr="00AD2C1E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4"/>
            <w:vAlign w:val="center"/>
          </w:tcPr>
          <w:p w14:paraId="5B1358B3" w14:textId="77777777" w:rsidR="000955BE" w:rsidRDefault="000955BE" w:rsidP="00AD2C1E">
            <w:pPr>
              <w:pStyle w:val="ListParagraph"/>
              <w:jc w:val="center"/>
              <w:rPr>
                <w:rFonts w:ascii="Calibri Light" w:hAnsi="Calibri Light"/>
              </w:rPr>
            </w:pPr>
          </w:p>
          <w:p w14:paraId="103EBDF8" w14:textId="77777777" w:rsidR="00486028" w:rsidRDefault="00486028" w:rsidP="00AD2C1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 Light" w:hAnsi="Calibri Light"/>
              </w:rPr>
            </w:pPr>
            <w:r w:rsidRPr="000636DA">
              <w:rPr>
                <w:rFonts w:ascii="Calibri Light" w:hAnsi="Calibri Light"/>
              </w:rPr>
              <w:t>Análisis jurídico</w:t>
            </w:r>
          </w:p>
          <w:p w14:paraId="158A739A" w14:textId="386C70D6" w:rsidR="000955BE" w:rsidRPr="000636DA" w:rsidRDefault="000955BE" w:rsidP="00AD2C1E">
            <w:pPr>
              <w:pStyle w:val="ListParagraph"/>
              <w:jc w:val="center"/>
              <w:rPr>
                <w:rFonts w:ascii="Calibri Light" w:hAnsi="Calibri Light"/>
              </w:rPr>
            </w:pPr>
          </w:p>
        </w:tc>
      </w:tr>
      <w:tr w:rsidR="00486028" w:rsidRPr="000636DA" w14:paraId="71AB3B44" w14:textId="77777777" w:rsidTr="00063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4"/>
          </w:tcPr>
          <w:p w14:paraId="404C75EA" w14:textId="77777777" w:rsidR="000955BE" w:rsidRDefault="000955BE" w:rsidP="00511D40">
            <w:pPr>
              <w:jc w:val="both"/>
              <w:rPr>
                <w:rFonts w:ascii="Calibri Light" w:hAnsi="Calibri Light"/>
              </w:rPr>
            </w:pPr>
          </w:p>
          <w:p w14:paraId="26AC653F" w14:textId="2FD95E75" w:rsidR="00486028" w:rsidRPr="000636DA" w:rsidRDefault="00511D40" w:rsidP="00511D40">
            <w:pPr>
              <w:jc w:val="both"/>
              <w:rPr>
                <w:rFonts w:ascii="Calibri Light" w:hAnsi="Calibri Light"/>
              </w:rPr>
            </w:pPr>
            <w:r w:rsidRPr="000636DA">
              <w:rPr>
                <w:rFonts w:ascii="Calibri Light" w:hAnsi="Calibri Light"/>
              </w:rPr>
              <w:t>Derechos a la libertad personal, a la vida privada, a las garantías judiciales y a la protección judicial (artículos 7, 11, 24 y 25 de la CADH)</w:t>
            </w:r>
          </w:p>
          <w:p w14:paraId="2E69958C" w14:textId="77777777" w:rsidR="00511D40" w:rsidRPr="000636DA" w:rsidRDefault="00511D40" w:rsidP="00AC6F31">
            <w:pPr>
              <w:pStyle w:val="ListParagraph"/>
              <w:ind w:left="360"/>
              <w:jc w:val="both"/>
              <w:rPr>
                <w:rFonts w:ascii="Calibri Light" w:hAnsi="Calibri Light"/>
              </w:rPr>
            </w:pPr>
          </w:p>
          <w:p w14:paraId="1909023A" w14:textId="48964974" w:rsidR="00F4054C" w:rsidRPr="000636DA" w:rsidRDefault="00511D40" w:rsidP="000D03B8">
            <w:pPr>
              <w:jc w:val="both"/>
              <w:rPr>
                <w:rFonts w:ascii="Calibri Light" w:hAnsi="Calibri Light"/>
                <w:b w:val="0"/>
              </w:rPr>
            </w:pPr>
            <w:r w:rsidRPr="000636DA">
              <w:rPr>
                <w:rFonts w:ascii="Calibri Light" w:hAnsi="Calibri Light"/>
                <w:b w:val="0"/>
              </w:rPr>
              <w:t xml:space="preserve">La CIDH </w:t>
            </w:r>
            <w:r w:rsidR="001D7472" w:rsidRPr="000636DA">
              <w:rPr>
                <w:rFonts w:ascii="Calibri Light" w:hAnsi="Calibri Light"/>
                <w:b w:val="0"/>
              </w:rPr>
              <w:t>señaló</w:t>
            </w:r>
            <w:r w:rsidRPr="000636DA">
              <w:rPr>
                <w:rFonts w:ascii="Calibri Light" w:hAnsi="Calibri Light"/>
                <w:b w:val="0"/>
              </w:rPr>
              <w:t xml:space="preserve"> que el derecho a no ser privado de libertad ilegalmente reconoce </w:t>
            </w:r>
            <w:r w:rsidR="00F4054C" w:rsidRPr="000636DA">
              <w:rPr>
                <w:rFonts w:ascii="Calibri Light" w:hAnsi="Calibri Light"/>
                <w:b w:val="0"/>
              </w:rPr>
              <w:t>la</w:t>
            </w:r>
            <w:r w:rsidRPr="000636DA">
              <w:rPr>
                <w:rFonts w:ascii="Calibri Light" w:hAnsi="Calibri Light"/>
                <w:b w:val="0"/>
              </w:rPr>
              <w:t xml:space="preserve"> reserva de ley, según la cual, </w:t>
            </w:r>
            <w:r w:rsidR="006954C5" w:rsidRPr="000636DA">
              <w:rPr>
                <w:rFonts w:ascii="Calibri Light" w:hAnsi="Calibri Light"/>
                <w:b w:val="0"/>
              </w:rPr>
              <w:t>solo</w:t>
            </w:r>
            <w:r w:rsidRPr="000636DA">
              <w:rPr>
                <w:rFonts w:ascii="Calibri Light" w:hAnsi="Calibri Light"/>
                <w:b w:val="0"/>
              </w:rPr>
              <w:t xml:space="preserve"> a través de una ley puede afectarse </w:t>
            </w:r>
            <w:r w:rsidR="00633068" w:rsidRPr="000636DA">
              <w:rPr>
                <w:rFonts w:ascii="Calibri Light" w:hAnsi="Calibri Light"/>
                <w:b w:val="0"/>
              </w:rPr>
              <w:t xml:space="preserve">este derecho. </w:t>
            </w:r>
            <w:r w:rsidR="00F4054C" w:rsidRPr="000636DA">
              <w:rPr>
                <w:rFonts w:ascii="Calibri Light" w:hAnsi="Calibri Light"/>
                <w:b w:val="0"/>
              </w:rPr>
              <w:t xml:space="preserve">La CIDH recordó que las detenciones ilegales y arbitrarias en </w:t>
            </w:r>
            <w:r w:rsidR="001A5DDF" w:rsidRPr="000636DA">
              <w:rPr>
                <w:rFonts w:ascii="Calibri Light" w:hAnsi="Calibri Light"/>
                <w:b w:val="0"/>
              </w:rPr>
              <w:t xml:space="preserve">contextos </w:t>
            </w:r>
            <w:r w:rsidR="00F4054C" w:rsidRPr="000636DA">
              <w:rPr>
                <w:rFonts w:ascii="Calibri Light" w:hAnsi="Calibri Light"/>
                <w:b w:val="0"/>
              </w:rPr>
              <w:t>de abuso policial contra las personas LGBT</w:t>
            </w:r>
            <w:r w:rsidR="00F551AE" w:rsidRPr="000636DA">
              <w:rPr>
                <w:rFonts w:ascii="Calibri Light" w:hAnsi="Calibri Light"/>
                <w:b w:val="0"/>
              </w:rPr>
              <w:t xml:space="preserve"> </w:t>
            </w:r>
            <w:r w:rsidR="00F4054C" w:rsidRPr="000636DA">
              <w:rPr>
                <w:rFonts w:ascii="Calibri Light" w:hAnsi="Calibri Light"/>
                <w:b w:val="0"/>
              </w:rPr>
              <w:t xml:space="preserve">es una de las formas más comunes de discriminación y violencia </w:t>
            </w:r>
            <w:r w:rsidR="007E1AE3">
              <w:rPr>
                <w:rFonts w:ascii="Calibri Light" w:hAnsi="Calibri Light"/>
                <w:b w:val="0"/>
              </w:rPr>
              <w:t xml:space="preserve">en su </w:t>
            </w:r>
            <w:r w:rsidR="00F4054C" w:rsidRPr="000636DA">
              <w:rPr>
                <w:rFonts w:ascii="Calibri Light" w:hAnsi="Calibri Light"/>
                <w:b w:val="0"/>
              </w:rPr>
              <w:t>contra</w:t>
            </w:r>
            <w:r w:rsidR="00633068" w:rsidRPr="000636DA">
              <w:rPr>
                <w:rFonts w:ascii="Calibri Light" w:hAnsi="Calibri Light"/>
                <w:b w:val="0"/>
              </w:rPr>
              <w:t>.</w:t>
            </w:r>
            <w:r w:rsidR="000D03B8" w:rsidRPr="000636DA">
              <w:rPr>
                <w:rFonts w:ascii="Calibri Light" w:hAnsi="Calibri Light"/>
                <w:b w:val="0"/>
              </w:rPr>
              <w:t xml:space="preserve"> Asimismo, la</w:t>
            </w:r>
            <w:r w:rsidR="00F4054C" w:rsidRPr="000636DA">
              <w:rPr>
                <w:rFonts w:ascii="Calibri Light" w:hAnsi="Calibri Light"/>
                <w:b w:val="0"/>
              </w:rPr>
              <w:t xml:space="preserve"> Corte IDH ha establecido que nadie puede ser sometido a detención por causas y métodos que</w:t>
            </w:r>
            <w:r w:rsidR="001A5DDF" w:rsidRPr="000636DA">
              <w:rPr>
                <w:rFonts w:ascii="Calibri Light" w:hAnsi="Calibri Light"/>
                <w:b w:val="0"/>
              </w:rPr>
              <w:t xml:space="preserve"> aun siendo legales sean </w:t>
            </w:r>
            <w:r w:rsidR="00F4054C" w:rsidRPr="000636DA">
              <w:rPr>
                <w:rFonts w:ascii="Calibri Light" w:hAnsi="Calibri Light"/>
                <w:b w:val="0"/>
              </w:rPr>
              <w:t xml:space="preserve">irrazonables, imprevisibles, o faltos de proporcionalidad. </w:t>
            </w:r>
            <w:r w:rsidR="000D03B8" w:rsidRPr="000636DA">
              <w:rPr>
                <w:rFonts w:ascii="Calibri Light" w:hAnsi="Calibri Light"/>
                <w:b w:val="0"/>
              </w:rPr>
              <w:t xml:space="preserve">También </w:t>
            </w:r>
            <w:r w:rsidR="00F4054C" w:rsidRPr="000636DA">
              <w:rPr>
                <w:rFonts w:ascii="Calibri Light" w:hAnsi="Calibri Light"/>
                <w:b w:val="0"/>
              </w:rPr>
              <w:t xml:space="preserve">ha </w:t>
            </w:r>
            <w:r w:rsidR="001A5DDF" w:rsidRPr="000636DA">
              <w:rPr>
                <w:rFonts w:ascii="Calibri Light" w:hAnsi="Calibri Light"/>
                <w:b w:val="0"/>
              </w:rPr>
              <w:t>indicado que se deben dar los motivos de detención en el momento en que est</w:t>
            </w:r>
            <w:r w:rsidR="000955BE">
              <w:rPr>
                <w:rFonts w:ascii="Calibri Light" w:hAnsi="Calibri Light"/>
                <w:b w:val="0"/>
              </w:rPr>
              <w:t>a</w:t>
            </w:r>
            <w:r w:rsidR="001A5DDF" w:rsidRPr="000636DA">
              <w:rPr>
                <w:rFonts w:ascii="Calibri Light" w:hAnsi="Calibri Light"/>
                <w:b w:val="0"/>
              </w:rPr>
              <w:t xml:space="preserve"> se produce</w:t>
            </w:r>
            <w:r w:rsidR="006954C5" w:rsidRPr="000636DA">
              <w:rPr>
                <w:rFonts w:ascii="Calibri Light" w:hAnsi="Calibri Light"/>
                <w:b w:val="0"/>
              </w:rPr>
              <w:t xml:space="preserve">. </w:t>
            </w:r>
            <w:r w:rsidR="00254042">
              <w:rPr>
                <w:rFonts w:ascii="Calibri Light" w:hAnsi="Calibri Light"/>
                <w:b w:val="0"/>
              </w:rPr>
              <w:t>Además</w:t>
            </w:r>
            <w:r w:rsidR="000D03B8" w:rsidRPr="000636DA">
              <w:rPr>
                <w:rFonts w:ascii="Calibri Light" w:hAnsi="Calibri Light"/>
                <w:b w:val="0"/>
              </w:rPr>
              <w:t xml:space="preserve">, </w:t>
            </w:r>
            <w:r w:rsidR="00F4054C" w:rsidRPr="000636DA">
              <w:rPr>
                <w:rFonts w:ascii="Calibri Light" w:hAnsi="Calibri Light"/>
                <w:b w:val="0"/>
              </w:rPr>
              <w:t xml:space="preserve">la persona detenida </w:t>
            </w:r>
            <w:r w:rsidR="00254042">
              <w:rPr>
                <w:rFonts w:ascii="Calibri Light" w:hAnsi="Calibri Light"/>
                <w:b w:val="0"/>
              </w:rPr>
              <w:t xml:space="preserve">debe </w:t>
            </w:r>
            <w:r w:rsidR="000D03B8" w:rsidRPr="000636DA">
              <w:rPr>
                <w:rFonts w:ascii="Calibri Light" w:hAnsi="Calibri Light"/>
                <w:b w:val="0"/>
              </w:rPr>
              <w:t>se</w:t>
            </w:r>
            <w:r w:rsidR="00254042">
              <w:rPr>
                <w:rFonts w:ascii="Calibri Light" w:hAnsi="Calibri Light"/>
                <w:b w:val="0"/>
              </w:rPr>
              <w:t>r</w:t>
            </w:r>
            <w:r w:rsidR="00F4054C" w:rsidRPr="000636DA">
              <w:rPr>
                <w:rFonts w:ascii="Calibri Light" w:hAnsi="Calibri Light"/>
                <w:b w:val="0"/>
              </w:rPr>
              <w:t xml:space="preserve"> llevada sin demora ante un funcionario autorizado por ley para ejercer el control judicial de la detención.</w:t>
            </w:r>
          </w:p>
          <w:p w14:paraId="1E542740" w14:textId="1D728DB5" w:rsidR="004C2B60" w:rsidRPr="000636DA" w:rsidRDefault="004C2B60" w:rsidP="00F4054C">
            <w:pPr>
              <w:rPr>
                <w:rFonts w:ascii="Calibri Light" w:hAnsi="Calibri Light"/>
                <w:b w:val="0"/>
              </w:rPr>
            </w:pPr>
          </w:p>
          <w:p w14:paraId="6DC9FF94" w14:textId="56BD4D86" w:rsidR="004C2B60" w:rsidRPr="000636DA" w:rsidRDefault="00BC02BF" w:rsidP="000D03B8">
            <w:pPr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>En este caso, l</w:t>
            </w:r>
            <w:r w:rsidR="004C2B60" w:rsidRPr="000636DA">
              <w:rPr>
                <w:rFonts w:ascii="Calibri Light" w:hAnsi="Calibri Light"/>
                <w:b w:val="0"/>
              </w:rPr>
              <w:t xml:space="preserve">a </w:t>
            </w:r>
            <w:r w:rsidR="000D03B8" w:rsidRPr="000636DA">
              <w:rPr>
                <w:rFonts w:ascii="Calibri Light" w:hAnsi="Calibri Light"/>
                <w:b w:val="0"/>
              </w:rPr>
              <w:t xml:space="preserve">CIDH observó que el </w:t>
            </w:r>
            <w:r w:rsidR="00F70710" w:rsidRPr="000636DA">
              <w:rPr>
                <w:rFonts w:ascii="Calibri Light" w:hAnsi="Calibri Light"/>
                <w:b w:val="0"/>
              </w:rPr>
              <w:t>CPP</w:t>
            </w:r>
            <w:r w:rsidR="004C2B60" w:rsidRPr="000636DA">
              <w:rPr>
                <w:rFonts w:ascii="Calibri Light" w:hAnsi="Calibri Light"/>
                <w:b w:val="0"/>
              </w:rPr>
              <w:t xml:space="preserve"> </w:t>
            </w:r>
            <w:r w:rsidR="009D2141" w:rsidRPr="000636DA">
              <w:rPr>
                <w:rFonts w:ascii="Calibri Light" w:hAnsi="Calibri Light"/>
                <w:b w:val="0"/>
              </w:rPr>
              <w:t xml:space="preserve">le </w:t>
            </w:r>
            <w:r w:rsidR="004C2B60" w:rsidRPr="000636DA">
              <w:rPr>
                <w:rFonts w:ascii="Calibri Light" w:hAnsi="Calibri Light"/>
                <w:b w:val="0"/>
              </w:rPr>
              <w:t xml:space="preserve">otorgaba </w:t>
            </w:r>
            <w:r w:rsidR="009D2141" w:rsidRPr="000636DA">
              <w:rPr>
                <w:rFonts w:ascii="Calibri Light" w:hAnsi="Calibri Light"/>
                <w:b w:val="0"/>
              </w:rPr>
              <w:t xml:space="preserve">facultades a la </w:t>
            </w:r>
            <w:r w:rsidR="007E1AE3">
              <w:rPr>
                <w:rFonts w:ascii="Calibri Light" w:hAnsi="Calibri Light"/>
                <w:b w:val="0"/>
              </w:rPr>
              <w:t>P</w:t>
            </w:r>
            <w:r w:rsidR="00352098" w:rsidRPr="000636DA">
              <w:rPr>
                <w:rFonts w:ascii="Calibri Light" w:hAnsi="Calibri Light"/>
                <w:b w:val="0"/>
              </w:rPr>
              <w:t>olicía</w:t>
            </w:r>
            <w:r w:rsidR="004C2B60" w:rsidRPr="000636DA">
              <w:rPr>
                <w:rFonts w:ascii="Calibri Light" w:hAnsi="Calibri Light"/>
                <w:b w:val="0"/>
              </w:rPr>
              <w:t xml:space="preserve"> </w:t>
            </w:r>
            <w:r w:rsidR="009D2141" w:rsidRPr="000636DA">
              <w:rPr>
                <w:rFonts w:ascii="Calibri Light" w:hAnsi="Calibri Light"/>
                <w:b w:val="0"/>
              </w:rPr>
              <w:t xml:space="preserve">para </w:t>
            </w:r>
            <w:r w:rsidR="00352098">
              <w:rPr>
                <w:rFonts w:ascii="Calibri Light" w:hAnsi="Calibri Light"/>
                <w:b w:val="0"/>
              </w:rPr>
              <w:t xml:space="preserve">retener a una persona en aras de </w:t>
            </w:r>
            <w:r w:rsidR="00352098" w:rsidRPr="00352098">
              <w:rPr>
                <w:rFonts w:ascii="Calibri Light" w:hAnsi="Calibri Light"/>
                <w:b w:val="0"/>
              </w:rPr>
              <w:t>prevenir o investigar un delito</w:t>
            </w:r>
            <w:r w:rsidR="00352098">
              <w:rPr>
                <w:rFonts w:ascii="Calibri Light" w:hAnsi="Calibri Light"/>
                <w:b w:val="0"/>
              </w:rPr>
              <w:t xml:space="preserve"> y para </w:t>
            </w:r>
            <w:r w:rsidR="009D2141" w:rsidRPr="000636DA">
              <w:rPr>
                <w:rFonts w:ascii="Calibri Light" w:hAnsi="Calibri Light"/>
                <w:b w:val="0"/>
              </w:rPr>
              <w:t xml:space="preserve">requerir </w:t>
            </w:r>
            <w:r w:rsidR="00352098">
              <w:rPr>
                <w:rFonts w:ascii="Calibri Light" w:hAnsi="Calibri Light"/>
                <w:b w:val="0"/>
              </w:rPr>
              <w:t>su</w:t>
            </w:r>
            <w:r w:rsidR="009D2141" w:rsidRPr="000636DA">
              <w:rPr>
                <w:rFonts w:ascii="Calibri Light" w:hAnsi="Calibri Light"/>
                <w:b w:val="0"/>
              </w:rPr>
              <w:t xml:space="preserve"> identificación</w:t>
            </w:r>
            <w:r w:rsidR="00352098">
              <w:rPr>
                <w:rFonts w:ascii="Calibri Light" w:hAnsi="Calibri Light"/>
                <w:b w:val="0"/>
              </w:rPr>
              <w:t xml:space="preserve"> </w:t>
            </w:r>
            <w:r w:rsidR="009D2141" w:rsidRPr="000636DA">
              <w:rPr>
                <w:rFonts w:ascii="Calibri Light" w:hAnsi="Calibri Light"/>
                <w:b w:val="0"/>
              </w:rPr>
              <w:t xml:space="preserve"> en cualquier lugar, </w:t>
            </w:r>
            <w:r w:rsidR="004C2B60" w:rsidRPr="000636DA">
              <w:rPr>
                <w:rFonts w:ascii="Calibri Light" w:hAnsi="Calibri Light"/>
                <w:b w:val="0"/>
              </w:rPr>
              <w:t>sin necesidad de orden del Fiscal o del Juez</w:t>
            </w:r>
            <w:r w:rsidR="009D2141" w:rsidRPr="000636DA">
              <w:rPr>
                <w:rFonts w:ascii="Calibri Light" w:hAnsi="Calibri Light"/>
                <w:b w:val="0"/>
              </w:rPr>
              <w:t xml:space="preserve">. </w:t>
            </w:r>
            <w:r w:rsidR="00254042">
              <w:rPr>
                <w:rFonts w:ascii="Calibri Light" w:hAnsi="Calibri Light"/>
                <w:b w:val="0"/>
              </w:rPr>
              <w:t>De acuerdo a esta normativa,</w:t>
            </w:r>
            <w:r w:rsidR="004C2B60" w:rsidRPr="000636DA">
              <w:rPr>
                <w:rFonts w:ascii="Calibri Light" w:hAnsi="Calibri Light"/>
                <w:b w:val="0"/>
              </w:rPr>
              <w:t xml:space="preserve"> la intervención policial debía ser registrad</w:t>
            </w:r>
            <w:r w:rsidR="006954C5" w:rsidRPr="000636DA">
              <w:rPr>
                <w:rFonts w:ascii="Calibri Light" w:hAnsi="Calibri Light"/>
                <w:b w:val="0"/>
              </w:rPr>
              <w:t>a</w:t>
            </w:r>
            <w:r w:rsidR="004C2B60" w:rsidRPr="000636DA">
              <w:rPr>
                <w:rFonts w:ascii="Calibri Light" w:hAnsi="Calibri Light"/>
                <w:b w:val="0"/>
              </w:rPr>
              <w:t xml:space="preserve"> en un libro y no podía durar más de cuatro horas.</w:t>
            </w:r>
            <w:r w:rsidR="000D03B8" w:rsidRPr="000636DA">
              <w:rPr>
                <w:rFonts w:ascii="Calibri Light" w:hAnsi="Calibri Light"/>
                <w:b w:val="0"/>
              </w:rPr>
              <w:t xml:space="preserve"> Sin embargo, la detención de Azul Rojas </w:t>
            </w:r>
            <w:r w:rsidR="004C2B60" w:rsidRPr="000636DA">
              <w:rPr>
                <w:rFonts w:ascii="Calibri Light" w:hAnsi="Calibri Light"/>
                <w:b w:val="0"/>
              </w:rPr>
              <w:t>no se hizo constar en el Libro de Registro</w:t>
            </w:r>
            <w:r w:rsidR="006954C5" w:rsidRPr="000636DA">
              <w:rPr>
                <w:rFonts w:ascii="Calibri Light" w:hAnsi="Calibri Light"/>
                <w:b w:val="0"/>
              </w:rPr>
              <w:t xml:space="preserve"> y duró más tiempo </w:t>
            </w:r>
            <w:r w:rsidR="00254042" w:rsidRPr="000636DA">
              <w:rPr>
                <w:rFonts w:ascii="Calibri Light" w:hAnsi="Calibri Light"/>
                <w:b w:val="0"/>
              </w:rPr>
              <w:t xml:space="preserve">del </w:t>
            </w:r>
            <w:r w:rsidR="006954C5" w:rsidRPr="000636DA">
              <w:rPr>
                <w:rFonts w:ascii="Calibri Light" w:hAnsi="Calibri Light"/>
                <w:b w:val="0"/>
              </w:rPr>
              <w:t>previsto</w:t>
            </w:r>
            <w:r w:rsidR="004C2B60" w:rsidRPr="000636DA">
              <w:rPr>
                <w:rFonts w:ascii="Calibri Light" w:hAnsi="Calibri Light"/>
                <w:b w:val="0"/>
              </w:rPr>
              <w:t>. En ese sentido, la C</w:t>
            </w:r>
            <w:r w:rsidR="00B269B6" w:rsidRPr="000636DA">
              <w:rPr>
                <w:rFonts w:ascii="Calibri Light" w:hAnsi="Calibri Light"/>
                <w:b w:val="0"/>
              </w:rPr>
              <w:t>IDH</w:t>
            </w:r>
            <w:r w:rsidR="004C2B60" w:rsidRPr="000636DA">
              <w:rPr>
                <w:rFonts w:ascii="Calibri Light" w:hAnsi="Calibri Light"/>
                <w:b w:val="0"/>
              </w:rPr>
              <w:t xml:space="preserve"> consider</w:t>
            </w:r>
            <w:r w:rsidR="00B269B6" w:rsidRPr="000636DA">
              <w:rPr>
                <w:rFonts w:ascii="Calibri Light" w:hAnsi="Calibri Light"/>
                <w:b w:val="0"/>
              </w:rPr>
              <w:t>ó</w:t>
            </w:r>
            <w:r w:rsidR="004C2B60" w:rsidRPr="000636DA">
              <w:rPr>
                <w:rFonts w:ascii="Calibri Light" w:hAnsi="Calibri Light"/>
                <w:b w:val="0"/>
              </w:rPr>
              <w:t xml:space="preserve"> que la privación de libertad fue ilegal.</w:t>
            </w:r>
          </w:p>
          <w:p w14:paraId="3586BFA6" w14:textId="77777777" w:rsidR="00B269B6" w:rsidRPr="000636DA" w:rsidRDefault="00B269B6" w:rsidP="00B269B6">
            <w:pPr>
              <w:rPr>
                <w:rFonts w:ascii="Calibri Light" w:hAnsi="Calibri Light"/>
                <w:b w:val="0"/>
              </w:rPr>
            </w:pPr>
          </w:p>
          <w:p w14:paraId="3AFD304B" w14:textId="3D1B9390" w:rsidR="00633068" w:rsidRPr="000636DA" w:rsidRDefault="00B269B6" w:rsidP="00633068">
            <w:pPr>
              <w:jc w:val="both"/>
              <w:rPr>
                <w:rFonts w:ascii="Calibri Light" w:hAnsi="Calibri Light"/>
                <w:b w:val="0"/>
              </w:rPr>
            </w:pPr>
            <w:r w:rsidRPr="000636DA">
              <w:rPr>
                <w:rFonts w:ascii="Calibri Light" w:hAnsi="Calibri Light"/>
                <w:b w:val="0"/>
              </w:rPr>
              <w:t xml:space="preserve">Asimismo, la CIDH indicó que </w:t>
            </w:r>
            <w:r w:rsidR="00633068" w:rsidRPr="000636DA">
              <w:rPr>
                <w:rFonts w:ascii="Calibri Light" w:hAnsi="Calibri Light"/>
                <w:b w:val="0"/>
              </w:rPr>
              <w:t xml:space="preserve">el uso arbitrario de normas que facultan a la policía a privar de libertad con base en sospechas está habitualmente asociado a prejuicios y estereotipos de ciertos grupos. </w:t>
            </w:r>
            <w:r w:rsidR="000042FE">
              <w:rPr>
                <w:rFonts w:ascii="Calibri Light" w:hAnsi="Calibri Light"/>
                <w:b w:val="0"/>
              </w:rPr>
              <w:t>En ese sentido</w:t>
            </w:r>
            <w:r w:rsidR="00254042">
              <w:rPr>
                <w:rFonts w:ascii="Calibri Light" w:hAnsi="Calibri Light"/>
                <w:b w:val="0"/>
              </w:rPr>
              <w:t>, s</w:t>
            </w:r>
            <w:r w:rsidR="006954C5" w:rsidRPr="000636DA">
              <w:rPr>
                <w:rFonts w:ascii="Calibri Light" w:hAnsi="Calibri Light"/>
                <w:b w:val="0"/>
              </w:rPr>
              <w:t xml:space="preserve">e constató que </w:t>
            </w:r>
            <w:r w:rsidR="00633068" w:rsidRPr="000636DA">
              <w:rPr>
                <w:rFonts w:ascii="Calibri Light" w:hAnsi="Calibri Light"/>
                <w:b w:val="0"/>
              </w:rPr>
              <w:t xml:space="preserve">los </w:t>
            </w:r>
            <w:r w:rsidR="006954C5" w:rsidRPr="000636DA">
              <w:rPr>
                <w:rFonts w:ascii="Calibri Light" w:hAnsi="Calibri Light"/>
                <w:b w:val="0"/>
              </w:rPr>
              <w:t xml:space="preserve">agentes </w:t>
            </w:r>
            <w:r w:rsidRPr="000636DA">
              <w:rPr>
                <w:rFonts w:ascii="Calibri Light" w:hAnsi="Calibri Light"/>
                <w:b w:val="0"/>
              </w:rPr>
              <w:t>violentaron física y verbalmente</w:t>
            </w:r>
            <w:r w:rsidR="00254042">
              <w:rPr>
                <w:rFonts w:ascii="Calibri Light" w:hAnsi="Calibri Light"/>
                <w:b w:val="0"/>
              </w:rPr>
              <w:t xml:space="preserve"> a Azul Rojas</w:t>
            </w:r>
            <w:r w:rsidRPr="000636DA">
              <w:rPr>
                <w:rFonts w:ascii="Calibri Light" w:hAnsi="Calibri Light"/>
                <w:b w:val="0"/>
              </w:rPr>
              <w:t xml:space="preserve">, </w:t>
            </w:r>
            <w:r w:rsidR="00254042">
              <w:rPr>
                <w:rFonts w:ascii="Calibri Light" w:hAnsi="Calibri Light"/>
                <w:b w:val="0"/>
              </w:rPr>
              <w:t>haciendo referencia</w:t>
            </w:r>
            <w:r w:rsidR="00633068" w:rsidRPr="000636DA">
              <w:rPr>
                <w:rFonts w:ascii="Calibri Light" w:hAnsi="Calibri Light"/>
                <w:b w:val="0"/>
              </w:rPr>
              <w:t xml:space="preserve"> a su orientación sexual mediante expresiones denigrantes</w:t>
            </w:r>
            <w:r w:rsidR="000042FE">
              <w:rPr>
                <w:rFonts w:ascii="Calibri Light" w:hAnsi="Calibri Light"/>
                <w:b w:val="0"/>
              </w:rPr>
              <w:t xml:space="preserve">, </w:t>
            </w:r>
            <w:r w:rsidR="00633068" w:rsidRPr="000636DA">
              <w:rPr>
                <w:rFonts w:ascii="Calibri Light" w:hAnsi="Calibri Light"/>
                <w:b w:val="0"/>
              </w:rPr>
              <w:t xml:space="preserve"> </w:t>
            </w:r>
            <w:r w:rsidR="000042FE">
              <w:rPr>
                <w:rFonts w:ascii="Calibri Light" w:hAnsi="Calibri Light"/>
                <w:b w:val="0"/>
              </w:rPr>
              <w:t>lo cual fue una</w:t>
            </w:r>
            <w:r w:rsidR="006954C5" w:rsidRPr="000636DA">
              <w:rPr>
                <w:rFonts w:ascii="Calibri Light" w:hAnsi="Calibri Light"/>
                <w:b w:val="0"/>
              </w:rPr>
              <w:t xml:space="preserve"> actuación</w:t>
            </w:r>
            <w:r w:rsidR="00633068" w:rsidRPr="000636DA">
              <w:rPr>
                <w:rFonts w:ascii="Calibri Light" w:hAnsi="Calibri Light"/>
                <w:b w:val="0"/>
              </w:rPr>
              <w:t xml:space="preserve"> discriminatoria. </w:t>
            </w:r>
            <w:r w:rsidR="00115AE0">
              <w:rPr>
                <w:rFonts w:ascii="Calibri Light" w:hAnsi="Calibri Light"/>
                <w:b w:val="0"/>
              </w:rPr>
              <w:t>Además, a</w:t>
            </w:r>
            <w:r w:rsidR="00254042" w:rsidRPr="000636DA">
              <w:rPr>
                <w:rFonts w:ascii="Calibri Light" w:hAnsi="Calibri Light"/>
                <w:b w:val="0"/>
              </w:rPr>
              <w:t xml:space="preserve"> lo largo del proceso</w:t>
            </w:r>
            <w:r w:rsidR="00633068" w:rsidRPr="000636DA">
              <w:rPr>
                <w:rFonts w:ascii="Calibri Light" w:hAnsi="Calibri Light"/>
                <w:b w:val="0"/>
              </w:rPr>
              <w:t>, las autoridades judiciales</w:t>
            </w:r>
            <w:r w:rsidR="00C05A8E" w:rsidRPr="000636DA">
              <w:rPr>
                <w:rFonts w:ascii="Calibri Light" w:hAnsi="Calibri Light"/>
                <w:b w:val="0"/>
              </w:rPr>
              <w:t xml:space="preserve"> </w:t>
            </w:r>
            <w:r w:rsidR="00633068" w:rsidRPr="000636DA">
              <w:rPr>
                <w:rFonts w:ascii="Calibri Light" w:hAnsi="Calibri Light"/>
                <w:b w:val="0"/>
              </w:rPr>
              <w:t>no se pronunciaron sobre la ausencia de razones objetivas</w:t>
            </w:r>
            <w:r w:rsidR="00352098">
              <w:rPr>
                <w:rFonts w:ascii="Calibri Light" w:hAnsi="Calibri Light"/>
                <w:b w:val="0"/>
              </w:rPr>
              <w:t xml:space="preserve"> para aplicar el </w:t>
            </w:r>
            <w:r w:rsidR="00352098" w:rsidRPr="00352098">
              <w:rPr>
                <w:rFonts w:ascii="Calibri Light" w:hAnsi="Calibri Light"/>
                <w:b w:val="0"/>
              </w:rPr>
              <w:t xml:space="preserve">artículo 205 del </w:t>
            </w:r>
            <w:r w:rsidR="00352098">
              <w:rPr>
                <w:rFonts w:ascii="Calibri Light" w:hAnsi="Calibri Light"/>
                <w:b w:val="0"/>
              </w:rPr>
              <w:t>CPP</w:t>
            </w:r>
            <w:r w:rsidR="00115AE0">
              <w:rPr>
                <w:rFonts w:ascii="Calibri Light" w:hAnsi="Calibri Light"/>
                <w:b w:val="0"/>
              </w:rPr>
              <w:t>,</w:t>
            </w:r>
            <w:r w:rsidR="00633068" w:rsidRPr="000636DA">
              <w:rPr>
                <w:rFonts w:ascii="Calibri Light" w:hAnsi="Calibri Light"/>
                <w:b w:val="0"/>
              </w:rPr>
              <w:t xml:space="preserve"> </w:t>
            </w:r>
            <w:r w:rsidRPr="000636DA">
              <w:rPr>
                <w:rFonts w:ascii="Calibri Light" w:hAnsi="Calibri Light"/>
                <w:b w:val="0"/>
              </w:rPr>
              <w:t xml:space="preserve">sino </w:t>
            </w:r>
            <w:r w:rsidR="00633068" w:rsidRPr="000636DA">
              <w:rPr>
                <w:rFonts w:ascii="Calibri Light" w:hAnsi="Calibri Light"/>
                <w:b w:val="0"/>
              </w:rPr>
              <w:t>que</w:t>
            </w:r>
            <w:r w:rsidRPr="000636DA">
              <w:rPr>
                <w:rFonts w:ascii="Calibri Light" w:hAnsi="Calibri Light"/>
                <w:b w:val="0"/>
              </w:rPr>
              <w:t xml:space="preserve"> </w:t>
            </w:r>
            <w:r w:rsidR="00115AE0">
              <w:rPr>
                <w:rFonts w:ascii="Calibri Light" w:hAnsi="Calibri Light"/>
                <w:b w:val="0"/>
              </w:rPr>
              <w:t>reafirmaron</w:t>
            </w:r>
            <w:r w:rsidR="00633068" w:rsidRPr="000636DA">
              <w:rPr>
                <w:rFonts w:ascii="Calibri Light" w:hAnsi="Calibri Light"/>
                <w:b w:val="0"/>
              </w:rPr>
              <w:t xml:space="preserve"> la estigmatización de la víctima, por </w:t>
            </w:r>
            <w:r w:rsidR="00352098">
              <w:rPr>
                <w:rFonts w:ascii="Calibri Light" w:hAnsi="Calibri Light"/>
                <w:b w:val="0"/>
              </w:rPr>
              <w:t>ello</w:t>
            </w:r>
            <w:r w:rsidR="00633068" w:rsidRPr="000636DA">
              <w:rPr>
                <w:rFonts w:ascii="Calibri Light" w:hAnsi="Calibri Light"/>
                <w:b w:val="0"/>
              </w:rPr>
              <w:t xml:space="preserve"> tampoco contó con un recurso efecti</w:t>
            </w:r>
            <w:r w:rsidRPr="000636DA">
              <w:rPr>
                <w:rFonts w:ascii="Calibri Light" w:hAnsi="Calibri Light"/>
                <w:b w:val="0"/>
              </w:rPr>
              <w:t>vo frente a esta situación.</w:t>
            </w:r>
            <w:r w:rsidR="00254042">
              <w:rPr>
                <w:rFonts w:ascii="Calibri Light" w:hAnsi="Calibri Light"/>
                <w:b w:val="0"/>
              </w:rPr>
              <w:t xml:space="preserve"> </w:t>
            </w:r>
            <w:r w:rsidR="00633068" w:rsidRPr="000636DA">
              <w:rPr>
                <w:rFonts w:ascii="Calibri Light" w:hAnsi="Calibri Light"/>
                <w:b w:val="0"/>
              </w:rPr>
              <w:t xml:space="preserve">En base a estas consideraciones, la CIDH concluyó que el Estado de Perú </w:t>
            </w:r>
            <w:r w:rsidR="00C05A8E" w:rsidRPr="000636DA">
              <w:rPr>
                <w:rFonts w:ascii="Calibri Light" w:hAnsi="Calibri Light"/>
                <w:b w:val="0"/>
              </w:rPr>
              <w:t>violó</w:t>
            </w:r>
            <w:r w:rsidR="00633068" w:rsidRPr="000636DA">
              <w:rPr>
                <w:rFonts w:ascii="Calibri Light" w:hAnsi="Calibri Light"/>
                <w:b w:val="0"/>
              </w:rPr>
              <w:t xml:space="preserve"> los artículos 7.1, 7.2, 7.3, 11.2, 24 y 25.1 de la CADH</w:t>
            </w:r>
            <w:r w:rsidR="00254042">
              <w:rPr>
                <w:rFonts w:ascii="Calibri Light" w:hAnsi="Calibri Light"/>
                <w:b w:val="0"/>
              </w:rPr>
              <w:t>,</w:t>
            </w:r>
            <w:r w:rsidR="00633068" w:rsidRPr="000636DA">
              <w:rPr>
                <w:rFonts w:ascii="Calibri Light" w:hAnsi="Calibri Light"/>
                <w:b w:val="0"/>
              </w:rPr>
              <w:t xml:space="preserve"> en relación con el artículo 1.1, en perjuicio de Azul Rojas.</w:t>
            </w:r>
          </w:p>
          <w:p w14:paraId="79E89DB2" w14:textId="77777777" w:rsidR="006B75DD" w:rsidRPr="000636DA" w:rsidRDefault="006B75DD" w:rsidP="00633068">
            <w:pPr>
              <w:jc w:val="both"/>
              <w:rPr>
                <w:rFonts w:ascii="Calibri Light" w:hAnsi="Calibri Light"/>
              </w:rPr>
            </w:pPr>
          </w:p>
          <w:p w14:paraId="6BF6B3C4" w14:textId="5E46B27B" w:rsidR="006B75DD" w:rsidRPr="000636DA" w:rsidRDefault="00D04560" w:rsidP="00633068">
            <w:pPr>
              <w:jc w:val="both"/>
              <w:rPr>
                <w:rFonts w:ascii="Calibri Light" w:hAnsi="Calibri Light"/>
              </w:rPr>
            </w:pPr>
            <w:r w:rsidRPr="000636DA">
              <w:rPr>
                <w:rFonts w:ascii="Calibri Light" w:hAnsi="Calibri Light"/>
              </w:rPr>
              <w:t>Derechos a la integridad personal, a la vida privada, dignidad y autonomía, y a la</w:t>
            </w:r>
            <w:r w:rsidR="00B269B6" w:rsidRPr="000636DA">
              <w:rPr>
                <w:rFonts w:ascii="Calibri Light" w:hAnsi="Calibri Light"/>
              </w:rPr>
              <w:t xml:space="preserve"> igualdad y no discriminación (a</w:t>
            </w:r>
            <w:r w:rsidRPr="000636DA">
              <w:rPr>
                <w:rFonts w:ascii="Calibri Light" w:hAnsi="Calibri Light"/>
              </w:rPr>
              <w:t>rtículos 5, 11, 24 y 1.1 de la CADH; y 1 y 6 de la CIPST77)</w:t>
            </w:r>
          </w:p>
          <w:p w14:paraId="79550B63" w14:textId="76DF8E82" w:rsidR="00633068" w:rsidRPr="000636DA" w:rsidRDefault="00633068" w:rsidP="004C2B60">
            <w:pPr>
              <w:rPr>
                <w:rFonts w:ascii="Calibri Light" w:eastAsia="Times New Roman" w:hAnsi="Calibri Light"/>
                <w:lang w:val="es-PE"/>
              </w:rPr>
            </w:pPr>
          </w:p>
          <w:p w14:paraId="2C4C8FF6" w14:textId="347572E3" w:rsidR="004C2B60" w:rsidRPr="000636DA" w:rsidRDefault="00D04560" w:rsidP="00B269B6">
            <w:pPr>
              <w:jc w:val="both"/>
              <w:rPr>
                <w:rFonts w:ascii="Calibri Light" w:hAnsi="Calibri Light"/>
                <w:b w:val="0"/>
              </w:rPr>
            </w:pPr>
            <w:r w:rsidRPr="000636DA">
              <w:rPr>
                <w:rFonts w:ascii="Calibri Light" w:hAnsi="Calibri Light"/>
                <w:b w:val="0"/>
              </w:rPr>
              <w:t xml:space="preserve">La CIDH </w:t>
            </w:r>
            <w:r w:rsidR="00254042">
              <w:rPr>
                <w:rFonts w:ascii="Calibri Light" w:hAnsi="Calibri Light"/>
                <w:b w:val="0"/>
              </w:rPr>
              <w:t>recordó</w:t>
            </w:r>
            <w:r w:rsidR="00254042" w:rsidRPr="000636DA">
              <w:rPr>
                <w:rFonts w:ascii="Calibri Light" w:hAnsi="Calibri Light"/>
                <w:b w:val="0"/>
              </w:rPr>
              <w:t xml:space="preserve"> </w:t>
            </w:r>
            <w:r w:rsidRPr="000636DA">
              <w:rPr>
                <w:rFonts w:ascii="Calibri Light" w:hAnsi="Calibri Light"/>
                <w:b w:val="0"/>
              </w:rPr>
              <w:t>que la violación sexual constituye una grave violación de los derechos humanos protegidos en lo</w:t>
            </w:r>
            <w:r w:rsidR="00B269B6" w:rsidRPr="000636DA">
              <w:rPr>
                <w:rFonts w:ascii="Calibri Light" w:hAnsi="Calibri Light"/>
                <w:b w:val="0"/>
              </w:rPr>
              <w:t>s artículos 5 y 11 de la CADH, p</w:t>
            </w:r>
            <w:r w:rsidRPr="000636DA">
              <w:rPr>
                <w:rFonts w:ascii="Calibri Light" w:hAnsi="Calibri Light"/>
                <w:b w:val="0"/>
              </w:rPr>
              <w:t>ues causa gran daño</w:t>
            </w:r>
            <w:r w:rsidR="00254042">
              <w:rPr>
                <w:rFonts w:ascii="Calibri Light" w:hAnsi="Calibri Light"/>
                <w:b w:val="0"/>
              </w:rPr>
              <w:t xml:space="preserve"> y humillación</w:t>
            </w:r>
            <w:r w:rsidRPr="000636DA">
              <w:rPr>
                <w:rFonts w:ascii="Calibri Light" w:hAnsi="Calibri Light"/>
                <w:b w:val="0"/>
              </w:rPr>
              <w:t xml:space="preserve"> físic</w:t>
            </w:r>
            <w:r w:rsidR="00254042">
              <w:rPr>
                <w:rFonts w:ascii="Calibri Light" w:hAnsi="Calibri Light"/>
                <w:b w:val="0"/>
              </w:rPr>
              <w:t>a</w:t>
            </w:r>
            <w:r w:rsidRPr="000636DA">
              <w:rPr>
                <w:rFonts w:ascii="Calibri Light" w:hAnsi="Calibri Light"/>
                <w:b w:val="0"/>
              </w:rPr>
              <w:t xml:space="preserve"> y psi</w:t>
            </w:r>
            <w:r w:rsidR="00B269B6" w:rsidRPr="000636DA">
              <w:rPr>
                <w:rFonts w:ascii="Calibri Light" w:hAnsi="Calibri Light"/>
                <w:b w:val="0"/>
              </w:rPr>
              <w:t>cológic</w:t>
            </w:r>
            <w:r w:rsidR="00254042">
              <w:rPr>
                <w:rFonts w:ascii="Calibri Light" w:hAnsi="Calibri Light"/>
                <w:b w:val="0"/>
              </w:rPr>
              <w:t>a a la víctima</w:t>
            </w:r>
            <w:r w:rsidRPr="000636DA">
              <w:rPr>
                <w:rFonts w:ascii="Calibri Light" w:hAnsi="Calibri Light"/>
                <w:b w:val="0"/>
              </w:rPr>
              <w:t xml:space="preserve">. </w:t>
            </w:r>
            <w:r w:rsidR="00254042">
              <w:rPr>
                <w:rFonts w:ascii="Calibri Light" w:hAnsi="Calibri Light"/>
                <w:b w:val="0"/>
              </w:rPr>
              <w:t>Este tipo de actos es especialmente grave c</w:t>
            </w:r>
            <w:r w:rsidRPr="000636DA">
              <w:rPr>
                <w:rFonts w:ascii="Calibri Light" w:hAnsi="Calibri Light"/>
                <w:b w:val="0"/>
              </w:rPr>
              <w:t xml:space="preserve">uando </w:t>
            </w:r>
            <w:r w:rsidR="00254042">
              <w:rPr>
                <w:rFonts w:ascii="Calibri Light" w:hAnsi="Calibri Light"/>
                <w:b w:val="0"/>
              </w:rPr>
              <w:t xml:space="preserve">es realizado por </w:t>
            </w:r>
            <w:r w:rsidRPr="000636DA">
              <w:rPr>
                <w:rFonts w:ascii="Calibri Light" w:hAnsi="Calibri Light"/>
                <w:b w:val="0"/>
              </w:rPr>
              <w:t xml:space="preserve">un agente estatal en contra de una persona detenida, </w:t>
            </w:r>
            <w:r w:rsidR="00254042">
              <w:rPr>
                <w:rFonts w:ascii="Calibri Light" w:hAnsi="Calibri Light"/>
                <w:b w:val="0"/>
              </w:rPr>
              <w:t xml:space="preserve">debido a </w:t>
            </w:r>
            <w:r w:rsidR="00C05A8E" w:rsidRPr="000636DA">
              <w:rPr>
                <w:rFonts w:ascii="Calibri Light" w:hAnsi="Calibri Light"/>
                <w:b w:val="0"/>
              </w:rPr>
              <w:t xml:space="preserve">la vulnerabilidad de la víctima y </w:t>
            </w:r>
            <w:r w:rsidR="00F57776">
              <w:rPr>
                <w:rFonts w:ascii="Calibri Light" w:hAnsi="Calibri Light"/>
                <w:b w:val="0"/>
              </w:rPr>
              <w:t>a</w:t>
            </w:r>
            <w:r w:rsidR="00C05A8E" w:rsidRPr="000636DA">
              <w:rPr>
                <w:rFonts w:ascii="Calibri Light" w:hAnsi="Calibri Light"/>
                <w:b w:val="0"/>
              </w:rPr>
              <w:t>l abuso de poder</w:t>
            </w:r>
            <w:r w:rsidR="00F57776">
              <w:rPr>
                <w:rFonts w:ascii="Calibri Light" w:hAnsi="Calibri Light"/>
                <w:b w:val="0"/>
              </w:rPr>
              <w:t xml:space="preserve"> existente</w:t>
            </w:r>
            <w:r w:rsidR="00C05A8E" w:rsidRPr="000636DA">
              <w:rPr>
                <w:rFonts w:ascii="Calibri Light" w:hAnsi="Calibri Light"/>
                <w:b w:val="0"/>
              </w:rPr>
              <w:t xml:space="preserve">. </w:t>
            </w:r>
            <w:r w:rsidR="00115AE0">
              <w:rPr>
                <w:rFonts w:ascii="Calibri Light" w:hAnsi="Calibri Light"/>
                <w:b w:val="0"/>
              </w:rPr>
              <w:t xml:space="preserve">Tanto </w:t>
            </w:r>
            <w:r w:rsidR="00115AE0" w:rsidRPr="00936BC3">
              <w:rPr>
                <w:rFonts w:ascii="Calibri Light" w:hAnsi="Calibri Light"/>
                <w:b w:val="0"/>
              </w:rPr>
              <w:t xml:space="preserve">la CIDH como la Corte IDH han calificado diversos actos de </w:t>
            </w:r>
            <w:r w:rsidR="002E66B8">
              <w:rPr>
                <w:rFonts w:ascii="Calibri Light" w:hAnsi="Calibri Light"/>
                <w:b w:val="0"/>
              </w:rPr>
              <w:t>esta índole</w:t>
            </w:r>
            <w:r w:rsidR="00115AE0" w:rsidRPr="00936BC3">
              <w:rPr>
                <w:rFonts w:ascii="Calibri Light" w:hAnsi="Calibri Light"/>
                <w:b w:val="0"/>
              </w:rPr>
              <w:t xml:space="preserve"> como formas de tortura</w:t>
            </w:r>
            <w:r w:rsidR="00115AE0">
              <w:rPr>
                <w:rFonts w:ascii="Calibri Light" w:hAnsi="Calibri Light"/>
                <w:b w:val="0"/>
              </w:rPr>
              <w:t xml:space="preserve">. </w:t>
            </w:r>
            <w:r w:rsidR="00505CE6">
              <w:rPr>
                <w:rFonts w:ascii="Calibri Light" w:hAnsi="Calibri Light"/>
                <w:b w:val="0"/>
              </w:rPr>
              <w:t xml:space="preserve">En esa medida, es preciso recordar que </w:t>
            </w:r>
            <w:r w:rsidR="000306E3" w:rsidRPr="000636DA">
              <w:rPr>
                <w:rFonts w:ascii="Calibri Light" w:hAnsi="Calibri Light"/>
                <w:b w:val="0"/>
              </w:rPr>
              <w:t>la prohibición de la tortura es una</w:t>
            </w:r>
            <w:r w:rsidRPr="000636DA">
              <w:rPr>
                <w:rFonts w:ascii="Calibri Light" w:hAnsi="Calibri Light"/>
                <w:b w:val="0"/>
              </w:rPr>
              <w:t xml:space="preserve"> norma perentoria del </w:t>
            </w:r>
            <w:r w:rsidR="00254042">
              <w:rPr>
                <w:rFonts w:ascii="Calibri Light" w:hAnsi="Calibri Light"/>
                <w:b w:val="0"/>
              </w:rPr>
              <w:t>D</w:t>
            </w:r>
            <w:r w:rsidRPr="000636DA">
              <w:rPr>
                <w:rFonts w:ascii="Calibri Light" w:hAnsi="Calibri Light"/>
                <w:b w:val="0"/>
              </w:rPr>
              <w:t xml:space="preserve">erecho </w:t>
            </w:r>
            <w:r w:rsidR="00F57776">
              <w:rPr>
                <w:rFonts w:ascii="Calibri Light" w:hAnsi="Calibri Light"/>
                <w:b w:val="0"/>
              </w:rPr>
              <w:t>I</w:t>
            </w:r>
            <w:r w:rsidRPr="000636DA">
              <w:rPr>
                <w:rFonts w:ascii="Calibri Light" w:hAnsi="Calibri Light"/>
                <w:b w:val="0"/>
              </w:rPr>
              <w:t xml:space="preserve">nternacional que crea obligaciones </w:t>
            </w:r>
            <w:r w:rsidRPr="00936BC3">
              <w:rPr>
                <w:rFonts w:ascii="Calibri Light" w:hAnsi="Calibri Light"/>
                <w:b w:val="0"/>
                <w:i/>
              </w:rPr>
              <w:t>erg</w:t>
            </w:r>
            <w:r w:rsidR="000306E3" w:rsidRPr="00936BC3">
              <w:rPr>
                <w:rFonts w:ascii="Calibri Light" w:hAnsi="Calibri Light"/>
                <w:b w:val="0"/>
                <w:i/>
              </w:rPr>
              <w:t>a omnes</w:t>
            </w:r>
            <w:r w:rsidR="000306E3" w:rsidRPr="000636DA">
              <w:rPr>
                <w:rFonts w:ascii="Calibri Light" w:hAnsi="Calibri Light"/>
                <w:b w:val="0"/>
              </w:rPr>
              <w:t xml:space="preserve"> y es </w:t>
            </w:r>
            <w:r w:rsidRPr="000636DA">
              <w:rPr>
                <w:rFonts w:ascii="Calibri Light" w:hAnsi="Calibri Light"/>
                <w:b w:val="0"/>
              </w:rPr>
              <w:t xml:space="preserve">norma de </w:t>
            </w:r>
            <w:r w:rsidRPr="00936BC3">
              <w:rPr>
                <w:rFonts w:ascii="Calibri Light" w:hAnsi="Calibri Light"/>
                <w:b w:val="0"/>
                <w:i/>
              </w:rPr>
              <w:t>jus cogen</w:t>
            </w:r>
            <w:r w:rsidR="000306E3" w:rsidRPr="004A6246">
              <w:rPr>
                <w:rFonts w:ascii="Calibri Light" w:hAnsi="Calibri Light"/>
                <w:b w:val="0"/>
                <w:i/>
              </w:rPr>
              <w:t>s</w:t>
            </w:r>
            <w:r w:rsidR="000306E3" w:rsidRPr="000636DA">
              <w:rPr>
                <w:rFonts w:ascii="Calibri Light" w:hAnsi="Calibri Light"/>
                <w:b w:val="0"/>
              </w:rPr>
              <w:t>.</w:t>
            </w:r>
            <w:r w:rsidR="00936BC3">
              <w:rPr>
                <w:rFonts w:ascii="Calibri Light" w:hAnsi="Calibri Light"/>
                <w:b w:val="0"/>
              </w:rPr>
              <w:t xml:space="preserve"> </w:t>
            </w:r>
          </w:p>
          <w:p w14:paraId="167BD460" w14:textId="77777777" w:rsidR="00C215C3" w:rsidRPr="000636DA" w:rsidRDefault="00C215C3" w:rsidP="004C2B60">
            <w:pPr>
              <w:rPr>
                <w:rFonts w:ascii="Calibri Light" w:hAnsi="Calibri Light"/>
                <w:b w:val="0"/>
              </w:rPr>
            </w:pPr>
          </w:p>
          <w:p w14:paraId="6016DF32" w14:textId="146F547D" w:rsidR="00C215C3" w:rsidRPr="000636DA" w:rsidRDefault="00BC02BF" w:rsidP="00665B1B">
            <w:pPr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>De otra parte</w:t>
            </w:r>
            <w:r w:rsidR="00F57776">
              <w:rPr>
                <w:rFonts w:ascii="Calibri Light" w:hAnsi="Calibri Light"/>
                <w:b w:val="0"/>
              </w:rPr>
              <w:t>,</w:t>
            </w:r>
            <w:r w:rsidR="00C215C3" w:rsidRPr="000636DA">
              <w:rPr>
                <w:rFonts w:ascii="Calibri Light" w:hAnsi="Calibri Light"/>
                <w:b w:val="0"/>
              </w:rPr>
              <w:t xml:space="preserve"> </w:t>
            </w:r>
            <w:r w:rsidR="00AF5643">
              <w:rPr>
                <w:rFonts w:ascii="Calibri Light" w:hAnsi="Calibri Light"/>
                <w:b w:val="0"/>
              </w:rPr>
              <w:t xml:space="preserve">la CIDH </w:t>
            </w:r>
            <w:r w:rsidR="00F57776">
              <w:rPr>
                <w:rFonts w:ascii="Calibri Light" w:hAnsi="Calibri Light"/>
                <w:b w:val="0"/>
              </w:rPr>
              <w:t>precis</w:t>
            </w:r>
            <w:r w:rsidR="00F57776" w:rsidRPr="000636DA">
              <w:rPr>
                <w:rFonts w:ascii="Calibri Light" w:hAnsi="Calibri Light"/>
                <w:b w:val="0"/>
              </w:rPr>
              <w:t xml:space="preserve">ó </w:t>
            </w:r>
            <w:r w:rsidR="00C215C3" w:rsidRPr="000636DA">
              <w:rPr>
                <w:rFonts w:ascii="Calibri Light" w:hAnsi="Calibri Light"/>
                <w:b w:val="0"/>
              </w:rPr>
              <w:t>que los siguientes elementos, entre otros, podrían ser indicat</w:t>
            </w:r>
            <w:r w:rsidR="00B269B6" w:rsidRPr="000636DA">
              <w:rPr>
                <w:rFonts w:ascii="Calibri Light" w:hAnsi="Calibri Light"/>
                <w:b w:val="0"/>
              </w:rPr>
              <w:t>ivos de un crimen por prejuicio</w:t>
            </w:r>
            <w:r w:rsidR="00C215C3" w:rsidRPr="000636DA">
              <w:rPr>
                <w:rFonts w:ascii="Calibri Light" w:hAnsi="Calibri Light"/>
                <w:b w:val="0"/>
              </w:rPr>
              <w:t>: i) declaraciones de la víctima de que el crimen estuvo motivado por prejuicios; ii) la brutalidad del crimen y signos de ensañamiento; e iii) insultos</w:t>
            </w:r>
            <w:r w:rsidR="00B269B6" w:rsidRPr="000636DA">
              <w:rPr>
                <w:rFonts w:ascii="Calibri Light" w:hAnsi="Calibri Light"/>
                <w:b w:val="0"/>
              </w:rPr>
              <w:t xml:space="preserve"> o comentarios realizados</w:t>
            </w:r>
            <w:r w:rsidR="0038215F">
              <w:rPr>
                <w:rFonts w:ascii="Calibri Light" w:hAnsi="Calibri Light"/>
                <w:b w:val="0"/>
              </w:rPr>
              <w:t xml:space="preserve"> que hacen referencia a </w:t>
            </w:r>
            <w:r w:rsidR="00F351EE">
              <w:rPr>
                <w:rFonts w:ascii="Calibri Light" w:hAnsi="Calibri Light"/>
                <w:b w:val="0"/>
              </w:rPr>
              <w:t xml:space="preserve">la </w:t>
            </w:r>
            <w:r w:rsidR="00C215C3" w:rsidRPr="000636DA">
              <w:rPr>
                <w:rFonts w:ascii="Calibri Light" w:hAnsi="Calibri Light"/>
                <w:b w:val="0"/>
              </w:rPr>
              <w:t>orientación sexual y/o identidad de género de la</w:t>
            </w:r>
            <w:r w:rsidR="00D74E76" w:rsidRPr="000636DA">
              <w:rPr>
                <w:rFonts w:ascii="Calibri Light" w:hAnsi="Calibri Light"/>
                <w:b w:val="0"/>
              </w:rPr>
              <w:t xml:space="preserve"> </w:t>
            </w:r>
            <w:r w:rsidR="00BA1038" w:rsidRPr="000636DA">
              <w:rPr>
                <w:rFonts w:ascii="Calibri Light" w:hAnsi="Calibri Light"/>
                <w:b w:val="0"/>
              </w:rPr>
              <w:t>víctima</w:t>
            </w:r>
            <w:r w:rsidR="00D74E76" w:rsidRPr="000636DA">
              <w:rPr>
                <w:rFonts w:ascii="Calibri Light" w:hAnsi="Calibri Light"/>
                <w:b w:val="0"/>
              </w:rPr>
              <w:t>.</w:t>
            </w:r>
            <w:r w:rsidR="00110C71" w:rsidRPr="000636DA">
              <w:rPr>
                <w:rFonts w:ascii="Calibri Light" w:hAnsi="Calibri Light"/>
                <w:b w:val="0"/>
              </w:rPr>
              <w:t xml:space="preserve"> </w:t>
            </w:r>
            <w:r w:rsidR="00AF5643">
              <w:rPr>
                <w:rFonts w:ascii="Calibri Light" w:hAnsi="Calibri Light"/>
                <w:b w:val="0"/>
              </w:rPr>
              <w:t>Además</w:t>
            </w:r>
            <w:r w:rsidR="00C215C3" w:rsidRPr="000636DA">
              <w:rPr>
                <w:rFonts w:ascii="Calibri Light" w:hAnsi="Calibri Light"/>
                <w:b w:val="0"/>
              </w:rPr>
              <w:t>, rec</w:t>
            </w:r>
            <w:r w:rsidR="00665B1B" w:rsidRPr="000636DA">
              <w:rPr>
                <w:rFonts w:ascii="Calibri Light" w:hAnsi="Calibri Light"/>
                <w:b w:val="0"/>
              </w:rPr>
              <w:t>ordó</w:t>
            </w:r>
            <w:r w:rsidR="00C215C3" w:rsidRPr="000636DA">
              <w:rPr>
                <w:rFonts w:ascii="Calibri Light" w:hAnsi="Calibri Light"/>
                <w:b w:val="0"/>
              </w:rPr>
              <w:t xml:space="preserve"> que la orientación sexual constituye </w:t>
            </w:r>
            <w:r w:rsidR="00665B1B" w:rsidRPr="000636DA">
              <w:rPr>
                <w:rFonts w:ascii="Calibri Light" w:hAnsi="Calibri Light"/>
                <w:b w:val="0"/>
              </w:rPr>
              <w:t>parte de</w:t>
            </w:r>
            <w:r w:rsidR="00C215C3" w:rsidRPr="000636DA">
              <w:rPr>
                <w:rFonts w:ascii="Calibri Light" w:hAnsi="Calibri Light"/>
                <w:b w:val="0"/>
              </w:rPr>
              <w:t xml:space="preserve"> l</w:t>
            </w:r>
            <w:r w:rsidR="00665B1B" w:rsidRPr="000636DA">
              <w:rPr>
                <w:rFonts w:ascii="Calibri Light" w:hAnsi="Calibri Light"/>
                <w:b w:val="0"/>
              </w:rPr>
              <w:t xml:space="preserve">a vida privada de una persona, </w:t>
            </w:r>
            <w:r w:rsidR="00AF5643">
              <w:rPr>
                <w:rFonts w:ascii="Calibri Light" w:hAnsi="Calibri Light"/>
                <w:b w:val="0"/>
              </w:rPr>
              <w:t>“lo cual</w:t>
            </w:r>
            <w:r w:rsidR="00665B1B" w:rsidRPr="000636DA">
              <w:rPr>
                <w:rFonts w:ascii="Calibri Light" w:hAnsi="Calibri Light"/>
                <w:b w:val="0"/>
              </w:rPr>
              <w:t xml:space="preserve"> conlleva </w:t>
            </w:r>
            <w:r w:rsidR="00AF5643">
              <w:rPr>
                <w:rFonts w:ascii="Calibri Light" w:hAnsi="Calibri Light"/>
                <w:b w:val="0"/>
              </w:rPr>
              <w:t>e</w:t>
            </w:r>
            <w:r w:rsidR="00C215C3" w:rsidRPr="000636DA">
              <w:rPr>
                <w:rFonts w:ascii="Calibri Light" w:hAnsi="Calibri Light"/>
                <w:b w:val="0"/>
              </w:rPr>
              <w:t xml:space="preserve">l respeto </w:t>
            </w:r>
            <w:r w:rsidR="00665B1B" w:rsidRPr="000636DA">
              <w:rPr>
                <w:rFonts w:ascii="Calibri Light" w:hAnsi="Calibri Light"/>
                <w:b w:val="0"/>
              </w:rPr>
              <w:t xml:space="preserve">del </w:t>
            </w:r>
            <w:r w:rsidR="00C215C3" w:rsidRPr="000636DA">
              <w:rPr>
                <w:rFonts w:ascii="Calibri Light" w:hAnsi="Calibri Light"/>
                <w:b w:val="0"/>
              </w:rPr>
              <w:t>derecho de expresar libremente dicha orientación sexual, como parte del libre desarrollo de la personalidad</w:t>
            </w:r>
            <w:r w:rsidR="00936BC3">
              <w:rPr>
                <w:rFonts w:ascii="Calibri Light" w:hAnsi="Calibri Light"/>
                <w:b w:val="0"/>
              </w:rPr>
              <w:t xml:space="preserve">, </w:t>
            </w:r>
            <w:r w:rsidR="00936BC3" w:rsidRPr="00936BC3">
              <w:rPr>
                <w:rFonts w:ascii="Calibri Light" w:hAnsi="Calibri Light"/>
                <w:b w:val="0"/>
              </w:rPr>
              <w:t>necesario en el proyecto de vida de una persona</w:t>
            </w:r>
            <w:r w:rsidR="00AF5643">
              <w:rPr>
                <w:rFonts w:ascii="Calibri Light" w:hAnsi="Calibri Light"/>
                <w:b w:val="0"/>
              </w:rPr>
              <w:t>”</w:t>
            </w:r>
            <w:r w:rsidR="00D74E76" w:rsidRPr="000636DA">
              <w:rPr>
                <w:rFonts w:ascii="Calibri Light" w:hAnsi="Calibri Light"/>
                <w:b w:val="0"/>
              </w:rPr>
              <w:t xml:space="preserve">. </w:t>
            </w:r>
            <w:r w:rsidR="00D74E76" w:rsidRPr="00AF5643">
              <w:rPr>
                <w:rFonts w:ascii="Calibri Light" w:hAnsi="Calibri Light"/>
                <w:b w:val="0"/>
              </w:rPr>
              <w:t xml:space="preserve">En ese sentido, </w:t>
            </w:r>
            <w:r w:rsidR="00AF5643" w:rsidRPr="00AF5643">
              <w:rPr>
                <w:rFonts w:ascii="Calibri Light" w:hAnsi="Calibri Light"/>
                <w:b w:val="0"/>
              </w:rPr>
              <w:t xml:space="preserve">cuando el motivo de estos actos es el prejuicio por orientación sexual, </w:t>
            </w:r>
            <w:r w:rsidR="00C215C3" w:rsidRPr="00AF5643">
              <w:rPr>
                <w:rFonts w:ascii="Calibri Light" w:hAnsi="Calibri Light"/>
                <w:b w:val="0"/>
              </w:rPr>
              <w:t>la viol</w:t>
            </w:r>
            <w:r w:rsidR="00AF5643" w:rsidRPr="00AF5643">
              <w:rPr>
                <w:rFonts w:ascii="Calibri Light" w:hAnsi="Calibri Light"/>
                <w:b w:val="0"/>
              </w:rPr>
              <w:t xml:space="preserve">ación </w:t>
            </w:r>
            <w:r w:rsidR="00D74E76" w:rsidRPr="00AF5643">
              <w:rPr>
                <w:rFonts w:ascii="Calibri Light" w:hAnsi="Calibri Light"/>
                <w:b w:val="0"/>
              </w:rPr>
              <w:t>implica</w:t>
            </w:r>
            <w:r w:rsidR="00C215C3" w:rsidRPr="00AF5643">
              <w:rPr>
                <w:rFonts w:ascii="Calibri Light" w:hAnsi="Calibri Light"/>
                <w:b w:val="0"/>
              </w:rPr>
              <w:t xml:space="preserve"> una afectación a varios derechos incluyendo el de</w:t>
            </w:r>
            <w:r w:rsidR="00D74E76" w:rsidRPr="00AF5643">
              <w:rPr>
                <w:rFonts w:ascii="Calibri Light" w:hAnsi="Calibri Light"/>
                <w:b w:val="0"/>
              </w:rPr>
              <w:t>recho de autonomía y dignidad.</w:t>
            </w:r>
          </w:p>
          <w:p w14:paraId="32F5F955" w14:textId="77777777" w:rsidR="00665B1B" w:rsidRPr="000636DA" w:rsidRDefault="00665B1B" w:rsidP="002173ED">
            <w:pPr>
              <w:jc w:val="both"/>
              <w:rPr>
                <w:rFonts w:ascii="Calibri Light" w:hAnsi="Calibri Light"/>
                <w:b w:val="0"/>
              </w:rPr>
            </w:pPr>
          </w:p>
          <w:p w14:paraId="7BF003B4" w14:textId="3C08CB62" w:rsidR="00405955" w:rsidRDefault="00405955" w:rsidP="00BA1038">
            <w:pPr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 xml:space="preserve">En </w:t>
            </w:r>
            <w:r w:rsidR="00E269B6">
              <w:rPr>
                <w:rFonts w:ascii="Calibri Light" w:hAnsi="Calibri Light"/>
                <w:b w:val="0"/>
              </w:rPr>
              <w:t>relación a estos elementos</w:t>
            </w:r>
            <w:r>
              <w:rPr>
                <w:rFonts w:ascii="Calibri Light" w:hAnsi="Calibri Light"/>
                <w:b w:val="0"/>
              </w:rPr>
              <w:t>,</w:t>
            </w:r>
            <w:r w:rsidR="00797E28">
              <w:rPr>
                <w:rFonts w:ascii="Calibri Light" w:hAnsi="Calibri Light"/>
                <w:b w:val="0"/>
              </w:rPr>
              <w:t xml:space="preserve"> l</w:t>
            </w:r>
            <w:r w:rsidR="00D74E76" w:rsidRPr="000636DA">
              <w:rPr>
                <w:rFonts w:ascii="Calibri Light" w:hAnsi="Calibri Light"/>
                <w:b w:val="0"/>
              </w:rPr>
              <w:t xml:space="preserve">a </w:t>
            </w:r>
            <w:r w:rsidR="0069176E" w:rsidRPr="000636DA">
              <w:rPr>
                <w:rFonts w:ascii="Calibri Light" w:hAnsi="Calibri Light"/>
                <w:b w:val="0"/>
              </w:rPr>
              <w:t>CIDH observó</w:t>
            </w:r>
            <w:r w:rsidR="00665B1B" w:rsidRPr="000636DA">
              <w:rPr>
                <w:rFonts w:ascii="Calibri Light" w:hAnsi="Calibri Light"/>
                <w:b w:val="0"/>
              </w:rPr>
              <w:t xml:space="preserve"> que Azul Rojas </w:t>
            </w:r>
            <w:r w:rsidR="002173ED" w:rsidRPr="000636DA">
              <w:rPr>
                <w:rFonts w:ascii="Calibri Light" w:hAnsi="Calibri Light"/>
                <w:b w:val="0"/>
              </w:rPr>
              <w:t>declaró</w:t>
            </w:r>
            <w:r w:rsidR="00665B1B" w:rsidRPr="000636DA">
              <w:rPr>
                <w:rFonts w:ascii="Calibri Light" w:hAnsi="Calibri Light"/>
                <w:b w:val="0"/>
              </w:rPr>
              <w:t xml:space="preserve"> </w:t>
            </w:r>
            <w:r w:rsidR="002173ED" w:rsidRPr="000636DA">
              <w:rPr>
                <w:rFonts w:ascii="Calibri Light" w:hAnsi="Calibri Light"/>
                <w:b w:val="0"/>
              </w:rPr>
              <w:t>consistentemente</w:t>
            </w:r>
            <w:r w:rsidR="00665B1B" w:rsidRPr="000636DA">
              <w:rPr>
                <w:rFonts w:ascii="Calibri Light" w:hAnsi="Calibri Light"/>
                <w:b w:val="0"/>
              </w:rPr>
              <w:t xml:space="preserve"> las circunstancias </w:t>
            </w:r>
            <w:r w:rsidR="002173ED" w:rsidRPr="000636DA">
              <w:rPr>
                <w:rFonts w:ascii="Calibri Light" w:hAnsi="Calibri Light"/>
                <w:b w:val="0"/>
              </w:rPr>
              <w:t>de su detención</w:t>
            </w:r>
            <w:r w:rsidR="00797E28">
              <w:rPr>
                <w:rFonts w:ascii="Calibri Light" w:hAnsi="Calibri Light"/>
                <w:b w:val="0"/>
              </w:rPr>
              <w:t>.</w:t>
            </w:r>
            <w:r w:rsidR="002173ED" w:rsidRPr="000636DA">
              <w:rPr>
                <w:rFonts w:ascii="Calibri Light" w:hAnsi="Calibri Light"/>
                <w:b w:val="0"/>
              </w:rPr>
              <w:t xml:space="preserve"> </w:t>
            </w:r>
            <w:r w:rsidR="00797E28">
              <w:rPr>
                <w:rFonts w:ascii="Calibri Light" w:hAnsi="Calibri Light"/>
                <w:b w:val="0"/>
              </w:rPr>
              <w:t>E</w:t>
            </w:r>
            <w:r w:rsidR="002173ED" w:rsidRPr="000636DA">
              <w:rPr>
                <w:rFonts w:ascii="Calibri Light" w:hAnsi="Calibri Light"/>
                <w:b w:val="0"/>
              </w:rPr>
              <w:t>n todas sus declaraciones</w:t>
            </w:r>
            <w:r w:rsidR="00797E28">
              <w:rPr>
                <w:rFonts w:ascii="Calibri Light" w:hAnsi="Calibri Light"/>
                <w:b w:val="0"/>
              </w:rPr>
              <w:t>,</w:t>
            </w:r>
            <w:r w:rsidR="00665B1B" w:rsidRPr="000636DA">
              <w:rPr>
                <w:rFonts w:ascii="Calibri Light" w:hAnsi="Calibri Light"/>
                <w:b w:val="0"/>
              </w:rPr>
              <w:t xml:space="preserve"> </w:t>
            </w:r>
            <w:r w:rsidR="002173ED" w:rsidRPr="000636DA">
              <w:rPr>
                <w:rFonts w:ascii="Calibri Light" w:hAnsi="Calibri Light"/>
                <w:b w:val="0"/>
              </w:rPr>
              <w:t xml:space="preserve">reveló </w:t>
            </w:r>
            <w:r w:rsidR="00665B1B" w:rsidRPr="000636DA">
              <w:rPr>
                <w:rFonts w:ascii="Calibri Light" w:hAnsi="Calibri Light"/>
                <w:b w:val="0"/>
              </w:rPr>
              <w:t>que había sido sometida a una situación de violencia física y verbal, incluyendo actos de naturaleza sexual tales como</w:t>
            </w:r>
            <w:r w:rsidR="00797E28">
              <w:rPr>
                <w:rFonts w:ascii="Calibri Light" w:hAnsi="Calibri Light"/>
                <w:b w:val="0"/>
              </w:rPr>
              <w:t xml:space="preserve"> haber sido despojada de</w:t>
            </w:r>
            <w:r w:rsidR="00665B1B" w:rsidRPr="000636DA">
              <w:rPr>
                <w:rFonts w:ascii="Calibri Light" w:hAnsi="Calibri Light"/>
                <w:b w:val="0"/>
              </w:rPr>
              <w:t xml:space="preserve"> su ropa a la </w:t>
            </w:r>
            <w:r w:rsidR="002173ED" w:rsidRPr="000636DA">
              <w:rPr>
                <w:rFonts w:ascii="Calibri Light" w:hAnsi="Calibri Light"/>
                <w:b w:val="0"/>
              </w:rPr>
              <w:t>fuerza,</w:t>
            </w:r>
            <w:r w:rsidR="00C05A8E" w:rsidRPr="000636DA">
              <w:rPr>
                <w:rFonts w:ascii="Calibri Light" w:hAnsi="Calibri Light"/>
                <w:b w:val="0"/>
              </w:rPr>
              <w:t xml:space="preserve"> </w:t>
            </w:r>
            <w:r w:rsidR="00797E28" w:rsidRPr="000636DA">
              <w:rPr>
                <w:rFonts w:ascii="Calibri Light" w:hAnsi="Calibri Light"/>
                <w:b w:val="0"/>
              </w:rPr>
              <w:t>permanec</w:t>
            </w:r>
            <w:r w:rsidR="00797E28">
              <w:rPr>
                <w:rFonts w:ascii="Calibri Light" w:hAnsi="Calibri Light"/>
                <w:b w:val="0"/>
              </w:rPr>
              <w:t>er</w:t>
            </w:r>
            <w:r w:rsidR="00797E28" w:rsidRPr="000636DA">
              <w:rPr>
                <w:rFonts w:ascii="Calibri Light" w:hAnsi="Calibri Light"/>
                <w:b w:val="0"/>
              </w:rPr>
              <w:t xml:space="preserve"> </w:t>
            </w:r>
            <w:r w:rsidR="002173ED" w:rsidRPr="000636DA">
              <w:rPr>
                <w:rFonts w:ascii="Calibri Light" w:hAnsi="Calibri Light"/>
                <w:b w:val="0"/>
              </w:rPr>
              <w:t>desnuda</w:t>
            </w:r>
            <w:r w:rsidR="00797E28">
              <w:rPr>
                <w:rFonts w:ascii="Calibri Light" w:hAnsi="Calibri Light"/>
                <w:b w:val="0"/>
              </w:rPr>
              <w:t xml:space="preserve"> y que</w:t>
            </w:r>
            <w:r w:rsidR="00D74E76" w:rsidRPr="000636DA">
              <w:rPr>
                <w:rFonts w:ascii="Calibri Light" w:hAnsi="Calibri Light"/>
                <w:b w:val="0"/>
              </w:rPr>
              <w:t xml:space="preserve"> </w:t>
            </w:r>
            <w:r w:rsidR="00665B1B" w:rsidRPr="000636DA">
              <w:rPr>
                <w:rFonts w:ascii="Calibri Light" w:hAnsi="Calibri Light"/>
                <w:b w:val="0"/>
              </w:rPr>
              <w:t xml:space="preserve">un policía </w:t>
            </w:r>
            <w:r w:rsidR="00797E28">
              <w:rPr>
                <w:rFonts w:ascii="Calibri Light" w:hAnsi="Calibri Light"/>
                <w:b w:val="0"/>
              </w:rPr>
              <w:t>haya tratado</w:t>
            </w:r>
            <w:r w:rsidR="00797E28" w:rsidRPr="000636DA">
              <w:rPr>
                <w:rFonts w:ascii="Calibri Light" w:hAnsi="Calibri Light"/>
                <w:b w:val="0"/>
              </w:rPr>
              <w:t xml:space="preserve"> </w:t>
            </w:r>
            <w:r w:rsidR="00D74E76" w:rsidRPr="000636DA">
              <w:rPr>
                <w:rFonts w:ascii="Calibri Light" w:hAnsi="Calibri Light"/>
                <w:b w:val="0"/>
              </w:rPr>
              <w:t xml:space="preserve">de meterle </w:t>
            </w:r>
            <w:r w:rsidR="00797E28">
              <w:rPr>
                <w:rFonts w:ascii="Calibri Light" w:hAnsi="Calibri Light"/>
                <w:b w:val="0"/>
              </w:rPr>
              <w:t>un</w:t>
            </w:r>
            <w:r w:rsidR="00D74E76" w:rsidRPr="000636DA">
              <w:rPr>
                <w:rFonts w:ascii="Calibri Light" w:hAnsi="Calibri Light"/>
                <w:b w:val="0"/>
              </w:rPr>
              <w:t>a vara a</w:t>
            </w:r>
            <w:r w:rsidR="00797E28">
              <w:rPr>
                <w:rFonts w:ascii="Calibri Light" w:hAnsi="Calibri Light"/>
                <w:b w:val="0"/>
              </w:rPr>
              <w:t>l</w:t>
            </w:r>
            <w:r w:rsidR="00D74E76" w:rsidRPr="000636DA">
              <w:rPr>
                <w:rFonts w:ascii="Calibri Light" w:hAnsi="Calibri Light"/>
                <w:b w:val="0"/>
              </w:rPr>
              <w:t xml:space="preserve"> ano</w:t>
            </w:r>
            <w:r w:rsidR="00665B1B" w:rsidRPr="000636DA">
              <w:rPr>
                <w:rFonts w:ascii="Calibri Light" w:hAnsi="Calibri Light"/>
                <w:b w:val="0"/>
              </w:rPr>
              <w:t xml:space="preserve">. Asimismo, las expresiones </w:t>
            </w:r>
            <w:r w:rsidR="00D74E76" w:rsidRPr="000636DA">
              <w:rPr>
                <w:rFonts w:ascii="Calibri Light" w:hAnsi="Calibri Light"/>
                <w:b w:val="0"/>
              </w:rPr>
              <w:t xml:space="preserve">usadas por los funcionarios </w:t>
            </w:r>
            <w:r w:rsidR="002173ED" w:rsidRPr="000636DA">
              <w:rPr>
                <w:rFonts w:ascii="Calibri Light" w:hAnsi="Calibri Light"/>
                <w:b w:val="0"/>
              </w:rPr>
              <w:t>demuestra</w:t>
            </w:r>
            <w:r w:rsidR="00C05A8E" w:rsidRPr="000636DA">
              <w:rPr>
                <w:rFonts w:ascii="Calibri Light" w:hAnsi="Calibri Light"/>
                <w:b w:val="0"/>
              </w:rPr>
              <w:t>n</w:t>
            </w:r>
            <w:r w:rsidR="00665B1B" w:rsidRPr="000636DA">
              <w:rPr>
                <w:rFonts w:ascii="Calibri Light" w:hAnsi="Calibri Light"/>
                <w:b w:val="0"/>
              </w:rPr>
              <w:t xml:space="preserve"> que </w:t>
            </w:r>
            <w:r w:rsidR="00C05A8E" w:rsidRPr="000636DA">
              <w:rPr>
                <w:rFonts w:ascii="Calibri Light" w:hAnsi="Calibri Light"/>
                <w:b w:val="0"/>
              </w:rPr>
              <w:t>ello</w:t>
            </w:r>
            <w:r w:rsidR="00665B1B" w:rsidRPr="000636DA">
              <w:rPr>
                <w:rFonts w:ascii="Calibri Light" w:hAnsi="Calibri Light"/>
                <w:b w:val="0"/>
              </w:rPr>
              <w:t xml:space="preserve"> se relacionaba con </w:t>
            </w:r>
            <w:r w:rsidR="002173ED" w:rsidRPr="000636DA">
              <w:rPr>
                <w:rFonts w:ascii="Calibri Light" w:hAnsi="Calibri Light"/>
                <w:b w:val="0"/>
              </w:rPr>
              <w:t xml:space="preserve">su </w:t>
            </w:r>
            <w:r w:rsidR="00F94C20" w:rsidRPr="000636DA">
              <w:rPr>
                <w:rFonts w:ascii="Calibri Light" w:hAnsi="Calibri Light"/>
                <w:b w:val="0"/>
              </w:rPr>
              <w:t xml:space="preserve">orientación sexual. </w:t>
            </w:r>
            <w:r w:rsidR="00917EB4" w:rsidRPr="000636DA">
              <w:rPr>
                <w:rFonts w:ascii="Calibri Light" w:hAnsi="Calibri Light"/>
                <w:b w:val="0"/>
              </w:rPr>
              <w:t>Respecto a las versiones del relato</w:t>
            </w:r>
            <w:r w:rsidR="00E477E1">
              <w:rPr>
                <w:rFonts w:ascii="Calibri Light" w:hAnsi="Calibri Light"/>
                <w:b w:val="0"/>
              </w:rPr>
              <w:t xml:space="preserve"> que presentó sobre la violación sexual</w:t>
            </w:r>
            <w:r w:rsidR="00F351EE">
              <w:rPr>
                <w:rFonts w:ascii="Calibri Light" w:hAnsi="Calibri Light"/>
                <w:b w:val="0"/>
              </w:rPr>
              <w:t xml:space="preserve">, </w:t>
            </w:r>
            <w:r w:rsidR="00F94C20" w:rsidRPr="000636DA">
              <w:rPr>
                <w:rFonts w:ascii="Calibri Light" w:hAnsi="Calibri Light"/>
                <w:b w:val="0"/>
              </w:rPr>
              <w:t xml:space="preserve">la Corte </w:t>
            </w:r>
            <w:r w:rsidR="002173ED" w:rsidRPr="000636DA">
              <w:rPr>
                <w:rFonts w:ascii="Calibri Light" w:hAnsi="Calibri Light"/>
                <w:b w:val="0"/>
              </w:rPr>
              <w:t>IDH</w:t>
            </w:r>
            <w:r w:rsidR="00F94C20" w:rsidRPr="000636DA">
              <w:rPr>
                <w:rFonts w:ascii="Calibri Light" w:hAnsi="Calibri Light"/>
                <w:b w:val="0"/>
              </w:rPr>
              <w:t xml:space="preserve"> </w:t>
            </w:r>
            <w:r w:rsidR="002173ED" w:rsidRPr="000636DA">
              <w:rPr>
                <w:rFonts w:ascii="Calibri Light" w:hAnsi="Calibri Light"/>
                <w:b w:val="0"/>
              </w:rPr>
              <w:t xml:space="preserve">ha señalado que </w:t>
            </w:r>
            <w:r w:rsidR="00F94C20" w:rsidRPr="000636DA">
              <w:rPr>
                <w:rFonts w:ascii="Calibri Light" w:hAnsi="Calibri Light"/>
                <w:b w:val="0"/>
              </w:rPr>
              <w:t xml:space="preserve">en el relato de víctimas de tortura </w:t>
            </w:r>
            <w:r w:rsidR="00917EB4" w:rsidRPr="000636DA">
              <w:rPr>
                <w:rFonts w:ascii="Calibri Light" w:hAnsi="Calibri Light"/>
                <w:b w:val="0"/>
              </w:rPr>
              <w:t xml:space="preserve">las inconsistencias </w:t>
            </w:r>
            <w:r w:rsidR="00F94C20" w:rsidRPr="000636DA">
              <w:rPr>
                <w:rFonts w:ascii="Calibri Light" w:hAnsi="Calibri Light"/>
                <w:b w:val="0"/>
              </w:rPr>
              <w:t xml:space="preserve">no </w:t>
            </w:r>
            <w:r w:rsidR="002173ED" w:rsidRPr="000636DA">
              <w:rPr>
                <w:rFonts w:ascii="Calibri Light" w:hAnsi="Calibri Light"/>
                <w:b w:val="0"/>
              </w:rPr>
              <w:t>deben</w:t>
            </w:r>
            <w:r w:rsidR="00BA1038" w:rsidRPr="000636DA">
              <w:rPr>
                <w:rFonts w:ascii="Calibri Light" w:hAnsi="Calibri Light"/>
                <w:b w:val="0"/>
              </w:rPr>
              <w:t xml:space="preserve"> restar credibilidad, </w:t>
            </w:r>
            <w:r w:rsidR="002173ED" w:rsidRPr="000636DA">
              <w:rPr>
                <w:rFonts w:ascii="Calibri Light" w:hAnsi="Calibri Light"/>
                <w:b w:val="0"/>
              </w:rPr>
              <w:t>ya que son c</w:t>
            </w:r>
            <w:r w:rsidR="00BA1038" w:rsidRPr="000636DA">
              <w:rPr>
                <w:rFonts w:ascii="Calibri Light" w:hAnsi="Calibri Light"/>
                <w:b w:val="0"/>
              </w:rPr>
              <w:t>omunes</w:t>
            </w:r>
            <w:r w:rsidR="00F94C20" w:rsidRPr="000636DA">
              <w:rPr>
                <w:rFonts w:ascii="Calibri Light" w:hAnsi="Calibri Light"/>
                <w:b w:val="0"/>
              </w:rPr>
              <w:t xml:space="preserve"> por la naturaleza del trauma.</w:t>
            </w:r>
            <w:r w:rsidR="00E269B6">
              <w:rPr>
                <w:rFonts w:ascii="Calibri Light" w:hAnsi="Calibri Light"/>
                <w:b w:val="0"/>
              </w:rPr>
              <w:t xml:space="preserve"> </w:t>
            </w:r>
            <w:r w:rsidR="00BA1038" w:rsidRPr="000636DA">
              <w:rPr>
                <w:rFonts w:ascii="Calibri Light" w:hAnsi="Calibri Light"/>
                <w:b w:val="0"/>
              </w:rPr>
              <w:t xml:space="preserve">Además, </w:t>
            </w:r>
            <w:r w:rsidR="00797E28">
              <w:rPr>
                <w:rFonts w:ascii="Calibri Light" w:hAnsi="Calibri Light"/>
                <w:b w:val="0"/>
              </w:rPr>
              <w:t>la CIDH determinó</w:t>
            </w:r>
            <w:r w:rsidR="00BA1038" w:rsidRPr="000636DA">
              <w:rPr>
                <w:rFonts w:ascii="Calibri Light" w:hAnsi="Calibri Light"/>
                <w:b w:val="0"/>
              </w:rPr>
              <w:t xml:space="preserve"> que a pesar de que el examen m</w:t>
            </w:r>
            <w:r w:rsidR="00F94C20" w:rsidRPr="000636DA">
              <w:rPr>
                <w:rFonts w:ascii="Calibri Light" w:hAnsi="Calibri Light"/>
                <w:b w:val="0"/>
              </w:rPr>
              <w:t xml:space="preserve">édico legal </w:t>
            </w:r>
            <w:r w:rsidR="00BA1038" w:rsidRPr="000636DA">
              <w:rPr>
                <w:rFonts w:ascii="Calibri Light" w:hAnsi="Calibri Light"/>
                <w:b w:val="0"/>
              </w:rPr>
              <w:t>no fue</w:t>
            </w:r>
            <w:r w:rsidR="00F94C20" w:rsidRPr="000636DA">
              <w:rPr>
                <w:rFonts w:ascii="Calibri Light" w:hAnsi="Calibri Light"/>
                <w:b w:val="0"/>
              </w:rPr>
              <w:t xml:space="preserve"> exhaustivo</w:t>
            </w:r>
            <w:r w:rsidR="00BA1038" w:rsidRPr="000636DA">
              <w:rPr>
                <w:rFonts w:ascii="Calibri Light" w:hAnsi="Calibri Light"/>
                <w:b w:val="0"/>
              </w:rPr>
              <w:t>,</w:t>
            </w:r>
            <w:r w:rsidR="00F94C20" w:rsidRPr="000636DA">
              <w:rPr>
                <w:rFonts w:ascii="Calibri Light" w:hAnsi="Calibri Light"/>
                <w:b w:val="0"/>
              </w:rPr>
              <w:t xml:space="preserve"> las lesiones físicas documentadas</w:t>
            </w:r>
            <w:r w:rsidR="00797E28">
              <w:rPr>
                <w:rFonts w:ascii="Calibri Light" w:hAnsi="Calibri Light"/>
                <w:b w:val="0"/>
              </w:rPr>
              <w:t xml:space="preserve"> </w:t>
            </w:r>
            <w:r>
              <w:rPr>
                <w:rFonts w:ascii="Calibri Light" w:hAnsi="Calibri Light"/>
                <w:b w:val="0"/>
              </w:rPr>
              <w:t>acredita</w:t>
            </w:r>
            <w:r w:rsidR="00AF5643">
              <w:rPr>
                <w:rFonts w:ascii="Calibri Light" w:hAnsi="Calibri Light"/>
                <w:b w:val="0"/>
              </w:rPr>
              <w:t>ba</w:t>
            </w:r>
            <w:r>
              <w:rPr>
                <w:rFonts w:ascii="Calibri Light" w:hAnsi="Calibri Light"/>
                <w:b w:val="0"/>
              </w:rPr>
              <w:t xml:space="preserve">n violencia física </w:t>
            </w:r>
            <w:r w:rsidR="00F94C20" w:rsidRPr="000636DA">
              <w:rPr>
                <w:rFonts w:ascii="Calibri Light" w:hAnsi="Calibri Light"/>
                <w:b w:val="0"/>
              </w:rPr>
              <w:t>compatible</w:t>
            </w:r>
            <w:r>
              <w:rPr>
                <w:rFonts w:ascii="Calibri Light" w:hAnsi="Calibri Light"/>
                <w:b w:val="0"/>
              </w:rPr>
              <w:t xml:space="preserve"> </w:t>
            </w:r>
            <w:r w:rsidR="00F94C20" w:rsidRPr="000636DA">
              <w:rPr>
                <w:rFonts w:ascii="Calibri Light" w:hAnsi="Calibri Light"/>
                <w:b w:val="0"/>
              </w:rPr>
              <w:t xml:space="preserve">con </w:t>
            </w:r>
            <w:r w:rsidR="00797E28" w:rsidRPr="000636DA">
              <w:rPr>
                <w:rFonts w:ascii="Calibri Light" w:hAnsi="Calibri Light"/>
                <w:b w:val="0"/>
              </w:rPr>
              <w:t xml:space="preserve">la violación sexual por vía anal </w:t>
            </w:r>
            <w:r w:rsidR="00797E28">
              <w:rPr>
                <w:rFonts w:ascii="Calibri Light" w:hAnsi="Calibri Light"/>
                <w:b w:val="0"/>
              </w:rPr>
              <w:t xml:space="preserve"> </w:t>
            </w:r>
            <w:r w:rsidR="00F94C20" w:rsidRPr="000636DA">
              <w:rPr>
                <w:rFonts w:ascii="Calibri Light" w:hAnsi="Calibri Light"/>
                <w:b w:val="0"/>
              </w:rPr>
              <w:t xml:space="preserve">que denunció. </w:t>
            </w:r>
            <w:r>
              <w:rPr>
                <w:rFonts w:ascii="Calibri Light" w:hAnsi="Calibri Light"/>
                <w:b w:val="0"/>
              </w:rPr>
              <w:t xml:space="preserve">Así, </w:t>
            </w:r>
            <w:r w:rsidR="00260D9F" w:rsidRPr="000636DA">
              <w:rPr>
                <w:rFonts w:ascii="Calibri Light" w:hAnsi="Calibri Light"/>
                <w:b w:val="0"/>
              </w:rPr>
              <w:t>en base a la</w:t>
            </w:r>
            <w:r w:rsidR="00B24F73" w:rsidRPr="000636DA">
              <w:rPr>
                <w:rFonts w:ascii="Calibri Light" w:hAnsi="Calibri Light"/>
                <w:b w:val="0"/>
              </w:rPr>
              <w:t xml:space="preserve"> existencia </w:t>
            </w:r>
            <w:r w:rsidR="00917EB4" w:rsidRPr="000636DA">
              <w:rPr>
                <w:rFonts w:ascii="Calibri Light" w:hAnsi="Calibri Light"/>
                <w:b w:val="0"/>
              </w:rPr>
              <w:t xml:space="preserve">de </w:t>
            </w:r>
            <w:r w:rsidR="00B24F73" w:rsidRPr="000636DA">
              <w:rPr>
                <w:rFonts w:ascii="Calibri Light" w:hAnsi="Calibri Light"/>
                <w:b w:val="0"/>
              </w:rPr>
              <w:t>actos de violencia física</w:t>
            </w:r>
            <w:r w:rsidR="00917EB4" w:rsidRPr="000636DA">
              <w:rPr>
                <w:rFonts w:ascii="Calibri Light" w:hAnsi="Calibri Light"/>
                <w:b w:val="0"/>
              </w:rPr>
              <w:t xml:space="preserve">, </w:t>
            </w:r>
            <w:r w:rsidR="00B24F73" w:rsidRPr="000636DA">
              <w:rPr>
                <w:rFonts w:ascii="Calibri Light" w:hAnsi="Calibri Light"/>
                <w:b w:val="0"/>
              </w:rPr>
              <w:t xml:space="preserve">psicológica </w:t>
            </w:r>
            <w:r w:rsidR="001D04E2" w:rsidRPr="000636DA">
              <w:rPr>
                <w:rFonts w:ascii="Calibri Light" w:hAnsi="Calibri Light"/>
                <w:b w:val="0"/>
              </w:rPr>
              <w:t>y</w:t>
            </w:r>
            <w:r w:rsidR="00260D9F" w:rsidRPr="000636DA">
              <w:rPr>
                <w:rFonts w:ascii="Calibri Light" w:hAnsi="Calibri Light"/>
                <w:b w:val="0"/>
              </w:rPr>
              <w:t xml:space="preserve"> violación sexual</w:t>
            </w:r>
            <w:r w:rsidR="00E477E1">
              <w:rPr>
                <w:rFonts w:ascii="Calibri Light" w:hAnsi="Calibri Light"/>
                <w:b w:val="0"/>
              </w:rPr>
              <w:t>,</w:t>
            </w:r>
            <w:r w:rsidR="00260D9F" w:rsidRPr="000636DA">
              <w:rPr>
                <w:rFonts w:ascii="Calibri Light" w:hAnsi="Calibri Light"/>
                <w:b w:val="0"/>
              </w:rPr>
              <w:t xml:space="preserve"> </w:t>
            </w:r>
            <w:r w:rsidR="00917EB4" w:rsidRPr="000636DA">
              <w:rPr>
                <w:rFonts w:ascii="Calibri Light" w:hAnsi="Calibri Light"/>
                <w:b w:val="0"/>
              </w:rPr>
              <w:t xml:space="preserve">realizados con </w:t>
            </w:r>
            <w:r w:rsidR="00B24F73" w:rsidRPr="000636DA">
              <w:rPr>
                <w:rFonts w:ascii="Calibri Light" w:hAnsi="Calibri Light"/>
                <w:b w:val="0"/>
              </w:rPr>
              <w:t xml:space="preserve">ensañamiento </w:t>
            </w:r>
            <w:r w:rsidR="00917EB4" w:rsidRPr="000636DA">
              <w:rPr>
                <w:rFonts w:ascii="Calibri Light" w:hAnsi="Calibri Light"/>
                <w:b w:val="0"/>
              </w:rPr>
              <w:t>por la</w:t>
            </w:r>
            <w:r w:rsidR="00B24F73" w:rsidRPr="000636DA">
              <w:rPr>
                <w:rFonts w:ascii="Calibri Light" w:hAnsi="Calibri Light"/>
                <w:b w:val="0"/>
              </w:rPr>
              <w:t xml:space="preserve"> identificación </w:t>
            </w:r>
            <w:r w:rsidR="00260D9F" w:rsidRPr="000636DA">
              <w:rPr>
                <w:rFonts w:ascii="Calibri Light" w:hAnsi="Calibri Light"/>
                <w:b w:val="0"/>
              </w:rPr>
              <w:t>de Azul Rojas</w:t>
            </w:r>
            <w:r w:rsidR="00917EB4" w:rsidRPr="000636DA">
              <w:rPr>
                <w:rFonts w:ascii="Calibri Light" w:hAnsi="Calibri Light"/>
                <w:b w:val="0"/>
              </w:rPr>
              <w:t xml:space="preserve"> </w:t>
            </w:r>
            <w:r w:rsidR="00B24F73" w:rsidRPr="000636DA">
              <w:rPr>
                <w:rFonts w:ascii="Calibri Light" w:hAnsi="Calibri Light"/>
                <w:b w:val="0"/>
              </w:rPr>
              <w:t>como un hombre gay</w:t>
            </w:r>
            <w:r>
              <w:rPr>
                <w:rFonts w:ascii="Calibri Light" w:hAnsi="Calibri Light"/>
                <w:b w:val="0"/>
              </w:rPr>
              <w:t>, se acreditó la existencia de violencia por prejuicio</w:t>
            </w:r>
            <w:r w:rsidR="00B24F73" w:rsidRPr="000636DA">
              <w:rPr>
                <w:rFonts w:ascii="Calibri Light" w:hAnsi="Calibri Light"/>
                <w:b w:val="0"/>
              </w:rPr>
              <w:t>.</w:t>
            </w:r>
          </w:p>
          <w:p w14:paraId="27D5171F" w14:textId="77777777" w:rsidR="00405955" w:rsidRDefault="00405955" w:rsidP="00BA1038">
            <w:pPr>
              <w:jc w:val="both"/>
              <w:rPr>
                <w:rFonts w:ascii="Calibri Light" w:hAnsi="Calibri Light"/>
                <w:b w:val="0"/>
              </w:rPr>
            </w:pPr>
          </w:p>
          <w:p w14:paraId="56428A5A" w14:textId="77777777" w:rsidR="0068100F" w:rsidRDefault="00260D9F" w:rsidP="00E236FF">
            <w:pPr>
              <w:jc w:val="both"/>
              <w:rPr>
                <w:rFonts w:ascii="Calibri Light" w:hAnsi="Calibri Light"/>
                <w:b w:val="0"/>
              </w:rPr>
            </w:pPr>
            <w:r w:rsidRPr="000636DA">
              <w:rPr>
                <w:rFonts w:ascii="Calibri Light" w:hAnsi="Calibri Light"/>
                <w:b w:val="0"/>
              </w:rPr>
              <w:t xml:space="preserve">La CIDH </w:t>
            </w:r>
            <w:r w:rsidR="00405955">
              <w:rPr>
                <w:rFonts w:ascii="Calibri Light" w:hAnsi="Calibri Light"/>
                <w:b w:val="0"/>
              </w:rPr>
              <w:t xml:space="preserve">también </w:t>
            </w:r>
            <w:r w:rsidRPr="000636DA">
              <w:rPr>
                <w:rFonts w:ascii="Calibri Light" w:hAnsi="Calibri Light"/>
                <w:b w:val="0"/>
              </w:rPr>
              <w:t>analizó</w:t>
            </w:r>
            <w:r w:rsidR="00B24F73" w:rsidRPr="000636DA">
              <w:rPr>
                <w:rFonts w:ascii="Calibri Light" w:hAnsi="Calibri Light"/>
                <w:b w:val="0"/>
              </w:rPr>
              <w:t xml:space="preserve"> si estos hechos p</w:t>
            </w:r>
            <w:r w:rsidR="00E477E1">
              <w:rPr>
                <w:rFonts w:ascii="Calibri Light" w:hAnsi="Calibri Light"/>
                <w:b w:val="0"/>
              </w:rPr>
              <w:t>odían</w:t>
            </w:r>
            <w:r w:rsidR="00B24F73" w:rsidRPr="000636DA">
              <w:rPr>
                <w:rFonts w:ascii="Calibri Light" w:hAnsi="Calibri Light"/>
                <w:b w:val="0"/>
              </w:rPr>
              <w:t xml:space="preserve"> ser calificados como tortura</w:t>
            </w:r>
            <w:r w:rsidR="00917EB4" w:rsidRPr="000636DA">
              <w:rPr>
                <w:rFonts w:ascii="Calibri Light" w:hAnsi="Calibri Light"/>
                <w:b w:val="0"/>
              </w:rPr>
              <w:t xml:space="preserve"> bajo la CIPST</w:t>
            </w:r>
            <w:r w:rsidR="00E477E1">
              <w:rPr>
                <w:rFonts w:ascii="Calibri Light" w:hAnsi="Calibri Light"/>
                <w:b w:val="0"/>
              </w:rPr>
              <w:t>. Para ello, consideró los siguientes elementos</w:t>
            </w:r>
            <w:r w:rsidR="00B24F73" w:rsidRPr="000636DA">
              <w:rPr>
                <w:rFonts w:ascii="Calibri Light" w:hAnsi="Calibri Light"/>
                <w:b w:val="0"/>
              </w:rPr>
              <w:t xml:space="preserve">: i) que sea un acto intencional, ii) que cause un sufrimiento físico o mental y iii) que se cometa con </w:t>
            </w:r>
            <w:r w:rsidRPr="000636DA">
              <w:rPr>
                <w:rFonts w:ascii="Calibri Light" w:hAnsi="Calibri Light"/>
                <w:b w:val="0"/>
              </w:rPr>
              <w:t xml:space="preserve">determinado fin o </w:t>
            </w:r>
            <w:r w:rsidR="002D73CB" w:rsidRPr="000636DA">
              <w:rPr>
                <w:rFonts w:ascii="Calibri Light" w:hAnsi="Calibri Light"/>
                <w:b w:val="0"/>
              </w:rPr>
              <w:t>propósito</w:t>
            </w:r>
            <w:r w:rsidR="00405955">
              <w:rPr>
                <w:rFonts w:ascii="Calibri Light" w:hAnsi="Calibri Light"/>
                <w:b w:val="0"/>
              </w:rPr>
              <w:t xml:space="preserve">. </w:t>
            </w:r>
            <w:r w:rsidR="00917EB4" w:rsidRPr="000636DA">
              <w:rPr>
                <w:rFonts w:ascii="Calibri Light" w:hAnsi="Calibri Light"/>
                <w:b w:val="0"/>
              </w:rPr>
              <w:t xml:space="preserve">En </w:t>
            </w:r>
            <w:r w:rsidR="00DD7DFE">
              <w:rPr>
                <w:rFonts w:ascii="Calibri Light" w:hAnsi="Calibri Light"/>
                <w:b w:val="0"/>
              </w:rPr>
              <w:t>cuanto al primer elemento</w:t>
            </w:r>
            <w:r w:rsidR="002D73CB" w:rsidRPr="000636DA">
              <w:rPr>
                <w:rFonts w:ascii="Calibri Light" w:hAnsi="Calibri Light"/>
                <w:b w:val="0"/>
              </w:rPr>
              <w:t xml:space="preserve">, </w:t>
            </w:r>
            <w:r w:rsidR="00E477E1">
              <w:rPr>
                <w:rFonts w:ascii="Calibri Light" w:hAnsi="Calibri Light"/>
                <w:b w:val="0"/>
              </w:rPr>
              <w:t>señal</w:t>
            </w:r>
            <w:r w:rsidR="002D73CB" w:rsidRPr="000636DA">
              <w:rPr>
                <w:rFonts w:ascii="Calibri Light" w:hAnsi="Calibri Light"/>
                <w:b w:val="0"/>
              </w:rPr>
              <w:t xml:space="preserve">ó que </w:t>
            </w:r>
            <w:r w:rsidR="001D04E2" w:rsidRPr="000636DA">
              <w:rPr>
                <w:rFonts w:ascii="Calibri Light" w:hAnsi="Calibri Light"/>
                <w:b w:val="0"/>
              </w:rPr>
              <w:t xml:space="preserve">todos los actos de violencia </w:t>
            </w:r>
            <w:r w:rsidRPr="000636DA">
              <w:rPr>
                <w:rFonts w:ascii="Calibri Light" w:hAnsi="Calibri Light"/>
                <w:b w:val="0"/>
              </w:rPr>
              <w:t xml:space="preserve">fueron cometidos por agentes </w:t>
            </w:r>
            <w:r w:rsidR="001D04E2" w:rsidRPr="000636DA">
              <w:rPr>
                <w:rFonts w:ascii="Calibri Light" w:hAnsi="Calibri Light"/>
                <w:b w:val="0"/>
              </w:rPr>
              <w:t xml:space="preserve">estatales de manera deliberada. </w:t>
            </w:r>
            <w:r w:rsidR="00DD7DFE">
              <w:rPr>
                <w:rFonts w:ascii="Calibri Light" w:hAnsi="Calibri Light"/>
                <w:b w:val="0"/>
              </w:rPr>
              <w:t>Respecto al segundo elemento</w:t>
            </w:r>
            <w:r w:rsidR="002D73CB" w:rsidRPr="000636DA">
              <w:rPr>
                <w:rFonts w:ascii="Calibri Light" w:hAnsi="Calibri Light"/>
                <w:b w:val="0"/>
              </w:rPr>
              <w:t xml:space="preserve">, indicó que </w:t>
            </w:r>
            <w:r w:rsidRPr="000636DA">
              <w:rPr>
                <w:rFonts w:ascii="Calibri Light" w:hAnsi="Calibri Light"/>
                <w:b w:val="0"/>
              </w:rPr>
              <w:t>la severidad de la afectación resulta inherente a todo acto de violación sexual</w:t>
            </w:r>
            <w:r w:rsidR="001D04E2" w:rsidRPr="000636DA">
              <w:rPr>
                <w:rFonts w:ascii="Calibri Light" w:hAnsi="Calibri Light"/>
                <w:b w:val="0"/>
              </w:rPr>
              <w:t xml:space="preserve">, y además </w:t>
            </w:r>
            <w:r w:rsidR="00E477E1">
              <w:rPr>
                <w:rFonts w:ascii="Calibri Light" w:hAnsi="Calibri Light"/>
                <w:b w:val="0"/>
              </w:rPr>
              <w:t>se evidenciaba en</w:t>
            </w:r>
            <w:r w:rsidR="001D04E2" w:rsidRPr="000636DA">
              <w:rPr>
                <w:rFonts w:ascii="Calibri Light" w:hAnsi="Calibri Light"/>
                <w:b w:val="0"/>
              </w:rPr>
              <w:t xml:space="preserve"> toda la secuencia de hechos</w:t>
            </w:r>
            <w:r w:rsidR="00E477E1">
              <w:rPr>
                <w:rFonts w:ascii="Calibri Light" w:hAnsi="Calibri Light"/>
                <w:b w:val="0"/>
              </w:rPr>
              <w:t xml:space="preserve"> (</w:t>
            </w:r>
            <w:r w:rsidR="00E269B6" w:rsidRPr="00E269B6">
              <w:rPr>
                <w:rFonts w:ascii="Calibri Light" w:hAnsi="Calibri Light"/>
                <w:b w:val="0"/>
              </w:rPr>
              <w:t>detención ilegal, traslado a la Comisaría sin acceso salvaguardas legales, víctima de violación sexual y de ataques relacionados con su orientación sexual</w:t>
            </w:r>
            <w:r w:rsidR="00E477E1">
              <w:rPr>
                <w:rFonts w:ascii="Calibri Light" w:hAnsi="Calibri Light"/>
                <w:b w:val="0"/>
              </w:rPr>
              <w:t>)</w:t>
            </w:r>
            <w:r w:rsidR="001D04E2" w:rsidRPr="000636DA">
              <w:rPr>
                <w:rFonts w:ascii="Calibri Light" w:hAnsi="Calibri Light"/>
                <w:b w:val="0"/>
              </w:rPr>
              <w:t xml:space="preserve">. </w:t>
            </w:r>
            <w:r w:rsidR="00917EB4" w:rsidRPr="000636DA">
              <w:rPr>
                <w:rFonts w:ascii="Calibri Light" w:hAnsi="Calibri Light"/>
                <w:b w:val="0"/>
              </w:rPr>
              <w:t>Finalmente</w:t>
            </w:r>
            <w:r w:rsidR="00766F5B" w:rsidRPr="000636DA">
              <w:rPr>
                <w:rFonts w:ascii="Calibri Light" w:hAnsi="Calibri Light"/>
                <w:b w:val="0"/>
              </w:rPr>
              <w:t>, la CIDH recordó</w:t>
            </w:r>
            <w:r w:rsidRPr="000636DA">
              <w:rPr>
                <w:rFonts w:ascii="Calibri Light" w:hAnsi="Calibri Light"/>
                <w:b w:val="0"/>
              </w:rPr>
              <w:t xml:space="preserve"> que </w:t>
            </w:r>
            <w:r w:rsidR="00917EB4" w:rsidRPr="000636DA">
              <w:rPr>
                <w:rFonts w:ascii="Calibri Light" w:hAnsi="Calibri Light"/>
                <w:b w:val="0"/>
              </w:rPr>
              <w:t>a</w:t>
            </w:r>
            <w:r w:rsidRPr="000636DA">
              <w:rPr>
                <w:rFonts w:ascii="Calibri Light" w:hAnsi="Calibri Light"/>
                <w:b w:val="0"/>
              </w:rPr>
              <w:t>demás de la degradación y humillación inherente al tipo de violencia recibida</w:t>
            </w:r>
            <w:r w:rsidR="00E477E1">
              <w:rPr>
                <w:rFonts w:ascii="Calibri Light" w:hAnsi="Calibri Light"/>
                <w:b w:val="0"/>
              </w:rPr>
              <w:t>,</w:t>
            </w:r>
            <w:r w:rsidR="00917EB4" w:rsidRPr="000636DA">
              <w:rPr>
                <w:rFonts w:ascii="Calibri Light" w:hAnsi="Calibri Light"/>
                <w:b w:val="0"/>
              </w:rPr>
              <w:t xml:space="preserve"> </w:t>
            </w:r>
            <w:r w:rsidRPr="000636DA">
              <w:rPr>
                <w:rFonts w:ascii="Calibri Light" w:hAnsi="Calibri Light"/>
                <w:b w:val="0"/>
              </w:rPr>
              <w:t xml:space="preserve">la misma tenía la finalidad de castigar y humillar a la víctima por </w:t>
            </w:r>
            <w:r w:rsidR="00DD7DFE">
              <w:rPr>
                <w:rFonts w:ascii="Calibri Light" w:hAnsi="Calibri Light"/>
                <w:b w:val="0"/>
              </w:rPr>
              <w:t>su</w:t>
            </w:r>
            <w:r w:rsidRPr="000636DA">
              <w:rPr>
                <w:rFonts w:ascii="Calibri Light" w:hAnsi="Calibri Light"/>
                <w:b w:val="0"/>
              </w:rPr>
              <w:t xml:space="preserve"> orientación sexual</w:t>
            </w:r>
            <w:r w:rsidR="00917EB4" w:rsidRPr="000636DA">
              <w:rPr>
                <w:rFonts w:ascii="Calibri Light" w:hAnsi="Calibri Light"/>
                <w:b w:val="0"/>
              </w:rPr>
              <w:t>.</w:t>
            </w:r>
            <w:r w:rsidR="00DD7DFE">
              <w:rPr>
                <w:rFonts w:ascii="Calibri Light" w:hAnsi="Calibri Light"/>
                <w:b w:val="0"/>
              </w:rPr>
              <w:t xml:space="preserve"> </w:t>
            </w:r>
            <w:r w:rsidR="00787A50" w:rsidRPr="000636DA">
              <w:rPr>
                <w:rFonts w:ascii="Calibri Light" w:hAnsi="Calibri Light"/>
                <w:b w:val="0"/>
              </w:rPr>
              <w:t>En base a ello, concluyó</w:t>
            </w:r>
            <w:r w:rsidR="00766F5B" w:rsidRPr="000636DA">
              <w:rPr>
                <w:rFonts w:ascii="Calibri Light" w:hAnsi="Calibri Light"/>
                <w:b w:val="0"/>
              </w:rPr>
              <w:t xml:space="preserve"> </w:t>
            </w:r>
            <w:r w:rsidR="00E269B6">
              <w:rPr>
                <w:rFonts w:ascii="Calibri Light" w:hAnsi="Calibri Light"/>
                <w:b w:val="0"/>
              </w:rPr>
              <w:t xml:space="preserve">que los hechos descritos debían ser calificados como tortura. </w:t>
            </w:r>
          </w:p>
          <w:p w14:paraId="30EC7F86" w14:textId="77777777" w:rsidR="0068100F" w:rsidRDefault="0068100F" w:rsidP="00E236FF">
            <w:pPr>
              <w:jc w:val="both"/>
              <w:rPr>
                <w:rFonts w:ascii="Calibri Light" w:hAnsi="Calibri Light"/>
                <w:b w:val="0"/>
              </w:rPr>
            </w:pPr>
          </w:p>
          <w:p w14:paraId="3E75F19C" w14:textId="3F3909B9" w:rsidR="00F94C20" w:rsidRPr="000636DA" w:rsidRDefault="0068100F" w:rsidP="00E236FF">
            <w:pPr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>En base a estas consideraciones</w:t>
            </w:r>
            <w:r w:rsidR="00E269B6">
              <w:rPr>
                <w:rFonts w:ascii="Calibri Light" w:hAnsi="Calibri Light"/>
                <w:b w:val="0"/>
              </w:rPr>
              <w:t xml:space="preserve">, </w:t>
            </w:r>
            <w:r>
              <w:rPr>
                <w:rFonts w:ascii="Calibri Light" w:hAnsi="Calibri Light"/>
                <w:b w:val="0"/>
              </w:rPr>
              <w:t xml:space="preserve">la CIDH </w:t>
            </w:r>
            <w:r w:rsidR="00E269B6">
              <w:rPr>
                <w:rFonts w:ascii="Calibri Light" w:hAnsi="Calibri Light"/>
                <w:b w:val="0"/>
              </w:rPr>
              <w:t xml:space="preserve">indicó que </w:t>
            </w:r>
            <w:r w:rsidR="00766F5B" w:rsidRPr="000636DA">
              <w:rPr>
                <w:rFonts w:ascii="Calibri Light" w:hAnsi="Calibri Light"/>
                <w:b w:val="0"/>
              </w:rPr>
              <w:t xml:space="preserve">el Estado peruano </w:t>
            </w:r>
            <w:r w:rsidR="00C05A8E" w:rsidRPr="000636DA">
              <w:rPr>
                <w:rFonts w:ascii="Calibri Light" w:hAnsi="Calibri Light"/>
                <w:b w:val="0"/>
              </w:rPr>
              <w:t>violó</w:t>
            </w:r>
            <w:r w:rsidR="00787A50" w:rsidRPr="000636DA">
              <w:rPr>
                <w:rFonts w:ascii="Calibri Light" w:hAnsi="Calibri Light"/>
                <w:b w:val="0"/>
              </w:rPr>
              <w:t xml:space="preserve"> los</w:t>
            </w:r>
            <w:r w:rsidR="00766F5B" w:rsidRPr="000636DA">
              <w:rPr>
                <w:rFonts w:ascii="Calibri Light" w:hAnsi="Calibri Light"/>
                <w:b w:val="0"/>
              </w:rPr>
              <w:t xml:space="preserve"> artículos 5.1, 5.2, 11.1, 11.2 y 24 de la </w:t>
            </w:r>
            <w:r w:rsidR="00787A50" w:rsidRPr="000636DA">
              <w:rPr>
                <w:rFonts w:ascii="Calibri Light" w:hAnsi="Calibri Light"/>
                <w:b w:val="0"/>
              </w:rPr>
              <w:t>CADH,</w:t>
            </w:r>
            <w:r w:rsidR="00766F5B" w:rsidRPr="000636DA">
              <w:rPr>
                <w:rFonts w:ascii="Calibri Light" w:hAnsi="Calibri Light"/>
                <w:b w:val="0"/>
              </w:rPr>
              <w:t xml:space="preserve"> </w:t>
            </w:r>
            <w:r w:rsidR="001D04E2" w:rsidRPr="000636DA">
              <w:rPr>
                <w:rFonts w:ascii="Calibri Light" w:hAnsi="Calibri Light"/>
                <w:b w:val="0"/>
              </w:rPr>
              <w:t>en relación con el artículo 1.1; y</w:t>
            </w:r>
            <w:r w:rsidR="00766F5B" w:rsidRPr="000636DA">
              <w:rPr>
                <w:rFonts w:ascii="Calibri Light" w:hAnsi="Calibri Light"/>
                <w:b w:val="0"/>
              </w:rPr>
              <w:t xml:space="preserve"> </w:t>
            </w:r>
            <w:r w:rsidR="00787A50" w:rsidRPr="000636DA">
              <w:rPr>
                <w:rFonts w:ascii="Calibri Light" w:hAnsi="Calibri Light"/>
                <w:b w:val="0"/>
              </w:rPr>
              <w:t>los artículos 1 y 6 de la CIPST</w:t>
            </w:r>
            <w:r w:rsidR="00E477E1">
              <w:rPr>
                <w:rFonts w:ascii="Calibri Light" w:hAnsi="Calibri Light"/>
                <w:b w:val="0"/>
              </w:rPr>
              <w:t>,</w:t>
            </w:r>
            <w:r w:rsidR="00E269B6">
              <w:rPr>
                <w:rFonts w:ascii="Calibri Light" w:hAnsi="Calibri Light"/>
                <w:b w:val="0"/>
              </w:rPr>
              <w:t xml:space="preserve"> que establece</w:t>
            </w:r>
            <w:r w:rsidR="00992971">
              <w:rPr>
                <w:rFonts w:ascii="Calibri Light" w:hAnsi="Calibri Light"/>
                <w:b w:val="0"/>
              </w:rPr>
              <w:t>n</w:t>
            </w:r>
            <w:r w:rsidR="00E269B6">
              <w:rPr>
                <w:rFonts w:ascii="Calibri Light" w:hAnsi="Calibri Light"/>
                <w:b w:val="0"/>
              </w:rPr>
              <w:t xml:space="preserve"> que los Estados deben tomar medidas efectivas para prevenir y sancionar</w:t>
            </w:r>
            <w:r w:rsidR="00992971">
              <w:rPr>
                <w:rFonts w:ascii="Calibri Light" w:hAnsi="Calibri Light"/>
                <w:b w:val="0"/>
              </w:rPr>
              <w:t xml:space="preserve"> la tor</w:t>
            </w:r>
            <w:r w:rsidR="00E269B6">
              <w:rPr>
                <w:rFonts w:ascii="Calibri Light" w:hAnsi="Calibri Light"/>
                <w:b w:val="0"/>
              </w:rPr>
              <w:t>t</w:t>
            </w:r>
            <w:r w:rsidR="00992971">
              <w:rPr>
                <w:rFonts w:ascii="Calibri Light" w:hAnsi="Calibri Light"/>
                <w:b w:val="0"/>
              </w:rPr>
              <w:t>u</w:t>
            </w:r>
            <w:r w:rsidR="00E269B6">
              <w:rPr>
                <w:rFonts w:ascii="Calibri Light" w:hAnsi="Calibri Light"/>
                <w:b w:val="0"/>
              </w:rPr>
              <w:t>ra</w:t>
            </w:r>
            <w:r w:rsidR="00787A50" w:rsidRPr="000636DA">
              <w:rPr>
                <w:rFonts w:ascii="Calibri Light" w:hAnsi="Calibri Light"/>
                <w:b w:val="0"/>
              </w:rPr>
              <w:t xml:space="preserve">, </w:t>
            </w:r>
            <w:r w:rsidR="00C05A8E" w:rsidRPr="000636DA">
              <w:rPr>
                <w:rFonts w:ascii="Calibri Light" w:hAnsi="Calibri Light"/>
                <w:b w:val="0"/>
              </w:rPr>
              <w:t xml:space="preserve">todo </w:t>
            </w:r>
            <w:r w:rsidR="00766F5B" w:rsidRPr="000636DA">
              <w:rPr>
                <w:rFonts w:ascii="Calibri Light" w:hAnsi="Calibri Light"/>
                <w:b w:val="0"/>
              </w:rPr>
              <w:t>en perjuicio de Azul Rojas.</w:t>
            </w:r>
          </w:p>
          <w:p w14:paraId="6B42F13D" w14:textId="022D9DA9" w:rsidR="004C2B60" w:rsidRPr="000636DA" w:rsidRDefault="004C2B60" w:rsidP="004C2B60">
            <w:pPr>
              <w:rPr>
                <w:rFonts w:ascii="Calibri Light" w:eastAsia="Times New Roman" w:hAnsi="Calibri Light"/>
                <w:lang w:val="es-PE"/>
              </w:rPr>
            </w:pPr>
          </w:p>
          <w:p w14:paraId="11406323" w14:textId="73C16AA1" w:rsidR="004C2B60" w:rsidRPr="000636DA" w:rsidRDefault="00F64492" w:rsidP="00917EB4">
            <w:pPr>
              <w:jc w:val="both"/>
              <w:rPr>
                <w:rFonts w:ascii="Calibri Light" w:hAnsi="Calibri Light"/>
              </w:rPr>
            </w:pPr>
            <w:r w:rsidRPr="000636DA">
              <w:rPr>
                <w:rFonts w:ascii="Calibri Light" w:hAnsi="Calibri Light"/>
              </w:rPr>
              <w:t>Los derechos a las garantías judiciales y protección judicial, y los derechos a la integridad personal, vida privada,</w:t>
            </w:r>
            <w:r w:rsidR="00787A50" w:rsidRPr="000636DA">
              <w:rPr>
                <w:rFonts w:ascii="Calibri Light" w:hAnsi="Calibri Light"/>
              </w:rPr>
              <w:t xml:space="preserve"> igualdad y no discriminación (a</w:t>
            </w:r>
            <w:r w:rsidRPr="000636DA">
              <w:rPr>
                <w:rFonts w:ascii="Calibri Light" w:hAnsi="Calibri Light"/>
              </w:rPr>
              <w:t xml:space="preserve">rtículos </w:t>
            </w:r>
            <w:r w:rsidR="00787A50" w:rsidRPr="000636DA">
              <w:rPr>
                <w:rFonts w:ascii="Calibri Light" w:hAnsi="Calibri Light"/>
              </w:rPr>
              <w:t>5, 8, 11, 24 y 25</w:t>
            </w:r>
            <w:r w:rsidRPr="000636DA">
              <w:rPr>
                <w:rFonts w:ascii="Calibri Light" w:hAnsi="Calibri Light"/>
              </w:rPr>
              <w:t xml:space="preserve"> de la </w:t>
            </w:r>
            <w:r w:rsidR="009776B9" w:rsidRPr="000636DA">
              <w:rPr>
                <w:rFonts w:ascii="Calibri Light" w:hAnsi="Calibri Light"/>
              </w:rPr>
              <w:t>CADH;</w:t>
            </w:r>
            <w:r w:rsidR="00787A50" w:rsidRPr="000636DA">
              <w:rPr>
                <w:rFonts w:ascii="Calibri Light" w:hAnsi="Calibri Light"/>
              </w:rPr>
              <w:t xml:space="preserve"> </w:t>
            </w:r>
            <w:r w:rsidR="009776B9" w:rsidRPr="000636DA">
              <w:rPr>
                <w:rFonts w:ascii="Calibri Light" w:hAnsi="Calibri Light"/>
              </w:rPr>
              <w:t xml:space="preserve">y </w:t>
            </w:r>
            <w:r w:rsidR="00787A50" w:rsidRPr="000636DA">
              <w:rPr>
                <w:rFonts w:ascii="Calibri Light" w:hAnsi="Calibri Light"/>
              </w:rPr>
              <w:t>1, 6 y 8 de la CIPST</w:t>
            </w:r>
            <w:r w:rsidRPr="000636DA">
              <w:rPr>
                <w:rFonts w:ascii="Calibri Light" w:hAnsi="Calibri Light"/>
              </w:rPr>
              <w:t>)</w:t>
            </w:r>
          </w:p>
          <w:p w14:paraId="7D0F83AF" w14:textId="77777777" w:rsidR="00787A50" w:rsidRPr="000636DA" w:rsidRDefault="00787A50" w:rsidP="004C2B60">
            <w:pPr>
              <w:rPr>
                <w:rFonts w:ascii="Calibri Light" w:hAnsi="Calibri Light"/>
              </w:rPr>
            </w:pPr>
          </w:p>
          <w:p w14:paraId="0C6E251B" w14:textId="211A6121" w:rsidR="00CA3D4C" w:rsidRPr="000636DA" w:rsidRDefault="001D119C" w:rsidP="00917EB4">
            <w:pPr>
              <w:jc w:val="both"/>
              <w:rPr>
                <w:rFonts w:ascii="Calibri Light" w:hAnsi="Calibri Light"/>
                <w:b w:val="0"/>
              </w:rPr>
            </w:pPr>
            <w:r w:rsidRPr="000636DA">
              <w:rPr>
                <w:rFonts w:ascii="Calibri Light" w:hAnsi="Calibri Light"/>
                <w:b w:val="0"/>
              </w:rPr>
              <w:t xml:space="preserve">La CIDH señaló que </w:t>
            </w:r>
            <w:r w:rsidR="004A6246">
              <w:rPr>
                <w:rFonts w:ascii="Calibri Light" w:hAnsi="Calibri Light"/>
                <w:b w:val="0"/>
              </w:rPr>
              <w:t xml:space="preserve">en la investigación penal por </w:t>
            </w:r>
            <w:r w:rsidRPr="000636DA">
              <w:rPr>
                <w:rFonts w:ascii="Calibri Light" w:hAnsi="Calibri Light"/>
                <w:b w:val="0"/>
              </w:rPr>
              <w:t>violencia sexual, se debe considerar las disposiciones del Protocolo de Estambul y de la Organización Mundial de la Salud</w:t>
            </w:r>
            <w:r w:rsidR="00DD7DFE">
              <w:rPr>
                <w:rFonts w:ascii="Calibri Light" w:hAnsi="Calibri Light"/>
                <w:b w:val="0"/>
              </w:rPr>
              <w:t>, que establecen que</w:t>
            </w:r>
            <w:r w:rsidRPr="000636DA">
              <w:rPr>
                <w:rFonts w:ascii="Calibri Light" w:hAnsi="Calibri Light"/>
                <w:b w:val="0"/>
              </w:rPr>
              <w:t>: i) la declaración de la víctima</w:t>
            </w:r>
            <w:r w:rsidR="006B387D" w:rsidRPr="000636DA">
              <w:rPr>
                <w:rFonts w:ascii="Calibri Light" w:hAnsi="Calibri Light"/>
                <w:b w:val="0"/>
              </w:rPr>
              <w:t xml:space="preserve"> se realice en un ambiente que</w:t>
            </w:r>
            <w:r w:rsidRPr="000636DA">
              <w:rPr>
                <w:rFonts w:ascii="Calibri Light" w:hAnsi="Calibri Light"/>
                <w:b w:val="0"/>
              </w:rPr>
              <w:t xml:space="preserve"> b</w:t>
            </w:r>
            <w:r w:rsidR="006B387D" w:rsidRPr="000636DA">
              <w:rPr>
                <w:rFonts w:ascii="Calibri Light" w:hAnsi="Calibri Light"/>
                <w:b w:val="0"/>
              </w:rPr>
              <w:t>rinde privacidad y confianza</w:t>
            </w:r>
            <w:r w:rsidRPr="000636DA">
              <w:rPr>
                <w:rFonts w:ascii="Calibri Light" w:hAnsi="Calibri Light"/>
                <w:b w:val="0"/>
              </w:rPr>
              <w:t xml:space="preserve">; ii) se registre de forma tal que se evite </w:t>
            </w:r>
            <w:r w:rsidR="006B387D" w:rsidRPr="000636DA">
              <w:rPr>
                <w:rFonts w:ascii="Calibri Light" w:hAnsi="Calibri Light"/>
                <w:b w:val="0"/>
              </w:rPr>
              <w:t xml:space="preserve">su repetición; iii) </w:t>
            </w:r>
            <w:r w:rsidRPr="000636DA">
              <w:rPr>
                <w:rFonts w:ascii="Calibri Light" w:hAnsi="Calibri Light"/>
                <w:b w:val="0"/>
              </w:rPr>
              <w:t>se brinde atención médica, sanitaria y psicológica</w:t>
            </w:r>
            <w:r w:rsidR="00DD7DFE">
              <w:rPr>
                <w:rFonts w:ascii="Calibri Light" w:hAnsi="Calibri Light"/>
                <w:b w:val="0"/>
              </w:rPr>
              <w:t>;</w:t>
            </w:r>
            <w:r w:rsidRPr="000636DA">
              <w:rPr>
                <w:rFonts w:ascii="Calibri Light" w:hAnsi="Calibri Light"/>
                <w:b w:val="0"/>
              </w:rPr>
              <w:t xml:space="preserve"> </w:t>
            </w:r>
            <w:r w:rsidR="00DE1F11" w:rsidRPr="000636DA">
              <w:rPr>
                <w:rFonts w:ascii="Calibri Light" w:hAnsi="Calibri Light"/>
                <w:b w:val="0"/>
              </w:rPr>
              <w:t xml:space="preserve">iv) </w:t>
            </w:r>
            <w:r w:rsidRPr="000636DA">
              <w:rPr>
                <w:rFonts w:ascii="Calibri Light" w:hAnsi="Calibri Light"/>
                <w:b w:val="0"/>
              </w:rPr>
              <w:t>se realice inmediatamente un examen</w:t>
            </w:r>
            <w:r w:rsidR="004A6246">
              <w:rPr>
                <w:rFonts w:ascii="Calibri Light" w:hAnsi="Calibri Light"/>
                <w:b w:val="0"/>
              </w:rPr>
              <w:t xml:space="preserve"> médico y psicológico</w:t>
            </w:r>
            <w:r w:rsidRPr="000636DA">
              <w:rPr>
                <w:rFonts w:ascii="Calibri Light" w:hAnsi="Calibri Light"/>
                <w:b w:val="0"/>
              </w:rPr>
              <w:t xml:space="preserve"> </w:t>
            </w:r>
            <w:r w:rsidR="00CA3D4C" w:rsidRPr="000636DA">
              <w:rPr>
                <w:rFonts w:ascii="Calibri Light" w:hAnsi="Calibri Light"/>
                <w:b w:val="0"/>
              </w:rPr>
              <w:t xml:space="preserve">por </w:t>
            </w:r>
            <w:r w:rsidRPr="000636DA">
              <w:rPr>
                <w:rFonts w:ascii="Calibri Light" w:hAnsi="Calibri Light"/>
                <w:b w:val="0"/>
              </w:rPr>
              <w:t>personal idóneo</w:t>
            </w:r>
            <w:r w:rsidR="00CA3D4C" w:rsidRPr="000636DA">
              <w:rPr>
                <w:rFonts w:ascii="Calibri Light" w:hAnsi="Calibri Light"/>
                <w:b w:val="0"/>
              </w:rPr>
              <w:t xml:space="preserve">; v) </w:t>
            </w:r>
            <w:r w:rsidRPr="000636DA">
              <w:rPr>
                <w:rFonts w:ascii="Calibri Light" w:hAnsi="Calibri Light"/>
                <w:b w:val="0"/>
              </w:rPr>
              <w:t xml:space="preserve">se documenten y coordinen los actos investigativos </w:t>
            </w:r>
            <w:r w:rsidR="00CA3D4C" w:rsidRPr="000636DA">
              <w:rPr>
                <w:rFonts w:ascii="Calibri Light" w:hAnsi="Calibri Light"/>
                <w:b w:val="0"/>
              </w:rPr>
              <w:t>y vi)</w:t>
            </w:r>
            <w:r w:rsidR="004B1FD7" w:rsidRPr="000636DA">
              <w:rPr>
                <w:rFonts w:ascii="Calibri Light" w:hAnsi="Calibri Light"/>
                <w:b w:val="0"/>
              </w:rPr>
              <w:t xml:space="preserve"> </w:t>
            </w:r>
            <w:r w:rsidRPr="000636DA">
              <w:rPr>
                <w:rFonts w:ascii="Calibri Light" w:hAnsi="Calibri Light"/>
                <w:b w:val="0"/>
              </w:rPr>
              <w:t>se brinde asistencia</w:t>
            </w:r>
            <w:r w:rsidR="00CA3D4C" w:rsidRPr="000636DA">
              <w:rPr>
                <w:rFonts w:ascii="Calibri Light" w:hAnsi="Calibri Light"/>
                <w:b w:val="0"/>
              </w:rPr>
              <w:t xml:space="preserve"> jurídica gratuita a la víctima.</w:t>
            </w:r>
          </w:p>
          <w:p w14:paraId="17B63C96" w14:textId="77777777" w:rsidR="00CA3D4C" w:rsidRPr="000636DA" w:rsidRDefault="00CA3D4C" w:rsidP="00917EB4">
            <w:pPr>
              <w:jc w:val="both"/>
              <w:rPr>
                <w:rFonts w:ascii="Calibri Light" w:hAnsi="Calibri Light"/>
                <w:b w:val="0"/>
              </w:rPr>
            </w:pPr>
          </w:p>
          <w:p w14:paraId="453F050F" w14:textId="3753E652" w:rsidR="00CA3D4C" w:rsidRPr="000636DA" w:rsidRDefault="00CA3D4C" w:rsidP="00917EB4">
            <w:pPr>
              <w:jc w:val="both"/>
              <w:rPr>
                <w:rFonts w:ascii="Calibri Light" w:hAnsi="Calibri Light"/>
                <w:b w:val="0"/>
              </w:rPr>
            </w:pPr>
            <w:r w:rsidRPr="000636DA">
              <w:rPr>
                <w:rFonts w:ascii="Calibri Light" w:hAnsi="Calibri Light"/>
                <w:b w:val="0"/>
              </w:rPr>
              <w:t xml:space="preserve">En aplicación de </w:t>
            </w:r>
            <w:r w:rsidR="00DD7DFE">
              <w:rPr>
                <w:rFonts w:ascii="Calibri Light" w:hAnsi="Calibri Light"/>
                <w:b w:val="0"/>
              </w:rPr>
              <w:t>estos</w:t>
            </w:r>
            <w:r w:rsidRPr="000636DA">
              <w:rPr>
                <w:rFonts w:ascii="Calibri Light" w:hAnsi="Calibri Light"/>
                <w:b w:val="0"/>
              </w:rPr>
              <w:t xml:space="preserve"> estándares, la CIDH señaló que Azul Rojas fue impedida de denunciar los hechos ocurridos durante su detención</w:t>
            </w:r>
            <w:r w:rsidR="002610FF" w:rsidRPr="000636DA">
              <w:rPr>
                <w:rFonts w:ascii="Calibri Light" w:hAnsi="Calibri Light"/>
                <w:b w:val="0"/>
              </w:rPr>
              <w:t xml:space="preserve"> el 25 de febrero</w:t>
            </w:r>
            <w:r w:rsidR="004B1FD7" w:rsidRPr="000636DA">
              <w:rPr>
                <w:rFonts w:ascii="Calibri Light" w:hAnsi="Calibri Light"/>
                <w:b w:val="0"/>
              </w:rPr>
              <w:t xml:space="preserve"> de 2008</w:t>
            </w:r>
            <w:r w:rsidRPr="000636DA">
              <w:rPr>
                <w:rFonts w:ascii="Calibri Light" w:hAnsi="Calibri Light"/>
                <w:b w:val="0"/>
              </w:rPr>
              <w:t>, frente a lo cual el Estado no ha demostrado haber realizado una indagación seria. Asimismo, destacó que</w:t>
            </w:r>
            <w:r w:rsidR="009776B9" w:rsidRPr="000636DA">
              <w:rPr>
                <w:rFonts w:ascii="Calibri Light" w:hAnsi="Calibri Light"/>
                <w:b w:val="0"/>
              </w:rPr>
              <w:t xml:space="preserve"> desde su </w:t>
            </w:r>
            <w:r w:rsidRPr="000636DA">
              <w:rPr>
                <w:rFonts w:ascii="Calibri Light" w:hAnsi="Calibri Light"/>
                <w:b w:val="0"/>
              </w:rPr>
              <w:t xml:space="preserve">primera denuncia </w:t>
            </w:r>
            <w:r w:rsidR="00DD7DFE">
              <w:rPr>
                <w:rFonts w:ascii="Calibri Light" w:hAnsi="Calibri Light"/>
                <w:b w:val="0"/>
              </w:rPr>
              <w:t>había</w:t>
            </w:r>
            <w:r w:rsidR="002610FF" w:rsidRPr="000636DA">
              <w:rPr>
                <w:rFonts w:ascii="Calibri Light" w:hAnsi="Calibri Light"/>
                <w:b w:val="0"/>
              </w:rPr>
              <w:t xml:space="preserve"> </w:t>
            </w:r>
            <w:r w:rsidRPr="000636DA">
              <w:rPr>
                <w:rFonts w:ascii="Calibri Light" w:hAnsi="Calibri Light"/>
                <w:b w:val="0"/>
              </w:rPr>
              <w:t>una serie de indicios de que había sido víctima de distintas formas de violencia, incluyendo violencia sexual</w:t>
            </w:r>
            <w:r w:rsidR="004A6246">
              <w:rPr>
                <w:rFonts w:ascii="Calibri Light" w:hAnsi="Calibri Light"/>
                <w:b w:val="0"/>
              </w:rPr>
              <w:t>; sin embargo, el examen médico fue realizado cuatro días después</w:t>
            </w:r>
            <w:r w:rsidR="002610FF" w:rsidRPr="000636DA">
              <w:rPr>
                <w:rFonts w:ascii="Calibri Light" w:hAnsi="Calibri Light"/>
                <w:b w:val="0"/>
              </w:rPr>
              <w:t xml:space="preserve"> Por tanto, la CIDH señaló que </w:t>
            </w:r>
            <w:r w:rsidR="009776B9" w:rsidRPr="000636DA">
              <w:rPr>
                <w:rFonts w:ascii="Calibri Light" w:hAnsi="Calibri Light"/>
                <w:b w:val="0"/>
              </w:rPr>
              <w:t xml:space="preserve">la demora </w:t>
            </w:r>
            <w:r w:rsidR="002610FF" w:rsidRPr="000636DA">
              <w:rPr>
                <w:rFonts w:ascii="Calibri Light" w:hAnsi="Calibri Light"/>
                <w:b w:val="0"/>
              </w:rPr>
              <w:t xml:space="preserve">para </w:t>
            </w:r>
            <w:r w:rsidR="004B1FD7" w:rsidRPr="000636DA">
              <w:rPr>
                <w:rFonts w:ascii="Calibri Light" w:hAnsi="Calibri Light"/>
                <w:b w:val="0"/>
              </w:rPr>
              <w:t>investigar</w:t>
            </w:r>
            <w:r w:rsidR="002610FF" w:rsidRPr="000636DA">
              <w:rPr>
                <w:rFonts w:ascii="Calibri Light" w:hAnsi="Calibri Light"/>
                <w:b w:val="0"/>
              </w:rPr>
              <w:t xml:space="preserve">, no </w:t>
            </w:r>
            <w:r w:rsidR="004B1FD7" w:rsidRPr="000636DA">
              <w:rPr>
                <w:rFonts w:ascii="Calibri Light" w:hAnsi="Calibri Light"/>
                <w:b w:val="0"/>
              </w:rPr>
              <w:t xml:space="preserve">fue </w:t>
            </w:r>
            <w:r w:rsidR="002610FF" w:rsidRPr="000636DA">
              <w:rPr>
                <w:rFonts w:ascii="Calibri Light" w:hAnsi="Calibri Light"/>
                <w:b w:val="0"/>
              </w:rPr>
              <w:t>c</w:t>
            </w:r>
            <w:r w:rsidR="009776B9" w:rsidRPr="000636DA">
              <w:rPr>
                <w:rFonts w:ascii="Calibri Light" w:hAnsi="Calibri Light"/>
                <w:b w:val="0"/>
              </w:rPr>
              <w:t xml:space="preserve">onforme a los estándares, </w:t>
            </w:r>
            <w:r w:rsidR="002610FF" w:rsidRPr="000636DA">
              <w:rPr>
                <w:rFonts w:ascii="Calibri Light" w:hAnsi="Calibri Light"/>
                <w:b w:val="0"/>
              </w:rPr>
              <w:t xml:space="preserve">ya que en este tipo de casos una demora de pocos días </w:t>
            </w:r>
            <w:r w:rsidR="004B1FD7" w:rsidRPr="000636DA">
              <w:rPr>
                <w:rFonts w:ascii="Calibri Light" w:hAnsi="Calibri Light"/>
                <w:b w:val="0"/>
              </w:rPr>
              <w:t>u</w:t>
            </w:r>
            <w:r w:rsidR="002610FF" w:rsidRPr="000636DA">
              <w:rPr>
                <w:rFonts w:ascii="Calibri Light" w:hAnsi="Calibri Light"/>
                <w:b w:val="0"/>
              </w:rPr>
              <w:t xml:space="preserve"> horas puede ser fundamental </w:t>
            </w:r>
            <w:r w:rsidR="00197F53">
              <w:rPr>
                <w:rFonts w:ascii="Calibri Light" w:hAnsi="Calibri Light"/>
                <w:b w:val="0"/>
              </w:rPr>
              <w:t>para</w:t>
            </w:r>
            <w:r w:rsidR="00197F53" w:rsidRPr="000636DA">
              <w:rPr>
                <w:rFonts w:ascii="Calibri Light" w:hAnsi="Calibri Light"/>
                <w:b w:val="0"/>
              </w:rPr>
              <w:t xml:space="preserve"> </w:t>
            </w:r>
            <w:r w:rsidR="009776B9" w:rsidRPr="000636DA">
              <w:rPr>
                <w:rFonts w:ascii="Calibri Light" w:hAnsi="Calibri Light"/>
                <w:b w:val="0"/>
              </w:rPr>
              <w:t>el</w:t>
            </w:r>
            <w:r w:rsidR="002610FF" w:rsidRPr="000636DA">
              <w:rPr>
                <w:rFonts w:ascii="Calibri Light" w:hAnsi="Calibri Light"/>
                <w:b w:val="0"/>
              </w:rPr>
              <w:t xml:space="preserve"> esclarecimiento de lo ocurrido.</w:t>
            </w:r>
          </w:p>
          <w:p w14:paraId="4EB308DB" w14:textId="77777777" w:rsidR="004C2B60" w:rsidRPr="000636DA" w:rsidRDefault="004C2B60" w:rsidP="00917EB4">
            <w:pPr>
              <w:jc w:val="both"/>
              <w:rPr>
                <w:rFonts w:ascii="Calibri Light" w:hAnsi="Calibri Light"/>
                <w:b w:val="0"/>
              </w:rPr>
            </w:pPr>
          </w:p>
          <w:p w14:paraId="08D5373C" w14:textId="60A65799" w:rsidR="00F4054C" w:rsidRPr="000636DA" w:rsidRDefault="006E207B" w:rsidP="00917EB4">
            <w:pPr>
              <w:jc w:val="both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>Asimismo, l</w:t>
            </w:r>
            <w:r w:rsidR="002610FF" w:rsidRPr="000636DA">
              <w:rPr>
                <w:rFonts w:ascii="Calibri Light" w:hAnsi="Calibri Light"/>
                <w:b w:val="0"/>
              </w:rPr>
              <w:t xml:space="preserve">a CIDH indicó que, desde su primera declaración, ella relató los actos de desnudez </w:t>
            </w:r>
            <w:r w:rsidR="002610FF" w:rsidRPr="000636DA">
              <w:rPr>
                <w:rFonts w:ascii="Calibri Light" w:hAnsi="Calibri Light"/>
                <w:b w:val="0"/>
              </w:rPr>
              <w:lastRenderedPageBreak/>
              <w:t>forzada</w:t>
            </w:r>
            <w:r w:rsidR="004B1FD7" w:rsidRPr="000636DA">
              <w:rPr>
                <w:rFonts w:ascii="Calibri Light" w:hAnsi="Calibri Light"/>
                <w:b w:val="0"/>
              </w:rPr>
              <w:t xml:space="preserve">, </w:t>
            </w:r>
            <w:r w:rsidR="002610FF" w:rsidRPr="000636DA">
              <w:rPr>
                <w:rFonts w:ascii="Calibri Light" w:hAnsi="Calibri Light"/>
                <w:b w:val="0"/>
              </w:rPr>
              <w:t>el intento de violación sexual por vía anal con una vara de goma</w:t>
            </w:r>
            <w:r w:rsidR="009776B9" w:rsidRPr="000636DA">
              <w:rPr>
                <w:rFonts w:ascii="Calibri Light" w:hAnsi="Calibri Light"/>
                <w:b w:val="0"/>
              </w:rPr>
              <w:t>,</w:t>
            </w:r>
            <w:r w:rsidR="004B1FD7" w:rsidRPr="000636DA">
              <w:rPr>
                <w:rFonts w:ascii="Calibri Light" w:hAnsi="Calibri Light"/>
                <w:b w:val="0"/>
              </w:rPr>
              <w:t xml:space="preserve"> y</w:t>
            </w:r>
            <w:r w:rsidR="009776B9" w:rsidRPr="000636DA">
              <w:rPr>
                <w:rFonts w:ascii="Calibri Light" w:hAnsi="Calibri Light"/>
                <w:b w:val="0"/>
              </w:rPr>
              <w:t xml:space="preserve"> las</w:t>
            </w:r>
            <w:r w:rsidR="002610FF" w:rsidRPr="000636DA">
              <w:rPr>
                <w:rFonts w:ascii="Calibri Light" w:hAnsi="Calibri Light"/>
                <w:b w:val="0"/>
              </w:rPr>
              <w:t xml:space="preserve"> agresiones verbales con referencias específicas a su orientación sexual de </w:t>
            </w:r>
            <w:r w:rsidR="009776B9" w:rsidRPr="000636DA">
              <w:rPr>
                <w:rFonts w:ascii="Calibri Light" w:hAnsi="Calibri Light"/>
                <w:b w:val="0"/>
              </w:rPr>
              <w:t xml:space="preserve">manera denigrante. </w:t>
            </w:r>
            <w:r w:rsidR="00EC3D6B">
              <w:rPr>
                <w:rFonts w:ascii="Calibri Light" w:hAnsi="Calibri Light"/>
                <w:b w:val="0"/>
              </w:rPr>
              <w:t>Sin embargo, e</w:t>
            </w:r>
            <w:r w:rsidR="00242F4D" w:rsidRPr="000636DA">
              <w:rPr>
                <w:rFonts w:ascii="Calibri Light" w:hAnsi="Calibri Light"/>
                <w:b w:val="0"/>
              </w:rPr>
              <w:t>l reconocimiento médico legal solo r</w:t>
            </w:r>
            <w:r w:rsidR="00C16EBD" w:rsidRPr="000636DA">
              <w:rPr>
                <w:rFonts w:ascii="Calibri Light" w:hAnsi="Calibri Light"/>
                <w:b w:val="0"/>
              </w:rPr>
              <w:t>ealizó una constatación sobre las lesiones genitales</w:t>
            </w:r>
            <w:r w:rsidR="00EC3D6B">
              <w:rPr>
                <w:rFonts w:ascii="Calibri Light" w:hAnsi="Calibri Light"/>
                <w:b w:val="0"/>
              </w:rPr>
              <w:t xml:space="preserve"> sin procurar</w:t>
            </w:r>
            <w:r w:rsidR="00C16EBD" w:rsidRPr="000636DA">
              <w:rPr>
                <w:rFonts w:ascii="Calibri Light" w:hAnsi="Calibri Light"/>
                <w:b w:val="0"/>
              </w:rPr>
              <w:t xml:space="preserve"> </w:t>
            </w:r>
            <w:r w:rsidR="00242F4D" w:rsidRPr="000636DA">
              <w:rPr>
                <w:rFonts w:ascii="Calibri Light" w:hAnsi="Calibri Light"/>
                <w:b w:val="0"/>
              </w:rPr>
              <w:t>un examen minucioso</w:t>
            </w:r>
            <w:r w:rsidR="00C16EBD" w:rsidRPr="000636DA">
              <w:rPr>
                <w:rFonts w:ascii="Calibri Light" w:hAnsi="Calibri Light"/>
                <w:b w:val="0"/>
              </w:rPr>
              <w:t xml:space="preserve"> de las agresiones para constatar </w:t>
            </w:r>
            <w:r w:rsidR="004B1FD7" w:rsidRPr="000636DA">
              <w:rPr>
                <w:rFonts w:ascii="Calibri Light" w:hAnsi="Calibri Light"/>
                <w:b w:val="0"/>
              </w:rPr>
              <w:t xml:space="preserve">lo </w:t>
            </w:r>
            <w:r w:rsidR="00C16EBD" w:rsidRPr="000636DA">
              <w:rPr>
                <w:rFonts w:ascii="Calibri Light" w:hAnsi="Calibri Light"/>
                <w:b w:val="0"/>
              </w:rPr>
              <w:t xml:space="preserve">que ella relató sufrir. </w:t>
            </w:r>
            <w:r>
              <w:rPr>
                <w:rFonts w:ascii="Calibri Light" w:hAnsi="Calibri Light"/>
                <w:b w:val="0"/>
              </w:rPr>
              <w:t>Además</w:t>
            </w:r>
            <w:r w:rsidR="00242F4D" w:rsidRPr="000636DA">
              <w:rPr>
                <w:rFonts w:ascii="Calibri Light" w:hAnsi="Calibri Light"/>
                <w:b w:val="0"/>
              </w:rPr>
              <w:t xml:space="preserve">, </w:t>
            </w:r>
            <w:r w:rsidR="00C16EBD" w:rsidRPr="000636DA">
              <w:rPr>
                <w:rFonts w:ascii="Calibri Light" w:hAnsi="Calibri Light"/>
                <w:b w:val="0"/>
              </w:rPr>
              <w:t>dicha pericia incluyó afirmaciones irrelevantes sobre la vida privada de Azul Rojas y e</w:t>
            </w:r>
            <w:r w:rsidR="00242F4D" w:rsidRPr="000636DA">
              <w:rPr>
                <w:rFonts w:ascii="Calibri Light" w:hAnsi="Calibri Light"/>
                <w:b w:val="0"/>
              </w:rPr>
              <w:t xml:space="preserve">stereotipos de género </w:t>
            </w:r>
            <w:r w:rsidR="00C16EBD" w:rsidRPr="000636DA">
              <w:rPr>
                <w:rFonts w:ascii="Calibri Light" w:hAnsi="Calibri Light"/>
                <w:b w:val="0"/>
              </w:rPr>
              <w:t xml:space="preserve">vinculados </w:t>
            </w:r>
            <w:r w:rsidR="00242F4D" w:rsidRPr="000636DA">
              <w:rPr>
                <w:rFonts w:ascii="Calibri Light" w:hAnsi="Calibri Light"/>
                <w:b w:val="0"/>
              </w:rPr>
              <w:t xml:space="preserve">a su </w:t>
            </w:r>
            <w:r w:rsidR="00C16EBD" w:rsidRPr="000636DA">
              <w:rPr>
                <w:rFonts w:ascii="Calibri Light" w:hAnsi="Calibri Light"/>
                <w:b w:val="0"/>
              </w:rPr>
              <w:t>actividad sexual.</w:t>
            </w:r>
            <w:r w:rsidR="009776B9" w:rsidRPr="000636DA">
              <w:rPr>
                <w:rFonts w:ascii="Calibri Light" w:hAnsi="Calibri Light"/>
                <w:b w:val="0"/>
              </w:rPr>
              <w:t xml:space="preserve"> </w:t>
            </w:r>
            <w:r w:rsidR="00242F4D" w:rsidRPr="000636DA">
              <w:rPr>
                <w:rFonts w:ascii="Calibri Light" w:hAnsi="Calibri Light"/>
                <w:b w:val="0"/>
              </w:rPr>
              <w:t>Respecto a la pericia psicológica</w:t>
            </w:r>
            <w:r w:rsidR="00EC3D6B">
              <w:rPr>
                <w:rFonts w:ascii="Calibri Light" w:hAnsi="Calibri Light"/>
                <w:b w:val="0"/>
              </w:rPr>
              <w:t>,</w:t>
            </w:r>
            <w:r w:rsidR="00242F4D" w:rsidRPr="000636DA">
              <w:rPr>
                <w:rFonts w:ascii="Calibri Light" w:hAnsi="Calibri Light"/>
                <w:b w:val="0"/>
              </w:rPr>
              <w:t xml:space="preserve"> la CIDH indicó que lejos de identificar la existencia de un trauma asociado a los hechos denunciados, esta dio lugar a la descalificación de la víctima y de su credibilidad, y constituyó una forma adicional de revictimización. </w:t>
            </w:r>
          </w:p>
          <w:p w14:paraId="6E7807C8" w14:textId="77777777" w:rsidR="00242F4D" w:rsidRPr="000636DA" w:rsidRDefault="00242F4D" w:rsidP="00917EB4">
            <w:pPr>
              <w:jc w:val="both"/>
              <w:rPr>
                <w:rFonts w:ascii="Calibri Light" w:hAnsi="Calibri Light"/>
                <w:b w:val="0"/>
              </w:rPr>
            </w:pPr>
          </w:p>
          <w:p w14:paraId="3DD5052A" w14:textId="66C8480D" w:rsidR="00F7616F" w:rsidRPr="000636DA" w:rsidRDefault="00242F4D" w:rsidP="00917EB4">
            <w:pPr>
              <w:jc w:val="both"/>
              <w:rPr>
                <w:rFonts w:ascii="Calibri Light" w:hAnsi="Calibri Light"/>
                <w:b w:val="0"/>
              </w:rPr>
            </w:pPr>
            <w:r w:rsidRPr="000636DA">
              <w:rPr>
                <w:rFonts w:ascii="Calibri Light" w:hAnsi="Calibri Light"/>
                <w:b w:val="0"/>
              </w:rPr>
              <w:t xml:space="preserve">En relación </w:t>
            </w:r>
            <w:r w:rsidR="004B1FD7" w:rsidRPr="000636DA">
              <w:rPr>
                <w:rFonts w:ascii="Calibri Light" w:hAnsi="Calibri Light"/>
                <w:b w:val="0"/>
              </w:rPr>
              <w:t xml:space="preserve">el </w:t>
            </w:r>
            <w:r w:rsidRPr="000636DA">
              <w:rPr>
                <w:rFonts w:ascii="Calibri Light" w:hAnsi="Calibri Light"/>
                <w:b w:val="0"/>
              </w:rPr>
              <w:t xml:space="preserve">rechazó </w:t>
            </w:r>
            <w:r w:rsidR="004B1FD7" w:rsidRPr="000636DA">
              <w:rPr>
                <w:rFonts w:ascii="Calibri Light" w:hAnsi="Calibri Light"/>
                <w:b w:val="0"/>
              </w:rPr>
              <w:t>de ampliar la investigación por el delito de tortura de la Fiscalía de Ascope</w:t>
            </w:r>
            <w:r w:rsidRPr="000636DA">
              <w:rPr>
                <w:rFonts w:ascii="Calibri Light" w:hAnsi="Calibri Light"/>
                <w:b w:val="0"/>
              </w:rPr>
              <w:t>, la CIDH consideró que la misma se basó en un análisis restrictivo del alcance de los elemento</w:t>
            </w:r>
            <w:r w:rsidR="00F7616F" w:rsidRPr="000636DA">
              <w:rPr>
                <w:rFonts w:ascii="Calibri Light" w:hAnsi="Calibri Light"/>
                <w:b w:val="0"/>
              </w:rPr>
              <w:t>s constitutivos de dicho delito</w:t>
            </w:r>
            <w:r w:rsidRPr="000636DA">
              <w:rPr>
                <w:rFonts w:ascii="Calibri Light" w:hAnsi="Calibri Light"/>
                <w:b w:val="0"/>
              </w:rPr>
              <w:t>.</w:t>
            </w:r>
            <w:r w:rsidR="00F7616F" w:rsidRPr="000636DA">
              <w:rPr>
                <w:rFonts w:ascii="Calibri Light" w:hAnsi="Calibri Light"/>
                <w:b w:val="0"/>
              </w:rPr>
              <w:t xml:space="preserve"> </w:t>
            </w:r>
            <w:r w:rsidR="00197F53">
              <w:rPr>
                <w:rFonts w:ascii="Calibri Light" w:hAnsi="Calibri Light"/>
                <w:b w:val="0"/>
              </w:rPr>
              <w:t>E</w:t>
            </w:r>
            <w:r w:rsidR="00F7616F" w:rsidRPr="000636DA">
              <w:rPr>
                <w:rFonts w:ascii="Calibri Light" w:hAnsi="Calibri Light"/>
                <w:b w:val="0"/>
              </w:rPr>
              <w:t>nfatizó</w:t>
            </w:r>
            <w:r w:rsidRPr="000636DA">
              <w:rPr>
                <w:rFonts w:ascii="Calibri Light" w:hAnsi="Calibri Light"/>
                <w:b w:val="0"/>
              </w:rPr>
              <w:t xml:space="preserve"> </w:t>
            </w:r>
            <w:r w:rsidR="004B1FD7" w:rsidRPr="000636DA">
              <w:rPr>
                <w:rFonts w:ascii="Calibri Light" w:hAnsi="Calibri Light"/>
                <w:b w:val="0"/>
              </w:rPr>
              <w:t>en</w:t>
            </w:r>
            <w:r w:rsidRPr="000636DA">
              <w:rPr>
                <w:rFonts w:ascii="Calibri Light" w:hAnsi="Calibri Light"/>
                <w:b w:val="0"/>
              </w:rPr>
              <w:t xml:space="preserve"> que la decisión </w:t>
            </w:r>
            <w:r w:rsidR="00F7616F" w:rsidRPr="000636DA">
              <w:rPr>
                <w:rFonts w:ascii="Calibri Light" w:hAnsi="Calibri Light"/>
                <w:b w:val="0"/>
              </w:rPr>
              <w:t>no consideró</w:t>
            </w:r>
            <w:r w:rsidRPr="000636DA">
              <w:rPr>
                <w:rFonts w:ascii="Calibri Light" w:hAnsi="Calibri Light"/>
                <w:b w:val="0"/>
              </w:rPr>
              <w:t xml:space="preserve"> las posibles motivaciones de humillar y degradar en </w:t>
            </w:r>
            <w:r w:rsidR="004B1FD7" w:rsidRPr="000636DA">
              <w:rPr>
                <w:rFonts w:ascii="Calibri Light" w:hAnsi="Calibri Light"/>
                <w:b w:val="0"/>
              </w:rPr>
              <w:t xml:space="preserve">los </w:t>
            </w:r>
            <w:r w:rsidRPr="000636DA">
              <w:rPr>
                <w:rFonts w:ascii="Calibri Light" w:hAnsi="Calibri Light"/>
                <w:b w:val="0"/>
              </w:rPr>
              <w:t>acto</w:t>
            </w:r>
            <w:r w:rsidR="004B1FD7" w:rsidRPr="000636DA">
              <w:rPr>
                <w:rFonts w:ascii="Calibri Light" w:hAnsi="Calibri Light"/>
                <w:b w:val="0"/>
              </w:rPr>
              <w:t>s</w:t>
            </w:r>
            <w:r w:rsidRPr="000636DA">
              <w:rPr>
                <w:rFonts w:ascii="Calibri Light" w:hAnsi="Calibri Light"/>
                <w:b w:val="0"/>
              </w:rPr>
              <w:t xml:space="preserve"> de violencia sexual, </w:t>
            </w:r>
            <w:r w:rsidR="004B1FD7" w:rsidRPr="000636DA">
              <w:rPr>
                <w:rFonts w:ascii="Calibri Light" w:hAnsi="Calibri Light"/>
                <w:b w:val="0"/>
              </w:rPr>
              <w:t>ni</w:t>
            </w:r>
            <w:r w:rsidR="009776B9" w:rsidRPr="000636DA">
              <w:rPr>
                <w:rFonts w:ascii="Calibri Light" w:hAnsi="Calibri Light"/>
                <w:b w:val="0"/>
              </w:rPr>
              <w:t xml:space="preserve"> </w:t>
            </w:r>
            <w:r w:rsidRPr="000636DA">
              <w:rPr>
                <w:rFonts w:ascii="Calibri Light" w:hAnsi="Calibri Light"/>
                <w:b w:val="0"/>
              </w:rPr>
              <w:t xml:space="preserve">los indicios de violencia por prejuicio </w:t>
            </w:r>
            <w:r w:rsidR="009776B9" w:rsidRPr="000636DA">
              <w:rPr>
                <w:rFonts w:ascii="Calibri Light" w:hAnsi="Calibri Light"/>
                <w:b w:val="0"/>
              </w:rPr>
              <w:t xml:space="preserve">descritas en el relato </w:t>
            </w:r>
            <w:r w:rsidRPr="000636DA">
              <w:rPr>
                <w:rFonts w:ascii="Calibri Light" w:hAnsi="Calibri Light"/>
                <w:b w:val="0"/>
              </w:rPr>
              <w:t>de Azul Rojas</w:t>
            </w:r>
            <w:r w:rsidR="00F7616F" w:rsidRPr="000636DA">
              <w:rPr>
                <w:rFonts w:ascii="Calibri Light" w:hAnsi="Calibri Light"/>
                <w:b w:val="0"/>
              </w:rPr>
              <w:t>.</w:t>
            </w:r>
            <w:r w:rsidR="00197F53">
              <w:rPr>
                <w:rFonts w:ascii="Calibri Light" w:hAnsi="Calibri Light"/>
                <w:b w:val="0"/>
              </w:rPr>
              <w:t xml:space="preserve"> </w:t>
            </w:r>
            <w:r w:rsidR="00F7616F" w:rsidRPr="000636DA">
              <w:rPr>
                <w:rFonts w:ascii="Calibri Light" w:hAnsi="Calibri Light"/>
                <w:b w:val="0"/>
              </w:rPr>
              <w:t xml:space="preserve">En base a estas consideraciones, la CIDH concluyó que el Estado de Perú </w:t>
            </w:r>
            <w:r w:rsidR="004B1FD7" w:rsidRPr="000636DA">
              <w:rPr>
                <w:rFonts w:ascii="Calibri Light" w:hAnsi="Calibri Light"/>
                <w:b w:val="0"/>
              </w:rPr>
              <w:t>violó</w:t>
            </w:r>
            <w:r w:rsidR="00F7616F" w:rsidRPr="000636DA">
              <w:rPr>
                <w:rFonts w:ascii="Calibri Light" w:hAnsi="Calibri Light"/>
                <w:b w:val="0"/>
              </w:rPr>
              <w:t xml:space="preserve"> los artículos 5.1, 8.1, 11, 24 y 25.1 de la CADH en relación con el artículo 1</w:t>
            </w:r>
            <w:r w:rsidR="004B1FD7" w:rsidRPr="000636DA">
              <w:rPr>
                <w:rFonts w:ascii="Calibri Light" w:hAnsi="Calibri Light"/>
                <w:b w:val="0"/>
              </w:rPr>
              <w:t>;</w:t>
            </w:r>
            <w:r w:rsidR="00F7616F" w:rsidRPr="000636DA">
              <w:rPr>
                <w:rFonts w:ascii="Calibri Light" w:hAnsi="Calibri Light"/>
                <w:b w:val="0"/>
              </w:rPr>
              <w:t xml:space="preserve"> así como los artículos 1, 6 y 8 de la CIPST</w:t>
            </w:r>
            <w:r w:rsidR="00992971">
              <w:rPr>
                <w:rFonts w:ascii="Calibri Light" w:hAnsi="Calibri Light"/>
                <w:b w:val="0"/>
              </w:rPr>
              <w:t xml:space="preserve"> que establecen que los Estados deben tomar medidas efectivas para prevenir, sancionar y garantizar el acceso a la justicia en casos de tortura, </w:t>
            </w:r>
            <w:r w:rsidR="00F7616F" w:rsidRPr="000636DA">
              <w:rPr>
                <w:rFonts w:ascii="Calibri Light" w:hAnsi="Calibri Light"/>
                <w:b w:val="0"/>
              </w:rPr>
              <w:t xml:space="preserve"> todos en perjuicio de Azul Rojas Marín.</w:t>
            </w:r>
          </w:p>
          <w:p w14:paraId="239AF5C6" w14:textId="60C536AF" w:rsidR="00511D40" w:rsidRPr="000636DA" w:rsidRDefault="00511D40" w:rsidP="00511D40">
            <w:pPr>
              <w:jc w:val="both"/>
              <w:rPr>
                <w:rFonts w:ascii="Calibri Light" w:hAnsi="Calibri Light"/>
                <w:b w:val="0"/>
                <w:bCs w:val="0"/>
              </w:rPr>
            </w:pPr>
          </w:p>
          <w:p w14:paraId="627EA112" w14:textId="6CC0B2E5" w:rsidR="00F7616F" w:rsidRPr="000636DA" w:rsidRDefault="00F7616F" w:rsidP="00511D40">
            <w:pPr>
              <w:jc w:val="both"/>
              <w:rPr>
                <w:rFonts w:ascii="Calibri Light" w:hAnsi="Calibri Light"/>
              </w:rPr>
            </w:pPr>
            <w:r w:rsidRPr="000636DA">
              <w:rPr>
                <w:rFonts w:ascii="Calibri Light" w:hAnsi="Calibri Light"/>
              </w:rPr>
              <w:t>El derecho a la integridad personal respecto de la madre de Azul Rojas Marín (artículo 5 de la CADH)</w:t>
            </w:r>
          </w:p>
          <w:p w14:paraId="379BF88C" w14:textId="77777777" w:rsidR="00F7616F" w:rsidRPr="000636DA" w:rsidRDefault="00F7616F" w:rsidP="00511D40">
            <w:pPr>
              <w:jc w:val="both"/>
              <w:rPr>
                <w:rFonts w:ascii="Calibri Light" w:hAnsi="Calibri Light"/>
              </w:rPr>
            </w:pPr>
          </w:p>
          <w:p w14:paraId="01E5AEE4" w14:textId="06761150" w:rsidR="00486028" w:rsidRDefault="00F7616F" w:rsidP="00C7023F">
            <w:pPr>
              <w:jc w:val="both"/>
              <w:rPr>
                <w:rFonts w:ascii="Calibri Light" w:hAnsi="Calibri Light"/>
                <w:b w:val="0"/>
              </w:rPr>
            </w:pPr>
            <w:r w:rsidRPr="000636DA">
              <w:rPr>
                <w:rFonts w:ascii="Calibri Light" w:hAnsi="Calibri Light"/>
                <w:b w:val="0"/>
              </w:rPr>
              <w:t>La CIDH señaló que los familiares de las víctimas pueden verse</w:t>
            </w:r>
            <w:r w:rsidR="00EC3D6B">
              <w:rPr>
                <w:rFonts w:ascii="Calibri Light" w:hAnsi="Calibri Light"/>
                <w:b w:val="0"/>
              </w:rPr>
              <w:t>, en ciertas ocasiones,</w:t>
            </w:r>
            <w:r w:rsidRPr="000636DA">
              <w:rPr>
                <w:rFonts w:ascii="Calibri Light" w:hAnsi="Calibri Light"/>
                <w:b w:val="0"/>
              </w:rPr>
              <w:t xml:space="preserve"> afectados por las circunstancias particulares </w:t>
            </w:r>
            <w:r w:rsidR="00DF409E" w:rsidRPr="000636DA">
              <w:rPr>
                <w:rFonts w:ascii="Calibri Light" w:hAnsi="Calibri Light"/>
                <w:b w:val="0"/>
              </w:rPr>
              <w:t>de</w:t>
            </w:r>
            <w:r w:rsidRPr="000636DA">
              <w:rPr>
                <w:rFonts w:ascii="Calibri Light" w:hAnsi="Calibri Light"/>
                <w:b w:val="0"/>
              </w:rPr>
              <w:t xml:space="preserve"> las violaciones perpetradas contra sus seres queridos y </w:t>
            </w:r>
            <w:r w:rsidR="00DF409E" w:rsidRPr="000636DA">
              <w:rPr>
                <w:rFonts w:ascii="Calibri Light" w:hAnsi="Calibri Light"/>
                <w:b w:val="0"/>
              </w:rPr>
              <w:t>la omisión de investigar del Estado</w:t>
            </w:r>
            <w:r w:rsidRPr="000636DA">
              <w:rPr>
                <w:rFonts w:ascii="Calibri Light" w:hAnsi="Calibri Light"/>
                <w:b w:val="0"/>
              </w:rPr>
              <w:t xml:space="preserve">. </w:t>
            </w:r>
            <w:r w:rsidR="001D7472" w:rsidRPr="000636DA">
              <w:rPr>
                <w:rFonts w:ascii="Calibri Light" w:hAnsi="Calibri Light"/>
                <w:b w:val="0"/>
              </w:rPr>
              <w:t xml:space="preserve">Así, se </w:t>
            </w:r>
            <w:r w:rsidR="00F70710" w:rsidRPr="000636DA">
              <w:rPr>
                <w:rFonts w:ascii="Calibri Light" w:hAnsi="Calibri Light"/>
                <w:b w:val="0"/>
              </w:rPr>
              <w:t xml:space="preserve">estableció </w:t>
            </w:r>
            <w:r w:rsidR="001D7472" w:rsidRPr="000636DA">
              <w:rPr>
                <w:rFonts w:ascii="Calibri Light" w:hAnsi="Calibri Light"/>
                <w:b w:val="0"/>
              </w:rPr>
              <w:t>que Azul Rojas fue víctima de tortura</w:t>
            </w:r>
            <w:r w:rsidR="00F70710" w:rsidRPr="000636DA">
              <w:rPr>
                <w:rFonts w:ascii="Calibri Light" w:hAnsi="Calibri Light"/>
                <w:b w:val="0"/>
              </w:rPr>
              <w:t xml:space="preserve">, </w:t>
            </w:r>
            <w:r w:rsidR="00DF409E" w:rsidRPr="000636DA">
              <w:rPr>
                <w:rFonts w:ascii="Calibri Light" w:hAnsi="Calibri Light"/>
                <w:b w:val="0"/>
              </w:rPr>
              <w:t xml:space="preserve">que </w:t>
            </w:r>
            <w:r w:rsidR="001D7472" w:rsidRPr="000636DA">
              <w:rPr>
                <w:rFonts w:ascii="Calibri Light" w:hAnsi="Calibri Light"/>
                <w:b w:val="0"/>
              </w:rPr>
              <w:t xml:space="preserve">el Estado incumplió su deber de investigar, generando </w:t>
            </w:r>
            <w:r w:rsidR="00DF409E" w:rsidRPr="000636DA">
              <w:rPr>
                <w:rFonts w:ascii="Calibri Light" w:hAnsi="Calibri Light"/>
                <w:b w:val="0"/>
              </w:rPr>
              <w:t xml:space="preserve">un grave </w:t>
            </w:r>
            <w:r w:rsidR="00F70710" w:rsidRPr="000636DA">
              <w:rPr>
                <w:rFonts w:ascii="Calibri Light" w:hAnsi="Calibri Light"/>
                <w:b w:val="0"/>
              </w:rPr>
              <w:t xml:space="preserve">una grave afectación a la </w:t>
            </w:r>
            <w:r w:rsidR="001D7472" w:rsidRPr="000636DA">
              <w:rPr>
                <w:rFonts w:ascii="Calibri Light" w:hAnsi="Calibri Light"/>
                <w:b w:val="0"/>
              </w:rPr>
              <w:t xml:space="preserve">integridad psíquica y moral de </w:t>
            </w:r>
            <w:r w:rsidR="00197F53">
              <w:rPr>
                <w:rFonts w:ascii="Calibri Light" w:hAnsi="Calibri Light"/>
                <w:b w:val="0"/>
              </w:rPr>
              <w:t>su</w:t>
            </w:r>
            <w:r w:rsidR="00197F53" w:rsidRPr="000636DA">
              <w:rPr>
                <w:rFonts w:ascii="Calibri Light" w:hAnsi="Calibri Light"/>
                <w:b w:val="0"/>
              </w:rPr>
              <w:t xml:space="preserve"> </w:t>
            </w:r>
            <w:r w:rsidR="001D7472" w:rsidRPr="000636DA">
              <w:rPr>
                <w:rFonts w:ascii="Calibri Light" w:hAnsi="Calibri Light"/>
                <w:b w:val="0"/>
              </w:rPr>
              <w:t xml:space="preserve">madre. </w:t>
            </w:r>
            <w:r w:rsidR="00F70710" w:rsidRPr="000636DA">
              <w:rPr>
                <w:rFonts w:ascii="Calibri Light" w:hAnsi="Calibri Light"/>
                <w:b w:val="0"/>
              </w:rPr>
              <w:t xml:space="preserve">De esta manera, la CIDH indicó que </w:t>
            </w:r>
            <w:r w:rsidR="001D7472" w:rsidRPr="000636DA">
              <w:rPr>
                <w:rFonts w:ascii="Calibri Light" w:hAnsi="Calibri Light"/>
                <w:b w:val="0"/>
              </w:rPr>
              <w:t>el Estado peruano violó el artículo 5.1 de la CADH</w:t>
            </w:r>
            <w:r w:rsidR="00197F53">
              <w:rPr>
                <w:rFonts w:ascii="Calibri Light" w:hAnsi="Calibri Light"/>
                <w:b w:val="0"/>
              </w:rPr>
              <w:t xml:space="preserve">, </w:t>
            </w:r>
            <w:r w:rsidR="001D7472" w:rsidRPr="000636DA">
              <w:rPr>
                <w:rFonts w:ascii="Calibri Light" w:hAnsi="Calibri Light"/>
                <w:b w:val="0"/>
              </w:rPr>
              <w:t xml:space="preserve">en perjuicio de </w:t>
            </w:r>
            <w:r w:rsidR="00F70710" w:rsidRPr="000636DA">
              <w:rPr>
                <w:rFonts w:ascii="Calibri Light" w:hAnsi="Calibri Light"/>
                <w:b w:val="0"/>
              </w:rPr>
              <w:t>Juana Tanta Mar</w:t>
            </w:r>
            <w:r w:rsidR="00197F53">
              <w:rPr>
                <w:rFonts w:ascii="Calibri Light" w:hAnsi="Calibri Light"/>
                <w:b w:val="0"/>
              </w:rPr>
              <w:t>í</w:t>
            </w:r>
            <w:r w:rsidR="00F70710" w:rsidRPr="000636DA">
              <w:rPr>
                <w:rFonts w:ascii="Calibri Light" w:hAnsi="Calibri Light"/>
                <w:b w:val="0"/>
              </w:rPr>
              <w:t>n.</w:t>
            </w:r>
          </w:p>
          <w:p w14:paraId="5AA471B6" w14:textId="2C6D284B" w:rsidR="00DD7DFE" w:rsidRPr="000636DA" w:rsidRDefault="00DD7DFE" w:rsidP="00C7023F">
            <w:pPr>
              <w:jc w:val="both"/>
              <w:rPr>
                <w:rFonts w:ascii="Calibri Light" w:hAnsi="Calibri Light"/>
                <w:b w:val="0"/>
              </w:rPr>
            </w:pPr>
          </w:p>
        </w:tc>
      </w:tr>
      <w:tr w:rsidR="00486028" w:rsidRPr="000636DA" w14:paraId="0FBFBB6F" w14:textId="77777777" w:rsidTr="000636DA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4"/>
          </w:tcPr>
          <w:p w14:paraId="0A864AFE" w14:textId="77777777" w:rsidR="00486028" w:rsidRPr="000636DA" w:rsidRDefault="00486028" w:rsidP="00AC6F31">
            <w:pPr>
              <w:pStyle w:val="ListParagraph"/>
              <w:rPr>
                <w:rFonts w:ascii="Calibri Light" w:hAnsi="Calibri Light"/>
              </w:rPr>
            </w:pPr>
          </w:p>
          <w:p w14:paraId="5CF7BA21" w14:textId="12EBFF1E" w:rsidR="00486028" w:rsidRPr="000636DA" w:rsidRDefault="00486028" w:rsidP="002967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Calibri Light" w:hAnsi="Calibri Light"/>
              </w:rPr>
            </w:pPr>
            <w:r w:rsidRPr="000636DA">
              <w:rPr>
                <w:rFonts w:ascii="Calibri Light" w:hAnsi="Calibri Light"/>
              </w:rPr>
              <w:t>Recomendaciones de la CIDH al Estado</w:t>
            </w:r>
          </w:p>
          <w:p w14:paraId="510D8BF9" w14:textId="77777777" w:rsidR="00486028" w:rsidRPr="000636DA" w:rsidRDefault="00486028" w:rsidP="00AC6F31">
            <w:pPr>
              <w:pStyle w:val="ListParagraph"/>
              <w:rPr>
                <w:rFonts w:ascii="Calibri Light" w:hAnsi="Calibri Light"/>
              </w:rPr>
            </w:pPr>
          </w:p>
        </w:tc>
      </w:tr>
      <w:tr w:rsidR="00486028" w:rsidRPr="000636DA" w14:paraId="3D91AF16" w14:textId="77777777" w:rsidTr="00063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4"/>
          </w:tcPr>
          <w:p w14:paraId="49A3F6D3" w14:textId="77777777" w:rsidR="00197F53" w:rsidRDefault="00197F53" w:rsidP="00197F53">
            <w:pPr>
              <w:pStyle w:val="ListParagraph"/>
              <w:jc w:val="both"/>
              <w:rPr>
                <w:rFonts w:ascii="Calibri Light" w:hAnsi="Calibri Light"/>
                <w:b w:val="0"/>
              </w:rPr>
            </w:pPr>
          </w:p>
          <w:p w14:paraId="3C584476" w14:textId="54311439" w:rsidR="001D7472" w:rsidRDefault="001D7472" w:rsidP="00DF409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 Light" w:hAnsi="Calibri Light"/>
                <w:b w:val="0"/>
              </w:rPr>
            </w:pPr>
            <w:r w:rsidRPr="000636DA">
              <w:rPr>
                <w:rFonts w:ascii="Calibri Light" w:hAnsi="Calibri Light"/>
                <w:b w:val="0"/>
              </w:rPr>
              <w:t>Disponer una reparación integral a Azul Rojas Marín y Juana</w:t>
            </w:r>
            <w:r w:rsidR="00F70710" w:rsidRPr="000636DA">
              <w:rPr>
                <w:rFonts w:ascii="Calibri Light" w:hAnsi="Calibri Light"/>
                <w:b w:val="0"/>
              </w:rPr>
              <w:t xml:space="preserve"> </w:t>
            </w:r>
            <w:r w:rsidRPr="000636DA">
              <w:rPr>
                <w:rFonts w:ascii="Calibri Light" w:hAnsi="Calibri Light"/>
                <w:b w:val="0"/>
              </w:rPr>
              <w:t xml:space="preserve">Tanta Marín por las violaciones </w:t>
            </w:r>
            <w:r w:rsidR="00C60FD3">
              <w:rPr>
                <w:rFonts w:ascii="Calibri Light" w:hAnsi="Calibri Light"/>
                <w:b w:val="0"/>
              </w:rPr>
              <w:t>a sus</w:t>
            </w:r>
            <w:r w:rsidRPr="000636DA">
              <w:rPr>
                <w:rFonts w:ascii="Calibri Light" w:hAnsi="Calibri Light"/>
                <w:b w:val="0"/>
              </w:rPr>
              <w:t xml:space="preserve"> derechos humanos. E</w:t>
            </w:r>
            <w:r w:rsidR="00C60FD3">
              <w:rPr>
                <w:rFonts w:ascii="Calibri Light" w:hAnsi="Calibri Light"/>
                <w:b w:val="0"/>
              </w:rPr>
              <w:t>sta</w:t>
            </w:r>
            <w:r w:rsidRPr="000636DA">
              <w:rPr>
                <w:rFonts w:ascii="Calibri Light" w:hAnsi="Calibri Light"/>
                <w:b w:val="0"/>
              </w:rPr>
              <w:t xml:space="preserve"> debe incluir medidas de compensación pecuniaria y satisfacción para reparar tanto el daño material como moral, así como un acto público de reconocimiento de responsabilidad por parte del Estado para las víctimas. </w:t>
            </w:r>
          </w:p>
          <w:p w14:paraId="7D154A12" w14:textId="77777777" w:rsidR="00197F53" w:rsidRPr="000636DA" w:rsidRDefault="00197F53" w:rsidP="00197F53">
            <w:pPr>
              <w:pStyle w:val="ListParagraph"/>
              <w:ind w:left="360"/>
              <w:jc w:val="both"/>
              <w:rPr>
                <w:rFonts w:ascii="Calibri Light" w:hAnsi="Calibri Light"/>
                <w:b w:val="0"/>
              </w:rPr>
            </w:pPr>
          </w:p>
          <w:p w14:paraId="44DF7E34" w14:textId="5D1D7CD0" w:rsidR="001D7472" w:rsidRDefault="001D7472" w:rsidP="00DF409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 Light" w:hAnsi="Calibri Light"/>
                <w:b w:val="0"/>
              </w:rPr>
            </w:pPr>
            <w:r w:rsidRPr="000636DA">
              <w:rPr>
                <w:rFonts w:ascii="Calibri Light" w:hAnsi="Calibri Light"/>
                <w:b w:val="0"/>
              </w:rPr>
              <w:t>Investigar de manera efectiva, con la debida diligencia y dentro de un plazo razonable la violencia sexual sufrida por Azul Rojas, calificada como tortur</w:t>
            </w:r>
            <w:r w:rsidR="00F70710" w:rsidRPr="000636DA">
              <w:rPr>
                <w:rFonts w:ascii="Calibri Light" w:hAnsi="Calibri Light"/>
                <w:b w:val="0"/>
              </w:rPr>
              <w:t>a</w:t>
            </w:r>
            <w:r w:rsidRPr="000636DA">
              <w:rPr>
                <w:rFonts w:ascii="Calibri Light" w:hAnsi="Calibri Light"/>
                <w:b w:val="0"/>
              </w:rPr>
              <w:t xml:space="preserve">. Las investigaciones y procesos judiciales </w:t>
            </w:r>
            <w:r w:rsidR="00F70710" w:rsidRPr="000636DA">
              <w:rPr>
                <w:rFonts w:ascii="Calibri Light" w:hAnsi="Calibri Light"/>
                <w:b w:val="0"/>
              </w:rPr>
              <w:t>deber</w:t>
            </w:r>
            <w:r w:rsidR="00C60FD3">
              <w:rPr>
                <w:rFonts w:ascii="Calibri Light" w:hAnsi="Calibri Light"/>
                <w:b w:val="0"/>
              </w:rPr>
              <w:t>á</w:t>
            </w:r>
            <w:r w:rsidR="00F70710" w:rsidRPr="000636DA">
              <w:rPr>
                <w:rFonts w:ascii="Calibri Light" w:hAnsi="Calibri Light"/>
                <w:b w:val="0"/>
              </w:rPr>
              <w:t>n hacerse</w:t>
            </w:r>
            <w:r w:rsidRPr="000636DA">
              <w:rPr>
                <w:rFonts w:ascii="Calibri Light" w:hAnsi="Calibri Light"/>
                <w:b w:val="0"/>
              </w:rPr>
              <w:t xml:space="preserve"> con base en los estándares descritos en el presente informe. Tomando en cuenta la gravedad de las violaciones declaradas y los estándares interamericanos al respecto, la C</w:t>
            </w:r>
            <w:r w:rsidR="00F70710" w:rsidRPr="000636DA">
              <w:rPr>
                <w:rFonts w:ascii="Calibri Light" w:hAnsi="Calibri Light"/>
                <w:b w:val="0"/>
              </w:rPr>
              <w:t xml:space="preserve">IDH </w:t>
            </w:r>
            <w:r w:rsidRPr="000636DA">
              <w:rPr>
                <w:rFonts w:ascii="Calibri Light" w:hAnsi="Calibri Light"/>
                <w:b w:val="0"/>
              </w:rPr>
              <w:t>destac</w:t>
            </w:r>
            <w:r w:rsidR="00C60FD3">
              <w:rPr>
                <w:rFonts w:ascii="Calibri Light" w:hAnsi="Calibri Light"/>
                <w:b w:val="0"/>
              </w:rPr>
              <w:t>ó</w:t>
            </w:r>
            <w:r w:rsidRPr="000636DA">
              <w:rPr>
                <w:rFonts w:ascii="Calibri Light" w:hAnsi="Calibri Light"/>
                <w:b w:val="0"/>
              </w:rPr>
              <w:t xml:space="preserve"> que el Estado no podrá oponer la decisión de sobreseimiento dictada a la luz de la garantía de </w:t>
            </w:r>
            <w:r w:rsidRPr="00EC3D6B">
              <w:rPr>
                <w:rFonts w:ascii="Calibri Light" w:hAnsi="Calibri Light"/>
                <w:b w:val="0"/>
                <w:i/>
              </w:rPr>
              <w:t>ne bis in ídem</w:t>
            </w:r>
            <w:r w:rsidRPr="000636DA">
              <w:rPr>
                <w:rFonts w:ascii="Calibri Light" w:hAnsi="Calibri Light"/>
                <w:b w:val="0"/>
              </w:rPr>
              <w:t>, cosa juzgada o prescripción</w:t>
            </w:r>
            <w:r w:rsidR="00110C71" w:rsidRPr="000636DA">
              <w:rPr>
                <w:rFonts w:ascii="Calibri Light" w:hAnsi="Calibri Light"/>
                <w:b w:val="0"/>
              </w:rPr>
              <w:t>.</w:t>
            </w:r>
          </w:p>
          <w:p w14:paraId="34C78F93" w14:textId="77777777" w:rsidR="00197F53" w:rsidRPr="00197F53" w:rsidRDefault="00197F53" w:rsidP="00197F53">
            <w:pPr>
              <w:jc w:val="both"/>
              <w:rPr>
                <w:rFonts w:ascii="Calibri Light" w:hAnsi="Calibri Light"/>
              </w:rPr>
            </w:pPr>
          </w:p>
          <w:p w14:paraId="6680C0C5" w14:textId="4AEE7170" w:rsidR="00486028" w:rsidRDefault="001D7472" w:rsidP="00DF409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 Light" w:hAnsi="Calibri Light"/>
                <w:b w:val="0"/>
              </w:rPr>
            </w:pPr>
            <w:r w:rsidRPr="000636DA">
              <w:rPr>
                <w:rFonts w:ascii="Calibri Light" w:hAnsi="Calibri Light"/>
                <w:b w:val="0"/>
              </w:rPr>
              <w:t>Disponer las correspondientes medidas administrativas, disciplinarias o penales correspondientes frente a las acciones u omisiones de los funcionarios estatales que contribuyeron a los distintos factores de denegación de justicia</w:t>
            </w:r>
            <w:r w:rsidR="00F70710" w:rsidRPr="000636DA">
              <w:rPr>
                <w:rFonts w:ascii="Calibri Light" w:hAnsi="Calibri Light"/>
                <w:b w:val="0"/>
              </w:rPr>
              <w:t>.</w:t>
            </w:r>
          </w:p>
          <w:p w14:paraId="0B3B1593" w14:textId="77777777" w:rsidR="00197F53" w:rsidRPr="00197F53" w:rsidRDefault="00197F53" w:rsidP="00197F53">
            <w:pPr>
              <w:jc w:val="both"/>
              <w:rPr>
                <w:rFonts w:ascii="Calibri Light" w:hAnsi="Calibri Light"/>
              </w:rPr>
            </w:pPr>
          </w:p>
          <w:p w14:paraId="3FAC5EBA" w14:textId="5B36A72B" w:rsidR="001D7472" w:rsidRDefault="001D7472" w:rsidP="00DF409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 Light" w:hAnsi="Calibri Light"/>
                <w:b w:val="0"/>
              </w:rPr>
            </w:pPr>
            <w:r w:rsidRPr="000636DA">
              <w:rPr>
                <w:rFonts w:ascii="Calibri Light" w:hAnsi="Calibri Light"/>
                <w:b w:val="0"/>
              </w:rPr>
              <w:t xml:space="preserve">Brindar de forma gratuita, inmediata y por el tiempo que sea necesario, el tratamiento médico y psicológico o psiquiátrico, según corresponda, a la víctima del presente caso si así lo solicite y de manera concertada con ella. </w:t>
            </w:r>
          </w:p>
          <w:p w14:paraId="477E3BAC" w14:textId="77777777" w:rsidR="00197F53" w:rsidRPr="00197F53" w:rsidRDefault="00197F53" w:rsidP="00197F53">
            <w:pPr>
              <w:jc w:val="both"/>
              <w:rPr>
                <w:rFonts w:ascii="Calibri Light" w:hAnsi="Calibri Light"/>
              </w:rPr>
            </w:pPr>
          </w:p>
          <w:p w14:paraId="67054636" w14:textId="0728B081" w:rsidR="001D7472" w:rsidRDefault="001D7472" w:rsidP="00DF409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 Light" w:hAnsi="Calibri Light"/>
                <w:b w:val="0"/>
              </w:rPr>
            </w:pPr>
            <w:r w:rsidRPr="000636DA">
              <w:rPr>
                <w:rFonts w:ascii="Calibri Light" w:hAnsi="Calibri Light"/>
                <w:b w:val="0"/>
              </w:rPr>
              <w:lastRenderedPageBreak/>
              <w:t>Disponer mecanismos de no repetición que incluyan: i) asegurar que el artículo 205 del Código de Procedimiento Penal no sea utilizado por autoridades policiales de manera abusiva y discriminatoria; ii) adoptar medidas para garantizar el acceso a la justicia en casos de violencia contra personas LGBT; iii) diseñar programas de formación y capacitación para todos los operadores jurídicos que tengan contacto y/o estén a cargo de investigar casos de violencia por prejuicio, incluida violencia sexual; y iv) adoptar medidas de no repetición dirigidas a capacitar a funcionarios/as que tengan a su cargo la custodia de personas privadas de libertad</w:t>
            </w:r>
            <w:r w:rsidR="00110C71" w:rsidRPr="000636DA">
              <w:rPr>
                <w:rFonts w:ascii="Calibri Light" w:hAnsi="Calibri Light"/>
                <w:b w:val="0"/>
              </w:rPr>
              <w:t>.</w:t>
            </w:r>
          </w:p>
          <w:p w14:paraId="6E5CE83D" w14:textId="77777777" w:rsidR="00197F53" w:rsidRPr="00197F53" w:rsidRDefault="00197F53" w:rsidP="00197F53">
            <w:pPr>
              <w:jc w:val="both"/>
              <w:rPr>
                <w:rFonts w:ascii="Calibri Light" w:hAnsi="Calibri Light"/>
              </w:rPr>
            </w:pPr>
          </w:p>
          <w:p w14:paraId="3240DAC3" w14:textId="48F12F18" w:rsidR="00486028" w:rsidRDefault="001D7472" w:rsidP="00110C7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 Light" w:hAnsi="Calibri Light"/>
                <w:b w:val="0"/>
              </w:rPr>
            </w:pPr>
            <w:r w:rsidRPr="000636DA">
              <w:rPr>
                <w:rFonts w:ascii="Calibri Light" w:hAnsi="Calibri Light"/>
                <w:b w:val="0"/>
              </w:rPr>
              <w:t>La C</w:t>
            </w:r>
            <w:r w:rsidR="00F70710" w:rsidRPr="000636DA">
              <w:rPr>
                <w:rFonts w:ascii="Calibri Light" w:hAnsi="Calibri Light"/>
                <w:b w:val="0"/>
              </w:rPr>
              <w:t>IDH</w:t>
            </w:r>
            <w:r w:rsidR="00197F53">
              <w:rPr>
                <w:rFonts w:ascii="Calibri Light" w:hAnsi="Calibri Light"/>
                <w:b w:val="0"/>
              </w:rPr>
              <w:t xml:space="preserve"> exhortó</w:t>
            </w:r>
            <w:r w:rsidRPr="000636DA">
              <w:rPr>
                <w:rFonts w:ascii="Calibri Light" w:hAnsi="Calibri Light"/>
                <w:b w:val="0"/>
              </w:rPr>
              <w:t xml:space="preserve"> al Estado a ratificar la Convención Interamericana contra toda forma de discriminación e intolerancia aprobada por la Asamblea General de la OEA el 5 de junio de 2013.</w:t>
            </w:r>
          </w:p>
          <w:p w14:paraId="49863AFC" w14:textId="28DF0147" w:rsidR="00197F53" w:rsidRPr="000636DA" w:rsidRDefault="00197F53" w:rsidP="00197F53">
            <w:pPr>
              <w:pStyle w:val="ListParagraph"/>
              <w:jc w:val="both"/>
              <w:rPr>
                <w:rFonts w:ascii="Calibri Light" w:hAnsi="Calibri Light"/>
                <w:b w:val="0"/>
              </w:rPr>
            </w:pPr>
          </w:p>
        </w:tc>
      </w:tr>
      <w:tr w:rsidR="00486028" w:rsidRPr="000636DA" w14:paraId="0B7CC98E" w14:textId="77777777" w:rsidTr="000636DA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4"/>
          </w:tcPr>
          <w:p w14:paraId="66CFB853" w14:textId="77777777" w:rsidR="00486028" w:rsidRPr="000636DA" w:rsidRDefault="00486028" w:rsidP="00F464EC">
            <w:pPr>
              <w:pStyle w:val="ListParagraph"/>
              <w:spacing w:after="200" w:line="276" w:lineRule="auto"/>
              <w:rPr>
                <w:rFonts w:ascii="Calibri Light" w:hAnsi="Calibri Light"/>
              </w:rPr>
            </w:pPr>
          </w:p>
          <w:p w14:paraId="7B045F14" w14:textId="2270E615" w:rsidR="00486028" w:rsidRPr="000636DA" w:rsidRDefault="00486028" w:rsidP="00F464EC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jc w:val="center"/>
              <w:rPr>
                <w:rFonts w:ascii="Calibri Light" w:hAnsi="Calibri Light"/>
              </w:rPr>
            </w:pPr>
            <w:r w:rsidRPr="000636DA">
              <w:rPr>
                <w:rFonts w:ascii="Calibri Light" w:hAnsi="Calibri Light"/>
              </w:rPr>
              <w:t>Análisis de cumplimiento de las recomendaciones</w:t>
            </w:r>
          </w:p>
          <w:p w14:paraId="3C93C1C0" w14:textId="77777777" w:rsidR="00486028" w:rsidRPr="000636DA" w:rsidRDefault="00486028" w:rsidP="00F464EC">
            <w:pPr>
              <w:pStyle w:val="ListParagraph"/>
              <w:ind w:left="0"/>
              <w:jc w:val="center"/>
              <w:rPr>
                <w:rFonts w:ascii="Calibri Light" w:hAnsi="Calibri Light"/>
                <w:b w:val="0"/>
              </w:rPr>
            </w:pPr>
          </w:p>
        </w:tc>
      </w:tr>
      <w:tr w:rsidR="00486028" w:rsidRPr="000636DA" w14:paraId="41FA15A1" w14:textId="77777777" w:rsidTr="00063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1" w:type="dxa"/>
            <w:gridSpan w:val="4"/>
          </w:tcPr>
          <w:p w14:paraId="2D18290F" w14:textId="01075EE3" w:rsidR="00486028" w:rsidRPr="000636DA" w:rsidRDefault="00486028" w:rsidP="004B1311">
            <w:pPr>
              <w:pStyle w:val="ListParagraph"/>
              <w:ind w:left="0"/>
              <w:jc w:val="both"/>
              <w:rPr>
                <w:rFonts w:ascii="Calibri Light" w:hAnsi="Calibri Light"/>
                <w:b w:val="0"/>
              </w:rPr>
            </w:pPr>
          </w:p>
          <w:p w14:paraId="07952DB6" w14:textId="77777777" w:rsidR="00486028" w:rsidRDefault="00C60FD3" w:rsidP="00E236FF">
            <w:pPr>
              <w:pStyle w:val="ListParagraph"/>
              <w:ind w:left="0"/>
              <w:jc w:val="center"/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>-</w:t>
            </w:r>
          </w:p>
          <w:p w14:paraId="1F3EA985" w14:textId="4C17189D" w:rsidR="00C60FD3" w:rsidRPr="000636DA" w:rsidRDefault="00C60FD3" w:rsidP="00E236FF">
            <w:pPr>
              <w:pStyle w:val="ListParagraph"/>
              <w:ind w:left="0"/>
              <w:jc w:val="center"/>
              <w:rPr>
                <w:rFonts w:ascii="Calibri Light" w:hAnsi="Calibri Light"/>
                <w:b w:val="0"/>
              </w:rPr>
            </w:pPr>
          </w:p>
        </w:tc>
      </w:tr>
    </w:tbl>
    <w:p w14:paraId="23A9A3C3" w14:textId="77777777" w:rsidR="00714E42" w:rsidRPr="000636DA" w:rsidRDefault="00714E42" w:rsidP="00A65231">
      <w:pPr>
        <w:rPr>
          <w:rFonts w:ascii="Calibri Light" w:hAnsi="Calibri Light"/>
        </w:rPr>
      </w:pPr>
    </w:p>
    <w:sectPr w:rsidR="00714E42" w:rsidRPr="000636DA" w:rsidSect="00AD2C1E">
      <w:footerReference w:type="default" r:id="rId15"/>
      <w:pgSz w:w="11907" w:h="16839" w:code="9"/>
      <w:pgMar w:top="851" w:right="1701" w:bottom="9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8F5B3" w14:textId="77777777" w:rsidR="00483FE1" w:rsidRDefault="00483FE1" w:rsidP="00A65231">
      <w:pPr>
        <w:spacing w:after="0" w:line="240" w:lineRule="auto"/>
      </w:pPr>
      <w:r>
        <w:separator/>
      </w:r>
    </w:p>
  </w:endnote>
  <w:endnote w:type="continuationSeparator" w:id="0">
    <w:p w14:paraId="6ACA7F69" w14:textId="77777777" w:rsidR="00483FE1" w:rsidRDefault="00483FE1" w:rsidP="00A6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471937"/>
      <w:docPartObj>
        <w:docPartGallery w:val="Page Numbers (Bottom of Page)"/>
        <w:docPartUnique/>
      </w:docPartObj>
    </w:sdtPr>
    <w:sdtEndPr/>
    <w:sdtContent>
      <w:p w14:paraId="23A746CC" w14:textId="77777777" w:rsidR="00A65231" w:rsidRDefault="00A652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311" w:rsidRPr="00EB6311">
          <w:rPr>
            <w:noProof/>
            <w:lang w:val="es-ES"/>
          </w:rPr>
          <w:t>1</w:t>
        </w:r>
        <w:r>
          <w:fldChar w:fldCharType="end"/>
        </w:r>
      </w:p>
    </w:sdtContent>
  </w:sdt>
  <w:p w14:paraId="6353BB13" w14:textId="77777777" w:rsidR="00A65231" w:rsidRDefault="00A652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8D4F5" w14:textId="77777777" w:rsidR="00483FE1" w:rsidRDefault="00483FE1" w:rsidP="00A65231">
      <w:pPr>
        <w:spacing w:after="0" w:line="240" w:lineRule="auto"/>
      </w:pPr>
      <w:r>
        <w:separator/>
      </w:r>
    </w:p>
  </w:footnote>
  <w:footnote w:type="continuationSeparator" w:id="0">
    <w:p w14:paraId="7727BD31" w14:textId="77777777" w:rsidR="00483FE1" w:rsidRDefault="00483FE1" w:rsidP="00A65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A5EBA"/>
    <w:multiLevelType w:val="hybridMultilevel"/>
    <w:tmpl w:val="ABCAFD0A"/>
    <w:lvl w:ilvl="0" w:tplc="12D03D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F38DD"/>
    <w:multiLevelType w:val="hybridMultilevel"/>
    <w:tmpl w:val="E7E4AD2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EF30FB"/>
    <w:multiLevelType w:val="hybridMultilevel"/>
    <w:tmpl w:val="B6A4324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81334F"/>
    <w:multiLevelType w:val="hybridMultilevel"/>
    <w:tmpl w:val="66322A9C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A010C"/>
    <w:multiLevelType w:val="hybridMultilevel"/>
    <w:tmpl w:val="8D1013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046FB2"/>
    <w:multiLevelType w:val="hybridMultilevel"/>
    <w:tmpl w:val="7BB2EC6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1A22F4"/>
    <w:multiLevelType w:val="hybridMultilevel"/>
    <w:tmpl w:val="C1A0C3EA"/>
    <w:lvl w:ilvl="0" w:tplc="080A0013">
      <w:start w:val="1"/>
      <w:numFmt w:val="upperRoman"/>
      <w:lvlText w:val="%1."/>
      <w:lvlJc w:val="right"/>
      <w:pPr>
        <w:ind w:left="720" w:hanging="180"/>
      </w:pPr>
    </w:lvl>
    <w:lvl w:ilvl="1" w:tplc="080A0011">
      <w:start w:val="1"/>
      <w:numFmt w:val="decimal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266A6"/>
    <w:multiLevelType w:val="hybridMultilevel"/>
    <w:tmpl w:val="610EBF7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F0003"/>
    <w:multiLevelType w:val="hybridMultilevel"/>
    <w:tmpl w:val="2ECCC95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23FEB"/>
    <w:multiLevelType w:val="hybridMultilevel"/>
    <w:tmpl w:val="FCF60B1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359"/>
    <w:rsid w:val="000042FE"/>
    <w:rsid w:val="00005885"/>
    <w:rsid w:val="0002125F"/>
    <w:rsid w:val="000306E3"/>
    <w:rsid w:val="000355B3"/>
    <w:rsid w:val="00036EA4"/>
    <w:rsid w:val="000636DA"/>
    <w:rsid w:val="000955BE"/>
    <w:rsid w:val="000C2ED1"/>
    <w:rsid w:val="000C5A72"/>
    <w:rsid w:val="000D03B8"/>
    <w:rsid w:val="000D0B83"/>
    <w:rsid w:val="000D2BF8"/>
    <w:rsid w:val="000D3CF2"/>
    <w:rsid w:val="000F2C70"/>
    <w:rsid w:val="00110C71"/>
    <w:rsid w:val="00115AE0"/>
    <w:rsid w:val="00123965"/>
    <w:rsid w:val="00174E0C"/>
    <w:rsid w:val="00197F53"/>
    <w:rsid w:val="001A14F7"/>
    <w:rsid w:val="001A5DDF"/>
    <w:rsid w:val="001C28EC"/>
    <w:rsid w:val="001D04E2"/>
    <w:rsid w:val="001D119C"/>
    <w:rsid w:val="001D72A6"/>
    <w:rsid w:val="001D7472"/>
    <w:rsid w:val="00212F62"/>
    <w:rsid w:val="00213757"/>
    <w:rsid w:val="0021585E"/>
    <w:rsid w:val="002173ED"/>
    <w:rsid w:val="00220B75"/>
    <w:rsid w:val="00242F4D"/>
    <w:rsid w:val="00254042"/>
    <w:rsid w:val="00260D9F"/>
    <w:rsid w:val="002610FF"/>
    <w:rsid w:val="00285E95"/>
    <w:rsid w:val="0029671B"/>
    <w:rsid w:val="002A0945"/>
    <w:rsid w:val="002B7FBA"/>
    <w:rsid w:val="002D73CB"/>
    <w:rsid w:val="002E66B8"/>
    <w:rsid w:val="0030375F"/>
    <w:rsid w:val="00317EE5"/>
    <w:rsid w:val="00352098"/>
    <w:rsid w:val="00373134"/>
    <w:rsid w:val="0038215F"/>
    <w:rsid w:val="003A27C9"/>
    <w:rsid w:val="003E6AB8"/>
    <w:rsid w:val="003E7698"/>
    <w:rsid w:val="003F5C30"/>
    <w:rsid w:val="00405955"/>
    <w:rsid w:val="00411635"/>
    <w:rsid w:val="00411A74"/>
    <w:rsid w:val="004211C1"/>
    <w:rsid w:val="00421D6C"/>
    <w:rsid w:val="004502D5"/>
    <w:rsid w:val="00451809"/>
    <w:rsid w:val="00452AA6"/>
    <w:rsid w:val="004533E5"/>
    <w:rsid w:val="00455403"/>
    <w:rsid w:val="00464CAC"/>
    <w:rsid w:val="00483FE1"/>
    <w:rsid w:val="004858A8"/>
    <w:rsid w:val="00486028"/>
    <w:rsid w:val="004861D8"/>
    <w:rsid w:val="004865A2"/>
    <w:rsid w:val="004A6246"/>
    <w:rsid w:val="004B1311"/>
    <w:rsid w:val="004B1FD7"/>
    <w:rsid w:val="004C2B60"/>
    <w:rsid w:val="004E678F"/>
    <w:rsid w:val="004F061A"/>
    <w:rsid w:val="00505CE6"/>
    <w:rsid w:val="00511D40"/>
    <w:rsid w:val="005173CF"/>
    <w:rsid w:val="00531202"/>
    <w:rsid w:val="00557C90"/>
    <w:rsid w:val="00561359"/>
    <w:rsid w:val="00567A8E"/>
    <w:rsid w:val="005C3229"/>
    <w:rsid w:val="005D4FDF"/>
    <w:rsid w:val="00604574"/>
    <w:rsid w:val="00633068"/>
    <w:rsid w:val="006407DD"/>
    <w:rsid w:val="00665B1B"/>
    <w:rsid w:val="00676230"/>
    <w:rsid w:val="006807C4"/>
    <w:rsid w:val="0068100F"/>
    <w:rsid w:val="00682C15"/>
    <w:rsid w:val="00685F04"/>
    <w:rsid w:val="0069176E"/>
    <w:rsid w:val="006954C5"/>
    <w:rsid w:val="006B041C"/>
    <w:rsid w:val="006B387D"/>
    <w:rsid w:val="006B75DD"/>
    <w:rsid w:val="006D488A"/>
    <w:rsid w:val="006E207B"/>
    <w:rsid w:val="006E7862"/>
    <w:rsid w:val="00707DCC"/>
    <w:rsid w:val="00712BB7"/>
    <w:rsid w:val="00714E42"/>
    <w:rsid w:val="0074258E"/>
    <w:rsid w:val="00747E22"/>
    <w:rsid w:val="00766F5B"/>
    <w:rsid w:val="00787A50"/>
    <w:rsid w:val="0079477F"/>
    <w:rsid w:val="00797327"/>
    <w:rsid w:val="00797E28"/>
    <w:rsid w:val="007A6C56"/>
    <w:rsid w:val="007B2515"/>
    <w:rsid w:val="007B7ED8"/>
    <w:rsid w:val="007E1AE3"/>
    <w:rsid w:val="007E382B"/>
    <w:rsid w:val="007F0D54"/>
    <w:rsid w:val="007F3C82"/>
    <w:rsid w:val="008036E7"/>
    <w:rsid w:val="00803867"/>
    <w:rsid w:val="008067E0"/>
    <w:rsid w:val="00841B0E"/>
    <w:rsid w:val="00866A4D"/>
    <w:rsid w:val="008F2734"/>
    <w:rsid w:val="0090367F"/>
    <w:rsid w:val="00917EB4"/>
    <w:rsid w:val="00931244"/>
    <w:rsid w:val="00936BC3"/>
    <w:rsid w:val="00954E20"/>
    <w:rsid w:val="0096505C"/>
    <w:rsid w:val="00977046"/>
    <w:rsid w:val="009776B9"/>
    <w:rsid w:val="009864C5"/>
    <w:rsid w:val="00992971"/>
    <w:rsid w:val="009D2141"/>
    <w:rsid w:val="00A00B8E"/>
    <w:rsid w:val="00A06977"/>
    <w:rsid w:val="00A133CC"/>
    <w:rsid w:val="00A271BF"/>
    <w:rsid w:val="00A4435A"/>
    <w:rsid w:val="00A61748"/>
    <w:rsid w:val="00A65231"/>
    <w:rsid w:val="00A7527C"/>
    <w:rsid w:val="00A91B24"/>
    <w:rsid w:val="00A97C1D"/>
    <w:rsid w:val="00AC6F31"/>
    <w:rsid w:val="00AD2C1E"/>
    <w:rsid w:val="00AF46F4"/>
    <w:rsid w:val="00AF5643"/>
    <w:rsid w:val="00B03BF1"/>
    <w:rsid w:val="00B07E72"/>
    <w:rsid w:val="00B24F73"/>
    <w:rsid w:val="00B269B6"/>
    <w:rsid w:val="00B71B8C"/>
    <w:rsid w:val="00B771B5"/>
    <w:rsid w:val="00B775EA"/>
    <w:rsid w:val="00B847B4"/>
    <w:rsid w:val="00B93CB9"/>
    <w:rsid w:val="00BA1038"/>
    <w:rsid w:val="00BB61C6"/>
    <w:rsid w:val="00BC02BF"/>
    <w:rsid w:val="00BD48E5"/>
    <w:rsid w:val="00BE6FA1"/>
    <w:rsid w:val="00C05A8E"/>
    <w:rsid w:val="00C16544"/>
    <w:rsid w:val="00C16EBD"/>
    <w:rsid w:val="00C215C3"/>
    <w:rsid w:val="00C31DFF"/>
    <w:rsid w:val="00C60D7D"/>
    <w:rsid w:val="00C60FD3"/>
    <w:rsid w:val="00C63B25"/>
    <w:rsid w:val="00C7023F"/>
    <w:rsid w:val="00CA3D4C"/>
    <w:rsid w:val="00CC5A13"/>
    <w:rsid w:val="00D04560"/>
    <w:rsid w:val="00D0696E"/>
    <w:rsid w:val="00D2195B"/>
    <w:rsid w:val="00D3554B"/>
    <w:rsid w:val="00D60C4D"/>
    <w:rsid w:val="00D65B07"/>
    <w:rsid w:val="00D74E76"/>
    <w:rsid w:val="00DD3C7C"/>
    <w:rsid w:val="00DD7DFE"/>
    <w:rsid w:val="00DE1F11"/>
    <w:rsid w:val="00DE5748"/>
    <w:rsid w:val="00DF02A1"/>
    <w:rsid w:val="00DF2AFB"/>
    <w:rsid w:val="00DF409E"/>
    <w:rsid w:val="00E236FF"/>
    <w:rsid w:val="00E269B6"/>
    <w:rsid w:val="00E35FF7"/>
    <w:rsid w:val="00E477E1"/>
    <w:rsid w:val="00E5301D"/>
    <w:rsid w:val="00E90214"/>
    <w:rsid w:val="00EB6311"/>
    <w:rsid w:val="00EC3D6B"/>
    <w:rsid w:val="00EE3AD2"/>
    <w:rsid w:val="00F06184"/>
    <w:rsid w:val="00F351EE"/>
    <w:rsid w:val="00F35633"/>
    <w:rsid w:val="00F4054C"/>
    <w:rsid w:val="00F464EC"/>
    <w:rsid w:val="00F53444"/>
    <w:rsid w:val="00F551AE"/>
    <w:rsid w:val="00F55CD0"/>
    <w:rsid w:val="00F57776"/>
    <w:rsid w:val="00F64492"/>
    <w:rsid w:val="00F70710"/>
    <w:rsid w:val="00F725A5"/>
    <w:rsid w:val="00F72FED"/>
    <w:rsid w:val="00F7616F"/>
    <w:rsid w:val="00F83405"/>
    <w:rsid w:val="00F94C20"/>
    <w:rsid w:val="00FB0F60"/>
    <w:rsid w:val="00FB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F6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359"/>
    <w:rPr>
      <w:rFonts w:ascii="Calibri" w:eastAsia="Calibri" w:hAnsi="Calibri" w:cs="Times New Roman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13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359"/>
    <w:rPr>
      <w:rFonts w:ascii="Calibri" w:eastAsia="Calibri" w:hAnsi="Calibri" w:cs="Times New Roman"/>
      <w:lang w:val="es-MX"/>
    </w:rPr>
  </w:style>
  <w:style w:type="table" w:styleId="TableGrid">
    <w:name w:val="Table Grid"/>
    <w:basedOn w:val="TableNormal"/>
    <w:uiPriority w:val="59"/>
    <w:rsid w:val="00517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5173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-Accent5">
    <w:name w:val="Medium Shading 1 Accent 5"/>
    <w:basedOn w:val="TableNormal"/>
    <w:uiPriority w:val="63"/>
    <w:rsid w:val="005173C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5173C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Grid1-Accent3">
    <w:name w:val="Medium Grid 1 Accent 3"/>
    <w:basedOn w:val="TableNormal"/>
    <w:uiPriority w:val="67"/>
    <w:rsid w:val="005173C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1">
    <w:name w:val="Medium Grid 1 Accent 1"/>
    <w:basedOn w:val="TableNormal"/>
    <w:uiPriority w:val="67"/>
    <w:rsid w:val="005173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ListParagraph">
    <w:name w:val="List Paragraph"/>
    <w:basedOn w:val="Normal"/>
    <w:uiPriority w:val="34"/>
    <w:qFormat/>
    <w:rsid w:val="007A6C5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652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231"/>
    <w:rPr>
      <w:rFonts w:ascii="Calibri" w:eastAsia="Calibri" w:hAnsi="Calibri" w:cs="Times New Roman"/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E20"/>
    <w:rPr>
      <w:rFonts w:ascii="Tahoma" w:eastAsia="Calibri" w:hAnsi="Tahoma" w:cs="Tahoma"/>
      <w:sz w:val="16"/>
      <w:szCs w:val="16"/>
      <w:lang w:val="es-MX"/>
    </w:rPr>
  </w:style>
  <w:style w:type="table" w:customStyle="1" w:styleId="Tabladelista2-nfasis11">
    <w:name w:val="Tabla de lista 2 - Énfasis 11"/>
    <w:basedOn w:val="TableNormal"/>
    <w:uiPriority w:val="47"/>
    <w:rsid w:val="007B7ED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0618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18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184"/>
    <w:rPr>
      <w:rFonts w:ascii="Calibri" w:eastAsia="Calibri" w:hAnsi="Calibri" w:cs="Times New Roman"/>
      <w:sz w:val="24"/>
      <w:szCs w:val="24"/>
      <w:lang w:val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18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184"/>
    <w:rPr>
      <w:rFonts w:ascii="Calibri" w:eastAsia="Calibri" w:hAnsi="Calibri" w:cs="Times New Roman"/>
      <w:b/>
      <w:bCs/>
      <w:sz w:val="20"/>
      <w:szCs w:val="20"/>
      <w:lang w:val="es-MX"/>
    </w:rPr>
  </w:style>
  <w:style w:type="character" w:styleId="Hyperlink">
    <w:name w:val="Hyperlink"/>
    <w:basedOn w:val="DefaultParagraphFont"/>
    <w:uiPriority w:val="99"/>
    <w:unhideWhenUsed/>
    <w:rsid w:val="00E902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B8E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A00B8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55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oas.org/es/cidh/decisiones/2014/PEADP446-09E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as.org/es/cidh/decisiones/corte/2018/12982FondoEs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dpp.graduateinstitute.ch/files/live/sites/dpp/files/shared/images/IDEHPUCP%20%20color.jpg" TargetMode="External"/><Relationship Id="rId14" Type="http://schemas.openxmlformats.org/officeDocument/2006/relationships/hyperlink" Target="https://www.corteidh.or.cr/docs/casos/articulos/seriec_402_esp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71DFD-4503-4F96-9707-0CE7383C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2871</Words>
  <Characters>16366</Characters>
  <Application>Microsoft Office Word</Application>
  <DocSecurity>0</DocSecurity>
  <Lines>136</Lines>
  <Paragraphs>38</Paragraphs>
  <ScaleCrop>false</ScaleCrop>
  <Company/>
  <LinksUpToDate>false</LinksUpToDate>
  <CharactersWithSpaces>19199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2021-02-11T09:48:00Z</dcterms:created>
  <dcterms:modified xsi:type="dcterms:W3CDTF">2021-02-11T09:49:00Z</dcterms:modified>
</cp:coreProperties>
</file>